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A23B" w14:textId="50FF3542" w:rsidR="007E16DF" w:rsidRPr="0034087E" w:rsidRDefault="002B43CA" w:rsidP="007E16DF">
      <w:pPr>
        <w:rPr>
          <w:rFonts w:ascii="Arial" w:hAnsi="Arial" w:cs="Arial"/>
          <w:lang w:val="es-MX"/>
        </w:rPr>
      </w:pPr>
      <w:bookmarkStart w:id="0" w:name="_GoBack"/>
      <w:bookmarkEnd w:id="0"/>
      <w:r w:rsidRPr="0034087E">
        <w:rPr>
          <w:rFonts w:ascii="Arial" w:hAnsi="Arial" w:cs="Arial"/>
          <w:lang w:val="es-MX"/>
        </w:rPr>
        <w:t xml:space="preserve">Bogotá, D. C., </w:t>
      </w:r>
      <w:r w:rsidR="00682AF7">
        <w:rPr>
          <w:rFonts w:ascii="Arial" w:hAnsi="Arial" w:cs="Arial"/>
          <w:lang w:val="es-MX"/>
        </w:rPr>
        <w:t>17</w:t>
      </w:r>
      <w:r w:rsidR="005D6F59">
        <w:rPr>
          <w:rFonts w:ascii="Arial" w:hAnsi="Arial" w:cs="Arial"/>
          <w:lang w:val="es-MX"/>
        </w:rPr>
        <w:t xml:space="preserve"> de </w:t>
      </w:r>
      <w:r w:rsidR="00C82402">
        <w:rPr>
          <w:rFonts w:ascii="Arial" w:hAnsi="Arial" w:cs="Arial"/>
          <w:lang w:val="es-MX"/>
        </w:rPr>
        <w:t>diciembre</w:t>
      </w:r>
      <w:r w:rsidR="007E16DF" w:rsidRPr="0034087E">
        <w:rPr>
          <w:rFonts w:ascii="Arial" w:hAnsi="Arial" w:cs="Arial"/>
          <w:lang w:val="es-MX"/>
        </w:rPr>
        <w:t xml:space="preserve"> </w:t>
      </w:r>
      <w:r w:rsidR="00A7557C" w:rsidRPr="0034087E">
        <w:rPr>
          <w:rFonts w:ascii="Arial" w:hAnsi="Arial" w:cs="Arial"/>
          <w:lang w:val="es-MX"/>
        </w:rPr>
        <w:t xml:space="preserve">de </w:t>
      </w:r>
      <w:r w:rsidR="00C82402">
        <w:rPr>
          <w:rFonts w:ascii="Arial" w:hAnsi="Arial" w:cs="Arial"/>
          <w:lang w:val="es-MX"/>
        </w:rPr>
        <w:t>2020</w:t>
      </w:r>
    </w:p>
    <w:p w14:paraId="614B7FE2" w14:textId="77777777" w:rsidR="007E16DF" w:rsidRPr="0034087E" w:rsidRDefault="007E16DF" w:rsidP="007E16DF">
      <w:pPr>
        <w:rPr>
          <w:rFonts w:ascii="Arial" w:hAnsi="Arial" w:cs="Arial"/>
          <w:sz w:val="22"/>
          <w:szCs w:val="22"/>
          <w:lang w:val="es-MX"/>
        </w:rPr>
      </w:pPr>
    </w:p>
    <w:p w14:paraId="2875E1C3" w14:textId="77777777" w:rsidR="007E16DF" w:rsidRPr="0034087E" w:rsidRDefault="007E16DF" w:rsidP="007E16DF">
      <w:pPr>
        <w:rPr>
          <w:rFonts w:ascii="Arial" w:hAnsi="Arial" w:cs="Arial"/>
          <w:sz w:val="22"/>
          <w:szCs w:val="22"/>
          <w:lang w:val="es-MX"/>
        </w:rPr>
      </w:pPr>
    </w:p>
    <w:p w14:paraId="4D62B574" w14:textId="77777777" w:rsidR="007E16DF" w:rsidRPr="0034087E" w:rsidRDefault="007E16DF" w:rsidP="007E16DF">
      <w:pPr>
        <w:rPr>
          <w:rFonts w:ascii="Arial" w:hAnsi="Arial" w:cs="Arial"/>
          <w:sz w:val="22"/>
          <w:szCs w:val="22"/>
          <w:lang w:val="es-MX"/>
        </w:rPr>
      </w:pPr>
    </w:p>
    <w:p w14:paraId="5ED80525" w14:textId="0DEC4DD8"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682AF7">
        <w:rPr>
          <w:rFonts w:ascii="Arial" w:hAnsi="Arial" w:cs="Arial"/>
          <w:b/>
          <w:bCs/>
          <w:i/>
          <w:iCs/>
          <w:kern w:val="60"/>
          <w:sz w:val="40"/>
          <w:szCs w:val="40"/>
        </w:rPr>
        <w:t>134</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6CCE87D5" w14:textId="77777777" w:rsidR="0034087E" w:rsidRPr="0034087E" w:rsidRDefault="0034087E" w:rsidP="0034087E">
      <w:pPr>
        <w:pStyle w:val="Sangradetextonormal"/>
        <w:ind w:left="1410" w:hanging="1410"/>
        <w:jc w:val="both"/>
        <w:rPr>
          <w:rFonts w:ascii="Arial" w:hAnsi="Arial" w:cs="Arial"/>
          <w:b/>
        </w:rPr>
      </w:pPr>
      <w:r w:rsidRPr="0034087E">
        <w:rPr>
          <w:rFonts w:ascii="Arial" w:hAnsi="Arial" w:cs="Arial"/>
          <w:b/>
        </w:rPr>
        <w:t>PARA:</w:t>
      </w:r>
      <w:r w:rsidRPr="0034087E">
        <w:rPr>
          <w:rFonts w:ascii="Arial" w:hAnsi="Arial" w:cs="Arial"/>
          <w:b/>
        </w:rPr>
        <w:tab/>
        <w:t>COMERCIALIZADORES MAYORISTAS DE GLP, DISTRIBUIDORES, SUPERINTENDENCIA DE SERVICIOS PÚBLICOS DOMICILIARIOS Y TERCEROS INTERESADOS</w:t>
      </w:r>
    </w:p>
    <w:p w14:paraId="4A3DFA2D" w14:textId="77777777" w:rsidR="0034087E" w:rsidRPr="0034087E" w:rsidRDefault="0034087E" w:rsidP="0034087E">
      <w:pPr>
        <w:spacing w:line="216" w:lineRule="auto"/>
        <w:ind w:left="1410" w:hanging="1410"/>
        <w:rPr>
          <w:rFonts w:ascii="Arial" w:hAnsi="Arial" w:cs="Arial"/>
          <w:b/>
        </w:rPr>
      </w:pPr>
    </w:p>
    <w:p w14:paraId="46B37DAB" w14:textId="77777777" w:rsidR="0034087E" w:rsidRPr="0034087E" w:rsidRDefault="0034087E" w:rsidP="0034087E">
      <w:pPr>
        <w:pStyle w:val="Sangradetextonormal"/>
        <w:ind w:left="1410" w:hanging="1410"/>
        <w:jc w:val="both"/>
        <w:rPr>
          <w:rFonts w:ascii="Arial" w:hAnsi="Arial" w:cs="Arial"/>
          <w:b/>
        </w:rPr>
      </w:pPr>
      <w:r w:rsidRPr="0034087E">
        <w:rPr>
          <w:rFonts w:ascii="Arial" w:hAnsi="Arial" w:cs="Arial"/>
          <w:b/>
        </w:rPr>
        <w:t>DE:</w:t>
      </w:r>
      <w:r w:rsidRPr="0034087E">
        <w:rPr>
          <w:rFonts w:ascii="Arial" w:hAnsi="Arial" w:cs="Arial"/>
          <w:b/>
        </w:rPr>
        <w:tab/>
        <w:t>DIRECCIÓN EJECUTIVA</w:t>
      </w:r>
    </w:p>
    <w:p w14:paraId="6EE8E37B" w14:textId="77777777" w:rsidR="0034087E" w:rsidRPr="0034087E" w:rsidRDefault="0034087E" w:rsidP="0034087E">
      <w:pPr>
        <w:spacing w:line="216" w:lineRule="auto"/>
        <w:rPr>
          <w:rFonts w:ascii="Arial" w:hAnsi="Arial" w:cs="Arial"/>
        </w:rPr>
      </w:pPr>
    </w:p>
    <w:p w14:paraId="176BEE5C" w14:textId="77777777" w:rsidR="0024601B" w:rsidRDefault="0034087E" w:rsidP="0034087E">
      <w:pPr>
        <w:pStyle w:val="Sangradetextonormal"/>
        <w:ind w:left="1410" w:hanging="1410"/>
        <w:jc w:val="both"/>
        <w:rPr>
          <w:rFonts w:ascii="Arial" w:hAnsi="Arial" w:cs="Arial"/>
          <w:b/>
        </w:rPr>
      </w:pPr>
      <w:r w:rsidRPr="0034087E">
        <w:rPr>
          <w:rFonts w:ascii="Arial" w:hAnsi="Arial" w:cs="Arial"/>
          <w:b/>
        </w:rPr>
        <w:t>ASUNTO:</w:t>
      </w:r>
      <w:r w:rsidRPr="0034087E">
        <w:rPr>
          <w:rFonts w:ascii="Arial" w:hAnsi="Arial" w:cs="Arial"/>
          <w:b/>
        </w:rPr>
        <w:tab/>
        <w:t xml:space="preserve">PUBLICACIÓN CAPACIDADES DE COMPRA ARTÍCULO 9 DE LA RESOLUCIÓN CREG 063 DE 2016. </w:t>
      </w:r>
      <w:r w:rsidR="00A318C1">
        <w:rPr>
          <w:rFonts w:ascii="Arial" w:hAnsi="Arial" w:cs="Arial"/>
          <w:b/>
        </w:rPr>
        <w:tab/>
      </w:r>
    </w:p>
    <w:p w14:paraId="776BE821" w14:textId="4DCE5881" w:rsidR="0034087E" w:rsidRPr="0034087E" w:rsidRDefault="00C82402" w:rsidP="0024601B">
      <w:pPr>
        <w:pStyle w:val="Sangradetextonormal"/>
        <w:ind w:left="1410"/>
        <w:jc w:val="both"/>
        <w:rPr>
          <w:rFonts w:ascii="Arial" w:hAnsi="Arial" w:cs="Arial"/>
          <w:b/>
        </w:rPr>
      </w:pPr>
      <w:r>
        <w:rPr>
          <w:rFonts w:ascii="Arial" w:hAnsi="Arial" w:cs="Arial"/>
          <w:b/>
        </w:rPr>
        <w:t>NOVENO</w:t>
      </w:r>
      <w:r w:rsidR="0034087E" w:rsidRPr="0034087E">
        <w:rPr>
          <w:rFonts w:ascii="Arial" w:hAnsi="Arial" w:cs="Arial"/>
          <w:b/>
        </w:rPr>
        <w:t xml:space="preserve"> PERÍODO DE COMPRA</w:t>
      </w:r>
    </w:p>
    <w:p w14:paraId="01B54356" w14:textId="77777777" w:rsidR="0034087E" w:rsidRPr="0034087E" w:rsidRDefault="0034087E" w:rsidP="0034087E">
      <w:pPr>
        <w:pStyle w:val="Textoindependiente"/>
        <w:spacing w:after="0" w:line="240" w:lineRule="auto"/>
        <w:ind w:left="1410" w:hanging="1410"/>
        <w:rPr>
          <w:rFonts w:cs="Arial"/>
          <w:sz w:val="22"/>
          <w:szCs w:val="22"/>
        </w:rPr>
      </w:pPr>
    </w:p>
    <w:p w14:paraId="21E4EBC6" w14:textId="0EDEA145" w:rsidR="0034087E" w:rsidRPr="0034087E" w:rsidRDefault="0034087E" w:rsidP="0034087E">
      <w:pPr>
        <w:jc w:val="both"/>
        <w:rPr>
          <w:rFonts w:ascii="Arial" w:eastAsia="Times New Roman" w:hAnsi="Arial" w:cs="Arial"/>
          <w:spacing w:val="-5"/>
          <w:sz w:val="20"/>
          <w:szCs w:val="20"/>
        </w:rPr>
      </w:pPr>
      <w:r w:rsidRPr="0034087E">
        <w:rPr>
          <w:rFonts w:ascii="Arial" w:eastAsia="Times New Roman" w:hAnsi="Arial" w:cs="Arial"/>
          <w:spacing w:val="-5"/>
          <w:sz w:val="20"/>
          <w:szCs w:val="20"/>
        </w:rPr>
        <w:t>En ejercicio de sus facultades regulatorias previstas entre otras en la Ley 142 de 1994 y en el artículo 62 de la Ley 1151 de 2007</w:t>
      </w:r>
      <w:r w:rsidRPr="0034087E">
        <w:rPr>
          <w:rFonts w:ascii="Arial" w:eastAsia="Times New Roman" w:hAnsi="Arial" w:cs="Arial"/>
          <w:spacing w:val="-5"/>
          <w:sz w:val="20"/>
          <w:szCs w:val="20"/>
          <w:vertAlign w:val="superscript"/>
        </w:rPr>
        <w:footnoteReference w:id="1"/>
      </w:r>
      <w:r w:rsidRPr="0034087E">
        <w:rPr>
          <w:rFonts w:ascii="Arial" w:eastAsia="Times New Roman" w:hAnsi="Arial" w:cs="Arial"/>
          <w:spacing w:val="-5"/>
          <w:sz w:val="20"/>
          <w:szCs w:val="20"/>
        </w:rPr>
        <w:t>, la Comisión de Regulación de Energía y Gas</w:t>
      </w:r>
      <w:r w:rsidR="003D6B58">
        <w:rPr>
          <w:rFonts w:ascii="Arial" w:eastAsia="Times New Roman" w:hAnsi="Arial" w:cs="Arial"/>
          <w:spacing w:val="-5"/>
          <w:sz w:val="20"/>
          <w:szCs w:val="20"/>
        </w:rPr>
        <w:t>,</w:t>
      </w:r>
      <w:r w:rsidRPr="0034087E">
        <w:rPr>
          <w:rFonts w:ascii="Arial" w:eastAsia="Times New Roman" w:hAnsi="Arial" w:cs="Arial"/>
          <w:spacing w:val="-5"/>
          <w:sz w:val="20"/>
          <w:szCs w:val="20"/>
        </w:rPr>
        <w:t xml:space="preserve"> CREG</w:t>
      </w:r>
      <w:r w:rsidR="003D6B58">
        <w:rPr>
          <w:rFonts w:ascii="Arial" w:eastAsia="Times New Roman" w:hAnsi="Arial" w:cs="Arial"/>
          <w:spacing w:val="-5"/>
          <w:sz w:val="20"/>
          <w:szCs w:val="20"/>
        </w:rPr>
        <w:t>,</w:t>
      </w:r>
      <w:r w:rsidRPr="0034087E">
        <w:rPr>
          <w:rFonts w:ascii="Arial" w:eastAsia="Times New Roman" w:hAnsi="Arial" w:cs="Arial"/>
          <w:spacing w:val="-5"/>
          <w:sz w:val="20"/>
          <w:szCs w:val="20"/>
        </w:rPr>
        <w:t xml:space="preserve"> expidió la Resolución CREG 063 de 2016 “Por la cual se establecen parámetros de conducta y la participación de los agentes dentro de las actividades de comercialización mayorista y distribución de GLP”. </w:t>
      </w:r>
    </w:p>
    <w:p w14:paraId="6635C0E1" w14:textId="77777777" w:rsidR="0034087E" w:rsidRPr="0034087E" w:rsidRDefault="0034087E" w:rsidP="0034087E">
      <w:pPr>
        <w:jc w:val="both"/>
        <w:rPr>
          <w:rFonts w:ascii="Arial" w:eastAsia="Times New Roman" w:hAnsi="Arial" w:cs="Arial"/>
          <w:spacing w:val="-5"/>
          <w:sz w:val="20"/>
          <w:szCs w:val="20"/>
        </w:rPr>
      </w:pPr>
    </w:p>
    <w:p w14:paraId="37356030" w14:textId="0DDD9B7A" w:rsidR="0034087E" w:rsidRPr="0034087E" w:rsidRDefault="0034087E" w:rsidP="0034087E">
      <w:pPr>
        <w:jc w:val="both"/>
        <w:rPr>
          <w:rFonts w:ascii="Arial" w:eastAsia="Times New Roman" w:hAnsi="Arial" w:cs="Arial"/>
          <w:spacing w:val="-5"/>
          <w:sz w:val="20"/>
          <w:szCs w:val="20"/>
        </w:rPr>
      </w:pPr>
      <w:r w:rsidRPr="0034087E">
        <w:rPr>
          <w:rFonts w:ascii="Arial" w:eastAsia="Times New Roman" w:hAnsi="Arial" w:cs="Arial"/>
          <w:spacing w:val="-5"/>
          <w:sz w:val="20"/>
          <w:szCs w:val="20"/>
        </w:rPr>
        <w:t>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w:t>
      </w:r>
      <w:r w:rsidR="003D6B58">
        <w:rPr>
          <w:rFonts w:ascii="Arial" w:eastAsia="Times New Roman" w:hAnsi="Arial" w:cs="Arial"/>
          <w:spacing w:val="-5"/>
          <w:sz w:val="20"/>
          <w:szCs w:val="20"/>
        </w:rPr>
        <w:t>,</w:t>
      </w:r>
      <w:r w:rsidRPr="0034087E">
        <w:rPr>
          <w:rFonts w:ascii="Arial" w:eastAsia="Times New Roman" w:hAnsi="Arial" w:cs="Arial"/>
          <w:spacing w:val="-5"/>
          <w:sz w:val="20"/>
          <w:szCs w:val="20"/>
        </w:rPr>
        <w:t xml:space="preserve"> y el numeral 8 del artículo 8 de la Ley 1437 de 2011.</w:t>
      </w:r>
    </w:p>
    <w:p w14:paraId="15B7F339" w14:textId="77777777" w:rsidR="0034087E" w:rsidRPr="0034087E" w:rsidRDefault="0034087E" w:rsidP="0034087E">
      <w:pPr>
        <w:jc w:val="both"/>
        <w:rPr>
          <w:rFonts w:ascii="Arial" w:eastAsia="Times New Roman" w:hAnsi="Arial" w:cs="Arial"/>
          <w:spacing w:val="-5"/>
          <w:sz w:val="20"/>
          <w:szCs w:val="20"/>
        </w:rPr>
      </w:pPr>
    </w:p>
    <w:p w14:paraId="4CFA86C1" w14:textId="5641CF40" w:rsidR="0034087E" w:rsidRPr="0034087E" w:rsidRDefault="0034087E" w:rsidP="0034087E">
      <w:pPr>
        <w:jc w:val="both"/>
        <w:rPr>
          <w:rFonts w:ascii="Arial" w:eastAsia="Times New Roman" w:hAnsi="Arial" w:cs="Arial"/>
          <w:spacing w:val="-5"/>
          <w:sz w:val="20"/>
          <w:szCs w:val="20"/>
        </w:rPr>
      </w:pPr>
      <w:r w:rsidRPr="0034087E">
        <w:rPr>
          <w:rFonts w:ascii="Arial" w:eastAsia="Times New Roman" w:hAnsi="Arial" w:cs="Arial"/>
          <w:spacing w:val="-5"/>
          <w:sz w:val="20"/>
          <w:szCs w:val="20"/>
        </w:rPr>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w:t>
      </w:r>
      <w:r w:rsidR="003D6B58">
        <w:rPr>
          <w:rFonts w:ascii="Arial" w:eastAsia="Times New Roman" w:hAnsi="Arial" w:cs="Arial"/>
          <w:spacing w:val="-5"/>
          <w:sz w:val="20"/>
          <w:szCs w:val="20"/>
        </w:rPr>
        <w:t>,</w:t>
      </w:r>
      <w:r w:rsidRPr="0034087E">
        <w:rPr>
          <w:rFonts w:ascii="Arial" w:eastAsia="Times New Roman" w:hAnsi="Arial" w:cs="Arial"/>
          <w:spacing w:val="-5"/>
          <w:sz w:val="20"/>
          <w:szCs w:val="20"/>
        </w:rPr>
        <w:t xml:space="preserve"> SUI. En relación con lo anterior, el artículo 8 de la Resolución CREG 063 de 2016, modificado por el artículo 1 de la Resolución CREG 180 de 2017 establece lo siguiente:</w:t>
      </w:r>
    </w:p>
    <w:p w14:paraId="42108B08" w14:textId="77777777" w:rsidR="0034087E" w:rsidRPr="0034087E" w:rsidRDefault="0034087E" w:rsidP="0034087E">
      <w:pPr>
        <w:jc w:val="both"/>
        <w:rPr>
          <w:rFonts w:ascii="Arial" w:eastAsia="Times New Roman" w:hAnsi="Arial" w:cs="Arial"/>
          <w:spacing w:val="-5"/>
          <w:sz w:val="20"/>
          <w:szCs w:val="20"/>
        </w:rPr>
      </w:pPr>
    </w:p>
    <w:p w14:paraId="0FB2817C" w14:textId="77777777" w:rsidR="0034087E" w:rsidRPr="0034087E" w:rsidRDefault="0034087E" w:rsidP="0034087E">
      <w:pPr>
        <w:ind w:left="567"/>
        <w:jc w:val="both"/>
        <w:rPr>
          <w:rFonts w:ascii="Arial" w:eastAsia="Times New Roman" w:hAnsi="Arial" w:cs="Arial"/>
          <w:sz w:val="18"/>
          <w:szCs w:val="18"/>
          <w:lang w:val="es-ES" w:eastAsia="es-ES"/>
        </w:rPr>
      </w:pPr>
      <w:r w:rsidRPr="0034087E">
        <w:rPr>
          <w:rFonts w:ascii="Arial" w:eastAsia="Times New Roman" w:hAnsi="Arial" w:cs="Arial"/>
          <w:b/>
          <w:sz w:val="18"/>
          <w:szCs w:val="18"/>
          <w:lang w:val="es-ES" w:eastAsia="es-ES"/>
        </w:rPr>
        <w:t xml:space="preserve">“Artículo 8. Capacidad de compras. </w:t>
      </w:r>
      <w:r w:rsidRPr="0034087E">
        <w:rPr>
          <w:rFonts w:ascii="Arial" w:eastAsia="Times New Roman" w:hAnsi="Arial" w:cs="Arial"/>
          <w:sz w:val="18"/>
          <w:szCs w:val="18"/>
          <w:lang w:val="es-ES" w:eastAsia="es-ES"/>
        </w:rPr>
        <w:t>La capacidad disponible de compra de los distribuidores que adquieran GLP en el mercado mayorista se determinará así:</w:t>
      </w:r>
    </w:p>
    <w:p w14:paraId="4E1E21C7" w14:textId="77777777" w:rsidR="0034087E" w:rsidRPr="0034087E" w:rsidRDefault="0034087E" w:rsidP="0034087E">
      <w:pPr>
        <w:ind w:left="567"/>
        <w:jc w:val="both"/>
        <w:rPr>
          <w:rFonts w:ascii="Arial" w:eastAsia="Times New Roman" w:hAnsi="Arial" w:cs="Arial"/>
          <w:sz w:val="18"/>
          <w:szCs w:val="18"/>
          <w:lang w:val="es-ES" w:eastAsia="es-ES"/>
        </w:rPr>
      </w:pPr>
    </w:p>
    <w:p w14:paraId="75029DD1" w14:textId="77777777" w:rsidR="0034087E" w:rsidRPr="0034087E" w:rsidRDefault="0034087E" w:rsidP="0034087E">
      <w:pPr>
        <w:ind w:left="1134"/>
        <w:rPr>
          <w:rFonts w:ascii="Arial" w:hAnsi="Arial" w:cs="Arial"/>
          <w:sz w:val="18"/>
          <w:szCs w:val="18"/>
          <w:lang w:val="es-ES" w:eastAsia="es-ES"/>
        </w:rPr>
      </w:pPr>
      <m:oMathPara>
        <m:oMath>
          <m:r>
            <w:rPr>
              <w:rFonts w:ascii="Cambria Math" w:eastAsia="Times New Roman" w:hAnsi="Cambria Math" w:cs="Arial"/>
              <w:sz w:val="18"/>
              <w:szCs w:val="18"/>
              <w:lang w:val="es-ES" w:eastAsia="es-ES"/>
            </w:rPr>
            <w:lastRenderedPageBreak/>
            <m:t>C</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D</m:t>
              </m:r>
            </m:e>
            <m:sub>
              <m:r>
                <w:rPr>
                  <w:rFonts w:ascii="Cambria Math" w:eastAsia="Times New Roman" w:hAnsi="Cambria Math" w:cs="Arial"/>
                  <w:sz w:val="18"/>
                  <w:szCs w:val="18"/>
                  <w:lang w:val="es-ES" w:eastAsia="es-ES"/>
                </w:rPr>
                <m:t>i,t,m</m:t>
              </m:r>
            </m:sub>
          </m:sSub>
          <m:r>
            <w:rPr>
              <w:rFonts w:ascii="Cambria Math" w:eastAsia="Times New Roman" w:hAnsi="Cambria Math" w:cs="Arial"/>
              <w:sz w:val="18"/>
              <w:szCs w:val="18"/>
              <w:lang w:val="es-ES" w:eastAsia="es-ES"/>
            </w:rPr>
            <m:t>=</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CC</m:t>
              </m:r>
            </m:e>
            <m:sub>
              <m:r>
                <w:rPr>
                  <w:rFonts w:ascii="Cambria Math" w:eastAsia="Times New Roman" w:hAnsi="Cambria Math" w:cs="Arial"/>
                  <w:sz w:val="18"/>
                  <w:szCs w:val="18"/>
                  <w:lang w:val="es-ES" w:eastAsia="es-ES"/>
                </w:rPr>
                <m:t>i,t</m:t>
              </m:r>
            </m:sub>
          </m:sSub>
          <m:r>
            <w:rPr>
              <w:rFonts w:ascii="Cambria Math" w:eastAsia="Times New Roman" w:hAnsi="Cambria Math" w:cs="Arial"/>
              <w:sz w:val="18"/>
              <w:szCs w:val="18"/>
              <w:lang w:val="es-ES" w:eastAsia="es-ES"/>
            </w:rPr>
            <m:t>-</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Q</m:t>
              </m:r>
            </m:e>
            <m:sub>
              <m:r>
                <w:rPr>
                  <w:rFonts w:ascii="Cambria Math" w:eastAsia="Times New Roman" w:hAnsi="Cambria Math" w:cs="Arial"/>
                  <w:sz w:val="18"/>
                  <w:szCs w:val="18"/>
                  <w:lang w:val="es-ES" w:eastAsia="es-ES"/>
                </w:rPr>
                <m:t>i,t,m</m:t>
              </m:r>
            </m:sub>
          </m:sSub>
          <m:r>
            <w:rPr>
              <w:rFonts w:ascii="Cambria Math" w:eastAsia="Times New Roman" w:hAnsi="Cambria Math" w:cs="Arial"/>
              <w:sz w:val="18"/>
              <w:szCs w:val="18"/>
              <w:lang w:val="es-ES" w:eastAsia="es-ES"/>
            </w:rPr>
            <m:t>-max</m:t>
          </m:r>
          <m:d>
            <m:dPr>
              <m:begChr m:val="{"/>
              <m:endChr m:val="}"/>
              <m:ctrlPr>
                <w:rPr>
                  <w:rFonts w:ascii="Cambria Math" w:eastAsia="Times New Roman" w:hAnsi="Cambria Math" w:cs="Arial"/>
                  <w:i/>
                  <w:sz w:val="18"/>
                  <w:szCs w:val="18"/>
                  <w:lang w:val="es-ES" w:eastAsia="es-ES"/>
                </w:rPr>
              </m:ctrlPr>
            </m:dPr>
            <m:e>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QT</m:t>
                  </m:r>
                </m:e>
                <m:sub>
                  <m:r>
                    <w:rPr>
                      <w:rFonts w:ascii="Cambria Math" w:eastAsia="Times New Roman" w:hAnsi="Cambria Math" w:cs="Arial"/>
                      <w:sz w:val="18"/>
                      <w:szCs w:val="18"/>
                      <w:lang w:val="es-ES" w:eastAsia="es-ES"/>
                    </w:rPr>
                    <m:t>i,t-1</m:t>
                  </m:r>
                </m:sub>
              </m:sSub>
              <m:r>
                <w:rPr>
                  <w:rFonts w:ascii="Cambria Math" w:eastAsia="Times New Roman" w:hAnsi="Cambria Math" w:cs="Arial"/>
                  <w:sz w:val="18"/>
                  <w:szCs w:val="18"/>
                  <w:lang w:val="es-ES" w:eastAsia="es-ES"/>
                </w:rPr>
                <m:t>-</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CC</m:t>
                  </m:r>
                </m:e>
                <m:sub>
                  <m:r>
                    <w:rPr>
                      <w:rFonts w:ascii="Cambria Math" w:eastAsia="Times New Roman" w:hAnsi="Cambria Math" w:cs="Arial"/>
                      <w:sz w:val="18"/>
                      <w:szCs w:val="18"/>
                      <w:lang w:val="es-ES" w:eastAsia="es-ES"/>
                    </w:rPr>
                    <m:t>i,t-1</m:t>
                  </m:r>
                </m:sub>
              </m:sSub>
              <m:r>
                <w:rPr>
                  <w:rFonts w:ascii="Cambria Math" w:eastAsia="Times New Roman" w:hAnsi="Cambria Math" w:cs="Arial"/>
                  <w:sz w:val="18"/>
                  <w:szCs w:val="18"/>
                  <w:lang w:val="es-ES" w:eastAsia="es-ES"/>
                </w:rPr>
                <m:t xml:space="preserve">,0 </m:t>
              </m:r>
            </m:e>
          </m:d>
        </m:oMath>
      </m:oMathPara>
    </w:p>
    <w:p w14:paraId="006D428E" w14:textId="77777777" w:rsidR="0034087E" w:rsidRPr="0034087E" w:rsidRDefault="0034087E" w:rsidP="0034087E">
      <w:pPr>
        <w:ind w:left="567"/>
        <w:rPr>
          <w:rFonts w:ascii="Arial" w:hAnsi="Arial" w:cs="Arial"/>
          <w:sz w:val="18"/>
          <w:szCs w:val="18"/>
          <w:lang w:val="es-ES" w:eastAsia="es-ES"/>
        </w:rPr>
      </w:pPr>
      <w:r w:rsidRPr="0034087E">
        <w:rPr>
          <w:rFonts w:ascii="Arial" w:hAnsi="Arial" w:cs="Arial"/>
          <w:sz w:val="18"/>
          <w:szCs w:val="18"/>
          <w:lang w:val="es-ES" w:eastAsia="es-ES"/>
        </w:rPr>
        <w:t>donde,</w:t>
      </w:r>
    </w:p>
    <w:p w14:paraId="7A9EFD27" w14:textId="77777777" w:rsidR="0034087E" w:rsidRPr="0034087E" w:rsidRDefault="0034087E" w:rsidP="0034087E">
      <w:pPr>
        <w:ind w:left="567"/>
        <w:rPr>
          <w:rFonts w:ascii="Arial" w:hAnsi="Arial" w:cs="Arial"/>
          <w:sz w:val="18"/>
          <w:szCs w:val="18"/>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6507"/>
      </w:tblGrid>
      <w:tr w:rsidR="0034087E" w:rsidRPr="0034087E" w14:paraId="0CD906E6" w14:textId="77777777" w:rsidTr="0034087E">
        <w:tc>
          <w:tcPr>
            <w:tcW w:w="1242" w:type="dxa"/>
          </w:tcPr>
          <w:p w14:paraId="4062AA85" w14:textId="77777777" w:rsidR="0034087E" w:rsidRPr="0034087E" w:rsidRDefault="0034087E" w:rsidP="0034087E">
            <w:pPr>
              <w:rPr>
                <w:rFonts w:ascii="Arial" w:hAnsi="Arial" w:cs="Arial"/>
                <w:sz w:val="18"/>
                <w:szCs w:val="18"/>
                <w:lang w:val="es-ES" w:eastAsia="es-ES"/>
              </w:rPr>
            </w:pPr>
            <m:oMath>
              <m:r>
                <w:rPr>
                  <w:rFonts w:ascii="Cambria Math" w:hAnsi="Cambria Math" w:cs="Arial"/>
                  <w:sz w:val="18"/>
                  <w:szCs w:val="18"/>
                  <w:lang w:val="es-ES" w:eastAsia="es-ES"/>
                </w:rPr>
                <m:t>C</m:t>
              </m:r>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D</m:t>
                  </m:r>
                </m:e>
                <m:sub>
                  <m:r>
                    <w:rPr>
                      <w:rFonts w:ascii="Cambria Math" w:hAnsi="Cambria Math" w:cs="Arial"/>
                      <w:sz w:val="18"/>
                      <w:szCs w:val="18"/>
                      <w:lang w:val="es-ES" w:eastAsia="es-ES"/>
                    </w:rPr>
                    <m:t>i,t,m</m:t>
                  </m:r>
                </m:sub>
              </m:sSub>
            </m:oMath>
            <w:r w:rsidRPr="0034087E">
              <w:rPr>
                <w:rFonts w:ascii="Arial" w:hAnsi="Arial" w:cs="Arial"/>
                <w:sz w:val="18"/>
                <w:szCs w:val="18"/>
                <w:lang w:val="es-ES" w:eastAsia="es-ES"/>
              </w:rPr>
              <w:t>:</w:t>
            </w:r>
          </w:p>
        </w:tc>
        <w:tc>
          <w:tcPr>
            <w:tcW w:w="7088" w:type="dxa"/>
          </w:tcPr>
          <w:p w14:paraId="24347E2B"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 xml:space="preserve">Capacidad disponible de compra del distribuidor </w:t>
            </w:r>
            <w:r w:rsidRPr="0034087E">
              <w:rPr>
                <w:rFonts w:ascii="Arial" w:hAnsi="Arial" w:cs="Arial"/>
                <w:i/>
                <w:sz w:val="18"/>
                <w:szCs w:val="18"/>
                <w:lang w:val="es-ES" w:eastAsia="es-ES"/>
              </w:rPr>
              <w:t>i</w:t>
            </w:r>
            <w:r w:rsidRPr="0034087E">
              <w:rPr>
                <w:rFonts w:ascii="Arial" w:hAnsi="Arial" w:cs="Arial"/>
                <w:sz w:val="18"/>
                <w:szCs w:val="18"/>
                <w:lang w:val="es-ES" w:eastAsia="es-ES"/>
              </w:rPr>
              <w:t xml:space="preserve">, para el periodo de compra </w:t>
            </w:r>
            <w:r w:rsidRPr="0034087E">
              <w:rPr>
                <w:rFonts w:ascii="Arial" w:hAnsi="Arial" w:cs="Arial"/>
                <w:i/>
                <w:sz w:val="18"/>
                <w:szCs w:val="18"/>
                <w:lang w:val="es-ES" w:eastAsia="es-ES"/>
              </w:rPr>
              <w:t>t</w:t>
            </w:r>
            <w:r w:rsidRPr="0034087E">
              <w:rPr>
                <w:rFonts w:ascii="Arial" w:hAnsi="Arial" w:cs="Arial"/>
                <w:sz w:val="18"/>
                <w:szCs w:val="18"/>
                <w:lang w:val="es-ES" w:eastAsia="es-ES"/>
              </w:rPr>
              <w:t xml:space="preserve">, calculada para el mes </w:t>
            </w:r>
            <w:r w:rsidRPr="0034087E">
              <w:rPr>
                <w:rFonts w:ascii="Arial" w:hAnsi="Arial" w:cs="Arial"/>
                <w:i/>
                <w:sz w:val="18"/>
                <w:szCs w:val="18"/>
                <w:lang w:val="es-ES" w:eastAsia="es-ES"/>
              </w:rPr>
              <w:t>m</w:t>
            </w:r>
            <w:r w:rsidRPr="0034087E">
              <w:rPr>
                <w:rFonts w:ascii="Arial" w:hAnsi="Arial" w:cs="Arial"/>
                <w:sz w:val="18"/>
                <w:szCs w:val="18"/>
                <w:lang w:val="es-ES" w:eastAsia="es-ES"/>
              </w:rPr>
              <w:t>, medida en kilogramos.</w:t>
            </w:r>
          </w:p>
        </w:tc>
      </w:tr>
      <w:tr w:rsidR="0034087E" w:rsidRPr="0034087E" w14:paraId="47489651" w14:textId="77777777" w:rsidTr="0034087E">
        <w:tc>
          <w:tcPr>
            <w:tcW w:w="1242" w:type="dxa"/>
          </w:tcPr>
          <w:p w14:paraId="7CEA5FC5" w14:textId="77777777" w:rsidR="0034087E" w:rsidRPr="0034087E" w:rsidRDefault="005261DA" w:rsidP="0034087E">
            <w:pPr>
              <w:rPr>
                <w:rFonts w:ascii="Arial" w:hAnsi="Arial" w:cs="Arial"/>
                <w:sz w:val="18"/>
                <w:szCs w:val="18"/>
                <w:lang w:val="es-ES" w:eastAsia="es-ES"/>
              </w:rPr>
            </w:pPr>
            <m:oMath>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CC</m:t>
                  </m:r>
                </m:e>
                <m:sub>
                  <m:r>
                    <w:rPr>
                      <w:rFonts w:ascii="Cambria Math" w:hAnsi="Cambria Math" w:cs="Arial"/>
                      <w:sz w:val="18"/>
                      <w:szCs w:val="18"/>
                      <w:lang w:val="es-ES" w:eastAsia="es-ES"/>
                    </w:rPr>
                    <m:t>i,t</m:t>
                  </m:r>
                </m:sub>
              </m:sSub>
            </m:oMath>
            <w:r w:rsidR="0034087E" w:rsidRPr="0034087E">
              <w:rPr>
                <w:rFonts w:ascii="Arial" w:hAnsi="Arial" w:cs="Arial"/>
                <w:sz w:val="18"/>
                <w:szCs w:val="18"/>
                <w:lang w:val="es-ES" w:eastAsia="es-ES"/>
              </w:rPr>
              <w:t>:</w:t>
            </w:r>
          </w:p>
        </w:tc>
        <w:tc>
          <w:tcPr>
            <w:tcW w:w="7088" w:type="dxa"/>
          </w:tcPr>
          <w:p w14:paraId="46690DF0" w14:textId="77777777" w:rsidR="0034087E" w:rsidRPr="0034087E" w:rsidRDefault="0034087E" w:rsidP="0034087E">
            <w:pPr>
              <w:ind w:left="34" w:firstLine="4"/>
              <w:jc w:val="both"/>
              <w:rPr>
                <w:rFonts w:ascii="Arial" w:hAnsi="Arial" w:cs="Arial"/>
                <w:sz w:val="18"/>
                <w:szCs w:val="18"/>
                <w:lang w:val="es-ES" w:eastAsia="es-ES"/>
              </w:rPr>
            </w:pPr>
            <w:r w:rsidRPr="0034087E">
              <w:rPr>
                <w:rFonts w:ascii="Arial" w:hAnsi="Arial" w:cs="Arial"/>
                <w:sz w:val="18"/>
                <w:szCs w:val="18"/>
                <w:lang w:val="es-ES" w:eastAsia="es-ES"/>
              </w:rPr>
              <w:t>Capacidad de compra del distribuidor i, para el periodo de compra t, medida en kilogramos.</w:t>
            </w:r>
          </w:p>
        </w:tc>
      </w:tr>
      <w:tr w:rsidR="0034087E" w:rsidRPr="0034087E" w14:paraId="1B15C6FE" w14:textId="77777777" w:rsidTr="0034087E">
        <w:tc>
          <w:tcPr>
            <w:tcW w:w="1242" w:type="dxa"/>
          </w:tcPr>
          <w:p w14:paraId="46BB6B01" w14:textId="77777777" w:rsidR="0034087E" w:rsidRPr="0034087E" w:rsidRDefault="005261DA" w:rsidP="0034087E">
            <w:pPr>
              <w:rPr>
                <w:rFonts w:ascii="Arial" w:hAnsi="Arial" w:cs="Arial"/>
                <w:sz w:val="18"/>
                <w:szCs w:val="18"/>
                <w:lang w:val="es-ES" w:eastAsia="es-ES"/>
              </w:rPr>
            </w:pPr>
            <m:oMath>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Q</m:t>
                  </m:r>
                </m:e>
                <m:sub>
                  <m:r>
                    <w:rPr>
                      <w:rFonts w:ascii="Cambria Math" w:hAnsi="Cambria Math" w:cs="Arial"/>
                      <w:sz w:val="18"/>
                      <w:szCs w:val="18"/>
                      <w:lang w:val="es-ES" w:eastAsia="es-ES"/>
                    </w:rPr>
                    <m:t>i,t,m</m:t>
                  </m:r>
                </m:sub>
              </m:sSub>
            </m:oMath>
            <w:r w:rsidR="0034087E" w:rsidRPr="0034087E">
              <w:rPr>
                <w:rFonts w:ascii="Arial" w:hAnsi="Arial" w:cs="Arial"/>
                <w:sz w:val="18"/>
                <w:szCs w:val="18"/>
                <w:lang w:val="es-ES" w:eastAsia="es-ES"/>
              </w:rPr>
              <w:t>:</w:t>
            </w:r>
          </w:p>
        </w:tc>
        <w:tc>
          <w:tcPr>
            <w:tcW w:w="7088" w:type="dxa"/>
          </w:tcPr>
          <w:p w14:paraId="1F04ED71"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34087E" w:rsidRPr="0034087E" w14:paraId="34FC4C43" w14:textId="77777777" w:rsidTr="0034087E">
        <w:tc>
          <w:tcPr>
            <w:tcW w:w="1242" w:type="dxa"/>
          </w:tcPr>
          <w:p w14:paraId="2D7FC7EE" w14:textId="77777777" w:rsidR="0034087E" w:rsidRPr="0034087E" w:rsidRDefault="005261DA" w:rsidP="0034087E">
            <w:pPr>
              <w:rPr>
                <w:rFonts w:ascii="Arial" w:hAnsi="Arial" w:cs="Arial"/>
                <w:sz w:val="18"/>
                <w:szCs w:val="18"/>
                <w:lang w:val="es-ES" w:eastAsia="es-ES"/>
              </w:rPr>
            </w:pPr>
            <m:oMath>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QT</m:t>
                  </m:r>
                </m:e>
                <m:sub>
                  <m:r>
                    <w:rPr>
                      <w:rFonts w:ascii="Cambria Math" w:hAnsi="Cambria Math" w:cs="Arial"/>
                      <w:sz w:val="18"/>
                      <w:szCs w:val="18"/>
                      <w:lang w:val="es-ES" w:eastAsia="es-ES"/>
                    </w:rPr>
                    <m:t>i,t-1</m:t>
                  </m:r>
                </m:sub>
              </m:sSub>
            </m:oMath>
            <w:r w:rsidR="0034087E" w:rsidRPr="0034087E">
              <w:rPr>
                <w:rFonts w:ascii="Arial" w:hAnsi="Arial" w:cs="Arial"/>
                <w:sz w:val="18"/>
                <w:szCs w:val="18"/>
                <w:lang w:val="es-ES" w:eastAsia="es-ES"/>
              </w:rPr>
              <w:t>:</w:t>
            </w:r>
          </w:p>
        </w:tc>
        <w:tc>
          <w:tcPr>
            <w:tcW w:w="7088" w:type="dxa"/>
          </w:tcPr>
          <w:p w14:paraId="1A25BE25"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QT</m:t>
                  </m:r>
                </m:e>
                <m:sub>
                  <m:r>
                    <w:rPr>
                      <w:rFonts w:ascii="Cambria Math" w:hAnsi="Cambria Math" w:cs="Arial"/>
                      <w:sz w:val="18"/>
                      <w:szCs w:val="18"/>
                      <w:lang w:val="es-ES" w:eastAsia="es-ES"/>
                    </w:rPr>
                    <m:t>i,t-1</m:t>
                  </m:r>
                </m:sub>
              </m:sSub>
            </m:oMath>
            <w:r w:rsidRPr="0034087E">
              <w:rPr>
                <w:rFonts w:ascii="Arial" w:hAnsi="Arial" w:cs="Arial"/>
                <w:sz w:val="18"/>
                <w:szCs w:val="18"/>
                <w:lang w:val="es-ES" w:eastAsia="es-ES"/>
              </w:rPr>
              <w:t xml:space="preserve"> será igual a cero (0).</w:t>
            </w:r>
          </w:p>
        </w:tc>
      </w:tr>
      <w:tr w:rsidR="0034087E" w:rsidRPr="0034087E" w14:paraId="09D9E011" w14:textId="77777777" w:rsidTr="0034087E">
        <w:tc>
          <w:tcPr>
            <w:tcW w:w="1242" w:type="dxa"/>
          </w:tcPr>
          <w:p w14:paraId="4E06705E" w14:textId="77777777" w:rsidR="0034087E" w:rsidRPr="0034087E" w:rsidRDefault="0034087E" w:rsidP="0034087E">
            <w:pPr>
              <w:rPr>
                <w:rFonts w:ascii="Arial" w:hAnsi="Arial" w:cs="Arial"/>
                <w:sz w:val="18"/>
                <w:szCs w:val="18"/>
                <w:lang w:val="es-ES" w:eastAsia="es-ES"/>
              </w:rPr>
            </w:pPr>
            <m:oMath>
              <m:r>
                <w:rPr>
                  <w:rFonts w:ascii="Cambria Math" w:hAnsi="Cambria Math" w:cs="Arial"/>
                  <w:sz w:val="18"/>
                  <w:szCs w:val="18"/>
                  <w:lang w:val="es-ES" w:eastAsia="es-ES"/>
                </w:rPr>
                <m:t>m</m:t>
              </m:r>
            </m:oMath>
            <w:r w:rsidRPr="0034087E">
              <w:rPr>
                <w:rFonts w:ascii="Arial" w:hAnsi="Arial" w:cs="Arial"/>
                <w:sz w:val="18"/>
                <w:szCs w:val="18"/>
                <w:lang w:val="es-ES" w:eastAsia="es-ES"/>
              </w:rPr>
              <w:t>:</w:t>
            </w:r>
          </w:p>
        </w:tc>
        <w:tc>
          <w:tcPr>
            <w:tcW w:w="7088" w:type="dxa"/>
          </w:tcPr>
          <w:p w14:paraId="6811B1AB"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Mes de cálculo de la capacidad disponible de compra.</w:t>
            </w:r>
          </w:p>
        </w:tc>
      </w:tr>
      <w:tr w:rsidR="0034087E" w:rsidRPr="0034087E" w14:paraId="007D4256" w14:textId="77777777" w:rsidTr="0034087E">
        <w:tc>
          <w:tcPr>
            <w:tcW w:w="1242" w:type="dxa"/>
          </w:tcPr>
          <w:p w14:paraId="067591B8" w14:textId="77777777" w:rsidR="0034087E" w:rsidRPr="0034087E" w:rsidRDefault="0034087E" w:rsidP="0034087E">
            <w:pPr>
              <w:rPr>
                <w:rFonts w:ascii="Arial" w:hAnsi="Arial" w:cs="Arial"/>
                <w:sz w:val="18"/>
                <w:szCs w:val="18"/>
                <w:lang w:val="es-ES" w:eastAsia="es-ES"/>
              </w:rPr>
            </w:pPr>
            <m:oMath>
              <m:r>
                <w:rPr>
                  <w:rFonts w:ascii="Cambria Math" w:hAnsi="Cambria Math" w:cs="Arial"/>
                  <w:sz w:val="18"/>
                  <w:szCs w:val="18"/>
                  <w:lang w:val="es-ES" w:eastAsia="es-ES"/>
                </w:rPr>
                <m:t>t</m:t>
              </m:r>
            </m:oMath>
            <w:r w:rsidRPr="0034087E">
              <w:rPr>
                <w:rFonts w:ascii="Arial" w:hAnsi="Arial" w:cs="Arial"/>
                <w:sz w:val="18"/>
                <w:szCs w:val="18"/>
                <w:lang w:val="es-ES" w:eastAsia="es-ES"/>
              </w:rPr>
              <w:t>:</w:t>
            </w:r>
          </w:p>
        </w:tc>
        <w:tc>
          <w:tcPr>
            <w:tcW w:w="7088" w:type="dxa"/>
          </w:tcPr>
          <w:p w14:paraId="6763F364"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 xml:space="preserve">Corresponde al periodo de compra siguiente a la fecha de cálculo del </w:t>
            </w:r>
            <m:oMath>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CC</m:t>
                  </m:r>
                </m:e>
                <m:sub>
                  <m:r>
                    <w:rPr>
                      <w:rFonts w:ascii="Cambria Math" w:hAnsi="Cambria Math" w:cs="Arial"/>
                      <w:sz w:val="18"/>
                      <w:szCs w:val="18"/>
                      <w:lang w:val="es-ES" w:eastAsia="es-ES"/>
                    </w:rPr>
                    <m:t>i,t</m:t>
                  </m:r>
                </m:sub>
              </m:sSub>
            </m:oMath>
            <w:r w:rsidRPr="0034087E">
              <w:rPr>
                <w:rFonts w:ascii="Arial" w:hAnsi="Arial" w:cs="Arial"/>
                <w:sz w:val="18"/>
                <w:szCs w:val="18"/>
                <w:lang w:val="es-ES" w:eastAsia="es-ES"/>
              </w:rPr>
              <w:t>.</w:t>
            </w:r>
          </w:p>
        </w:tc>
      </w:tr>
    </w:tbl>
    <w:p w14:paraId="60668C25" w14:textId="77777777" w:rsidR="0034087E" w:rsidRPr="0034087E" w:rsidRDefault="0034087E" w:rsidP="0034087E">
      <w:pPr>
        <w:ind w:left="1134"/>
        <w:rPr>
          <w:rFonts w:ascii="Arial" w:hAnsi="Arial" w:cs="Arial"/>
          <w:sz w:val="18"/>
          <w:szCs w:val="18"/>
          <w:lang w:val="es-ES" w:eastAsia="es-ES"/>
        </w:rPr>
      </w:pPr>
    </w:p>
    <w:p w14:paraId="591B5C68" w14:textId="77777777" w:rsidR="0034087E" w:rsidRPr="0034087E" w:rsidRDefault="0034087E" w:rsidP="0034087E">
      <w:pPr>
        <w:ind w:left="567"/>
        <w:jc w:val="both"/>
        <w:rPr>
          <w:rFonts w:ascii="Arial" w:hAnsi="Arial" w:cs="Arial"/>
          <w:b/>
          <w:sz w:val="18"/>
          <w:szCs w:val="18"/>
          <w:lang w:val="es-ES" w:eastAsia="es-ES"/>
        </w:rPr>
      </w:pPr>
      <w:r w:rsidRPr="0034087E">
        <w:rPr>
          <w:rFonts w:ascii="Arial" w:hAnsi="Arial" w:cs="Arial"/>
          <w:b/>
          <w:sz w:val="18"/>
          <w:szCs w:val="18"/>
          <w:lang w:val="es-ES" w:eastAsia="es-ES"/>
        </w:rPr>
        <w:t xml:space="preserve">Parágrafo 1. </w:t>
      </w:r>
      <w:r w:rsidRPr="0034087E">
        <w:rPr>
          <w:rFonts w:ascii="Arial" w:hAnsi="Arial" w:cs="Arial"/>
          <w:sz w:val="18"/>
          <w:szCs w:val="18"/>
          <w:lang w:val="es-ES" w:eastAsia="es-ES"/>
        </w:rPr>
        <w:t xml:space="preserve">La capacidad de compra de cada distribuidor se calculará de acuerdo con la siguiente fórmula. </w:t>
      </w:r>
      <w:r w:rsidRPr="0034087E">
        <w:rPr>
          <w:rFonts w:ascii="Arial" w:hAnsi="Arial" w:cs="Arial"/>
          <w:b/>
          <w:sz w:val="18"/>
          <w:szCs w:val="18"/>
          <w:lang w:val="es-ES" w:eastAsia="es-ES"/>
        </w:rPr>
        <w:t xml:space="preserve"> </w:t>
      </w:r>
    </w:p>
    <w:p w14:paraId="09B4D57B" w14:textId="77777777" w:rsidR="0034087E" w:rsidRPr="0034087E" w:rsidRDefault="0034087E" w:rsidP="0034087E">
      <w:pPr>
        <w:ind w:left="1272" w:hanging="705"/>
        <w:jc w:val="both"/>
        <w:rPr>
          <w:rFonts w:ascii="Arial" w:eastAsia="Times New Roman" w:hAnsi="Arial" w:cs="Arial"/>
          <w:sz w:val="18"/>
          <w:szCs w:val="18"/>
          <w:lang w:val="es-ES" w:eastAsia="es-ES"/>
        </w:rPr>
      </w:pPr>
    </w:p>
    <w:p w14:paraId="796E7F09" w14:textId="77777777" w:rsidR="0034087E" w:rsidRPr="0034087E" w:rsidRDefault="005261DA" w:rsidP="0034087E">
      <w:pPr>
        <w:ind w:left="1272" w:hanging="705"/>
        <w:jc w:val="both"/>
        <w:rPr>
          <w:rFonts w:ascii="Arial" w:eastAsia="Times New Roman" w:hAnsi="Arial" w:cs="Arial"/>
          <w:sz w:val="18"/>
          <w:szCs w:val="18"/>
          <w:lang w:val="es-ES" w:eastAsia="es-ES"/>
        </w:rPr>
      </w:pPr>
      <m:oMathPara>
        <m:oMath>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CC</m:t>
              </m:r>
            </m:e>
            <m:sub>
              <m:r>
                <w:rPr>
                  <w:rFonts w:ascii="Cambria Math" w:eastAsia="Times New Roman" w:hAnsi="Cambria Math" w:cs="Arial"/>
                  <w:sz w:val="18"/>
                  <w:szCs w:val="18"/>
                  <w:lang w:val="es-ES" w:eastAsia="es-ES"/>
                </w:rPr>
                <m:t>i,t</m:t>
              </m:r>
            </m:sub>
          </m:sSub>
          <m:r>
            <w:rPr>
              <w:rFonts w:ascii="Cambria Math" w:eastAsia="Times New Roman" w:hAnsi="Cambria Math" w:cs="Arial"/>
              <w:sz w:val="18"/>
              <w:szCs w:val="18"/>
              <w:lang w:val="es-ES" w:eastAsia="es-ES"/>
            </w:rPr>
            <m:t>=</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F</m:t>
              </m:r>
            </m:e>
            <m:sub>
              <m:r>
                <w:rPr>
                  <w:rFonts w:ascii="Cambria Math" w:eastAsia="Times New Roman" w:hAnsi="Cambria Math" w:cs="Arial"/>
                  <w:sz w:val="18"/>
                  <w:szCs w:val="18"/>
                  <w:lang w:val="es-ES" w:eastAsia="es-ES"/>
                </w:rPr>
                <m:t>E,t</m:t>
              </m:r>
            </m:sub>
          </m:sSub>
          <m:r>
            <w:rPr>
              <w:rFonts w:ascii="Cambria Math" w:eastAsia="Times New Roman" w:hAnsi="Cambria Math" w:cs="Arial"/>
              <w:sz w:val="18"/>
              <w:szCs w:val="18"/>
              <w:lang w:val="es-ES" w:eastAsia="es-ES"/>
            </w:rPr>
            <m:t>*</m:t>
          </m:r>
          <m:d>
            <m:dPr>
              <m:ctrlPr>
                <w:rPr>
                  <w:rFonts w:ascii="Cambria Math" w:eastAsia="Times New Roman" w:hAnsi="Cambria Math" w:cs="Arial"/>
                  <w:i/>
                  <w:sz w:val="18"/>
                  <w:szCs w:val="18"/>
                  <w:lang w:val="es-ES" w:eastAsia="es-ES"/>
                </w:rPr>
              </m:ctrlPr>
            </m:dPr>
            <m:e>
              <m:r>
                <w:rPr>
                  <w:rFonts w:ascii="Cambria Math" w:eastAsia="Times New Roman" w:hAnsi="Cambria Math" w:cs="Arial"/>
                  <w:sz w:val="18"/>
                  <w:szCs w:val="18"/>
                  <w:lang w:val="es-ES" w:eastAsia="es-ES"/>
                </w:rPr>
                <m:t>Cap.ci</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l</m:t>
                  </m:r>
                </m:e>
                <m:sub>
                  <m:r>
                    <w:rPr>
                      <w:rFonts w:ascii="Cambria Math" w:eastAsia="Times New Roman" w:hAnsi="Cambria Math" w:cs="Arial"/>
                      <w:sz w:val="18"/>
                      <w:szCs w:val="18"/>
                      <w:lang w:val="es-ES" w:eastAsia="es-ES"/>
                    </w:rPr>
                    <m:t>i,t</m:t>
                  </m:r>
                </m:sub>
              </m:sSub>
              <m:r>
                <w:rPr>
                  <w:rFonts w:ascii="Cambria Math" w:eastAsia="Times New Roman" w:hAnsi="Cambria Math" w:cs="Arial"/>
                  <w:sz w:val="18"/>
                  <w:szCs w:val="18"/>
                  <w:lang w:val="es-ES" w:eastAsia="es-ES"/>
                </w:rPr>
                <m:t>+0,85*Cap.T</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E</m:t>
                  </m:r>
                </m:e>
                <m:sub>
                  <m:r>
                    <w:rPr>
                      <w:rFonts w:ascii="Cambria Math" w:eastAsia="Times New Roman" w:hAnsi="Cambria Math" w:cs="Arial"/>
                      <w:sz w:val="18"/>
                      <w:szCs w:val="18"/>
                      <w:lang w:val="es-ES" w:eastAsia="es-ES"/>
                    </w:rPr>
                    <m:t>i,t</m:t>
                  </m:r>
                </m:sub>
              </m:sSub>
            </m:e>
          </m:d>
        </m:oMath>
      </m:oMathPara>
    </w:p>
    <w:p w14:paraId="1F0C74AE" w14:textId="77777777" w:rsidR="0034087E" w:rsidRPr="0034087E" w:rsidRDefault="0034087E" w:rsidP="0034087E">
      <w:pPr>
        <w:ind w:left="1272" w:hanging="705"/>
        <w:jc w:val="both"/>
        <w:rPr>
          <w:rFonts w:ascii="Arial" w:eastAsia="Times New Roman" w:hAnsi="Arial" w:cs="Arial"/>
          <w:sz w:val="18"/>
          <w:szCs w:val="18"/>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324"/>
      </w:tblGrid>
      <w:tr w:rsidR="0034087E" w:rsidRPr="0034087E" w14:paraId="0DAB06C5" w14:textId="77777777" w:rsidTr="0034087E">
        <w:tc>
          <w:tcPr>
            <w:tcW w:w="1271" w:type="dxa"/>
          </w:tcPr>
          <w:p w14:paraId="3BE50D27" w14:textId="77777777" w:rsidR="0034087E" w:rsidRPr="0034087E" w:rsidRDefault="005261DA" w:rsidP="0034087E">
            <w:pPr>
              <w:jc w:val="both"/>
              <w:rPr>
                <w:rFonts w:ascii="Arial" w:hAnsi="Arial" w:cs="Arial"/>
                <w:sz w:val="18"/>
                <w:szCs w:val="18"/>
                <w:lang w:val="es-ES" w:eastAsia="es-ES"/>
              </w:rPr>
            </w:pPr>
            <m:oMath>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CC</m:t>
                  </m:r>
                </m:e>
                <m:sub>
                  <m:r>
                    <w:rPr>
                      <w:rFonts w:ascii="Cambria Math" w:hAnsi="Cambria Math" w:cs="Arial"/>
                      <w:sz w:val="18"/>
                      <w:szCs w:val="18"/>
                      <w:lang w:val="es-ES" w:eastAsia="es-ES"/>
                    </w:rPr>
                    <m:t>i,t</m:t>
                  </m:r>
                </m:sub>
              </m:sSub>
            </m:oMath>
            <w:r w:rsidR="0034087E" w:rsidRPr="0034087E">
              <w:rPr>
                <w:rFonts w:ascii="Arial" w:hAnsi="Arial" w:cs="Arial"/>
                <w:sz w:val="18"/>
                <w:szCs w:val="18"/>
                <w:lang w:val="es-ES" w:eastAsia="es-ES"/>
              </w:rPr>
              <w:t>:</w:t>
            </w:r>
          </w:p>
        </w:tc>
        <w:tc>
          <w:tcPr>
            <w:tcW w:w="6921" w:type="dxa"/>
          </w:tcPr>
          <w:p w14:paraId="5D36781E"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Capacidad de compra del distribuidor i, para el periodo de compra t, medida en kilogramos, calculada por lo menos 1 mes antes del inicio del periodo de compra t.</w:t>
            </w:r>
          </w:p>
        </w:tc>
      </w:tr>
      <w:tr w:rsidR="0034087E" w:rsidRPr="0034087E" w14:paraId="3802B2FB" w14:textId="77777777" w:rsidTr="0034087E">
        <w:tc>
          <w:tcPr>
            <w:tcW w:w="1271" w:type="dxa"/>
          </w:tcPr>
          <w:p w14:paraId="752F6E4F" w14:textId="77777777" w:rsidR="0034087E" w:rsidRPr="0034087E" w:rsidRDefault="005261DA" w:rsidP="0034087E">
            <w:pPr>
              <w:jc w:val="both"/>
              <w:rPr>
                <w:rFonts w:ascii="Arial" w:hAnsi="Arial" w:cs="Arial"/>
                <w:sz w:val="18"/>
                <w:szCs w:val="18"/>
                <w:lang w:val="es-ES" w:eastAsia="es-ES"/>
              </w:rPr>
            </w:pPr>
            <m:oMath>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F</m:t>
                  </m:r>
                </m:e>
                <m:sub>
                  <m:r>
                    <w:rPr>
                      <w:rFonts w:ascii="Cambria Math" w:hAnsi="Cambria Math" w:cs="Arial"/>
                      <w:sz w:val="18"/>
                      <w:szCs w:val="18"/>
                      <w:lang w:val="es-ES" w:eastAsia="es-ES"/>
                    </w:rPr>
                    <m:t>E,t</m:t>
                  </m:r>
                </m:sub>
              </m:sSub>
            </m:oMath>
            <w:r w:rsidR="0034087E" w:rsidRPr="0034087E">
              <w:rPr>
                <w:rFonts w:ascii="Arial" w:hAnsi="Arial" w:cs="Arial"/>
                <w:sz w:val="18"/>
                <w:szCs w:val="18"/>
                <w:lang w:val="es-ES" w:eastAsia="es-ES"/>
              </w:rPr>
              <w:t>:</w:t>
            </w:r>
          </w:p>
        </w:tc>
        <w:tc>
          <w:tcPr>
            <w:tcW w:w="6921" w:type="dxa"/>
          </w:tcPr>
          <w:p w14:paraId="37A7B620"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Factor de equivalencia de envasado en cilindros y tanques estacionarios, corresponde a: 0,345.</w:t>
            </w:r>
          </w:p>
        </w:tc>
      </w:tr>
      <w:tr w:rsidR="0034087E" w:rsidRPr="0034087E" w14:paraId="70701850" w14:textId="77777777" w:rsidTr="0034087E">
        <w:tc>
          <w:tcPr>
            <w:tcW w:w="1271" w:type="dxa"/>
          </w:tcPr>
          <w:p w14:paraId="5A991A5A" w14:textId="77777777" w:rsidR="0034087E" w:rsidRPr="0034087E" w:rsidRDefault="0034087E" w:rsidP="0034087E">
            <w:pPr>
              <w:jc w:val="both"/>
              <w:rPr>
                <w:rFonts w:ascii="Arial" w:hAnsi="Arial" w:cs="Arial"/>
                <w:sz w:val="18"/>
                <w:szCs w:val="18"/>
                <w:lang w:val="es-ES" w:eastAsia="es-ES"/>
              </w:rPr>
            </w:pPr>
            <m:oMath>
              <m:r>
                <w:rPr>
                  <w:rFonts w:ascii="Cambria Math" w:hAnsi="Cambria Math" w:cs="Arial"/>
                  <w:sz w:val="18"/>
                  <w:szCs w:val="18"/>
                  <w:lang w:val="es-ES" w:eastAsia="es-ES"/>
                </w:rPr>
                <m:t>Cap.ci</m:t>
              </m:r>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l</m:t>
                  </m:r>
                </m:e>
                <m:sub>
                  <m:r>
                    <w:rPr>
                      <w:rFonts w:ascii="Cambria Math" w:hAnsi="Cambria Math" w:cs="Arial"/>
                      <w:sz w:val="18"/>
                      <w:szCs w:val="18"/>
                      <w:lang w:val="es-ES" w:eastAsia="es-ES"/>
                    </w:rPr>
                    <m:t>i,t</m:t>
                  </m:r>
                </m:sub>
              </m:sSub>
            </m:oMath>
            <w:r w:rsidRPr="0034087E">
              <w:rPr>
                <w:rFonts w:ascii="Arial" w:hAnsi="Arial" w:cs="Arial"/>
                <w:sz w:val="18"/>
                <w:szCs w:val="18"/>
                <w:lang w:val="es-ES" w:eastAsia="es-ES"/>
              </w:rPr>
              <w:t>:</w:t>
            </w:r>
          </w:p>
        </w:tc>
        <w:tc>
          <w:tcPr>
            <w:tcW w:w="6921" w:type="dxa"/>
          </w:tcPr>
          <w:p w14:paraId="3E94E05D"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 xml:space="preserve">Capacidad total de envase en cilindros de propiedad del distribuidor </w:t>
            </w:r>
            <w:r w:rsidRPr="0034087E">
              <w:rPr>
                <w:rFonts w:ascii="Arial" w:hAnsi="Arial" w:cs="Arial"/>
                <w:i/>
                <w:sz w:val="18"/>
                <w:szCs w:val="18"/>
                <w:lang w:val="es-ES" w:eastAsia="es-ES"/>
              </w:rPr>
              <w:t>i</w:t>
            </w:r>
            <w:r w:rsidRPr="0034087E">
              <w:rPr>
                <w:rFonts w:ascii="Arial" w:hAnsi="Arial" w:cs="Arial"/>
                <w:sz w:val="18"/>
                <w:szCs w:val="18"/>
                <w:lang w:val="es-ES" w:eastAsia="es-ES"/>
              </w:rPr>
              <w:t xml:space="preserve">, en el periodo </w:t>
            </w:r>
            <w:r w:rsidRPr="0034087E">
              <w:rPr>
                <w:rFonts w:ascii="Arial" w:hAnsi="Arial" w:cs="Arial"/>
                <w:i/>
                <w:sz w:val="18"/>
                <w:szCs w:val="18"/>
                <w:lang w:val="es-ES" w:eastAsia="es-ES"/>
              </w:rPr>
              <w:t>t</w:t>
            </w:r>
            <w:r w:rsidRPr="0034087E">
              <w:rPr>
                <w:rFonts w:ascii="Arial" w:hAnsi="Arial" w:cs="Arial"/>
                <w:sz w:val="18"/>
                <w:szCs w:val="18"/>
                <w:lang w:val="es-ES" w:eastAsia="es-ES"/>
              </w:rPr>
              <w:t>, medida en kilogramos, de acuerdo con la información reportada al SUI.</w:t>
            </w:r>
          </w:p>
        </w:tc>
      </w:tr>
      <w:tr w:rsidR="0034087E" w:rsidRPr="0034087E" w14:paraId="7DE98CC1" w14:textId="77777777" w:rsidTr="0034087E">
        <w:tc>
          <w:tcPr>
            <w:tcW w:w="1271" w:type="dxa"/>
          </w:tcPr>
          <w:p w14:paraId="1761AEAD" w14:textId="77777777" w:rsidR="0034087E" w:rsidRPr="0034087E" w:rsidRDefault="0034087E" w:rsidP="0034087E">
            <w:pPr>
              <w:jc w:val="both"/>
              <w:rPr>
                <w:rFonts w:ascii="Arial" w:hAnsi="Arial" w:cs="Arial"/>
                <w:sz w:val="18"/>
                <w:szCs w:val="18"/>
                <w:lang w:val="es-ES" w:eastAsia="es-ES"/>
              </w:rPr>
            </w:pPr>
            <m:oMath>
              <m:r>
                <w:rPr>
                  <w:rFonts w:ascii="Cambria Math" w:hAnsi="Cambria Math" w:cs="Arial"/>
                  <w:sz w:val="18"/>
                  <w:szCs w:val="18"/>
                  <w:lang w:val="es-ES" w:eastAsia="es-ES"/>
                </w:rPr>
                <m:t>Cap.T</m:t>
              </m:r>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E</m:t>
                  </m:r>
                </m:e>
                <m:sub>
                  <m:r>
                    <w:rPr>
                      <w:rFonts w:ascii="Cambria Math" w:hAnsi="Cambria Math" w:cs="Arial"/>
                      <w:sz w:val="18"/>
                      <w:szCs w:val="18"/>
                      <w:lang w:val="es-ES" w:eastAsia="es-ES"/>
                    </w:rPr>
                    <m:t>i,t</m:t>
                  </m:r>
                </m:sub>
              </m:sSub>
            </m:oMath>
            <w:r w:rsidRPr="0034087E">
              <w:rPr>
                <w:rFonts w:ascii="Arial" w:hAnsi="Arial" w:cs="Arial"/>
                <w:sz w:val="18"/>
                <w:szCs w:val="18"/>
                <w:lang w:val="es-ES" w:eastAsia="es-ES"/>
              </w:rPr>
              <w:t>:</w:t>
            </w:r>
          </w:p>
        </w:tc>
        <w:tc>
          <w:tcPr>
            <w:tcW w:w="6921" w:type="dxa"/>
          </w:tcPr>
          <w:p w14:paraId="1976CED5" w14:textId="77777777" w:rsidR="0034087E" w:rsidRPr="0034087E" w:rsidRDefault="0034087E" w:rsidP="0034087E">
            <w:pPr>
              <w:jc w:val="both"/>
              <w:rPr>
                <w:rFonts w:ascii="Arial" w:hAnsi="Arial" w:cs="Arial"/>
                <w:sz w:val="18"/>
                <w:szCs w:val="18"/>
                <w:lang w:val="es-ES" w:eastAsia="es-ES"/>
              </w:rPr>
            </w:pPr>
            <w:r w:rsidRPr="0034087E">
              <w:rPr>
                <w:rFonts w:ascii="Arial" w:hAnsi="Arial" w:cs="Arial"/>
                <w:sz w:val="18"/>
                <w:szCs w:val="18"/>
                <w:lang w:val="es-ES" w:eastAsia="es-ES"/>
              </w:rPr>
              <w:t xml:space="preserve">Capacidad total de tanques estacionarios atendidos por el distribuidor </w:t>
            </w:r>
            <w:r w:rsidRPr="0034087E">
              <w:rPr>
                <w:rFonts w:ascii="Arial" w:hAnsi="Arial" w:cs="Arial"/>
                <w:i/>
                <w:sz w:val="18"/>
                <w:szCs w:val="18"/>
                <w:lang w:val="es-ES" w:eastAsia="es-ES"/>
              </w:rPr>
              <w:t xml:space="preserve">i, </w:t>
            </w:r>
            <w:r w:rsidRPr="0034087E">
              <w:rPr>
                <w:rFonts w:ascii="Arial" w:hAnsi="Arial" w:cs="Arial"/>
                <w:sz w:val="18"/>
                <w:szCs w:val="18"/>
                <w:lang w:val="es-ES" w:eastAsia="es-ES"/>
              </w:rPr>
              <w:t xml:space="preserve">en el periodo </w:t>
            </w:r>
            <w:r w:rsidRPr="0034087E">
              <w:rPr>
                <w:rFonts w:ascii="Arial" w:hAnsi="Arial" w:cs="Arial"/>
                <w:i/>
                <w:sz w:val="18"/>
                <w:szCs w:val="18"/>
                <w:lang w:val="es-ES" w:eastAsia="es-ES"/>
              </w:rPr>
              <w:t>t</w:t>
            </w:r>
            <w:r w:rsidRPr="0034087E">
              <w:rPr>
                <w:rFonts w:ascii="Arial" w:hAnsi="Arial" w:cs="Arial"/>
                <w:sz w:val="18"/>
                <w:szCs w:val="18"/>
                <w:lang w:val="es-ES" w:eastAsia="es-ES"/>
              </w:rPr>
              <w:t>, medida en kilogramos, de acuerdo con la información reportada al SUI.</w:t>
            </w:r>
          </w:p>
        </w:tc>
      </w:tr>
    </w:tbl>
    <w:p w14:paraId="03C9BDFB" w14:textId="77777777" w:rsidR="0034087E" w:rsidRPr="0034087E" w:rsidRDefault="0034087E" w:rsidP="0034087E">
      <w:pPr>
        <w:ind w:left="1272" w:hanging="705"/>
        <w:jc w:val="both"/>
        <w:rPr>
          <w:rFonts w:ascii="Arial" w:eastAsia="Times New Roman" w:hAnsi="Arial" w:cs="Arial"/>
          <w:sz w:val="18"/>
          <w:szCs w:val="18"/>
          <w:lang w:val="es-ES" w:eastAsia="es-ES"/>
        </w:rPr>
      </w:pPr>
    </w:p>
    <w:p w14:paraId="6D89EF04" w14:textId="77777777" w:rsidR="0034087E" w:rsidRPr="0034087E" w:rsidRDefault="0034087E" w:rsidP="0034087E">
      <w:pPr>
        <w:ind w:left="567"/>
        <w:jc w:val="both"/>
        <w:rPr>
          <w:rFonts w:ascii="Arial" w:eastAsia="Times New Roman" w:hAnsi="Arial" w:cs="Arial"/>
          <w:sz w:val="18"/>
          <w:szCs w:val="18"/>
          <w:lang w:val="es-ES" w:eastAsia="es-ES"/>
        </w:rPr>
      </w:pPr>
      <w:r w:rsidRPr="0034087E">
        <w:rPr>
          <w:rFonts w:ascii="Arial" w:eastAsia="Times New Roman" w:hAnsi="Arial" w:cs="Arial"/>
          <w:b/>
          <w:sz w:val="18"/>
          <w:szCs w:val="18"/>
          <w:lang w:val="es-ES" w:eastAsia="es-ES"/>
        </w:rPr>
        <w:t>Parágrafo 2.</w:t>
      </w:r>
      <w:r w:rsidRPr="0034087E">
        <w:rPr>
          <w:rFonts w:ascii="Arial" w:eastAsia="Times New Roman" w:hAnsi="Arial" w:cs="Arial"/>
          <w:sz w:val="18"/>
          <w:szCs w:val="18"/>
          <w:lang w:val="es-ES" w:eastAsia="es-ES"/>
        </w:rPr>
        <w:t xml:space="preserve"> La capacidad total de envase en cilindros, de propiedad del distribuidor </w:t>
      </w:r>
      <w:r w:rsidRPr="0034087E">
        <w:rPr>
          <w:rFonts w:ascii="Arial" w:eastAsia="Times New Roman" w:hAnsi="Arial" w:cs="Arial"/>
          <w:i/>
          <w:sz w:val="18"/>
          <w:szCs w:val="18"/>
          <w:lang w:val="es-ES" w:eastAsia="es-ES"/>
        </w:rPr>
        <w:t>i</w:t>
      </w:r>
      <w:r w:rsidRPr="0034087E">
        <w:rPr>
          <w:rFonts w:ascii="Arial" w:eastAsia="Times New Roman" w:hAnsi="Arial" w:cs="Arial"/>
          <w:sz w:val="18"/>
          <w:szCs w:val="18"/>
          <w:lang w:val="es-ES" w:eastAsia="es-ES"/>
        </w:rPr>
        <w:t xml:space="preserve">, en el periodo </w:t>
      </w:r>
      <w:r w:rsidRPr="0034087E">
        <w:rPr>
          <w:rFonts w:ascii="Arial" w:eastAsia="Times New Roman" w:hAnsi="Arial" w:cs="Arial"/>
          <w:i/>
          <w:sz w:val="18"/>
          <w:szCs w:val="18"/>
          <w:lang w:val="es-ES" w:eastAsia="es-ES"/>
        </w:rPr>
        <w:t xml:space="preserve">t, </w:t>
      </w:r>
      <w:r w:rsidRPr="0034087E">
        <w:rPr>
          <w:rFonts w:ascii="Arial" w:eastAsia="Times New Roman" w:hAnsi="Arial" w:cs="Arial"/>
          <w:sz w:val="18"/>
          <w:szCs w:val="18"/>
          <w:lang w:val="es-ES" w:eastAsia="es-ES"/>
        </w:rPr>
        <w:t xml:space="preserve">se calculará de la siguiente forma. </w:t>
      </w:r>
    </w:p>
    <w:p w14:paraId="5FA36C6E" w14:textId="77777777" w:rsidR="0034087E" w:rsidRPr="0034087E" w:rsidRDefault="0034087E" w:rsidP="0034087E">
      <w:pPr>
        <w:ind w:left="567"/>
        <w:jc w:val="both"/>
        <w:rPr>
          <w:rFonts w:ascii="Arial" w:eastAsia="Times New Roman" w:hAnsi="Arial" w:cs="Arial"/>
          <w:sz w:val="18"/>
          <w:szCs w:val="18"/>
          <w:lang w:val="es-ES" w:eastAsia="es-ES"/>
        </w:rPr>
      </w:pPr>
    </w:p>
    <w:p w14:paraId="1B839B18" w14:textId="77777777" w:rsidR="0034087E" w:rsidRPr="0034087E" w:rsidRDefault="0034087E" w:rsidP="0034087E">
      <w:pPr>
        <w:ind w:left="567"/>
        <w:jc w:val="both"/>
        <w:rPr>
          <w:rFonts w:ascii="Arial" w:eastAsia="Times New Roman" w:hAnsi="Arial" w:cs="Arial"/>
          <w:i/>
          <w:sz w:val="18"/>
          <w:szCs w:val="18"/>
          <w:lang w:eastAsia="es-ES"/>
        </w:rPr>
      </w:pPr>
      <m:oMathPara>
        <m:oMathParaPr>
          <m:jc m:val="centerGroup"/>
        </m:oMathParaPr>
        <m:oMath>
          <m:r>
            <w:rPr>
              <w:rFonts w:ascii="Cambria Math" w:eastAsia="Times New Roman" w:hAnsi="Cambria Math" w:cs="Arial"/>
              <w:sz w:val="18"/>
              <w:szCs w:val="18"/>
              <w:lang w:val="es-ES" w:eastAsia="es-ES"/>
            </w:rPr>
            <m:t>Cap.ci</m:t>
          </m:r>
          <m:sSub>
            <m:sSubPr>
              <m:ctrlPr>
                <w:rPr>
                  <w:rFonts w:ascii="Cambria Math" w:eastAsia="Times New Roman" w:hAnsi="Cambria Math" w:cs="Arial"/>
                  <w:i/>
                  <w:iCs/>
                  <w:sz w:val="18"/>
                  <w:szCs w:val="18"/>
                  <w:lang w:eastAsia="es-ES"/>
                </w:rPr>
              </m:ctrlPr>
            </m:sSubPr>
            <m:e>
              <m:r>
                <w:rPr>
                  <w:rFonts w:ascii="Cambria Math" w:eastAsia="Times New Roman" w:hAnsi="Cambria Math" w:cs="Arial"/>
                  <w:sz w:val="18"/>
                  <w:szCs w:val="18"/>
                  <w:lang w:val="es-ES" w:eastAsia="es-ES"/>
                </w:rPr>
                <m:t>l</m:t>
              </m:r>
            </m:e>
            <m:sub>
              <m:r>
                <w:rPr>
                  <w:rFonts w:ascii="Cambria Math" w:eastAsia="Times New Roman" w:hAnsi="Cambria Math" w:cs="Arial"/>
                  <w:sz w:val="18"/>
                  <w:szCs w:val="18"/>
                  <w:lang w:val="es-ES" w:eastAsia="es-ES"/>
                </w:rPr>
                <m:t>i,t</m:t>
              </m:r>
            </m:sub>
          </m:sSub>
          <m:r>
            <w:rPr>
              <w:rFonts w:ascii="Cambria Math" w:eastAsia="Times New Roman" w:hAnsi="Cambria Math" w:cs="Arial"/>
              <w:sz w:val="18"/>
              <w:szCs w:val="18"/>
              <w:lang w:val="es-ES" w:eastAsia="es-ES"/>
            </w:rPr>
            <m:t>=</m:t>
          </m:r>
          <m:r>
            <w:rPr>
              <w:rFonts w:ascii="Cambria Math" w:eastAsia="Times New Roman" w:hAnsi="Cambria Math" w:cs="Arial"/>
              <w:sz w:val="18"/>
              <w:szCs w:val="18"/>
              <w:lang w:eastAsia="es-ES"/>
            </w:rPr>
            <m:t>Cap.</m:t>
          </m:r>
          <m:sSub>
            <m:sSubPr>
              <m:ctrlPr>
                <w:rPr>
                  <w:rFonts w:ascii="Cambria Math" w:eastAsia="Times New Roman" w:hAnsi="Cambria Math" w:cs="Arial"/>
                  <w:i/>
                  <w:iCs/>
                  <w:sz w:val="18"/>
                  <w:szCs w:val="18"/>
                  <w:lang w:eastAsia="es-ES"/>
                </w:rPr>
              </m:ctrlPr>
            </m:sSubPr>
            <m:e>
              <m:r>
                <w:rPr>
                  <w:rFonts w:ascii="Cambria Math" w:eastAsia="Times New Roman" w:hAnsi="Cambria Math" w:cs="Arial"/>
                  <w:sz w:val="18"/>
                  <w:szCs w:val="18"/>
                  <w:lang w:eastAsia="es-ES"/>
                </w:rPr>
                <m:t>1</m:t>
              </m:r>
            </m:e>
            <m:sub>
              <m:r>
                <w:rPr>
                  <w:rFonts w:ascii="Cambria Math" w:eastAsia="Times New Roman" w:hAnsi="Cambria Math" w:cs="Arial"/>
                  <w:sz w:val="18"/>
                  <w:szCs w:val="18"/>
                  <w:lang w:eastAsia="es-ES"/>
                </w:rPr>
                <m:t>i,t</m:t>
              </m:r>
            </m:sub>
          </m:sSub>
          <m:r>
            <w:rPr>
              <w:rFonts w:ascii="Cambria Math" w:eastAsia="Times New Roman" w:hAnsi="Cambria Math" w:cs="Arial"/>
              <w:sz w:val="18"/>
              <w:szCs w:val="18"/>
              <w:lang w:eastAsia="es-ES"/>
            </w:rPr>
            <m:t>+Cap</m:t>
          </m:r>
          <m:sSub>
            <m:sSubPr>
              <m:ctrlPr>
                <w:rPr>
                  <w:rFonts w:ascii="Cambria Math" w:eastAsia="Times New Roman" w:hAnsi="Cambria Math" w:cs="Arial"/>
                  <w:i/>
                  <w:iCs/>
                  <w:sz w:val="18"/>
                  <w:szCs w:val="18"/>
                  <w:lang w:eastAsia="es-ES"/>
                </w:rPr>
              </m:ctrlPr>
            </m:sSubPr>
            <m:e>
              <m:r>
                <w:rPr>
                  <w:rFonts w:ascii="Cambria Math" w:eastAsia="Times New Roman" w:hAnsi="Cambria Math" w:cs="Arial"/>
                  <w:sz w:val="18"/>
                  <w:szCs w:val="18"/>
                  <w:lang w:eastAsia="es-ES"/>
                </w:rPr>
                <m:t>.2</m:t>
              </m:r>
            </m:e>
            <m:sub>
              <m:r>
                <w:rPr>
                  <w:rFonts w:ascii="Cambria Math" w:eastAsia="Times New Roman" w:hAnsi="Cambria Math" w:cs="Arial"/>
                  <w:sz w:val="18"/>
                  <w:szCs w:val="18"/>
                  <w:lang w:eastAsia="es-ES"/>
                </w:rPr>
                <m:t>i,t</m:t>
              </m:r>
            </m:sub>
          </m:sSub>
        </m:oMath>
      </m:oMathPara>
    </w:p>
    <w:p w14:paraId="22E1A71C" w14:textId="77777777" w:rsidR="0034087E" w:rsidRPr="0034087E" w:rsidRDefault="0034087E" w:rsidP="0034087E">
      <w:pPr>
        <w:ind w:left="709" w:firstLine="566"/>
        <w:jc w:val="both"/>
        <w:rPr>
          <w:rFonts w:ascii="Arial" w:hAnsi="Arial" w:cs="Arial"/>
          <w:sz w:val="18"/>
          <w:szCs w:val="18"/>
          <w:lang w:val="es-ES" w:eastAsia="es-ES"/>
        </w:rPr>
      </w:pPr>
      <w:r w:rsidRPr="0034087E">
        <w:rPr>
          <w:rFonts w:ascii="Arial" w:hAnsi="Arial" w:cs="Arial"/>
          <w:sz w:val="18"/>
          <w:szCs w:val="18"/>
          <w:lang w:val="es-ES" w:eastAsia="es-ES"/>
        </w:rPr>
        <w:t>donde,</w:t>
      </w: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34087E" w:rsidRPr="0034087E" w14:paraId="147023D2" w14:textId="77777777" w:rsidTr="00C82402">
        <w:trPr>
          <w:trHeight w:val="486"/>
        </w:trPr>
        <w:tc>
          <w:tcPr>
            <w:tcW w:w="1659" w:type="dxa"/>
            <w:hideMark/>
          </w:tcPr>
          <w:p w14:paraId="45D4AA46" w14:textId="77777777" w:rsidR="0034087E" w:rsidRPr="0034087E" w:rsidRDefault="0034087E" w:rsidP="0034087E">
            <w:pPr>
              <w:ind w:left="2127" w:hanging="2127"/>
              <w:jc w:val="both"/>
              <w:rPr>
                <w:rFonts w:ascii="Arial" w:hAnsi="Arial" w:cs="Arial"/>
                <w:sz w:val="18"/>
                <w:szCs w:val="18"/>
                <w:lang w:eastAsia="es-ES"/>
              </w:rPr>
            </w:pPr>
            <m:oMath>
              <m:r>
                <w:rPr>
                  <w:rFonts w:ascii="Cambria Math" w:hAnsi="Cambria Math" w:cs="Arial"/>
                  <w:sz w:val="18"/>
                  <w:szCs w:val="18"/>
                  <w:lang w:val="es-ES" w:eastAsia="es-ES"/>
                </w:rPr>
                <m:t>Cap</m:t>
              </m:r>
              <m:r>
                <m:rPr>
                  <m:sty m:val="p"/>
                </m:rPr>
                <w:rPr>
                  <w:rFonts w:ascii="Cambria Math" w:hAnsi="Cambria Math" w:cs="Arial"/>
                  <w:sz w:val="18"/>
                  <w:szCs w:val="18"/>
                  <w:lang w:val="es-ES" w:eastAsia="es-ES"/>
                </w:rPr>
                <m:t>.</m:t>
              </m:r>
              <m:r>
                <w:rPr>
                  <w:rFonts w:ascii="Cambria Math" w:hAnsi="Cambria Math" w:cs="Arial"/>
                  <w:sz w:val="18"/>
                  <w:szCs w:val="18"/>
                  <w:lang w:val="es-ES" w:eastAsia="es-ES"/>
                </w:rPr>
                <m:t>ci</m:t>
              </m:r>
              <m:sSub>
                <m:sSubPr>
                  <m:ctrlPr>
                    <w:rPr>
                      <w:rFonts w:ascii="Cambria Math" w:hAnsi="Cambria Math" w:cs="Arial"/>
                      <w:i/>
                      <w:iCs/>
                      <w:sz w:val="18"/>
                      <w:szCs w:val="18"/>
                      <w:lang w:eastAsia="es-ES"/>
                    </w:rPr>
                  </m:ctrlPr>
                </m:sSubPr>
                <m:e>
                  <m:r>
                    <w:rPr>
                      <w:rFonts w:ascii="Cambria Math" w:hAnsi="Cambria Math" w:cs="Arial"/>
                      <w:sz w:val="18"/>
                      <w:szCs w:val="18"/>
                      <w:lang w:val="es-ES" w:eastAsia="es-ES"/>
                    </w:rPr>
                    <m:t>l</m:t>
                  </m:r>
                </m:e>
                <m:sub>
                  <m:r>
                    <w:rPr>
                      <w:rFonts w:ascii="Cambria Math" w:hAnsi="Cambria Math" w:cs="Arial"/>
                      <w:sz w:val="18"/>
                      <w:szCs w:val="18"/>
                      <w:lang w:val="es-ES" w:eastAsia="es-ES"/>
                    </w:rPr>
                    <m:t>i</m:t>
                  </m:r>
                  <m:r>
                    <m:rPr>
                      <m:sty m:val="p"/>
                    </m:rPr>
                    <w:rPr>
                      <w:rFonts w:ascii="Cambria Math" w:hAnsi="Cambria Math" w:cs="Arial"/>
                      <w:sz w:val="18"/>
                      <w:szCs w:val="18"/>
                      <w:lang w:val="es-ES" w:eastAsia="es-ES"/>
                    </w:rPr>
                    <m:t>,</m:t>
                  </m:r>
                  <m:r>
                    <w:rPr>
                      <w:rFonts w:ascii="Cambria Math" w:hAnsi="Cambria Math" w:cs="Arial"/>
                      <w:sz w:val="18"/>
                      <w:szCs w:val="18"/>
                      <w:lang w:val="es-ES" w:eastAsia="es-ES"/>
                    </w:rPr>
                    <m:t>t</m:t>
                  </m:r>
                </m:sub>
              </m:sSub>
            </m:oMath>
            <w:r w:rsidRPr="0034087E">
              <w:rPr>
                <w:rFonts w:ascii="Arial" w:hAnsi="Arial" w:cs="Arial"/>
                <w:sz w:val="18"/>
                <w:szCs w:val="18"/>
                <w:lang w:val="es-ES" w:eastAsia="es-ES"/>
              </w:rPr>
              <w:t>:</w:t>
            </w:r>
          </w:p>
        </w:tc>
        <w:tc>
          <w:tcPr>
            <w:tcW w:w="6421" w:type="dxa"/>
            <w:hideMark/>
          </w:tcPr>
          <w:p w14:paraId="0A9515C0" w14:textId="77777777" w:rsidR="0034087E" w:rsidRPr="0034087E" w:rsidRDefault="0034087E" w:rsidP="0034087E">
            <w:pPr>
              <w:jc w:val="both"/>
              <w:rPr>
                <w:rFonts w:ascii="Arial" w:hAnsi="Arial" w:cs="Arial"/>
                <w:sz w:val="18"/>
                <w:szCs w:val="18"/>
                <w:lang w:eastAsia="es-ES"/>
              </w:rPr>
            </w:pPr>
            <w:r w:rsidRPr="0034087E">
              <w:rPr>
                <w:rFonts w:ascii="Arial" w:hAnsi="Arial" w:cs="Arial"/>
                <w:sz w:val="18"/>
                <w:szCs w:val="18"/>
                <w:lang w:val="es-ES" w:eastAsia="es-ES"/>
              </w:rPr>
              <w:t>Capacidad total de envase en cilindros de propiedad del distribuidor i, en el periodo t, medida en kilogramos, registrado en el SUI.</w:t>
            </w:r>
          </w:p>
        </w:tc>
      </w:tr>
      <w:tr w:rsidR="0034087E" w:rsidRPr="0034087E" w14:paraId="4CD128B0" w14:textId="77777777" w:rsidTr="00C82402">
        <w:trPr>
          <w:trHeight w:val="861"/>
        </w:trPr>
        <w:tc>
          <w:tcPr>
            <w:tcW w:w="1659" w:type="dxa"/>
            <w:hideMark/>
          </w:tcPr>
          <w:p w14:paraId="2D1AE431" w14:textId="77777777" w:rsidR="0034087E" w:rsidRPr="0034087E" w:rsidRDefault="0034087E" w:rsidP="0034087E">
            <w:pPr>
              <w:ind w:left="2127" w:hanging="2127"/>
              <w:jc w:val="both"/>
              <w:rPr>
                <w:rFonts w:ascii="Arial" w:hAnsi="Arial" w:cs="Arial"/>
                <w:sz w:val="18"/>
                <w:szCs w:val="18"/>
                <w:lang w:eastAsia="es-ES"/>
              </w:rPr>
            </w:pPr>
            <m:oMath>
              <m:r>
                <w:rPr>
                  <w:rFonts w:ascii="Cambria Math" w:hAnsi="Cambria Math" w:cs="Arial"/>
                  <w:sz w:val="18"/>
                  <w:szCs w:val="18"/>
                  <w:lang w:eastAsia="es-ES"/>
                </w:rPr>
                <m:t>Cap.</m:t>
              </m:r>
              <m:sSub>
                <m:sSubPr>
                  <m:ctrlPr>
                    <w:rPr>
                      <w:rFonts w:ascii="Cambria Math" w:hAnsi="Cambria Math" w:cs="Arial"/>
                      <w:i/>
                      <w:iCs/>
                      <w:sz w:val="18"/>
                      <w:szCs w:val="18"/>
                      <w:lang w:eastAsia="es-ES"/>
                    </w:rPr>
                  </m:ctrlPr>
                </m:sSubPr>
                <m:e>
                  <m:r>
                    <w:rPr>
                      <w:rFonts w:ascii="Cambria Math" w:hAnsi="Cambria Math" w:cs="Arial"/>
                      <w:sz w:val="18"/>
                      <w:szCs w:val="18"/>
                      <w:lang w:eastAsia="es-ES"/>
                    </w:rPr>
                    <m:t>1</m:t>
                  </m:r>
                </m:e>
                <m:sub>
                  <m:r>
                    <w:rPr>
                      <w:rFonts w:ascii="Cambria Math" w:hAnsi="Cambria Math" w:cs="Arial"/>
                      <w:sz w:val="18"/>
                      <w:szCs w:val="18"/>
                      <w:lang w:eastAsia="es-ES"/>
                    </w:rPr>
                    <m:t>i,t</m:t>
                  </m:r>
                </m:sub>
              </m:sSub>
            </m:oMath>
            <w:r w:rsidRPr="0034087E">
              <w:rPr>
                <w:rFonts w:ascii="Arial" w:hAnsi="Arial" w:cs="Arial"/>
                <w:sz w:val="18"/>
                <w:szCs w:val="18"/>
                <w:lang w:eastAsia="es-ES"/>
              </w:rPr>
              <w:t>:</w:t>
            </w:r>
          </w:p>
        </w:tc>
        <w:tc>
          <w:tcPr>
            <w:tcW w:w="6421" w:type="dxa"/>
            <w:hideMark/>
          </w:tcPr>
          <w:p w14:paraId="7BB0E86A" w14:textId="77777777" w:rsidR="0034087E" w:rsidRPr="0034087E" w:rsidRDefault="0034087E" w:rsidP="0034087E">
            <w:pPr>
              <w:jc w:val="both"/>
              <w:rPr>
                <w:rFonts w:ascii="Arial" w:hAnsi="Arial" w:cs="Arial"/>
                <w:sz w:val="18"/>
                <w:szCs w:val="18"/>
                <w:lang w:eastAsia="es-ES"/>
              </w:rPr>
            </w:pPr>
            <w:r w:rsidRPr="0034087E">
              <w:rPr>
                <w:rFonts w:ascii="Arial" w:hAnsi="Arial" w:cs="Arial"/>
                <w:sz w:val="18"/>
                <w:szCs w:val="18"/>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14:paraId="0F12BD49" w14:textId="77777777" w:rsidR="0034087E" w:rsidRPr="0034087E" w:rsidRDefault="0034087E" w:rsidP="0034087E">
      <w:pPr>
        <w:ind w:left="2694" w:hanging="2127"/>
        <w:jc w:val="both"/>
        <w:rPr>
          <w:rFonts w:ascii="Arial" w:hAnsi="Arial" w:cs="Arial"/>
          <w:sz w:val="18"/>
          <w:szCs w:val="18"/>
          <w:lang w:val="es-ES" w:eastAsia="es-ES"/>
        </w:rPr>
      </w:pPr>
    </w:p>
    <w:p w14:paraId="5CF448B9" w14:textId="77777777" w:rsidR="0034087E" w:rsidRPr="0034087E" w:rsidRDefault="0034087E" w:rsidP="0034087E">
      <w:pPr>
        <w:ind w:left="2694" w:hanging="2127"/>
        <w:jc w:val="both"/>
        <w:rPr>
          <w:rFonts w:ascii="Arial" w:hAnsi="Arial" w:cs="Arial"/>
          <w:iCs/>
          <w:sz w:val="18"/>
          <w:szCs w:val="18"/>
          <w:lang w:val="es-ES" w:eastAsia="es-ES"/>
        </w:rPr>
      </w:pPr>
      <m:oMathPara>
        <m:oMathParaPr>
          <m:jc m:val="centerGroup"/>
        </m:oMathParaPr>
        <m:oMath>
          <m:r>
            <w:rPr>
              <w:rFonts w:ascii="Cambria Math" w:hAnsi="Cambria Math" w:cs="Arial"/>
              <w:sz w:val="18"/>
              <w:szCs w:val="18"/>
              <w:lang w:eastAsia="es-ES"/>
            </w:rPr>
            <m:t>Cap.</m:t>
          </m:r>
          <m:sSub>
            <m:sSubPr>
              <m:ctrlPr>
                <w:rPr>
                  <w:rFonts w:ascii="Cambria Math" w:hAnsi="Cambria Math" w:cs="Arial"/>
                  <w:i/>
                  <w:iCs/>
                  <w:sz w:val="18"/>
                  <w:szCs w:val="18"/>
                  <w:lang w:eastAsia="es-ES"/>
                </w:rPr>
              </m:ctrlPr>
            </m:sSubPr>
            <m:e>
              <m:r>
                <w:rPr>
                  <w:rFonts w:ascii="Cambria Math" w:hAnsi="Cambria Math" w:cs="Arial"/>
                  <w:sz w:val="18"/>
                  <w:szCs w:val="18"/>
                  <w:lang w:eastAsia="es-ES"/>
                </w:rPr>
                <m:t>1</m:t>
              </m:r>
            </m:e>
            <m:sub>
              <m:r>
                <w:rPr>
                  <w:rFonts w:ascii="Cambria Math" w:hAnsi="Cambria Math" w:cs="Arial"/>
                  <w:sz w:val="18"/>
                  <w:szCs w:val="18"/>
                  <w:lang w:eastAsia="es-ES"/>
                </w:rPr>
                <m:t>i,t</m:t>
              </m:r>
            </m:sub>
          </m:sSub>
          <m:r>
            <w:rPr>
              <w:rFonts w:ascii="Cambria Math" w:hAnsi="Cambria Math" w:cs="Arial"/>
              <w:sz w:val="18"/>
              <w:szCs w:val="18"/>
              <w:lang w:val="es-ES" w:eastAsia="es-ES"/>
            </w:rPr>
            <m:t>=</m:t>
          </m:r>
          <m:nary>
            <m:naryPr>
              <m:chr m:val="∑"/>
              <m:limLoc m:val="undOvr"/>
              <m:supHide m:val="1"/>
              <m:ctrlPr>
                <w:rPr>
                  <w:rFonts w:ascii="Cambria Math" w:hAnsi="Cambria Math" w:cs="Arial"/>
                  <w:i/>
                  <w:iCs/>
                  <w:sz w:val="18"/>
                  <w:szCs w:val="18"/>
                  <w:lang w:eastAsia="es-ES"/>
                </w:rPr>
              </m:ctrlPr>
            </m:naryPr>
            <m:sub>
              <m:r>
                <w:rPr>
                  <w:rFonts w:ascii="Cambria Math" w:hAnsi="Cambria Math" w:cs="Arial"/>
                  <w:sz w:val="18"/>
                  <w:szCs w:val="18"/>
                  <w:lang w:val="es-ES" w:eastAsia="es-ES"/>
                </w:rPr>
                <m:t>CP</m:t>
              </m:r>
            </m:sub>
            <m:sup/>
            <m:e>
              <m:r>
                <w:rPr>
                  <w:rFonts w:ascii="Cambria Math" w:hAnsi="Cambria Math" w:cs="Arial"/>
                  <w:sz w:val="18"/>
                  <w:szCs w:val="18"/>
                  <w:lang w:val="es-ES" w:eastAsia="es-ES"/>
                </w:rPr>
                <m:t>C</m:t>
              </m:r>
              <m:sSub>
                <m:sSubPr>
                  <m:ctrlPr>
                    <w:rPr>
                      <w:rFonts w:ascii="Cambria Math" w:hAnsi="Cambria Math" w:cs="Arial"/>
                      <w:i/>
                      <w:iCs/>
                      <w:sz w:val="18"/>
                      <w:szCs w:val="18"/>
                      <w:lang w:eastAsia="es-ES"/>
                    </w:rPr>
                  </m:ctrlPr>
                </m:sSubPr>
                <m:e>
                  <m:r>
                    <w:rPr>
                      <w:rFonts w:ascii="Cambria Math" w:hAnsi="Cambria Math" w:cs="Arial"/>
                      <w:sz w:val="18"/>
                      <w:szCs w:val="18"/>
                      <w:lang w:val="es-ES" w:eastAsia="es-ES"/>
                    </w:rPr>
                    <m:t>P</m:t>
                  </m:r>
                </m:e>
                <m:sub>
                  <m:r>
                    <w:rPr>
                      <w:rFonts w:ascii="Cambria Math" w:hAnsi="Cambria Math" w:cs="Arial"/>
                      <w:sz w:val="18"/>
                      <w:szCs w:val="18"/>
                      <w:lang w:eastAsia="es-ES"/>
                    </w:rPr>
                    <m:t>Lb</m:t>
                  </m:r>
                </m:sub>
              </m:sSub>
              <m:r>
                <w:rPr>
                  <w:rFonts w:ascii="Cambria Math" w:hAnsi="Cambria Math" w:cs="Arial"/>
                  <w:sz w:val="18"/>
                  <w:szCs w:val="18"/>
                  <w:lang w:val="es-ES" w:eastAsia="es-ES"/>
                </w:rPr>
                <m:t>*N</m:t>
              </m:r>
              <m:sSub>
                <m:sSubPr>
                  <m:ctrlPr>
                    <w:rPr>
                      <w:rFonts w:ascii="Cambria Math" w:hAnsi="Cambria Math" w:cs="Arial"/>
                      <w:i/>
                      <w:iCs/>
                      <w:sz w:val="18"/>
                      <w:szCs w:val="18"/>
                      <w:lang w:eastAsia="es-ES"/>
                    </w:rPr>
                  </m:ctrlPr>
                </m:sSubPr>
                <m:e>
                  <m:r>
                    <w:rPr>
                      <w:rFonts w:ascii="Cambria Math" w:hAnsi="Cambria Math" w:cs="Arial"/>
                      <w:sz w:val="18"/>
                      <w:szCs w:val="18"/>
                      <w:lang w:val="es-ES" w:eastAsia="es-ES"/>
                    </w:rPr>
                    <m:t>C</m:t>
                  </m:r>
                </m:e>
                <m:sub>
                  <m:r>
                    <w:rPr>
                      <w:rFonts w:ascii="Cambria Math" w:hAnsi="Cambria Math" w:cs="Arial"/>
                      <w:sz w:val="18"/>
                      <w:szCs w:val="18"/>
                      <w:lang w:val="es-ES" w:eastAsia="es-ES"/>
                    </w:rPr>
                    <m:t>CP</m:t>
                  </m:r>
                  <m:r>
                    <w:rPr>
                      <w:rFonts w:ascii="Cambria Math" w:hAnsi="Cambria Math" w:cs="Arial"/>
                      <w:sz w:val="18"/>
                      <w:szCs w:val="18"/>
                      <w:lang w:eastAsia="es-ES"/>
                    </w:rPr>
                    <m:t>,Lb</m:t>
                  </m:r>
                </m:sub>
              </m:sSub>
            </m:e>
          </m:nary>
          <m:r>
            <w:rPr>
              <w:rFonts w:ascii="Cambria Math" w:hAnsi="Cambria Math" w:cs="Arial"/>
              <w:sz w:val="18"/>
              <w:szCs w:val="18"/>
              <w:lang w:val="es-ES" w:eastAsia="es-ES"/>
            </w:rPr>
            <m:t>*</m:t>
          </m:r>
          <m:d>
            <m:dPr>
              <m:ctrlPr>
                <w:rPr>
                  <w:rFonts w:ascii="Cambria Math" w:hAnsi="Cambria Math" w:cs="Arial"/>
                  <w:i/>
                  <w:iCs/>
                  <w:sz w:val="18"/>
                  <w:szCs w:val="18"/>
                  <w:lang w:eastAsia="es-ES"/>
                </w:rPr>
              </m:ctrlPr>
            </m:dPr>
            <m:e>
              <m:r>
                <w:rPr>
                  <w:rFonts w:ascii="Cambria Math" w:hAnsi="Cambria Math" w:cs="Arial"/>
                  <w:sz w:val="18"/>
                  <w:szCs w:val="18"/>
                  <w:lang w:val="es-ES" w:eastAsia="es-ES"/>
                </w:rPr>
                <m:t>0,454</m:t>
              </m:r>
            </m:e>
          </m:d>
          <m:r>
            <w:rPr>
              <w:rFonts w:ascii="Cambria Math" w:hAnsi="Cambria Math" w:cs="Arial"/>
              <w:sz w:val="18"/>
              <w:szCs w:val="18"/>
              <w:lang w:val="es-ES" w:eastAsia="es-ES"/>
            </w:rPr>
            <m:t>*6</m:t>
          </m:r>
        </m:oMath>
      </m:oMathPara>
    </w:p>
    <w:p w14:paraId="074E0BDC" w14:textId="5829A53A" w:rsidR="0024601B" w:rsidRPr="0034087E" w:rsidRDefault="0024601B" w:rsidP="0034087E">
      <w:pPr>
        <w:ind w:left="2694" w:hanging="2127"/>
        <w:jc w:val="both"/>
        <w:rPr>
          <w:rFonts w:ascii="Arial" w:hAnsi="Arial" w:cs="Arial"/>
          <w:iCs/>
          <w:sz w:val="18"/>
          <w:szCs w:val="18"/>
          <w:lang w:val="es-ES" w:eastAsia="es-ES"/>
        </w:rPr>
      </w:pPr>
    </w:p>
    <w:p w14:paraId="0E10B053" w14:textId="77777777" w:rsidR="0034087E" w:rsidRPr="0034087E" w:rsidRDefault="0034087E" w:rsidP="0034087E">
      <w:pPr>
        <w:ind w:left="2694" w:hanging="1418"/>
        <w:jc w:val="both"/>
        <w:rPr>
          <w:rFonts w:ascii="Arial" w:hAnsi="Arial" w:cs="Arial"/>
          <w:sz w:val="18"/>
          <w:szCs w:val="18"/>
          <w:lang w:eastAsia="es-ES"/>
        </w:rPr>
      </w:pPr>
      <w:r w:rsidRPr="0034087E">
        <w:rPr>
          <w:rFonts w:ascii="Arial" w:hAnsi="Arial" w:cs="Arial"/>
          <w:iCs/>
          <w:sz w:val="18"/>
          <w:szCs w:val="18"/>
          <w:lang w:val="es-ES" w:eastAsia="es-ES"/>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34087E" w:rsidRPr="0034087E" w14:paraId="499F9B69" w14:textId="77777777" w:rsidTr="00C82402">
        <w:trPr>
          <w:trHeight w:val="879"/>
        </w:trPr>
        <w:tc>
          <w:tcPr>
            <w:tcW w:w="1418" w:type="dxa"/>
            <w:shd w:val="clear" w:color="auto" w:fill="auto"/>
            <w:tcMar>
              <w:top w:w="15" w:type="dxa"/>
              <w:left w:w="108" w:type="dxa"/>
              <w:bottom w:w="0" w:type="dxa"/>
              <w:right w:w="108" w:type="dxa"/>
            </w:tcMar>
            <w:hideMark/>
          </w:tcPr>
          <w:p w14:paraId="31491906" w14:textId="77777777" w:rsidR="0034087E" w:rsidRPr="0034087E" w:rsidRDefault="0034087E" w:rsidP="0034087E">
            <w:pPr>
              <w:jc w:val="both"/>
              <w:rPr>
                <w:rFonts w:ascii="Arial" w:eastAsia="Times New Roman" w:hAnsi="Arial" w:cs="Arial"/>
                <w:sz w:val="18"/>
                <w:szCs w:val="18"/>
                <w:lang w:eastAsia="es-CO"/>
              </w:rPr>
            </w:pPr>
            <m:oMath>
              <m:r>
                <w:rPr>
                  <w:rFonts w:ascii="Cambria Math" w:eastAsia="Times New Roman" w:hAnsi="Cambria Math" w:cs="Arial"/>
                  <w:color w:val="000000" w:themeColor="text1"/>
                  <w:kern w:val="24"/>
                  <w:sz w:val="18"/>
                  <w:szCs w:val="18"/>
                  <w:lang w:val="es-ES" w:eastAsia="es-CO"/>
                </w:rPr>
                <m:t>C</m:t>
              </m:r>
              <m:sSub>
                <m:sSubPr>
                  <m:ctrlPr>
                    <w:rPr>
                      <w:rFonts w:ascii="Cambria Math" w:eastAsia="Times New Roman" w:hAnsi="Cambria Math" w:cs="Arial"/>
                      <w:i/>
                      <w:iCs/>
                      <w:color w:val="000000" w:themeColor="text1"/>
                      <w:kern w:val="24"/>
                      <w:sz w:val="18"/>
                      <w:szCs w:val="18"/>
                      <w:lang w:eastAsia="es-CO"/>
                    </w:rPr>
                  </m:ctrlPr>
                </m:sSubPr>
                <m:e>
                  <m:r>
                    <w:rPr>
                      <w:rFonts w:ascii="Cambria Math" w:eastAsia="Times New Roman" w:hAnsi="Cambria Math" w:cs="Arial"/>
                      <w:color w:val="000000" w:themeColor="text1"/>
                      <w:kern w:val="24"/>
                      <w:sz w:val="18"/>
                      <w:szCs w:val="18"/>
                      <w:lang w:val="es-ES" w:eastAsia="es-CO"/>
                    </w:rPr>
                    <m:t>P</m:t>
                  </m:r>
                </m:e>
                <m:sub>
                  <m:r>
                    <m:rPr>
                      <m:sty m:val="p"/>
                    </m:rPr>
                    <w:rPr>
                      <w:rFonts w:ascii="Cambria Math" w:eastAsia="Times New Roman" w:hAnsi="Cambria Math" w:cs="Arial"/>
                      <w:color w:val="000000" w:themeColor="text1"/>
                      <w:kern w:val="24"/>
                      <w:sz w:val="18"/>
                      <w:szCs w:val="18"/>
                      <w:lang w:eastAsia="es-CO"/>
                    </w:rPr>
                    <m:t>Lb</m:t>
                  </m:r>
                </m:sub>
              </m:sSub>
            </m:oMath>
            <w:r w:rsidRPr="0034087E">
              <w:rPr>
                <w:rFonts w:ascii="Arial" w:eastAsia="Times New Roman" w:hAnsi="Arial" w:cs="Arial"/>
                <w:color w:val="000000" w:themeColor="text1"/>
                <w:kern w:val="24"/>
                <w:sz w:val="18"/>
                <w:szCs w:val="18"/>
                <w:lang w:val="es-ES" w:eastAsia="es-CO"/>
              </w:rPr>
              <w:t>:</w:t>
            </w:r>
          </w:p>
        </w:tc>
        <w:tc>
          <w:tcPr>
            <w:tcW w:w="5614" w:type="dxa"/>
            <w:shd w:val="clear" w:color="auto" w:fill="auto"/>
            <w:tcMar>
              <w:top w:w="15" w:type="dxa"/>
              <w:left w:w="108" w:type="dxa"/>
              <w:bottom w:w="0" w:type="dxa"/>
              <w:right w:w="108" w:type="dxa"/>
            </w:tcMar>
            <w:hideMark/>
          </w:tcPr>
          <w:p w14:paraId="5C51CFD9" w14:textId="77777777" w:rsidR="0034087E" w:rsidRPr="0034087E" w:rsidRDefault="0034087E" w:rsidP="0034087E">
            <w:pPr>
              <w:jc w:val="both"/>
              <w:rPr>
                <w:rFonts w:ascii="Arial" w:eastAsia="Times New Roman" w:hAnsi="Arial" w:cs="Arial"/>
                <w:sz w:val="18"/>
                <w:szCs w:val="18"/>
                <w:lang w:eastAsia="es-CO"/>
              </w:rPr>
            </w:pPr>
            <w:r w:rsidRPr="0034087E">
              <w:rPr>
                <w:rFonts w:ascii="Arial" w:eastAsia="Times New Roman" w:hAnsi="Arial" w:cs="Arial"/>
                <w:color w:val="000000" w:themeColor="text1"/>
                <w:kern w:val="24"/>
                <w:sz w:val="18"/>
                <w:szCs w:val="18"/>
                <w:lang w:val="es-ES" w:eastAsia="es-CO"/>
              </w:rPr>
              <w:t xml:space="preserve">Cada uno de los diferentes códigos de presentación de envasado en cilindros, medidos en libras, de acuerdo con la información </w:t>
            </w:r>
            <w:r w:rsidRPr="0034087E">
              <w:rPr>
                <w:rFonts w:ascii="Arial" w:hAnsi="Arial" w:cs="Arial"/>
                <w:color w:val="000000" w:themeColor="text1"/>
                <w:kern w:val="24"/>
                <w:sz w:val="18"/>
                <w:szCs w:val="18"/>
                <w:lang w:eastAsia="es-CO"/>
              </w:rPr>
              <w:t>registrada desde el 2008 hasta octubre de 2012, por AIC proyectos y</w:t>
            </w:r>
            <w:r w:rsidRPr="0034087E">
              <w:rPr>
                <w:rFonts w:ascii="Arial" w:eastAsia="Times New Roman" w:hAnsi="Arial" w:cs="Arial"/>
                <w:color w:val="000000" w:themeColor="text1"/>
                <w:kern w:val="24"/>
                <w:sz w:val="18"/>
                <w:szCs w:val="18"/>
                <w:lang w:val="es-ES" w:eastAsia="es-CO"/>
              </w:rPr>
              <w:t xml:space="preserve"> publicada en el SUI.</w:t>
            </w:r>
          </w:p>
        </w:tc>
      </w:tr>
      <w:tr w:rsidR="0034087E" w:rsidRPr="0034087E" w14:paraId="3D9E2E52" w14:textId="77777777" w:rsidTr="00C82402">
        <w:trPr>
          <w:trHeight w:val="692"/>
        </w:trPr>
        <w:tc>
          <w:tcPr>
            <w:tcW w:w="1418" w:type="dxa"/>
            <w:shd w:val="clear" w:color="auto" w:fill="auto"/>
            <w:tcMar>
              <w:top w:w="15" w:type="dxa"/>
              <w:left w:w="108" w:type="dxa"/>
              <w:bottom w:w="0" w:type="dxa"/>
              <w:right w:w="108" w:type="dxa"/>
            </w:tcMar>
            <w:hideMark/>
          </w:tcPr>
          <w:p w14:paraId="0B19F459" w14:textId="77777777" w:rsidR="0034087E" w:rsidRPr="0034087E" w:rsidRDefault="0034087E" w:rsidP="0034087E">
            <w:pPr>
              <w:jc w:val="both"/>
              <w:rPr>
                <w:rFonts w:ascii="Arial" w:eastAsia="Times New Roman" w:hAnsi="Arial" w:cs="Arial"/>
                <w:sz w:val="18"/>
                <w:szCs w:val="18"/>
                <w:lang w:eastAsia="es-CO"/>
              </w:rPr>
            </w:pPr>
            <m:oMath>
              <m:r>
                <w:rPr>
                  <w:rFonts w:ascii="Cambria Math" w:eastAsia="Times New Roman" w:hAnsi="Cambria Math" w:cs="Arial"/>
                  <w:color w:val="000000" w:themeColor="text1"/>
                  <w:kern w:val="24"/>
                  <w:sz w:val="18"/>
                  <w:szCs w:val="18"/>
                  <w:lang w:val="es-ES" w:eastAsia="es-CO"/>
                </w:rPr>
                <m:t>N</m:t>
              </m:r>
              <m:sSub>
                <m:sSubPr>
                  <m:ctrlPr>
                    <w:rPr>
                      <w:rFonts w:ascii="Cambria Math" w:eastAsia="Times New Roman" w:hAnsi="Cambria Math" w:cs="Arial"/>
                      <w:i/>
                      <w:iCs/>
                      <w:color w:val="000000" w:themeColor="text1"/>
                      <w:kern w:val="24"/>
                      <w:sz w:val="18"/>
                      <w:szCs w:val="18"/>
                      <w:lang w:eastAsia="es-CO"/>
                    </w:rPr>
                  </m:ctrlPr>
                </m:sSubPr>
                <m:e>
                  <m:r>
                    <w:rPr>
                      <w:rFonts w:ascii="Cambria Math" w:eastAsia="Times New Roman" w:hAnsi="Cambria Math" w:cs="Arial"/>
                      <w:color w:val="000000" w:themeColor="text1"/>
                      <w:kern w:val="24"/>
                      <w:sz w:val="18"/>
                      <w:szCs w:val="18"/>
                      <w:lang w:val="es-ES" w:eastAsia="es-CO"/>
                    </w:rPr>
                    <m:t>C</m:t>
                  </m:r>
                </m:e>
                <m:sub>
                  <m:r>
                    <w:rPr>
                      <w:rFonts w:ascii="Cambria Math" w:eastAsia="Times New Roman" w:hAnsi="Cambria Math" w:cs="Arial"/>
                      <w:color w:val="000000" w:themeColor="text1"/>
                      <w:kern w:val="24"/>
                      <w:sz w:val="18"/>
                      <w:szCs w:val="18"/>
                      <w:lang w:val="es-ES" w:eastAsia="es-CO"/>
                    </w:rPr>
                    <m:t>CP</m:t>
                  </m:r>
                  <m:r>
                    <m:rPr>
                      <m:sty m:val="p"/>
                    </m:rPr>
                    <w:rPr>
                      <w:rFonts w:ascii="Cambria Math" w:eastAsia="Times New Roman" w:hAnsi="Cambria Math" w:cs="Arial"/>
                      <w:color w:val="000000" w:themeColor="text1"/>
                      <w:kern w:val="24"/>
                      <w:sz w:val="18"/>
                      <w:szCs w:val="18"/>
                      <w:lang w:eastAsia="es-CO"/>
                    </w:rPr>
                    <m:t>_</m:t>
                  </m:r>
                  <m:r>
                    <w:rPr>
                      <w:rFonts w:ascii="Cambria Math" w:eastAsia="Times New Roman" w:hAnsi="Cambria Math" w:cs="Arial"/>
                      <w:color w:val="000000" w:themeColor="text1"/>
                      <w:kern w:val="24"/>
                      <w:sz w:val="18"/>
                      <w:szCs w:val="18"/>
                      <w:lang w:eastAsia="es-CO"/>
                    </w:rPr>
                    <m:t>Lb</m:t>
                  </m:r>
                </m:sub>
              </m:sSub>
            </m:oMath>
            <w:r w:rsidRPr="0034087E">
              <w:rPr>
                <w:rFonts w:ascii="Arial" w:eastAsia="Times New Roman" w:hAnsi="Arial" w:cs="Arial"/>
                <w:color w:val="000000" w:themeColor="text1"/>
                <w:kern w:val="24"/>
                <w:sz w:val="18"/>
                <w:szCs w:val="18"/>
                <w:lang w:val="es-ES" w:eastAsia="es-CO"/>
              </w:rPr>
              <w:t>:</w:t>
            </w:r>
          </w:p>
        </w:tc>
        <w:tc>
          <w:tcPr>
            <w:tcW w:w="5614" w:type="dxa"/>
            <w:shd w:val="clear" w:color="auto" w:fill="auto"/>
            <w:tcMar>
              <w:top w:w="15" w:type="dxa"/>
              <w:left w:w="108" w:type="dxa"/>
              <w:bottom w:w="0" w:type="dxa"/>
              <w:right w:w="108" w:type="dxa"/>
            </w:tcMar>
            <w:hideMark/>
          </w:tcPr>
          <w:p w14:paraId="7DBFAEB4" w14:textId="77777777" w:rsidR="0034087E" w:rsidRPr="0034087E" w:rsidRDefault="0034087E" w:rsidP="0034087E">
            <w:pPr>
              <w:jc w:val="both"/>
              <w:rPr>
                <w:rFonts w:ascii="Arial" w:eastAsia="Times New Roman" w:hAnsi="Arial" w:cs="Arial"/>
                <w:sz w:val="18"/>
                <w:szCs w:val="18"/>
                <w:lang w:eastAsia="es-CO"/>
              </w:rPr>
            </w:pPr>
            <w:r w:rsidRPr="0034087E">
              <w:rPr>
                <w:rFonts w:ascii="Arial" w:eastAsia="Times New Roman" w:hAnsi="Arial" w:cs="Arial"/>
                <w:color w:val="000000" w:themeColor="text1"/>
                <w:kern w:val="24"/>
                <w:sz w:val="18"/>
                <w:szCs w:val="18"/>
                <w:lang w:val="es-ES" w:eastAsia="es-CO"/>
              </w:rPr>
              <w:t>Número de cilindros de propiedad de distribuidor i, con una capacidad de envasado CP</w:t>
            </w:r>
            <w:r w:rsidRPr="0034087E">
              <w:rPr>
                <w:rFonts w:ascii="Arial" w:eastAsia="Times New Roman" w:hAnsi="Arial" w:cs="Arial"/>
                <w:color w:val="000000" w:themeColor="text1"/>
                <w:kern w:val="24"/>
                <w:position w:val="-9"/>
                <w:sz w:val="18"/>
                <w:szCs w:val="18"/>
                <w:vertAlign w:val="subscript"/>
                <w:lang w:val="es-ES" w:eastAsia="es-CO"/>
              </w:rPr>
              <w:t>Lb</w:t>
            </w:r>
            <w:r w:rsidRPr="0034087E">
              <w:rPr>
                <w:rFonts w:ascii="Arial" w:eastAsia="Times New Roman" w:hAnsi="Arial" w:cs="Arial"/>
                <w:color w:val="000000" w:themeColor="text1"/>
                <w:kern w:val="24"/>
                <w:sz w:val="18"/>
                <w:szCs w:val="18"/>
                <w:lang w:val="es-ES" w:eastAsia="es-CO"/>
              </w:rPr>
              <w:t>, de acuerdo con información reportada en el SUI.</w:t>
            </w:r>
          </w:p>
        </w:tc>
      </w:tr>
      <w:tr w:rsidR="0034087E" w:rsidRPr="0034087E" w14:paraId="1E366A0E" w14:textId="77777777" w:rsidTr="0034087E">
        <w:trPr>
          <w:trHeight w:val="524"/>
        </w:trPr>
        <w:tc>
          <w:tcPr>
            <w:tcW w:w="1418" w:type="dxa"/>
            <w:shd w:val="clear" w:color="auto" w:fill="auto"/>
            <w:tcMar>
              <w:top w:w="15" w:type="dxa"/>
              <w:left w:w="108" w:type="dxa"/>
              <w:bottom w:w="0" w:type="dxa"/>
              <w:right w:w="108" w:type="dxa"/>
            </w:tcMar>
            <w:hideMark/>
          </w:tcPr>
          <w:p w14:paraId="7863CE3C" w14:textId="77777777" w:rsidR="0034087E" w:rsidRPr="0034087E" w:rsidRDefault="0034087E" w:rsidP="0034087E">
            <w:pPr>
              <w:jc w:val="both"/>
              <w:rPr>
                <w:rFonts w:ascii="Arial" w:eastAsia="Times New Roman" w:hAnsi="Arial" w:cs="Arial"/>
                <w:sz w:val="18"/>
                <w:szCs w:val="18"/>
                <w:lang w:eastAsia="es-CO"/>
              </w:rPr>
            </w:pPr>
            <m:oMath>
              <m:r>
                <m:rPr>
                  <m:sty m:val="p"/>
                </m:rPr>
                <w:rPr>
                  <w:rFonts w:ascii="Cambria Math" w:eastAsia="Times New Roman" w:hAnsi="Cambria Math" w:cs="Arial"/>
                  <w:color w:val="000000" w:themeColor="text1"/>
                  <w:kern w:val="24"/>
                  <w:sz w:val="18"/>
                  <w:szCs w:val="18"/>
                  <w:lang w:val="es-ES" w:eastAsia="es-CO"/>
                </w:rPr>
                <m:t>0,454</m:t>
              </m:r>
            </m:oMath>
            <w:r w:rsidRPr="0034087E">
              <w:rPr>
                <w:rFonts w:ascii="Arial" w:eastAsia="Times New Roman" w:hAnsi="Arial" w:cs="Arial"/>
                <w:color w:val="000000" w:themeColor="text1"/>
                <w:kern w:val="24"/>
                <w:sz w:val="18"/>
                <w:szCs w:val="18"/>
                <w:lang w:val="es-ES" w:eastAsia="es-CO"/>
              </w:rPr>
              <w:t>:</w:t>
            </w:r>
          </w:p>
        </w:tc>
        <w:tc>
          <w:tcPr>
            <w:tcW w:w="5614" w:type="dxa"/>
            <w:shd w:val="clear" w:color="auto" w:fill="auto"/>
            <w:tcMar>
              <w:top w:w="15" w:type="dxa"/>
              <w:left w:w="108" w:type="dxa"/>
              <w:bottom w:w="0" w:type="dxa"/>
              <w:right w:w="108" w:type="dxa"/>
            </w:tcMar>
            <w:hideMark/>
          </w:tcPr>
          <w:p w14:paraId="27EBDAD2" w14:textId="77777777" w:rsidR="0034087E" w:rsidRPr="0034087E" w:rsidRDefault="0034087E" w:rsidP="0034087E">
            <w:pPr>
              <w:jc w:val="both"/>
              <w:rPr>
                <w:rFonts w:ascii="Arial" w:eastAsia="Times New Roman" w:hAnsi="Arial" w:cs="Arial"/>
                <w:sz w:val="18"/>
                <w:szCs w:val="18"/>
                <w:lang w:eastAsia="es-CO"/>
              </w:rPr>
            </w:pPr>
            <w:r w:rsidRPr="0034087E">
              <w:rPr>
                <w:rFonts w:ascii="Arial" w:eastAsia="Times New Roman" w:hAnsi="Arial" w:cs="Arial"/>
                <w:color w:val="000000" w:themeColor="text1"/>
                <w:kern w:val="24"/>
                <w:sz w:val="18"/>
                <w:szCs w:val="18"/>
                <w:lang w:val="es-ES" w:eastAsia="es-CO"/>
              </w:rPr>
              <w:t xml:space="preserve">Cantidad de kilogramos por libras americanas, de acuerdo con la NTC 3853.  </w:t>
            </w:r>
          </w:p>
        </w:tc>
      </w:tr>
      <w:tr w:rsidR="0034087E" w:rsidRPr="0034087E" w14:paraId="7BED91AE" w14:textId="77777777" w:rsidTr="00C82402">
        <w:trPr>
          <w:trHeight w:val="285"/>
        </w:trPr>
        <w:tc>
          <w:tcPr>
            <w:tcW w:w="1418" w:type="dxa"/>
            <w:shd w:val="clear" w:color="auto" w:fill="auto"/>
            <w:tcMar>
              <w:top w:w="15" w:type="dxa"/>
              <w:left w:w="108" w:type="dxa"/>
              <w:bottom w:w="0" w:type="dxa"/>
              <w:right w:w="108" w:type="dxa"/>
            </w:tcMar>
            <w:hideMark/>
          </w:tcPr>
          <w:p w14:paraId="288F64AB" w14:textId="77777777" w:rsidR="0034087E" w:rsidRPr="0034087E" w:rsidRDefault="0034087E" w:rsidP="0034087E">
            <w:pPr>
              <w:jc w:val="both"/>
              <w:rPr>
                <w:rFonts w:ascii="Arial" w:eastAsia="Times New Roman" w:hAnsi="Arial" w:cs="Arial"/>
                <w:sz w:val="18"/>
                <w:szCs w:val="18"/>
                <w:lang w:eastAsia="es-CO"/>
              </w:rPr>
            </w:pPr>
            <m:oMath>
              <m:r>
                <w:rPr>
                  <w:rFonts w:ascii="Cambria Math" w:eastAsia="Times New Roman" w:hAnsi="Cambria Math" w:cs="Arial"/>
                  <w:color w:val="000000" w:themeColor="text1"/>
                  <w:kern w:val="24"/>
                  <w:sz w:val="18"/>
                  <w:szCs w:val="18"/>
                  <w:lang w:val="es-ES" w:eastAsia="es-CO"/>
                </w:rPr>
                <m:t>6</m:t>
              </m:r>
            </m:oMath>
            <w:r w:rsidRPr="0034087E">
              <w:rPr>
                <w:rFonts w:ascii="Arial" w:eastAsia="Times New Roman" w:hAnsi="Arial" w:cs="Arial"/>
                <w:color w:val="000000" w:themeColor="text1"/>
                <w:kern w:val="24"/>
                <w:sz w:val="18"/>
                <w:szCs w:val="18"/>
                <w:lang w:val="es-ES" w:eastAsia="es-CO"/>
              </w:rPr>
              <w:t>:</w:t>
            </w:r>
          </w:p>
        </w:tc>
        <w:tc>
          <w:tcPr>
            <w:tcW w:w="5614" w:type="dxa"/>
            <w:shd w:val="clear" w:color="auto" w:fill="auto"/>
            <w:tcMar>
              <w:top w:w="15" w:type="dxa"/>
              <w:left w:w="108" w:type="dxa"/>
              <w:bottom w:w="0" w:type="dxa"/>
              <w:right w:w="108" w:type="dxa"/>
            </w:tcMar>
            <w:hideMark/>
          </w:tcPr>
          <w:p w14:paraId="2015B5D6" w14:textId="77777777" w:rsidR="0034087E" w:rsidRPr="0034087E" w:rsidRDefault="0034087E" w:rsidP="0034087E">
            <w:pPr>
              <w:jc w:val="both"/>
              <w:rPr>
                <w:rFonts w:ascii="Arial" w:eastAsia="Times New Roman" w:hAnsi="Arial" w:cs="Arial"/>
                <w:sz w:val="18"/>
                <w:szCs w:val="18"/>
                <w:lang w:eastAsia="es-CO"/>
              </w:rPr>
            </w:pPr>
            <w:r w:rsidRPr="0034087E">
              <w:rPr>
                <w:rFonts w:ascii="Arial" w:eastAsia="Times New Roman" w:hAnsi="Arial" w:cs="Arial"/>
                <w:color w:val="000000" w:themeColor="text1"/>
                <w:kern w:val="24"/>
                <w:sz w:val="18"/>
                <w:szCs w:val="18"/>
                <w:lang w:val="es-ES" w:eastAsia="es-CO"/>
              </w:rPr>
              <w:t>Número de meses del periodo de compra.</w:t>
            </w:r>
          </w:p>
        </w:tc>
      </w:tr>
    </w:tbl>
    <w:p w14:paraId="63FAB03A" w14:textId="77777777" w:rsidR="0034087E" w:rsidRPr="0034087E" w:rsidRDefault="0034087E" w:rsidP="0034087E">
      <w:pPr>
        <w:ind w:left="2694" w:hanging="2127"/>
        <w:jc w:val="both"/>
        <w:rPr>
          <w:rFonts w:ascii="Arial" w:hAnsi="Arial" w:cs="Arial"/>
          <w:sz w:val="18"/>
          <w:szCs w:val="18"/>
          <w:lang w:val="es-ES" w:eastAsia="es-ES"/>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34087E" w:rsidRPr="0034087E" w14:paraId="65A68BC3" w14:textId="77777777" w:rsidTr="00C82402">
        <w:trPr>
          <w:trHeight w:val="916"/>
        </w:trPr>
        <w:tc>
          <w:tcPr>
            <w:tcW w:w="2040" w:type="dxa"/>
            <w:shd w:val="clear" w:color="auto" w:fill="auto"/>
            <w:tcMar>
              <w:top w:w="15" w:type="dxa"/>
              <w:left w:w="108" w:type="dxa"/>
              <w:bottom w:w="0" w:type="dxa"/>
              <w:right w:w="108" w:type="dxa"/>
            </w:tcMar>
            <w:hideMark/>
          </w:tcPr>
          <w:p w14:paraId="23479031" w14:textId="77777777" w:rsidR="0034087E" w:rsidRPr="0034087E" w:rsidRDefault="0034087E" w:rsidP="0034087E">
            <w:pPr>
              <w:jc w:val="both"/>
              <w:rPr>
                <w:rFonts w:ascii="Arial" w:eastAsia="Times New Roman" w:hAnsi="Arial" w:cs="Arial"/>
                <w:sz w:val="18"/>
                <w:szCs w:val="18"/>
                <w:lang w:eastAsia="es-CO"/>
              </w:rPr>
            </w:pPr>
            <m:oMath>
              <m:r>
                <w:rPr>
                  <w:rFonts w:ascii="Cambria Math" w:eastAsia="Times New Roman" w:hAnsi="Cambria Math" w:cs="Arial"/>
                  <w:color w:val="000000" w:themeColor="text1"/>
                  <w:kern w:val="24"/>
                  <w:sz w:val="18"/>
                  <w:szCs w:val="18"/>
                  <w:lang w:eastAsia="es-CO"/>
                </w:rPr>
                <m:t>Cap</m:t>
              </m:r>
              <m:sSub>
                <m:sSubPr>
                  <m:ctrlPr>
                    <w:rPr>
                      <w:rFonts w:ascii="Cambria Math" w:eastAsia="Times New Roman" w:hAnsi="Cambria Math" w:cs="Arial"/>
                      <w:i/>
                      <w:iCs/>
                      <w:color w:val="000000" w:themeColor="text1"/>
                      <w:kern w:val="24"/>
                      <w:sz w:val="18"/>
                      <w:szCs w:val="18"/>
                      <w:lang w:eastAsia="es-CO"/>
                    </w:rPr>
                  </m:ctrlPr>
                </m:sSubPr>
                <m:e>
                  <m:r>
                    <w:rPr>
                      <w:rFonts w:ascii="Cambria Math" w:eastAsia="Times New Roman" w:hAnsi="Cambria Math" w:cs="Arial"/>
                      <w:color w:val="000000" w:themeColor="text1"/>
                      <w:kern w:val="24"/>
                      <w:sz w:val="18"/>
                      <w:szCs w:val="18"/>
                      <w:lang w:eastAsia="es-CO"/>
                    </w:rPr>
                    <m:t>.2</m:t>
                  </m:r>
                </m:e>
                <m:sub>
                  <m:r>
                    <w:rPr>
                      <w:rFonts w:ascii="Cambria Math" w:eastAsia="Times New Roman" w:hAnsi="Cambria Math" w:cs="Arial"/>
                      <w:color w:val="000000" w:themeColor="text1"/>
                      <w:kern w:val="24"/>
                      <w:sz w:val="18"/>
                      <w:szCs w:val="18"/>
                      <w:lang w:eastAsia="es-CO"/>
                    </w:rPr>
                    <m:t>i,t</m:t>
                  </m:r>
                </m:sub>
              </m:sSub>
            </m:oMath>
            <w:r w:rsidRPr="0034087E">
              <w:rPr>
                <w:rFonts w:ascii="Arial" w:eastAsia="Times New Roman" w:hAnsi="Arial" w:cs="Arial"/>
                <w:color w:val="000000" w:themeColor="text1"/>
                <w:kern w:val="24"/>
                <w:sz w:val="18"/>
                <w:szCs w:val="18"/>
                <w:lang w:eastAsia="es-CO"/>
              </w:rPr>
              <w:t>:</w:t>
            </w:r>
          </w:p>
        </w:tc>
        <w:tc>
          <w:tcPr>
            <w:tcW w:w="6040" w:type="dxa"/>
            <w:shd w:val="clear" w:color="auto" w:fill="auto"/>
            <w:tcMar>
              <w:top w:w="15" w:type="dxa"/>
              <w:left w:w="108" w:type="dxa"/>
              <w:bottom w:w="0" w:type="dxa"/>
              <w:right w:w="108" w:type="dxa"/>
            </w:tcMar>
            <w:hideMark/>
          </w:tcPr>
          <w:p w14:paraId="0B736997" w14:textId="77777777" w:rsidR="0034087E" w:rsidRPr="0034087E" w:rsidRDefault="0034087E" w:rsidP="0034087E">
            <w:pPr>
              <w:jc w:val="both"/>
              <w:rPr>
                <w:rFonts w:ascii="Arial" w:eastAsia="Times New Roman" w:hAnsi="Arial" w:cs="Arial"/>
                <w:sz w:val="18"/>
                <w:szCs w:val="18"/>
                <w:lang w:eastAsia="es-CO"/>
              </w:rPr>
            </w:pPr>
            <w:r w:rsidRPr="0034087E">
              <w:rPr>
                <w:rFonts w:ascii="Arial" w:hAnsi="Arial" w:cs="Arial"/>
                <w:color w:val="000000" w:themeColor="text1"/>
                <w:kern w:val="24"/>
                <w:sz w:val="18"/>
                <w:szCs w:val="18"/>
                <w:lang w:val="es-ES" w:eastAsia="es-CO"/>
              </w:rPr>
              <w:t>Capacidad de envase en cilindros, de acuerdo con la información registrada al SUI desde noviembre de 2012 hasta la fecha, para cada marca de propiedad del distribuidor i en el periodo t, medida en kilogramos</w:t>
            </w:r>
            <w:r w:rsidRPr="0034087E">
              <w:rPr>
                <w:rFonts w:ascii="Arial" w:hAnsi="Arial" w:cs="Arial"/>
                <w:color w:val="000000" w:themeColor="text1"/>
                <w:kern w:val="24"/>
                <w:sz w:val="18"/>
                <w:szCs w:val="18"/>
                <w:lang w:eastAsia="es-CO"/>
              </w:rPr>
              <w:t>, definida de la siguiente forma:</w:t>
            </w:r>
          </w:p>
        </w:tc>
      </w:tr>
    </w:tbl>
    <w:p w14:paraId="414CA3BD" w14:textId="77777777" w:rsidR="0034087E" w:rsidRPr="0034087E" w:rsidRDefault="0034087E" w:rsidP="0034087E">
      <w:pPr>
        <w:ind w:left="2694" w:hanging="2127"/>
        <w:jc w:val="both"/>
        <w:rPr>
          <w:rFonts w:ascii="Arial" w:hAnsi="Arial" w:cs="Arial"/>
          <w:iCs/>
          <w:sz w:val="18"/>
          <w:szCs w:val="18"/>
          <w:lang w:val="es-ES" w:eastAsia="es-ES"/>
        </w:rPr>
      </w:pPr>
      <m:oMathPara>
        <m:oMathParaPr>
          <m:jc m:val="centerGroup"/>
        </m:oMathParaPr>
        <m:oMath>
          <m:r>
            <w:rPr>
              <w:rFonts w:ascii="Cambria Math" w:hAnsi="Cambria Math" w:cs="Arial"/>
              <w:sz w:val="18"/>
              <w:szCs w:val="18"/>
              <w:lang w:eastAsia="es-ES"/>
            </w:rPr>
            <m:t>Cap.</m:t>
          </m:r>
          <m:sSub>
            <m:sSubPr>
              <m:ctrlPr>
                <w:rPr>
                  <w:rFonts w:ascii="Cambria Math" w:hAnsi="Cambria Math" w:cs="Arial"/>
                  <w:i/>
                  <w:iCs/>
                  <w:sz w:val="18"/>
                  <w:szCs w:val="18"/>
                  <w:lang w:eastAsia="es-ES"/>
                </w:rPr>
              </m:ctrlPr>
            </m:sSubPr>
            <m:e>
              <m:r>
                <w:rPr>
                  <w:rFonts w:ascii="Cambria Math" w:hAnsi="Cambria Math" w:cs="Arial"/>
                  <w:sz w:val="18"/>
                  <w:szCs w:val="18"/>
                  <w:lang w:eastAsia="es-ES"/>
                </w:rPr>
                <m:t>2</m:t>
              </m:r>
            </m:e>
            <m:sub>
              <m:r>
                <w:rPr>
                  <w:rFonts w:ascii="Cambria Math" w:hAnsi="Cambria Math" w:cs="Arial"/>
                  <w:sz w:val="18"/>
                  <w:szCs w:val="18"/>
                  <w:lang w:eastAsia="es-ES"/>
                </w:rPr>
                <m:t>i,t</m:t>
              </m:r>
            </m:sub>
          </m:sSub>
          <m:r>
            <w:rPr>
              <w:rFonts w:ascii="Cambria Math" w:hAnsi="Cambria Math" w:cs="Arial"/>
              <w:sz w:val="18"/>
              <w:szCs w:val="18"/>
              <w:lang w:val="es-ES" w:eastAsia="es-ES"/>
            </w:rPr>
            <m:t>=</m:t>
          </m:r>
          <m:nary>
            <m:naryPr>
              <m:chr m:val="∑"/>
              <m:limLoc m:val="undOvr"/>
              <m:supHide m:val="1"/>
              <m:ctrlPr>
                <w:rPr>
                  <w:rFonts w:ascii="Cambria Math" w:hAnsi="Cambria Math" w:cs="Arial"/>
                  <w:i/>
                  <w:iCs/>
                  <w:sz w:val="18"/>
                  <w:szCs w:val="18"/>
                  <w:lang w:eastAsia="es-ES"/>
                </w:rPr>
              </m:ctrlPr>
            </m:naryPr>
            <m:sub>
              <m:r>
                <w:rPr>
                  <w:rFonts w:ascii="Cambria Math" w:hAnsi="Cambria Math" w:cs="Arial"/>
                  <w:sz w:val="18"/>
                  <w:szCs w:val="18"/>
                  <w:lang w:val="es-ES" w:eastAsia="es-ES"/>
                </w:rPr>
                <m:t>CP</m:t>
              </m:r>
            </m:sub>
            <m:sup/>
            <m:e>
              <m:r>
                <w:rPr>
                  <w:rFonts w:ascii="Cambria Math" w:hAnsi="Cambria Math" w:cs="Arial"/>
                  <w:sz w:val="18"/>
                  <w:szCs w:val="18"/>
                  <w:lang w:val="es-ES" w:eastAsia="es-ES"/>
                </w:rPr>
                <m:t>C</m:t>
              </m:r>
              <m:sSub>
                <m:sSubPr>
                  <m:ctrlPr>
                    <w:rPr>
                      <w:rFonts w:ascii="Cambria Math" w:hAnsi="Cambria Math" w:cs="Arial"/>
                      <w:i/>
                      <w:iCs/>
                      <w:sz w:val="18"/>
                      <w:szCs w:val="18"/>
                      <w:lang w:eastAsia="es-ES"/>
                    </w:rPr>
                  </m:ctrlPr>
                </m:sSubPr>
                <m:e>
                  <m:r>
                    <w:rPr>
                      <w:rFonts w:ascii="Cambria Math" w:hAnsi="Cambria Math" w:cs="Arial"/>
                      <w:sz w:val="18"/>
                      <w:szCs w:val="18"/>
                      <w:lang w:val="es-ES" w:eastAsia="es-ES"/>
                    </w:rPr>
                    <m:t>P</m:t>
                  </m:r>
                </m:e>
                <m:sub>
                  <m:r>
                    <w:rPr>
                      <w:rFonts w:ascii="Cambria Math" w:hAnsi="Cambria Math" w:cs="Arial"/>
                      <w:sz w:val="18"/>
                      <w:szCs w:val="18"/>
                      <w:lang w:eastAsia="es-ES"/>
                    </w:rPr>
                    <m:t>Kg</m:t>
                  </m:r>
                </m:sub>
              </m:sSub>
              <m:r>
                <w:rPr>
                  <w:rFonts w:ascii="Cambria Math" w:hAnsi="Cambria Math" w:cs="Arial"/>
                  <w:sz w:val="18"/>
                  <w:szCs w:val="18"/>
                  <w:lang w:val="es-ES" w:eastAsia="es-ES"/>
                </w:rPr>
                <m:t>*N</m:t>
              </m:r>
              <m:sSub>
                <m:sSubPr>
                  <m:ctrlPr>
                    <w:rPr>
                      <w:rFonts w:ascii="Cambria Math" w:hAnsi="Cambria Math" w:cs="Arial"/>
                      <w:i/>
                      <w:iCs/>
                      <w:sz w:val="18"/>
                      <w:szCs w:val="18"/>
                      <w:lang w:eastAsia="es-ES"/>
                    </w:rPr>
                  </m:ctrlPr>
                </m:sSubPr>
                <m:e>
                  <m:r>
                    <w:rPr>
                      <w:rFonts w:ascii="Cambria Math" w:hAnsi="Cambria Math" w:cs="Arial"/>
                      <w:sz w:val="18"/>
                      <w:szCs w:val="18"/>
                      <w:lang w:val="es-ES" w:eastAsia="es-ES"/>
                    </w:rPr>
                    <m:t>C</m:t>
                  </m:r>
                </m:e>
                <m:sub>
                  <m:r>
                    <w:rPr>
                      <w:rFonts w:ascii="Cambria Math" w:hAnsi="Cambria Math" w:cs="Arial"/>
                      <w:sz w:val="18"/>
                      <w:szCs w:val="18"/>
                      <w:lang w:val="es-ES" w:eastAsia="es-ES"/>
                    </w:rPr>
                    <m:t>CP</m:t>
                  </m:r>
                  <m:r>
                    <w:rPr>
                      <w:rFonts w:ascii="Cambria Math" w:hAnsi="Cambria Math" w:cs="Arial"/>
                      <w:sz w:val="18"/>
                      <w:szCs w:val="18"/>
                      <w:lang w:eastAsia="es-ES"/>
                    </w:rPr>
                    <m:t>,Kg</m:t>
                  </m:r>
                </m:sub>
              </m:sSub>
            </m:e>
          </m:nary>
          <m:r>
            <w:rPr>
              <w:rFonts w:ascii="Cambria Math" w:hAnsi="Cambria Math" w:cs="Arial"/>
              <w:sz w:val="18"/>
              <w:szCs w:val="18"/>
              <w:lang w:val="es-ES" w:eastAsia="es-ES"/>
            </w:rPr>
            <m:t>*6</m:t>
          </m:r>
        </m:oMath>
      </m:oMathPara>
    </w:p>
    <w:p w14:paraId="343252B7" w14:textId="77777777" w:rsidR="0034087E" w:rsidRPr="0034087E" w:rsidRDefault="0034087E" w:rsidP="0034087E">
      <w:pPr>
        <w:ind w:left="2694" w:hanging="1418"/>
        <w:jc w:val="both"/>
        <w:rPr>
          <w:rFonts w:ascii="Arial" w:hAnsi="Arial" w:cs="Arial"/>
          <w:sz w:val="18"/>
          <w:szCs w:val="18"/>
          <w:lang w:eastAsia="es-ES"/>
        </w:rPr>
      </w:pPr>
      <w:r w:rsidRPr="0034087E">
        <w:rPr>
          <w:rFonts w:ascii="Arial" w:hAnsi="Arial" w:cs="Arial"/>
          <w:iCs/>
          <w:sz w:val="18"/>
          <w:szCs w:val="18"/>
          <w:lang w:val="es-ES" w:eastAsia="es-ES"/>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34087E" w:rsidRPr="0034087E" w14:paraId="589EFFAE" w14:textId="77777777" w:rsidTr="00C82402">
        <w:trPr>
          <w:trHeight w:val="712"/>
        </w:trPr>
        <w:tc>
          <w:tcPr>
            <w:tcW w:w="1276" w:type="dxa"/>
            <w:shd w:val="clear" w:color="auto" w:fill="auto"/>
            <w:tcMar>
              <w:top w:w="15" w:type="dxa"/>
              <w:left w:w="108" w:type="dxa"/>
              <w:bottom w:w="0" w:type="dxa"/>
              <w:right w:w="108" w:type="dxa"/>
            </w:tcMar>
            <w:hideMark/>
          </w:tcPr>
          <w:p w14:paraId="099C1425" w14:textId="77777777" w:rsidR="0034087E" w:rsidRPr="0034087E" w:rsidRDefault="0034087E" w:rsidP="0034087E">
            <w:pPr>
              <w:jc w:val="both"/>
              <w:rPr>
                <w:rFonts w:ascii="Arial" w:eastAsia="Times New Roman" w:hAnsi="Arial" w:cs="Arial"/>
                <w:sz w:val="18"/>
                <w:szCs w:val="18"/>
                <w:lang w:eastAsia="es-CO"/>
              </w:rPr>
            </w:pPr>
            <m:oMath>
              <m:r>
                <w:rPr>
                  <w:rFonts w:ascii="Cambria Math" w:eastAsia="Times New Roman" w:hAnsi="Cambria Math" w:cs="Arial"/>
                  <w:color w:val="000000" w:themeColor="text1"/>
                  <w:kern w:val="24"/>
                  <w:sz w:val="18"/>
                  <w:szCs w:val="18"/>
                  <w:lang w:val="es-ES" w:eastAsia="es-CO"/>
                </w:rPr>
                <m:t>C</m:t>
              </m:r>
              <m:sSub>
                <m:sSubPr>
                  <m:ctrlPr>
                    <w:rPr>
                      <w:rFonts w:ascii="Cambria Math" w:eastAsia="Times New Roman" w:hAnsi="Cambria Math" w:cs="Arial"/>
                      <w:i/>
                      <w:iCs/>
                      <w:color w:val="000000" w:themeColor="text1"/>
                      <w:kern w:val="24"/>
                      <w:sz w:val="18"/>
                      <w:szCs w:val="18"/>
                      <w:lang w:eastAsia="es-CO"/>
                    </w:rPr>
                  </m:ctrlPr>
                </m:sSubPr>
                <m:e>
                  <m:r>
                    <w:rPr>
                      <w:rFonts w:ascii="Cambria Math" w:eastAsia="Times New Roman" w:hAnsi="Cambria Math" w:cs="Arial"/>
                      <w:color w:val="000000" w:themeColor="text1"/>
                      <w:kern w:val="24"/>
                      <w:sz w:val="18"/>
                      <w:szCs w:val="18"/>
                      <w:lang w:val="es-ES" w:eastAsia="es-CO"/>
                    </w:rPr>
                    <m:t>P</m:t>
                  </m:r>
                </m:e>
                <m:sub>
                  <m:r>
                    <m:rPr>
                      <m:sty m:val="p"/>
                    </m:rPr>
                    <w:rPr>
                      <w:rFonts w:ascii="Cambria Math" w:eastAsia="Times New Roman" w:hAnsi="Cambria Math" w:cs="Arial"/>
                      <w:color w:val="000000" w:themeColor="text1"/>
                      <w:kern w:val="24"/>
                      <w:sz w:val="18"/>
                      <w:szCs w:val="18"/>
                      <w:lang w:eastAsia="es-CO"/>
                    </w:rPr>
                    <m:t>Kg</m:t>
                  </m:r>
                </m:sub>
              </m:sSub>
            </m:oMath>
            <w:r w:rsidRPr="0034087E">
              <w:rPr>
                <w:rFonts w:ascii="Arial" w:eastAsia="Times New Roman" w:hAnsi="Arial" w:cs="Arial"/>
                <w:color w:val="000000" w:themeColor="text1"/>
                <w:kern w:val="24"/>
                <w:sz w:val="18"/>
                <w:szCs w:val="18"/>
                <w:lang w:val="es-ES" w:eastAsia="es-CO"/>
              </w:rPr>
              <w:t>:</w:t>
            </w:r>
          </w:p>
        </w:tc>
        <w:tc>
          <w:tcPr>
            <w:tcW w:w="5670" w:type="dxa"/>
            <w:shd w:val="clear" w:color="auto" w:fill="auto"/>
            <w:tcMar>
              <w:top w:w="15" w:type="dxa"/>
              <w:left w:w="108" w:type="dxa"/>
              <w:bottom w:w="0" w:type="dxa"/>
              <w:right w:w="108" w:type="dxa"/>
            </w:tcMar>
            <w:hideMark/>
          </w:tcPr>
          <w:p w14:paraId="43BD84DE" w14:textId="77777777" w:rsidR="0034087E" w:rsidRPr="0034087E" w:rsidRDefault="0034087E" w:rsidP="0034087E">
            <w:pPr>
              <w:jc w:val="both"/>
              <w:rPr>
                <w:rFonts w:ascii="Arial" w:eastAsia="Times New Roman" w:hAnsi="Arial" w:cs="Arial"/>
                <w:sz w:val="18"/>
                <w:szCs w:val="18"/>
                <w:lang w:eastAsia="es-CO"/>
              </w:rPr>
            </w:pPr>
            <w:r w:rsidRPr="0034087E">
              <w:rPr>
                <w:rFonts w:ascii="Arial" w:eastAsia="Times New Roman" w:hAnsi="Arial" w:cs="Arial"/>
                <w:color w:val="000000" w:themeColor="text1"/>
                <w:kern w:val="24"/>
                <w:sz w:val="18"/>
                <w:szCs w:val="18"/>
                <w:lang w:val="es-ES" w:eastAsia="es-CO"/>
              </w:rPr>
              <w:t xml:space="preserve">Cada uno de los diferentes códigos de presentación de envasado en cilindros, medidos en kilogramos, de acuerdo con la información </w:t>
            </w:r>
            <w:r w:rsidRPr="0034087E">
              <w:rPr>
                <w:rFonts w:ascii="Arial" w:hAnsi="Arial" w:cs="Arial"/>
                <w:color w:val="000000" w:themeColor="text1"/>
                <w:kern w:val="24"/>
                <w:sz w:val="18"/>
                <w:szCs w:val="18"/>
                <w:lang w:eastAsia="es-CO"/>
              </w:rPr>
              <w:t>registrada al SUI desde noviembre de 2012 hasta la fecha</w:t>
            </w:r>
            <w:r w:rsidRPr="0034087E">
              <w:rPr>
                <w:rFonts w:ascii="Arial" w:eastAsia="Times New Roman" w:hAnsi="Arial" w:cs="Arial"/>
                <w:color w:val="000000" w:themeColor="text1"/>
                <w:kern w:val="24"/>
                <w:sz w:val="18"/>
                <w:szCs w:val="18"/>
                <w:lang w:val="es-ES" w:eastAsia="es-CO"/>
              </w:rPr>
              <w:t>.</w:t>
            </w:r>
          </w:p>
        </w:tc>
      </w:tr>
      <w:tr w:rsidR="0034087E" w:rsidRPr="0034087E" w14:paraId="34EE9D26" w14:textId="77777777" w:rsidTr="00C82402">
        <w:trPr>
          <w:trHeight w:val="708"/>
        </w:trPr>
        <w:tc>
          <w:tcPr>
            <w:tcW w:w="1276" w:type="dxa"/>
            <w:shd w:val="clear" w:color="auto" w:fill="auto"/>
            <w:tcMar>
              <w:top w:w="15" w:type="dxa"/>
              <w:left w:w="108" w:type="dxa"/>
              <w:bottom w:w="0" w:type="dxa"/>
              <w:right w:w="108" w:type="dxa"/>
            </w:tcMar>
            <w:hideMark/>
          </w:tcPr>
          <w:p w14:paraId="66C3978A" w14:textId="77777777" w:rsidR="0034087E" w:rsidRPr="0034087E" w:rsidRDefault="0034087E" w:rsidP="0034087E">
            <w:pPr>
              <w:jc w:val="both"/>
              <w:rPr>
                <w:rFonts w:ascii="Arial" w:eastAsia="Times New Roman" w:hAnsi="Arial" w:cs="Arial"/>
                <w:sz w:val="18"/>
                <w:szCs w:val="18"/>
                <w:lang w:eastAsia="es-CO"/>
              </w:rPr>
            </w:pPr>
            <m:oMath>
              <m:r>
                <w:rPr>
                  <w:rFonts w:ascii="Cambria Math" w:eastAsia="Times New Roman" w:hAnsi="Cambria Math" w:cs="Arial"/>
                  <w:color w:val="000000" w:themeColor="text1"/>
                  <w:kern w:val="24"/>
                  <w:sz w:val="18"/>
                  <w:szCs w:val="18"/>
                  <w:lang w:val="es-ES" w:eastAsia="es-CO"/>
                </w:rPr>
                <m:t>N</m:t>
              </m:r>
              <m:sSub>
                <m:sSubPr>
                  <m:ctrlPr>
                    <w:rPr>
                      <w:rFonts w:ascii="Cambria Math" w:eastAsia="Times New Roman" w:hAnsi="Cambria Math" w:cs="Arial"/>
                      <w:i/>
                      <w:iCs/>
                      <w:color w:val="000000" w:themeColor="text1"/>
                      <w:kern w:val="24"/>
                      <w:sz w:val="18"/>
                      <w:szCs w:val="18"/>
                      <w:lang w:eastAsia="es-CO"/>
                    </w:rPr>
                  </m:ctrlPr>
                </m:sSubPr>
                <m:e>
                  <m:r>
                    <w:rPr>
                      <w:rFonts w:ascii="Cambria Math" w:eastAsia="Times New Roman" w:hAnsi="Cambria Math" w:cs="Arial"/>
                      <w:color w:val="000000" w:themeColor="text1"/>
                      <w:kern w:val="24"/>
                      <w:sz w:val="18"/>
                      <w:szCs w:val="18"/>
                      <w:lang w:val="es-ES" w:eastAsia="es-CO"/>
                    </w:rPr>
                    <m:t>C</m:t>
                  </m:r>
                </m:e>
                <m:sub>
                  <m:r>
                    <w:rPr>
                      <w:rFonts w:ascii="Cambria Math" w:eastAsia="Times New Roman" w:hAnsi="Cambria Math" w:cs="Arial"/>
                      <w:color w:val="000000" w:themeColor="text1"/>
                      <w:kern w:val="24"/>
                      <w:sz w:val="18"/>
                      <w:szCs w:val="18"/>
                      <w:lang w:val="es-ES" w:eastAsia="es-CO"/>
                    </w:rPr>
                    <m:t>CP</m:t>
                  </m:r>
                  <m:r>
                    <m:rPr>
                      <m:sty m:val="p"/>
                    </m:rPr>
                    <w:rPr>
                      <w:rFonts w:ascii="Cambria Math" w:eastAsia="Times New Roman" w:hAnsi="Cambria Math" w:cs="Arial"/>
                      <w:color w:val="000000" w:themeColor="text1"/>
                      <w:kern w:val="24"/>
                      <w:sz w:val="18"/>
                      <w:szCs w:val="18"/>
                      <w:lang w:eastAsia="es-CO"/>
                    </w:rPr>
                    <m:t>,Kg</m:t>
                  </m:r>
                </m:sub>
              </m:sSub>
            </m:oMath>
            <w:r w:rsidRPr="0034087E">
              <w:rPr>
                <w:rFonts w:ascii="Arial" w:eastAsia="Times New Roman" w:hAnsi="Arial" w:cs="Arial"/>
                <w:color w:val="000000" w:themeColor="text1"/>
                <w:kern w:val="24"/>
                <w:sz w:val="18"/>
                <w:szCs w:val="18"/>
                <w:lang w:val="es-ES" w:eastAsia="es-CO"/>
              </w:rPr>
              <w:t>:</w:t>
            </w:r>
          </w:p>
        </w:tc>
        <w:tc>
          <w:tcPr>
            <w:tcW w:w="5670" w:type="dxa"/>
            <w:shd w:val="clear" w:color="auto" w:fill="auto"/>
            <w:tcMar>
              <w:top w:w="15" w:type="dxa"/>
              <w:left w:w="108" w:type="dxa"/>
              <w:bottom w:w="0" w:type="dxa"/>
              <w:right w:w="108" w:type="dxa"/>
            </w:tcMar>
            <w:hideMark/>
          </w:tcPr>
          <w:p w14:paraId="78998775" w14:textId="77777777" w:rsidR="0034087E" w:rsidRPr="0034087E" w:rsidRDefault="0034087E" w:rsidP="0034087E">
            <w:pPr>
              <w:jc w:val="both"/>
              <w:rPr>
                <w:rFonts w:ascii="Arial" w:eastAsia="Times New Roman" w:hAnsi="Arial" w:cs="Arial"/>
                <w:sz w:val="18"/>
                <w:szCs w:val="18"/>
                <w:lang w:eastAsia="es-CO"/>
              </w:rPr>
            </w:pPr>
            <w:r w:rsidRPr="0034087E">
              <w:rPr>
                <w:rFonts w:ascii="Arial" w:eastAsia="Times New Roman" w:hAnsi="Arial" w:cs="Arial"/>
                <w:color w:val="000000" w:themeColor="text1"/>
                <w:kern w:val="24"/>
                <w:sz w:val="18"/>
                <w:szCs w:val="18"/>
                <w:lang w:val="es-ES" w:eastAsia="es-CO"/>
              </w:rPr>
              <w:t>Número de cilindros de propiedad de distribuidor i, con una capacidad de envasado CP</w:t>
            </w:r>
            <w:r w:rsidRPr="0034087E">
              <w:rPr>
                <w:rFonts w:ascii="Arial" w:eastAsia="Times New Roman" w:hAnsi="Arial" w:cs="Arial"/>
                <w:color w:val="000000" w:themeColor="text1"/>
                <w:kern w:val="24"/>
                <w:position w:val="-9"/>
                <w:sz w:val="18"/>
                <w:szCs w:val="18"/>
                <w:vertAlign w:val="subscript"/>
                <w:lang w:val="es-ES" w:eastAsia="es-CO"/>
              </w:rPr>
              <w:t>Kg</w:t>
            </w:r>
            <w:r w:rsidRPr="0034087E">
              <w:rPr>
                <w:rFonts w:ascii="Arial" w:eastAsia="Times New Roman" w:hAnsi="Arial" w:cs="Arial"/>
                <w:color w:val="000000" w:themeColor="text1"/>
                <w:kern w:val="24"/>
                <w:sz w:val="18"/>
                <w:szCs w:val="18"/>
                <w:lang w:val="es-ES" w:eastAsia="es-CO"/>
              </w:rPr>
              <w:t>, de acuerdo con información reportada en el SUI.</w:t>
            </w:r>
          </w:p>
        </w:tc>
      </w:tr>
      <w:tr w:rsidR="0034087E" w:rsidRPr="0034087E" w14:paraId="0A406994" w14:textId="77777777" w:rsidTr="00C82402">
        <w:trPr>
          <w:trHeight w:val="252"/>
        </w:trPr>
        <w:tc>
          <w:tcPr>
            <w:tcW w:w="1276" w:type="dxa"/>
            <w:shd w:val="clear" w:color="auto" w:fill="auto"/>
            <w:tcMar>
              <w:top w:w="15" w:type="dxa"/>
              <w:left w:w="108" w:type="dxa"/>
              <w:bottom w:w="0" w:type="dxa"/>
              <w:right w:w="108" w:type="dxa"/>
            </w:tcMar>
            <w:hideMark/>
          </w:tcPr>
          <w:p w14:paraId="410F8835" w14:textId="77777777" w:rsidR="0034087E" w:rsidRPr="0034087E" w:rsidRDefault="0034087E" w:rsidP="0034087E">
            <w:pPr>
              <w:jc w:val="both"/>
              <w:rPr>
                <w:rFonts w:ascii="Arial" w:eastAsia="Times New Roman" w:hAnsi="Arial" w:cs="Arial"/>
                <w:sz w:val="18"/>
                <w:szCs w:val="18"/>
                <w:lang w:eastAsia="es-CO"/>
              </w:rPr>
            </w:pPr>
            <m:oMath>
              <m:r>
                <w:rPr>
                  <w:rFonts w:ascii="Cambria Math" w:eastAsia="Times New Roman" w:hAnsi="Cambria Math" w:cs="Arial"/>
                  <w:color w:val="000000" w:themeColor="text1"/>
                  <w:kern w:val="24"/>
                  <w:sz w:val="18"/>
                  <w:szCs w:val="18"/>
                  <w:lang w:val="es-ES" w:eastAsia="es-CO"/>
                </w:rPr>
                <m:t>6</m:t>
              </m:r>
            </m:oMath>
            <w:r w:rsidRPr="0034087E">
              <w:rPr>
                <w:rFonts w:ascii="Arial" w:eastAsia="Times New Roman" w:hAnsi="Arial" w:cs="Arial"/>
                <w:color w:val="000000" w:themeColor="text1"/>
                <w:kern w:val="24"/>
                <w:sz w:val="18"/>
                <w:szCs w:val="18"/>
                <w:lang w:val="es-ES" w:eastAsia="es-CO"/>
              </w:rPr>
              <w:t>:</w:t>
            </w:r>
          </w:p>
        </w:tc>
        <w:tc>
          <w:tcPr>
            <w:tcW w:w="5670" w:type="dxa"/>
            <w:shd w:val="clear" w:color="auto" w:fill="auto"/>
            <w:tcMar>
              <w:top w:w="15" w:type="dxa"/>
              <w:left w:w="108" w:type="dxa"/>
              <w:bottom w:w="0" w:type="dxa"/>
              <w:right w:w="108" w:type="dxa"/>
            </w:tcMar>
            <w:hideMark/>
          </w:tcPr>
          <w:p w14:paraId="0BE92516" w14:textId="77777777" w:rsidR="0034087E" w:rsidRPr="0034087E" w:rsidRDefault="0034087E" w:rsidP="0034087E">
            <w:pPr>
              <w:jc w:val="both"/>
              <w:rPr>
                <w:rFonts w:ascii="Arial" w:eastAsia="Times New Roman" w:hAnsi="Arial" w:cs="Arial"/>
                <w:sz w:val="18"/>
                <w:szCs w:val="18"/>
                <w:lang w:eastAsia="es-CO"/>
              </w:rPr>
            </w:pPr>
            <w:r w:rsidRPr="0034087E">
              <w:rPr>
                <w:rFonts w:ascii="Arial" w:eastAsia="Times New Roman" w:hAnsi="Arial" w:cs="Arial"/>
                <w:color w:val="000000" w:themeColor="text1"/>
                <w:kern w:val="24"/>
                <w:sz w:val="18"/>
                <w:szCs w:val="18"/>
                <w:lang w:val="es-ES" w:eastAsia="es-CO"/>
              </w:rPr>
              <w:t>Número de meses del periodo de compra.</w:t>
            </w:r>
          </w:p>
        </w:tc>
      </w:tr>
    </w:tbl>
    <w:p w14:paraId="641F0929" w14:textId="77777777" w:rsidR="0034087E" w:rsidRPr="0034087E" w:rsidRDefault="0034087E" w:rsidP="0034087E">
      <w:pPr>
        <w:ind w:left="2694" w:hanging="2127"/>
        <w:jc w:val="both"/>
        <w:rPr>
          <w:rFonts w:ascii="Arial" w:hAnsi="Arial" w:cs="Arial"/>
          <w:sz w:val="18"/>
          <w:szCs w:val="18"/>
          <w:lang w:val="es-ES" w:eastAsia="es-ES"/>
        </w:rPr>
      </w:pPr>
    </w:p>
    <w:p w14:paraId="15AF6528" w14:textId="77777777" w:rsidR="0034087E" w:rsidRPr="0034087E" w:rsidRDefault="0034087E" w:rsidP="0034087E">
      <w:pPr>
        <w:ind w:left="567"/>
        <w:jc w:val="both"/>
        <w:rPr>
          <w:rFonts w:ascii="Arial" w:eastAsia="Times New Roman" w:hAnsi="Arial" w:cs="Arial"/>
          <w:sz w:val="18"/>
          <w:szCs w:val="18"/>
          <w:lang w:val="es-ES" w:eastAsia="es-ES"/>
        </w:rPr>
      </w:pPr>
      <w:r w:rsidRPr="0034087E">
        <w:rPr>
          <w:rFonts w:ascii="Arial" w:eastAsia="Times New Roman" w:hAnsi="Arial" w:cs="Arial"/>
          <w:b/>
          <w:sz w:val="18"/>
          <w:szCs w:val="18"/>
          <w:lang w:val="es-ES" w:eastAsia="es-ES"/>
        </w:rPr>
        <w:t>Parágrafo 3.</w:t>
      </w:r>
      <w:r w:rsidRPr="0034087E">
        <w:rPr>
          <w:rFonts w:ascii="Arial" w:eastAsia="Times New Roman" w:hAnsi="Arial" w:cs="Arial"/>
          <w:sz w:val="18"/>
          <w:szCs w:val="18"/>
          <w:lang w:val="es-ES" w:eastAsia="es-ES"/>
        </w:rPr>
        <w:t xml:space="preserve"> La capacidad total de tanques estacionarios atendidos por el distribuidor </w:t>
      </w:r>
      <w:r w:rsidRPr="0034087E">
        <w:rPr>
          <w:rFonts w:ascii="Arial" w:eastAsia="Times New Roman" w:hAnsi="Arial" w:cs="Arial"/>
          <w:i/>
          <w:sz w:val="18"/>
          <w:szCs w:val="18"/>
          <w:lang w:val="es-ES" w:eastAsia="es-ES"/>
        </w:rPr>
        <w:t>i</w:t>
      </w:r>
      <w:r w:rsidRPr="0034087E">
        <w:rPr>
          <w:rFonts w:ascii="Arial" w:eastAsia="Times New Roman" w:hAnsi="Arial" w:cs="Arial"/>
          <w:sz w:val="18"/>
          <w:szCs w:val="18"/>
          <w:lang w:val="es-ES" w:eastAsia="es-ES"/>
        </w:rPr>
        <w:t xml:space="preserve">, en el periodo </w:t>
      </w:r>
      <w:r w:rsidRPr="0034087E">
        <w:rPr>
          <w:rFonts w:ascii="Arial" w:eastAsia="Times New Roman" w:hAnsi="Arial" w:cs="Arial"/>
          <w:i/>
          <w:sz w:val="18"/>
          <w:szCs w:val="18"/>
          <w:lang w:val="es-ES" w:eastAsia="es-ES"/>
        </w:rPr>
        <w:t xml:space="preserve">t, </w:t>
      </w:r>
      <w:r w:rsidRPr="0034087E">
        <w:rPr>
          <w:rFonts w:ascii="Arial" w:eastAsia="Times New Roman" w:hAnsi="Arial" w:cs="Arial"/>
          <w:sz w:val="18"/>
          <w:szCs w:val="18"/>
          <w:lang w:val="es-ES" w:eastAsia="es-ES"/>
        </w:rPr>
        <w:t xml:space="preserve">se calculará de la siguiente forma. </w:t>
      </w:r>
    </w:p>
    <w:p w14:paraId="04C85B4B" w14:textId="77777777" w:rsidR="0034087E" w:rsidRPr="0034087E" w:rsidRDefault="0034087E" w:rsidP="0034087E">
      <w:pPr>
        <w:ind w:left="567"/>
        <w:jc w:val="both"/>
        <w:rPr>
          <w:rFonts w:ascii="Arial" w:eastAsia="Times New Roman" w:hAnsi="Arial" w:cs="Arial"/>
          <w:sz w:val="18"/>
          <w:szCs w:val="18"/>
          <w:lang w:val="es-ES" w:eastAsia="es-ES"/>
        </w:rPr>
      </w:pPr>
    </w:p>
    <w:p w14:paraId="156302B9" w14:textId="77777777" w:rsidR="0034087E" w:rsidRPr="0034087E" w:rsidRDefault="0034087E" w:rsidP="0034087E">
      <w:pPr>
        <w:ind w:left="567"/>
        <w:jc w:val="both"/>
        <w:rPr>
          <w:rFonts w:ascii="Arial" w:eastAsia="Times New Roman" w:hAnsi="Arial" w:cs="Arial"/>
          <w:sz w:val="18"/>
          <w:szCs w:val="18"/>
          <w:lang w:val="es-ES" w:eastAsia="es-ES"/>
        </w:rPr>
      </w:pPr>
      <m:oMathPara>
        <m:oMath>
          <m:r>
            <w:rPr>
              <w:rFonts w:ascii="Cambria Math" w:eastAsia="Times New Roman" w:hAnsi="Cambria Math" w:cs="Arial"/>
              <w:sz w:val="18"/>
              <w:szCs w:val="18"/>
              <w:lang w:val="es-ES" w:eastAsia="es-ES"/>
            </w:rPr>
            <m:t>Cap.T</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E</m:t>
              </m:r>
            </m:e>
            <m:sub>
              <m:r>
                <w:rPr>
                  <w:rFonts w:ascii="Cambria Math" w:eastAsia="Times New Roman" w:hAnsi="Cambria Math" w:cs="Arial"/>
                  <w:sz w:val="18"/>
                  <w:szCs w:val="18"/>
                  <w:lang w:val="es-ES" w:eastAsia="es-ES"/>
                </w:rPr>
                <m:t>i,t</m:t>
              </m:r>
            </m:sub>
          </m:sSub>
          <m:r>
            <w:rPr>
              <w:rFonts w:ascii="Cambria Math" w:eastAsia="Times New Roman" w:hAnsi="Cambria Math" w:cs="Arial"/>
              <w:sz w:val="18"/>
              <w:szCs w:val="18"/>
              <w:lang w:val="es-ES" w:eastAsia="es-ES"/>
            </w:rPr>
            <m:t>=</m:t>
          </m:r>
          <m:nary>
            <m:naryPr>
              <m:chr m:val="∑"/>
              <m:limLoc m:val="undOvr"/>
              <m:supHide m:val="1"/>
              <m:ctrlPr>
                <w:rPr>
                  <w:rFonts w:ascii="Cambria Math" w:eastAsia="Times New Roman" w:hAnsi="Cambria Math" w:cs="Arial"/>
                  <w:i/>
                  <w:sz w:val="18"/>
                  <w:szCs w:val="18"/>
                  <w:lang w:val="es-ES" w:eastAsia="es-ES"/>
                </w:rPr>
              </m:ctrlPr>
            </m:naryPr>
            <m:sub>
              <m:r>
                <w:rPr>
                  <w:rFonts w:ascii="Cambria Math" w:eastAsia="Times New Roman" w:hAnsi="Cambria Math" w:cs="Arial"/>
                  <w:sz w:val="18"/>
                  <w:szCs w:val="18"/>
                  <w:lang w:val="es-ES" w:eastAsia="es-ES"/>
                </w:rPr>
                <m:t>CV</m:t>
              </m:r>
            </m:sub>
            <m:sup/>
            <m:e>
              <m:r>
                <w:rPr>
                  <w:rFonts w:ascii="Cambria Math" w:eastAsia="Times New Roman" w:hAnsi="Cambria Math" w:cs="Arial"/>
                  <w:sz w:val="18"/>
                  <w:szCs w:val="18"/>
                  <w:lang w:val="es-ES" w:eastAsia="es-ES"/>
                </w:rPr>
                <m:t>CV*NT</m:t>
              </m:r>
              <m:sSub>
                <m:sSubPr>
                  <m:ctrlPr>
                    <w:rPr>
                      <w:rFonts w:ascii="Cambria Math" w:eastAsia="Times New Roman" w:hAnsi="Cambria Math" w:cs="Arial"/>
                      <w:i/>
                      <w:sz w:val="18"/>
                      <w:szCs w:val="18"/>
                      <w:lang w:val="es-ES" w:eastAsia="es-ES"/>
                    </w:rPr>
                  </m:ctrlPr>
                </m:sSubPr>
                <m:e>
                  <m:r>
                    <w:rPr>
                      <w:rFonts w:ascii="Cambria Math" w:eastAsia="Times New Roman" w:hAnsi="Cambria Math" w:cs="Arial"/>
                      <w:sz w:val="18"/>
                      <w:szCs w:val="18"/>
                      <w:lang w:val="es-ES" w:eastAsia="es-ES"/>
                    </w:rPr>
                    <m:t>E</m:t>
                  </m:r>
                </m:e>
                <m:sub>
                  <m:r>
                    <w:rPr>
                      <w:rFonts w:ascii="Cambria Math" w:eastAsia="Times New Roman" w:hAnsi="Cambria Math" w:cs="Arial"/>
                      <w:sz w:val="18"/>
                      <w:szCs w:val="18"/>
                      <w:lang w:val="es-ES" w:eastAsia="es-ES"/>
                    </w:rPr>
                    <m:t>CV</m:t>
                  </m:r>
                </m:sub>
              </m:sSub>
            </m:e>
          </m:nary>
          <m:r>
            <w:rPr>
              <w:rFonts w:ascii="Cambria Math" w:eastAsia="Times New Roman" w:hAnsi="Cambria Math" w:cs="Arial"/>
              <w:sz w:val="18"/>
              <w:szCs w:val="18"/>
              <w:lang w:val="es-ES" w:eastAsia="es-ES"/>
            </w:rPr>
            <m:t>*2,10*6</m:t>
          </m:r>
        </m:oMath>
      </m:oMathPara>
    </w:p>
    <w:p w14:paraId="126C28B5" w14:textId="77777777" w:rsidR="0034087E" w:rsidRPr="0034087E" w:rsidRDefault="0034087E" w:rsidP="0034087E">
      <w:pPr>
        <w:ind w:left="567"/>
        <w:jc w:val="both"/>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 xml:space="preserve">Donde, </w:t>
      </w: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6221"/>
      </w:tblGrid>
      <w:tr w:rsidR="0034087E" w:rsidRPr="0034087E" w14:paraId="1FCC2A7F" w14:textId="77777777" w:rsidTr="0034087E">
        <w:tc>
          <w:tcPr>
            <w:tcW w:w="1418" w:type="dxa"/>
          </w:tcPr>
          <w:p w14:paraId="5A6275C1" w14:textId="77777777" w:rsidR="0034087E" w:rsidRPr="0034087E" w:rsidRDefault="0034087E" w:rsidP="0034087E">
            <w:pPr>
              <w:jc w:val="both"/>
              <w:rPr>
                <w:rFonts w:ascii="Arial" w:hAnsi="Arial" w:cs="Arial"/>
                <w:sz w:val="18"/>
                <w:szCs w:val="18"/>
                <w:lang w:val="es-ES" w:eastAsia="es-ES"/>
              </w:rPr>
            </w:pPr>
            <m:oMath>
              <m:r>
                <w:rPr>
                  <w:rFonts w:ascii="Cambria Math" w:hAnsi="Cambria Math" w:cs="Arial"/>
                  <w:sz w:val="18"/>
                  <w:szCs w:val="18"/>
                  <w:lang w:val="es-ES" w:eastAsia="es-ES"/>
                </w:rPr>
                <m:t>Cap.T</m:t>
              </m:r>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E</m:t>
                  </m:r>
                </m:e>
                <m:sub>
                  <m:r>
                    <w:rPr>
                      <w:rFonts w:ascii="Cambria Math" w:hAnsi="Cambria Math" w:cs="Arial"/>
                      <w:sz w:val="18"/>
                      <w:szCs w:val="18"/>
                      <w:lang w:val="es-ES" w:eastAsia="es-ES"/>
                    </w:rPr>
                    <m:t>i,t</m:t>
                  </m:r>
                </m:sub>
              </m:sSub>
            </m:oMath>
            <w:r w:rsidRPr="0034087E">
              <w:rPr>
                <w:rFonts w:ascii="Arial" w:hAnsi="Arial" w:cs="Arial"/>
                <w:sz w:val="18"/>
                <w:szCs w:val="18"/>
                <w:lang w:val="es-ES" w:eastAsia="es-ES"/>
              </w:rPr>
              <w:t>:</w:t>
            </w:r>
          </w:p>
        </w:tc>
        <w:tc>
          <w:tcPr>
            <w:tcW w:w="6804" w:type="dxa"/>
          </w:tcPr>
          <w:p w14:paraId="0E4C4A54" w14:textId="77777777" w:rsidR="0034087E" w:rsidRPr="0034087E" w:rsidRDefault="0034087E" w:rsidP="0034087E">
            <w:pPr>
              <w:ind w:left="-108"/>
              <w:jc w:val="both"/>
              <w:rPr>
                <w:rFonts w:ascii="Arial" w:hAnsi="Arial" w:cs="Arial"/>
                <w:sz w:val="18"/>
                <w:szCs w:val="18"/>
                <w:lang w:val="es-ES" w:eastAsia="es-ES"/>
              </w:rPr>
            </w:pPr>
            <w:r w:rsidRPr="0034087E">
              <w:rPr>
                <w:rFonts w:ascii="Arial" w:hAnsi="Arial" w:cs="Arial"/>
                <w:sz w:val="18"/>
                <w:szCs w:val="18"/>
                <w:lang w:val="es-ES" w:eastAsia="es-ES"/>
              </w:rPr>
              <w:t xml:space="preserve">Capacidad total de tanques estacionarios atendidos por el distribuidor </w:t>
            </w:r>
            <w:r w:rsidRPr="0034087E">
              <w:rPr>
                <w:rFonts w:ascii="Arial" w:hAnsi="Arial" w:cs="Arial"/>
                <w:i/>
                <w:sz w:val="18"/>
                <w:szCs w:val="18"/>
                <w:lang w:val="es-ES" w:eastAsia="es-ES"/>
              </w:rPr>
              <w:t xml:space="preserve">i, </w:t>
            </w:r>
            <w:r w:rsidRPr="0034087E">
              <w:rPr>
                <w:rFonts w:ascii="Arial" w:hAnsi="Arial" w:cs="Arial"/>
                <w:sz w:val="18"/>
                <w:szCs w:val="18"/>
                <w:lang w:val="es-ES" w:eastAsia="es-ES"/>
              </w:rPr>
              <w:t xml:space="preserve">en el periodo </w:t>
            </w:r>
            <w:r w:rsidRPr="0034087E">
              <w:rPr>
                <w:rFonts w:ascii="Arial" w:hAnsi="Arial" w:cs="Arial"/>
                <w:i/>
                <w:sz w:val="18"/>
                <w:szCs w:val="18"/>
                <w:lang w:val="es-ES" w:eastAsia="es-ES"/>
              </w:rPr>
              <w:t>t</w:t>
            </w:r>
            <w:r w:rsidRPr="0034087E">
              <w:rPr>
                <w:rFonts w:ascii="Arial" w:hAnsi="Arial" w:cs="Arial"/>
                <w:sz w:val="18"/>
                <w:szCs w:val="18"/>
                <w:lang w:val="es-ES" w:eastAsia="es-ES"/>
              </w:rPr>
              <w:t>, medida en kilogramos, de acuerdo con la información reportada al SUI.</w:t>
            </w:r>
          </w:p>
        </w:tc>
      </w:tr>
      <w:tr w:rsidR="0034087E" w:rsidRPr="0034087E" w14:paraId="5FEC4394" w14:textId="77777777" w:rsidTr="0034087E">
        <w:tc>
          <w:tcPr>
            <w:tcW w:w="1418" w:type="dxa"/>
          </w:tcPr>
          <w:p w14:paraId="76870387" w14:textId="77777777" w:rsidR="0034087E" w:rsidRPr="0034087E" w:rsidRDefault="0034087E" w:rsidP="0034087E">
            <w:pPr>
              <w:jc w:val="both"/>
              <w:rPr>
                <w:rFonts w:ascii="Arial" w:hAnsi="Arial" w:cs="Arial"/>
                <w:sz w:val="18"/>
                <w:szCs w:val="18"/>
                <w:lang w:val="es-ES" w:eastAsia="es-ES"/>
              </w:rPr>
            </w:pPr>
            <m:oMath>
              <m:r>
                <w:rPr>
                  <w:rFonts w:ascii="Cambria Math" w:hAnsi="Cambria Math" w:cs="Arial"/>
                  <w:sz w:val="18"/>
                  <w:szCs w:val="18"/>
                  <w:lang w:val="es-ES" w:eastAsia="es-ES"/>
                </w:rPr>
                <m:t>CV</m:t>
              </m:r>
            </m:oMath>
            <w:r w:rsidRPr="0034087E">
              <w:rPr>
                <w:rFonts w:ascii="Arial" w:hAnsi="Arial" w:cs="Arial"/>
                <w:sz w:val="18"/>
                <w:szCs w:val="18"/>
                <w:lang w:val="es-ES" w:eastAsia="es-ES"/>
              </w:rPr>
              <w:t>:</w:t>
            </w:r>
          </w:p>
        </w:tc>
        <w:tc>
          <w:tcPr>
            <w:tcW w:w="6804" w:type="dxa"/>
          </w:tcPr>
          <w:p w14:paraId="349F577E" w14:textId="77777777" w:rsidR="0034087E" w:rsidRPr="0034087E" w:rsidRDefault="0034087E" w:rsidP="0034087E">
            <w:pPr>
              <w:ind w:left="-108"/>
              <w:jc w:val="both"/>
              <w:rPr>
                <w:rFonts w:ascii="Arial" w:hAnsi="Arial" w:cs="Arial"/>
                <w:sz w:val="18"/>
                <w:szCs w:val="18"/>
                <w:lang w:val="es-ES" w:eastAsia="es-ES"/>
              </w:rPr>
            </w:pPr>
            <w:r w:rsidRPr="0034087E">
              <w:rPr>
                <w:rFonts w:ascii="Arial" w:hAnsi="Arial" w:cs="Arial"/>
                <w:sz w:val="18"/>
                <w:szCs w:val="18"/>
                <w:lang w:val="es-ES" w:eastAsia="es-ES"/>
              </w:rPr>
              <w:t xml:space="preserve">Capacidad de cada uno de los tanques estacionarios atendidos por el distribuidor </w:t>
            </w:r>
            <w:r w:rsidRPr="0034087E">
              <w:rPr>
                <w:rFonts w:ascii="Arial" w:hAnsi="Arial" w:cs="Arial"/>
                <w:i/>
                <w:sz w:val="18"/>
                <w:szCs w:val="18"/>
                <w:lang w:val="es-ES" w:eastAsia="es-ES"/>
              </w:rPr>
              <w:t>i</w:t>
            </w:r>
            <w:r w:rsidRPr="0034087E">
              <w:rPr>
                <w:rFonts w:ascii="Arial" w:hAnsi="Arial" w:cs="Arial"/>
                <w:sz w:val="18"/>
                <w:szCs w:val="18"/>
                <w:lang w:val="es-ES" w:eastAsia="es-ES"/>
              </w:rPr>
              <w:t>, galones, de acuerdo con la información publicada en el SUI.</w:t>
            </w:r>
          </w:p>
        </w:tc>
      </w:tr>
      <w:tr w:rsidR="0034087E" w:rsidRPr="0034087E" w14:paraId="5325012A" w14:textId="77777777" w:rsidTr="0034087E">
        <w:tc>
          <w:tcPr>
            <w:tcW w:w="1418" w:type="dxa"/>
          </w:tcPr>
          <w:p w14:paraId="05E9778F" w14:textId="77777777" w:rsidR="0034087E" w:rsidRPr="0034087E" w:rsidRDefault="0034087E" w:rsidP="0034087E">
            <w:pPr>
              <w:jc w:val="both"/>
              <w:rPr>
                <w:rFonts w:ascii="Arial" w:hAnsi="Arial" w:cs="Arial"/>
                <w:sz w:val="18"/>
                <w:szCs w:val="18"/>
                <w:lang w:val="es-ES" w:eastAsia="es-ES"/>
              </w:rPr>
            </w:pPr>
            <m:oMath>
              <m:r>
                <w:rPr>
                  <w:rFonts w:ascii="Cambria Math" w:hAnsi="Cambria Math" w:cs="Arial"/>
                  <w:sz w:val="18"/>
                  <w:szCs w:val="18"/>
                  <w:lang w:val="es-ES" w:eastAsia="es-ES"/>
                </w:rPr>
                <m:t>NT</m:t>
              </m:r>
              <m:sSub>
                <m:sSubPr>
                  <m:ctrlPr>
                    <w:rPr>
                      <w:rFonts w:ascii="Cambria Math" w:hAnsi="Cambria Math" w:cs="Arial"/>
                      <w:i/>
                      <w:sz w:val="18"/>
                      <w:szCs w:val="18"/>
                      <w:lang w:val="es-ES" w:eastAsia="es-ES"/>
                    </w:rPr>
                  </m:ctrlPr>
                </m:sSubPr>
                <m:e>
                  <m:r>
                    <w:rPr>
                      <w:rFonts w:ascii="Cambria Math" w:hAnsi="Cambria Math" w:cs="Arial"/>
                      <w:sz w:val="18"/>
                      <w:szCs w:val="18"/>
                      <w:lang w:val="es-ES" w:eastAsia="es-ES"/>
                    </w:rPr>
                    <m:t>E</m:t>
                  </m:r>
                </m:e>
                <m:sub>
                  <m:r>
                    <w:rPr>
                      <w:rFonts w:ascii="Cambria Math" w:hAnsi="Cambria Math" w:cs="Arial"/>
                      <w:sz w:val="18"/>
                      <w:szCs w:val="18"/>
                      <w:lang w:val="es-ES" w:eastAsia="es-ES"/>
                    </w:rPr>
                    <m:t>CV</m:t>
                  </m:r>
                </m:sub>
              </m:sSub>
            </m:oMath>
            <w:r w:rsidRPr="0034087E">
              <w:rPr>
                <w:rFonts w:ascii="Arial" w:hAnsi="Arial" w:cs="Arial"/>
                <w:sz w:val="18"/>
                <w:szCs w:val="18"/>
                <w:lang w:val="es-ES" w:eastAsia="es-ES"/>
              </w:rPr>
              <w:t>:</w:t>
            </w:r>
          </w:p>
        </w:tc>
        <w:tc>
          <w:tcPr>
            <w:tcW w:w="6804" w:type="dxa"/>
          </w:tcPr>
          <w:p w14:paraId="689C66EA" w14:textId="77777777" w:rsidR="0034087E" w:rsidRPr="0034087E" w:rsidRDefault="0034087E" w:rsidP="0034087E">
            <w:pPr>
              <w:ind w:left="-108"/>
              <w:jc w:val="both"/>
              <w:rPr>
                <w:rFonts w:ascii="Arial" w:hAnsi="Arial" w:cs="Arial"/>
                <w:sz w:val="18"/>
                <w:szCs w:val="18"/>
                <w:lang w:val="es-ES" w:eastAsia="es-ES"/>
              </w:rPr>
            </w:pPr>
            <w:r w:rsidRPr="0034087E">
              <w:rPr>
                <w:rFonts w:ascii="Arial" w:hAnsi="Arial" w:cs="Arial"/>
                <w:sz w:val="18"/>
                <w:szCs w:val="18"/>
                <w:lang w:val="es-ES" w:eastAsia="es-ES"/>
              </w:rPr>
              <w:t xml:space="preserve">Número de tanques estacionarios atendidos por el distribuidor </w:t>
            </w:r>
            <w:r w:rsidRPr="0034087E">
              <w:rPr>
                <w:rFonts w:ascii="Arial" w:hAnsi="Arial" w:cs="Arial"/>
                <w:i/>
                <w:sz w:val="18"/>
                <w:szCs w:val="18"/>
                <w:lang w:val="es-ES" w:eastAsia="es-ES"/>
              </w:rPr>
              <w:t>i</w:t>
            </w:r>
            <w:r w:rsidRPr="0034087E">
              <w:rPr>
                <w:rFonts w:ascii="Arial" w:hAnsi="Arial" w:cs="Arial"/>
                <w:sz w:val="18"/>
                <w:szCs w:val="18"/>
                <w:lang w:val="es-ES" w:eastAsia="es-ES"/>
              </w:rPr>
              <w:t xml:space="preserve">, con una capacidad </w:t>
            </w:r>
            <w:r w:rsidRPr="0034087E">
              <w:rPr>
                <w:rFonts w:ascii="Arial" w:hAnsi="Arial" w:cs="Arial"/>
                <w:i/>
                <w:sz w:val="18"/>
                <w:szCs w:val="18"/>
                <w:lang w:val="es-ES" w:eastAsia="es-ES"/>
              </w:rPr>
              <w:t>CV</w:t>
            </w:r>
            <w:r w:rsidRPr="0034087E">
              <w:rPr>
                <w:rFonts w:ascii="Arial" w:hAnsi="Arial" w:cs="Arial"/>
                <w:sz w:val="18"/>
                <w:szCs w:val="18"/>
                <w:lang w:val="es-ES" w:eastAsia="es-ES"/>
              </w:rPr>
              <w:t xml:space="preserve">, de acuerdo con la información reportada al SUI. </w:t>
            </w:r>
          </w:p>
        </w:tc>
      </w:tr>
      <w:tr w:rsidR="0034087E" w:rsidRPr="0034087E" w14:paraId="0D416659" w14:textId="77777777" w:rsidTr="0034087E">
        <w:tc>
          <w:tcPr>
            <w:tcW w:w="1418" w:type="dxa"/>
          </w:tcPr>
          <w:p w14:paraId="4DAA8026" w14:textId="77777777" w:rsidR="0034087E" w:rsidRPr="0034087E" w:rsidRDefault="0034087E" w:rsidP="0034087E">
            <w:pPr>
              <w:jc w:val="both"/>
              <w:rPr>
                <w:rFonts w:ascii="Arial" w:hAnsi="Arial" w:cs="Arial"/>
                <w:sz w:val="18"/>
                <w:szCs w:val="18"/>
                <w:lang w:val="es-ES" w:eastAsia="es-ES"/>
              </w:rPr>
            </w:pPr>
            <m:oMath>
              <m:r>
                <w:rPr>
                  <w:rFonts w:ascii="Cambria Math" w:hAnsi="Cambria Math" w:cs="Arial"/>
                  <w:sz w:val="18"/>
                  <w:szCs w:val="18"/>
                  <w:lang w:val="es-ES" w:eastAsia="es-ES"/>
                </w:rPr>
                <m:t>2,10</m:t>
              </m:r>
            </m:oMath>
            <w:r w:rsidRPr="0034087E">
              <w:rPr>
                <w:rFonts w:ascii="Arial" w:hAnsi="Arial" w:cs="Arial"/>
                <w:sz w:val="18"/>
                <w:szCs w:val="18"/>
                <w:lang w:val="es-ES" w:eastAsia="es-ES"/>
              </w:rPr>
              <w:t>:</w:t>
            </w:r>
          </w:p>
        </w:tc>
        <w:tc>
          <w:tcPr>
            <w:tcW w:w="6804" w:type="dxa"/>
          </w:tcPr>
          <w:p w14:paraId="21030E1E" w14:textId="77777777" w:rsidR="0034087E" w:rsidRPr="0034087E" w:rsidRDefault="0034087E" w:rsidP="0034087E">
            <w:pPr>
              <w:ind w:left="-108"/>
              <w:jc w:val="both"/>
              <w:rPr>
                <w:rFonts w:ascii="Arial" w:hAnsi="Arial" w:cs="Arial"/>
                <w:sz w:val="18"/>
                <w:szCs w:val="18"/>
                <w:lang w:val="es-ES" w:eastAsia="es-ES"/>
              </w:rPr>
            </w:pPr>
            <w:r w:rsidRPr="0034087E">
              <w:rPr>
                <w:rFonts w:ascii="Arial" w:hAnsi="Arial" w:cs="Arial"/>
                <w:sz w:val="18"/>
                <w:szCs w:val="18"/>
                <w:lang w:val="es-ES" w:eastAsia="es-ES"/>
              </w:rPr>
              <w:t xml:space="preserve">Factor de conversión kilogramos por galón. </w:t>
            </w:r>
          </w:p>
        </w:tc>
      </w:tr>
      <w:tr w:rsidR="0034087E" w:rsidRPr="0034087E" w14:paraId="675BF694" w14:textId="77777777" w:rsidTr="0034087E">
        <w:trPr>
          <w:trHeight w:val="356"/>
        </w:trPr>
        <w:tc>
          <w:tcPr>
            <w:tcW w:w="1418" w:type="dxa"/>
          </w:tcPr>
          <w:p w14:paraId="210028D2" w14:textId="77777777" w:rsidR="0034087E" w:rsidRPr="0034087E" w:rsidRDefault="0034087E" w:rsidP="0034087E">
            <w:pPr>
              <w:ind w:left="708" w:hanging="708"/>
              <w:jc w:val="both"/>
              <w:rPr>
                <w:rFonts w:ascii="Arial" w:hAnsi="Arial" w:cs="Arial"/>
                <w:sz w:val="18"/>
                <w:szCs w:val="18"/>
                <w:lang w:val="es-ES" w:eastAsia="es-ES"/>
              </w:rPr>
            </w:pPr>
            <m:oMath>
              <m:r>
                <w:rPr>
                  <w:rFonts w:ascii="Cambria Math" w:hAnsi="Cambria Math" w:cs="Arial"/>
                  <w:sz w:val="18"/>
                  <w:szCs w:val="18"/>
                  <w:lang w:val="es-ES" w:eastAsia="es-ES"/>
                </w:rPr>
                <m:t>6</m:t>
              </m:r>
            </m:oMath>
            <w:r w:rsidRPr="0034087E">
              <w:rPr>
                <w:rFonts w:ascii="Arial" w:hAnsi="Arial" w:cs="Arial"/>
                <w:sz w:val="18"/>
                <w:szCs w:val="18"/>
                <w:lang w:val="es-ES" w:eastAsia="es-ES"/>
              </w:rPr>
              <w:t>:</w:t>
            </w:r>
          </w:p>
        </w:tc>
        <w:tc>
          <w:tcPr>
            <w:tcW w:w="6804" w:type="dxa"/>
          </w:tcPr>
          <w:p w14:paraId="1E2AB484" w14:textId="77777777" w:rsidR="0034087E" w:rsidRPr="0034087E" w:rsidRDefault="0034087E" w:rsidP="0034087E">
            <w:pPr>
              <w:ind w:left="-108"/>
              <w:jc w:val="both"/>
              <w:rPr>
                <w:rFonts w:ascii="Arial" w:hAnsi="Arial" w:cs="Arial"/>
                <w:sz w:val="18"/>
                <w:szCs w:val="18"/>
                <w:lang w:val="es-ES" w:eastAsia="es-ES"/>
              </w:rPr>
            </w:pPr>
            <w:r w:rsidRPr="0034087E">
              <w:rPr>
                <w:rFonts w:ascii="Arial" w:hAnsi="Arial" w:cs="Arial"/>
                <w:sz w:val="18"/>
                <w:szCs w:val="18"/>
                <w:lang w:val="es-ES" w:eastAsia="es-ES"/>
              </w:rPr>
              <w:t>Número de meses del periodo de compra.</w:t>
            </w:r>
          </w:p>
        </w:tc>
      </w:tr>
    </w:tbl>
    <w:p w14:paraId="4E0F88AC" w14:textId="77777777" w:rsidR="0034087E" w:rsidRPr="0034087E" w:rsidRDefault="0034087E" w:rsidP="0034087E">
      <w:pPr>
        <w:ind w:left="567"/>
        <w:jc w:val="both"/>
        <w:rPr>
          <w:rFonts w:ascii="Arial" w:eastAsia="Times New Roman" w:hAnsi="Arial" w:cs="Arial"/>
          <w:b/>
          <w:sz w:val="18"/>
          <w:szCs w:val="18"/>
          <w:lang w:val="es-ES" w:eastAsia="es-ES"/>
        </w:rPr>
      </w:pPr>
    </w:p>
    <w:p w14:paraId="44FB0075" w14:textId="77777777" w:rsidR="0034087E" w:rsidRPr="0034087E" w:rsidRDefault="0034087E" w:rsidP="0034087E">
      <w:pPr>
        <w:ind w:left="567"/>
        <w:jc w:val="both"/>
        <w:rPr>
          <w:rFonts w:ascii="Arial" w:eastAsia="Times New Roman" w:hAnsi="Arial" w:cs="Arial"/>
          <w:sz w:val="18"/>
          <w:szCs w:val="18"/>
          <w:lang w:val="es-ES" w:eastAsia="es-ES"/>
        </w:rPr>
      </w:pPr>
      <w:r w:rsidRPr="0034087E">
        <w:rPr>
          <w:rFonts w:ascii="Arial" w:eastAsia="Times New Roman" w:hAnsi="Arial" w:cs="Arial"/>
          <w:b/>
          <w:sz w:val="18"/>
          <w:szCs w:val="18"/>
          <w:lang w:val="es-ES" w:eastAsia="es-ES"/>
        </w:rPr>
        <w:t>Parágrafo 4.</w:t>
      </w:r>
      <w:r w:rsidRPr="0034087E">
        <w:rPr>
          <w:rFonts w:ascii="Arial" w:eastAsia="Times New Roman" w:hAnsi="Arial" w:cs="Arial"/>
          <w:sz w:val="18"/>
          <w:szCs w:val="18"/>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   </w:t>
      </w:r>
    </w:p>
    <w:p w14:paraId="6C4D5767" w14:textId="77777777" w:rsidR="0034087E" w:rsidRPr="0034087E" w:rsidRDefault="0034087E" w:rsidP="0034087E">
      <w:pPr>
        <w:ind w:left="567" w:right="142"/>
        <w:jc w:val="both"/>
        <w:rPr>
          <w:rFonts w:ascii="Arial" w:eastAsia="Times New Roman" w:hAnsi="Arial" w:cs="Arial"/>
          <w:sz w:val="18"/>
          <w:szCs w:val="18"/>
          <w:lang w:val="es-ES" w:eastAsia="es-ES"/>
        </w:rPr>
      </w:pPr>
    </w:p>
    <w:p w14:paraId="6E1EEE85" w14:textId="77777777" w:rsidR="0034087E" w:rsidRPr="0034087E" w:rsidRDefault="0034087E" w:rsidP="0034087E">
      <w:pPr>
        <w:tabs>
          <w:tab w:val="left" w:pos="-720"/>
          <w:tab w:val="left" w:pos="1276"/>
        </w:tabs>
        <w:suppressAutoHyphens/>
        <w:overflowPunct w:val="0"/>
        <w:autoSpaceDE w:val="0"/>
        <w:ind w:left="567"/>
        <w:jc w:val="both"/>
        <w:textAlignment w:val="baseline"/>
        <w:rPr>
          <w:rFonts w:ascii="Arial" w:eastAsia="Times New Roman" w:hAnsi="Arial" w:cs="Arial"/>
          <w:sz w:val="18"/>
          <w:szCs w:val="18"/>
          <w:lang w:val="es-ES" w:eastAsia="es-ES"/>
        </w:rPr>
      </w:pPr>
      <w:r w:rsidRPr="0034087E">
        <w:rPr>
          <w:rFonts w:ascii="Arial" w:eastAsia="Times New Roman" w:hAnsi="Arial" w:cs="Arial"/>
          <w:b/>
          <w:sz w:val="18"/>
          <w:szCs w:val="18"/>
          <w:lang w:val="es-ES" w:eastAsia="es-ES"/>
        </w:rPr>
        <w:t xml:space="preserve">Parágrafo 5. </w:t>
      </w:r>
      <w:r w:rsidRPr="0034087E">
        <w:rPr>
          <w:rFonts w:ascii="Arial" w:eastAsia="Times New Roman" w:hAnsi="Arial" w:cs="Arial"/>
          <w:sz w:val="18"/>
          <w:szCs w:val="18"/>
          <w:lang w:val="es-ES" w:eastAsia="es-ES"/>
        </w:rPr>
        <w:t>En el caso de entrar nuevos distribuidores al mercado, la CREG calculará su capacidad de compra por lo que resta del periodo de compra a partir de la información reportada al SUI.”</w:t>
      </w:r>
    </w:p>
    <w:p w14:paraId="33B157EF" w14:textId="77777777" w:rsidR="0034087E" w:rsidRPr="0034087E" w:rsidRDefault="0034087E" w:rsidP="0034087E">
      <w:pPr>
        <w:jc w:val="both"/>
        <w:rPr>
          <w:rFonts w:ascii="Arial" w:eastAsia="Times New Roman" w:hAnsi="Arial" w:cs="Arial"/>
          <w:spacing w:val="-5"/>
          <w:sz w:val="20"/>
          <w:szCs w:val="20"/>
        </w:rPr>
      </w:pPr>
    </w:p>
    <w:p w14:paraId="358729CA" w14:textId="1DA03EA9" w:rsidR="0034087E" w:rsidRPr="0034087E" w:rsidRDefault="0034087E" w:rsidP="0034087E">
      <w:pPr>
        <w:jc w:val="both"/>
        <w:rPr>
          <w:rFonts w:ascii="Arial" w:eastAsia="Times New Roman" w:hAnsi="Arial" w:cs="Arial"/>
          <w:spacing w:val="-5"/>
          <w:sz w:val="20"/>
          <w:szCs w:val="20"/>
        </w:rPr>
      </w:pPr>
      <w:r w:rsidRPr="0034087E">
        <w:rPr>
          <w:rFonts w:ascii="Arial" w:eastAsia="Times New Roman" w:hAnsi="Arial" w:cs="Arial"/>
          <w:spacing w:val="-5"/>
          <w:sz w:val="20"/>
          <w:szCs w:val="20"/>
        </w:rPr>
        <w:t>Este artículo</w:t>
      </w:r>
      <w:r w:rsidR="003D6B58">
        <w:rPr>
          <w:rFonts w:ascii="Arial" w:eastAsia="Times New Roman" w:hAnsi="Arial" w:cs="Arial"/>
          <w:spacing w:val="-5"/>
          <w:sz w:val="20"/>
          <w:szCs w:val="20"/>
        </w:rPr>
        <w:t>,</w:t>
      </w:r>
      <w:r w:rsidRPr="0034087E">
        <w:rPr>
          <w:rFonts w:ascii="Arial" w:eastAsia="Times New Roman" w:hAnsi="Arial" w:cs="Arial"/>
          <w:spacing w:val="-5"/>
          <w:sz w:val="20"/>
          <w:szCs w:val="20"/>
        </w:rPr>
        <w:t xml:space="preserve"> en su parágrafo 1</w:t>
      </w:r>
      <w:r w:rsidR="003D6B58">
        <w:rPr>
          <w:rFonts w:ascii="Arial" w:eastAsia="Times New Roman" w:hAnsi="Arial" w:cs="Arial"/>
          <w:spacing w:val="-5"/>
          <w:sz w:val="20"/>
          <w:szCs w:val="20"/>
        </w:rPr>
        <w:t>º,</w:t>
      </w:r>
      <w:r w:rsidRPr="0034087E">
        <w:rPr>
          <w:rFonts w:ascii="Arial" w:eastAsia="Times New Roman" w:hAnsi="Arial" w:cs="Arial"/>
          <w:spacing w:val="-5"/>
          <w:sz w:val="20"/>
          <w:szCs w:val="20"/>
        </w:rPr>
        <w:t xml:space="preserve"> fue modificado por el artículo 1 de la Resolución CREG 180 de 2017. En relación con esta modificación y su aplicación, en el artículo 3 de esta última resolución la CREG dispuso lo siguiente:</w:t>
      </w:r>
    </w:p>
    <w:p w14:paraId="1D5B0C8B" w14:textId="77777777" w:rsidR="0034087E" w:rsidRPr="0034087E" w:rsidRDefault="0034087E" w:rsidP="0034087E">
      <w:pPr>
        <w:jc w:val="both"/>
        <w:rPr>
          <w:rFonts w:ascii="Arial" w:eastAsia="Times New Roman" w:hAnsi="Arial" w:cs="Arial"/>
          <w:spacing w:val="-5"/>
          <w:sz w:val="20"/>
          <w:szCs w:val="20"/>
        </w:rPr>
      </w:pPr>
    </w:p>
    <w:p w14:paraId="48FCE206" w14:textId="77777777" w:rsidR="0034087E" w:rsidRPr="0034087E" w:rsidRDefault="0034087E" w:rsidP="003D6B58">
      <w:pPr>
        <w:tabs>
          <w:tab w:val="left" w:pos="-720"/>
          <w:tab w:val="left" w:pos="1276"/>
        </w:tabs>
        <w:suppressAutoHyphens/>
        <w:overflowPunct w:val="0"/>
        <w:autoSpaceDE w:val="0"/>
        <w:ind w:left="284"/>
        <w:jc w:val="both"/>
        <w:textAlignment w:val="baseline"/>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w:t>
      </w:r>
      <w:r w:rsidRPr="0034087E">
        <w:rPr>
          <w:rFonts w:ascii="Arial" w:eastAsia="Times New Roman" w:hAnsi="Arial" w:cs="Arial"/>
          <w:b/>
          <w:sz w:val="18"/>
          <w:szCs w:val="18"/>
          <w:lang w:val="es-ES" w:eastAsia="es-ES"/>
        </w:rPr>
        <w:t>Artículo 3.  Vigencia</w:t>
      </w:r>
      <w:r w:rsidRPr="0034087E">
        <w:rPr>
          <w:rFonts w:ascii="Arial" w:eastAsia="Times New Roman" w:hAnsi="Arial" w:cs="Arial"/>
          <w:sz w:val="18"/>
          <w:szCs w:val="18"/>
          <w:lang w:val="es-ES" w:eastAsia="es-ES"/>
        </w:rPr>
        <w:t xml:space="preserve">. Esta resolución rige a partir de su publicación en el Diario Oficial y deroga las normas que le sean contrarias. </w:t>
      </w:r>
    </w:p>
    <w:p w14:paraId="2877DC7E" w14:textId="77777777" w:rsidR="0034087E" w:rsidRPr="0034087E" w:rsidRDefault="0034087E" w:rsidP="003D6B58">
      <w:pPr>
        <w:tabs>
          <w:tab w:val="left" w:pos="-720"/>
          <w:tab w:val="left" w:pos="1276"/>
        </w:tabs>
        <w:suppressAutoHyphens/>
        <w:overflowPunct w:val="0"/>
        <w:autoSpaceDE w:val="0"/>
        <w:ind w:left="284"/>
        <w:jc w:val="both"/>
        <w:textAlignment w:val="baseline"/>
        <w:rPr>
          <w:rFonts w:ascii="Arial" w:eastAsia="Times New Roman" w:hAnsi="Arial" w:cs="Arial"/>
          <w:sz w:val="18"/>
          <w:szCs w:val="18"/>
          <w:lang w:val="es-ES" w:eastAsia="es-ES"/>
        </w:rPr>
      </w:pPr>
    </w:p>
    <w:p w14:paraId="19529F39" w14:textId="77777777" w:rsidR="0034087E" w:rsidRPr="0034087E" w:rsidRDefault="0034087E" w:rsidP="003D6B58">
      <w:pPr>
        <w:tabs>
          <w:tab w:val="left" w:pos="-720"/>
          <w:tab w:val="left" w:pos="1276"/>
        </w:tabs>
        <w:suppressAutoHyphens/>
        <w:overflowPunct w:val="0"/>
        <w:autoSpaceDE w:val="0"/>
        <w:ind w:left="284"/>
        <w:jc w:val="both"/>
        <w:textAlignment w:val="baseline"/>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La aplicación del artículo 1 de la presente resolución con respecto a la modificación hecha sobre el parágrafo 1º del artículo 8 de la Resolución CREG 063 de 2016, se llevará a cabo por parte de la Comisión, para la definición de las capacidades de compra que se realicen para el cuarto período de compra en adelante”</w:t>
      </w:r>
    </w:p>
    <w:p w14:paraId="11B31232" w14:textId="77777777" w:rsidR="0034087E" w:rsidRPr="0034087E" w:rsidRDefault="0034087E" w:rsidP="0034087E">
      <w:pPr>
        <w:jc w:val="both"/>
        <w:rPr>
          <w:rFonts w:ascii="Arial" w:eastAsia="Times New Roman" w:hAnsi="Arial" w:cs="Arial"/>
          <w:spacing w:val="-5"/>
          <w:sz w:val="20"/>
          <w:szCs w:val="20"/>
        </w:rPr>
      </w:pPr>
    </w:p>
    <w:p w14:paraId="1DCDBC64" w14:textId="77777777" w:rsidR="0034087E" w:rsidRPr="00B82246" w:rsidRDefault="0034087E" w:rsidP="0034087E">
      <w:pPr>
        <w:jc w:val="both"/>
        <w:rPr>
          <w:rFonts w:ascii="Arial" w:eastAsia="Times New Roman" w:hAnsi="Arial" w:cs="Arial"/>
          <w:spacing w:val="-5"/>
          <w:sz w:val="20"/>
          <w:szCs w:val="20"/>
        </w:rPr>
      </w:pPr>
      <w:r w:rsidRPr="0034087E">
        <w:rPr>
          <w:rFonts w:ascii="Arial" w:eastAsia="Times New Roman" w:hAnsi="Arial" w:cs="Arial"/>
          <w:spacing w:val="-5"/>
          <w:sz w:val="20"/>
          <w:szCs w:val="20"/>
        </w:rPr>
        <w:t xml:space="preserve">De acuerdo con lo dispuesto en la Resolución CREG 063 de 2016, se estableció igualmente el concepto de “capacidad disponible de compra”, el cual corresponde a la cantidad total de GLP, medida en kilogramos, que puede comprar un distribuidor en el mercado mayorista, durante lo que </w:t>
      </w:r>
      <w:r w:rsidRPr="00B82246">
        <w:rPr>
          <w:rFonts w:ascii="Arial" w:eastAsia="Times New Roman" w:hAnsi="Arial" w:cs="Arial"/>
          <w:spacing w:val="-5"/>
          <w:sz w:val="20"/>
          <w:szCs w:val="20"/>
        </w:rPr>
        <w:t xml:space="preserve">resta del periodo de compra. </w:t>
      </w:r>
    </w:p>
    <w:p w14:paraId="78C112F4" w14:textId="77777777" w:rsidR="0034087E" w:rsidRPr="00B82246" w:rsidRDefault="0034087E" w:rsidP="0034087E">
      <w:pPr>
        <w:jc w:val="both"/>
        <w:rPr>
          <w:rFonts w:ascii="Arial" w:eastAsia="Times New Roman" w:hAnsi="Arial" w:cs="Arial"/>
          <w:spacing w:val="-5"/>
          <w:sz w:val="20"/>
          <w:szCs w:val="20"/>
        </w:rPr>
      </w:pPr>
    </w:p>
    <w:p w14:paraId="2201178C" w14:textId="5812B504" w:rsidR="0034087E" w:rsidRPr="0034087E" w:rsidRDefault="0034087E" w:rsidP="0034087E">
      <w:pPr>
        <w:jc w:val="both"/>
        <w:rPr>
          <w:rFonts w:ascii="Arial" w:hAnsi="Arial" w:cs="Arial"/>
          <w:sz w:val="20"/>
          <w:szCs w:val="20"/>
        </w:rPr>
      </w:pPr>
      <w:r w:rsidRPr="00B82246">
        <w:rPr>
          <w:rFonts w:ascii="Arial" w:eastAsia="Times New Roman" w:hAnsi="Arial" w:cs="Arial"/>
          <w:spacing w:val="-5"/>
          <w:sz w:val="20"/>
          <w:szCs w:val="20"/>
        </w:rPr>
        <w:t xml:space="preserve">Mediante la Resolución CREG </w:t>
      </w:r>
      <w:r w:rsidR="00160DE3" w:rsidRPr="00B82246">
        <w:rPr>
          <w:rFonts w:ascii="Arial" w:eastAsia="Times New Roman" w:hAnsi="Arial" w:cs="Arial"/>
          <w:spacing w:val="-5"/>
          <w:sz w:val="20"/>
          <w:szCs w:val="20"/>
        </w:rPr>
        <w:t>218 de 2020</w:t>
      </w:r>
      <w:r w:rsidRPr="00B82246">
        <w:rPr>
          <w:rFonts w:ascii="Arial" w:eastAsia="Times New Roman" w:hAnsi="Arial" w:cs="Arial"/>
          <w:spacing w:val="-5"/>
          <w:sz w:val="20"/>
          <w:szCs w:val="20"/>
        </w:rPr>
        <w:t xml:space="preserve"> la CREG definió la capacidad de compra para </w:t>
      </w:r>
      <w:r w:rsidR="00160DE3" w:rsidRPr="00B82246">
        <w:rPr>
          <w:rFonts w:ascii="Arial" w:hAnsi="Arial" w:cs="Arial"/>
          <w:sz w:val="20"/>
          <w:szCs w:val="20"/>
        </w:rPr>
        <w:t>60</w:t>
      </w:r>
      <w:r w:rsidRPr="00B82246">
        <w:rPr>
          <w:rFonts w:ascii="Arial" w:hAnsi="Arial" w:cs="Arial"/>
          <w:sz w:val="20"/>
          <w:szCs w:val="20"/>
        </w:rPr>
        <w:t xml:space="preserve"> distribuidores que</w:t>
      </w:r>
      <w:r w:rsidR="003D6B58">
        <w:rPr>
          <w:rFonts w:ascii="Arial" w:hAnsi="Arial" w:cs="Arial"/>
          <w:sz w:val="20"/>
          <w:szCs w:val="20"/>
        </w:rPr>
        <w:t>,</w:t>
      </w:r>
      <w:r w:rsidRPr="00B82246">
        <w:rPr>
          <w:rFonts w:ascii="Arial" w:hAnsi="Arial" w:cs="Arial"/>
          <w:sz w:val="20"/>
          <w:szCs w:val="20"/>
        </w:rPr>
        <w:t xml:space="preserve"> de acuerdo con la información del Sistema Único de Información</w:t>
      </w:r>
      <w:r w:rsidR="003D6B58">
        <w:rPr>
          <w:rFonts w:ascii="Arial" w:hAnsi="Arial" w:cs="Arial"/>
          <w:sz w:val="20"/>
          <w:szCs w:val="20"/>
        </w:rPr>
        <w:t>,</w:t>
      </w:r>
      <w:r w:rsidRPr="00B82246">
        <w:rPr>
          <w:rFonts w:ascii="Arial" w:hAnsi="Arial" w:cs="Arial"/>
          <w:sz w:val="20"/>
          <w:szCs w:val="20"/>
        </w:rPr>
        <w:t xml:space="preserve"> SUI</w:t>
      </w:r>
      <w:r w:rsidR="003D6B58">
        <w:rPr>
          <w:rFonts w:ascii="Arial" w:hAnsi="Arial" w:cs="Arial"/>
          <w:sz w:val="20"/>
          <w:szCs w:val="20"/>
        </w:rPr>
        <w:t>,</w:t>
      </w:r>
      <w:r w:rsidRPr="00B82246">
        <w:rPr>
          <w:rFonts w:ascii="Arial" w:hAnsi="Arial" w:cs="Arial"/>
          <w:sz w:val="20"/>
          <w:szCs w:val="20"/>
        </w:rPr>
        <w:t xml:space="preserve"> y del Registro Único de Prestadore</w:t>
      </w:r>
      <w:r w:rsidR="003D6B58">
        <w:rPr>
          <w:rFonts w:ascii="Arial" w:hAnsi="Arial" w:cs="Arial"/>
          <w:sz w:val="20"/>
          <w:szCs w:val="20"/>
        </w:rPr>
        <w:t>s,</w:t>
      </w:r>
      <w:r w:rsidRPr="00B82246">
        <w:rPr>
          <w:rFonts w:ascii="Arial" w:hAnsi="Arial" w:cs="Arial"/>
          <w:sz w:val="20"/>
          <w:szCs w:val="20"/>
        </w:rPr>
        <w:t xml:space="preserve"> RUPS</w:t>
      </w:r>
      <w:r w:rsidR="003D6B58">
        <w:rPr>
          <w:rFonts w:ascii="Arial" w:hAnsi="Arial" w:cs="Arial"/>
          <w:sz w:val="20"/>
          <w:szCs w:val="20"/>
        </w:rPr>
        <w:t>,</w:t>
      </w:r>
      <w:r w:rsidRPr="00B82246">
        <w:rPr>
          <w:rFonts w:ascii="Arial" w:hAnsi="Arial" w:cs="Arial"/>
          <w:sz w:val="20"/>
          <w:szCs w:val="20"/>
        </w:rPr>
        <w:t xml:space="preserve"> realizan la prestación </w:t>
      </w:r>
      <w:r w:rsidRPr="00B82246">
        <w:rPr>
          <w:rFonts w:ascii="Arial" w:eastAsia="MS Mincho" w:hAnsi="Arial" w:cs="Arial"/>
          <w:sz w:val="20"/>
          <w:szCs w:val="20"/>
        </w:rPr>
        <w:t>del</w:t>
      </w:r>
      <w:r w:rsidRPr="00B82246">
        <w:rPr>
          <w:rFonts w:ascii="Arial" w:hAnsi="Arial" w:cs="Arial"/>
          <w:sz w:val="20"/>
          <w:szCs w:val="20"/>
        </w:rPr>
        <w:t xml:space="preserve"> servicio de GLP en cilindros</w:t>
      </w:r>
      <w:r w:rsidRPr="0034087E">
        <w:rPr>
          <w:rFonts w:ascii="Arial" w:hAnsi="Arial" w:cs="Arial"/>
          <w:sz w:val="20"/>
          <w:szCs w:val="20"/>
        </w:rPr>
        <w:t xml:space="preserve"> y/o a granel. Dicha actividad se encuentra regulada en la Resolución CREG 023 de 2008, </w:t>
      </w:r>
      <w:r w:rsidRPr="0034087E">
        <w:rPr>
          <w:rFonts w:ascii="Arial" w:eastAsia="Times New Roman" w:hAnsi="Arial" w:cs="Arial"/>
          <w:sz w:val="20"/>
          <w:szCs w:val="20"/>
          <w:lang w:val="es-ES" w:eastAsia="es-ES"/>
        </w:rPr>
        <w:t xml:space="preserve">la cual </w:t>
      </w:r>
      <w:r w:rsidRPr="0034087E">
        <w:rPr>
          <w:rFonts w:ascii="Arial" w:hAnsi="Arial" w:cs="Arial"/>
          <w:sz w:val="20"/>
          <w:szCs w:val="20"/>
        </w:rPr>
        <w:t>ha definido esta actividad de la siguiente forma</w:t>
      </w:r>
      <w:r w:rsidRPr="0034087E">
        <w:rPr>
          <w:rFonts w:ascii="Arial" w:eastAsia="Times New Roman" w:hAnsi="Arial" w:cs="Arial"/>
          <w:sz w:val="20"/>
          <w:szCs w:val="20"/>
          <w:lang w:val="es-ES" w:eastAsia="es-ES"/>
        </w:rPr>
        <w:t>:</w:t>
      </w:r>
    </w:p>
    <w:p w14:paraId="1EF127E8" w14:textId="77777777" w:rsidR="0034087E" w:rsidRPr="0034087E" w:rsidRDefault="0034087E" w:rsidP="0034087E">
      <w:pPr>
        <w:ind w:left="-142" w:right="-142"/>
        <w:jc w:val="both"/>
        <w:rPr>
          <w:rFonts w:ascii="Arial" w:eastAsia="Times New Roman" w:hAnsi="Arial" w:cs="Arial"/>
          <w:sz w:val="20"/>
          <w:szCs w:val="20"/>
          <w:lang w:eastAsia="es-ES"/>
        </w:rPr>
      </w:pPr>
    </w:p>
    <w:p w14:paraId="2494C527" w14:textId="77777777" w:rsidR="0034087E" w:rsidRPr="003D6B58" w:rsidRDefault="0034087E" w:rsidP="003D6B58">
      <w:pPr>
        <w:tabs>
          <w:tab w:val="left" w:pos="-720"/>
          <w:tab w:val="left" w:pos="1276"/>
        </w:tabs>
        <w:suppressAutoHyphens/>
        <w:overflowPunct w:val="0"/>
        <w:autoSpaceDE w:val="0"/>
        <w:ind w:left="284"/>
        <w:jc w:val="both"/>
        <w:textAlignment w:val="baseline"/>
        <w:rPr>
          <w:rFonts w:ascii="Arial" w:eastAsia="Times New Roman" w:hAnsi="Arial" w:cs="Arial"/>
          <w:i/>
          <w:iCs/>
          <w:sz w:val="18"/>
          <w:szCs w:val="18"/>
          <w:lang w:val="es-ES" w:eastAsia="es-ES"/>
        </w:rPr>
      </w:pPr>
      <w:r w:rsidRPr="003D6B58">
        <w:rPr>
          <w:rFonts w:ascii="Arial" w:eastAsia="Times New Roman" w:hAnsi="Arial" w:cs="Arial"/>
          <w:i/>
          <w:iCs/>
          <w:sz w:val="18"/>
          <w:szCs w:val="18"/>
          <w:lang w:val="es-ES" w:eastAsia="es-ES"/>
        </w:rPr>
        <w:t>“</w:t>
      </w:r>
      <w:r w:rsidRPr="003D6B58">
        <w:rPr>
          <w:rFonts w:ascii="Arial" w:eastAsia="Times New Roman" w:hAnsi="Arial" w:cs="Arial"/>
          <w:b/>
          <w:i/>
          <w:iCs/>
          <w:sz w:val="18"/>
          <w:szCs w:val="18"/>
          <w:lang w:val="es-ES" w:eastAsia="es-ES"/>
        </w:rPr>
        <w:t>Distribución de GLP:</w:t>
      </w:r>
      <w:r w:rsidRPr="003D6B58">
        <w:rPr>
          <w:rFonts w:ascii="Arial" w:eastAsia="Times New Roman" w:hAnsi="Arial" w:cs="Arial"/>
          <w:i/>
          <w:iCs/>
          <w:sz w:val="18"/>
          <w:szCs w:val="18"/>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 </w:t>
      </w:r>
    </w:p>
    <w:p w14:paraId="7A5C22C9" w14:textId="77777777" w:rsidR="0034087E" w:rsidRPr="0034087E" w:rsidRDefault="0034087E" w:rsidP="0034087E">
      <w:pPr>
        <w:pStyle w:val="Textoindependiente2"/>
        <w:spacing w:after="0" w:line="240" w:lineRule="auto"/>
        <w:ind w:right="-142"/>
        <w:jc w:val="both"/>
        <w:rPr>
          <w:rFonts w:ascii="Arial" w:hAnsi="Arial" w:cs="Arial"/>
          <w:sz w:val="20"/>
          <w:szCs w:val="20"/>
        </w:rPr>
      </w:pPr>
    </w:p>
    <w:p w14:paraId="3BAF6D02" w14:textId="5F2FFAA8" w:rsidR="0034087E" w:rsidRPr="0034087E" w:rsidRDefault="0034087E" w:rsidP="0034087E">
      <w:pPr>
        <w:pStyle w:val="Textoindependiente2"/>
        <w:spacing w:after="0" w:line="240" w:lineRule="auto"/>
        <w:ind w:right="-142"/>
        <w:jc w:val="both"/>
        <w:rPr>
          <w:rFonts w:ascii="Arial" w:hAnsi="Arial" w:cs="Arial"/>
          <w:sz w:val="20"/>
          <w:szCs w:val="20"/>
        </w:rPr>
      </w:pPr>
      <w:r w:rsidRPr="0034087E">
        <w:rPr>
          <w:rFonts w:ascii="Arial" w:hAnsi="Arial" w:cs="Arial"/>
          <w:sz w:val="20"/>
          <w:szCs w:val="20"/>
        </w:rPr>
        <w:t>Dicha calidad y la realización de esta actividad se establece por parte de esta Comisión de acuerdo con lo previsto en la regulación, así como con base en la información registrada en el Sistema Único de Información</w:t>
      </w:r>
      <w:r w:rsidR="003D6B58">
        <w:rPr>
          <w:rFonts w:ascii="Arial" w:hAnsi="Arial" w:cs="Arial"/>
          <w:sz w:val="20"/>
          <w:szCs w:val="20"/>
        </w:rPr>
        <w:t>,</w:t>
      </w:r>
      <w:r w:rsidRPr="0034087E">
        <w:rPr>
          <w:rFonts w:ascii="Arial" w:hAnsi="Arial" w:cs="Arial"/>
          <w:sz w:val="20"/>
          <w:szCs w:val="20"/>
        </w:rPr>
        <w:t xml:space="preserve"> SUI</w:t>
      </w:r>
      <w:r w:rsidR="003D6B58">
        <w:rPr>
          <w:rFonts w:ascii="Arial" w:hAnsi="Arial" w:cs="Arial"/>
          <w:sz w:val="20"/>
          <w:szCs w:val="20"/>
        </w:rPr>
        <w:t>,</w:t>
      </w:r>
      <w:r w:rsidRPr="0034087E">
        <w:rPr>
          <w:rFonts w:ascii="Arial" w:hAnsi="Arial" w:cs="Arial"/>
          <w:sz w:val="20"/>
          <w:szCs w:val="20"/>
        </w:rPr>
        <w:t xml:space="preserve"> y el Registro Único de Prestadores de Servicios Públicos</w:t>
      </w:r>
      <w:r w:rsidR="003D6B58">
        <w:rPr>
          <w:rFonts w:ascii="Arial" w:hAnsi="Arial" w:cs="Arial"/>
          <w:sz w:val="20"/>
          <w:szCs w:val="20"/>
        </w:rPr>
        <w:t>,</w:t>
      </w:r>
      <w:r w:rsidRPr="0034087E">
        <w:rPr>
          <w:rFonts w:ascii="Arial" w:hAnsi="Arial" w:cs="Arial"/>
          <w:sz w:val="20"/>
          <w:szCs w:val="20"/>
        </w:rPr>
        <w:t xml:space="preserve"> RUPS</w:t>
      </w:r>
      <w:r w:rsidR="003D6B58">
        <w:rPr>
          <w:rFonts w:ascii="Arial" w:hAnsi="Arial" w:cs="Arial"/>
          <w:sz w:val="20"/>
          <w:szCs w:val="20"/>
        </w:rPr>
        <w:t>,</w:t>
      </w:r>
      <w:r w:rsidRPr="0034087E">
        <w:rPr>
          <w:rFonts w:ascii="Arial" w:hAnsi="Arial" w:cs="Arial"/>
          <w:sz w:val="20"/>
          <w:szCs w:val="20"/>
        </w:rPr>
        <w:t xml:space="preserve"> a cargo de la Superintendencia de Servicios Públicos Domiciliarios, cuando se advierte de esta última la existencia de al menos uno de los siguientes eventos: i) encontrarse activo en el RUPS como distribuidor prestador del servicio en cilindros o a granel; ii) tener reportadas ventas de GLP en cilindros y/o tanques estacionarios a usuarios finales en el SUI; iii) contar con inversiones en cilindros o reportar tanques atendidos. </w:t>
      </w:r>
    </w:p>
    <w:p w14:paraId="53F5C675" w14:textId="77777777" w:rsidR="0034087E" w:rsidRPr="0034087E" w:rsidRDefault="0034087E" w:rsidP="0034087E">
      <w:pPr>
        <w:jc w:val="both"/>
        <w:rPr>
          <w:rFonts w:ascii="Arial" w:eastAsia="Times New Roman" w:hAnsi="Arial" w:cs="Arial"/>
          <w:spacing w:val="-5"/>
          <w:sz w:val="20"/>
          <w:szCs w:val="20"/>
        </w:rPr>
      </w:pPr>
    </w:p>
    <w:p w14:paraId="16CB6374" w14:textId="77777777" w:rsidR="0034087E" w:rsidRPr="0034087E" w:rsidRDefault="0034087E" w:rsidP="0034087E">
      <w:pPr>
        <w:jc w:val="both"/>
        <w:rPr>
          <w:rFonts w:ascii="Arial" w:eastAsia="MS Mincho" w:hAnsi="Arial" w:cs="Arial"/>
          <w:sz w:val="20"/>
          <w:szCs w:val="20"/>
        </w:rPr>
      </w:pPr>
      <w:r w:rsidRPr="0034087E">
        <w:rPr>
          <w:rFonts w:ascii="Arial" w:eastAsia="MS Mincho" w:hAnsi="Arial" w:cs="Arial"/>
          <w:sz w:val="20"/>
          <w:szCs w:val="20"/>
        </w:rPr>
        <w:t>Así mismo, el período de compra ha sido definido en el artículo 2 de la Resolución CREG 063 de 2016 como:</w:t>
      </w:r>
    </w:p>
    <w:p w14:paraId="13B310AA" w14:textId="77777777" w:rsidR="0034087E" w:rsidRPr="003D6B58" w:rsidRDefault="0034087E" w:rsidP="0034087E">
      <w:pPr>
        <w:tabs>
          <w:tab w:val="left" w:pos="-720"/>
          <w:tab w:val="left" w:pos="1276"/>
        </w:tabs>
        <w:suppressAutoHyphens/>
        <w:overflowPunct w:val="0"/>
        <w:autoSpaceDE w:val="0"/>
        <w:ind w:left="284" w:right="284"/>
        <w:jc w:val="both"/>
        <w:textAlignment w:val="baseline"/>
        <w:rPr>
          <w:rFonts w:ascii="Arial" w:eastAsia="Times New Roman" w:hAnsi="Arial" w:cs="Arial"/>
          <w:i/>
          <w:iCs/>
          <w:sz w:val="20"/>
          <w:szCs w:val="20"/>
          <w:lang w:val="es-ES" w:eastAsia="es-ES"/>
        </w:rPr>
      </w:pPr>
    </w:p>
    <w:p w14:paraId="57931416" w14:textId="77777777" w:rsidR="0034087E" w:rsidRPr="003D6B58" w:rsidRDefault="0034087E" w:rsidP="003D6B58">
      <w:pPr>
        <w:ind w:left="284"/>
        <w:jc w:val="both"/>
        <w:rPr>
          <w:rFonts w:ascii="Arial" w:eastAsia="Times New Roman" w:hAnsi="Arial" w:cs="Arial"/>
          <w:i/>
          <w:iCs/>
          <w:sz w:val="18"/>
          <w:szCs w:val="18"/>
          <w:lang w:val="es-ES" w:eastAsia="es-ES"/>
        </w:rPr>
      </w:pPr>
      <w:r w:rsidRPr="003D6B58">
        <w:rPr>
          <w:rFonts w:ascii="Arial" w:eastAsia="Times New Roman" w:hAnsi="Arial" w:cs="Arial"/>
          <w:i/>
          <w:iCs/>
          <w:sz w:val="18"/>
          <w:szCs w:val="18"/>
          <w:lang w:val="es-ES" w:eastAsia="es-ES"/>
        </w:rPr>
        <w:t>“</w:t>
      </w:r>
      <w:r w:rsidRPr="003D6B58">
        <w:rPr>
          <w:rFonts w:ascii="Arial" w:eastAsia="Times New Roman" w:hAnsi="Arial" w:cs="Arial"/>
          <w:b/>
          <w:i/>
          <w:iCs/>
          <w:sz w:val="18"/>
          <w:szCs w:val="18"/>
          <w:lang w:val="es-ES" w:eastAsia="es-ES"/>
        </w:rPr>
        <w:t>Periodo de compra:</w:t>
      </w:r>
      <w:r w:rsidRPr="003D6B58">
        <w:rPr>
          <w:rFonts w:ascii="Arial" w:eastAsia="Times New Roman" w:hAnsi="Arial" w:cs="Arial"/>
          <w:i/>
          <w:iCs/>
          <w:sz w:val="18"/>
          <w:szCs w:val="18"/>
          <w:lang w:val="es-ES" w:eastAsia="es-ES"/>
        </w:rPr>
        <w:t xml:space="preserve"> periodo de 6 meses que inicia un primero (1) de julio de cada año y terminará el treinta y uno (31) de diciembre del mismo año o aquel que inicia del primero (1) de enero de cada año y termina el treinta (30) de junio del mismo año.”</w:t>
      </w:r>
    </w:p>
    <w:p w14:paraId="40767106" w14:textId="77777777" w:rsidR="0034087E" w:rsidRPr="0034087E" w:rsidRDefault="0034087E" w:rsidP="0034087E">
      <w:pPr>
        <w:jc w:val="both"/>
        <w:rPr>
          <w:rFonts w:ascii="Arial" w:eastAsia="MS Mincho" w:hAnsi="Arial" w:cs="Arial"/>
          <w:sz w:val="20"/>
          <w:szCs w:val="20"/>
        </w:rPr>
      </w:pPr>
    </w:p>
    <w:p w14:paraId="1ADAD5A3" w14:textId="08E8CEB8" w:rsidR="0034087E" w:rsidRDefault="0034087E" w:rsidP="0034087E">
      <w:pPr>
        <w:contextualSpacing/>
        <w:jc w:val="both"/>
        <w:rPr>
          <w:rFonts w:ascii="Arial" w:eastAsia="Times New Roman" w:hAnsi="Arial" w:cs="Arial"/>
          <w:sz w:val="20"/>
          <w:szCs w:val="20"/>
          <w:lang w:eastAsia="es-ES"/>
        </w:rPr>
      </w:pPr>
      <w:r w:rsidRPr="0034087E">
        <w:rPr>
          <w:rFonts w:ascii="Arial" w:eastAsia="Times New Roman" w:hAnsi="Arial" w:cs="Arial"/>
          <w:sz w:val="20"/>
          <w:szCs w:val="20"/>
          <w:lang w:eastAsia="es-ES"/>
        </w:rPr>
        <w:t xml:space="preserve">El </w:t>
      </w:r>
      <w:r w:rsidR="00C82402">
        <w:rPr>
          <w:rFonts w:ascii="Arial" w:eastAsia="Times New Roman" w:hAnsi="Arial" w:cs="Arial"/>
          <w:sz w:val="20"/>
          <w:szCs w:val="20"/>
          <w:lang w:eastAsia="es-ES"/>
        </w:rPr>
        <w:t>noveno</w:t>
      </w:r>
      <w:r w:rsidRPr="0034087E">
        <w:rPr>
          <w:rFonts w:ascii="Arial" w:eastAsia="Times New Roman" w:hAnsi="Arial" w:cs="Arial"/>
          <w:sz w:val="20"/>
          <w:szCs w:val="20"/>
          <w:lang w:eastAsia="es-ES"/>
        </w:rPr>
        <w:t xml:space="preserve"> período de compra corresponderá</w:t>
      </w:r>
      <w:r w:rsidR="003D6B58">
        <w:rPr>
          <w:rFonts w:ascii="Arial" w:eastAsia="Times New Roman" w:hAnsi="Arial" w:cs="Arial"/>
          <w:sz w:val="20"/>
          <w:szCs w:val="20"/>
          <w:lang w:eastAsia="es-ES"/>
        </w:rPr>
        <w:t>,</w:t>
      </w:r>
      <w:r w:rsidRPr="0034087E">
        <w:rPr>
          <w:rFonts w:ascii="Arial" w:eastAsia="Times New Roman" w:hAnsi="Arial" w:cs="Arial"/>
          <w:sz w:val="20"/>
          <w:szCs w:val="20"/>
          <w:lang w:eastAsia="es-ES"/>
        </w:rPr>
        <w:t xml:space="preserve"> atendiendo lo previsto en el artículo 2 de la Resolución CREG 063 de 2016</w:t>
      </w:r>
      <w:r w:rsidR="003D6B58">
        <w:rPr>
          <w:rFonts w:ascii="Arial" w:eastAsia="Times New Roman" w:hAnsi="Arial" w:cs="Arial"/>
          <w:sz w:val="20"/>
          <w:szCs w:val="20"/>
          <w:lang w:eastAsia="es-ES"/>
        </w:rPr>
        <w:t>,</w:t>
      </w:r>
      <w:r w:rsidRPr="0034087E">
        <w:rPr>
          <w:rFonts w:ascii="Arial" w:eastAsia="Times New Roman" w:hAnsi="Arial" w:cs="Arial"/>
          <w:sz w:val="20"/>
          <w:szCs w:val="20"/>
          <w:lang w:eastAsia="es-ES"/>
        </w:rPr>
        <w:t xml:space="preserve"> al per</w:t>
      </w:r>
      <w:r w:rsidR="003D6B58">
        <w:rPr>
          <w:rFonts w:ascii="Arial" w:eastAsia="Times New Roman" w:hAnsi="Arial" w:cs="Arial"/>
          <w:sz w:val="20"/>
          <w:szCs w:val="20"/>
          <w:lang w:eastAsia="es-ES"/>
        </w:rPr>
        <w:t>í</w:t>
      </w:r>
      <w:r w:rsidRPr="0034087E">
        <w:rPr>
          <w:rFonts w:ascii="Arial" w:eastAsia="Times New Roman" w:hAnsi="Arial" w:cs="Arial"/>
          <w:sz w:val="20"/>
          <w:szCs w:val="20"/>
          <w:lang w:eastAsia="es-ES"/>
        </w:rPr>
        <w:t xml:space="preserve">odo de </w:t>
      </w:r>
      <w:r w:rsidR="003D6B58">
        <w:rPr>
          <w:rFonts w:ascii="Arial" w:eastAsia="Times New Roman" w:hAnsi="Arial" w:cs="Arial"/>
          <w:sz w:val="20"/>
          <w:szCs w:val="20"/>
          <w:lang w:eastAsia="es-ES"/>
        </w:rPr>
        <w:t>seis (</w:t>
      </w:r>
      <w:r w:rsidRPr="0034087E">
        <w:rPr>
          <w:rFonts w:ascii="Arial" w:eastAsia="Times New Roman" w:hAnsi="Arial" w:cs="Arial"/>
          <w:sz w:val="20"/>
          <w:szCs w:val="20"/>
          <w:lang w:eastAsia="es-ES"/>
        </w:rPr>
        <w:t>6</w:t>
      </w:r>
      <w:r w:rsidR="003D6B58">
        <w:rPr>
          <w:rFonts w:ascii="Arial" w:eastAsia="Times New Roman" w:hAnsi="Arial" w:cs="Arial"/>
          <w:sz w:val="20"/>
          <w:szCs w:val="20"/>
          <w:lang w:eastAsia="es-ES"/>
        </w:rPr>
        <w:t>)</w:t>
      </w:r>
      <w:r w:rsidRPr="0034087E">
        <w:rPr>
          <w:rFonts w:ascii="Arial" w:eastAsia="Times New Roman" w:hAnsi="Arial" w:cs="Arial"/>
          <w:sz w:val="20"/>
          <w:szCs w:val="20"/>
          <w:lang w:eastAsia="es-ES"/>
        </w:rPr>
        <w:t xml:space="preserve"> meses que inicia el primero (1) de </w:t>
      </w:r>
      <w:r w:rsidR="00160DE3">
        <w:rPr>
          <w:rFonts w:ascii="Arial" w:eastAsia="Times New Roman" w:hAnsi="Arial" w:cs="Arial"/>
          <w:sz w:val="20"/>
          <w:szCs w:val="20"/>
          <w:lang w:eastAsia="es-ES"/>
        </w:rPr>
        <w:t>enero</w:t>
      </w:r>
      <w:r w:rsidR="00D10F66" w:rsidRPr="0034087E">
        <w:rPr>
          <w:rFonts w:ascii="Arial" w:eastAsia="Times New Roman" w:hAnsi="Arial" w:cs="Arial"/>
          <w:sz w:val="20"/>
          <w:szCs w:val="20"/>
          <w:lang w:eastAsia="es-ES"/>
        </w:rPr>
        <w:t xml:space="preserve"> </w:t>
      </w:r>
      <w:r w:rsidRPr="0034087E">
        <w:rPr>
          <w:rFonts w:ascii="Arial" w:eastAsia="Times New Roman" w:hAnsi="Arial" w:cs="Arial"/>
          <w:sz w:val="20"/>
          <w:szCs w:val="20"/>
          <w:lang w:eastAsia="es-ES"/>
        </w:rPr>
        <w:t>de 20</w:t>
      </w:r>
      <w:r w:rsidR="00B82246">
        <w:rPr>
          <w:rFonts w:ascii="Arial" w:eastAsia="Times New Roman" w:hAnsi="Arial" w:cs="Arial"/>
          <w:sz w:val="20"/>
          <w:szCs w:val="20"/>
          <w:lang w:eastAsia="es-ES"/>
        </w:rPr>
        <w:t>21</w:t>
      </w:r>
      <w:r w:rsidRPr="0034087E">
        <w:rPr>
          <w:rFonts w:ascii="Arial" w:eastAsia="Times New Roman" w:hAnsi="Arial" w:cs="Arial"/>
          <w:sz w:val="20"/>
          <w:szCs w:val="20"/>
          <w:lang w:eastAsia="es-ES"/>
        </w:rPr>
        <w:t xml:space="preserve"> y t</w:t>
      </w:r>
      <w:r w:rsidR="005141DA">
        <w:rPr>
          <w:rFonts w:ascii="Arial" w:eastAsia="Times New Roman" w:hAnsi="Arial" w:cs="Arial"/>
          <w:sz w:val="20"/>
          <w:szCs w:val="20"/>
          <w:lang w:eastAsia="es-ES"/>
        </w:rPr>
        <w:t>ermina el treinta</w:t>
      </w:r>
      <w:r w:rsidR="00D10F66">
        <w:rPr>
          <w:rFonts w:ascii="Arial" w:eastAsia="Times New Roman" w:hAnsi="Arial" w:cs="Arial"/>
          <w:sz w:val="20"/>
          <w:szCs w:val="20"/>
          <w:lang w:eastAsia="es-ES"/>
        </w:rPr>
        <w:t xml:space="preserve"> </w:t>
      </w:r>
      <w:r w:rsidR="005141DA">
        <w:rPr>
          <w:rFonts w:ascii="Arial" w:eastAsia="Times New Roman" w:hAnsi="Arial" w:cs="Arial"/>
          <w:sz w:val="20"/>
          <w:szCs w:val="20"/>
          <w:lang w:eastAsia="es-ES"/>
        </w:rPr>
        <w:t>(3</w:t>
      </w:r>
      <w:r w:rsidR="00160DE3">
        <w:rPr>
          <w:rFonts w:ascii="Arial" w:eastAsia="Times New Roman" w:hAnsi="Arial" w:cs="Arial"/>
          <w:sz w:val="20"/>
          <w:szCs w:val="20"/>
          <w:lang w:eastAsia="es-ES"/>
        </w:rPr>
        <w:t>0</w:t>
      </w:r>
      <w:r w:rsidR="005141DA">
        <w:rPr>
          <w:rFonts w:ascii="Arial" w:eastAsia="Times New Roman" w:hAnsi="Arial" w:cs="Arial"/>
          <w:sz w:val="20"/>
          <w:szCs w:val="20"/>
          <w:lang w:eastAsia="es-ES"/>
        </w:rPr>
        <w:t xml:space="preserve">) de </w:t>
      </w:r>
      <w:r w:rsidR="00160DE3">
        <w:rPr>
          <w:rFonts w:ascii="Arial" w:eastAsia="Times New Roman" w:hAnsi="Arial" w:cs="Arial"/>
          <w:sz w:val="20"/>
          <w:szCs w:val="20"/>
          <w:lang w:eastAsia="es-ES"/>
        </w:rPr>
        <w:t>junio</w:t>
      </w:r>
      <w:r w:rsidR="005141DA">
        <w:rPr>
          <w:rFonts w:ascii="Arial" w:eastAsia="Times New Roman" w:hAnsi="Arial" w:cs="Arial"/>
          <w:sz w:val="20"/>
          <w:szCs w:val="20"/>
          <w:lang w:eastAsia="es-ES"/>
        </w:rPr>
        <w:t xml:space="preserve"> </w:t>
      </w:r>
      <w:r w:rsidRPr="0034087E">
        <w:rPr>
          <w:rFonts w:ascii="Arial" w:eastAsia="Times New Roman" w:hAnsi="Arial" w:cs="Arial"/>
          <w:sz w:val="20"/>
          <w:szCs w:val="20"/>
          <w:lang w:eastAsia="es-ES"/>
        </w:rPr>
        <w:t xml:space="preserve">del mismo año. En atención a lo anterior, dichas capacidades serán aplicables para las cantidades que sean comercializadas o que se estén comercializando a partir de la expedición de la presente circular y hasta la finalización del </w:t>
      </w:r>
      <w:r w:rsidR="00C82402">
        <w:rPr>
          <w:rFonts w:ascii="Arial" w:eastAsia="Times New Roman" w:hAnsi="Arial" w:cs="Arial"/>
          <w:sz w:val="20"/>
          <w:szCs w:val="20"/>
          <w:lang w:eastAsia="es-ES"/>
        </w:rPr>
        <w:t>noveno</w:t>
      </w:r>
      <w:r w:rsidRPr="0034087E">
        <w:rPr>
          <w:rFonts w:ascii="Arial" w:eastAsia="Times New Roman" w:hAnsi="Arial" w:cs="Arial"/>
          <w:sz w:val="20"/>
          <w:szCs w:val="20"/>
          <w:lang w:eastAsia="es-ES"/>
        </w:rPr>
        <w:t xml:space="preserve"> período de compra.</w:t>
      </w:r>
    </w:p>
    <w:p w14:paraId="664F2A54" w14:textId="77777777" w:rsidR="003D6B58" w:rsidRPr="0034087E" w:rsidRDefault="003D6B58" w:rsidP="0034087E">
      <w:pPr>
        <w:contextualSpacing/>
        <w:jc w:val="both"/>
        <w:rPr>
          <w:rFonts w:ascii="Arial" w:eastAsia="Times New Roman" w:hAnsi="Arial" w:cs="Arial"/>
          <w:sz w:val="20"/>
          <w:szCs w:val="20"/>
          <w:lang w:eastAsia="es-ES"/>
        </w:rPr>
      </w:pPr>
    </w:p>
    <w:p w14:paraId="0E58C83B" w14:textId="77777777" w:rsidR="0034087E" w:rsidRPr="00B82246" w:rsidRDefault="0034087E" w:rsidP="0034087E">
      <w:pPr>
        <w:jc w:val="both"/>
        <w:rPr>
          <w:rFonts w:ascii="Arial" w:eastAsia="MS Mincho" w:hAnsi="Arial" w:cs="Arial"/>
          <w:sz w:val="20"/>
          <w:szCs w:val="20"/>
        </w:rPr>
      </w:pPr>
      <w:r w:rsidRPr="0034087E">
        <w:rPr>
          <w:rFonts w:ascii="Arial" w:eastAsia="MS Mincho" w:hAnsi="Arial" w:cs="Arial"/>
          <w:sz w:val="20"/>
          <w:szCs w:val="20"/>
        </w:rPr>
        <w:t xml:space="preserve">De acuerdo con lo previsto en la regulación, se establece </w:t>
      </w:r>
      <w:r w:rsidR="00C568B6" w:rsidRPr="0034087E">
        <w:rPr>
          <w:rFonts w:ascii="Arial" w:eastAsia="MS Mincho" w:hAnsi="Arial" w:cs="Arial"/>
          <w:sz w:val="20"/>
          <w:szCs w:val="20"/>
        </w:rPr>
        <w:t>que,</w:t>
      </w:r>
      <w:r w:rsidRPr="0034087E">
        <w:rPr>
          <w:rFonts w:ascii="Arial" w:eastAsia="MS Mincho" w:hAnsi="Arial" w:cs="Arial"/>
          <w:sz w:val="20"/>
          <w:szCs w:val="20"/>
        </w:rPr>
        <w:t xml:space="preserve"> para la aplicación de la capacidad de compra, así como para el cumplimiento de las obligaciones consagradas en la Resolución CREG 063 de 2016 para el caso de los comercializadores mayoristas y los distribuidores, dicha capacidad debe estar definida y </w:t>
      </w:r>
      <w:r w:rsidRPr="00B82246">
        <w:rPr>
          <w:rFonts w:ascii="Arial" w:eastAsia="MS Mincho" w:hAnsi="Arial" w:cs="Arial"/>
          <w:sz w:val="20"/>
          <w:szCs w:val="20"/>
        </w:rPr>
        <w:t xml:space="preserve">publicada por la CREG con anterioridad al inicio de un período de compra. </w:t>
      </w:r>
    </w:p>
    <w:p w14:paraId="7F062C03" w14:textId="77777777" w:rsidR="0034087E" w:rsidRPr="00B82246" w:rsidRDefault="0034087E" w:rsidP="0034087E">
      <w:pPr>
        <w:jc w:val="both"/>
        <w:rPr>
          <w:rFonts w:ascii="Arial" w:eastAsia="Times New Roman" w:hAnsi="Arial" w:cs="Arial"/>
          <w:spacing w:val="-5"/>
          <w:sz w:val="20"/>
          <w:szCs w:val="20"/>
        </w:rPr>
      </w:pPr>
    </w:p>
    <w:p w14:paraId="2AD37237" w14:textId="2EB52022" w:rsidR="0034087E" w:rsidRDefault="0034087E" w:rsidP="0034087E">
      <w:pPr>
        <w:jc w:val="both"/>
        <w:rPr>
          <w:rFonts w:ascii="Arial" w:eastAsia="Times New Roman" w:hAnsi="Arial" w:cs="Arial"/>
          <w:spacing w:val="-5"/>
          <w:sz w:val="20"/>
          <w:szCs w:val="20"/>
        </w:rPr>
      </w:pPr>
      <w:r w:rsidRPr="00B82246">
        <w:rPr>
          <w:rFonts w:ascii="Arial" w:eastAsia="Times New Roman" w:hAnsi="Arial" w:cs="Arial"/>
          <w:spacing w:val="-5"/>
          <w:sz w:val="20"/>
          <w:szCs w:val="20"/>
        </w:rPr>
        <w:t xml:space="preserve">Como resultado de las actuaciones administrativas desarrolladas en virtud de lo dispuesto en el artículo 8 de la Resolución CREG 063 de 2016, así como resueltos los recursos de reposición en contra de la Resolución CREG </w:t>
      </w:r>
      <w:r w:rsidR="00F33938" w:rsidRPr="00B82246">
        <w:rPr>
          <w:rFonts w:ascii="Arial" w:eastAsia="Times New Roman" w:hAnsi="Arial" w:cs="Arial"/>
          <w:spacing w:val="-5"/>
          <w:sz w:val="20"/>
          <w:szCs w:val="20"/>
        </w:rPr>
        <w:t>21</w:t>
      </w:r>
      <w:r w:rsidR="00330770" w:rsidRPr="00B82246">
        <w:rPr>
          <w:rFonts w:ascii="Arial" w:eastAsia="Times New Roman" w:hAnsi="Arial" w:cs="Arial"/>
          <w:spacing w:val="-5"/>
          <w:sz w:val="20"/>
          <w:szCs w:val="20"/>
        </w:rPr>
        <w:t xml:space="preserve">8 </w:t>
      </w:r>
      <w:r w:rsidR="00F33938" w:rsidRPr="00B82246">
        <w:rPr>
          <w:rFonts w:ascii="Arial" w:eastAsia="Times New Roman" w:hAnsi="Arial" w:cs="Arial"/>
          <w:spacing w:val="-5"/>
          <w:sz w:val="20"/>
          <w:szCs w:val="20"/>
        </w:rPr>
        <w:t>de 2020</w:t>
      </w:r>
      <w:r w:rsidRPr="00B82246">
        <w:rPr>
          <w:rFonts w:ascii="Arial" w:eastAsia="Times New Roman" w:hAnsi="Arial" w:cs="Arial"/>
          <w:spacing w:val="-5"/>
          <w:sz w:val="20"/>
          <w:szCs w:val="20"/>
        </w:rPr>
        <w:t>, las siguientes corresponden a las capacidades definidas y en firme para los distribuidores de GLP:</w:t>
      </w:r>
    </w:p>
    <w:p w14:paraId="0CD17D07" w14:textId="3DED4C42" w:rsidR="0034087E" w:rsidRDefault="0034087E" w:rsidP="0034087E">
      <w:pPr>
        <w:jc w:val="both"/>
        <w:rPr>
          <w:rFonts w:ascii="Arial" w:eastAsia="MS Mincho" w:hAnsi="Arial" w:cs="Arial"/>
          <w:sz w:val="20"/>
          <w:szCs w:val="20"/>
        </w:rPr>
      </w:pPr>
    </w:p>
    <w:tbl>
      <w:tblPr>
        <w:tblW w:w="5103" w:type="pct"/>
        <w:tblLayout w:type="fixed"/>
        <w:tblCellMar>
          <w:left w:w="70" w:type="dxa"/>
          <w:right w:w="70" w:type="dxa"/>
        </w:tblCellMar>
        <w:tblLook w:val="04A0" w:firstRow="1" w:lastRow="0" w:firstColumn="1" w:lastColumn="0" w:noHBand="0" w:noVBand="1"/>
      </w:tblPr>
      <w:tblGrid>
        <w:gridCol w:w="845"/>
        <w:gridCol w:w="6293"/>
        <w:gridCol w:w="1872"/>
      </w:tblGrid>
      <w:tr w:rsidR="00F33938" w:rsidRPr="00AF4667" w14:paraId="2030201D" w14:textId="77777777" w:rsidTr="00AF4667">
        <w:trPr>
          <w:trHeight w:val="405"/>
          <w:tblHeader/>
        </w:trPr>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E57F7" w14:textId="77777777" w:rsidR="00F33938" w:rsidRPr="00AF4667" w:rsidRDefault="00F33938" w:rsidP="003D6B58">
            <w:pPr>
              <w:jc w:val="center"/>
              <w:rPr>
                <w:rFonts w:ascii="Arial" w:eastAsia="Times New Roman" w:hAnsi="Arial" w:cs="Arial"/>
                <w:b/>
                <w:color w:val="000000"/>
                <w:sz w:val="18"/>
                <w:szCs w:val="18"/>
                <w:lang w:val="es-CO" w:eastAsia="es-CO"/>
              </w:rPr>
            </w:pPr>
            <w:r w:rsidRPr="00AF4667">
              <w:rPr>
                <w:rFonts w:ascii="Arial" w:eastAsia="Times New Roman" w:hAnsi="Arial" w:cs="Arial"/>
                <w:b/>
                <w:color w:val="000000"/>
                <w:sz w:val="18"/>
                <w:szCs w:val="18"/>
                <w:lang w:val="es-CO" w:eastAsia="es-CO"/>
              </w:rPr>
              <w:t>Código SUI</w:t>
            </w:r>
          </w:p>
        </w:tc>
        <w:tc>
          <w:tcPr>
            <w:tcW w:w="3491" w:type="pct"/>
            <w:tcBorders>
              <w:top w:val="single" w:sz="4" w:space="0" w:color="auto"/>
              <w:left w:val="nil"/>
              <w:bottom w:val="single" w:sz="4" w:space="0" w:color="auto"/>
              <w:right w:val="single" w:sz="4" w:space="0" w:color="auto"/>
            </w:tcBorders>
            <w:shd w:val="clear" w:color="auto" w:fill="auto"/>
            <w:noWrap/>
            <w:vAlign w:val="center"/>
          </w:tcPr>
          <w:p w14:paraId="4B619797" w14:textId="77777777" w:rsidR="00F33938" w:rsidRPr="00AF4667" w:rsidRDefault="00F33938" w:rsidP="003D6B58">
            <w:pPr>
              <w:jc w:val="center"/>
              <w:rPr>
                <w:rFonts w:ascii="Arial" w:eastAsia="Times New Roman" w:hAnsi="Arial" w:cs="Arial"/>
                <w:b/>
                <w:color w:val="000000"/>
                <w:sz w:val="18"/>
                <w:szCs w:val="18"/>
                <w:lang w:val="es-CO" w:eastAsia="es-CO"/>
              </w:rPr>
            </w:pPr>
            <w:r w:rsidRPr="00AF4667">
              <w:rPr>
                <w:rFonts w:ascii="Arial" w:eastAsia="Times New Roman" w:hAnsi="Arial" w:cs="Arial"/>
                <w:b/>
                <w:color w:val="000000"/>
                <w:sz w:val="18"/>
                <w:szCs w:val="18"/>
                <w:lang w:val="es-CO" w:eastAsia="es-CO"/>
              </w:rPr>
              <w:t>Empresa</w:t>
            </w:r>
          </w:p>
        </w:tc>
        <w:tc>
          <w:tcPr>
            <w:tcW w:w="1039" w:type="pct"/>
            <w:tcBorders>
              <w:top w:val="single" w:sz="4" w:space="0" w:color="auto"/>
              <w:left w:val="nil"/>
              <w:bottom w:val="single" w:sz="4" w:space="0" w:color="auto"/>
              <w:right w:val="single" w:sz="4" w:space="0" w:color="auto"/>
            </w:tcBorders>
            <w:shd w:val="clear" w:color="auto" w:fill="auto"/>
            <w:noWrap/>
            <w:vAlign w:val="center"/>
          </w:tcPr>
          <w:p w14:paraId="7A01553E" w14:textId="77777777" w:rsidR="00F33938" w:rsidRPr="00AF4667" w:rsidRDefault="00F33938" w:rsidP="003D6B58">
            <w:pPr>
              <w:jc w:val="center"/>
              <w:rPr>
                <w:rFonts w:ascii="Arial" w:eastAsia="Times New Roman" w:hAnsi="Arial" w:cs="Arial"/>
                <w:b/>
                <w:color w:val="000000"/>
                <w:sz w:val="18"/>
                <w:szCs w:val="18"/>
                <w:lang w:val="es-CO" w:eastAsia="es-CO"/>
              </w:rPr>
            </w:pPr>
            <w:r w:rsidRPr="00AF4667">
              <w:rPr>
                <w:rFonts w:ascii="Arial" w:eastAsia="Times New Roman" w:hAnsi="Arial" w:cs="Arial"/>
                <w:b/>
                <w:color w:val="000000"/>
                <w:sz w:val="18"/>
                <w:szCs w:val="18"/>
                <w:lang w:val="es-CO" w:eastAsia="es-CO"/>
              </w:rPr>
              <w:t>CC2021-I</w:t>
            </w:r>
          </w:p>
        </w:tc>
      </w:tr>
      <w:tr w:rsidR="00F33938" w:rsidRPr="00AF4667" w14:paraId="0A23311A" w14:textId="77777777" w:rsidTr="00AF4667">
        <w:trPr>
          <w:trHeight w:val="405"/>
        </w:trPr>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CC44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522</w:t>
            </w:r>
          </w:p>
        </w:tc>
        <w:tc>
          <w:tcPr>
            <w:tcW w:w="3491" w:type="pct"/>
            <w:tcBorders>
              <w:top w:val="single" w:sz="4" w:space="0" w:color="auto"/>
              <w:left w:val="nil"/>
              <w:bottom w:val="single" w:sz="4" w:space="0" w:color="auto"/>
              <w:right w:val="single" w:sz="4" w:space="0" w:color="auto"/>
            </w:tcBorders>
            <w:shd w:val="clear" w:color="auto" w:fill="auto"/>
            <w:noWrap/>
            <w:vAlign w:val="center"/>
            <w:hideMark/>
          </w:tcPr>
          <w:p w14:paraId="291316D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NORTESANTANDEREANA DE GAS S.A. E.S.P.</w:t>
            </w:r>
          </w:p>
        </w:tc>
        <w:tc>
          <w:tcPr>
            <w:tcW w:w="1039" w:type="pct"/>
            <w:tcBorders>
              <w:top w:val="single" w:sz="4" w:space="0" w:color="auto"/>
              <w:left w:val="nil"/>
              <w:bottom w:val="single" w:sz="4" w:space="0" w:color="auto"/>
              <w:right w:val="single" w:sz="4" w:space="0" w:color="auto"/>
            </w:tcBorders>
            <w:shd w:val="clear" w:color="auto" w:fill="auto"/>
            <w:noWrap/>
            <w:vAlign w:val="center"/>
            <w:hideMark/>
          </w:tcPr>
          <w:p w14:paraId="5C60D6F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162,075,596 </w:t>
            </w:r>
          </w:p>
        </w:tc>
      </w:tr>
      <w:tr w:rsidR="00F33938" w:rsidRPr="00AF4667" w14:paraId="5B72AE8D"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31F597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543</w:t>
            </w:r>
          </w:p>
        </w:tc>
        <w:tc>
          <w:tcPr>
            <w:tcW w:w="3491" w:type="pct"/>
            <w:tcBorders>
              <w:top w:val="nil"/>
              <w:left w:val="nil"/>
              <w:bottom w:val="single" w:sz="4" w:space="0" w:color="auto"/>
              <w:right w:val="single" w:sz="4" w:space="0" w:color="auto"/>
            </w:tcBorders>
            <w:shd w:val="clear" w:color="auto" w:fill="auto"/>
            <w:noWrap/>
            <w:vAlign w:val="center"/>
            <w:hideMark/>
          </w:tcPr>
          <w:p w14:paraId="64B8B5D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PROVIGAS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1D26255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2,136,474 </w:t>
            </w:r>
          </w:p>
        </w:tc>
      </w:tr>
      <w:tr w:rsidR="00F33938" w:rsidRPr="00AF4667" w14:paraId="54AF82D0"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99F496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976</w:t>
            </w:r>
          </w:p>
        </w:tc>
        <w:tc>
          <w:tcPr>
            <w:tcW w:w="3491" w:type="pct"/>
            <w:tcBorders>
              <w:top w:val="nil"/>
              <w:left w:val="nil"/>
              <w:bottom w:val="single" w:sz="4" w:space="0" w:color="auto"/>
              <w:right w:val="single" w:sz="4" w:space="0" w:color="auto"/>
            </w:tcBorders>
            <w:shd w:val="clear" w:color="auto" w:fill="auto"/>
            <w:noWrap/>
            <w:vAlign w:val="center"/>
            <w:hideMark/>
          </w:tcPr>
          <w:p w14:paraId="4ED03A7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ZIPA SAS  ESP</w:t>
            </w:r>
          </w:p>
        </w:tc>
        <w:tc>
          <w:tcPr>
            <w:tcW w:w="1039" w:type="pct"/>
            <w:tcBorders>
              <w:top w:val="nil"/>
              <w:left w:val="nil"/>
              <w:bottom w:val="single" w:sz="4" w:space="0" w:color="auto"/>
              <w:right w:val="single" w:sz="4" w:space="0" w:color="auto"/>
            </w:tcBorders>
            <w:shd w:val="clear" w:color="auto" w:fill="auto"/>
            <w:noWrap/>
            <w:vAlign w:val="center"/>
            <w:hideMark/>
          </w:tcPr>
          <w:p w14:paraId="255F50E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9,838,569 </w:t>
            </w:r>
          </w:p>
        </w:tc>
      </w:tr>
      <w:tr w:rsidR="00F33938" w:rsidRPr="00AF4667" w14:paraId="370C8B99"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C3A37A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1115</w:t>
            </w:r>
          </w:p>
        </w:tc>
        <w:tc>
          <w:tcPr>
            <w:tcW w:w="3491" w:type="pct"/>
            <w:tcBorders>
              <w:top w:val="nil"/>
              <w:left w:val="nil"/>
              <w:bottom w:val="single" w:sz="4" w:space="0" w:color="auto"/>
              <w:right w:val="single" w:sz="4" w:space="0" w:color="auto"/>
            </w:tcBorders>
            <w:shd w:val="clear" w:color="auto" w:fill="auto"/>
            <w:noWrap/>
            <w:vAlign w:val="center"/>
            <w:hideMark/>
          </w:tcPr>
          <w:p w14:paraId="1077116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VELOGAS S.A.  E.S.P.</w:t>
            </w:r>
          </w:p>
        </w:tc>
        <w:tc>
          <w:tcPr>
            <w:tcW w:w="1039" w:type="pct"/>
            <w:tcBorders>
              <w:top w:val="nil"/>
              <w:left w:val="nil"/>
              <w:bottom w:val="single" w:sz="4" w:space="0" w:color="auto"/>
              <w:right w:val="single" w:sz="4" w:space="0" w:color="auto"/>
            </w:tcBorders>
            <w:shd w:val="clear" w:color="auto" w:fill="auto"/>
            <w:noWrap/>
            <w:vAlign w:val="center"/>
            <w:hideMark/>
          </w:tcPr>
          <w:p w14:paraId="42E3C515"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648,603 </w:t>
            </w:r>
          </w:p>
        </w:tc>
      </w:tr>
      <w:tr w:rsidR="00F33938" w:rsidRPr="00AF4667" w14:paraId="7BDFD9C1"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775445A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1195</w:t>
            </w:r>
          </w:p>
        </w:tc>
        <w:tc>
          <w:tcPr>
            <w:tcW w:w="3491" w:type="pct"/>
            <w:tcBorders>
              <w:top w:val="nil"/>
              <w:left w:val="nil"/>
              <w:bottom w:val="single" w:sz="4" w:space="0" w:color="auto"/>
              <w:right w:val="single" w:sz="4" w:space="0" w:color="auto"/>
            </w:tcBorders>
            <w:shd w:val="clear" w:color="auto" w:fill="auto"/>
            <w:noWrap/>
            <w:vAlign w:val="center"/>
            <w:hideMark/>
          </w:tcPr>
          <w:p w14:paraId="7701B032"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ENVASADORA DE GAS DE PUERTO SALGAR S.A. EMPRESA DE SERVICIOS PUBLICOS</w:t>
            </w:r>
          </w:p>
        </w:tc>
        <w:tc>
          <w:tcPr>
            <w:tcW w:w="1039" w:type="pct"/>
            <w:tcBorders>
              <w:top w:val="nil"/>
              <w:left w:val="nil"/>
              <w:bottom w:val="single" w:sz="4" w:space="0" w:color="auto"/>
              <w:right w:val="single" w:sz="4" w:space="0" w:color="auto"/>
            </w:tcBorders>
            <w:shd w:val="clear" w:color="auto" w:fill="auto"/>
            <w:noWrap/>
            <w:vAlign w:val="center"/>
            <w:hideMark/>
          </w:tcPr>
          <w:p w14:paraId="16D170C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3,219,667 </w:t>
            </w:r>
          </w:p>
        </w:tc>
      </w:tr>
      <w:tr w:rsidR="00F33938" w:rsidRPr="00AF4667" w14:paraId="1C263230"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5B1B70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1330</w:t>
            </w:r>
          </w:p>
        </w:tc>
        <w:tc>
          <w:tcPr>
            <w:tcW w:w="3491" w:type="pct"/>
            <w:tcBorders>
              <w:top w:val="nil"/>
              <w:left w:val="nil"/>
              <w:bottom w:val="single" w:sz="4" w:space="0" w:color="auto"/>
              <w:right w:val="single" w:sz="4" w:space="0" w:color="auto"/>
            </w:tcBorders>
            <w:shd w:val="clear" w:color="auto" w:fill="auto"/>
            <w:noWrap/>
            <w:vAlign w:val="center"/>
            <w:hideMark/>
          </w:tcPr>
          <w:p w14:paraId="1DC843F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GRANADOS GOMEZ Y CIA S.A. E.S.P.</w:t>
            </w:r>
          </w:p>
        </w:tc>
        <w:tc>
          <w:tcPr>
            <w:tcW w:w="1039" w:type="pct"/>
            <w:tcBorders>
              <w:top w:val="nil"/>
              <w:left w:val="nil"/>
              <w:bottom w:val="single" w:sz="4" w:space="0" w:color="auto"/>
              <w:right w:val="single" w:sz="4" w:space="0" w:color="auto"/>
            </w:tcBorders>
            <w:shd w:val="clear" w:color="auto" w:fill="auto"/>
            <w:noWrap/>
            <w:vAlign w:val="center"/>
            <w:hideMark/>
          </w:tcPr>
          <w:p w14:paraId="26E43732"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1,979,438 </w:t>
            </w:r>
          </w:p>
        </w:tc>
      </w:tr>
      <w:tr w:rsidR="00F33938" w:rsidRPr="00AF4667" w14:paraId="28730C45"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06017A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1564</w:t>
            </w:r>
          </w:p>
        </w:tc>
        <w:tc>
          <w:tcPr>
            <w:tcW w:w="3491" w:type="pct"/>
            <w:tcBorders>
              <w:top w:val="nil"/>
              <w:left w:val="nil"/>
              <w:bottom w:val="single" w:sz="4" w:space="0" w:color="auto"/>
              <w:right w:val="single" w:sz="4" w:space="0" w:color="auto"/>
            </w:tcBorders>
            <w:shd w:val="clear" w:color="auto" w:fill="auto"/>
            <w:noWrap/>
            <w:vAlign w:val="center"/>
            <w:hideMark/>
          </w:tcPr>
          <w:p w14:paraId="0179498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ELECTROGAS SA ESP</w:t>
            </w:r>
          </w:p>
        </w:tc>
        <w:tc>
          <w:tcPr>
            <w:tcW w:w="1039" w:type="pct"/>
            <w:tcBorders>
              <w:top w:val="nil"/>
              <w:left w:val="nil"/>
              <w:bottom w:val="single" w:sz="4" w:space="0" w:color="auto"/>
              <w:right w:val="single" w:sz="4" w:space="0" w:color="auto"/>
            </w:tcBorders>
            <w:shd w:val="clear" w:color="auto" w:fill="auto"/>
            <w:noWrap/>
            <w:vAlign w:val="center"/>
            <w:hideMark/>
          </w:tcPr>
          <w:p w14:paraId="250769D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2,136,642 </w:t>
            </w:r>
          </w:p>
        </w:tc>
      </w:tr>
      <w:tr w:rsidR="00F33938" w:rsidRPr="00AF4667" w14:paraId="7D06552E"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0AA789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1595</w:t>
            </w:r>
          </w:p>
        </w:tc>
        <w:tc>
          <w:tcPr>
            <w:tcW w:w="3491" w:type="pct"/>
            <w:tcBorders>
              <w:top w:val="nil"/>
              <w:left w:val="nil"/>
              <w:bottom w:val="single" w:sz="4" w:space="0" w:color="auto"/>
              <w:right w:val="single" w:sz="4" w:space="0" w:color="auto"/>
            </w:tcBorders>
            <w:shd w:val="clear" w:color="auto" w:fill="auto"/>
            <w:noWrap/>
            <w:vAlign w:val="center"/>
            <w:hideMark/>
          </w:tcPr>
          <w:p w14:paraId="06E1750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GASES DEL CAGUAN S. A. E.S.P.</w:t>
            </w:r>
          </w:p>
        </w:tc>
        <w:tc>
          <w:tcPr>
            <w:tcW w:w="1039" w:type="pct"/>
            <w:tcBorders>
              <w:top w:val="nil"/>
              <w:left w:val="nil"/>
              <w:bottom w:val="single" w:sz="4" w:space="0" w:color="auto"/>
              <w:right w:val="single" w:sz="4" w:space="0" w:color="auto"/>
            </w:tcBorders>
            <w:shd w:val="clear" w:color="auto" w:fill="auto"/>
            <w:noWrap/>
            <w:vAlign w:val="center"/>
            <w:hideMark/>
          </w:tcPr>
          <w:p w14:paraId="12525EA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353,599 </w:t>
            </w:r>
          </w:p>
        </w:tc>
      </w:tr>
      <w:tr w:rsidR="00F33938" w:rsidRPr="00AF4667" w14:paraId="0FD42626"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76FEB31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1598</w:t>
            </w:r>
          </w:p>
        </w:tc>
        <w:tc>
          <w:tcPr>
            <w:tcW w:w="3491" w:type="pct"/>
            <w:tcBorders>
              <w:top w:val="nil"/>
              <w:left w:val="nil"/>
              <w:bottom w:val="single" w:sz="4" w:space="0" w:color="auto"/>
              <w:right w:val="single" w:sz="4" w:space="0" w:color="auto"/>
            </w:tcBorders>
            <w:shd w:val="clear" w:color="auto" w:fill="auto"/>
            <w:noWrap/>
            <w:vAlign w:val="center"/>
            <w:hideMark/>
          </w:tcPr>
          <w:p w14:paraId="2429F42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NEIVA S.A. E.S.P.</w:t>
            </w:r>
          </w:p>
        </w:tc>
        <w:tc>
          <w:tcPr>
            <w:tcW w:w="1039" w:type="pct"/>
            <w:tcBorders>
              <w:top w:val="nil"/>
              <w:left w:val="nil"/>
              <w:bottom w:val="single" w:sz="4" w:space="0" w:color="auto"/>
              <w:right w:val="single" w:sz="4" w:space="0" w:color="auto"/>
            </w:tcBorders>
            <w:shd w:val="clear" w:color="auto" w:fill="auto"/>
            <w:noWrap/>
            <w:vAlign w:val="center"/>
            <w:hideMark/>
          </w:tcPr>
          <w:p w14:paraId="7887E11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3,467,776 </w:t>
            </w:r>
          </w:p>
        </w:tc>
      </w:tr>
      <w:tr w:rsidR="00F33938" w:rsidRPr="00AF4667" w14:paraId="6189F736"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8C8492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1604</w:t>
            </w:r>
          </w:p>
        </w:tc>
        <w:tc>
          <w:tcPr>
            <w:tcW w:w="3491" w:type="pct"/>
            <w:tcBorders>
              <w:top w:val="nil"/>
              <w:left w:val="nil"/>
              <w:bottom w:val="single" w:sz="4" w:space="0" w:color="auto"/>
              <w:right w:val="single" w:sz="4" w:space="0" w:color="auto"/>
            </w:tcBorders>
            <w:shd w:val="clear" w:color="auto" w:fill="auto"/>
            <w:noWrap/>
            <w:vAlign w:val="center"/>
            <w:hideMark/>
          </w:tcPr>
          <w:p w14:paraId="16AB7D1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DISTRIBUIDORA CENTRAL DE GAS SA ESP</w:t>
            </w:r>
          </w:p>
        </w:tc>
        <w:tc>
          <w:tcPr>
            <w:tcW w:w="1039" w:type="pct"/>
            <w:tcBorders>
              <w:top w:val="nil"/>
              <w:left w:val="nil"/>
              <w:bottom w:val="single" w:sz="4" w:space="0" w:color="auto"/>
              <w:right w:val="single" w:sz="4" w:space="0" w:color="auto"/>
            </w:tcBorders>
            <w:shd w:val="clear" w:color="auto" w:fill="auto"/>
            <w:noWrap/>
            <w:vAlign w:val="center"/>
            <w:hideMark/>
          </w:tcPr>
          <w:p w14:paraId="4BE9C07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1,297,319 </w:t>
            </w:r>
          </w:p>
        </w:tc>
      </w:tr>
      <w:tr w:rsidR="00F33938" w:rsidRPr="00AF4667" w14:paraId="3410D7DC"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4DDCC3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1634</w:t>
            </w:r>
          </w:p>
        </w:tc>
        <w:tc>
          <w:tcPr>
            <w:tcW w:w="3491" w:type="pct"/>
            <w:tcBorders>
              <w:top w:val="nil"/>
              <w:left w:val="nil"/>
              <w:bottom w:val="single" w:sz="4" w:space="0" w:color="auto"/>
              <w:right w:val="single" w:sz="4" w:space="0" w:color="auto"/>
            </w:tcBorders>
            <w:shd w:val="clear" w:color="auto" w:fill="auto"/>
            <w:noWrap/>
            <w:vAlign w:val="center"/>
            <w:hideMark/>
          </w:tcPr>
          <w:p w14:paraId="4BF09F5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RAYOGAS S.A. ESP</w:t>
            </w:r>
          </w:p>
        </w:tc>
        <w:tc>
          <w:tcPr>
            <w:tcW w:w="1039" w:type="pct"/>
            <w:tcBorders>
              <w:top w:val="nil"/>
              <w:left w:val="nil"/>
              <w:bottom w:val="single" w:sz="4" w:space="0" w:color="auto"/>
              <w:right w:val="single" w:sz="4" w:space="0" w:color="auto"/>
            </w:tcBorders>
            <w:shd w:val="clear" w:color="auto" w:fill="auto"/>
            <w:noWrap/>
            <w:vAlign w:val="center"/>
            <w:hideMark/>
          </w:tcPr>
          <w:p w14:paraId="691DB76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14,496,843 </w:t>
            </w:r>
          </w:p>
        </w:tc>
      </w:tr>
      <w:tr w:rsidR="00F33938" w:rsidRPr="00AF4667" w14:paraId="71CDD579"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535E1A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1638</w:t>
            </w:r>
          </w:p>
        </w:tc>
        <w:tc>
          <w:tcPr>
            <w:tcW w:w="3491" w:type="pct"/>
            <w:tcBorders>
              <w:top w:val="nil"/>
              <w:left w:val="nil"/>
              <w:bottom w:val="single" w:sz="4" w:space="0" w:color="auto"/>
              <w:right w:val="single" w:sz="4" w:space="0" w:color="auto"/>
            </w:tcBorders>
            <w:shd w:val="clear" w:color="auto" w:fill="auto"/>
            <w:noWrap/>
            <w:vAlign w:val="center"/>
            <w:hideMark/>
          </w:tcPr>
          <w:p w14:paraId="7F1F59A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COMPAÑIA DE ALMACENAMIENTO DE GAS S.A. ESP</w:t>
            </w:r>
          </w:p>
        </w:tc>
        <w:tc>
          <w:tcPr>
            <w:tcW w:w="1039" w:type="pct"/>
            <w:tcBorders>
              <w:top w:val="nil"/>
              <w:left w:val="nil"/>
              <w:bottom w:val="single" w:sz="4" w:space="0" w:color="auto"/>
              <w:right w:val="single" w:sz="4" w:space="0" w:color="auto"/>
            </w:tcBorders>
            <w:shd w:val="clear" w:color="auto" w:fill="auto"/>
            <w:noWrap/>
            <w:vAlign w:val="center"/>
            <w:hideMark/>
          </w:tcPr>
          <w:p w14:paraId="70BF312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1,329,949 </w:t>
            </w:r>
          </w:p>
        </w:tc>
      </w:tr>
      <w:tr w:rsidR="00F33938" w:rsidRPr="00AF4667" w14:paraId="1B106AB6"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0836C3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1713</w:t>
            </w:r>
          </w:p>
        </w:tc>
        <w:tc>
          <w:tcPr>
            <w:tcW w:w="3491" w:type="pct"/>
            <w:tcBorders>
              <w:top w:val="nil"/>
              <w:left w:val="nil"/>
              <w:bottom w:val="single" w:sz="4" w:space="0" w:color="auto"/>
              <w:right w:val="single" w:sz="4" w:space="0" w:color="auto"/>
            </w:tcBorders>
            <w:shd w:val="clear" w:color="auto" w:fill="auto"/>
            <w:noWrap/>
            <w:vAlign w:val="center"/>
            <w:hideMark/>
          </w:tcPr>
          <w:p w14:paraId="4CDBF53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INTERMUNICIPAL DE GAS S.A. E.S.P.</w:t>
            </w:r>
          </w:p>
        </w:tc>
        <w:tc>
          <w:tcPr>
            <w:tcW w:w="1039" w:type="pct"/>
            <w:tcBorders>
              <w:top w:val="nil"/>
              <w:left w:val="nil"/>
              <w:bottom w:val="single" w:sz="4" w:space="0" w:color="auto"/>
              <w:right w:val="single" w:sz="4" w:space="0" w:color="auto"/>
            </w:tcBorders>
            <w:shd w:val="clear" w:color="auto" w:fill="auto"/>
            <w:noWrap/>
            <w:vAlign w:val="center"/>
            <w:hideMark/>
          </w:tcPr>
          <w:p w14:paraId="2D5B1A65"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324,026 </w:t>
            </w:r>
          </w:p>
        </w:tc>
      </w:tr>
      <w:tr w:rsidR="00F33938" w:rsidRPr="00AF4667" w14:paraId="582C5BE9"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FDA8FA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1714</w:t>
            </w:r>
          </w:p>
        </w:tc>
        <w:tc>
          <w:tcPr>
            <w:tcW w:w="3491" w:type="pct"/>
            <w:tcBorders>
              <w:top w:val="nil"/>
              <w:left w:val="nil"/>
              <w:bottom w:val="single" w:sz="4" w:space="0" w:color="auto"/>
              <w:right w:val="single" w:sz="4" w:space="0" w:color="auto"/>
            </w:tcBorders>
            <w:shd w:val="clear" w:color="auto" w:fill="auto"/>
            <w:noWrap/>
            <w:vAlign w:val="center"/>
            <w:hideMark/>
          </w:tcPr>
          <w:p w14:paraId="5EC6A53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VILLA GAS S.A. E.S.P.</w:t>
            </w:r>
          </w:p>
        </w:tc>
        <w:tc>
          <w:tcPr>
            <w:tcW w:w="1039" w:type="pct"/>
            <w:tcBorders>
              <w:top w:val="nil"/>
              <w:left w:val="nil"/>
              <w:bottom w:val="single" w:sz="4" w:space="0" w:color="auto"/>
              <w:right w:val="single" w:sz="4" w:space="0" w:color="auto"/>
            </w:tcBorders>
            <w:shd w:val="clear" w:color="auto" w:fill="auto"/>
            <w:noWrap/>
            <w:vAlign w:val="center"/>
            <w:hideMark/>
          </w:tcPr>
          <w:p w14:paraId="05BDA9E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1,002,125 </w:t>
            </w:r>
          </w:p>
        </w:tc>
      </w:tr>
      <w:tr w:rsidR="00F33938" w:rsidRPr="00AF4667" w14:paraId="5B694057"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8CED4A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1715</w:t>
            </w:r>
          </w:p>
        </w:tc>
        <w:tc>
          <w:tcPr>
            <w:tcW w:w="3491" w:type="pct"/>
            <w:tcBorders>
              <w:top w:val="nil"/>
              <w:left w:val="nil"/>
              <w:bottom w:val="single" w:sz="4" w:space="0" w:color="auto"/>
              <w:right w:val="single" w:sz="4" w:space="0" w:color="auto"/>
            </w:tcBorders>
            <w:shd w:val="clear" w:color="auto" w:fill="auto"/>
            <w:noWrap/>
            <w:vAlign w:val="center"/>
            <w:hideMark/>
          </w:tcPr>
          <w:p w14:paraId="71C20BA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EL SOL S.A. E.S.P.</w:t>
            </w:r>
          </w:p>
        </w:tc>
        <w:tc>
          <w:tcPr>
            <w:tcW w:w="1039" w:type="pct"/>
            <w:tcBorders>
              <w:top w:val="nil"/>
              <w:left w:val="nil"/>
              <w:bottom w:val="single" w:sz="4" w:space="0" w:color="auto"/>
              <w:right w:val="single" w:sz="4" w:space="0" w:color="auto"/>
            </w:tcBorders>
            <w:shd w:val="clear" w:color="auto" w:fill="auto"/>
            <w:noWrap/>
            <w:vAlign w:val="center"/>
            <w:hideMark/>
          </w:tcPr>
          <w:p w14:paraId="3C45C37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382,506 </w:t>
            </w:r>
          </w:p>
        </w:tc>
      </w:tr>
      <w:tr w:rsidR="00F33938" w:rsidRPr="00AF4667" w14:paraId="27C95097"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FD630B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1792</w:t>
            </w:r>
          </w:p>
        </w:tc>
        <w:tc>
          <w:tcPr>
            <w:tcW w:w="3491" w:type="pct"/>
            <w:tcBorders>
              <w:top w:val="nil"/>
              <w:left w:val="nil"/>
              <w:bottom w:val="single" w:sz="4" w:space="0" w:color="auto"/>
              <w:right w:val="single" w:sz="4" w:space="0" w:color="auto"/>
            </w:tcBorders>
            <w:shd w:val="clear" w:color="auto" w:fill="auto"/>
            <w:noWrap/>
            <w:vAlign w:val="center"/>
            <w:hideMark/>
          </w:tcPr>
          <w:p w14:paraId="0717673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AYAPEGAS S.A E.S.P</w:t>
            </w:r>
          </w:p>
        </w:tc>
        <w:tc>
          <w:tcPr>
            <w:tcW w:w="1039" w:type="pct"/>
            <w:tcBorders>
              <w:top w:val="nil"/>
              <w:left w:val="nil"/>
              <w:bottom w:val="single" w:sz="4" w:space="0" w:color="auto"/>
              <w:right w:val="single" w:sz="4" w:space="0" w:color="auto"/>
            </w:tcBorders>
            <w:shd w:val="clear" w:color="auto" w:fill="auto"/>
            <w:noWrap/>
            <w:vAlign w:val="center"/>
            <w:hideMark/>
          </w:tcPr>
          <w:p w14:paraId="27DEC21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40,551 </w:t>
            </w:r>
          </w:p>
        </w:tc>
      </w:tr>
      <w:tr w:rsidR="00F33938" w:rsidRPr="00AF4667" w14:paraId="44AE160E"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71256EF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1854</w:t>
            </w:r>
          </w:p>
        </w:tc>
        <w:tc>
          <w:tcPr>
            <w:tcW w:w="3491" w:type="pct"/>
            <w:tcBorders>
              <w:top w:val="nil"/>
              <w:left w:val="nil"/>
              <w:bottom w:val="single" w:sz="4" w:space="0" w:color="auto"/>
              <w:right w:val="single" w:sz="4" w:space="0" w:color="auto"/>
            </w:tcBorders>
            <w:shd w:val="clear" w:color="auto" w:fill="auto"/>
            <w:noWrap/>
            <w:vAlign w:val="center"/>
            <w:hideMark/>
          </w:tcPr>
          <w:p w14:paraId="441F103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LIDAGAS S.A E.S.P.</w:t>
            </w:r>
          </w:p>
        </w:tc>
        <w:tc>
          <w:tcPr>
            <w:tcW w:w="1039" w:type="pct"/>
            <w:tcBorders>
              <w:top w:val="nil"/>
              <w:left w:val="nil"/>
              <w:bottom w:val="single" w:sz="4" w:space="0" w:color="auto"/>
              <w:right w:val="single" w:sz="4" w:space="0" w:color="auto"/>
            </w:tcBorders>
            <w:shd w:val="clear" w:color="auto" w:fill="auto"/>
            <w:noWrap/>
            <w:vAlign w:val="center"/>
            <w:hideMark/>
          </w:tcPr>
          <w:p w14:paraId="76BCD115"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4,993,111 </w:t>
            </w:r>
          </w:p>
        </w:tc>
      </w:tr>
      <w:tr w:rsidR="00F33938" w:rsidRPr="00AF4667" w14:paraId="1CC22EDF"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590E1A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2021</w:t>
            </w:r>
          </w:p>
        </w:tc>
        <w:tc>
          <w:tcPr>
            <w:tcW w:w="3491" w:type="pct"/>
            <w:tcBorders>
              <w:top w:val="nil"/>
              <w:left w:val="nil"/>
              <w:bottom w:val="single" w:sz="4" w:space="0" w:color="auto"/>
              <w:right w:val="single" w:sz="4" w:space="0" w:color="auto"/>
            </w:tcBorders>
            <w:shd w:val="clear" w:color="auto" w:fill="auto"/>
            <w:noWrap/>
            <w:vAlign w:val="center"/>
            <w:hideMark/>
          </w:tcPr>
          <w:p w14:paraId="022D2028" w14:textId="77777777" w:rsidR="00F33938" w:rsidRPr="00682AF7" w:rsidRDefault="00F33938" w:rsidP="003D6B58">
            <w:pPr>
              <w:rPr>
                <w:rFonts w:ascii="Arial" w:eastAsia="Times New Roman" w:hAnsi="Arial" w:cs="Arial"/>
                <w:color w:val="000000"/>
                <w:sz w:val="18"/>
                <w:szCs w:val="18"/>
                <w:lang w:val="en-US" w:eastAsia="es-CO"/>
              </w:rPr>
            </w:pPr>
            <w:r w:rsidRPr="00682AF7">
              <w:rPr>
                <w:rFonts w:ascii="Arial" w:eastAsia="Times New Roman" w:hAnsi="Arial" w:cs="Arial"/>
                <w:color w:val="000000"/>
                <w:sz w:val="18"/>
                <w:szCs w:val="18"/>
                <w:lang w:val="en-US" w:eastAsia="es-CO"/>
              </w:rPr>
              <w:t>GAS GOMBEL S.A. E.S.P.</w:t>
            </w:r>
          </w:p>
        </w:tc>
        <w:tc>
          <w:tcPr>
            <w:tcW w:w="1039" w:type="pct"/>
            <w:tcBorders>
              <w:top w:val="nil"/>
              <w:left w:val="nil"/>
              <w:bottom w:val="single" w:sz="4" w:space="0" w:color="auto"/>
              <w:right w:val="single" w:sz="4" w:space="0" w:color="auto"/>
            </w:tcBorders>
            <w:shd w:val="clear" w:color="auto" w:fill="auto"/>
            <w:noWrap/>
            <w:vAlign w:val="center"/>
            <w:hideMark/>
          </w:tcPr>
          <w:p w14:paraId="18374E43" w14:textId="77777777" w:rsidR="00F33938" w:rsidRPr="00AF4667" w:rsidRDefault="00F33938" w:rsidP="003D6B58">
            <w:pPr>
              <w:rPr>
                <w:rFonts w:ascii="Arial" w:eastAsia="Times New Roman" w:hAnsi="Arial" w:cs="Arial"/>
                <w:color w:val="000000"/>
                <w:sz w:val="18"/>
                <w:szCs w:val="18"/>
                <w:lang w:val="es-CO" w:eastAsia="es-CO"/>
              </w:rPr>
            </w:pPr>
            <w:r w:rsidRPr="00682AF7">
              <w:rPr>
                <w:rFonts w:ascii="Arial" w:eastAsia="Times New Roman" w:hAnsi="Arial" w:cs="Arial"/>
                <w:color w:val="000000"/>
                <w:sz w:val="18"/>
                <w:szCs w:val="18"/>
                <w:lang w:val="en-US" w:eastAsia="es-CO"/>
              </w:rPr>
              <w:t xml:space="preserve">         </w:t>
            </w:r>
            <w:r w:rsidRPr="00AF4667">
              <w:rPr>
                <w:rFonts w:ascii="Arial" w:eastAsia="Times New Roman" w:hAnsi="Arial" w:cs="Arial"/>
                <w:color w:val="000000"/>
                <w:sz w:val="18"/>
                <w:szCs w:val="18"/>
                <w:lang w:val="es-CO" w:eastAsia="es-CO"/>
              </w:rPr>
              <w:t xml:space="preserve">10,511,541 </w:t>
            </w:r>
          </w:p>
        </w:tc>
      </w:tr>
      <w:tr w:rsidR="00F33938" w:rsidRPr="00AF4667" w14:paraId="78B375C8"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08CD2E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2180</w:t>
            </w:r>
          </w:p>
        </w:tc>
        <w:tc>
          <w:tcPr>
            <w:tcW w:w="3491" w:type="pct"/>
            <w:tcBorders>
              <w:top w:val="nil"/>
              <w:left w:val="nil"/>
              <w:bottom w:val="single" w:sz="4" w:space="0" w:color="auto"/>
              <w:right w:val="single" w:sz="4" w:space="0" w:color="auto"/>
            </w:tcBorders>
            <w:shd w:val="clear" w:color="auto" w:fill="auto"/>
            <w:noWrap/>
            <w:vAlign w:val="center"/>
            <w:hideMark/>
          </w:tcPr>
          <w:p w14:paraId="158433C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CAQUETA S.A  E.S.P</w:t>
            </w:r>
          </w:p>
        </w:tc>
        <w:tc>
          <w:tcPr>
            <w:tcW w:w="1039" w:type="pct"/>
            <w:tcBorders>
              <w:top w:val="nil"/>
              <w:left w:val="nil"/>
              <w:bottom w:val="single" w:sz="4" w:space="0" w:color="auto"/>
              <w:right w:val="single" w:sz="4" w:space="0" w:color="auto"/>
            </w:tcBorders>
            <w:shd w:val="clear" w:color="auto" w:fill="auto"/>
            <w:noWrap/>
            <w:vAlign w:val="center"/>
            <w:hideMark/>
          </w:tcPr>
          <w:p w14:paraId="0BC3FC5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2,023,049 </w:t>
            </w:r>
          </w:p>
        </w:tc>
      </w:tr>
      <w:tr w:rsidR="00F33938" w:rsidRPr="00AF4667" w14:paraId="32D3D30F"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7BA690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2676</w:t>
            </w:r>
          </w:p>
        </w:tc>
        <w:tc>
          <w:tcPr>
            <w:tcW w:w="3491" w:type="pct"/>
            <w:tcBorders>
              <w:top w:val="nil"/>
              <w:left w:val="nil"/>
              <w:bottom w:val="single" w:sz="4" w:space="0" w:color="auto"/>
              <w:right w:val="single" w:sz="4" w:space="0" w:color="auto"/>
            </w:tcBorders>
            <w:shd w:val="clear" w:color="auto" w:fill="auto"/>
            <w:noWrap/>
            <w:vAlign w:val="center"/>
            <w:hideMark/>
          </w:tcPr>
          <w:p w14:paraId="655AFBD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SUPERGAS DE NARIÑO S.A. E.S.P.</w:t>
            </w:r>
          </w:p>
        </w:tc>
        <w:tc>
          <w:tcPr>
            <w:tcW w:w="1039" w:type="pct"/>
            <w:tcBorders>
              <w:top w:val="nil"/>
              <w:left w:val="nil"/>
              <w:bottom w:val="single" w:sz="4" w:space="0" w:color="auto"/>
              <w:right w:val="single" w:sz="4" w:space="0" w:color="auto"/>
            </w:tcBorders>
            <w:shd w:val="clear" w:color="auto" w:fill="auto"/>
            <w:noWrap/>
            <w:vAlign w:val="center"/>
            <w:hideMark/>
          </w:tcPr>
          <w:p w14:paraId="6E7C54F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4,532,709 </w:t>
            </w:r>
          </w:p>
        </w:tc>
      </w:tr>
      <w:tr w:rsidR="00F33938" w:rsidRPr="00AF4667" w14:paraId="0285FC46"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354A5C5"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2923</w:t>
            </w:r>
          </w:p>
        </w:tc>
        <w:tc>
          <w:tcPr>
            <w:tcW w:w="3491" w:type="pct"/>
            <w:tcBorders>
              <w:top w:val="nil"/>
              <w:left w:val="nil"/>
              <w:bottom w:val="single" w:sz="4" w:space="0" w:color="auto"/>
              <w:right w:val="single" w:sz="4" w:space="0" w:color="auto"/>
            </w:tcBorders>
            <w:shd w:val="clear" w:color="auto" w:fill="auto"/>
            <w:noWrap/>
            <w:vAlign w:val="center"/>
            <w:hideMark/>
          </w:tcPr>
          <w:p w14:paraId="6168165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DISTRIBUIDORA DE GAS MONZAGAS S.A. E.S.P.</w:t>
            </w:r>
          </w:p>
        </w:tc>
        <w:tc>
          <w:tcPr>
            <w:tcW w:w="1039" w:type="pct"/>
            <w:tcBorders>
              <w:top w:val="nil"/>
              <w:left w:val="nil"/>
              <w:bottom w:val="single" w:sz="4" w:space="0" w:color="auto"/>
              <w:right w:val="single" w:sz="4" w:space="0" w:color="auto"/>
            </w:tcBorders>
            <w:shd w:val="clear" w:color="auto" w:fill="auto"/>
            <w:noWrap/>
            <w:vAlign w:val="center"/>
            <w:hideMark/>
          </w:tcPr>
          <w:p w14:paraId="712DBBA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779,960 </w:t>
            </w:r>
          </w:p>
        </w:tc>
      </w:tr>
      <w:tr w:rsidR="00F33938" w:rsidRPr="00AF4667" w14:paraId="742EB97A"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92BB8D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3080</w:t>
            </w:r>
          </w:p>
        </w:tc>
        <w:tc>
          <w:tcPr>
            <w:tcW w:w="3491" w:type="pct"/>
            <w:tcBorders>
              <w:top w:val="nil"/>
              <w:left w:val="nil"/>
              <w:bottom w:val="single" w:sz="4" w:space="0" w:color="auto"/>
              <w:right w:val="single" w:sz="4" w:space="0" w:color="auto"/>
            </w:tcBorders>
            <w:shd w:val="clear" w:color="auto" w:fill="auto"/>
            <w:noWrap/>
            <w:vAlign w:val="center"/>
            <w:hideMark/>
          </w:tcPr>
          <w:p w14:paraId="4D5FA8F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LA LLAMA OLÍMPICA S.A, E.S.P.</w:t>
            </w:r>
          </w:p>
        </w:tc>
        <w:tc>
          <w:tcPr>
            <w:tcW w:w="1039" w:type="pct"/>
            <w:tcBorders>
              <w:top w:val="nil"/>
              <w:left w:val="nil"/>
              <w:bottom w:val="single" w:sz="4" w:space="0" w:color="auto"/>
              <w:right w:val="single" w:sz="4" w:space="0" w:color="auto"/>
            </w:tcBorders>
            <w:shd w:val="clear" w:color="auto" w:fill="auto"/>
            <w:noWrap/>
            <w:vAlign w:val="center"/>
            <w:hideMark/>
          </w:tcPr>
          <w:p w14:paraId="69E0E7E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358,246 </w:t>
            </w:r>
          </w:p>
        </w:tc>
      </w:tr>
      <w:tr w:rsidR="00F33938" w:rsidRPr="00AF4667" w14:paraId="132606DF"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F8E6E9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3358</w:t>
            </w:r>
          </w:p>
        </w:tc>
        <w:tc>
          <w:tcPr>
            <w:tcW w:w="3491" w:type="pct"/>
            <w:tcBorders>
              <w:top w:val="nil"/>
              <w:left w:val="nil"/>
              <w:bottom w:val="single" w:sz="4" w:space="0" w:color="auto"/>
              <w:right w:val="single" w:sz="4" w:space="0" w:color="auto"/>
            </w:tcBorders>
            <w:shd w:val="clear" w:color="auto" w:fill="auto"/>
            <w:noWrap/>
            <w:vAlign w:val="center"/>
            <w:hideMark/>
          </w:tcPr>
          <w:p w14:paraId="5636491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COMPAÑIA DE SERVICIOS PUBLICOS S.A E.S.P</w:t>
            </w:r>
          </w:p>
        </w:tc>
        <w:tc>
          <w:tcPr>
            <w:tcW w:w="1039" w:type="pct"/>
            <w:tcBorders>
              <w:top w:val="nil"/>
              <w:left w:val="nil"/>
              <w:bottom w:val="single" w:sz="4" w:space="0" w:color="auto"/>
              <w:right w:val="single" w:sz="4" w:space="0" w:color="auto"/>
            </w:tcBorders>
            <w:shd w:val="clear" w:color="auto" w:fill="auto"/>
            <w:noWrap/>
            <w:vAlign w:val="center"/>
            <w:hideMark/>
          </w:tcPr>
          <w:p w14:paraId="7B9EB8D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5,507,090 </w:t>
            </w:r>
          </w:p>
        </w:tc>
      </w:tr>
      <w:tr w:rsidR="00F33938" w:rsidRPr="00AF4667" w14:paraId="6C79B7E7"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4E248B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6026</w:t>
            </w:r>
          </w:p>
        </w:tc>
        <w:tc>
          <w:tcPr>
            <w:tcW w:w="3491" w:type="pct"/>
            <w:tcBorders>
              <w:top w:val="nil"/>
              <w:left w:val="nil"/>
              <w:bottom w:val="single" w:sz="4" w:space="0" w:color="auto"/>
              <w:right w:val="single" w:sz="4" w:space="0" w:color="auto"/>
            </w:tcBorders>
            <w:shd w:val="clear" w:color="auto" w:fill="auto"/>
            <w:noWrap/>
            <w:vAlign w:val="center"/>
            <w:hideMark/>
          </w:tcPr>
          <w:p w14:paraId="680D6F8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MONTAGAS S.A. EMPRESA DE SERVICIOS PÚBLICOS DOMICILIARIOS MONTAGAS SA E S P.</w:t>
            </w:r>
          </w:p>
        </w:tc>
        <w:tc>
          <w:tcPr>
            <w:tcW w:w="1039" w:type="pct"/>
            <w:tcBorders>
              <w:top w:val="nil"/>
              <w:left w:val="nil"/>
              <w:bottom w:val="single" w:sz="4" w:space="0" w:color="auto"/>
              <w:right w:val="single" w:sz="4" w:space="0" w:color="auto"/>
            </w:tcBorders>
            <w:shd w:val="clear" w:color="auto" w:fill="auto"/>
            <w:noWrap/>
            <w:vAlign w:val="center"/>
            <w:hideMark/>
          </w:tcPr>
          <w:p w14:paraId="667D357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27,251,554 </w:t>
            </w:r>
          </w:p>
        </w:tc>
      </w:tr>
      <w:tr w:rsidR="00F33938" w:rsidRPr="00AF4667" w14:paraId="0ED1AA66"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490FB4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20219</w:t>
            </w:r>
          </w:p>
        </w:tc>
        <w:tc>
          <w:tcPr>
            <w:tcW w:w="3491" w:type="pct"/>
            <w:tcBorders>
              <w:top w:val="nil"/>
              <w:left w:val="nil"/>
              <w:bottom w:val="single" w:sz="4" w:space="0" w:color="auto"/>
              <w:right w:val="single" w:sz="4" w:space="0" w:color="auto"/>
            </w:tcBorders>
            <w:shd w:val="clear" w:color="auto" w:fill="auto"/>
            <w:noWrap/>
            <w:vAlign w:val="center"/>
            <w:hideMark/>
          </w:tcPr>
          <w:p w14:paraId="19057F7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GASES DEL CHOCO S.A. E.S.P.</w:t>
            </w:r>
          </w:p>
        </w:tc>
        <w:tc>
          <w:tcPr>
            <w:tcW w:w="1039" w:type="pct"/>
            <w:tcBorders>
              <w:top w:val="nil"/>
              <w:left w:val="nil"/>
              <w:bottom w:val="single" w:sz="4" w:space="0" w:color="auto"/>
              <w:right w:val="single" w:sz="4" w:space="0" w:color="auto"/>
            </w:tcBorders>
            <w:shd w:val="clear" w:color="auto" w:fill="auto"/>
            <w:noWrap/>
            <w:vAlign w:val="center"/>
            <w:hideMark/>
          </w:tcPr>
          <w:p w14:paraId="02F8689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173,676 </w:t>
            </w:r>
          </w:p>
        </w:tc>
      </w:tr>
      <w:tr w:rsidR="00F33938" w:rsidRPr="00AF4667" w14:paraId="5E3EB324"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C82C55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20242</w:t>
            </w:r>
          </w:p>
        </w:tc>
        <w:tc>
          <w:tcPr>
            <w:tcW w:w="3491" w:type="pct"/>
            <w:tcBorders>
              <w:top w:val="nil"/>
              <w:left w:val="nil"/>
              <w:bottom w:val="single" w:sz="4" w:space="0" w:color="auto"/>
              <w:right w:val="single" w:sz="4" w:space="0" w:color="auto"/>
            </w:tcBorders>
            <w:shd w:val="clear" w:color="auto" w:fill="auto"/>
            <w:noWrap/>
            <w:vAlign w:val="center"/>
            <w:hideMark/>
          </w:tcPr>
          <w:p w14:paraId="5FD9E45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EL PUENTE SOCIEDAD ANONIMA EMPRESA DE SERVICIOS PUBLICOS</w:t>
            </w:r>
          </w:p>
        </w:tc>
        <w:tc>
          <w:tcPr>
            <w:tcW w:w="1039" w:type="pct"/>
            <w:tcBorders>
              <w:top w:val="nil"/>
              <w:left w:val="nil"/>
              <w:bottom w:val="single" w:sz="4" w:space="0" w:color="auto"/>
              <w:right w:val="single" w:sz="4" w:space="0" w:color="auto"/>
            </w:tcBorders>
            <w:shd w:val="clear" w:color="auto" w:fill="auto"/>
            <w:noWrap/>
            <w:vAlign w:val="center"/>
            <w:hideMark/>
          </w:tcPr>
          <w:p w14:paraId="4518AA0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92,869 </w:t>
            </w:r>
          </w:p>
        </w:tc>
      </w:tr>
      <w:tr w:rsidR="00F33938" w:rsidRPr="00AF4667" w14:paraId="5DEAAE0E"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266B508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20420</w:t>
            </w:r>
          </w:p>
        </w:tc>
        <w:tc>
          <w:tcPr>
            <w:tcW w:w="3491" w:type="pct"/>
            <w:tcBorders>
              <w:top w:val="nil"/>
              <w:left w:val="nil"/>
              <w:bottom w:val="single" w:sz="4" w:space="0" w:color="auto"/>
              <w:right w:val="single" w:sz="4" w:space="0" w:color="auto"/>
            </w:tcBorders>
            <w:shd w:val="clear" w:color="auto" w:fill="auto"/>
            <w:noWrap/>
            <w:vAlign w:val="center"/>
            <w:hideMark/>
          </w:tcPr>
          <w:p w14:paraId="7DFE47A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TURGAS S.A. E.S.P.</w:t>
            </w:r>
          </w:p>
        </w:tc>
        <w:tc>
          <w:tcPr>
            <w:tcW w:w="1039" w:type="pct"/>
            <w:tcBorders>
              <w:top w:val="nil"/>
              <w:left w:val="nil"/>
              <w:bottom w:val="single" w:sz="4" w:space="0" w:color="auto"/>
              <w:right w:val="single" w:sz="4" w:space="0" w:color="auto"/>
            </w:tcBorders>
            <w:shd w:val="clear" w:color="auto" w:fill="auto"/>
            <w:noWrap/>
            <w:vAlign w:val="center"/>
            <w:hideMark/>
          </w:tcPr>
          <w:p w14:paraId="1F10ADD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655,318 </w:t>
            </w:r>
          </w:p>
        </w:tc>
      </w:tr>
      <w:tr w:rsidR="00F33938" w:rsidRPr="00AF4667" w14:paraId="5D233122"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F2446D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21578</w:t>
            </w:r>
          </w:p>
        </w:tc>
        <w:tc>
          <w:tcPr>
            <w:tcW w:w="3491" w:type="pct"/>
            <w:tcBorders>
              <w:top w:val="nil"/>
              <w:left w:val="nil"/>
              <w:bottom w:val="single" w:sz="4" w:space="0" w:color="auto"/>
              <w:right w:val="single" w:sz="4" w:space="0" w:color="auto"/>
            </w:tcBorders>
            <w:shd w:val="clear" w:color="auto" w:fill="auto"/>
            <w:noWrap/>
            <w:vAlign w:val="center"/>
            <w:hideMark/>
          </w:tcPr>
          <w:p w14:paraId="7DBDCA2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ESP DIGASPRO SA</w:t>
            </w:r>
          </w:p>
        </w:tc>
        <w:tc>
          <w:tcPr>
            <w:tcW w:w="1039" w:type="pct"/>
            <w:tcBorders>
              <w:top w:val="nil"/>
              <w:left w:val="nil"/>
              <w:bottom w:val="single" w:sz="4" w:space="0" w:color="auto"/>
              <w:right w:val="single" w:sz="4" w:space="0" w:color="auto"/>
            </w:tcBorders>
            <w:shd w:val="clear" w:color="auto" w:fill="auto"/>
            <w:noWrap/>
            <w:vAlign w:val="center"/>
            <w:hideMark/>
          </w:tcPr>
          <w:p w14:paraId="7501B25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967,781 </w:t>
            </w:r>
          </w:p>
        </w:tc>
      </w:tr>
      <w:tr w:rsidR="00F33938" w:rsidRPr="00AF4667" w14:paraId="2CC3805F"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2A20BF7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22167</w:t>
            </w:r>
          </w:p>
        </w:tc>
        <w:tc>
          <w:tcPr>
            <w:tcW w:w="3491" w:type="pct"/>
            <w:tcBorders>
              <w:top w:val="nil"/>
              <w:left w:val="nil"/>
              <w:bottom w:val="single" w:sz="4" w:space="0" w:color="auto"/>
              <w:right w:val="single" w:sz="4" w:space="0" w:color="auto"/>
            </w:tcBorders>
            <w:shd w:val="clear" w:color="auto" w:fill="auto"/>
            <w:noWrap/>
            <w:vAlign w:val="center"/>
            <w:hideMark/>
          </w:tcPr>
          <w:p w14:paraId="455F0BF5"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ROSCOGAS S.A. E.S.P</w:t>
            </w:r>
          </w:p>
        </w:tc>
        <w:tc>
          <w:tcPr>
            <w:tcW w:w="1039" w:type="pct"/>
            <w:tcBorders>
              <w:top w:val="nil"/>
              <w:left w:val="nil"/>
              <w:bottom w:val="single" w:sz="4" w:space="0" w:color="auto"/>
              <w:right w:val="single" w:sz="4" w:space="0" w:color="auto"/>
            </w:tcBorders>
            <w:shd w:val="clear" w:color="auto" w:fill="auto"/>
            <w:noWrap/>
            <w:vAlign w:val="center"/>
            <w:hideMark/>
          </w:tcPr>
          <w:p w14:paraId="6A5A7EE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12,460,748 </w:t>
            </w:r>
          </w:p>
        </w:tc>
      </w:tr>
      <w:tr w:rsidR="00F33938" w:rsidRPr="00AF4667" w14:paraId="075EAF32"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3207A2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22384</w:t>
            </w:r>
          </w:p>
        </w:tc>
        <w:tc>
          <w:tcPr>
            <w:tcW w:w="3491" w:type="pct"/>
            <w:tcBorders>
              <w:top w:val="nil"/>
              <w:left w:val="nil"/>
              <w:bottom w:val="single" w:sz="4" w:space="0" w:color="auto"/>
              <w:right w:val="single" w:sz="4" w:space="0" w:color="auto"/>
            </w:tcBorders>
            <w:shd w:val="clear" w:color="auto" w:fill="auto"/>
            <w:noWrap/>
            <w:vAlign w:val="center"/>
            <w:hideMark/>
          </w:tcPr>
          <w:p w14:paraId="6FFBFCF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UNION DE INVERSIONISTAS Y COMERCIALIZADORES DE GAS  S.A.  ESP.</w:t>
            </w:r>
          </w:p>
        </w:tc>
        <w:tc>
          <w:tcPr>
            <w:tcW w:w="1039" w:type="pct"/>
            <w:tcBorders>
              <w:top w:val="nil"/>
              <w:left w:val="nil"/>
              <w:bottom w:val="single" w:sz="4" w:space="0" w:color="auto"/>
              <w:right w:val="single" w:sz="4" w:space="0" w:color="auto"/>
            </w:tcBorders>
            <w:shd w:val="clear" w:color="auto" w:fill="auto"/>
            <w:noWrap/>
            <w:vAlign w:val="center"/>
            <w:hideMark/>
          </w:tcPr>
          <w:p w14:paraId="312584A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75,032 </w:t>
            </w:r>
          </w:p>
        </w:tc>
      </w:tr>
      <w:tr w:rsidR="00F33938" w:rsidRPr="00AF4667" w14:paraId="689D2512"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673D14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22818</w:t>
            </w:r>
          </w:p>
        </w:tc>
        <w:tc>
          <w:tcPr>
            <w:tcW w:w="3491" w:type="pct"/>
            <w:tcBorders>
              <w:top w:val="nil"/>
              <w:left w:val="nil"/>
              <w:bottom w:val="single" w:sz="4" w:space="0" w:color="auto"/>
              <w:right w:val="single" w:sz="4" w:space="0" w:color="auto"/>
            </w:tcBorders>
            <w:shd w:val="clear" w:color="auto" w:fill="auto"/>
            <w:noWrap/>
            <w:vAlign w:val="center"/>
            <w:hideMark/>
          </w:tcPr>
          <w:p w14:paraId="34316365"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COMBUSTIBLES LÍQUIDOS DE COLOMBIA S.A. E.S.P. </w:t>
            </w:r>
          </w:p>
        </w:tc>
        <w:tc>
          <w:tcPr>
            <w:tcW w:w="1039" w:type="pct"/>
            <w:tcBorders>
              <w:top w:val="nil"/>
              <w:left w:val="nil"/>
              <w:bottom w:val="single" w:sz="4" w:space="0" w:color="auto"/>
              <w:right w:val="single" w:sz="4" w:space="0" w:color="auto"/>
            </w:tcBorders>
            <w:shd w:val="clear" w:color="auto" w:fill="auto"/>
            <w:noWrap/>
            <w:vAlign w:val="center"/>
            <w:hideMark/>
          </w:tcPr>
          <w:p w14:paraId="65BEED2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16,123,735 </w:t>
            </w:r>
          </w:p>
        </w:tc>
      </w:tr>
      <w:tr w:rsidR="00F33938" w:rsidRPr="00AF4667" w14:paraId="4E79F2BC"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FA401F2"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22834</w:t>
            </w:r>
          </w:p>
        </w:tc>
        <w:tc>
          <w:tcPr>
            <w:tcW w:w="3491" w:type="pct"/>
            <w:tcBorders>
              <w:top w:val="nil"/>
              <w:left w:val="nil"/>
              <w:bottom w:val="single" w:sz="4" w:space="0" w:color="auto"/>
              <w:right w:val="single" w:sz="4" w:space="0" w:color="auto"/>
            </w:tcBorders>
            <w:shd w:val="clear" w:color="auto" w:fill="auto"/>
            <w:noWrap/>
            <w:vAlign w:val="center"/>
            <w:hideMark/>
          </w:tcPr>
          <w:p w14:paraId="01EB9C0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RIVERGAS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46CD567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224,050 </w:t>
            </w:r>
          </w:p>
        </w:tc>
      </w:tr>
      <w:tr w:rsidR="00F33938" w:rsidRPr="00AF4667" w14:paraId="76BB8AD3"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762044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23312</w:t>
            </w:r>
          </w:p>
        </w:tc>
        <w:tc>
          <w:tcPr>
            <w:tcW w:w="3491" w:type="pct"/>
            <w:tcBorders>
              <w:top w:val="nil"/>
              <w:left w:val="nil"/>
              <w:bottom w:val="single" w:sz="4" w:space="0" w:color="auto"/>
              <w:right w:val="single" w:sz="4" w:space="0" w:color="auto"/>
            </w:tcBorders>
            <w:shd w:val="clear" w:color="auto" w:fill="auto"/>
            <w:noWrap/>
            <w:vAlign w:val="center"/>
            <w:hideMark/>
          </w:tcPr>
          <w:p w14:paraId="464B7D9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INVERSIONES GLP SAS ESP</w:t>
            </w:r>
          </w:p>
        </w:tc>
        <w:tc>
          <w:tcPr>
            <w:tcW w:w="1039" w:type="pct"/>
            <w:tcBorders>
              <w:top w:val="nil"/>
              <w:left w:val="nil"/>
              <w:bottom w:val="single" w:sz="4" w:space="0" w:color="auto"/>
              <w:right w:val="single" w:sz="4" w:space="0" w:color="auto"/>
            </w:tcBorders>
            <w:shd w:val="clear" w:color="auto" w:fill="auto"/>
            <w:noWrap/>
            <w:vAlign w:val="center"/>
            <w:hideMark/>
          </w:tcPr>
          <w:p w14:paraId="591E33F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90,282,945 </w:t>
            </w:r>
          </w:p>
        </w:tc>
      </w:tr>
      <w:tr w:rsidR="00F33938" w:rsidRPr="00AF4667" w14:paraId="2A0C6198"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3C9BE8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24860</w:t>
            </w:r>
          </w:p>
        </w:tc>
        <w:tc>
          <w:tcPr>
            <w:tcW w:w="3491" w:type="pct"/>
            <w:tcBorders>
              <w:top w:val="nil"/>
              <w:left w:val="nil"/>
              <w:bottom w:val="single" w:sz="4" w:space="0" w:color="auto"/>
              <w:right w:val="single" w:sz="4" w:space="0" w:color="auto"/>
            </w:tcBorders>
            <w:shd w:val="clear" w:color="auto" w:fill="auto"/>
            <w:noWrap/>
            <w:vAlign w:val="center"/>
            <w:hideMark/>
          </w:tcPr>
          <w:p w14:paraId="3D9F473D" w14:textId="77777777" w:rsidR="00F33938" w:rsidRPr="00682AF7" w:rsidRDefault="00F33938" w:rsidP="003D6B58">
            <w:pPr>
              <w:rPr>
                <w:rFonts w:ascii="Arial" w:eastAsia="Times New Roman" w:hAnsi="Arial" w:cs="Arial"/>
                <w:color w:val="000000"/>
                <w:sz w:val="18"/>
                <w:szCs w:val="18"/>
                <w:lang w:val="en-US" w:eastAsia="es-CO"/>
              </w:rPr>
            </w:pPr>
            <w:r w:rsidRPr="00682AF7">
              <w:rPr>
                <w:rFonts w:ascii="Arial" w:eastAsia="Times New Roman" w:hAnsi="Arial" w:cs="Arial"/>
                <w:color w:val="000000"/>
                <w:sz w:val="18"/>
                <w:szCs w:val="18"/>
                <w:lang w:val="en-US" w:eastAsia="es-CO"/>
              </w:rPr>
              <w:t>FEDEGAS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227CD537" w14:textId="77777777" w:rsidR="00F33938" w:rsidRPr="00AF4667" w:rsidRDefault="00F33938" w:rsidP="003D6B58">
            <w:pPr>
              <w:rPr>
                <w:rFonts w:ascii="Arial" w:eastAsia="Times New Roman" w:hAnsi="Arial" w:cs="Arial"/>
                <w:color w:val="000000"/>
                <w:sz w:val="18"/>
                <w:szCs w:val="18"/>
                <w:lang w:val="es-CO" w:eastAsia="es-CO"/>
              </w:rPr>
            </w:pPr>
            <w:r w:rsidRPr="00682AF7">
              <w:rPr>
                <w:rFonts w:ascii="Arial" w:eastAsia="Times New Roman" w:hAnsi="Arial" w:cs="Arial"/>
                <w:color w:val="000000"/>
                <w:sz w:val="18"/>
                <w:szCs w:val="18"/>
                <w:lang w:val="en-US" w:eastAsia="es-CO"/>
              </w:rPr>
              <w:t xml:space="preserve">           </w:t>
            </w:r>
            <w:r w:rsidRPr="00AF4667">
              <w:rPr>
                <w:rFonts w:ascii="Arial" w:eastAsia="Times New Roman" w:hAnsi="Arial" w:cs="Arial"/>
                <w:color w:val="000000"/>
                <w:sz w:val="18"/>
                <w:szCs w:val="18"/>
                <w:lang w:val="es-CO" w:eastAsia="es-CO"/>
              </w:rPr>
              <w:t xml:space="preserve">2,015,725 </w:t>
            </w:r>
          </w:p>
        </w:tc>
      </w:tr>
      <w:tr w:rsidR="00F33938" w:rsidRPr="00AF4667" w14:paraId="259AA3C2"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808CA0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24869</w:t>
            </w:r>
          </w:p>
        </w:tc>
        <w:tc>
          <w:tcPr>
            <w:tcW w:w="3491" w:type="pct"/>
            <w:tcBorders>
              <w:top w:val="nil"/>
              <w:left w:val="nil"/>
              <w:bottom w:val="single" w:sz="4" w:space="0" w:color="auto"/>
              <w:right w:val="single" w:sz="4" w:space="0" w:color="auto"/>
            </w:tcBorders>
            <w:shd w:val="clear" w:color="auto" w:fill="auto"/>
            <w:noWrap/>
            <w:vAlign w:val="center"/>
            <w:hideMark/>
          </w:tcPr>
          <w:p w14:paraId="443C39A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CHILCO DISTRIBUIDORA DE GAS Y ENERGIA SAS ESP</w:t>
            </w:r>
          </w:p>
        </w:tc>
        <w:tc>
          <w:tcPr>
            <w:tcW w:w="1039" w:type="pct"/>
            <w:tcBorders>
              <w:top w:val="nil"/>
              <w:left w:val="nil"/>
              <w:bottom w:val="single" w:sz="4" w:space="0" w:color="auto"/>
              <w:right w:val="single" w:sz="4" w:space="0" w:color="auto"/>
            </w:tcBorders>
            <w:shd w:val="clear" w:color="auto" w:fill="auto"/>
            <w:noWrap/>
            <w:vAlign w:val="center"/>
            <w:hideMark/>
          </w:tcPr>
          <w:p w14:paraId="557C88D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55,706,347 </w:t>
            </w:r>
          </w:p>
        </w:tc>
      </w:tr>
      <w:tr w:rsidR="00F33938" w:rsidRPr="00AF4667" w14:paraId="5457AB51"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889026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24963</w:t>
            </w:r>
          </w:p>
        </w:tc>
        <w:tc>
          <w:tcPr>
            <w:tcW w:w="3491" w:type="pct"/>
            <w:tcBorders>
              <w:top w:val="nil"/>
              <w:left w:val="nil"/>
              <w:bottom w:val="single" w:sz="4" w:space="0" w:color="auto"/>
              <w:right w:val="single" w:sz="4" w:space="0" w:color="auto"/>
            </w:tcBorders>
            <w:shd w:val="clear" w:color="auto" w:fill="auto"/>
            <w:noWrap/>
            <w:vAlign w:val="center"/>
            <w:hideMark/>
          </w:tcPr>
          <w:p w14:paraId="7B2EC4D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SUPERIOR DE COLOMBIA SA ESP</w:t>
            </w:r>
          </w:p>
        </w:tc>
        <w:tc>
          <w:tcPr>
            <w:tcW w:w="1039" w:type="pct"/>
            <w:tcBorders>
              <w:top w:val="nil"/>
              <w:left w:val="nil"/>
              <w:bottom w:val="single" w:sz="4" w:space="0" w:color="auto"/>
              <w:right w:val="single" w:sz="4" w:space="0" w:color="auto"/>
            </w:tcBorders>
            <w:shd w:val="clear" w:color="auto" w:fill="auto"/>
            <w:noWrap/>
            <w:vAlign w:val="center"/>
            <w:hideMark/>
          </w:tcPr>
          <w:p w14:paraId="4C437E7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2,059,116 </w:t>
            </w:r>
          </w:p>
        </w:tc>
      </w:tr>
      <w:tr w:rsidR="00F33938" w:rsidRPr="00AF4667" w14:paraId="45F6378C"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4254279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25709</w:t>
            </w:r>
          </w:p>
        </w:tc>
        <w:tc>
          <w:tcPr>
            <w:tcW w:w="3491" w:type="pct"/>
            <w:tcBorders>
              <w:top w:val="nil"/>
              <w:left w:val="nil"/>
              <w:bottom w:val="single" w:sz="4" w:space="0" w:color="auto"/>
              <w:right w:val="single" w:sz="4" w:space="0" w:color="auto"/>
            </w:tcBorders>
            <w:shd w:val="clear" w:color="auto" w:fill="auto"/>
            <w:noWrap/>
            <w:vAlign w:val="center"/>
            <w:hideMark/>
          </w:tcPr>
          <w:p w14:paraId="317F3AD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RAPIDGAS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790167C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773,677 </w:t>
            </w:r>
          </w:p>
        </w:tc>
      </w:tr>
      <w:tr w:rsidR="00F33938" w:rsidRPr="00AF4667" w14:paraId="0F1ACA94"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1BDC70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25939</w:t>
            </w:r>
          </w:p>
        </w:tc>
        <w:tc>
          <w:tcPr>
            <w:tcW w:w="3491" w:type="pct"/>
            <w:tcBorders>
              <w:top w:val="nil"/>
              <w:left w:val="nil"/>
              <w:bottom w:val="single" w:sz="4" w:space="0" w:color="auto"/>
              <w:right w:val="single" w:sz="4" w:space="0" w:color="auto"/>
            </w:tcBorders>
            <w:shd w:val="clear" w:color="auto" w:fill="auto"/>
            <w:noWrap/>
            <w:vAlign w:val="center"/>
            <w:hideMark/>
          </w:tcPr>
          <w:p w14:paraId="388866B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CITYGAS DISTRIBUIDORA S.A.S. E.S.P</w:t>
            </w:r>
          </w:p>
        </w:tc>
        <w:tc>
          <w:tcPr>
            <w:tcW w:w="1039" w:type="pct"/>
            <w:tcBorders>
              <w:top w:val="nil"/>
              <w:left w:val="nil"/>
              <w:bottom w:val="single" w:sz="4" w:space="0" w:color="auto"/>
              <w:right w:val="single" w:sz="4" w:space="0" w:color="auto"/>
            </w:tcBorders>
            <w:shd w:val="clear" w:color="auto" w:fill="auto"/>
            <w:noWrap/>
            <w:vAlign w:val="center"/>
            <w:hideMark/>
          </w:tcPr>
          <w:p w14:paraId="63D8CC1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3,900,354 </w:t>
            </w:r>
          </w:p>
        </w:tc>
      </w:tr>
      <w:tr w:rsidR="00F33938" w:rsidRPr="00AF4667" w14:paraId="63001915"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1DA4E0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25954</w:t>
            </w:r>
          </w:p>
        </w:tc>
        <w:tc>
          <w:tcPr>
            <w:tcW w:w="3491" w:type="pct"/>
            <w:tcBorders>
              <w:top w:val="nil"/>
              <w:left w:val="nil"/>
              <w:bottom w:val="single" w:sz="4" w:space="0" w:color="auto"/>
              <w:right w:val="single" w:sz="4" w:space="0" w:color="auto"/>
            </w:tcBorders>
            <w:shd w:val="clear" w:color="auto" w:fill="auto"/>
            <w:noWrap/>
            <w:vAlign w:val="center"/>
            <w:hideMark/>
          </w:tcPr>
          <w:p w14:paraId="7EF06092"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DISTRIBUIDORA DE GAS DEL PACIFICO DIGAS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66B5AEC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1,187,881 </w:t>
            </w:r>
          </w:p>
        </w:tc>
      </w:tr>
      <w:tr w:rsidR="00F33938" w:rsidRPr="00AF4667" w14:paraId="7809EFC9"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5CF2B5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26201</w:t>
            </w:r>
          </w:p>
        </w:tc>
        <w:tc>
          <w:tcPr>
            <w:tcW w:w="3491" w:type="pct"/>
            <w:tcBorders>
              <w:top w:val="nil"/>
              <w:left w:val="nil"/>
              <w:bottom w:val="single" w:sz="4" w:space="0" w:color="auto"/>
              <w:right w:val="single" w:sz="4" w:space="0" w:color="auto"/>
            </w:tcBorders>
            <w:shd w:val="clear" w:color="auto" w:fill="auto"/>
            <w:noWrap/>
            <w:vAlign w:val="center"/>
            <w:hideMark/>
          </w:tcPr>
          <w:p w14:paraId="47BDC9D2"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DISTICON SAS ESP</w:t>
            </w:r>
          </w:p>
        </w:tc>
        <w:tc>
          <w:tcPr>
            <w:tcW w:w="1039" w:type="pct"/>
            <w:tcBorders>
              <w:top w:val="nil"/>
              <w:left w:val="nil"/>
              <w:bottom w:val="single" w:sz="4" w:space="0" w:color="auto"/>
              <w:right w:val="single" w:sz="4" w:space="0" w:color="auto"/>
            </w:tcBorders>
            <w:shd w:val="clear" w:color="auto" w:fill="auto"/>
            <w:noWrap/>
            <w:vAlign w:val="center"/>
            <w:hideMark/>
          </w:tcPr>
          <w:p w14:paraId="56F45FB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311,070 </w:t>
            </w:r>
          </w:p>
        </w:tc>
      </w:tr>
      <w:tr w:rsidR="00F33938" w:rsidRPr="00AF4667" w14:paraId="6CEAE8CB"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040E43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26219</w:t>
            </w:r>
          </w:p>
        </w:tc>
        <w:tc>
          <w:tcPr>
            <w:tcW w:w="3491" w:type="pct"/>
            <w:tcBorders>
              <w:top w:val="nil"/>
              <w:left w:val="nil"/>
              <w:bottom w:val="single" w:sz="4" w:space="0" w:color="auto"/>
              <w:right w:val="single" w:sz="4" w:space="0" w:color="auto"/>
            </w:tcBorders>
            <w:shd w:val="clear" w:color="auto" w:fill="auto"/>
            <w:noWrap/>
            <w:vAlign w:val="center"/>
            <w:hideMark/>
          </w:tcPr>
          <w:p w14:paraId="447FBE9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EXPRESS COLOMBIA SAS ESP</w:t>
            </w:r>
          </w:p>
        </w:tc>
        <w:tc>
          <w:tcPr>
            <w:tcW w:w="1039" w:type="pct"/>
            <w:tcBorders>
              <w:top w:val="nil"/>
              <w:left w:val="nil"/>
              <w:bottom w:val="single" w:sz="4" w:space="0" w:color="auto"/>
              <w:right w:val="single" w:sz="4" w:space="0" w:color="auto"/>
            </w:tcBorders>
            <w:shd w:val="clear" w:color="auto" w:fill="auto"/>
            <w:noWrap/>
            <w:vAlign w:val="center"/>
            <w:hideMark/>
          </w:tcPr>
          <w:p w14:paraId="73BE7712"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966,880 </w:t>
            </w:r>
          </w:p>
        </w:tc>
      </w:tr>
      <w:tr w:rsidR="00F33938" w:rsidRPr="00AF4667" w14:paraId="34A30C8E"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AF1AC4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26226</w:t>
            </w:r>
          </w:p>
        </w:tc>
        <w:tc>
          <w:tcPr>
            <w:tcW w:w="3491" w:type="pct"/>
            <w:tcBorders>
              <w:top w:val="nil"/>
              <w:left w:val="nil"/>
              <w:bottom w:val="single" w:sz="4" w:space="0" w:color="auto"/>
              <w:right w:val="single" w:sz="4" w:space="0" w:color="auto"/>
            </w:tcBorders>
            <w:shd w:val="clear" w:color="auto" w:fill="auto"/>
            <w:noWrap/>
            <w:vAlign w:val="center"/>
            <w:hideMark/>
          </w:tcPr>
          <w:p w14:paraId="746C103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COMPROPANO SOCIEDAD POR ACCIONES SIMPLIFICADA E.S.P</w:t>
            </w:r>
          </w:p>
        </w:tc>
        <w:tc>
          <w:tcPr>
            <w:tcW w:w="1039" w:type="pct"/>
            <w:tcBorders>
              <w:top w:val="nil"/>
              <w:left w:val="nil"/>
              <w:bottom w:val="single" w:sz="4" w:space="0" w:color="auto"/>
              <w:right w:val="single" w:sz="4" w:space="0" w:color="auto"/>
            </w:tcBorders>
            <w:shd w:val="clear" w:color="auto" w:fill="auto"/>
            <w:noWrap/>
            <w:vAlign w:val="center"/>
            <w:hideMark/>
          </w:tcPr>
          <w:p w14:paraId="70B6ECB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540,349 </w:t>
            </w:r>
          </w:p>
        </w:tc>
      </w:tr>
      <w:tr w:rsidR="00F33938" w:rsidRPr="00AF4667" w14:paraId="50F3D748"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6E257DB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26548</w:t>
            </w:r>
          </w:p>
        </w:tc>
        <w:tc>
          <w:tcPr>
            <w:tcW w:w="3491" w:type="pct"/>
            <w:tcBorders>
              <w:top w:val="nil"/>
              <w:left w:val="nil"/>
              <w:bottom w:val="single" w:sz="4" w:space="0" w:color="auto"/>
              <w:right w:val="single" w:sz="4" w:space="0" w:color="auto"/>
            </w:tcBorders>
            <w:shd w:val="clear" w:color="auto" w:fill="auto"/>
            <w:noWrap/>
            <w:vAlign w:val="center"/>
            <w:hideMark/>
          </w:tcPr>
          <w:p w14:paraId="2F550FC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GASES ANDINOS DE COLOMBIA S.A.S. E.S.P.</w:t>
            </w:r>
          </w:p>
        </w:tc>
        <w:tc>
          <w:tcPr>
            <w:tcW w:w="1039" w:type="pct"/>
            <w:tcBorders>
              <w:top w:val="nil"/>
              <w:left w:val="nil"/>
              <w:bottom w:val="single" w:sz="4" w:space="0" w:color="auto"/>
              <w:right w:val="single" w:sz="4" w:space="0" w:color="auto"/>
            </w:tcBorders>
            <w:shd w:val="clear" w:color="auto" w:fill="auto"/>
            <w:noWrap/>
            <w:vAlign w:val="center"/>
            <w:hideMark/>
          </w:tcPr>
          <w:p w14:paraId="6D4A282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318,701 </w:t>
            </w:r>
          </w:p>
        </w:tc>
      </w:tr>
      <w:tr w:rsidR="00F33938" w:rsidRPr="00AF4667" w14:paraId="63DBF455"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596C11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26554</w:t>
            </w:r>
          </w:p>
        </w:tc>
        <w:tc>
          <w:tcPr>
            <w:tcW w:w="3491" w:type="pct"/>
            <w:tcBorders>
              <w:top w:val="nil"/>
              <w:left w:val="nil"/>
              <w:bottom w:val="single" w:sz="4" w:space="0" w:color="auto"/>
              <w:right w:val="single" w:sz="4" w:space="0" w:color="auto"/>
            </w:tcBorders>
            <w:shd w:val="clear" w:color="auto" w:fill="auto"/>
            <w:noWrap/>
            <w:vAlign w:val="center"/>
            <w:hideMark/>
          </w:tcPr>
          <w:p w14:paraId="737A8AA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UNION DE COLOMBIA S.A.S. E.S.P.</w:t>
            </w:r>
          </w:p>
        </w:tc>
        <w:tc>
          <w:tcPr>
            <w:tcW w:w="1039" w:type="pct"/>
            <w:tcBorders>
              <w:top w:val="nil"/>
              <w:left w:val="nil"/>
              <w:bottom w:val="single" w:sz="4" w:space="0" w:color="auto"/>
              <w:right w:val="single" w:sz="4" w:space="0" w:color="auto"/>
            </w:tcBorders>
            <w:shd w:val="clear" w:color="auto" w:fill="auto"/>
            <w:noWrap/>
            <w:vAlign w:val="center"/>
            <w:hideMark/>
          </w:tcPr>
          <w:p w14:paraId="3F275B0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502,624 </w:t>
            </w:r>
          </w:p>
        </w:tc>
      </w:tr>
      <w:tr w:rsidR="00F33938" w:rsidRPr="00AF4667" w14:paraId="57164A8A"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839441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26677</w:t>
            </w:r>
          </w:p>
        </w:tc>
        <w:tc>
          <w:tcPr>
            <w:tcW w:w="3491" w:type="pct"/>
            <w:tcBorders>
              <w:top w:val="nil"/>
              <w:left w:val="nil"/>
              <w:bottom w:val="single" w:sz="4" w:space="0" w:color="auto"/>
              <w:right w:val="single" w:sz="4" w:space="0" w:color="auto"/>
            </w:tcBorders>
            <w:shd w:val="clear" w:color="auto" w:fill="auto"/>
            <w:noWrap/>
            <w:vAlign w:val="center"/>
            <w:hideMark/>
          </w:tcPr>
          <w:p w14:paraId="17F5C65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CENTRAL DE HIDROCARBUROS GC SAS ESP</w:t>
            </w:r>
          </w:p>
        </w:tc>
        <w:tc>
          <w:tcPr>
            <w:tcW w:w="1039" w:type="pct"/>
            <w:tcBorders>
              <w:top w:val="nil"/>
              <w:left w:val="nil"/>
              <w:bottom w:val="single" w:sz="4" w:space="0" w:color="auto"/>
              <w:right w:val="single" w:sz="4" w:space="0" w:color="auto"/>
            </w:tcBorders>
            <w:shd w:val="clear" w:color="auto" w:fill="auto"/>
            <w:noWrap/>
            <w:vAlign w:val="center"/>
            <w:hideMark/>
          </w:tcPr>
          <w:p w14:paraId="4AC733A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978,349 </w:t>
            </w:r>
          </w:p>
        </w:tc>
      </w:tr>
      <w:tr w:rsidR="00F33938" w:rsidRPr="00AF4667" w14:paraId="2A68360A"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D36700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26817</w:t>
            </w:r>
          </w:p>
        </w:tc>
        <w:tc>
          <w:tcPr>
            <w:tcW w:w="3491" w:type="pct"/>
            <w:tcBorders>
              <w:top w:val="nil"/>
              <w:left w:val="nil"/>
              <w:bottom w:val="single" w:sz="4" w:space="0" w:color="auto"/>
              <w:right w:val="single" w:sz="4" w:space="0" w:color="auto"/>
            </w:tcBorders>
            <w:shd w:val="clear" w:color="auto" w:fill="auto"/>
            <w:noWrap/>
            <w:vAlign w:val="center"/>
            <w:hideMark/>
          </w:tcPr>
          <w:p w14:paraId="7C751CA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PROPANO DE COLOMBIA S.A.S. E.S.P.</w:t>
            </w:r>
          </w:p>
        </w:tc>
        <w:tc>
          <w:tcPr>
            <w:tcW w:w="1039" w:type="pct"/>
            <w:tcBorders>
              <w:top w:val="nil"/>
              <w:left w:val="nil"/>
              <w:bottom w:val="single" w:sz="4" w:space="0" w:color="auto"/>
              <w:right w:val="single" w:sz="4" w:space="0" w:color="auto"/>
            </w:tcBorders>
            <w:shd w:val="clear" w:color="auto" w:fill="auto"/>
            <w:noWrap/>
            <w:vAlign w:val="center"/>
            <w:hideMark/>
          </w:tcPr>
          <w:p w14:paraId="33D9178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550,970 </w:t>
            </w:r>
          </w:p>
        </w:tc>
      </w:tr>
      <w:tr w:rsidR="00F33938" w:rsidRPr="00AF4667" w14:paraId="64D4FB36"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7AEDE69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26857</w:t>
            </w:r>
          </w:p>
        </w:tc>
        <w:tc>
          <w:tcPr>
            <w:tcW w:w="3491" w:type="pct"/>
            <w:tcBorders>
              <w:top w:val="nil"/>
              <w:left w:val="nil"/>
              <w:bottom w:val="single" w:sz="4" w:space="0" w:color="auto"/>
              <w:right w:val="single" w:sz="4" w:space="0" w:color="auto"/>
            </w:tcBorders>
            <w:shd w:val="clear" w:color="auto" w:fill="auto"/>
            <w:noWrap/>
            <w:vAlign w:val="center"/>
            <w:hideMark/>
          </w:tcPr>
          <w:p w14:paraId="13B4EBB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COMERCIALIZADORA CENTRO ORIENTE S.A. E.S.P.</w:t>
            </w:r>
          </w:p>
        </w:tc>
        <w:tc>
          <w:tcPr>
            <w:tcW w:w="1039" w:type="pct"/>
            <w:tcBorders>
              <w:top w:val="nil"/>
              <w:left w:val="nil"/>
              <w:bottom w:val="single" w:sz="4" w:space="0" w:color="auto"/>
              <w:right w:val="single" w:sz="4" w:space="0" w:color="auto"/>
            </w:tcBorders>
            <w:shd w:val="clear" w:color="auto" w:fill="auto"/>
            <w:noWrap/>
            <w:vAlign w:val="center"/>
            <w:hideMark/>
          </w:tcPr>
          <w:p w14:paraId="1EC41E8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979,199 </w:t>
            </w:r>
          </w:p>
        </w:tc>
      </w:tr>
      <w:tr w:rsidR="00F33938" w:rsidRPr="00AF4667" w14:paraId="4BF3188A"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9B6275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26878</w:t>
            </w:r>
          </w:p>
        </w:tc>
        <w:tc>
          <w:tcPr>
            <w:tcW w:w="3491" w:type="pct"/>
            <w:tcBorders>
              <w:top w:val="nil"/>
              <w:left w:val="nil"/>
              <w:bottom w:val="single" w:sz="4" w:space="0" w:color="auto"/>
              <w:right w:val="single" w:sz="4" w:space="0" w:color="auto"/>
            </w:tcBorders>
            <w:shd w:val="clear" w:color="auto" w:fill="auto"/>
            <w:noWrap/>
            <w:vAlign w:val="center"/>
            <w:hideMark/>
          </w:tcPr>
          <w:p w14:paraId="3C106E4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MULTIGAS DE COLOMBIA S.A.S. E.S.P.</w:t>
            </w:r>
          </w:p>
        </w:tc>
        <w:tc>
          <w:tcPr>
            <w:tcW w:w="1039" w:type="pct"/>
            <w:tcBorders>
              <w:top w:val="nil"/>
              <w:left w:val="nil"/>
              <w:bottom w:val="single" w:sz="4" w:space="0" w:color="auto"/>
              <w:right w:val="single" w:sz="4" w:space="0" w:color="auto"/>
            </w:tcBorders>
            <w:shd w:val="clear" w:color="auto" w:fill="auto"/>
            <w:noWrap/>
            <w:vAlign w:val="center"/>
            <w:hideMark/>
          </w:tcPr>
          <w:p w14:paraId="5D6377A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360,121 </w:t>
            </w:r>
          </w:p>
        </w:tc>
      </w:tr>
      <w:tr w:rsidR="00F33938" w:rsidRPr="00AF4667" w14:paraId="5B071701"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4801472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27812</w:t>
            </w:r>
          </w:p>
        </w:tc>
        <w:tc>
          <w:tcPr>
            <w:tcW w:w="3491" w:type="pct"/>
            <w:tcBorders>
              <w:top w:val="nil"/>
              <w:left w:val="nil"/>
              <w:bottom w:val="single" w:sz="4" w:space="0" w:color="auto"/>
              <w:right w:val="single" w:sz="4" w:space="0" w:color="auto"/>
            </w:tcBorders>
            <w:shd w:val="clear" w:color="auto" w:fill="auto"/>
            <w:noWrap/>
            <w:vAlign w:val="center"/>
            <w:hideMark/>
          </w:tcPr>
          <w:p w14:paraId="7413F8B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PAC S.A.S. ESP.</w:t>
            </w:r>
          </w:p>
        </w:tc>
        <w:tc>
          <w:tcPr>
            <w:tcW w:w="1039" w:type="pct"/>
            <w:tcBorders>
              <w:top w:val="nil"/>
              <w:left w:val="nil"/>
              <w:bottom w:val="single" w:sz="4" w:space="0" w:color="auto"/>
              <w:right w:val="single" w:sz="4" w:space="0" w:color="auto"/>
            </w:tcBorders>
            <w:shd w:val="clear" w:color="auto" w:fill="auto"/>
            <w:noWrap/>
            <w:vAlign w:val="center"/>
            <w:hideMark/>
          </w:tcPr>
          <w:p w14:paraId="3D3951E2"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961,685 </w:t>
            </w:r>
          </w:p>
        </w:tc>
      </w:tr>
      <w:tr w:rsidR="00F33938" w:rsidRPr="00AF4667" w14:paraId="2EC9F3D2"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A0A5B4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29451</w:t>
            </w:r>
          </w:p>
        </w:tc>
        <w:tc>
          <w:tcPr>
            <w:tcW w:w="3491" w:type="pct"/>
            <w:tcBorders>
              <w:top w:val="nil"/>
              <w:left w:val="nil"/>
              <w:bottom w:val="single" w:sz="4" w:space="0" w:color="auto"/>
              <w:right w:val="single" w:sz="4" w:space="0" w:color="auto"/>
            </w:tcBorders>
            <w:shd w:val="clear" w:color="auto" w:fill="auto"/>
            <w:noWrap/>
            <w:vAlign w:val="center"/>
            <w:hideMark/>
          </w:tcPr>
          <w:p w14:paraId="3A5C8B6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PORVENIR ESP SAS</w:t>
            </w:r>
          </w:p>
        </w:tc>
        <w:tc>
          <w:tcPr>
            <w:tcW w:w="1039" w:type="pct"/>
            <w:tcBorders>
              <w:top w:val="nil"/>
              <w:left w:val="nil"/>
              <w:bottom w:val="single" w:sz="4" w:space="0" w:color="auto"/>
              <w:right w:val="single" w:sz="4" w:space="0" w:color="auto"/>
            </w:tcBorders>
            <w:shd w:val="clear" w:color="auto" w:fill="auto"/>
            <w:noWrap/>
            <w:vAlign w:val="center"/>
            <w:hideMark/>
          </w:tcPr>
          <w:p w14:paraId="0B5DF699"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406,814 </w:t>
            </w:r>
          </w:p>
        </w:tc>
      </w:tr>
      <w:tr w:rsidR="00F33938" w:rsidRPr="00AF4667" w14:paraId="07FE6199"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149B8786"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32073</w:t>
            </w:r>
          </w:p>
        </w:tc>
        <w:tc>
          <w:tcPr>
            <w:tcW w:w="3491" w:type="pct"/>
            <w:tcBorders>
              <w:top w:val="nil"/>
              <w:left w:val="nil"/>
              <w:bottom w:val="single" w:sz="4" w:space="0" w:color="auto"/>
              <w:right w:val="single" w:sz="4" w:space="0" w:color="auto"/>
            </w:tcBorders>
            <w:shd w:val="clear" w:color="auto" w:fill="auto"/>
            <w:noWrap/>
            <w:vAlign w:val="center"/>
            <w:hideMark/>
          </w:tcPr>
          <w:p w14:paraId="2DAAD70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MEGAS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0E08F07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2,871,149 </w:t>
            </w:r>
          </w:p>
        </w:tc>
      </w:tr>
      <w:tr w:rsidR="00F33938" w:rsidRPr="00AF4667" w14:paraId="01112F30"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44F2E5ED"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32253</w:t>
            </w:r>
          </w:p>
        </w:tc>
        <w:tc>
          <w:tcPr>
            <w:tcW w:w="3491" w:type="pct"/>
            <w:tcBorders>
              <w:top w:val="nil"/>
              <w:left w:val="nil"/>
              <w:bottom w:val="single" w:sz="4" w:space="0" w:color="auto"/>
              <w:right w:val="single" w:sz="4" w:space="0" w:color="auto"/>
            </w:tcBorders>
            <w:shd w:val="clear" w:color="auto" w:fill="auto"/>
            <w:noWrap/>
            <w:vAlign w:val="center"/>
            <w:hideMark/>
          </w:tcPr>
          <w:p w14:paraId="356B898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COMERCIALIZADORA DE GAS CASANARE S.A.S. E.S.P.</w:t>
            </w:r>
          </w:p>
        </w:tc>
        <w:tc>
          <w:tcPr>
            <w:tcW w:w="1039" w:type="pct"/>
            <w:tcBorders>
              <w:top w:val="nil"/>
              <w:left w:val="nil"/>
              <w:bottom w:val="single" w:sz="4" w:space="0" w:color="auto"/>
              <w:right w:val="single" w:sz="4" w:space="0" w:color="auto"/>
            </w:tcBorders>
            <w:shd w:val="clear" w:color="auto" w:fill="auto"/>
            <w:noWrap/>
            <w:vAlign w:val="center"/>
            <w:hideMark/>
          </w:tcPr>
          <w:p w14:paraId="7988682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100,222 </w:t>
            </w:r>
          </w:p>
        </w:tc>
      </w:tr>
      <w:tr w:rsidR="00F33938" w:rsidRPr="00AF4667" w14:paraId="31567F07"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B4BF7C4"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32733</w:t>
            </w:r>
          </w:p>
        </w:tc>
        <w:tc>
          <w:tcPr>
            <w:tcW w:w="3491" w:type="pct"/>
            <w:tcBorders>
              <w:top w:val="nil"/>
              <w:left w:val="nil"/>
              <w:bottom w:val="single" w:sz="4" w:space="0" w:color="auto"/>
              <w:right w:val="single" w:sz="4" w:space="0" w:color="auto"/>
            </w:tcBorders>
            <w:shd w:val="clear" w:color="auto" w:fill="auto"/>
            <w:noWrap/>
            <w:vAlign w:val="center"/>
            <w:hideMark/>
          </w:tcPr>
          <w:p w14:paraId="7C6CDDF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EMPRESA MIXTA DE 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778B2D5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589,430 </w:t>
            </w:r>
          </w:p>
        </w:tc>
      </w:tr>
      <w:tr w:rsidR="00F33938" w:rsidRPr="00AF4667" w14:paraId="081C1127"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E53FA1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32793</w:t>
            </w:r>
          </w:p>
        </w:tc>
        <w:tc>
          <w:tcPr>
            <w:tcW w:w="3491" w:type="pct"/>
            <w:tcBorders>
              <w:top w:val="nil"/>
              <w:left w:val="nil"/>
              <w:bottom w:val="single" w:sz="4" w:space="0" w:color="auto"/>
              <w:right w:val="single" w:sz="4" w:space="0" w:color="auto"/>
            </w:tcBorders>
            <w:shd w:val="clear" w:color="auto" w:fill="auto"/>
            <w:noWrap/>
            <w:vAlign w:val="center"/>
            <w:hideMark/>
          </w:tcPr>
          <w:p w14:paraId="56AE60A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COLOMBOGAS S.A.S. E.S.P.</w:t>
            </w:r>
          </w:p>
        </w:tc>
        <w:tc>
          <w:tcPr>
            <w:tcW w:w="1039" w:type="pct"/>
            <w:tcBorders>
              <w:top w:val="nil"/>
              <w:left w:val="nil"/>
              <w:bottom w:val="single" w:sz="4" w:space="0" w:color="auto"/>
              <w:right w:val="single" w:sz="4" w:space="0" w:color="auto"/>
            </w:tcBorders>
            <w:shd w:val="clear" w:color="auto" w:fill="auto"/>
            <w:noWrap/>
            <w:vAlign w:val="center"/>
            <w:hideMark/>
          </w:tcPr>
          <w:p w14:paraId="7ABEE31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731,572 </w:t>
            </w:r>
          </w:p>
        </w:tc>
      </w:tr>
      <w:tr w:rsidR="00F33938" w:rsidRPr="00AF4667" w14:paraId="183C6436"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7CAC66E"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33453</w:t>
            </w:r>
          </w:p>
        </w:tc>
        <w:tc>
          <w:tcPr>
            <w:tcW w:w="3491" w:type="pct"/>
            <w:tcBorders>
              <w:top w:val="nil"/>
              <w:left w:val="nil"/>
              <w:bottom w:val="single" w:sz="4" w:space="0" w:color="auto"/>
              <w:right w:val="single" w:sz="4" w:space="0" w:color="auto"/>
            </w:tcBorders>
            <w:shd w:val="clear" w:color="auto" w:fill="auto"/>
            <w:noWrap/>
            <w:vAlign w:val="center"/>
            <w:hideMark/>
          </w:tcPr>
          <w:p w14:paraId="792B4BD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GAS COLOMBIA SAS ESP</w:t>
            </w:r>
          </w:p>
        </w:tc>
        <w:tc>
          <w:tcPr>
            <w:tcW w:w="1039" w:type="pct"/>
            <w:tcBorders>
              <w:top w:val="nil"/>
              <w:left w:val="nil"/>
              <w:bottom w:val="single" w:sz="4" w:space="0" w:color="auto"/>
              <w:right w:val="single" w:sz="4" w:space="0" w:color="auto"/>
            </w:tcBorders>
            <w:shd w:val="clear" w:color="auto" w:fill="auto"/>
            <w:noWrap/>
            <w:vAlign w:val="center"/>
            <w:hideMark/>
          </w:tcPr>
          <w:p w14:paraId="0D08734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1,003,615 </w:t>
            </w:r>
          </w:p>
        </w:tc>
      </w:tr>
      <w:tr w:rsidR="00F33938" w:rsidRPr="00AF4667" w14:paraId="35F15F29"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FDD1C2B"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33573</w:t>
            </w:r>
          </w:p>
        </w:tc>
        <w:tc>
          <w:tcPr>
            <w:tcW w:w="3491" w:type="pct"/>
            <w:tcBorders>
              <w:top w:val="nil"/>
              <w:left w:val="nil"/>
              <w:bottom w:val="single" w:sz="4" w:space="0" w:color="auto"/>
              <w:right w:val="single" w:sz="4" w:space="0" w:color="auto"/>
            </w:tcBorders>
            <w:shd w:val="clear" w:color="auto" w:fill="auto"/>
            <w:noWrap/>
            <w:vAlign w:val="center"/>
            <w:hideMark/>
          </w:tcPr>
          <w:p w14:paraId="408E926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COMERCIALIZADORA G.L.P  DEL ORIENTE SAS   ESP</w:t>
            </w:r>
          </w:p>
        </w:tc>
        <w:tc>
          <w:tcPr>
            <w:tcW w:w="1039" w:type="pct"/>
            <w:tcBorders>
              <w:top w:val="nil"/>
              <w:left w:val="nil"/>
              <w:bottom w:val="single" w:sz="4" w:space="0" w:color="auto"/>
              <w:right w:val="single" w:sz="4" w:space="0" w:color="auto"/>
            </w:tcBorders>
            <w:shd w:val="clear" w:color="auto" w:fill="auto"/>
            <w:noWrap/>
            <w:vAlign w:val="center"/>
            <w:hideMark/>
          </w:tcPr>
          <w:p w14:paraId="38948CF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212,201 </w:t>
            </w:r>
          </w:p>
        </w:tc>
      </w:tr>
      <w:tr w:rsidR="00F33938" w:rsidRPr="00AF4667" w14:paraId="6848CA5F"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07DC89E8"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36154</w:t>
            </w:r>
          </w:p>
        </w:tc>
        <w:tc>
          <w:tcPr>
            <w:tcW w:w="3491" w:type="pct"/>
            <w:tcBorders>
              <w:top w:val="nil"/>
              <w:left w:val="nil"/>
              <w:bottom w:val="single" w:sz="4" w:space="0" w:color="auto"/>
              <w:right w:val="single" w:sz="4" w:space="0" w:color="auto"/>
            </w:tcBorders>
            <w:shd w:val="clear" w:color="auto" w:fill="auto"/>
            <w:noWrap/>
            <w:vAlign w:val="center"/>
            <w:hideMark/>
          </w:tcPr>
          <w:p w14:paraId="32A32CE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ENTREGAMOS G.L.P. E.S.P. S.A.S.</w:t>
            </w:r>
          </w:p>
        </w:tc>
        <w:tc>
          <w:tcPr>
            <w:tcW w:w="1039" w:type="pct"/>
            <w:tcBorders>
              <w:top w:val="nil"/>
              <w:left w:val="nil"/>
              <w:bottom w:val="single" w:sz="4" w:space="0" w:color="auto"/>
              <w:right w:val="single" w:sz="4" w:space="0" w:color="auto"/>
            </w:tcBorders>
            <w:shd w:val="clear" w:color="auto" w:fill="auto"/>
            <w:noWrap/>
            <w:vAlign w:val="center"/>
            <w:hideMark/>
          </w:tcPr>
          <w:p w14:paraId="38FD4B9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167,972 </w:t>
            </w:r>
          </w:p>
        </w:tc>
      </w:tr>
      <w:tr w:rsidR="00F33938" w:rsidRPr="00AF4667" w14:paraId="7ABC7671"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4B889067"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36695</w:t>
            </w:r>
          </w:p>
        </w:tc>
        <w:tc>
          <w:tcPr>
            <w:tcW w:w="3491" w:type="pct"/>
            <w:tcBorders>
              <w:top w:val="nil"/>
              <w:left w:val="nil"/>
              <w:bottom w:val="single" w:sz="4" w:space="0" w:color="auto"/>
              <w:right w:val="single" w:sz="4" w:space="0" w:color="auto"/>
            </w:tcBorders>
            <w:shd w:val="clear" w:color="auto" w:fill="auto"/>
            <w:noWrap/>
            <w:vAlign w:val="center"/>
            <w:hideMark/>
          </w:tcPr>
          <w:p w14:paraId="51189CD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DISTRIBUIDORA DE GAS DEL FONCE SOCIEDAD POR ACCIONES SIMPLIFICADA EMPRESA DE SERVICIO PUBLICOS DOMICILIARIOS S.A.S. E.S.P.</w:t>
            </w:r>
          </w:p>
        </w:tc>
        <w:tc>
          <w:tcPr>
            <w:tcW w:w="1039" w:type="pct"/>
            <w:tcBorders>
              <w:top w:val="nil"/>
              <w:left w:val="nil"/>
              <w:bottom w:val="single" w:sz="4" w:space="0" w:color="auto"/>
              <w:right w:val="single" w:sz="4" w:space="0" w:color="auto"/>
            </w:tcBorders>
            <w:shd w:val="clear" w:color="auto" w:fill="auto"/>
            <w:noWrap/>
            <w:vAlign w:val="center"/>
            <w:hideMark/>
          </w:tcPr>
          <w:p w14:paraId="38464471"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103,656 </w:t>
            </w:r>
          </w:p>
        </w:tc>
      </w:tr>
      <w:tr w:rsidR="00F33938" w:rsidRPr="00AF4667" w14:paraId="5EEDA741"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2B18D3A0"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37174</w:t>
            </w:r>
          </w:p>
        </w:tc>
        <w:tc>
          <w:tcPr>
            <w:tcW w:w="3491" w:type="pct"/>
            <w:tcBorders>
              <w:top w:val="nil"/>
              <w:left w:val="nil"/>
              <w:bottom w:val="single" w:sz="4" w:space="0" w:color="auto"/>
              <w:right w:val="single" w:sz="4" w:space="0" w:color="auto"/>
            </w:tcBorders>
            <w:shd w:val="clear" w:color="auto" w:fill="auto"/>
            <w:noWrap/>
            <w:vAlign w:val="center"/>
            <w:hideMark/>
          </w:tcPr>
          <w:p w14:paraId="727B5D4A"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TERMOGAS SOLUCIONES ENERGETICAS SAS ESP</w:t>
            </w:r>
          </w:p>
        </w:tc>
        <w:tc>
          <w:tcPr>
            <w:tcW w:w="1039" w:type="pct"/>
            <w:tcBorders>
              <w:top w:val="nil"/>
              <w:left w:val="nil"/>
              <w:bottom w:val="single" w:sz="4" w:space="0" w:color="auto"/>
              <w:right w:val="single" w:sz="4" w:space="0" w:color="auto"/>
            </w:tcBorders>
            <w:shd w:val="clear" w:color="auto" w:fill="auto"/>
            <w:noWrap/>
            <w:vAlign w:val="center"/>
            <w:hideMark/>
          </w:tcPr>
          <w:p w14:paraId="01B6DA9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59,600 </w:t>
            </w:r>
          </w:p>
        </w:tc>
      </w:tr>
      <w:tr w:rsidR="00F33938" w:rsidRPr="00AF4667" w14:paraId="4BB7285F" w14:textId="77777777" w:rsidTr="00AF4667">
        <w:trPr>
          <w:trHeight w:val="405"/>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5E3649DF"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40255</w:t>
            </w:r>
          </w:p>
        </w:tc>
        <w:tc>
          <w:tcPr>
            <w:tcW w:w="3491" w:type="pct"/>
            <w:tcBorders>
              <w:top w:val="nil"/>
              <w:left w:val="nil"/>
              <w:bottom w:val="single" w:sz="4" w:space="0" w:color="auto"/>
              <w:right w:val="single" w:sz="4" w:space="0" w:color="auto"/>
            </w:tcBorders>
            <w:shd w:val="clear" w:color="auto" w:fill="auto"/>
            <w:noWrap/>
            <w:vAlign w:val="center"/>
            <w:hideMark/>
          </w:tcPr>
          <w:p w14:paraId="63BCD803"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BTU ENERGY S.A.S. E.S.P.</w:t>
            </w:r>
          </w:p>
        </w:tc>
        <w:tc>
          <w:tcPr>
            <w:tcW w:w="1039" w:type="pct"/>
            <w:tcBorders>
              <w:top w:val="nil"/>
              <w:left w:val="nil"/>
              <w:bottom w:val="single" w:sz="4" w:space="0" w:color="auto"/>
              <w:right w:val="single" w:sz="4" w:space="0" w:color="auto"/>
            </w:tcBorders>
            <w:shd w:val="clear" w:color="auto" w:fill="auto"/>
            <w:noWrap/>
            <w:vAlign w:val="center"/>
            <w:hideMark/>
          </w:tcPr>
          <w:p w14:paraId="5EB7C96C" w14:textId="77777777" w:rsidR="00F33938" w:rsidRPr="00AF4667" w:rsidRDefault="00F33938" w:rsidP="003D6B58">
            <w:pPr>
              <w:rPr>
                <w:rFonts w:ascii="Arial" w:eastAsia="Times New Roman" w:hAnsi="Arial" w:cs="Arial"/>
                <w:color w:val="000000"/>
                <w:sz w:val="18"/>
                <w:szCs w:val="18"/>
                <w:lang w:val="es-CO" w:eastAsia="es-CO"/>
              </w:rPr>
            </w:pPr>
            <w:r w:rsidRPr="00AF4667">
              <w:rPr>
                <w:rFonts w:ascii="Arial" w:eastAsia="Times New Roman" w:hAnsi="Arial" w:cs="Arial"/>
                <w:color w:val="000000"/>
                <w:sz w:val="18"/>
                <w:szCs w:val="18"/>
                <w:lang w:val="es-CO" w:eastAsia="es-CO"/>
              </w:rPr>
              <w:t xml:space="preserve">              135,050 </w:t>
            </w:r>
          </w:p>
        </w:tc>
      </w:tr>
    </w:tbl>
    <w:p w14:paraId="18223F07" w14:textId="31A06379" w:rsidR="00222C26" w:rsidRDefault="00222C26" w:rsidP="00BB6EB9">
      <w:pPr>
        <w:rPr>
          <w:rFonts w:ascii="Arial" w:hAnsi="Arial" w:cs="Arial"/>
        </w:rPr>
      </w:pPr>
    </w:p>
    <w:p w14:paraId="04602C02" w14:textId="21D4446D" w:rsidR="00BB6EB9" w:rsidRPr="0034087E" w:rsidRDefault="00BB6EB9" w:rsidP="00BB6EB9">
      <w:pPr>
        <w:jc w:val="both"/>
        <w:rPr>
          <w:rFonts w:ascii="Arial" w:eastAsia="Times New Roman" w:hAnsi="Arial" w:cs="Arial"/>
          <w:sz w:val="20"/>
          <w:szCs w:val="20"/>
          <w:lang w:val="es-ES" w:eastAsia="es-ES"/>
        </w:rPr>
      </w:pPr>
      <w:r w:rsidRPr="0034087E">
        <w:rPr>
          <w:rFonts w:ascii="Arial" w:eastAsia="Times New Roman" w:hAnsi="Arial" w:cs="Arial"/>
          <w:sz w:val="20"/>
          <w:szCs w:val="20"/>
          <w:lang w:val="es-ES" w:eastAsia="es-ES"/>
        </w:rPr>
        <w:t>Es así que la Comisión de Regulación de Energía y Gas</w:t>
      </w:r>
      <w:r w:rsidR="003D6B58">
        <w:rPr>
          <w:rFonts w:ascii="Arial" w:eastAsia="Times New Roman" w:hAnsi="Arial" w:cs="Arial"/>
          <w:sz w:val="20"/>
          <w:szCs w:val="20"/>
          <w:lang w:val="es-ES" w:eastAsia="es-ES"/>
        </w:rPr>
        <w:t>,</w:t>
      </w:r>
      <w:r w:rsidRPr="0034087E">
        <w:rPr>
          <w:rFonts w:ascii="Arial" w:eastAsia="Times New Roman" w:hAnsi="Arial" w:cs="Arial"/>
          <w:sz w:val="20"/>
          <w:szCs w:val="20"/>
          <w:lang w:val="es-ES" w:eastAsia="es-ES"/>
        </w:rPr>
        <w:t xml:space="preserve"> CREG</w:t>
      </w:r>
      <w:r w:rsidR="003D6B58">
        <w:rPr>
          <w:rFonts w:ascii="Arial" w:eastAsia="Times New Roman" w:hAnsi="Arial" w:cs="Arial"/>
          <w:sz w:val="20"/>
          <w:szCs w:val="20"/>
          <w:lang w:val="es-ES" w:eastAsia="es-ES"/>
        </w:rPr>
        <w:t>,</w:t>
      </w:r>
      <w:r w:rsidRPr="0034087E">
        <w:rPr>
          <w:rFonts w:ascii="Arial" w:eastAsia="Times New Roman" w:hAnsi="Arial" w:cs="Arial"/>
          <w:sz w:val="20"/>
          <w:szCs w:val="20"/>
          <w:lang w:val="es-ES" w:eastAsia="es-ES"/>
        </w:rPr>
        <w:t xml:space="preserve"> aprobó la publicación de la presente Circular atendiendo lo previsto en el artículo 9 de la Resolución CREG 063 de 2016, la cual contiene las capacidades definidas y en firme para los distribuidores de GLP que deben ser consideradas para el </w:t>
      </w:r>
      <w:r w:rsidR="00C82402">
        <w:rPr>
          <w:rFonts w:ascii="Arial" w:eastAsia="Times New Roman" w:hAnsi="Arial" w:cs="Arial"/>
          <w:sz w:val="20"/>
          <w:szCs w:val="20"/>
          <w:lang w:val="es-ES" w:eastAsia="es-ES"/>
        </w:rPr>
        <w:t>noveno</w:t>
      </w:r>
      <w:r w:rsidRPr="0034087E">
        <w:rPr>
          <w:rFonts w:ascii="Arial" w:eastAsia="Times New Roman" w:hAnsi="Arial" w:cs="Arial"/>
          <w:sz w:val="20"/>
          <w:szCs w:val="20"/>
          <w:lang w:val="es-ES" w:eastAsia="es-ES"/>
        </w:rPr>
        <w:t xml:space="preserve"> período de compra por parte de los comercializadores mayoristas y distribuidores</w:t>
      </w:r>
      <w:r w:rsidR="003D6B58">
        <w:rPr>
          <w:rFonts w:ascii="Arial" w:eastAsia="Times New Roman" w:hAnsi="Arial" w:cs="Arial"/>
          <w:sz w:val="20"/>
          <w:szCs w:val="20"/>
          <w:lang w:val="es-ES" w:eastAsia="es-ES"/>
        </w:rPr>
        <w:t>,</w:t>
      </w:r>
      <w:r w:rsidRPr="0034087E">
        <w:rPr>
          <w:rFonts w:ascii="Arial" w:eastAsia="Times New Roman" w:hAnsi="Arial" w:cs="Arial"/>
          <w:sz w:val="20"/>
          <w:szCs w:val="20"/>
          <w:lang w:val="es-ES" w:eastAsia="es-ES"/>
        </w:rPr>
        <w:t xml:space="preserve"> a efectos de dar cumplimiento a las obligaciones previstas en la regulación</w:t>
      </w:r>
      <w:r w:rsidRPr="0034087E">
        <w:rPr>
          <w:rStyle w:val="Refdenotaalpie"/>
          <w:rFonts w:ascii="Arial" w:eastAsia="Times New Roman" w:hAnsi="Arial" w:cs="Arial"/>
          <w:sz w:val="20"/>
          <w:szCs w:val="20"/>
          <w:lang w:val="es-ES" w:eastAsia="es-ES"/>
        </w:rPr>
        <w:footnoteReference w:id="2"/>
      </w:r>
      <w:r w:rsidRPr="0034087E">
        <w:rPr>
          <w:rFonts w:ascii="Arial" w:eastAsia="Times New Roman" w:hAnsi="Arial" w:cs="Arial"/>
          <w:sz w:val="20"/>
          <w:szCs w:val="20"/>
          <w:lang w:val="es-ES" w:eastAsia="es-ES"/>
        </w:rPr>
        <w:t xml:space="preserve">. </w:t>
      </w:r>
    </w:p>
    <w:p w14:paraId="7884F29C" w14:textId="77777777" w:rsidR="00BB6EB9" w:rsidRPr="0034087E" w:rsidRDefault="00BB6EB9" w:rsidP="00BB6EB9">
      <w:pPr>
        <w:contextualSpacing/>
        <w:jc w:val="both"/>
        <w:rPr>
          <w:rFonts w:ascii="Arial" w:eastAsia="Times New Roman" w:hAnsi="Arial" w:cs="Arial"/>
          <w:sz w:val="20"/>
          <w:szCs w:val="20"/>
          <w:lang w:eastAsia="es-ES"/>
        </w:rPr>
      </w:pPr>
    </w:p>
    <w:p w14:paraId="1F5C391E" w14:textId="77777777" w:rsidR="00BB6EB9" w:rsidRPr="0034087E" w:rsidRDefault="00BB6EB9" w:rsidP="00BB6EB9">
      <w:pPr>
        <w:contextualSpacing/>
        <w:jc w:val="both"/>
        <w:rPr>
          <w:rFonts w:ascii="Arial" w:eastAsia="Times New Roman" w:hAnsi="Arial" w:cs="Arial"/>
          <w:sz w:val="20"/>
          <w:szCs w:val="20"/>
          <w:lang w:eastAsia="es-ES"/>
        </w:rPr>
      </w:pPr>
      <w:r w:rsidRPr="0034087E">
        <w:rPr>
          <w:rFonts w:ascii="Arial" w:eastAsia="Times New Roman" w:hAnsi="Arial" w:cs="Arial"/>
          <w:sz w:val="20"/>
          <w:szCs w:val="20"/>
          <w:lang w:eastAsia="es-ES"/>
        </w:rPr>
        <w:t>Frente a las anteriores capacidades, se reitera el cumplimiento que se debe dar por parte de los comercializadores mayoristas a las obligaciones previstas en la regulación, entre otras las siguientes:</w:t>
      </w:r>
    </w:p>
    <w:p w14:paraId="300803D9" w14:textId="77777777" w:rsidR="00BB6EB9" w:rsidRPr="0034087E" w:rsidRDefault="00BB6EB9" w:rsidP="00BB6EB9">
      <w:pPr>
        <w:contextualSpacing/>
        <w:jc w:val="both"/>
        <w:rPr>
          <w:rFonts w:ascii="Arial" w:eastAsia="Times New Roman" w:hAnsi="Arial" w:cs="Arial"/>
          <w:sz w:val="20"/>
          <w:szCs w:val="20"/>
          <w:lang w:eastAsia="es-ES"/>
        </w:rPr>
      </w:pPr>
    </w:p>
    <w:p w14:paraId="3E886E67" w14:textId="77777777" w:rsidR="00BB6EB9" w:rsidRPr="0034087E" w:rsidRDefault="00BB6EB9" w:rsidP="003D6B58">
      <w:pPr>
        <w:pStyle w:val="Prrafodelista"/>
        <w:numPr>
          <w:ilvl w:val="0"/>
          <w:numId w:val="1"/>
        </w:numPr>
        <w:ind w:left="567" w:hanging="283"/>
        <w:jc w:val="both"/>
        <w:rPr>
          <w:rFonts w:ascii="Arial" w:eastAsia="Times New Roman" w:hAnsi="Arial" w:cs="Arial"/>
          <w:sz w:val="20"/>
          <w:szCs w:val="20"/>
          <w:lang w:eastAsia="es-ES"/>
        </w:rPr>
      </w:pPr>
      <w:r w:rsidRPr="0034087E">
        <w:rPr>
          <w:rFonts w:ascii="Arial" w:hAnsi="Arial" w:cs="Arial"/>
          <w:sz w:val="20"/>
          <w:szCs w:val="20"/>
          <w:lang w:val="es-MX"/>
        </w:rPr>
        <w:t xml:space="preserve"> Abstenerse de ofrecer y vender GLP a un distribuidor cuando, de manera directa o a través de la representación de otro comercializador mayorista, dicha oferta o venta lleve al distribuidor a exceder su capacidad de compra, de acuerdo con lo previsto en la regulación. (Literal g del artículo 6 de la Resolución CREG 053 de 2011)</w:t>
      </w:r>
    </w:p>
    <w:p w14:paraId="130045B4" w14:textId="77777777" w:rsidR="00BB6EB9" w:rsidRPr="0034087E" w:rsidRDefault="00BB6EB9" w:rsidP="00BB6EB9">
      <w:pPr>
        <w:jc w:val="both"/>
        <w:rPr>
          <w:rFonts w:ascii="Arial" w:eastAsia="Times New Roman" w:hAnsi="Arial" w:cs="Arial"/>
          <w:sz w:val="20"/>
          <w:szCs w:val="20"/>
          <w:lang w:eastAsia="es-ES"/>
        </w:rPr>
      </w:pPr>
    </w:p>
    <w:p w14:paraId="0C7ECD88" w14:textId="390BDF5C" w:rsidR="00BB6EB9" w:rsidRPr="0034087E" w:rsidRDefault="00BB6EB9" w:rsidP="00BB6EB9">
      <w:pPr>
        <w:pStyle w:val="Textoindependiente"/>
        <w:spacing w:after="0" w:line="240" w:lineRule="auto"/>
        <w:rPr>
          <w:rFonts w:cs="Arial"/>
        </w:rPr>
      </w:pPr>
      <w:r w:rsidRPr="0034087E">
        <w:rPr>
          <w:rFonts w:cs="Arial"/>
        </w:rPr>
        <w:t>En atención a esta obligación, de acuerdo con lo establecido en los literales d y e del artículo 9 de la Resolución CREG 053 de 2011</w:t>
      </w:r>
      <w:r w:rsidR="003D6B58">
        <w:rPr>
          <w:rFonts w:cs="Arial"/>
        </w:rPr>
        <w:t>,</w:t>
      </w:r>
      <w:r w:rsidRPr="0034087E">
        <w:rPr>
          <w:rFonts w:cs="Arial"/>
        </w:rPr>
        <w:t xml:space="preserve"> los cuales establecen las siguientes obligaciones por parte de los comercializadores mayoristas de GLP con precio regulado y aquellos con precio libre en relación con la publicación de información:</w:t>
      </w:r>
    </w:p>
    <w:p w14:paraId="779F844A" w14:textId="77777777" w:rsidR="00BB6EB9" w:rsidRPr="0034087E" w:rsidRDefault="00BB6EB9" w:rsidP="00BB6EB9">
      <w:pPr>
        <w:pStyle w:val="Prrafodelista"/>
        <w:rPr>
          <w:rFonts w:ascii="Arial" w:hAnsi="Arial" w:cs="Arial"/>
          <w:sz w:val="20"/>
          <w:szCs w:val="20"/>
          <w:lang w:val="es-CO"/>
        </w:rPr>
      </w:pPr>
    </w:p>
    <w:p w14:paraId="3DA2F954" w14:textId="77777777" w:rsidR="00BB6EB9" w:rsidRPr="003D6B58" w:rsidRDefault="00BB6EB9" w:rsidP="003D6B58">
      <w:pPr>
        <w:ind w:left="284"/>
        <w:jc w:val="both"/>
        <w:rPr>
          <w:rFonts w:ascii="Arial" w:eastAsia="Times New Roman" w:hAnsi="Arial" w:cs="Arial"/>
          <w:i/>
          <w:iCs/>
          <w:sz w:val="18"/>
          <w:szCs w:val="18"/>
          <w:lang w:val="es-ES" w:eastAsia="es-ES"/>
        </w:rPr>
      </w:pPr>
      <w:r w:rsidRPr="003D6B58">
        <w:rPr>
          <w:rFonts w:ascii="Arial" w:eastAsia="Times New Roman" w:hAnsi="Arial" w:cs="Arial"/>
          <w:i/>
          <w:iCs/>
          <w:sz w:val="18"/>
          <w:szCs w:val="18"/>
          <w:lang w:val="es-ES" w:eastAsia="es-ES"/>
        </w:rPr>
        <w:t xml:space="preserve">“d. Cuando se trate de GLP con Precio Regulado, diseñar, implementar y mantener una herramienta para realizar la OPC, de la cual trata el capítulo 3 esta resolución, de manera que se garantice que los Distribuidores, Usuarios No Regulados y otros Comercializadores Mayoristas interesados en adquirir producto regulado puedan presentar sus ofertas de compra en igualdad de condiciones y oportunidades.  </w:t>
      </w:r>
      <w:r w:rsidRPr="003D6B58">
        <w:rPr>
          <w:rFonts w:ascii="Arial" w:eastAsia="Times New Roman" w:hAnsi="Arial" w:cs="Arial"/>
          <w:b/>
          <w:i/>
          <w:iCs/>
          <w:sz w:val="18"/>
          <w:szCs w:val="18"/>
          <w:u w:val="single"/>
          <w:lang w:val="es-ES" w:eastAsia="es-ES"/>
        </w:rPr>
        <w:t xml:space="preserve">Este sistema debe permitir que, al cierre del recibo de ofertas de compra y de la realización de los cálculos de asignación, las autoridades de regulación, control y vigilancia conozcan la asignación resultante de producto de acuerdo con las reglas establecidas en esta resolución y la información que soporta dicha asignación, y que los participantes en la OPC conozcan como mínimo los resultados de su propia asignación. </w:t>
      </w:r>
      <w:r w:rsidRPr="003D6B58">
        <w:rPr>
          <w:rFonts w:ascii="Arial" w:eastAsia="Times New Roman" w:hAnsi="Arial" w:cs="Arial"/>
          <w:i/>
          <w:iCs/>
          <w:sz w:val="18"/>
          <w:szCs w:val="18"/>
          <w:lang w:val="es-ES" w:eastAsia="es-ES"/>
        </w:rPr>
        <w:t>Los procedimientos a aplicar por parte de los ofertantes de compra deben ser informados de manera anticipada para garantizar la participación de todos los interesados.</w:t>
      </w:r>
    </w:p>
    <w:p w14:paraId="3043DB77" w14:textId="77777777" w:rsidR="00BB6EB9" w:rsidRPr="003D6B58" w:rsidRDefault="00BB6EB9" w:rsidP="003D6B58">
      <w:pPr>
        <w:ind w:left="284"/>
        <w:jc w:val="both"/>
        <w:rPr>
          <w:rFonts w:ascii="Arial" w:eastAsia="Times New Roman" w:hAnsi="Arial" w:cs="Arial"/>
          <w:i/>
          <w:iCs/>
          <w:sz w:val="18"/>
          <w:szCs w:val="18"/>
          <w:lang w:val="es-ES" w:eastAsia="es-ES"/>
        </w:rPr>
      </w:pPr>
    </w:p>
    <w:p w14:paraId="364736CD" w14:textId="77777777" w:rsidR="00BB6EB9" w:rsidRPr="003D6B58" w:rsidRDefault="00BB6EB9" w:rsidP="003D6B58">
      <w:pPr>
        <w:ind w:left="284"/>
        <w:jc w:val="both"/>
        <w:rPr>
          <w:rFonts w:ascii="Arial" w:eastAsia="Times New Roman" w:hAnsi="Arial" w:cs="Arial"/>
          <w:i/>
          <w:iCs/>
          <w:sz w:val="18"/>
          <w:szCs w:val="18"/>
          <w:lang w:val="es-ES" w:eastAsia="es-ES"/>
        </w:rPr>
      </w:pPr>
      <w:r w:rsidRPr="003D6B58">
        <w:rPr>
          <w:rFonts w:ascii="Arial" w:eastAsia="Times New Roman" w:hAnsi="Arial" w:cs="Arial"/>
          <w:i/>
          <w:iCs/>
          <w:sz w:val="18"/>
          <w:szCs w:val="18"/>
          <w:lang w:val="es-ES" w:eastAsia="es-ES"/>
        </w:rPr>
        <w:t xml:space="preserve">e. Cuando se trate de GLP con precio libre, </w:t>
      </w:r>
      <w:r w:rsidRPr="003D6B58">
        <w:rPr>
          <w:rFonts w:ascii="Arial" w:eastAsia="Times New Roman" w:hAnsi="Arial" w:cs="Arial"/>
          <w:b/>
          <w:i/>
          <w:iCs/>
          <w:sz w:val="18"/>
          <w:szCs w:val="18"/>
          <w:u w:val="single"/>
          <w:lang w:val="es-ES" w:eastAsia="es-ES"/>
        </w:rPr>
        <w:t>publicar en la página web del comercializador mayorista las cantidades de GLP que tiene disponibles y contratadas</w:t>
      </w:r>
      <w:r w:rsidRPr="003D6B58">
        <w:rPr>
          <w:rFonts w:ascii="Arial" w:eastAsia="Times New Roman" w:hAnsi="Arial" w:cs="Arial"/>
          <w:i/>
          <w:iCs/>
          <w:sz w:val="18"/>
          <w:szCs w:val="18"/>
          <w:u w:val="single"/>
          <w:lang w:val="es-ES" w:eastAsia="es-ES"/>
        </w:rPr>
        <w:t>.</w:t>
      </w:r>
      <w:r w:rsidRPr="003D6B58">
        <w:rPr>
          <w:rFonts w:ascii="Arial" w:eastAsia="Times New Roman" w:hAnsi="Arial" w:cs="Arial"/>
          <w:i/>
          <w:iCs/>
          <w:sz w:val="18"/>
          <w:szCs w:val="18"/>
          <w:lang w:val="es-ES" w:eastAsia="es-ES"/>
        </w:rPr>
        <w:t xml:space="preserve"> Este mismo procedimiento se debe surtir para el caso de la información señalada en el parágrafo del artículo 7 de la presente resolución.” (Resaltado fuera de texto)</w:t>
      </w:r>
    </w:p>
    <w:p w14:paraId="650E36C1" w14:textId="77777777" w:rsidR="00BB6EB9" w:rsidRPr="0034087E" w:rsidRDefault="00BB6EB9" w:rsidP="00BB6EB9">
      <w:pPr>
        <w:pStyle w:val="Textoindependiente"/>
        <w:spacing w:after="0" w:line="240" w:lineRule="auto"/>
        <w:rPr>
          <w:rFonts w:cs="Arial"/>
        </w:rPr>
      </w:pPr>
    </w:p>
    <w:p w14:paraId="6D57739C" w14:textId="29CEF608" w:rsidR="00BB6EB9" w:rsidRPr="0034087E" w:rsidRDefault="00BB6EB9" w:rsidP="00BB6EB9">
      <w:pPr>
        <w:pStyle w:val="Textoindependiente"/>
        <w:spacing w:after="0" w:line="240" w:lineRule="auto"/>
        <w:rPr>
          <w:rFonts w:cs="Arial"/>
        </w:rPr>
      </w:pPr>
      <w:r w:rsidRPr="0034087E">
        <w:rPr>
          <w:rFonts w:cs="Arial"/>
        </w:rPr>
        <w:t>De acuerdo con lo anterior, para el caso de los comercializadores con precio libre</w:t>
      </w:r>
      <w:r w:rsidR="003D6B58">
        <w:rPr>
          <w:rFonts w:cs="Arial"/>
        </w:rPr>
        <w:t>,</w:t>
      </w:r>
      <w:r w:rsidRPr="0034087E">
        <w:rPr>
          <w:rFonts w:cs="Arial"/>
        </w:rPr>
        <w:t xml:space="preserve"> estos deben contar con una página web donde se pueda</w:t>
      </w:r>
      <w:r w:rsidR="003D6B58">
        <w:rPr>
          <w:rFonts w:cs="Arial"/>
        </w:rPr>
        <w:t>n</w:t>
      </w:r>
      <w:r w:rsidRPr="0034087E">
        <w:rPr>
          <w:rFonts w:cs="Arial"/>
        </w:rPr>
        <w:t xml:space="preserve"> consultar las cantidades disponibles y contratadas (i. e. producto pendiente de comercializar y cantidades contratadas, plazo y agente distribuidor o comercializador con las cuales las tiene contratadas), por lo que</w:t>
      </w:r>
      <w:r w:rsidR="003D6B58">
        <w:rPr>
          <w:rFonts w:cs="Arial"/>
        </w:rPr>
        <w:t>,</w:t>
      </w:r>
      <w:r w:rsidRPr="0034087E">
        <w:rPr>
          <w:rFonts w:cs="Arial"/>
        </w:rPr>
        <w:t xml:space="preserve"> en este último caso, cualquier agente, incluidos los órganos de supervisión, vigilancia y control, ateniendo esta obligación prevista en la regulación</w:t>
      </w:r>
      <w:r w:rsidR="003D6B58">
        <w:rPr>
          <w:rFonts w:cs="Arial"/>
        </w:rPr>
        <w:t>,</w:t>
      </w:r>
      <w:r w:rsidRPr="0034087E">
        <w:rPr>
          <w:rFonts w:cs="Arial"/>
        </w:rPr>
        <w:t xml:space="preserve"> podrán consultar dicha información. En el caso de los comercializadores mayoristas de precio regulado</w:t>
      </w:r>
      <w:r w:rsidR="003D6B58">
        <w:rPr>
          <w:rFonts w:cs="Arial"/>
        </w:rPr>
        <w:t>,</w:t>
      </w:r>
      <w:r w:rsidRPr="0034087E">
        <w:rPr>
          <w:rFonts w:cs="Arial"/>
        </w:rPr>
        <w:t xml:space="preserve"> dicha obligación debe permitir verificar las cantidades contratadas como parte de la asignación resultante, tanto de una OPC inicial, así como de una OPC adicional.</w:t>
      </w:r>
    </w:p>
    <w:p w14:paraId="4EFB1E48" w14:textId="77777777" w:rsidR="00BB6EB9" w:rsidRPr="0034087E" w:rsidRDefault="00BB6EB9" w:rsidP="00BB6EB9">
      <w:pPr>
        <w:pStyle w:val="Textoindependiente"/>
        <w:spacing w:after="0" w:line="240" w:lineRule="auto"/>
        <w:rPr>
          <w:rFonts w:cs="Arial"/>
        </w:rPr>
      </w:pPr>
    </w:p>
    <w:p w14:paraId="12C59EAE" w14:textId="77777777" w:rsidR="00BB6EB9" w:rsidRPr="0034087E" w:rsidRDefault="00BB6EB9" w:rsidP="00BB6EB9">
      <w:pPr>
        <w:pStyle w:val="Textoindependiente"/>
        <w:spacing w:after="0" w:line="240" w:lineRule="auto"/>
        <w:rPr>
          <w:rFonts w:cs="Arial"/>
        </w:rPr>
      </w:pPr>
      <w:r w:rsidRPr="0034087E">
        <w:rPr>
          <w:rFonts w:cs="Arial"/>
        </w:rPr>
        <w:t>Lo anterior, sin perjuicio de los mecanismos de verificación y/o declaración que definan las partes dentro de la autonomía de su voluntad en materia contractual a efectos de precisar que se está dando cumplimiento a las obligaciones de los distribuidores de abstenerse de realizar compras que excedan su capacidad de compra, así como para el caso de los comercializadores mayoristas de abstenerse de ofrecer y vender producto a un distribuidor que lleve a exceder su capacidad de compra.</w:t>
      </w:r>
    </w:p>
    <w:p w14:paraId="4265299D" w14:textId="77777777" w:rsidR="00BB6EB9" w:rsidRPr="0034087E" w:rsidRDefault="00BB6EB9" w:rsidP="00BB6EB9">
      <w:pPr>
        <w:jc w:val="both"/>
        <w:rPr>
          <w:rFonts w:ascii="Arial" w:hAnsi="Arial" w:cs="Arial"/>
          <w:sz w:val="20"/>
          <w:szCs w:val="20"/>
          <w:lang w:val="es-CO"/>
        </w:rPr>
      </w:pPr>
    </w:p>
    <w:p w14:paraId="3DFA52EA" w14:textId="2E11F418" w:rsidR="00BB6EB9" w:rsidRPr="0034087E" w:rsidRDefault="00BB6EB9" w:rsidP="00BB6EB9">
      <w:pPr>
        <w:jc w:val="both"/>
        <w:rPr>
          <w:rFonts w:ascii="Arial" w:hAnsi="Arial" w:cs="Arial"/>
          <w:sz w:val="20"/>
          <w:szCs w:val="20"/>
          <w:lang w:val="es-MX"/>
        </w:rPr>
      </w:pPr>
      <w:r w:rsidRPr="0034087E">
        <w:rPr>
          <w:rFonts w:ascii="Arial" w:hAnsi="Arial" w:cs="Arial"/>
          <w:sz w:val="20"/>
          <w:szCs w:val="20"/>
          <w:lang w:val="es-MX"/>
        </w:rPr>
        <w:t>Igualmente, se reitera por parte de esta Comisión</w:t>
      </w:r>
      <w:r w:rsidR="003D6B58">
        <w:rPr>
          <w:rFonts w:ascii="Arial" w:hAnsi="Arial" w:cs="Arial"/>
          <w:sz w:val="20"/>
          <w:szCs w:val="20"/>
          <w:lang w:val="es-MX"/>
        </w:rPr>
        <w:t>,</w:t>
      </w:r>
      <w:r w:rsidRPr="0034087E">
        <w:rPr>
          <w:rFonts w:ascii="Arial" w:hAnsi="Arial" w:cs="Arial"/>
          <w:sz w:val="20"/>
          <w:szCs w:val="20"/>
          <w:lang w:val="es-MX"/>
        </w:rPr>
        <w:t xml:space="preserve"> en el caso de los distribuidores</w:t>
      </w:r>
      <w:r w:rsidR="003D6B58">
        <w:rPr>
          <w:rFonts w:ascii="Arial" w:hAnsi="Arial" w:cs="Arial"/>
          <w:sz w:val="20"/>
          <w:szCs w:val="20"/>
          <w:lang w:val="es-MX"/>
        </w:rPr>
        <w:t>,</w:t>
      </w:r>
      <w:r w:rsidRPr="0034087E">
        <w:rPr>
          <w:rFonts w:ascii="Arial" w:hAnsi="Arial" w:cs="Arial"/>
          <w:sz w:val="20"/>
          <w:szCs w:val="20"/>
          <w:lang w:val="es-MX"/>
        </w:rPr>
        <w:t xml:space="preserve"> el cumplimiento de las siguientes obligaciones:</w:t>
      </w:r>
    </w:p>
    <w:p w14:paraId="474B9D8B" w14:textId="77777777" w:rsidR="00BB6EB9" w:rsidRPr="0034087E" w:rsidRDefault="00BB6EB9" w:rsidP="00BB6EB9">
      <w:pPr>
        <w:jc w:val="both"/>
        <w:rPr>
          <w:rFonts w:ascii="Arial" w:hAnsi="Arial" w:cs="Arial"/>
          <w:sz w:val="20"/>
          <w:szCs w:val="20"/>
          <w:lang w:val="es-MX"/>
        </w:rPr>
      </w:pPr>
    </w:p>
    <w:p w14:paraId="3AE7C2BA" w14:textId="77777777" w:rsidR="00BB6EB9" w:rsidRPr="003D6B58" w:rsidRDefault="00BB6EB9" w:rsidP="003D6B58">
      <w:pPr>
        <w:pStyle w:val="Prrafodelista"/>
        <w:numPr>
          <w:ilvl w:val="0"/>
          <w:numId w:val="2"/>
        </w:numPr>
        <w:ind w:left="567" w:hanging="283"/>
        <w:jc w:val="both"/>
        <w:rPr>
          <w:rFonts w:ascii="Arial" w:hAnsi="Arial" w:cs="Arial"/>
          <w:i/>
          <w:iCs/>
          <w:sz w:val="20"/>
          <w:szCs w:val="20"/>
          <w:lang w:val="es-MX"/>
        </w:rPr>
      </w:pPr>
      <w:r w:rsidRPr="003D6B58">
        <w:rPr>
          <w:rFonts w:ascii="Arial" w:hAnsi="Arial" w:cs="Arial"/>
          <w:i/>
          <w:iCs/>
          <w:sz w:val="20"/>
          <w:szCs w:val="20"/>
          <w:lang w:val="es-MX"/>
        </w:rPr>
        <w:t>Comprar el GLP, a granel y al por mayor, únicamente a comercializadores mayoristas legalmente establecidos, a través de contratos de suministro con éstos con sujeción al reglamento de comercialización mayorista que establezca la CREG. Para estos efectos, el distribuidor debe abstenerse de realizar compras de GLP que excedan su capacidad de compra, de acuerdo con lo definido por la regulación. (numeral 1 del artículo 7 de la Resolución CREG 023 de 2008)</w:t>
      </w:r>
    </w:p>
    <w:p w14:paraId="68261C41" w14:textId="77777777" w:rsidR="00BB6EB9" w:rsidRPr="0034087E" w:rsidRDefault="00BB6EB9" w:rsidP="00BB6EB9">
      <w:pPr>
        <w:jc w:val="both"/>
        <w:rPr>
          <w:rFonts w:ascii="Arial" w:hAnsi="Arial" w:cs="Arial"/>
          <w:sz w:val="20"/>
          <w:szCs w:val="20"/>
          <w:lang w:val="es-MX"/>
        </w:rPr>
      </w:pPr>
    </w:p>
    <w:p w14:paraId="1916DCC8" w14:textId="77777777" w:rsidR="00BB6EB9" w:rsidRPr="0034087E" w:rsidRDefault="00BB6EB9" w:rsidP="00BB6EB9">
      <w:pPr>
        <w:jc w:val="both"/>
        <w:rPr>
          <w:rFonts w:ascii="Arial" w:hAnsi="Arial" w:cs="Arial"/>
          <w:sz w:val="20"/>
          <w:szCs w:val="20"/>
          <w:lang w:val="es-MX"/>
        </w:rPr>
      </w:pPr>
      <w:r w:rsidRPr="0034087E">
        <w:rPr>
          <w:rFonts w:ascii="Arial" w:hAnsi="Arial" w:cs="Arial"/>
          <w:sz w:val="20"/>
          <w:szCs w:val="20"/>
          <w:lang w:val="es-MX"/>
        </w:rPr>
        <w:t>Finalmente, se debe tener en cuenta que los artículos 13 y 14 del reglamento de comercialización mayorista de GLP establecen lo siguiente:</w:t>
      </w:r>
    </w:p>
    <w:p w14:paraId="1D209F1A" w14:textId="77777777" w:rsidR="00BB6EB9" w:rsidRPr="0034087E" w:rsidRDefault="00BB6EB9" w:rsidP="00BB6EB9">
      <w:pPr>
        <w:jc w:val="both"/>
        <w:rPr>
          <w:rFonts w:ascii="Arial" w:hAnsi="Arial" w:cs="Arial"/>
          <w:sz w:val="18"/>
          <w:szCs w:val="18"/>
          <w:lang w:val="es-MX"/>
        </w:rPr>
      </w:pPr>
    </w:p>
    <w:p w14:paraId="07847600" w14:textId="77777777" w:rsidR="00BB6EB9" w:rsidRPr="0034087E" w:rsidRDefault="00BB6EB9" w:rsidP="003D6B58">
      <w:pPr>
        <w:ind w:left="284"/>
        <w:jc w:val="both"/>
        <w:outlineLvl w:val="0"/>
        <w:rPr>
          <w:rFonts w:ascii="Arial" w:eastAsia="Times New Roman" w:hAnsi="Arial" w:cs="Arial"/>
          <w:caps/>
          <w:sz w:val="18"/>
          <w:szCs w:val="18"/>
          <w:lang w:val="es-CO" w:eastAsia="es-ES"/>
        </w:rPr>
      </w:pPr>
      <w:r w:rsidRPr="0034087E">
        <w:rPr>
          <w:rFonts w:ascii="Arial" w:eastAsia="Times New Roman" w:hAnsi="Arial" w:cs="Arial"/>
          <w:b/>
          <w:caps/>
          <w:sz w:val="18"/>
          <w:szCs w:val="18"/>
          <w:lang w:val="es-CO" w:eastAsia="es-ES"/>
        </w:rPr>
        <w:t>“ArtÍculo 13.  CONDICIONES GENERALES PARA LA OFERTA PÚBLICA DE GLP CON PRECIO REGULADO.</w:t>
      </w:r>
      <w:r w:rsidRPr="0034087E">
        <w:rPr>
          <w:rFonts w:ascii="Arial" w:eastAsia="Times New Roman" w:hAnsi="Arial" w:cs="Arial"/>
          <w:caps/>
          <w:sz w:val="18"/>
          <w:szCs w:val="18"/>
          <w:lang w:val="es-CO" w:eastAsia="es-ES"/>
        </w:rPr>
        <w:t xml:space="preserve"> </w:t>
      </w:r>
      <w:r w:rsidRPr="0034087E">
        <w:rPr>
          <w:rFonts w:ascii="Arial" w:eastAsia="Times New Roman" w:hAnsi="Arial" w:cs="Arial"/>
          <w:sz w:val="18"/>
          <w:szCs w:val="18"/>
          <w:lang w:val="es-CO" w:eastAsia="es-ES"/>
        </w:rPr>
        <w:t>Las condiciones generales para la OPC de GLP con Precio Regulado serán las siguientes</w:t>
      </w:r>
      <w:r w:rsidRPr="0034087E">
        <w:rPr>
          <w:rFonts w:ascii="Arial" w:eastAsia="Times New Roman" w:hAnsi="Arial" w:cs="Arial"/>
          <w:caps/>
          <w:sz w:val="18"/>
          <w:szCs w:val="18"/>
          <w:lang w:val="es-CO" w:eastAsia="es-ES"/>
        </w:rPr>
        <w:t>:</w:t>
      </w:r>
    </w:p>
    <w:p w14:paraId="7FAF9166" w14:textId="77777777" w:rsidR="00BB6EB9" w:rsidRPr="0034087E" w:rsidRDefault="00BB6EB9" w:rsidP="00BB6EB9">
      <w:pPr>
        <w:ind w:left="426"/>
        <w:jc w:val="both"/>
        <w:rPr>
          <w:rFonts w:ascii="Arial" w:eastAsia="Times New Roman" w:hAnsi="Arial" w:cs="Arial"/>
          <w:sz w:val="18"/>
          <w:szCs w:val="18"/>
          <w:lang w:val="es-CO" w:eastAsia="es-ES"/>
        </w:rPr>
      </w:pPr>
    </w:p>
    <w:p w14:paraId="0D69E720" w14:textId="77777777" w:rsidR="00BB6EB9" w:rsidRPr="0034087E" w:rsidRDefault="00BB6EB9" w:rsidP="003D6B58">
      <w:pPr>
        <w:numPr>
          <w:ilvl w:val="0"/>
          <w:numId w:val="3"/>
        </w:numPr>
        <w:spacing w:after="120"/>
        <w:ind w:left="567" w:hanging="283"/>
        <w:jc w:val="both"/>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 xml:space="preserve">La participación de los compradores en estas ofertas públicas es voluntaria, sin perjuicio de la obligación regulatoria que les exige a los Distribuidores mantener vigentes Contratos de Suministro que garanticen la prestación continua y confiable del servicio. </w:t>
      </w:r>
    </w:p>
    <w:p w14:paraId="32D46DD9" w14:textId="77777777" w:rsidR="00BB6EB9" w:rsidRPr="0034087E" w:rsidRDefault="00BB6EB9" w:rsidP="003D6B58">
      <w:pPr>
        <w:numPr>
          <w:ilvl w:val="0"/>
          <w:numId w:val="3"/>
        </w:numPr>
        <w:spacing w:after="120"/>
        <w:ind w:left="567" w:hanging="28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 xml:space="preserve">En la medida en que el Precio Regulado vigente corresponda a un contrato firme, el comprador se obliga a pagar y a recibir las cantidades que le sean asignadas en el proceso de esta OPC. </w:t>
      </w:r>
    </w:p>
    <w:p w14:paraId="1A86F2A7" w14:textId="77777777" w:rsidR="00BB6EB9" w:rsidRPr="0034087E" w:rsidRDefault="00BB6EB9" w:rsidP="003D6B58">
      <w:pPr>
        <w:numPr>
          <w:ilvl w:val="0"/>
          <w:numId w:val="3"/>
        </w:numPr>
        <w:spacing w:after="120"/>
        <w:ind w:left="567" w:hanging="283"/>
        <w:jc w:val="both"/>
        <w:outlineLvl w:val="0"/>
        <w:rPr>
          <w:rFonts w:ascii="Arial" w:eastAsia="Times New Roman" w:hAnsi="Arial" w:cs="Arial"/>
          <w:caps/>
          <w:sz w:val="18"/>
          <w:szCs w:val="18"/>
          <w:lang w:val="es-CO" w:eastAsia="es-ES"/>
        </w:rPr>
      </w:pPr>
      <w:r w:rsidRPr="0034087E">
        <w:rPr>
          <w:rFonts w:ascii="Arial" w:eastAsia="Times New Roman" w:hAnsi="Arial" w:cs="Arial"/>
          <w:sz w:val="18"/>
          <w:szCs w:val="18"/>
          <w:lang w:val="es-CO" w:eastAsia="es-ES"/>
        </w:rPr>
        <w:t xml:space="preserve">La OPC debe hacerse ofreciendo el producto de manera independiente para cada fuente de producción nacional y de manera simultánea para todas ellas, por lo menos un (1) mes antes de comenzar a ejecutarse los Contratos de Suministro resultantes y realizarse entre los días 15 y 30 del mes. </w:t>
      </w:r>
    </w:p>
    <w:p w14:paraId="4617BBD2" w14:textId="77777777" w:rsidR="00BB6EB9" w:rsidRPr="0034087E" w:rsidRDefault="00BB6EB9" w:rsidP="003D6B58">
      <w:pPr>
        <w:numPr>
          <w:ilvl w:val="0"/>
          <w:numId w:val="3"/>
        </w:numPr>
        <w:spacing w:after="120"/>
        <w:ind w:left="567" w:hanging="283"/>
        <w:jc w:val="both"/>
        <w:outlineLvl w:val="0"/>
        <w:rPr>
          <w:rFonts w:ascii="Arial" w:eastAsia="Times New Roman" w:hAnsi="Arial" w:cs="Arial"/>
          <w:caps/>
          <w:sz w:val="18"/>
          <w:szCs w:val="18"/>
          <w:lang w:val="es-CO" w:eastAsia="es-ES"/>
        </w:rPr>
      </w:pPr>
      <w:r w:rsidRPr="0034087E">
        <w:rPr>
          <w:rFonts w:ascii="Arial" w:eastAsia="Times New Roman" w:hAnsi="Arial" w:cs="Arial"/>
          <w:sz w:val="18"/>
          <w:szCs w:val="18"/>
          <w:lang w:val="es-CO" w:eastAsia="es-ES"/>
        </w:rPr>
        <w:t>La OPC debe cubrir un período de entregas de doce meses, estableciendo las cantidades disponibles en cada punto de producción y, de considerarlo necesario, informando el detalle para cada mes que refleje las condiciones reales y previsibles de disponibilidad. De todas formas, las cantidades disponibles deben también ser ofertadas en unidades diarias.</w:t>
      </w:r>
    </w:p>
    <w:p w14:paraId="178D4840" w14:textId="77777777" w:rsidR="00BB6EB9" w:rsidRPr="0034087E" w:rsidRDefault="00BB6EB9" w:rsidP="003D6B58">
      <w:pPr>
        <w:numPr>
          <w:ilvl w:val="0"/>
          <w:numId w:val="3"/>
        </w:numPr>
        <w:spacing w:after="120"/>
        <w:ind w:left="567" w:hanging="28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Junto con su oferta en cada fuente de producción, el Comercializador Mayorista debe indicar lo siguiente:</w:t>
      </w:r>
    </w:p>
    <w:p w14:paraId="22197460" w14:textId="77777777" w:rsidR="00BB6EB9" w:rsidRPr="0034087E" w:rsidRDefault="00BB6EB9" w:rsidP="00BB6EB9">
      <w:pPr>
        <w:numPr>
          <w:ilvl w:val="0"/>
          <w:numId w:val="4"/>
        </w:numPr>
        <w:tabs>
          <w:tab w:val="left" w:pos="851"/>
        </w:tabs>
        <w:spacing w:after="120"/>
        <w:ind w:left="1277" w:hanging="14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 xml:space="preserve">Las diferentes modalidades de pago posibles y las garantías asociadas en cada caso. </w:t>
      </w:r>
    </w:p>
    <w:p w14:paraId="45925866" w14:textId="77777777" w:rsidR="00BB6EB9" w:rsidRPr="0034087E" w:rsidRDefault="00BB6EB9" w:rsidP="00BB6EB9">
      <w:pPr>
        <w:numPr>
          <w:ilvl w:val="0"/>
          <w:numId w:val="4"/>
        </w:numPr>
        <w:tabs>
          <w:tab w:val="left" w:pos="851"/>
        </w:tabs>
        <w:spacing w:after="120"/>
        <w:ind w:left="1277" w:hanging="14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La metodología con base en la cual aplicará el menor precio del producto a Comercializadores Mayoristas, en concordancia con lo establecido en el literal c del artículo 12 de esta resolución.</w:t>
      </w:r>
    </w:p>
    <w:p w14:paraId="1A560C83" w14:textId="77777777" w:rsidR="00BB6EB9" w:rsidRPr="0034087E" w:rsidRDefault="00BB6EB9" w:rsidP="003D6B58">
      <w:pPr>
        <w:pStyle w:val="Prrafodelista"/>
        <w:numPr>
          <w:ilvl w:val="0"/>
          <w:numId w:val="3"/>
        </w:numPr>
        <w:tabs>
          <w:tab w:val="left" w:pos="851"/>
        </w:tabs>
        <w:spacing w:after="120"/>
        <w:ind w:left="567" w:hanging="28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Los tiempos máximos de entrega y las variaciones en las cantidades de entrega que en ningún caso se constituyen en incumplimiento en las condiciones de entrega del producto. Estos tiempos máximos y variación en las cantidades serán igualmente aplicables como tiempos máximos de recibo y como variación en las cantidades de recibo por parte del comprador que en ningún caso se constituyen en incumplimiento de este último.</w:t>
      </w:r>
    </w:p>
    <w:p w14:paraId="722AADB1" w14:textId="77777777" w:rsidR="00BB6EB9" w:rsidRPr="0034087E" w:rsidRDefault="00BB6EB9" w:rsidP="003D6B58">
      <w:pPr>
        <w:pStyle w:val="Prrafodelista"/>
        <w:numPr>
          <w:ilvl w:val="0"/>
          <w:numId w:val="7"/>
        </w:numPr>
        <w:tabs>
          <w:tab w:val="left" w:pos="851"/>
        </w:tabs>
        <w:spacing w:after="120"/>
        <w:ind w:left="567" w:hanging="28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 xml:space="preserve">Si para una fuente cuyo producto es objeto de la OPC, la cantidad total de GLP correspondiente a las ofertas de compra ajustadas es menor que la cantidad total ofrecida para la venta, el GLP debe asignarse </w:t>
      </w:r>
      <w:r w:rsidRPr="0034087E">
        <w:rPr>
          <w:rFonts w:ascii="Arial" w:eastAsia="Times New Roman" w:hAnsi="Arial" w:cs="Arial"/>
          <w:b/>
          <w:sz w:val="18"/>
          <w:szCs w:val="18"/>
          <w:u w:val="single"/>
          <w:lang w:val="es-CO" w:eastAsia="es-ES"/>
        </w:rPr>
        <w:t xml:space="preserve">según las ofertas de compra ajustadas. </w:t>
      </w:r>
    </w:p>
    <w:p w14:paraId="6A5650AA" w14:textId="77777777" w:rsidR="00BB6EB9" w:rsidRPr="0034087E" w:rsidRDefault="00BB6EB9" w:rsidP="003D6B58">
      <w:pPr>
        <w:pStyle w:val="Prrafodelista"/>
        <w:numPr>
          <w:ilvl w:val="0"/>
          <w:numId w:val="7"/>
        </w:numPr>
        <w:tabs>
          <w:tab w:val="left" w:pos="851"/>
        </w:tabs>
        <w:spacing w:after="120"/>
        <w:ind w:left="567" w:hanging="28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 xml:space="preserve">Si para una fuente cuyo producto es objeto de la OPC, la cantidad total de GLP correspondiente a las </w:t>
      </w:r>
      <w:r w:rsidRPr="0034087E">
        <w:rPr>
          <w:rFonts w:ascii="Arial" w:eastAsia="Times New Roman" w:hAnsi="Arial" w:cs="Arial"/>
          <w:b/>
          <w:sz w:val="18"/>
          <w:szCs w:val="18"/>
          <w:u w:val="single"/>
          <w:lang w:val="es-CO" w:eastAsia="es-ES"/>
        </w:rPr>
        <w:t>ofertas de compra ajustadas</w:t>
      </w:r>
      <w:r w:rsidRPr="0034087E">
        <w:rPr>
          <w:rFonts w:ascii="Arial" w:eastAsia="Times New Roman" w:hAnsi="Arial" w:cs="Arial"/>
          <w:sz w:val="18"/>
          <w:szCs w:val="18"/>
          <w:lang w:val="es-CO" w:eastAsia="es-ES"/>
        </w:rPr>
        <w:t xml:space="preserve"> es mayor que la cantidad total ofrecida para la venta, debe aplicarse el siguiente procedimiento:</w:t>
      </w:r>
    </w:p>
    <w:p w14:paraId="0C618338" w14:textId="77777777" w:rsidR="00BB6EB9" w:rsidRPr="0034087E" w:rsidRDefault="00BB6EB9" w:rsidP="00BB6EB9">
      <w:pPr>
        <w:tabs>
          <w:tab w:val="left" w:pos="851"/>
        </w:tabs>
        <w:ind w:left="710"/>
        <w:jc w:val="both"/>
        <w:outlineLvl w:val="0"/>
        <w:rPr>
          <w:rFonts w:ascii="Arial" w:eastAsia="Times New Roman" w:hAnsi="Arial" w:cs="Arial"/>
          <w:sz w:val="18"/>
          <w:szCs w:val="18"/>
          <w:lang w:val="es-CO" w:eastAsia="es-ES"/>
        </w:rPr>
      </w:pPr>
    </w:p>
    <w:p w14:paraId="13F3BFAE" w14:textId="77777777" w:rsidR="00BB6EB9" w:rsidRPr="0034087E" w:rsidRDefault="00BB6EB9" w:rsidP="003D6B58">
      <w:pPr>
        <w:tabs>
          <w:tab w:val="left" w:pos="851"/>
        </w:tabs>
        <w:spacing w:after="120"/>
        <w:ind w:left="567"/>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1. Se debe asignar el GLP aplicando las reglas definidas en el artículo 14 de esta Resolución.</w:t>
      </w:r>
    </w:p>
    <w:p w14:paraId="090D42DE" w14:textId="77777777" w:rsidR="00BB6EB9" w:rsidRPr="0034087E" w:rsidRDefault="00BB6EB9" w:rsidP="003D6B58">
      <w:pPr>
        <w:tabs>
          <w:tab w:val="left" w:pos="851"/>
        </w:tabs>
        <w:spacing w:after="120"/>
        <w:ind w:left="567"/>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 xml:space="preserve">2. Una vez asignadas estas cantidades, el comercializador mayorista debe abrir una segunda ronda para ofrecer, de manera independiente y simultánea, el producto nacional que haya podido quedar disponible en otros puntos de producción, a los compradores que estén interesados. Esta segunda oferta estará sujeta a las mismas condiciones de la primera oferta. </w:t>
      </w:r>
    </w:p>
    <w:p w14:paraId="5CCAEB28" w14:textId="77777777" w:rsidR="00BB6EB9" w:rsidRPr="0034087E" w:rsidRDefault="00BB6EB9" w:rsidP="003D6B58">
      <w:pPr>
        <w:tabs>
          <w:tab w:val="left" w:pos="851"/>
        </w:tabs>
        <w:spacing w:after="120"/>
        <w:ind w:left="567"/>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3. De ser necesaria la importación de GLP para cubrir el faltante de producto, y si el comercializador mayorista</w:t>
      </w:r>
      <w:r w:rsidRPr="0034087E">
        <w:rPr>
          <w:rFonts w:ascii="Arial" w:eastAsia="Times New Roman" w:hAnsi="Arial" w:cs="Arial"/>
          <w:color w:val="FF0000"/>
          <w:sz w:val="18"/>
          <w:szCs w:val="18"/>
          <w:lang w:val="es-CO" w:eastAsia="es-ES"/>
        </w:rPr>
        <w:t xml:space="preserve"> </w:t>
      </w:r>
      <w:r w:rsidRPr="0034087E">
        <w:rPr>
          <w:rFonts w:ascii="Arial" w:eastAsia="Times New Roman" w:hAnsi="Arial" w:cs="Arial"/>
          <w:sz w:val="18"/>
          <w:szCs w:val="18"/>
          <w:lang w:val="es-CO" w:eastAsia="es-ES"/>
        </w:rPr>
        <w:t>dispone de instalaciones para la importación, éste podrá</w:t>
      </w:r>
      <w:r w:rsidRPr="0034087E">
        <w:rPr>
          <w:rFonts w:ascii="Arial" w:eastAsia="Times New Roman" w:hAnsi="Arial" w:cs="Arial"/>
          <w:color w:val="FF0000"/>
          <w:sz w:val="18"/>
          <w:szCs w:val="18"/>
          <w:lang w:val="es-CO" w:eastAsia="es-ES"/>
        </w:rPr>
        <w:t xml:space="preserve"> </w:t>
      </w:r>
      <w:r w:rsidRPr="0034087E">
        <w:rPr>
          <w:rFonts w:ascii="Arial" w:eastAsia="Times New Roman" w:hAnsi="Arial" w:cs="Arial"/>
          <w:sz w:val="18"/>
          <w:szCs w:val="18"/>
          <w:lang w:val="es-CO" w:eastAsia="es-ES"/>
        </w:rPr>
        <w:t>completar el GLP para esta segunda ronda ofreciendo adicionalmente producto importado para que los interesados puedan presentar ofertas de compra o, de no hacerlo, deberá facilitar el acceso a dichas instalaciones  a los interesados en importar el producto y definir  una tarifa de acceso de conformidad con las normas que rigen esta materia. Los contratos resultantes para el GLP importado regulado tendrán las mismas características de firmeza en la entrega y de obligación de compra de las cantidades contratadas definidas para la OPC de producción nacional.</w:t>
      </w:r>
    </w:p>
    <w:p w14:paraId="6FAC3352" w14:textId="77777777" w:rsidR="00BB6EB9" w:rsidRPr="0034087E" w:rsidRDefault="00BB6EB9" w:rsidP="003D6B58">
      <w:pPr>
        <w:tabs>
          <w:tab w:val="left" w:pos="851"/>
        </w:tabs>
        <w:spacing w:after="120"/>
        <w:ind w:left="567"/>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4. Si para esta segunda ronda persiste que la cantidad ofertada para la venta es menor que la cantidad ofertada para la compra, se deben aplicar las reglas de prorrateo en segunda vuelta establecidas en el numeral g del artículo 14 de esta resolución, sobre las cantidades ofertadas para la compra.  Los interesados en presentar oferta en esta segunda ronda no podrán hacer solicitudes de producto superiores a sus cantidades pendientes de asignar después de efectuadas las dos vueltas de la primera ronda, como se describe en el artículo 14.</w:t>
      </w:r>
    </w:p>
    <w:p w14:paraId="3C39D02B" w14:textId="77777777" w:rsidR="00BB6EB9" w:rsidRPr="0034087E" w:rsidRDefault="00BB6EB9" w:rsidP="003D6B58">
      <w:pPr>
        <w:tabs>
          <w:tab w:val="left" w:pos="851"/>
        </w:tabs>
        <w:ind w:left="567"/>
        <w:jc w:val="both"/>
        <w:outlineLvl w:val="0"/>
        <w:rPr>
          <w:rFonts w:ascii="Arial" w:eastAsia="Times New Roman" w:hAnsi="Arial" w:cs="Arial"/>
          <w:sz w:val="18"/>
          <w:szCs w:val="18"/>
          <w:lang w:val="es-CO" w:eastAsia="es-ES"/>
        </w:rPr>
      </w:pPr>
    </w:p>
    <w:p w14:paraId="10F3D35F" w14:textId="77777777" w:rsidR="00BB6EB9" w:rsidRPr="0034087E" w:rsidRDefault="00BB6EB9" w:rsidP="003D6B58">
      <w:pPr>
        <w:tabs>
          <w:tab w:val="left" w:pos="851"/>
        </w:tabs>
        <w:ind w:left="567"/>
        <w:jc w:val="both"/>
        <w:outlineLvl w:val="0"/>
        <w:rPr>
          <w:rFonts w:ascii="Arial" w:eastAsia="Times New Roman" w:hAnsi="Arial" w:cs="Arial"/>
          <w:sz w:val="18"/>
          <w:szCs w:val="18"/>
          <w:lang w:val="es-CO" w:eastAsia="es-ES"/>
        </w:rPr>
      </w:pPr>
      <w:r w:rsidRPr="0034087E">
        <w:rPr>
          <w:rFonts w:ascii="Arial" w:eastAsia="Times New Roman" w:hAnsi="Arial" w:cs="Arial"/>
          <w:b/>
          <w:sz w:val="18"/>
          <w:szCs w:val="18"/>
          <w:lang w:val="es-CO" w:eastAsia="es-ES"/>
        </w:rPr>
        <w:t>Parágrafo 1. (…)</w:t>
      </w:r>
    </w:p>
    <w:p w14:paraId="75009D81" w14:textId="77777777" w:rsidR="00BB6EB9" w:rsidRPr="0034087E" w:rsidRDefault="00BB6EB9" w:rsidP="003D6B58">
      <w:pPr>
        <w:ind w:left="567"/>
        <w:jc w:val="both"/>
        <w:rPr>
          <w:rFonts w:ascii="Arial" w:eastAsia="Times New Roman" w:hAnsi="Arial" w:cs="Arial"/>
          <w:sz w:val="18"/>
          <w:szCs w:val="18"/>
          <w:lang w:val="es-ES" w:eastAsia="es-ES"/>
        </w:rPr>
      </w:pPr>
    </w:p>
    <w:p w14:paraId="33A74E55" w14:textId="77777777" w:rsidR="00BB6EB9" w:rsidRPr="0034087E" w:rsidRDefault="00BB6EB9" w:rsidP="003D6B58">
      <w:pPr>
        <w:ind w:left="567" w:right="284"/>
        <w:jc w:val="both"/>
        <w:rPr>
          <w:rFonts w:ascii="Arial" w:eastAsia="Times New Roman" w:hAnsi="Arial" w:cs="Arial"/>
          <w:b/>
          <w:sz w:val="18"/>
          <w:szCs w:val="18"/>
          <w:u w:val="single"/>
          <w:lang w:val="es-CO" w:eastAsia="es-ES"/>
        </w:rPr>
      </w:pPr>
      <w:r w:rsidRPr="0034087E">
        <w:rPr>
          <w:rFonts w:ascii="Arial" w:eastAsia="Times New Roman" w:hAnsi="Arial" w:cs="Arial"/>
          <w:b/>
          <w:sz w:val="18"/>
          <w:szCs w:val="18"/>
          <w:lang w:val="es-CO" w:eastAsia="es-ES"/>
        </w:rPr>
        <w:t>Parágrafo 4.</w:t>
      </w:r>
      <w:r w:rsidRPr="0034087E">
        <w:rPr>
          <w:rFonts w:ascii="Arial" w:eastAsia="Times New Roman" w:hAnsi="Arial" w:cs="Arial"/>
          <w:sz w:val="18"/>
          <w:szCs w:val="18"/>
          <w:lang w:val="es-CO" w:eastAsia="es-ES"/>
        </w:rPr>
        <w:t xml:space="preserve"> </w:t>
      </w:r>
      <w:r w:rsidRPr="0034087E">
        <w:rPr>
          <w:rFonts w:ascii="Arial" w:eastAsia="Times New Roman" w:hAnsi="Arial" w:cs="Arial"/>
          <w:b/>
          <w:sz w:val="18"/>
          <w:szCs w:val="18"/>
          <w:u w:val="single"/>
          <w:lang w:val="es-CO" w:eastAsia="es-ES"/>
        </w:rPr>
        <w:t>Las ofertas de compra, que cada distribuidor remita al comercializador mayorista que lleva a cabo la OPC, deberán modificarse según el siguiente procedimiento, del que resultan las ofertas de compra ajustadas:</w:t>
      </w:r>
    </w:p>
    <w:p w14:paraId="3474DF15" w14:textId="77777777" w:rsidR="00BB6EB9" w:rsidRPr="0034087E" w:rsidRDefault="00BB6EB9" w:rsidP="003D6B58">
      <w:pPr>
        <w:ind w:left="567" w:right="284"/>
        <w:jc w:val="both"/>
        <w:rPr>
          <w:rFonts w:ascii="Arial" w:eastAsia="Times New Roman" w:hAnsi="Arial" w:cs="Arial"/>
          <w:b/>
          <w:sz w:val="18"/>
          <w:szCs w:val="18"/>
          <w:u w:val="single"/>
          <w:lang w:val="es-CO" w:eastAsia="es-ES"/>
        </w:rPr>
      </w:pPr>
    </w:p>
    <w:p w14:paraId="029EF80F" w14:textId="77777777" w:rsidR="00BB6EB9" w:rsidRPr="0034087E" w:rsidRDefault="00BB6EB9" w:rsidP="003D6B58">
      <w:pPr>
        <w:numPr>
          <w:ilvl w:val="0"/>
          <w:numId w:val="5"/>
        </w:numPr>
        <w:ind w:left="567" w:right="284" w:firstLine="0"/>
        <w:jc w:val="both"/>
        <w:rPr>
          <w:rFonts w:ascii="Arial" w:eastAsia="Times New Roman" w:hAnsi="Arial" w:cs="Arial"/>
          <w:b/>
          <w:sz w:val="18"/>
          <w:szCs w:val="18"/>
          <w:u w:val="single"/>
          <w:lang w:val="es-CO" w:eastAsia="es-ES"/>
        </w:rPr>
      </w:pPr>
      <w:r w:rsidRPr="0034087E">
        <w:rPr>
          <w:rFonts w:ascii="Arial" w:eastAsia="Times New Roman" w:hAnsi="Arial" w:cs="Arial"/>
          <w:b/>
          <w:sz w:val="18"/>
          <w:szCs w:val="18"/>
          <w:u w:val="single"/>
          <w:lang w:val="es-CO" w:eastAsia="es-ES"/>
        </w:rPr>
        <w:t>Cuando la suma de las ofertas de compra remitidas por un distribuidor, para todas las fuentes ofrecidas, sea menor o igual que su capacidad disponible de compra, las ofertas de compra ajustadas para este distribuidor serán iguales a las ofertas de compra remitidas.</w:t>
      </w:r>
    </w:p>
    <w:p w14:paraId="279EF93E" w14:textId="77777777" w:rsidR="00BB6EB9" w:rsidRPr="0034087E" w:rsidRDefault="00BB6EB9" w:rsidP="003D6B58">
      <w:pPr>
        <w:ind w:left="567" w:right="284"/>
        <w:jc w:val="both"/>
        <w:rPr>
          <w:rFonts w:ascii="Arial" w:eastAsia="Times New Roman" w:hAnsi="Arial" w:cs="Arial"/>
          <w:b/>
          <w:sz w:val="18"/>
          <w:szCs w:val="18"/>
          <w:u w:val="single"/>
          <w:lang w:val="es-CO" w:eastAsia="es-ES"/>
        </w:rPr>
      </w:pPr>
    </w:p>
    <w:p w14:paraId="18CC964C" w14:textId="77777777" w:rsidR="00BB6EB9" w:rsidRPr="0034087E" w:rsidRDefault="00BB6EB9" w:rsidP="003D6B58">
      <w:pPr>
        <w:numPr>
          <w:ilvl w:val="0"/>
          <w:numId w:val="5"/>
        </w:numPr>
        <w:ind w:left="567" w:right="284" w:firstLine="0"/>
        <w:jc w:val="both"/>
        <w:rPr>
          <w:rFonts w:ascii="Arial" w:eastAsia="Times New Roman" w:hAnsi="Arial" w:cs="Arial"/>
          <w:sz w:val="18"/>
          <w:szCs w:val="18"/>
          <w:lang w:val="es-CO" w:eastAsia="es-ES"/>
        </w:rPr>
      </w:pPr>
      <w:r w:rsidRPr="0034087E">
        <w:rPr>
          <w:rFonts w:ascii="Arial" w:eastAsia="Times New Roman" w:hAnsi="Arial" w:cs="Arial"/>
          <w:b/>
          <w:sz w:val="18"/>
          <w:szCs w:val="18"/>
          <w:u w:val="single"/>
          <w:lang w:val="es-CO" w:eastAsia="es-ES"/>
        </w:rPr>
        <w:t>Cuando la suma de las ofertas de compra remitidas por un distribuidor, para todas las fuentes ofrecidas, sea mayor que su capacidad disponible de compra, las ofertas de compra remitidas se ajustarán, fuente por fuente, de tal manera que la suma de las ofertas de compra ajustadas sea igual a la capacidad disponible de compra, manteniendo las proporciones, por fuente, de las ofertas de compra remitidas.</w:t>
      </w:r>
    </w:p>
    <w:p w14:paraId="7BAE92C2" w14:textId="77777777" w:rsidR="00BB6EB9" w:rsidRPr="0034087E" w:rsidRDefault="00BB6EB9" w:rsidP="00BB6EB9">
      <w:pPr>
        <w:jc w:val="both"/>
        <w:rPr>
          <w:rFonts w:ascii="Arial" w:eastAsia="Times New Roman" w:hAnsi="Arial" w:cs="Arial"/>
          <w:sz w:val="18"/>
          <w:szCs w:val="18"/>
          <w:lang w:val="es-ES" w:eastAsia="es-ES"/>
        </w:rPr>
      </w:pPr>
    </w:p>
    <w:p w14:paraId="734122AC" w14:textId="77777777" w:rsidR="00BB6EB9" w:rsidRPr="0034087E" w:rsidRDefault="00BB6EB9" w:rsidP="003D6B58">
      <w:pPr>
        <w:tabs>
          <w:tab w:val="left" w:pos="-720"/>
          <w:tab w:val="left" w:pos="1276"/>
          <w:tab w:val="left" w:pos="3420"/>
        </w:tabs>
        <w:suppressAutoHyphens/>
        <w:ind w:left="284"/>
        <w:jc w:val="both"/>
        <w:rPr>
          <w:rFonts w:ascii="Arial" w:eastAsia="Times New Roman" w:hAnsi="Arial" w:cs="Arial"/>
          <w:bCs/>
          <w:spacing w:val="-3"/>
          <w:sz w:val="18"/>
          <w:szCs w:val="18"/>
          <w:lang w:val="es-CO" w:eastAsia="es-ES"/>
        </w:rPr>
      </w:pPr>
      <w:r w:rsidRPr="0034087E">
        <w:rPr>
          <w:rFonts w:ascii="Arial" w:eastAsia="Times New Roman" w:hAnsi="Arial" w:cs="Arial"/>
          <w:b/>
          <w:bCs/>
          <w:spacing w:val="-3"/>
          <w:sz w:val="18"/>
          <w:szCs w:val="18"/>
          <w:lang w:val="es-CO" w:eastAsia="es-ES"/>
        </w:rPr>
        <w:t xml:space="preserve">ARTÍCULO 14.  METODOLOGÍA PARA EL PRORRATEO PARA LA ASIGNACIÓN DE GLP CON PRECIO REGULADO.  </w:t>
      </w:r>
      <w:r w:rsidRPr="0034087E">
        <w:rPr>
          <w:rFonts w:ascii="Arial" w:eastAsia="Times New Roman" w:hAnsi="Arial" w:cs="Arial"/>
          <w:bCs/>
          <w:spacing w:val="-3"/>
          <w:sz w:val="18"/>
          <w:szCs w:val="18"/>
          <w:lang w:val="es-CO" w:eastAsia="es-ES"/>
        </w:rPr>
        <w:t xml:space="preserve">A efecto de prorratear las cantidades de GLP a asignar en las ofertas públicas, cuando el producto en la fuente ofertada no es suficiente para cubrir las solicitudes recibidas, el Comercializador Mayorista debe aplicar las siguientes reglas: </w:t>
      </w:r>
    </w:p>
    <w:p w14:paraId="24DC069D" w14:textId="77777777" w:rsidR="00BB6EB9" w:rsidRPr="0034087E" w:rsidRDefault="00BB6EB9" w:rsidP="00BB6EB9">
      <w:pPr>
        <w:tabs>
          <w:tab w:val="left" w:pos="-720"/>
          <w:tab w:val="left" w:pos="1276"/>
          <w:tab w:val="left" w:pos="3420"/>
        </w:tabs>
        <w:suppressAutoHyphens/>
        <w:spacing w:after="120"/>
        <w:ind w:left="426"/>
        <w:jc w:val="both"/>
        <w:rPr>
          <w:rFonts w:ascii="Arial" w:eastAsia="Times New Roman" w:hAnsi="Arial" w:cs="Arial"/>
          <w:bCs/>
          <w:spacing w:val="-3"/>
          <w:sz w:val="18"/>
          <w:szCs w:val="18"/>
          <w:lang w:val="es-CO" w:eastAsia="es-ES"/>
        </w:rPr>
      </w:pPr>
    </w:p>
    <w:p w14:paraId="27F67EB1" w14:textId="77777777" w:rsidR="00BB6EB9" w:rsidRPr="0034087E" w:rsidRDefault="00BB6EB9" w:rsidP="003D6B58">
      <w:pPr>
        <w:pStyle w:val="Prrafodelista"/>
        <w:numPr>
          <w:ilvl w:val="0"/>
          <w:numId w:val="6"/>
        </w:numPr>
        <w:spacing w:after="120"/>
        <w:ind w:left="567" w:hanging="283"/>
        <w:jc w:val="both"/>
        <w:outlineLvl w:val="0"/>
        <w:rPr>
          <w:rFonts w:ascii="Arial" w:eastAsia="Times New Roman" w:hAnsi="Arial" w:cs="Arial"/>
          <w:sz w:val="18"/>
          <w:szCs w:val="18"/>
          <w:lang w:val="es-CO" w:eastAsia="es-ES"/>
        </w:rPr>
      </w:pPr>
      <w:r w:rsidRPr="0034087E">
        <w:rPr>
          <w:rFonts w:ascii="Arial" w:eastAsia="Times New Roman" w:hAnsi="Arial" w:cs="Arial"/>
          <w:sz w:val="18"/>
          <w:szCs w:val="18"/>
          <w:lang w:val="es-CO" w:eastAsia="es-ES"/>
        </w:rPr>
        <w:t xml:space="preserve">La duración de los contratos resultantes de esta primera ronda, para el suministro de la fuente ofertada, se modifica inmediatamente a doce (12) meses. </w:t>
      </w:r>
      <w:r w:rsidRPr="0034087E">
        <w:rPr>
          <w:rFonts w:ascii="Arial" w:eastAsia="Times New Roman" w:hAnsi="Arial" w:cs="Arial"/>
          <w:b/>
          <w:sz w:val="18"/>
          <w:szCs w:val="18"/>
          <w:lang w:val="es-CO" w:eastAsia="es-ES"/>
        </w:rPr>
        <w:t xml:space="preserve"> </w:t>
      </w:r>
    </w:p>
    <w:p w14:paraId="366714FB" w14:textId="77777777" w:rsidR="00BB6EB9" w:rsidRPr="0034087E" w:rsidRDefault="00BB6EB9" w:rsidP="003D6B58">
      <w:pPr>
        <w:shd w:val="clear" w:color="auto" w:fill="FFFFFF"/>
        <w:spacing w:after="120"/>
        <w:ind w:left="567" w:hanging="283"/>
        <w:jc w:val="both"/>
        <w:rPr>
          <w:rFonts w:ascii="Arial" w:eastAsia="Times New Roman" w:hAnsi="Arial" w:cs="Arial"/>
          <w:b/>
          <w:sz w:val="18"/>
          <w:szCs w:val="18"/>
          <w:lang w:val="es-ES" w:eastAsia="es-ES"/>
        </w:rPr>
      </w:pPr>
      <w:r w:rsidRPr="0034087E">
        <w:rPr>
          <w:rFonts w:ascii="Arial" w:eastAsia="Times New Roman" w:hAnsi="Arial" w:cs="Arial"/>
          <w:sz w:val="18"/>
          <w:szCs w:val="18"/>
          <w:lang w:val="es-CO" w:eastAsia="es-CO"/>
        </w:rPr>
        <w:t>b. La asignación del producto deberá realizarse en dos vueltas.</w:t>
      </w:r>
      <w:r w:rsidRPr="0034087E">
        <w:rPr>
          <w:rFonts w:ascii="Arial" w:eastAsia="Times New Roman" w:hAnsi="Arial" w:cs="Arial"/>
          <w:sz w:val="18"/>
          <w:szCs w:val="18"/>
          <w:lang w:val="es-CO" w:eastAsia="es-CO"/>
        </w:rPr>
        <w:br/>
        <w:t>c. En la primera vuelta se debe asignar producto a cada solicitante en la cantidad promedio histórica que vendió a usuarios, directamente en tanques estacionarios, por redes o en cilindros a través de sus comercializadores minoristas, en los municipios que conforman la zona de influencia del Punto de Producción ofertado. </w:t>
      </w:r>
    </w:p>
    <w:p w14:paraId="2B9CC25E" w14:textId="77777777" w:rsidR="00BB6EB9" w:rsidRPr="0034087E" w:rsidRDefault="00BB6EB9" w:rsidP="003D6B58">
      <w:pPr>
        <w:shd w:val="clear" w:color="auto" w:fill="FFFFFF"/>
        <w:spacing w:after="120"/>
        <w:ind w:left="567" w:hanging="283"/>
        <w:jc w:val="both"/>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 xml:space="preserve">d. Si la cantidad promedio histórica de un solicitante es mayor que </w:t>
      </w:r>
      <w:r w:rsidRPr="0034087E">
        <w:rPr>
          <w:rFonts w:ascii="Arial" w:eastAsia="Times New Roman" w:hAnsi="Arial" w:cs="Arial"/>
          <w:b/>
          <w:sz w:val="18"/>
          <w:szCs w:val="18"/>
          <w:u w:val="single"/>
          <w:lang w:val="es-ES" w:eastAsia="es-ES"/>
        </w:rPr>
        <w:t>la oferta de compra ajustada,</w:t>
      </w:r>
      <w:r w:rsidRPr="0034087E">
        <w:rPr>
          <w:rFonts w:ascii="Arial" w:eastAsia="Times New Roman" w:hAnsi="Arial" w:cs="Arial"/>
          <w:sz w:val="18"/>
          <w:szCs w:val="18"/>
          <w:lang w:val="es-ES" w:eastAsia="es-ES"/>
        </w:rPr>
        <w:t xml:space="preserve"> se debe considerar esta última para efectos de hacer la asignación en primera vuelta definida en el literal c anterior.</w:t>
      </w:r>
    </w:p>
    <w:p w14:paraId="37D95A2E" w14:textId="77777777" w:rsidR="00BB6EB9" w:rsidRPr="0034087E" w:rsidRDefault="00BB6EB9" w:rsidP="003D6B58">
      <w:pPr>
        <w:shd w:val="clear" w:color="auto" w:fill="FFFFFF"/>
        <w:spacing w:after="120"/>
        <w:ind w:left="567" w:hanging="283"/>
        <w:jc w:val="both"/>
        <w:rPr>
          <w:rFonts w:ascii="Arial" w:eastAsia="Times New Roman" w:hAnsi="Arial" w:cs="Arial"/>
          <w:sz w:val="18"/>
          <w:szCs w:val="18"/>
          <w:lang w:val="es-ES" w:eastAsia="es-ES"/>
        </w:rPr>
      </w:pPr>
      <w:r w:rsidRPr="0034087E">
        <w:rPr>
          <w:rFonts w:ascii="Arial" w:eastAsia="Times New Roman" w:hAnsi="Arial" w:cs="Arial"/>
          <w:sz w:val="18"/>
          <w:szCs w:val="18"/>
          <w:lang w:val="es-CO" w:eastAsia="es-CO"/>
        </w:rPr>
        <w:t>e. Si la cantidad total de producto ofertado para la venta es menor que la cantidad promedio histórica total vendida en la zona de influencia, la asignación de esta primera vuelta debe hacerse a cada solicitante en proporción a su participación en las ventas </w:t>
      </w:r>
      <w:r w:rsidRPr="0034087E">
        <w:rPr>
          <w:rFonts w:ascii="Arial" w:eastAsia="Times New Roman" w:hAnsi="Arial" w:cs="Arial"/>
          <w:sz w:val="18"/>
          <w:szCs w:val="18"/>
          <w:lang w:val="es-CO" w:eastAsia="es-ES"/>
        </w:rPr>
        <w:t xml:space="preserve">promedio históricas en la zona de influencia, dando aplicación en todo caso al literal d anterior. </w:t>
      </w:r>
    </w:p>
    <w:p w14:paraId="28655BDF" w14:textId="77777777" w:rsidR="00BB6EB9" w:rsidRPr="0034087E" w:rsidRDefault="00BB6EB9" w:rsidP="003D6B58">
      <w:pPr>
        <w:shd w:val="clear" w:color="auto" w:fill="FFFFFF"/>
        <w:spacing w:after="120"/>
        <w:ind w:left="567" w:hanging="283"/>
        <w:jc w:val="both"/>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 xml:space="preserve">f. </w:t>
      </w:r>
      <w:r w:rsidRPr="0034087E">
        <w:rPr>
          <w:rFonts w:ascii="Arial" w:eastAsia="Times New Roman" w:hAnsi="Arial" w:cs="Arial"/>
          <w:sz w:val="18"/>
          <w:szCs w:val="18"/>
          <w:lang w:val="es-CO" w:eastAsia="es-ES"/>
        </w:rPr>
        <w:t>Una vez asignado el producto de esta forma, para cada solicitante se debe calcular la cantidad de producto que, de acuerdo con, le quedó pendiente por asignar.</w:t>
      </w:r>
    </w:p>
    <w:p w14:paraId="53824696" w14:textId="77777777" w:rsidR="00BB6EB9" w:rsidRPr="0034087E" w:rsidRDefault="00BB6EB9" w:rsidP="003D6B58">
      <w:pPr>
        <w:shd w:val="clear" w:color="auto" w:fill="FFFFFF"/>
        <w:spacing w:after="120"/>
        <w:ind w:left="567" w:hanging="283"/>
        <w:jc w:val="both"/>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 xml:space="preserve">g. </w:t>
      </w:r>
      <w:r w:rsidRPr="0034087E">
        <w:rPr>
          <w:rFonts w:ascii="Arial" w:eastAsia="Times New Roman" w:hAnsi="Arial" w:cs="Arial"/>
          <w:sz w:val="18"/>
          <w:szCs w:val="18"/>
          <w:lang w:val="es-CO" w:eastAsia="es-ES"/>
        </w:rPr>
        <w:t>Si de la primera vuelta queda producto ofrecido sin asignar, se debe hacer una segunda vuelta. Este producto debe asignarse a cada solicitante en forma proporcional a la cantidad de producto que le quedó pendiente por asignar en la primera vuelta.</w:t>
      </w:r>
      <w:r w:rsidRPr="0034087E">
        <w:rPr>
          <w:rFonts w:ascii="Arial" w:eastAsia="Times New Roman" w:hAnsi="Arial" w:cs="Arial"/>
          <w:sz w:val="18"/>
          <w:szCs w:val="18"/>
          <w:lang w:val="es-ES" w:eastAsia="es-ES"/>
        </w:rPr>
        <w:t xml:space="preserve"> </w:t>
      </w:r>
    </w:p>
    <w:p w14:paraId="47DADAC2" w14:textId="77777777" w:rsidR="00BB6EB9" w:rsidRPr="0034087E" w:rsidRDefault="00BB6EB9" w:rsidP="003D6B58">
      <w:pPr>
        <w:shd w:val="clear" w:color="auto" w:fill="FFFFFF"/>
        <w:spacing w:after="120"/>
        <w:ind w:left="567" w:hanging="283"/>
        <w:jc w:val="both"/>
        <w:rPr>
          <w:rFonts w:ascii="Arial" w:eastAsia="Times New Roman" w:hAnsi="Arial" w:cs="Arial"/>
          <w:sz w:val="18"/>
          <w:szCs w:val="18"/>
          <w:lang w:val="es-ES" w:eastAsia="es-ES"/>
        </w:rPr>
      </w:pPr>
      <w:r w:rsidRPr="0034087E">
        <w:rPr>
          <w:rFonts w:ascii="Arial" w:eastAsia="Times New Roman" w:hAnsi="Arial" w:cs="Arial"/>
          <w:sz w:val="18"/>
          <w:szCs w:val="18"/>
          <w:lang w:val="es-ES" w:eastAsia="es-ES"/>
        </w:rPr>
        <w:t xml:space="preserve">h. </w:t>
      </w:r>
      <w:r w:rsidRPr="0034087E">
        <w:rPr>
          <w:rFonts w:ascii="Arial" w:eastAsia="Times New Roman" w:hAnsi="Arial" w:cs="Arial"/>
          <w:sz w:val="18"/>
          <w:szCs w:val="18"/>
          <w:lang w:val="es-CO" w:eastAsia="es-ES"/>
        </w:rPr>
        <w:t xml:space="preserve">El promedio histórico de ventas a utilizar para efectos de aplicar estas reglas de prorrateo se calculará con base en la información de cantidades de GLP vendidas a través de tanques estacionarios y a través de cilindros en los diferentes municipios del país, reportados al SUI por los Distribuidores inversionistas, y/o por sus comercializadores minoristas, para los doce (12) meses inmediatamente anteriores al mes en el que se realiza la OPC. </w:t>
      </w:r>
    </w:p>
    <w:p w14:paraId="32071E64" w14:textId="77777777" w:rsidR="00BB6EB9" w:rsidRPr="0034087E" w:rsidRDefault="00BB6EB9" w:rsidP="003D6B58">
      <w:pPr>
        <w:shd w:val="clear" w:color="auto" w:fill="FFFFFF"/>
        <w:spacing w:after="120"/>
        <w:ind w:left="567" w:hanging="283"/>
        <w:jc w:val="both"/>
        <w:rPr>
          <w:rFonts w:ascii="Arial" w:eastAsia="Times New Roman" w:hAnsi="Arial" w:cs="Arial"/>
          <w:sz w:val="18"/>
          <w:szCs w:val="18"/>
          <w:lang w:val="es-CO" w:eastAsia="es-CO"/>
        </w:rPr>
      </w:pPr>
      <w:r w:rsidRPr="0034087E">
        <w:rPr>
          <w:rFonts w:ascii="Arial" w:eastAsia="Times New Roman" w:hAnsi="Arial" w:cs="Arial"/>
          <w:sz w:val="18"/>
          <w:szCs w:val="18"/>
          <w:lang w:val="es-CO" w:eastAsia="es-CO"/>
        </w:rPr>
        <w:t>i. Si se trata de un Usuario No Regulado, este pro-rateo debe hacerse en función de las cantidades de GLP consumidas en su proceso industrial con base en las ventas reportadas al SUI por el/los Comercializadores Mayoristas y/o el/los Distribuidores que lo atendieron durante los tres meses a que se refiere el literal h.</w:t>
      </w:r>
    </w:p>
    <w:p w14:paraId="5625BAF8" w14:textId="77777777" w:rsidR="00BB6EB9" w:rsidRPr="0034087E" w:rsidRDefault="00BB6EB9" w:rsidP="003D6B58">
      <w:pPr>
        <w:shd w:val="clear" w:color="auto" w:fill="FFFFFF"/>
        <w:spacing w:after="120"/>
        <w:ind w:left="567" w:hanging="283"/>
        <w:jc w:val="both"/>
        <w:rPr>
          <w:rFonts w:ascii="Arial" w:eastAsia="Times New Roman" w:hAnsi="Arial" w:cs="Arial"/>
          <w:sz w:val="18"/>
          <w:szCs w:val="18"/>
          <w:lang w:val="es-CO" w:eastAsia="es-CO"/>
        </w:rPr>
      </w:pPr>
      <w:r w:rsidRPr="0034087E">
        <w:rPr>
          <w:rFonts w:ascii="Arial" w:eastAsia="Times New Roman" w:hAnsi="Arial" w:cs="Arial"/>
          <w:sz w:val="18"/>
          <w:szCs w:val="18"/>
          <w:lang w:val="es-CO" w:eastAsia="es-CO"/>
        </w:rPr>
        <w:t> j. Si es un Comercializador Mayorista le aplicarán las reglas correspondientes a quienes autorizaron su participación, sean estos Usuarios No Regulados y/o Distribuidores, según aplique.</w:t>
      </w:r>
      <w:r w:rsidRPr="0034087E">
        <w:rPr>
          <w:rFonts w:ascii="Arial" w:eastAsia="Times New Roman" w:hAnsi="Arial" w:cs="Arial"/>
          <w:sz w:val="18"/>
          <w:szCs w:val="18"/>
          <w:lang w:val="es-ES" w:eastAsia="es-ES"/>
        </w:rPr>
        <w:t xml:space="preserve"> (….)”</w:t>
      </w:r>
    </w:p>
    <w:p w14:paraId="0082915E" w14:textId="77777777" w:rsidR="00BB6EB9" w:rsidRPr="0034087E" w:rsidRDefault="00BB6EB9" w:rsidP="00BB6EB9">
      <w:pPr>
        <w:jc w:val="both"/>
        <w:rPr>
          <w:rFonts w:ascii="Arial" w:hAnsi="Arial" w:cs="Arial"/>
          <w:sz w:val="20"/>
          <w:szCs w:val="20"/>
          <w:lang w:val="es-MX"/>
        </w:rPr>
      </w:pPr>
    </w:p>
    <w:p w14:paraId="2C0F6B63" w14:textId="3A26677D" w:rsidR="00BB6EB9" w:rsidRPr="0034087E" w:rsidRDefault="00BB6EB9" w:rsidP="00BB6EB9">
      <w:pPr>
        <w:jc w:val="both"/>
        <w:rPr>
          <w:rFonts w:ascii="Arial" w:hAnsi="Arial" w:cs="Arial"/>
          <w:sz w:val="20"/>
          <w:szCs w:val="20"/>
          <w:lang w:val="es-MX"/>
        </w:rPr>
      </w:pPr>
      <w:r w:rsidRPr="0034087E">
        <w:rPr>
          <w:rFonts w:ascii="Arial" w:hAnsi="Arial" w:cs="Arial"/>
          <w:sz w:val="20"/>
          <w:szCs w:val="20"/>
          <w:lang w:val="es-MX"/>
        </w:rPr>
        <w:t>De acuerdo con los apartes resaltados, para el caso del comercializador mayorista de fuentes con precio regulado cuando lleva</w:t>
      </w:r>
      <w:r w:rsidR="002D6F0B">
        <w:rPr>
          <w:rFonts w:ascii="Arial" w:hAnsi="Arial" w:cs="Arial"/>
          <w:sz w:val="20"/>
          <w:szCs w:val="20"/>
          <w:lang w:val="es-MX"/>
        </w:rPr>
        <w:t xml:space="preserve"> a</w:t>
      </w:r>
      <w:r w:rsidRPr="0034087E">
        <w:rPr>
          <w:rFonts w:ascii="Arial" w:hAnsi="Arial" w:cs="Arial"/>
          <w:sz w:val="20"/>
          <w:szCs w:val="20"/>
          <w:lang w:val="es-MX"/>
        </w:rPr>
        <w:t xml:space="preserve"> cabo la OPC</w:t>
      </w:r>
      <w:r w:rsidR="002D6F0B">
        <w:rPr>
          <w:rFonts w:ascii="Arial" w:hAnsi="Arial" w:cs="Arial"/>
          <w:sz w:val="20"/>
          <w:szCs w:val="20"/>
          <w:lang w:val="es-MX"/>
        </w:rPr>
        <w:t>,</w:t>
      </w:r>
      <w:r w:rsidRPr="0034087E">
        <w:rPr>
          <w:rFonts w:ascii="Arial" w:hAnsi="Arial" w:cs="Arial"/>
          <w:sz w:val="20"/>
          <w:szCs w:val="20"/>
          <w:lang w:val="es-MX"/>
        </w:rPr>
        <w:t xml:space="preserve"> se debe tener en cuenta lo siguiente:</w:t>
      </w:r>
    </w:p>
    <w:p w14:paraId="66977D32" w14:textId="77777777" w:rsidR="00BB6EB9" w:rsidRPr="0034087E" w:rsidRDefault="00BB6EB9" w:rsidP="00BB6EB9">
      <w:pPr>
        <w:jc w:val="both"/>
        <w:rPr>
          <w:rFonts w:ascii="Arial" w:hAnsi="Arial" w:cs="Arial"/>
          <w:sz w:val="20"/>
          <w:szCs w:val="20"/>
          <w:lang w:val="es-MX"/>
        </w:rPr>
      </w:pPr>
    </w:p>
    <w:p w14:paraId="5CAAD066" w14:textId="3B02D209" w:rsidR="00BB6EB9" w:rsidRPr="0034087E" w:rsidRDefault="00BB6EB9" w:rsidP="002D6F0B">
      <w:pPr>
        <w:ind w:left="284" w:hanging="284"/>
        <w:jc w:val="both"/>
        <w:rPr>
          <w:rFonts w:ascii="Arial" w:hAnsi="Arial" w:cs="Arial"/>
          <w:sz w:val="20"/>
          <w:szCs w:val="20"/>
          <w:lang w:val="es-MX"/>
        </w:rPr>
      </w:pPr>
      <w:r w:rsidRPr="0034087E">
        <w:rPr>
          <w:rFonts w:ascii="Arial" w:hAnsi="Arial" w:cs="Arial"/>
          <w:sz w:val="20"/>
          <w:szCs w:val="20"/>
          <w:lang w:val="es-MX"/>
        </w:rPr>
        <w:t xml:space="preserve">1. </w:t>
      </w:r>
      <w:r w:rsidR="002D6F0B">
        <w:rPr>
          <w:rFonts w:ascii="Arial" w:hAnsi="Arial" w:cs="Arial"/>
          <w:sz w:val="20"/>
          <w:szCs w:val="20"/>
          <w:lang w:val="es-MX"/>
        </w:rPr>
        <w:tab/>
      </w:r>
      <w:r w:rsidRPr="0034087E">
        <w:rPr>
          <w:rFonts w:ascii="Arial" w:hAnsi="Arial" w:cs="Arial"/>
          <w:sz w:val="20"/>
          <w:szCs w:val="20"/>
          <w:lang w:val="es-MX"/>
        </w:rPr>
        <w:t>El concepto de “capacidad de compra ajustada” se aplica únicamente a los distribuidores de GLP a los cuales se les haya definido y publicado capacidad de compra en la presente resolución. En los demás casos dicho concepto corresponde a lo que se refiera las solicitudes que presenten.</w:t>
      </w:r>
    </w:p>
    <w:p w14:paraId="2009CA80" w14:textId="77777777" w:rsidR="00BB6EB9" w:rsidRPr="0034087E" w:rsidRDefault="00BB6EB9" w:rsidP="002D6F0B">
      <w:pPr>
        <w:pStyle w:val="Prrafodelista"/>
        <w:ind w:left="284" w:hanging="284"/>
        <w:jc w:val="both"/>
        <w:rPr>
          <w:rFonts w:ascii="Arial" w:hAnsi="Arial" w:cs="Arial"/>
          <w:sz w:val="20"/>
          <w:szCs w:val="20"/>
          <w:lang w:val="es-MX"/>
        </w:rPr>
      </w:pPr>
    </w:p>
    <w:p w14:paraId="32AA4420" w14:textId="080AEC36" w:rsidR="00BB6EB9" w:rsidRPr="0034087E" w:rsidRDefault="00BB6EB9" w:rsidP="002D6F0B">
      <w:pPr>
        <w:ind w:left="284" w:hanging="284"/>
        <w:jc w:val="both"/>
        <w:rPr>
          <w:rFonts w:ascii="Arial" w:hAnsi="Arial" w:cs="Arial"/>
          <w:sz w:val="20"/>
          <w:szCs w:val="20"/>
          <w:lang w:val="es-MX"/>
        </w:rPr>
      </w:pPr>
      <w:r w:rsidRPr="0034087E">
        <w:rPr>
          <w:rFonts w:ascii="Arial" w:hAnsi="Arial" w:cs="Arial"/>
          <w:sz w:val="20"/>
          <w:szCs w:val="20"/>
          <w:lang w:val="es-MX"/>
        </w:rPr>
        <w:t>2.</w:t>
      </w:r>
      <w:r w:rsidR="002D6F0B">
        <w:rPr>
          <w:rFonts w:ascii="Arial" w:hAnsi="Arial" w:cs="Arial"/>
          <w:sz w:val="20"/>
          <w:szCs w:val="20"/>
          <w:lang w:val="es-MX"/>
        </w:rPr>
        <w:tab/>
      </w:r>
      <w:r w:rsidRPr="0034087E">
        <w:rPr>
          <w:rFonts w:ascii="Arial" w:hAnsi="Arial" w:cs="Arial"/>
          <w:sz w:val="20"/>
          <w:szCs w:val="20"/>
          <w:lang w:val="es-MX"/>
        </w:rPr>
        <w:t>Frente a las ofertas de compra, que cada distribuidor remita al comercializador mayorista que lleva a cabo la OPC, estas deberán modificarse según el siguiente procedimiento, el cual debe llevar a cabo el comercializador mayorista y del que resultan las ofertas de compra ajustadas:</w:t>
      </w:r>
    </w:p>
    <w:p w14:paraId="49045F3C" w14:textId="77777777" w:rsidR="00BB6EB9" w:rsidRPr="0034087E" w:rsidRDefault="00BB6EB9" w:rsidP="00BB6EB9">
      <w:pPr>
        <w:pStyle w:val="Prrafodelista"/>
        <w:jc w:val="both"/>
        <w:rPr>
          <w:rFonts w:ascii="Arial" w:hAnsi="Arial" w:cs="Arial"/>
          <w:sz w:val="20"/>
          <w:szCs w:val="20"/>
          <w:lang w:val="es-MX"/>
        </w:rPr>
      </w:pPr>
    </w:p>
    <w:p w14:paraId="47C651F2" w14:textId="77777777" w:rsidR="00BB6EB9" w:rsidRPr="0034087E" w:rsidRDefault="00BB6EB9" w:rsidP="002D6F0B">
      <w:pPr>
        <w:pStyle w:val="Prrafodelista"/>
        <w:numPr>
          <w:ilvl w:val="0"/>
          <w:numId w:val="8"/>
        </w:numPr>
        <w:ind w:left="567" w:hanging="283"/>
        <w:jc w:val="both"/>
        <w:rPr>
          <w:rFonts w:ascii="Arial" w:hAnsi="Arial" w:cs="Arial"/>
          <w:sz w:val="20"/>
          <w:szCs w:val="20"/>
          <w:lang w:val="es-MX"/>
        </w:rPr>
      </w:pPr>
      <w:r w:rsidRPr="0034087E">
        <w:rPr>
          <w:rFonts w:ascii="Arial" w:hAnsi="Arial" w:cs="Arial"/>
          <w:sz w:val="20"/>
          <w:szCs w:val="20"/>
          <w:lang w:val="es-MX"/>
        </w:rPr>
        <w:t>Cuando la suma de las ofertas de compra remitidas por un distribuidor, para todas las fuentes ofrecidas, sea menor o igual que su capacidad disponible de compra, las ofertas de compra ajustadas para este distribuidor serán iguales a las ofertas de compra remitidas.</w:t>
      </w:r>
    </w:p>
    <w:p w14:paraId="1E427FE4" w14:textId="77777777" w:rsidR="00BB6EB9" w:rsidRPr="0034087E" w:rsidRDefault="00BB6EB9" w:rsidP="002D6F0B">
      <w:pPr>
        <w:pStyle w:val="Prrafodelista"/>
        <w:ind w:left="567" w:hanging="283"/>
        <w:jc w:val="both"/>
        <w:rPr>
          <w:rFonts w:ascii="Arial" w:hAnsi="Arial" w:cs="Arial"/>
          <w:sz w:val="20"/>
          <w:szCs w:val="20"/>
          <w:lang w:val="es-MX"/>
        </w:rPr>
      </w:pPr>
    </w:p>
    <w:p w14:paraId="78311289" w14:textId="77777777" w:rsidR="00BB6EB9" w:rsidRPr="005141DA" w:rsidRDefault="00BB6EB9" w:rsidP="002D6F0B">
      <w:pPr>
        <w:pStyle w:val="Prrafodelista"/>
        <w:numPr>
          <w:ilvl w:val="0"/>
          <w:numId w:val="8"/>
        </w:numPr>
        <w:ind w:left="567" w:hanging="283"/>
        <w:jc w:val="both"/>
        <w:rPr>
          <w:rFonts w:ascii="Arial" w:hAnsi="Arial" w:cs="Arial"/>
          <w:sz w:val="20"/>
          <w:szCs w:val="20"/>
          <w:lang w:val="es-MX"/>
        </w:rPr>
      </w:pPr>
      <w:r w:rsidRPr="0034087E">
        <w:rPr>
          <w:rFonts w:ascii="Arial" w:hAnsi="Arial" w:cs="Arial"/>
          <w:sz w:val="20"/>
          <w:szCs w:val="20"/>
          <w:lang w:val="es-MX"/>
        </w:rPr>
        <w:t xml:space="preserve">Cuando la suma de las ofertas de </w:t>
      </w:r>
      <w:r w:rsidRPr="005141DA">
        <w:rPr>
          <w:rFonts w:ascii="Arial" w:hAnsi="Arial" w:cs="Arial"/>
          <w:sz w:val="20"/>
          <w:szCs w:val="20"/>
          <w:lang w:val="es-MX"/>
        </w:rPr>
        <w:t>compra remitidas por un distribuidor, para todas las fuentes ofrecidas, sea mayor que su capacidad disponible de compra, las ofertas de compra remitidas se ajustarán, fuente por fuente, de tal manera que la suma de las ofertas de compra ajustadas sea igual a la capacidad disponible de compra, manteniendo las proporciones, por fuente, de las ofertas de compra remitidas.</w:t>
      </w:r>
    </w:p>
    <w:p w14:paraId="0DA10144" w14:textId="77777777" w:rsidR="00BB6EB9" w:rsidRPr="005141DA" w:rsidRDefault="00BB6EB9" w:rsidP="00BB6EB9">
      <w:pPr>
        <w:pStyle w:val="Textoindependiente"/>
        <w:spacing w:after="0" w:line="240" w:lineRule="auto"/>
        <w:rPr>
          <w:rFonts w:cs="Arial"/>
        </w:rPr>
      </w:pPr>
    </w:p>
    <w:p w14:paraId="2A0140C3" w14:textId="77777777" w:rsidR="00BB6EB9" w:rsidRPr="005141DA" w:rsidRDefault="00BB6EB9" w:rsidP="00BB6EB9">
      <w:pPr>
        <w:jc w:val="center"/>
        <w:rPr>
          <w:rFonts w:ascii="Arial" w:hAnsi="Arial" w:cs="Arial"/>
          <w:sz w:val="22"/>
          <w:szCs w:val="22"/>
        </w:rPr>
      </w:pPr>
    </w:p>
    <w:p w14:paraId="0D1E4066" w14:textId="77777777" w:rsidR="00BB6EB9" w:rsidRPr="005141DA" w:rsidRDefault="00BB6EB9" w:rsidP="00BB6EB9">
      <w:pPr>
        <w:pStyle w:val="Textoindependiente"/>
        <w:spacing w:after="0" w:line="240" w:lineRule="auto"/>
        <w:rPr>
          <w:rFonts w:cs="Arial"/>
          <w:sz w:val="24"/>
          <w:szCs w:val="24"/>
        </w:rPr>
      </w:pPr>
    </w:p>
    <w:p w14:paraId="5C994E70" w14:textId="77777777" w:rsidR="00BB6EB9" w:rsidRPr="005141DA" w:rsidRDefault="00BB6EB9" w:rsidP="00BB6EB9">
      <w:pPr>
        <w:pStyle w:val="Textoindependiente"/>
        <w:spacing w:after="0" w:line="240" w:lineRule="auto"/>
        <w:rPr>
          <w:rFonts w:cs="Arial"/>
          <w:sz w:val="24"/>
          <w:szCs w:val="24"/>
        </w:rPr>
      </w:pPr>
    </w:p>
    <w:p w14:paraId="0063002C" w14:textId="77777777" w:rsidR="00BB6EB9" w:rsidRPr="005141DA" w:rsidRDefault="00BB6EB9" w:rsidP="00BB6EB9">
      <w:pPr>
        <w:pStyle w:val="Textoindependiente"/>
        <w:spacing w:after="0" w:line="240" w:lineRule="auto"/>
        <w:rPr>
          <w:rFonts w:cs="Arial"/>
          <w:sz w:val="24"/>
          <w:szCs w:val="24"/>
        </w:rPr>
      </w:pPr>
    </w:p>
    <w:p w14:paraId="710A5785" w14:textId="4BB14B1C" w:rsidR="00BB6EB9" w:rsidRPr="005141DA" w:rsidRDefault="00AF4667" w:rsidP="00BB6EB9">
      <w:pPr>
        <w:jc w:val="center"/>
        <w:rPr>
          <w:rFonts w:ascii="Arial" w:hAnsi="Arial" w:cs="Arial"/>
        </w:rPr>
      </w:pPr>
      <w:r>
        <w:rPr>
          <w:rFonts w:ascii="Arial" w:hAnsi="Arial" w:cs="Arial"/>
        </w:rPr>
        <w:t>JORGE ALBERTO VALENCIA MARÍN</w:t>
      </w:r>
    </w:p>
    <w:p w14:paraId="73790275" w14:textId="77777777" w:rsidR="00BB6EB9" w:rsidRPr="0034087E" w:rsidRDefault="00BB6EB9" w:rsidP="000B7638">
      <w:pPr>
        <w:jc w:val="center"/>
        <w:rPr>
          <w:rFonts w:ascii="Arial" w:hAnsi="Arial" w:cs="Arial"/>
        </w:rPr>
      </w:pPr>
    </w:p>
    <w:sectPr w:rsidR="00BB6EB9" w:rsidRPr="0034087E"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E123" w14:textId="77777777" w:rsidR="00612CBA" w:rsidRDefault="00612CBA" w:rsidP="00AA0519">
      <w:r>
        <w:separator/>
      </w:r>
    </w:p>
  </w:endnote>
  <w:endnote w:type="continuationSeparator" w:id="0">
    <w:p w14:paraId="089750E1" w14:textId="77777777" w:rsidR="00612CBA" w:rsidRDefault="00612CBA"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925" w14:textId="77777777" w:rsidR="003D6B58" w:rsidRDefault="003D6B58"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7248" w14:textId="77777777" w:rsidR="003D6B58" w:rsidRDefault="003D6B58"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139B4" w14:textId="77777777" w:rsidR="00612CBA" w:rsidRDefault="00612CBA" w:rsidP="00AA0519">
      <w:r>
        <w:separator/>
      </w:r>
    </w:p>
  </w:footnote>
  <w:footnote w:type="continuationSeparator" w:id="0">
    <w:p w14:paraId="28BCF721" w14:textId="77777777" w:rsidR="00612CBA" w:rsidRDefault="00612CBA" w:rsidP="00AA0519">
      <w:r>
        <w:continuationSeparator/>
      </w:r>
    </w:p>
  </w:footnote>
  <w:footnote w:id="1">
    <w:p w14:paraId="2182BCB0" w14:textId="77777777" w:rsidR="003D6B58" w:rsidRPr="002542D3" w:rsidRDefault="003D6B58" w:rsidP="0034087E">
      <w:pPr>
        <w:pStyle w:val="Textonotapie"/>
        <w:ind w:left="0"/>
        <w:jc w:val="both"/>
        <w:rPr>
          <w:rFonts w:ascii="Arial" w:hAnsi="Arial" w:cs="Arial"/>
          <w:sz w:val="16"/>
          <w:szCs w:val="16"/>
        </w:rPr>
      </w:pPr>
      <w:r w:rsidRPr="002542D3">
        <w:rPr>
          <w:rStyle w:val="Refdenotaalpie"/>
          <w:rFonts w:ascii="Arial" w:hAnsi="Arial" w:cs="Arial"/>
          <w:sz w:val="16"/>
          <w:szCs w:val="16"/>
        </w:rPr>
        <w:footnoteRef/>
      </w:r>
      <w:r w:rsidRPr="002542D3">
        <w:rPr>
          <w:rFonts w:ascii="Arial" w:hAnsi="Arial"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14:paraId="25F29162" w14:textId="77777777" w:rsidR="003D6B58" w:rsidRPr="004F5089" w:rsidRDefault="003D6B58" w:rsidP="00BB6EB9">
      <w:pPr>
        <w:pStyle w:val="Textonotapie"/>
        <w:ind w:left="0"/>
        <w:jc w:val="both"/>
      </w:pPr>
      <w:r w:rsidRPr="005141DA">
        <w:rPr>
          <w:rFonts w:ascii="Arial" w:hAnsi="Arial" w:cs="Arial"/>
          <w:sz w:val="16"/>
          <w:szCs w:val="16"/>
        </w:rPr>
        <w:footnoteRef/>
      </w:r>
      <w:r w:rsidRPr="005141DA">
        <w:rPr>
          <w:rFonts w:ascii="Arial" w:hAnsi="Arial" w:cs="Arial"/>
          <w:sz w:val="16"/>
          <w:szCs w:val="16"/>
        </w:rPr>
        <w:t xml:space="preserve"> Esto, sin perjuicio de la aplicación de lo previsto en la fórmula del artículo 8 de la Resolución CREG 063 de 2016 para el </w:t>
      </w:r>
      <w:r>
        <w:rPr>
          <w:rFonts w:ascii="Arial" w:hAnsi="Arial" w:cs="Arial"/>
          <w:sz w:val="16"/>
          <w:szCs w:val="16"/>
        </w:rPr>
        <w:t>sexto</w:t>
      </w:r>
      <w:r w:rsidRPr="005141DA">
        <w:rPr>
          <w:rFonts w:ascii="Arial" w:hAnsi="Arial" w:cs="Arial"/>
          <w:sz w:val="16"/>
          <w:szCs w:val="16"/>
        </w:rPr>
        <w:t xml:space="preserve"> período de compra para el caso de las cantidades de GLP que ya se encuentren se encuentren contratadas y que cubran la totalidad del </w:t>
      </w:r>
      <w:r>
        <w:rPr>
          <w:rFonts w:ascii="Arial" w:hAnsi="Arial" w:cs="Arial"/>
          <w:sz w:val="16"/>
          <w:szCs w:val="16"/>
        </w:rPr>
        <w:t>quinto</w:t>
      </w:r>
      <w:r w:rsidRPr="005141DA">
        <w:rPr>
          <w:rFonts w:ascii="Arial" w:hAnsi="Arial" w:cs="Arial"/>
          <w:sz w:val="16"/>
          <w:szCs w:val="16"/>
        </w:rPr>
        <w:t xml:space="preserve"> período de compra.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C86C" w14:textId="712028E8" w:rsidR="003D6B58" w:rsidRDefault="003D6B58">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3D6B58" w:rsidRDefault="003D6B58">
    <w:pPr>
      <w:pStyle w:val="Encabezado"/>
      <w:rPr>
        <w:sz w:val="18"/>
        <w:szCs w:val="18"/>
        <w:u w:val="single"/>
      </w:rPr>
    </w:pPr>
  </w:p>
  <w:p w14:paraId="4B019835" w14:textId="77777777" w:rsidR="00682AF7" w:rsidRPr="00682AF7" w:rsidRDefault="003D6B58">
    <w:pPr>
      <w:pStyle w:val="Encabezado"/>
      <w:rPr>
        <w:rFonts w:ascii="Arial" w:hAnsi="Arial" w:cs="Arial"/>
        <w:i/>
        <w:iCs/>
        <w:sz w:val="18"/>
        <w:szCs w:val="18"/>
        <w:u w:val="single"/>
      </w:rPr>
    </w:pPr>
    <w:r w:rsidRPr="00682AF7">
      <w:rPr>
        <w:rFonts w:ascii="Arial" w:hAnsi="Arial" w:cs="Arial"/>
        <w:i/>
        <w:iCs/>
        <w:sz w:val="18"/>
        <w:szCs w:val="18"/>
        <w:u w:val="single"/>
      </w:rPr>
      <w:t>CIRCULAR</w:t>
    </w:r>
    <w:r w:rsidR="00682AF7" w:rsidRPr="00682AF7">
      <w:rPr>
        <w:rFonts w:ascii="Arial" w:hAnsi="Arial" w:cs="Arial"/>
        <w:i/>
        <w:iCs/>
        <w:sz w:val="18"/>
        <w:szCs w:val="18"/>
        <w:u w:val="single"/>
      </w:rPr>
      <w:t>134</w:t>
    </w:r>
  </w:p>
  <w:p w14:paraId="23E8BB1E" w14:textId="55E9E612" w:rsidR="003D6B58" w:rsidRPr="00682AF7" w:rsidRDefault="00682AF7">
    <w:pPr>
      <w:pStyle w:val="Encabezado"/>
      <w:rPr>
        <w:rFonts w:ascii="Arial" w:hAnsi="Arial" w:cs="Arial"/>
        <w:i/>
        <w:iCs/>
        <w:sz w:val="18"/>
        <w:szCs w:val="18"/>
        <w:u w:val="single"/>
      </w:rPr>
    </w:pPr>
    <w:r w:rsidRPr="00682AF7">
      <w:rPr>
        <w:rFonts w:ascii="Arial" w:hAnsi="Arial" w:cs="Arial"/>
        <w:i/>
        <w:iCs/>
        <w:sz w:val="18"/>
        <w:szCs w:val="18"/>
        <w:u w:val="single"/>
      </w:rPr>
      <w:t xml:space="preserve">Diciembre </w:t>
    </w:r>
    <w:r w:rsidR="003D6B58" w:rsidRPr="00682AF7">
      <w:rPr>
        <w:rFonts w:ascii="Arial" w:hAnsi="Arial" w:cs="Arial"/>
        <w:i/>
        <w:iCs/>
        <w:sz w:val="18"/>
        <w:szCs w:val="18"/>
        <w:u w:val="single"/>
      </w:rPr>
      <w:t>2020</w:t>
    </w:r>
  </w:p>
  <w:p w14:paraId="1D3C6477" w14:textId="2C6C4C3D" w:rsidR="003D6B58" w:rsidRPr="00682AF7" w:rsidRDefault="003D6B58">
    <w:pPr>
      <w:pStyle w:val="Encabezado"/>
      <w:rPr>
        <w:rFonts w:ascii="Arial" w:hAnsi="Arial" w:cs="Arial"/>
        <w:i/>
        <w:iCs/>
        <w:sz w:val="18"/>
        <w:szCs w:val="18"/>
        <w:u w:val="single"/>
      </w:rPr>
    </w:pPr>
    <w:r w:rsidRPr="00682AF7">
      <w:rPr>
        <w:rFonts w:ascii="Arial" w:hAnsi="Arial" w:cs="Arial"/>
        <w:i/>
        <w:iCs/>
        <w:sz w:val="18"/>
        <w:szCs w:val="18"/>
        <w:u w:val="single"/>
      </w:rPr>
      <w:fldChar w:fldCharType="begin"/>
    </w:r>
    <w:r w:rsidRPr="00682AF7">
      <w:rPr>
        <w:rFonts w:ascii="Arial" w:hAnsi="Arial" w:cs="Arial"/>
        <w:i/>
        <w:iCs/>
        <w:sz w:val="18"/>
        <w:szCs w:val="18"/>
        <w:u w:val="single"/>
      </w:rPr>
      <w:instrText>PAGE   \* MERGEFORMAT</w:instrText>
    </w:r>
    <w:r w:rsidRPr="00682AF7">
      <w:rPr>
        <w:rFonts w:ascii="Arial" w:hAnsi="Arial" w:cs="Arial"/>
        <w:i/>
        <w:iCs/>
        <w:sz w:val="18"/>
        <w:szCs w:val="18"/>
        <w:u w:val="single"/>
      </w:rPr>
      <w:fldChar w:fldCharType="separate"/>
    </w:r>
    <w:r w:rsidRPr="00682AF7">
      <w:rPr>
        <w:rFonts w:ascii="Arial" w:hAnsi="Arial" w:cs="Arial"/>
        <w:i/>
        <w:iCs/>
        <w:noProof/>
        <w:sz w:val="18"/>
        <w:szCs w:val="18"/>
        <w:u w:val="single"/>
        <w:lang w:val="es-ES"/>
      </w:rPr>
      <w:t>11</w:t>
    </w:r>
    <w:r w:rsidRPr="00682AF7">
      <w:rPr>
        <w:rFonts w:ascii="Arial" w:hAnsi="Arial" w:cs="Arial"/>
        <w:i/>
        <w:iCs/>
        <w:sz w:val="18"/>
        <w:szCs w:val="18"/>
        <w:u w:val="single"/>
      </w:rPr>
      <w:fldChar w:fldCharType="end"/>
    </w:r>
    <w:r w:rsidRPr="00682AF7">
      <w:rPr>
        <w:rFonts w:ascii="Arial" w:hAnsi="Arial" w:cs="Arial"/>
        <w:i/>
        <w:iCs/>
        <w:sz w:val="18"/>
        <w:szCs w:val="18"/>
        <w:u w:val="single"/>
      </w:rPr>
      <w:t xml:space="preserve">/12 </w:t>
    </w:r>
  </w:p>
  <w:p w14:paraId="26323BB5" w14:textId="77777777" w:rsidR="003D6B58" w:rsidRPr="00653E2D" w:rsidRDefault="003D6B58">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3FA7" w14:textId="28B3DE6B" w:rsidR="003D6B58" w:rsidRDefault="003D6B58"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3D6B58" w:rsidRDefault="003D6B58" w:rsidP="003F2F4B">
    <w:pPr>
      <w:pStyle w:val="Encabezado"/>
    </w:pPr>
  </w:p>
  <w:p w14:paraId="4D2757CC" w14:textId="77777777" w:rsidR="003D6B58" w:rsidRDefault="003D6B58"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7D4D"/>
    <w:rsid w:val="000B2EE8"/>
    <w:rsid w:val="000B7638"/>
    <w:rsid w:val="000E38FC"/>
    <w:rsid w:val="001004AF"/>
    <w:rsid w:val="00160DE3"/>
    <w:rsid w:val="001747A9"/>
    <w:rsid w:val="00177F31"/>
    <w:rsid w:val="00190778"/>
    <w:rsid w:val="00190D77"/>
    <w:rsid w:val="00194973"/>
    <w:rsid w:val="001D31C4"/>
    <w:rsid w:val="001E769C"/>
    <w:rsid w:val="00222C26"/>
    <w:rsid w:val="00225C50"/>
    <w:rsid w:val="0024601B"/>
    <w:rsid w:val="00281DDB"/>
    <w:rsid w:val="002B43CA"/>
    <w:rsid w:val="002D6F0B"/>
    <w:rsid w:val="003018AD"/>
    <w:rsid w:val="00330770"/>
    <w:rsid w:val="0034087E"/>
    <w:rsid w:val="00367E25"/>
    <w:rsid w:val="00386CB3"/>
    <w:rsid w:val="003C7E1C"/>
    <w:rsid w:val="003D6B58"/>
    <w:rsid w:val="003F2F4B"/>
    <w:rsid w:val="00471187"/>
    <w:rsid w:val="00485817"/>
    <w:rsid w:val="00486F35"/>
    <w:rsid w:val="004B05A6"/>
    <w:rsid w:val="004D5F55"/>
    <w:rsid w:val="004E1441"/>
    <w:rsid w:val="005141DA"/>
    <w:rsid w:val="005261DA"/>
    <w:rsid w:val="005C366E"/>
    <w:rsid w:val="005D6F59"/>
    <w:rsid w:val="00612CBA"/>
    <w:rsid w:val="00653E2D"/>
    <w:rsid w:val="00682AF7"/>
    <w:rsid w:val="006C5EA2"/>
    <w:rsid w:val="00707A85"/>
    <w:rsid w:val="00731049"/>
    <w:rsid w:val="007313DB"/>
    <w:rsid w:val="00735E1F"/>
    <w:rsid w:val="007E16DF"/>
    <w:rsid w:val="007E5224"/>
    <w:rsid w:val="00816448"/>
    <w:rsid w:val="00852C36"/>
    <w:rsid w:val="00883B14"/>
    <w:rsid w:val="00893D67"/>
    <w:rsid w:val="008E17C2"/>
    <w:rsid w:val="00970D09"/>
    <w:rsid w:val="009A3312"/>
    <w:rsid w:val="00A15CDD"/>
    <w:rsid w:val="00A16476"/>
    <w:rsid w:val="00A318C1"/>
    <w:rsid w:val="00A7557C"/>
    <w:rsid w:val="00A83D0A"/>
    <w:rsid w:val="00AA0519"/>
    <w:rsid w:val="00AC4A2C"/>
    <w:rsid w:val="00AC5A07"/>
    <w:rsid w:val="00AF4667"/>
    <w:rsid w:val="00B32C86"/>
    <w:rsid w:val="00B82246"/>
    <w:rsid w:val="00BA2D14"/>
    <w:rsid w:val="00BB555A"/>
    <w:rsid w:val="00BB6EB9"/>
    <w:rsid w:val="00BF2CE2"/>
    <w:rsid w:val="00C47642"/>
    <w:rsid w:val="00C568B6"/>
    <w:rsid w:val="00C61E55"/>
    <w:rsid w:val="00C72E21"/>
    <w:rsid w:val="00C82402"/>
    <w:rsid w:val="00CB159C"/>
    <w:rsid w:val="00CE5E5D"/>
    <w:rsid w:val="00D10F66"/>
    <w:rsid w:val="00D71550"/>
    <w:rsid w:val="00D96F70"/>
    <w:rsid w:val="00DA3B49"/>
    <w:rsid w:val="00DA74E3"/>
    <w:rsid w:val="00DF13DB"/>
    <w:rsid w:val="00E50033"/>
    <w:rsid w:val="00E94665"/>
    <w:rsid w:val="00F02F54"/>
    <w:rsid w:val="00F33938"/>
    <w:rsid w:val="00F65EB3"/>
    <w:rsid w:val="00F96E31"/>
    <w:rsid w:val="00FD2A8B"/>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05752-64C1-45FB-9DC3-8B0C375B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4555</Words>
  <Characters>25057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2020-12-17T21:03:00Z</dcterms:created>
  <dcterms:modified xsi:type="dcterms:W3CDTF">2020-12-17T21:03:00Z</dcterms:modified>
</cp:coreProperties>
</file>