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93D3" w14:textId="60270D6B" w:rsidR="00893C9D" w:rsidRDefault="00893C9D" w:rsidP="00893C9D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10599F">
        <w:rPr>
          <w:rFonts w:ascii="Arial" w:hAnsi="Arial" w:cs="Arial"/>
          <w:sz w:val="22"/>
          <w:szCs w:val="22"/>
          <w:lang w:val="es-MX"/>
        </w:rPr>
        <w:t>12</w:t>
      </w:r>
      <w:r>
        <w:rPr>
          <w:rFonts w:ascii="Arial" w:hAnsi="Arial" w:cs="Arial"/>
          <w:sz w:val="22"/>
          <w:szCs w:val="22"/>
          <w:lang w:val="es-MX"/>
        </w:rPr>
        <w:t xml:space="preserve"> de julio de 2022</w:t>
      </w:r>
    </w:p>
    <w:p w14:paraId="0DC13BC5" w14:textId="77777777" w:rsidR="002C4A22" w:rsidRDefault="002C4A22" w:rsidP="00893C9D">
      <w:pPr>
        <w:rPr>
          <w:rFonts w:ascii="Arial" w:hAnsi="Arial" w:cs="Arial"/>
          <w:sz w:val="22"/>
          <w:szCs w:val="22"/>
          <w:lang w:val="es-MX"/>
        </w:rPr>
      </w:pPr>
    </w:p>
    <w:p w14:paraId="0BCF16C8" w14:textId="31B0B7F0" w:rsidR="00893C9D" w:rsidRPr="00A2085F" w:rsidRDefault="00893C9D" w:rsidP="00893C9D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A2085F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</w:t>
      </w:r>
      <w:r w:rsidR="0010599F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66</w:t>
      </w:r>
    </w:p>
    <w:p w14:paraId="22A9A424" w14:textId="77777777" w:rsidR="00893C9D" w:rsidRDefault="00893C9D" w:rsidP="00893C9D">
      <w:pPr>
        <w:pStyle w:val="Sangradetextonormal"/>
        <w:spacing w:before="240" w:after="360"/>
        <w:ind w:left="1410" w:hanging="1410"/>
        <w:contextualSpacing/>
        <w:jc w:val="both"/>
        <w:rPr>
          <w:rFonts w:asciiTheme="majorHAnsi" w:hAnsiTheme="majorHAnsi" w:cstheme="majorHAnsi"/>
          <w:b/>
          <w:bCs/>
          <w:color w:val="000000"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Pr="00C919B8">
        <w:rPr>
          <w:rFonts w:asciiTheme="majorHAnsi" w:hAnsiTheme="majorHAnsi" w:cstheme="majorHAnsi"/>
          <w:b/>
          <w:bCs/>
          <w:color w:val="000000"/>
        </w:rPr>
        <w:t>AGENTES DEL SECTOR DE COMBUSTIBLES LÍQUIDOS Y TERCEROS INTERESADOS</w:t>
      </w:r>
    </w:p>
    <w:p w14:paraId="610AB65E" w14:textId="77777777" w:rsidR="00893C9D" w:rsidRPr="001D588D" w:rsidRDefault="00893C9D" w:rsidP="00893C9D">
      <w:pPr>
        <w:pStyle w:val="Sangradetextonormal"/>
        <w:spacing w:before="240" w:after="360"/>
        <w:ind w:left="1410" w:hanging="1410"/>
        <w:contextualSpacing/>
        <w:jc w:val="both"/>
        <w:rPr>
          <w:rFonts w:asciiTheme="majorHAnsi" w:hAnsiTheme="majorHAnsi" w:cstheme="majorHAnsi"/>
          <w:b/>
          <w:bCs/>
        </w:rPr>
      </w:pPr>
    </w:p>
    <w:p w14:paraId="73032450" w14:textId="77777777" w:rsidR="00893C9D" w:rsidRPr="009E4411" w:rsidRDefault="00893C9D" w:rsidP="00893C9D">
      <w:pPr>
        <w:pStyle w:val="Sangradetextonormal"/>
        <w:spacing w:before="240" w:after="360"/>
        <w:ind w:left="1410" w:hanging="1410"/>
        <w:contextualSpacing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5A950E0B" w14:textId="77777777" w:rsidR="00893C9D" w:rsidRPr="00471223" w:rsidRDefault="00893C9D" w:rsidP="00893C9D">
      <w:pPr>
        <w:spacing w:before="240" w:after="360" w:line="240" w:lineRule="auto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AMPLIACION PLAZO DE CONSULTA DE LA RESOLUCIÓN CREG </w:t>
      </w:r>
      <w:r w:rsidRPr="00B5668E">
        <w:rPr>
          <w:rFonts w:ascii="Arial" w:hAnsi="Arial" w:cs="Arial"/>
          <w:b/>
        </w:rPr>
        <w:t xml:space="preserve">705 002 </w:t>
      </w:r>
      <w:r>
        <w:rPr>
          <w:rFonts w:ascii="Arial" w:hAnsi="Arial" w:cs="Arial"/>
          <w:b/>
        </w:rPr>
        <w:t>DE 2022</w:t>
      </w:r>
    </w:p>
    <w:p w14:paraId="234894F0" w14:textId="77777777" w:rsidR="00893C9D" w:rsidRPr="009E4411" w:rsidRDefault="00893C9D" w:rsidP="00893C9D">
      <w:pPr>
        <w:pStyle w:val="Sangradetextonormal"/>
        <w:spacing w:after="0"/>
        <w:ind w:left="1410" w:hanging="1410"/>
        <w:contextualSpacing/>
        <w:rPr>
          <w:rFonts w:ascii="Arial" w:hAnsi="Arial" w:cs="Arial"/>
          <w:b/>
        </w:rPr>
      </w:pPr>
    </w:p>
    <w:p w14:paraId="328685F8" w14:textId="723CF372" w:rsidR="00893C9D" w:rsidRPr="00950991" w:rsidRDefault="00893C9D" w:rsidP="00893C9D">
      <w:pPr>
        <w:pStyle w:val="Textoindependiente"/>
        <w:spacing w:after="0" w:line="240" w:lineRule="auto"/>
        <w:contextualSpacing/>
        <w:rPr>
          <w:rFonts w:asciiTheme="majorHAnsi" w:hAnsiTheme="majorHAnsi" w:cstheme="majorHAnsi"/>
          <w:bCs/>
          <w:sz w:val="24"/>
          <w:szCs w:val="24"/>
        </w:rPr>
      </w:pPr>
      <w:r w:rsidRPr="00950991">
        <w:rPr>
          <w:rFonts w:asciiTheme="majorHAnsi" w:hAnsiTheme="majorHAnsi" w:cstheme="majorHAnsi"/>
          <w:sz w:val="24"/>
          <w:szCs w:val="24"/>
        </w:rPr>
        <w:t xml:space="preserve">La Dirección Ejecutiva de la Comisión de Regulación de Energía y Gas, CREG, se permite informar que </w:t>
      </w:r>
      <w:r w:rsidRPr="00950991">
        <w:rPr>
          <w:rFonts w:asciiTheme="majorHAnsi" w:hAnsiTheme="majorHAnsi" w:cstheme="majorHAnsi"/>
          <w:bCs/>
          <w:sz w:val="24"/>
          <w:szCs w:val="24"/>
        </w:rPr>
        <w:t xml:space="preserve">en su sesión </w:t>
      </w:r>
      <w:r>
        <w:rPr>
          <w:rFonts w:asciiTheme="majorHAnsi" w:hAnsiTheme="majorHAnsi" w:cstheme="majorHAnsi"/>
          <w:bCs/>
          <w:sz w:val="24"/>
          <w:szCs w:val="24"/>
        </w:rPr>
        <w:t>1181</w:t>
      </w:r>
      <w:r w:rsidRPr="00950991">
        <w:rPr>
          <w:rFonts w:asciiTheme="majorHAnsi" w:hAnsiTheme="majorHAnsi" w:cstheme="majorHAnsi"/>
          <w:bCs/>
          <w:sz w:val="24"/>
          <w:szCs w:val="24"/>
        </w:rPr>
        <w:t xml:space="preserve"> del </w:t>
      </w:r>
      <w:r>
        <w:rPr>
          <w:rFonts w:asciiTheme="majorHAnsi" w:hAnsiTheme="majorHAnsi" w:cstheme="majorHAnsi"/>
          <w:bCs/>
          <w:sz w:val="24"/>
          <w:szCs w:val="24"/>
        </w:rPr>
        <w:t>8</w:t>
      </w:r>
      <w:r w:rsidRPr="00950991">
        <w:rPr>
          <w:rFonts w:asciiTheme="majorHAnsi" w:hAnsiTheme="majorHAnsi" w:cstheme="majorHAnsi"/>
          <w:bCs/>
          <w:sz w:val="24"/>
          <w:szCs w:val="24"/>
        </w:rPr>
        <w:t xml:space="preserve"> de </w:t>
      </w:r>
      <w:r>
        <w:rPr>
          <w:rFonts w:asciiTheme="majorHAnsi" w:hAnsiTheme="majorHAnsi" w:cstheme="majorHAnsi"/>
          <w:bCs/>
          <w:sz w:val="24"/>
          <w:szCs w:val="24"/>
        </w:rPr>
        <w:t>julio</w:t>
      </w:r>
      <w:r w:rsidRPr="00950991">
        <w:rPr>
          <w:rFonts w:asciiTheme="majorHAnsi" w:hAnsiTheme="majorHAnsi" w:cstheme="majorHAnsi"/>
          <w:bCs/>
          <w:sz w:val="24"/>
          <w:szCs w:val="24"/>
        </w:rPr>
        <w:t xml:space="preserve"> de 2022, aprobó ampliar el plazo de consulta inicialmente otorgado </w:t>
      </w:r>
      <w:r>
        <w:rPr>
          <w:rFonts w:asciiTheme="majorHAnsi" w:hAnsiTheme="majorHAnsi" w:cstheme="majorHAnsi"/>
          <w:bCs/>
          <w:sz w:val="24"/>
          <w:szCs w:val="24"/>
        </w:rPr>
        <w:t>al</w:t>
      </w:r>
      <w:r w:rsidRPr="00950991">
        <w:rPr>
          <w:rFonts w:asciiTheme="majorHAnsi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</w:rPr>
        <w:t xml:space="preserve">siguiente </w:t>
      </w:r>
      <w:r w:rsidRPr="00950991">
        <w:rPr>
          <w:rFonts w:asciiTheme="majorHAnsi" w:hAnsiTheme="majorHAnsi" w:cstheme="majorHAnsi"/>
          <w:bCs/>
          <w:sz w:val="24"/>
          <w:szCs w:val="24"/>
        </w:rPr>
        <w:t>proyecto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950991">
        <w:rPr>
          <w:rFonts w:asciiTheme="majorHAnsi" w:hAnsiTheme="majorHAnsi" w:cstheme="majorHAnsi"/>
          <w:bCs/>
          <w:sz w:val="24"/>
          <w:szCs w:val="24"/>
        </w:rPr>
        <w:t>regulatorio</w:t>
      </w:r>
      <w:r>
        <w:rPr>
          <w:rFonts w:asciiTheme="majorHAnsi" w:hAnsiTheme="majorHAnsi" w:cstheme="majorHAnsi"/>
          <w:bCs/>
          <w:sz w:val="24"/>
          <w:szCs w:val="24"/>
        </w:rPr>
        <w:t xml:space="preserve">: Resolución </w:t>
      </w:r>
      <w:r w:rsidRPr="00974DA1">
        <w:rPr>
          <w:rFonts w:asciiTheme="majorHAnsi" w:hAnsiTheme="majorHAnsi" w:cstheme="majorHAnsi"/>
          <w:bCs/>
          <w:sz w:val="24"/>
          <w:szCs w:val="24"/>
        </w:rPr>
        <w:t xml:space="preserve">705 002 </w:t>
      </w:r>
      <w:r w:rsidR="002C4A22">
        <w:rPr>
          <w:rFonts w:asciiTheme="majorHAnsi" w:hAnsiTheme="majorHAnsi" w:cstheme="majorHAnsi"/>
          <w:bCs/>
          <w:sz w:val="24"/>
          <w:szCs w:val="24"/>
        </w:rPr>
        <w:t>de</w:t>
      </w:r>
      <w:r w:rsidRPr="00974DA1">
        <w:rPr>
          <w:rFonts w:asciiTheme="majorHAnsi" w:hAnsiTheme="majorHAnsi" w:cstheme="majorHAnsi"/>
          <w:bCs/>
          <w:sz w:val="24"/>
          <w:szCs w:val="24"/>
        </w:rPr>
        <w:t xml:space="preserve"> 2022</w:t>
      </w:r>
      <w:r>
        <w:rPr>
          <w:rFonts w:asciiTheme="majorHAnsi" w:hAnsiTheme="majorHAnsi" w:cstheme="majorHAnsi"/>
          <w:bCs/>
          <w:sz w:val="24"/>
          <w:szCs w:val="24"/>
        </w:rPr>
        <w:t>,</w:t>
      </w:r>
      <w:r w:rsidRPr="00950991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950991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Por la cual se ordena publicar un proyecto de resolución de carácter general </w:t>
      </w:r>
      <w:r w:rsidRPr="00502031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“Por la cual se establece la metodología tarifaria para la remuneración de la actividad de transporte de combustibles líquidos y gas licuado del petróleo –GLP- por ductos y, los lineamientos de valoración y remuneración de la infraestructura de </w:t>
      </w:r>
      <w:proofErr w:type="spellStart"/>
      <w:r w:rsidRPr="00502031">
        <w:rPr>
          <w:rFonts w:asciiTheme="majorHAnsi" w:hAnsiTheme="majorHAnsi" w:cstheme="majorHAnsi"/>
          <w:bCs/>
          <w:i/>
          <w:iCs/>
          <w:sz w:val="24"/>
          <w:szCs w:val="24"/>
        </w:rPr>
        <w:t>almacenamient</w:t>
      </w:r>
      <w:proofErr w:type="spellEnd"/>
      <w:r w:rsidR="002C4A22">
        <w:rPr>
          <w:rFonts w:asciiTheme="majorHAnsi" w:hAnsiTheme="majorHAnsi" w:cstheme="majorHAnsi"/>
          <w:bCs/>
          <w:i/>
          <w:iCs/>
          <w:sz w:val="24"/>
          <w:szCs w:val="24"/>
        </w:rPr>
        <w:t>.</w:t>
      </w:r>
      <w:r w:rsidRPr="00502031">
        <w:rPr>
          <w:rFonts w:asciiTheme="majorHAnsi" w:hAnsiTheme="majorHAnsi" w:cstheme="majorHAnsi"/>
          <w:bCs/>
          <w:i/>
          <w:iCs/>
          <w:sz w:val="24"/>
          <w:szCs w:val="24"/>
        </w:rPr>
        <w:t>”</w:t>
      </w:r>
      <w:r w:rsidR="002C4A22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. </w:t>
      </w:r>
      <w:r w:rsidR="002C4A22" w:rsidRPr="002C4A22">
        <w:rPr>
          <w:rFonts w:asciiTheme="majorHAnsi" w:hAnsiTheme="majorHAnsi" w:cstheme="majorHAnsi"/>
          <w:bCs/>
          <w:sz w:val="24"/>
          <w:szCs w:val="24"/>
        </w:rPr>
        <w:t>El nuevo</w:t>
      </w:r>
      <w:r w:rsidR="002C4A22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</w:t>
      </w:r>
      <w:r w:rsidR="002C4A22">
        <w:rPr>
          <w:rFonts w:asciiTheme="majorHAnsi" w:hAnsiTheme="majorHAnsi" w:cstheme="majorHAnsi"/>
          <w:bCs/>
          <w:sz w:val="24"/>
          <w:szCs w:val="24"/>
        </w:rPr>
        <w:t xml:space="preserve">plazo para comentarios a dicho proyecto de resolución es el </w:t>
      </w:r>
      <w:r w:rsidRPr="00950991">
        <w:rPr>
          <w:rFonts w:asciiTheme="majorHAnsi" w:hAnsiTheme="majorHAnsi" w:cstheme="majorHAnsi"/>
          <w:b/>
          <w:sz w:val="24"/>
          <w:szCs w:val="24"/>
          <w:u w:val="single"/>
        </w:rPr>
        <w:t xml:space="preserve">31 de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agosto</w:t>
      </w:r>
      <w:r w:rsidRPr="00950991">
        <w:rPr>
          <w:rFonts w:asciiTheme="majorHAnsi" w:hAnsiTheme="majorHAnsi" w:cstheme="majorHAnsi"/>
          <w:b/>
          <w:sz w:val="24"/>
          <w:szCs w:val="24"/>
          <w:u w:val="single"/>
        </w:rPr>
        <w:t xml:space="preserve"> de 2022</w:t>
      </w:r>
      <w:r w:rsidRPr="00950991">
        <w:rPr>
          <w:rFonts w:asciiTheme="majorHAnsi" w:hAnsiTheme="majorHAnsi" w:cstheme="majorHAnsi"/>
          <w:bCs/>
          <w:sz w:val="24"/>
          <w:szCs w:val="24"/>
        </w:rPr>
        <w:t>.</w:t>
      </w:r>
    </w:p>
    <w:p w14:paraId="6DCE3935" w14:textId="77777777" w:rsidR="00893C9D" w:rsidRPr="006B553D" w:rsidRDefault="00893C9D" w:rsidP="00893C9D">
      <w:pPr>
        <w:pStyle w:val="Textoindependiente"/>
        <w:spacing w:before="240" w:after="360" w:line="240" w:lineRule="auto"/>
        <w:contextualSpacing/>
        <w:rPr>
          <w:rFonts w:cs="Arial"/>
          <w:sz w:val="24"/>
          <w:szCs w:val="24"/>
        </w:rPr>
      </w:pPr>
    </w:p>
    <w:p w14:paraId="0915A3FC" w14:textId="77777777" w:rsidR="00893C9D" w:rsidRPr="006B553D" w:rsidRDefault="00893C9D" w:rsidP="00893C9D">
      <w:pPr>
        <w:pStyle w:val="Textoindependiente"/>
        <w:spacing w:after="0" w:line="240" w:lineRule="auto"/>
        <w:contextualSpacing/>
        <w:rPr>
          <w:rFonts w:cs="Arial"/>
          <w:sz w:val="24"/>
          <w:szCs w:val="24"/>
        </w:rPr>
      </w:pPr>
      <w:r w:rsidRPr="006B553D">
        <w:rPr>
          <w:rFonts w:cs="Arial"/>
          <w:sz w:val="24"/>
          <w:szCs w:val="24"/>
        </w:rPr>
        <w:t>Cordialmente,</w:t>
      </w:r>
    </w:p>
    <w:p w14:paraId="1E40B13F" w14:textId="52ADAC5C" w:rsidR="00893C9D" w:rsidRDefault="00893C9D" w:rsidP="00893C9D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BBA2088" w14:textId="5E7EFCD0" w:rsidR="002C4A22" w:rsidRDefault="002C4A22" w:rsidP="00893C9D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48B597B2" w14:textId="77777777" w:rsidR="002C4A22" w:rsidRPr="006B553D" w:rsidRDefault="002C4A22" w:rsidP="00893C9D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2DC884B" w14:textId="77777777" w:rsidR="00893C9D" w:rsidRPr="006B553D" w:rsidRDefault="00893C9D" w:rsidP="00893C9D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16566E2" w14:textId="77777777" w:rsidR="00893C9D" w:rsidRPr="006B553D" w:rsidRDefault="00893C9D" w:rsidP="00893C9D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6B553D">
        <w:rPr>
          <w:rFonts w:cs="Arial"/>
          <w:sz w:val="24"/>
          <w:szCs w:val="24"/>
        </w:rPr>
        <w:t>JORGE ALBERTO VALENCIA MARÍN</w:t>
      </w:r>
    </w:p>
    <w:p w14:paraId="3A28CA70" w14:textId="77777777" w:rsidR="00893C9D" w:rsidRPr="006B553D" w:rsidRDefault="00893C9D" w:rsidP="00893C9D"/>
    <w:p w14:paraId="19257411" w14:textId="77777777" w:rsidR="00E16811" w:rsidRPr="00E16811" w:rsidRDefault="00E16811" w:rsidP="00E16811">
      <w:pPr>
        <w:rPr>
          <w:rFonts w:ascii="Arial" w:hAnsi="Arial" w:cs="Arial"/>
          <w:sz w:val="18"/>
          <w:szCs w:val="18"/>
        </w:rPr>
      </w:pPr>
    </w:p>
    <w:sectPr w:rsidR="00E16811" w:rsidRPr="00E16811" w:rsidSect="00E979B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979" w:right="1418" w:bottom="1985" w:left="1418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5F31" w14:textId="77777777" w:rsidR="0037429E" w:rsidRDefault="0037429E" w:rsidP="00AA0519">
      <w:r>
        <w:separator/>
      </w:r>
    </w:p>
  </w:endnote>
  <w:endnote w:type="continuationSeparator" w:id="0">
    <w:p w14:paraId="2BD43820" w14:textId="77777777" w:rsidR="0037429E" w:rsidRDefault="0037429E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09" w:type="pct"/>
      <w:tblInd w:w="-5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1"/>
      <w:gridCol w:w="2767"/>
      <w:gridCol w:w="2900"/>
    </w:tblGrid>
    <w:tr w:rsidR="009248D0" w:rsidRPr="002624C3" w14:paraId="2D9C7A5F" w14:textId="77777777" w:rsidTr="006C52BE">
      <w:trPr>
        <w:cantSplit/>
        <w:trHeight w:val="308"/>
      </w:trPr>
      <w:tc>
        <w:tcPr>
          <w:tcW w:w="2311" w:type="pct"/>
          <w:vAlign w:val="center"/>
        </w:tcPr>
        <w:p w14:paraId="68AD6BDB" w14:textId="77777777" w:rsidR="009248D0" w:rsidRPr="00A827BB" w:rsidRDefault="009248D0" w:rsidP="009248D0">
          <w:pPr>
            <w:contextualSpacing/>
            <w:rPr>
              <w:rFonts w:cs="Arial"/>
              <w:iCs/>
              <w:sz w:val="14"/>
              <w:szCs w:val="14"/>
            </w:rPr>
          </w:pPr>
          <w:r w:rsidRPr="00A827BB">
            <w:rPr>
              <w:rFonts w:cs="Arial"/>
              <w:iCs/>
              <w:sz w:val="14"/>
              <w:szCs w:val="14"/>
            </w:rPr>
            <w:t xml:space="preserve">Proceso        </w:t>
          </w:r>
          <w:r w:rsidRPr="00EB6119">
            <w:rPr>
              <w:rFonts w:cs="Arial"/>
              <w:b/>
              <w:iCs/>
              <w:sz w:val="14"/>
              <w:szCs w:val="14"/>
            </w:rPr>
            <w:t>PROYECCIÓN CORPORATIVA Y RELACIONES CON EL ENTORNO</w:t>
          </w:r>
          <w:r>
            <w:rPr>
              <w:rFonts w:cs="Arial"/>
              <w:b/>
              <w:iCs/>
              <w:sz w:val="14"/>
              <w:szCs w:val="14"/>
            </w:rPr>
            <w:t xml:space="preserve"> </w:t>
          </w:r>
        </w:p>
      </w:tc>
      <w:tc>
        <w:tcPr>
          <w:tcW w:w="1313" w:type="pct"/>
          <w:vAlign w:val="center"/>
        </w:tcPr>
        <w:p w14:paraId="600FAE70" w14:textId="632D058D" w:rsidR="009248D0" w:rsidRPr="00A827BB" w:rsidRDefault="009248D0" w:rsidP="009248D0">
          <w:pPr>
            <w:contextualSpacing/>
            <w:rPr>
              <w:rFonts w:cs="Arial"/>
              <w:iCs/>
              <w:sz w:val="14"/>
              <w:szCs w:val="14"/>
            </w:rPr>
          </w:pPr>
          <w:r>
            <w:rPr>
              <w:rFonts w:cs="Arial"/>
              <w:b/>
              <w:iCs/>
              <w:sz w:val="14"/>
              <w:szCs w:val="14"/>
            </w:rPr>
            <w:t>Código: PC-FT-0</w:t>
          </w:r>
          <w:r w:rsidR="00E16811">
            <w:rPr>
              <w:rFonts w:cs="Arial"/>
              <w:b/>
              <w:iCs/>
              <w:sz w:val="14"/>
              <w:szCs w:val="14"/>
            </w:rPr>
            <w:t>17</w:t>
          </w:r>
        </w:p>
      </w:tc>
      <w:tc>
        <w:tcPr>
          <w:tcW w:w="1376" w:type="pct"/>
          <w:vAlign w:val="center"/>
        </w:tcPr>
        <w:p w14:paraId="54A3DE85" w14:textId="25583F5D" w:rsidR="009248D0" w:rsidRPr="00A827BB" w:rsidRDefault="009248D0" w:rsidP="009248D0">
          <w:pPr>
            <w:contextualSpacing/>
            <w:rPr>
              <w:rFonts w:cs="Arial"/>
              <w:iCs/>
              <w:sz w:val="14"/>
              <w:szCs w:val="14"/>
              <w:highlight w:val="yellow"/>
            </w:rPr>
          </w:pPr>
          <w:r w:rsidRPr="00A827BB">
            <w:rPr>
              <w:rFonts w:cs="Arial"/>
              <w:b/>
              <w:iCs/>
              <w:sz w:val="14"/>
              <w:szCs w:val="14"/>
            </w:rPr>
            <w:t>V</w:t>
          </w:r>
          <w:r>
            <w:rPr>
              <w:rFonts w:cs="Arial"/>
              <w:b/>
              <w:iCs/>
              <w:sz w:val="14"/>
              <w:szCs w:val="14"/>
            </w:rPr>
            <w:t xml:space="preserve">ersión: </w:t>
          </w:r>
          <w:r w:rsidR="00E16811">
            <w:rPr>
              <w:rFonts w:cs="Arial"/>
              <w:b/>
              <w:iCs/>
              <w:sz w:val="14"/>
              <w:szCs w:val="14"/>
            </w:rPr>
            <w:t>1</w:t>
          </w:r>
        </w:p>
      </w:tc>
    </w:tr>
    <w:tr w:rsidR="009248D0" w:rsidRPr="002624C3" w14:paraId="1EC57681" w14:textId="77777777" w:rsidTr="006C52BE">
      <w:trPr>
        <w:cantSplit/>
        <w:trHeight w:val="301"/>
      </w:trPr>
      <w:tc>
        <w:tcPr>
          <w:tcW w:w="2311" w:type="pct"/>
          <w:vAlign w:val="center"/>
        </w:tcPr>
        <w:p w14:paraId="670F511F" w14:textId="608B50F3" w:rsidR="009248D0" w:rsidRPr="00A827BB" w:rsidRDefault="009248D0" w:rsidP="009248D0">
          <w:pPr>
            <w:ind w:left="923" w:hanging="923"/>
            <w:contextualSpacing/>
            <w:rPr>
              <w:rFonts w:cs="Arial"/>
              <w:bCs/>
              <w:iCs/>
              <w:sz w:val="14"/>
              <w:szCs w:val="14"/>
            </w:rPr>
          </w:pPr>
          <w:r w:rsidRPr="00A827BB">
            <w:rPr>
              <w:rFonts w:cs="Arial"/>
              <w:iCs/>
              <w:sz w:val="14"/>
              <w:szCs w:val="14"/>
            </w:rPr>
            <w:t xml:space="preserve">Documento   </w:t>
          </w:r>
          <w:r w:rsidR="00E16811">
            <w:rPr>
              <w:rFonts w:cs="Arial"/>
              <w:b/>
              <w:iCs/>
              <w:sz w:val="14"/>
              <w:szCs w:val="14"/>
            </w:rPr>
            <w:t>COMUNICADO</w:t>
          </w:r>
          <w:r>
            <w:rPr>
              <w:rFonts w:cs="Arial"/>
              <w:b/>
              <w:iCs/>
              <w:sz w:val="14"/>
              <w:szCs w:val="14"/>
            </w:rPr>
            <w:t xml:space="preserve"> INTERNO</w:t>
          </w:r>
        </w:p>
      </w:tc>
      <w:tc>
        <w:tcPr>
          <w:tcW w:w="1313" w:type="pct"/>
          <w:vAlign w:val="center"/>
        </w:tcPr>
        <w:p w14:paraId="51A7FE75" w14:textId="7E11F9A0" w:rsidR="009248D0" w:rsidRPr="00A827BB" w:rsidRDefault="009248D0" w:rsidP="009248D0">
          <w:pPr>
            <w:contextualSpacing/>
            <w:rPr>
              <w:rFonts w:cs="Arial"/>
              <w:iCs/>
              <w:sz w:val="14"/>
              <w:szCs w:val="14"/>
            </w:rPr>
          </w:pPr>
          <w:r w:rsidRPr="00A827BB">
            <w:rPr>
              <w:rFonts w:cs="Arial"/>
              <w:b/>
              <w:iCs/>
              <w:sz w:val="14"/>
              <w:szCs w:val="14"/>
            </w:rPr>
            <w:t xml:space="preserve">Fecha última revisión: </w:t>
          </w:r>
          <w:r w:rsidR="00E16811">
            <w:rPr>
              <w:rFonts w:cs="Arial"/>
              <w:b/>
              <w:iCs/>
              <w:sz w:val="14"/>
              <w:szCs w:val="14"/>
            </w:rPr>
            <w:t>05</w:t>
          </w:r>
          <w:r w:rsidRPr="00A827BB">
            <w:rPr>
              <w:rFonts w:cs="Arial"/>
              <w:b/>
              <w:iCs/>
              <w:sz w:val="14"/>
              <w:szCs w:val="14"/>
            </w:rPr>
            <w:t>/05/2</w:t>
          </w:r>
          <w:r>
            <w:rPr>
              <w:rFonts w:cs="Arial"/>
              <w:b/>
              <w:iCs/>
              <w:sz w:val="14"/>
              <w:szCs w:val="14"/>
            </w:rPr>
            <w:t>022</w:t>
          </w:r>
        </w:p>
      </w:tc>
      <w:tc>
        <w:tcPr>
          <w:tcW w:w="1376" w:type="pct"/>
          <w:vAlign w:val="center"/>
        </w:tcPr>
        <w:p w14:paraId="34D9B36F" w14:textId="77777777" w:rsidR="009248D0" w:rsidRPr="00A827BB" w:rsidRDefault="009248D0" w:rsidP="009248D0">
          <w:pPr>
            <w:contextualSpacing/>
            <w:rPr>
              <w:rFonts w:cs="Arial"/>
              <w:iCs/>
              <w:sz w:val="14"/>
              <w:szCs w:val="14"/>
            </w:rPr>
          </w:pPr>
          <w:r w:rsidRPr="00A827BB">
            <w:rPr>
              <w:rFonts w:cs="Arial"/>
              <w:b/>
              <w:iCs/>
              <w:sz w:val="14"/>
              <w:szCs w:val="14"/>
            </w:rPr>
            <w:t>Páginas:</w:t>
          </w:r>
          <w:r w:rsidRPr="00A827BB">
            <w:rPr>
              <w:rFonts w:cs="Arial"/>
              <w:iCs/>
              <w:sz w:val="14"/>
              <w:szCs w:val="14"/>
            </w:rPr>
            <w:t xml:space="preserve"> </w:t>
          </w:r>
          <w:r w:rsidRPr="00A827BB">
            <w:rPr>
              <w:rFonts w:cs="Arial"/>
              <w:iCs/>
              <w:sz w:val="14"/>
              <w:szCs w:val="14"/>
            </w:rPr>
            <w:fldChar w:fldCharType="begin"/>
          </w:r>
          <w:r w:rsidRPr="00A827BB">
            <w:rPr>
              <w:rFonts w:cs="Arial"/>
              <w:iCs/>
              <w:sz w:val="14"/>
              <w:szCs w:val="14"/>
            </w:rPr>
            <w:instrText xml:space="preserve"> PAGE </w:instrText>
          </w:r>
          <w:r w:rsidRPr="00A827BB">
            <w:rPr>
              <w:rFonts w:cs="Arial"/>
              <w:iCs/>
              <w:sz w:val="14"/>
              <w:szCs w:val="14"/>
            </w:rPr>
            <w:fldChar w:fldCharType="separate"/>
          </w:r>
          <w:r>
            <w:rPr>
              <w:rFonts w:cs="Arial"/>
              <w:iCs/>
              <w:noProof/>
              <w:sz w:val="14"/>
              <w:szCs w:val="14"/>
            </w:rPr>
            <w:t>1</w:t>
          </w:r>
          <w:r w:rsidRPr="00A827BB">
            <w:rPr>
              <w:rFonts w:cs="Arial"/>
              <w:iCs/>
              <w:sz w:val="14"/>
              <w:szCs w:val="14"/>
            </w:rPr>
            <w:fldChar w:fldCharType="end"/>
          </w:r>
          <w:r w:rsidRPr="00A827BB">
            <w:rPr>
              <w:rFonts w:cs="Arial"/>
              <w:iCs/>
              <w:sz w:val="14"/>
              <w:szCs w:val="14"/>
            </w:rPr>
            <w:t xml:space="preserve"> de </w:t>
          </w:r>
          <w:r w:rsidRPr="00A827BB">
            <w:rPr>
              <w:rFonts w:cs="Arial"/>
              <w:iCs/>
              <w:sz w:val="14"/>
              <w:szCs w:val="14"/>
            </w:rPr>
            <w:fldChar w:fldCharType="begin"/>
          </w:r>
          <w:r w:rsidRPr="00A827BB">
            <w:rPr>
              <w:rFonts w:cs="Arial"/>
              <w:iCs/>
              <w:sz w:val="14"/>
              <w:szCs w:val="14"/>
            </w:rPr>
            <w:instrText xml:space="preserve"> NUMPAGES </w:instrText>
          </w:r>
          <w:r w:rsidRPr="00A827BB">
            <w:rPr>
              <w:rFonts w:cs="Arial"/>
              <w:iCs/>
              <w:sz w:val="14"/>
              <w:szCs w:val="14"/>
            </w:rPr>
            <w:fldChar w:fldCharType="separate"/>
          </w:r>
          <w:r>
            <w:rPr>
              <w:rFonts w:cs="Arial"/>
              <w:iCs/>
              <w:noProof/>
              <w:sz w:val="14"/>
              <w:szCs w:val="14"/>
            </w:rPr>
            <w:t>1</w:t>
          </w:r>
          <w:r w:rsidRPr="00A827BB">
            <w:rPr>
              <w:rFonts w:cs="Arial"/>
              <w:iCs/>
              <w:sz w:val="14"/>
              <w:szCs w:val="14"/>
            </w:rPr>
            <w:fldChar w:fldCharType="end"/>
          </w:r>
        </w:p>
      </w:tc>
    </w:tr>
  </w:tbl>
  <w:p w14:paraId="726A889B" w14:textId="41D371A2" w:rsidR="003F2F4B" w:rsidRDefault="003F2F4B" w:rsidP="00924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09859" w14:textId="77777777" w:rsidR="0037429E" w:rsidRDefault="0037429E" w:rsidP="00AA0519">
      <w:r>
        <w:separator/>
      </w:r>
    </w:p>
  </w:footnote>
  <w:footnote w:type="continuationSeparator" w:id="0">
    <w:p w14:paraId="69512EC2" w14:textId="77777777" w:rsidR="0037429E" w:rsidRDefault="0037429E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88EF1D3" w:rsidR="00587F12" w:rsidRPr="00C9169C" w:rsidRDefault="008B0943" w:rsidP="00E16811">
    <w:pPr>
      <w:pStyle w:val="Destinario"/>
      <w:spacing w:before="240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EE1A337" w:rsidR="00F82573" w:rsidRDefault="009248D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13F66CC" wp14:editId="5E449F1B">
          <wp:simplePos x="0" y="0"/>
          <wp:positionH relativeFrom="column">
            <wp:posOffset>-120650</wp:posOffset>
          </wp:positionH>
          <wp:positionV relativeFrom="paragraph">
            <wp:posOffset>291465</wp:posOffset>
          </wp:positionV>
          <wp:extent cx="1043305" cy="646430"/>
          <wp:effectExtent l="0" t="0" r="4445" b="1270"/>
          <wp:wrapNone/>
          <wp:docPr id="3" name="Imagen 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46BDF"/>
    <w:rsid w:val="00071BA7"/>
    <w:rsid w:val="00074D17"/>
    <w:rsid w:val="000858B5"/>
    <w:rsid w:val="000B439A"/>
    <w:rsid w:val="000F11F6"/>
    <w:rsid w:val="000F38B4"/>
    <w:rsid w:val="0010599F"/>
    <w:rsid w:val="00114E7E"/>
    <w:rsid w:val="001215BB"/>
    <w:rsid w:val="00124C31"/>
    <w:rsid w:val="0014353D"/>
    <w:rsid w:val="001518B4"/>
    <w:rsid w:val="00153BE7"/>
    <w:rsid w:val="00166679"/>
    <w:rsid w:val="001870A5"/>
    <w:rsid w:val="00196F36"/>
    <w:rsid w:val="001E2DD2"/>
    <w:rsid w:val="001F303A"/>
    <w:rsid w:val="001F47AB"/>
    <w:rsid w:val="001F6C04"/>
    <w:rsid w:val="0024085D"/>
    <w:rsid w:val="00283CEF"/>
    <w:rsid w:val="002C26C3"/>
    <w:rsid w:val="002C4A22"/>
    <w:rsid w:val="002D48B8"/>
    <w:rsid w:val="002E09F6"/>
    <w:rsid w:val="003165AB"/>
    <w:rsid w:val="00324760"/>
    <w:rsid w:val="00342532"/>
    <w:rsid w:val="00353D1D"/>
    <w:rsid w:val="0037429E"/>
    <w:rsid w:val="003A7FC9"/>
    <w:rsid w:val="003B1FEC"/>
    <w:rsid w:val="003C7E1C"/>
    <w:rsid w:val="003F2F4B"/>
    <w:rsid w:val="00403BF4"/>
    <w:rsid w:val="004170AF"/>
    <w:rsid w:val="00456720"/>
    <w:rsid w:val="00457CC2"/>
    <w:rsid w:val="004672ED"/>
    <w:rsid w:val="004752F7"/>
    <w:rsid w:val="004A6CAB"/>
    <w:rsid w:val="004C0855"/>
    <w:rsid w:val="004C69B7"/>
    <w:rsid w:val="00515BEF"/>
    <w:rsid w:val="00536C60"/>
    <w:rsid w:val="005723D7"/>
    <w:rsid w:val="00587F12"/>
    <w:rsid w:val="005A4453"/>
    <w:rsid w:val="005B1252"/>
    <w:rsid w:val="005B53D9"/>
    <w:rsid w:val="005B5736"/>
    <w:rsid w:val="005B72CD"/>
    <w:rsid w:val="005C1B7F"/>
    <w:rsid w:val="005C287A"/>
    <w:rsid w:val="005C42EC"/>
    <w:rsid w:val="005D7D66"/>
    <w:rsid w:val="005E366C"/>
    <w:rsid w:val="005F6877"/>
    <w:rsid w:val="00602072"/>
    <w:rsid w:val="00651863"/>
    <w:rsid w:val="0067214C"/>
    <w:rsid w:val="006B5C7B"/>
    <w:rsid w:val="006C52BE"/>
    <w:rsid w:val="006F6E4E"/>
    <w:rsid w:val="00717096"/>
    <w:rsid w:val="00735E1F"/>
    <w:rsid w:val="0074199A"/>
    <w:rsid w:val="00752DEC"/>
    <w:rsid w:val="0078631A"/>
    <w:rsid w:val="007A7C1D"/>
    <w:rsid w:val="007E376E"/>
    <w:rsid w:val="007F42E3"/>
    <w:rsid w:val="007F4E31"/>
    <w:rsid w:val="0080336E"/>
    <w:rsid w:val="00805CC5"/>
    <w:rsid w:val="00823401"/>
    <w:rsid w:val="00846163"/>
    <w:rsid w:val="00847FE4"/>
    <w:rsid w:val="00854E1F"/>
    <w:rsid w:val="008636F2"/>
    <w:rsid w:val="008776E3"/>
    <w:rsid w:val="00883817"/>
    <w:rsid w:val="00886D0F"/>
    <w:rsid w:val="00892C3C"/>
    <w:rsid w:val="00893C9D"/>
    <w:rsid w:val="008B0943"/>
    <w:rsid w:val="008B3496"/>
    <w:rsid w:val="008E4E07"/>
    <w:rsid w:val="009018BA"/>
    <w:rsid w:val="009248D0"/>
    <w:rsid w:val="00930F73"/>
    <w:rsid w:val="00957BE3"/>
    <w:rsid w:val="00965BCB"/>
    <w:rsid w:val="00976702"/>
    <w:rsid w:val="009A3312"/>
    <w:rsid w:val="009B3792"/>
    <w:rsid w:val="009E1B89"/>
    <w:rsid w:val="009E7865"/>
    <w:rsid w:val="009F3478"/>
    <w:rsid w:val="009F5428"/>
    <w:rsid w:val="00A14459"/>
    <w:rsid w:val="00A15CDD"/>
    <w:rsid w:val="00A15D55"/>
    <w:rsid w:val="00A76757"/>
    <w:rsid w:val="00A84924"/>
    <w:rsid w:val="00A90A86"/>
    <w:rsid w:val="00A92153"/>
    <w:rsid w:val="00A92B44"/>
    <w:rsid w:val="00AA0519"/>
    <w:rsid w:val="00AA7A5F"/>
    <w:rsid w:val="00B74DFE"/>
    <w:rsid w:val="00BC5AE8"/>
    <w:rsid w:val="00BD0553"/>
    <w:rsid w:val="00C81E1F"/>
    <w:rsid w:val="00C9169C"/>
    <w:rsid w:val="00CB3666"/>
    <w:rsid w:val="00CD6394"/>
    <w:rsid w:val="00CE66F4"/>
    <w:rsid w:val="00D10D3A"/>
    <w:rsid w:val="00D10E9B"/>
    <w:rsid w:val="00D541F9"/>
    <w:rsid w:val="00D754A1"/>
    <w:rsid w:val="00D915DC"/>
    <w:rsid w:val="00DF79E2"/>
    <w:rsid w:val="00E035CC"/>
    <w:rsid w:val="00E16811"/>
    <w:rsid w:val="00E27EF1"/>
    <w:rsid w:val="00E428C8"/>
    <w:rsid w:val="00E56853"/>
    <w:rsid w:val="00E63016"/>
    <w:rsid w:val="00E7116B"/>
    <w:rsid w:val="00E77923"/>
    <w:rsid w:val="00E979B9"/>
    <w:rsid w:val="00EB6119"/>
    <w:rsid w:val="00EC5291"/>
    <w:rsid w:val="00F02D43"/>
    <w:rsid w:val="00F13D47"/>
    <w:rsid w:val="00F17829"/>
    <w:rsid w:val="00F309C3"/>
    <w:rsid w:val="00F327E4"/>
    <w:rsid w:val="00F35EFC"/>
    <w:rsid w:val="00F7173C"/>
    <w:rsid w:val="00F72DC4"/>
    <w:rsid w:val="00F80B1D"/>
    <w:rsid w:val="00F82573"/>
    <w:rsid w:val="00FA6661"/>
    <w:rsid w:val="00FC6AF0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C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93C9D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93C9D"/>
  </w:style>
  <w:style w:type="character" w:customStyle="1" w:styleId="Ttulo5Car">
    <w:name w:val="Título 5 Car"/>
    <w:basedOn w:val="Fuentedeprrafopredeter"/>
    <w:link w:val="Ttulo5"/>
    <w:uiPriority w:val="9"/>
    <w:semiHidden/>
    <w:rsid w:val="00893C9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2019-03-28T15:24:00Z</cp:lastPrinted>
  <dcterms:created xsi:type="dcterms:W3CDTF">2022-07-12T20:47:00Z</dcterms:created>
  <dcterms:modified xsi:type="dcterms:W3CDTF">2022-07-12T20:47:00Z</dcterms:modified>
</cp:coreProperties>
</file>