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561A3" w14:textId="4CB7163F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683707">
        <w:rPr>
          <w:rFonts w:ascii="Arial" w:hAnsi="Arial" w:cs="Arial"/>
          <w:sz w:val="22"/>
          <w:szCs w:val="22"/>
          <w:lang w:val="es-MX"/>
        </w:rPr>
        <w:t xml:space="preserve">marzo </w:t>
      </w:r>
      <w:r w:rsidR="00735B83">
        <w:rPr>
          <w:rFonts w:ascii="Arial" w:hAnsi="Arial" w:cs="Arial"/>
          <w:sz w:val="22"/>
          <w:szCs w:val="22"/>
          <w:lang w:val="es-MX"/>
        </w:rPr>
        <w:t>30</w:t>
      </w:r>
      <w:r w:rsidR="008C2E15">
        <w:rPr>
          <w:rFonts w:ascii="Arial" w:hAnsi="Arial" w:cs="Arial"/>
          <w:sz w:val="22"/>
          <w:szCs w:val="22"/>
          <w:lang w:val="es-MX"/>
        </w:rPr>
        <w:t xml:space="preserve"> </w:t>
      </w:r>
      <w:r w:rsidR="00801FC8">
        <w:rPr>
          <w:rFonts w:ascii="Arial" w:hAnsi="Arial" w:cs="Arial"/>
          <w:sz w:val="22"/>
          <w:szCs w:val="22"/>
          <w:lang w:val="es-MX"/>
        </w:rPr>
        <w:t>de 20</w:t>
      </w:r>
      <w:r w:rsidR="00683707">
        <w:rPr>
          <w:rFonts w:ascii="Arial" w:hAnsi="Arial" w:cs="Arial"/>
          <w:sz w:val="22"/>
          <w:szCs w:val="22"/>
          <w:lang w:val="es-MX"/>
        </w:rPr>
        <w:t>20</w:t>
      </w:r>
    </w:p>
    <w:p w14:paraId="19AF51A1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75DB55CB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7A773172" w14:textId="57AFF8D1"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735B83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026</w:t>
      </w:r>
    </w:p>
    <w:p w14:paraId="49B0E769" w14:textId="77777777"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14:paraId="22AA90DF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048479CE" w14:textId="77777777"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801FC8">
        <w:rPr>
          <w:rFonts w:ascii="Arial" w:hAnsi="Arial" w:cs="Arial"/>
          <w:b/>
        </w:rPr>
        <w:t>EMPRESAS DEL SECTOR ELÉCTRICO</w:t>
      </w:r>
      <w:r w:rsidR="00A37BCF">
        <w:rPr>
          <w:rFonts w:ascii="Arial" w:hAnsi="Arial" w:cs="Arial"/>
          <w:b/>
        </w:rPr>
        <w:t xml:space="preserve"> Y TERCEROS INTERESADOS</w:t>
      </w:r>
      <w:r w:rsidR="00540FF3">
        <w:rPr>
          <w:rFonts w:ascii="Arial" w:hAnsi="Arial" w:cs="Arial"/>
          <w:b/>
        </w:rPr>
        <w:t xml:space="preserve">  </w:t>
      </w:r>
    </w:p>
    <w:p w14:paraId="69418F8D" w14:textId="77777777"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132D0B83" w14:textId="77777777" w:rsidR="00540FF3" w:rsidRPr="009E4411" w:rsidRDefault="00540FF3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421F5AA9" w14:textId="1B98E320"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47E5D677" w14:textId="77777777"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7618199" w14:textId="77777777" w:rsidR="0064389A" w:rsidRPr="009E4411" w:rsidRDefault="0064389A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2B5B9C6" w14:textId="7FD95F3E" w:rsidR="009E4411" w:rsidRPr="009E4411" w:rsidRDefault="009E4411" w:rsidP="0025632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683707">
        <w:rPr>
          <w:rFonts w:ascii="Arial" w:hAnsi="Arial" w:cs="Arial"/>
          <w:b/>
        </w:rPr>
        <w:t>ENTREGA INFORME FINAL AUDITORÍA DE PARÁMETROS</w:t>
      </w:r>
    </w:p>
    <w:p w14:paraId="20A4D00D" w14:textId="77777777" w:rsidR="00256325" w:rsidRDefault="00256325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6DCE4482" w14:textId="77777777" w:rsidR="0064389A" w:rsidRDefault="0064389A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4653DFF0" w14:textId="6A585577" w:rsidR="008C2E15" w:rsidRDefault="00683707" w:rsidP="009E4411">
      <w:pPr>
        <w:pStyle w:val="Textoindependiente"/>
        <w:spacing w:after="0" w:line="240" w:lineRule="auto"/>
        <w:rPr>
          <w:rFonts w:eastAsiaTheme="minorEastAsia" w:cs="Arial"/>
          <w:spacing w:val="0"/>
          <w:sz w:val="22"/>
          <w:szCs w:val="27"/>
          <w:lang w:val="es-ES_tradnl"/>
        </w:rPr>
      </w:pPr>
      <w:r>
        <w:rPr>
          <w:rFonts w:eastAsiaTheme="minorEastAsia" w:cs="Arial"/>
          <w:spacing w:val="0"/>
          <w:sz w:val="22"/>
          <w:szCs w:val="27"/>
          <w:lang w:val="es-ES_tradnl"/>
        </w:rPr>
        <w:t>La Comisión de Regulación de Energía y Gas -CREG-, mediante la Circular 035 de 2019</w:t>
      </w:r>
      <w:r w:rsidR="00616213">
        <w:rPr>
          <w:rFonts w:eastAsiaTheme="minorEastAsia" w:cs="Arial"/>
          <w:spacing w:val="0"/>
          <w:sz w:val="22"/>
          <w:szCs w:val="27"/>
          <w:lang w:val="es-ES_tradnl"/>
        </w:rPr>
        <w:t>,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 </w:t>
      </w:r>
      <w:r w:rsidR="00CF148D">
        <w:rPr>
          <w:rFonts w:eastAsiaTheme="minorEastAsia" w:cs="Arial"/>
          <w:spacing w:val="0"/>
          <w:sz w:val="22"/>
          <w:szCs w:val="27"/>
          <w:lang w:val="es-ES_tradnl"/>
        </w:rPr>
        <w:t>indic</w:t>
      </w:r>
      <w:r>
        <w:rPr>
          <w:rFonts w:eastAsiaTheme="minorEastAsia" w:cs="Arial"/>
          <w:spacing w:val="0"/>
          <w:sz w:val="22"/>
          <w:szCs w:val="27"/>
          <w:lang w:val="es-ES_tradnl"/>
        </w:rPr>
        <w:t>ó que el informe de la auditoría de parámetros de que trata la Resolución CREG 030 de 2019, se debía entregar a más tardar en diez (10) meses contados a partir de la fecha de inicio del contrato.</w:t>
      </w:r>
    </w:p>
    <w:p w14:paraId="4CE56532" w14:textId="17681EA9" w:rsidR="00683707" w:rsidRDefault="00683707" w:rsidP="009E4411">
      <w:pPr>
        <w:pStyle w:val="Textoindependiente"/>
        <w:spacing w:after="0" w:line="240" w:lineRule="auto"/>
        <w:rPr>
          <w:rFonts w:eastAsiaTheme="minorEastAsia" w:cs="Arial"/>
          <w:spacing w:val="0"/>
          <w:sz w:val="22"/>
          <w:szCs w:val="27"/>
          <w:lang w:val="es-ES_tradnl"/>
        </w:rPr>
      </w:pPr>
    </w:p>
    <w:p w14:paraId="106CF7AA" w14:textId="680B1948" w:rsidR="00683707" w:rsidRPr="00801FC8" w:rsidRDefault="00683707" w:rsidP="009E4411">
      <w:pPr>
        <w:pStyle w:val="Textoindependiente"/>
        <w:spacing w:after="0" w:line="240" w:lineRule="auto"/>
        <w:rPr>
          <w:rFonts w:eastAsiaTheme="minorEastAsia" w:cs="Arial"/>
          <w:spacing w:val="0"/>
          <w:sz w:val="22"/>
          <w:szCs w:val="27"/>
          <w:lang w:val="es-ES_tradnl"/>
        </w:rPr>
      </w:pP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Teniendo en cuenta el Decreto 457 de 2020, mediante el cual el </w:t>
      </w:r>
      <w:r w:rsidR="00CB483C">
        <w:rPr>
          <w:rFonts w:eastAsiaTheme="minorEastAsia" w:cs="Arial"/>
          <w:spacing w:val="0"/>
          <w:sz w:val="22"/>
          <w:szCs w:val="27"/>
          <w:lang w:val="es-ES_tradnl"/>
        </w:rPr>
        <w:t>G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obierno </w:t>
      </w:r>
      <w:r w:rsidR="00CB483C">
        <w:rPr>
          <w:rFonts w:eastAsiaTheme="minorEastAsia" w:cs="Arial"/>
          <w:spacing w:val="0"/>
          <w:sz w:val="22"/>
          <w:szCs w:val="27"/>
          <w:lang w:val="es-ES_tradnl"/>
        </w:rPr>
        <w:t>N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acional declaró </w:t>
      </w:r>
      <w:r w:rsidR="00CF148D">
        <w:rPr>
          <w:rFonts w:eastAsiaTheme="minorEastAsia" w:cs="Arial"/>
          <w:spacing w:val="0"/>
          <w:sz w:val="22"/>
          <w:szCs w:val="27"/>
          <w:lang w:val="es-ES_tradnl"/>
        </w:rPr>
        <w:t>el Aislamiento Preventivo Obligatorio en todo el país,</w:t>
      </w:r>
      <w:r w:rsidR="00CB483C">
        <w:rPr>
          <w:rFonts w:eastAsiaTheme="minorEastAsia" w:cs="Arial"/>
          <w:spacing w:val="0"/>
          <w:sz w:val="22"/>
          <w:szCs w:val="27"/>
          <w:lang w:val="es-ES_tradnl"/>
        </w:rPr>
        <w:t xml:space="preserve"> como consecuencia de la Declaratoria del Estado de Emergencia Económica y Social </w:t>
      </w:r>
      <w:r w:rsidR="00CB483C" w:rsidRPr="00CB483C">
        <w:rPr>
          <w:rFonts w:eastAsia="Arial" w:cs="Arial"/>
          <w:spacing w:val="0"/>
          <w:sz w:val="23"/>
          <w:szCs w:val="23"/>
          <w:lang w:val="es-ES_tradnl"/>
        </w:rPr>
        <w:t>con el fin de conjurar la grave calamidad pública por la pandemia del nuevo coronavirus COVID-19</w:t>
      </w:r>
      <w:r w:rsidR="00CB483C">
        <w:rPr>
          <w:rFonts w:eastAsiaTheme="minorEastAsia" w:cs="Arial"/>
          <w:spacing w:val="0"/>
          <w:sz w:val="22"/>
          <w:szCs w:val="27"/>
          <w:lang w:val="es-ES_tradnl"/>
        </w:rPr>
        <w:t>;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 </w:t>
      </w:r>
      <w:r w:rsidR="000E5EC2">
        <w:rPr>
          <w:rFonts w:eastAsiaTheme="minorEastAsia" w:cs="Arial"/>
          <w:spacing w:val="0"/>
          <w:sz w:val="22"/>
          <w:szCs w:val="27"/>
          <w:lang w:val="es-ES_tradnl"/>
        </w:rPr>
        <w:t xml:space="preserve">y </w:t>
      </w:r>
      <w:r w:rsidR="00075650">
        <w:rPr>
          <w:rFonts w:eastAsiaTheme="minorEastAsia" w:cs="Arial"/>
          <w:spacing w:val="0"/>
          <w:sz w:val="22"/>
          <w:szCs w:val="27"/>
          <w:lang w:val="es-ES_tradnl"/>
        </w:rPr>
        <w:t xml:space="preserve">ante </w:t>
      </w:r>
      <w:r w:rsidR="000E5EC2">
        <w:rPr>
          <w:rFonts w:eastAsiaTheme="minorEastAsia" w:cs="Arial"/>
          <w:spacing w:val="0"/>
          <w:sz w:val="22"/>
          <w:szCs w:val="27"/>
          <w:lang w:val="es-ES_tradnl"/>
        </w:rPr>
        <w:t>los efectos de esta medida</w:t>
      </w:r>
      <w:r w:rsidR="00E66B7C">
        <w:rPr>
          <w:rFonts w:eastAsiaTheme="minorEastAsia" w:cs="Arial"/>
          <w:spacing w:val="0"/>
          <w:sz w:val="22"/>
          <w:szCs w:val="27"/>
          <w:lang w:val="es-ES_tradnl"/>
        </w:rPr>
        <w:t>,</w:t>
      </w:r>
      <w:r w:rsidR="000E5EC2">
        <w:rPr>
          <w:rFonts w:eastAsiaTheme="minorEastAsia" w:cs="Arial"/>
          <w:spacing w:val="0"/>
          <w:sz w:val="22"/>
          <w:szCs w:val="27"/>
          <w:lang w:val="es-ES_tradnl"/>
        </w:rPr>
        <w:t xml:space="preserve"> incluyendo</w:t>
      </w:r>
      <w:r w:rsidR="00AA0D80">
        <w:rPr>
          <w:rFonts w:eastAsiaTheme="minorEastAsia" w:cs="Arial"/>
          <w:spacing w:val="0"/>
          <w:sz w:val="22"/>
          <w:szCs w:val="27"/>
          <w:lang w:val="es-ES_tradnl"/>
        </w:rPr>
        <w:t xml:space="preserve"> </w:t>
      </w:r>
      <w:r w:rsidR="00616213">
        <w:rPr>
          <w:rFonts w:eastAsiaTheme="minorEastAsia" w:cs="Arial"/>
          <w:spacing w:val="0"/>
          <w:sz w:val="22"/>
          <w:szCs w:val="27"/>
          <w:lang w:val="es-ES_tradnl"/>
        </w:rPr>
        <w:t xml:space="preserve">las 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restricciones a la movilidad, la CREG </w:t>
      </w:r>
      <w:r w:rsidR="00075650">
        <w:rPr>
          <w:rFonts w:eastAsiaTheme="minorEastAsia" w:cs="Arial"/>
          <w:spacing w:val="0"/>
          <w:sz w:val="22"/>
          <w:szCs w:val="27"/>
          <w:lang w:val="es-ES_tradnl"/>
        </w:rPr>
        <w:t>comunica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 que el informe final de la auditoría de parámetros de que trata la Resolución CREG 030 de 2019, se deberá entregar </w:t>
      </w:r>
      <w:r w:rsidR="00764878">
        <w:rPr>
          <w:rFonts w:eastAsiaTheme="minorEastAsia" w:cs="Arial"/>
          <w:spacing w:val="0"/>
          <w:sz w:val="22"/>
          <w:szCs w:val="27"/>
          <w:lang w:val="es-ES_tradnl"/>
        </w:rPr>
        <w:t xml:space="preserve">a más tardar en </w:t>
      </w:r>
      <w:r>
        <w:rPr>
          <w:rFonts w:eastAsiaTheme="minorEastAsia" w:cs="Arial"/>
          <w:spacing w:val="0"/>
          <w:sz w:val="22"/>
          <w:szCs w:val="27"/>
          <w:lang w:val="es-ES_tradnl"/>
        </w:rPr>
        <w:t>diez (10) meses</w:t>
      </w:r>
      <w:r w:rsidR="00E66B7C">
        <w:rPr>
          <w:rFonts w:eastAsiaTheme="minorEastAsia" w:cs="Arial"/>
          <w:spacing w:val="0"/>
          <w:sz w:val="22"/>
          <w:szCs w:val="27"/>
          <w:lang w:val="es-ES_tradnl"/>
        </w:rPr>
        <w:t>,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 más el </w:t>
      </w:r>
      <w:r w:rsidR="000E5EC2">
        <w:rPr>
          <w:rFonts w:eastAsiaTheme="minorEastAsia" w:cs="Arial"/>
          <w:spacing w:val="0"/>
          <w:sz w:val="22"/>
          <w:szCs w:val="27"/>
          <w:lang w:val="es-ES_tradnl"/>
        </w:rPr>
        <w:t xml:space="preserve">tiempo 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que duren la medidas </w:t>
      </w:r>
      <w:r w:rsidR="000E5EC2">
        <w:rPr>
          <w:rFonts w:eastAsiaTheme="minorEastAsia" w:cs="Arial"/>
          <w:spacing w:val="0"/>
          <w:sz w:val="22"/>
          <w:szCs w:val="27"/>
          <w:lang w:val="es-ES_tradnl"/>
        </w:rPr>
        <w:t xml:space="preserve">de </w:t>
      </w:r>
      <w:r>
        <w:rPr>
          <w:rFonts w:eastAsiaTheme="minorEastAsia" w:cs="Arial"/>
          <w:spacing w:val="0"/>
          <w:sz w:val="22"/>
          <w:szCs w:val="27"/>
          <w:lang w:val="es-ES_tradnl"/>
        </w:rPr>
        <w:t>confinamiento</w:t>
      </w:r>
      <w:r w:rsidR="000E5EC2">
        <w:rPr>
          <w:rFonts w:eastAsiaTheme="minorEastAsia" w:cs="Arial"/>
          <w:spacing w:val="0"/>
          <w:sz w:val="22"/>
          <w:szCs w:val="27"/>
          <w:lang w:val="es-ES_tradnl"/>
        </w:rPr>
        <w:t xml:space="preserve"> obligatorio</w:t>
      </w:r>
      <w:r w:rsidR="00764878">
        <w:rPr>
          <w:rFonts w:eastAsiaTheme="minorEastAsia" w:cs="Arial"/>
          <w:spacing w:val="0"/>
          <w:sz w:val="22"/>
          <w:szCs w:val="27"/>
          <w:lang w:val="es-ES_tradnl"/>
        </w:rPr>
        <w:t>, contados a partir de la fecha de inicio del contrato.</w:t>
      </w:r>
    </w:p>
    <w:p w14:paraId="1AC2DF45" w14:textId="6D416450" w:rsidR="00256325" w:rsidRDefault="00256325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45B76EA" w14:textId="77777777" w:rsidR="00683707" w:rsidRDefault="00683707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0FC0ED1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14:paraId="20D13CF9" w14:textId="77777777"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14:paraId="161CD628" w14:textId="77777777" w:rsidR="00A43F2C" w:rsidRDefault="00A43F2C" w:rsidP="009E4411">
      <w:pPr>
        <w:jc w:val="center"/>
        <w:rPr>
          <w:rFonts w:ascii="Arial" w:hAnsi="Arial" w:cs="Arial"/>
          <w:sz w:val="22"/>
          <w:szCs w:val="22"/>
        </w:rPr>
      </w:pPr>
    </w:p>
    <w:p w14:paraId="6B506AC2" w14:textId="77777777" w:rsidR="00A43F2C" w:rsidRDefault="00A43F2C" w:rsidP="009E4411">
      <w:pPr>
        <w:jc w:val="center"/>
        <w:rPr>
          <w:rFonts w:ascii="Arial" w:hAnsi="Arial" w:cs="Arial"/>
          <w:sz w:val="22"/>
          <w:szCs w:val="22"/>
        </w:rPr>
      </w:pPr>
    </w:p>
    <w:p w14:paraId="071C9774" w14:textId="77777777" w:rsidR="000E5EAD" w:rsidRPr="009E0F14" w:rsidRDefault="000E5EAD" w:rsidP="009E4411">
      <w:pPr>
        <w:jc w:val="center"/>
        <w:rPr>
          <w:rFonts w:ascii="Arial" w:hAnsi="Arial" w:cs="Arial"/>
          <w:sz w:val="22"/>
          <w:szCs w:val="22"/>
        </w:rPr>
      </w:pPr>
    </w:p>
    <w:p w14:paraId="6EEB0418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9090D72" w14:textId="0DF9DD3A" w:rsidR="009E4411" w:rsidRDefault="00683707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JORGE ALBERTO VALENCIA MARÍN</w:t>
      </w:r>
    </w:p>
    <w:p w14:paraId="7B55AAA6" w14:textId="77777777"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E0819" w14:textId="77777777" w:rsidR="00F07E69" w:rsidRDefault="00F07E69" w:rsidP="00D3044D">
      <w:r>
        <w:separator/>
      </w:r>
    </w:p>
  </w:endnote>
  <w:endnote w:type="continuationSeparator" w:id="0">
    <w:p w14:paraId="59883C39" w14:textId="77777777" w:rsidR="00F07E69" w:rsidRDefault="00F07E69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0F5B6" w14:textId="77777777"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14:paraId="45AF00D0" w14:textId="77777777"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5B1B5D24" wp14:editId="43D1126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6BC01F0" wp14:editId="35A32C14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F0028" w14:textId="77777777"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C24D4" w14:textId="77777777"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099E9EC" wp14:editId="7BAFB2E9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E6F8CFB" wp14:editId="3880483C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2C5FF17A" wp14:editId="77BF9A54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C906D86" wp14:editId="1BC65B77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14:paraId="4C7DB7F3" w14:textId="77777777"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3AF9709" wp14:editId="2241ED98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1813D" w14:textId="77777777" w:rsidR="00F07E69" w:rsidRDefault="00F07E69" w:rsidP="00D3044D">
      <w:r>
        <w:separator/>
      </w:r>
    </w:p>
  </w:footnote>
  <w:footnote w:type="continuationSeparator" w:id="0">
    <w:p w14:paraId="05563430" w14:textId="77777777" w:rsidR="00F07E69" w:rsidRDefault="00F07E69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88349" w14:textId="77777777"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17231FAB" wp14:editId="3982A595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64172363" wp14:editId="66B57A2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16C99" w14:textId="77777777"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E167" w14:textId="77777777" w:rsidR="00540FF3" w:rsidRPr="007C047A" w:rsidRDefault="00540FF3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FDED794" wp14:editId="33011A37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4C577477" wp14:editId="521BD3D1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3D22"/>
    <w:multiLevelType w:val="hybridMultilevel"/>
    <w:tmpl w:val="0C6C00C6"/>
    <w:lvl w:ilvl="0" w:tplc="822EC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4D"/>
    <w:rsid w:val="00046258"/>
    <w:rsid w:val="000518F8"/>
    <w:rsid w:val="0006283D"/>
    <w:rsid w:val="00075650"/>
    <w:rsid w:val="000A7717"/>
    <w:rsid w:val="000B7EDB"/>
    <w:rsid w:val="000D2416"/>
    <w:rsid w:val="000E5EAD"/>
    <w:rsid w:val="000E5EC2"/>
    <w:rsid w:val="00113FBE"/>
    <w:rsid w:val="001149EB"/>
    <w:rsid w:val="0012002F"/>
    <w:rsid w:val="00126193"/>
    <w:rsid w:val="00143E5A"/>
    <w:rsid w:val="00160B29"/>
    <w:rsid w:val="00171830"/>
    <w:rsid w:val="00190AC0"/>
    <w:rsid w:val="00191F70"/>
    <w:rsid w:val="001F7FBD"/>
    <w:rsid w:val="00202420"/>
    <w:rsid w:val="00256325"/>
    <w:rsid w:val="00263363"/>
    <w:rsid w:val="00282F3F"/>
    <w:rsid w:val="002A2432"/>
    <w:rsid w:val="002E0DAE"/>
    <w:rsid w:val="002F0A84"/>
    <w:rsid w:val="002F737B"/>
    <w:rsid w:val="003457BA"/>
    <w:rsid w:val="003702AE"/>
    <w:rsid w:val="00377098"/>
    <w:rsid w:val="003A07E3"/>
    <w:rsid w:val="003C5498"/>
    <w:rsid w:val="003E1618"/>
    <w:rsid w:val="003E4CDE"/>
    <w:rsid w:val="004002E0"/>
    <w:rsid w:val="00434A80"/>
    <w:rsid w:val="00455787"/>
    <w:rsid w:val="00462394"/>
    <w:rsid w:val="00463384"/>
    <w:rsid w:val="00526F3E"/>
    <w:rsid w:val="0053042A"/>
    <w:rsid w:val="00540FF3"/>
    <w:rsid w:val="00587036"/>
    <w:rsid w:val="0059771E"/>
    <w:rsid w:val="005C3844"/>
    <w:rsid w:val="005D0E5F"/>
    <w:rsid w:val="006144B6"/>
    <w:rsid w:val="00616213"/>
    <w:rsid w:val="00624C00"/>
    <w:rsid w:val="006311AC"/>
    <w:rsid w:val="0064389A"/>
    <w:rsid w:val="0064418B"/>
    <w:rsid w:val="00670568"/>
    <w:rsid w:val="00683707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35B83"/>
    <w:rsid w:val="007533EF"/>
    <w:rsid w:val="00764878"/>
    <w:rsid w:val="00791A92"/>
    <w:rsid w:val="007C047A"/>
    <w:rsid w:val="00801FC8"/>
    <w:rsid w:val="008047C2"/>
    <w:rsid w:val="00804E80"/>
    <w:rsid w:val="00813C33"/>
    <w:rsid w:val="008254E5"/>
    <w:rsid w:val="008955EA"/>
    <w:rsid w:val="008C2E15"/>
    <w:rsid w:val="008D11BA"/>
    <w:rsid w:val="009201F0"/>
    <w:rsid w:val="00922D60"/>
    <w:rsid w:val="009378A1"/>
    <w:rsid w:val="00963B76"/>
    <w:rsid w:val="00966960"/>
    <w:rsid w:val="009823F7"/>
    <w:rsid w:val="009D0ECA"/>
    <w:rsid w:val="009E4411"/>
    <w:rsid w:val="00A35E81"/>
    <w:rsid w:val="00A37BCF"/>
    <w:rsid w:val="00A43F2C"/>
    <w:rsid w:val="00A566D9"/>
    <w:rsid w:val="00A62DC2"/>
    <w:rsid w:val="00A73DB3"/>
    <w:rsid w:val="00A94073"/>
    <w:rsid w:val="00AA0D80"/>
    <w:rsid w:val="00AB1B80"/>
    <w:rsid w:val="00AB407F"/>
    <w:rsid w:val="00AC5FA0"/>
    <w:rsid w:val="00AD4DC5"/>
    <w:rsid w:val="00AE447B"/>
    <w:rsid w:val="00AF40DE"/>
    <w:rsid w:val="00AF5A1D"/>
    <w:rsid w:val="00B059B0"/>
    <w:rsid w:val="00B137DB"/>
    <w:rsid w:val="00B60A7F"/>
    <w:rsid w:val="00B66D2A"/>
    <w:rsid w:val="00B84F70"/>
    <w:rsid w:val="00BA7595"/>
    <w:rsid w:val="00BC2026"/>
    <w:rsid w:val="00C24869"/>
    <w:rsid w:val="00C73028"/>
    <w:rsid w:val="00C80840"/>
    <w:rsid w:val="00CA0DD1"/>
    <w:rsid w:val="00CA7997"/>
    <w:rsid w:val="00CB483C"/>
    <w:rsid w:val="00CB590F"/>
    <w:rsid w:val="00CB773C"/>
    <w:rsid w:val="00CC3B9D"/>
    <w:rsid w:val="00CC4390"/>
    <w:rsid w:val="00CE09F2"/>
    <w:rsid w:val="00CF148D"/>
    <w:rsid w:val="00D025BD"/>
    <w:rsid w:val="00D03901"/>
    <w:rsid w:val="00D171B2"/>
    <w:rsid w:val="00D3044D"/>
    <w:rsid w:val="00D467F7"/>
    <w:rsid w:val="00D5357C"/>
    <w:rsid w:val="00D64248"/>
    <w:rsid w:val="00D717EE"/>
    <w:rsid w:val="00D81061"/>
    <w:rsid w:val="00D87F17"/>
    <w:rsid w:val="00DF2D4B"/>
    <w:rsid w:val="00DF4B66"/>
    <w:rsid w:val="00E4791A"/>
    <w:rsid w:val="00E66B7C"/>
    <w:rsid w:val="00EC1EFF"/>
    <w:rsid w:val="00EE79B5"/>
    <w:rsid w:val="00F00E5E"/>
    <w:rsid w:val="00F02F94"/>
    <w:rsid w:val="00F07E69"/>
    <w:rsid w:val="00F14092"/>
    <w:rsid w:val="00F25346"/>
    <w:rsid w:val="00F44CA7"/>
    <w:rsid w:val="00F51041"/>
    <w:rsid w:val="00F72E3F"/>
    <w:rsid w:val="00F730C5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1FA0C850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1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rsid w:val="006311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6311AC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A0035-9B82-46B5-BFAA-B5FC12AD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2020-03-30T22:10:00Z</cp:lastPrinted>
  <dcterms:created xsi:type="dcterms:W3CDTF">2020-03-31T01:48:00Z</dcterms:created>
  <dcterms:modified xsi:type="dcterms:W3CDTF">2020-03-31T01:48:00Z</dcterms:modified>
</cp:coreProperties>
</file>