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81CEC" w14:textId="64EC13EA" w:rsidR="00071BA7" w:rsidRDefault="00071BA7" w:rsidP="008066FD"/>
    <w:p w14:paraId="43F8BB7E" w14:textId="166B012C" w:rsidR="00BA6D78" w:rsidRDefault="00BA6D78" w:rsidP="00BA6D78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Bogotá, D.C.,  </w:t>
      </w:r>
      <w:r>
        <w:rPr>
          <w:rFonts w:ascii="Arial" w:hAnsi="Arial" w:cs="Arial"/>
          <w:sz w:val="22"/>
          <w:szCs w:val="22"/>
          <w:lang w:val="es-MX"/>
        </w:rPr>
        <w:fldChar w:fldCharType="begin"/>
      </w:r>
      <w:r>
        <w:rPr>
          <w:rFonts w:ascii="Arial" w:hAnsi="Arial" w:cs="Arial"/>
          <w:sz w:val="22"/>
          <w:szCs w:val="22"/>
          <w:lang w:val="es-MX"/>
        </w:rPr>
        <w:instrText xml:space="preserve"> MERGEFIELD  Fecha  \* MERGEFORMAT </w:instrText>
      </w:r>
      <w:r>
        <w:rPr>
          <w:rFonts w:ascii="Arial" w:hAnsi="Arial" w:cs="Arial"/>
          <w:sz w:val="22"/>
          <w:szCs w:val="22"/>
          <w:lang w:val="es-MX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s-MX"/>
        </w:rPr>
        <w:t>2</w:t>
      </w:r>
      <w:r w:rsidR="00576F26">
        <w:rPr>
          <w:rFonts w:ascii="Arial" w:hAnsi="Arial" w:cs="Arial"/>
          <w:noProof/>
          <w:sz w:val="22"/>
          <w:szCs w:val="22"/>
          <w:lang w:val="es-MX"/>
        </w:rPr>
        <w:t>3</w:t>
      </w:r>
      <w:r>
        <w:rPr>
          <w:rFonts w:ascii="Arial" w:hAnsi="Arial" w:cs="Arial"/>
          <w:noProof/>
          <w:sz w:val="22"/>
          <w:szCs w:val="22"/>
          <w:lang w:val="es-MX"/>
        </w:rPr>
        <w:t xml:space="preserve"> de mayo de 2023</w:t>
      </w:r>
      <w:r>
        <w:rPr>
          <w:rFonts w:ascii="Arial" w:hAnsi="Arial" w:cs="Arial"/>
          <w:sz w:val="22"/>
          <w:szCs w:val="22"/>
          <w:lang w:val="es-MX"/>
        </w:rPr>
        <w:fldChar w:fldCharType="end"/>
      </w:r>
    </w:p>
    <w:p w14:paraId="4BF6BC04" w14:textId="77777777" w:rsidR="00BA6D78" w:rsidRDefault="00BA6D78" w:rsidP="00BA6D78">
      <w:pPr>
        <w:rPr>
          <w:rFonts w:ascii="Arial" w:hAnsi="Arial" w:cs="Arial"/>
          <w:sz w:val="22"/>
          <w:szCs w:val="22"/>
          <w:lang w:val="es-MX"/>
        </w:rPr>
      </w:pPr>
    </w:p>
    <w:p w14:paraId="2DF36FC6" w14:textId="33257262" w:rsidR="00BA6D78" w:rsidRPr="00BA6D78" w:rsidRDefault="00BA6D78" w:rsidP="00BA6D78">
      <w:pPr>
        <w:pStyle w:val="Ttulo5"/>
        <w:spacing w:before="0" w:line="220" w:lineRule="atLeast"/>
        <w:ind w:left="720"/>
        <w:jc w:val="center"/>
        <w:rPr>
          <w:rFonts w:ascii="Arial" w:eastAsia="Times New Roman" w:hAnsi="Arial" w:cs="Arial"/>
          <w:b/>
          <w:bCs/>
          <w:i/>
          <w:iCs/>
          <w:noProof/>
          <w:color w:val="auto"/>
          <w:spacing w:val="-5"/>
          <w:kern w:val="60"/>
          <w:sz w:val="40"/>
          <w:szCs w:val="40"/>
        </w:rPr>
      </w:pPr>
      <w:r w:rsidRPr="00BA6D78">
        <w:rPr>
          <w:rFonts w:ascii="Arial" w:eastAsia="Times New Roman" w:hAnsi="Arial" w:cs="Arial"/>
          <w:b/>
          <w:bCs/>
          <w:i/>
          <w:iCs/>
          <w:noProof/>
          <w:color w:val="auto"/>
          <w:spacing w:val="-5"/>
          <w:kern w:val="60"/>
          <w:sz w:val="40"/>
          <w:szCs w:val="40"/>
        </w:rPr>
        <w:t xml:space="preserve">CIRCULAR No. </w:t>
      </w:r>
      <w:r w:rsidRPr="00576F26">
        <w:rPr>
          <w:rFonts w:ascii="Arial" w:eastAsia="Times New Roman" w:hAnsi="Arial" w:cs="Arial"/>
          <w:b/>
          <w:bCs/>
          <w:i/>
          <w:iCs/>
          <w:noProof/>
          <w:color w:val="auto"/>
          <w:spacing w:val="-5"/>
          <w:kern w:val="60"/>
          <w:sz w:val="40"/>
          <w:szCs w:val="40"/>
        </w:rPr>
        <w:fldChar w:fldCharType="begin"/>
      </w:r>
      <w:r w:rsidRPr="00576F26">
        <w:rPr>
          <w:rFonts w:ascii="Arial" w:eastAsia="Times New Roman" w:hAnsi="Arial" w:cs="Arial"/>
          <w:b/>
          <w:bCs/>
          <w:i/>
          <w:iCs/>
          <w:noProof/>
          <w:color w:val="auto"/>
          <w:spacing w:val="-5"/>
          <w:kern w:val="60"/>
          <w:sz w:val="40"/>
          <w:szCs w:val="40"/>
        </w:rPr>
        <w:instrText xml:space="preserve"> MERGEFIELD  NumeroCircular  \* MERGEFORMAT </w:instrText>
      </w:r>
      <w:r w:rsidRPr="00576F26">
        <w:rPr>
          <w:rFonts w:ascii="Arial" w:eastAsia="Times New Roman" w:hAnsi="Arial" w:cs="Arial"/>
          <w:b/>
          <w:bCs/>
          <w:i/>
          <w:iCs/>
          <w:noProof/>
          <w:color w:val="auto"/>
          <w:spacing w:val="-5"/>
          <w:kern w:val="60"/>
          <w:sz w:val="40"/>
          <w:szCs w:val="40"/>
        </w:rPr>
        <w:fldChar w:fldCharType="separate"/>
      </w:r>
      <w:r w:rsidRPr="00576F26">
        <w:rPr>
          <w:rFonts w:ascii="Arial" w:eastAsia="Times New Roman" w:hAnsi="Arial" w:cs="Arial"/>
          <w:b/>
          <w:bCs/>
          <w:i/>
          <w:iCs/>
          <w:noProof/>
          <w:color w:val="auto"/>
          <w:spacing w:val="-5"/>
          <w:kern w:val="60"/>
          <w:sz w:val="40"/>
          <w:szCs w:val="40"/>
        </w:rPr>
        <w:t>«</w:t>
      </w:r>
      <w:r w:rsidRPr="00576F26">
        <w:rPr>
          <w:rFonts w:ascii="Arial" w:eastAsia="Times New Roman" w:hAnsi="Arial" w:cs="Arial"/>
          <w:b/>
          <w:bCs/>
          <w:i/>
          <w:iCs/>
          <w:noProof/>
          <w:color w:val="auto"/>
          <w:spacing w:val="-5"/>
          <w:kern w:val="60"/>
          <w:sz w:val="40"/>
          <w:szCs w:val="40"/>
          <w:u w:val="single"/>
        </w:rPr>
        <w:t>040 de 2023</w:t>
      </w:r>
      <w:r w:rsidRPr="00576F26">
        <w:rPr>
          <w:rFonts w:ascii="Arial" w:eastAsia="Times New Roman" w:hAnsi="Arial" w:cs="Arial"/>
          <w:b/>
          <w:bCs/>
          <w:i/>
          <w:iCs/>
          <w:noProof/>
          <w:color w:val="auto"/>
          <w:spacing w:val="-5"/>
          <w:kern w:val="60"/>
          <w:sz w:val="40"/>
          <w:szCs w:val="40"/>
        </w:rPr>
        <w:fldChar w:fldCharType="end"/>
      </w:r>
    </w:p>
    <w:p w14:paraId="6F13CDC0" w14:textId="77777777" w:rsidR="00BA6D78" w:rsidRPr="00BA6D78" w:rsidRDefault="00BA6D78" w:rsidP="00BA6D78">
      <w:pPr>
        <w:pStyle w:val="Ttulo5"/>
        <w:spacing w:before="0" w:line="220" w:lineRule="atLeast"/>
        <w:ind w:left="720"/>
        <w:jc w:val="center"/>
        <w:rPr>
          <w:rFonts w:ascii="Arial" w:eastAsia="Times New Roman" w:hAnsi="Arial" w:cs="Arial"/>
          <w:b/>
          <w:bCs/>
          <w:i/>
          <w:iCs/>
          <w:noProof/>
          <w:color w:val="auto"/>
          <w:spacing w:val="-5"/>
          <w:kern w:val="60"/>
          <w:sz w:val="40"/>
          <w:szCs w:val="40"/>
        </w:rPr>
      </w:pPr>
    </w:p>
    <w:p w14:paraId="21C3CFFD" w14:textId="77777777" w:rsidR="007A7CA9" w:rsidRDefault="007A7CA9" w:rsidP="00A2350F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276" w:hanging="1276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hAnsi="Arial" w:cs="Arial"/>
          <w:b/>
        </w:rPr>
        <w:t>PARA:</w:t>
      </w:r>
      <w:r>
        <w:rPr>
          <w:rFonts w:ascii="Arial" w:hAnsi="Arial" w:cs="Arial"/>
          <w:b/>
        </w:rPr>
        <w:tab/>
      </w:r>
      <w:r>
        <w:rPr>
          <w:rFonts w:ascii="Arial" w:eastAsia="Arial" w:hAnsi="Arial" w:cs="Arial"/>
          <w:b/>
          <w:color w:val="000000"/>
        </w:rPr>
        <w:t>COMERCIALIZADORES DE ENERGÍA ELÉCTRICA</w:t>
      </w:r>
    </w:p>
    <w:p w14:paraId="700EDA46" w14:textId="77777777" w:rsidR="007A7CA9" w:rsidRDefault="007A7CA9" w:rsidP="00A2350F">
      <w:pPr>
        <w:pStyle w:val="Sangradetextonormal"/>
        <w:spacing w:before="240"/>
        <w:ind w:left="1276" w:hanging="1276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DE:</w:t>
      </w:r>
      <w:r>
        <w:rPr>
          <w:rFonts w:ascii="Arial" w:hAnsi="Arial" w:cs="Arial"/>
          <w:b/>
        </w:rPr>
        <w:tab/>
        <w:t>DIRECCIÓN EJECUTIVA</w:t>
      </w:r>
    </w:p>
    <w:p w14:paraId="04D8A692" w14:textId="77777777" w:rsidR="007A7CA9" w:rsidRDefault="007A7CA9" w:rsidP="00A2350F">
      <w:pPr>
        <w:pStyle w:val="Sangradetextonormal"/>
        <w:spacing w:before="240"/>
        <w:ind w:left="1276" w:hanging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ASUNTO:</w:t>
      </w:r>
      <w:r>
        <w:rPr>
          <w:rFonts w:ascii="Arial" w:hAnsi="Arial" w:cs="Arial"/>
          <w:b/>
        </w:rPr>
        <w:tab/>
      </w:r>
      <w:r w:rsidRPr="006F3531">
        <w:rPr>
          <w:rFonts w:ascii="Arial" w:eastAsia="Arial" w:hAnsi="Arial" w:cs="Arial"/>
          <w:b/>
          <w:color w:val="000000"/>
        </w:rPr>
        <w:t>REPORTE HISTÓRICO DE LOS DE COMPONENTES DEL FACTOR DE AJUSTE</w:t>
      </w:r>
      <w:r>
        <w:rPr>
          <w:rFonts w:ascii="Arial" w:eastAsia="Arial" w:hAnsi="Arial" w:cs="Arial"/>
          <w:b/>
          <w:color w:val="000000"/>
        </w:rPr>
        <w:t xml:space="preserve"> POR COMPRAS EN BOLSA</w:t>
      </w:r>
      <w:r w:rsidRPr="006F3531">
        <w:rPr>
          <w:rFonts w:ascii="Arial" w:eastAsia="Arial" w:hAnsi="Arial" w:cs="Arial"/>
          <w:b/>
          <w:color w:val="000000"/>
        </w:rPr>
        <w:t xml:space="preserve"> (A</w:t>
      </w:r>
      <w:r>
        <w:rPr>
          <w:rFonts w:ascii="Arial" w:eastAsia="Arial" w:hAnsi="Arial" w:cs="Arial"/>
          <w:b/>
          <w:color w:val="000000"/>
        </w:rPr>
        <w:t>j</w:t>
      </w:r>
      <w:r w:rsidRPr="006F3531">
        <w:rPr>
          <w:rFonts w:ascii="Arial" w:eastAsia="Arial" w:hAnsi="Arial" w:cs="Arial"/>
          <w:b/>
          <w:color w:val="000000"/>
        </w:rPr>
        <w:t>),</w:t>
      </w:r>
      <w:r w:rsidRPr="00A2350F">
        <w:rPr>
          <w:rFonts w:ascii="Arial" w:eastAsia="Arial" w:hAnsi="Arial" w:cs="Arial"/>
          <w:b/>
          <w:color w:val="000000"/>
        </w:rPr>
        <w:t xml:space="preserve"> DISPUESTO EN EL ARTÍCULO 6 Y EL ANEXO 1 DE LA RESOLUCIÓN CREG 119 DE 2007.</w:t>
      </w:r>
    </w:p>
    <w:p w14:paraId="067ADB53" w14:textId="77777777" w:rsidR="007A7CA9" w:rsidRPr="00A2350F" w:rsidRDefault="007A7CA9" w:rsidP="007A7CA9">
      <w:pPr>
        <w:spacing w:line="240" w:lineRule="auto"/>
        <w:rPr>
          <w:rFonts w:ascii="Arial" w:hAnsi="Arial" w:cs="Arial"/>
        </w:rPr>
      </w:pPr>
    </w:p>
    <w:p w14:paraId="5A9EC9F8" w14:textId="7B4E44B3" w:rsidR="00D50808" w:rsidRPr="00A2350F" w:rsidRDefault="007A7CA9" w:rsidP="00D50808">
      <w:pPr>
        <w:pStyle w:val="Textoindependiente"/>
        <w:spacing w:before="0" w:after="0" w:line="240" w:lineRule="auto"/>
        <w:rPr>
          <w:rFonts w:cs="Arial"/>
          <w:sz w:val="24"/>
          <w:szCs w:val="24"/>
        </w:rPr>
      </w:pPr>
      <w:r w:rsidRPr="00A2350F">
        <w:rPr>
          <w:rFonts w:cs="Arial"/>
          <w:sz w:val="24"/>
          <w:szCs w:val="24"/>
        </w:rPr>
        <w:t xml:space="preserve">La Dirección Ejecutiva de la Comisión de Regulación de Energía y Gas </w:t>
      </w:r>
      <w:r w:rsidR="00A2350F">
        <w:rPr>
          <w:rFonts w:cs="Arial"/>
          <w:sz w:val="24"/>
          <w:szCs w:val="24"/>
        </w:rPr>
        <w:t>(</w:t>
      </w:r>
      <w:r w:rsidRPr="00A2350F">
        <w:rPr>
          <w:rFonts w:cs="Arial"/>
          <w:sz w:val="24"/>
          <w:szCs w:val="24"/>
        </w:rPr>
        <w:t>CREG</w:t>
      </w:r>
      <w:r w:rsidR="00A2350F">
        <w:rPr>
          <w:rFonts w:cs="Arial"/>
          <w:sz w:val="24"/>
          <w:szCs w:val="24"/>
        </w:rPr>
        <w:t>)</w:t>
      </w:r>
      <w:r w:rsidRPr="00A2350F">
        <w:rPr>
          <w:rFonts w:cs="Arial"/>
          <w:sz w:val="24"/>
          <w:szCs w:val="24"/>
        </w:rPr>
        <w:t xml:space="preserve"> remite la presente circular a todos los agentes comercializadores </w:t>
      </w:r>
      <w:r w:rsidR="00D50808" w:rsidRPr="00A2350F">
        <w:rPr>
          <w:rFonts w:cs="Arial"/>
          <w:sz w:val="24"/>
          <w:szCs w:val="24"/>
        </w:rPr>
        <w:t xml:space="preserve">que atienden usuarios en el mercado regulado de energía eléctrica, </w:t>
      </w:r>
      <w:r w:rsidRPr="00A2350F">
        <w:rPr>
          <w:rFonts w:cs="Arial"/>
          <w:sz w:val="24"/>
          <w:szCs w:val="24"/>
        </w:rPr>
        <w:t xml:space="preserve">con el fin de requerir información </w:t>
      </w:r>
      <w:r w:rsidR="00D50808" w:rsidRPr="00A2350F">
        <w:rPr>
          <w:rFonts w:cs="Arial"/>
          <w:sz w:val="24"/>
          <w:szCs w:val="24"/>
        </w:rPr>
        <w:t>relacionada con el Factor de Ajuste por compras en bolsa (Aj)</w:t>
      </w:r>
      <w:r w:rsidR="00A2350F">
        <w:rPr>
          <w:rFonts w:cs="Arial"/>
          <w:sz w:val="24"/>
          <w:szCs w:val="24"/>
        </w:rPr>
        <w:t xml:space="preserve"> dispuesto en </w:t>
      </w:r>
      <w:r w:rsidR="00A2350F" w:rsidRPr="00A2350F">
        <w:rPr>
          <w:rFonts w:cs="Arial"/>
          <w:sz w:val="24"/>
          <w:szCs w:val="24"/>
        </w:rPr>
        <w:t>la Resolución CREG 119 de 2007</w:t>
      </w:r>
      <w:r w:rsidR="00D50808" w:rsidRPr="00A2350F">
        <w:rPr>
          <w:rFonts w:cs="Arial"/>
          <w:sz w:val="24"/>
          <w:szCs w:val="24"/>
        </w:rPr>
        <w:t>.</w:t>
      </w:r>
    </w:p>
    <w:p w14:paraId="5FA02502" w14:textId="738DF47D" w:rsidR="007A7CA9" w:rsidRPr="00A2350F" w:rsidRDefault="007A7CA9" w:rsidP="00D50808">
      <w:pPr>
        <w:pStyle w:val="Textoindependiente"/>
        <w:spacing w:before="0" w:after="0" w:line="240" w:lineRule="auto"/>
        <w:rPr>
          <w:rFonts w:cs="Arial"/>
          <w:sz w:val="24"/>
          <w:szCs w:val="24"/>
        </w:rPr>
      </w:pPr>
    </w:p>
    <w:p w14:paraId="15FE8143" w14:textId="07BF7D28" w:rsidR="00D50808" w:rsidRPr="00A2350F" w:rsidRDefault="007A7CA9" w:rsidP="00D50808">
      <w:pPr>
        <w:pStyle w:val="Textoindependiente"/>
        <w:spacing w:before="0" w:after="0" w:line="240" w:lineRule="auto"/>
        <w:rPr>
          <w:rFonts w:cs="Arial"/>
          <w:sz w:val="24"/>
          <w:szCs w:val="24"/>
        </w:rPr>
      </w:pPr>
      <w:r w:rsidRPr="00A2350F">
        <w:rPr>
          <w:rFonts w:cs="Arial"/>
          <w:sz w:val="24"/>
          <w:szCs w:val="24"/>
        </w:rPr>
        <w:t xml:space="preserve">En particular </w:t>
      </w:r>
      <w:r w:rsidR="00A2350F">
        <w:rPr>
          <w:rFonts w:cs="Arial"/>
          <w:sz w:val="24"/>
          <w:szCs w:val="24"/>
        </w:rPr>
        <w:t xml:space="preserve">la citada resolución, </w:t>
      </w:r>
      <w:r w:rsidRPr="00A2350F">
        <w:rPr>
          <w:rFonts w:cs="Arial"/>
          <w:sz w:val="24"/>
          <w:szCs w:val="24"/>
        </w:rPr>
        <w:t>modificada por la Resolución 191 de 2014</w:t>
      </w:r>
      <w:r w:rsidR="00A2350F">
        <w:rPr>
          <w:rFonts w:cs="Arial"/>
          <w:sz w:val="24"/>
          <w:szCs w:val="24"/>
        </w:rPr>
        <w:t>,</w:t>
      </w:r>
      <w:r w:rsidRPr="00A2350F">
        <w:rPr>
          <w:rFonts w:cs="Arial"/>
          <w:sz w:val="24"/>
          <w:szCs w:val="24"/>
        </w:rPr>
        <w:t xml:space="preserve"> definió la fórmula del Costo Unitario de Prestación del servicio de energía eléctrica</w:t>
      </w:r>
      <w:r w:rsidR="00D50808" w:rsidRPr="00A2350F">
        <w:rPr>
          <w:rFonts w:cs="Arial"/>
          <w:sz w:val="24"/>
          <w:szCs w:val="24"/>
        </w:rPr>
        <w:t xml:space="preserve"> (CU)</w:t>
      </w:r>
      <w:r w:rsidRPr="00A2350F">
        <w:rPr>
          <w:rFonts w:cs="Arial"/>
          <w:sz w:val="24"/>
          <w:szCs w:val="24"/>
        </w:rPr>
        <w:t>.</w:t>
      </w:r>
      <w:r w:rsidR="00D50808" w:rsidRPr="00A2350F">
        <w:rPr>
          <w:rFonts w:cs="Arial"/>
          <w:sz w:val="24"/>
          <w:szCs w:val="24"/>
        </w:rPr>
        <w:t xml:space="preserve"> </w:t>
      </w:r>
      <w:r w:rsidR="00A2350F">
        <w:rPr>
          <w:rFonts w:cs="Arial"/>
          <w:sz w:val="24"/>
          <w:szCs w:val="24"/>
        </w:rPr>
        <w:t xml:space="preserve"> E</w:t>
      </w:r>
      <w:r w:rsidRPr="00A2350F">
        <w:rPr>
          <w:rFonts w:cs="Arial"/>
          <w:sz w:val="24"/>
          <w:szCs w:val="24"/>
        </w:rPr>
        <w:t xml:space="preserve">sta fórmula </w:t>
      </w:r>
      <w:r w:rsidR="00A2350F">
        <w:rPr>
          <w:rFonts w:cs="Arial"/>
          <w:sz w:val="24"/>
          <w:szCs w:val="24"/>
        </w:rPr>
        <w:t xml:space="preserve">incluye </w:t>
      </w:r>
      <w:r w:rsidRPr="00A2350F">
        <w:rPr>
          <w:rFonts w:cs="Arial"/>
          <w:sz w:val="24"/>
          <w:szCs w:val="24"/>
        </w:rPr>
        <w:t xml:space="preserve">el costo de compra de energía G </w:t>
      </w:r>
      <w:r w:rsidR="00A2350F">
        <w:rPr>
          <w:rFonts w:cs="Arial"/>
          <w:sz w:val="24"/>
          <w:szCs w:val="24"/>
        </w:rPr>
        <w:t xml:space="preserve">y </w:t>
      </w:r>
      <w:r w:rsidRPr="00A2350F">
        <w:rPr>
          <w:rFonts w:cs="Arial"/>
          <w:sz w:val="24"/>
          <w:szCs w:val="24"/>
        </w:rPr>
        <w:t xml:space="preserve">que a su vez contiene, entre otros componentes, la variable Factor de Ajuste por compras en bolsa (Aj). </w:t>
      </w:r>
      <w:r w:rsidR="00D50808" w:rsidRPr="00A2350F">
        <w:rPr>
          <w:rFonts w:cs="Arial"/>
          <w:sz w:val="24"/>
          <w:szCs w:val="24"/>
        </w:rPr>
        <w:t xml:space="preserve"> </w:t>
      </w:r>
      <w:r w:rsidRPr="00A2350F">
        <w:rPr>
          <w:rFonts w:cs="Arial"/>
          <w:sz w:val="24"/>
          <w:szCs w:val="24"/>
        </w:rPr>
        <w:t xml:space="preserve">La metodología y componentes para el cálculo </w:t>
      </w:r>
      <w:r w:rsidR="00D50808" w:rsidRPr="00A2350F">
        <w:rPr>
          <w:rFonts w:cs="Arial"/>
          <w:sz w:val="24"/>
          <w:szCs w:val="24"/>
        </w:rPr>
        <w:t>del mencionado factor</w:t>
      </w:r>
      <w:r w:rsidR="00A2350F">
        <w:rPr>
          <w:rFonts w:cs="Arial"/>
          <w:sz w:val="24"/>
          <w:szCs w:val="24"/>
        </w:rPr>
        <w:t xml:space="preserve"> de </w:t>
      </w:r>
      <w:proofErr w:type="gramStart"/>
      <w:r w:rsidR="00A2350F">
        <w:rPr>
          <w:rFonts w:cs="Arial"/>
          <w:sz w:val="24"/>
          <w:szCs w:val="24"/>
        </w:rPr>
        <w:t>ajuste</w:t>
      </w:r>
      <w:r w:rsidRPr="00A2350F">
        <w:rPr>
          <w:rFonts w:cs="Arial"/>
          <w:sz w:val="24"/>
          <w:szCs w:val="24"/>
        </w:rPr>
        <w:t>,</w:t>
      </w:r>
      <w:proofErr w:type="gramEnd"/>
      <w:r w:rsidRPr="00A2350F">
        <w:rPr>
          <w:rFonts w:cs="Arial"/>
          <w:sz w:val="24"/>
          <w:szCs w:val="24"/>
        </w:rPr>
        <w:t xml:space="preserve"> se encuentran definidos en el Anexo 1 de la Resolución CREG 119 de 2007.</w:t>
      </w:r>
      <w:r w:rsidR="00D74F40" w:rsidRPr="00A2350F">
        <w:rPr>
          <w:rFonts w:cs="Arial"/>
          <w:sz w:val="24"/>
          <w:szCs w:val="24"/>
        </w:rPr>
        <w:t xml:space="preserve"> </w:t>
      </w:r>
    </w:p>
    <w:p w14:paraId="3CA1092F" w14:textId="77777777" w:rsidR="00D50808" w:rsidRPr="00A2350F" w:rsidRDefault="00D50808" w:rsidP="00D50808">
      <w:pPr>
        <w:pStyle w:val="Textoindependiente"/>
        <w:spacing w:before="0" w:after="0" w:line="240" w:lineRule="auto"/>
        <w:rPr>
          <w:rFonts w:cs="Arial"/>
          <w:sz w:val="24"/>
          <w:szCs w:val="24"/>
        </w:rPr>
      </w:pPr>
    </w:p>
    <w:p w14:paraId="0E0AA5B2" w14:textId="7869440E" w:rsidR="007A7CA9" w:rsidRPr="00A2350F" w:rsidRDefault="007A7CA9" w:rsidP="00D50808">
      <w:pPr>
        <w:pStyle w:val="Textoindependiente"/>
        <w:spacing w:before="0" w:after="0" w:line="240" w:lineRule="auto"/>
        <w:rPr>
          <w:rFonts w:cs="Arial"/>
          <w:sz w:val="24"/>
          <w:szCs w:val="24"/>
        </w:rPr>
      </w:pPr>
      <w:r w:rsidRPr="00A2350F">
        <w:rPr>
          <w:rFonts w:cs="Arial"/>
          <w:sz w:val="24"/>
          <w:szCs w:val="24"/>
        </w:rPr>
        <w:t xml:space="preserve">En virtud de lo anterior, </w:t>
      </w:r>
      <w:r w:rsidR="00D50808" w:rsidRPr="00A2350F">
        <w:rPr>
          <w:rFonts w:cs="Arial"/>
          <w:sz w:val="24"/>
          <w:szCs w:val="24"/>
        </w:rPr>
        <w:t xml:space="preserve">y con el fin de realizar análisis adicionales al Factor de Ajuste por compras en bolsa (Aj), </w:t>
      </w:r>
      <w:r w:rsidRPr="00A2350F">
        <w:rPr>
          <w:rFonts w:cs="Arial"/>
          <w:sz w:val="24"/>
          <w:szCs w:val="24"/>
        </w:rPr>
        <w:t xml:space="preserve">se </w:t>
      </w:r>
      <w:r w:rsidR="00D50808" w:rsidRPr="00A2350F">
        <w:rPr>
          <w:rFonts w:cs="Arial"/>
          <w:sz w:val="24"/>
          <w:szCs w:val="24"/>
        </w:rPr>
        <w:t>solicita</w:t>
      </w:r>
      <w:r w:rsidRPr="00A2350F">
        <w:rPr>
          <w:rFonts w:cs="Arial"/>
          <w:sz w:val="24"/>
          <w:szCs w:val="24"/>
        </w:rPr>
        <w:t xml:space="preserve"> </w:t>
      </w:r>
      <w:r w:rsidR="00D50808" w:rsidRPr="00A2350F">
        <w:rPr>
          <w:rFonts w:cs="Arial"/>
          <w:sz w:val="24"/>
          <w:szCs w:val="24"/>
        </w:rPr>
        <w:t>para el periodo comprendido entre 2007 y 2017, el envío de la siguiente información:</w:t>
      </w:r>
    </w:p>
    <w:p w14:paraId="7452057B" w14:textId="77777777" w:rsidR="00D50808" w:rsidRPr="00A2350F" w:rsidRDefault="00D50808" w:rsidP="00D50808">
      <w:pPr>
        <w:pStyle w:val="Textoindependiente"/>
        <w:spacing w:before="0" w:after="0" w:line="240" w:lineRule="auto"/>
        <w:rPr>
          <w:rFonts w:cs="Arial"/>
          <w:sz w:val="24"/>
          <w:szCs w:val="24"/>
        </w:rPr>
      </w:pPr>
    </w:p>
    <w:p w14:paraId="4D230B61" w14:textId="767EAE0F" w:rsidR="007A7CA9" w:rsidRPr="00A2350F" w:rsidRDefault="00D50808" w:rsidP="00D50808">
      <w:pPr>
        <w:pStyle w:val="Textoindependiente"/>
        <w:numPr>
          <w:ilvl w:val="0"/>
          <w:numId w:val="1"/>
        </w:numPr>
        <w:spacing w:before="0" w:after="0" w:line="240" w:lineRule="auto"/>
        <w:rPr>
          <w:rFonts w:cs="Arial"/>
          <w:sz w:val="24"/>
          <w:szCs w:val="24"/>
        </w:rPr>
      </w:pPr>
      <w:r w:rsidRPr="00A2350F">
        <w:rPr>
          <w:rFonts w:cs="Arial"/>
          <w:sz w:val="24"/>
          <w:szCs w:val="24"/>
        </w:rPr>
        <w:t>I</w:t>
      </w:r>
      <w:r w:rsidR="007A7CA9" w:rsidRPr="00A2350F">
        <w:rPr>
          <w:rFonts w:cs="Arial"/>
          <w:sz w:val="24"/>
          <w:szCs w:val="24"/>
        </w:rPr>
        <w:t xml:space="preserve">nformación </w:t>
      </w:r>
      <w:r w:rsidRPr="00A2350F">
        <w:rPr>
          <w:rFonts w:cs="Arial"/>
          <w:sz w:val="24"/>
          <w:szCs w:val="24"/>
        </w:rPr>
        <w:t xml:space="preserve">mensual de </w:t>
      </w:r>
      <w:r w:rsidR="007A7CA9" w:rsidRPr="00A2350F">
        <w:rPr>
          <w:rFonts w:cs="Arial"/>
          <w:sz w:val="24"/>
          <w:szCs w:val="24"/>
        </w:rPr>
        <w:t xml:space="preserve">la variable Aj </w:t>
      </w:r>
      <w:r w:rsidRPr="00A2350F">
        <w:rPr>
          <w:rFonts w:cs="Arial"/>
          <w:sz w:val="24"/>
          <w:szCs w:val="24"/>
        </w:rPr>
        <w:t xml:space="preserve">aplicada por cada comercializador </w:t>
      </w:r>
      <w:r w:rsidR="00EC4178" w:rsidRPr="00A2350F">
        <w:rPr>
          <w:rFonts w:cs="Arial"/>
          <w:sz w:val="24"/>
          <w:szCs w:val="24"/>
        </w:rPr>
        <w:t xml:space="preserve">y mercado de comercialización. </w:t>
      </w:r>
    </w:p>
    <w:p w14:paraId="1F191F6F" w14:textId="77777777" w:rsidR="00D50808" w:rsidRPr="00A2350F" w:rsidRDefault="00D50808" w:rsidP="00363D66">
      <w:pPr>
        <w:pStyle w:val="Textoindependiente"/>
        <w:spacing w:before="0" w:after="0" w:line="240" w:lineRule="auto"/>
        <w:ind w:left="720"/>
        <w:rPr>
          <w:rFonts w:cs="Arial"/>
          <w:sz w:val="24"/>
          <w:szCs w:val="24"/>
        </w:rPr>
      </w:pPr>
    </w:p>
    <w:p w14:paraId="54786E97" w14:textId="60802ECF" w:rsidR="007A7CA9" w:rsidRPr="00A2350F" w:rsidRDefault="00D50808" w:rsidP="00D50808">
      <w:pPr>
        <w:pStyle w:val="Textoindependiente"/>
        <w:numPr>
          <w:ilvl w:val="0"/>
          <w:numId w:val="1"/>
        </w:numPr>
        <w:spacing w:before="0" w:after="0" w:line="240" w:lineRule="auto"/>
        <w:rPr>
          <w:rFonts w:cs="Arial"/>
          <w:sz w:val="24"/>
          <w:szCs w:val="24"/>
        </w:rPr>
      </w:pPr>
      <w:r w:rsidRPr="00A2350F">
        <w:rPr>
          <w:rFonts w:cs="Arial"/>
          <w:sz w:val="24"/>
          <w:szCs w:val="24"/>
        </w:rPr>
        <w:t>I</w:t>
      </w:r>
      <w:r w:rsidR="007A7CA9" w:rsidRPr="00A2350F">
        <w:rPr>
          <w:rFonts w:cs="Arial"/>
          <w:sz w:val="24"/>
          <w:szCs w:val="24"/>
        </w:rPr>
        <w:t xml:space="preserve">nformación histórica mensual de </w:t>
      </w:r>
      <w:r w:rsidRPr="00A2350F">
        <w:rPr>
          <w:rFonts w:cs="Arial"/>
          <w:sz w:val="24"/>
          <w:szCs w:val="24"/>
        </w:rPr>
        <w:t xml:space="preserve">cada una de las variables que integran </w:t>
      </w:r>
      <w:r w:rsidR="007A7CA9" w:rsidRPr="00A2350F">
        <w:rPr>
          <w:rFonts w:cs="Arial"/>
          <w:sz w:val="24"/>
          <w:szCs w:val="24"/>
        </w:rPr>
        <w:t xml:space="preserve">el Aj </w:t>
      </w:r>
      <w:r w:rsidRPr="00A2350F">
        <w:rPr>
          <w:rFonts w:cs="Arial"/>
          <w:sz w:val="24"/>
          <w:szCs w:val="24"/>
        </w:rPr>
        <w:t>y que fueran aplicadas por el comercializador</w:t>
      </w:r>
      <w:r w:rsidR="00376EAE" w:rsidRPr="00A2350F">
        <w:rPr>
          <w:rFonts w:cs="Arial"/>
          <w:sz w:val="24"/>
          <w:szCs w:val="24"/>
        </w:rPr>
        <w:t xml:space="preserve"> en cada mercado</w:t>
      </w:r>
      <w:r w:rsidR="006D3381" w:rsidRPr="00A2350F">
        <w:rPr>
          <w:rFonts w:cs="Arial"/>
          <w:sz w:val="24"/>
          <w:szCs w:val="24"/>
        </w:rPr>
        <w:t xml:space="preserve"> de comercialización, calculadas </w:t>
      </w:r>
      <w:r w:rsidR="00C32CCF" w:rsidRPr="00A2350F">
        <w:rPr>
          <w:rFonts w:cs="Arial"/>
          <w:sz w:val="24"/>
          <w:szCs w:val="24"/>
        </w:rPr>
        <w:t xml:space="preserve">según la regulación vigente. </w:t>
      </w:r>
    </w:p>
    <w:p w14:paraId="2CB73AC4" w14:textId="77777777" w:rsidR="00D50808" w:rsidRPr="00A2350F" w:rsidRDefault="00D50808" w:rsidP="00D50808">
      <w:pPr>
        <w:pStyle w:val="Textoindependiente"/>
        <w:spacing w:before="0" w:after="0" w:line="240" w:lineRule="auto"/>
        <w:ind w:left="720"/>
        <w:rPr>
          <w:rFonts w:cs="Arial"/>
          <w:sz w:val="24"/>
          <w:szCs w:val="24"/>
        </w:rPr>
      </w:pPr>
    </w:p>
    <w:p w14:paraId="0B5A741B" w14:textId="77777777" w:rsidR="00DD303D" w:rsidRPr="00A2350F" w:rsidRDefault="00DD303D" w:rsidP="00DD303D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A2350F">
        <w:rPr>
          <w:rFonts w:cs="Arial"/>
          <w:sz w:val="24"/>
          <w:szCs w:val="24"/>
        </w:rPr>
        <w:lastRenderedPageBreak/>
        <w:t>Para el reporte de la información anterior se solicita utilizar el formato anexo a esta circular: “</w:t>
      </w:r>
      <w:proofErr w:type="spellStart"/>
      <w:proofErr w:type="gramStart"/>
      <w:r w:rsidRPr="00A2350F">
        <w:rPr>
          <w:rFonts w:cs="Arial"/>
          <w:sz w:val="24"/>
          <w:szCs w:val="24"/>
        </w:rPr>
        <w:t>FactorAjuste</w:t>
      </w:r>
      <w:proofErr w:type="spellEnd"/>
      <w:r w:rsidRPr="00A2350F">
        <w:rPr>
          <w:rFonts w:cs="Arial"/>
          <w:sz w:val="24"/>
          <w:szCs w:val="24"/>
        </w:rPr>
        <w:t>(</w:t>
      </w:r>
      <w:proofErr w:type="gramEnd"/>
      <w:r w:rsidRPr="00A2350F">
        <w:rPr>
          <w:rFonts w:cs="Arial"/>
          <w:sz w:val="24"/>
          <w:szCs w:val="24"/>
        </w:rPr>
        <w:t>Aj)_y_componentes.xlsx”. Le solicitamos tener en cuenta que los formatos no deben ser alterados y deben remitirse diligenciados y sin ningún tipo de protección contra lectura/escritura, preservando la extensión de archivo xlsx. Así mismo, el reporte en comento debe efectuarse siguiendo los siguientes plazos:</w:t>
      </w:r>
    </w:p>
    <w:p w14:paraId="29F3DBE9" w14:textId="77777777" w:rsidR="00DD303D" w:rsidRPr="00A2350F" w:rsidRDefault="00DD303D" w:rsidP="00DD303D">
      <w:pPr>
        <w:pStyle w:val="Textoindependiente"/>
        <w:numPr>
          <w:ilvl w:val="0"/>
          <w:numId w:val="2"/>
        </w:numPr>
        <w:spacing w:after="0" w:line="240" w:lineRule="auto"/>
        <w:rPr>
          <w:rFonts w:cs="Arial"/>
          <w:sz w:val="24"/>
          <w:szCs w:val="24"/>
        </w:rPr>
      </w:pPr>
      <w:r w:rsidRPr="00A2350F">
        <w:rPr>
          <w:rFonts w:cs="Arial"/>
          <w:sz w:val="24"/>
          <w:szCs w:val="24"/>
        </w:rPr>
        <w:t>Información solicitada en el periodo comprendido entre 2007 y 2017.</w:t>
      </w:r>
    </w:p>
    <w:p w14:paraId="0B48367D" w14:textId="21DF2E76" w:rsidR="00DD303D" w:rsidRPr="00A2350F" w:rsidRDefault="00DD303D" w:rsidP="00DB5782">
      <w:pPr>
        <w:pStyle w:val="Textoindependiente"/>
        <w:spacing w:after="0" w:line="240" w:lineRule="auto"/>
        <w:ind w:left="-709"/>
        <w:rPr>
          <w:rFonts w:cs="Arial"/>
          <w:sz w:val="24"/>
          <w:szCs w:val="24"/>
        </w:rPr>
      </w:pPr>
      <w:r w:rsidRPr="00A2350F">
        <w:rPr>
          <w:rFonts w:cs="Arial"/>
          <w:sz w:val="24"/>
          <w:szCs w:val="24"/>
        </w:rPr>
        <w:t xml:space="preserve">Esta información debe ser reportada en un plazo máximo de veinte (20) días </w:t>
      </w:r>
      <w:r w:rsidR="00D50808" w:rsidRPr="00A2350F">
        <w:rPr>
          <w:rFonts w:cs="Arial"/>
          <w:sz w:val="24"/>
          <w:szCs w:val="24"/>
        </w:rPr>
        <w:t>calendario</w:t>
      </w:r>
      <w:r w:rsidRPr="00A2350F">
        <w:rPr>
          <w:rFonts w:cs="Arial"/>
          <w:sz w:val="24"/>
          <w:szCs w:val="24"/>
        </w:rPr>
        <w:t xml:space="preserve"> a partir del día siguiente de la publicación de la presente circular.</w:t>
      </w:r>
    </w:p>
    <w:p w14:paraId="6C5F1FC4" w14:textId="77777777" w:rsidR="00DD303D" w:rsidRPr="00A2350F" w:rsidRDefault="00DD303D" w:rsidP="00DD303D">
      <w:pPr>
        <w:pStyle w:val="Textoindependiente"/>
        <w:numPr>
          <w:ilvl w:val="0"/>
          <w:numId w:val="2"/>
        </w:numPr>
        <w:spacing w:after="0" w:line="240" w:lineRule="auto"/>
        <w:rPr>
          <w:rFonts w:cs="Arial"/>
          <w:sz w:val="24"/>
          <w:szCs w:val="24"/>
        </w:rPr>
      </w:pPr>
      <w:r w:rsidRPr="00A2350F">
        <w:rPr>
          <w:rFonts w:cs="Arial"/>
          <w:sz w:val="24"/>
          <w:szCs w:val="24"/>
        </w:rPr>
        <w:t>Información solicitada en el periodo comprendido entre 2018 y 2023.</w:t>
      </w:r>
    </w:p>
    <w:p w14:paraId="1852918D" w14:textId="69476E68" w:rsidR="00DD303D" w:rsidRPr="00A2350F" w:rsidRDefault="00DD303D" w:rsidP="00DD303D">
      <w:pPr>
        <w:pStyle w:val="Textoindependiente"/>
        <w:spacing w:after="0" w:line="240" w:lineRule="auto"/>
        <w:ind w:left="720"/>
        <w:rPr>
          <w:rFonts w:cs="Arial"/>
          <w:sz w:val="24"/>
          <w:szCs w:val="24"/>
        </w:rPr>
      </w:pPr>
      <w:r w:rsidRPr="00A2350F">
        <w:rPr>
          <w:rFonts w:cs="Arial"/>
          <w:sz w:val="24"/>
          <w:szCs w:val="24"/>
        </w:rPr>
        <w:t xml:space="preserve">Esta información debe ser reportada en un plazo máximo de diez (10) días </w:t>
      </w:r>
      <w:r w:rsidR="00D50808" w:rsidRPr="00A2350F">
        <w:rPr>
          <w:rFonts w:cs="Arial"/>
          <w:sz w:val="24"/>
          <w:szCs w:val="24"/>
        </w:rPr>
        <w:t>calendario</w:t>
      </w:r>
      <w:r w:rsidRPr="00A2350F">
        <w:rPr>
          <w:rFonts w:cs="Arial"/>
          <w:sz w:val="24"/>
          <w:szCs w:val="24"/>
        </w:rPr>
        <w:t xml:space="preserve"> a partir del día siguiente de la publicación de la presente circular.</w:t>
      </w:r>
    </w:p>
    <w:p w14:paraId="32A67EB4" w14:textId="77777777" w:rsidR="00DD303D" w:rsidRPr="00A2350F" w:rsidRDefault="00DD303D" w:rsidP="00DD303D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385786DF" w14:textId="77777777" w:rsidR="00DD303D" w:rsidRPr="00A2350F" w:rsidRDefault="00DD303D" w:rsidP="00DD303D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A2350F">
        <w:rPr>
          <w:rFonts w:cs="Arial"/>
          <w:sz w:val="24"/>
          <w:szCs w:val="24"/>
        </w:rPr>
        <w:t xml:space="preserve">La información solicitada debe diligenciarse siguiendo las instrucciones aquí señaladas y remitirse al correo electrónico </w:t>
      </w:r>
      <w:hyperlink r:id="rId8" w:history="1">
        <w:r w:rsidRPr="00A2350F">
          <w:rPr>
            <w:rStyle w:val="Hipervnculo"/>
            <w:rFonts w:cs="Arial"/>
            <w:sz w:val="24"/>
            <w:szCs w:val="24"/>
          </w:rPr>
          <w:t>creg@creg.gov.co</w:t>
        </w:r>
      </w:hyperlink>
      <w:r w:rsidRPr="00A2350F">
        <w:rPr>
          <w:rFonts w:cs="Arial"/>
          <w:sz w:val="24"/>
          <w:szCs w:val="24"/>
        </w:rPr>
        <w:t xml:space="preserve">. Si requiere alguna aclaración, puede comunicarse con el asesor Jhan Camilo Pulido al correo </w:t>
      </w:r>
      <w:hyperlink r:id="rId9" w:history="1">
        <w:r w:rsidRPr="00A2350F">
          <w:rPr>
            <w:rStyle w:val="Hipervnculo"/>
            <w:rFonts w:cs="Arial"/>
            <w:sz w:val="24"/>
            <w:szCs w:val="24"/>
          </w:rPr>
          <w:t>jhan.pulido@creg.gov.co</w:t>
        </w:r>
      </w:hyperlink>
      <w:r w:rsidRPr="00A2350F">
        <w:rPr>
          <w:rFonts w:cs="Arial"/>
          <w:sz w:val="24"/>
          <w:szCs w:val="24"/>
        </w:rPr>
        <w:t xml:space="preserve">  </w:t>
      </w:r>
    </w:p>
    <w:p w14:paraId="4DC53D51" w14:textId="77777777" w:rsidR="00974DA9" w:rsidRPr="00A2350F" w:rsidRDefault="00974DA9" w:rsidP="00BA6D78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2D6C9818" w14:textId="5D562B3A" w:rsidR="00BA6D78" w:rsidRPr="00A2350F" w:rsidRDefault="00BA6D78" w:rsidP="00BA6D78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A2350F">
        <w:rPr>
          <w:rFonts w:cs="Arial"/>
          <w:sz w:val="24"/>
          <w:szCs w:val="24"/>
        </w:rPr>
        <w:t>Cordialmente,</w:t>
      </w:r>
    </w:p>
    <w:p w14:paraId="5D3B937D" w14:textId="77777777" w:rsidR="00BA6D78" w:rsidRPr="00A2350F" w:rsidRDefault="00BA6D78" w:rsidP="00BA6D78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519602C4" w14:textId="77777777" w:rsidR="00BA6D78" w:rsidRPr="00A2350F" w:rsidRDefault="00BA6D78" w:rsidP="00BA6D78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02F509AD" w14:textId="119F48DB" w:rsidR="00BA6D78" w:rsidRPr="00A2350F" w:rsidRDefault="00942C23" w:rsidP="00BA6D78">
      <w:pPr>
        <w:pStyle w:val="Textoindependiente"/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 w:rsidRPr="00A2350F">
        <w:rPr>
          <w:rFonts w:cs="Arial"/>
          <w:b/>
          <w:bCs/>
          <w:sz w:val="24"/>
          <w:szCs w:val="24"/>
        </w:rPr>
        <w:t>JOSÉ FERNANDO PRADA RÍOS</w:t>
      </w:r>
    </w:p>
    <w:p w14:paraId="0D80D79D" w14:textId="11923628" w:rsidR="00BA6D78" w:rsidRPr="00A2350F" w:rsidRDefault="00CB7445" w:rsidP="00CB7445">
      <w:pPr>
        <w:pStyle w:val="Director"/>
        <w:jc w:val="center"/>
      </w:pPr>
      <w:r w:rsidRPr="00A2350F">
        <w:t>Director Ejecutivo</w:t>
      </w:r>
    </w:p>
    <w:p w14:paraId="5C28B169" w14:textId="77777777" w:rsidR="00BA6D78" w:rsidRDefault="00BA6D78" w:rsidP="00BA6D78">
      <w:pPr>
        <w:pStyle w:val="Textoindependiente"/>
        <w:spacing w:after="0" w:line="240" w:lineRule="auto"/>
        <w:rPr>
          <w:rFonts w:cs="Arial"/>
        </w:rPr>
      </w:pPr>
    </w:p>
    <w:p w14:paraId="713319D2" w14:textId="379BF99E" w:rsidR="008066FD" w:rsidRPr="00BA6D78" w:rsidRDefault="00BA6D78" w:rsidP="00BA6D78">
      <w:pPr>
        <w:pStyle w:val="Textoindependiente"/>
        <w:spacing w:after="0" w:line="240" w:lineRule="auto"/>
        <w:rPr>
          <w:rFonts w:cs="Arial"/>
        </w:rPr>
      </w:pPr>
      <w:r>
        <w:rPr>
          <w:rFonts w:cs="Arial"/>
        </w:rPr>
        <w:t xml:space="preserve">Anexo: </w:t>
      </w:r>
      <w:proofErr w:type="gramStart"/>
      <w:r w:rsidR="0038655D" w:rsidRPr="0038655D">
        <w:rPr>
          <w:rFonts w:cs="Arial"/>
        </w:rPr>
        <w:t>FactorAjuste(</w:t>
      </w:r>
      <w:proofErr w:type="gramEnd"/>
      <w:r w:rsidR="0038655D" w:rsidRPr="0038655D">
        <w:rPr>
          <w:rFonts w:cs="Arial"/>
        </w:rPr>
        <w:t>Aj)_y_componentes.xlsx</w:t>
      </w:r>
    </w:p>
    <w:sectPr w:rsidR="008066FD" w:rsidRPr="00BA6D78" w:rsidSect="008B094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979" w:right="1418" w:bottom="1985" w:left="1418" w:header="15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64B27" w14:textId="77777777" w:rsidR="005B2BC6" w:rsidRDefault="005B2BC6" w:rsidP="00AA0519">
      <w:r>
        <w:separator/>
      </w:r>
    </w:p>
  </w:endnote>
  <w:endnote w:type="continuationSeparator" w:id="0">
    <w:p w14:paraId="605C44DC" w14:textId="77777777" w:rsidR="005B2BC6" w:rsidRDefault="005B2BC6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ECC2AB7" wp14:editId="1949C643">
          <wp:simplePos x="0" y="0"/>
          <wp:positionH relativeFrom="margin">
            <wp:posOffset>-905789</wp:posOffset>
          </wp:positionH>
          <wp:positionV relativeFrom="paragraph">
            <wp:posOffset>-401320</wp:posOffset>
          </wp:positionV>
          <wp:extent cx="7750098" cy="1248555"/>
          <wp:effectExtent l="0" t="0" r="3810" b="8890"/>
          <wp:wrapNone/>
          <wp:docPr id="2" name="Imagen 2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ED06985" w:rsidR="003F2F4B" w:rsidRDefault="003B1FEC" w:rsidP="003F2F4B">
    <w:pPr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CCCAF8A" wp14:editId="5E0A0A50">
          <wp:simplePos x="0" y="0"/>
          <wp:positionH relativeFrom="page">
            <wp:align>right</wp:align>
          </wp:positionH>
          <wp:positionV relativeFrom="paragraph">
            <wp:posOffset>-401247</wp:posOffset>
          </wp:positionV>
          <wp:extent cx="7750098" cy="1248555"/>
          <wp:effectExtent l="0" t="0" r="3810" b="8890"/>
          <wp:wrapNone/>
          <wp:docPr id="1" name="Imagen 1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2A74C" w14:textId="77777777" w:rsidR="005B2BC6" w:rsidRDefault="005B2BC6" w:rsidP="00AA0519">
      <w:r>
        <w:separator/>
      </w:r>
    </w:p>
  </w:footnote>
  <w:footnote w:type="continuationSeparator" w:id="0">
    <w:p w14:paraId="24BBB5C8" w14:textId="77777777" w:rsidR="005B2BC6" w:rsidRDefault="005B2BC6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8324" w14:textId="35B01887" w:rsidR="003F2F4B" w:rsidRPr="008C0A5F" w:rsidRDefault="00576F26" w:rsidP="008C0A5F">
    <w:pPr>
      <w:pStyle w:val="Destinario"/>
      <w:spacing w:before="240"/>
      <w:ind w:left="708" w:hanging="708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3FA9C58A" wp14:editId="5CBB582F">
          <wp:simplePos x="0" y="0"/>
          <wp:positionH relativeFrom="column">
            <wp:posOffset>3360420</wp:posOffset>
          </wp:positionH>
          <wp:positionV relativeFrom="paragraph">
            <wp:posOffset>-663575</wp:posOffset>
          </wp:positionV>
          <wp:extent cx="3345815" cy="527685"/>
          <wp:effectExtent l="0" t="0" r="6985" b="5715"/>
          <wp:wrapNone/>
          <wp:docPr id="3" name="Imagen 3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5815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43" w:rsidRPr="00C9169C">
      <w:rPr>
        <w:rStyle w:val="DestinatariosegundapginaCar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12A5AF7" wp14:editId="6D6C418E">
          <wp:simplePos x="0" y="0"/>
          <wp:positionH relativeFrom="column">
            <wp:posOffset>-366849</wp:posOffset>
          </wp:positionH>
          <wp:positionV relativeFrom="paragraph">
            <wp:posOffset>-661942</wp:posOffset>
          </wp:positionV>
          <wp:extent cx="1104900" cy="618490"/>
          <wp:effectExtent l="0" t="0" r="0" b="0"/>
          <wp:wrapNone/>
          <wp:docPr id="30" name="Imagen 30" descr="Logo de la Comisión de Regulación de Energía y Gas, CRE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 de la Comisión de Regulación de Energía y Gas, CREG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48E7994E" w:rsidR="00F82573" w:rsidRDefault="00902889" w:rsidP="005B5736">
    <w:pPr>
      <w:pStyle w:val="Encabezado"/>
      <w:tabs>
        <w:tab w:val="clear" w:pos="4419"/>
        <w:tab w:val="left" w:pos="7274"/>
      </w:tabs>
      <w:ind w:right="-1369"/>
    </w:pPr>
    <w:r>
      <w:rPr>
        <w:noProof/>
      </w:rPr>
      <w:drawing>
        <wp:anchor distT="0" distB="0" distL="114300" distR="114300" simplePos="0" relativeHeight="251667456" behindDoc="1" locked="0" layoutInCell="1" allowOverlap="1" wp14:anchorId="77F127B7" wp14:editId="190BA8CC">
          <wp:simplePos x="0" y="0"/>
          <wp:positionH relativeFrom="column">
            <wp:posOffset>3197951</wp:posOffset>
          </wp:positionH>
          <wp:positionV relativeFrom="paragraph">
            <wp:posOffset>-297180</wp:posOffset>
          </wp:positionV>
          <wp:extent cx="3345815" cy="527685"/>
          <wp:effectExtent l="0" t="0" r="6985" b="5715"/>
          <wp:wrapNone/>
          <wp:docPr id="4" name="Imagen 4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5815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1E61">
      <w:rPr>
        <w:noProof/>
      </w:rPr>
      <w:t xml:space="preserve">                                   </w:t>
    </w:r>
    <w:r w:rsidR="00F82573">
      <w:rPr>
        <w:noProof/>
      </w:rPr>
      <w:drawing>
        <wp:anchor distT="0" distB="0" distL="114300" distR="114300" simplePos="0" relativeHeight="251655168" behindDoc="1" locked="0" layoutInCell="1" allowOverlap="1" wp14:anchorId="12C51612" wp14:editId="21CF4D24">
          <wp:simplePos x="0" y="0"/>
          <wp:positionH relativeFrom="column">
            <wp:posOffset>-481330</wp:posOffset>
          </wp:positionH>
          <wp:positionV relativeFrom="paragraph">
            <wp:posOffset>-346710</wp:posOffset>
          </wp:positionV>
          <wp:extent cx="1104900" cy="618490"/>
          <wp:effectExtent l="0" t="0" r="0" b="0"/>
          <wp:wrapNone/>
          <wp:docPr id="33" name="Imagen 33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272BB"/>
    <w:multiLevelType w:val="hybridMultilevel"/>
    <w:tmpl w:val="062624F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FA4D9C"/>
    <w:multiLevelType w:val="hybridMultilevel"/>
    <w:tmpl w:val="3BB282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031492">
    <w:abstractNumId w:val="1"/>
  </w:num>
  <w:num w:numId="2" w16cid:durableId="134613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11EC2"/>
    <w:rsid w:val="00040E20"/>
    <w:rsid w:val="00046BDF"/>
    <w:rsid w:val="00071BA7"/>
    <w:rsid w:val="00074D17"/>
    <w:rsid w:val="000B439A"/>
    <w:rsid w:val="000F11F6"/>
    <w:rsid w:val="000F38B4"/>
    <w:rsid w:val="001215BB"/>
    <w:rsid w:val="00124C31"/>
    <w:rsid w:val="0014353D"/>
    <w:rsid w:val="00153BE7"/>
    <w:rsid w:val="001E2DD2"/>
    <w:rsid w:val="001F303A"/>
    <w:rsid w:val="001F47AB"/>
    <w:rsid w:val="00212267"/>
    <w:rsid w:val="0024085D"/>
    <w:rsid w:val="002C26C3"/>
    <w:rsid w:val="00324760"/>
    <w:rsid w:val="00353D1D"/>
    <w:rsid w:val="0035632E"/>
    <w:rsid w:val="00361DFF"/>
    <w:rsid w:val="00363D66"/>
    <w:rsid w:val="00376EAE"/>
    <w:rsid w:val="0038014E"/>
    <w:rsid w:val="0038655D"/>
    <w:rsid w:val="003A7FC9"/>
    <w:rsid w:val="003B1FEC"/>
    <w:rsid w:val="003C7E1C"/>
    <w:rsid w:val="003F2F4B"/>
    <w:rsid w:val="00401E61"/>
    <w:rsid w:val="004142B1"/>
    <w:rsid w:val="004170AF"/>
    <w:rsid w:val="00456720"/>
    <w:rsid w:val="00457CC2"/>
    <w:rsid w:val="00483D6B"/>
    <w:rsid w:val="004A6CAB"/>
    <w:rsid w:val="004C0855"/>
    <w:rsid w:val="004C69B7"/>
    <w:rsid w:val="004C7883"/>
    <w:rsid w:val="004E017D"/>
    <w:rsid w:val="00510CE9"/>
    <w:rsid w:val="00512520"/>
    <w:rsid w:val="00515BEF"/>
    <w:rsid w:val="0053330D"/>
    <w:rsid w:val="005604AC"/>
    <w:rsid w:val="005723D7"/>
    <w:rsid w:val="00576F26"/>
    <w:rsid w:val="00587F12"/>
    <w:rsid w:val="005A4453"/>
    <w:rsid w:val="005B2BC6"/>
    <w:rsid w:val="005B4F83"/>
    <w:rsid w:val="005B53D9"/>
    <w:rsid w:val="005B5736"/>
    <w:rsid w:val="005C287A"/>
    <w:rsid w:val="005C42EC"/>
    <w:rsid w:val="005D7D66"/>
    <w:rsid w:val="005E366C"/>
    <w:rsid w:val="005F6877"/>
    <w:rsid w:val="00602072"/>
    <w:rsid w:val="00651863"/>
    <w:rsid w:val="006629AD"/>
    <w:rsid w:val="006D1A89"/>
    <w:rsid w:val="006D3381"/>
    <w:rsid w:val="006E1726"/>
    <w:rsid w:val="006E22E8"/>
    <w:rsid w:val="00717096"/>
    <w:rsid w:val="007247FF"/>
    <w:rsid w:val="00735E1F"/>
    <w:rsid w:val="0074199A"/>
    <w:rsid w:val="00752DEC"/>
    <w:rsid w:val="00762CBD"/>
    <w:rsid w:val="0078631A"/>
    <w:rsid w:val="007A7C1D"/>
    <w:rsid w:val="007A7CA9"/>
    <w:rsid w:val="007F42E3"/>
    <w:rsid w:val="007F4E31"/>
    <w:rsid w:val="008066FD"/>
    <w:rsid w:val="00823401"/>
    <w:rsid w:val="00847FE4"/>
    <w:rsid w:val="008776E3"/>
    <w:rsid w:val="008B0943"/>
    <w:rsid w:val="008C0A5F"/>
    <w:rsid w:val="00902889"/>
    <w:rsid w:val="00930F73"/>
    <w:rsid w:val="009350E4"/>
    <w:rsid w:val="00942C23"/>
    <w:rsid w:val="00957BE3"/>
    <w:rsid w:val="00974DA9"/>
    <w:rsid w:val="00976702"/>
    <w:rsid w:val="009A3312"/>
    <w:rsid w:val="009E7865"/>
    <w:rsid w:val="009F3478"/>
    <w:rsid w:val="009F5428"/>
    <w:rsid w:val="00A15CDD"/>
    <w:rsid w:val="00A15D55"/>
    <w:rsid w:val="00A2350F"/>
    <w:rsid w:val="00A84924"/>
    <w:rsid w:val="00A90A86"/>
    <w:rsid w:val="00A92B44"/>
    <w:rsid w:val="00AA0519"/>
    <w:rsid w:val="00AA7A5F"/>
    <w:rsid w:val="00B37FAA"/>
    <w:rsid w:val="00B74DFE"/>
    <w:rsid w:val="00BA6D78"/>
    <w:rsid w:val="00C32CCF"/>
    <w:rsid w:val="00C81E1F"/>
    <w:rsid w:val="00C9169C"/>
    <w:rsid w:val="00C93328"/>
    <w:rsid w:val="00CB3666"/>
    <w:rsid w:val="00CB7445"/>
    <w:rsid w:val="00CD6394"/>
    <w:rsid w:val="00CE66F4"/>
    <w:rsid w:val="00D31768"/>
    <w:rsid w:val="00D50808"/>
    <w:rsid w:val="00D74F40"/>
    <w:rsid w:val="00D754A1"/>
    <w:rsid w:val="00D915DC"/>
    <w:rsid w:val="00DB5782"/>
    <w:rsid w:val="00DD303D"/>
    <w:rsid w:val="00DF79E2"/>
    <w:rsid w:val="00E035CC"/>
    <w:rsid w:val="00E56853"/>
    <w:rsid w:val="00E77923"/>
    <w:rsid w:val="00EC4178"/>
    <w:rsid w:val="00EC5291"/>
    <w:rsid w:val="00F02D43"/>
    <w:rsid w:val="00F13D47"/>
    <w:rsid w:val="00F35EFC"/>
    <w:rsid w:val="00F66BF3"/>
    <w:rsid w:val="00F80B1D"/>
    <w:rsid w:val="00F82573"/>
    <w:rsid w:val="00FA6661"/>
    <w:rsid w:val="00FB07C1"/>
    <w:rsid w:val="00FC759B"/>
    <w:rsid w:val="00FD2A8B"/>
    <w:rsid w:val="00FD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84B9A0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nhideWhenUsed/>
    <w:qFormat/>
    <w:rsid w:val="006E17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rsid w:val="006E172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A6D78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A6D78"/>
    <w:rPr>
      <w:rFonts w:eastAsiaTheme="minorEastAsia"/>
      <w:lang w:val="es-ES_tradnl"/>
    </w:rPr>
  </w:style>
  <w:style w:type="character" w:styleId="Hipervnculo">
    <w:name w:val="Hyperlink"/>
    <w:basedOn w:val="Fuentedeprrafopredeter"/>
    <w:uiPriority w:val="99"/>
    <w:unhideWhenUsed/>
    <w:rsid w:val="00DD303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rsid w:val="00D50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g@creg.gov.c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han.pulido@creg.gov.c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Diana Patino</cp:lastModifiedBy>
  <cp:revision>9</cp:revision>
  <cp:lastPrinted>2022-04-01T14:48:00Z</cp:lastPrinted>
  <dcterms:created xsi:type="dcterms:W3CDTF">2023-05-15T05:31:00Z</dcterms:created>
  <dcterms:modified xsi:type="dcterms:W3CDTF">2023-05-23T14:46:00Z</dcterms:modified>
</cp:coreProperties>
</file>