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10" w:rsidRDefault="00B14E10" w:rsidP="00B14E10">
      <w:pPr>
        <w:rPr>
          <w:rFonts w:ascii="Arial" w:hAnsi="Arial" w:cs="Arial"/>
          <w:sz w:val="22"/>
          <w:szCs w:val="22"/>
          <w:lang w:val="es-MX"/>
        </w:rPr>
      </w:pPr>
      <w:bookmarkStart w:id="0" w:name="_GoBack"/>
      <w:bookmarkEnd w:id="0"/>
    </w:p>
    <w:p w:rsidR="00B14E10" w:rsidRPr="009E0F14" w:rsidRDefault="00B14E10" w:rsidP="00B14E10">
      <w:pPr>
        <w:rPr>
          <w:rFonts w:ascii="Arial" w:hAnsi="Arial" w:cs="Arial"/>
          <w:sz w:val="22"/>
          <w:szCs w:val="22"/>
          <w:lang w:val="es-MX"/>
        </w:rPr>
      </w:pPr>
      <w:r w:rsidRPr="009E0F14">
        <w:rPr>
          <w:rFonts w:ascii="Arial" w:hAnsi="Arial" w:cs="Arial"/>
          <w:sz w:val="22"/>
          <w:szCs w:val="22"/>
          <w:lang w:val="es-MX"/>
        </w:rPr>
        <w:t xml:space="preserve">Bogotá, D. C., </w:t>
      </w:r>
      <w:r w:rsidR="00CF4BDA">
        <w:rPr>
          <w:rFonts w:ascii="Arial" w:hAnsi="Arial" w:cs="Arial"/>
          <w:sz w:val="22"/>
          <w:szCs w:val="22"/>
          <w:lang w:val="es-MX"/>
        </w:rPr>
        <w:t>agosto 13</w:t>
      </w:r>
      <w:r>
        <w:rPr>
          <w:rFonts w:ascii="Arial" w:hAnsi="Arial" w:cs="Arial"/>
          <w:sz w:val="22"/>
          <w:szCs w:val="22"/>
          <w:lang w:val="es-MX"/>
        </w:rPr>
        <w:t xml:space="preserve"> de 2019</w:t>
      </w:r>
    </w:p>
    <w:p w:rsidR="00B14E10" w:rsidRDefault="00B14E10" w:rsidP="00B14E10">
      <w:pPr>
        <w:rPr>
          <w:rFonts w:ascii="Arial" w:hAnsi="Arial" w:cs="Arial"/>
          <w:sz w:val="22"/>
          <w:szCs w:val="22"/>
          <w:lang w:val="es-MX"/>
        </w:rPr>
      </w:pPr>
    </w:p>
    <w:p w:rsidR="00B14E10" w:rsidRPr="009E0F14" w:rsidRDefault="00B14E10" w:rsidP="00B14E10">
      <w:pPr>
        <w:rPr>
          <w:rFonts w:ascii="Arial" w:hAnsi="Arial" w:cs="Arial"/>
          <w:sz w:val="22"/>
          <w:szCs w:val="22"/>
          <w:lang w:val="es-MX"/>
        </w:rPr>
      </w:pPr>
    </w:p>
    <w:p w:rsidR="00B14E10" w:rsidRPr="009E0F14" w:rsidRDefault="00B14E10" w:rsidP="00B14E10">
      <w:pPr>
        <w:pStyle w:val="Ttulo5"/>
        <w:jc w:val="center"/>
        <w:rPr>
          <w:rFonts w:ascii="Arial" w:hAnsi="Arial" w:cs="Arial"/>
          <w:b/>
          <w:bCs/>
          <w:i/>
          <w:iCs/>
          <w:kern w:val="60"/>
          <w:sz w:val="40"/>
          <w:szCs w:val="40"/>
        </w:rPr>
      </w:pPr>
      <w:r w:rsidRPr="009E0F14">
        <w:rPr>
          <w:rFonts w:ascii="Arial" w:hAnsi="Arial" w:cs="Arial"/>
          <w:b/>
          <w:bCs/>
          <w:i/>
          <w:iCs/>
          <w:kern w:val="60"/>
          <w:sz w:val="40"/>
          <w:szCs w:val="40"/>
        </w:rPr>
        <w:t>CIRCULAR No.</w:t>
      </w:r>
      <w:r>
        <w:rPr>
          <w:rFonts w:ascii="Arial" w:hAnsi="Arial" w:cs="Arial"/>
          <w:b/>
          <w:bCs/>
          <w:i/>
          <w:iCs/>
          <w:kern w:val="60"/>
          <w:sz w:val="40"/>
          <w:szCs w:val="40"/>
        </w:rPr>
        <w:t>0</w:t>
      </w:r>
      <w:r w:rsidR="00CF4BDA">
        <w:rPr>
          <w:rFonts w:ascii="Arial" w:hAnsi="Arial" w:cs="Arial"/>
          <w:b/>
          <w:bCs/>
          <w:i/>
          <w:iCs/>
          <w:kern w:val="60"/>
          <w:sz w:val="40"/>
          <w:szCs w:val="40"/>
        </w:rPr>
        <w:t>63</w:t>
      </w:r>
    </w:p>
    <w:p w:rsidR="00B14E10" w:rsidRDefault="00B14E10" w:rsidP="00B14E10">
      <w:pPr>
        <w:rPr>
          <w:rFonts w:ascii="Arial" w:hAnsi="Arial" w:cs="Arial"/>
          <w:sz w:val="22"/>
          <w:szCs w:val="22"/>
          <w:lang w:val="es-MX"/>
        </w:rPr>
      </w:pPr>
    </w:p>
    <w:p w:rsidR="00B14E10" w:rsidRPr="00AE7C1A" w:rsidRDefault="00B14E10" w:rsidP="00B14E10">
      <w:pPr>
        <w:rPr>
          <w:rFonts w:ascii="Arial" w:hAnsi="Arial" w:cs="Arial"/>
          <w:sz w:val="22"/>
          <w:szCs w:val="22"/>
          <w:lang w:val="es-MX"/>
        </w:rPr>
      </w:pPr>
    </w:p>
    <w:p w:rsidR="00B14E10" w:rsidRPr="00AE7C1A" w:rsidRDefault="00B14E10" w:rsidP="00AE7C1A">
      <w:pPr>
        <w:pStyle w:val="Sangradetextonormal"/>
        <w:spacing w:after="360"/>
        <w:ind w:left="1412" w:hanging="1412"/>
        <w:rPr>
          <w:rFonts w:ascii="Arial" w:hAnsi="Arial" w:cs="Arial"/>
          <w:b/>
          <w:sz w:val="22"/>
          <w:szCs w:val="22"/>
        </w:rPr>
      </w:pPr>
      <w:r w:rsidRPr="00AE7C1A">
        <w:rPr>
          <w:rFonts w:ascii="Arial" w:hAnsi="Arial" w:cs="Arial"/>
          <w:b/>
          <w:sz w:val="22"/>
          <w:szCs w:val="22"/>
        </w:rPr>
        <w:t>PARA:</w:t>
      </w:r>
      <w:r w:rsidRPr="00AE7C1A">
        <w:rPr>
          <w:rFonts w:ascii="Arial" w:hAnsi="Arial" w:cs="Arial"/>
          <w:b/>
          <w:sz w:val="22"/>
          <w:szCs w:val="22"/>
        </w:rPr>
        <w:tab/>
        <w:t>OPERADORES DE RED</w:t>
      </w:r>
    </w:p>
    <w:p w:rsidR="00B14E10" w:rsidRPr="00AE7C1A" w:rsidRDefault="00B14E10" w:rsidP="00AE7C1A">
      <w:pPr>
        <w:pStyle w:val="Sangradetextonormal"/>
        <w:spacing w:after="360"/>
        <w:ind w:left="1412" w:hanging="1412"/>
        <w:rPr>
          <w:rFonts w:ascii="Arial" w:hAnsi="Arial" w:cs="Arial"/>
          <w:b/>
          <w:sz w:val="22"/>
          <w:szCs w:val="22"/>
        </w:rPr>
      </w:pPr>
      <w:r w:rsidRPr="00AE7C1A">
        <w:rPr>
          <w:rFonts w:ascii="Arial" w:hAnsi="Arial" w:cs="Arial"/>
          <w:b/>
          <w:sz w:val="22"/>
          <w:szCs w:val="22"/>
        </w:rPr>
        <w:t>DE:</w:t>
      </w:r>
      <w:r w:rsidRPr="00AE7C1A">
        <w:rPr>
          <w:rFonts w:ascii="Arial" w:hAnsi="Arial" w:cs="Arial"/>
          <w:b/>
          <w:sz w:val="22"/>
          <w:szCs w:val="22"/>
        </w:rPr>
        <w:tab/>
        <w:t>DIRECCIÓN EJECUTIVA</w:t>
      </w:r>
    </w:p>
    <w:p w:rsidR="00B14E10" w:rsidRDefault="00B14E10" w:rsidP="00AE7C1A">
      <w:pPr>
        <w:pStyle w:val="Sangradetextonormal"/>
        <w:spacing w:after="360"/>
        <w:ind w:left="1412" w:hanging="1412"/>
        <w:rPr>
          <w:rFonts w:ascii="Arial" w:hAnsi="Arial" w:cs="Arial"/>
          <w:b/>
          <w:sz w:val="22"/>
          <w:szCs w:val="22"/>
        </w:rPr>
      </w:pPr>
      <w:r w:rsidRPr="00AE7C1A">
        <w:rPr>
          <w:rFonts w:ascii="Arial" w:hAnsi="Arial" w:cs="Arial"/>
          <w:b/>
          <w:sz w:val="22"/>
          <w:szCs w:val="22"/>
        </w:rPr>
        <w:t>ASUNTO:</w:t>
      </w:r>
      <w:r w:rsidRPr="00AE7C1A">
        <w:rPr>
          <w:rFonts w:ascii="Arial" w:hAnsi="Arial" w:cs="Arial"/>
          <w:b/>
          <w:sz w:val="22"/>
          <w:szCs w:val="22"/>
        </w:rPr>
        <w:tab/>
        <w:t>CAUSAS DE EVENTOS EN LOS SDL</w:t>
      </w:r>
    </w:p>
    <w:p w:rsidR="00CF4BDA" w:rsidRPr="00AE7C1A" w:rsidRDefault="00CF4BDA" w:rsidP="00CF4BDA">
      <w:pPr>
        <w:pStyle w:val="Sangradetextonormal"/>
        <w:spacing w:after="0"/>
        <w:ind w:left="1412" w:hanging="1412"/>
        <w:rPr>
          <w:rFonts w:ascii="Arial" w:hAnsi="Arial" w:cs="Arial"/>
          <w:b/>
          <w:sz w:val="22"/>
          <w:szCs w:val="22"/>
        </w:rPr>
      </w:pPr>
    </w:p>
    <w:p w:rsidR="00B14E10" w:rsidRDefault="00B14E10" w:rsidP="00B14E10">
      <w:pPr>
        <w:pStyle w:val="Textoindependiente"/>
        <w:spacing w:after="0" w:line="240" w:lineRule="auto"/>
        <w:rPr>
          <w:rFonts w:cs="Arial"/>
          <w:sz w:val="22"/>
          <w:szCs w:val="22"/>
        </w:rPr>
      </w:pPr>
      <w:r>
        <w:rPr>
          <w:rFonts w:cs="Arial"/>
          <w:sz w:val="22"/>
          <w:szCs w:val="22"/>
        </w:rPr>
        <w:t>Con base en las modificaciones realizadas en la Resolución CREG 036 de 2018 y los comentarios recibidos acerca de la Circular CREG 062 de 2018, se modifica el listado de causas de eventos que debe utilizarse para el registro y reporte de la información de eventos programados y no programados en los Sistemas de Distribución Local, SDL.</w:t>
      </w:r>
    </w:p>
    <w:p w:rsidR="00B14E10" w:rsidRDefault="00B14E10" w:rsidP="00B14E10">
      <w:pPr>
        <w:pStyle w:val="Textoindependiente"/>
        <w:spacing w:after="0" w:line="240" w:lineRule="auto"/>
        <w:rPr>
          <w:rFonts w:cs="Arial"/>
          <w:sz w:val="22"/>
          <w:szCs w:val="22"/>
        </w:rPr>
      </w:pPr>
    </w:p>
    <w:p w:rsidR="00B14E10" w:rsidRDefault="00B14E10" w:rsidP="00B14E10">
      <w:pPr>
        <w:pStyle w:val="Textoindependiente"/>
        <w:spacing w:after="0" w:line="240" w:lineRule="auto"/>
        <w:rPr>
          <w:rFonts w:cs="Arial"/>
          <w:sz w:val="22"/>
          <w:szCs w:val="22"/>
        </w:rPr>
      </w:pPr>
      <w:r>
        <w:rPr>
          <w:rFonts w:cs="Arial"/>
          <w:sz w:val="22"/>
          <w:szCs w:val="22"/>
        </w:rPr>
        <w:t>En esta modificación no se recodifican las causas identificadas en la Circular CREG 062 de 2018 sino que se eliminan las causas 5, 6 y 21 y se adicionan las causas 43, 44 y 45. Esto con el fin de causar la menor afectación al reporte de eventos del año 2019 que se encuentran haciendo los OR con base en el literal c. del numeral 5.2.16 de la Resolución CREG 015 de 2018.</w:t>
      </w:r>
    </w:p>
    <w:p w:rsidR="00B14E10" w:rsidRDefault="00B14E10" w:rsidP="00B14E10">
      <w:pPr>
        <w:pStyle w:val="Textoindependiente"/>
        <w:spacing w:after="0" w:line="240" w:lineRule="auto"/>
        <w:rPr>
          <w:rFonts w:cs="Arial"/>
          <w:sz w:val="22"/>
          <w:szCs w:val="22"/>
        </w:rPr>
      </w:pPr>
    </w:p>
    <w:p w:rsidR="00B14E10" w:rsidRDefault="00B14E10" w:rsidP="00B14E10">
      <w:pPr>
        <w:pStyle w:val="Textoindependiente"/>
        <w:spacing w:after="0" w:line="240" w:lineRule="auto"/>
        <w:rPr>
          <w:rFonts w:cs="Arial"/>
          <w:sz w:val="22"/>
          <w:szCs w:val="22"/>
        </w:rPr>
      </w:pPr>
      <w:r>
        <w:rPr>
          <w:rFonts w:cs="Arial"/>
          <w:sz w:val="22"/>
          <w:szCs w:val="22"/>
        </w:rPr>
        <w:t>Este listado de causas se establece con base en las disposiciones contenidas en la Resolución CREG 015 de 2018 sobre calidad del servicio en los Sistemas de Distribución Local, SDL, particularmente lo establecido en el numeral 5.2.11.2 del anexo general, y después de analizar la propuesta hecha a la Comisión por el Consejo Nacional de Operación, CNO.</w:t>
      </w:r>
    </w:p>
    <w:p w:rsidR="00B14E10" w:rsidRDefault="00B14E10" w:rsidP="00B14E10">
      <w:pPr>
        <w:pStyle w:val="Textoindependiente"/>
        <w:spacing w:after="0" w:line="240" w:lineRule="auto"/>
        <w:rPr>
          <w:rFonts w:cs="Arial"/>
          <w:sz w:val="22"/>
          <w:szCs w:val="22"/>
        </w:rPr>
      </w:pPr>
    </w:p>
    <w:p w:rsidR="00B14E10" w:rsidRDefault="00B14E10" w:rsidP="00B14E10">
      <w:pPr>
        <w:pStyle w:val="Textoindependiente"/>
        <w:spacing w:after="0" w:line="240" w:lineRule="auto"/>
        <w:rPr>
          <w:rFonts w:cs="Arial"/>
          <w:sz w:val="22"/>
          <w:szCs w:val="22"/>
        </w:rPr>
      </w:pPr>
      <w:r>
        <w:rPr>
          <w:rFonts w:cs="Arial"/>
          <w:sz w:val="22"/>
          <w:szCs w:val="22"/>
        </w:rPr>
        <w:t>El listado contiene los siguientes campos: código, causa de evento, descripción, clasificación de programada o no programada según el numeral 5.2.1 del anexo general de la Resolución CREG 015 de 2018 y causa de exclusión, en caso de que aplique, según el numeral 5.2.2 del mismo anexo.</w:t>
      </w:r>
    </w:p>
    <w:p w:rsidR="00B14E10" w:rsidRDefault="00B14E10" w:rsidP="00B14E10">
      <w:pPr>
        <w:pStyle w:val="Textoindependiente"/>
        <w:spacing w:after="0" w:line="240" w:lineRule="auto"/>
        <w:rPr>
          <w:rFonts w:cs="Arial"/>
          <w:sz w:val="22"/>
          <w:szCs w:val="22"/>
        </w:rPr>
      </w:pPr>
    </w:p>
    <w:p w:rsidR="00B14E10" w:rsidRDefault="00B14E10" w:rsidP="00B14E10">
      <w:pPr>
        <w:pStyle w:val="Textoindependiente"/>
        <w:spacing w:after="0" w:line="240" w:lineRule="auto"/>
        <w:rPr>
          <w:rFonts w:cs="Arial"/>
          <w:sz w:val="22"/>
          <w:szCs w:val="22"/>
        </w:rPr>
      </w:pPr>
      <w:r>
        <w:rPr>
          <w:rFonts w:cs="Arial"/>
          <w:sz w:val="22"/>
          <w:szCs w:val="22"/>
        </w:rPr>
        <w:t xml:space="preserve">Debe tenerse en cuenta que la exclusión de eventos con duración menor o igual a tres minutos mencionada </w:t>
      </w:r>
      <w:r w:rsidRPr="009F21FC">
        <w:rPr>
          <w:rFonts w:cs="Arial"/>
          <w:sz w:val="22"/>
          <w:szCs w:val="22"/>
        </w:rPr>
        <w:t xml:space="preserve">en </w:t>
      </w:r>
      <w:r>
        <w:rPr>
          <w:rFonts w:cs="Arial"/>
          <w:sz w:val="22"/>
          <w:szCs w:val="22"/>
        </w:rPr>
        <w:t xml:space="preserve">el </w:t>
      </w:r>
      <w:r w:rsidRPr="009F21FC">
        <w:rPr>
          <w:rFonts w:cs="Arial"/>
          <w:sz w:val="22"/>
          <w:szCs w:val="22"/>
        </w:rPr>
        <w:t>literal a.</w:t>
      </w:r>
      <w:r>
        <w:rPr>
          <w:rFonts w:cs="Arial"/>
          <w:sz w:val="22"/>
          <w:szCs w:val="22"/>
        </w:rPr>
        <w:t xml:space="preserve"> </w:t>
      </w:r>
      <w:r w:rsidRPr="009F21FC">
        <w:rPr>
          <w:rFonts w:cs="Arial"/>
          <w:sz w:val="22"/>
          <w:szCs w:val="22"/>
        </w:rPr>
        <w:t xml:space="preserve">del numeral 5.2.2, solo debe realizarse a través del </w:t>
      </w:r>
      <w:r w:rsidRPr="009F21FC">
        <w:rPr>
          <w:rFonts w:cs="Arial"/>
          <w:sz w:val="22"/>
          <w:szCs w:val="22"/>
          <w:u w:val="single"/>
        </w:rPr>
        <w:t>reporte</w:t>
      </w:r>
      <w:r w:rsidRPr="009F21FC">
        <w:rPr>
          <w:rFonts w:cs="Arial"/>
          <w:sz w:val="22"/>
          <w:szCs w:val="22"/>
        </w:rPr>
        <w:t xml:space="preserve"> diario de eventos al LAC. Esta es la única posibilidad que se tiene para excluir un evento por una condición diferente a que la causa del evento sea clasificada excluible según los demás literales del mencionado numeral.</w:t>
      </w:r>
      <w:r>
        <w:rPr>
          <w:rFonts w:cs="Arial"/>
          <w:sz w:val="22"/>
          <w:szCs w:val="22"/>
        </w:rPr>
        <w:t xml:space="preserve"> </w:t>
      </w:r>
    </w:p>
    <w:p w:rsidR="00B14E10" w:rsidRDefault="00B14E10" w:rsidP="00B14E10">
      <w:pPr>
        <w:pStyle w:val="Textoindependiente"/>
        <w:spacing w:after="0" w:line="240" w:lineRule="auto"/>
        <w:rPr>
          <w:rFonts w:cs="Arial"/>
          <w:sz w:val="22"/>
          <w:szCs w:val="22"/>
        </w:rPr>
      </w:pPr>
    </w:p>
    <w:p w:rsidR="00B14E10" w:rsidRDefault="00B14E10" w:rsidP="00B14E10">
      <w:pPr>
        <w:pStyle w:val="Textoindependiente"/>
        <w:spacing w:after="0" w:line="240" w:lineRule="auto"/>
        <w:rPr>
          <w:rFonts w:cs="Arial"/>
          <w:sz w:val="22"/>
          <w:szCs w:val="22"/>
        </w:rPr>
      </w:pPr>
      <w:r>
        <w:rPr>
          <w:rFonts w:cs="Arial"/>
          <w:sz w:val="22"/>
          <w:szCs w:val="22"/>
        </w:rPr>
        <w:t>Esta circular reemplaza en su totalidad lo dispuesto en la Circular CREG 062 de 2018.</w:t>
      </w:r>
    </w:p>
    <w:p w:rsidR="00B14E10" w:rsidRDefault="00B14E10" w:rsidP="00B14E10">
      <w:pPr>
        <w:pStyle w:val="Textoindependiente"/>
        <w:spacing w:after="0" w:line="240" w:lineRule="auto"/>
        <w:rPr>
          <w:rFonts w:cs="Arial"/>
          <w:sz w:val="22"/>
          <w:szCs w:val="22"/>
        </w:rPr>
      </w:pPr>
    </w:p>
    <w:p w:rsidR="00B14E10" w:rsidRPr="009E0F14" w:rsidRDefault="00B14E10" w:rsidP="00B14E10">
      <w:pPr>
        <w:pStyle w:val="Textoindependiente"/>
        <w:spacing w:after="0" w:line="240" w:lineRule="auto"/>
        <w:rPr>
          <w:rFonts w:cs="Arial"/>
          <w:sz w:val="22"/>
          <w:szCs w:val="22"/>
        </w:rPr>
      </w:pPr>
      <w:r w:rsidRPr="009E0F14">
        <w:rPr>
          <w:rFonts w:cs="Arial"/>
          <w:sz w:val="22"/>
          <w:szCs w:val="22"/>
        </w:rPr>
        <w:t>Cordialmente,</w:t>
      </w:r>
    </w:p>
    <w:p w:rsidR="00B14E10" w:rsidRPr="009E0F14" w:rsidRDefault="00B14E10" w:rsidP="00B14E10">
      <w:pPr>
        <w:jc w:val="center"/>
        <w:rPr>
          <w:rFonts w:ascii="Arial" w:hAnsi="Arial" w:cs="Arial"/>
          <w:sz w:val="22"/>
          <w:szCs w:val="22"/>
        </w:rPr>
      </w:pPr>
    </w:p>
    <w:p w:rsidR="00AE7C1A" w:rsidRDefault="00AE7C1A" w:rsidP="00B14E10">
      <w:pPr>
        <w:pStyle w:val="Textoindependiente"/>
        <w:spacing w:after="0" w:line="240" w:lineRule="auto"/>
        <w:jc w:val="center"/>
        <w:rPr>
          <w:rFonts w:cs="Arial"/>
          <w:sz w:val="22"/>
          <w:szCs w:val="22"/>
        </w:rPr>
      </w:pPr>
    </w:p>
    <w:p w:rsidR="00CF4BDA" w:rsidRDefault="00CF4BDA" w:rsidP="00AE7C1A">
      <w:pPr>
        <w:pStyle w:val="Textoindependiente"/>
        <w:spacing w:after="0" w:line="240" w:lineRule="auto"/>
        <w:jc w:val="center"/>
        <w:rPr>
          <w:rFonts w:cs="Arial"/>
          <w:sz w:val="22"/>
          <w:szCs w:val="22"/>
        </w:rPr>
      </w:pPr>
    </w:p>
    <w:p w:rsidR="00CF4BDA" w:rsidRDefault="00CF4BDA" w:rsidP="00AE7C1A">
      <w:pPr>
        <w:pStyle w:val="Textoindependiente"/>
        <w:spacing w:after="0" w:line="240" w:lineRule="auto"/>
        <w:jc w:val="center"/>
        <w:rPr>
          <w:rFonts w:cs="Arial"/>
          <w:sz w:val="22"/>
          <w:szCs w:val="22"/>
        </w:rPr>
      </w:pPr>
    </w:p>
    <w:p w:rsidR="00B14E10" w:rsidRDefault="00B14E10" w:rsidP="00AE7C1A">
      <w:pPr>
        <w:pStyle w:val="Textoindependiente"/>
        <w:spacing w:after="0" w:line="240" w:lineRule="auto"/>
        <w:jc w:val="center"/>
        <w:rPr>
          <w:rFonts w:cs="Arial"/>
          <w:sz w:val="22"/>
          <w:szCs w:val="22"/>
        </w:rPr>
      </w:pPr>
      <w:r w:rsidRPr="00C7314A">
        <w:rPr>
          <w:rFonts w:cs="Arial"/>
          <w:sz w:val="22"/>
          <w:szCs w:val="22"/>
        </w:rPr>
        <w:t>CHRISTIAN JARAMILLO HERRERA</w:t>
      </w:r>
    </w:p>
    <w:p w:rsidR="00B14E10" w:rsidRDefault="00B14E10" w:rsidP="00B14E10">
      <w:pPr>
        <w:pStyle w:val="Textoindependiente"/>
        <w:spacing w:after="0" w:line="240" w:lineRule="auto"/>
        <w:jc w:val="center"/>
        <w:rPr>
          <w:rFonts w:cs="Arial"/>
          <w:b/>
          <w:sz w:val="22"/>
          <w:szCs w:val="22"/>
        </w:rPr>
      </w:pPr>
      <w:r w:rsidRPr="00F90845">
        <w:rPr>
          <w:rFonts w:cs="Arial"/>
          <w:b/>
          <w:sz w:val="22"/>
          <w:szCs w:val="22"/>
        </w:rPr>
        <w:lastRenderedPageBreak/>
        <w:t>ANEXO</w:t>
      </w:r>
    </w:p>
    <w:p w:rsidR="00B14E10" w:rsidRDefault="00B14E10" w:rsidP="00B14E10">
      <w:pPr>
        <w:pStyle w:val="Textoindependiente"/>
        <w:spacing w:after="0" w:line="240" w:lineRule="auto"/>
        <w:jc w:val="center"/>
        <w:rPr>
          <w:rFonts w:cs="Arial"/>
          <w:b/>
          <w:sz w:val="22"/>
          <w:szCs w:val="22"/>
        </w:rPr>
      </w:pPr>
    </w:p>
    <w:p w:rsidR="00B14E10" w:rsidRPr="00F90845" w:rsidRDefault="00B14E10" w:rsidP="00B14E10">
      <w:pPr>
        <w:pStyle w:val="Textoindependiente"/>
        <w:spacing w:after="0" w:line="240" w:lineRule="auto"/>
        <w:jc w:val="center"/>
        <w:rPr>
          <w:rFonts w:cs="Arial"/>
          <w:b/>
          <w:sz w:val="22"/>
          <w:szCs w:val="22"/>
        </w:rPr>
      </w:pPr>
    </w:p>
    <w:tbl>
      <w:tblPr>
        <w:tblStyle w:val="Tabladecuadrcula1clara"/>
        <w:tblW w:w="8918" w:type="dxa"/>
        <w:tblLook w:val="04A0" w:firstRow="1" w:lastRow="0" w:firstColumn="1" w:lastColumn="0" w:noHBand="0" w:noVBand="1"/>
      </w:tblPr>
      <w:tblGrid>
        <w:gridCol w:w="986"/>
        <w:gridCol w:w="1976"/>
        <w:gridCol w:w="2771"/>
        <w:gridCol w:w="1626"/>
        <w:gridCol w:w="1559"/>
      </w:tblGrid>
      <w:tr w:rsidR="00B14E10" w:rsidRPr="00B14E10" w:rsidTr="001E60B6">
        <w:trPr>
          <w:cnfStyle w:val="100000000000" w:firstRow="1" w:lastRow="0" w:firstColumn="0" w:lastColumn="0" w:oddVBand="0" w:evenVBand="0" w:oddHBand="0" w:evenHBand="0" w:firstRowFirstColumn="0" w:firstRowLastColumn="0" w:lastRowFirstColumn="0" w:lastRowLastColumn="0"/>
          <w:trHeight w:val="552"/>
          <w:tblHeader/>
        </w:trPr>
        <w:tc>
          <w:tcPr>
            <w:cnfStyle w:val="001000000000" w:firstRow="0" w:lastRow="0" w:firstColumn="1" w:lastColumn="0" w:oddVBand="0" w:evenVBand="0" w:oddHBand="0" w:evenHBand="0" w:firstRowFirstColumn="0" w:firstRowLastColumn="0" w:lastRowFirstColumn="0" w:lastRowLastColumn="0"/>
            <w:tcW w:w="988" w:type="dxa"/>
            <w:vAlign w:val="center"/>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CÓDIGO</w:t>
            </w:r>
          </w:p>
        </w:tc>
        <w:tc>
          <w:tcPr>
            <w:tcW w:w="2001" w:type="dxa"/>
            <w:vAlign w:val="center"/>
          </w:tcPr>
          <w:p w:rsidR="00B14E10" w:rsidRPr="00B14E10" w:rsidRDefault="00B14E10" w:rsidP="00B14E1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CAUSA DE EVENTO</w:t>
            </w:r>
          </w:p>
        </w:tc>
        <w:tc>
          <w:tcPr>
            <w:tcW w:w="2818" w:type="dxa"/>
            <w:vAlign w:val="center"/>
          </w:tcPr>
          <w:p w:rsidR="00B14E10" w:rsidRPr="00B14E10" w:rsidRDefault="00B14E10" w:rsidP="00B14E1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DESCRIPCIÓN</w:t>
            </w:r>
          </w:p>
        </w:tc>
        <w:tc>
          <w:tcPr>
            <w:tcW w:w="1552" w:type="dxa"/>
            <w:vAlign w:val="center"/>
          </w:tcPr>
          <w:p w:rsidR="00B14E10" w:rsidRPr="00B14E10" w:rsidRDefault="00B14E10" w:rsidP="00B14E1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CLASIFICACIÓN</w:t>
            </w:r>
          </w:p>
        </w:tc>
        <w:tc>
          <w:tcPr>
            <w:tcW w:w="1559" w:type="dxa"/>
            <w:vAlign w:val="center"/>
          </w:tcPr>
          <w:p w:rsidR="00B14E10" w:rsidRPr="00B14E10" w:rsidRDefault="00B14E10" w:rsidP="00B14E1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CAUSA DE EXCLUSIÓN</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Afectación de usuarios de transformador por desconexión programada de un único usuario</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causada a usuarios de un transformador debido a la desconexión de un único usuario.</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 por ejecución de esquemas suplementarios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Aperturas por actuaciones de esquemas suplementarios que operan en 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Aperturas programadas en zonas especiales por fuera del periodo de continuidad acordado</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programada en el activo que conforma una zona especial, por fuera de las horas correspondientes a los periodos de continuidad acordados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i</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4</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Incumplimiento en contrato de servicios públicos por parte del usuario</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solicitada por el comercializador debido al incumplimiento del contrato de condiciones uniformes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k</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7</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Limitación del suministro por incumplimiento del comercializador</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solicitada por el CND en cumplimiento de un programa de limitación de suministro aplicable a los clientes de un determinado comercializador que incumple con los requisitos establecidos en la regulación vigente</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l</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8</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Mantenimiento del transformador de potencia o de sus equipos asociados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por mantenimiento en el transformador de potencia del SDL y sus equipos o módulos de conexión asociados, remunerados en 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9</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Mantenimiento preventivo sobre las redes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para realizar trabajos de mantenimiento preventivo sobre las redes o alrededor de ellas (poda de árboles)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1104"/>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10</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Plan anual de trabajos de reposición o modernización de subestaciones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por trabajos de modernización o reposición de subestaciones incluidos en el plan de inversiones aprobado por la CREG e informados a la SSPD y a los usuarios afectados, según los términos definidos en el literal n. del numeral 5.2.2. de la Resolución CREG 015 de 2018</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n</w:t>
            </w:r>
          </w:p>
        </w:tc>
      </w:tr>
      <w:tr w:rsidR="00B14E10" w:rsidRPr="00B14E10" w:rsidTr="001E60B6">
        <w:trPr>
          <w:trHeight w:val="1380"/>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lastRenderedPageBreak/>
              <w:t>11</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Proyectos de adecuaciones y traslado de infraestructura eléctrica</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por proyectos relacionados con adecuaciones y traslados de infraestructura eléctrica o planes de ordenamiento territorial solicitados por entes gubernamentales, entidades distritales, municipales, departamentales, organismos estatales competentes en temas de infraestructura y medio ambiente, o demás autoridades, o por proyectos de desarrollo en concordancia con planes de ordenamiento territorial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m</w:t>
            </w:r>
          </w:p>
        </w:tc>
      </w:tr>
      <w:tr w:rsidR="00B14E10" w:rsidRPr="00B14E10" w:rsidTr="001E60B6">
        <w:trPr>
          <w:trHeight w:val="1104"/>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12</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Racionamiento en el SIN</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por racionamiento programado o por racionamiento de emergencia del sistema eléctrico nacional debido a insuficiencia en la generación nacional o por otros eventos en generación o transmisión, siempre y cuando así hayan sido definidos por el CND.</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b</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13</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Remodelación, reposición o ampliación de redes en el SDL</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trabajos de remodelación, reposición o ampliación de las redes de distribució</w:t>
            </w:r>
            <w:r w:rsidRPr="00B14E10">
              <w:rPr>
                <w:rFonts w:ascii="Arial" w:eastAsia="Times New Roman" w:hAnsi="Arial" w:cs="Arial"/>
                <w:sz w:val="18"/>
                <w:szCs w:val="18"/>
                <w:lang w:val="es-CO" w:eastAsia="es-CO"/>
              </w:rPr>
              <w:t>n que no corresponden a los descritos en el literal n. del numeral 5.2.2 del anexo general de la Resolución CREG 015 de 2018.</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14</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Solicitud de particulares propietarios del activo</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 solicitada por el usuario propietario de su activo</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1104"/>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15</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Acciones de terceros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 generada por acciones de terceros, tales como vandalismo, robo de infraestructura, asonada, choques de vehículos, excavadoras, drone, parapentes, cableoperadores o aeronaves, contra las redes del SDL o contra las estructuras que las soportan</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16</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Acercamiento entre redes del SDL</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acercamiento entre redes de un mismo circuito o entre redes de diferentes circuitos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28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lastRenderedPageBreak/>
              <w:t>17</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Actos de terrorismo</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la ocurrencia de un atentado terrorista</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h</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18</w:t>
            </w:r>
          </w:p>
        </w:tc>
        <w:tc>
          <w:tcPr>
            <w:tcW w:w="2001" w:type="dxa"/>
            <w:hideMark/>
          </w:tcPr>
          <w:p w:rsidR="00B14E10" w:rsidRPr="00B14E10" w:rsidRDefault="001E60B6"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Afectación</w:t>
            </w:r>
            <w:r w:rsidR="00B14E10" w:rsidRPr="00B14E10">
              <w:rPr>
                <w:rFonts w:ascii="Arial" w:eastAsia="Times New Roman" w:hAnsi="Arial" w:cs="Arial"/>
                <w:sz w:val="18"/>
                <w:szCs w:val="18"/>
                <w:lang w:val="es-CO" w:eastAsia="es-CO"/>
              </w:rPr>
              <w:t xml:space="preserve"> por fallas en redes de otros OR</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 en el SDL causada por falla en redes de otro operador de red</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28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19</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Animales sobre las redes del SDL</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el contacto de animales con las redes del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20</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 xml:space="preserve">Apertura en redes del SDL por causa de equipos o líneas del STN o STR </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Interrupciones en el SDL por apertura programada o no programada de equipos o líneas remuneradas en el STR o el STN</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c</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22</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por equipo o material con defecto de fabricación</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la utilización de un equipo o material con defecto de fabricación en cualquier elemento del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23</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por pérdida de aislamiento</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pérdida de aislamiento asociada a condiciones de humedad, salinidad, corrosión entre otras en algún elemento del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24</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urgente para garantizar la continuidad del servicio</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en el SDL generada por necesidades propias urgentes por una condición insegura de la red</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25</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Aperturas causadas por autogeneradores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Aperturas causadas en las redes del SDL por Autogeneradores o generadores distribuidos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26</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Aperturas no programadas en  zonas especiales por fuera del periodo de continuidad acordado.</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no programada en el activo que conforma una zona especial, por fuera de las horas correspondientes a los periodos de continuidad acordados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i</w:t>
            </w:r>
          </w:p>
        </w:tc>
      </w:tr>
      <w:tr w:rsidR="00B14E10" w:rsidRPr="00B14E10" w:rsidTr="001E60B6">
        <w:trPr>
          <w:trHeight w:val="28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27</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Árbol o rama sobre redes del SDL</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 xml:space="preserve">Apertura generada por el contacto de árboles o ramas con las redes del SDL. </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28</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Catástrofes naturales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debida a catástrofes naturales, tales como erosión (volcánica, fluvial o glacial), terremotos, maremotos, huracanes, ciclones y/o tornados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g</w:t>
            </w:r>
          </w:p>
        </w:tc>
      </w:tr>
      <w:tr w:rsidR="00B14E10" w:rsidRPr="00B14E10" w:rsidTr="001E60B6">
        <w:trPr>
          <w:trHeight w:val="28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29</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Causa desconocida</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una causa que no es posible identificar</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lastRenderedPageBreak/>
              <w:t>30</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Condiciones atmosféricas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la acción de condiciones atmosféricas tales como riadas, lluvias, vientos y descargas eléctricas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31</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Error de operación</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al realizar maniobras erróneas sobre la red o sus elementos asociados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32</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Falla activo nivel 1 propiedad particular</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de activo de nivel 1 de propiedad particular. El usuario informa sobre su decisión de reponerlo, o el mismo es reparado por el OR, respetando el límite establecido por el literal b del numeral 1.1.4 de la Resolución CREG 015/2018</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e y f</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33</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Falla del transformador de potencia o en sus equipos asociados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por falla en el transformador de potencia y sus equipos asociados, remunerados en 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34</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Falla en elementos de protección de la red del SDL</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operación incorrecta de los elementos de protección</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35</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Falla en equipos de red</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la falla de equipos instalados en la red tales como: reconectadores, suiches, cuchillas, seccionador, condensador, regulador, seccionalizadores y equipos temporales de corte (llaves Faca)</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28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36</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 xml:space="preserve">Falla en la </w:t>
            </w:r>
            <w:r w:rsidR="001E60B6" w:rsidRPr="00B14E10">
              <w:rPr>
                <w:rFonts w:ascii="Arial" w:eastAsia="Times New Roman" w:hAnsi="Arial" w:cs="Arial"/>
                <w:color w:val="000000"/>
                <w:sz w:val="18"/>
                <w:szCs w:val="18"/>
                <w:lang w:val="es-CO" w:eastAsia="es-CO"/>
              </w:rPr>
              <w:t>coordinación</w:t>
            </w:r>
            <w:r w:rsidRPr="00B14E10">
              <w:rPr>
                <w:rFonts w:ascii="Arial" w:eastAsia="Times New Roman" w:hAnsi="Arial" w:cs="Arial"/>
                <w:color w:val="000000"/>
                <w:sz w:val="18"/>
                <w:szCs w:val="18"/>
                <w:lang w:val="es-CO" w:eastAsia="es-CO"/>
              </w:rPr>
              <w:t xml:space="preserve"> de protecciones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Aperturas por fallas en los esquemas de coordinación de protecciones en 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37</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Falla en postes y/o crucetas en el SDL</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falla en los postes, crucetas o estructuras que soportan las redes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28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38</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Falla en redes de baja tensión</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 xml:space="preserve">Apertura de elementos de MT por fallas debidas a baja tensión </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39</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Falla en redes de distribución y elementos asociados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falla en redes del SDL</w:t>
            </w:r>
            <w:r w:rsidRPr="00B14E10">
              <w:rPr>
                <w:rFonts w:ascii="Arial" w:eastAsia="Times New Roman" w:hAnsi="Arial" w:cs="Arial"/>
                <w:sz w:val="18"/>
                <w:szCs w:val="18"/>
                <w:lang w:val="es-CO" w:eastAsia="es-CO"/>
              </w:rPr>
              <w:t>, desnudas o aisladas,</w:t>
            </w:r>
            <w:r w:rsidRPr="00B14E10">
              <w:rPr>
                <w:rFonts w:ascii="Arial" w:eastAsia="Times New Roman" w:hAnsi="Arial" w:cs="Arial"/>
                <w:color w:val="000000"/>
                <w:sz w:val="18"/>
                <w:szCs w:val="18"/>
                <w:lang w:val="es-CO" w:eastAsia="es-CO"/>
              </w:rPr>
              <w:t xml:space="preserve"> y en cualquiera de los elementos que las conforman tales como conectores, barras, aisladores,  vientos, entre otros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40</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Falla en transformador de distribución o sus elementos asociados.</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falla en transformador de distribución o cualquiera de sus elementos asociados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lastRenderedPageBreak/>
              <w:t>41</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Seguridad ciudadana</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solicitada por organismos de socorro o autoridades competentes para atender emergencias</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d</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42</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Sobrecarga de la red del SDL</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Apertura generada por sobrepasar los límites de cargabilidad de los interruptores de los circuitos o reconectadores en la red</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43</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 por actuación de esquemas de protección en SDL debida necesidades en el STN o STR</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 por necesidades en el STN o STR que genera actuación de esquemas de protección en 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Literal c</w:t>
            </w:r>
          </w:p>
        </w:tc>
      </w:tr>
      <w:tr w:rsidR="00B14E10" w:rsidRPr="00B14E10" w:rsidTr="001E60B6">
        <w:trPr>
          <w:trHeight w:val="8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44</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Apertura por actuación de esquemas de protección en SDL debida al mismo sistema</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 xml:space="preserve">Apertura </w:t>
            </w:r>
            <w:r w:rsidR="001E60B6" w:rsidRPr="00B14E10">
              <w:rPr>
                <w:rFonts w:ascii="Arial" w:eastAsia="Times New Roman" w:hAnsi="Arial" w:cs="Arial"/>
                <w:sz w:val="18"/>
                <w:szCs w:val="18"/>
                <w:lang w:val="es-CO" w:eastAsia="es-CO"/>
              </w:rPr>
              <w:t xml:space="preserve">por necesidades </w:t>
            </w:r>
            <w:r w:rsidRPr="00B14E10">
              <w:rPr>
                <w:rFonts w:ascii="Arial" w:eastAsia="Times New Roman" w:hAnsi="Arial" w:cs="Arial"/>
                <w:sz w:val="18"/>
                <w:szCs w:val="18"/>
                <w:lang w:val="es-CO" w:eastAsia="es-CO"/>
              </w:rPr>
              <w:t>en el SDL, que genera actuación de esquemas de protección en el SDL</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14E10">
              <w:rPr>
                <w:rFonts w:ascii="Arial" w:eastAsia="Times New Roman" w:hAnsi="Arial" w:cs="Arial"/>
                <w:color w:val="000000"/>
                <w:sz w:val="18"/>
                <w:szCs w:val="18"/>
                <w:lang w:val="es-CO" w:eastAsia="es-CO"/>
              </w:rPr>
              <w:t>No Excluida</w:t>
            </w:r>
          </w:p>
        </w:tc>
      </w:tr>
      <w:tr w:rsidR="00B14E10" w:rsidRPr="00B14E10" w:rsidTr="001E60B6">
        <w:trPr>
          <w:trHeight w:val="552"/>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rsidR="00B14E10" w:rsidRPr="00B14E10" w:rsidRDefault="00B14E10" w:rsidP="001E60B6">
            <w:pPr>
              <w:jc w:val="center"/>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45</w:t>
            </w:r>
          </w:p>
        </w:tc>
        <w:tc>
          <w:tcPr>
            <w:tcW w:w="2001"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Interrupción para enfrentar situaciones de riesgo de la vida humana</w:t>
            </w:r>
          </w:p>
        </w:tc>
        <w:tc>
          <w:tcPr>
            <w:tcW w:w="2818" w:type="dxa"/>
            <w:hideMark/>
          </w:tcPr>
          <w:p w:rsidR="00B14E10" w:rsidRPr="00B14E10" w:rsidRDefault="00B14E10" w:rsidP="00B14E1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Interrupción para enfrentar situaciones de riesgo de la vida humana de que trata el numeral 10.6 del RETIE, o el que lo modifique o sustituya.</w:t>
            </w:r>
          </w:p>
        </w:tc>
        <w:tc>
          <w:tcPr>
            <w:tcW w:w="1552" w:type="dxa"/>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No programada</w:t>
            </w:r>
          </w:p>
        </w:tc>
        <w:tc>
          <w:tcPr>
            <w:tcW w:w="1559" w:type="dxa"/>
            <w:noWrap/>
            <w:hideMark/>
          </w:tcPr>
          <w:p w:rsidR="00B14E10" w:rsidRPr="00B14E10" w:rsidRDefault="00B14E10" w:rsidP="00B14E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CO" w:eastAsia="es-CO"/>
              </w:rPr>
            </w:pPr>
            <w:r w:rsidRPr="00B14E10">
              <w:rPr>
                <w:rFonts w:ascii="Arial" w:eastAsia="Times New Roman" w:hAnsi="Arial" w:cs="Arial"/>
                <w:sz w:val="18"/>
                <w:szCs w:val="18"/>
                <w:lang w:val="es-CO" w:eastAsia="es-CO"/>
              </w:rPr>
              <w:t>Literal o</w:t>
            </w:r>
          </w:p>
        </w:tc>
      </w:tr>
    </w:tbl>
    <w:p w:rsidR="00CF4BDA" w:rsidRDefault="00CF4BDA" w:rsidP="00CF4BDA">
      <w:pPr>
        <w:jc w:val="center"/>
        <w:rPr>
          <w:b/>
        </w:rPr>
      </w:pPr>
      <w:r w:rsidRPr="00CF4BDA">
        <w:rPr>
          <w:b/>
        </w:rPr>
        <w:t>FIN DEL ANEXO</w:t>
      </w:r>
    </w:p>
    <w:p w:rsidR="00CF4BDA" w:rsidRPr="00CF4BDA" w:rsidRDefault="00CF4BDA" w:rsidP="00CF4BDA"/>
    <w:p w:rsidR="00CF4BDA" w:rsidRPr="00CF4BDA" w:rsidRDefault="00CF4BDA" w:rsidP="00CF4BDA"/>
    <w:p w:rsidR="00CF4BDA" w:rsidRPr="00CF4BDA" w:rsidRDefault="00CF4BDA" w:rsidP="00CF4BDA"/>
    <w:p w:rsidR="00CF4BDA" w:rsidRPr="00CF4BDA" w:rsidRDefault="00CF4BDA" w:rsidP="00CF4BDA"/>
    <w:p w:rsidR="00CF4BDA" w:rsidRPr="00CF4BDA" w:rsidRDefault="00CF4BDA" w:rsidP="00CF4BDA"/>
    <w:p w:rsidR="00CF4BDA" w:rsidRPr="00CF4BDA" w:rsidRDefault="00CF4BDA" w:rsidP="00CF4BDA"/>
    <w:p w:rsidR="00CF4BDA" w:rsidRPr="00CF4BDA" w:rsidRDefault="00CF4BDA" w:rsidP="00CF4BDA"/>
    <w:p w:rsidR="00CF4BDA" w:rsidRDefault="00CF4BDA" w:rsidP="00CF4BDA"/>
    <w:p w:rsidR="00FD2A8B" w:rsidRPr="00CF4BDA" w:rsidRDefault="00CF4BDA" w:rsidP="00CF4BDA">
      <w:pPr>
        <w:tabs>
          <w:tab w:val="left" w:pos="5820"/>
        </w:tabs>
      </w:pPr>
      <w:r>
        <w:tab/>
      </w:r>
    </w:p>
    <w:sectPr w:rsidR="00FD2A8B" w:rsidRPr="00CF4BDA" w:rsidSect="00CF4BDA">
      <w:headerReference w:type="default" r:id="rId8"/>
      <w:footerReference w:type="default" r:id="rId9"/>
      <w:headerReference w:type="first" r:id="rId10"/>
      <w:footerReference w:type="first" r:id="rId11"/>
      <w:pgSz w:w="12240" w:h="15840"/>
      <w:pgMar w:top="1979" w:right="1418" w:bottom="1560"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B5" w:rsidRDefault="00797EB5" w:rsidP="00AA0519">
      <w:r>
        <w:separator/>
      </w:r>
    </w:p>
  </w:endnote>
  <w:endnote w:type="continuationSeparator" w:id="0">
    <w:p w:rsidR="00797EB5" w:rsidRDefault="00797EB5"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2E" w:rsidRDefault="0025222E" w:rsidP="00735E1F">
    <w:pPr>
      <w:pStyle w:val="Piedepgina"/>
      <w:jc w:val="center"/>
    </w:pPr>
    <w:r>
      <w:rPr>
        <w:noProof/>
        <w:lang w:val="es-CO" w:eastAsia="es-CO"/>
      </w:rPr>
      <w:drawing>
        <wp:inline distT="0" distB="0" distL="0" distR="0" wp14:anchorId="7FB4360A" wp14:editId="3F8A2388">
          <wp:extent cx="2695575" cy="5619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2E" w:rsidRDefault="0025222E" w:rsidP="003F2F4B">
    <w:pPr>
      <w:pStyle w:val="Piedepgina"/>
      <w:jc w:val="center"/>
    </w:pPr>
    <w:r>
      <w:rPr>
        <w:noProof/>
        <w:lang w:val="es-CO" w:eastAsia="es-CO"/>
      </w:rPr>
      <w:drawing>
        <wp:anchor distT="0" distB="0" distL="114300" distR="114300" simplePos="0" relativeHeight="251663360" behindDoc="1" locked="0" layoutInCell="1" allowOverlap="1">
          <wp:simplePos x="0" y="0"/>
          <wp:positionH relativeFrom="column">
            <wp:posOffset>1633220</wp:posOffset>
          </wp:positionH>
          <wp:positionV relativeFrom="paragraph">
            <wp:posOffset>-270510</wp:posOffset>
          </wp:positionV>
          <wp:extent cx="2695575" cy="561975"/>
          <wp:effectExtent l="0" t="0" r="9525"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B5" w:rsidRDefault="00797EB5" w:rsidP="00AA0519">
      <w:r>
        <w:separator/>
      </w:r>
    </w:p>
  </w:footnote>
  <w:footnote w:type="continuationSeparator" w:id="0">
    <w:p w:rsidR="00797EB5" w:rsidRDefault="00797EB5"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2E" w:rsidRDefault="0025222E" w:rsidP="00457CC2">
    <w:pPr>
      <w:pStyle w:val="Encabezado"/>
      <w:tabs>
        <w:tab w:val="clear" w:pos="8838"/>
        <w:tab w:val="right" w:pos="9072"/>
      </w:tabs>
      <w:ind w:left="-567"/>
    </w:pPr>
    <w:r>
      <w:rPr>
        <w:noProof/>
        <w:lang w:val="es-CO" w:eastAsia="es-CO"/>
      </w:rPr>
      <w:drawing>
        <wp:anchor distT="0" distB="0" distL="114300" distR="114300" simplePos="0" relativeHeight="251665408" behindDoc="1" locked="0" layoutInCell="1" allowOverlap="1" wp14:anchorId="1DDE1EE5" wp14:editId="6D540B09">
          <wp:simplePos x="0" y="0"/>
          <wp:positionH relativeFrom="column">
            <wp:posOffset>2969260</wp:posOffset>
          </wp:positionH>
          <wp:positionV relativeFrom="paragraph">
            <wp:posOffset>-246380</wp:posOffset>
          </wp:positionV>
          <wp:extent cx="3073400" cy="589280"/>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7456" behindDoc="1" locked="0" layoutInCell="1" allowOverlap="1" wp14:anchorId="72BFC098" wp14:editId="414C74C4">
          <wp:simplePos x="0" y="0"/>
          <wp:positionH relativeFrom="column">
            <wp:posOffset>143510</wp:posOffset>
          </wp:positionH>
          <wp:positionV relativeFrom="paragraph">
            <wp:posOffset>-275590</wp:posOffset>
          </wp:positionV>
          <wp:extent cx="1104900" cy="61849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t xml:space="preserve">                                                              </w:t>
    </w:r>
  </w:p>
  <w:p w:rsidR="0025222E" w:rsidRDefault="0025222E" w:rsidP="00353D1D">
    <w:pPr>
      <w:pStyle w:val="Encabezado"/>
      <w:tabs>
        <w:tab w:val="clear" w:pos="4419"/>
        <w:tab w:val="clear" w:pos="8838"/>
        <w:tab w:val="left" w:pos="6840"/>
      </w:tabs>
    </w:pPr>
    <w:r>
      <w:t xml:space="preserve">                                               </w:t>
    </w:r>
    <w:r>
      <w:tab/>
    </w:r>
  </w:p>
  <w:p w:rsidR="00CF4BDA" w:rsidRPr="00CF4BDA" w:rsidRDefault="00CF4BDA" w:rsidP="0014353D">
    <w:pPr>
      <w:pStyle w:val="Encabezado"/>
      <w:tabs>
        <w:tab w:val="clear" w:pos="4419"/>
        <w:tab w:val="clear" w:pos="8838"/>
        <w:tab w:val="left" w:pos="7697"/>
      </w:tabs>
      <w:rPr>
        <w:rFonts w:ascii="Arial" w:hAnsi="Arial" w:cs="Arial"/>
        <w:i/>
        <w:sz w:val="18"/>
        <w:szCs w:val="18"/>
        <w:u w:val="single"/>
      </w:rPr>
    </w:pPr>
    <w:r w:rsidRPr="00CF4BDA">
      <w:rPr>
        <w:rFonts w:ascii="Arial" w:hAnsi="Arial" w:cs="Arial"/>
        <w:i/>
        <w:sz w:val="18"/>
        <w:szCs w:val="18"/>
        <w:u w:val="single"/>
      </w:rPr>
      <w:t>Circular063</w:t>
    </w:r>
  </w:p>
  <w:p w:rsidR="0025222E" w:rsidRPr="00CF4BDA" w:rsidRDefault="00CF4BDA" w:rsidP="0014353D">
    <w:pPr>
      <w:pStyle w:val="Encabezado"/>
      <w:tabs>
        <w:tab w:val="clear" w:pos="4419"/>
        <w:tab w:val="clear" w:pos="8838"/>
        <w:tab w:val="left" w:pos="7697"/>
      </w:tabs>
      <w:rPr>
        <w:rFonts w:ascii="Arial" w:hAnsi="Arial" w:cs="Arial"/>
        <w:i/>
        <w:sz w:val="18"/>
        <w:szCs w:val="18"/>
        <w:u w:val="single"/>
      </w:rPr>
    </w:pPr>
    <w:r w:rsidRPr="00CF4BDA">
      <w:rPr>
        <w:rFonts w:ascii="Arial" w:hAnsi="Arial" w:cs="Arial"/>
        <w:i/>
        <w:sz w:val="18"/>
        <w:szCs w:val="18"/>
        <w:u w:val="single"/>
      </w:rPr>
      <w:t>Agosto 2019</w:t>
    </w:r>
  </w:p>
  <w:p w:rsidR="0025222E" w:rsidRPr="00CF4BDA" w:rsidRDefault="0025222E" w:rsidP="003F2F4B">
    <w:pPr>
      <w:rPr>
        <w:rFonts w:ascii="Arial" w:hAnsi="Arial" w:cs="Arial"/>
        <w:i/>
        <w:sz w:val="18"/>
        <w:szCs w:val="18"/>
        <w:u w:val="single"/>
        <w:lang w:val="es-ES"/>
      </w:rPr>
    </w:pPr>
    <w:r w:rsidRPr="00CF4BDA">
      <w:rPr>
        <w:rFonts w:ascii="Arial" w:hAnsi="Arial" w:cs="Arial"/>
        <w:i/>
        <w:sz w:val="18"/>
        <w:szCs w:val="18"/>
        <w:u w:val="single"/>
        <w:lang w:val="es-ES"/>
      </w:rPr>
      <w:t xml:space="preserve">   </w:t>
    </w:r>
    <w:r w:rsidRPr="00CF4BDA">
      <w:rPr>
        <w:rFonts w:ascii="Arial" w:hAnsi="Arial" w:cs="Arial"/>
        <w:i/>
        <w:sz w:val="18"/>
        <w:szCs w:val="18"/>
        <w:u w:val="single"/>
        <w:lang w:val="es-ES"/>
      </w:rPr>
      <w:fldChar w:fldCharType="begin"/>
    </w:r>
    <w:r w:rsidRPr="00CF4BDA">
      <w:rPr>
        <w:rFonts w:ascii="Arial" w:hAnsi="Arial" w:cs="Arial"/>
        <w:i/>
        <w:sz w:val="18"/>
        <w:szCs w:val="18"/>
        <w:u w:val="single"/>
        <w:lang w:val="es-ES"/>
      </w:rPr>
      <w:instrText xml:space="preserve"> PAGE </w:instrText>
    </w:r>
    <w:r w:rsidRPr="00CF4BDA">
      <w:rPr>
        <w:rFonts w:ascii="Arial" w:hAnsi="Arial" w:cs="Arial"/>
        <w:i/>
        <w:sz w:val="18"/>
        <w:szCs w:val="18"/>
        <w:u w:val="single"/>
        <w:lang w:val="es-ES"/>
      </w:rPr>
      <w:fldChar w:fldCharType="separate"/>
    </w:r>
    <w:r w:rsidR="008E2C13">
      <w:rPr>
        <w:rFonts w:ascii="Arial" w:hAnsi="Arial" w:cs="Arial"/>
        <w:i/>
        <w:noProof/>
        <w:sz w:val="18"/>
        <w:szCs w:val="18"/>
        <w:u w:val="single"/>
        <w:lang w:val="es-ES"/>
      </w:rPr>
      <w:t>6</w:t>
    </w:r>
    <w:r w:rsidRPr="00CF4BDA">
      <w:rPr>
        <w:rFonts w:ascii="Arial" w:hAnsi="Arial" w:cs="Arial"/>
        <w:i/>
        <w:sz w:val="18"/>
        <w:szCs w:val="18"/>
        <w:u w:val="single"/>
        <w:lang w:val="es-ES"/>
      </w:rPr>
      <w:fldChar w:fldCharType="end"/>
    </w:r>
    <w:r w:rsidRPr="00CF4BDA">
      <w:rPr>
        <w:rFonts w:ascii="Arial" w:hAnsi="Arial" w:cs="Arial"/>
        <w:i/>
        <w:sz w:val="18"/>
        <w:szCs w:val="18"/>
        <w:u w:val="single"/>
        <w:lang w:val="es-ES"/>
      </w:rPr>
      <w:t xml:space="preserve"> / </w:t>
    </w:r>
    <w:r w:rsidRPr="00CF4BDA">
      <w:rPr>
        <w:rFonts w:ascii="Arial" w:hAnsi="Arial" w:cs="Arial"/>
        <w:i/>
        <w:sz w:val="18"/>
        <w:szCs w:val="18"/>
        <w:u w:val="single"/>
        <w:lang w:val="es-ES"/>
      </w:rPr>
      <w:fldChar w:fldCharType="begin"/>
    </w:r>
    <w:r w:rsidRPr="00CF4BDA">
      <w:rPr>
        <w:rFonts w:ascii="Arial" w:hAnsi="Arial" w:cs="Arial"/>
        <w:i/>
        <w:sz w:val="18"/>
        <w:szCs w:val="18"/>
        <w:u w:val="single"/>
        <w:lang w:val="es-ES"/>
      </w:rPr>
      <w:instrText xml:space="preserve"> NUMPAGES  </w:instrText>
    </w:r>
    <w:r w:rsidRPr="00CF4BDA">
      <w:rPr>
        <w:rFonts w:ascii="Arial" w:hAnsi="Arial" w:cs="Arial"/>
        <w:i/>
        <w:sz w:val="18"/>
        <w:szCs w:val="18"/>
        <w:u w:val="single"/>
        <w:lang w:val="es-ES"/>
      </w:rPr>
      <w:fldChar w:fldCharType="separate"/>
    </w:r>
    <w:r w:rsidR="008E2C13">
      <w:rPr>
        <w:rFonts w:ascii="Arial" w:hAnsi="Arial" w:cs="Arial"/>
        <w:i/>
        <w:noProof/>
        <w:sz w:val="18"/>
        <w:szCs w:val="18"/>
        <w:u w:val="single"/>
        <w:lang w:val="es-ES"/>
      </w:rPr>
      <w:t>6</w:t>
    </w:r>
    <w:r w:rsidRPr="00CF4BDA">
      <w:rPr>
        <w:rFonts w:ascii="Arial" w:hAnsi="Arial" w:cs="Arial"/>
        <w:i/>
        <w:sz w:val="18"/>
        <w:szCs w:val="18"/>
        <w:u w:val="single"/>
        <w:lang w:val="es-ES"/>
      </w:rPr>
      <w:fldChar w:fldCharType="end"/>
    </w:r>
  </w:p>
  <w:p w:rsidR="0025222E" w:rsidRDefault="0025222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2E" w:rsidRDefault="0025222E" w:rsidP="0014353D">
    <w:pPr>
      <w:pStyle w:val="Encabezado"/>
      <w:tabs>
        <w:tab w:val="clear" w:pos="4419"/>
        <w:tab w:val="clear" w:pos="8838"/>
        <w:tab w:val="left" w:pos="7274"/>
      </w:tabs>
      <w:ind w:left="-567"/>
    </w:pPr>
    <w:r>
      <w:rPr>
        <w:noProof/>
        <w:lang w:val="es-CO" w:eastAsia="es-CO"/>
      </w:rPr>
      <w:drawing>
        <wp:anchor distT="0" distB="0" distL="114300" distR="114300" simplePos="0" relativeHeight="251658240" behindDoc="1" locked="0" layoutInCell="1" allowOverlap="1" wp14:anchorId="0CB222B7" wp14:editId="28EA7098">
          <wp:simplePos x="0" y="0"/>
          <wp:positionH relativeFrom="column">
            <wp:posOffset>2963545</wp:posOffset>
          </wp:positionH>
          <wp:positionV relativeFrom="paragraph">
            <wp:posOffset>-350279</wp:posOffset>
          </wp:positionV>
          <wp:extent cx="3073400" cy="589280"/>
          <wp:effectExtent l="0" t="0" r="0" b="127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1" locked="0" layoutInCell="1" allowOverlap="1" wp14:anchorId="76CCD468" wp14:editId="2AFD8707">
          <wp:simplePos x="0" y="0"/>
          <wp:positionH relativeFrom="column">
            <wp:posOffset>144145</wp:posOffset>
          </wp:positionH>
          <wp:positionV relativeFrom="paragraph">
            <wp:posOffset>-346579</wp:posOffset>
          </wp:positionV>
          <wp:extent cx="1104900" cy="61849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t xml:space="preserve">                                                              </w:t>
    </w:r>
    <w:r>
      <w:rPr>
        <w:noProof/>
        <w:lang w:val="es-CO" w:eastAsia="es-CO"/>
      </w:rPr>
      <w:tab/>
    </w:r>
  </w:p>
  <w:p w:rsidR="0025222E" w:rsidRDefault="0025222E" w:rsidP="00457CC2">
    <w:pPr>
      <w:pStyle w:val="Encabezado"/>
      <w:tabs>
        <w:tab w:val="clear" w:pos="4419"/>
        <w:tab w:val="clear" w:pos="8838"/>
        <w:tab w:val="left" w:pos="141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9D8"/>
    <w:multiLevelType w:val="hybridMultilevel"/>
    <w:tmpl w:val="87F2C958"/>
    <w:lvl w:ilvl="0" w:tplc="450C2B74">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 w15:restartNumberingAfterBreak="0">
    <w:nsid w:val="2A937FE8"/>
    <w:multiLevelType w:val="hybridMultilevel"/>
    <w:tmpl w:val="B59CBB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43066"/>
    <w:rsid w:val="000F1EC0"/>
    <w:rsid w:val="000F38B4"/>
    <w:rsid w:val="00120014"/>
    <w:rsid w:val="001215BB"/>
    <w:rsid w:val="0013237B"/>
    <w:rsid w:val="0014353D"/>
    <w:rsid w:val="0015082E"/>
    <w:rsid w:val="00153BE7"/>
    <w:rsid w:val="001E60B6"/>
    <w:rsid w:val="0025222E"/>
    <w:rsid w:val="002C26C3"/>
    <w:rsid w:val="0032290A"/>
    <w:rsid w:val="003339D7"/>
    <w:rsid w:val="00353D1D"/>
    <w:rsid w:val="00395A79"/>
    <w:rsid w:val="003C7E1C"/>
    <w:rsid w:val="003F062B"/>
    <w:rsid w:val="003F2F4B"/>
    <w:rsid w:val="004170AF"/>
    <w:rsid w:val="00457CC2"/>
    <w:rsid w:val="004B018B"/>
    <w:rsid w:val="0056491D"/>
    <w:rsid w:val="005723D7"/>
    <w:rsid w:val="005E366C"/>
    <w:rsid w:val="006167F6"/>
    <w:rsid w:val="006606BF"/>
    <w:rsid w:val="00717096"/>
    <w:rsid w:val="00735E1F"/>
    <w:rsid w:val="0074199A"/>
    <w:rsid w:val="00762927"/>
    <w:rsid w:val="00797EB5"/>
    <w:rsid w:val="007E7186"/>
    <w:rsid w:val="007F42E3"/>
    <w:rsid w:val="00831AC3"/>
    <w:rsid w:val="008E2C13"/>
    <w:rsid w:val="00930F73"/>
    <w:rsid w:val="00933174"/>
    <w:rsid w:val="0094602D"/>
    <w:rsid w:val="009A3312"/>
    <w:rsid w:val="009F60BA"/>
    <w:rsid w:val="00A07BD4"/>
    <w:rsid w:val="00A15CDD"/>
    <w:rsid w:val="00A15D55"/>
    <w:rsid w:val="00A90A86"/>
    <w:rsid w:val="00AA0519"/>
    <w:rsid w:val="00AA7A5F"/>
    <w:rsid w:val="00AE7C1A"/>
    <w:rsid w:val="00AF6DC2"/>
    <w:rsid w:val="00B14E10"/>
    <w:rsid w:val="00B74DFE"/>
    <w:rsid w:val="00BE3670"/>
    <w:rsid w:val="00C93E1A"/>
    <w:rsid w:val="00CB5EDE"/>
    <w:rsid w:val="00CD4A5E"/>
    <w:rsid w:val="00CE6F54"/>
    <w:rsid w:val="00CF4BDA"/>
    <w:rsid w:val="00D754A1"/>
    <w:rsid w:val="00E10CDC"/>
    <w:rsid w:val="00E15140"/>
    <w:rsid w:val="00E84AC0"/>
    <w:rsid w:val="00F11BD0"/>
    <w:rsid w:val="00F13D47"/>
    <w:rsid w:val="00F2001A"/>
    <w:rsid w:val="00FD2A8B"/>
    <w:rsid w:val="00FD46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B14E10"/>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table" w:styleId="Tablaconcuadrcula">
    <w:name w:val="Table Grid"/>
    <w:basedOn w:val="Tablanormal"/>
    <w:uiPriority w:val="39"/>
    <w:rsid w:val="00CB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B018B"/>
    <w:rPr>
      <w:color w:val="0563C1" w:themeColor="hyperlink"/>
      <w:u w:val="single"/>
    </w:rPr>
  </w:style>
  <w:style w:type="character" w:customStyle="1" w:styleId="Ttulo5Car">
    <w:name w:val="Título 5 Car"/>
    <w:basedOn w:val="Fuentedeprrafopredeter"/>
    <w:link w:val="Ttulo5"/>
    <w:semiHidden/>
    <w:rsid w:val="00B14E10"/>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B14E10"/>
    <w:pPr>
      <w:spacing w:after="120"/>
      <w:ind w:left="283"/>
    </w:pPr>
  </w:style>
  <w:style w:type="character" w:customStyle="1" w:styleId="SangradetextonormalCar">
    <w:name w:val="Sangría de texto normal Car"/>
    <w:basedOn w:val="Fuentedeprrafopredeter"/>
    <w:link w:val="Sangradetextonormal"/>
    <w:uiPriority w:val="99"/>
    <w:semiHidden/>
    <w:rsid w:val="00B14E10"/>
    <w:rPr>
      <w:rFonts w:eastAsiaTheme="minorEastAsia"/>
      <w:sz w:val="24"/>
      <w:szCs w:val="24"/>
      <w:lang w:val="es-ES_tradnl"/>
    </w:rPr>
  </w:style>
  <w:style w:type="table" w:styleId="Tabladecuadrcula1clara">
    <w:name w:val="Grid Table 1 Light"/>
    <w:basedOn w:val="Tablanormal"/>
    <w:uiPriority w:val="46"/>
    <w:rsid w:val="00B14E10"/>
    <w:pPr>
      <w:spacing w:after="0" w:line="240" w:lineRule="auto"/>
    </w:pPr>
    <w:rPr>
      <w:rFonts w:eastAsiaTheme="minorEastAsia"/>
      <w:sz w:val="24"/>
      <w:szCs w:val="24"/>
      <w:lang w:val="es-ES_trad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4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FFAC-76D1-45E6-A628-92D2741F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9276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2019-03-28T15:24:00Z</cp:lastPrinted>
  <dcterms:created xsi:type="dcterms:W3CDTF">2019-08-14T13:19:00Z</dcterms:created>
  <dcterms:modified xsi:type="dcterms:W3CDTF">2019-08-14T13:19:00Z</dcterms:modified>
</cp:coreProperties>
</file>