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9F2" w:rsidRDefault="00E069F2" w:rsidP="00777E7A">
      <w:pPr>
        <w:rPr>
          <w:spacing w:val="0"/>
          <w:szCs w:val="24"/>
          <w:lang w:val="es-MX"/>
        </w:rPr>
      </w:pPr>
      <w:bookmarkStart w:id="0" w:name="_GoBack"/>
      <w:bookmarkEnd w:id="0"/>
    </w:p>
    <w:p w:rsidR="00777E7A" w:rsidRPr="00547FD8" w:rsidRDefault="00777E7A" w:rsidP="00777E7A">
      <w:pPr>
        <w:rPr>
          <w:spacing w:val="0"/>
          <w:szCs w:val="24"/>
          <w:lang w:val="es-MX"/>
        </w:rPr>
      </w:pPr>
      <w:r w:rsidRPr="00547FD8">
        <w:rPr>
          <w:spacing w:val="0"/>
          <w:szCs w:val="24"/>
          <w:lang w:val="es-MX"/>
        </w:rPr>
        <w:t xml:space="preserve">Bogotá, D. C., </w:t>
      </w:r>
      <w:r w:rsidR="00E069F2">
        <w:rPr>
          <w:spacing w:val="0"/>
          <w:szCs w:val="24"/>
          <w:lang w:val="es-MX"/>
        </w:rPr>
        <w:t>febrero 27 de 2015</w:t>
      </w:r>
    </w:p>
    <w:p w:rsidR="00777E7A" w:rsidRPr="00547FD8" w:rsidRDefault="00777E7A" w:rsidP="00777E7A">
      <w:pPr>
        <w:rPr>
          <w:spacing w:val="0"/>
          <w:sz w:val="22"/>
          <w:szCs w:val="22"/>
          <w:lang w:val="es-MX"/>
        </w:rPr>
      </w:pPr>
    </w:p>
    <w:p w:rsidR="00AF15ED" w:rsidRPr="00547FD8" w:rsidRDefault="00AF15ED" w:rsidP="00697BE1">
      <w:pPr>
        <w:rPr>
          <w:spacing w:val="0"/>
          <w:sz w:val="22"/>
          <w:szCs w:val="22"/>
          <w:lang w:val="es-MX"/>
        </w:rPr>
      </w:pPr>
    </w:p>
    <w:p w:rsidR="00777E7A" w:rsidRPr="00547FD8" w:rsidRDefault="00777E7A" w:rsidP="00777E7A">
      <w:pPr>
        <w:rPr>
          <w:spacing w:val="0"/>
          <w:sz w:val="22"/>
          <w:szCs w:val="22"/>
          <w:lang w:val="es-MX"/>
        </w:rPr>
      </w:pPr>
    </w:p>
    <w:p w:rsidR="00777E7A" w:rsidRPr="00547FD8" w:rsidRDefault="00E069F2" w:rsidP="00777E7A">
      <w:pPr>
        <w:pStyle w:val="Ttulo5"/>
        <w:jc w:val="center"/>
        <w:rPr>
          <w:rFonts w:ascii="Arial" w:hAnsi="Arial" w:cs="Arial"/>
          <w:b/>
          <w:bCs/>
          <w:i/>
          <w:iCs/>
          <w:spacing w:val="0"/>
          <w:kern w:val="60"/>
          <w:sz w:val="40"/>
          <w:szCs w:val="40"/>
        </w:rPr>
      </w:pPr>
      <w:r>
        <w:rPr>
          <w:rFonts w:ascii="Arial" w:hAnsi="Arial" w:cs="Arial"/>
          <w:b/>
          <w:bCs/>
          <w:i/>
          <w:iCs/>
          <w:spacing w:val="0"/>
          <w:kern w:val="60"/>
          <w:sz w:val="40"/>
          <w:szCs w:val="40"/>
        </w:rPr>
        <w:t>CIRCULAR No.022</w:t>
      </w:r>
    </w:p>
    <w:p w:rsidR="00777E7A" w:rsidRPr="00547FD8" w:rsidRDefault="00777E7A" w:rsidP="00777E7A">
      <w:pPr>
        <w:rPr>
          <w:spacing w:val="0"/>
          <w:sz w:val="22"/>
          <w:szCs w:val="22"/>
        </w:rPr>
      </w:pPr>
    </w:p>
    <w:p w:rsidR="00AF15ED" w:rsidRPr="00E069F2" w:rsidRDefault="00AF15ED" w:rsidP="00777E7A">
      <w:pPr>
        <w:rPr>
          <w:spacing w:val="0"/>
          <w:sz w:val="22"/>
          <w:szCs w:val="22"/>
        </w:rPr>
      </w:pPr>
    </w:p>
    <w:p w:rsidR="00F86904" w:rsidRPr="00547FD8" w:rsidRDefault="00F86904" w:rsidP="00777E7A">
      <w:pPr>
        <w:rPr>
          <w:spacing w:val="0"/>
          <w:sz w:val="22"/>
          <w:szCs w:val="22"/>
          <w:lang w:val="es-MX"/>
        </w:rPr>
      </w:pPr>
    </w:p>
    <w:p w:rsidR="00B02334" w:rsidRPr="00547FD8" w:rsidRDefault="00777E7A" w:rsidP="00B02334">
      <w:pPr>
        <w:pStyle w:val="Sangradetextonormal"/>
        <w:ind w:left="1410" w:hanging="1410"/>
        <w:rPr>
          <w:spacing w:val="0"/>
          <w:szCs w:val="24"/>
        </w:rPr>
      </w:pPr>
      <w:r w:rsidRPr="00547FD8">
        <w:rPr>
          <w:b/>
          <w:spacing w:val="0"/>
          <w:szCs w:val="24"/>
        </w:rPr>
        <w:t>PARA:</w:t>
      </w:r>
      <w:r w:rsidRPr="00547FD8">
        <w:rPr>
          <w:b/>
          <w:spacing w:val="0"/>
          <w:szCs w:val="24"/>
        </w:rPr>
        <w:tab/>
      </w:r>
      <w:r w:rsidR="00447A9D" w:rsidRPr="00547FD8">
        <w:rPr>
          <w:spacing w:val="0"/>
          <w:szCs w:val="24"/>
        </w:rPr>
        <w:t>EMPRESAS DE DISTRIBUCIÓN Y COMERCIALIZACIÓN DE ENERGÍA ELÉCTRICA EN EL SIN</w:t>
      </w:r>
    </w:p>
    <w:p w:rsidR="00777E7A" w:rsidRPr="00547FD8" w:rsidRDefault="00777E7A" w:rsidP="00777E7A">
      <w:pPr>
        <w:spacing w:line="216" w:lineRule="auto"/>
        <w:ind w:left="1410" w:hanging="1410"/>
        <w:rPr>
          <w:rFonts w:cs="Arial"/>
          <w:b/>
          <w:spacing w:val="0"/>
          <w:szCs w:val="24"/>
        </w:rPr>
      </w:pPr>
    </w:p>
    <w:p w:rsidR="00744C2E" w:rsidRPr="00547FD8" w:rsidRDefault="00777E7A" w:rsidP="00744C2E">
      <w:pPr>
        <w:pStyle w:val="Sangradetextonormal"/>
        <w:ind w:left="1410" w:hanging="1410"/>
        <w:rPr>
          <w:spacing w:val="0"/>
          <w:szCs w:val="24"/>
        </w:rPr>
      </w:pPr>
      <w:r w:rsidRPr="00547FD8">
        <w:rPr>
          <w:rFonts w:cs="Arial"/>
          <w:b/>
          <w:spacing w:val="0"/>
          <w:szCs w:val="24"/>
        </w:rPr>
        <w:t>DE:</w:t>
      </w:r>
      <w:r w:rsidRPr="00547FD8">
        <w:rPr>
          <w:rFonts w:cs="Arial"/>
          <w:b/>
          <w:spacing w:val="0"/>
          <w:szCs w:val="24"/>
        </w:rPr>
        <w:tab/>
      </w:r>
      <w:r w:rsidR="00447A9D" w:rsidRPr="00547FD8">
        <w:rPr>
          <w:rFonts w:cs="Arial"/>
          <w:spacing w:val="0"/>
          <w:szCs w:val="24"/>
        </w:rPr>
        <w:t>DIRECCIÓN EJECUTIVA, COMISIÓN DE REGULACIÓN DE ENERGÍA Y GAS</w:t>
      </w:r>
    </w:p>
    <w:p w:rsidR="00777E7A" w:rsidRPr="00547FD8" w:rsidRDefault="00777E7A" w:rsidP="00777E7A">
      <w:pPr>
        <w:spacing w:line="216" w:lineRule="auto"/>
        <w:rPr>
          <w:rFonts w:cs="Arial"/>
          <w:spacing w:val="0"/>
          <w:szCs w:val="24"/>
        </w:rPr>
      </w:pPr>
    </w:p>
    <w:p w:rsidR="00744C2E" w:rsidRPr="00547FD8" w:rsidRDefault="00777E7A" w:rsidP="00744C2E">
      <w:pPr>
        <w:pStyle w:val="Sangradetextonormal"/>
        <w:ind w:left="1410" w:hanging="1410"/>
        <w:rPr>
          <w:spacing w:val="0"/>
          <w:szCs w:val="24"/>
        </w:rPr>
      </w:pPr>
      <w:r w:rsidRPr="00547FD8">
        <w:rPr>
          <w:b/>
          <w:spacing w:val="0"/>
          <w:szCs w:val="24"/>
        </w:rPr>
        <w:t>ASUNTO:</w:t>
      </w:r>
      <w:r w:rsidRPr="00547FD8">
        <w:rPr>
          <w:b/>
          <w:spacing w:val="0"/>
          <w:szCs w:val="24"/>
        </w:rPr>
        <w:tab/>
      </w:r>
      <w:r w:rsidR="00864B38">
        <w:rPr>
          <w:spacing w:val="0"/>
          <w:szCs w:val="24"/>
        </w:rPr>
        <w:t>ACLARACIONES SOBRE LA CIRCULAR CREG 007 DE 2015 Y LA RESOLUCIÓN CREG 180 DE 2014</w:t>
      </w:r>
      <w:r w:rsidR="00447A9D" w:rsidRPr="00547FD8">
        <w:rPr>
          <w:spacing w:val="0"/>
          <w:szCs w:val="24"/>
        </w:rPr>
        <w:t xml:space="preserve">   </w:t>
      </w:r>
    </w:p>
    <w:p w:rsidR="001E1E65" w:rsidRPr="00547FD8" w:rsidRDefault="001E1E65" w:rsidP="00B02334">
      <w:pPr>
        <w:pStyle w:val="Textoindependiente"/>
        <w:spacing w:after="0" w:line="240" w:lineRule="auto"/>
        <w:ind w:left="1410" w:hanging="1410"/>
        <w:rPr>
          <w:spacing w:val="0"/>
          <w:sz w:val="22"/>
          <w:szCs w:val="22"/>
        </w:rPr>
      </w:pPr>
    </w:p>
    <w:p w:rsidR="007C6743" w:rsidRPr="00547FD8" w:rsidRDefault="007C6743" w:rsidP="00870BFD">
      <w:pPr>
        <w:spacing w:before="120" w:after="120"/>
        <w:rPr>
          <w:rFonts w:cs="Arial"/>
          <w:spacing w:val="0"/>
          <w:szCs w:val="24"/>
        </w:rPr>
      </w:pPr>
    </w:p>
    <w:p w:rsidR="001377F3" w:rsidRPr="00547FD8" w:rsidRDefault="00447A9D" w:rsidP="00C77034">
      <w:pPr>
        <w:pStyle w:val="Textoindependiente"/>
        <w:spacing w:after="0" w:line="240" w:lineRule="auto"/>
        <w:rPr>
          <w:spacing w:val="0"/>
          <w:szCs w:val="24"/>
        </w:rPr>
      </w:pPr>
      <w:r w:rsidRPr="00547FD8">
        <w:rPr>
          <w:spacing w:val="0"/>
          <w:szCs w:val="24"/>
        </w:rPr>
        <w:t xml:space="preserve">La Dirección Ejecutiva de la Comisión de Regulación de Energía y Gas, CREG, </w:t>
      </w:r>
      <w:r w:rsidR="001377F3" w:rsidRPr="00547FD8">
        <w:rPr>
          <w:spacing w:val="0"/>
          <w:szCs w:val="24"/>
        </w:rPr>
        <w:t>se permite hacer pública una compilación de aclaraciones sobre la información que debe ser reportada en respuesta a la Circular CREG 007 de 2015 y sobre algunos aspectos de la aplicación de la Resolución CREG 180 de 2014, en virtud de las solicitudes enviadas a la Comisión.</w:t>
      </w:r>
    </w:p>
    <w:p w:rsidR="001377F3" w:rsidRPr="00547FD8" w:rsidRDefault="001377F3" w:rsidP="00C77034">
      <w:pPr>
        <w:pStyle w:val="Textoindependiente"/>
        <w:spacing w:after="0" w:line="240" w:lineRule="auto"/>
        <w:rPr>
          <w:spacing w:val="0"/>
          <w:szCs w:val="24"/>
        </w:rPr>
      </w:pPr>
    </w:p>
    <w:p w:rsidR="001377F3" w:rsidRPr="00547FD8" w:rsidRDefault="001377F3" w:rsidP="00C77034">
      <w:pPr>
        <w:pStyle w:val="Textoindependiente"/>
        <w:spacing w:after="0" w:line="240" w:lineRule="auto"/>
        <w:rPr>
          <w:spacing w:val="0"/>
          <w:szCs w:val="24"/>
        </w:rPr>
      </w:pPr>
      <w:r w:rsidRPr="00547FD8">
        <w:rPr>
          <w:spacing w:val="0"/>
          <w:szCs w:val="24"/>
        </w:rPr>
        <w:t xml:space="preserve">Dicha compilación se encuentra en el archivo adjunto a esta circular. </w:t>
      </w:r>
    </w:p>
    <w:p w:rsidR="001377F3" w:rsidRPr="00547FD8" w:rsidRDefault="001377F3" w:rsidP="00C77034">
      <w:pPr>
        <w:pStyle w:val="Textoindependiente"/>
        <w:spacing w:after="0" w:line="240" w:lineRule="auto"/>
        <w:rPr>
          <w:spacing w:val="0"/>
          <w:szCs w:val="24"/>
        </w:rPr>
      </w:pPr>
    </w:p>
    <w:p w:rsidR="00777E7A" w:rsidRPr="00547FD8" w:rsidRDefault="00777E7A" w:rsidP="0025603A">
      <w:pPr>
        <w:pStyle w:val="Textoindependiente"/>
        <w:spacing w:after="0" w:line="240" w:lineRule="auto"/>
        <w:rPr>
          <w:spacing w:val="0"/>
          <w:szCs w:val="24"/>
        </w:rPr>
      </w:pPr>
      <w:r w:rsidRPr="00547FD8">
        <w:rPr>
          <w:spacing w:val="0"/>
          <w:szCs w:val="24"/>
        </w:rPr>
        <w:t>Cordialmente,</w:t>
      </w:r>
    </w:p>
    <w:p w:rsidR="00777E7A" w:rsidRPr="00547FD8" w:rsidRDefault="00777E7A" w:rsidP="00777E7A">
      <w:pPr>
        <w:jc w:val="center"/>
        <w:rPr>
          <w:spacing w:val="0"/>
          <w:szCs w:val="24"/>
        </w:rPr>
      </w:pPr>
    </w:p>
    <w:p w:rsidR="00942B3A" w:rsidRPr="00547FD8" w:rsidRDefault="00942B3A" w:rsidP="00777E7A">
      <w:pPr>
        <w:jc w:val="center"/>
        <w:rPr>
          <w:spacing w:val="0"/>
          <w:szCs w:val="24"/>
        </w:rPr>
      </w:pPr>
    </w:p>
    <w:p w:rsidR="001377F3" w:rsidRPr="00547FD8" w:rsidRDefault="001377F3" w:rsidP="00777E7A">
      <w:pPr>
        <w:jc w:val="center"/>
        <w:rPr>
          <w:spacing w:val="0"/>
          <w:szCs w:val="24"/>
        </w:rPr>
      </w:pPr>
    </w:p>
    <w:p w:rsidR="002D500C" w:rsidRPr="00547FD8" w:rsidRDefault="002D500C" w:rsidP="00777E7A">
      <w:pPr>
        <w:jc w:val="center"/>
        <w:rPr>
          <w:spacing w:val="0"/>
          <w:szCs w:val="24"/>
        </w:rPr>
      </w:pPr>
    </w:p>
    <w:p w:rsidR="002D500C" w:rsidRPr="00547FD8" w:rsidRDefault="002D500C" w:rsidP="00777E7A">
      <w:pPr>
        <w:jc w:val="center"/>
        <w:rPr>
          <w:spacing w:val="0"/>
          <w:szCs w:val="24"/>
        </w:rPr>
      </w:pPr>
    </w:p>
    <w:p w:rsidR="00777E7A" w:rsidRPr="00547FD8" w:rsidRDefault="00447A9D" w:rsidP="00777E7A">
      <w:pPr>
        <w:jc w:val="center"/>
        <w:rPr>
          <w:rFonts w:cs="Arial"/>
          <w:spacing w:val="0"/>
          <w:szCs w:val="24"/>
        </w:rPr>
      </w:pPr>
      <w:r w:rsidRPr="00547FD8">
        <w:rPr>
          <w:rFonts w:cs="Arial"/>
          <w:spacing w:val="0"/>
          <w:szCs w:val="24"/>
        </w:rPr>
        <w:t>JORGE PINTO NOLLA</w:t>
      </w:r>
    </w:p>
    <w:p w:rsidR="001377F3" w:rsidRDefault="001377F3" w:rsidP="00777E7A">
      <w:pPr>
        <w:jc w:val="center"/>
        <w:rPr>
          <w:rFonts w:cs="Arial"/>
          <w:spacing w:val="0"/>
          <w:szCs w:val="24"/>
        </w:rPr>
      </w:pPr>
    </w:p>
    <w:p w:rsidR="00E069F2" w:rsidRDefault="00E069F2" w:rsidP="00777E7A">
      <w:pPr>
        <w:jc w:val="center"/>
        <w:rPr>
          <w:rFonts w:cs="Arial"/>
          <w:spacing w:val="0"/>
          <w:szCs w:val="24"/>
        </w:rPr>
      </w:pPr>
    </w:p>
    <w:p w:rsidR="00E069F2" w:rsidRDefault="00E069F2" w:rsidP="00777E7A">
      <w:pPr>
        <w:jc w:val="center"/>
        <w:rPr>
          <w:rFonts w:cs="Arial"/>
          <w:spacing w:val="0"/>
          <w:szCs w:val="24"/>
        </w:rPr>
      </w:pPr>
    </w:p>
    <w:p w:rsidR="00E069F2" w:rsidRDefault="00E069F2" w:rsidP="00777E7A">
      <w:pPr>
        <w:jc w:val="center"/>
        <w:rPr>
          <w:rFonts w:cs="Arial"/>
          <w:spacing w:val="0"/>
          <w:szCs w:val="24"/>
        </w:rPr>
      </w:pPr>
    </w:p>
    <w:p w:rsidR="00E069F2" w:rsidRDefault="00E069F2" w:rsidP="00777E7A">
      <w:pPr>
        <w:jc w:val="center"/>
        <w:rPr>
          <w:rFonts w:cs="Arial"/>
          <w:spacing w:val="0"/>
          <w:szCs w:val="24"/>
        </w:rPr>
      </w:pPr>
    </w:p>
    <w:p w:rsidR="00E069F2" w:rsidRDefault="00E069F2" w:rsidP="00777E7A">
      <w:pPr>
        <w:jc w:val="center"/>
        <w:rPr>
          <w:rFonts w:cs="Arial"/>
          <w:spacing w:val="0"/>
          <w:szCs w:val="24"/>
        </w:rPr>
      </w:pPr>
    </w:p>
    <w:p w:rsidR="00E069F2" w:rsidRDefault="00E069F2" w:rsidP="00777E7A">
      <w:pPr>
        <w:jc w:val="center"/>
        <w:rPr>
          <w:rFonts w:cs="Arial"/>
          <w:spacing w:val="0"/>
          <w:szCs w:val="24"/>
        </w:rPr>
      </w:pPr>
    </w:p>
    <w:p w:rsidR="00E069F2" w:rsidRPr="00547FD8" w:rsidRDefault="00E069F2" w:rsidP="00777E7A">
      <w:pPr>
        <w:jc w:val="center"/>
        <w:rPr>
          <w:rFonts w:cs="Arial"/>
          <w:spacing w:val="0"/>
          <w:szCs w:val="24"/>
        </w:rPr>
      </w:pPr>
    </w:p>
    <w:p w:rsidR="001377F3" w:rsidRPr="00547FD8" w:rsidRDefault="001377F3" w:rsidP="001377F3">
      <w:pPr>
        <w:jc w:val="center"/>
        <w:rPr>
          <w:rFonts w:cs="Arial"/>
          <w:b/>
          <w:spacing w:val="0"/>
          <w:szCs w:val="24"/>
        </w:rPr>
      </w:pPr>
    </w:p>
    <w:p w:rsidR="001377F3" w:rsidRPr="00547FD8" w:rsidRDefault="001377F3" w:rsidP="001377F3">
      <w:pPr>
        <w:jc w:val="center"/>
        <w:rPr>
          <w:rFonts w:cs="Arial"/>
          <w:b/>
          <w:spacing w:val="0"/>
        </w:rPr>
      </w:pPr>
      <w:r w:rsidRPr="00547FD8">
        <w:rPr>
          <w:rFonts w:cs="Arial"/>
          <w:b/>
          <w:spacing w:val="0"/>
          <w:szCs w:val="24"/>
        </w:rPr>
        <w:lastRenderedPageBreak/>
        <w:t xml:space="preserve">ANEXO.  </w:t>
      </w:r>
      <w:r w:rsidRPr="00547FD8">
        <w:rPr>
          <w:rFonts w:cs="Arial"/>
          <w:b/>
          <w:spacing w:val="0"/>
        </w:rPr>
        <w:t>Aclaraciones a la Resolución CREG 180 de 2014 y a la Circular CREG 007 de 2015</w:t>
      </w:r>
    </w:p>
    <w:p w:rsidR="001377F3" w:rsidRPr="00547FD8" w:rsidRDefault="001377F3" w:rsidP="001377F3">
      <w:pPr>
        <w:spacing w:before="240" w:after="120"/>
        <w:rPr>
          <w:rFonts w:cs="Arial"/>
          <w:spacing w:val="0"/>
        </w:rPr>
      </w:pPr>
      <w:r w:rsidRPr="00547FD8">
        <w:rPr>
          <w:rFonts w:cs="Arial"/>
          <w:spacing w:val="0"/>
        </w:rPr>
        <w:t xml:space="preserve">Las siguientes aclaraciones a la Resolución CREG 180 de 2014, son referentes a los temas tratados en las diferentes comunicaciones que la Comisión ha recibido por parte de los agentes comercializadores de energía eléctrica. Sin perjuicio de los temas particulares que deberán ser parte de la actuación administrativa correspondiente. </w:t>
      </w:r>
    </w:p>
    <w:p w:rsidR="001377F3" w:rsidRPr="00547FD8" w:rsidRDefault="001377F3" w:rsidP="001377F3">
      <w:pPr>
        <w:spacing w:before="240" w:after="120"/>
        <w:rPr>
          <w:rFonts w:cs="Arial"/>
          <w:spacing w:val="0"/>
        </w:rPr>
      </w:pPr>
      <w:r w:rsidRPr="00547FD8">
        <w:rPr>
          <w:rFonts w:cs="Arial"/>
          <w:spacing w:val="0"/>
        </w:rPr>
        <w:t>Este pronunciamiento se realiza en los términos y con el alcance previsto en el numeral 73.24 del artículo 73 de la Ley 142 de 1994 y el artículo 28 del Código de Procedimiento Administrativo y de lo Contencioso Administrativo.</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Aplicación del margen de comercialización sobre el cargo unificado de distribución</w:t>
      </w:r>
    </w:p>
    <w:p w:rsidR="001377F3" w:rsidRPr="00547FD8" w:rsidRDefault="001377F3" w:rsidP="001377F3">
      <w:pPr>
        <w:spacing w:before="240" w:after="120"/>
        <w:rPr>
          <w:rFonts w:cs="Arial"/>
          <w:spacing w:val="0"/>
        </w:rPr>
      </w:pPr>
      <w:r w:rsidRPr="00547FD8">
        <w:rPr>
          <w:rFonts w:cs="Arial"/>
          <w:spacing w:val="0"/>
        </w:rPr>
        <w:t>De acuerdo con la Resolución CREG 058 de 2008 a los usuarios se les facturará el cargo por uso unificado según el ADD que corresponda, por lo que el margen de comercialización que se calcula en aplicación del artículo 12 de la Resolución CREG 180 de 2014  debe emplear este valor.</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Margen operacional</w:t>
      </w:r>
    </w:p>
    <w:p w:rsidR="001377F3" w:rsidRPr="00547FD8" w:rsidRDefault="001377F3" w:rsidP="001377F3">
      <w:pPr>
        <w:spacing w:before="240" w:after="120"/>
        <w:rPr>
          <w:rFonts w:cs="Arial"/>
          <w:spacing w:val="0"/>
        </w:rPr>
      </w:pPr>
      <w:r w:rsidRPr="00547FD8">
        <w:rPr>
          <w:rFonts w:cs="Arial"/>
          <w:spacing w:val="0"/>
        </w:rPr>
        <w:t>El valor máximo del margen operación es de 2.73%, el cual es aplicado en cada mercado de comercialización</w:t>
      </w:r>
      <w:r w:rsidRPr="00547FD8">
        <w:rPr>
          <w:rStyle w:val="Refdenotaalpie"/>
          <w:rFonts w:cs="Arial"/>
          <w:spacing w:val="0"/>
        </w:rPr>
        <w:footnoteReference w:id="1"/>
      </w:r>
      <w:r w:rsidRPr="00547FD8">
        <w:rPr>
          <w:rFonts w:cs="Arial"/>
          <w:spacing w:val="0"/>
        </w:rPr>
        <w:t xml:space="preserve"> y no requiere de su aprobación en una resolución de carácter particular. La empresa puede optar por aplicar un menor</w:t>
      </w:r>
      <w:r w:rsidR="00FD416D">
        <w:rPr>
          <w:rFonts w:cs="Arial"/>
          <w:spacing w:val="0"/>
        </w:rPr>
        <w:t xml:space="preserve"> valor</w:t>
      </w:r>
      <w:r w:rsidRPr="00547FD8">
        <w:rPr>
          <w:rFonts w:cs="Arial"/>
          <w:spacing w:val="0"/>
        </w:rPr>
        <w:t xml:space="preserve"> en el cálculo del margen de comercialización. </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 xml:space="preserve">Tasas para el cálculo de costo financiero asociado al giro de subsidios </w:t>
      </w:r>
    </w:p>
    <w:p w:rsidR="001377F3" w:rsidRPr="00547FD8" w:rsidRDefault="001377F3" w:rsidP="001377F3">
      <w:pPr>
        <w:spacing w:before="240" w:after="120"/>
        <w:rPr>
          <w:rFonts w:cs="Arial"/>
          <w:spacing w:val="0"/>
        </w:rPr>
      </w:pPr>
      <w:r w:rsidRPr="00547FD8">
        <w:rPr>
          <w:rFonts w:cs="Arial"/>
          <w:spacing w:val="0"/>
        </w:rPr>
        <w:t xml:space="preserve">Las fuentes de información para las tasas será la publicada por el Banco de la República de acuerdo con el formato 088 de la Superintendencia Financiera de Colombia, tal como se indica en el artículo 18 de la Resolución 180 de 2014. En particular para cada tasa: </w:t>
      </w:r>
    </w:p>
    <w:p w:rsidR="001377F3" w:rsidRPr="00547FD8" w:rsidRDefault="001377F3" w:rsidP="001377F3">
      <w:pPr>
        <w:pStyle w:val="Prrafodelista"/>
        <w:numPr>
          <w:ilvl w:val="0"/>
          <w:numId w:val="27"/>
        </w:numPr>
        <w:spacing w:before="240" w:after="120"/>
        <w:ind w:left="851"/>
        <w:contextualSpacing w:val="0"/>
        <w:rPr>
          <w:rFonts w:cs="Arial"/>
          <w:spacing w:val="0"/>
        </w:rPr>
      </w:pPr>
      <w:r w:rsidRPr="00547FD8">
        <w:rPr>
          <w:rFonts w:cs="Arial"/>
          <w:spacing w:val="0"/>
        </w:rPr>
        <w:t>Las tasas de interés preferencial o corporativo de los créditos comerciales se encuentran en las tasas de colocación, publicación del Banco de la Republica, que aplican para los diferentes tipos de créditos y productos que otorgan las diferentes entidades financieras a sus clientes.</w:t>
      </w:r>
    </w:p>
    <w:p w:rsidR="001377F3" w:rsidRPr="00547FD8" w:rsidRDefault="001377F3" w:rsidP="001377F3">
      <w:pPr>
        <w:pStyle w:val="Prrafodelista"/>
        <w:spacing w:before="240" w:after="120"/>
        <w:ind w:left="851"/>
        <w:contextualSpacing w:val="0"/>
        <w:rPr>
          <w:rFonts w:cs="Arial"/>
          <w:spacing w:val="0"/>
        </w:rPr>
      </w:pPr>
      <w:r w:rsidRPr="00547FD8">
        <w:rPr>
          <w:rFonts w:cs="Arial"/>
          <w:spacing w:val="0"/>
        </w:rPr>
        <w:t xml:space="preserve">(http://www.banrep.gov.co/es/economia/tasas_colo4.htm) </w:t>
      </w:r>
    </w:p>
    <w:p w:rsidR="001377F3" w:rsidRPr="00547FD8" w:rsidRDefault="001377F3" w:rsidP="001377F3">
      <w:pPr>
        <w:pStyle w:val="Prrafodelista"/>
        <w:numPr>
          <w:ilvl w:val="0"/>
          <w:numId w:val="27"/>
        </w:numPr>
        <w:spacing w:before="240" w:after="120"/>
        <w:ind w:left="851"/>
        <w:contextualSpacing w:val="0"/>
        <w:rPr>
          <w:rFonts w:cs="Arial"/>
          <w:spacing w:val="0"/>
        </w:rPr>
      </w:pPr>
      <w:r w:rsidRPr="00547FD8">
        <w:rPr>
          <w:rFonts w:cs="Arial"/>
          <w:spacing w:val="0"/>
        </w:rPr>
        <w:t xml:space="preserve">Las tasas de los certificados de ahorro a término (CDAT) se encuentran en las tasas de captación, publicación del Banco de la Republica, que </w:t>
      </w:r>
      <w:r w:rsidRPr="00547FD8">
        <w:rPr>
          <w:rFonts w:cs="Arial"/>
          <w:spacing w:val="0"/>
        </w:rPr>
        <w:lastRenderedPageBreak/>
        <w:t>corresponden a tasas de interés que las instituciones financieras reconocen a los depositantes por la captación de sus recursos.</w:t>
      </w:r>
    </w:p>
    <w:p w:rsidR="001377F3" w:rsidRPr="00547FD8" w:rsidRDefault="001377F3" w:rsidP="001377F3">
      <w:pPr>
        <w:pStyle w:val="Prrafodelista"/>
        <w:spacing w:before="240" w:after="120"/>
        <w:ind w:left="851"/>
        <w:contextualSpacing w:val="0"/>
        <w:rPr>
          <w:rFonts w:cs="Arial"/>
          <w:spacing w:val="0"/>
        </w:rPr>
      </w:pPr>
      <w:r w:rsidRPr="00547FD8">
        <w:rPr>
          <w:rFonts w:cs="Arial"/>
          <w:spacing w:val="0"/>
        </w:rPr>
        <w:t>(http://www.banrep.gov.co/es/tasas-captacion)</w:t>
      </w:r>
    </w:p>
    <w:p w:rsidR="001377F3" w:rsidRPr="00547FD8" w:rsidRDefault="001377F3" w:rsidP="001377F3">
      <w:pPr>
        <w:spacing w:before="240" w:after="120"/>
        <w:rPr>
          <w:rFonts w:cs="Arial"/>
          <w:spacing w:val="0"/>
        </w:rPr>
      </w:pPr>
      <w:r w:rsidRPr="00547FD8">
        <w:rPr>
          <w:rFonts w:cs="Arial"/>
          <w:spacing w:val="0"/>
        </w:rPr>
        <w:t>La publicación de tasas se encuentra en la página web del Banco de la Republica en los enlaces: →estadísticas →tasas de interés/tasas de captación</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 xml:space="preserve">Cálculo del riesgo de cartera para usuarios tradicionales </w:t>
      </w:r>
    </w:p>
    <w:p w:rsidR="001377F3" w:rsidRPr="00547FD8" w:rsidRDefault="001377F3" w:rsidP="001377F3">
      <w:pPr>
        <w:spacing w:before="240" w:after="120"/>
        <w:rPr>
          <w:rFonts w:cs="Arial"/>
          <w:spacing w:val="0"/>
        </w:rPr>
      </w:pPr>
      <w:r w:rsidRPr="00547FD8">
        <w:rPr>
          <w:rFonts w:cs="Arial"/>
          <w:spacing w:val="0"/>
        </w:rPr>
        <w:t xml:space="preserve">El riesgo de cartera para usuarios tradicionales definido en el numeral 1 del artículo 14 se calcula para el mercado de comercialización que atiende el comercializador </w:t>
      </w:r>
      <w:proofErr w:type="spellStart"/>
      <w:r w:rsidRPr="00547FD8">
        <w:rPr>
          <w:rFonts w:cs="Arial"/>
          <w:spacing w:val="0"/>
        </w:rPr>
        <w:t>incumbente</w:t>
      </w:r>
      <w:proofErr w:type="spellEnd"/>
      <w:r w:rsidRPr="00547FD8">
        <w:rPr>
          <w:rFonts w:cs="Arial"/>
          <w:spacing w:val="0"/>
        </w:rPr>
        <w:t xml:space="preserve">, teniendo en cuenta el artículo 21 de la resolución. El cálculo se hace de conformidad con la ecuación establecida de la variable </w:t>
      </w:r>
      <w:proofErr w:type="spellStart"/>
      <w:r w:rsidRPr="00547FD8">
        <w:rPr>
          <w:rFonts w:cs="Arial"/>
          <w:spacing w:val="0"/>
        </w:rPr>
        <w:t>RCT</w:t>
      </w:r>
      <w:r w:rsidRPr="00547FD8">
        <w:rPr>
          <w:rFonts w:cs="Arial"/>
          <w:spacing w:val="0"/>
          <w:vertAlign w:val="subscript"/>
        </w:rPr>
        <w:t>j</w:t>
      </w:r>
      <w:proofErr w:type="spellEnd"/>
      <w:r w:rsidRPr="00547FD8">
        <w:rPr>
          <w:rFonts w:cs="Arial"/>
          <w:spacing w:val="0"/>
        </w:rPr>
        <w:t xml:space="preserve"> con bas</w:t>
      </w:r>
      <w:r w:rsidR="008646CD">
        <w:rPr>
          <w:rFonts w:cs="Arial"/>
          <w:spacing w:val="0"/>
        </w:rPr>
        <w:t>e en los siguientes criterios</w:t>
      </w:r>
      <w:r w:rsidRPr="00547FD8">
        <w:rPr>
          <w:rFonts w:cs="Arial"/>
          <w:spacing w:val="0"/>
        </w:rPr>
        <w:t>:</w:t>
      </w:r>
    </w:p>
    <w:p w:rsidR="001377F3" w:rsidRPr="00547FD8" w:rsidRDefault="001377F3" w:rsidP="001377F3">
      <w:pPr>
        <w:pStyle w:val="Prrafodelista"/>
        <w:numPr>
          <w:ilvl w:val="0"/>
          <w:numId w:val="28"/>
        </w:numPr>
        <w:spacing w:before="240" w:after="120"/>
        <w:ind w:left="851"/>
        <w:contextualSpacing w:val="0"/>
        <w:rPr>
          <w:rFonts w:cs="Arial"/>
          <w:spacing w:val="0"/>
        </w:rPr>
      </w:pPr>
      <w:r w:rsidRPr="00547FD8">
        <w:rPr>
          <w:rFonts w:cs="Arial"/>
          <w:spacing w:val="0"/>
          <w:lang w:val="es-ES_tradnl"/>
        </w:rPr>
        <w:t xml:space="preserve">El factor </w:t>
      </w:r>
      <m:oMath>
        <m:f>
          <m:fPr>
            <m:ctrlPr>
              <w:rPr>
                <w:rFonts w:ascii="Cambria Math" w:hAnsi="Cambria Math" w:cs="Arial"/>
                <w:i/>
                <w:spacing w:val="0"/>
                <w:lang w:val="es-ES_tradnl"/>
              </w:rPr>
            </m:ctrlPr>
          </m:fPr>
          <m:num>
            <m:sSub>
              <m:sSubPr>
                <m:ctrlPr>
                  <w:rPr>
                    <w:rFonts w:ascii="Cambria Math" w:hAnsi="Cambria Math" w:cs="Arial"/>
                    <w:i/>
                    <w:spacing w:val="0"/>
                    <w:lang w:val="es-ES_tradnl"/>
                  </w:rPr>
                </m:ctrlPr>
              </m:sSubPr>
              <m:e>
                <m:r>
                  <w:rPr>
                    <w:rFonts w:ascii="Cambria Math" w:hAnsi="Cambria Math" w:cs="Arial"/>
                    <w:spacing w:val="0"/>
                    <w:lang w:val="es-ES_tradnl"/>
                  </w:rPr>
                  <m:t>N</m:t>
                </m:r>
              </m:e>
              <m:sub>
                <m:r>
                  <w:rPr>
                    <w:rFonts w:ascii="Cambria Math" w:hAnsi="Cambria Math" w:cs="Arial"/>
                    <w:spacing w:val="0"/>
                    <w:lang w:val="es-ES_tradnl"/>
                  </w:rPr>
                  <m:t>j,e</m:t>
                </m:r>
              </m:sub>
            </m:sSub>
          </m:num>
          <m:den>
            <m:r>
              <w:rPr>
                <w:rFonts w:ascii="Cambria Math" w:hAnsi="Cambria Math" w:cs="Arial"/>
                <w:spacing w:val="0"/>
                <w:lang w:val="es-ES_tradnl"/>
              </w:rPr>
              <m:t>5</m:t>
            </m:r>
          </m:den>
        </m:f>
      </m:oMath>
      <w:r w:rsidRPr="00547FD8">
        <w:rPr>
          <w:rFonts w:eastAsiaTheme="minorEastAsia" w:cs="Arial"/>
          <w:spacing w:val="0"/>
          <w:lang w:val="es-ES_tradnl"/>
        </w:rPr>
        <w:t xml:space="preserve"> </w:t>
      </w:r>
      <w:r w:rsidRPr="00547FD8">
        <w:rPr>
          <w:rFonts w:cs="Arial"/>
          <w:spacing w:val="0"/>
        </w:rPr>
        <w:t xml:space="preserve">corresponde al número de usuarios </w:t>
      </w:r>
      <w:r w:rsidRPr="00547FD8">
        <w:rPr>
          <w:rFonts w:cs="Arial"/>
          <w:spacing w:val="0"/>
          <w:u w:val="single"/>
        </w:rPr>
        <w:t>efectivamente desconectados</w:t>
      </w:r>
      <w:r w:rsidRPr="00547FD8">
        <w:rPr>
          <w:rFonts w:cs="Arial"/>
          <w:spacing w:val="0"/>
        </w:rPr>
        <w:t xml:space="preserve"> (</w:t>
      </w:r>
      <w:r w:rsidRPr="00547FD8">
        <w:rPr>
          <w:rFonts w:cs="Arial"/>
          <w:i/>
          <w:spacing w:val="0"/>
        </w:rPr>
        <w:t xml:space="preserve">suspensión </w:t>
      </w:r>
      <w:r w:rsidRPr="00547FD8">
        <w:rPr>
          <w:rFonts w:cs="Arial"/>
          <w:i/>
          <w:spacing w:val="0"/>
          <w:u w:val="single"/>
        </w:rPr>
        <w:t>y</w:t>
      </w:r>
      <w:r w:rsidRPr="00547FD8">
        <w:rPr>
          <w:rFonts w:cs="Arial"/>
          <w:i/>
          <w:spacing w:val="0"/>
        </w:rPr>
        <w:t xml:space="preserve"> corte del servicio</w:t>
      </w:r>
      <w:r w:rsidRPr="00547FD8">
        <w:rPr>
          <w:rFonts w:cs="Arial"/>
          <w:spacing w:val="0"/>
        </w:rPr>
        <w:t xml:space="preserve">) durante el periodo 2009 a 2013, el cual se divide por 5 para obtener el promedio anual. </w:t>
      </w:r>
    </w:p>
    <w:p w:rsidR="001377F3" w:rsidRPr="00547FD8" w:rsidRDefault="001377F3" w:rsidP="001377F3">
      <w:pPr>
        <w:pStyle w:val="Prrafodelista"/>
        <w:spacing w:before="240" w:after="120"/>
        <w:ind w:left="851"/>
        <w:contextualSpacing w:val="0"/>
        <w:rPr>
          <w:rFonts w:cs="Arial"/>
          <w:spacing w:val="0"/>
        </w:rPr>
      </w:pPr>
      <w:r w:rsidRPr="00547FD8">
        <w:rPr>
          <w:rFonts w:cs="Arial"/>
          <w:spacing w:val="0"/>
        </w:rPr>
        <w:t xml:space="preserve">Como se expuso en el documento CREG 20 de 2012 </w:t>
      </w:r>
      <w:r w:rsidRPr="00547FD8">
        <w:rPr>
          <w:rFonts w:cs="Arial"/>
          <w:spacing w:val="0"/>
          <w:lang w:val="es-ES_tradnl"/>
        </w:rPr>
        <w:t>no hay lugar a reconocer riesgo de cartera en aquellos casos en que a un usuario le sea reconectado o reinstalado el servicio</w:t>
      </w:r>
      <w:r w:rsidRPr="00547FD8">
        <w:rPr>
          <w:rFonts w:cs="Arial"/>
          <w:spacing w:val="0"/>
        </w:rPr>
        <w:t>, ya que se entiende que al presentarse consumo luego de la suspensión existe un acuerdo de pago por lo que se elimina el riesgo de no recuperar esa cartera, y en caso de reconexiones ilegales el tratamiento se hace a través de la regulación de pérdidas de energía.</w:t>
      </w:r>
    </w:p>
    <w:p w:rsidR="001377F3" w:rsidRPr="00547FD8" w:rsidRDefault="001377F3" w:rsidP="001377F3">
      <w:pPr>
        <w:pStyle w:val="Prrafodelista"/>
        <w:numPr>
          <w:ilvl w:val="0"/>
          <w:numId w:val="28"/>
        </w:numPr>
        <w:spacing w:before="240" w:after="120"/>
        <w:ind w:left="851" w:hanging="357"/>
        <w:contextualSpacing w:val="0"/>
        <w:rPr>
          <w:rFonts w:cs="Arial"/>
          <w:spacing w:val="0"/>
        </w:rPr>
      </w:pPr>
      <w:r w:rsidRPr="00547FD8">
        <w:rPr>
          <w:rFonts w:eastAsiaTheme="minorEastAsia" w:cs="Arial"/>
          <w:spacing w:val="0"/>
          <w:lang w:val="es-ES_tradnl"/>
        </w:rPr>
        <w:t xml:space="preserve">El componente </w:t>
      </w:r>
      <m:oMath>
        <m:sSub>
          <m:sSubPr>
            <m:ctrlPr>
              <w:rPr>
                <w:rFonts w:ascii="Cambria Math" w:hAnsi="Cambria Math" w:cs="Arial"/>
                <w:i/>
                <w:spacing w:val="0"/>
                <w:lang w:val="es-ES_tradnl"/>
              </w:rPr>
            </m:ctrlPr>
          </m:sSubPr>
          <m:e>
            <m:r>
              <w:rPr>
                <w:rFonts w:ascii="Cambria Math" w:hAnsi="Cambria Math" w:cs="Arial"/>
                <w:spacing w:val="0"/>
                <w:lang w:val="es-ES_tradnl"/>
              </w:rPr>
              <m:t>3×CFM</m:t>
            </m:r>
          </m:e>
          <m:sub>
            <m:r>
              <w:rPr>
                <w:rFonts w:ascii="Cambria Math" w:hAnsi="Cambria Math" w:cs="Arial"/>
                <w:spacing w:val="0"/>
                <w:lang w:val="es-ES_tradnl"/>
              </w:rPr>
              <m:t>e,j,t-1</m:t>
            </m:r>
          </m:sub>
        </m:sSub>
      </m:oMath>
      <w:r w:rsidRPr="00547FD8">
        <w:rPr>
          <w:rFonts w:eastAsiaTheme="minorEastAsia" w:cs="Arial"/>
          <w:spacing w:val="0"/>
          <w:lang w:val="es-ES_tradnl"/>
        </w:rPr>
        <w:t xml:space="preserve"> hace referencia al consumo estimado que el usuario –según sector de consumo- deja de pagar cuando es desconectado. Es decir, teniendo en cuenta que luego de tres meses de consumo facturado y no pagado se lleva a cabo la corte del servicio, se multiplica por 3 el CFM el cual se calcula </w:t>
      </w:r>
      <w:r w:rsidRPr="00547FD8">
        <w:rPr>
          <w:rFonts w:cs="Arial"/>
          <w:spacing w:val="0"/>
        </w:rPr>
        <w:t xml:space="preserve">para el mercado de comercialización que atiende el </w:t>
      </w:r>
      <w:proofErr w:type="spellStart"/>
      <w:r w:rsidRPr="00547FD8">
        <w:rPr>
          <w:rFonts w:cs="Arial"/>
          <w:spacing w:val="0"/>
        </w:rPr>
        <w:t>incumbente</w:t>
      </w:r>
      <w:proofErr w:type="spellEnd"/>
      <w:r w:rsidRPr="00547FD8">
        <w:rPr>
          <w:rFonts w:cs="Arial"/>
          <w:spacing w:val="0"/>
        </w:rPr>
        <w:t xml:space="preserve"> como las ventas de energía totales a todos sus usuarios del estrato que se está evaluando, entre el número total de facturas correspondientes a esas ventas, para el año anterior.</w:t>
      </w:r>
    </w:p>
    <w:p w:rsidR="001377F3" w:rsidRPr="00547FD8" w:rsidRDefault="001377F3" w:rsidP="001377F3">
      <w:pPr>
        <w:pStyle w:val="Prrafodelista"/>
        <w:numPr>
          <w:ilvl w:val="0"/>
          <w:numId w:val="28"/>
        </w:numPr>
        <w:spacing w:before="240" w:after="120"/>
        <w:ind w:left="851" w:hanging="357"/>
        <w:contextualSpacing w:val="0"/>
        <w:rPr>
          <w:rFonts w:cs="Arial"/>
          <w:spacing w:val="0"/>
        </w:rPr>
      </w:pPr>
      <w:r w:rsidRPr="00547FD8">
        <w:rPr>
          <w:rFonts w:cs="Arial"/>
          <w:spacing w:val="0"/>
        </w:rPr>
        <w:t xml:space="preserve">Con respecto al término </w:t>
      </w:r>
      <m:oMath>
        <m:d>
          <m:dPr>
            <m:ctrlPr>
              <w:rPr>
                <w:rFonts w:ascii="Cambria Math" w:hAnsi="Cambria Math" w:cs="Arial"/>
                <w:i/>
                <w:spacing w:val="0"/>
                <w:lang w:val="es-ES_tradnl"/>
              </w:rPr>
            </m:ctrlPr>
          </m:dPr>
          <m:e>
            <m:r>
              <w:rPr>
                <w:rFonts w:ascii="Cambria Math" w:hAnsi="Cambria Math" w:cs="Arial"/>
                <w:spacing w:val="0"/>
                <w:lang w:val="es-ES_tradnl"/>
              </w:rPr>
              <m:t>1-</m:t>
            </m:r>
            <m:sSub>
              <m:sSubPr>
                <m:ctrlPr>
                  <w:rPr>
                    <w:rFonts w:ascii="Cambria Math" w:hAnsi="Cambria Math" w:cs="Arial"/>
                    <w:i/>
                    <w:spacing w:val="0"/>
                    <w:lang w:val="es-ES_tradnl"/>
                  </w:rPr>
                </m:ctrlPr>
              </m:sSubPr>
              <m:e>
                <m:r>
                  <w:rPr>
                    <w:rFonts w:ascii="Cambria Math" w:hAnsi="Cambria Math" w:cs="Arial"/>
                    <w:spacing w:val="0"/>
                    <w:lang w:val="es-ES_tradnl"/>
                  </w:rPr>
                  <m:t>Sub</m:t>
                </m:r>
              </m:e>
              <m:sub>
                <m:r>
                  <w:rPr>
                    <w:rFonts w:ascii="Cambria Math" w:hAnsi="Cambria Math" w:cs="Arial"/>
                    <w:spacing w:val="0"/>
                    <w:lang w:val="es-ES_tradnl"/>
                  </w:rPr>
                  <m:t>e,j,t-1</m:t>
                </m:r>
              </m:sub>
            </m:sSub>
          </m:e>
        </m:d>
      </m:oMath>
      <w:r w:rsidRPr="00547FD8">
        <w:rPr>
          <w:rFonts w:eastAsiaTheme="minorEastAsia" w:cs="Arial"/>
          <w:spacing w:val="0"/>
          <w:lang w:val="es-ES_tradnl"/>
        </w:rPr>
        <w:t>, este considera el recaudo que hace el comercializador incumbente por concepto de subsidios en el caso de los estratos que aplica, de acuerdo con el tipo de usuarios que él atiende, según se esté evaluando.</w:t>
      </w:r>
    </w:p>
    <w:p w:rsidR="001377F3" w:rsidRPr="00547FD8" w:rsidRDefault="001377F3" w:rsidP="001377F3">
      <w:pPr>
        <w:pStyle w:val="Prrafodelista"/>
        <w:numPr>
          <w:ilvl w:val="0"/>
          <w:numId w:val="28"/>
        </w:numPr>
        <w:spacing w:before="240" w:after="120"/>
        <w:ind w:left="851" w:hanging="357"/>
        <w:contextualSpacing w:val="0"/>
        <w:rPr>
          <w:rFonts w:cs="Arial"/>
          <w:spacing w:val="0"/>
        </w:rPr>
      </w:pPr>
      <w:r w:rsidRPr="00547FD8">
        <w:rPr>
          <w:rFonts w:cs="Arial"/>
          <w:spacing w:val="0"/>
        </w:rPr>
        <w:lastRenderedPageBreak/>
        <w:t xml:space="preserve">En concordancia con todo lo anterior, la variable </w:t>
      </w:r>
      <m:oMath>
        <m:sSub>
          <m:sSubPr>
            <m:ctrlPr>
              <w:rPr>
                <w:rFonts w:ascii="Cambria Math" w:hAnsi="Cambria Math" w:cs="Arial"/>
                <w:i/>
                <w:spacing w:val="0"/>
                <w:lang w:val="es-ES_tradnl"/>
              </w:rPr>
            </m:ctrlPr>
          </m:sSubPr>
          <m:e>
            <m:r>
              <w:rPr>
                <w:rFonts w:ascii="Cambria Math" w:hAnsi="Cambria Math" w:cs="Arial"/>
                <w:spacing w:val="0"/>
                <w:lang w:val="es-ES_tradnl"/>
              </w:rPr>
              <m:t>VR</m:t>
            </m:r>
          </m:e>
          <m:sub>
            <m:r>
              <w:rPr>
                <w:rFonts w:ascii="Cambria Math" w:hAnsi="Cambria Math" w:cs="Arial"/>
                <w:spacing w:val="0"/>
                <w:lang w:val="es-ES_tradnl"/>
              </w:rPr>
              <m:t>j,t-1</m:t>
            </m:r>
          </m:sub>
        </m:sSub>
      </m:oMath>
      <w:r w:rsidRPr="00547FD8">
        <w:rPr>
          <w:rFonts w:eastAsiaTheme="minorEastAsia" w:cs="Arial"/>
          <w:spacing w:val="0"/>
          <w:lang w:val="es-ES_tradnl"/>
        </w:rPr>
        <w:t xml:space="preserve"> corresponde a </w:t>
      </w:r>
      <w:r w:rsidRPr="00547FD8">
        <w:rPr>
          <w:rFonts w:eastAsiaTheme="minorEastAsia" w:cs="Arial"/>
          <w:spacing w:val="0"/>
        </w:rPr>
        <w:t xml:space="preserve">las ventas de energía totales a todos los usuarios del mercado de comercialización del </w:t>
      </w:r>
      <w:proofErr w:type="spellStart"/>
      <w:r w:rsidRPr="00547FD8">
        <w:rPr>
          <w:rFonts w:eastAsiaTheme="minorEastAsia" w:cs="Arial"/>
          <w:spacing w:val="0"/>
        </w:rPr>
        <w:t>incumbente</w:t>
      </w:r>
      <w:proofErr w:type="spellEnd"/>
      <w:r w:rsidRPr="00547FD8">
        <w:rPr>
          <w:rFonts w:eastAsiaTheme="minorEastAsia" w:cs="Arial"/>
          <w:spacing w:val="0"/>
        </w:rPr>
        <w:t xml:space="preserve">, en </w:t>
      </w:r>
      <w:proofErr w:type="spellStart"/>
      <w:r w:rsidRPr="00547FD8">
        <w:rPr>
          <w:rFonts w:eastAsiaTheme="minorEastAsia" w:cs="Arial"/>
          <w:spacing w:val="0"/>
        </w:rPr>
        <w:t>kWh</w:t>
      </w:r>
      <w:proofErr w:type="spellEnd"/>
      <w:r w:rsidRPr="00547FD8">
        <w:rPr>
          <w:rFonts w:eastAsiaTheme="minorEastAsia" w:cs="Arial"/>
          <w:spacing w:val="0"/>
        </w:rPr>
        <w:t>, para el año anterior.</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Riesgo de cartera para usuarios de áreas especiales (RCAE)</w:t>
      </w:r>
    </w:p>
    <w:p w:rsidR="001377F3" w:rsidRPr="00547FD8" w:rsidRDefault="001377F3" w:rsidP="001377F3">
      <w:pPr>
        <w:spacing w:before="240" w:after="120"/>
        <w:rPr>
          <w:rFonts w:cs="Arial"/>
          <w:spacing w:val="0"/>
        </w:rPr>
      </w:pPr>
      <w:r w:rsidRPr="00547FD8">
        <w:rPr>
          <w:rFonts w:cs="Arial"/>
          <w:spacing w:val="0"/>
        </w:rPr>
        <w:t>El cálculo se hace de conformidad con las ecuaciones establecidas en el numeral 2 del artículo 14 de la Resolución 180 de 20</w:t>
      </w:r>
      <w:r w:rsidR="008646CD">
        <w:rPr>
          <w:rFonts w:cs="Arial"/>
          <w:spacing w:val="0"/>
        </w:rPr>
        <w:t>14. Además debe considerarse lo siguiente</w:t>
      </w:r>
      <w:r w:rsidRPr="00547FD8">
        <w:rPr>
          <w:rFonts w:cs="Arial"/>
          <w:spacing w:val="0"/>
        </w:rPr>
        <w:t xml:space="preserve">: </w:t>
      </w:r>
    </w:p>
    <w:p w:rsidR="001377F3" w:rsidRPr="00547FD8" w:rsidRDefault="001377F3" w:rsidP="001377F3">
      <w:pPr>
        <w:pStyle w:val="Prrafodelista"/>
        <w:numPr>
          <w:ilvl w:val="0"/>
          <w:numId w:val="29"/>
        </w:numPr>
        <w:spacing w:before="240" w:after="120"/>
        <w:ind w:left="851"/>
        <w:contextualSpacing w:val="0"/>
        <w:rPr>
          <w:rFonts w:cs="Arial"/>
          <w:spacing w:val="0"/>
        </w:rPr>
      </w:pPr>
      <w:r w:rsidRPr="00547FD8">
        <w:rPr>
          <w:rFonts w:cs="Arial"/>
          <w:spacing w:val="0"/>
        </w:rPr>
        <w:t>La prima de riesgo por atender usuarios de áreas especiales (menor desarrollo, difícil gestión y barrios subnormales) se calcula con base en la información de este tipo de usuarios que</w:t>
      </w:r>
      <w:r w:rsidR="00E8470C">
        <w:rPr>
          <w:rFonts w:cs="Arial"/>
          <w:spacing w:val="0"/>
        </w:rPr>
        <w:t>,</w:t>
      </w:r>
      <w:r w:rsidRPr="00547FD8">
        <w:rPr>
          <w:rFonts w:cs="Arial"/>
          <w:spacing w:val="0"/>
        </w:rPr>
        <w:t xml:space="preserve"> al 31 de diciembre de 2013</w:t>
      </w:r>
      <w:r w:rsidR="00E8470C">
        <w:rPr>
          <w:rFonts w:cs="Arial"/>
          <w:spacing w:val="0"/>
        </w:rPr>
        <w:t>,</w:t>
      </w:r>
      <w:r w:rsidRPr="00547FD8">
        <w:rPr>
          <w:rFonts w:cs="Arial"/>
          <w:spacing w:val="0"/>
        </w:rPr>
        <w:t xml:space="preserve"> estaban siendo atendidos po</w:t>
      </w:r>
      <w:r w:rsidR="00E8470C">
        <w:rPr>
          <w:rFonts w:cs="Arial"/>
          <w:spacing w:val="0"/>
        </w:rPr>
        <w:t xml:space="preserve">r el comercializador </w:t>
      </w:r>
      <w:proofErr w:type="spellStart"/>
      <w:r w:rsidR="00E8470C">
        <w:rPr>
          <w:rFonts w:cs="Arial"/>
          <w:spacing w:val="0"/>
        </w:rPr>
        <w:t>incumbente</w:t>
      </w:r>
      <w:proofErr w:type="spellEnd"/>
      <w:r w:rsidRPr="00547FD8">
        <w:rPr>
          <w:rFonts w:cs="Arial"/>
          <w:spacing w:val="0"/>
        </w:rPr>
        <w:t xml:space="preserve"> en el respectivo mercado de comercialización. Con respecto a los usuarios clasificados en la categoría de difícil gestión, la resolución no hace diferencia si se clasifica por pérdidas o cartera, por lo cual se tienen en cuenta ambos.</w:t>
      </w:r>
    </w:p>
    <w:p w:rsidR="001377F3" w:rsidRPr="00547FD8" w:rsidRDefault="001377F3" w:rsidP="001377F3">
      <w:pPr>
        <w:pStyle w:val="Prrafodelista"/>
        <w:numPr>
          <w:ilvl w:val="0"/>
          <w:numId w:val="29"/>
        </w:numPr>
        <w:spacing w:before="240" w:after="120"/>
        <w:ind w:left="851"/>
        <w:contextualSpacing w:val="0"/>
        <w:rPr>
          <w:rFonts w:cs="Arial"/>
          <w:spacing w:val="0"/>
        </w:rPr>
      </w:pPr>
      <w:r w:rsidRPr="00547FD8">
        <w:rPr>
          <w:rFonts w:cs="Arial"/>
          <w:spacing w:val="0"/>
        </w:rPr>
        <w:t>Cualquier inclusión de usuarios en alguna de las categorías de las áreas especiales con posterioridad al 31 de diciembre de 2013, de conformidad con lo establecido en el artículo 15 de la resolución, se le reconocerá</w:t>
      </w:r>
      <w:r w:rsidR="00C52B4E">
        <w:rPr>
          <w:rFonts w:cs="Arial"/>
          <w:spacing w:val="0"/>
        </w:rPr>
        <w:t xml:space="preserve"> a los comerc</w:t>
      </w:r>
      <w:r w:rsidR="00B8244F">
        <w:rPr>
          <w:rFonts w:cs="Arial"/>
          <w:spacing w:val="0"/>
        </w:rPr>
        <w:t>ializadores de energía eléctrica</w:t>
      </w:r>
      <w:r w:rsidRPr="00547FD8">
        <w:rPr>
          <w:rFonts w:cs="Arial"/>
          <w:spacing w:val="0"/>
        </w:rPr>
        <w:t xml:space="preserve"> una prima de riesgo de cartera igual a la de atención de los usuarios tradicionales. En ese sentido, para el cálculo del valor de riesgo de cartera mensual que el comercializador debe calcular según la ecuación de </w:t>
      </w:r>
      <m:oMath>
        <m:sSub>
          <m:sSubPr>
            <m:ctrlPr>
              <w:rPr>
                <w:rFonts w:ascii="Cambria Math" w:hAnsi="Cambria Math" w:cs="Arial"/>
                <w:bCs/>
                <w:i/>
                <w:iCs/>
                <w:spacing w:val="0"/>
                <w:lang w:val="es-ES"/>
              </w:rPr>
            </m:ctrlPr>
          </m:sSubPr>
          <m:e>
            <m:r>
              <w:rPr>
                <w:rFonts w:ascii="Cambria Math" w:hAnsi="Cambria Math" w:cs="Arial"/>
                <w:spacing w:val="0"/>
                <w:lang w:val="es-ES"/>
              </w:rPr>
              <m:t>RC</m:t>
            </m:r>
          </m:e>
          <m:sub>
            <m:r>
              <w:rPr>
                <w:rFonts w:ascii="Cambria Math" w:hAnsi="Cambria Math" w:cs="Arial"/>
                <w:spacing w:val="0"/>
                <w:lang w:val="es-ES"/>
              </w:rPr>
              <m:t>i,j,m</m:t>
            </m:r>
          </m:sub>
        </m:sSub>
      </m:oMath>
      <w:r w:rsidRPr="00547FD8">
        <w:rPr>
          <w:rFonts w:cs="Arial"/>
          <w:spacing w:val="0"/>
        </w:rPr>
        <w:t xml:space="preserve"> definida en el artículo 14, se deberá incluir el valor de las ventas a estos nuevos usuarios de áreas especiales como parte de las ventas a usuarios tradicionales.</w:t>
      </w:r>
    </w:p>
    <w:p w:rsidR="001377F3" w:rsidRPr="00547FD8" w:rsidRDefault="001377F3" w:rsidP="001377F3">
      <w:pPr>
        <w:pStyle w:val="Prrafodelista"/>
        <w:numPr>
          <w:ilvl w:val="0"/>
          <w:numId w:val="29"/>
        </w:numPr>
        <w:spacing w:after="120"/>
        <w:ind w:left="851"/>
        <w:contextualSpacing w:val="0"/>
        <w:rPr>
          <w:rFonts w:cs="Arial"/>
          <w:spacing w:val="0"/>
        </w:rPr>
      </w:pPr>
      <w:r w:rsidRPr="00547FD8">
        <w:rPr>
          <w:rFonts w:cs="Arial"/>
          <w:spacing w:val="0"/>
        </w:rPr>
        <w:t xml:space="preserve">La variable </w:t>
      </w:r>
      <m:oMath>
        <m:sSub>
          <m:sSubPr>
            <m:ctrlPr>
              <w:rPr>
                <w:rFonts w:ascii="Cambria Math" w:hAnsi="Cambria Math" w:cs="Arial"/>
                <w:i/>
                <w:spacing w:val="0"/>
                <w:lang w:val="es-ES"/>
              </w:rPr>
            </m:ctrlPr>
          </m:sSubPr>
          <m:e>
            <m:r>
              <w:rPr>
                <w:rFonts w:ascii="Cambria Math" w:hAnsi="Cambria Math" w:cs="Arial"/>
                <w:spacing w:val="0"/>
                <w:lang w:val="es-ES"/>
              </w:rPr>
              <m:t>RCSNE</m:t>
            </m:r>
          </m:e>
          <m:sub>
            <m:r>
              <w:rPr>
                <w:rFonts w:ascii="Cambria Math" w:hAnsi="Cambria Math" w:cs="Arial"/>
                <w:spacing w:val="0"/>
                <w:lang w:val="es-ES"/>
              </w:rPr>
              <m:t>i,j,t</m:t>
            </m:r>
          </m:sub>
        </m:sSub>
      </m:oMath>
      <w:r w:rsidRPr="00547FD8">
        <w:rPr>
          <w:rFonts w:eastAsiaTheme="minorEastAsia" w:cs="Arial"/>
          <w:spacing w:val="0"/>
          <w:lang w:val="es-ES"/>
        </w:rPr>
        <w:t>, que corresponde a la prima de riesgo de cartera a reconocer al comercializador incumbente por atender a usuarios de barrios subnormales que estaban siendo atendidos por un comercializador diferente al 31 de diciembre de 2013, no hace parte de la aprobación de cargos por parte de la Comisión.</w:t>
      </w:r>
    </w:p>
    <w:p w:rsidR="001377F3" w:rsidRPr="00547FD8" w:rsidRDefault="001377F3" w:rsidP="001377F3">
      <w:pPr>
        <w:pStyle w:val="Prrafodelista"/>
        <w:spacing w:before="240" w:after="120"/>
        <w:ind w:left="851"/>
        <w:contextualSpacing w:val="0"/>
        <w:rPr>
          <w:rFonts w:cs="Arial"/>
          <w:spacing w:val="0"/>
          <w:sz w:val="20"/>
        </w:rPr>
      </w:pPr>
      <w:r w:rsidRPr="00547FD8">
        <w:rPr>
          <w:rFonts w:cs="Arial"/>
          <w:spacing w:val="0"/>
        </w:rPr>
        <w:t xml:space="preserve">El cálculo de esta prima de riesgo deberá hacerla el comercializador </w:t>
      </w:r>
      <w:proofErr w:type="spellStart"/>
      <w:r w:rsidRPr="00547FD8">
        <w:rPr>
          <w:rFonts w:cs="Arial"/>
          <w:spacing w:val="0"/>
        </w:rPr>
        <w:t>incumbente</w:t>
      </w:r>
      <w:proofErr w:type="spellEnd"/>
      <w:r w:rsidRPr="00547FD8">
        <w:rPr>
          <w:rFonts w:cs="Arial"/>
          <w:spacing w:val="0"/>
        </w:rPr>
        <w:t xml:space="preserve">, anualmente, teniendo en cuenta que para la estimación </w:t>
      </w:r>
      <w:r w:rsidRPr="00547FD8">
        <w:rPr>
          <w:rFonts w:eastAsiaTheme="minorEastAsia" w:cs="Arial"/>
          <w:spacing w:val="0"/>
        </w:rPr>
        <w:t xml:space="preserve">de </w:t>
      </w:r>
      <m:oMath>
        <m:r>
          <w:rPr>
            <w:rFonts w:ascii="Cambria Math" w:hAnsi="Cambria Math" w:cs="Arial"/>
            <w:spacing w:val="0"/>
            <w:lang w:val="es-ES_tradnl"/>
          </w:rPr>
          <m:t>Recaudo total</m:t>
        </m:r>
      </m:oMath>
      <w:r w:rsidRPr="00547FD8">
        <w:rPr>
          <w:rFonts w:cs="Arial"/>
          <w:spacing w:val="0"/>
        </w:rPr>
        <w:t xml:space="preserve">: (i) se debe considerar el porcentaje de recaudo a través </w:t>
      </w:r>
      <w:r w:rsidRPr="00547FD8">
        <w:rPr>
          <w:rFonts w:cs="Arial"/>
          <w:spacing w:val="0"/>
          <w:lang w:val="es-ES_tradnl"/>
        </w:rPr>
        <w:t xml:space="preserve">del Fondo de Solidaridad para Subsidios y Redistribución de Ingresos, FSSRI, recibidos en relación a la atención de los usuarios de barrios subnormales que el comercializador entrante estaba atendiendo y pasan a ser parte del comercializador </w:t>
      </w:r>
      <w:proofErr w:type="spellStart"/>
      <w:r w:rsidRPr="00547FD8">
        <w:rPr>
          <w:rFonts w:cs="Arial"/>
          <w:spacing w:val="0"/>
          <w:lang w:val="es-ES_tradnl"/>
        </w:rPr>
        <w:t>incumbente</w:t>
      </w:r>
      <w:proofErr w:type="spellEnd"/>
      <w:r w:rsidRPr="00547FD8">
        <w:rPr>
          <w:rFonts w:cs="Arial"/>
          <w:spacing w:val="0"/>
          <w:lang w:val="es-ES_tradnl"/>
        </w:rPr>
        <w:t>, y (ii)</w:t>
      </w:r>
      <w:r w:rsidRPr="00547FD8">
        <w:rPr>
          <w:rFonts w:cs="Arial"/>
          <w:spacing w:val="0"/>
        </w:rPr>
        <w:t xml:space="preserve"> se debe considerar el porcentaje de recaudo </w:t>
      </w:r>
      <w:r w:rsidRPr="00547FD8">
        <w:rPr>
          <w:rFonts w:cs="Arial"/>
          <w:spacing w:val="0"/>
          <w:lang w:val="es-ES_tradnl"/>
        </w:rPr>
        <w:t xml:space="preserve">a través de recursos del Fondo de Energía Social, FOES, recibidos en relación a la atención de los usuarios de barrios </w:t>
      </w:r>
      <w:r w:rsidRPr="00547FD8">
        <w:rPr>
          <w:rFonts w:cs="Arial"/>
          <w:spacing w:val="0"/>
          <w:lang w:val="es-ES_tradnl"/>
        </w:rPr>
        <w:lastRenderedPageBreak/>
        <w:t xml:space="preserve">subnormales que el comercializador entrante estaba atendiendo y pasan a ser parte del comercializador </w:t>
      </w:r>
      <w:proofErr w:type="spellStart"/>
      <w:r w:rsidRPr="00547FD8">
        <w:rPr>
          <w:rFonts w:cs="Arial"/>
          <w:spacing w:val="0"/>
          <w:lang w:val="es-ES_tradnl"/>
        </w:rPr>
        <w:t>incumbente</w:t>
      </w:r>
      <w:proofErr w:type="spellEnd"/>
      <w:r w:rsidRPr="00547FD8">
        <w:rPr>
          <w:rFonts w:cs="Arial"/>
          <w:spacing w:val="0"/>
          <w:lang w:val="es-ES_tradnl"/>
        </w:rPr>
        <w:t>.</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Ventas de energía en áreas especiales</w:t>
      </w:r>
    </w:p>
    <w:p w:rsidR="001377F3" w:rsidRPr="00547FD8" w:rsidRDefault="001377F3" w:rsidP="001377F3">
      <w:pPr>
        <w:spacing w:before="240" w:after="120"/>
        <w:rPr>
          <w:rFonts w:cs="Arial"/>
          <w:spacing w:val="0"/>
        </w:rPr>
      </w:pPr>
      <w:r w:rsidRPr="00547FD8">
        <w:rPr>
          <w:rFonts w:cs="Arial"/>
          <w:spacing w:val="0"/>
        </w:rPr>
        <w:t xml:space="preserve">El valor de las ventas de energía en las áreas especiales que se emplea para el cálculo del riesgo de cartera descrito en el artículo 14 de la Resolución CREG 180 de 2014 </w:t>
      </w:r>
      <w:r w:rsidRPr="00547FD8">
        <w:rPr>
          <w:rFonts w:cs="Arial"/>
          <w:bCs/>
          <w:i/>
          <w:spacing w:val="0"/>
          <w:lang w:eastAsia="ar-SA"/>
        </w:rPr>
        <w:t>VAE</w:t>
      </w:r>
      <w:r w:rsidRPr="00547FD8">
        <w:rPr>
          <w:rFonts w:cs="Arial"/>
          <w:bCs/>
          <w:i/>
          <w:spacing w:val="0"/>
          <w:vertAlign w:val="subscript"/>
          <w:lang w:eastAsia="ar-SA"/>
        </w:rPr>
        <w:t>i</w:t>
      </w:r>
      <w:proofErr w:type="gramStart"/>
      <w:r w:rsidRPr="00547FD8">
        <w:rPr>
          <w:rFonts w:cs="Arial"/>
          <w:bCs/>
          <w:i/>
          <w:spacing w:val="0"/>
          <w:vertAlign w:val="subscript"/>
          <w:lang w:eastAsia="ar-SA"/>
        </w:rPr>
        <w:t>,j,m</w:t>
      </w:r>
      <w:proofErr w:type="gramEnd"/>
      <w:r w:rsidRPr="00547FD8">
        <w:rPr>
          <w:rFonts w:cs="Arial"/>
          <w:bCs/>
          <w:i/>
          <w:spacing w:val="0"/>
          <w:vertAlign w:val="subscript"/>
          <w:lang w:eastAsia="ar-SA"/>
        </w:rPr>
        <w:t>-1</w:t>
      </w:r>
      <w:r w:rsidRPr="00547FD8">
        <w:rPr>
          <w:rFonts w:cs="Arial"/>
          <w:bCs/>
          <w:spacing w:val="0"/>
          <w:lang w:eastAsia="ar-SA"/>
        </w:rPr>
        <w:t xml:space="preserve"> corresponde únicamente a usuarios regulados.</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Cálculo del valor de la energía destinada al mercado regulado y no regulado</w:t>
      </w:r>
    </w:p>
    <w:p w:rsidR="001377F3" w:rsidRPr="00547FD8" w:rsidRDefault="001377F3" w:rsidP="001377F3">
      <w:pPr>
        <w:spacing w:before="240" w:after="120"/>
        <w:rPr>
          <w:rFonts w:cs="Arial"/>
          <w:spacing w:val="0"/>
        </w:rPr>
      </w:pPr>
      <w:r w:rsidRPr="00547FD8">
        <w:rPr>
          <w:rFonts w:cs="Arial"/>
          <w:spacing w:val="0"/>
        </w:rPr>
        <w:t xml:space="preserve">Tal como señala el Documento CREG 100 de 2014, el valor de la energía destinada a los mercados regulado y no regulado se determina a partir de la validación de la información reportada para las cuentas de bienes y servicios para la venta del sistema de costeo por actividades ABC contra el valor asignado a la cuenta7530. En el cálculo de los gastos de la actividad de comercialización, </w:t>
      </w:r>
      <w:proofErr w:type="spellStart"/>
      <w:r w:rsidRPr="00547FD8">
        <w:rPr>
          <w:rFonts w:cs="Arial"/>
          <w:spacing w:val="0"/>
        </w:rPr>
        <w:t>GC</w:t>
      </w:r>
      <w:r w:rsidRPr="00547FD8">
        <w:rPr>
          <w:rFonts w:cs="Arial"/>
          <w:spacing w:val="0"/>
          <w:vertAlign w:val="subscript"/>
        </w:rPr>
        <w:t>j</w:t>
      </w:r>
      <w:proofErr w:type="spellEnd"/>
      <w:r w:rsidRPr="00547FD8">
        <w:rPr>
          <w:rFonts w:cs="Arial"/>
          <w:spacing w:val="0"/>
        </w:rPr>
        <w:t xml:space="preserve">, se emplea el mayor valor de los dos mencionados. </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Derogatoria de la Resolución CREG 007 de 1999</w:t>
      </w:r>
    </w:p>
    <w:p w:rsidR="001377F3" w:rsidRPr="00547FD8" w:rsidRDefault="001377F3" w:rsidP="001377F3">
      <w:pPr>
        <w:spacing w:before="240" w:after="120"/>
        <w:rPr>
          <w:rFonts w:cs="Arial"/>
          <w:spacing w:val="0"/>
        </w:rPr>
      </w:pPr>
      <w:r w:rsidRPr="00547FD8">
        <w:rPr>
          <w:rFonts w:cs="Arial"/>
          <w:spacing w:val="0"/>
        </w:rPr>
        <w:t>La Resolución CREG 007 de 1999 tiene como propósito simplificar el cálculo del costo base de comercialización y compila en un anexo los costos base aprobados en su momento. La derogatoria de esta resolución no deja sin costo base a ningún mercado, debido a que cada empresa tiene aprobado en una resolución particular dicho costo. Hasta tanto la Comisión no apruebe los nuevos costos, en aplicación de la Resolución 180 de 2014, seguirán vigentes los de las resoluciones particulares.</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Cálculo de los residuales en el modelo de frontera estocástica</w:t>
      </w:r>
    </w:p>
    <w:p w:rsidR="001377F3" w:rsidRPr="00547FD8" w:rsidRDefault="001377F3" w:rsidP="001377F3">
      <w:pPr>
        <w:spacing w:before="240" w:after="120"/>
        <w:rPr>
          <w:rFonts w:cs="Arial"/>
          <w:spacing w:val="0"/>
        </w:rPr>
      </w:pPr>
      <w:r w:rsidRPr="00547FD8">
        <w:rPr>
          <w:rFonts w:cs="Arial"/>
          <w:spacing w:val="0"/>
        </w:rPr>
        <w:t>El Anexo 1 de la Resolución 180 de 2014 contiene el modelo de frontera con el que se predice la eficiencia de los mercados de comercialización. Para este cálculo es necesaria la determinación de los residuales del modelo, entendidos estos como la diferencia entre el valor del costo de comercialización de la empresa y el costo estimado por el modelo de eficiencia, en este sentido la expresión matemática es:</w:t>
      </w:r>
    </w:p>
    <w:p w:rsidR="001377F3" w:rsidRPr="00547FD8" w:rsidRDefault="009C454B" w:rsidP="001377F3">
      <w:pPr>
        <w:spacing w:before="240" w:after="120"/>
        <w:rPr>
          <w:spacing w:val="0"/>
        </w:rPr>
      </w:pPr>
      <m:oMathPara>
        <m:oMath>
          <m:sSub>
            <m:sSubPr>
              <m:ctrlPr>
                <w:rPr>
                  <w:rFonts w:ascii="Cambria Math" w:hAnsi="Cambria Math"/>
                  <w:i/>
                  <w:spacing w:val="0"/>
                </w:rPr>
              </m:ctrlPr>
            </m:sSubPr>
            <m:e>
              <m:r>
                <w:rPr>
                  <w:rFonts w:ascii="Cambria Math" w:hAnsi="Cambria Math"/>
                  <w:spacing w:val="0"/>
                </w:rPr>
                <m:t>ε</m:t>
              </m:r>
            </m:e>
            <m:sub>
              <m:r>
                <w:rPr>
                  <w:rFonts w:ascii="Cambria Math" w:hAnsi="Cambria Math"/>
                  <w:spacing w:val="0"/>
                </w:rPr>
                <m:t>i</m:t>
              </m:r>
            </m:sub>
          </m:sSub>
          <m:r>
            <w:rPr>
              <w:rFonts w:ascii="Cambria Math" w:hAnsi="Cambria Math"/>
              <w:spacing w:val="0"/>
            </w:rPr>
            <m:t>=ln</m:t>
          </m:r>
          <m:sSub>
            <m:sSubPr>
              <m:ctrlPr>
                <w:rPr>
                  <w:rFonts w:ascii="Cambria Math" w:hAnsi="Cambria Math"/>
                  <w:i/>
                  <w:spacing w:val="0"/>
                </w:rPr>
              </m:ctrlPr>
            </m:sSubPr>
            <m:e>
              <m:r>
                <w:rPr>
                  <w:rFonts w:ascii="Cambria Math" w:hAnsi="Cambria Math"/>
                  <w:spacing w:val="0"/>
                </w:rPr>
                <m:t>y</m:t>
              </m:r>
            </m:e>
            <m:sub>
              <m:r>
                <w:rPr>
                  <w:rFonts w:ascii="Cambria Math" w:hAnsi="Cambria Math"/>
                  <w:spacing w:val="0"/>
                </w:rPr>
                <m:t>it</m:t>
              </m:r>
            </m:sub>
          </m:sSub>
          <m:r>
            <w:rPr>
              <w:rFonts w:ascii="Cambria Math" w:hAnsi="Cambria Math"/>
              <w:spacing w:val="0"/>
            </w:rPr>
            <m:t>-</m:t>
          </m:r>
          <m:d>
            <m:dPr>
              <m:ctrlPr>
                <w:rPr>
                  <w:rFonts w:ascii="Cambria Math" w:hAnsi="Cambria Math"/>
                  <w:i/>
                  <w:spacing w:val="0"/>
                </w:rPr>
              </m:ctrlPr>
            </m:dPr>
            <m:e>
              <m:sSub>
                <m:sSubPr>
                  <m:ctrlPr>
                    <w:rPr>
                      <w:rFonts w:ascii="Cambria Math" w:hAnsi="Cambria Math"/>
                      <w:i/>
                      <w:spacing w:val="0"/>
                    </w:rPr>
                  </m:ctrlPr>
                </m:sSubPr>
                <m:e>
                  <m:acc>
                    <m:accPr>
                      <m:ctrlPr>
                        <w:rPr>
                          <w:rFonts w:ascii="Cambria Math" w:hAnsi="Cambria Math"/>
                          <w:i/>
                          <w:spacing w:val="0"/>
                        </w:rPr>
                      </m:ctrlPr>
                    </m:accPr>
                    <m:e>
                      <m:r>
                        <w:rPr>
                          <w:rFonts w:ascii="Cambria Math" w:hAnsi="Cambria Math"/>
                          <w:spacing w:val="0"/>
                        </w:rPr>
                        <m:t>α</m:t>
                      </m:r>
                    </m:e>
                  </m:acc>
                </m:e>
                <m:sub>
                  <m:r>
                    <w:rPr>
                      <w:rFonts w:ascii="Cambria Math" w:hAnsi="Cambria Math"/>
                      <w:spacing w:val="0"/>
                    </w:rPr>
                    <m:t>0</m:t>
                  </m:r>
                </m:sub>
              </m:sSub>
              <m:r>
                <w:rPr>
                  <w:rFonts w:ascii="Cambria Math" w:hAnsi="Cambria Math"/>
                  <w:spacing w:val="0"/>
                </w:rPr>
                <m:t>+</m:t>
              </m:r>
              <m:sSub>
                <m:sSubPr>
                  <m:ctrlPr>
                    <w:rPr>
                      <w:rFonts w:ascii="Cambria Math" w:hAnsi="Cambria Math"/>
                      <w:i/>
                      <w:spacing w:val="0"/>
                    </w:rPr>
                  </m:ctrlPr>
                </m:sSubPr>
                <m:e>
                  <m:acc>
                    <m:accPr>
                      <m:ctrlPr>
                        <w:rPr>
                          <w:rFonts w:ascii="Cambria Math" w:hAnsi="Cambria Math"/>
                          <w:i/>
                          <w:spacing w:val="0"/>
                        </w:rPr>
                      </m:ctrlPr>
                    </m:accPr>
                    <m:e>
                      <m:r>
                        <w:rPr>
                          <w:rFonts w:ascii="Cambria Math" w:hAnsi="Cambria Math"/>
                          <w:spacing w:val="0"/>
                        </w:rPr>
                        <m:t>α</m:t>
                      </m:r>
                    </m:e>
                  </m:acc>
                </m:e>
                <m:sub>
                  <m:r>
                    <w:rPr>
                      <w:rFonts w:ascii="Cambria Math" w:hAnsi="Cambria Math"/>
                      <w:spacing w:val="0"/>
                    </w:rPr>
                    <m:t>q</m:t>
                  </m:r>
                </m:sub>
              </m:sSub>
              <m:r>
                <w:rPr>
                  <w:rFonts w:ascii="Cambria Math" w:hAnsi="Cambria Math"/>
                  <w:spacing w:val="0"/>
                </w:rPr>
                <m:t>ln</m:t>
              </m:r>
              <m:sSub>
                <m:sSubPr>
                  <m:ctrlPr>
                    <w:rPr>
                      <w:rFonts w:ascii="Cambria Math" w:hAnsi="Cambria Math"/>
                      <w:i/>
                      <w:spacing w:val="0"/>
                    </w:rPr>
                  </m:ctrlPr>
                </m:sSubPr>
                <m:e>
                  <m:r>
                    <w:rPr>
                      <w:rFonts w:ascii="Cambria Math" w:hAnsi="Cambria Math"/>
                      <w:spacing w:val="0"/>
                    </w:rPr>
                    <m:t>q</m:t>
                  </m:r>
                </m:e>
                <m:sub>
                  <m:r>
                    <w:rPr>
                      <w:rFonts w:ascii="Cambria Math" w:hAnsi="Cambria Math"/>
                      <w:spacing w:val="0"/>
                    </w:rPr>
                    <m:t>it</m:t>
                  </m:r>
                </m:sub>
              </m:sSub>
              <m:r>
                <w:rPr>
                  <w:rFonts w:ascii="Cambria Math" w:hAnsi="Cambria Math"/>
                  <w:spacing w:val="0"/>
                </w:rPr>
                <m:t>+</m:t>
              </m:r>
              <m:sSub>
                <m:sSubPr>
                  <m:ctrlPr>
                    <w:rPr>
                      <w:rFonts w:ascii="Cambria Math" w:hAnsi="Cambria Math"/>
                      <w:i/>
                      <w:spacing w:val="0"/>
                    </w:rPr>
                  </m:ctrlPr>
                </m:sSubPr>
                <m:e>
                  <m:acc>
                    <m:accPr>
                      <m:ctrlPr>
                        <w:rPr>
                          <w:rFonts w:ascii="Cambria Math" w:hAnsi="Cambria Math"/>
                          <w:i/>
                          <w:spacing w:val="0"/>
                        </w:rPr>
                      </m:ctrlPr>
                    </m:accPr>
                    <m:e>
                      <m:r>
                        <w:rPr>
                          <w:rFonts w:ascii="Cambria Math" w:hAnsi="Cambria Math"/>
                          <w:spacing w:val="0"/>
                        </w:rPr>
                        <m:t>α</m:t>
                      </m:r>
                    </m:e>
                  </m:acc>
                </m:e>
                <m:sub>
                  <m:r>
                    <w:rPr>
                      <w:rFonts w:ascii="Cambria Math" w:hAnsi="Cambria Math"/>
                      <w:spacing w:val="0"/>
                    </w:rPr>
                    <m:t>1</m:t>
                  </m:r>
                </m:sub>
              </m:sSub>
              <m:r>
                <w:rPr>
                  <w:rFonts w:ascii="Cambria Math" w:hAnsi="Cambria Math"/>
                  <w:spacing w:val="0"/>
                </w:rPr>
                <m:t>ln</m:t>
              </m:r>
              <m:sSub>
                <m:sSubPr>
                  <m:ctrlPr>
                    <w:rPr>
                      <w:rFonts w:ascii="Cambria Math" w:hAnsi="Cambria Math"/>
                      <w:i/>
                      <w:spacing w:val="0"/>
                    </w:rPr>
                  </m:ctrlPr>
                </m:sSubPr>
                <m:e>
                  <m:r>
                    <w:rPr>
                      <w:rFonts w:ascii="Cambria Math" w:hAnsi="Cambria Math"/>
                      <w:spacing w:val="0"/>
                    </w:rPr>
                    <m:t>w1</m:t>
                  </m:r>
                </m:e>
                <m:sub>
                  <m:r>
                    <w:rPr>
                      <w:rFonts w:ascii="Cambria Math" w:hAnsi="Cambria Math"/>
                      <w:spacing w:val="0"/>
                    </w:rPr>
                    <m:t>it</m:t>
                  </m:r>
                </m:sub>
              </m:sSub>
              <m:r>
                <w:rPr>
                  <w:rFonts w:ascii="Cambria Math" w:hAnsi="Cambria Math"/>
                  <w:spacing w:val="0"/>
                </w:rPr>
                <m:t>+</m:t>
              </m:r>
              <m:sSub>
                <m:sSubPr>
                  <m:ctrlPr>
                    <w:rPr>
                      <w:rFonts w:ascii="Cambria Math" w:hAnsi="Cambria Math"/>
                      <w:i/>
                      <w:spacing w:val="0"/>
                    </w:rPr>
                  </m:ctrlPr>
                </m:sSubPr>
                <m:e>
                  <m:acc>
                    <m:accPr>
                      <m:ctrlPr>
                        <w:rPr>
                          <w:rFonts w:ascii="Cambria Math" w:hAnsi="Cambria Math"/>
                          <w:i/>
                          <w:spacing w:val="0"/>
                        </w:rPr>
                      </m:ctrlPr>
                    </m:accPr>
                    <m:e>
                      <m:r>
                        <w:rPr>
                          <w:rFonts w:ascii="Cambria Math" w:hAnsi="Cambria Math"/>
                          <w:spacing w:val="0"/>
                        </w:rPr>
                        <m:t>α</m:t>
                      </m:r>
                    </m:e>
                  </m:acc>
                </m:e>
                <m:sub>
                  <m:r>
                    <w:rPr>
                      <w:rFonts w:ascii="Cambria Math" w:hAnsi="Cambria Math"/>
                      <w:spacing w:val="0"/>
                    </w:rPr>
                    <m:t>2</m:t>
                  </m:r>
                </m:sub>
              </m:sSub>
              <m:r>
                <w:rPr>
                  <w:rFonts w:ascii="Cambria Math" w:hAnsi="Cambria Math"/>
                  <w:spacing w:val="0"/>
                </w:rPr>
                <m:t>ln</m:t>
              </m:r>
              <m:sSub>
                <m:sSubPr>
                  <m:ctrlPr>
                    <w:rPr>
                      <w:rFonts w:ascii="Cambria Math" w:hAnsi="Cambria Math"/>
                      <w:i/>
                      <w:spacing w:val="0"/>
                    </w:rPr>
                  </m:ctrlPr>
                </m:sSubPr>
                <m:e>
                  <m:r>
                    <w:rPr>
                      <w:rFonts w:ascii="Cambria Math" w:hAnsi="Cambria Math"/>
                      <w:spacing w:val="0"/>
                    </w:rPr>
                    <m:t>w2</m:t>
                  </m:r>
                </m:e>
                <m:sub>
                  <m:r>
                    <w:rPr>
                      <w:rFonts w:ascii="Cambria Math" w:hAnsi="Cambria Math"/>
                      <w:spacing w:val="0"/>
                    </w:rPr>
                    <m:t>it</m:t>
                  </m:r>
                </m:sub>
              </m:sSub>
              <m:r>
                <w:rPr>
                  <w:rFonts w:ascii="Cambria Math" w:hAnsi="Cambria Math"/>
                  <w:spacing w:val="0"/>
                </w:rPr>
                <m:t>+</m:t>
              </m:r>
              <m:sSub>
                <m:sSubPr>
                  <m:ctrlPr>
                    <w:rPr>
                      <w:rFonts w:ascii="Cambria Math" w:hAnsi="Cambria Math"/>
                      <w:i/>
                      <w:spacing w:val="0"/>
                    </w:rPr>
                  </m:ctrlPr>
                </m:sSubPr>
                <m:e>
                  <m:acc>
                    <m:accPr>
                      <m:ctrlPr>
                        <w:rPr>
                          <w:rFonts w:ascii="Cambria Math" w:hAnsi="Cambria Math"/>
                          <w:i/>
                          <w:spacing w:val="0"/>
                        </w:rPr>
                      </m:ctrlPr>
                    </m:accPr>
                    <m:e>
                      <m:r>
                        <w:rPr>
                          <w:rFonts w:ascii="Cambria Math" w:hAnsi="Cambria Math"/>
                          <w:spacing w:val="0"/>
                        </w:rPr>
                        <m:t>δ</m:t>
                      </m:r>
                    </m:e>
                  </m:acc>
                </m:e>
                <m:sub>
                  <m:r>
                    <w:rPr>
                      <w:rFonts w:ascii="Cambria Math" w:hAnsi="Cambria Math"/>
                      <w:spacing w:val="0"/>
                    </w:rPr>
                    <m:t>1</m:t>
                  </m:r>
                </m:sub>
              </m:sSub>
              <m:sSub>
                <m:sSubPr>
                  <m:ctrlPr>
                    <w:rPr>
                      <w:rFonts w:ascii="Cambria Math" w:hAnsi="Cambria Math"/>
                      <w:i/>
                      <w:spacing w:val="0"/>
                    </w:rPr>
                  </m:ctrlPr>
                </m:sSubPr>
                <m:e>
                  <m:r>
                    <w:rPr>
                      <w:rFonts w:ascii="Cambria Math" w:hAnsi="Cambria Math"/>
                      <w:spacing w:val="0"/>
                    </w:rPr>
                    <m:t>z1</m:t>
                  </m:r>
                </m:e>
                <m:sub>
                  <m:r>
                    <w:rPr>
                      <w:rFonts w:ascii="Cambria Math" w:hAnsi="Cambria Math"/>
                      <w:spacing w:val="0"/>
                    </w:rPr>
                    <m:t>it</m:t>
                  </m:r>
                </m:sub>
              </m:sSub>
              <m:r>
                <w:rPr>
                  <w:rFonts w:ascii="Cambria Math" w:hAnsi="Cambria Math"/>
                  <w:spacing w:val="0"/>
                </w:rPr>
                <m:t>+⋯+</m:t>
              </m:r>
              <m:sSub>
                <m:sSubPr>
                  <m:ctrlPr>
                    <w:rPr>
                      <w:rFonts w:ascii="Cambria Math" w:hAnsi="Cambria Math"/>
                      <w:i/>
                      <w:spacing w:val="0"/>
                    </w:rPr>
                  </m:ctrlPr>
                </m:sSubPr>
                <m:e>
                  <m:acc>
                    <m:accPr>
                      <m:ctrlPr>
                        <w:rPr>
                          <w:rFonts w:ascii="Cambria Math" w:hAnsi="Cambria Math"/>
                          <w:i/>
                          <w:spacing w:val="0"/>
                        </w:rPr>
                      </m:ctrlPr>
                    </m:accPr>
                    <m:e>
                      <m:r>
                        <w:rPr>
                          <w:rFonts w:ascii="Cambria Math" w:hAnsi="Cambria Math"/>
                          <w:spacing w:val="0"/>
                        </w:rPr>
                        <m:t>δ</m:t>
                      </m:r>
                    </m:e>
                  </m:acc>
                </m:e>
                <m:sub>
                  <m:r>
                    <w:rPr>
                      <w:rFonts w:ascii="Cambria Math" w:hAnsi="Cambria Math"/>
                      <w:spacing w:val="0"/>
                    </w:rPr>
                    <m:t>5</m:t>
                  </m:r>
                </m:sub>
              </m:sSub>
              <m:sSub>
                <m:sSubPr>
                  <m:ctrlPr>
                    <w:rPr>
                      <w:rFonts w:ascii="Cambria Math" w:hAnsi="Cambria Math"/>
                      <w:i/>
                      <w:spacing w:val="0"/>
                    </w:rPr>
                  </m:ctrlPr>
                </m:sSubPr>
                <m:e>
                  <m:r>
                    <w:rPr>
                      <w:rFonts w:ascii="Cambria Math" w:hAnsi="Cambria Math"/>
                      <w:spacing w:val="0"/>
                    </w:rPr>
                    <m:t>z5</m:t>
                  </m:r>
                </m:e>
                <m:sub>
                  <m:r>
                    <w:rPr>
                      <w:rFonts w:ascii="Cambria Math" w:hAnsi="Cambria Math"/>
                      <w:spacing w:val="0"/>
                    </w:rPr>
                    <m:t>it</m:t>
                  </m:r>
                </m:sub>
              </m:sSub>
            </m:e>
          </m:d>
        </m:oMath>
      </m:oMathPara>
    </w:p>
    <w:p w:rsidR="001377F3" w:rsidRPr="00547FD8" w:rsidRDefault="00B8244F" w:rsidP="00B8244F">
      <w:pPr>
        <w:pStyle w:val="Prrafodelista"/>
        <w:numPr>
          <w:ilvl w:val="0"/>
          <w:numId w:val="26"/>
        </w:numPr>
        <w:spacing w:before="240" w:after="120"/>
        <w:ind w:left="567" w:hanging="566"/>
        <w:contextualSpacing w:val="0"/>
        <w:rPr>
          <w:rFonts w:cs="Arial"/>
          <w:b/>
          <w:spacing w:val="0"/>
        </w:rPr>
      </w:pPr>
      <w:r>
        <w:rPr>
          <w:rFonts w:cs="Arial"/>
          <w:b/>
          <w:spacing w:val="0"/>
        </w:rPr>
        <w:t xml:space="preserve"> </w:t>
      </w:r>
      <w:r w:rsidR="001377F3" w:rsidRPr="00547FD8">
        <w:rPr>
          <w:rFonts w:cs="Arial"/>
          <w:b/>
          <w:spacing w:val="0"/>
        </w:rPr>
        <w:t xml:space="preserve">Año base para expresar los costos incluidos en el modelo de frontera </w:t>
      </w:r>
      <w:r>
        <w:rPr>
          <w:rFonts w:cs="Arial"/>
          <w:b/>
          <w:spacing w:val="0"/>
        </w:rPr>
        <w:t xml:space="preserve">  </w:t>
      </w:r>
      <w:r w:rsidR="001377F3" w:rsidRPr="00547FD8">
        <w:rPr>
          <w:rFonts w:cs="Arial"/>
          <w:b/>
          <w:spacing w:val="0"/>
        </w:rPr>
        <w:t>estocástica</w:t>
      </w:r>
    </w:p>
    <w:p w:rsidR="001377F3" w:rsidRPr="00547FD8" w:rsidRDefault="001377F3" w:rsidP="001377F3">
      <w:pPr>
        <w:spacing w:before="240" w:after="120"/>
        <w:rPr>
          <w:rFonts w:cs="Arial"/>
          <w:spacing w:val="0"/>
        </w:rPr>
      </w:pPr>
      <w:r w:rsidRPr="00547FD8">
        <w:rPr>
          <w:rFonts w:cs="Arial"/>
          <w:spacing w:val="0"/>
        </w:rPr>
        <w:t xml:space="preserve">Los costos de personal, edificios, equipos, materiales y equipos deben ser expresados en pesos de diciembre de 2013 empleando como indexador el Índice </w:t>
      </w:r>
      <w:r w:rsidRPr="00547FD8">
        <w:rPr>
          <w:rFonts w:cs="Arial"/>
          <w:spacing w:val="0"/>
        </w:rPr>
        <w:lastRenderedPageBreak/>
        <w:t>de Precios al Consumidor, IPC, publicado por el DANE. Lo anterior de acuerdo con el anexo 1 del Documento CREG 100 de 2014.</w:t>
      </w:r>
    </w:p>
    <w:p w:rsidR="001377F3" w:rsidRPr="00547FD8" w:rsidRDefault="001377F3" w:rsidP="001377F3">
      <w:pPr>
        <w:pStyle w:val="Prrafodelista"/>
        <w:numPr>
          <w:ilvl w:val="0"/>
          <w:numId w:val="26"/>
        </w:numPr>
        <w:spacing w:before="240" w:after="120"/>
        <w:contextualSpacing w:val="0"/>
        <w:rPr>
          <w:rFonts w:cs="Arial"/>
          <w:b/>
          <w:spacing w:val="0"/>
        </w:rPr>
      </w:pPr>
      <w:r w:rsidRPr="00547FD8">
        <w:rPr>
          <w:rFonts w:cs="Arial"/>
          <w:b/>
          <w:spacing w:val="0"/>
        </w:rPr>
        <w:t xml:space="preserve">Información fuente para replicar el modelo de frontera estocástica </w:t>
      </w:r>
    </w:p>
    <w:p w:rsidR="001377F3" w:rsidRPr="00547FD8" w:rsidRDefault="001377F3" w:rsidP="001377F3">
      <w:pPr>
        <w:spacing w:before="240" w:after="120"/>
        <w:rPr>
          <w:rFonts w:cs="Arial"/>
          <w:spacing w:val="0"/>
        </w:rPr>
      </w:pPr>
      <w:r w:rsidRPr="00547FD8">
        <w:rPr>
          <w:rFonts w:cs="Arial"/>
          <w:spacing w:val="0"/>
        </w:rPr>
        <w:t xml:space="preserve">En respuesta a la Circular 012 de 2014 tres comercializadores le manifestaron a la Comisión que la información empleada en el modelo de frontera estocástica es reservada, por lo que no se hará pública dicha información. </w:t>
      </w:r>
    </w:p>
    <w:p w:rsidR="001377F3" w:rsidRPr="00547FD8" w:rsidRDefault="001377F3" w:rsidP="001377F3">
      <w:pPr>
        <w:pStyle w:val="Prrafodelista"/>
        <w:numPr>
          <w:ilvl w:val="0"/>
          <w:numId w:val="26"/>
        </w:numPr>
        <w:spacing w:before="240" w:after="120"/>
        <w:ind w:left="357" w:hanging="357"/>
        <w:contextualSpacing w:val="0"/>
        <w:rPr>
          <w:rFonts w:cs="Arial"/>
          <w:b/>
          <w:spacing w:val="0"/>
        </w:rPr>
      </w:pPr>
      <w:r w:rsidRPr="00547FD8">
        <w:rPr>
          <w:rFonts w:cs="Arial"/>
          <w:b/>
          <w:spacing w:val="0"/>
        </w:rPr>
        <w:t>Reporte de información en la Circular CREG 007 de 2014</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t>Reporte de la cantidad de redes de nivel de tensión 2</w:t>
      </w:r>
    </w:p>
    <w:p w:rsidR="001377F3" w:rsidRPr="00547FD8" w:rsidRDefault="001377F3" w:rsidP="001377F3">
      <w:pPr>
        <w:spacing w:before="240" w:after="120"/>
        <w:ind w:left="708"/>
        <w:rPr>
          <w:rFonts w:cs="Arial"/>
          <w:spacing w:val="0"/>
        </w:rPr>
      </w:pPr>
      <w:r w:rsidRPr="00547FD8">
        <w:rPr>
          <w:rFonts w:cs="Arial"/>
          <w:spacing w:val="0"/>
        </w:rPr>
        <w:t xml:space="preserve">En el Formato 7 de la Circular CREG 012 de 2014 se debe reportar la cantidad total (km) de red que tenía la empresa al finalizar cada año y no las cantidades parciales que entraron en operación. </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t>Diligenciamiento de los formatos 2 y 3</w:t>
      </w:r>
    </w:p>
    <w:p w:rsidR="001377F3" w:rsidRPr="00547FD8" w:rsidRDefault="001377F3" w:rsidP="001377F3">
      <w:pPr>
        <w:spacing w:before="240" w:after="120"/>
        <w:ind w:left="720"/>
        <w:rPr>
          <w:rFonts w:cs="Arial"/>
          <w:spacing w:val="0"/>
        </w:rPr>
      </w:pPr>
      <w:r w:rsidRPr="00547FD8">
        <w:rPr>
          <w:rFonts w:cs="Arial"/>
          <w:spacing w:val="0"/>
        </w:rPr>
        <w:t>Se deben diligenciar los dos formatos y en caso de que en el formato 2 se incluya valores del formato 3, se debe especificar el monto y en qué rubros se está incluyendo esta información.</w:t>
      </w:r>
    </w:p>
    <w:p w:rsidR="001377F3" w:rsidRPr="00547FD8" w:rsidRDefault="001377F3" w:rsidP="001377F3">
      <w:pPr>
        <w:spacing w:before="240" w:after="120"/>
        <w:ind w:left="720"/>
        <w:rPr>
          <w:rFonts w:cs="Arial"/>
          <w:spacing w:val="0"/>
        </w:rPr>
      </w:pPr>
      <w:r w:rsidRPr="00547FD8">
        <w:rPr>
          <w:rFonts w:cs="Arial"/>
          <w:spacing w:val="0"/>
        </w:rPr>
        <w:t>En el caso de la cuenta 7530, en esta se debe registrar los valores para los usuarios regulados y no regulados.</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t>Cantidad de usuarios y facturas</w:t>
      </w:r>
    </w:p>
    <w:p w:rsidR="001377F3" w:rsidRPr="00547FD8" w:rsidRDefault="001377F3" w:rsidP="001377F3">
      <w:pPr>
        <w:spacing w:before="240" w:after="120"/>
        <w:ind w:left="720"/>
        <w:rPr>
          <w:rFonts w:cs="Arial"/>
          <w:spacing w:val="0"/>
        </w:rPr>
      </w:pPr>
      <w:r w:rsidRPr="00547FD8">
        <w:rPr>
          <w:rFonts w:cs="Arial"/>
          <w:spacing w:val="0"/>
        </w:rPr>
        <w:t>El formato 8 debe llenarse de acuerdo con la descripción de los campos de la Circular esto es, a partir de la información reportada en los formatos 2 y 3 de la Resolución SSPD 20102400008055.</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t>Consumo de usuarios industriales y de distritos de riego</w:t>
      </w:r>
    </w:p>
    <w:p w:rsidR="001377F3" w:rsidRPr="00547FD8" w:rsidRDefault="001377F3" w:rsidP="001377F3">
      <w:pPr>
        <w:spacing w:before="240" w:after="120"/>
        <w:ind w:left="708"/>
        <w:rPr>
          <w:rFonts w:cs="Arial"/>
          <w:spacing w:val="0"/>
        </w:rPr>
      </w:pPr>
      <w:r w:rsidRPr="00547FD8">
        <w:rPr>
          <w:rFonts w:cs="Arial"/>
          <w:spacing w:val="0"/>
        </w:rPr>
        <w:t>En la resolución SSPD 20102400008055 el sector industrial (I) se presenta independiente de los distritos de riego (DR), por lo que en la circular solo se debe reportar el consumo para el sector industrial. En caso de que se considere necesario, la información de los distritos de riegos podrá informarse en las observaciones.</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t>Costos de personal y misceláneos en el sistema de costos ABC</w:t>
      </w:r>
    </w:p>
    <w:p w:rsidR="001377F3" w:rsidRPr="00547FD8" w:rsidRDefault="001377F3" w:rsidP="001377F3">
      <w:pPr>
        <w:spacing w:before="240" w:after="120"/>
        <w:ind w:left="720"/>
        <w:rPr>
          <w:rFonts w:cs="Arial"/>
          <w:spacing w:val="0"/>
        </w:rPr>
      </w:pPr>
      <w:r w:rsidRPr="00547FD8">
        <w:rPr>
          <w:rFonts w:cs="Arial"/>
          <w:spacing w:val="0"/>
        </w:rPr>
        <w:t>En los formatos 5a y 5b solo se debe diligenciar lo que aparece en las cuentas solicitadas sin discriminar destinación a usuarios regulados o no regulados.</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lastRenderedPageBreak/>
        <w:t>Cálculo del Consumo Facturado Medio, CFM, y el porcentaje de subsidios</w:t>
      </w:r>
    </w:p>
    <w:p w:rsidR="001377F3" w:rsidRPr="00547FD8" w:rsidRDefault="001377F3" w:rsidP="001377F3">
      <w:pPr>
        <w:spacing w:before="240" w:after="120"/>
        <w:ind w:left="708"/>
        <w:rPr>
          <w:rFonts w:cs="Arial"/>
          <w:spacing w:val="0"/>
        </w:rPr>
      </w:pPr>
      <w:r w:rsidRPr="00547FD8">
        <w:rPr>
          <w:rFonts w:cs="Arial"/>
          <w:spacing w:val="0"/>
        </w:rPr>
        <w:t>La información requerida en las columnas 3, 4, 5 y 6 del formato 10b se determina a partir de los formatos 2 y 3 de la Resolución SSPD 20102400008055.</w:t>
      </w:r>
    </w:p>
    <w:p w:rsidR="001377F3" w:rsidRPr="00547FD8" w:rsidRDefault="001377F3" w:rsidP="001377F3">
      <w:pPr>
        <w:spacing w:before="240" w:after="120"/>
        <w:ind w:left="705"/>
        <w:rPr>
          <w:rFonts w:cs="Arial"/>
          <w:spacing w:val="0"/>
        </w:rPr>
      </w:pPr>
      <w:r w:rsidRPr="00547FD8">
        <w:rPr>
          <w:rFonts w:cs="Arial"/>
          <w:spacing w:val="0"/>
        </w:rPr>
        <w:t xml:space="preserve">En el caso de la columna 5, se debe reportar el valor de la energía sin incluir las contribuciones o valores relacionados con conceptos tales como reconexión, sanciones, intereses y medidores. Para la columna 7 la información se debe reportar en </w:t>
      </w:r>
      <w:proofErr w:type="spellStart"/>
      <w:r w:rsidRPr="00547FD8">
        <w:rPr>
          <w:rFonts w:cs="Arial"/>
          <w:spacing w:val="0"/>
        </w:rPr>
        <w:t>kWh</w:t>
      </w:r>
      <w:proofErr w:type="spellEnd"/>
      <w:r w:rsidRPr="00547FD8">
        <w:rPr>
          <w:rFonts w:cs="Arial"/>
          <w:spacing w:val="0"/>
        </w:rPr>
        <w:t>/factura como se especifica en la descripción de la columna.</w:t>
      </w:r>
    </w:p>
    <w:p w:rsidR="001377F3" w:rsidRPr="00547FD8" w:rsidRDefault="001377F3" w:rsidP="001377F3">
      <w:pPr>
        <w:spacing w:before="240" w:after="120"/>
        <w:ind w:left="705"/>
        <w:rPr>
          <w:rFonts w:cs="Arial"/>
          <w:spacing w:val="0"/>
        </w:rPr>
      </w:pPr>
      <w:r w:rsidRPr="00547FD8">
        <w:rPr>
          <w:rFonts w:cs="Arial"/>
          <w:spacing w:val="0"/>
        </w:rPr>
        <w:t xml:space="preserve">Finalmente, toda la información solicitada en este formato es de usuarios regulados atendidos por el comercializador </w:t>
      </w:r>
      <w:proofErr w:type="spellStart"/>
      <w:r w:rsidRPr="00547FD8">
        <w:rPr>
          <w:rFonts w:cs="Arial"/>
          <w:spacing w:val="0"/>
        </w:rPr>
        <w:t>incumbente</w:t>
      </w:r>
      <w:proofErr w:type="spellEnd"/>
      <w:r w:rsidRPr="00547FD8">
        <w:rPr>
          <w:rFonts w:cs="Arial"/>
          <w:spacing w:val="0"/>
        </w:rPr>
        <w:t>.</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t>Ventas totales a usuarios regulados en el mercado de comercialización</w:t>
      </w:r>
    </w:p>
    <w:p w:rsidR="001377F3" w:rsidRPr="00547FD8" w:rsidRDefault="001377F3" w:rsidP="001377F3">
      <w:pPr>
        <w:spacing w:before="240" w:after="120"/>
        <w:ind w:left="708"/>
        <w:rPr>
          <w:rFonts w:cs="Arial"/>
          <w:spacing w:val="0"/>
        </w:rPr>
      </w:pPr>
      <w:r w:rsidRPr="00547FD8">
        <w:rPr>
          <w:rFonts w:cs="Arial"/>
          <w:spacing w:val="0"/>
        </w:rPr>
        <w:t xml:space="preserve">En el Formato 10c, el valor corresponde a las ventas de energía en </w:t>
      </w:r>
      <w:proofErr w:type="spellStart"/>
      <w:r w:rsidRPr="00547FD8">
        <w:rPr>
          <w:rFonts w:cs="Arial"/>
          <w:spacing w:val="0"/>
        </w:rPr>
        <w:t>kWh</w:t>
      </w:r>
      <w:proofErr w:type="spellEnd"/>
      <w:r w:rsidRPr="00547FD8">
        <w:rPr>
          <w:rFonts w:cs="Arial"/>
          <w:spacing w:val="0"/>
        </w:rPr>
        <w:t>, ya que se requiere para el cálculo del riesgo de cartera de usuarios tradicionales como aparece en el numeral 1 del artículo 14 de la Resolución CREG 180 de 2014. El cual se explicó en el literal d) del numeral 4 de este anexo.</w:t>
      </w:r>
    </w:p>
    <w:p w:rsidR="001377F3" w:rsidRPr="00547FD8" w:rsidRDefault="001377F3" w:rsidP="001377F3">
      <w:pPr>
        <w:pStyle w:val="Prrafodelista"/>
        <w:numPr>
          <w:ilvl w:val="0"/>
          <w:numId w:val="30"/>
        </w:numPr>
        <w:spacing w:before="240" w:after="120"/>
        <w:rPr>
          <w:rFonts w:cs="Arial"/>
          <w:b/>
          <w:spacing w:val="0"/>
        </w:rPr>
      </w:pPr>
      <w:r w:rsidRPr="00547FD8">
        <w:rPr>
          <w:rFonts w:cs="Arial"/>
          <w:b/>
          <w:spacing w:val="0"/>
        </w:rPr>
        <w:t>Facturación por consumo</w:t>
      </w:r>
    </w:p>
    <w:p w:rsidR="001377F3" w:rsidRPr="00547FD8" w:rsidRDefault="001377F3" w:rsidP="001377F3">
      <w:pPr>
        <w:spacing w:before="240" w:after="120"/>
        <w:ind w:left="705"/>
        <w:rPr>
          <w:rFonts w:cs="Arial"/>
          <w:spacing w:val="0"/>
        </w:rPr>
      </w:pPr>
      <w:r w:rsidRPr="00547FD8">
        <w:rPr>
          <w:rFonts w:cs="Arial"/>
          <w:spacing w:val="0"/>
        </w:rPr>
        <w:t>En el Formato 11, la columna 11 hace referencia al valor de la energía sin incluir las contribuciones o valores relacionados con conceptos tales como reconexión, sanciones, intereses y medidores y es la reportada en los formatos 2 y 3 de la Resolución SSPD 20102400008055 al Sistema Único de Información, SUI.</w:t>
      </w:r>
    </w:p>
    <w:p w:rsidR="001377F3" w:rsidRPr="00547FD8" w:rsidRDefault="001377F3" w:rsidP="00777E7A">
      <w:pPr>
        <w:jc w:val="center"/>
        <w:rPr>
          <w:rFonts w:cs="Arial"/>
          <w:spacing w:val="0"/>
          <w:szCs w:val="24"/>
        </w:rPr>
      </w:pPr>
    </w:p>
    <w:sectPr w:rsidR="001377F3" w:rsidRPr="00547FD8" w:rsidSect="00E069F2">
      <w:headerReference w:type="default" r:id="rId8"/>
      <w:footerReference w:type="even" r:id="rId9"/>
      <w:footerReference w:type="default" r:id="rId10"/>
      <w:headerReference w:type="first" r:id="rId11"/>
      <w:footerReference w:type="first" r:id="rId12"/>
      <w:type w:val="continuous"/>
      <w:pgSz w:w="12242" w:h="15842" w:code="1"/>
      <w:pgMar w:top="1805" w:right="1752" w:bottom="1418" w:left="1701" w:header="709" w:footer="1396"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1268" w:rsidRDefault="00361268">
      <w:r>
        <w:separator/>
      </w:r>
    </w:p>
  </w:endnote>
  <w:endnote w:type="continuationSeparator" w:id="0">
    <w:p w:rsidR="00361268" w:rsidRDefault="003612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Default="00E40287">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E40287" w:rsidRDefault="00E40287">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Pr="00E069F2" w:rsidRDefault="00E069F2">
    <w:pPr>
      <w:pStyle w:val="Piedepgina"/>
      <w:ind w:right="360"/>
      <w:rPr>
        <w:b/>
        <w:sz w:val="16"/>
        <w:szCs w:val="16"/>
      </w:rPr>
    </w:pPr>
    <w:r w:rsidRPr="00E069F2">
      <w:rPr>
        <w:b/>
        <w:sz w:val="16"/>
        <w:szCs w:val="16"/>
      </w:rPr>
      <w:fldChar w:fldCharType="begin"/>
    </w:r>
    <w:r w:rsidRPr="00E069F2">
      <w:rPr>
        <w:b/>
        <w:sz w:val="16"/>
        <w:szCs w:val="16"/>
      </w:rPr>
      <w:instrText>PAGE  \* Arabic  \* MERGEFORMAT</w:instrText>
    </w:r>
    <w:r w:rsidRPr="00E069F2">
      <w:rPr>
        <w:b/>
        <w:sz w:val="16"/>
        <w:szCs w:val="16"/>
      </w:rPr>
      <w:fldChar w:fldCharType="separate"/>
    </w:r>
    <w:r w:rsidR="009C454B" w:rsidRPr="009C454B">
      <w:rPr>
        <w:b/>
        <w:noProof/>
        <w:sz w:val="16"/>
        <w:szCs w:val="16"/>
        <w:lang w:val="es-ES"/>
      </w:rPr>
      <w:t>7</w:t>
    </w:r>
    <w:r w:rsidRPr="00E069F2">
      <w:rPr>
        <w:b/>
        <w:sz w:val="16"/>
        <w:szCs w:val="16"/>
      </w:rPr>
      <w:fldChar w:fldCharType="end"/>
    </w:r>
    <w:r w:rsidRPr="00E069F2">
      <w:rPr>
        <w:b/>
        <w:sz w:val="16"/>
        <w:szCs w:val="16"/>
        <w:lang w:val="es-ES"/>
      </w:rPr>
      <w:t xml:space="preserve"> / </w:t>
    </w:r>
    <w:r w:rsidRPr="00E069F2">
      <w:rPr>
        <w:b/>
        <w:sz w:val="16"/>
        <w:szCs w:val="16"/>
      </w:rPr>
      <w:fldChar w:fldCharType="begin"/>
    </w:r>
    <w:r w:rsidRPr="00E069F2">
      <w:rPr>
        <w:b/>
        <w:sz w:val="16"/>
        <w:szCs w:val="16"/>
      </w:rPr>
      <w:instrText>NUMPAGES  \* Arabic  \* MERGEFORMAT</w:instrText>
    </w:r>
    <w:r w:rsidRPr="00E069F2">
      <w:rPr>
        <w:b/>
        <w:sz w:val="16"/>
        <w:szCs w:val="16"/>
      </w:rPr>
      <w:fldChar w:fldCharType="separate"/>
    </w:r>
    <w:r w:rsidR="009C454B" w:rsidRPr="009C454B">
      <w:rPr>
        <w:b/>
        <w:noProof/>
        <w:sz w:val="16"/>
        <w:szCs w:val="16"/>
        <w:lang w:val="es-ES"/>
      </w:rPr>
      <w:t>7</w:t>
    </w:r>
    <w:r w:rsidRPr="00E069F2">
      <w:rPr>
        <w:b/>
        <w:sz w:val="16"/>
        <w:szCs w:val="16"/>
      </w:rPr>
      <w:fldChar w:fldCharType="end"/>
    </w:r>
    <w:r w:rsidRPr="00E069F2">
      <w:rPr>
        <w:rFonts w:cs="Arial"/>
        <w:b/>
        <w:noProof/>
        <w:sz w:val="16"/>
        <w:szCs w:val="16"/>
        <w:lang w:eastAsia="es-CO"/>
      </w:rPr>
      <w:drawing>
        <wp:anchor distT="0" distB="0" distL="114300" distR="114300" simplePos="0" relativeHeight="251676160" behindDoc="1" locked="0" layoutInCell="1" allowOverlap="1" wp14:anchorId="453AC7FF" wp14:editId="7B176729">
          <wp:simplePos x="0" y="0"/>
          <wp:positionH relativeFrom="margin">
            <wp:posOffset>1374775</wp:posOffset>
          </wp:positionH>
          <wp:positionV relativeFrom="paragraph">
            <wp:posOffset>269240</wp:posOffset>
          </wp:positionV>
          <wp:extent cx="3306683" cy="567558"/>
          <wp:effectExtent l="0" t="0" r="0" b="444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683" cy="567558"/>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Default="00E069F2">
    <w:pPr>
      <w:pStyle w:val="Piedepgina"/>
      <w:ind w:right="360"/>
      <w:jc w:val="right"/>
      <w:rPr>
        <w:sz w:val="12"/>
      </w:rPr>
    </w:pPr>
    <w:r>
      <w:rPr>
        <w:rFonts w:cs="Arial"/>
        <w:noProof/>
        <w:lang w:eastAsia="es-CO"/>
      </w:rPr>
      <w:drawing>
        <wp:anchor distT="0" distB="0" distL="114300" distR="114300" simplePos="0" relativeHeight="251670016" behindDoc="1" locked="0" layoutInCell="1" allowOverlap="1" wp14:anchorId="6C3A8E72" wp14:editId="1D77949E">
          <wp:simplePos x="0" y="0"/>
          <wp:positionH relativeFrom="margin">
            <wp:posOffset>1317625</wp:posOffset>
          </wp:positionH>
          <wp:positionV relativeFrom="paragraph">
            <wp:posOffset>86360</wp:posOffset>
          </wp:positionV>
          <wp:extent cx="3306683" cy="567558"/>
          <wp:effectExtent l="0" t="0" r="0" b="444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tos.jpg"/>
                  <pic:cNvPicPr/>
                </pic:nvPicPr>
                <pic:blipFill>
                  <a:blip r:embed="rId1">
                    <a:extLst>
                      <a:ext uri="{28A0092B-C50C-407E-A947-70E740481C1C}">
                        <a14:useLocalDpi xmlns:a14="http://schemas.microsoft.com/office/drawing/2010/main" val="0"/>
                      </a:ext>
                    </a:extLst>
                  </a:blip>
                  <a:stretch>
                    <a:fillRect/>
                  </a:stretch>
                </pic:blipFill>
                <pic:spPr>
                  <a:xfrm>
                    <a:off x="0" y="0"/>
                    <a:ext cx="3306683" cy="56755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1268" w:rsidRDefault="00361268">
      <w:r>
        <w:separator/>
      </w:r>
    </w:p>
  </w:footnote>
  <w:footnote w:type="continuationSeparator" w:id="0">
    <w:p w:rsidR="00361268" w:rsidRDefault="00361268">
      <w:r>
        <w:continuationSeparator/>
      </w:r>
    </w:p>
  </w:footnote>
  <w:footnote w:id="1">
    <w:p w:rsidR="001377F3" w:rsidRPr="009004E4" w:rsidRDefault="001377F3" w:rsidP="001377F3">
      <w:pPr>
        <w:pStyle w:val="Textonotapie"/>
        <w:rPr>
          <w:rFonts w:cs="Arial"/>
        </w:rPr>
      </w:pPr>
      <w:r w:rsidRPr="009004E4">
        <w:rPr>
          <w:rStyle w:val="Refdenotaalpie"/>
          <w:rFonts w:cs="Arial"/>
        </w:rPr>
        <w:footnoteRef/>
      </w:r>
      <w:r w:rsidRPr="009004E4">
        <w:rPr>
          <w:rFonts w:cs="Arial"/>
        </w:rPr>
        <w:t xml:space="preserve"> Artículo 13 de la Resolución CREG 180 de 2014.</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9F2" w:rsidRDefault="00E069F2">
    <w:pPr>
      <w:pStyle w:val="Encabezado"/>
      <w:rPr>
        <w:i/>
        <w:sz w:val="18"/>
        <w:szCs w:val="18"/>
        <w:u w:val="single"/>
      </w:rPr>
    </w:pPr>
    <w:r>
      <w:rPr>
        <w:rFonts w:cs="Arial"/>
        <w:noProof/>
        <w:lang w:eastAsia="es-CO"/>
      </w:rPr>
      <w:drawing>
        <wp:anchor distT="0" distB="0" distL="114300" distR="114300" simplePos="0" relativeHeight="251674112" behindDoc="1" locked="0" layoutInCell="1" allowOverlap="1" wp14:anchorId="11B8FEFB" wp14:editId="011A8C79">
          <wp:simplePos x="0" y="0"/>
          <wp:positionH relativeFrom="column">
            <wp:posOffset>4482465</wp:posOffset>
          </wp:positionH>
          <wp:positionV relativeFrom="paragraph">
            <wp:posOffset>-253365</wp:posOffset>
          </wp:positionV>
          <wp:extent cx="1182370" cy="84201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p>
  <w:p w:rsidR="00E40287" w:rsidRPr="009E7DCA" w:rsidRDefault="00E069F2">
    <w:pPr>
      <w:pStyle w:val="Encabezado"/>
      <w:rPr>
        <w:i/>
        <w:sz w:val="18"/>
        <w:szCs w:val="18"/>
        <w:u w:val="single"/>
      </w:rPr>
    </w:pPr>
    <w:r>
      <w:rPr>
        <w:rFonts w:cs="Arial"/>
        <w:noProof/>
        <w:lang w:eastAsia="es-CO"/>
      </w:rPr>
      <w:drawing>
        <wp:anchor distT="0" distB="0" distL="114300" distR="114300" simplePos="0" relativeHeight="251672064" behindDoc="1" locked="0" layoutInCell="1" allowOverlap="1" wp14:anchorId="728BB4A7" wp14:editId="749E5B6F">
          <wp:simplePos x="0" y="0"/>
          <wp:positionH relativeFrom="margin">
            <wp:posOffset>170815</wp:posOffset>
          </wp:positionH>
          <wp:positionV relativeFrom="paragraph">
            <wp:posOffset>-224155</wp:posOffset>
          </wp:positionV>
          <wp:extent cx="1213485" cy="679450"/>
          <wp:effectExtent l="0" t="0" r="5715" b="635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287" w:rsidRDefault="00E069F2">
    <w:pPr>
      <w:pStyle w:val="Encabezado"/>
    </w:pPr>
    <w:r>
      <w:rPr>
        <w:rFonts w:cs="Arial"/>
        <w:noProof/>
        <w:lang w:eastAsia="es-CO"/>
      </w:rPr>
      <w:drawing>
        <wp:anchor distT="0" distB="0" distL="114300" distR="114300" simplePos="0" relativeHeight="251667968" behindDoc="1" locked="0" layoutInCell="1" allowOverlap="1" wp14:anchorId="2B402968" wp14:editId="57813287">
          <wp:simplePos x="0" y="0"/>
          <wp:positionH relativeFrom="column">
            <wp:posOffset>4625340</wp:posOffset>
          </wp:positionH>
          <wp:positionV relativeFrom="paragraph">
            <wp:posOffset>-260985</wp:posOffset>
          </wp:positionV>
          <wp:extent cx="1182370" cy="84201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MINMINAS PARA MEMBRETE.jpg"/>
                  <pic:cNvPicPr/>
                </pic:nvPicPr>
                <pic:blipFill>
                  <a:blip r:embed="rId1">
                    <a:extLst>
                      <a:ext uri="{28A0092B-C50C-407E-A947-70E740481C1C}">
                        <a14:useLocalDpi xmlns:a14="http://schemas.microsoft.com/office/drawing/2010/main" val="0"/>
                      </a:ext>
                    </a:extLst>
                  </a:blip>
                  <a:stretch>
                    <a:fillRect/>
                  </a:stretch>
                </pic:blipFill>
                <pic:spPr>
                  <a:xfrm>
                    <a:off x="0" y="0"/>
                    <a:ext cx="1182370" cy="842010"/>
                  </a:xfrm>
                  <a:prstGeom prst="rect">
                    <a:avLst/>
                  </a:prstGeom>
                </pic:spPr>
              </pic:pic>
            </a:graphicData>
          </a:graphic>
          <wp14:sizeRelH relativeFrom="page">
            <wp14:pctWidth>0</wp14:pctWidth>
          </wp14:sizeRelH>
          <wp14:sizeRelV relativeFrom="page">
            <wp14:pctHeight>0</wp14:pctHeight>
          </wp14:sizeRelV>
        </wp:anchor>
      </w:drawing>
    </w:r>
    <w:r>
      <w:rPr>
        <w:rFonts w:cs="Arial"/>
        <w:noProof/>
        <w:lang w:eastAsia="es-CO"/>
      </w:rPr>
      <w:drawing>
        <wp:anchor distT="0" distB="0" distL="114300" distR="114300" simplePos="0" relativeHeight="251665920" behindDoc="1" locked="0" layoutInCell="1" allowOverlap="1" wp14:anchorId="127C4448" wp14:editId="44542C76">
          <wp:simplePos x="0" y="0"/>
          <wp:positionH relativeFrom="margin">
            <wp:posOffset>285115</wp:posOffset>
          </wp:positionH>
          <wp:positionV relativeFrom="paragraph">
            <wp:posOffset>-214630</wp:posOffset>
          </wp:positionV>
          <wp:extent cx="1213485" cy="679450"/>
          <wp:effectExtent l="0" t="0" r="5715" b="635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CREG.jpg"/>
                  <pic:cNvPicPr/>
                </pic:nvPicPr>
                <pic:blipFill>
                  <a:blip r:embed="rId2">
                    <a:extLst>
                      <a:ext uri="{28A0092B-C50C-407E-A947-70E740481C1C}">
                        <a14:useLocalDpi xmlns:a14="http://schemas.microsoft.com/office/drawing/2010/main" val="0"/>
                      </a:ext>
                    </a:extLst>
                  </a:blip>
                  <a:stretch>
                    <a:fillRect/>
                  </a:stretch>
                </pic:blipFill>
                <pic:spPr>
                  <a:xfrm>
                    <a:off x="0" y="0"/>
                    <a:ext cx="1213485" cy="6794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3012F0"/>
    <w:lvl w:ilvl="0">
      <w:start w:val="1"/>
      <w:numFmt w:val="decimal"/>
      <w:pStyle w:val="Listaconnmeros5"/>
      <w:lvlText w:val="%1."/>
      <w:lvlJc w:val="left"/>
      <w:pPr>
        <w:tabs>
          <w:tab w:val="num" w:pos="1492"/>
        </w:tabs>
        <w:ind w:left="1492" w:hanging="360"/>
      </w:pPr>
    </w:lvl>
  </w:abstractNum>
  <w:abstractNum w:abstractNumId="1">
    <w:nsid w:val="FFFFFF7D"/>
    <w:multiLevelType w:val="singleLevel"/>
    <w:tmpl w:val="57E0BB9E"/>
    <w:lvl w:ilvl="0">
      <w:start w:val="1"/>
      <w:numFmt w:val="decimal"/>
      <w:pStyle w:val="Listaconnmeros4"/>
      <w:lvlText w:val="%1."/>
      <w:lvlJc w:val="left"/>
      <w:pPr>
        <w:tabs>
          <w:tab w:val="num" w:pos="1209"/>
        </w:tabs>
        <w:ind w:left="1209" w:hanging="360"/>
      </w:pPr>
    </w:lvl>
  </w:abstractNum>
  <w:abstractNum w:abstractNumId="2">
    <w:nsid w:val="FFFFFF7E"/>
    <w:multiLevelType w:val="singleLevel"/>
    <w:tmpl w:val="22100870"/>
    <w:lvl w:ilvl="0">
      <w:start w:val="1"/>
      <w:numFmt w:val="decimal"/>
      <w:pStyle w:val="Listaconnmeros3"/>
      <w:lvlText w:val="%1."/>
      <w:lvlJc w:val="left"/>
      <w:pPr>
        <w:tabs>
          <w:tab w:val="num" w:pos="926"/>
        </w:tabs>
        <w:ind w:left="926" w:hanging="360"/>
      </w:pPr>
    </w:lvl>
  </w:abstractNum>
  <w:abstractNum w:abstractNumId="3">
    <w:nsid w:val="FFFFFF7F"/>
    <w:multiLevelType w:val="singleLevel"/>
    <w:tmpl w:val="EBA6CCF6"/>
    <w:lvl w:ilvl="0">
      <w:start w:val="1"/>
      <w:numFmt w:val="decimal"/>
      <w:pStyle w:val="Listaconnmeros2"/>
      <w:lvlText w:val="%1."/>
      <w:lvlJc w:val="left"/>
      <w:pPr>
        <w:tabs>
          <w:tab w:val="num" w:pos="643"/>
        </w:tabs>
        <w:ind w:left="643" w:hanging="360"/>
      </w:pPr>
    </w:lvl>
  </w:abstractNum>
  <w:abstractNum w:abstractNumId="4">
    <w:nsid w:val="FFFFFF80"/>
    <w:multiLevelType w:val="singleLevel"/>
    <w:tmpl w:val="70EECB80"/>
    <w:lvl w:ilvl="0">
      <w:start w:val="1"/>
      <w:numFmt w:val="bullet"/>
      <w:pStyle w:val="Listaconvietas5"/>
      <w:lvlText w:val=""/>
      <w:lvlJc w:val="left"/>
      <w:pPr>
        <w:tabs>
          <w:tab w:val="num" w:pos="1492"/>
        </w:tabs>
        <w:ind w:left="1492" w:hanging="360"/>
      </w:pPr>
      <w:rPr>
        <w:rFonts w:ascii="Symbol" w:hAnsi="Symbol" w:hint="default"/>
      </w:rPr>
    </w:lvl>
  </w:abstractNum>
  <w:abstractNum w:abstractNumId="5">
    <w:nsid w:val="FFFFFF81"/>
    <w:multiLevelType w:val="singleLevel"/>
    <w:tmpl w:val="665AFDF8"/>
    <w:lvl w:ilvl="0">
      <w:start w:val="1"/>
      <w:numFmt w:val="bullet"/>
      <w:pStyle w:val="Listaconvietas4"/>
      <w:lvlText w:val=""/>
      <w:lvlJc w:val="left"/>
      <w:pPr>
        <w:tabs>
          <w:tab w:val="num" w:pos="1209"/>
        </w:tabs>
        <w:ind w:left="1209" w:hanging="360"/>
      </w:pPr>
      <w:rPr>
        <w:rFonts w:ascii="Symbol" w:hAnsi="Symbol" w:hint="default"/>
      </w:rPr>
    </w:lvl>
  </w:abstractNum>
  <w:abstractNum w:abstractNumId="6">
    <w:nsid w:val="FFFFFF82"/>
    <w:multiLevelType w:val="singleLevel"/>
    <w:tmpl w:val="6952FC7C"/>
    <w:lvl w:ilvl="0">
      <w:start w:val="1"/>
      <w:numFmt w:val="bullet"/>
      <w:pStyle w:val="Listaconvietas3"/>
      <w:lvlText w:val=""/>
      <w:lvlJc w:val="left"/>
      <w:pPr>
        <w:tabs>
          <w:tab w:val="num" w:pos="926"/>
        </w:tabs>
        <w:ind w:left="926" w:hanging="360"/>
      </w:pPr>
      <w:rPr>
        <w:rFonts w:ascii="Symbol" w:hAnsi="Symbol" w:hint="default"/>
      </w:rPr>
    </w:lvl>
  </w:abstractNum>
  <w:abstractNum w:abstractNumId="7">
    <w:nsid w:val="FFFFFF83"/>
    <w:multiLevelType w:val="singleLevel"/>
    <w:tmpl w:val="46EE94B6"/>
    <w:lvl w:ilvl="0">
      <w:start w:val="1"/>
      <w:numFmt w:val="bullet"/>
      <w:pStyle w:val="Listaconvietas2"/>
      <w:lvlText w:val=""/>
      <w:lvlJc w:val="left"/>
      <w:pPr>
        <w:tabs>
          <w:tab w:val="num" w:pos="643"/>
        </w:tabs>
        <w:ind w:left="643" w:hanging="360"/>
      </w:pPr>
      <w:rPr>
        <w:rFonts w:ascii="Symbol" w:hAnsi="Symbol" w:hint="default"/>
      </w:rPr>
    </w:lvl>
  </w:abstractNum>
  <w:abstractNum w:abstractNumId="8">
    <w:nsid w:val="FFFFFF88"/>
    <w:multiLevelType w:val="singleLevel"/>
    <w:tmpl w:val="A828A658"/>
    <w:lvl w:ilvl="0">
      <w:start w:val="1"/>
      <w:numFmt w:val="decimal"/>
      <w:lvlText w:val="%1."/>
      <w:lvlJc w:val="left"/>
      <w:pPr>
        <w:tabs>
          <w:tab w:val="num" w:pos="360"/>
        </w:tabs>
        <w:ind w:left="360" w:hanging="360"/>
      </w:pPr>
    </w:lvl>
  </w:abstractNum>
  <w:abstractNum w:abstractNumId="9">
    <w:nsid w:val="FFFFFF89"/>
    <w:multiLevelType w:val="singleLevel"/>
    <w:tmpl w:val="956CF4C8"/>
    <w:lvl w:ilvl="0">
      <w:start w:val="1"/>
      <w:numFmt w:val="bullet"/>
      <w:lvlText w:val=""/>
      <w:lvlJc w:val="left"/>
      <w:pPr>
        <w:tabs>
          <w:tab w:val="num" w:pos="360"/>
        </w:tabs>
        <w:ind w:left="360" w:hanging="360"/>
      </w:pPr>
      <w:rPr>
        <w:rFonts w:ascii="Symbol" w:hAnsi="Symbol" w:hint="default"/>
      </w:rPr>
    </w:lvl>
  </w:abstractNum>
  <w:abstractNum w:abstractNumId="10">
    <w:nsid w:val="04723290"/>
    <w:multiLevelType w:val="hybridMultilevel"/>
    <w:tmpl w:val="E2CC45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nsid w:val="04C94CA9"/>
    <w:multiLevelType w:val="multilevel"/>
    <w:tmpl w:val="24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2666876"/>
    <w:multiLevelType w:val="hybridMultilevel"/>
    <w:tmpl w:val="BC267840"/>
    <w:lvl w:ilvl="0" w:tplc="240A0017">
      <w:start w:val="1"/>
      <w:numFmt w:val="lowerLetter"/>
      <w:lvlText w:val="%1)"/>
      <w:lvlJc w:val="lef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3">
    <w:nsid w:val="288C3E9E"/>
    <w:multiLevelType w:val="singleLevel"/>
    <w:tmpl w:val="37E252A4"/>
    <w:lvl w:ilvl="0">
      <w:start w:val="1"/>
      <w:numFmt w:val="bullet"/>
      <w:pStyle w:val="Listaconvietas"/>
      <w:lvlText w:val=""/>
      <w:lvlJc w:val="left"/>
      <w:pPr>
        <w:tabs>
          <w:tab w:val="num" w:pos="360"/>
        </w:tabs>
        <w:ind w:left="360" w:hanging="360"/>
      </w:pPr>
      <w:rPr>
        <w:rFonts w:ascii="Wingdings" w:hAnsi="Wingdings" w:hint="default"/>
      </w:rPr>
    </w:lvl>
  </w:abstractNum>
  <w:abstractNum w:abstractNumId="14">
    <w:nsid w:val="37201333"/>
    <w:multiLevelType w:val="multilevel"/>
    <w:tmpl w:val="D626198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pStyle w:val="Ttulo3"/>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38B82B26"/>
    <w:multiLevelType w:val="hybridMultilevel"/>
    <w:tmpl w:val="903486BE"/>
    <w:lvl w:ilvl="0" w:tplc="6F1266BA">
      <w:start w:val="1"/>
      <w:numFmt w:val="bullet"/>
      <w:lvlText w:val=""/>
      <w:lvlJc w:val="left"/>
      <w:pPr>
        <w:ind w:left="360" w:hanging="360"/>
      </w:pPr>
      <w:rPr>
        <w:rFonts w:ascii="Symbol" w:hAnsi="Symbol" w:hint="default"/>
      </w:rPr>
    </w:lvl>
    <w:lvl w:ilvl="1" w:tplc="86502690" w:tentative="1">
      <w:start w:val="1"/>
      <w:numFmt w:val="bullet"/>
      <w:lvlText w:val="o"/>
      <w:lvlJc w:val="left"/>
      <w:pPr>
        <w:ind w:left="1080" w:hanging="360"/>
      </w:pPr>
      <w:rPr>
        <w:rFonts w:ascii="Courier New" w:hAnsi="Courier New" w:cs="Courier New" w:hint="default"/>
      </w:rPr>
    </w:lvl>
    <w:lvl w:ilvl="2" w:tplc="EF763F3C" w:tentative="1">
      <w:start w:val="1"/>
      <w:numFmt w:val="bullet"/>
      <w:lvlText w:val=""/>
      <w:lvlJc w:val="left"/>
      <w:pPr>
        <w:ind w:left="1800" w:hanging="360"/>
      </w:pPr>
      <w:rPr>
        <w:rFonts w:ascii="Wingdings" w:hAnsi="Wingdings" w:hint="default"/>
      </w:rPr>
    </w:lvl>
    <w:lvl w:ilvl="3" w:tplc="52BED9AE" w:tentative="1">
      <w:start w:val="1"/>
      <w:numFmt w:val="bullet"/>
      <w:lvlText w:val=""/>
      <w:lvlJc w:val="left"/>
      <w:pPr>
        <w:ind w:left="2520" w:hanging="360"/>
      </w:pPr>
      <w:rPr>
        <w:rFonts w:ascii="Symbol" w:hAnsi="Symbol" w:hint="default"/>
      </w:rPr>
    </w:lvl>
    <w:lvl w:ilvl="4" w:tplc="835034C6" w:tentative="1">
      <w:start w:val="1"/>
      <w:numFmt w:val="bullet"/>
      <w:lvlText w:val="o"/>
      <w:lvlJc w:val="left"/>
      <w:pPr>
        <w:ind w:left="3240" w:hanging="360"/>
      </w:pPr>
      <w:rPr>
        <w:rFonts w:ascii="Courier New" w:hAnsi="Courier New" w:cs="Courier New" w:hint="default"/>
      </w:rPr>
    </w:lvl>
    <w:lvl w:ilvl="5" w:tplc="DCD8ED50" w:tentative="1">
      <w:start w:val="1"/>
      <w:numFmt w:val="bullet"/>
      <w:lvlText w:val=""/>
      <w:lvlJc w:val="left"/>
      <w:pPr>
        <w:ind w:left="3960" w:hanging="360"/>
      </w:pPr>
      <w:rPr>
        <w:rFonts w:ascii="Wingdings" w:hAnsi="Wingdings" w:hint="default"/>
      </w:rPr>
    </w:lvl>
    <w:lvl w:ilvl="6" w:tplc="A340795C" w:tentative="1">
      <w:start w:val="1"/>
      <w:numFmt w:val="bullet"/>
      <w:lvlText w:val=""/>
      <w:lvlJc w:val="left"/>
      <w:pPr>
        <w:ind w:left="4680" w:hanging="360"/>
      </w:pPr>
      <w:rPr>
        <w:rFonts w:ascii="Symbol" w:hAnsi="Symbol" w:hint="default"/>
      </w:rPr>
    </w:lvl>
    <w:lvl w:ilvl="7" w:tplc="32C0711E" w:tentative="1">
      <w:start w:val="1"/>
      <w:numFmt w:val="bullet"/>
      <w:lvlText w:val="o"/>
      <w:lvlJc w:val="left"/>
      <w:pPr>
        <w:ind w:left="5400" w:hanging="360"/>
      </w:pPr>
      <w:rPr>
        <w:rFonts w:ascii="Courier New" w:hAnsi="Courier New" w:cs="Courier New" w:hint="default"/>
      </w:rPr>
    </w:lvl>
    <w:lvl w:ilvl="8" w:tplc="0E1A5128" w:tentative="1">
      <w:start w:val="1"/>
      <w:numFmt w:val="bullet"/>
      <w:lvlText w:val=""/>
      <w:lvlJc w:val="left"/>
      <w:pPr>
        <w:ind w:left="6120" w:hanging="360"/>
      </w:pPr>
      <w:rPr>
        <w:rFonts w:ascii="Wingdings" w:hAnsi="Wingdings" w:hint="default"/>
      </w:rPr>
    </w:lvl>
  </w:abstractNum>
  <w:abstractNum w:abstractNumId="16">
    <w:nsid w:val="392466E6"/>
    <w:multiLevelType w:val="hybridMultilevel"/>
    <w:tmpl w:val="37145DE0"/>
    <w:lvl w:ilvl="0" w:tplc="8D64B9D2">
      <w:numFmt w:val="bullet"/>
      <w:lvlText w:val="-"/>
      <w:lvlJc w:val="left"/>
      <w:pPr>
        <w:ind w:left="720" w:hanging="360"/>
      </w:pPr>
      <w:rPr>
        <w:rFonts w:ascii="Arial" w:eastAsia="Times New Roman" w:hAnsi="Arial" w:cs="Arial" w:hint="default"/>
        <w:b/>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nsid w:val="46492880"/>
    <w:multiLevelType w:val="hybridMultilevel"/>
    <w:tmpl w:val="BC267840"/>
    <w:lvl w:ilvl="0" w:tplc="240A0017">
      <w:start w:val="1"/>
      <w:numFmt w:val="lowerLetter"/>
      <w:lvlText w:val="%1)"/>
      <w:lvlJc w:val="lef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8">
    <w:nsid w:val="4AA731C8"/>
    <w:multiLevelType w:val="hybridMultilevel"/>
    <w:tmpl w:val="C1185784"/>
    <w:lvl w:ilvl="0" w:tplc="0C0A0001">
      <w:start w:val="1"/>
      <w:numFmt w:val="decimal"/>
      <w:lvlText w:val="%1."/>
      <w:lvlJc w:val="left"/>
      <w:pPr>
        <w:ind w:left="360" w:hanging="360"/>
      </w:pPr>
      <w:rPr>
        <w:rFonts w:hint="default"/>
      </w:rPr>
    </w:lvl>
    <w:lvl w:ilvl="1" w:tplc="0C0A0003" w:tentative="1">
      <w:start w:val="1"/>
      <w:numFmt w:val="lowerLetter"/>
      <w:lvlText w:val="%2."/>
      <w:lvlJc w:val="left"/>
      <w:pPr>
        <w:ind w:left="1080" w:hanging="360"/>
      </w:pPr>
    </w:lvl>
    <w:lvl w:ilvl="2" w:tplc="0C0A0005" w:tentative="1">
      <w:start w:val="1"/>
      <w:numFmt w:val="lowerRoman"/>
      <w:lvlText w:val="%3."/>
      <w:lvlJc w:val="right"/>
      <w:pPr>
        <w:ind w:left="1800" w:hanging="180"/>
      </w:pPr>
    </w:lvl>
    <w:lvl w:ilvl="3" w:tplc="0C0A0001" w:tentative="1">
      <w:start w:val="1"/>
      <w:numFmt w:val="decimal"/>
      <w:lvlText w:val="%4."/>
      <w:lvlJc w:val="left"/>
      <w:pPr>
        <w:ind w:left="2520" w:hanging="360"/>
      </w:pPr>
    </w:lvl>
    <w:lvl w:ilvl="4" w:tplc="0C0A0003" w:tentative="1">
      <w:start w:val="1"/>
      <w:numFmt w:val="lowerLetter"/>
      <w:lvlText w:val="%5."/>
      <w:lvlJc w:val="left"/>
      <w:pPr>
        <w:ind w:left="3240" w:hanging="360"/>
      </w:pPr>
    </w:lvl>
    <w:lvl w:ilvl="5" w:tplc="0C0A0005" w:tentative="1">
      <w:start w:val="1"/>
      <w:numFmt w:val="lowerRoman"/>
      <w:lvlText w:val="%6."/>
      <w:lvlJc w:val="right"/>
      <w:pPr>
        <w:ind w:left="3960" w:hanging="180"/>
      </w:pPr>
    </w:lvl>
    <w:lvl w:ilvl="6" w:tplc="0C0A0001" w:tentative="1">
      <w:start w:val="1"/>
      <w:numFmt w:val="decimal"/>
      <w:lvlText w:val="%7."/>
      <w:lvlJc w:val="left"/>
      <w:pPr>
        <w:ind w:left="4680" w:hanging="360"/>
      </w:pPr>
    </w:lvl>
    <w:lvl w:ilvl="7" w:tplc="0C0A0003" w:tentative="1">
      <w:start w:val="1"/>
      <w:numFmt w:val="lowerLetter"/>
      <w:lvlText w:val="%8."/>
      <w:lvlJc w:val="left"/>
      <w:pPr>
        <w:ind w:left="5400" w:hanging="360"/>
      </w:pPr>
    </w:lvl>
    <w:lvl w:ilvl="8" w:tplc="0C0A0005" w:tentative="1">
      <w:start w:val="1"/>
      <w:numFmt w:val="lowerRoman"/>
      <w:lvlText w:val="%9."/>
      <w:lvlJc w:val="right"/>
      <w:pPr>
        <w:ind w:left="6120" w:hanging="180"/>
      </w:pPr>
    </w:lvl>
  </w:abstractNum>
  <w:abstractNum w:abstractNumId="19">
    <w:nsid w:val="4BA82C73"/>
    <w:multiLevelType w:val="hybridMultilevel"/>
    <w:tmpl w:val="486CD24A"/>
    <w:lvl w:ilvl="0" w:tplc="240A000F">
      <w:start w:val="1"/>
      <w:numFmt w:val="bullet"/>
      <w:lvlText w:val=""/>
      <w:lvlJc w:val="left"/>
      <w:pPr>
        <w:ind w:left="720" w:hanging="360"/>
      </w:pPr>
      <w:rPr>
        <w:rFonts w:ascii="Symbol" w:hAnsi="Symbol" w:hint="default"/>
      </w:rPr>
    </w:lvl>
    <w:lvl w:ilvl="1" w:tplc="240A0019" w:tentative="1">
      <w:start w:val="1"/>
      <w:numFmt w:val="bullet"/>
      <w:lvlText w:val="o"/>
      <w:lvlJc w:val="left"/>
      <w:pPr>
        <w:ind w:left="1440" w:hanging="360"/>
      </w:pPr>
      <w:rPr>
        <w:rFonts w:ascii="Courier New" w:hAnsi="Courier New" w:cs="Courier New" w:hint="default"/>
      </w:rPr>
    </w:lvl>
    <w:lvl w:ilvl="2" w:tplc="240A001B" w:tentative="1">
      <w:start w:val="1"/>
      <w:numFmt w:val="bullet"/>
      <w:lvlText w:val=""/>
      <w:lvlJc w:val="left"/>
      <w:pPr>
        <w:ind w:left="2160" w:hanging="360"/>
      </w:pPr>
      <w:rPr>
        <w:rFonts w:ascii="Wingdings" w:hAnsi="Wingdings" w:hint="default"/>
      </w:rPr>
    </w:lvl>
    <w:lvl w:ilvl="3" w:tplc="240A000F" w:tentative="1">
      <w:start w:val="1"/>
      <w:numFmt w:val="bullet"/>
      <w:lvlText w:val=""/>
      <w:lvlJc w:val="left"/>
      <w:pPr>
        <w:ind w:left="2880" w:hanging="360"/>
      </w:pPr>
      <w:rPr>
        <w:rFonts w:ascii="Symbol" w:hAnsi="Symbol" w:hint="default"/>
      </w:rPr>
    </w:lvl>
    <w:lvl w:ilvl="4" w:tplc="240A0019" w:tentative="1">
      <w:start w:val="1"/>
      <w:numFmt w:val="bullet"/>
      <w:lvlText w:val="o"/>
      <w:lvlJc w:val="left"/>
      <w:pPr>
        <w:ind w:left="3600" w:hanging="360"/>
      </w:pPr>
      <w:rPr>
        <w:rFonts w:ascii="Courier New" w:hAnsi="Courier New" w:cs="Courier New" w:hint="default"/>
      </w:rPr>
    </w:lvl>
    <w:lvl w:ilvl="5" w:tplc="240A001B" w:tentative="1">
      <w:start w:val="1"/>
      <w:numFmt w:val="bullet"/>
      <w:lvlText w:val=""/>
      <w:lvlJc w:val="left"/>
      <w:pPr>
        <w:ind w:left="4320" w:hanging="360"/>
      </w:pPr>
      <w:rPr>
        <w:rFonts w:ascii="Wingdings" w:hAnsi="Wingdings" w:hint="default"/>
      </w:rPr>
    </w:lvl>
    <w:lvl w:ilvl="6" w:tplc="240A000F" w:tentative="1">
      <w:start w:val="1"/>
      <w:numFmt w:val="bullet"/>
      <w:lvlText w:val=""/>
      <w:lvlJc w:val="left"/>
      <w:pPr>
        <w:ind w:left="5040" w:hanging="360"/>
      </w:pPr>
      <w:rPr>
        <w:rFonts w:ascii="Symbol" w:hAnsi="Symbol" w:hint="default"/>
      </w:rPr>
    </w:lvl>
    <w:lvl w:ilvl="7" w:tplc="240A0019" w:tentative="1">
      <w:start w:val="1"/>
      <w:numFmt w:val="bullet"/>
      <w:lvlText w:val="o"/>
      <w:lvlJc w:val="left"/>
      <w:pPr>
        <w:ind w:left="5760" w:hanging="360"/>
      </w:pPr>
      <w:rPr>
        <w:rFonts w:ascii="Courier New" w:hAnsi="Courier New" w:cs="Courier New" w:hint="default"/>
      </w:rPr>
    </w:lvl>
    <w:lvl w:ilvl="8" w:tplc="240A001B" w:tentative="1">
      <w:start w:val="1"/>
      <w:numFmt w:val="bullet"/>
      <w:lvlText w:val=""/>
      <w:lvlJc w:val="left"/>
      <w:pPr>
        <w:ind w:left="6480" w:hanging="360"/>
      </w:pPr>
      <w:rPr>
        <w:rFonts w:ascii="Wingdings" w:hAnsi="Wingdings" w:hint="default"/>
      </w:rPr>
    </w:lvl>
  </w:abstractNum>
  <w:abstractNum w:abstractNumId="20">
    <w:nsid w:val="5B243E7F"/>
    <w:multiLevelType w:val="multilevel"/>
    <w:tmpl w:val="496AC916"/>
    <w:lvl w:ilvl="0">
      <w:start w:val="1"/>
      <w:numFmt w:val="decimal"/>
      <w:pStyle w:val="Ttulo1"/>
      <w:lvlText w:val="%1."/>
      <w:lvlJc w:val="left"/>
      <w:pPr>
        <w:ind w:left="360" w:hanging="360"/>
      </w:pPr>
      <w:rPr>
        <w:rFonts w:hint="default"/>
      </w:rPr>
    </w:lvl>
    <w:lvl w:ilvl="1">
      <w:start w:val="1"/>
      <w:numFmt w:val="decimal"/>
      <w:pStyle w:val="Ttulo2"/>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1">
    <w:nsid w:val="61E56948"/>
    <w:multiLevelType w:val="multilevel"/>
    <w:tmpl w:val="00B0D820"/>
    <w:lvl w:ilvl="0">
      <w:start w:val="1"/>
      <w:numFmt w:val="decimal"/>
      <w:lvlText w:val="%1."/>
      <w:lvlJc w:val="left"/>
      <w:pPr>
        <w:ind w:left="360" w:hanging="360"/>
      </w:pPr>
      <w:rPr>
        <w:rFonts w:hint="default"/>
      </w:rPr>
    </w:lvl>
    <w:lvl w:ilvl="1">
      <w:start w:val="1"/>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2">
    <w:nsid w:val="66230FF8"/>
    <w:multiLevelType w:val="singleLevel"/>
    <w:tmpl w:val="CA8A963A"/>
    <w:lvl w:ilvl="0">
      <w:start w:val="1"/>
      <w:numFmt w:val="decimal"/>
      <w:pStyle w:val="Listaconnmeros"/>
      <w:lvlText w:val="%1)"/>
      <w:lvlJc w:val="left"/>
      <w:pPr>
        <w:tabs>
          <w:tab w:val="num" w:pos="360"/>
        </w:tabs>
        <w:ind w:left="360" w:hanging="360"/>
      </w:pPr>
    </w:lvl>
  </w:abstractNum>
  <w:abstractNum w:abstractNumId="23">
    <w:nsid w:val="6CF07A2D"/>
    <w:multiLevelType w:val="hybridMultilevel"/>
    <w:tmpl w:val="0248BEC4"/>
    <w:lvl w:ilvl="0" w:tplc="240A000F">
      <w:start w:val="1"/>
      <w:numFmt w:val="decimal"/>
      <w:lvlText w:val="%1."/>
      <w:lvlJc w:val="left"/>
      <w:pPr>
        <w:ind w:left="360" w:hanging="360"/>
      </w:pPr>
      <w:rPr>
        <w:rFonts w:hint="default"/>
      </w:rPr>
    </w:lvl>
    <w:lvl w:ilvl="1" w:tplc="240A0019">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4">
    <w:nsid w:val="73892F6A"/>
    <w:multiLevelType w:val="hybridMultilevel"/>
    <w:tmpl w:val="6080AC86"/>
    <w:lvl w:ilvl="0" w:tplc="B9E28836">
      <w:start w:val="1"/>
      <w:numFmt w:val="bullet"/>
      <w:lvlText w:val=""/>
      <w:lvlJc w:val="left"/>
      <w:pPr>
        <w:ind w:left="720" w:hanging="360"/>
      </w:pPr>
      <w:rPr>
        <w:rFonts w:ascii="Symbol" w:hAnsi="Symbol" w:hint="default"/>
      </w:rPr>
    </w:lvl>
    <w:lvl w:ilvl="1" w:tplc="13A04EB4" w:tentative="1">
      <w:start w:val="1"/>
      <w:numFmt w:val="bullet"/>
      <w:lvlText w:val="o"/>
      <w:lvlJc w:val="left"/>
      <w:pPr>
        <w:ind w:left="1440" w:hanging="360"/>
      </w:pPr>
      <w:rPr>
        <w:rFonts w:ascii="Courier New" w:hAnsi="Courier New" w:cs="Courier New" w:hint="default"/>
      </w:rPr>
    </w:lvl>
    <w:lvl w:ilvl="2" w:tplc="A444348E" w:tentative="1">
      <w:start w:val="1"/>
      <w:numFmt w:val="bullet"/>
      <w:lvlText w:val=""/>
      <w:lvlJc w:val="left"/>
      <w:pPr>
        <w:ind w:left="2160" w:hanging="360"/>
      </w:pPr>
      <w:rPr>
        <w:rFonts w:ascii="Wingdings" w:hAnsi="Wingdings" w:hint="default"/>
      </w:rPr>
    </w:lvl>
    <w:lvl w:ilvl="3" w:tplc="A4480224" w:tentative="1">
      <w:start w:val="1"/>
      <w:numFmt w:val="bullet"/>
      <w:lvlText w:val=""/>
      <w:lvlJc w:val="left"/>
      <w:pPr>
        <w:ind w:left="2880" w:hanging="360"/>
      </w:pPr>
      <w:rPr>
        <w:rFonts w:ascii="Symbol" w:hAnsi="Symbol" w:hint="default"/>
      </w:rPr>
    </w:lvl>
    <w:lvl w:ilvl="4" w:tplc="8F3EB192" w:tentative="1">
      <w:start w:val="1"/>
      <w:numFmt w:val="bullet"/>
      <w:lvlText w:val="o"/>
      <w:lvlJc w:val="left"/>
      <w:pPr>
        <w:ind w:left="3600" w:hanging="360"/>
      </w:pPr>
      <w:rPr>
        <w:rFonts w:ascii="Courier New" w:hAnsi="Courier New" w:cs="Courier New" w:hint="default"/>
      </w:rPr>
    </w:lvl>
    <w:lvl w:ilvl="5" w:tplc="CD6657E4" w:tentative="1">
      <w:start w:val="1"/>
      <w:numFmt w:val="bullet"/>
      <w:lvlText w:val=""/>
      <w:lvlJc w:val="left"/>
      <w:pPr>
        <w:ind w:left="4320" w:hanging="360"/>
      </w:pPr>
      <w:rPr>
        <w:rFonts w:ascii="Wingdings" w:hAnsi="Wingdings" w:hint="default"/>
      </w:rPr>
    </w:lvl>
    <w:lvl w:ilvl="6" w:tplc="223CD348" w:tentative="1">
      <w:start w:val="1"/>
      <w:numFmt w:val="bullet"/>
      <w:lvlText w:val=""/>
      <w:lvlJc w:val="left"/>
      <w:pPr>
        <w:ind w:left="5040" w:hanging="360"/>
      </w:pPr>
      <w:rPr>
        <w:rFonts w:ascii="Symbol" w:hAnsi="Symbol" w:hint="default"/>
      </w:rPr>
    </w:lvl>
    <w:lvl w:ilvl="7" w:tplc="23B07358" w:tentative="1">
      <w:start w:val="1"/>
      <w:numFmt w:val="bullet"/>
      <w:lvlText w:val="o"/>
      <w:lvlJc w:val="left"/>
      <w:pPr>
        <w:ind w:left="5760" w:hanging="360"/>
      </w:pPr>
      <w:rPr>
        <w:rFonts w:ascii="Courier New" w:hAnsi="Courier New" w:cs="Courier New" w:hint="default"/>
      </w:rPr>
    </w:lvl>
    <w:lvl w:ilvl="8" w:tplc="62ACD7F0" w:tentative="1">
      <w:start w:val="1"/>
      <w:numFmt w:val="bullet"/>
      <w:lvlText w:val=""/>
      <w:lvlJc w:val="left"/>
      <w:pPr>
        <w:ind w:left="6480" w:hanging="360"/>
      </w:pPr>
      <w:rPr>
        <w:rFonts w:ascii="Wingdings" w:hAnsi="Wingdings" w:hint="default"/>
      </w:rPr>
    </w:lvl>
  </w:abstractNum>
  <w:abstractNum w:abstractNumId="25">
    <w:nsid w:val="73F722A2"/>
    <w:multiLevelType w:val="hybridMultilevel"/>
    <w:tmpl w:val="D9926B4C"/>
    <w:lvl w:ilvl="0" w:tplc="240A0017">
      <w:start w:val="1"/>
      <w:numFmt w:val="lowerLetter"/>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nsid w:val="764E5223"/>
    <w:multiLevelType w:val="hybridMultilevel"/>
    <w:tmpl w:val="BC267840"/>
    <w:lvl w:ilvl="0" w:tplc="240A0017">
      <w:start w:val="1"/>
      <w:numFmt w:val="lowerLetter"/>
      <w:lvlText w:val="%1)"/>
      <w:lvlJc w:val="left"/>
      <w:pPr>
        <w:ind w:left="1146" w:hanging="360"/>
      </w:pPr>
      <w:rPr>
        <w:rFonts w:hint="default"/>
      </w:rPr>
    </w:lvl>
    <w:lvl w:ilvl="1" w:tplc="240A0003" w:tentative="1">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27">
    <w:nsid w:val="7FA073EA"/>
    <w:multiLevelType w:val="hybridMultilevel"/>
    <w:tmpl w:val="6FC204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9"/>
  </w:num>
  <w:num w:numId="2">
    <w:abstractNumId w:val="8"/>
  </w:num>
  <w:num w:numId="3">
    <w:abstractNumId w:val="13"/>
  </w:num>
  <w:num w:numId="4">
    <w:abstractNumId w:val="22"/>
  </w:num>
  <w:num w:numId="5">
    <w:abstractNumId w:val="3"/>
  </w:num>
  <w:num w:numId="6">
    <w:abstractNumId w:val="2"/>
  </w:num>
  <w:num w:numId="7">
    <w:abstractNumId w:val="1"/>
  </w:num>
  <w:num w:numId="8">
    <w:abstractNumId w:val="0"/>
  </w:num>
  <w:num w:numId="9">
    <w:abstractNumId w:val="7"/>
  </w:num>
  <w:num w:numId="10">
    <w:abstractNumId w:val="6"/>
  </w:num>
  <w:num w:numId="11">
    <w:abstractNumId w:val="5"/>
  </w:num>
  <w:num w:numId="12">
    <w:abstractNumId w:val="4"/>
  </w:num>
  <w:num w:numId="13">
    <w:abstractNumId w:val="15"/>
  </w:num>
  <w:num w:numId="14">
    <w:abstractNumId w:val="19"/>
  </w:num>
  <w:num w:numId="15">
    <w:abstractNumId w:val="10"/>
  </w:num>
  <w:num w:numId="16">
    <w:abstractNumId w:val="24"/>
  </w:num>
  <w:num w:numId="17">
    <w:abstractNumId w:val="21"/>
  </w:num>
  <w:num w:numId="18">
    <w:abstractNumId w:val="18"/>
  </w:num>
  <w:num w:numId="19">
    <w:abstractNumId w:val="20"/>
  </w:num>
  <w:num w:numId="20">
    <w:abstractNumId w:val="14"/>
  </w:num>
  <w:num w:numId="21">
    <w:abstractNumId w:val="14"/>
  </w:num>
  <w:num w:numId="22">
    <w:abstractNumId w:val="20"/>
    <w:lvlOverride w:ilvl="0">
      <w:startOverride w:val="1"/>
    </w:lvlOverride>
    <w:lvlOverride w:ilvl="1">
      <w:startOverride w:val="2"/>
    </w:lvlOverride>
    <w:lvlOverride w:ilvl="2">
      <w:startOverride w:val="1"/>
    </w:lvlOverride>
  </w:num>
  <w:num w:numId="23">
    <w:abstractNumId w:val="27"/>
  </w:num>
  <w:num w:numId="24">
    <w:abstractNumId w:val="11"/>
  </w:num>
  <w:num w:numId="25">
    <w:abstractNumId w:val="16"/>
  </w:num>
  <w:num w:numId="26">
    <w:abstractNumId w:val="23"/>
  </w:num>
  <w:num w:numId="27">
    <w:abstractNumId w:val="12"/>
  </w:num>
  <w:num w:numId="28">
    <w:abstractNumId w:val="17"/>
  </w:num>
  <w:num w:numId="29">
    <w:abstractNumId w:val="26"/>
  </w:num>
  <w:num w:numId="3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s-ES" w:vendorID="9" w:dllVersion="512" w:checkStyle="1"/>
  <w:proofState w:spelling="clean" w:grammar="clean"/>
  <w:attachedTemplate r:id="rId1"/>
  <w:defaultTabStop w:val="708"/>
  <w:hyphenationZone w:val="425"/>
  <w:drawingGridHorizontalSpacing w:val="195"/>
  <w:drawingGridVerticalSpacing w:val="136"/>
  <w:displayVerticalDrawingGridEvery w:val="2"/>
  <w:noPunctuationKerning/>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61C"/>
    <w:rsid w:val="0000652E"/>
    <w:rsid w:val="00010EDF"/>
    <w:rsid w:val="00014E38"/>
    <w:rsid w:val="000228B1"/>
    <w:rsid w:val="00023111"/>
    <w:rsid w:val="000252D7"/>
    <w:rsid w:val="00040D23"/>
    <w:rsid w:val="00056CDE"/>
    <w:rsid w:val="00081E06"/>
    <w:rsid w:val="00090E4B"/>
    <w:rsid w:val="00091AE0"/>
    <w:rsid w:val="000A14C9"/>
    <w:rsid w:val="000A6DF5"/>
    <w:rsid w:val="000C64E4"/>
    <w:rsid w:val="000D777E"/>
    <w:rsid w:val="000E7AF5"/>
    <w:rsid w:val="000F30A3"/>
    <w:rsid w:val="00121012"/>
    <w:rsid w:val="00126596"/>
    <w:rsid w:val="0012789F"/>
    <w:rsid w:val="001377F3"/>
    <w:rsid w:val="00143988"/>
    <w:rsid w:val="001506D8"/>
    <w:rsid w:val="00155662"/>
    <w:rsid w:val="00161D6B"/>
    <w:rsid w:val="00183683"/>
    <w:rsid w:val="001844DC"/>
    <w:rsid w:val="00194974"/>
    <w:rsid w:val="001A2EF4"/>
    <w:rsid w:val="001B38B8"/>
    <w:rsid w:val="001B703F"/>
    <w:rsid w:val="001D272D"/>
    <w:rsid w:val="001E1E65"/>
    <w:rsid w:val="001F39F8"/>
    <w:rsid w:val="00230E70"/>
    <w:rsid w:val="00234E21"/>
    <w:rsid w:val="002515D8"/>
    <w:rsid w:val="0025603A"/>
    <w:rsid w:val="002577CC"/>
    <w:rsid w:val="00261091"/>
    <w:rsid w:val="002630D7"/>
    <w:rsid w:val="00263CC8"/>
    <w:rsid w:val="002712F6"/>
    <w:rsid w:val="002735A0"/>
    <w:rsid w:val="00275542"/>
    <w:rsid w:val="0027710A"/>
    <w:rsid w:val="002863B2"/>
    <w:rsid w:val="00293E85"/>
    <w:rsid w:val="002D500C"/>
    <w:rsid w:val="002E739A"/>
    <w:rsid w:val="002F0B40"/>
    <w:rsid w:val="002F58D3"/>
    <w:rsid w:val="002F71BD"/>
    <w:rsid w:val="003036E9"/>
    <w:rsid w:val="00323E3E"/>
    <w:rsid w:val="003371A8"/>
    <w:rsid w:val="00342FD4"/>
    <w:rsid w:val="003467F9"/>
    <w:rsid w:val="00347F74"/>
    <w:rsid w:val="00350AAF"/>
    <w:rsid w:val="00361268"/>
    <w:rsid w:val="003657CF"/>
    <w:rsid w:val="003755E4"/>
    <w:rsid w:val="00380ED3"/>
    <w:rsid w:val="00391CAB"/>
    <w:rsid w:val="0039291E"/>
    <w:rsid w:val="00393355"/>
    <w:rsid w:val="00397A12"/>
    <w:rsid w:val="003A25E8"/>
    <w:rsid w:val="003A4F0B"/>
    <w:rsid w:val="003A6907"/>
    <w:rsid w:val="003B4526"/>
    <w:rsid w:val="003B5F3A"/>
    <w:rsid w:val="003D0BFC"/>
    <w:rsid w:val="003D2D29"/>
    <w:rsid w:val="003D3AAC"/>
    <w:rsid w:val="003D4956"/>
    <w:rsid w:val="003D5335"/>
    <w:rsid w:val="003E0B27"/>
    <w:rsid w:val="00404E02"/>
    <w:rsid w:val="004144F1"/>
    <w:rsid w:val="00440A51"/>
    <w:rsid w:val="00445385"/>
    <w:rsid w:val="00447A9D"/>
    <w:rsid w:val="00453823"/>
    <w:rsid w:val="00463488"/>
    <w:rsid w:val="00470846"/>
    <w:rsid w:val="00473947"/>
    <w:rsid w:val="00487BB2"/>
    <w:rsid w:val="004A3201"/>
    <w:rsid w:val="004C15FE"/>
    <w:rsid w:val="004C18CF"/>
    <w:rsid w:val="004C585D"/>
    <w:rsid w:val="004D1799"/>
    <w:rsid w:val="004D297D"/>
    <w:rsid w:val="004E0142"/>
    <w:rsid w:val="004E3B14"/>
    <w:rsid w:val="004F2266"/>
    <w:rsid w:val="00504DE4"/>
    <w:rsid w:val="00512CCA"/>
    <w:rsid w:val="005310B2"/>
    <w:rsid w:val="00532B07"/>
    <w:rsid w:val="00541B23"/>
    <w:rsid w:val="0054303A"/>
    <w:rsid w:val="00547FD8"/>
    <w:rsid w:val="00564BD9"/>
    <w:rsid w:val="00565F57"/>
    <w:rsid w:val="00577F42"/>
    <w:rsid w:val="0059117A"/>
    <w:rsid w:val="00596160"/>
    <w:rsid w:val="005A26C0"/>
    <w:rsid w:val="005C49DF"/>
    <w:rsid w:val="005D2C4F"/>
    <w:rsid w:val="005E0359"/>
    <w:rsid w:val="005F5D8B"/>
    <w:rsid w:val="006029F0"/>
    <w:rsid w:val="00615CC8"/>
    <w:rsid w:val="006259A8"/>
    <w:rsid w:val="00664A22"/>
    <w:rsid w:val="00674D8A"/>
    <w:rsid w:val="006854A3"/>
    <w:rsid w:val="00691D4E"/>
    <w:rsid w:val="00692D98"/>
    <w:rsid w:val="00693C5B"/>
    <w:rsid w:val="00693FE9"/>
    <w:rsid w:val="00697BE1"/>
    <w:rsid w:val="006A2A84"/>
    <w:rsid w:val="006A6C10"/>
    <w:rsid w:val="006B5DB3"/>
    <w:rsid w:val="006C0ECB"/>
    <w:rsid w:val="006C4394"/>
    <w:rsid w:val="006C57A5"/>
    <w:rsid w:val="006C7E8D"/>
    <w:rsid w:val="006D3453"/>
    <w:rsid w:val="00710553"/>
    <w:rsid w:val="00721BAC"/>
    <w:rsid w:val="00722BCC"/>
    <w:rsid w:val="00732AA4"/>
    <w:rsid w:val="00733367"/>
    <w:rsid w:val="007447A6"/>
    <w:rsid w:val="00744C2E"/>
    <w:rsid w:val="007502CE"/>
    <w:rsid w:val="00752210"/>
    <w:rsid w:val="00770A88"/>
    <w:rsid w:val="00777E7A"/>
    <w:rsid w:val="007904DF"/>
    <w:rsid w:val="00794DDB"/>
    <w:rsid w:val="007A1719"/>
    <w:rsid w:val="007A3A40"/>
    <w:rsid w:val="007A5A42"/>
    <w:rsid w:val="007A6740"/>
    <w:rsid w:val="007B1CA1"/>
    <w:rsid w:val="007B36A2"/>
    <w:rsid w:val="007C6743"/>
    <w:rsid w:val="007D0B4B"/>
    <w:rsid w:val="007D132D"/>
    <w:rsid w:val="007E2BC3"/>
    <w:rsid w:val="007F1EA8"/>
    <w:rsid w:val="00813FF5"/>
    <w:rsid w:val="00821A42"/>
    <w:rsid w:val="00823D3F"/>
    <w:rsid w:val="00827C31"/>
    <w:rsid w:val="00830C66"/>
    <w:rsid w:val="00832E70"/>
    <w:rsid w:val="00836B73"/>
    <w:rsid w:val="00846213"/>
    <w:rsid w:val="00855EA7"/>
    <w:rsid w:val="00856126"/>
    <w:rsid w:val="0086375F"/>
    <w:rsid w:val="008646CD"/>
    <w:rsid w:val="00864B38"/>
    <w:rsid w:val="00864E1B"/>
    <w:rsid w:val="00870BFD"/>
    <w:rsid w:val="0087201C"/>
    <w:rsid w:val="0087611F"/>
    <w:rsid w:val="008930E3"/>
    <w:rsid w:val="008A308C"/>
    <w:rsid w:val="008B2C9C"/>
    <w:rsid w:val="008B5202"/>
    <w:rsid w:val="008C47A6"/>
    <w:rsid w:val="008C66A8"/>
    <w:rsid w:val="008E311B"/>
    <w:rsid w:val="00901D25"/>
    <w:rsid w:val="00913C48"/>
    <w:rsid w:val="00914A65"/>
    <w:rsid w:val="00917711"/>
    <w:rsid w:val="00921DD7"/>
    <w:rsid w:val="00924F6A"/>
    <w:rsid w:val="00926E8C"/>
    <w:rsid w:val="00933E17"/>
    <w:rsid w:val="00941B4D"/>
    <w:rsid w:val="00942B3A"/>
    <w:rsid w:val="00946019"/>
    <w:rsid w:val="00951B89"/>
    <w:rsid w:val="00967626"/>
    <w:rsid w:val="00976833"/>
    <w:rsid w:val="00977757"/>
    <w:rsid w:val="009911D6"/>
    <w:rsid w:val="00996334"/>
    <w:rsid w:val="009A5AA0"/>
    <w:rsid w:val="009B3EC4"/>
    <w:rsid w:val="009B7AF0"/>
    <w:rsid w:val="009C41FA"/>
    <w:rsid w:val="009C454B"/>
    <w:rsid w:val="009E1D40"/>
    <w:rsid w:val="009E7DCA"/>
    <w:rsid w:val="009F6F93"/>
    <w:rsid w:val="00A00662"/>
    <w:rsid w:val="00A069D6"/>
    <w:rsid w:val="00A07404"/>
    <w:rsid w:val="00A20856"/>
    <w:rsid w:val="00A24F55"/>
    <w:rsid w:val="00A300CF"/>
    <w:rsid w:val="00A4273C"/>
    <w:rsid w:val="00A436E3"/>
    <w:rsid w:val="00A63F1E"/>
    <w:rsid w:val="00A83201"/>
    <w:rsid w:val="00AB1B74"/>
    <w:rsid w:val="00AC2DE8"/>
    <w:rsid w:val="00AD483D"/>
    <w:rsid w:val="00AE242A"/>
    <w:rsid w:val="00AE3543"/>
    <w:rsid w:val="00AF15ED"/>
    <w:rsid w:val="00AF3AEC"/>
    <w:rsid w:val="00B02334"/>
    <w:rsid w:val="00B27941"/>
    <w:rsid w:val="00B34027"/>
    <w:rsid w:val="00B543FF"/>
    <w:rsid w:val="00B57F26"/>
    <w:rsid w:val="00B8244F"/>
    <w:rsid w:val="00B835C9"/>
    <w:rsid w:val="00B9514E"/>
    <w:rsid w:val="00BA35DD"/>
    <w:rsid w:val="00BB269D"/>
    <w:rsid w:val="00BC6670"/>
    <w:rsid w:val="00BD20AE"/>
    <w:rsid w:val="00BF3BD3"/>
    <w:rsid w:val="00C030AC"/>
    <w:rsid w:val="00C07A6E"/>
    <w:rsid w:val="00C20B10"/>
    <w:rsid w:val="00C2102E"/>
    <w:rsid w:val="00C24911"/>
    <w:rsid w:val="00C34133"/>
    <w:rsid w:val="00C43CCD"/>
    <w:rsid w:val="00C46330"/>
    <w:rsid w:val="00C46AAF"/>
    <w:rsid w:val="00C52B4E"/>
    <w:rsid w:val="00C63190"/>
    <w:rsid w:val="00C6591A"/>
    <w:rsid w:val="00C671D4"/>
    <w:rsid w:val="00C77034"/>
    <w:rsid w:val="00CA6BC8"/>
    <w:rsid w:val="00CA7C8D"/>
    <w:rsid w:val="00CB282C"/>
    <w:rsid w:val="00CB3C2B"/>
    <w:rsid w:val="00CC55FC"/>
    <w:rsid w:val="00CC6A4E"/>
    <w:rsid w:val="00CC7AA7"/>
    <w:rsid w:val="00CD7923"/>
    <w:rsid w:val="00CE5ABA"/>
    <w:rsid w:val="00CE60E4"/>
    <w:rsid w:val="00D0046F"/>
    <w:rsid w:val="00D06083"/>
    <w:rsid w:val="00D06679"/>
    <w:rsid w:val="00D16386"/>
    <w:rsid w:val="00D21FDB"/>
    <w:rsid w:val="00D22316"/>
    <w:rsid w:val="00D23AA9"/>
    <w:rsid w:val="00D27091"/>
    <w:rsid w:val="00D33C13"/>
    <w:rsid w:val="00D441DB"/>
    <w:rsid w:val="00D45E63"/>
    <w:rsid w:val="00D55437"/>
    <w:rsid w:val="00D57A36"/>
    <w:rsid w:val="00D81758"/>
    <w:rsid w:val="00D86AD1"/>
    <w:rsid w:val="00D876DB"/>
    <w:rsid w:val="00D95754"/>
    <w:rsid w:val="00DA0F65"/>
    <w:rsid w:val="00DA28E2"/>
    <w:rsid w:val="00DB2C48"/>
    <w:rsid w:val="00DB3E8A"/>
    <w:rsid w:val="00DC1BC8"/>
    <w:rsid w:val="00DD491F"/>
    <w:rsid w:val="00DD6A0B"/>
    <w:rsid w:val="00DE29EE"/>
    <w:rsid w:val="00DE6A2D"/>
    <w:rsid w:val="00DF1F09"/>
    <w:rsid w:val="00E031A4"/>
    <w:rsid w:val="00E069F2"/>
    <w:rsid w:val="00E13B94"/>
    <w:rsid w:val="00E20B65"/>
    <w:rsid w:val="00E235C9"/>
    <w:rsid w:val="00E239CE"/>
    <w:rsid w:val="00E2482E"/>
    <w:rsid w:val="00E30E1A"/>
    <w:rsid w:val="00E32931"/>
    <w:rsid w:val="00E34947"/>
    <w:rsid w:val="00E40287"/>
    <w:rsid w:val="00E412A6"/>
    <w:rsid w:val="00E47A73"/>
    <w:rsid w:val="00E55A86"/>
    <w:rsid w:val="00E6185E"/>
    <w:rsid w:val="00E747D2"/>
    <w:rsid w:val="00E8470C"/>
    <w:rsid w:val="00E87B34"/>
    <w:rsid w:val="00E92FED"/>
    <w:rsid w:val="00E95775"/>
    <w:rsid w:val="00EA1B54"/>
    <w:rsid w:val="00EB261C"/>
    <w:rsid w:val="00EB5230"/>
    <w:rsid w:val="00EC1A7E"/>
    <w:rsid w:val="00EC1C42"/>
    <w:rsid w:val="00EC470B"/>
    <w:rsid w:val="00EE0A2F"/>
    <w:rsid w:val="00EE3AA8"/>
    <w:rsid w:val="00EE61AB"/>
    <w:rsid w:val="00F05F11"/>
    <w:rsid w:val="00F061F6"/>
    <w:rsid w:val="00F077EE"/>
    <w:rsid w:val="00F1504B"/>
    <w:rsid w:val="00F32068"/>
    <w:rsid w:val="00F32F50"/>
    <w:rsid w:val="00F4008C"/>
    <w:rsid w:val="00F52EAB"/>
    <w:rsid w:val="00F6776F"/>
    <w:rsid w:val="00F7530A"/>
    <w:rsid w:val="00F86904"/>
    <w:rsid w:val="00F9710B"/>
    <w:rsid w:val="00FA647E"/>
    <w:rsid w:val="00FD360F"/>
    <w:rsid w:val="00FD416D"/>
    <w:rsid w:val="00FE741F"/>
    <w:rsid w:val="00FF60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semiHidden/>
    <w:rsid w:val="00615CC8"/>
    <w:pPr>
      <w:spacing w:after="220" w:line="220" w:lineRule="atLeast"/>
    </w:p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basedOn w:val="Fuentedeprrafopredeter"/>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semiHidden/>
    <w:rsid w:val="00615CC8"/>
    <w:rPr>
      <w:color w:val="0000FF"/>
      <w:u w:val="single"/>
    </w:rPr>
  </w:style>
  <w:style w:type="character" w:styleId="Hipervnculovisitado">
    <w:name w:val="FollowedHyperlink"/>
    <w:basedOn w:val="Fuentedeprrafopredeter"/>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uiPriority w:val="99"/>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semiHidden/>
    <w:rsid w:val="00615CC8"/>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link w:val="TextonotapieCar"/>
    <w:uiPriority w:val="99"/>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character" w:customStyle="1" w:styleId="TextonotapieCar">
    <w:name w:val="Texto nota pie Car"/>
    <w:basedOn w:val="Fuentedeprrafopredeter"/>
    <w:link w:val="Textonotapie"/>
    <w:uiPriority w:val="99"/>
    <w:semiHidden/>
    <w:rsid w:val="001377F3"/>
    <w:rPr>
      <w:rFonts w:ascii="Arial" w:eastAsia="Times New Roman" w:hAnsi="Arial"/>
      <w:spacing w:val="-5"/>
      <w:sz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s-CO" w:eastAsia="es-C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semiHidden="0" w:uiPriority="35" w:unhideWhenUsed="0"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6334"/>
    <w:pPr>
      <w:jc w:val="both"/>
    </w:pPr>
    <w:rPr>
      <w:rFonts w:ascii="Arial" w:eastAsia="Times New Roman" w:hAnsi="Arial"/>
      <w:spacing w:val="-5"/>
      <w:sz w:val="24"/>
      <w:lang w:eastAsia="en-US"/>
    </w:rPr>
  </w:style>
  <w:style w:type="paragraph" w:styleId="Ttulo1">
    <w:name w:val="heading 1"/>
    <w:basedOn w:val="Ttulo2"/>
    <w:next w:val="Textoindependiente"/>
    <w:link w:val="Ttulo1Car"/>
    <w:qFormat/>
    <w:rsid w:val="00040D23"/>
    <w:pPr>
      <w:numPr>
        <w:ilvl w:val="0"/>
      </w:numPr>
      <w:outlineLvl w:val="0"/>
    </w:pPr>
    <w:rPr>
      <w:b/>
    </w:rPr>
  </w:style>
  <w:style w:type="paragraph" w:styleId="Ttulo2">
    <w:name w:val="heading 2"/>
    <w:basedOn w:val="Ttulo3"/>
    <w:next w:val="Textoindependiente"/>
    <w:link w:val="Ttulo2Car"/>
    <w:qFormat/>
    <w:rsid w:val="00040D23"/>
    <w:pPr>
      <w:numPr>
        <w:ilvl w:val="1"/>
        <w:numId w:val="19"/>
      </w:numPr>
      <w:outlineLvl w:val="1"/>
    </w:pPr>
    <w:rPr>
      <w:sz w:val="24"/>
      <w:szCs w:val="24"/>
    </w:rPr>
  </w:style>
  <w:style w:type="paragraph" w:styleId="Ttulo3">
    <w:name w:val="heading 3"/>
    <w:basedOn w:val="Ttulo-base"/>
    <w:next w:val="Textoindependiente"/>
    <w:link w:val="Ttulo3Car"/>
    <w:qFormat/>
    <w:rsid w:val="00040D23"/>
    <w:pPr>
      <w:numPr>
        <w:ilvl w:val="2"/>
        <w:numId w:val="20"/>
      </w:numPr>
      <w:spacing w:before="120" w:after="120" w:line="240" w:lineRule="auto"/>
      <w:outlineLvl w:val="2"/>
    </w:pPr>
    <w:rPr>
      <w:rFonts w:ascii="Arial" w:hAnsi="Arial"/>
      <w:i/>
      <w:sz w:val="22"/>
    </w:rPr>
  </w:style>
  <w:style w:type="paragraph" w:styleId="Ttulo4">
    <w:name w:val="heading 4"/>
    <w:basedOn w:val="Ttulo-base"/>
    <w:next w:val="Textoindependiente"/>
    <w:qFormat/>
    <w:rsid w:val="00615CC8"/>
    <w:pPr>
      <w:ind w:left="360"/>
      <w:outlineLvl w:val="3"/>
    </w:pPr>
    <w:rPr>
      <w:spacing w:val="-5"/>
      <w:sz w:val="18"/>
    </w:rPr>
  </w:style>
  <w:style w:type="paragraph" w:styleId="Ttulo5">
    <w:name w:val="heading 5"/>
    <w:basedOn w:val="Ttulo-base"/>
    <w:next w:val="Textoindependiente"/>
    <w:qFormat/>
    <w:rsid w:val="00615CC8"/>
    <w:pPr>
      <w:ind w:left="720"/>
      <w:outlineLvl w:val="4"/>
    </w:pPr>
    <w:rPr>
      <w:spacing w:val="-5"/>
      <w:sz w:val="18"/>
    </w:rPr>
  </w:style>
  <w:style w:type="paragraph" w:styleId="Ttulo6">
    <w:name w:val="heading 6"/>
    <w:basedOn w:val="Ttulo-base"/>
    <w:next w:val="Textoindependiente"/>
    <w:qFormat/>
    <w:rsid w:val="00615CC8"/>
    <w:pPr>
      <w:ind w:left="1080"/>
      <w:outlineLvl w:val="5"/>
    </w:pPr>
    <w:rPr>
      <w:spacing w:val="-5"/>
      <w:sz w:val="18"/>
    </w:rPr>
  </w:style>
  <w:style w:type="paragraph" w:styleId="Ttulo7">
    <w:name w:val="heading 7"/>
    <w:basedOn w:val="Normal"/>
    <w:next w:val="Normal"/>
    <w:qFormat/>
    <w:rsid w:val="00615CC8"/>
    <w:pPr>
      <w:spacing w:before="240" w:after="60"/>
      <w:outlineLvl w:val="6"/>
    </w:pPr>
    <w:rPr>
      <w:rFonts w:ascii="Times New Roman" w:hAnsi="Times New Roman"/>
      <w:szCs w:val="24"/>
    </w:rPr>
  </w:style>
  <w:style w:type="paragraph" w:styleId="Ttulo8">
    <w:name w:val="heading 8"/>
    <w:basedOn w:val="Normal"/>
    <w:next w:val="Normal"/>
    <w:qFormat/>
    <w:rsid w:val="00615CC8"/>
    <w:pPr>
      <w:spacing w:before="240" w:after="60"/>
      <w:outlineLvl w:val="7"/>
    </w:pPr>
    <w:rPr>
      <w:rFonts w:ascii="Times New Roman" w:hAnsi="Times New Roman"/>
      <w:i/>
      <w:iCs/>
      <w:szCs w:val="24"/>
    </w:rPr>
  </w:style>
  <w:style w:type="paragraph" w:styleId="Ttulo9">
    <w:name w:val="heading 9"/>
    <w:basedOn w:val="Normal"/>
    <w:next w:val="Normal"/>
    <w:qFormat/>
    <w:rsid w:val="00615CC8"/>
    <w:p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neadeatencin">
    <w:name w:val="Línea de atención"/>
    <w:basedOn w:val="Normal"/>
    <w:next w:val="Saludo"/>
    <w:rsid w:val="00615CC8"/>
    <w:pPr>
      <w:spacing w:before="220" w:after="220" w:line="220" w:lineRule="atLeast"/>
    </w:pPr>
  </w:style>
  <w:style w:type="paragraph" w:styleId="Saludo">
    <w:name w:val="Salutation"/>
    <w:basedOn w:val="Normal"/>
    <w:next w:val="Lneadeasunto"/>
    <w:semiHidden/>
    <w:rsid w:val="00615CC8"/>
    <w:pPr>
      <w:spacing w:before="220" w:after="220" w:line="220" w:lineRule="atLeast"/>
      <w:jc w:val="left"/>
    </w:pPr>
  </w:style>
  <w:style w:type="paragraph" w:styleId="Textoindependiente">
    <w:name w:val="Body Text"/>
    <w:basedOn w:val="Normal"/>
    <w:semiHidden/>
    <w:rsid w:val="00615CC8"/>
    <w:pPr>
      <w:spacing w:after="220" w:line="220" w:lineRule="atLeast"/>
    </w:pPr>
  </w:style>
  <w:style w:type="paragraph" w:customStyle="1" w:styleId="ListaCC">
    <w:name w:val="Lista CC."/>
    <w:basedOn w:val="Normal"/>
    <w:rsid w:val="00615CC8"/>
    <w:pPr>
      <w:keepLines/>
      <w:spacing w:line="220" w:lineRule="atLeast"/>
      <w:ind w:left="360" w:hanging="360"/>
    </w:pPr>
  </w:style>
  <w:style w:type="paragraph" w:styleId="Cierre">
    <w:name w:val="Closing"/>
    <w:basedOn w:val="Normal"/>
    <w:next w:val="Firma"/>
    <w:semiHidden/>
    <w:rsid w:val="00615CC8"/>
    <w:pPr>
      <w:keepNext/>
      <w:spacing w:after="60" w:line="220" w:lineRule="atLeast"/>
    </w:pPr>
  </w:style>
  <w:style w:type="paragraph" w:styleId="Firma">
    <w:name w:val="Signature"/>
    <w:basedOn w:val="Normal"/>
    <w:next w:val="Firmapuesto"/>
    <w:semiHidden/>
    <w:rsid w:val="00615CC8"/>
    <w:pPr>
      <w:keepNext/>
      <w:spacing w:before="880" w:line="220" w:lineRule="atLeast"/>
      <w:jc w:val="left"/>
    </w:pPr>
  </w:style>
  <w:style w:type="paragraph" w:customStyle="1" w:styleId="Organizacin">
    <w:name w:val="Organización"/>
    <w:basedOn w:val="Normal"/>
    <w:rsid w:val="00615CC8"/>
    <w:pPr>
      <w:framePr w:w="3845" w:h="1584" w:hSpace="187" w:vSpace="187" w:wrap="notBeside" w:vAnchor="page" w:hAnchor="margin" w:y="894" w:anchorLock="1"/>
      <w:spacing w:line="280" w:lineRule="atLeast"/>
    </w:pPr>
    <w:rPr>
      <w:rFonts w:ascii="Arial Black" w:hAnsi="Arial Black"/>
      <w:spacing w:val="-25"/>
      <w:sz w:val="32"/>
    </w:rPr>
  </w:style>
  <w:style w:type="paragraph" w:styleId="Fecha">
    <w:name w:val="Date"/>
    <w:basedOn w:val="Normal"/>
    <w:next w:val="Nombredireccininterior"/>
    <w:semiHidden/>
    <w:rsid w:val="00615CC8"/>
    <w:pPr>
      <w:spacing w:after="220" w:line="220" w:lineRule="atLeast"/>
    </w:pPr>
  </w:style>
  <w:style w:type="character" w:styleId="nfasis">
    <w:name w:val="Emphasis"/>
    <w:qFormat/>
    <w:rsid w:val="00615CC8"/>
    <w:rPr>
      <w:rFonts w:ascii="Arial Black" w:hAnsi="Arial Black"/>
      <w:sz w:val="18"/>
      <w:lang w:bidi="ar-SA"/>
    </w:rPr>
  </w:style>
  <w:style w:type="paragraph" w:customStyle="1" w:styleId="Documentoadjunto">
    <w:name w:val="Documento adjunto"/>
    <w:basedOn w:val="Normal"/>
    <w:next w:val="ListaCC"/>
    <w:rsid w:val="00615CC8"/>
    <w:pPr>
      <w:keepNext/>
      <w:keepLines/>
      <w:spacing w:after="220" w:line="220" w:lineRule="atLeast"/>
    </w:pPr>
  </w:style>
  <w:style w:type="paragraph" w:customStyle="1" w:styleId="Ttulo-base">
    <w:name w:val="Título - base"/>
    <w:basedOn w:val="Normal"/>
    <w:next w:val="Textoindependiente"/>
    <w:rsid w:val="00615CC8"/>
    <w:pPr>
      <w:keepNext/>
      <w:keepLines/>
      <w:spacing w:line="220" w:lineRule="atLeast"/>
    </w:pPr>
    <w:rPr>
      <w:rFonts w:ascii="Arial Black" w:hAnsi="Arial Black"/>
      <w:spacing w:val="-10"/>
      <w:kern w:val="20"/>
    </w:rPr>
  </w:style>
  <w:style w:type="paragraph" w:customStyle="1" w:styleId="Direccininterior">
    <w:name w:val="Dirección interior"/>
    <w:basedOn w:val="Normal"/>
    <w:rsid w:val="00615CC8"/>
    <w:pPr>
      <w:spacing w:line="220" w:lineRule="atLeast"/>
    </w:pPr>
  </w:style>
  <w:style w:type="paragraph" w:customStyle="1" w:styleId="Nombredireccininterior">
    <w:name w:val="Nombre dirección interior"/>
    <w:basedOn w:val="Direccininterior"/>
    <w:next w:val="Direccininterior"/>
    <w:rsid w:val="00615CC8"/>
    <w:pPr>
      <w:spacing w:before="220"/>
    </w:pPr>
  </w:style>
  <w:style w:type="paragraph" w:customStyle="1" w:styleId="Instruccionesdecorreo">
    <w:name w:val="Instrucciones de correo"/>
    <w:basedOn w:val="Normal"/>
    <w:next w:val="Nombredireccininterior"/>
    <w:rsid w:val="00615CC8"/>
    <w:pPr>
      <w:spacing w:after="220" w:line="220" w:lineRule="atLeast"/>
    </w:pPr>
    <w:rPr>
      <w:caps/>
    </w:rPr>
  </w:style>
  <w:style w:type="paragraph" w:customStyle="1" w:styleId="Inicialesdereferencia">
    <w:name w:val="Iniciales de referencia"/>
    <w:basedOn w:val="Normal"/>
    <w:next w:val="Documentoadjunto"/>
    <w:rsid w:val="00615CC8"/>
    <w:pPr>
      <w:keepNext/>
      <w:keepLines/>
      <w:spacing w:before="220" w:line="220" w:lineRule="atLeast"/>
    </w:pPr>
  </w:style>
  <w:style w:type="paragraph" w:customStyle="1" w:styleId="Lneadereferencia">
    <w:name w:val="Línea de referencia"/>
    <w:basedOn w:val="Normal"/>
    <w:next w:val="Instruccionesdecorreo"/>
    <w:rsid w:val="00615CC8"/>
    <w:pPr>
      <w:spacing w:after="220" w:line="220" w:lineRule="atLeast"/>
      <w:jc w:val="left"/>
    </w:pPr>
  </w:style>
  <w:style w:type="paragraph" w:customStyle="1" w:styleId="Remite">
    <w:name w:val="Remite"/>
    <w:basedOn w:val="Normal"/>
    <w:rsid w:val="00615CC8"/>
    <w:pPr>
      <w:keepLines/>
      <w:framePr w:w="4320" w:h="965" w:hSpace="187" w:vSpace="187" w:wrap="notBeside" w:vAnchor="page" w:hAnchor="margin" w:xAlign="right" w:y="966" w:anchorLock="1"/>
      <w:tabs>
        <w:tab w:val="left" w:pos="2160"/>
      </w:tabs>
      <w:spacing w:line="160" w:lineRule="atLeast"/>
      <w:jc w:val="left"/>
    </w:pPr>
    <w:rPr>
      <w:spacing w:val="0"/>
      <w:sz w:val="14"/>
    </w:rPr>
  </w:style>
  <w:style w:type="paragraph" w:customStyle="1" w:styleId="Firmaorganizacin">
    <w:name w:val="Firma organización"/>
    <w:basedOn w:val="Firma"/>
    <w:next w:val="Inicialesdereferencia"/>
    <w:rsid w:val="00615CC8"/>
    <w:pPr>
      <w:spacing w:before="0"/>
    </w:pPr>
  </w:style>
  <w:style w:type="paragraph" w:customStyle="1" w:styleId="Firmapuesto">
    <w:name w:val="Firma puesto"/>
    <w:basedOn w:val="Firma"/>
    <w:next w:val="Firmaorganizacin"/>
    <w:rsid w:val="00615CC8"/>
    <w:pPr>
      <w:spacing w:before="0"/>
    </w:pPr>
  </w:style>
  <w:style w:type="character" w:customStyle="1" w:styleId="Eslogan">
    <w:name w:val="Eslogan"/>
    <w:basedOn w:val="Fuentedeprrafopredeter"/>
    <w:rsid w:val="00615CC8"/>
    <w:rPr>
      <w:rFonts w:ascii="Arial Black" w:hAnsi="Arial Black"/>
      <w:sz w:val="18"/>
    </w:rPr>
  </w:style>
  <w:style w:type="paragraph" w:customStyle="1" w:styleId="Lneadeasunto">
    <w:name w:val="Línea de asunto"/>
    <w:basedOn w:val="Normal"/>
    <w:next w:val="Textoindependiente"/>
    <w:rsid w:val="00615CC8"/>
    <w:pPr>
      <w:spacing w:after="220" w:line="220" w:lineRule="atLeast"/>
      <w:jc w:val="left"/>
    </w:pPr>
    <w:rPr>
      <w:rFonts w:ascii="Arial Black" w:hAnsi="Arial Black"/>
      <w:spacing w:val="-10"/>
    </w:rPr>
  </w:style>
  <w:style w:type="paragraph" w:styleId="Encabezado">
    <w:name w:val="header"/>
    <w:basedOn w:val="Normal"/>
    <w:semiHidden/>
    <w:rsid w:val="00615CC8"/>
    <w:pPr>
      <w:tabs>
        <w:tab w:val="center" w:pos="4320"/>
        <w:tab w:val="right" w:pos="8640"/>
      </w:tabs>
    </w:pPr>
  </w:style>
  <w:style w:type="paragraph" w:styleId="Piedepgina">
    <w:name w:val="footer"/>
    <w:basedOn w:val="Normal"/>
    <w:link w:val="PiedepginaCar"/>
    <w:semiHidden/>
    <w:rsid w:val="00615CC8"/>
    <w:pPr>
      <w:tabs>
        <w:tab w:val="center" w:pos="4320"/>
        <w:tab w:val="right" w:pos="8640"/>
      </w:tabs>
    </w:pPr>
  </w:style>
  <w:style w:type="paragraph" w:styleId="Lista">
    <w:name w:val="List"/>
    <w:basedOn w:val="Textoindependiente"/>
    <w:semiHidden/>
    <w:rsid w:val="00615CC8"/>
    <w:pPr>
      <w:ind w:left="360" w:hanging="360"/>
    </w:pPr>
  </w:style>
  <w:style w:type="paragraph" w:styleId="Listaconvietas">
    <w:name w:val="List Bullet"/>
    <w:basedOn w:val="Lista"/>
    <w:autoRedefine/>
    <w:semiHidden/>
    <w:rsid w:val="00615CC8"/>
    <w:pPr>
      <w:numPr>
        <w:numId w:val="3"/>
      </w:numPr>
    </w:pPr>
  </w:style>
  <w:style w:type="paragraph" w:styleId="Listaconnmeros">
    <w:name w:val="List Number"/>
    <w:basedOn w:val="Textoindependiente"/>
    <w:semiHidden/>
    <w:rsid w:val="00615CC8"/>
    <w:pPr>
      <w:numPr>
        <w:numId w:val="4"/>
      </w:numPr>
    </w:pPr>
  </w:style>
  <w:style w:type="character" w:styleId="AcrnimoHTML">
    <w:name w:val="HTML Acronym"/>
    <w:basedOn w:val="Fuentedeprrafopredeter"/>
    <w:semiHidden/>
    <w:rsid w:val="00615CC8"/>
  </w:style>
  <w:style w:type="character" w:styleId="CitaHTML">
    <w:name w:val="HTML Cite"/>
    <w:basedOn w:val="Fuentedeprrafopredeter"/>
    <w:semiHidden/>
    <w:rsid w:val="00615CC8"/>
    <w:rPr>
      <w:i/>
      <w:iCs/>
    </w:rPr>
  </w:style>
  <w:style w:type="character" w:styleId="CdigoHTML">
    <w:name w:val="HTML Code"/>
    <w:basedOn w:val="Fuentedeprrafopredeter"/>
    <w:semiHidden/>
    <w:rsid w:val="00615CC8"/>
    <w:rPr>
      <w:rFonts w:ascii="Courier New" w:hAnsi="Courier New"/>
      <w:sz w:val="20"/>
      <w:szCs w:val="20"/>
    </w:rPr>
  </w:style>
  <w:style w:type="paragraph" w:styleId="Continuarlista">
    <w:name w:val="List Continue"/>
    <w:basedOn w:val="Normal"/>
    <w:semiHidden/>
    <w:rsid w:val="00615CC8"/>
    <w:pPr>
      <w:spacing w:after="120"/>
      <w:ind w:left="283"/>
    </w:pPr>
  </w:style>
  <w:style w:type="paragraph" w:styleId="Continuarlista2">
    <w:name w:val="List Continue 2"/>
    <w:basedOn w:val="Normal"/>
    <w:semiHidden/>
    <w:rsid w:val="00615CC8"/>
    <w:pPr>
      <w:spacing w:after="120"/>
      <w:ind w:left="566"/>
    </w:pPr>
  </w:style>
  <w:style w:type="paragraph" w:styleId="Continuarlista3">
    <w:name w:val="List Continue 3"/>
    <w:basedOn w:val="Normal"/>
    <w:semiHidden/>
    <w:rsid w:val="00615CC8"/>
    <w:pPr>
      <w:spacing w:after="120"/>
      <w:ind w:left="849"/>
    </w:pPr>
  </w:style>
  <w:style w:type="paragraph" w:styleId="Continuarlista4">
    <w:name w:val="List Continue 4"/>
    <w:basedOn w:val="Normal"/>
    <w:semiHidden/>
    <w:rsid w:val="00615CC8"/>
    <w:pPr>
      <w:spacing w:after="120"/>
      <w:ind w:left="1132"/>
    </w:pPr>
  </w:style>
  <w:style w:type="paragraph" w:styleId="Continuarlista5">
    <w:name w:val="List Continue 5"/>
    <w:basedOn w:val="Normal"/>
    <w:semiHidden/>
    <w:rsid w:val="00615CC8"/>
    <w:pPr>
      <w:spacing w:after="120"/>
      <w:ind w:left="1415"/>
    </w:pPr>
  </w:style>
  <w:style w:type="character" w:styleId="DefinicinHTML">
    <w:name w:val="HTML Definition"/>
    <w:basedOn w:val="Fuentedeprrafopredeter"/>
    <w:semiHidden/>
    <w:rsid w:val="00615CC8"/>
    <w:rPr>
      <w:i/>
      <w:iCs/>
    </w:rPr>
  </w:style>
  <w:style w:type="paragraph" w:styleId="DireccinHTML">
    <w:name w:val="HTML Address"/>
    <w:basedOn w:val="Normal"/>
    <w:semiHidden/>
    <w:rsid w:val="00615CC8"/>
    <w:rPr>
      <w:i/>
      <w:iCs/>
    </w:rPr>
  </w:style>
  <w:style w:type="paragraph" w:styleId="Direccinsobre">
    <w:name w:val="envelope address"/>
    <w:basedOn w:val="Normal"/>
    <w:semiHidden/>
    <w:rsid w:val="00615CC8"/>
    <w:pPr>
      <w:framePr w:w="7920" w:h="1980" w:hRule="exact" w:hSpace="141" w:wrap="auto" w:hAnchor="page" w:xAlign="center" w:yAlign="bottom"/>
      <w:ind w:left="2880"/>
    </w:pPr>
    <w:rPr>
      <w:rFonts w:cs="Arial"/>
      <w:szCs w:val="24"/>
    </w:rPr>
  </w:style>
  <w:style w:type="character" w:styleId="EjemplodeHTML">
    <w:name w:val="HTML Sample"/>
    <w:basedOn w:val="Fuentedeprrafopredeter"/>
    <w:semiHidden/>
    <w:rsid w:val="00615CC8"/>
    <w:rPr>
      <w:rFonts w:ascii="Courier New" w:hAnsi="Courier New"/>
    </w:rPr>
  </w:style>
  <w:style w:type="paragraph" w:styleId="Encabezadodelista">
    <w:name w:val="toa heading"/>
    <w:basedOn w:val="Normal"/>
    <w:next w:val="Normal"/>
    <w:semiHidden/>
    <w:rsid w:val="00615CC8"/>
    <w:pPr>
      <w:spacing w:before="120"/>
    </w:pPr>
    <w:rPr>
      <w:rFonts w:cs="Arial"/>
      <w:b/>
      <w:bCs/>
      <w:szCs w:val="24"/>
    </w:rPr>
  </w:style>
  <w:style w:type="paragraph" w:styleId="Encabezadodemensaje">
    <w:name w:val="Message Header"/>
    <w:basedOn w:val="Normal"/>
    <w:semiHidden/>
    <w:rsid w:val="00615CC8"/>
    <w:pPr>
      <w:pBdr>
        <w:top w:val="single" w:sz="6" w:space="1" w:color="auto"/>
        <w:left w:val="single" w:sz="6" w:space="1" w:color="auto"/>
        <w:bottom w:val="single" w:sz="6" w:space="1" w:color="auto"/>
        <w:right w:val="single" w:sz="6" w:space="1" w:color="auto"/>
      </w:pBdr>
      <w:shd w:val="pct20" w:color="auto" w:fill="auto"/>
      <w:ind w:left="1134" w:hanging="1134"/>
    </w:pPr>
    <w:rPr>
      <w:rFonts w:cs="Arial"/>
      <w:szCs w:val="24"/>
    </w:rPr>
  </w:style>
  <w:style w:type="paragraph" w:styleId="Encabezadodenota">
    <w:name w:val="Note Heading"/>
    <w:basedOn w:val="Normal"/>
    <w:next w:val="Normal"/>
    <w:semiHidden/>
    <w:rsid w:val="00615CC8"/>
  </w:style>
  <w:style w:type="paragraph" w:styleId="Epgrafe">
    <w:name w:val="caption"/>
    <w:basedOn w:val="Normal"/>
    <w:next w:val="Normal"/>
    <w:qFormat/>
    <w:rsid w:val="00615CC8"/>
    <w:pPr>
      <w:spacing w:before="120" w:after="120"/>
    </w:pPr>
    <w:rPr>
      <w:b/>
      <w:bCs/>
    </w:rPr>
  </w:style>
  <w:style w:type="paragraph" w:styleId="Firmadecorreoelectrnico">
    <w:name w:val="E-mail Signature"/>
    <w:basedOn w:val="Normal"/>
    <w:semiHidden/>
    <w:rsid w:val="00615CC8"/>
  </w:style>
  <w:style w:type="character" w:styleId="Hipervnculo">
    <w:name w:val="Hyperlink"/>
    <w:basedOn w:val="Fuentedeprrafopredeter"/>
    <w:semiHidden/>
    <w:rsid w:val="00615CC8"/>
    <w:rPr>
      <w:color w:val="0000FF"/>
      <w:u w:val="single"/>
    </w:rPr>
  </w:style>
  <w:style w:type="character" w:styleId="Hipervnculovisitado">
    <w:name w:val="FollowedHyperlink"/>
    <w:basedOn w:val="Fuentedeprrafopredeter"/>
    <w:semiHidden/>
    <w:rsid w:val="00615CC8"/>
    <w:rPr>
      <w:color w:val="800080"/>
      <w:u w:val="single"/>
    </w:rPr>
  </w:style>
  <w:style w:type="paragraph" w:styleId="HTMLconformatoprevio">
    <w:name w:val="HTML Preformatted"/>
    <w:basedOn w:val="Normal"/>
    <w:semiHidden/>
    <w:rsid w:val="00615CC8"/>
    <w:rPr>
      <w:rFonts w:ascii="Courier New" w:hAnsi="Courier New" w:cs="Courier New"/>
    </w:rPr>
  </w:style>
  <w:style w:type="paragraph" w:styleId="ndice1">
    <w:name w:val="index 1"/>
    <w:basedOn w:val="Normal"/>
    <w:next w:val="Normal"/>
    <w:autoRedefine/>
    <w:semiHidden/>
    <w:rsid w:val="00615CC8"/>
    <w:pPr>
      <w:ind w:left="200" w:hanging="200"/>
    </w:pPr>
  </w:style>
  <w:style w:type="paragraph" w:styleId="ndice2">
    <w:name w:val="index 2"/>
    <w:basedOn w:val="Normal"/>
    <w:next w:val="Normal"/>
    <w:autoRedefine/>
    <w:semiHidden/>
    <w:rsid w:val="00615CC8"/>
    <w:pPr>
      <w:ind w:left="400" w:hanging="200"/>
    </w:pPr>
  </w:style>
  <w:style w:type="paragraph" w:styleId="ndice3">
    <w:name w:val="index 3"/>
    <w:basedOn w:val="Normal"/>
    <w:next w:val="Normal"/>
    <w:autoRedefine/>
    <w:semiHidden/>
    <w:rsid w:val="00615CC8"/>
    <w:pPr>
      <w:ind w:left="600" w:hanging="200"/>
    </w:pPr>
  </w:style>
  <w:style w:type="paragraph" w:styleId="ndice4">
    <w:name w:val="index 4"/>
    <w:basedOn w:val="Normal"/>
    <w:next w:val="Normal"/>
    <w:autoRedefine/>
    <w:semiHidden/>
    <w:rsid w:val="00615CC8"/>
    <w:pPr>
      <w:ind w:left="800" w:hanging="200"/>
    </w:pPr>
  </w:style>
  <w:style w:type="paragraph" w:styleId="ndice5">
    <w:name w:val="index 5"/>
    <w:basedOn w:val="Normal"/>
    <w:next w:val="Normal"/>
    <w:autoRedefine/>
    <w:semiHidden/>
    <w:rsid w:val="00615CC8"/>
    <w:pPr>
      <w:ind w:left="1000" w:hanging="200"/>
    </w:pPr>
  </w:style>
  <w:style w:type="paragraph" w:styleId="ndice6">
    <w:name w:val="index 6"/>
    <w:basedOn w:val="Normal"/>
    <w:next w:val="Normal"/>
    <w:autoRedefine/>
    <w:semiHidden/>
    <w:rsid w:val="00615CC8"/>
    <w:pPr>
      <w:ind w:left="1200" w:hanging="200"/>
    </w:pPr>
  </w:style>
  <w:style w:type="paragraph" w:styleId="ndice7">
    <w:name w:val="index 7"/>
    <w:basedOn w:val="Normal"/>
    <w:next w:val="Normal"/>
    <w:autoRedefine/>
    <w:semiHidden/>
    <w:rsid w:val="00615CC8"/>
    <w:pPr>
      <w:ind w:left="1400" w:hanging="200"/>
    </w:pPr>
  </w:style>
  <w:style w:type="paragraph" w:styleId="ndice8">
    <w:name w:val="index 8"/>
    <w:basedOn w:val="Normal"/>
    <w:next w:val="Normal"/>
    <w:autoRedefine/>
    <w:semiHidden/>
    <w:rsid w:val="00615CC8"/>
    <w:pPr>
      <w:ind w:left="1600" w:hanging="200"/>
    </w:pPr>
  </w:style>
  <w:style w:type="paragraph" w:styleId="ndice9">
    <w:name w:val="index 9"/>
    <w:basedOn w:val="Normal"/>
    <w:next w:val="Normal"/>
    <w:autoRedefine/>
    <w:semiHidden/>
    <w:rsid w:val="00615CC8"/>
    <w:pPr>
      <w:ind w:left="1800" w:hanging="200"/>
    </w:pPr>
  </w:style>
  <w:style w:type="paragraph" w:styleId="Lista2">
    <w:name w:val="List 2"/>
    <w:basedOn w:val="Normal"/>
    <w:semiHidden/>
    <w:rsid w:val="00615CC8"/>
    <w:pPr>
      <w:ind w:left="566" w:hanging="283"/>
    </w:pPr>
  </w:style>
  <w:style w:type="paragraph" w:styleId="Lista3">
    <w:name w:val="List 3"/>
    <w:basedOn w:val="Normal"/>
    <w:semiHidden/>
    <w:rsid w:val="00615CC8"/>
    <w:pPr>
      <w:ind w:left="849" w:hanging="283"/>
    </w:pPr>
  </w:style>
  <w:style w:type="paragraph" w:styleId="Lista4">
    <w:name w:val="List 4"/>
    <w:basedOn w:val="Normal"/>
    <w:semiHidden/>
    <w:rsid w:val="00615CC8"/>
    <w:pPr>
      <w:ind w:left="1132" w:hanging="283"/>
    </w:pPr>
  </w:style>
  <w:style w:type="paragraph" w:styleId="Lista5">
    <w:name w:val="List 5"/>
    <w:basedOn w:val="Normal"/>
    <w:semiHidden/>
    <w:rsid w:val="00615CC8"/>
    <w:pPr>
      <w:ind w:left="1415" w:hanging="283"/>
    </w:pPr>
  </w:style>
  <w:style w:type="paragraph" w:styleId="Listaconnmeros2">
    <w:name w:val="List Number 2"/>
    <w:basedOn w:val="Normal"/>
    <w:semiHidden/>
    <w:rsid w:val="00615CC8"/>
    <w:pPr>
      <w:numPr>
        <w:numId w:val="5"/>
      </w:numPr>
    </w:pPr>
  </w:style>
  <w:style w:type="paragraph" w:styleId="Listaconnmeros3">
    <w:name w:val="List Number 3"/>
    <w:basedOn w:val="Normal"/>
    <w:semiHidden/>
    <w:rsid w:val="00615CC8"/>
    <w:pPr>
      <w:numPr>
        <w:numId w:val="6"/>
      </w:numPr>
    </w:pPr>
  </w:style>
  <w:style w:type="paragraph" w:styleId="Listaconnmeros4">
    <w:name w:val="List Number 4"/>
    <w:basedOn w:val="Normal"/>
    <w:semiHidden/>
    <w:rsid w:val="00615CC8"/>
    <w:pPr>
      <w:numPr>
        <w:numId w:val="7"/>
      </w:numPr>
    </w:pPr>
  </w:style>
  <w:style w:type="paragraph" w:styleId="Listaconnmeros5">
    <w:name w:val="List Number 5"/>
    <w:basedOn w:val="Normal"/>
    <w:semiHidden/>
    <w:rsid w:val="00615CC8"/>
    <w:pPr>
      <w:numPr>
        <w:numId w:val="8"/>
      </w:numPr>
    </w:pPr>
  </w:style>
  <w:style w:type="paragraph" w:styleId="Listaconvietas2">
    <w:name w:val="List Bullet 2"/>
    <w:basedOn w:val="Normal"/>
    <w:autoRedefine/>
    <w:semiHidden/>
    <w:rsid w:val="00615CC8"/>
    <w:pPr>
      <w:numPr>
        <w:numId w:val="9"/>
      </w:numPr>
    </w:pPr>
  </w:style>
  <w:style w:type="paragraph" w:styleId="Listaconvietas3">
    <w:name w:val="List Bullet 3"/>
    <w:basedOn w:val="Normal"/>
    <w:autoRedefine/>
    <w:semiHidden/>
    <w:rsid w:val="00615CC8"/>
    <w:pPr>
      <w:numPr>
        <w:numId w:val="10"/>
      </w:numPr>
    </w:pPr>
  </w:style>
  <w:style w:type="paragraph" w:styleId="Listaconvietas4">
    <w:name w:val="List Bullet 4"/>
    <w:basedOn w:val="Normal"/>
    <w:autoRedefine/>
    <w:semiHidden/>
    <w:rsid w:val="00615CC8"/>
    <w:pPr>
      <w:numPr>
        <w:numId w:val="11"/>
      </w:numPr>
    </w:pPr>
  </w:style>
  <w:style w:type="paragraph" w:styleId="Listaconvietas5">
    <w:name w:val="List Bullet 5"/>
    <w:basedOn w:val="Normal"/>
    <w:autoRedefine/>
    <w:semiHidden/>
    <w:rsid w:val="00615CC8"/>
    <w:pPr>
      <w:numPr>
        <w:numId w:val="12"/>
      </w:numPr>
    </w:pPr>
  </w:style>
  <w:style w:type="paragraph" w:styleId="Mapadeldocumento">
    <w:name w:val="Document Map"/>
    <w:basedOn w:val="Normal"/>
    <w:semiHidden/>
    <w:rsid w:val="00615CC8"/>
    <w:pPr>
      <w:shd w:val="clear" w:color="auto" w:fill="000080"/>
    </w:pPr>
    <w:rPr>
      <w:rFonts w:ascii="Tahoma" w:hAnsi="Tahoma" w:cs="Tahoma"/>
    </w:rPr>
  </w:style>
  <w:style w:type="character" w:styleId="MquinadeescribirHTML">
    <w:name w:val="HTML Typewriter"/>
    <w:basedOn w:val="Fuentedeprrafopredeter"/>
    <w:semiHidden/>
    <w:rsid w:val="00615CC8"/>
    <w:rPr>
      <w:rFonts w:ascii="Courier New" w:hAnsi="Courier New"/>
      <w:sz w:val="20"/>
      <w:szCs w:val="20"/>
    </w:rPr>
  </w:style>
  <w:style w:type="paragraph" w:styleId="NormalWeb">
    <w:name w:val="Normal (Web)"/>
    <w:basedOn w:val="Normal"/>
    <w:uiPriority w:val="99"/>
    <w:rsid w:val="00615CC8"/>
    <w:rPr>
      <w:rFonts w:ascii="Times New Roman" w:hAnsi="Times New Roman"/>
      <w:szCs w:val="24"/>
    </w:rPr>
  </w:style>
  <w:style w:type="character" w:styleId="Nmerodelnea">
    <w:name w:val="line number"/>
    <w:basedOn w:val="Fuentedeprrafopredeter"/>
    <w:semiHidden/>
    <w:rsid w:val="00615CC8"/>
  </w:style>
  <w:style w:type="character" w:styleId="Nmerodepgina">
    <w:name w:val="page number"/>
    <w:basedOn w:val="Fuentedeprrafopredeter"/>
    <w:semiHidden/>
    <w:rsid w:val="00615CC8"/>
  </w:style>
  <w:style w:type="character" w:styleId="Refdecomentario">
    <w:name w:val="annotation reference"/>
    <w:basedOn w:val="Fuentedeprrafopredeter"/>
    <w:semiHidden/>
    <w:rsid w:val="00615CC8"/>
    <w:rPr>
      <w:sz w:val="16"/>
      <w:szCs w:val="16"/>
    </w:rPr>
  </w:style>
  <w:style w:type="character" w:styleId="Refdenotaalfinal">
    <w:name w:val="endnote reference"/>
    <w:basedOn w:val="Fuentedeprrafopredeter"/>
    <w:semiHidden/>
    <w:rsid w:val="00615CC8"/>
    <w:rPr>
      <w:vertAlign w:val="superscript"/>
    </w:rPr>
  </w:style>
  <w:style w:type="character" w:styleId="Refdenotaalpie">
    <w:name w:val="footnote reference"/>
    <w:basedOn w:val="Fuentedeprrafopredeter"/>
    <w:uiPriority w:val="99"/>
    <w:semiHidden/>
    <w:rsid w:val="00615CC8"/>
    <w:rPr>
      <w:vertAlign w:val="superscript"/>
    </w:rPr>
  </w:style>
  <w:style w:type="paragraph" w:styleId="Remitedesobre">
    <w:name w:val="envelope return"/>
    <w:basedOn w:val="Normal"/>
    <w:semiHidden/>
    <w:rsid w:val="00615CC8"/>
    <w:rPr>
      <w:rFonts w:cs="Arial"/>
    </w:rPr>
  </w:style>
  <w:style w:type="paragraph" w:styleId="Sangra2detindependiente">
    <w:name w:val="Body Text Indent 2"/>
    <w:basedOn w:val="Normal"/>
    <w:semiHidden/>
    <w:rsid w:val="00615CC8"/>
    <w:pPr>
      <w:spacing w:after="120" w:line="480" w:lineRule="auto"/>
      <w:ind w:left="283"/>
    </w:pPr>
  </w:style>
  <w:style w:type="paragraph" w:styleId="Sangra3detindependiente">
    <w:name w:val="Body Text Indent 3"/>
    <w:basedOn w:val="Normal"/>
    <w:semiHidden/>
    <w:rsid w:val="00615CC8"/>
    <w:pPr>
      <w:spacing w:after="120"/>
      <w:ind w:left="283"/>
    </w:pPr>
    <w:rPr>
      <w:sz w:val="16"/>
      <w:szCs w:val="16"/>
    </w:rPr>
  </w:style>
  <w:style w:type="paragraph" w:styleId="Sangradetextonormal">
    <w:name w:val="Body Text Indent"/>
    <w:basedOn w:val="Normal"/>
    <w:link w:val="SangradetextonormalCar"/>
    <w:semiHidden/>
    <w:rsid w:val="00615CC8"/>
    <w:pPr>
      <w:spacing w:after="120"/>
      <w:ind w:left="283"/>
    </w:pPr>
  </w:style>
  <w:style w:type="paragraph" w:styleId="Sangranormal">
    <w:name w:val="Normal Indent"/>
    <w:basedOn w:val="Normal"/>
    <w:semiHidden/>
    <w:rsid w:val="00615CC8"/>
    <w:pPr>
      <w:ind w:left="708"/>
    </w:pPr>
  </w:style>
  <w:style w:type="paragraph" w:styleId="Subttulo">
    <w:name w:val="Subtitle"/>
    <w:basedOn w:val="Normal"/>
    <w:qFormat/>
    <w:rsid w:val="00615CC8"/>
    <w:pPr>
      <w:spacing w:after="60"/>
      <w:jc w:val="center"/>
      <w:outlineLvl w:val="1"/>
    </w:pPr>
    <w:rPr>
      <w:rFonts w:cs="Arial"/>
      <w:szCs w:val="24"/>
    </w:rPr>
  </w:style>
  <w:style w:type="paragraph" w:styleId="Tabladeilustraciones">
    <w:name w:val="table of figures"/>
    <w:basedOn w:val="Normal"/>
    <w:next w:val="Normal"/>
    <w:semiHidden/>
    <w:rsid w:val="00615CC8"/>
    <w:pPr>
      <w:ind w:left="400" w:hanging="400"/>
    </w:pPr>
  </w:style>
  <w:style w:type="paragraph" w:styleId="TDC1">
    <w:name w:val="toc 1"/>
    <w:basedOn w:val="Normal"/>
    <w:next w:val="Normal"/>
    <w:autoRedefine/>
    <w:semiHidden/>
    <w:rsid w:val="00615CC8"/>
  </w:style>
  <w:style w:type="paragraph" w:styleId="TDC2">
    <w:name w:val="toc 2"/>
    <w:basedOn w:val="Normal"/>
    <w:next w:val="Normal"/>
    <w:autoRedefine/>
    <w:semiHidden/>
    <w:rsid w:val="00615CC8"/>
    <w:pPr>
      <w:ind w:left="200"/>
    </w:pPr>
  </w:style>
  <w:style w:type="paragraph" w:styleId="TDC3">
    <w:name w:val="toc 3"/>
    <w:basedOn w:val="Normal"/>
    <w:next w:val="Normal"/>
    <w:autoRedefine/>
    <w:semiHidden/>
    <w:rsid w:val="00615CC8"/>
    <w:pPr>
      <w:ind w:left="400"/>
    </w:pPr>
  </w:style>
  <w:style w:type="paragraph" w:styleId="TDC4">
    <w:name w:val="toc 4"/>
    <w:basedOn w:val="Normal"/>
    <w:next w:val="Normal"/>
    <w:autoRedefine/>
    <w:semiHidden/>
    <w:rsid w:val="00615CC8"/>
    <w:pPr>
      <w:ind w:left="600"/>
    </w:pPr>
  </w:style>
  <w:style w:type="paragraph" w:styleId="TDC5">
    <w:name w:val="toc 5"/>
    <w:basedOn w:val="Normal"/>
    <w:next w:val="Normal"/>
    <w:autoRedefine/>
    <w:semiHidden/>
    <w:rsid w:val="00615CC8"/>
    <w:pPr>
      <w:ind w:left="800"/>
    </w:pPr>
  </w:style>
  <w:style w:type="paragraph" w:styleId="TDC6">
    <w:name w:val="toc 6"/>
    <w:basedOn w:val="Normal"/>
    <w:next w:val="Normal"/>
    <w:autoRedefine/>
    <w:semiHidden/>
    <w:rsid w:val="00615CC8"/>
    <w:pPr>
      <w:ind w:left="1000"/>
    </w:pPr>
  </w:style>
  <w:style w:type="paragraph" w:styleId="TDC7">
    <w:name w:val="toc 7"/>
    <w:basedOn w:val="Normal"/>
    <w:next w:val="Normal"/>
    <w:autoRedefine/>
    <w:semiHidden/>
    <w:rsid w:val="00615CC8"/>
    <w:pPr>
      <w:ind w:left="1200"/>
    </w:pPr>
  </w:style>
  <w:style w:type="paragraph" w:styleId="TDC8">
    <w:name w:val="toc 8"/>
    <w:basedOn w:val="Normal"/>
    <w:next w:val="Normal"/>
    <w:autoRedefine/>
    <w:semiHidden/>
    <w:rsid w:val="00615CC8"/>
    <w:pPr>
      <w:ind w:left="1400"/>
    </w:pPr>
  </w:style>
  <w:style w:type="paragraph" w:styleId="TDC9">
    <w:name w:val="toc 9"/>
    <w:basedOn w:val="Normal"/>
    <w:next w:val="Normal"/>
    <w:autoRedefine/>
    <w:semiHidden/>
    <w:rsid w:val="00615CC8"/>
    <w:pPr>
      <w:ind w:left="1600"/>
    </w:pPr>
  </w:style>
  <w:style w:type="character" w:styleId="TecladoHTML">
    <w:name w:val="HTML Keyboard"/>
    <w:basedOn w:val="Fuentedeprrafopredeter"/>
    <w:semiHidden/>
    <w:rsid w:val="00615CC8"/>
    <w:rPr>
      <w:rFonts w:ascii="Courier New" w:hAnsi="Courier New"/>
      <w:sz w:val="20"/>
      <w:szCs w:val="20"/>
    </w:rPr>
  </w:style>
  <w:style w:type="paragraph" w:styleId="Textocomentario">
    <w:name w:val="annotation text"/>
    <w:basedOn w:val="Normal"/>
    <w:semiHidden/>
    <w:rsid w:val="00615CC8"/>
  </w:style>
  <w:style w:type="paragraph" w:styleId="Textoconsangra">
    <w:name w:val="table of authorities"/>
    <w:basedOn w:val="Normal"/>
    <w:next w:val="Normal"/>
    <w:semiHidden/>
    <w:rsid w:val="00615CC8"/>
    <w:pPr>
      <w:ind w:left="200" w:hanging="200"/>
    </w:pPr>
  </w:style>
  <w:style w:type="paragraph" w:styleId="Textodebloque">
    <w:name w:val="Block Text"/>
    <w:basedOn w:val="Normal"/>
    <w:semiHidden/>
    <w:rsid w:val="00615CC8"/>
    <w:pPr>
      <w:spacing w:after="120"/>
      <w:ind w:left="1440" w:right="1440"/>
    </w:pPr>
  </w:style>
  <w:style w:type="character" w:styleId="Textoennegrita">
    <w:name w:val="Strong"/>
    <w:basedOn w:val="Fuentedeprrafopredeter"/>
    <w:qFormat/>
    <w:rsid w:val="00615CC8"/>
    <w:rPr>
      <w:b/>
      <w:bCs/>
    </w:rPr>
  </w:style>
  <w:style w:type="paragraph" w:styleId="Textoindependiente2">
    <w:name w:val="Body Text 2"/>
    <w:basedOn w:val="Normal"/>
    <w:semiHidden/>
    <w:rsid w:val="00615CC8"/>
    <w:pPr>
      <w:spacing w:after="120" w:line="480" w:lineRule="auto"/>
    </w:pPr>
  </w:style>
  <w:style w:type="paragraph" w:styleId="Textoindependiente3">
    <w:name w:val="Body Text 3"/>
    <w:basedOn w:val="Normal"/>
    <w:semiHidden/>
    <w:rsid w:val="00615CC8"/>
    <w:pPr>
      <w:spacing w:after="120"/>
    </w:pPr>
    <w:rPr>
      <w:sz w:val="16"/>
      <w:szCs w:val="16"/>
    </w:rPr>
  </w:style>
  <w:style w:type="paragraph" w:styleId="Textoindependienteprimerasangra">
    <w:name w:val="Body Text First Indent"/>
    <w:basedOn w:val="Textoindependiente"/>
    <w:semiHidden/>
    <w:rsid w:val="00615CC8"/>
    <w:pPr>
      <w:spacing w:after="120" w:line="240" w:lineRule="auto"/>
      <w:ind w:firstLine="210"/>
    </w:pPr>
  </w:style>
  <w:style w:type="paragraph" w:styleId="Textoindependienteprimerasangra2">
    <w:name w:val="Body Text First Indent 2"/>
    <w:basedOn w:val="Sangradetextonormal"/>
    <w:semiHidden/>
    <w:rsid w:val="00615CC8"/>
    <w:pPr>
      <w:ind w:firstLine="210"/>
    </w:pPr>
  </w:style>
  <w:style w:type="paragraph" w:styleId="Textomacro">
    <w:name w:val="macro"/>
    <w:semiHidden/>
    <w:rsid w:val="00615CC8"/>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Times New Roman" w:hAnsi="Courier New" w:cs="Courier New"/>
      <w:spacing w:val="-5"/>
      <w:lang w:val="es-ES" w:eastAsia="en-US"/>
    </w:rPr>
  </w:style>
  <w:style w:type="paragraph" w:styleId="Textonotaalfinal">
    <w:name w:val="endnote text"/>
    <w:basedOn w:val="Normal"/>
    <w:semiHidden/>
    <w:rsid w:val="00615CC8"/>
  </w:style>
  <w:style w:type="paragraph" w:styleId="Textonotapie">
    <w:name w:val="footnote text"/>
    <w:basedOn w:val="Normal"/>
    <w:link w:val="TextonotapieCar"/>
    <w:uiPriority w:val="99"/>
    <w:semiHidden/>
    <w:rsid w:val="00615CC8"/>
  </w:style>
  <w:style w:type="paragraph" w:styleId="Textosinformato">
    <w:name w:val="Plain Text"/>
    <w:basedOn w:val="Normal"/>
    <w:semiHidden/>
    <w:rsid w:val="00615CC8"/>
    <w:rPr>
      <w:rFonts w:ascii="Courier New" w:hAnsi="Courier New" w:cs="Courier New"/>
    </w:rPr>
  </w:style>
  <w:style w:type="paragraph" w:styleId="Ttulo">
    <w:name w:val="Title"/>
    <w:basedOn w:val="Normal"/>
    <w:qFormat/>
    <w:rsid w:val="00615CC8"/>
    <w:pPr>
      <w:spacing w:before="240" w:after="60"/>
      <w:jc w:val="center"/>
      <w:outlineLvl w:val="0"/>
    </w:pPr>
    <w:rPr>
      <w:rFonts w:cs="Arial"/>
      <w:b/>
      <w:bCs/>
      <w:kern w:val="28"/>
      <w:sz w:val="32"/>
      <w:szCs w:val="32"/>
    </w:rPr>
  </w:style>
  <w:style w:type="paragraph" w:styleId="Ttulodendice">
    <w:name w:val="index heading"/>
    <w:basedOn w:val="Normal"/>
    <w:next w:val="ndice1"/>
    <w:semiHidden/>
    <w:rsid w:val="00615CC8"/>
    <w:rPr>
      <w:rFonts w:cs="Arial"/>
      <w:b/>
      <w:bCs/>
    </w:rPr>
  </w:style>
  <w:style w:type="character" w:styleId="VariableHTML">
    <w:name w:val="HTML Variable"/>
    <w:basedOn w:val="Fuentedeprrafopredeter"/>
    <w:semiHidden/>
    <w:rsid w:val="00615CC8"/>
    <w:rPr>
      <w:i/>
      <w:iCs/>
    </w:rPr>
  </w:style>
  <w:style w:type="paragraph" w:customStyle="1" w:styleId="creg">
    <w:name w:val="creg"/>
    <w:basedOn w:val="Normal"/>
    <w:rsid w:val="00615CC8"/>
    <w:rPr>
      <w:rFonts w:cs="Arial"/>
      <w:spacing w:val="0"/>
      <w:szCs w:val="24"/>
      <w:lang w:eastAsia="es-ES"/>
    </w:rPr>
  </w:style>
  <w:style w:type="paragraph" w:customStyle="1" w:styleId="doctor">
    <w:name w:val="doctor"/>
    <w:basedOn w:val="Textoindependiente"/>
    <w:rsid w:val="00615CC8"/>
    <w:pPr>
      <w:spacing w:after="0" w:line="240" w:lineRule="auto"/>
    </w:pPr>
    <w:rPr>
      <w:rFonts w:cs="Arial"/>
    </w:rPr>
  </w:style>
  <w:style w:type="paragraph" w:styleId="Textodeglobo">
    <w:name w:val="Balloon Text"/>
    <w:basedOn w:val="Normal"/>
    <w:link w:val="TextodegloboCar"/>
    <w:uiPriority w:val="99"/>
    <w:semiHidden/>
    <w:unhideWhenUsed/>
    <w:rsid w:val="002515D8"/>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5D8"/>
    <w:rPr>
      <w:rFonts w:ascii="Tahoma" w:eastAsia="Times New Roman" w:hAnsi="Tahoma" w:cs="Tahoma"/>
      <w:spacing w:val="-5"/>
      <w:sz w:val="16"/>
      <w:szCs w:val="16"/>
      <w:lang w:eastAsia="en-US"/>
    </w:rPr>
  </w:style>
  <w:style w:type="character" w:customStyle="1" w:styleId="SangradetextonormalCar">
    <w:name w:val="Sangría de texto normal Car"/>
    <w:basedOn w:val="Fuentedeprrafopredeter"/>
    <w:link w:val="Sangradetextonormal"/>
    <w:semiHidden/>
    <w:rsid w:val="00B02334"/>
    <w:rPr>
      <w:rFonts w:ascii="Arial" w:eastAsia="Times New Roman" w:hAnsi="Arial"/>
      <w:spacing w:val="-5"/>
      <w:sz w:val="24"/>
      <w:lang w:eastAsia="en-US"/>
    </w:rPr>
  </w:style>
  <w:style w:type="paragraph" w:styleId="Prrafodelista">
    <w:name w:val="List Paragraph"/>
    <w:basedOn w:val="Normal"/>
    <w:link w:val="PrrafodelistaCar"/>
    <w:uiPriority w:val="34"/>
    <w:qFormat/>
    <w:rsid w:val="00EC470B"/>
    <w:pPr>
      <w:ind w:left="720"/>
      <w:contextualSpacing/>
    </w:pPr>
  </w:style>
  <w:style w:type="character" w:customStyle="1" w:styleId="PiedepginaCar">
    <w:name w:val="Pie de página Car"/>
    <w:basedOn w:val="Fuentedeprrafopredeter"/>
    <w:link w:val="Piedepgina"/>
    <w:semiHidden/>
    <w:rsid w:val="00A07404"/>
    <w:rPr>
      <w:rFonts w:ascii="Arial" w:eastAsia="Times New Roman" w:hAnsi="Arial"/>
      <w:spacing w:val="-5"/>
      <w:sz w:val="24"/>
      <w:lang w:val="es-CO" w:eastAsia="en-US"/>
    </w:rPr>
  </w:style>
  <w:style w:type="character" w:customStyle="1" w:styleId="Ttulo2Car">
    <w:name w:val="Título 2 Car"/>
    <w:basedOn w:val="Fuentedeprrafopredeter"/>
    <w:link w:val="Ttulo2"/>
    <w:rsid w:val="003D4956"/>
    <w:rPr>
      <w:rFonts w:ascii="Arial" w:eastAsia="Times New Roman" w:hAnsi="Arial"/>
      <w:i/>
      <w:spacing w:val="-10"/>
      <w:kern w:val="20"/>
      <w:sz w:val="24"/>
      <w:szCs w:val="24"/>
      <w:lang w:eastAsia="en-US"/>
    </w:rPr>
  </w:style>
  <w:style w:type="character" w:customStyle="1" w:styleId="Ttulo3Car">
    <w:name w:val="Título 3 Car"/>
    <w:basedOn w:val="Fuentedeprrafopredeter"/>
    <w:link w:val="Ttulo3"/>
    <w:rsid w:val="003D4956"/>
    <w:rPr>
      <w:rFonts w:ascii="Arial" w:eastAsia="Times New Roman" w:hAnsi="Arial"/>
      <w:i/>
      <w:spacing w:val="-10"/>
      <w:kern w:val="20"/>
      <w:sz w:val="22"/>
      <w:lang w:eastAsia="en-US"/>
    </w:rPr>
  </w:style>
  <w:style w:type="character" w:customStyle="1" w:styleId="PrrafodelistaCar">
    <w:name w:val="Párrafo de lista Car"/>
    <w:basedOn w:val="Fuentedeprrafopredeter"/>
    <w:link w:val="Prrafodelista"/>
    <w:uiPriority w:val="34"/>
    <w:rsid w:val="003D4956"/>
    <w:rPr>
      <w:rFonts w:ascii="Arial" w:eastAsia="Times New Roman" w:hAnsi="Arial"/>
      <w:spacing w:val="-5"/>
      <w:sz w:val="24"/>
      <w:lang w:eastAsia="en-US"/>
    </w:rPr>
  </w:style>
  <w:style w:type="character" w:customStyle="1" w:styleId="Ttulo1Car">
    <w:name w:val="Título 1 Car"/>
    <w:basedOn w:val="Fuentedeprrafopredeter"/>
    <w:link w:val="Ttulo1"/>
    <w:rsid w:val="00AE3543"/>
    <w:rPr>
      <w:rFonts w:ascii="Arial" w:eastAsia="Times New Roman" w:hAnsi="Arial"/>
      <w:b/>
      <w:i/>
      <w:spacing w:val="-10"/>
      <w:kern w:val="20"/>
      <w:sz w:val="24"/>
      <w:szCs w:val="24"/>
      <w:lang w:eastAsia="en-US"/>
    </w:rPr>
  </w:style>
  <w:style w:type="character" w:customStyle="1" w:styleId="TextonotapieCar">
    <w:name w:val="Texto nota pie Car"/>
    <w:basedOn w:val="Fuentedeprrafopredeter"/>
    <w:link w:val="Textonotapie"/>
    <w:uiPriority w:val="99"/>
    <w:semiHidden/>
    <w:rsid w:val="001377F3"/>
    <w:rPr>
      <w:rFonts w:ascii="Arial" w:eastAsia="Times New Roman" w:hAnsi="Arial"/>
      <w:spacing w:val="-5"/>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3071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srojas\Datos%20de%20programa\Microsoft\Plantillas\creg.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creg</Template>
  <TotalTime>1</TotalTime>
  <Pages>7</Pages>
  <Words>2169</Words>
  <Characters>11024</Characters>
  <Application>Microsoft Office Word</Application>
  <DocSecurity>0</DocSecurity>
  <PresentationFormat/>
  <Lines>91</Lines>
  <Paragraphs>26</Paragraphs>
  <Slides>0</Slides>
  <Notes>0</Notes>
  <HiddenSlides>0</HiddenSlides>
  <MMClips>0</MMClips>
  <ScaleCrop>false</ScaleCrop>
  <HeadingPairs>
    <vt:vector size="2" baseType="variant">
      <vt:variant>
        <vt:lpstr>Título</vt:lpstr>
      </vt:variant>
      <vt:variant>
        <vt:i4>1</vt:i4>
      </vt:variant>
    </vt:vector>
  </HeadingPairs>
  <TitlesOfParts>
    <vt:vector size="1" baseType="lpstr">
      <vt:lpstr>Carta</vt:lpstr>
    </vt:vector>
  </TitlesOfParts>
  <Company>CREG</Company>
  <LinksUpToDate>false</LinksUpToDate>
  <CharactersWithSpaces>13167</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Carta</dc:title>
  <dc:creator>CREG</dc:creator>
  <cp:lastModifiedBy>Luz Stella Rojas Macias</cp:lastModifiedBy>
  <cp:revision>2</cp:revision>
  <cp:lastPrinted>2015-02-27T20:19:00Z</cp:lastPrinted>
  <dcterms:created xsi:type="dcterms:W3CDTF">2015-02-27T21:12:00Z</dcterms:created>
  <dcterms:modified xsi:type="dcterms:W3CDTF">2015-02-27T21:12:00Z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DefaultLanguage">
    <vt:bool>true</vt:bool>
  </property>
  <property fmtid="{D5CDD505-2E9C-101B-9397-08002B2CF9AE}" pid="3" name="Version">
    <vt:i4>99022200</vt:i4>
  </property>
  <property fmtid="{D5CDD505-2E9C-101B-9397-08002B2CF9AE}" pid="4" name="LCID">
    <vt:i4>3082</vt:i4>
  </property>
</Properties>
</file>