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7EBAE" w14:textId="246D8E4A" w:rsidR="007E16DF" w:rsidRPr="009E0F14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675651">
        <w:rPr>
          <w:rFonts w:ascii="Arial" w:hAnsi="Arial" w:cs="Arial"/>
          <w:sz w:val="22"/>
          <w:szCs w:val="22"/>
          <w:lang w:val="es-MX"/>
        </w:rPr>
        <w:t>septiembre</w:t>
      </w:r>
      <w:r w:rsidR="00990BEB">
        <w:rPr>
          <w:rFonts w:ascii="Arial" w:hAnsi="Arial" w:cs="Arial"/>
          <w:sz w:val="22"/>
          <w:szCs w:val="22"/>
          <w:lang w:val="es-MX"/>
        </w:rPr>
        <w:t xml:space="preserve"> </w:t>
      </w:r>
      <w:r w:rsidR="00012772">
        <w:rPr>
          <w:rFonts w:ascii="Arial" w:hAnsi="Arial" w:cs="Arial"/>
          <w:sz w:val="22"/>
          <w:szCs w:val="22"/>
          <w:lang w:val="es-MX"/>
        </w:rPr>
        <w:t>23</w:t>
      </w:r>
      <w:r w:rsidR="007E16DF" w:rsidRPr="009E0F14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>
        <w:rPr>
          <w:rFonts w:ascii="Arial" w:hAnsi="Arial" w:cs="Arial"/>
          <w:sz w:val="22"/>
          <w:szCs w:val="22"/>
          <w:lang w:val="es-MX"/>
        </w:rPr>
        <w:t xml:space="preserve">de </w:t>
      </w:r>
      <w:r>
        <w:rPr>
          <w:rFonts w:ascii="Arial" w:hAnsi="Arial" w:cs="Arial"/>
          <w:sz w:val="22"/>
          <w:szCs w:val="22"/>
          <w:lang w:val="es-MX"/>
        </w:rPr>
        <w:t>201</w:t>
      </w:r>
      <w:r w:rsidR="00D87579">
        <w:rPr>
          <w:rFonts w:ascii="Arial" w:hAnsi="Arial" w:cs="Arial"/>
          <w:sz w:val="22"/>
          <w:szCs w:val="22"/>
          <w:lang w:val="es-MX"/>
        </w:rPr>
        <w:t>9</w:t>
      </w:r>
    </w:p>
    <w:p w14:paraId="6C59465A" w14:textId="77777777"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16E26C8B" w14:textId="2EEB9744"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1F16E52B" w14:textId="77777777" w:rsidR="00B17648" w:rsidRPr="009E0F14" w:rsidRDefault="00B17648" w:rsidP="007E16DF">
      <w:pPr>
        <w:rPr>
          <w:rFonts w:ascii="Arial" w:hAnsi="Arial" w:cs="Arial"/>
          <w:sz w:val="22"/>
          <w:szCs w:val="22"/>
          <w:lang w:val="es-MX"/>
        </w:rPr>
      </w:pPr>
    </w:p>
    <w:p w14:paraId="076AD030" w14:textId="1DB9620B" w:rsidR="007E16DF" w:rsidRPr="009E0F14" w:rsidRDefault="006B58C7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A43270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012772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079</w:t>
      </w:r>
    </w:p>
    <w:p w14:paraId="27C1840D" w14:textId="77777777" w:rsidR="007E16DF" w:rsidRPr="00135DC0" w:rsidRDefault="007E16DF" w:rsidP="00135DC0">
      <w:pPr>
        <w:rPr>
          <w:rFonts w:ascii="Arial" w:hAnsi="Arial" w:cs="Arial"/>
          <w:lang w:val="es-CO"/>
        </w:rPr>
      </w:pPr>
    </w:p>
    <w:p w14:paraId="302FA884" w14:textId="77777777" w:rsidR="007E16DF" w:rsidRPr="00135DC0" w:rsidRDefault="007E16DF" w:rsidP="00135DC0">
      <w:pPr>
        <w:rPr>
          <w:rFonts w:ascii="Arial" w:hAnsi="Arial" w:cs="Arial"/>
          <w:lang w:val="es-MX"/>
        </w:rPr>
      </w:pPr>
    </w:p>
    <w:p w14:paraId="2F609D21" w14:textId="22387478" w:rsidR="007E16DF" w:rsidRPr="00135DC0" w:rsidRDefault="007E16DF" w:rsidP="00135DC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135DC0">
        <w:rPr>
          <w:rFonts w:ascii="Arial" w:hAnsi="Arial" w:cs="Arial"/>
          <w:b/>
        </w:rPr>
        <w:t>PARA:</w:t>
      </w:r>
      <w:r w:rsidRPr="00135DC0">
        <w:rPr>
          <w:rFonts w:ascii="Arial" w:hAnsi="Arial" w:cs="Arial"/>
          <w:b/>
        </w:rPr>
        <w:tab/>
      </w:r>
      <w:r w:rsidR="00A43270" w:rsidRPr="00135DC0">
        <w:rPr>
          <w:rFonts w:ascii="Arial" w:hAnsi="Arial" w:cs="Arial"/>
          <w:b/>
        </w:rPr>
        <w:t>PRESTADORES DEL SERVICIO DE ENERGÍA ELÉCTRICA EN LAS ZONAS NO INTERCONECTADAS Y TERCEROS INTERESADOS</w:t>
      </w:r>
    </w:p>
    <w:p w14:paraId="2878D847" w14:textId="77777777" w:rsidR="007E16DF" w:rsidRPr="00135DC0" w:rsidRDefault="007E16DF" w:rsidP="00135DC0">
      <w:pPr>
        <w:ind w:left="1410" w:hanging="1410"/>
        <w:rPr>
          <w:rFonts w:ascii="Arial" w:hAnsi="Arial" w:cs="Arial"/>
          <w:b/>
        </w:rPr>
      </w:pPr>
    </w:p>
    <w:p w14:paraId="3F0DD4BD" w14:textId="27A0B20B" w:rsidR="007E16DF" w:rsidRPr="00135DC0" w:rsidRDefault="007E16DF" w:rsidP="00135DC0">
      <w:pPr>
        <w:pStyle w:val="Sangradetextonormal"/>
        <w:ind w:left="1410" w:hanging="1410"/>
        <w:rPr>
          <w:rFonts w:ascii="Arial" w:hAnsi="Arial" w:cs="Arial"/>
          <w:b/>
        </w:rPr>
      </w:pPr>
      <w:r w:rsidRPr="00135DC0">
        <w:rPr>
          <w:rFonts w:ascii="Arial" w:hAnsi="Arial" w:cs="Arial"/>
          <w:b/>
        </w:rPr>
        <w:t>DE:</w:t>
      </w:r>
      <w:r w:rsidRPr="00135DC0">
        <w:rPr>
          <w:rFonts w:ascii="Arial" w:hAnsi="Arial" w:cs="Arial"/>
          <w:b/>
        </w:rPr>
        <w:tab/>
        <w:t>DIRECCIÓN EJECUTIVA</w:t>
      </w:r>
    </w:p>
    <w:p w14:paraId="10A7324D" w14:textId="77777777" w:rsidR="007E16DF" w:rsidRPr="00135DC0" w:rsidRDefault="007E16DF" w:rsidP="00135DC0">
      <w:pPr>
        <w:ind w:left="1410" w:hanging="1410"/>
        <w:rPr>
          <w:rFonts w:ascii="Arial" w:hAnsi="Arial" w:cs="Arial"/>
          <w:b/>
        </w:rPr>
      </w:pPr>
    </w:p>
    <w:p w14:paraId="79416D11" w14:textId="1A61CF3E" w:rsidR="007E16DF" w:rsidRPr="00135DC0" w:rsidRDefault="007E16DF" w:rsidP="00135DC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135DC0">
        <w:rPr>
          <w:rFonts w:ascii="Arial" w:hAnsi="Arial" w:cs="Arial"/>
          <w:b/>
        </w:rPr>
        <w:t>ASUNTO:</w:t>
      </w:r>
      <w:r w:rsidRPr="00135DC0">
        <w:rPr>
          <w:rFonts w:ascii="Arial" w:hAnsi="Arial" w:cs="Arial"/>
          <w:b/>
        </w:rPr>
        <w:tab/>
      </w:r>
      <w:r w:rsidR="00F179AF">
        <w:rPr>
          <w:rFonts w:ascii="Arial" w:hAnsi="Arial" w:cs="Arial"/>
          <w:b/>
        </w:rPr>
        <w:t>INFORMACIÓN REQUERIDA</w:t>
      </w:r>
      <w:r w:rsidR="00A43270" w:rsidRPr="00135DC0">
        <w:rPr>
          <w:rFonts w:ascii="Arial" w:hAnsi="Arial" w:cs="Arial"/>
          <w:b/>
        </w:rPr>
        <w:t xml:space="preserve"> PARA SOLICITAR COSTOS DE INVERSIÓN Y GASTOS DE AOM</w:t>
      </w:r>
      <w:r w:rsidR="0069635B" w:rsidRPr="00135DC0">
        <w:rPr>
          <w:rFonts w:ascii="Arial" w:hAnsi="Arial" w:cs="Arial"/>
          <w:b/>
        </w:rPr>
        <w:t xml:space="preserve"> PARA SISTEMAS HÍBRIDOS Y OTRAS TECNOLOGÍAS DE GENERACIÓN NO DEFINIDOS EN LA RESOLUCIÓN CREG 091 DE </w:t>
      </w:r>
      <w:r w:rsidR="0069635B" w:rsidRPr="007B5909">
        <w:rPr>
          <w:rFonts w:ascii="Arial" w:hAnsi="Arial" w:cs="Arial"/>
          <w:b/>
        </w:rPr>
        <w:t>2007</w:t>
      </w:r>
      <w:r w:rsidR="00135DC0" w:rsidRPr="007B5909">
        <w:rPr>
          <w:rFonts w:ascii="Arial" w:hAnsi="Arial" w:cs="Arial"/>
          <w:b/>
        </w:rPr>
        <w:t>.</w:t>
      </w:r>
    </w:p>
    <w:p w14:paraId="7B2AFEEF" w14:textId="77777777" w:rsidR="00135DC0" w:rsidRDefault="00135DC0" w:rsidP="00135DC0">
      <w:pPr>
        <w:pStyle w:val="Textoindependiente"/>
        <w:spacing w:after="0" w:line="240" w:lineRule="auto"/>
        <w:rPr>
          <w:rFonts w:cs="Arial"/>
          <w:color w:val="000000"/>
          <w:sz w:val="24"/>
          <w:szCs w:val="24"/>
        </w:rPr>
      </w:pPr>
    </w:p>
    <w:p w14:paraId="58163599" w14:textId="656139FF" w:rsidR="00A2090F" w:rsidRPr="00135DC0" w:rsidRDefault="00A2090F" w:rsidP="00135DC0">
      <w:pPr>
        <w:pStyle w:val="Textoindependiente"/>
        <w:spacing w:after="0" w:line="240" w:lineRule="auto"/>
        <w:rPr>
          <w:rFonts w:cs="Arial"/>
          <w:color w:val="000000"/>
          <w:sz w:val="24"/>
          <w:szCs w:val="24"/>
        </w:rPr>
      </w:pPr>
      <w:r w:rsidRPr="00135DC0">
        <w:rPr>
          <w:rFonts w:cs="Arial"/>
          <w:color w:val="000000"/>
          <w:sz w:val="24"/>
          <w:szCs w:val="24"/>
        </w:rPr>
        <w:t>La Comisión de Regulación de Energía</w:t>
      </w:r>
      <w:r w:rsidR="00675651">
        <w:rPr>
          <w:rFonts w:cs="Arial"/>
          <w:color w:val="000000"/>
          <w:sz w:val="24"/>
          <w:szCs w:val="24"/>
        </w:rPr>
        <w:t>,</w:t>
      </w:r>
      <w:r w:rsidRPr="00135DC0">
        <w:rPr>
          <w:rFonts w:cs="Arial"/>
          <w:color w:val="000000"/>
          <w:sz w:val="24"/>
          <w:szCs w:val="24"/>
        </w:rPr>
        <w:t xml:space="preserve"> mediante Resolución CREG 091 de 2007</w:t>
      </w:r>
      <w:r w:rsidR="00675651">
        <w:rPr>
          <w:rFonts w:cs="Arial"/>
          <w:color w:val="000000"/>
          <w:sz w:val="24"/>
          <w:szCs w:val="24"/>
        </w:rPr>
        <w:t>,</w:t>
      </w:r>
      <w:r w:rsidRPr="00135DC0">
        <w:rPr>
          <w:rFonts w:cs="Arial"/>
          <w:color w:val="000000"/>
          <w:sz w:val="24"/>
          <w:szCs w:val="24"/>
        </w:rPr>
        <w:t xml:space="preserve"> estableció las metodologías generales para remunerar las actividades de generación, distribución y comercialización de energía eléctrica, y la fórmula tarifaria general para establecer el costo unitario de prestación del servicio público d</w:t>
      </w:r>
      <w:r w:rsidR="007B5909">
        <w:rPr>
          <w:rFonts w:cs="Arial"/>
          <w:color w:val="000000"/>
          <w:sz w:val="24"/>
          <w:szCs w:val="24"/>
        </w:rPr>
        <w:t>e energía eléctrica en las Z</w:t>
      </w:r>
      <w:r w:rsidR="009B4F71">
        <w:rPr>
          <w:rFonts w:cs="Arial"/>
          <w:color w:val="000000"/>
          <w:sz w:val="24"/>
          <w:szCs w:val="24"/>
        </w:rPr>
        <w:t xml:space="preserve">onas </w:t>
      </w:r>
      <w:r w:rsidR="007B5909">
        <w:rPr>
          <w:rFonts w:cs="Arial"/>
          <w:color w:val="000000"/>
          <w:sz w:val="24"/>
          <w:szCs w:val="24"/>
        </w:rPr>
        <w:t>N</w:t>
      </w:r>
      <w:r w:rsidR="009B4F71">
        <w:rPr>
          <w:rFonts w:cs="Arial"/>
          <w:color w:val="000000"/>
          <w:sz w:val="24"/>
          <w:szCs w:val="24"/>
        </w:rPr>
        <w:t xml:space="preserve">o </w:t>
      </w:r>
      <w:r w:rsidR="007B5909">
        <w:rPr>
          <w:rFonts w:cs="Arial"/>
          <w:color w:val="000000"/>
          <w:sz w:val="24"/>
          <w:szCs w:val="24"/>
        </w:rPr>
        <w:t>I</w:t>
      </w:r>
      <w:r w:rsidR="009B4F71">
        <w:rPr>
          <w:rFonts w:cs="Arial"/>
          <w:color w:val="000000"/>
          <w:sz w:val="24"/>
          <w:szCs w:val="24"/>
        </w:rPr>
        <w:t>nterconectadas</w:t>
      </w:r>
      <w:r w:rsidR="007B5909">
        <w:rPr>
          <w:rFonts w:cs="Arial"/>
          <w:color w:val="000000"/>
          <w:sz w:val="24"/>
          <w:szCs w:val="24"/>
        </w:rPr>
        <w:t>.</w:t>
      </w:r>
    </w:p>
    <w:p w14:paraId="618459E7" w14:textId="77777777" w:rsidR="00A2090F" w:rsidRPr="00135DC0" w:rsidRDefault="00A2090F" w:rsidP="00135DC0">
      <w:pPr>
        <w:pStyle w:val="Textoindependiente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DD42FC5" w14:textId="53870ABA" w:rsidR="00A2090F" w:rsidRPr="00135DC0" w:rsidRDefault="0065363F" w:rsidP="00135DC0">
      <w:pPr>
        <w:pStyle w:val="Textoindependiente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Así mismo, </w:t>
      </w:r>
      <w:r w:rsidR="00675651">
        <w:rPr>
          <w:rFonts w:cs="Arial"/>
          <w:color w:val="000000"/>
          <w:sz w:val="24"/>
          <w:szCs w:val="24"/>
        </w:rPr>
        <w:t xml:space="preserve">en dicha norma se </w:t>
      </w:r>
      <w:r>
        <w:rPr>
          <w:rFonts w:cs="Arial"/>
          <w:color w:val="000000"/>
          <w:sz w:val="24"/>
          <w:szCs w:val="24"/>
        </w:rPr>
        <w:t>establece que</w:t>
      </w:r>
      <w:r w:rsidR="00675651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c</w:t>
      </w:r>
      <w:r w:rsidR="00A2090F" w:rsidRPr="00135DC0">
        <w:rPr>
          <w:rFonts w:cs="Arial"/>
          <w:color w:val="000000"/>
          <w:sz w:val="24"/>
          <w:szCs w:val="24"/>
        </w:rPr>
        <w:t xml:space="preserve">uando se trate de sistemas híbridos y otras tecnologías de generación no definidos en </w:t>
      </w:r>
      <w:r w:rsidR="007B5909">
        <w:rPr>
          <w:rFonts w:cs="Arial"/>
          <w:color w:val="000000"/>
          <w:sz w:val="24"/>
          <w:szCs w:val="24"/>
        </w:rPr>
        <w:t>la precitada</w:t>
      </w:r>
      <w:r w:rsidR="00A2090F" w:rsidRPr="00135DC0">
        <w:rPr>
          <w:rFonts w:cs="Arial"/>
          <w:color w:val="000000"/>
          <w:sz w:val="24"/>
          <w:szCs w:val="24"/>
        </w:rPr>
        <w:t xml:space="preserve"> resolución</w:t>
      </w:r>
      <w:r w:rsidR="00675651">
        <w:rPr>
          <w:rFonts w:cs="Arial"/>
          <w:color w:val="000000"/>
          <w:sz w:val="24"/>
          <w:szCs w:val="24"/>
        </w:rPr>
        <w:t>,</w:t>
      </w:r>
      <w:r w:rsidR="007B5909" w:rsidRPr="007B5909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es posible</w:t>
      </w:r>
      <w:r w:rsidR="00675651">
        <w:rPr>
          <w:rFonts w:cs="Arial"/>
          <w:color w:val="000000"/>
          <w:sz w:val="24"/>
          <w:szCs w:val="24"/>
        </w:rPr>
        <w:t xml:space="preserve"> solicitar la aprobación del respectivo componente de generación, conforme lo siguiente</w:t>
      </w:r>
      <w:r w:rsidR="00A2090F" w:rsidRPr="00135DC0">
        <w:rPr>
          <w:rFonts w:cs="Arial"/>
          <w:color w:val="000000"/>
          <w:sz w:val="24"/>
          <w:szCs w:val="24"/>
        </w:rPr>
        <w:t>:</w:t>
      </w:r>
    </w:p>
    <w:p w14:paraId="503999F8" w14:textId="77777777" w:rsidR="00A2090F" w:rsidRPr="00135DC0" w:rsidRDefault="00A2090F" w:rsidP="00135DC0">
      <w:pPr>
        <w:pStyle w:val="Textoindependiente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CD48D3E" w14:textId="77777777" w:rsidR="00A2090F" w:rsidRPr="0074553D" w:rsidRDefault="00A2090F" w:rsidP="00135DC0">
      <w:pPr>
        <w:pStyle w:val="Textoindependiente"/>
        <w:spacing w:after="0" w:line="240" w:lineRule="auto"/>
        <w:ind w:left="709"/>
        <w:rPr>
          <w:rFonts w:cs="Arial"/>
          <w:i/>
          <w:color w:val="000000"/>
          <w:sz w:val="22"/>
          <w:szCs w:val="22"/>
        </w:rPr>
      </w:pPr>
      <w:r w:rsidRPr="0074553D">
        <w:rPr>
          <w:rFonts w:cs="Arial"/>
          <w:i/>
          <w:color w:val="000000"/>
          <w:sz w:val="22"/>
          <w:szCs w:val="22"/>
        </w:rPr>
        <w:t>“</w:t>
      </w:r>
      <w:r w:rsidRPr="0074553D">
        <w:rPr>
          <w:rFonts w:cs="Arial"/>
          <w:b/>
          <w:i/>
          <w:color w:val="000000"/>
          <w:sz w:val="22"/>
          <w:szCs w:val="22"/>
        </w:rPr>
        <w:t>Artículo 22. Remuneración de la componente de inversión y mantenimiento de tecnologías de Generación</w:t>
      </w:r>
      <w:r w:rsidRPr="0074553D">
        <w:rPr>
          <w:rFonts w:cs="Arial"/>
          <w:i/>
          <w:color w:val="000000"/>
          <w:sz w:val="22"/>
          <w:szCs w:val="22"/>
        </w:rPr>
        <w:t>.</w:t>
      </w:r>
    </w:p>
    <w:p w14:paraId="113B6EAD" w14:textId="77777777" w:rsidR="00A2090F" w:rsidRPr="0074553D" w:rsidRDefault="00A2090F" w:rsidP="00135DC0">
      <w:pPr>
        <w:pStyle w:val="Textoindependiente"/>
        <w:spacing w:after="0" w:line="240" w:lineRule="auto"/>
        <w:ind w:left="709"/>
        <w:rPr>
          <w:rFonts w:cs="Arial"/>
          <w:i/>
          <w:color w:val="000000"/>
          <w:sz w:val="22"/>
          <w:szCs w:val="22"/>
        </w:rPr>
      </w:pPr>
      <w:r w:rsidRPr="0074553D">
        <w:rPr>
          <w:rFonts w:cs="Arial"/>
          <w:i/>
          <w:color w:val="000000"/>
          <w:sz w:val="22"/>
          <w:szCs w:val="22"/>
        </w:rPr>
        <w:t>(…)</w:t>
      </w:r>
    </w:p>
    <w:p w14:paraId="30118C96" w14:textId="77777777" w:rsidR="00A2090F" w:rsidRPr="0074553D" w:rsidRDefault="00A2090F" w:rsidP="00135DC0">
      <w:pPr>
        <w:pStyle w:val="Textoindependiente"/>
        <w:spacing w:after="0" w:line="240" w:lineRule="auto"/>
        <w:ind w:left="709"/>
        <w:rPr>
          <w:rFonts w:cs="Arial"/>
          <w:b/>
          <w:i/>
          <w:color w:val="000000"/>
          <w:sz w:val="22"/>
          <w:szCs w:val="22"/>
        </w:rPr>
      </w:pPr>
    </w:p>
    <w:p w14:paraId="2C4B10A3" w14:textId="77777777" w:rsidR="00A2090F" w:rsidRPr="0074553D" w:rsidRDefault="00A2090F" w:rsidP="00135DC0">
      <w:pPr>
        <w:pStyle w:val="Textoindependiente"/>
        <w:spacing w:after="0" w:line="240" w:lineRule="auto"/>
        <w:ind w:left="709"/>
        <w:rPr>
          <w:rFonts w:cs="Arial"/>
          <w:b/>
          <w:i/>
          <w:color w:val="000000"/>
          <w:sz w:val="22"/>
          <w:szCs w:val="22"/>
        </w:rPr>
      </w:pPr>
      <w:r w:rsidRPr="0074553D">
        <w:rPr>
          <w:rFonts w:cs="Arial"/>
          <w:b/>
          <w:i/>
          <w:color w:val="000000"/>
          <w:sz w:val="22"/>
          <w:szCs w:val="22"/>
        </w:rPr>
        <w:t>d) Costo de inversión de sistemas híbridos y otras tecnologías de generación</w:t>
      </w:r>
    </w:p>
    <w:p w14:paraId="61143221" w14:textId="77777777" w:rsidR="00F64045" w:rsidRPr="0074553D" w:rsidRDefault="00F64045" w:rsidP="00135DC0">
      <w:pPr>
        <w:pStyle w:val="Textoindependiente"/>
        <w:spacing w:after="0" w:line="240" w:lineRule="auto"/>
        <w:ind w:left="709"/>
        <w:rPr>
          <w:rFonts w:cs="Arial"/>
          <w:i/>
          <w:color w:val="000000"/>
          <w:sz w:val="22"/>
          <w:szCs w:val="22"/>
        </w:rPr>
      </w:pPr>
    </w:p>
    <w:p w14:paraId="56CA1541" w14:textId="48863E63" w:rsidR="00A2090F" w:rsidRPr="0074553D" w:rsidRDefault="00A2090F" w:rsidP="00135DC0">
      <w:pPr>
        <w:pStyle w:val="Textoindependiente"/>
        <w:spacing w:after="0" w:line="240" w:lineRule="auto"/>
        <w:ind w:left="709"/>
        <w:rPr>
          <w:rFonts w:cs="Arial"/>
          <w:i/>
          <w:color w:val="000000"/>
          <w:sz w:val="22"/>
          <w:szCs w:val="22"/>
        </w:rPr>
      </w:pPr>
      <w:r w:rsidRPr="0074553D">
        <w:rPr>
          <w:rFonts w:cs="Arial"/>
          <w:i/>
          <w:color w:val="000000"/>
          <w:sz w:val="22"/>
          <w:szCs w:val="22"/>
        </w:rPr>
        <w:t>Los costos unitarios de inversión para sistemas híbridos y otras tecnologías de generación no definidos en la presente resolución, podrán proponerse a la Comisión quién definirá en Resolución particular los costos correspondientes.</w:t>
      </w:r>
    </w:p>
    <w:p w14:paraId="505E0F7D" w14:textId="72178EC2" w:rsidR="00A2090F" w:rsidRPr="0074553D" w:rsidRDefault="0074553D" w:rsidP="00135DC0">
      <w:pPr>
        <w:pStyle w:val="Textoindependiente"/>
        <w:spacing w:after="0" w:line="240" w:lineRule="auto"/>
        <w:ind w:left="709"/>
        <w:rPr>
          <w:rFonts w:cs="Arial"/>
          <w:i/>
          <w:color w:val="000000"/>
          <w:sz w:val="22"/>
          <w:szCs w:val="22"/>
        </w:rPr>
      </w:pPr>
      <w:r w:rsidRPr="0074553D">
        <w:rPr>
          <w:rFonts w:cs="Arial"/>
          <w:i/>
          <w:color w:val="000000"/>
          <w:sz w:val="22"/>
          <w:szCs w:val="22"/>
        </w:rPr>
        <w:t>(…)</w:t>
      </w:r>
    </w:p>
    <w:p w14:paraId="64439245" w14:textId="77777777" w:rsidR="00A2090F" w:rsidRPr="0074553D" w:rsidRDefault="00A2090F" w:rsidP="00135DC0">
      <w:pPr>
        <w:pStyle w:val="Textoindependiente"/>
        <w:spacing w:after="0" w:line="240" w:lineRule="auto"/>
        <w:ind w:left="709"/>
        <w:rPr>
          <w:rFonts w:cs="Arial"/>
          <w:i/>
          <w:color w:val="000000"/>
          <w:sz w:val="22"/>
          <w:szCs w:val="22"/>
        </w:rPr>
      </w:pPr>
      <w:r w:rsidRPr="0074553D">
        <w:rPr>
          <w:rFonts w:cs="Arial"/>
          <w:b/>
          <w:i/>
          <w:color w:val="000000"/>
          <w:sz w:val="22"/>
          <w:szCs w:val="22"/>
        </w:rPr>
        <w:t>Artículo 24. Remuneración de Gastos de Administración, Operación y Mantenimiento (AOM) para diferentes tecnologías de generación.</w:t>
      </w:r>
    </w:p>
    <w:p w14:paraId="0F4F4F37" w14:textId="77777777" w:rsidR="00A2090F" w:rsidRPr="0074553D" w:rsidRDefault="00A2090F" w:rsidP="00135DC0">
      <w:pPr>
        <w:pStyle w:val="Textoindependiente"/>
        <w:spacing w:after="0" w:line="240" w:lineRule="auto"/>
        <w:ind w:left="709"/>
        <w:rPr>
          <w:rFonts w:cs="Arial"/>
          <w:i/>
          <w:color w:val="000000"/>
          <w:sz w:val="22"/>
          <w:szCs w:val="22"/>
        </w:rPr>
      </w:pPr>
      <w:r w:rsidRPr="0074553D">
        <w:rPr>
          <w:rFonts w:cs="Arial"/>
          <w:i/>
          <w:color w:val="000000"/>
          <w:sz w:val="22"/>
          <w:szCs w:val="22"/>
        </w:rPr>
        <w:t>(…)</w:t>
      </w:r>
    </w:p>
    <w:p w14:paraId="11292D67" w14:textId="77777777" w:rsidR="00A2090F" w:rsidRPr="0074553D" w:rsidRDefault="00A2090F" w:rsidP="00135DC0">
      <w:pPr>
        <w:pStyle w:val="Textoindependiente"/>
        <w:spacing w:after="0" w:line="240" w:lineRule="auto"/>
        <w:ind w:left="709"/>
        <w:rPr>
          <w:rFonts w:cs="Arial"/>
          <w:b/>
          <w:i/>
          <w:color w:val="000000"/>
          <w:sz w:val="22"/>
          <w:szCs w:val="22"/>
        </w:rPr>
      </w:pPr>
      <w:r w:rsidRPr="0074553D">
        <w:rPr>
          <w:rFonts w:cs="Arial"/>
          <w:b/>
          <w:i/>
          <w:color w:val="000000"/>
          <w:sz w:val="22"/>
          <w:szCs w:val="22"/>
        </w:rPr>
        <w:t>24.5 Gastos de Administración, Operación y Mantenimiento para otras tecnologías de conversión.</w:t>
      </w:r>
    </w:p>
    <w:p w14:paraId="0C091963" w14:textId="77777777" w:rsidR="007B5909" w:rsidRPr="0074553D" w:rsidRDefault="007B5909" w:rsidP="00135DC0">
      <w:pPr>
        <w:pStyle w:val="Textoindependiente"/>
        <w:spacing w:after="0" w:line="240" w:lineRule="auto"/>
        <w:ind w:left="709"/>
        <w:rPr>
          <w:rFonts w:cs="Arial"/>
          <w:i/>
          <w:color w:val="000000"/>
          <w:sz w:val="22"/>
          <w:szCs w:val="22"/>
        </w:rPr>
      </w:pPr>
    </w:p>
    <w:p w14:paraId="73BF8914" w14:textId="18A4F99F" w:rsidR="00A2090F" w:rsidRPr="00135DC0" w:rsidRDefault="00A2090F" w:rsidP="00135DC0">
      <w:pPr>
        <w:pStyle w:val="Textoindependiente"/>
        <w:spacing w:after="0" w:line="240" w:lineRule="auto"/>
        <w:ind w:left="709"/>
        <w:rPr>
          <w:rFonts w:cs="Arial"/>
          <w:i/>
          <w:color w:val="000000"/>
          <w:sz w:val="24"/>
          <w:szCs w:val="24"/>
        </w:rPr>
      </w:pPr>
      <w:r w:rsidRPr="0074553D">
        <w:rPr>
          <w:rFonts w:cs="Arial"/>
          <w:i/>
          <w:color w:val="000000"/>
          <w:sz w:val="22"/>
          <w:szCs w:val="22"/>
        </w:rPr>
        <w:lastRenderedPageBreak/>
        <w:t>Los costos unitarios de Administración, Operación y Mantenimiento para tecnologías de generación no definidos en la presente resolución, podrán solicitarse a la Comisión, quien los definirá en Resolución particular.”</w:t>
      </w:r>
    </w:p>
    <w:p w14:paraId="15FABB1B" w14:textId="77777777" w:rsidR="00A2090F" w:rsidRPr="00135DC0" w:rsidRDefault="00A2090F" w:rsidP="00135DC0">
      <w:pPr>
        <w:pStyle w:val="Textoindependiente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C0BD50A" w14:textId="0FD5F047" w:rsidR="0065363F" w:rsidRDefault="00F96D73" w:rsidP="00135DC0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Teniendo en cuenta </w:t>
      </w:r>
      <w:r w:rsidR="00A43270" w:rsidRPr="00135DC0">
        <w:rPr>
          <w:rFonts w:cs="Arial"/>
          <w:sz w:val="24"/>
          <w:szCs w:val="24"/>
        </w:rPr>
        <w:t xml:space="preserve">lo anterior, </w:t>
      </w:r>
      <w:r w:rsidR="0065363F">
        <w:rPr>
          <w:rFonts w:cs="Arial"/>
          <w:sz w:val="24"/>
          <w:szCs w:val="24"/>
        </w:rPr>
        <w:t xml:space="preserve">con el fin de facilitar el proceso de solicitud de cargos máximos para </w:t>
      </w:r>
      <w:r w:rsidR="00A43270" w:rsidRPr="00135DC0">
        <w:rPr>
          <w:rFonts w:cs="Arial"/>
          <w:sz w:val="24"/>
          <w:szCs w:val="24"/>
        </w:rPr>
        <w:t>inversión y gastos AOM</w:t>
      </w:r>
      <w:r w:rsidR="0065363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para las tecno</w:t>
      </w:r>
      <w:r w:rsidR="006A1839">
        <w:rPr>
          <w:rFonts w:cs="Arial"/>
          <w:sz w:val="24"/>
          <w:szCs w:val="24"/>
        </w:rPr>
        <w:t>logías de generación no definida</w:t>
      </w:r>
      <w:r>
        <w:rPr>
          <w:rFonts w:cs="Arial"/>
          <w:sz w:val="24"/>
          <w:szCs w:val="24"/>
        </w:rPr>
        <w:t>s en la Resolución CREG 091 de 2007</w:t>
      </w:r>
      <w:r w:rsidR="00A43270" w:rsidRPr="00135DC0">
        <w:rPr>
          <w:rFonts w:cs="Arial"/>
          <w:sz w:val="24"/>
          <w:szCs w:val="24"/>
        </w:rPr>
        <w:t xml:space="preserve">, la </w:t>
      </w:r>
      <w:r w:rsidR="0065363F">
        <w:rPr>
          <w:rFonts w:cs="Arial"/>
          <w:sz w:val="24"/>
          <w:szCs w:val="24"/>
        </w:rPr>
        <w:t xml:space="preserve">Comisión ha diseñado un formato de captura de información que deberá acompañar la </w:t>
      </w:r>
      <w:r w:rsidR="006A1839">
        <w:rPr>
          <w:rFonts w:cs="Arial"/>
          <w:sz w:val="24"/>
          <w:szCs w:val="24"/>
        </w:rPr>
        <w:t xml:space="preserve">respectiva </w:t>
      </w:r>
      <w:r w:rsidR="0065363F">
        <w:rPr>
          <w:rFonts w:cs="Arial"/>
          <w:sz w:val="24"/>
          <w:szCs w:val="24"/>
        </w:rPr>
        <w:t>solicitud, el cual se publica como anexo a esta circular</w:t>
      </w:r>
      <w:r w:rsidR="00A51C94">
        <w:rPr>
          <w:rFonts w:cs="Arial"/>
          <w:sz w:val="24"/>
          <w:szCs w:val="24"/>
        </w:rPr>
        <w:t>,</w:t>
      </w:r>
      <w:r w:rsidR="0065363F">
        <w:rPr>
          <w:rFonts w:cs="Arial"/>
          <w:sz w:val="24"/>
          <w:szCs w:val="24"/>
        </w:rPr>
        <w:t xml:space="preserve"> para </w:t>
      </w:r>
      <w:r w:rsidR="006A1839">
        <w:rPr>
          <w:rFonts w:cs="Arial"/>
          <w:sz w:val="24"/>
          <w:szCs w:val="24"/>
        </w:rPr>
        <w:t>que las empresas prestadoras del servicio de energía eléctrica en zonas no interconectadas y terceros interesados remitan sus comentarios y sugerencias.</w:t>
      </w:r>
    </w:p>
    <w:p w14:paraId="0F8C14D9" w14:textId="77777777" w:rsidR="0065363F" w:rsidRDefault="0065363F" w:rsidP="00135DC0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BC026C5" w14:textId="5E222F51" w:rsidR="006A1839" w:rsidRDefault="006A1839" w:rsidP="00135DC0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6A1839">
        <w:rPr>
          <w:rFonts w:cs="Arial"/>
          <w:sz w:val="24"/>
          <w:szCs w:val="24"/>
        </w:rPr>
        <w:t xml:space="preserve">Los interesados podrán dirigir al Director Ejecutivo de la Comisión las observaciones y sugerencias sobre el </w:t>
      </w:r>
      <w:r>
        <w:rPr>
          <w:rFonts w:cs="Arial"/>
          <w:sz w:val="24"/>
          <w:szCs w:val="24"/>
        </w:rPr>
        <w:t xml:space="preserve">formato de captura de información </w:t>
      </w:r>
      <w:r w:rsidRPr="006A1839">
        <w:rPr>
          <w:rFonts w:cs="Arial"/>
          <w:sz w:val="24"/>
          <w:szCs w:val="24"/>
        </w:rPr>
        <w:t xml:space="preserve">a la siguiente dirección: Avenida calle 116 No. 7-15, Edificio Torre Cusezar, Interior 2, oficina 901 o al correo electrónico </w:t>
      </w:r>
      <w:hyperlink r:id="rId8" w:history="1">
        <w:r w:rsidRPr="00BB48FA">
          <w:rPr>
            <w:rStyle w:val="Hipervnculo"/>
            <w:rFonts w:cs="Arial"/>
            <w:sz w:val="24"/>
            <w:szCs w:val="24"/>
          </w:rPr>
          <w:t>creg@creg.gov.co</w:t>
        </w:r>
      </w:hyperlink>
      <w:r>
        <w:rPr>
          <w:rFonts w:cs="Arial"/>
          <w:sz w:val="24"/>
          <w:szCs w:val="24"/>
        </w:rPr>
        <w:t xml:space="preserve">, </w:t>
      </w:r>
      <w:r w:rsidRPr="006A1839">
        <w:rPr>
          <w:rFonts w:cs="Arial"/>
          <w:sz w:val="24"/>
          <w:szCs w:val="24"/>
        </w:rPr>
        <w:t>dentro del</w:t>
      </w:r>
      <w:r>
        <w:rPr>
          <w:rFonts w:cs="Arial"/>
          <w:sz w:val="24"/>
          <w:szCs w:val="24"/>
        </w:rPr>
        <w:t xml:space="preserve"> mes siguiente</w:t>
      </w:r>
      <w:r w:rsidRPr="006A1839">
        <w:rPr>
          <w:rFonts w:cs="Arial"/>
          <w:sz w:val="24"/>
          <w:szCs w:val="24"/>
        </w:rPr>
        <w:t xml:space="preserve"> a la publicación del proyecto en la página Web de la Comisión de Regulación de Energía y Gas</w:t>
      </w:r>
    </w:p>
    <w:p w14:paraId="059C12BC" w14:textId="77777777" w:rsidR="006A1839" w:rsidRDefault="006A1839" w:rsidP="00135DC0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4C6BFCD6" w14:textId="69E55EE6" w:rsidR="004B3EDC" w:rsidRPr="00135DC0" w:rsidRDefault="007E16DF" w:rsidP="007713B9">
      <w:pPr>
        <w:pStyle w:val="Textoindependiente"/>
        <w:spacing w:after="0" w:line="240" w:lineRule="auto"/>
        <w:rPr>
          <w:rFonts w:cs="Arial"/>
        </w:rPr>
      </w:pPr>
      <w:r w:rsidRPr="00135DC0">
        <w:rPr>
          <w:rFonts w:cs="Arial"/>
          <w:sz w:val="24"/>
          <w:szCs w:val="24"/>
        </w:rPr>
        <w:t>Cordialmente,</w:t>
      </w:r>
    </w:p>
    <w:p w14:paraId="5BA8EBCF" w14:textId="7A6B4048" w:rsidR="00B17648" w:rsidRPr="00135DC0" w:rsidRDefault="00B17648" w:rsidP="00135DC0">
      <w:pPr>
        <w:jc w:val="center"/>
        <w:rPr>
          <w:rFonts w:ascii="Arial" w:hAnsi="Arial" w:cs="Arial"/>
        </w:rPr>
      </w:pPr>
    </w:p>
    <w:p w14:paraId="7F8E136C" w14:textId="088C0D73" w:rsidR="00B17648" w:rsidRDefault="00B17648" w:rsidP="00135DC0">
      <w:pPr>
        <w:jc w:val="center"/>
        <w:rPr>
          <w:rFonts w:ascii="Arial" w:hAnsi="Arial" w:cs="Arial"/>
        </w:rPr>
      </w:pPr>
    </w:p>
    <w:p w14:paraId="607E2EAF" w14:textId="77777777" w:rsidR="006A1839" w:rsidRDefault="006A1839" w:rsidP="00135DC0">
      <w:pPr>
        <w:jc w:val="center"/>
        <w:rPr>
          <w:rFonts w:ascii="Arial" w:hAnsi="Arial" w:cs="Arial"/>
        </w:rPr>
      </w:pPr>
    </w:p>
    <w:p w14:paraId="63D1DDDE" w14:textId="77777777" w:rsidR="006A1839" w:rsidRPr="00135DC0" w:rsidRDefault="006A1839" w:rsidP="00135DC0">
      <w:pPr>
        <w:jc w:val="center"/>
        <w:rPr>
          <w:rFonts w:ascii="Arial" w:hAnsi="Arial" w:cs="Arial"/>
        </w:rPr>
      </w:pPr>
    </w:p>
    <w:p w14:paraId="7FECA7F3" w14:textId="77777777" w:rsidR="00B17648" w:rsidRPr="00135DC0" w:rsidRDefault="00B17648" w:rsidP="00135DC0">
      <w:pPr>
        <w:jc w:val="center"/>
        <w:rPr>
          <w:rFonts w:ascii="Arial" w:hAnsi="Arial" w:cs="Arial"/>
        </w:rPr>
      </w:pPr>
    </w:p>
    <w:p w14:paraId="65A6CBCC" w14:textId="37A4A887" w:rsidR="00B17648" w:rsidRPr="00135DC0" w:rsidRDefault="00D87579" w:rsidP="00135DC0">
      <w:pPr>
        <w:jc w:val="center"/>
        <w:rPr>
          <w:rFonts w:ascii="Arial" w:hAnsi="Arial" w:cs="Arial"/>
        </w:rPr>
      </w:pPr>
      <w:r w:rsidRPr="00135DC0">
        <w:rPr>
          <w:rFonts w:ascii="Arial" w:hAnsi="Arial" w:cs="Arial"/>
        </w:rPr>
        <w:t>CHRISTIAN JARAMILLO HERRERA</w:t>
      </w:r>
    </w:p>
    <w:sectPr w:rsidR="00B17648" w:rsidRPr="00135DC0" w:rsidSect="003F2F4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29244" w14:textId="77777777" w:rsidR="008300CE" w:rsidRDefault="008300CE" w:rsidP="00AA0519">
      <w:r>
        <w:separator/>
      </w:r>
    </w:p>
  </w:endnote>
  <w:endnote w:type="continuationSeparator" w:id="0">
    <w:p w14:paraId="5D6DCA0A" w14:textId="77777777" w:rsidR="008300CE" w:rsidRDefault="008300CE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05239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4E12901B" wp14:editId="392F36EC">
          <wp:extent cx="2695575" cy="561975"/>
          <wp:effectExtent l="0" t="0" r="9525" b="952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4DAB3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DE64B4B" wp14:editId="56E3327E">
          <wp:extent cx="2695575" cy="561975"/>
          <wp:effectExtent l="0" t="0" r="9525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7791F" w14:textId="77777777" w:rsidR="008300CE" w:rsidRDefault="008300CE" w:rsidP="00AA0519">
      <w:r>
        <w:separator/>
      </w:r>
    </w:p>
  </w:footnote>
  <w:footnote w:type="continuationSeparator" w:id="0">
    <w:p w14:paraId="192AF051" w14:textId="77777777" w:rsidR="008300CE" w:rsidRDefault="008300CE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86ADA" w14:textId="3CC02EAE" w:rsidR="00AA0519" w:rsidRDefault="00012772">
    <w:pPr>
      <w:pStyle w:val="Encabezado"/>
    </w:pPr>
    <w:r>
      <w:rPr>
        <w:noProof/>
        <w:lang w:val="es-CO" w:eastAsia="es-CO"/>
      </w:rPr>
      <w:drawing>
        <wp:inline distT="0" distB="0" distL="0" distR="0" wp14:anchorId="5C94C154" wp14:editId="4B9F63B0">
          <wp:extent cx="5612130" cy="591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87F5A6" w14:textId="77A4A3D4" w:rsidR="00AA0519" w:rsidRPr="00B17648" w:rsidRDefault="00B17648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B17648">
      <w:rPr>
        <w:rFonts w:ascii="Arial" w:hAnsi="Arial" w:cs="Arial"/>
        <w:i/>
        <w:sz w:val="18"/>
        <w:szCs w:val="18"/>
        <w:u w:val="single"/>
      </w:rPr>
      <w:t>Circular</w:t>
    </w:r>
    <w:r w:rsidR="00012772">
      <w:rPr>
        <w:rFonts w:ascii="Arial" w:hAnsi="Arial" w:cs="Arial"/>
        <w:i/>
        <w:sz w:val="18"/>
        <w:szCs w:val="18"/>
        <w:u w:val="single"/>
      </w:rPr>
      <w:t>079</w:t>
    </w:r>
  </w:p>
  <w:p w14:paraId="343BA33E" w14:textId="3AA56369" w:rsidR="00B17648" w:rsidRDefault="00012772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Septiembre</w:t>
    </w:r>
    <w:r w:rsidR="00B17648" w:rsidRPr="00B17648">
      <w:rPr>
        <w:rFonts w:ascii="Arial" w:hAnsi="Arial" w:cs="Arial"/>
        <w:i/>
        <w:sz w:val="18"/>
        <w:szCs w:val="18"/>
        <w:u w:val="single"/>
      </w:rPr>
      <w:t xml:space="preserve"> de 201</w:t>
    </w:r>
    <w:r w:rsidR="00A2090F">
      <w:rPr>
        <w:rFonts w:ascii="Arial" w:hAnsi="Arial" w:cs="Arial"/>
        <w:i/>
        <w:sz w:val="18"/>
        <w:szCs w:val="18"/>
        <w:u w:val="single"/>
      </w:rPr>
      <w:t>9</w:t>
    </w:r>
  </w:p>
  <w:p w14:paraId="75E389C2" w14:textId="75256E2E" w:rsidR="00012772" w:rsidRPr="00B17648" w:rsidRDefault="00012772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012772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012772">
      <w:rPr>
        <w:rFonts w:ascii="Arial" w:hAnsi="Arial" w:cs="Arial"/>
        <w:b/>
        <w:bCs/>
        <w:i/>
        <w:sz w:val="18"/>
        <w:szCs w:val="18"/>
        <w:u w:val="single"/>
      </w:rPr>
      <w:instrText>PAGE  \* Arabic  \* MERGEFORMAT</w:instrText>
    </w:r>
    <w:r w:rsidRPr="00012772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253B48" w:rsidRPr="00253B48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012772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  <w:r w:rsidRPr="00012772">
      <w:rPr>
        <w:rFonts w:ascii="Arial" w:hAnsi="Arial" w:cs="Arial"/>
        <w:i/>
        <w:sz w:val="18"/>
        <w:szCs w:val="18"/>
        <w:u w:val="single"/>
        <w:lang w:val="es-ES"/>
      </w:rPr>
      <w:t xml:space="preserve"> </w:t>
    </w:r>
    <w:r>
      <w:rPr>
        <w:rFonts w:ascii="Arial" w:hAnsi="Arial" w:cs="Arial"/>
        <w:i/>
        <w:sz w:val="18"/>
        <w:szCs w:val="18"/>
        <w:u w:val="single"/>
        <w:lang w:val="es-ES"/>
      </w:rPr>
      <w:t>/</w:t>
    </w:r>
    <w:r w:rsidRPr="00012772">
      <w:rPr>
        <w:rFonts w:ascii="Arial" w:hAnsi="Arial" w:cs="Arial"/>
        <w:i/>
        <w:sz w:val="18"/>
        <w:szCs w:val="18"/>
        <w:u w:val="single"/>
        <w:lang w:val="es-ES"/>
      </w:rPr>
      <w:t xml:space="preserve"> </w:t>
    </w:r>
    <w:r w:rsidRPr="00012772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012772">
      <w:rPr>
        <w:rFonts w:ascii="Arial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012772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253B48" w:rsidRPr="00253B48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012772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</w:p>
  <w:p w14:paraId="62AFE47E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39308" w14:textId="7B361F0D" w:rsidR="003F2F4B" w:rsidRDefault="00012772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66523F37" wp14:editId="3FDE00F7">
          <wp:extent cx="5612130" cy="591800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C57CD" w14:textId="77777777"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C5F"/>
    <w:multiLevelType w:val="hybridMultilevel"/>
    <w:tmpl w:val="3E826838"/>
    <w:lvl w:ilvl="0" w:tplc="34B0B8C2">
      <w:start w:val="1"/>
      <w:numFmt w:val="lowerLetter"/>
      <w:lvlText w:val="%1."/>
      <w:lvlJc w:val="left"/>
      <w:pPr>
        <w:ind w:left="1078" w:hanging="360"/>
      </w:pPr>
      <w:rPr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798" w:hanging="360"/>
      </w:pPr>
    </w:lvl>
    <w:lvl w:ilvl="2" w:tplc="080A001B" w:tentative="1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893D4D"/>
    <w:multiLevelType w:val="hybridMultilevel"/>
    <w:tmpl w:val="C0E253DE"/>
    <w:lvl w:ilvl="0" w:tplc="BF105A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746F74"/>
    <w:multiLevelType w:val="hybridMultilevel"/>
    <w:tmpl w:val="F04C4B22"/>
    <w:lvl w:ilvl="0" w:tplc="C4F2E99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62E73"/>
    <w:multiLevelType w:val="hybridMultilevel"/>
    <w:tmpl w:val="7C682346"/>
    <w:lvl w:ilvl="0" w:tplc="240A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2" w15:restartNumberingAfterBreak="0">
    <w:nsid w:val="68D86E30"/>
    <w:multiLevelType w:val="hybridMultilevel"/>
    <w:tmpl w:val="EDE6262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96819"/>
    <w:multiLevelType w:val="hybridMultilevel"/>
    <w:tmpl w:val="AA589054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D8CCAB2">
      <w:start w:val="5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B743E4"/>
    <w:multiLevelType w:val="hybridMultilevel"/>
    <w:tmpl w:val="85C68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  <w:num w:numId="15">
    <w:abstractNumId w:val="1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108F7"/>
    <w:rsid w:val="00012772"/>
    <w:rsid w:val="00032CCE"/>
    <w:rsid w:val="0003423C"/>
    <w:rsid w:val="000411B9"/>
    <w:rsid w:val="00063F70"/>
    <w:rsid w:val="00084C50"/>
    <w:rsid w:val="000854D5"/>
    <w:rsid w:val="000A4870"/>
    <w:rsid w:val="000B0962"/>
    <w:rsid w:val="000B2EE8"/>
    <w:rsid w:val="000B7638"/>
    <w:rsid w:val="000E38FC"/>
    <w:rsid w:val="000E3DB4"/>
    <w:rsid w:val="000F195B"/>
    <w:rsid w:val="001059A2"/>
    <w:rsid w:val="00113985"/>
    <w:rsid w:val="00114163"/>
    <w:rsid w:val="00135DC0"/>
    <w:rsid w:val="00140D67"/>
    <w:rsid w:val="0015125B"/>
    <w:rsid w:val="0016058A"/>
    <w:rsid w:val="001718E1"/>
    <w:rsid w:val="001747A9"/>
    <w:rsid w:val="00175D9E"/>
    <w:rsid w:val="00177F31"/>
    <w:rsid w:val="00194545"/>
    <w:rsid w:val="00194973"/>
    <w:rsid w:val="001960BF"/>
    <w:rsid w:val="00196BFA"/>
    <w:rsid w:val="001B2C2F"/>
    <w:rsid w:val="001C0BEB"/>
    <w:rsid w:val="001C33C0"/>
    <w:rsid w:val="001D31C4"/>
    <w:rsid w:val="001E769C"/>
    <w:rsid w:val="001F4877"/>
    <w:rsid w:val="00225C50"/>
    <w:rsid w:val="00230BED"/>
    <w:rsid w:val="00253B48"/>
    <w:rsid w:val="002A3F75"/>
    <w:rsid w:val="002A55E1"/>
    <w:rsid w:val="002B43CA"/>
    <w:rsid w:val="002D14DE"/>
    <w:rsid w:val="002F54B8"/>
    <w:rsid w:val="003018AD"/>
    <w:rsid w:val="003358AC"/>
    <w:rsid w:val="00347B6D"/>
    <w:rsid w:val="0035227B"/>
    <w:rsid w:val="003742E1"/>
    <w:rsid w:val="00386CB3"/>
    <w:rsid w:val="003B0DD1"/>
    <w:rsid w:val="003C7E1C"/>
    <w:rsid w:val="003F2F4B"/>
    <w:rsid w:val="003F3DC8"/>
    <w:rsid w:val="00427781"/>
    <w:rsid w:val="00434DD6"/>
    <w:rsid w:val="0046599B"/>
    <w:rsid w:val="004673FD"/>
    <w:rsid w:val="00485817"/>
    <w:rsid w:val="00486F35"/>
    <w:rsid w:val="004B3410"/>
    <w:rsid w:val="004B3EDC"/>
    <w:rsid w:val="004B63D7"/>
    <w:rsid w:val="004D1A9D"/>
    <w:rsid w:val="004E1441"/>
    <w:rsid w:val="00545A5A"/>
    <w:rsid w:val="00551461"/>
    <w:rsid w:val="005A4FA1"/>
    <w:rsid w:val="005C366E"/>
    <w:rsid w:val="005E44C0"/>
    <w:rsid w:val="00617DEC"/>
    <w:rsid w:val="00623367"/>
    <w:rsid w:val="00626514"/>
    <w:rsid w:val="00635939"/>
    <w:rsid w:val="0065363F"/>
    <w:rsid w:val="0066496B"/>
    <w:rsid w:val="00672CF2"/>
    <w:rsid w:val="00674A39"/>
    <w:rsid w:val="00675651"/>
    <w:rsid w:val="0069635B"/>
    <w:rsid w:val="006A1839"/>
    <w:rsid w:val="006B3AF9"/>
    <w:rsid w:val="006B58C7"/>
    <w:rsid w:val="006D48B3"/>
    <w:rsid w:val="00705B0F"/>
    <w:rsid w:val="007313DB"/>
    <w:rsid w:val="00735E1F"/>
    <w:rsid w:val="0074553D"/>
    <w:rsid w:val="00753C4C"/>
    <w:rsid w:val="00767B49"/>
    <w:rsid w:val="007713B9"/>
    <w:rsid w:val="007A0CBF"/>
    <w:rsid w:val="007B5909"/>
    <w:rsid w:val="007D3D03"/>
    <w:rsid w:val="007E16DF"/>
    <w:rsid w:val="007F2A24"/>
    <w:rsid w:val="00815B35"/>
    <w:rsid w:val="00816448"/>
    <w:rsid w:val="0081789C"/>
    <w:rsid w:val="008300CE"/>
    <w:rsid w:val="00852C36"/>
    <w:rsid w:val="008A4C96"/>
    <w:rsid w:val="008A6CE8"/>
    <w:rsid w:val="008B6C8D"/>
    <w:rsid w:val="008C723A"/>
    <w:rsid w:val="00927D8E"/>
    <w:rsid w:val="00953C28"/>
    <w:rsid w:val="00953D2E"/>
    <w:rsid w:val="00955465"/>
    <w:rsid w:val="0095677C"/>
    <w:rsid w:val="009638B4"/>
    <w:rsid w:val="00970D09"/>
    <w:rsid w:val="00990BEB"/>
    <w:rsid w:val="009A3312"/>
    <w:rsid w:val="009B4F71"/>
    <w:rsid w:val="009C12FA"/>
    <w:rsid w:val="009E1726"/>
    <w:rsid w:val="009E5194"/>
    <w:rsid w:val="009E786D"/>
    <w:rsid w:val="00A13CBD"/>
    <w:rsid w:val="00A15CDD"/>
    <w:rsid w:val="00A2090F"/>
    <w:rsid w:val="00A34B29"/>
    <w:rsid w:val="00A43270"/>
    <w:rsid w:val="00A51C94"/>
    <w:rsid w:val="00A579F8"/>
    <w:rsid w:val="00A60A30"/>
    <w:rsid w:val="00A72288"/>
    <w:rsid w:val="00A72F75"/>
    <w:rsid w:val="00A7557C"/>
    <w:rsid w:val="00A83B37"/>
    <w:rsid w:val="00A97267"/>
    <w:rsid w:val="00AA0519"/>
    <w:rsid w:val="00AA7609"/>
    <w:rsid w:val="00AC5A07"/>
    <w:rsid w:val="00AD1D90"/>
    <w:rsid w:val="00AE3BD5"/>
    <w:rsid w:val="00B140E1"/>
    <w:rsid w:val="00B17648"/>
    <w:rsid w:val="00B32C86"/>
    <w:rsid w:val="00B4358B"/>
    <w:rsid w:val="00B72BE8"/>
    <w:rsid w:val="00B72E0A"/>
    <w:rsid w:val="00B95479"/>
    <w:rsid w:val="00BA2D14"/>
    <w:rsid w:val="00BC4067"/>
    <w:rsid w:val="00BD2A0F"/>
    <w:rsid w:val="00BE215A"/>
    <w:rsid w:val="00BF1A1A"/>
    <w:rsid w:val="00BF3F7E"/>
    <w:rsid w:val="00C42ED6"/>
    <w:rsid w:val="00C47642"/>
    <w:rsid w:val="00C53810"/>
    <w:rsid w:val="00C54981"/>
    <w:rsid w:val="00C71FE5"/>
    <w:rsid w:val="00C7238A"/>
    <w:rsid w:val="00C72E21"/>
    <w:rsid w:val="00C90288"/>
    <w:rsid w:val="00CA3F76"/>
    <w:rsid w:val="00CB159C"/>
    <w:rsid w:val="00D01B8C"/>
    <w:rsid w:val="00D322FA"/>
    <w:rsid w:val="00D75BCB"/>
    <w:rsid w:val="00D87579"/>
    <w:rsid w:val="00D94ADC"/>
    <w:rsid w:val="00DA74E3"/>
    <w:rsid w:val="00DB1167"/>
    <w:rsid w:val="00DC06A3"/>
    <w:rsid w:val="00E0236A"/>
    <w:rsid w:val="00E17FAB"/>
    <w:rsid w:val="00E82569"/>
    <w:rsid w:val="00E94665"/>
    <w:rsid w:val="00F179AF"/>
    <w:rsid w:val="00F20FA9"/>
    <w:rsid w:val="00F329BC"/>
    <w:rsid w:val="00F365C2"/>
    <w:rsid w:val="00F51D0A"/>
    <w:rsid w:val="00F64045"/>
    <w:rsid w:val="00F65EB3"/>
    <w:rsid w:val="00F96D73"/>
    <w:rsid w:val="00FA5865"/>
    <w:rsid w:val="00FC60E8"/>
    <w:rsid w:val="00FD2A8B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A3F5623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link w:val="PrrafodelistaCar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character" w:customStyle="1" w:styleId="PrrafodelistaCar">
    <w:name w:val="Párrafo de lista Car"/>
    <w:link w:val="Prrafodelista"/>
    <w:locked/>
    <w:rsid w:val="00A43270"/>
    <w:rPr>
      <w:rFonts w:eastAsiaTheme="minorEastAs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6B860-524D-4E7E-AB6F-F8D41951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2019-09-23T21:56:00Z</dcterms:created>
  <dcterms:modified xsi:type="dcterms:W3CDTF">2019-09-23T21:56:00Z</dcterms:modified>
</cp:coreProperties>
</file>