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E359E" w14:textId="347FCD16" w:rsidR="00242A5A" w:rsidRDefault="00DE381D" w:rsidP="00DC3EE3">
      <w:pPr>
        <w:spacing w:after="720"/>
        <w:jc w:val="both"/>
        <w:rPr>
          <w:rFonts w:ascii="Arial" w:hAnsi="Arial" w:cs="Arial"/>
          <w:sz w:val="22"/>
          <w:szCs w:val="22"/>
          <w:lang w:val="es-MX"/>
        </w:rPr>
      </w:pPr>
      <w:r>
        <w:rPr>
          <w:rFonts w:ascii="Arial" w:hAnsi="Arial" w:cs="Arial"/>
          <w:sz w:val="22"/>
          <w:szCs w:val="22"/>
          <w:lang w:val="es-MX"/>
        </w:rPr>
        <w:t xml:space="preserve">Bogotá, D.C., </w:t>
      </w:r>
      <w:r w:rsidR="00A61B06">
        <w:rPr>
          <w:rFonts w:ascii="Arial" w:hAnsi="Arial" w:cs="Arial"/>
          <w:sz w:val="22"/>
          <w:szCs w:val="22"/>
          <w:lang w:val="es-MX"/>
        </w:rPr>
        <w:t>2</w:t>
      </w:r>
      <w:r w:rsidR="00481A72">
        <w:rPr>
          <w:rFonts w:ascii="Arial" w:hAnsi="Arial" w:cs="Arial"/>
          <w:sz w:val="22"/>
          <w:szCs w:val="22"/>
          <w:lang w:val="es-MX"/>
        </w:rPr>
        <w:t>6</w:t>
      </w:r>
      <w:r w:rsidR="007223B5">
        <w:rPr>
          <w:rFonts w:ascii="Arial" w:hAnsi="Arial" w:cs="Arial"/>
          <w:sz w:val="22"/>
          <w:szCs w:val="22"/>
          <w:lang w:val="es-MX"/>
        </w:rPr>
        <w:t xml:space="preserve"> </w:t>
      </w:r>
      <w:r w:rsidR="00573D30">
        <w:rPr>
          <w:rFonts w:ascii="Arial" w:hAnsi="Arial" w:cs="Arial"/>
          <w:sz w:val="22"/>
          <w:szCs w:val="22"/>
          <w:lang w:val="es-MX"/>
        </w:rPr>
        <w:t xml:space="preserve">de </w:t>
      </w:r>
      <w:r w:rsidR="007223B5">
        <w:rPr>
          <w:rFonts w:ascii="Arial" w:hAnsi="Arial" w:cs="Arial"/>
          <w:sz w:val="22"/>
          <w:szCs w:val="22"/>
          <w:lang w:val="es-MX"/>
        </w:rPr>
        <w:t>septiembre de 2022</w:t>
      </w:r>
    </w:p>
    <w:p w14:paraId="48F6C692" w14:textId="25329DB0" w:rsidR="00DE381D" w:rsidRPr="00242A5A" w:rsidRDefault="00DE381D" w:rsidP="00DC3EE3">
      <w:pPr>
        <w:spacing w:after="0"/>
        <w:jc w:val="center"/>
        <w:rPr>
          <w:rFonts w:ascii="Arial" w:hAnsi="Arial" w:cs="Arial"/>
          <w:sz w:val="22"/>
          <w:szCs w:val="22"/>
          <w:lang w:val="es-MX"/>
        </w:rPr>
      </w:pPr>
      <w:r w:rsidRPr="00DE381D">
        <w:rPr>
          <w:rFonts w:ascii="Arial" w:hAnsi="Arial" w:cs="Arial"/>
          <w:b/>
          <w:bCs/>
          <w:i/>
          <w:iCs/>
          <w:kern w:val="60"/>
          <w:sz w:val="40"/>
          <w:szCs w:val="40"/>
        </w:rPr>
        <w:t>CIRCULAR No.</w:t>
      </w:r>
      <w:r w:rsidR="00B069BC">
        <w:rPr>
          <w:rFonts w:ascii="Arial" w:hAnsi="Arial" w:cs="Arial"/>
          <w:b/>
          <w:bCs/>
          <w:i/>
          <w:iCs/>
          <w:kern w:val="60"/>
          <w:sz w:val="40"/>
          <w:szCs w:val="40"/>
        </w:rPr>
        <w:t xml:space="preserve"> </w:t>
      </w:r>
      <w:r w:rsidR="004942CB">
        <w:rPr>
          <w:rFonts w:ascii="Arial" w:hAnsi="Arial" w:cs="Arial"/>
          <w:b/>
          <w:bCs/>
          <w:i/>
          <w:iCs/>
          <w:kern w:val="60"/>
          <w:sz w:val="40"/>
          <w:szCs w:val="40"/>
        </w:rPr>
        <w:t>089</w:t>
      </w:r>
    </w:p>
    <w:p w14:paraId="7A351F92" w14:textId="4126C3A0" w:rsidR="00DE381D" w:rsidRPr="00223349" w:rsidRDefault="00DE381D" w:rsidP="00DC3EE3">
      <w:pPr>
        <w:pStyle w:val="Sangradetextonormal"/>
        <w:spacing w:after="400" w:line="360" w:lineRule="auto"/>
        <w:ind w:left="1412" w:hanging="1412"/>
        <w:jc w:val="both"/>
        <w:rPr>
          <w:rFonts w:ascii="Arial" w:hAnsi="Arial" w:cs="Arial"/>
          <w:b/>
        </w:rPr>
      </w:pPr>
      <w:r w:rsidRPr="00223349">
        <w:rPr>
          <w:rFonts w:ascii="Arial" w:hAnsi="Arial" w:cs="Arial"/>
          <w:b/>
        </w:rPr>
        <w:t>PARA:</w:t>
      </w:r>
      <w:r w:rsidRPr="00223349">
        <w:rPr>
          <w:rFonts w:ascii="Arial" w:hAnsi="Arial" w:cs="Arial"/>
          <w:b/>
        </w:rPr>
        <w:tab/>
      </w:r>
      <w:r w:rsidR="00EB3DC1">
        <w:rPr>
          <w:rFonts w:ascii="Arial" w:hAnsi="Arial" w:cs="Arial"/>
          <w:b/>
        </w:rPr>
        <w:t>PRESTADORES DEL SERVICIO DE ENERGÍA ELÉCTRICA</w:t>
      </w:r>
      <w:r>
        <w:rPr>
          <w:rFonts w:ascii="Arial" w:hAnsi="Arial" w:cs="Arial"/>
          <w:b/>
        </w:rPr>
        <w:t xml:space="preserve"> </w:t>
      </w:r>
      <w:r w:rsidR="00EB3DC1">
        <w:rPr>
          <w:rFonts w:ascii="Arial" w:hAnsi="Arial" w:cs="Arial"/>
          <w:b/>
        </w:rPr>
        <w:t>Y PÚBLICO EN GENERAL</w:t>
      </w:r>
    </w:p>
    <w:p w14:paraId="6F4D6107" w14:textId="77777777" w:rsidR="00DE381D" w:rsidRPr="00223349" w:rsidRDefault="00DE381D" w:rsidP="00DC3EE3">
      <w:pPr>
        <w:pStyle w:val="Sangradetextonormal"/>
        <w:spacing w:after="400" w:line="360" w:lineRule="auto"/>
        <w:ind w:left="1412" w:hanging="1412"/>
        <w:jc w:val="both"/>
        <w:rPr>
          <w:rFonts w:ascii="Arial" w:hAnsi="Arial" w:cs="Arial"/>
          <w:b/>
        </w:rPr>
      </w:pPr>
      <w:r w:rsidRPr="00223349">
        <w:rPr>
          <w:rFonts w:ascii="Arial" w:hAnsi="Arial" w:cs="Arial"/>
          <w:b/>
        </w:rPr>
        <w:t>DE:</w:t>
      </w:r>
      <w:r w:rsidRPr="00223349">
        <w:rPr>
          <w:rFonts w:ascii="Arial" w:hAnsi="Arial" w:cs="Arial"/>
          <w:b/>
        </w:rPr>
        <w:tab/>
        <w:t>DIRECCIÓN EJECUTIVA</w:t>
      </w:r>
    </w:p>
    <w:p w14:paraId="63DDCA95" w14:textId="2C95C4F5" w:rsidR="00DE381D" w:rsidRDefault="00DE381D" w:rsidP="00DC3EE3">
      <w:pPr>
        <w:pStyle w:val="Sangradetextonormal"/>
        <w:spacing w:after="400" w:line="360" w:lineRule="auto"/>
        <w:ind w:left="1412" w:hanging="1412"/>
        <w:jc w:val="both"/>
        <w:rPr>
          <w:rFonts w:ascii="Arial" w:hAnsi="Arial" w:cs="Arial"/>
          <w:b/>
        </w:rPr>
      </w:pPr>
      <w:r w:rsidRPr="00223349">
        <w:rPr>
          <w:rFonts w:ascii="Arial" w:hAnsi="Arial" w:cs="Arial"/>
          <w:b/>
        </w:rPr>
        <w:t>ASUNTO:</w:t>
      </w:r>
      <w:r w:rsidRPr="00223349">
        <w:rPr>
          <w:rFonts w:ascii="Arial" w:hAnsi="Arial" w:cs="Arial"/>
          <w:b/>
        </w:rPr>
        <w:tab/>
      </w:r>
      <w:r w:rsidR="00C81AE5">
        <w:rPr>
          <w:rFonts w:ascii="Arial" w:hAnsi="Arial" w:cs="Arial"/>
          <w:b/>
        </w:rPr>
        <w:t xml:space="preserve">RESOLUCIÓN </w:t>
      </w:r>
      <w:r w:rsidR="00354BBC">
        <w:rPr>
          <w:rFonts w:ascii="Arial" w:hAnsi="Arial" w:cs="Arial"/>
          <w:b/>
        </w:rPr>
        <w:t>CREG 101 02</w:t>
      </w:r>
      <w:r w:rsidR="00A61B06">
        <w:rPr>
          <w:rFonts w:ascii="Arial" w:hAnsi="Arial" w:cs="Arial"/>
          <w:b/>
        </w:rPr>
        <w:t>9</w:t>
      </w:r>
      <w:r w:rsidR="00354BBC">
        <w:rPr>
          <w:rFonts w:ascii="Arial" w:hAnsi="Arial" w:cs="Arial"/>
          <w:b/>
        </w:rPr>
        <w:t xml:space="preserve"> DE 202</w:t>
      </w:r>
      <w:r w:rsidR="00C81AE5">
        <w:rPr>
          <w:rFonts w:ascii="Arial" w:hAnsi="Arial" w:cs="Arial"/>
          <w:b/>
        </w:rPr>
        <w:t>2</w:t>
      </w:r>
      <w:r w:rsidR="00354BBC">
        <w:rPr>
          <w:rFonts w:ascii="Arial" w:hAnsi="Arial" w:cs="Arial"/>
          <w:b/>
        </w:rPr>
        <w:t xml:space="preserve"> </w:t>
      </w:r>
      <w:r w:rsidR="00A61B06">
        <w:rPr>
          <w:rFonts w:ascii="Arial" w:hAnsi="Arial" w:cs="Arial"/>
          <w:b/>
        </w:rPr>
        <w:t>–</w:t>
      </w:r>
      <w:r w:rsidR="00354BBC">
        <w:rPr>
          <w:rFonts w:ascii="Arial" w:hAnsi="Arial" w:cs="Arial"/>
          <w:b/>
        </w:rPr>
        <w:t xml:space="preserve"> </w:t>
      </w:r>
      <w:r w:rsidR="00A61B06">
        <w:rPr>
          <w:rFonts w:ascii="Arial" w:hAnsi="Arial" w:cs="Arial"/>
          <w:b/>
        </w:rPr>
        <w:t>CONCEPTO SOBRE APLICACIÓN A CONTRATOS DERIVADOS DE LAS SUBASTAS CONVOCADAS POR EL MINISTERIO DE MINAS Y ENERGÍA</w:t>
      </w:r>
      <w:r w:rsidR="00DC3EE3">
        <w:rPr>
          <w:rFonts w:ascii="Arial" w:hAnsi="Arial" w:cs="Arial"/>
          <w:b/>
        </w:rPr>
        <w:t xml:space="preserve"> Y LAS REGLAS DE COMPORTAMIENTO DESCRITAS EN LA RESOLUCIÓN CREG 080 DE 2019</w:t>
      </w:r>
      <w:r w:rsidR="00A61B06">
        <w:rPr>
          <w:rFonts w:ascii="Arial" w:hAnsi="Arial" w:cs="Arial"/>
          <w:b/>
        </w:rPr>
        <w:t xml:space="preserve">. </w:t>
      </w:r>
    </w:p>
    <w:p w14:paraId="676CEB9A" w14:textId="67B57FC1" w:rsidR="002D3C26" w:rsidRDefault="001D3064" w:rsidP="003D65E2">
      <w:pPr>
        <w:pStyle w:val="Textoindependiente"/>
        <w:numPr>
          <w:ilvl w:val="0"/>
          <w:numId w:val="4"/>
        </w:numPr>
        <w:spacing w:before="240" w:after="360" w:line="360" w:lineRule="auto"/>
        <w:rPr>
          <w:rFonts w:cs="Arial"/>
          <w:spacing w:val="0"/>
          <w:sz w:val="24"/>
          <w:szCs w:val="24"/>
        </w:rPr>
      </w:pPr>
      <w:r>
        <w:rPr>
          <w:rFonts w:cs="Arial"/>
          <w:spacing w:val="0"/>
          <w:sz w:val="24"/>
          <w:szCs w:val="24"/>
        </w:rPr>
        <w:t xml:space="preserve">La Comisión ha recibido </w:t>
      </w:r>
      <w:r w:rsidR="00A61B06">
        <w:rPr>
          <w:rFonts w:cs="Arial"/>
          <w:spacing w:val="0"/>
          <w:sz w:val="24"/>
          <w:szCs w:val="24"/>
        </w:rPr>
        <w:t xml:space="preserve">algunas </w:t>
      </w:r>
      <w:r>
        <w:rPr>
          <w:rFonts w:cs="Arial"/>
          <w:spacing w:val="0"/>
          <w:sz w:val="24"/>
          <w:szCs w:val="24"/>
        </w:rPr>
        <w:t xml:space="preserve">consultas </w:t>
      </w:r>
      <w:r w:rsidR="00FE7A6C">
        <w:rPr>
          <w:rFonts w:cs="Arial"/>
          <w:spacing w:val="0"/>
          <w:sz w:val="24"/>
          <w:szCs w:val="24"/>
        </w:rPr>
        <w:t xml:space="preserve">referentes a la obligatoriedad de gestionar la modificación de los contratos </w:t>
      </w:r>
      <w:r w:rsidR="006713CA">
        <w:rPr>
          <w:rFonts w:cs="Arial"/>
          <w:spacing w:val="0"/>
          <w:sz w:val="24"/>
          <w:szCs w:val="24"/>
        </w:rPr>
        <w:t>resultantes de las subastas adelantadas por el Ministerio de Minas y Energía</w:t>
      </w:r>
      <w:r w:rsidR="00FE7A6C">
        <w:rPr>
          <w:rFonts w:cs="Arial"/>
          <w:spacing w:val="0"/>
          <w:sz w:val="24"/>
          <w:szCs w:val="24"/>
        </w:rPr>
        <w:t xml:space="preserve"> para dar cumplimiento a lo dispuesto en los artículos 1 a 5 de la Resolución</w:t>
      </w:r>
      <w:r w:rsidR="00FE7A6C" w:rsidRPr="00FE7A6C">
        <w:rPr>
          <w:rFonts w:cs="Arial"/>
          <w:spacing w:val="0"/>
          <w:sz w:val="24"/>
          <w:szCs w:val="24"/>
        </w:rPr>
        <w:t xml:space="preserve"> CREG 101 029 de 2022</w:t>
      </w:r>
      <w:r w:rsidR="006713CA">
        <w:rPr>
          <w:rFonts w:cs="Arial"/>
          <w:spacing w:val="0"/>
          <w:sz w:val="24"/>
          <w:szCs w:val="24"/>
        </w:rPr>
        <w:t xml:space="preserve">. </w:t>
      </w:r>
    </w:p>
    <w:p w14:paraId="5EF6C4A4" w14:textId="4B31ED17" w:rsidR="006713CA" w:rsidRDefault="006713CA" w:rsidP="003D65E2">
      <w:pPr>
        <w:pStyle w:val="Textoindependiente"/>
        <w:spacing w:before="240" w:after="360" w:line="360" w:lineRule="auto"/>
        <w:ind w:left="709"/>
        <w:rPr>
          <w:rFonts w:cs="Arial"/>
          <w:spacing w:val="0"/>
          <w:sz w:val="24"/>
          <w:szCs w:val="24"/>
        </w:rPr>
      </w:pPr>
      <w:r>
        <w:rPr>
          <w:rFonts w:cs="Arial"/>
          <w:spacing w:val="0"/>
          <w:sz w:val="24"/>
          <w:szCs w:val="24"/>
        </w:rPr>
        <w:t xml:space="preserve">Al respecto </w:t>
      </w:r>
      <w:r w:rsidR="005031B8">
        <w:rPr>
          <w:rFonts w:cs="Arial"/>
          <w:spacing w:val="0"/>
          <w:sz w:val="24"/>
          <w:szCs w:val="24"/>
        </w:rPr>
        <w:t xml:space="preserve">se precisa que </w:t>
      </w:r>
      <w:r w:rsidR="00FE7A6C">
        <w:rPr>
          <w:rFonts w:cs="Arial"/>
          <w:spacing w:val="0"/>
          <w:sz w:val="24"/>
          <w:szCs w:val="24"/>
        </w:rPr>
        <w:t>los artículos 1 a 5 de la Resolución</w:t>
      </w:r>
      <w:r w:rsidR="00FE7A6C" w:rsidRPr="00FE7A6C">
        <w:rPr>
          <w:rFonts w:cs="Arial"/>
          <w:spacing w:val="0"/>
          <w:sz w:val="24"/>
          <w:szCs w:val="24"/>
        </w:rPr>
        <w:t xml:space="preserve"> CREG 101 029 de 2022</w:t>
      </w:r>
      <w:r w:rsidR="00FE7A6C">
        <w:rPr>
          <w:rFonts w:cs="Arial"/>
          <w:spacing w:val="0"/>
          <w:sz w:val="24"/>
          <w:szCs w:val="24"/>
        </w:rPr>
        <w:t xml:space="preserve"> no </w:t>
      </w:r>
      <w:r w:rsidR="00BD021F">
        <w:rPr>
          <w:rFonts w:cs="Arial"/>
          <w:spacing w:val="0"/>
          <w:sz w:val="24"/>
          <w:szCs w:val="24"/>
        </w:rPr>
        <w:t xml:space="preserve">aplican a </w:t>
      </w:r>
      <w:r w:rsidR="005031B8">
        <w:rPr>
          <w:rFonts w:cs="Arial"/>
          <w:spacing w:val="0"/>
          <w:sz w:val="24"/>
          <w:szCs w:val="24"/>
        </w:rPr>
        <w:t>los contratos suscritos como resultado de las subastas convocadas por el Ministerio de Minas y Energía</w:t>
      </w:r>
      <w:r w:rsidR="00B069BC">
        <w:rPr>
          <w:rFonts w:cs="Arial"/>
          <w:spacing w:val="0"/>
          <w:sz w:val="24"/>
          <w:szCs w:val="24"/>
        </w:rPr>
        <w:t>,</w:t>
      </w:r>
      <w:r w:rsidR="005031B8">
        <w:rPr>
          <w:rFonts w:cs="Arial"/>
          <w:spacing w:val="0"/>
          <w:sz w:val="24"/>
          <w:szCs w:val="24"/>
        </w:rPr>
        <w:t xml:space="preserve"> </w:t>
      </w:r>
      <w:r w:rsidR="00BD021F">
        <w:rPr>
          <w:rFonts w:cs="Arial"/>
          <w:spacing w:val="0"/>
          <w:sz w:val="24"/>
          <w:szCs w:val="24"/>
        </w:rPr>
        <w:t xml:space="preserve">en tanto que las condiciones particulares de </w:t>
      </w:r>
      <w:r w:rsidR="007E3FF7">
        <w:rPr>
          <w:rFonts w:cs="Arial"/>
          <w:spacing w:val="0"/>
          <w:sz w:val="24"/>
          <w:szCs w:val="24"/>
        </w:rPr>
        <w:t xml:space="preserve">los mencionados contratos </w:t>
      </w:r>
      <w:r w:rsidR="005031B8">
        <w:rPr>
          <w:rFonts w:cs="Arial"/>
          <w:spacing w:val="0"/>
          <w:sz w:val="24"/>
          <w:szCs w:val="24"/>
        </w:rPr>
        <w:t>fueron definidas por dicha entidad</w:t>
      </w:r>
      <w:r w:rsidR="00402539">
        <w:rPr>
          <w:rFonts w:cs="Arial"/>
          <w:spacing w:val="0"/>
          <w:sz w:val="24"/>
          <w:szCs w:val="24"/>
        </w:rPr>
        <w:t>,</w:t>
      </w:r>
      <w:r w:rsidR="005031B8">
        <w:rPr>
          <w:rFonts w:cs="Arial"/>
          <w:spacing w:val="0"/>
          <w:sz w:val="24"/>
          <w:szCs w:val="24"/>
        </w:rPr>
        <w:t xml:space="preserve"> </w:t>
      </w:r>
      <w:r w:rsidR="00481A72" w:rsidRPr="003D65E2">
        <w:rPr>
          <w:rFonts w:cs="Arial"/>
          <w:spacing w:val="0"/>
          <w:sz w:val="24"/>
          <w:szCs w:val="24"/>
        </w:rPr>
        <w:t>por lo que no compete a la Comisión lo relacionado con su modificación</w:t>
      </w:r>
      <w:r w:rsidR="007E3FF7" w:rsidRPr="00481A72">
        <w:rPr>
          <w:rFonts w:cs="Arial"/>
          <w:spacing w:val="0"/>
          <w:sz w:val="24"/>
          <w:szCs w:val="24"/>
        </w:rPr>
        <w:t>.</w:t>
      </w:r>
      <w:r w:rsidR="008E6DBB" w:rsidRPr="00481A72">
        <w:rPr>
          <w:rFonts w:cs="Arial"/>
          <w:spacing w:val="0"/>
          <w:sz w:val="24"/>
          <w:szCs w:val="24"/>
        </w:rPr>
        <w:t xml:space="preserve"> </w:t>
      </w:r>
      <w:r w:rsidR="00080736">
        <w:rPr>
          <w:rFonts w:cs="Arial"/>
          <w:spacing w:val="0"/>
          <w:sz w:val="24"/>
          <w:szCs w:val="24"/>
        </w:rPr>
        <w:t>C</w:t>
      </w:r>
      <w:r w:rsidR="008E6DBB">
        <w:rPr>
          <w:rFonts w:cs="Arial"/>
          <w:spacing w:val="0"/>
          <w:sz w:val="24"/>
          <w:szCs w:val="24"/>
        </w:rPr>
        <w:t xml:space="preserve">ualquier </w:t>
      </w:r>
      <w:r w:rsidR="007619F8">
        <w:rPr>
          <w:rFonts w:cs="Arial"/>
          <w:spacing w:val="0"/>
          <w:sz w:val="24"/>
          <w:szCs w:val="24"/>
        </w:rPr>
        <w:t xml:space="preserve">ajuste </w:t>
      </w:r>
      <w:r w:rsidR="008E6DBB">
        <w:rPr>
          <w:rFonts w:cs="Arial"/>
          <w:spacing w:val="0"/>
          <w:sz w:val="24"/>
          <w:szCs w:val="24"/>
        </w:rPr>
        <w:t>a dichos contratos estará sujet</w:t>
      </w:r>
      <w:r w:rsidR="007619F8">
        <w:rPr>
          <w:rFonts w:cs="Arial"/>
          <w:spacing w:val="0"/>
          <w:sz w:val="24"/>
          <w:szCs w:val="24"/>
        </w:rPr>
        <w:t>o</w:t>
      </w:r>
      <w:r w:rsidR="008E6DBB">
        <w:rPr>
          <w:rFonts w:cs="Arial"/>
          <w:spacing w:val="0"/>
          <w:sz w:val="24"/>
          <w:szCs w:val="24"/>
        </w:rPr>
        <w:t xml:space="preserve"> a lo definido en ellos y a lo dispuesto en la </w:t>
      </w:r>
      <w:r w:rsidR="008E6DBB" w:rsidRPr="008E6DBB">
        <w:rPr>
          <w:rFonts w:cs="Arial"/>
          <w:spacing w:val="0"/>
          <w:sz w:val="24"/>
          <w:szCs w:val="24"/>
        </w:rPr>
        <w:t>Resolución 40590 de 2019</w:t>
      </w:r>
      <w:r w:rsidR="008E6DBB">
        <w:rPr>
          <w:rFonts w:cs="Arial"/>
          <w:spacing w:val="0"/>
          <w:sz w:val="24"/>
          <w:szCs w:val="24"/>
        </w:rPr>
        <w:t xml:space="preserve"> del Ministerio de Minas y Energía</w:t>
      </w:r>
      <w:r w:rsidR="007619F8">
        <w:rPr>
          <w:rFonts w:cs="Arial"/>
          <w:spacing w:val="0"/>
          <w:sz w:val="24"/>
          <w:szCs w:val="24"/>
        </w:rPr>
        <w:t xml:space="preserve"> y demás disposiciones que la modifiquen o adicionen. </w:t>
      </w:r>
    </w:p>
    <w:p w14:paraId="27E81E67" w14:textId="6C4619AF" w:rsidR="00F00EE1" w:rsidRDefault="00DC3EE3" w:rsidP="003D65E2">
      <w:pPr>
        <w:pStyle w:val="Textoindependiente"/>
        <w:numPr>
          <w:ilvl w:val="0"/>
          <w:numId w:val="4"/>
        </w:numPr>
        <w:spacing w:before="240" w:after="360" w:line="360" w:lineRule="auto"/>
        <w:rPr>
          <w:rFonts w:cs="Arial"/>
          <w:spacing w:val="0"/>
          <w:sz w:val="24"/>
          <w:szCs w:val="24"/>
        </w:rPr>
      </w:pPr>
      <w:r>
        <w:rPr>
          <w:rFonts w:cs="Arial"/>
          <w:spacing w:val="0"/>
          <w:sz w:val="24"/>
          <w:szCs w:val="24"/>
        </w:rPr>
        <w:lastRenderedPageBreak/>
        <w:t xml:space="preserve">Adicionalmente, esta Comisión se permite </w:t>
      </w:r>
      <w:r w:rsidR="00BA3AE2">
        <w:rPr>
          <w:rFonts w:cs="Arial"/>
          <w:spacing w:val="0"/>
          <w:sz w:val="24"/>
          <w:szCs w:val="24"/>
        </w:rPr>
        <w:t>resaltar lo descrito en el Documento soporte de la Resolución CREG 101 029 de 2022</w:t>
      </w:r>
      <w:r w:rsidR="00F00EE1">
        <w:rPr>
          <w:rFonts w:cs="Arial"/>
          <w:spacing w:val="0"/>
          <w:sz w:val="24"/>
          <w:szCs w:val="24"/>
        </w:rPr>
        <w:t>, ante</w:t>
      </w:r>
      <w:r w:rsidRPr="003D65E2">
        <w:rPr>
          <w:rFonts w:cs="Arial"/>
          <w:spacing w:val="0"/>
          <w:sz w:val="24"/>
          <w:szCs w:val="24"/>
        </w:rPr>
        <w:t xml:space="preserve"> la posibilidad de ofrecer condiciones diferenciales en la renegociación de los contratos entre generadores y comercializadores</w:t>
      </w:r>
      <w:r w:rsidR="00F00EE1">
        <w:rPr>
          <w:rFonts w:cs="Arial"/>
          <w:spacing w:val="0"/>
          <w:sz w:val="24"/>
          <w:szCs w:val="24"/>
        </w:rPr>
        <w:t>, para lo cual se señaló lo siguiente:</w:t>
      </w:r>
    </w:p>
    <w:p w14:paraId="5D52638D" w14:textId="452C5E19" w:rsidR="00DC3EE3" w:rsidRPr="003D65E2" w:rsidRDefault="00F00EE1" w:rsidP="003D65E2">
      <w:pPr>
        <w:pStyle w:val="Textoindependiente"/>
        <w:spacing w:before="240" w:after="360" w:line="360" w:lineRule="auto"/>
        <w:ind w:left="709"/>
        <w:rPr>
          <w:rFonts w:cs="Arial"/>
          <w:i/>
          <w:iCs/>
          <w:spacing w:val="0"/>
          <w:sz w:val="24"/>
          <w:szCs w:val="24"/>
        </w:rPr>
      </w:pPr>
      <w:r w:rsidRPr="003D65E2">
        <w:rPr>
          <w:rFonts w:cs="Arial"/>
          <w:i/>
          <w:iCs/>
          <w:spacing w:val="0"/>
          <w:sz w:val="24"/>
          <w:szCs w:val="24"/>
        </w:rPr>
        <w:t>“</w:t>
      </w:r>
      <w:r w:rsidR="004E25A0">
        <w:rPr>
          <w:rFonts w:cs="Arial"/>
          <w:i/>
          <w:iCs/>
          <w:spacing w:val="0"/>
          <w:sz w:val="24"/>
          <w:szCs w:val="24"/>
        </w:rPr>
        <w:t xml:space="preserve">(…) </w:t>
      </w:r>
      <w:r w:rsidR="00DC3EE3" w:rsidRPr="003D65E2">
        <w:rPr>
          <w:rFonts w:cs="Arial"/>
          <w:i/>
          <w:iCs/>
          <w:spacing w:val="0"/>
          <w:sz w:val="24"/>
          <w:szCs w:val="24"/>
        </w:rPr>
        <w:t>es pertinente mencionar en este punto lo dispuesto en el artículo 19 de la Resolución CREG 080 de 2019, que señala la obligación para los agentes de “otorgar el mismo tratamiento, jurídica y fácticamente, a usuarios o prestadores con quienes realicen procedimientos o con quienes negocien o sostengan relaciones comerciales asociadas a la ejecución de actividades propias de la prestación de los servicios públicos de los que trata esta resolución y que se encuentren en condiciones análogas”; para lo cual “deben abstenerse de utilizar mecanismos, estrategias o cualquier otro instrumento que tenga la capacidad, el propósito o el efecto de discriminar entre usuarios o entre prestadores con características análogas”.</w:t>
      </w:r>
    </w:p>
    <w:p w14:paraId="7B75332F" w14:textId="77777777" w:rsidR="00DC3EE3" w:rsidRPr="003D65E2" w:rsidRDefault="00DC3EE3" w:rsidP="003D65E2">
      <w:pPr>
        <w:pStyle w:val="Textoindependiente"/>
        <w:spacing w:before="240" w:after="360" w:line="360" w:lineRule="auto"/>
        <w:ind w:left="709"/>
        <w:rPr>
          <w:rFonts w:cs="Arial"/>
          <w:i/>
          <w:iCs/>
          <w:spacing w:val="0"/>
          <w:sz w:val="24"/>
          <w:szCs w:val="24"/>
        </w:rPr>
      </w:pPr>
      <w:r w:rsidRPr="003D65E2">
        <w:rPr>
          <w:rFonts w:cs="Arial"/>
          <w:i/>
          <w:iCs/>
          <w:spacing w:val="0"/>
          <w:sz w:val="24"/>
          <w:szCs w:val="24"/>
        </w:rPr>
        <w:t>Se debe tener presente, además, que el mismo artículo establece: “excepcionalmente, si existen razones explícitas, objetivas, verificables y previamente definidas, los agentes podrán apartarse del cumplimiento de las obligaciones contenidas en este artículo. Dichas razones deben estar documentadas y ser verificables por parte de las autoridades de vigilancia y control”.</w:t>
      </w:r>
    </w:p>
    <w:p w14:paraId="6AFB9E93" w14:textId="77777777" w:rsidR="00DC3EE3" w:rsidRPr="003D65E2" w:rsidRDefault="00DC3EE3" w:rsidP="003D65E2">
      <w:pPr>
        <w:pStyle w:val="Textoindependiente"/>
        <w:spacing w:before="240" w:after="360" w:line="360" w:lineRule="auto"/>
        <w:ind w:left="709"/>
        <w:rPr>
          <w:rFonts w:cs="Arial"/>
          <w:spacing w:val="0"/>
          <w:sz w:val="24"/>
          <w:szCs w:val="24"/>
        </w:rPr>
      </w:pPr>
      <w:r w:rsidRPr="003D65E2">
        <w:rPr>
          <w:rFonts w:cs="Arial"/>
          <w:i/>
          <w:iCs/>
          <w:spacing w:val="0"/>
          <w:sz w:val="24"/>
          <w:szCs w:val="24"/>
        </w:rPr>
        <w:t>La regla general de comportamiento establecida en el artículo 19 de la Resolución CREG 080 de 2019 es la de dar tratamiento neutral a usuarios o prestadores con características análogas. Cuando se trata de usuarios o prestadores con características que no son análogas, tal neutralidad no sería exigible.</w:t>
      </w:r>
    </w:p>
    <w:p w14:paraId="4ED4C85D" w14:textId="77777777" w:rsidR="00DC3EE3" w:rsidRPr="003D65E2" w:rsidRDefault="00DC3EE3" w:rsidP="003D65E2">
      <w:pPr>
        <w:pStyle w:val="Textoindependiente"/>
        <w:spacing w:before="240" w:after="360" w:line="360" w:lineRule="auto"/>
        <w:ind w:left="709"/>
        <w:rPr>
          <w:rFonts w:cs="Arial"/>
          <w:i/>
          <w:iCs/>
          <w:spacing w:val="0"/>
          <w:sz w:val="24"/>
          <w:szCs w:val="24"/>
        </w:rPr>
      </w:pPr>
      <w:r w:rsidRPr="003D65E2">
        <w:rPr>
          <w:rFonts w:cs="Arial"/>
          <w:i/>
          <w:iCs/>
          <w:spacing w:val="0"/>
          <w:sz w:val="24"/>
          <w:szCs w:val="24"/>
        </w:rPr>
        <w:lastRenderedPageBreak/>
        <w:t>Por ejemplo, no sería contraria a los fines regulatorios la discriminación de precios que se deriva de las particularidades de un mercado, como las características de su demanda, las condiciones de oferta o, en general, otras condiciones de mercado que sean explícitas, objetivas, verificables y que sean definidas en las condiciones contractuales.</w:t>
      </w:r>
    </w:p>
    <w:p w14:paraId="22A57657" w14:textId="6714DC71" w:rsidR="00DC3EE3" w:rsidRPr="003D65E2" w:rsidRDefault="00DC3EE3" w:rsidP="003D65E2">
      <w:pPr>
        <w:pStyle w:val="Textoindependiente"/>
        <w:spacing w:before="240" w:after="360" w:line="360" w:lineRule="auto"/>
        <w:ind w:left="709"/>
        <w:rPr>
          <w:rFonts w:cs="Arial"/>
          <w:spacing w:val="0"/>
          <w:sz w:val="24"/>
          <w:szCs w:val="24"/>
        </w:rPr>
      </w:pPr>
      <w:r w:rsidRPr="003D65E2">
        <w:rPr>
          <w:rFonts w:cs="Arial"/>
          <w:i/>
          <w:iCs/>
          <w:spacing w:val="0"/>
          <w:sz w:val="24"/>
          <w:szCs w:val="24"/>
        </w:rPr>
        <w:t>Un usuario o prestador que pertenece a un mercado cuyas características lo diferencian claramente de otro mercado, no se encuentra en condiciones análogas a un usuario o prestador que pertenece a este último.</w:t>
      </w:r>
      <w:r w:rsidR="004E25A0">
        <w:rPr>
          <w:rFonts w:cs="Arial"/>
          <w:i/>
          <w:iCs/>
          <w:spacing w:val="0"/>
          <w:sz w:val="24"/>
          <w:szCs w:val="24"/>
        </w:rPr>
        <w:t>”</w:t>
      </w:r>
    </w:p>
    <w:p w14:paraId="14CA4A7B" w14:textId="60E208C2" w:rsidR="004737D9" w:rsidRDefault="00DE381D" w:rsidP="00DC3EE3">
      <w:pPr>
        <w:pStyle w:val="Textoindependiente"/>
        <w:spacing w:after="960" w:line="240" w:lineRule="auto"/>
        <w:rPr>
          <w:rFonts w:cs="Arial"/>
          <w:b/>
          <w:bCs/>
          <w:sz w:val="24"/>
          <w:szCs w:val="24"/>
        </w:rPr>
      </w:pPr>
      <w:r w:rsidRPr="00223349">
        <w:rPr>
          <w:rFonts w:cs="Arial"/>
          <w:spacing w:val="0"/>
          <w:sz w:val="24"/>
          <w:szCs w:val="24"/>
        </w:rPr>
        <w:t>Cordialmente,</w:t>
      </w:r>
    </w:p>
    <w:p w14:paraId="52153070" w14:textId="29509E01" w:rsidR="00DE381D" w:rsidRPr="00242A5A" w:rsidRDefault="00DE381D" w:rsidP="00B069BC">
      <w:pPr>
        <w:pStyle w:val="Textoindependiente"/>
        <w:spacing w:after="0" w:line="240" w:lineRule="auto"/>
        <w:jc w:val="center"/>
        <w:rPr>
          <w:rFonts w:cs="Arial"/>
          <w:b/>
          <w:bCs/>
          <w:sz w:val="24"/>
          <w:szCs w:val="24"/>
        </w:rPr>
      </w:pPr>
      <w:r w:rsidRPr="00242A5A">
        <w:rPr>
          <w:rFonts w:cs="Arial"/>
          <w:b/>
          <w:bCs/>
          <w:sz w:val="24"/>
          <w:szCs w:val="24"/>
        </w:rPr>
        <w:t>JORGE ALBERTO VALENCIA MAR</w:t>
      </w:r>
      <w:r w:rsidR="00242A5A">
        <w:rPr>
          <w:rFonts w:cs="Arial"/>
          <w:b/>
          <w:bCs/>
          <w:sz w:val="24"/>
          <w:szCs w:val="24"/>
        </w:rPr>
        <w:t>Í</w:t>
      </w:r>
      <w:r w:rsidRPr="00242A5A">
        <w:rPr>
          <w:rFonts w:cs="Arial"/>
          <w:b/>
          <w:bCs/>
          <w:sz w:val="24"/>
          <w:szCs w:val="24"/>
        </w:rPr>
        <w:t>N</w:t>
      </w:r>
    </w:p>
    <w:sectPr w:rsidR="00DE381D" w:rsidRPr="00242A5A" w:rsidSect="008B0943">
      <w:headerReference w:type="default" r:id="rId8"/>
      <w:footerReference w:type="default" r:id="rId9"/>
      <w:headerReference w:type="first" r:id="rId10"/>
      <w:footerReference w:type="first" r:id="rId11"/>
      <w:pgSz w:w="12240" w:h="15840"/>
      <w:pgMar w:top="1979" w:right="1418" w:bottom="1985" w:left="1418" w:header="156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C92FC" w14:textId="77777777" w:rsidR="00F0154E" w:rsidRDefault="00F0154E" w:rsidP="00AA0519">
      <w:r>
        <w:separator/>
      </w:r>
    </w:p>
  </w:endnote>
  <w:endnote w:type="continuationSeparator" w:id="0">
    <w:p w14:paraId="5C79C480" w14:textId="77777777" w:rsidR="00F0154E" w:rsidRDefault="00F0154E" w:rsidP="00AA0519">
      <w:r>
        <w:continuationSeparator/>
      </w:r>
    </w:p>
  </w:endnote>
  <w:endnote w:type="continuationNotice" w:id="1">
    <w:p w14:paraId="7427882E" w14:textId="77777777" w:rsidR="00F0154E" w:rsidRDefault="00F0154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3481B366" w:rsidR="00735E1F" w:rsidRDefault="003B1FEC" w:rsidP="00735E1F">
    <w:pPr>
      <w:jc w:val="center"/>
    </w:pPr>
    <w:r>
      <w:rPr>
        <w:noProof/>
      </w:rPr>
      <w:drawing>
        <wp:anchor distT="0" distB="0" distL="114300" distR="114300" simplePos="0" relativeHeight="251658243" behindDoc="1" locked="0" layoutInCell="1" allowOverlap="1" wp14:anchorId="6ECC2AB7" wp14:editId="1949C643">
          <wp:simplePos x="0" y="0"/>
          <wp:positionH relativeFrom="margin">
            <wp:posOffset>-905789</wp:posOffset>
          </wp:positionH>
          <wp:positionV relativeFrom="paragraph">
            <wp:posOffset>-401320</wp:posOffset>
          </wp:positionV>
          <wp:extent cx="7750098" cy="1248555"/>
          <wp:effectExtent l="0" t="0" r="3810" b="8890"/>
          <wp:wrapNone/>
          <wp:docPr id="2" name="Imagen 2"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50098" cy="124855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1ED06985" w:rsidR="003F2F4B" w:rsidRDefault="003B1FEC" w:rsidP="003F2F4B">
    <w:pPr>
      <w:jc w:val="center"/>
    </w:pPr>
    <w:r>
      <w:rPr>
        <w:noProof/>
      </w:rPr>
      <w:drawing>
        <wp:anchor distT="0" distB="0" distL="114300" distR="114300" simplePos="0" relativeHeight="251658242" behindDoc="1" locked="0" layoutInCell="1" allowOverlap="1" wp14:anchorId="7CCCAF8A" wp14:editId="5E0A0A50">
          <wp:simplePos x="0" y="0"/>
          <wp:positionH relativeFrom="page">
            <wp:align>right</wp:align>
          </wp:positionH>
          <wp:positionV relativeFrom="paragraph">
            <wp:posOffset>-401247</wp:posOffset>
          </wp:positionV>
          <wp:extent cx="7750098" cy="1248555"/>
          <wp:effectExtent l="0" t="0" r="3810" b="8890"/>
          <wp:wrapNone/>
          <wp:docPr id="1" name="Imagen 1"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50098" cy="12485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5366B" w14:textId="77777777" w:rsidR="00F0154E" w:rsidRDefault="00F0154E" w:rsidP="00AA0519">
      <w:r>
        <w:separator/>
      </w:r>
    </w:p>
  </w:footnote>
  <w:footnote w:type="continuationSeparator" w:id="0">
    <w:p w14:paraId="1DF843EF" w14:textId="77777777" w:rsidR="00F0154E" w:rsidRDefault="00F0154E" w:rsidP="00AA0519">
      <w:r>
        <w:continuationSeparator/>
      </w:r>
    </w:p>
  </w:footnote>
  <w:footnote w:type="continuationNotice" w:id="1">
    <w:p w14:paraId="7D329076" w14:textId="77777777" w:rsidR="00F0154E" w:rsidRDefault="00F0154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88324" w14:textId="445631C7" w:rsidR="003F2F4B" w:rsidRPr="00C9169C" w:rsidRDefault="008B0943" w:rsidP="002E0B21">
    <w:pPr>
      <w:pStyle w:val="Destinario"/>
      <w:spacing w:before="240"/>
      <w:rPr>
        <w:sz w:val="22"/>
        <w:szCs w:val="22"/>
        <w:lang w:val="es-ES"/>
      </w:rPr>
    </w:pPr>
    <w:r w:rsidRPr="00C9169C">
      <w:rPr>
        <w:rStyle w:val="DestinatariosegundapginaCar"/>
        <w:noProof/>
        <w:sz w:val="20"/>
        <w:szCs w:val="20"/>
      </w:rPr>
      <w:drawing>
        <wp:anchor distT="0" distB="0" distL="114300" distR="114300" simplePos="0" relativeHeight="251658241" behindDoc="1" locked="0" layoutInCell="1" allowOverlap="1" wp14:anchorId="012A5AF7" wp14:editId="6D6C418E">
          <wp:simplePos x="0" y="0"/>
          <wp:positionH relativeFrom="column">
            <wp:posOffset>-366849</wp:posOffset>
          </wp:positionH>
          <wp:positionV relativeFrom="paragraph">
            <wp:posOffset>-661942</wp:posOffset>
          </wp:positionV>
          <wp:extent cx="1104900" cy="618490"/>
          <wp:effectExtent l="0" t="0" r="0" b="0"/>
          <wp:wrapNone/>
          <wp:docPr id="30" name="Imagen 30" descr="Logo de la Comisión de Regulación de Energía y Gas, CRE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 de la Comisión de Regulación de Energía y Gas, CREG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304C0F04" w:rsidR="00F82573" w:rsidRDefault="008622F2" w:rsidP="008622F2">
    <w:pPr>
      <w:pStyle w:val="Encabezado"/>
      <w:tabs>
        <w:tab w:val="clear" w:pos="4419"/>
        <w:tab w:val="left" w:pos="7274"/>
      </w:tabs>
      <w:ind w:right="-1369"/>
      <w:jc w:val="both"/>
    </w:pPr>
    <w:r>
      <w:rPr>
        <w:noProof/>
      </w:rPr>
      <w:drawing>
        <wp:anchor distT="0" distB="0" distL="114300" distR="114300" simplePos="0" relativeHeight="251658244" behindDoc="1" locked="0" layoutInCell="1" allowOverlap="1" wp14:anchorId="51615789" wp14:editId="4FD35EA8">
          <wp:simplePos x="0" y="0"/>
          <wp:positionH relativeFrom="column">
            <wp:posOffset>3276600</wp:posOffset>
          </wp:positionH>
          <wp:positionV relativeFrom="paragraph">
            <wp:posOffset>-419735</wp:posOffset>
          </wp:positionV>
          <wp:extent cx="3346234" cy="527857"/>
          <wp:effectExtent l="0" t="0" r="6985" b="5715"/>
          <wp:wrapNone/>
          <wp:docPr id="4" name="Imagen 4"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3346234" cy="52785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12C51612" wp14:editId="7FB152BD">
          <wp:simplePos x="0" y="0"/>
          <wp:positionH relativeFrom="column">
            <wp:posOffset>-471805</wp:posOffset>
          </wp:positionH>
          <wp:positionV relativeFrom="paragraph">
            <wp:posOffset>-527685</wp:posOffset>
          </wp:positionV>
          <wp:extent cx="1104900" cy="618490"/>
          <wp:effectExtent l="0" t="0" r="0" b="0"/>
          <wp:wrapNone/>
          <wp:docPr id="33" name="Imagen 33"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de la Comisión de Regulación de Energía y Gas, CR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82BF2"/>
    <w:multiLevelType w:val="hybridMultilevel"/>
    <w:tmpl w:val="46440D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6F14CB5"/>
    <w:multiLevelType w:val="hybridMultilevel"/>
    <w:tmpl w:val="EE26B080"/>
    <w:lvl w:ilvl="0" w:tplc="B1429DB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7AF47B3"/>
    <w:multiLevelType w:val="hybridMultilevel"/>
    <w:tmpl w:val="DA741E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AEE5FB4"/>
    <w:multiLevelType w:val="hybridMultilevel"/>
    <w:tmpl w:val="3BDA8C22"/>
    <w:lvl w:ilvl="0" w:tplc="B1429DB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71198491">
    <w:abstractNumId w:val="0"/>
  </w:num>
  <w:num w:numId="2" w16cid:durableId="1944025544">
    <w:abstractNumId w:val="1"/>
  </w:num>
  <w:num w:numId="3" w16cid:durableId="1221864057">
    <w:abstractNumId w:val="3"/>
  </w:num>
  <w:num w:numId="4" w16cid:durableId="1184320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04C45"/>
    <w:rsid w:val="00011EC2"/>
    <w:rsid w:val="0001281F"/>
    <w:rsid w:val="0004025C"/>
    <w:rsid w:val="00046BDF"/>
    <w:rsid w:val="00053206"/>
    <w:rsid w:val="00060AD6"/>
    <w:rsid w:val="00060CBB"/>
    <w:rsid w:val="000626A9"/>
    <w:rsid w:val="0006325B"/>
    <w:rsid w:val="00063856"/>
    <w:rsid w:val="00071BA7"/>
    <w:rsid w:val="00074D17"/>
    <w:rsid w:val="00080736"/>
    <w:rsid w:val="0008168D"/>
    <w:rsid w:val="00082470"/>
    <w:rsid w:val="00091ACC"/>
    <w:rsid w:val="000B1623"/>
    <w:rsid w:val="000B439A"/>
    <w:rsid w:val="000C3B47"/>
    <w:rsid w:val="000C626F"/>
    <w:rsid w:val="000F0227"/>
    <w:rsid w:val="000F11F6"/>
    <w:rsid w:val="000F38B4"/>
    <w:rsid w:val="001019AE"/>
    <w:rsid w:val="00110F53"/>
    <w:rsid w:val="001215BB"/>
    <w:rsid w:val="00121DAE"/>
    <w:rsid w:val="00124C31"/>
    <w:rsid w:val="00137991"/>
    <w:rsid w:val="0014353D"/>
    <w:rsid w:val="00153BE7"/>
    <w:rsid w:val="00157A19"/>
    <w:rsid w:val="0016467A"/>
    <w:rsid w:val="0017389A"/>
    <w:rsid w:val="00180792"/>
    <w:rsid w:val="00194797"/>
    <w:rsid w:val="001B03B6"/>
    <w:rsid w:val="001C3EC4"/>
    <w:rsid w:val="001D3064"/>
    <w:rsid w:val="001E2DD2"/>
    <w:rsid w:val="001F303A"/>
    <w:rsid w:val="001F47AB"/>
    <w:rsid w:val="002273CB"/>
    <w:rsid w:val="002302DC"/>
    <w:rsid w:val="0024085D"/>
    <w:rsid w:val="00242A5A"/>
    <w:rsid w:val="002647D6"/>
    <w:rsid w:val="002A3070"/>
    <w:rsid w:val="002A4B2F"/>
    <w:rsid w:val="002B341D"/>
    <w:rsid w:val="002C26C3"/>
    <w:rsid w:val="002C4D4F"/>
    <w:rsid w:val="002C7284"/>
    <w:rsid w:val="002C7D5C"/>
    <w:rsid w:val="002D3C26"/>
    <w:rsid w:val="002E0B21"/>
    <w:rsid w:val="002F440B"/>
    <w:rsid w:val="002F7974"/>
    <w:rsid w:val="003060E4"/>
    <w:rsid w:val="00317D0E"/>
    <w:rsid w:val="00324760"/>
    <w:rsid w:val="003269A3"/>
    <w:rsid w:val="00327B2C"/>
    <w:rsid w:val="00327B59"/>
    <w:rsid w:val="00330550"/>
    <w:rsid w:val="00331D17"/>
    <w:rsid w:val="00337663"/>
    <w:rsid w:val="00353D1D"/>
    <w:rsid w:val="00354BBC"/>
    <w:rsid w:val="00361DFF"/>
    <w:rsid w:val="00365889"/>
    <w:rsid w:val="00373116"/>
    <w:rsid w:val="00374514"/>
    <w:rsid w:val="0038014E"/>
    <w:rsid w:val="003923BE"/>
    <w:rsid w:val="003A1C0D"/>
    <w:rsid w:val="003A7FC9"/>
    <w:rsid w:val="003B1FEC"/>
    <w:rsid w:val="003C1E8E"/>
    <w:rsid w:val="003C7E1C"/>
    <w:rsid w:val="003D65E2"/>
    <w:rsid w:val="003E01AB"/>
    <w:rsid w:val="003F2F4B"/>
    <w:rsid w:val="003F5358"/>
    <w:rsid w:val="00402539"/>
    <w:rsid w:val="00402AC6"/>
    <w:rsid w:val="004170AF"/>
    <w:rsid w:val="004204C6"/>
    <w:rsid w:val="0045064D"/>
    <w:rsid w:val="004524EB"/>
    <w:rsid w:val="00456720"/>
    <w:rsid w:val="00457CC2"/>
    <w:rsid w:val="00462012"/>
    <w:rsid w:val="00463831"/>
    <w:rsid w:val="004737D9"/>
    <w:rsid w:val="00475840"/>
    <w:rsid w:val="00481A72"/>
    <w:rsid w:val="00483D6B"/>
    <w:rsid w:val="004942CB"/>
    <w:rsid w:val="004963BD"/>
    <w:rsid w:val="004A077E"/>
    <w:rsid w:val="004A5A88"/>
    <w:rsid w:val="004A6CAB"/>
    <w:rsid w:val="004C0855"/>
    <w:rsid w:val="004C69B7"/>
    <w:rsid w:val="004C6A03"/>
    <w:rsid w:val="004E25A0"/>
    <w:rsid w:val="004F23D6"/>
    <w:rsid w:val="005031B8"/>
    <w:rsid w:val="00506D02"/>
    <w:rsid w:val="005154E7"/>
    <w:rsid w:val="00515BEF"/>
    <w:rsid w:val="005313B5"/>
    <w:rsid w:val="005663FE"/>
    <w:rsid w:val="00566D4E"/>
    <w:rsid w:val="005723D7"/>
    <w:rsid w:val="00573D30"/>
    <w:rsid w:val="00587F12"/>
    <w:rsid w:val="00591394"/>
    <w:rsid w:val="00595F3A"/>
    <w:rsid w:val="005A400D"/>
    <w:rsid w:val="005A4453"/>
    <w:rsid w:val="005B4F83"/>
    <w:rsid w:val="005B53D9"/>
    <w:rsid w:val="005B5736"/>
    <w:rsid w:val="005C18DF"/>
    <w:rsid w:val="005C287A"/>
    <w:rsid w:val="005C42EC"/>
    <w:rsid w:val="005C4D3B"/>
    <w:rsid w:val="005D7D66"/>
    <w:rsid w:val="005E366C"/>
    <w:rsid w:val="005F6877"/>
    <w:rsid w:val="00602072"/>
    <w:rsid w:val="0060443C"/>
    <w:rsid w:val="00611DF0"/>
    <w:rsid w:val="006328E6"/>
    <w:rsid w:val="0064307E"/>
    <w:rsid w:val="00651863"/>
    <w:rsid w:val="00662539"/>
    <w:rsid w:val="006629AD"/>
    <w:rsid w:val="006713CA"/>
    <w:rsid w:val="0067213E"/>
    <w:rsid w:val="00675C96"/>
    <w:rsid w:val="00681ED2"/>
    <w:rsid w:val="006922E6"/>
    <w:rsid w:val="00696252"/>
    <w:rsid w:val="006A4BBC"/>
    <w:rsid w:val="006A68C7"/>
    <w:rsid w:val="006C6A2B"/>
    <w:rsid w:val="006C740D"/>
    <w:rsid w:val="006E386A"/>
    <w:rsid w:val="006E7CD3"/>
    <w:rsid w:val="006F6650"/>
    <w:rsid w:val="0070319F"/>
    <w:rsid w:val="0070716E"/>
    <w:rsid w:val="00710981"/>
    <w:rsid w:val="00717096"/>
    <w:rsid w:val="007223B5"/>
    <w:rsid w:val="00735E1F"/>
    <w:rsid w:val="0074199A"/>
    <w:rsid w:val="007427AF"/>
    <w:rsid w:val="007434B6"/>
    <w:rsid w:val="007436ED"/>
    <w:rsid w:val="00752DEC"/>
    <w:rsid w:val="007619F8"/>
    <w:rsid w:val="00762CBD"/>
    <w:rsid w:val="007653FD"/>
    <w:rsid w:val="0076765C"/>
    <w:rsid w:val="00771FCE"/>
    <w:rsid w:val="00781B91"/>
    <w:rsid w:val="0078631A"/>
    <w:rsid w:val="00793A25"/>
    <w:rsid w:val="007A7C1D"/>
    <w:rsid w:val="007B25F4"/>
    <w:rsid w:val="007B4171"/>
    <w:rsid w:val="007D718A"/>
    <w:rsid w:val="007E292C"/>
    <w:rsid w:val="007E3FF7"/>
    <w:rsid w:val="007F1D13"/>
    <w:rsid w:val="007F42E3"/>
    <w:rsid w:val="007F4E31"/>
    <w:rsid w:val="00823401"/>
    <w:rsid w:val="00830B93"/>
    <w:rsid w:val="00840192"/>
    <w:rsid w:val="00840DFC"/>
    <w:rsid w:val="00847FE4"/>
    <w:rsid w:val="00851F86"/>
    <w:rsid w:val="008622F2"/>
    <w:rsid w:val="00866957"/>
    <w:rsid w:val="00866EB5"/>
    <w:rsid w:val="00875AA3"/>
    <w:rsid w:val="008776E3"/>
    <w:rsid w:val="00884D22"/>
    <w:rsid w:val="008B0943"/>
    <w:rsid w:val="008B5FCD"/>
    <w:rsid w:val="008C5BF5"/>
    <w:rsid w:val="008C6E4E"/>
    <w:rsid w:val="008D2801"/>
    <w:rsid w:val="008E191D"/>
    <w:rsid w:val="008E6DBB"/>
    <w:rsid w:val="00920858"/>
    <w:rsid w:val="00921E06"/>
    <w:rsid w:val="00930F73"/>
    <w:rsid w:val="00945F49"/>
    <w:rsid w:val="00951EAD"/>
    <w:rsid w:val="00952B9A"/>
    <w:rsid w:val="00957BE3"/>
    <w:rsid w:val="0096122C"/>
    <w:rsid w:val="00964109"/>
    <w:rsid w:val="00976702"/>
    <w:rsid w:val="009818F7"/>
    <w:rsid w:val="00983534"/>
    <w:rsid w:val="00994B3B"/>
    <w:rsid w:val="009A3312"/>
    <w:rsid w:val="009A6CC5"/>
    <w:rsid w:val="009C0425"/>
    <w:rsid w:val="009D665E"/>
    <w:rsid w:val="009E2D49"/>
    <w:rsid w:val="009E6AAB"/>
    <w:rsid w:val="009E7865"/>
    <w:rsid w:val="009F302D"/>
    <w:rsid w:val="009F3478"/>
    <w:rsid w:val="009F5428"/>
    <w:rsid w:val="00A10F8C"/>
    <w:rsid w:val="00A15CDD"/>
    <w:rsid w:val="00A15D55"/>
    <w:rsid w:val="00A33CFC"/>
    <w:rsid w:val="00A43C3E"/>
    <w:rsid w:val="00A46716"/>
    <w:rsid w:val="00A47B7F"/>
    <w:rsid w:val="00A61018"/>
    <w:rsid w:val="00A61B06"/>
    <w:rsid w:val="00A6743F"/>
    <w:rsid w:val="00A67D65"/>
    <w:rsid w:val="00A84924"/>
    <w:rsid w:val="00A87C5D"/>
    <w:rsid w:val="00A90A86"/>
    <w:rsid w:val="00A92B44"/>
    <w:rsid w:val="00AA0519"/>
    <w:rsid w:val="00AA3A21"/>
    <w:rsid w:val="00AA7A5F"/>
    <w:rsid w:val="00AC23D0"/>
    <w:rsid w:val="00AD3723"/>
    <w:rsid w:val="00AF5D39"/>
    <w:rsid w:val="00B069BC"/>
    <w:rsid w:val="00B14080"/>
    <w:rsid w:val="00B14AE9"/>
    <w:rsid w:val="00B179C5"/>
    <w:rsid w:val="00B35E2E"/>
    <w:rsid w:val="00B50EDE"/>
    <w:rsid w:val="00B532EB"/>
    <w:rsid w:val="00B74C8C"/>
    <w:rsid w:val="00B74DFE"/>
    <w:rsid w:val="00B768BC"/>
    <w:rsid w:val="00B82814"/>
    <w:rsid w:val="00B84933"/>
    <w:rsid w:val="00B86AA8"/>
    <w:rsid w:val="00BA3AE2"/>
    <w:rsid w:val="00BA56E2"/>
    <w:rsid w:val="00BC03F7"/>
    <w:rsid w:val="00BD021F"/>
    <w:rsid w:val="00BD1584"/>
    <w:rsid w:val="00BD438A"/>
    <w:rsid w:val="00BF2331"/>
    <w:rsid w:val="00C024D7"/>
    <w:rsid w:val="00C2348E"/>
    <w:rsid w:val="00C3302D"/>
    <w:rsid w:val="00C339B2"/>
    <w:rsid w:val="00C354FC"/>
    <w:rsid w:val="00C41EE0"/>
    <w:rsid w:val="00C4439A"/>
    <w:rsid w:val="00C51BCA"/>
    <w:rsid w:val="00C6145C"/>
    <w:rsid w:val="00C712DF"/>
    <w:rsid w:val="00C75549"/>
    <w:rsid w:val="00C81AE5"/>
    <w:rsid w:val="00C81E1F"/>
    <w:rsid w:val="00C82382"/>
    <w:rsid w:val="00C82A04"/>
    <w:rsid w:val="00C9169C"/>
    <w:rsid w:val="00C95E87"/>
    <w:rsid w:val="00CA29DB"/>
    <w:rsid w:val="00CA36E9"/>
    <w:rsid w:val="00CB3588"/>
    <w:rsid w:val="00CB3666"/>
    <w:rsid w:val="00CC2A52"/>
    <w:rsid w:val="00CD6394"/>
    <w:rsid w:val="00CE66F4"/>
    <w:rsid w:val="00D014FA"/>
    <w:rsid w:val="00D0150C"/>
    <w:rsid w:val="00D22084"/>
    <w:rsid w:val="00D45002"/>
    <w:rsid w:val="00D47B87"/>
    <w:rsid w:val="00D568E7"/>
    <w:rsid w:val="00D6219A"/>
    <w:rsid w:val="00D666BB"/>
    <w:rsid w:val="00D754A1"/>
    <w:rsid w:val="00D76C05"/>
    <w:rsid w:val="00D83B7A"/>
    <w:rsid w:val="00D915DC"/>
    <w:rsid w:val="00DA3385"/>
    <w:rsid w:val="00DA741F"/>
    <w:rsid w:val="00DC3EE3"/>
    <w:rsid w:val="00DE32E6"/>
    <w:rsid w:val="00DE381D"/>
    <w:rsid w:val="00DE72E5"/>
    <w:rsid w:val="00DE7969"/>
    <w:rsid w:val="00DF79E2"/>
    <w:rsid w:val="00E00364"/>
    <w:rsid w:val="00E035CC"/>
    <w:rsid w:val="00E062E9"/>
    <w:rsid w:val="00E32FD6"/>
    <w:rsid w:val="00E56853"/>
    <w:rsid w:val="00E607F4"/>
    <w:rsid w:val="00E66726"/>
    <w:rsid w:val="00E77923"/>
    <w:rsid w:val="00E87D6C"/>
    <w:rsid w:val="00E91BB2"/>
    <w:rsid w:val="00E96665"/>
    <w:rsid w:val="00EA1A7B"/>
    <w:rsid w:val="00EA6EBF"/>
    <w:rsid w:val="00EB27D2"/>
    <w:rsid w:val="00EB3DC1"/>
    <w:rsid w:val="00EB5047"/>
    <w:rsid w:val="00EC5291"/>
    <w:rsid w:val="00EC7E2C"/>
    <w:rsid w:val="00EF04C4"/>
    <w:rsid w:val="00EF1DF2"/>
    <w:rsid w:val="00EF7F58"/>
    <w:rsid w:val="00F00EE1"/>
    <w:rsid w:val="00F0154E"/>
    <w:rsid w:val="00F02D43"/>
    <w:rsid w:val="00F02DC7"/>
    <w:rsid w:val="00F13D47"/>
    <w:rsid w:val="00F22CBF"/>
    <w:rsid w:val="00F23CDC"/>
    <w:rsid w:val="00F35EFC"/>
    <w:rsid w:val="00F36C2A"/>
    <w:rsid w:val="00F44686"/>
    <w:rsid w:val="00F67B0A"/>
    <w:rsid w:val="00F80B1D"/>
    <w:rsid w:val="00F82573"/>
    <w:rsid w:val="00F9333F"/>
    <w:rsid w:val="00FA0CDB"/>
    <w:rsid w:val="00FA15BA"/>
    <w:rsid w:val="00FA6661"/>
    <w:rsid w:val="00FC339A"/>
    <w:rsid w:val="00FC759B"/>
    <w:rsid w:val="00FD2A8B"/>
    <w:rsid w:val="00FE1054"/>
    <w:rsid w:val="00FE351A"/>
    <w:rsid w:val="00FE7A6C"/>
    <w:rsid w:val="083A7F0E"/>
    <w:rsid w:val="13F86C00"/>
    <w:rsid w:val="2BDC00CE"/>
    <w:rsid w:val="2C40F5EF"/>
    <w:rsid w:val="3184AFB2"/>
    <w:rsid w:val="45ED78E0"/>
    <w:rsid w:val="57AA85B3"/>
    <w:rsid w:val="6537D4BF"/>
    <w:rsid w:val="6F8E1A81"/>
    <w:rsid w:val="75F983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chartTrackingRefBased/>
  <w15:docId w15:val="{5E299E56-CE6F-4BC2-BE63-BCF7553F8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Normal"/>
    <w:link w:val="Ttulo5Car"/>
    <w:uiPriority w:val="9"/>
    <w:semiHidden/>
    <w:unhideWhenUsed/>
    <w:qFormat/>
    <w:rsid w:val="00DE381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7F4E31"/>
    <w:pPr>
      <w:spacing w:before="240"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5F6877"/>
    <w:pPr>
      <w:spacing w:before="0"/>
    </w:pPr>
  </w:style>
  <w:style w:type="paragraph" w:customStyle="1" w:styleId="Destinario">
    <w:name w:val="Destinario"/>
    <w:basedOn w:val="Normal"/>
    <w:link w:val="DestinarioCar"/>
    <w:qFormat/>
    <w:rsid w:val="00A84924"/>
    <w:pPr>
      <w:contextualSpacing/>
    </w:pPr>
  </w:style>
  <w:style w:type="paragraph" w:customStyle="1" w:styleId="Cordialmente">
    <w:name w:val="Cordialmente"/>
    <w:basedOn w:val="Normal"/>
    <w:qFormat/>
    <w:rsid w:val="005F6877"/>
    <w:pPr>
      <w:spacing w:after="4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customStyle="1" w:styleId="Destinatariosegundapgina">
    <w:name w:val="Destinatario segunda página"/>
    <w:basedOn w:val="Destinario"/>
    <w:link w:val="DestinatariosegundapginaCar"/>
    <w:autoRedefine/>
    <w:qFormat/>
    <w:rsid w:val="008B0943"/>
    <w:pPr>
      <w:spacing w:before="840" w:line="480" w:lineRule="auto"/>
    </w:pPr>
  </w:style>
  <w:style w:type="character" w:customStyle="1" w:styleId="DestinarioCar">
    <w:name w:val="Destinario Car"/>
    <w:basedOn w:val="Fuentedeprrafopredeter"/>
    <w:link w:val="Destinario"/>
    <w:rsid w:val="00EC5291"/>
  </w:style>
  <w:style w:type="character" w:customStyle="1" w:styleId="DestinatariosegundapginaCar">
    <w:name w:val="Destinatario segunda página Car"/>
    <w:basedOn w:val="DestinarioCar"/>
    <w:link w:val="Destinatariosegundapgina"/>
    <w:rsid w:val="008B0943"/>
  </w:style>
  <w:style w:type="character" w:customStyle="1" w:styleId="Ttulo5Car">
    <w:name w:val="Título 5 Car"/>
    <w:basedOn w:val="Fuentedeprrafopredeter"/>
    <w:link w:val="Ttulo5"/>
    <w:uiPriority w:val="9"/>
    <w:semiHidden/>
    <w:rsid w:val="00DE381D"/>
    <w:rPr>
      <w:rFonts w:asciiTheme="majorHAnsi" w:eastAsiaTheme="majorEastAsia" w:hAnsiTheme="majorHAnsi" w:cstheme="majorBidi"/>
      <w:color w:val="2E74B5" w:themeColor="accent1" w:themeShade="BF"/>
    </w:rPr>
  </w:style>
  <w:style w:type="paragraph" w:styleId="Sangradetextonormal">
    <w:name w:val="Body Text Indent"/>
    <w:basedOn w:val="Normal"/>
    <w:link w:val="SangradetextonormalCar"/>
    <w:uiPriority w:val="99"/>
    <w:semiHidden/>
    <w:unhideWhenUsed/>
    <w:rsid w:val="00DE381D"/>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semiHidden/>
    <w:rsid w:val="00DE381D"/>
    <w:rPr>
      <w:rFonts w:eastAsiaTheme="minorEastAsia"/>
      <w:lang w:val="es-ES_tradnl"/>
    </w:rPr>
  </w:style>
  <w:style w:type="paragraph" w:styleId="Textonotapie">
    <w:name w:val="footnote text"/>
    <w:basedOn w:val="Normal"/>
    <w:link w:val="TextonotapieCar"/>
    <w:uiPriority w:val="99"/>
    <w:semiHidden/>
    <w:unhideWhenUsed/>
    <w:rsid w:val="0076765C"/>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76765C"/>
    <w:rPr>
      <w:sz w:val="20"/>
      <w:szCs w:val="20"/>
    </w:rPr>
  </w:style>
  <w:style w:type="character" w:styleId="Refdenotaalpie">
    <w:name w:val="footnote reference"/>
    <w:basedOn w:val="Fuentedeprrafopredeter"/>
    <w:uiPriority w:val="99"/>
    <w:semiHidden/>
    <w:unhideWhenUsed/>
    <w:rsid w:val="0076765C"/>
    <w:rPr>
      <w:vertAlign w:val="superscript"/>
    </w:rPr>
  </w:style>
  <w:style w:type="paragraph" w:styleId="Prrafodelista">
    <w:name w:val="List Paragraph"/>
    <w:basedOn w:val="Normal"/>
    <w:uiPriority w:val="34"/>
    <w:rsid w:val="00110F53"/>
    <w:pPr>
      <w:ind w:left="720"/>
      <w:contextualSpacing/>
    </w:pPr>
  </w:style>
  <w:style w:type="character" w:styleId="Hipervnculo">
    <w:name w:val="Hyperlink"/>
    <w:basedOn w:val="Fuentedeprrafopredeter"/>
    <w:uiPriority w:val="99"/>
    <w:unhideWhenUsed/>
    <w:rsid w:val="005C18DF"/>
    <w:rPr>
      <w:color w:val="0563C1" w:themeColor="hyperlink"/>
      <w:u w:val="single"/>
    </w:rPr>
  </w:style>
  <w:style w:type="character" w:styleId="Mencinsinresolver">
    <w:name w:val="Unresolved Mention"/>
    <w:basedOn w:val="Fuentedeprrafopredeter"/>
    <w:uiPriority w:val="99"/>
    <w:semiHidden/>
    <w:unhideWhenUsed/>
    <w:rsid w:val="005C18DF"/>
    <w:rPr>
      <w:color w:val="605E5C"/>
      <w:shd w:val="clear" w:color="auto" w:fill="E1DFDD"/>
    </w:rPr>
  </w:style>
  <w:style w:type="paragraph" w:styleId="Revisin">
    <w:name w:val="Revision"/>
    <w:hidden/>
    <w:uiPriority w:val="99"/>
    <w:semiHidden/>
    <w:rsid w:val="00E062E9"/>
    <w:pPr>
      <w:spacing w:line="240" w:lineRule="auto"/>
    </w:pPr>
  </w:style>
  <w:style w:type="paragraph" w:styleId="NormalWeb">
    <w:name w:val="Normal (Web)"/>
    <w:basedOn w:val="Normal"/>
    <w:uiPriority w:val="99"/>
    <w:semiHidden/>
    <w:unhideWhenUsed/>
    <w:rsid w:val="00DC3EE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29686">
      <w:bodyDiv w:val="1"/>
      <w:marLeft w:val="0"/>
      <w:marRight w:val="0"/>
      <w:marTop w:val="0"/>
      <w:marBottom w:val="0"/>
      <w:divBdr>
        <w:top w:val="none" w:sz="0" w:space="0" w:color="auto"/>
        <w:left w:val="none" w:sz="0" w:space="0" w:color="auto"/>
        <w:bottom w:val="none" w:sz="0" w:space="0" w:color="auto"/>
        <w:right w:val="none" w:sz="0" w:space="0" w:color="auto"/>
      </w:divBdr>
    </w:div>
    <w:div w:id="59009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882A4-6231-4B7C-BFEB-BCBED7A75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549</Words>
  <Characters>3021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Luz Stella Rojas Macias</cp:lastModifiedBy>
  <cp:revision>2</cp:revision>
  <cp:lastPrinted>2019-03-28T17:24:00Z</cp:lastPrinted>
  <dcterms:created xsi:type="dcterms:W3CDTF">2022-09-26T19:21:00Z</dcterms:created>
  <dcterms:modified xsi:type="dcterms:W3CDTF">2022-09-26T19:21:00Z</dcterms:modified>
</cp:coreProperties>
</file>