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21C" w:rsidRDefault="003E6D91">
      <w:pPr>
        <w:rPr>
          <w:rFonts w:cs="Arial"/>
        </w:rPr>
      </w:pPr>
      <w:bookmarkStart w:id="0" w:name="_GoBack"/>
      <w:bookmarkEnd w:id="0"/>
      <w:r>
        <w:rPr>
          <w:rFonts w:cs="Arial"/>
        </w:rPr>
        <w:t xml:space="preserve"> </w:t>
      </w:r>
      <w:r w:rsidR="00A9721C">
        <w:rPr>
          <w:rFonts w:cs="Arial"/>
        </w:rPr>
        <w:t xml:space="preserve">Bogotá, D.C., </w:t>
      </w:r>
      <w:r w:rsidR="00A3409D">
        <w:rPr>
          <w:rFonts w:cs="Arial"/>
        </w:rPr>
        <w:t>27 de abril de 2011</w:t>
      </w:r>
    </w:p>
    <w:p w:rsidR="00A9721C" w:rsidRDefault="00A9721C">
      <w:pPr>
        <w:pStyle w:val="Ttulo"/>
        <w:rPr>
          <w:i/>
          <w:iCs/>
          <w:sz w:val="12"/>
        </w:rPr>
      </w:pPr>
    </w:p>
    <w:p w:rsidR="002465FA" w:rsidRDefault="002465FA">
      <w:pPr>
        <w:pStyle w:val="Ttulo"/>
        <w:rPr>
          <w:iCs/>
          <w:sz w:val="40"/>
          <w:szCs w:val="40"/>
        </w:rPr>
      </w:pPr>
    </w:p>
    <w:p w:rsidR="00A9721C" w:rsidRPr="00A3409D" w:rsidRDefault="00A9721C">
      <w:pPr>
        <w:pStyle w:val="Ttulo"/>
        <w:rPr>
          <w:rFonts w:eastAsia="Arial Unicode MS"/>
          <w:iCs/>
          <w:sz w:val="40"/>
          <w:szCs w:val="40"/>
        </w:rPr>
      </w:pPr>
      <w:r w:rsidRPr="00A3409D">
        <w:rPr>
          <w:iCs/>
          <w:sz w:val="40"/>
          <w:szCs w:val="40"/>
        </w:rPr>
        <w:t xml:space="preserve">CIRCULAR No. </w:t>
      </w:r>
      <w:r w:rsidR="00A3409D" w:rsidRPr="00A3409D">
        <w:rPr>
          <w:iCs/>
          <w:sz w:val="40"/>
          <w:szCs w:val="40"/>
        </w:rPr>
        <w:t>028</w:t>
      </w:r>
    </w:p>
    <w:p w:rsidR="00A9721C" w:rsidRDefault="00A9721C">
      <w:pPr>
        <w:rPr>
          <w:rFonts w:cs="Arial"/>
          <w:sz w:val="12"/>
          <w:lang w:val="es-MX"/>
        </w:rPr>
      </w:pPr>
    </w:p>
    <w:p w:rsidR="00A9721C" w:rsidRDefault="00A9721C">
      <w:pPr>
        <w:rPr>
          <w:rFonts w:cs="Arial"/>
          <w:sz w:val="12"/>
          <w:lang w:val="es-MX"/>
        </w:rPr>
      </w:pPr>
    </w:p>
    <w:p w:rsidR="003D3ACB" w:rsidRDefault="003D3ACB">
      <w:pPr>
        <w:rPr>
          <w:rFonts w:cs="Arial"/>
          <w:sz w:val="12"/>
          <w:lang w:val="es-MX"/>
        </w:rPr>
      </w:pPr>
    </w:p>
    <w:p w:rsidR="004D3173" w:rsidRDefault="004D3173">
      <w:pPr>
        <w:rPr>
          <w:rFonts w:cs="Arial"/>
          <w:sz w:val="12"/>
          <w:lang w:val="es-MX"/>
        </w:rPr>
      </w:pPr>
    </w:p>
    <w:p w:rsidR="00A9721C" w:rsidRDefault="00A9721C">
      <w:pPr>
        <w:rPr>
          <w:rFonts w:cs="Arial"/>
          <w:sz w:val="12"/>
          <w:lang w:val="es-MX"/>
        </w:rPr>
      </w:pPr>
    </w:p>
    <w:p w:rsidR="00A9721C" w:rsidRPr="0043140A" w:rsidRDefault="00A9721C">
      <w:pPr>
        <w:ind w:left="1410" w:hanging="1410"/>
        <w:rPr>
          <w:rFonts w:cs="Arial"/>
          <w:szCs w:val="22"/>
        </w:rPr>
      </w:pPr>
      <w:r w:rsidRPr="0043140A">
        <w:rPr>
          <w:rFonts w:cs="Arial"/>
          <w:b/>
          <w:bCs/>
          <w:szCs w:val="22"/>
        </w:rPr>
        <w:t>PARA:</w:t>
      </w:r>
      <w:r w:rsidRPr="0043140A">
        <w:rPr>
          <w:rFonts w:cs="Arial"/>
          <w:b/>
          <w:bCs/>
          <w:szCs w:val="22"/>
        </w:rPr>
        <w:tab/>
      </w:r>
      <w:r w:rsidRPr="0043140A">
        <w:rPr>
          <w:rFonts w:cs="Arial"/>
          <w:szCs w:val="22"/>
        </w:rPr>
        <w:t>EMPRESAS DE SERVICIOS PÚBLICOS DE LOS SECTORES DE ENERGÍA ELÉCTRICA Y DEMÁS INTERESADOS</w:t>
      </w:r>
    </w:p>
    <w:p w:rsidR="00A9721C" w:rsidRPr="0043140A" w:rsidRDefault="00A9721C">
      <w:pPr>
        <w:ind w:left="1410" w:hanging="1410"/>
        <w:rPr>
          <w:rFonts w:cs="Arial"/>
          <w:szCs w:val="22"/>
        </w:rPr>
      </w:pPr>
    </w:p>
    <w:p w:rsidR="006C1CB8" w:rsidRPr="0043140A" w:rsidRDefault="006C1CB8">
      <w:pPr>
        <w:ind w:left="1410" w:hanging="1410"/>
        <w:rPr>
          <w:rFonts w:cs="Arial"/>
          <w:szCs w:val="22"/>
        </w:rPr>
      </w:pPr>
    </w:p>
    <w:p w:rsidR="00A9721C" w:rsidRPr="0043140A" w:rsidRDefault="00A9721C">
      <w:pPr>
        <w:ind w:left="1410" w:hanging="1410"/>
        <w:rPr>
          <w:rFonts w:cs="Arial"/>
          <w:szCs w:val="22"/>
        </w:rPr>
      </w:pPr>
      <w:r w:rsidRPr="0043140A">
        <w:rPr>
          <w:rFonts w:cs="Arial"/>
          <w:b/>
          <w:bCs/>
          <w:szCs w:val="22"/>
        </w:rPr>
        <w:t>DE:</w:t>
      </w:r>
      <w:r w:rsidRPr="0043140A">
        <w:rPr>
          <w:rFonts w:cs="Arial"/>
          <w:szCs w:val="22"/>
        </w:rPr>
        <w:tab/>
        <w:t>DIRECCIÓN EJECUTIVA</w:t>
      </w:r>
    </w:p>
    <w:p w:rsidR="00A9721C" w:rsidRDefault="00A9721C">
      <w:pPr>
        <w:ind w:left="1410" w:hanging="1410"/>
        <w:rPr>
          <w:rFonts w:cs="Arial"/>
          <w:szCs w:val="22"/>
        </w:rPr>
      </w:pPr>
    </w:p>
    <w:p w:rsidR="00A9721C" w:rsidRPr="0043140A" w:rsidRDefault="00A9721C">
      <w:pPr>
        <w:ind w:left="1410" w:hanging="1410"/>
        <w:rPr>
          <w:rFonts w:cs="Arial"/>
          <w:szCs w:val="22"/>
        </w:rPr>
      </w:pPr>
    </w:p>
    <w:p w:rsidR="00A9721C" w:rsidRPr="0043140A" w:rsidRDefault="00A9721C">
      <w:pPr>
        <w:ind w:left="1410" w:hanging="1410"/>
        <w:rPr>
          <w:rFonts w:cs="Arial"/>
          <w:szCs w:val="22"/>
        </w:rPr>
      </w:pPr>
      <w:r w:rsidRPr="0043140A">
        <w:rPr>
          <w:rFonts w:cs="Arial"/>
          <w:b/>
          <w:bCs/>
          <w:szCs w:val="22"/>
        </w:rPr>
        <w:t>ASUNTO:</w:t>
      </w:r>
      <w:r w:rsidRPr="0043140A">
        <w:rPr>
          <w:rFonts w:cs="Arial"/>
          <w:szCs w:val="22"/>
        </w:rPr>
        <w:tab/>
      </w:r>
      <w:r w:rsidR="00250668">
        <w:rPr>
          <w:rFonts w:cs="Arial"/>
          <w:szCs w:val="22"/>
        </w:rPr>
        <w:t xml:space="preserve">PUBLICACIÓN DE </w:t>
      </w:r>
      <w:r w:rsidR="006702DB">
        <w:rPr>
          <w:rFonts w:cs="Arial"/>
          <w:szCs w:val="22"/>
        </w:rPr>
        <w:t>PARÁMETROS</w:t>
      </w:r>
      <w:r w:rsidR="00961F7B">
        <w:rPr>
          <w:rFonts w:cs="Arial"/>
          <w:szCs w:val="22"/>
        </w:rPr>
        <w:t xml:space="preserve"> Y </w:t>
      </w:r>
      <w:r w:rsidRPr="0043140A">
        <w:rPr>
          <w:rFonts w:cs="Arial"/>
          <w:szCs w:val="22"/>
        </w:rPr>
        <w:t xml:space="preserve">LOS </w:t>
      </w:r>
      <w:r w:rsidR="001D0C12" w:rsidRPr="0043140A">
        <w:rPr>
          <w:rFonts w:cs="Arial"/>
          <w:szCs w:val="22"/>
        </w:rPr>
        <w:t xml:space="preserve">ÍNDICES DE COMBUSTIBLE PARA LA DETERMINACIÓN DE LA ENERGÍA FIRME PARA EL CARGO POR CONFIABILIDAD </w:t>
      </w:r>
      <w:r w:rsidR="00B27CB2" w:rsidRPr="0043140A">
        <w:rPr>
          <w:rFonts w:cs="Arial"/>
          <w:szCs w:val="22"/>
        </w:rPr>
        <w:t>–</w:t>
      </w:r>
      <w:r w:rsidR="001D0C12" w:rsidRPr="0043140A">
        <w:rPr>
          <w:rFonts w:cs="Arial"/>
          <w:szCs w:val="22"/>
        </w:rPr>
        <w:t xml:space="preserve"> ENFICC</w:t>
      </w:r>
      <w:r w:rsidR="00250668">
        <w:rPr>
          <w:rFonts w:cs="Arial"/>
          <w:szCs w:val="22"/>
        </w:rPr>
        <w:t>, CORRESPONDIENTE AL PERÍODO 2</w:t>
      </w:r>
      <w:r w:rsidR="00B27CB2" w:rsidRPr="0043140A">
        <w:rPr>
          <w:rFonts w:cs="Arial"/>
          <w:szCs w:val="22"/>
        </w:rPr>
        <w:t>0</w:t>
      </w:r>
      <w:r w:rsidR="006702DB">
        <w:rPr>
          <w:rFonts w:cs="Arial"/>
          <w:szCs w:val="22"/>
        </w:rPr>
        <w:t>1</w:t>
      </w:r>
      <w:r w:rsidR="002D1C30">
        <w:rPr>
          <w:rFonts w:cs="Arial"/>
          <w:szCs w:val="22"/>
        </w:rPr>
        <w:t>2</w:t>
      </w:r>
      <w:r w:rsidR="00B27CB2" w:rsidRPr="0043140A">
        <w:rPr>
          <w:rFonts w:cs="Arial"/>
          <w:szCs w:val="22"/>
        </w:rPr>
        <w:t>-20</w:t>
      </w:r>
      <w:r w:rsidR="00961F7B">
        <w:rPr>
          <w:rFonts w:cs="Arial"/>
          <w:szCs w:val="22"/>
        </w:rPr>
        <w:t>1</w:t>
      </w:r>
      <w:r w:rsidR="002D1C30">
        <w:rPr>
          <w:rFonts w:cs="Arial"/>
          <w:szCs w:val="22"/>
        </w:rPr>
        <w:t>3</w:t>
      </w:r>
      <w:r w:rsidR="00250668">
        <w:rPr>
          <w:rFonts w:cs="Arial"/>
          <w:szCs w:val="22"/>
        </w:rPr>
        <w:t>,</w:t>
      </w:r>
      <w:r w:rsidR="006702DB">
        <w:rPr>
          <w:rFonts w:cs="Arial"/>
          <w:szCs w:val="22"/>
        </w:rPr>
        <w:t xml:space="preserve"> DE LA PLANTA TEBSA</w:t>
      </w:r>
      <w:r w:rsidR="00250668">
        <w:rPr>
          <w:rFonts w:cs="Arial"/>
          <w:szCs w:val="22"/>
        </w:rPr>
        <w:t>,</w:t>
      </w:r>
      <w:r w:rsidR="006702DB">
        <w:rPr>
          <w:rFonts w:cs="Arial"/>
          <w:szCs w:val="22"/>
        </w:rPr>
        <w:t xml:space="preserve"> POR CAMBIO DE COMBUSTIBLE</w:t>
      </w:r>
      <w:r w:rsidR="002D1C30">
        <w:rPr>
          <w:rFonts w:cs="Arial"/>
          <w:szCs w:val="22"/>
        </w:rPr>
        <w:t xml:space="preserve"> Y VERIFICACIÓN DE LA ENERGÍA DISPONIBLE ADICIONAL (EDAPTM) CON DESTINO AL MERCADO SECUNDARIO.</w:t>
      </w:r>
    </w:p>
    <w:p w:rsidR="00A9721C" w:rsidRDefault="00A9721C">
      <w:pPr>
        <w:ind w:left="1410" w:hanging="1410"/>
        <w:rPr>
          <w:rFonts w:cs="Arial"/>
          <w:sz w:val="24"/>
        </w:rPr>
      </w:pPr>
    </w:p>
    <w:p w:rsidR="00961F7B" w:rsidRDefault="00961F7B">
      <w:pPr>
        <w:ind w:left="1410" w:hanging="1410"/>
        <w:rPr>
          <w:rFonts w:cs="Arial"/>
          <w:sz w:val="24"/>
        </w:rPr>
      </w:pPr>
    </w:p>
    <w:p w:rsidR="002D1C30" w:rsidRPr="002D1C30" w:rsidRDefault="002D1C30" w:rsidP="002D1C30">
      <w:pPr>
        <w:pStyle w:val="Prrafodelista"/>
        <w:numPr>
          <w:ilvl w:val="0"/>
          <w:numId w:val="33"/>
        </w:numPr>
        <w:rPr>
          <w:rFonts w:cs="Arial"/>
          <w:b/>
          <w:sz w:val="24"/>
        </w:rPr>
      </w:pPr>
      <w:r w:rsidRPr="002D1C30">
        <w:rPr>
          <w:rFonts w:cs="Arial"/>
          <w:b/>
          <w:sz w:val="24"/>
        </w:rPr>
        <w:t>CAMBIO DE COMBUSTIBLE</w:t>
      </w:r>
    </w:p>
    <w:p w:rsidR="002D1C30" w:rsidRDefault="002D1C30">
      <w:pPr>
        <w:ind w:left="1410" w:hanging="1410"/>
        <w:rPr>
          <w:rFonts w:cs="Arial"/>
          <w:sz w:val="24"/>
        </w:rPr>
      </w:pPr>
    </w:p>
    <w:p w:rsidR="00422C22" w:rsidRDefault="00250668" w:rsidP="006702DB">
      <w:pPr>
        <w:rPr>
          <w:rFonts w:cs="Arial"/>
          <w:sz w:val="24"/>
        </w:rPr>
      </w:pPr>
      <w:r>
        <w:rPr>
          <w:rFonts w:cs="Arial"/>
          <w:sz w:val="24"/>
        </w:rPr>
        <w:t xml:space="preserve">La sociedad GECELCA S.A. E.S.P., con fundamento en el </w:t>
      </w:r>
      <w:r w:rsidR="00CC1183">
        <w:rPr>
          <w:rFonts w:cs="Arial"/>
          <w:sz w:val="24"/>
        </w:rPr>
        <w:t xml:space="preserve">artículo </w:t>
      </w:r>
      <w:r>
        <w:rPr>
          <w:rFonts w:cs="Arial"/>
          <w:sz w:val="24"/>
        </w:rPr>
        <w:t>12 de la Resolución CREG</w:t>
      </w:r>
      <w:r w:rsidR="00CC1183">
        <w:rPr>
          <w:rFonts w:cs="Arial"/>
          <w:sz w:val="24"/>
        </w:rPr>
        <w:t xml:space="preserve"> </w:t>
      </w:r>
      <w:r>
        <w:rPr>
          <w:rFonts w:cs="Arial"/>
          <w:sz w:val="24"/>
        </w:rPr>
        <w:t xml:space="preserve">085 de 2007, </w:t>
      </w:r>
      <w:r w:rsidR="00D10176">
        <w:rPr>
          <w:rFonts w:cs="Arial"/>
          <w:sz w:val="24"/>
        </w:rPr>
        <w:t xml:space="preserve">optó por </w:t>
      </w:r>
      <w:r w:rsidR="00CC1183">
        <w:rPr>
          <w:rFonts w:cs="Arial"/>
          <w:sz w:val="24"/>
        </w:rPr>
        <w:t xml:space="preserve">el </w:t>
      </w:r>
      <w:r w:rsidR="00D10176">
        <w:rPr>
          <w:rFonts w:cs="Arial"/>
          <w:sz w:val="24"/>
        </w:rPr>
        <w:t>cambio de combustible para cumplir las Obligaciones de Energía Firme del Cargo por Confiabilidad asignadas para el período comprendido entre el 1 de diciembre de 201</w:t>
      </w:r>
      <w:r w:rsidR="002D1C30">
        <w:rPr>
          <w:rFonts w:cs="Arial"/>
          <w:sz w:val="24"/>
        </w:rPr>
        <w:t>2</w:t>
      </w:r>
      <w:r w:rsidR="00D10176">
        <w:rPr>
          <w:rFonts w:cs="Arial"/>
          <w:sz w:val="24"/>
        </w:rPr>
        <w:t xml:space="preserve"> y el </w:t>
      </w:r>
      <w:r w:rsidR="00A53EDE">
        <w:rPr>
          <w:rFonts w:cs="Arial"/>
          <w:sz w:val="24"/>
        </w:rPr>
        <w:t>30 de noviembre de 201</w:t>
      </w:r>
      <w:r w:rsidR="002D1C30">
        <w:rPr>
          <w:rFonts w:cs="Arial"/>
          <w:sz w:val="24"/>
        </w:rPr>
        <w:t>3</w:t>
      </w:r>
      <w:r w:rsidR="00A53EDE">
        <w:rPr>
          <w:rFonts w:cs="Arial"/>
          <w:sz w:val="24"/>
        </w:rPr>
        <w:t>, respaldadas con la Planta TEBSA, para lo cual declaró los respectivos parámetros</w:t>
      </w:r>
      <w:r w:rsidR="00CC1183">
        <w:rPr>
          <w:rFonts w:cs="Arial"/>
          <w:sz w:val="24"/>
        </w:rPr>
        <w:t xml:space="preserve"> y</w:t>
      </w:r>
      <w:r w:rsidR="00A53EDE">
        <w:rPr>
          <w:rFonts w:cs="Arial"/>
          <w:sz w:val="24"/>
        </w:rPr>
        <w:t xml:space="preserve"> anexó la verificación de los parámetros por una firma auditora (Radicados CREG E-201</w:t>
      </w:r>
      <w:r w:rsidR="002D1C30">
        <w:rPr>
          <w:rFonts w:cs="Arial"/>
          <w:sz w:val="24"/>
        </w:rPr>
        <w:t>1</w:t>
      </w:r>
      <w:r w:rsidR="00A53EDE">
        <w:rPr>
          <w:rFonts w:cs="Arial"/>
          <w:sz w:val="24"/>
        </w:rPr>
        <w:t>-00</w:t>
      </w:r>
      <w:r w:rsidR="002D1C30">
        <w:rPr>
          <w:rFonts w:cs="Arial"/>
          <w:sz w:val="24"/>
        </w:rPr>
        <w:t>2608</w:t>
      </w:r>
      <w:r w:rsidR="00A53EDE">
        <w:rPr>
          <w:rFonts w:cs="Arial"/>
          <w:sz w:val="24"/>
        </w:rPr>
        <w:t>).</w:t>
      </w:r>
    </w:p>
    <w:p w:rsidR="00A53EDE" w:rsidRDefault="00A53EDE" w:rsidP="006702DB">
      <w:pPr>
        <w:rPr>
          <w:rFonts w:cs="Arial"/>
          <w:sz w:val="24"/>
        </w:rPr>
      </w:pPr>
    </w:p>
    <w:p w:rsidR="00A53EDE" w:rsidRDefault="00A53EDE" w:rsidP="006702DB">
      <w:pPr>
        <w:rPr>
          <w:rFonts w:cs="Arial"/>
          <w:sz w:val="24"/>
        </w:rPr>
      </w:pPr>
      <w:r>
        <w:rPr>
          <w:rFonts w:cs="Arial"/>
          <w:sz w:val="24"/>
        </w:rPr>
        <w:t>Con esta circular se publican los parámetros declarados por GECELCA S.A. E.S.P., y los índices IMM y TCR para determinar la ENFICC de la planta TEBSA correspondiente al período comprendido entre el 1 de diciembre de 201</w:t>
      </w:r>
      <w:r w:rsidR="002D1C30">
        <w:rPr>
          <w:rFonts w:cs="Arial"/>
          <w:sz w:val="24"/>
        </w:rPr>
        <w:t>2</w:t>
      </w:r>
      <w:r>
        <w:rPr>
          <w:rFonts w:cs="Arial"/>
          <w:sz w:val="24"/>
        </w:rPr>
        <w:t xml:space="preserve"> y el 30 de noviembre de 201</w:t>
      </w:r>
      <w:r w:rsidR="002D1C30">
        <w:rPr>
          <w:rFonts w:cs="Arial"/>
          <w:sz w:val="24"/>
        </w:rPr>
        <w:t>3</w:t>
      </w:r>
      <w:r>
        <w:rPr>
          <w:rFonts w:cs="Arial"/>
          <w:sz w:val="24"/>
        </w:rPr>
        <w:t>.</w:t>
      </w:r>
    </w:p>
    <w:p w:rsidR="00A53EDE" w:rsidRDefault="00A53EDE" w:rsidP="006702DB">
      <w:pPr>
        <w:rPr>
          <w:rFonts w:cs="Arial"/>
          <w:sz w:val="24"/>
        </w:rPr>
      </w:pPr>
    </w:p>
    <w:p w:rsidR="00D10176" w:rsidRDefault="00D10176" w:rsidP="006702DB">
      <w:pPr>
        <w:rPr>
          <w:rFonts w:cs="Arial"/>
          <w:sz w:val="24"/>
        </w:rPr>
      </w:pPr>
    </w:p>
    <w:p w:rsidR="00D10176" w:rsidRDefault="00D10176" w:rsidP="006702DB">
      <w:pPr>
        <w:rPr>
          <w:rFonts w:cs="Arial"/>
          <w:sz w:val="24"/>
        </w:rPr>
      </w:pPr>
    </w:p>
    <w:p w:rsidR="006702DB" w:rsidRDefault="006702DB" w:rsidP="006702DB">
      <w:pPr>
        <w:ind w:left="1410" w:hanging="1410"/>
        <w:rPr>
          <w:rFonts w:cs="Arial"/>
          <w:sz w:val="24"/>
        </w:rPr>
      </w:pPr>
    </w:p>
    <w:p w:rsidR="006702DB" w:rsidRDefault="006702DB" w:rsidP="006702DB">
      <w:pPr>
        <w:ind w:left="1410" w:hanging="1410"/>
        <w:rPr>
          <w:rFonts w:cs="Arial"/>
          <w:sz w:val="24"/>
        </w:rPr>
      </w:pPr>
    </w:p>
    <w:p w:rsidR="00B63B1B" w:rsidRDefault="00B63B1B">
      <w:pPr>
        <w:ind w:left="1410" w:hanging="1410"/>
        <w:rPr>
          <w:rFonts w:cs="Arial"/>
          <w:sz w:val="24"/>
        </w:rPr>
      </w:pPr>
    </w:p>
    <w:p w:rsidR="00422C22" w:rsidRDefault="00422C22">
      <w:pPr>
        <w:ind w:left="1410" w:hanging="1410"/>
        <w:rPr>
          <w:rFonts w:cs="Arial"/>
          <w:sz w:val="24"/>
        </w:rPr>
      </w:pPr>
    </w:p>
    <w:p w:rsidR="00422C22" w:rsidRDefault="00422C22">
      <w:pPr>
        <w:ind w:left="1410" w:hanging="1410"/>
        <w:rPr>
          <w:rFonts w:cs="Arial"/>
          <w:sz w:val="24"/>
        </w:rPr>
      </w:pPr>
    </w:p>
    <w:p w:rsidR="00422C22" w:rsidRDefault="00422C22">
      <w:pPr>
        <w:ind w:left="1410" w:hanging="1410"/>
        <w:rPr>
          <w:rFonts w:cs="Arial"/>
          <w:sz w:val="24"/>
        </w:rPr>
      </w:pPr>
    </w:p>
    <w:p w:rsidR="00422C22" w:rsidRDefault="00422C22">
      <w:pPr>
        <w:ind w:left="1410" w:hanging="1410"/>
        <w:rPr>
          <w:rFonts w:cs="Arial"/>
          <w:sz w:val="24"/>
        </w:rPr>
      </w:pPr>
    </w:p>
    <w:p w:rsidR="00422C22" w:rsidRDefault="00422C22">
      <w:pPr>
        <w:ind w:left="1410" w:hanging="1410"/>
        <w:rPr>
          <w:rFonts w:cs="Arial"/>
          <w:sz w:val="24"/>
        </w:rPr>
      </w:pPr>
    </w:p>
    <w:p w:rsidR="00742365" w:rsidRDefault="00422C22" w:rsidP="00961F7B">
      <w:pPr>
        <w:pStyle w:val="Textoindependiente"/>
        <w:numPr>
          <w:ilvl w:val="0"/>
          <w:numId w:val="32"/>
        </w:numPr>
        <w:spacing w:after="0"/>
        <w:jc w:val="left"/>
        <w:rPr>
          <w:rFonts w:cs="Arial"/>
          <w:b/>
          <w:sz w:val="24"/>
        </w:rPr>
      </w:pPr>
      <w:r>
        <w:rPr>
          <w:rFonts w:cs="Arial"/>
          <w:b/>
          <w:sz w:val="24"/>
        </w:rPr>
        <w:t>PARÁMETROS</w:t>
      </w:r>
      <w:r w:rsidR="00A53EDE">
        <w:rPr>
          <w:rFonts w:cs="Arial"/>
          <w:b/>
          <w:sz w:val="24"/>
        </w:rPr>
        <w:t xml:space="preserve"> DECLARADOS POR GECELCA S.A. E.S.P.</w:t>
      </w:r>
    </w:p>
    <w:p w:rsidR="00422C22" w:rsidRPr="00961F7B" w:rsidRDefault="00422C22" w:rsidP="00422C22">
      <w:pPr>
        <w:pStyle w:val="Textoindependiente"/>
        <w:spacing w:after="0"/>
        <w:jc w:val="left"/>
        <w:rPr>
          <w:rFonts w:cs="Arial"/>
          <w:b/>
          <w:sz w:val="24"/>
        </w:rPr>
      </w:pPr>
    </w:p>
    <w:p w:rsidR="00961F7B" w:rsidRDefault="002F4E23">
      <w:pPr>
        <w:pStyle w:val="Textoindependiente"/>
        <w:spacing w:after="0"/>
        <w:jc w:val="left"/>
        <w:rPr>
          <w:rFonts w:cs="Arial"/>
          <w:sz w:val="24"/>
        </w:rPr>
      </w:pPr>
      <w:r>
        <w:rPr>
          <w:rFonts w:cs="Arial"/>
          <w:noProof/>
          <w:sz w:val="24"/>
          <w:lang w:val="es-CO" w:eastAsia="es-CO"/>
        </w:rPr>
        <w:drawing>
          <wp:inline distT="0" distB="0" distL="0" distR="0" wp14:anchorId="124DFB4D" wp14:editId="54AE70A5">
            <wp:extent cx="1262866" cy="4499031"/>
            <wp:effectExtent l="952"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1262911" cy="4499190"/>
                    </a:xfrm>
                    <a:prstGeom prst="rect">
                      <a:avLst/>
                    </a:prstGeom>
                    <a:noFill/>
                    <a:ln>
                      <a:noFill/>
                    </a:ln>
                  </pic:spPr>
                </pic:pic>
              </a:graphicData>
            </a:graphic>
          </wp:inline>
        </w:drawing>
      </w:r>
    </w:p>
    <w:p w:rsidR="00422C22" w:rsidRDefault="00422C22">
      <w:pPr>
        <w:pStyle w:val="Textoindependiente"/>
        <w:spacing w:after="0"/>
        <w:jc w:val="left"/>
        <w:rPr>
          <w:rFonts w:cs="Arial"/>
          <w:sz w:val="24"/>
        </w:rPr>
      </w:pPr>
    </w:p>
    <w:p w:rsidR="00422C22" w:rsidRDefault="002F4E23">
      <w:pPr>
        <w:pStyle w:val="Textoindependiente"/>
        <w:spacing w:after="0"/>
        <w:jc w:val="left"/>
        <w:rPr>
          <w:rFonts w:cs="Arial"/>
          <w:sz w:val="24"/>
        </w:rPr>
      </w:pPr>
      <w:r>
        <w:rPr>
          <w:rFonts w:cs="Arial"/>
          <w:noProof/>
          <w:sz w:val="24"/>
          <w:lang w:val="es-CO" w:eastAsia="es-CO"/>
        </w:rPr>
        <w:drawing>
          <wp:inline distT="0" distB="0" distL="0" distR="0" wp14:anchorId="43244235" wp14:editId="610CC40B">
            <wp:extent cx="6400800" cy="77343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773430"/>
                    </a:xfrm>
                    <a:prstGeom prst="rect">
                      <a:avLst/>
                    </a:prstGeom>
                    <a:noFill/>
                    <a:ln>
                      <a:noFill/>
                    </a:ln>
                  </pic:spPr>
                </pic:pic>
              </a:graphicData>
            </a:graphic>
          </wp:inline>
        </w:drawing>
      </w:r>
    </w:p>
    <w:p w:rsidR="002F4E23" w:rsidRDefault="002F4E23">
      <w:pPr>
        <w:pStyle w:val="Textoindependiente"/>
        <w:spacing w:after="0"/>
        <w:jc w:val="left"/>
        <w:rPr>
          <w:rFonts w:cs="Arial"/>
          <w:sz w:val="24"/>
        </w:rPr>
      </w:pPr>
    </w:p>
    <w:p w:rsidR="002F4E23" w:rsidRDefault="002F4E23">
      <w:pPr>
        <w:pStyle w:val="Textoindependiente"/>
        <w:spacing w:after="0"/>
        <w:jc w:val="left"/>
        <w:rPr>
          <w:rFonts w:cs="Arial"/>
          <w:sz w:val="24"/>
        </w:rPr>
      </w:pPr>
      <w:r>
        <w:rPr>
          <w:rFonts w:cs="Arial"/>
          <w:noProof/>
          <w:sz w:val="24"/>
          <w:lang w:val="es-CO" w:eastAsia="es-CO"/>
        </w:rPr>
        <w:drawing>
          <wp:inline distT="0" distB="0" distL="0" distR="0" wp14:anchorId="41C9BD34" wp14:editId="736C3A3F">
            <wp:extent cx="6395720" cy="797560"/>
            <wp:effectExtent l="0" t="0" r="508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5720" cy="797560"/>
                    </a:xfrm>
                    <a:prstGeom prst="rect">
                      <a:avLst/>
                    </a:prstGeom>
                    <a:noFill/>
                    <a:ln>
                      <a:noFill/>
                    </a:ln>
                  </pic:spPr>
                </pic:pic>
              </a:graphicData>
            </a:graphic>
          </wp:inline>
        </w:drawing>
      </w:r>
    </w:p>
    <w:p w:rsidR="00B63B1B" w:rsidRDefault="00B63B1B">
      <w:pPr>
        <w:pStyle w:val="Textoindependiente"/>
        <w:spacing w:after="0"/>
        <w:jc w:val="left"/>
        <w:rPr>
          <w:rFonts w:cs="Arial"/>
          <w:sz w:val="24"/>
        </w:rPr>
      </w:pPr>
    </w:p>
    <w:p w:rsidR="002F4E23" w:rsidRDefault="002F4E23">
      <w:pPr>
        <w:pStyle w:val="Textoindependiente"/>
        <w:spacing w:after="0"/>
        <w:jc w:val="left"/>
        <w:rPr>
          <w:rFonts w:cs="Arial"/>
          <w:sz w:val="24"/>
        </w:rPr>
      </w:pPr>
      <w:r>
        <w:rPr>
          <w:rFonts w:cs="Arial"/>
          <w:noProof/>
          <w:sz w:val="24"/>
          <w:lang w:val="es-CO" w:eastAsia="es-CO"/>
        </w:rPr>
        <w:drawing>
          <wp:inline distT="0" distB="0" distL="0" distR="0" wp14:anchorId="1A03723C" wp14:editId="11421821">
            <wp:extent cx="6395720" cy="622300"/>
            <wp:effectExtent l="0" t="0" r="508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5720" cy="622300"/>
                    </a:xfrm>
                    <a:prstGeom prst="rect">
                      <a:avLst/>
                    </a:prstGeom>
                    <a:noFill/>
                    <a:ln>
                      <a:noFill/>
                    </a:ln>
                  </pic:spPr>
                </pic:pic>
              </a:graphicData>
            </a:graphic>
          </wp:inline>
        </w:drawing>
      </w:r>
    </w:p>
    <w:p w:rsidR="00422C22" w:rsidRDefault="00422C22">
      <w:pPr>
        <w:pStyle w:val="Textoindependiente"/>
        <w:spacing w:after="0"/>
        <w:jc w:val="left"/>
        <w:rPr>
          <w:rFonts w:cs="Arial"/>
          <w:sz w:val="24"/>
        </w:rPr>
      </w:pPr>
    </w:p>
    <w:p w:rsidR="00422C22" w:rsidRDefault="002F4E23">
      <w:pPr>
        <w:pStyle w:val="Textoindependiente"/>
        <w:spacing w:after="0"/>
        <w:jc w:val="left"/>
        <w:rPr>
          <w:rFonts w:cs="Arial"/>
          <w:sz w:val="24"/>
        </w:rPr>
      </w:pPr>
      <w:r>
        <w:rPr>
          <w:rFonts w:cs="Arial"/>
          <w:noProof/>
          <w:sz w:val="24"/>
          <w:lang w:val="es-CO" w:eastAsia="es-CO"/>
        </w:rPr>
        <w:drawing>
          <wp:inline distT="0" distB="0" distL="0" distR="0" wp14:anchorId="2FA46389" wp14:editId="508B456D">
            <wp:extent cx="3287097" cy="818101"/>
            <wp:effectExtent l="0" t="0" r="889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5470" cy="820185"/>
                    </a:xfrm>
                    <a:prstGeom prst="rect">
                      <a:avLst/>
                    </a:prstGeom>
                    <a:noFill/>
                    <a:ln>
                      <a:noFill/>
                    </a:ln>
                  </pic:spPr>
                </pic:pic>
              </a:graphicData>
            </a:graphic>
          </wp:inline>
        </w:drawing>
      </w:r>
    </w:p>
    <w:p w:rsidR="00422C22" w:rsidRDefault="00422C22">
      <w:pPr>
        <w:pStyle w:val="Textoindependiente"/>
        <w:spacing w:after="0"/>
        <w:jc w:val="left"/>
        <w:rPr>
          <w:rFonts w:cs="Arial"/>
          <w:sz w:val="24"/>
        </w:rPr>
      </w:pPr>
    </w:p>
    <w:p w:rsidR="00C11E39" w:rsidRDefault="002F4E23">
      <w:pPr>
        <w:pStyle w:val="Textoindependiente"/>
        <w:spacing w:after="0"/>
        <w:jc w:val="left"/>
        <w:rPr>
          <w:rFonts w:cs="Arial"/>
          <w:sz w:val="24"/>
        </w:rPr>
      </w:pPr>
      <w:r>
        <w:rPr>
          <w:rFonts w:cs="Arial"/>
          <w:noProof/>
          <w:sz w:val="24"/>
          <w:lang w:val="es-CO" w:eastAsia="es-CO"/>
        </w:rPr>
        <w:drawing>
          <wp:inline distT="0" distB="0" distL="0" distR="0" wp14:anchorId="09F34B74" wp14:editId="55A26759">
            <wp:extent cx="4956242" cy="7080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6242" cy="708035"/>
                    </a:xfrm>
                    <a:prstGeom prst="rect">
                      <a:avLst/>
                    </a:prstGeom>
                    <a:noFill/>
                    <a:ln>
                      <a:noFill/>
                    </a:ln>
                  </pic:spPr>
                </pic:pic>
              </a:graphicData>
            </a:graphic>
          </wp:inline>
        </w:drawing>
      </w:r>
    </w:p>
    <w:p w:rsidR="00422C22" w:rsidRDefault="00422C22">
      <w:pPr>
        <w:pStyle w:val="Textoindependiente"/>
        <w:spacing w:after="0"/>
        <w:jc w:val="left"/>
        <w:rPr>
          <w:rFonts w:cs="Arial"/>
          <w:sz w:val="24"/>
        </w:rPr>
      </w:pPr>
    </w:p>
    <w:p w:rsidR="00422C22" w:rsidRDefault="00422C22">
      <w:pPr>
        <w:pStyle w:val="Textoindependiente"/>
        <w:spacing w:after="0"/>
        <w:jc w:val="left"/>
        <w:rPr>
          <w:rFonts w:cs="Arial"/>
          <w:sz w:val="24"/>
        </w:rPr>
      </w:pPr>
    </w:p>
    <w:p w:rsidR="00961F7B" w:rsidRPr="00961F7B" w:rsidRDefault="00961F7B" w:rsidP="00961F7B">
      <w:pPr>
        <w:pStyle w:val="Textoindependiente"/>
        <w:numPr>
          <w:ilvl w:val="0"/>
          <w:numId w:val="32"/>
        </w:numPr>
        <w:spacing w:after="0"/>
        <w:jc w:val="left"/>
        <w:rPr>
          <w:rFonts w:cs="Arial"/>
          <w:b/>
          <w:sz w:val="24"/>
        </w:rPr>
      </w:pPr>
      <w:r>
        <w:rPr>
          <w:rFonts w:cs="Arial"/>
          <w:b/>
          <w:sz w:val="24"/>
        </w:rPr>
        <w:t>ÍNDICES IMM Y TCR</w:t>
      </w:r>
    </w:p>
    <w:p w:rsidR="00961F7B" w:rsidRDefault="00961F7B">
      <w:pPr>
        <w:pStyle w:val="Textoindependiente"/>
        <w:spacing w:after="0"/>
        <w:jc w:val="left"/>
        <w:rPr>
          <w:rFonts w:cs="Arial"/>
          <w:sz w:val="24"/>
        </w:rPr>
      </w:pPr>
    </w:p>
    <w:p w:rsidR="00422C22" w:rsidRDefault="00422C22" w:rsidP="00F63620">
      <w:pPr>
        <w:pStyle w:val="Textoindependiente"/>
        <w:spacing w:after="0"/>
        <w:rPr>
          <w:rFonts w:cs="Arial"/>
          <w:sz w:val="24"/>
        </w:rPr>
      </w:pPr>
      <w:r>
        <w:rPr>
          <w:rFonts w:cs="Arial"/>
          <w:sz w:val="24"/>
        </w:rPr>
        <w:t xml:space="preserve">De acuerdo con la información reportada por </w:t>
      </w:r>
      <w:r w:rsidR="00F63620">
        <w:rPr>
          <w:rFonts w:cs="Arial"/>
          <w:sz w:val="24"/>
        </w:rPr>
        <w:t>los productores-comercializadores</w:t>
      </w:r>
      <w:r w:rsidR="0033657E">
        <w:rPr>
          <w:rFonts w:cs="Arial"/>
          <w:sz w:val="24"/>
        </w:rPr>
        <w:t xml:space="preserve"> a la CREG en cumplimiento de la</w:t>
      </w:r>
      <w:r w:rsidR="00B907BF">
        <w:rPr>
          <w:rFonts w:cs="Arial"/>
          <w:sz w:val="24"/>
        </w:rPr>
        <w:t>s</w:t>
      </w:r>
      <w:r w:rsidR="0033657E">
        <w:rPr>
          <w:rFonts w:cs="Arial"/>
          <w:sz w:val="24"/>
        </w:rPr>
        <w:t xml:space="preserve"> Resoluci</w:t>
      </w:r>
      <w:r w:rsidR="00B907BF">
        <w:rPr>
          <w:rFonts w:cs="Arial"/>
          <w:sz w:val="24"/>
        </w:rPr>
        <w:t xml:space="preserve">ones </w:t>
      </w:r>
      <w:r w:rsidR="0033657E">
        <w:rPr>
          <w:rFonts w:cs="Arial"/>
          <w:sz w:val="24"/>
        </w:rPr>
        <w:t>CREG</w:t>
      </w:r>
      <w:r w:rsidR="00CC1183">
        <w:rPr>
          <w:rFonts w:cs="Arial"/>
          <w:sz w:val="24"/>
        </w:rPr>
        <w:t xml:space="preserve"> </w:t>
      </w:r>
      <w:r w:rsidR="00B907BF">
        <w:rPr>
          <w:rFonts w:cs="Arial"/>
          <w:sz w:val="24"/>
        </w:rPr>
        <w:t>114</w:t>
      </w:r>
      <w:r w:rsidR="0033657E">
        <w:rPr>
          <w:rFonts w:cs="Arial"/>
          <w:sz w:val="24"/>
        </w:rPr>
        <w:t xml:space="preserve"> de </w:t>
      </w:r>
      <w:r w:rsidR="00B907BF">
        <w:rPr>
          <w:rFonts w:cs="Arial"/>
          <w:sz w:val="24"/>
        </w:rPr>
        <w:t>2006</w:t>
      </w:r>
      <w:r w:rsidR="00674C3C">
        <w:rPr>
          <w:rFonts w:cs="Arial"/>
          <w:sz w:val="24"/>
        </w:rPr>
        <w:t xml:space="preserve">, </w:t>
      </w:r>
      <w:r w:rsidR="00B907BF">
        <w:rPr>
          <w:rFonts w:cs="Arial"/>
          <w:sz w:val="24"/>
        </w:rPr>
        <w:t>CREG</w:t>
      </w:r>
      <w:r w:rsidR="00CC1183">
        <w:rPr>
          <w:rFonts w:cs="Arial"/>
          <w:sz w:val="24"/>
        </w:rPr>
        <w:t xml:space="preserve"> </w:t>
      </w:r>
      <w:r w:rsidR="00B907BF">
        <w:rPr>
          <w:rFonts w:cs="Arial"/>
          <w:sz w:val="24"/>
        </w:rPr>
        <w:t>095 de 2008</w:t>
      </w:r>
      <w:r w:rsidR="002F4E23">
        <w:rPr>
          <w:rFonts w:cs="Arial"/>
          <w:sz w:val="24"/>
        </w:rPr>
        <w:t xml:space="preserve"> y </w:t>
      </w:r>
      <w:r w:rsidR="00F63620">
        <w:rPr>
          <w:rFonts w:cs="Arial"/>
          <w:sz w:val="24"/>
        </w:rPr>
        <w:t xml:space="preserve">la información reportada por el transportador PROMIGAS S.A. E.S.P., </w:t>
      </w:r>
      <w:r w:rsidR="00F63620">
        <w:rPr>
          <w:rFonts w:cs="Arial"/>
          <w:sz w:val="24"/>
        </w:rPr>
        <w:lastRenderedPageBreak/>
        <w:t xml:space="preserve">radicado </w:t>
      </w:r>
      <w:r w:rsidR="00674C3C">
        <w:rPr>
          <w:rFonts w:cs="Arial"/>
          <w:sz w:val="24"/>
        </w:rPr>
        <w:t xml:space="preserve">CREG </w:t>
      </w:r>
      <w:r w:rsidR="00F63620">
        <w:rPr>
          <w:rFonts w:cs="Arial"/>
          <w:sz w:val="24"/>
        </w:rPr>
        <w:t>E-20</w:t>
      </w:r>
      <w:r w:rsidR="002F4E23">
        <w:rPr>
          <w:rFonts w:cs="Arial"/>
          <w:sz w:val="24"/>
        </w:rPr>
        <w:t>11</w:t>
      </w:r>
      <w:r w:rsidR="00F63620">
        <w:rPr>
          <w:rFonts w:cs="Arial"/>
          <w:sz w:val="24"/>
        </w:rPr>
        <w:t>-</w:t>
      </w:r>
      <w:r w:rsidR="0033657E">
        <w:rPr>
          <w:rFonts w:cs="Arial"/>
          <w:sz w:val="24"/>
        </w:rPr>
        <w:t>00</w:t>
      </w:r>
      <w:r w:rsidR="002F4E23">
        <w:rPr>
          <w:rFonts w:cs="Arial"/>
          <w:sz w:val="24"/>
        </w:rPr>
        <w:t>3451</w:t>
      </w:r>
      <w:r w:rsidR="00674C3C">
        <w:rPr>
          <w:rFonts w:cs="Arial"/>
          <w:sz w:val="24"/>
        </w:rPr>
        <w:t xml:space="preserve">, </w:t>
      </w:r>
      <w:r w:rsidR="00F63620">
        <w:rPr>
          <w:rFonts w:cs="Arial"/>
          <w:sz w:val="24"/>
        </w:rPr>
        <w:t>se informa que los índices IMM y TCR para la Planta TEBSA para el período comprendido entre el 1 de diciembre de 201</w:t>
      </w:r>
      <w:r w:rsidR="002F4E23">
        <w:rPr>
          <w:rFonts w:cs="Arial"/>
          <w:sz w:val="24"/>
        </w:rPr>
        <w:t>2</w:t>
      </w:r>
      <w:r w:rsidR="00F63620">
        <w:rPr>
          <w:rFonts w:cs="Arial"/>
          <w:sz w:val="24"/>
        </w:rPr>
        <w:t xml:space="preserve"> y el 30 de noviembre de 201</w:t>
      </w:r>
      <w:r w:rsidR="002F4E23">
        <w:rPr>
          <w:rFonts w:cs="Arial"/>
          <w:sz w:val="24"/>
        </w:rPr>
        <w:t>3</w:t>
      </w:r>
      <w:r w:rsidR="00F63620">
        <w:rPr>
          <w:rFonts w:cs="Arial"/>
          <w:sz w:val="24"/>
        </w:rPr>
        <w:t xml:space="preserve"> tienen un valor de 1.0.</w:t>
      </w:r>
    </w:p>
    <w:p w:rsidR="00422C22" w:rsidRDefault="00422C22">
      <w:pPr>
        <w:pStyle w:val="Textoindependiente"/>
        <w:spacing w:after="0"/>
        <w:jc w:val="left"/>
        <w:rPr>
          <w:rFonts w:cs="Arial"/>
          <w:sz w:val="24"/>
        </w:rPr>
      </w:pPr>
    </w:p>
    <w:p w:rsidR="002F4E23" w:rsidRDefault="002F4E23">
      <w:pPr>
        <w:pStyle w:val="Textoindependiente"/>
        <w:spacing w:after="0"/>
        <w:jc w:val="left"/>
        <w:rPr>
          <w:rFonts w:cs="Arial"/>
          <w:sz w:val="24"/>
        </w:rPr>
      </w:pPr>
    </w:p>
    <w:p w:rsidR="002F4E23" w:rsidRPr="002D1C30" w:rsidRDefault="002F4E23" w:rsidP="002F4E23">
      <w:pPr>
        <w:pStyle w:val="Prrafodelista"/>
        <w:numPr>
          <w:ilvl w:val="0"/>
          <w:numId w:val="33"/>
        </w:numPr>
        <w:rPr>
          <w:rFonts w:cs="Arial"/>
          <w:b/>
          <w:sz w:val="24"/>
        </w:rPr>
      </w:pPr>
      <w:r>
        <w:rPr>
          <w:rFonts w:cs="Arial"/>
          <w:b/>
          <w:sz w:val="24"/>
        </w:rPr>
        <w:t>ENERGÍA DISPONIBLE ADICIONAL (EDAPTM) CON DESTINO AL MERCADO SECUNDARIO</w:t>
      </w:r>
      <w:r w:rsidR="007E73C7">
        <w:rPr>
          <w:rFonts w:cs="Arial"/>
          <w:b/>
          <w:sz w:val="24"/>
        </w:rPr>
        <w:t xml:space="preserve"> PARA LOS MESES DE DICIEMBRE DE 2012 A NOVIEMBRE DE 2013</w:t>
      </w:r>
    </w:p>
    <w:p w:rsidR="00B63B1B" w:rsidRDefault="00B63B1B">
      <w:pPr>
        <w:pStyle w:val="Textoindependiente"/>
        <w:spacing w:after="0"/>
        <w:jc w:val="left"/>
        <w:rPr>
          <w:rFonts w:cs="Arial"/>
          <w:sz w:val="24"/>
        </w:rPr>
      </w:pPr>
    </w:p>
    <w:p w:rsidR="00B63B1B" w:rsidRDefault="002F4E23" w:rsidP="002F4E23">
      <w:pPr>
        <w:pStyle w:val="Textoindependiente"/>
        <w:spacing w:after="0"/>
        <w:rPr>
          <w:rFonts w:cs="Arial"/>
          <w:sz w:val="24"/>
        </w:rPr>
      </w:pPr>
      <w:r>
        <w:rPr>
          <w:rFonts w:cs="Arial"/>
          <w:sz w:val="24"/>
        </w:rPr>
        <w:t xml:space="preserve">La sociedad GECELCA S.A. E.S.P., con fundamento </w:t>
      </w:r>
      <w:r w:rsidR="007D73B9">
        <w:rPr>
          <w:rFonts w:cs="Arial"/>
          <w:sz w:val="24"/>
        </w:rPr>
        <w:t xml:space="preserve">en lo definido en el </w:t>
      </w:r>
      <w:r w:rsidR="00CC1183">
        <w:rPr>
          <w:rFonts w:cs="Arial"/>
          <w:sz w:val="24"/>
        </w:rPr>
        <w:t xml:space="preserve">Anexo </w:t>
      </w:r>
      <w:r w:rsidR="007D73B9">
        <w:rPr>
          <w:rFonts w:cs="Arial"/>
          <w:sz w:val="24"/>
        </w:rPr>
        <w:t xml:space="preserve">3 de </w:t>
      </w:r>
      <w:r>
        <w:rPr>
          <w:rFonts w:cs="Arial"/>
          <w:sz w:val="24"/>
        </w:rPr>
        <w:t>la Resolución CREG</w:t>
      </w:r>
      <w:r w:rsidR="00CC1183">
        <w:rPr>
          <w:rFonts w:cs="Arial"/>
          <w:sz w:val="24"/>
        </w:rPr>
        <w:t xml:space="preserve"> </w:t>
      </w:r>
      <w:r>
        <w:rPr>
          <w:rFonts w:cs="Arial"/>
          <w:sz w:val="24"/>
        </w:rPr>
        <w:t>0</w:t>
      </w:r>
      <w:r w:rsidR="007D73B9">
        <w:rPr>
          <w:rFonts w:cs="Arial"/>
          <w:sz w:val="24"/>
        </w:rPr>
        <w:t>62</w:t>
      </w:r>
      <w:r>
        <w:rPr>
          <w:rFonts w:cs="Arial"/>
          <w:sz w:val="24"/>
        </w:rPr>
        <w:t xml:space="preserve"> de 2007, </w:t>
      </w:r>
      <w:r w:rsidR="007D73B9">
        <w:rPr>
          <w:rFonts w:cs="Arial"/>
          <w:sz w:val="24"/>
        </w:rPr>
        <w:t xml:space="preserve">está optando por utilizar el mecanismo defino en la citada norma para la determinación de la Energía Disponible Adicional e Plantas o Unidades Térmicas para un Mes (EDAPTM) </w:t>
      </w:r>
      <w:r>
        <w:rPr>
          <w:rFonts w:cs="Arial"/>
          <w:sz w:val="24"/>
        </w:rPr>
        <w:t>con la Planta TEBSA, para lo cual declaró los respectivos parámetros, anexó la verificación de los parámetros por una firma auditora</w:t>
      </w:r>
      <w:r w:rsidR="007D73B9">
        <w:rPr>
          <w:rFonts w:cs="Arial"/>
          <w:sz w:val="24"/>
        </w:rPr>
        <w:t xml:space="preserve"> y la licencia ambiental</w:t>
      </w:r>
      <w:r>
        <w:rPr>
          <w:rFonts w:cs="Arial"/>
          <w:sz w:val="24"/>
        </w:rPr>
        <w:t xml:space="preserve"> (Radicado</w:t>
      </w:r>
      <w:r w:rsidR="007D73B9">
        <w:rPr>
          <w:rFonts w:cs="Arial"/>
          <w:sz w:val="24"/>
        </w:rPr>
        <w:t>s</w:t>
      </w:r>
      <w:r>
        <w:rPr>
          <w:rFonts w:cs="Arial"/>
          <w:sz w:val="24"/>
        </w:rPr>
        <w:t xml:space="preserve"> CREG E-2011-00</w:t>
      </w:r>
      <w:r w:rsidR="007D73B9">
        <w:rPr>
          <w:rFonts w:cs="Arial"/>
          <w:sz w:val="24"/>
        </w:rPr>
        <w:t>2607 y E-2011-003930).</w:t>
      </w:r>
    </w:p>
    <w:p w:rsidR="00742365" w:rsidRDefault="00742365">
      <w:pPr>
        <w:pStyle w:val="Textoindependiente"/>
        <w:spacing w:after="0"/>
        <w:jc w:val="left"/>
        <w:rPr>
          <w:rFonts w:cs="Arial"/>
          <w:sz w:val="24"/>
        </w:rPr>
      </w:pPr>
    </w:p>
    <w:p w:rsidR="007D73B9" w:rsidRDefault="007D73B9">
      <w:pPr>
        <w:pStyle w:val="Textoindependiente"/>
        <w:spacing w:after="0"/>
        <w:jc w:val="left"/>
        <w:rPr>
          <w:rFonts w:cs="Arial"/>
          <w:sz w:val="24"/>
        </w:rPr>
      </w:pPr>
    </w:p>
    <w:p w:rsidR="007D73B9" w:rsidRDefault="007D73B9" w:rsidP="007D73B9">
      <w:pPr>
        <w:pStyle w:val="Textoindependiente"/>
        <w:numPr>
          <w:ilvl w:val="0"/>
          <w:numId w:val="34"/>
        </w:numPr>
        <w:spacing w:after="0"/>
        <w:jc w:val="left"/>
        <w:rPr>
          <w:rFonts w:cs="Arial"/>
          <w:b/>
          <w:sz w:val="24"/>
        </w:rPr>
      </w:pPr>
      <w:r>
        <w:rPr>
          <w:rFonts w:cs="Arial"/>
          <w:b/>
          <w:sz w:val="24"/>
        </w:rPr>
        <w:t>PARÁMETROS DECLARADOS POR GECELCA S.A. E.S.P.</w:t>
      </w:r>
    </w:p>
    <w:p w:rsidR="002F4E23" w:rsidRDefault="002F4E23">
      <w:pPr>
        <w:pStyle w:val="Textoindependiente"/>
        <w:spacing w:after="0"/>
        <w:jc w:val="left"/>
        <w:rPr>
          <w:rFonts w:cs="Arial"/>
          <w:sz w:val="24"/>
        </w:rPr>
      </w:pPr>
    </w:p>
    <w:p w:rsidR="007D73B9" w:rsidRDefault="007D73B9">
      <w:pPr>
        <w:pStyle w:val="Textoindependiente"/>
        <w:spacing w:after="0"/>
        <w:jc w:val="left"/>
        <w:rPr>
          <w:rFonts w:cs="Arial"/>
          <w:sz w:val="24"/>
        </w:rPr>
      </w:pPr>
      <w:r>
        <w:rPr>
          <w:rFonts w:cs="Arial"/>
          <w:noProof/>
          <w:sz w:val="24"/>
          <w:lang w:val="es-CO" w:eastAsia="es-CO"/>
        </w:rPr>
        <w:drawing>
          <wp:inline distT="0" distB="0" distL="0" distR="0" wp14:anchorId="5263A2BD" wp14:editId="53670B98">
            <wp:extent cx="4411493" cy="966219"/>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1251" cy="966166"/>
                    </a:xfrm>
                    <a:prstGeom prst="rect">
                      <a:avLst/>
                    </a:prstGeom>
                    <a:noFill/>
                    <a:ln>
                      <a:noFill/>
                    </a:ln>
                  </pic:spPr>
                </pic:pic>
              </a:graphicData>
            </a:graphic>
          </wp:inline>
        </w:drawing>
      </w:r>
    </w:p>
    <w:p w:rsidR="002F4E23" w:rsidRDefault="002F4E23">
      <w:pPr>
        <w:pStyle w:val="Textoindependiente"/>
        <w:spacing w:after="0"/>
        <w:jc w:val="left"/>
        <w:rPr>
          <w:rFonts w:cs="Arial"/>
          <w:sz w:val="24"/>
        </w:rPr>
      </w:pPr>
    </w:p>
    <w:p w:rsidR="007D73B9" w:rsidRDefault="009F28A2">
      <w:pPr>
        <w:pStyle w:val="Textoindependiente"/>
        <w:spacing w:after="0"/>
        <w:jc w:val="left"/>
        <w:rPr>
          <w:rFonts w:cs="Arial"/>
          <w:sz w:val="24"/>
        </w:rPr>
      </w:pPr>
      <w:r>
        <w:rPr>
          <w:rFonts w:cs="Arial"/>
          <w:noProof/>
          <w:sz w:val="24"/>
          <w:lang w:val="es-CO" w:eastAsia="es-CO"/>
        </w:rPr>
        <w:drawing>
          <wp:inline distT="0" distB="0" distL="0" distR="0" wp14:anchorId="3334A561" wp14:editId="05B947F1">
            <wp:extent cx="6400800" cy="720090"/>
            <wp:effectExtent l="0" t="0" r="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720090"/>
                    </a:xfrm>
                    <a:prstGeom prst="rect">
                      <a:avLst/>
                    </a:prstGeom>
                    <a:noFill/>
                    <a:ln>
                      <a:noFill/>
                    </a:ln>
                  </pic:spPr>
                </pic:pic>
              </a:graphicData>
            </a:graphic>
          </wp:inline>
        </w:drawing>
      </w:r>
    </w:p>
    <w:p w:rsidR="009F28A2" w:rsidRDefault="009F28A2">
      <w:pPr>
        <w:pStyle w:val="Textoindependiente"/>
        <w:spacing w:after="0"/>
        <w:jc w:val="left"/>
        <w:rPr>
          <w:rFonts w:cs="Arial"/>
          <w:sz w:val="24"/>
        </w:rPr>
      </w:pPr>
    </w:p>
    <w:p w:rsidR="009F28A2" w:rsidRDefault="009F28A2">
      <w:pPr>
        <w:pStyle w:val="Textoindependiente"/>
        <w:spacing w:after="0"/>
        <w:jc w:val="left"/>
        <w:rPr>
          <w:rFonts w:cs="Arial"/>
          <w:sz w:val="24"/>
        </w:rPr>
      </w:pPr>
      <w:r>
        <w:rPr>
          <w:rFonts w:cs="Arial"/>
          <w:noProof/>
          <w:sz w:val="24"/>
          <w:lang w:val="es-CO" w:eastAsia="es-CO"/>
        </w:rPr>
        <w:drawing>
          <wp:inline distT="0" distB="0" distL="0" distR="0" wp14:anchorId="3009A9E4" wp14:editId="7DC75249">
            <wp:extent cx="6400800" cy="831850"/>
            <wp:effectExtent l="0" t="0" r="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831850"/>
                    </a:xfrm>
                    <a:prstGeom prst="rect">
                      <a:avLst/>
                    </a:prstGeom>
                    <a:noFill/>
                    <a:ln>
                      <a:noFill/>
                    </a:ln>
                  </pic:spPr>
                </pic:pic>
              </a:graphicData>
            </a:graphic>
          </wp:inline>
        </w:drawing>
      </w:r>
    </w:p>
    <w:p w:rsidR="009F28A2" w:rsidRDefault="009F28A2">
      <w:pPr>
        <w:pStyle w:val="Textoindependiente"/>
        <w:spacing w:after="0"/>
        <w:jc w:val="left"/>
        <w:rPr>
          <w:rFonts w:cs="Arial"/>
          <w:sz w:val="24"/>
        </w:rPr>
      </w:pPr>
    </w:p>
    <w:p w:rsidR="009F28A2" w:rsidRDefault="009F28A2">
      <w:pPr>
        <w:pStyle w:val="Textoindependiente"/>
        <w:spacing w:after="0"/>
        <w:jc w:val="left"/>
        <w:rPr>
          <w:rFonts w:cs="Arial"/>
          <w:sz w:val="24"/>
        </w:rPr>
      </w:pPr>
      <w:r>
        <w:rPr>
          <w:rFonts w:cs="Arial"/>
          <w:noProof/>
          <w:sz w:val="24"/>
          <w:lang w:val="es-CO" w:eastAsia="es-CO"/>
        </w:rPr>
        <w:drawing>
          <wp:inline distT="0" distB="0" distL="0" distR="0" wp14:anchorId="62ACBF24" wp14:editId="182DB540">
            <wp:extent cx="6400800" cy="627380"/>
            <wp:effectExtent l="0" t="0" r="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627380"/>
                    </a:xfrm>
                    <a:prstGeom prst="rect">
                      <a:avLst/>
                    </a:prstGeom>
                    <a:noFill/>
                    <a:ln>
                      <a:noFill/>
                    </a:ln>
                  </pic:spPr>
                </pic:pic>
              </a:graphicData>
            </a:graphic>
          </wp:inline>
        </w:drawing>
      </w:r>
    </w:p>
    <w:p w:rsidR="009F28A2" w:rsidRDefault="009F28A2">
      <w:pPr>
        <w:pStyle w:val="Textoindependiente"/>
        <w:spacing w:after="0"/>
        <w:jc w:val="left"/>
        <w:rPr>
          <w:rFonts w:cs="Arial"/>
          <w:sz w:val="24"/>
        </w:rPr>
      </w:pPr>
    </w:p>
    <w:p w:rsidR="009F28A2" w:rsidRPr="00961F7B" w:rsidRDefault="009F28A2" w:rsidP="009F28A2">
      <w:pPr>
        <w:pStyle w:val="Textoindependiente"/>
        <w:numPr>
          <w:ilvl w:val="0"/>
          <w:numId w:val="35"/>
        </w:numPr>
        <w:spacing w:after="0"/>
        <w:jc w:val="left"/>
        <w:rPr>
          <w:rFonts w:cs="Arial"/>
          <w:b/>
          <w:sz w:val="24"/>
        </w:rPr>
      </w:pPr>
      <w:r>
        <w:rPr>
          <w:rFonts w:cs="Arial"/>
          <w:b/>
          <w:sz w:val="24"/>
        </w:rPr>
        <w:t>ÍNDICES IMM Y TCR</w:t>
      </w:r>
    </w:p>
    <w:p w:rsidR="009F28A2" w:rsidRDefault="009F28A2">
      <w:pPr>
        <w:pStyle w:val="Textoindependiente"/>
        <w:spacing w:after="0"/>
        <w:jc w:val="left"/>
        <w:rPr>
          <w:rFonts w:cs="Arial"/>
          <w:sz w:val="24"/>
        </w:rPr>
      </w:pPr>
    </w:p>
    <w:p w:rsidR="009F28A2" w:rsidRDefault="009F28A2" w:rsidP="009F28A2">
      <w:pPr>
        <w:pStyle w:val="Textoindependiente"/>
        <w:spacing w:after="0"/>
        <w:rPr>
          <w:rFonts w:cs="Arial"/>
          <w:sz w:val="24"/>
        </w:rPr>
      </w:pPr>
      <w:r>
        <w:rPr>
          <w:rFonts w:cs="Arial"/>
          <w:sz w:val="24"/>
        </w:rPr>
        <w:lastRenderedPageBreak/>
        <w:t>De acuerdo con la información reportada por los productores-comercializadores a la CREG en cumplimiento de las Resoluciones CREG</w:t>
      </w:r>
      <w:r w:rsidR="005445AA">
        <w:rPr>
          <w:rFonts w:cs="Arial"/>
          <w:sz w:val="24"/>
        </w:rPr>
        <w:t xml:space="preserve"> </w:t>
      </w:r>
      <w:r>
        <w:rPr>
          <w:rFonts w:cs="Arial"/>
          <w:sz w:val="24"/>
        </w:rPr>
        <w:t>114 de 2006, CREG</w:t>
      </w:r>
      <w:r w:rsidR="005445AA">
        <w:rPr>
          <w:rFonts w:cs="Arial"/>
          <w:sz w:val="24"/>
        </w:rPr>
        <w:t xml:space="preserve"> </w:t>
      </w:r>
      <w:r>
        <w:rPr>
          <w:rFonts w:cs="Arial"/>
          <w:sz w:val="24"/>
        </w:rPr>
        <w:t>095 de 2008 y la información reportada por el transportador PROMIGAS S.A. E.S.P., radicado CREG E-2011-003451, se informa que los índices IMM y TCR para la Planta TEBSA para el período comprendido entre el 1 de diciembre de 2012 y el 30 de noviembre de 2013 tienen un valor de 1.0.</w:t>
      </w:r>
    </w:p>
    <w:p w:rsidR="009F28A2" w:rsidRDefault="009F28A2">
      <w:pPr>
        <w:pStyle w:val="Textoindependiente"/>
        <w:spacing w:after="0"/>
        <w:jc w:val="left"/>
        <w:rPr>
          <w:rFonts w:cs="Arial"/>
          <w:sz w:val="24"/>
        </w:rPr>
      </w:pPr>
    </w:p>
    <w:p w:rsidR="009F28A2" w:rsidRDefault="009F28A2" w:rsidP="009F28A2">
      <w:pPr>
        <w:pStyle w:val="Textoindependiente"/>
        <w:spacing w:after="0"/>
        <w:rPr>
          <w:rFonts w:cs="Arial"/>
          <w:sz w:val="24"/>
        </w:rPr>
      </w:pPr>
      <w:r>
        <w:rPr>
          <w:rFonts w:cs="Arial"/>
          <w:sz w:val="24"/>
        </w:rPr>
        <w:t>Adicionalmente, la empresa GECELCA S.A. E.S.P. informó mediante comunicación con radicado CREG E-2011-003930 lo siguiente:</w:t>
      </w:r>
    </w:p>
    <w:p w:rsidR="009F28A2" w:rsidRDefault="009F28A2" w:rsidP="009F28A2">
      <w:pPr>
        <w:pStyle w:val="Textoindependiente"/>
        <w:spacing w:after="0"/>
        <w:rPr>
          <w:rFonts w:cs="Arial"/>
          <w:sz w:val="24"/>
        </w:rPr>
      </w:pPr>
    </w:p>
    <w:p w:rsidR="009F28A2" w:rsidRPr="009F28A2" w:rsidRDefault="009F28A2" w:rsidP="009F28A2">
      <w:pPr>
        <w:pStyle w:val="Textoindependiente"/>
        <w:spacing w:after="0"/>
        <w:ind w:left="708"/>
        <w:rPr>
          <w:rFonts w:cs="Arial"/>
          <w:i/>
        </w:rPr>
      </w:pPr>
      <w:r>
        <w:rPr>
          <w:rFonts w:cs="Arial"/>
          <w:i/>
        </w:rPr>
        <w:t>“Por tanto, la energía que se encuentra por encima del valor de la ENFICC de la planta TEBSA sería tomada sería tomada como la energía disponible que se podría utilizar para declarar una EDAPTM, teniendo en consideración la metodología de determinación de dicha energía establecida en la norma.”</w:t>
      </w:r>
    </w:p>
    <w:p w:rsidR="009F28A2" w:rsidRDefault="009F28A2">
      <w:pPr>
        <w:pStyle w:val="Textoindependiente"/>
        <w:spacing w:after="0"/>
        <w:jc w:val="left"/>
        <w:rPr>
          <w:rFonts w:cs="Arial"/>
          <w:sz w:val="24"/>
        </w:rPr>
      </w:pPr>
    </w:p>
    <w:p w:rsidR="009F28A2" w:rsidRDefault="00F17DE7" w:rsidP="00F17DE7">
      <w:pPr>
        <w:pStyle w:val="Textoindependiente"/>
        <w:spacing w:after="0"/>
        <w:rPr>
          <w:rFonts w:cs="Arial"/>
          <w:sz w:val="24"/>
        </w:rPr>
      </w:pPr>
      <w:r>
        <w:rPr>
          <w:rFonts w:cs="Arial"/>
          <w:sz w:val="24"/>
        </w:rPr>
        <w:t>Se publica esta información para efectos de que sea tenida en cuenta en el cálculo y verificación de la EDPATPM correspondiente a la planta de generación TEBSA, de conformidad con lo establecido en la Resolución CREG</w:t>
      </w:r>
      <w:r w:rsidR="005445AA">
        <w:rPr>
          <w:rFonts w:cs="Arial"/>
          <w:sz w:val="24"/>
        </w:rPr>
        <w:t xml:space="preserve"> </w:t>
      </w:r>
      <w:r>
        <w:rPr>
          <w:rFonts w:cs="Arial"/>
          <w:sz w:val="24"/>
        </w:rPr>
        <w:t>062 de 2007.</w:t>
      </w:r>
    </w:p>
    <w:p w:rsidR="009F28A2" w:rsidRDefault="009F28A2">
      <w:pPr>
        <w:pStyle w:val="Textoindependiente"/>
        <w:spacing w:after="0"/>
        <w:jc w:val="left"/>
        <w:rPr>
          <w:rFonts w:cs="Arial"/>
          <w:sz w:val="24"/>
        </w:rPr>
      </w:pPr>
    </w:p>
    <w:p w:rsidR="00A3409D" w:rsidRDefault="00A3409D">
      <w:pPr>
        <w:pStyle w:val="Textoindependiente"/>
        <w:spacing w:after="0"/>
        <w:jc w:val="left"/>
        <w:rPr>
          <w:rFonts w:cs="Arial"/>
          <w:sz w:val="24"/>
        </w:rPr>
      </w:pPr>
    </w:p>
    <w:p w:rsidR="00A9721C" w:rsidRDefault="00A9721C">
      <w:pPr>
        <w:pStyle w:val="Textoindependiente"/>
        <w:spacing w:after="0"/>
        <w:jc w:val="left"/>
        <w:rPr>
          <w:rFonts w:cs="Arial"/>
          <w:sz w:val="24"/>
        </w:rPr>
      </w:pPr>
      <w:r>
        <w:rPr>
          <w:rFonts w:cs="Arial"/>
          <w:sz w:val="24"/>
        </w:rPr>
        <w:t>Cordialmente,</w:t>
      </w:r>
    </w:p>
    <w:p w:rsidR="004D3173" w:rsidRDefault="004D3173">
      <w:pPr>
        <w:pStyle w:val="Textoindependiente"/>
        <w:spacing w:after="0"/>
        <w:jc w:val="left"/>
        <w:rPr>
          <w:rFonts w:cs="Arial"/>
          <w:sz w:val="24"/>
        </w:rPr>
      </w:pPr>
    </w:p>
    <w:p w:rsidR="004D3173" w:rsidRDefault="004D3173">
      <w:pPr>
        <w:pStyle w:val="Textoindependiente"/>
        <w:spacing w:after="0"/>
        <w:jc w:val="left"/>
        <w:rPr>
          <w:rFonts w:cs="Arial"/>
          <w:sz w:val="24"/>
        </w:rPr>
      </w:pPr>
    </w:p>
    <w:p w:rsidR="00742365" w:rsidRDefault="00742365">
      <w:pPr>
        <w:pStyle w:val="Textoindependiente"/>
        <w:spacing w:after="0"/>
        <w:jc w:val="left"/>
        <w:rPr>
          <w:rFonts w:cs="Arial"/>
          <w:sz w:val="24"/>
        </w:rPr>
      </w:pPr>
    </w:p>
    <w:p w:rsidR="00A9721C" w:rsidRPr="00B0617A" w:rsidRDefault="0033657E">
      <w:pPr>
        <w:pStyle w:val="Textoindependiente"/>
        <w:spacing w:after="0"/>
        <w:jc w:val="center"/>
        <w:rPr>
          <w:rFonts w:cs="Arial"/>
          <w:sz w:val="24"/>
        </w:rPr>
      </w:pPr>
      <w:r>
        <w:rPr>
          <w:rFonts w:cs="Arial"/>
          <w:sz w:val="24"/>
        </w:rPr>
        <w:t>JAVIER AUGUSTO DÍAZ VELASCO</w:t>
      </w:r>
    </w:p>
    <w:p w:rsidR="00A9721C" w:rsidRDefault="00A9721C">
      <w:pPr>
        <w:pStyle w:val="Textoindependiente"/>
        <w:spacing w:after="0"/>
        <w:jc w:val="center"/>
        <w:rPr>
          <w:sz w:val="24"/>
        </w:rPr>
      </w:pPr>
      <w:r>
        <w:rPr>
          <w:sz w:val="24"/>
        </w:rPr>
        <w:t>Director Ejecutivo</w:t>
      </w:r>
    </w:p>
    <w:sectPr w:rsidR="00A9721C" w:rsidSect="00A3409D">
      <w:headerReference w:type="default" r:id="rId18"/>
      <w:footerReference w:type="even" r:id="rId19"/>
      <w:footerReference w:type="default" r:id="rId20"/>
      <w:headerReference w:type="first" r:id="rId21"/>
      <w:footerReference w:type="first" r:id="rId22"/>
      <w:type w:val="continuous"/>
      <w:pgSz w:w="12242" w:h="15842" w:code="1"/>
      <w:pgMar w:top="1440" w:right="1610" w:bottom="1440" w:left="1843" w:header="709" w:footer="45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183" w:rsidRDefault="00CC1183">
      <w:r>
        <w:separator/>
      </w:r>
    </w:p>
  </w:endnote>
  <w:endnote w:type="continuationSeparator" w:id="0">
    <w:p w:rsidR="00CC1183" w:rsidRDefault="00CC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183" w:rsidRDefault="00CC118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1183" w:rsidRDefault="00CC118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183" w:rsidRDefault="00CC1183">
    <w:pPr>
      <w:pStyle w:val="Piedepgina"/>
      <w:ind w:right="360"/>
    </w:pPr>
  </w:p>
  <w:p w:rsidR="00CC1183" w:rsidRDefault="00CC1183" w:rsidP="003E6D91">
    <w:pPr>
      <w:pStyle w:val="Piedepgina"/>
      <w:ind w:right="360"/>
      <w:jc w:val="right"/>
      <w:rPr>
        <w:sz w:val="12"/>
      </w:rPr>
    </w:pPr>
  </w:p>
  <w:p w:rsidR="00CC1183" w:rsidRPr="009E7DDD" w:rsidRDefault="00CC1183" w:rsidP="003E6D91">
    <w:pPr>
      <w:pStyle w:val="Piedepgina"/>
      <w:pBdr>
        <w:top w:val="dotted" w:sz="4" w:space="1" w:color="auto"/>
      </w:pBdr>
      <w:jc w:val="center"/>
      <w:rPr>
        <w:sz w:val="14"/>
      </w:rPr>
    </w:pPr>
    <w:r>
      <w:sym w:font="Wingdings" w:char="F028"/>
    </w:r>
    <w:r w:rsidRPr="009E7DDD">
      <w:rPr>
        <w:sz w:val="14"/>
      </w:rPr>
      <w:t xml:space="preserve"> 6032020</w:t>
    </w:r>
    <w:r w:rsidRPr="009E7DDD">
      <w:rPr>
        <w:b/>
        <w:sz w:val="14"/>
      </w:rPr>
      <w:t xml:space="preserve">   FAX :</w:t>
    </w:r>
    <w:r w:rsidRPr="009E7DDD">
      <w:rPr>
        <w:sz w:val="14"/>
      </w:rPr>
      <w:t xml:space="preserve">  6032100 / 6032049 </w:t>
    </w:r>
    <w:r w:rsidRPr="009E7DDD">
      <w:rPr>
        <w:b/>
        <w:i/>
        <w:sz w:val="14"/>
      </w:rPr>
      <w:t xml:space="preserve">  url: </w:t>
    </w:r>
    <w:r w:rsidRPr="009E7DDD">
      <w:rPr>
        <w:i/>
        <w:sz w:val="14"/>
      </w:rPr>
      <w:t>www.creg.gov.co</w:t>
    </w:r>
    <w:r w:rsidRPr="009E7DDD">
      <w:rPr>
        <w:b/>
        <w:i/>
        <w:sz w:val="14"/>
      </w:rPr>
      <w:t xml:space="preserve">  e-mail: </w:t>
    </w:r>
    <w:r w:rsidRPr="009E7DDD">
      <w:rPr>
        <w:sz w:val="14"/>
      </w:rPr>
      <w:t>creg@creg.gov.co</w:t>
    </w:r>
  </w:p>
  <w:p w:rsidR="00CC1183" w:rsidRDefault="00CC1183" w:rsidP="003E6D91">
    <w:pPr>
      <w:pStyle w:val="Piedepgina"/>
      <w:pBdr>
        <w:top w:val="dotted" w:sz="4" w:space="1" w:color="auto"/>
      </w:pBdr>
      <w:jc w:val="center"/>
    </w:pPr>
    <w:r>
      <w:sym w:font="Wingdings" w:char="F02A"/>
    </w:r>
    <w:r>
      <w:t xml:space="preserve"> </w:t>
    </w:r>
    <w:r w:rsidRPr="009B1782">
      <w:rPr>
        <w:sz w:val="14"/>
        <w:szCs w:val="14"/>
      </w:rPr>
      <w:t>Av</w:t>
    </w:r>
    <w:r>
      <w:t>.</w:t>
    </w:r>
    <w:r>
      <w:rPr>
        <w:sz w:val="14"/>
      </w:rPr>
      <w:t xml:space="preserve"> Calle 116 No.7-15 Int.2, Piso 9, Ofi.901, Edif. Cusezar Bogotá, D.C. Colombia</w:t>
    </w:r>
  </w:p>
  <w:p w:rsidR="00CC1183" w:rsidRDefault="00CC118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183" w:rsidRDefault="00CC1183">
    <w:pPr>
      <w:pStyle w:val="Piedepgina"/>
      <w:ind w:right="360"/>
      <w:jc w:val="right"/>
      <w:rPr>
        <w:sz w:val="12"/>
      </w:rPr>
    </w:pPr>
  </w:p>
  <w:p w:rsidR="00CC1183" w:rsidRDefault="00CC1183">
    <w:pPr>
      <w:pStyle w:val="Piedepgina"/>
      <w:pBdr>
        <w:top w:val="dotted" w:sz="4" w:space="1" w:color="auto"/>
      </w:pBdr>
      <w:jc w:val="center"/>
      <w:rPr>
        <w:sz w:val="14"/>
      </w:rPr>
    </w:pPr>
    <w:r>
      <w:sym w:font="Wingdings" w:char="F028"/>
    </w:r>
    <w:r>
      <w:rPr>
        <w:sz w:val="14"/>
      </w:rPr>
      <w:t xml:space="preserve"> 3122020</w:t>
    </w:r>
    <w:r>
      <w:rPr>
        <w:b/>
        <w:sz w:val="14"/>
      </w:rPr>
      <w:t xml:space="preserve">   FAX :</w:t>
    </w:r>
    <w:r>
      <w:rPr>
        <w:sz w:val="14"/>
      </w:rPr>
      <w:t xml:space="preserve">  3121900 - 3121883 </w:t>
    </w:r>
    <w:r>
      <w:rPr>
        <w:b/>
        <w:i/>
        <w:sz w:val="14"/>
      </w:rPr>
      <w:t xml:space="preserve">  url: </w:t>
    </w:r>
    <w:r>
      <w:rPr>
        <w:i/>
        <w:sz w:val="14"/>
      </w:rPr>
      <w:t>www.creg.gov.co</w:t>
    </w:r>
    <w:r>
      <w:rPr>
        <w:b/>
        <w:i/>
        <w:sz w:val="14"/>
      </w:rPr>
      <w:t xml:space="preserve">  e-mail: </w:t>
    </w:r>
    <w:r>
      <w:rPr>
        <w:sz w:val="14"/>
      </w:rPr>
      <w:t>creg@creg.gov.co</w:t>
    </w:r>
  </w:p>
  <w:p w:rsidR="00CC1183" w:rsidRDefault="00CC1183">
    <w:pPr>
      <w:pStyle w:val="Piedepgina"/>
      <w:pBdr>
        <w:top w:val="dotted" w:sz="4" w:space="1" w:color="auto"/>
      </w:pBdr>
      <w:jc w:val="center"/>
    </w:pPr>
    <w:r>
      <w:sym w:font="Wingdings" w:char="F02A"/>
    </w:r>
    <w:r>
      <w:rPr>
        <w:sz w:val="14"/>
      </w:rPr>
      <w:t xml:space="preserve"> Carrera 7ª  No. 71-52 Torre B Piso 4°, Bogotá D. C. Colombia</w:t>
    </w:r>
  </w:p>
  <w:p w:rsidR="00CC1183" w:rsidRDefault="00CC11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183" w:rsidRDefault="00CC1183">
      <w:r>
        <w:separator/>
      </w:r>
    </w:p>
  </w:footnote>
  <w:footnote w:type="continuationSeparator" w:id="0">
    <w:p w:rsidR="00CC1183" w:rsidRDefault="00CC1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183" w:rsidRDefault="00CC1183">
    <w:pPr>
      <w:pStyle w:val="Textoindependiente"/>
      <w:spacing w:after="0"/>
      <w:jc w:val="left"/>
      <w:rPr>
        <w:rFonts w:cs="Arial"/>
        <w:u w:val="single"/>
      </w:rPr>
    </w:pPr>
    <w:r>
      <w:rPr>
        <w:noProof/>
        <w:lang w:val="es-CO" w:eastAsia="es-CO"/>
      </w:rPr>
      <w:drawing>
        <wp:anchor distT="0" distB="0" distL="114300" distR="114300" simplePos="0" relativeHeight="251658240" behindDoc="0" locked="0" layoutInCell="1" allowOverlap="1" wp14:anchorId="64D9AA72" wp14:editId="0D6CBB99">
          <wp:simplePos x="0" y="0"/>
          <wp:positionH relativeFrom="column">
            <wp:posOffset>4086225</wp:posOffset>
          </wp:positionH>
          <wp:positionV relativeFrom="paragraph">
            <wp:posOffset>-60960</wp:posOffset>
          </wp:positionV>
          <wp:extent cx="1463040" cy="671830"/>
          <wp:effectExtent l="19050" t="0" r="3810" b="0"/>
          <wp:wrapTopAndBottom/>
          <wp:docPr id="2" name="Imagen 2"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reg"/>
                  <pic:cNvPicPr>
                    <a:picLocks noChangeAspect="1" noChangeArrowheads="1"/>
                  </pic:cNvPicPr>
                </pic:nvPicPr>
                <pic:blipFill>
                  <a:blip r:embed="rId1"/>
                  <a:srcRect/>
                  <a:stretch>
                    <a:fillRect/>
                  </a:stretch>
                </pic:blipFill>
                <pic:spPr bwMode="auto">
                  <a:xfrm>
                    <a:off x="0" y="0"/>
                    <a:ext cx="1463040" cy="671830"/>
                  </a:xfrm>
                  <a:prstGeom prst="rect">
                    <a:avLst/>
                  </a:prstGeom>
                  <a:noFill/>
                  <a:ln w="9525">
                    <a:noFill/>
                    <a:miter lim="800000"/>
                    <a:headEnd/>
                    <a:tailEnd/>
                  </a:ln>
                </pic:spPr>
              </pic:pic>
            </a:graphicData>
          </a:graphic>
        </wp:anchor>
      </w:drawing>
    </w:r>
  </w:p>
  <w:p w:rsidR="00CC1183" w:rsidRPr="00A3409D" w:rsidRDefault="00CC1183">
    <w:pPr>
      <w:pStyle w:val="Textoindependiente"/>
      <w:spacing w:after="0"/>
      <w:jc w:val="left"/>
      <w:rPr>
        <w:i/>
        <w:iCs/>
        <w:sz w:val="18"/>
        <w:szCs w:val="18"/>
        <w:u w:val="single"/>
      </w:rPr>
    </w:pPr>
    <w:r w:rsidRPr="00A3409D">
      <w:rPr>
        <w:i/>
        <w:iCs/>
        <w:sz w:val="18"/>
        <w:szCs w:val="18"/>
        <w:u w:val="single"/>
      </w:rPr>
      <w:t>Circular No.</w:t>
    </w:r>
    <w:r w:rsidR="00A3409D" w:rsidRPr="00A3409D">
      <w:rPr>
        <w:i/>
        <w:iCs/>
        <w:sz w:val="18"/>
        <w:szCs w:val="18"/>
        <w:u w:val="single"/>
      </w:rPr>
      <w:t>028</w:t>
    </w:r>
  </w:p>
  <w:p w:rsidR="00CC1183" w:rsidRPr="00A3409D" w:rsidRDefault="00A3409D">
    <w:pPr>
      <w:pStyle w:val="Encabezado"/>
      <w:rPr>
        <w:rFonts w:cs="Arial"/>
        <w:i/>
        <w:iCs/>
        <w:sz w:val="18"/>
        <w:szCs w:val="18"/>
        <w:u w:val="single"/>
      </w:rPr>
    </w:pPr>
    <w:r w:rsidRPr="00A3409D">
      <w:rPr>
        <w:i/>
        <w:iCs/>
        <w:sz w:val="18"/>
        <w:szCs w:val="18"/>
        <w:u w:val="single"/>
      </w:rPr>
      <w:t>Abril de 2011</w:t>
    </w:r>
  </w:p>
  <w:p w:rsidR="00CC1183" w:rsidRDefault="00CC1183">
    <w:pPr>
      <w:pStyle w:val="Encabezado"/>
      <w:rPr>
        <w:lang w:val="es-MX"/>
      </w:rPr>
    </w:pPr>
    <w:r>
      <w:rPr>
        <w:lang w:val="es-MX"/>
      </w:rPr>
      <w:tab/>
    </w:r>
    <w:r>
      <w:rPr>
        <w:lang w:val="es-MX"/>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183" w:rsidRDefault="00CC1183">
    <w:pPr>
      <w:pStyle w:val="Encabezado"/>
    </w:pPr>
    <w:r>
      <w:rPr>
        <w:noProof/>
        <w:lang w:eastAsia="es-CO"/>
      </w:rPr>
      <w:drawing>
        <wp:anchor distT="0" distB="0" distL="114300" distR="114300" simplePos="0" relativeHeight="251657216" behindDoc="0" locked="0" layoutInCell="1" allowOverlap="1" wp14:anchorId="1F658A71" wp14:editId="157CCAD3">
          <wp:simplePos x="0" y="0"/>
          <wp:positionH relativeFrom="column">
            <wp:posOffset>4086225</wp:posOffset>
          </wp:positionH>
          <wp:positionV relativeFrom="paragraph">
            <wp:posOffset>-60960</wp:posOffset>
          </wp:positionV>
          <wp:extent cx="1463040" cy="671830"/>
          <wp:effectExtent l="19050" t="0" r="3810" b="0"/>
          <wp:wrapTopAndBottom/>
          <wp:docPr id="1" name="Imagen 1"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reg"/>
                  <pic:cNvPicPr>
                    <a:picLocks noChangeAspect="1" noChangeArrowheads="1"/>
                  </pic:cNvPicPr>
                </pic:nvPicPr>
                <pic:blipFill>
                  <a:blip r:embed="rId1"/>
                  <a:srcRect/>
                  <a:stretch>
                    <a:fillRect/>
                  </a:stretch>
                </pic:blipFill>
                <pic:spPr bwMode="auto">
                  <a:xfrm>
                    <a:off x="0" y="0"/>
                    <a:ext cx="1463040" cy="6718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781"/>
    <w:multiLevelType w:val="hybridMultilevel"/>
    <w:tmpl w:val="6832A55C"/>
    <w:lvl w:ilvl="0" w:tplc="F89895D2">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A665FEE"/>
    <w:multiLevelType w:val="multilevel"/>
    <w:tmpl w:val="240A001F"/>
    <w:numStyleLink w:val="Estilo1"/>
  </w:abstractNum>
  <w:abstractNum w:abstractNumId="2">
    <w:nsid w:val="1B7178E3"/>
    <w:multiLevelType w:val="hybridMultilevel"/>
    <w:tmpl w:val="2B2803C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C7035CF"/>
    <w:multiLevelType w:val="hybridMultilevel"/>
    <w:tmpl w:val="EE105D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DEA4486"/>
    <w:multiLevelType w:val="hybridMultilevel"/>
    <w:tmpl w:val="DC985774"/>
    <w:lvl w:ilvl="0" w:tplc="018A467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9AC5B16"/>
    <w:multiLevelType w:val="multilevel"/>
    <w:tmpl w:val="306CE9A0"/>
    <w:lvl w:ilvl="0">
      <w:start w:val="1"/>
      <w:numFmt w:val="decimal"/>
      <w:lvlText w:val="%1."/>
      <w:lvlJc w:val="left"/>
      <w:pPr>
        <w:tabs>
          <w:tab w:val="num" w:pos="907"/>
        </w:tabs>
        <w:ind w:left="907" w:hanging="907"/>
      </w:pPr>
      <w:rPr>
        <w:rFonts w:ascii="Arial" w:hAnsi="Arial" w:hint="default"/>
        <w:b/>
        <w:i w:val="0"/>
        <w:sz w:val="22"/>
      </w:rPr>
    </w:lvl>
    <w:lvl w:ilvl="1">
      <w:start w:val="1"/>
      <w:numFmt w:val="decimal"/>
      <w:lvlText w:val="%1.%2."/>
      <w:lvlJc w:val="left"/>
      <w:pPr>
        <w:tabs>
          <w:tab w:val="num" w:pos="2041"/>
        </w:tabs>
        <w:ind w:left="2041" w:hanging="2041"/>
      </w:pPr>
      <w:rPr>
        <w:rFonts w:ascii="Arial" w:hAnsi="Arial" w:hint="default"/>
        <w:b/>
        <w:i w:val="0"/>
        <w:sz w:val="22"/>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864"/>
        </w:tabs>
        <w:ind w:left="864" w:hanging="864"/>
      </w:pPr>
      <w:rPr>
        <w:rFonts w:ascii="Arial" w:hAnsi="Arial" w:hint="default"/>
        <w:b/>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AEE1932"/>
    <w:multiLevelType w:val="hybridMultilevel"/>
    <w:tmpl w:val="891C7276"/>
    <w:lvl w:ilvl="0" w:tplc="841232D4">
      <w:start w:val="1"/>
      <w:numFmt w:val="decimal"/>
      <w:lvlText w:val="%1."/>
      <w:lvlJc w:val="left"/>
      <w:pPr>
        <w:tabs>
          <w:tab w:val="num" w:pos="927"/>
        </w:tabs>
        <w:ind w:left="907" w:hanging="340"/>
      </w:pPr>
      <w:rPr>
        <w:rFonts w:ascii="Arial" w:hAnsi="Aria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14010B0"/>
    <w:multiLevelType w:val="hybridMultilevel"/>
    <w:tmpl w:val="AA82AC8A"/>
    <w:lvl w:ilvl="0" w:tplc="93BACC10">
      <w:start w:val="1"/>
      <w:numFmt w:val="decimal"/>
      <w:pStyle w:val="Figuras"/>
      <w:lvlText w:val="Figura %1."/>
      <w:lvlJc w:val="left"/>
      <w:pPr>
        <w:tabs>
          <w:tab w:val="num" w:pos="1080"/>
        </w:tabs>
        <w:ind w:left="397" w:hanging="397"/>
      </w:pPr>
      <w:rPr>
        <w:rFonts w:ascii="Tahoma" w:hAnsi="Tahoma" w:hint="default"/>
        <w:b/>
        <w:i w:val="0"/>
        <w:sz w:val="22"/>
      </w:rPr>
    </w:lvl>
    <w:lvl w:ilvl="1" w:tplc="0C0A0001">
      <w:start w:val="1"/>
      <w:numFmt w:val="bullet"/>
      <w:lvlText w:val=""/>
      <w:lvlJc w:val="left"/>
      <w:pPr>
        <w:tabs>
          <w:tab w:val="num" w:pos="1440"/>
        </w:tabs>
        <w:ind w:left="1440" w:hanging="360"/>
      </w:pPr>
      <w:rPr>
        <w:rFonts w:ascii="Symbol" w:hAnsi="Symbol"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2AD4DE7"/>
    <w:multiLevelType w:val="multilevel"/>
    <w:tmpl w:val="1CA08E6E"/>
    <w:lvl w:ilvl="0">
      <w:start w:val="1"/>
      <w:numFmt w:val="decimal"/>
      <w:pStyle w:val="Ttulo1"/>
      <w:lvlText w:val="Artículo %1."/>
      <w:lvlJc w:val="left"/>
      <w:pPr>
        <w:tabs>
          <w:tab w:val="num" w:pos="1080"/>
        </w:tabs>
        <w:ind w:left="0" w:firstLine="0"/>
      </w:pPr>
      <w:rPr>
        <w:rFonts w:ascii="Arial" w:hAnsi="Arial" w:hint="default"/>
        <w:b/>
        <w:i w:val="0"/>
        <w:sz w:val="22"/>
      </w:rPr>
    </w:lvl>
    <w:lvl w:ilvl="1">
      <w:start w:val="1"/>
      <w:numFmt w:val="decimalZero"/>
      <w:pStyle w:val="Ttulo2"/>
      <w:isLgl/>
      <w:lvlText w:val="Sección %1.%2"/>
      <w:lvlJc w:val="left"/>
      <w:pPr>
        <w:tabs>
          <w:tab w:val="num" w:pos="1440"/>
        </w:tabs>
        <w:ind w:left="0" w:firstLine="0"/>
      </w:pPr>
      <w:rPr>
        <w:rFonts w:hint="default"/>
      </w:rPr>
    </w:lvl>
    <w:lvl w:ilvl="2">
      <w:start w:val="1"/>
      <w:numFmt w:val="lowerLetter"/>
      <w:pStyle w:val="Ttulo3"/>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decimal"/>
      <w:lvlText w:val="%6."/>
      <w:lvlJc w:val="left"/>
      <w:pPr>
        <w:tabs>
          <w:tab w:val="num" w:pos="927"/>
        </w:tabs>
        <w:ind w:left="907" w:hanging="340"/>
      </w:pPr>
      <w:rPr>
        <w:rFonts w:ascii="Arial" w:hAnsi="Arial" w:hint="default"/>
      </w:rPr>
    </w:lvl>
    <w:lvl w:ilvl="6">
      <w:start w:val="1"/>
      <w:numFmt w:val="lowerRoman"/>
      <w:lvlText w:val="%7)"/>
      <w:lvlJc w:val="right"/>
      <w:pPr>
        <w:tabs>
          <w:tab w:val="num" w:pos="1296"/>
        </w:tabs>
        <w:ind w:left="1296" w:hanging="288"/>
      </w:pPr>
      <w:rPr>
        <w:rFonts w:hint="default"/>
        <w:b w:val="0"/>
        <w:i w:val="0"/>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37393297"/>
    <w:multiLevelType w:val="hybridMultilevel"/>
    <w:tmpl w:val="EC52AC1C"/>
    <w:lvl w:ilvl="0" w:tplc="B54EE38E">
      <w:start w:val="2"/>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EDD669A"/>
    <w:multiLevelType w:val="multilevel"/>
    <w:tmpl w:val="6332F5D4"/>
    <w:numStyleLink w:val="Estilo2"/>
  </w:abstractNum>
  <w:abstractNum w:abstractNumId="11">
    <w:nsid w:val="476E0254"/>
    <w:multiLevelType w:val="multilevel"/>
    <w:tmpl w:val="240A001F"/>
    <w:styleLink w:val="Estilo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83F5191"/>
    <w:multiLevelType w:val="multilevel"/>
    <w:tmpl w:val="3E4E801E"/>
    <w:lvl w:ilvl="0">
      <w:start w:val="1"/>
      <w:numFmt w:val="decimal"/>
      <w:pStyle w:val="Tabladeilustraciones"/>
      <w:lvlText w:val="%1."/>
      <w:lvlJc w:val="left"/>
      <w:pPr>
        <w:tabs>
          <w:tab w:val="num" w:pos="907"/>
        </w:tabs>
        <w:ind w:left="907" w:hanging="907"/>
      </w:pPr>
      <w:rPr>
        <w:rFonts w:ascii="Arial" w:hAnsi="Arial" w:hint="default"/>
        <w:b w:val="0"/>
        <w:i w:val="0"/>
        <w:sz w:val="22"/>
      </w:rPr>
    </w:lvl>
    <w:lvl w:ilvl="1">
      <w:start w:val="1"/>
      <w:numFmt w:val="decimal"/>
      <w:isLgl/>
      <w:lvlText w:val="%1.%2."/>
      <w:lvlJc w:val="left"/>
      <w:pPr>
        <w:tabs>
          <w:tab w:val="num" w:pos="2041"/>
        </w:tabs>
        <w:ind w:left="2041" w:hanging="2041"/>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864"/>
        </w:tabs>
        <w:ind w:left="864" w:hanging="864"/>
      </w:pPr>
      <w:rPr>
        <w:rFonts w:ascii="Arial" w:hAnsi="Arial" w:hint="default"/>
        <w:b/>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8ED02D4"/>
    <w:multiLevelType w:val="multilevel"/>
    <w:tmpl w:val="240A001F"/>
    <w:numStyleLink w:val="Estilo1"/>
  </w:abstractNum>
  <w:abstractNum w:abstractNumId="14">
    <w:nsid w:val="499C20EA"/>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D431CA8"/>
    <w:multiLevelType w:val="multilevel"/>
    <w:tmpl w:val="6332F5D4"/>
    <w:styleLink w:val="Estilo2"/>
    <w:lvl w:ilvl="0">
      <w:start w:val="1"/>
      <w:numFmt w:val="decimal"/>
      <w:lvlText w:val="%1."/>
      <w:lvlJc w:val="left"/>
      <w:pPr>
        <w:tabs>
          <w:tab w:val="num" w:pos="907"/>
        </w:tabs>
        <w:ind w:left="907" w:hanging="907"/>
      </w:pPr>
      <w:rPr>
        <w:rFonts w:ascii="Arial" w:hAnsi="Arial" w:hint="default"/>
        <w:b/>
        <w:i w:val="0"/>
        <w:sz w:val="22"/>
      </w:rPr>
    </w:lvl>
    <w:lvl w:ilvl="1">
      <w:start w:val="1"/>
      <w:numFmt w:val="decimal"/>
      <w:lvlText w:val="%1.%2."/>
      <w:lvlJc w:val="left"/>
      <w:pPr>
        <w:tabs>
          <w:tab w:val="num" w:pos="2041"/>
        </w:tabs>
        <w:ind w:left="2041" w:hanging="2041"/>
      </w:pPr>
      <w:rPr>
        <w:rFonts w:ascii="Arial" w:hAnsi="Arial" w:hint="default"/>
        <w:b/>
        <w:i w:val="0"/>
        <w:sz w:val="22"/>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864"/>
        </w:tabs>
        <w:ind w:left="864" w:hanging="864"/>
      </w:pPr>
      <w:rPr>
        <w:rFonts w:ascii="Arial" w:hAnsi="Arial" w:hint="default"/>
        <w:b/>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2BB7D0E"/>
    <w:multiLevelType w:val="multilevel"/>
    <w:tmpl w:val="EC80A864"/>
    <w:lvl w:ilvl="0">
      <w:start w:val="1"/>
      <w:numFmt w:val="decimal"/>
      <w:lvlText w:val="%1."/>
      <w:lvlJc w:val="left"/>
      <w:pPr>
        <w:tabs>
          <w:tab w:val="num" w:pos="907"/>
        </w:tabs>
        <w:ind w:left="907" w:hanging="907"/>
      </w:pPr>
      <w:rPr>
        <w:rFonts w:ascii="Arial" w:hAnsi="Arial" w:hint="default"/>
        <w:b w:val="0"/>
        <w:i w:val="0"/>
        <w:sz w:val="24"/>
      </w:rPr>
    </w:lvl>
    <w:lvl w:ilvl="1">
      <w:start w:val="1"/>
      <w:numFmt w:val="decimal"/>
      <w:lvlText w:val="%1.%2."/>
      <w:lvlJc w:val="left"/>
      <w:pPr>
        <w:tabs>
          <w:tab w:val="num" w:pos="2041"/>
        </w:tabs>
        <w:ind w:left="2041" w:hanging="2041"/>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864"/>
        </w:tabs>
        <w:ind w:left="864" w:hanging="864"/>
      </w:pPr>
      <w:rPr>
        <w:rFonts w:ascii="Arial" w:hAnsi="Arial" w:hint="default"/>
        <w:b/>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0886954"/>
    <w:multiLevelType w:val="multilevel"/>
    <w:tmpl w:val="6332F5D4"/>
    <w:lvl w:ilvl="0">
      <w:start w:val="1"/>
      <w:numFmt w:val="decimal"/>
      <w:lvlText w:val="%1."/>
      <w:lvlJc w:val="left"/>
      <w:pPr>
        <w:tabs>
          <w:tab w:val="num" w:pos="907"/>
        </w:tabs>
        <w:ind w:left="907" w:hanging="907"/>
      </w:pPr>
      <w:rPr>
        <w:rFonts w:ascii="Arial" w:hAnsi="Arial" w:hint="default"/>
        <w:b/>
        <w:i w:val="0"/>
        <w:sz w:val="22"/>
      </w:rPr>
    </w:lvl>
    <w:lvl w:ilvl="1">
      <w:start w:val="1"/>
      <w:numFmt w:val="decimal"/>
      <w:lvlText w:val="%1.%2."/>
      <w:lvlJc w:val="left"/>
      <w:pPr>
        <w:tabs>
          <w:tab w:val="num" w:pos="2041"/>
        </w:tabs>
        <w:ind w:left="2041" w:hanging="2041"/>
      </w:pPr>
      <w:rPr>
        <w:rFonts w:ascii="Arial" w:hAnsi="Arial" w:hint="default"/>
        <w:b/>
        <w:i w:val="0"/>
        <w:sz w:val="22"/>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864"/>
        </w:tabs>
        <w:ind w:left="864" w:hanging="864"/>
      </w:pPr>
      <w:rPr>
        <w:rFonts w:ascii="Arial" w:hAnsi="Arial" w:hint="default"/>
        <w:b/>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1A10AFC"/>
    <w:multiLevelType w:val="hybridMultilevel"/>
    <w:tmpl w:val="542ED72A"/>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6"/>
  </w:num>
  <w:num w:numId="2">
    <w:abstractNumId w:val="16"/>
  </w:num>
  <w:num w:numId="3">
    <w:abstractNumId w:val="12"/>
  </w:num>
  <w:num w:numId="4">
    <w:abstractNumId w:val="17"/>
  </w:num>
  <w:num w:numId="5">
    <w:abstractNumId w:val="17"/>
  </w:num>
  <w:num w:numId="6">
    <w:abstractNumId w:val="17"/>
  </w:num>
  <w:num w:numId="7">
    <w:abstractNumId w:val="17"/>
  </w:num>
  <w:num w:numId="8">
    <w:abstractNumId w:val="17"/>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7"/>
  </w:num>
  <w:num w:numId="22">
    <w:abstractNumId w:val="8"/>
  </w:num>
  <w:num w:numId="23">
    <w:abstractNumId w:val="8"/>
  </w:num>
  <w:num w:numId="24">
    <w:abstractNumId w:val="3"/>
  </w:num>
  <w:num w:numId="25">
    <w:abstractNumId w:val="1"/>
  </w:num>
  <w:num w:numId="26">
    <w:abstractNumId w:val="13"/>
  </w:num>
  <w:num w:numId="27">
    <w:abstractNumId w:val="11"/>
  </w:num>
  <w:num w:numId="28">
    <w:abstractNumId w:val="14"/>
  </w:num>
  <w:num w:numId="29">
    <w:abstractNumId w:val="10"/>
  </w:num>
  <w:num w:numId="30">
    <w:abstractNumId w:val="15"/>
  </w:num>
  <w:num w:numId="31">
    <w:abstractNumId w:val="4"/>
  </w:num>
  <w:num w:numId="32">
    <w:abstractNumId w:val="2"/>
  </w:num>
  <w:num w:numId="33">
    <w:abstractNumId w:val="18"/>
  </w:num>
  <w:num w:numId="34">
    <w:abstractNumId w:val="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25C"/>
    <w:rsid w:val="000208C9"/>
    <w:rsid w:val="00040903"/>
    <w:rsid w:val="00060D26"/>
    <w:rsid w:val="00062894"/>
    <w:rsid w:val="0017285F"/>
    <w:rsid w:val="001D0C12"/>
    <w:rsid w:val="001F2093"/>
    <w:rsid w:val="001F48C3"/>
    <w:rsid w:val="001F57EC"/>
    <w:rsid w:val="00205B8A"/>
    <w:rsid w:val="002465FA"/>
    <w:rsid w:val="00250668"/>
    <w:rsid w:val="002B34E7"/>
    <w:rsid w:val="002D1C30"/>
    <w:rsid w:val="002F142E"/>
    <w:rsid w:val="002F4E23"/>
    <w:rsid w:val="0033657E"/>
    <w:rsid w:val="003D3ACB"/>
    <w:rsid w:val="003E6D91"/>
    <w:rsid w:val="00411AFD"/>
    <w:rsid w:val="00422C22"/>
    <w:rsid w:val="0043140A"/>
    <w:rsid w:val="00437D46"/>
    <w:rsid w:val="00496485"/>
    <w:rsid w:val="004D3173"/>
    <w:rsid w:val="00537EE3"/>
    <w:rsid w:val="005445AA"/>
    <w:rsid w:val="005507BA"/>
    <w:rsid w:val="005B5799"/>
    <w:rsid w:val="005D1A88"/>
    <w:rsid w:val="00653794"/>
    <w:rsid w:val="006702DB"/>
    <w:rsid w:val="00674C3C"/>
    <w:rsid w:val="00694F3B"/>
    <w:rsid w:val="006C1CB8"/>
    <w:rsid w:val="00742365"/>
    <w:rsid w:val="007D73B9"/>
    <w:rsid w:val="007E73C7"/>
    <w:rsid w:val="008070E0"/>
    <w:rsid w:val="00861BD0"/>
    <w:rsid w:val="008957EC"/>
    <w:rsid w:val="008D3DA7"/>
    <w:rsid w:val="00961F7B"/>
    <w:rsid w:val="00971E43"/>
    <w:rsid w:val="009E4AFF"/>
    <w:rsid w:val="009F28A2"/>
    <w:rsid w:val="00A3409D"/>
    <w:rsid w:val="00A53EDE"/>
    <w:rsid w:val="00A9721C"/>
    <w:rsid w:val="00AD45D3"/>
    <w:rsid w:val="00B0617A"/>
    <w:rsid w:val="00B13665"/>
    <w:rsid w:val="00B15D05"/>
    <w:rsid w:val="00B173F9"/>
    <w:rsid w:val="00B27CB2"/>
    <w:rsid w:val="00B63B1B"/>
    <w:rsid w:val="00B83E3B"/>
    <w:rsid w:val="00B907BF"/>
    <w:rsid w:val="00BE46FD"/>
    <w:rsid w:val="00C01F47"/>
    <w:rsid w:val="00C11E39"/>
    <w:rsid w:val="00C332DD"/>
    <w:rsid w:val="00CC1183"/>
    <w:rsid w:val="00D10176"/>
    <w:rsid w:val="00E94FA8"/>
    <w:rsid w:val="00EE7626"/>
    <w:rsid w:val="00EF127D"/>
    <w:rsid w:val="00F17DE7"/>
    <w:rsid w:val="00F5389A"/>
    <w:rsid w:val="00F63620"/>
    <w:rsid w:val="00F86DBD"/>
    <w:rsid w:val="00F91BB1"/>
    <w:rsid w:val="00FB025C"/>
    <w:rsid w:val="00FD52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5F"/>
    <w:pPr>
      <w:jc w:val="both"/>
    </w:pPr>
    <w:rPr>
      <w:rFonts w:ascii="Arial" w:hAnsi="Arial"/>
      <w:sz w:val="22"/>
      <w:szCs w:val="24"/>
      <w:lang w:val="es-ES" w:eastAsia="es-ES"/>
    </w:rPr>
  </w:style>
  <w:style w:type="paragraph" w:styleId="Ttulo1">
    <w:name w:val="heading 1"/>
    <w:basedOn w:val="Normal"/>
    <w:next w:val="Normal"/>
    <w:qFormat/>
    <w:rsid w:val="0017285F"/>
    <w:pPr>
      <w:keepNext/>
      <w:numPr>
        <w:numId w:val="23"/>
      </w:numPr>
      <w:spacing w:before="240" w:after="60"/>
      <w:outlineLvl w:val="0"/>
    </w:pPr>
    <w:rPr>
      <w:rFonts w:cs="Arial"/>
    </w:rPr>
  </w:style>
  <w:style w:type="paragraph" w:styleId="Ttulo2">
    <w:name w:val="heading 2"/>
    <w:aliases w:val="Neg"/>
    <w:basedOn w:val="Normal"/>
    <w:next w:val="Normal"/>
    <w:qFormat/>
    <w:rsid w:val="0017285F"/>
    <w:pPr>
      <w:numPr>
        <w:ilvl w:val="1"/>
        <w:numId w:val="23"/>
      </w:numPr>
      <w:spacing w:before="240" w:after="60"/>
      <w:outlineLvl w:val="1"/>
    </w:pPr>
    <w:rPr>
      <w:rFonts w:cs="Arial"/>
      <w:b/>
      <w:lang w:val="es-MX"/>
    </w:rPr>
  </w:style>
  <w:style w:type="paragraph" w:styleId="Ttulo3">
    <w:name w:val="heading 3"/>
    <w:basedOn w:val="Normal"/>
    <w:next w:val="Normal"/>
    <w:qFormat/>
    <w:rsid w:val="0017285F"/>
    <w:pPr>
      <w:keepNext/>
      <w:numPr>
        <w:ilvl w:val="2"/>
        <w:numId w:val="23"/>
      </w:numPr>
      <w:outlineLvl w:val="2"/>
    </w:pPr>
    <w:rPr>
      <w:rFonts w:cs="Arial"/>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Normal"/>
    <w:next w:val="Normal"/>
    <w:semiHidden/>
    <w:rsid w:val="0017285F"/>
    <w:pPr>
      <w:numPr>
        <w:numId w:val="3"/>
      </w:numPr>
      <w:tabs>
        <w:tab w:val="clear" w:pos="907"/>
        <w:tab w:val="num" w:pos="720"/>
      </w:tabs>
      <w:ind w:left="720" w:hanging="360"/>
    </w:pPr>
  </w:style>
  <w:style w:type="paragraph" w:styleId="Encabezado">
    <w:name w:val="header"/>
    <w:basedOn w:val="Normal"/>
    <w:semiHidden/>
    <w:rsid w:val="0017285F"/>
    <w:pPr>
      <w:tabs>
        <w:tab w:val="center" w:pos="4252"/>
        <w:tab w:val="right" w:pos="8504"/>
      </w:tabs>
    </w:pPr>
    <w:rPr>
      <w:szCs w:val="20"/>
      <w:lang w:val="es-CO"/>
    </w:rPr>
  </w:style>
  <w:style w:type="character" w:styleId="Refdenotaalpie">
    <w:name w:val="footnote reference"/>
    <w:basedOn w:val="Fuentedeprrafopredeter"/>
    <w:semiHidden/>
    <w:rsid w:val="0017285F"/>
    <w:rPr>
      <w:rFonts w:ascii="Arial" w:hAnsi="Arial"/>
      <w:sz w:val="16"/>
      <w:vertAlign w:val="superscript"/>
      <w:lang w:val="es-ES" w:bidi="ar-SA"/>
    </w:rPr>
  </w:style>
  <w:style w:type="paragraph" w:customStyle="1" w:styleId="Figuras">
    <w:name w:val="Figuras"/>
    <w:basedOn w:val="Textoindependiente"/>
    <w:rsid w:val="0017285F"/>
    <w:pPr>
      <w:numPr>
        <w:numId w:val="21"/>
      </w:numPr>
      <w:spacing w:after="0"/>
      <w:jc w:val="center"/>
    </w:pPr>
    <w:rPr>
      <w:i/>
      <w:iCs/>
      <w:szCs w:val="20"/>
      <w:lang w:val="es-CO"/>
    </w:rPr>
  </w:style>
  <w:style w:type="paragraph" w:styleId="Textoindependiente">
    <w:name w:val="Body Text"/>
    <w:basedOn w:val="Normal"/>
    <w:semiHidden/>
    <w:rsid w:val="0017285F"/>
    <w:pPr>
      <w:spacing w:after="120"/>
    </w:pPr>
  </w:style>
  <w:style w:type="paragraph" w:styleId="Piedepgina">
    <w:name w:val="footer"/>
    <w:basedOn w:val="Normal"/>
    <w:semiHidden/>
    <w:rsid w:val="0017285F"/>
    <w:pPr>
      <w:tabs>
        <w:tab w:val="center" w:pos="4320"/>
        <w:tab w:val="right" w:pos="8640"/>
      </w:tabs>
    </w:pPr>
    <w:rPr>
      <w:spacing w:val="-5"/>
      <w:sz w:val="20"/>
      <w:szCs w:val="20"/>
      <w:lang w:eastAsia="en-US"/>
    </w:rPr>
  </w:style>
  <w:style w:type="character" w:styleId="Nmerodepgina">
    <w:name w:val="page number"/>
    <w:basedOn w:val="Fuentedeprrafopredeter"/>
    <w:semiHidden/>
    <w:rsid w:val="0017285F"/>
    <w:rPr>
      <w:lang w:val="es-ES" w:bidi="ar-SA"/>
    </w:rPr>
  </w:style>
  <w:style w:type="paragraph" w:styleId="Ttulo">
    <w:name w:val="Title"/>
    <w:basedOn w:val="Normal"/>
    <w:qFormat/>
    <w:rsid w:val="0017285F"/>
    <w:pPr>
      <w:spacing w:before="240" w:after="60"/>
      <w:jc w:val="center"/>
      <w:outlineLvl w:val="0"/>
    </w:pPr>
    <w:rPr>
      <w:rFonts w:cs="Arial"/>
      <w:b/>
      <w:bCs/>
      <w:spacing w:val="-5"/>
      <w:kern w:val="28"/>
      <w:sz w:val="32"/>
      <w:szCs w:val="32"/>
      <w:lang w:eastAsia="en-US"/>
    </w:rPr>
  </w:style>
  <w:style w:type="numbering" w:customStyle="1" w:styleId="Estilo1">
    <w:name w:val="Estilo1"/>
    <w:uiPriority w:val="99"/>
    <w:rsid w:val="00F86DBD"/>
    <w:pPr>
      <w:numPr>
        <w:numId w:val="27"/>
      </w:numPr>
    </w:pPr>
  </w:style>
  <w:style w:type="numbering" w:customStyle="1" w:styleId="Estilo2">
    <w:name w:val="Estilo2"/>
    <w:uiPriority w:val="99"/>
    <w:rsid w:val="001F2093"/>
    <w:pPr>
      <w:numPr>
        <w:numId w:val="30"/>
      </w:numPr>
    </w:pPr>
  </w:style>
  <w:style w:type="table" w:styleId="Tablaconcuadrcula">
    <w:name w:val="Table Grid"/>
    <w:basedOn w:val="Tablanormal"/>
    <w:uiPriority w:val="59"/>
    <w:rsid w:val="001F20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Sombreadoclaro-nfasis5">
    <w:name w:val="Light Shading Accent 5"/>
    <w:basedOn w:val="Tablanormal"/>
    <w:uiPriority w:val="60"/>
    <w:rsid w:val="001F209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alendar2">
    <w:name w:val="Calendar 2"/>
    <w:basedOn w:val="Tablanormal"/>
    <w:uiPriority w:val="99"/>
    <w:qFormat/>
    <w:rsid w:val="00F91BB1"/>
    <w:pPr>
      <w:jc w:val="center"/>
    </w:pPr>
    <w:rPr>
      <w:rFonts w:ascii="Calibri" w:hAnsi="Calibri"/>
      <w:sz w:val="28"/>
      <w:szCs w:val="28"/>
      <w:lang w:val="es-ES" w:eastAsia="en-US"/>
    </w:rPr>
    <w:tblPr>
      <w:tblInd w:w="0" w:type="dxa"/>
      <w:tblBorders>
        <w:insideV w:val="single" w:sz="4" w:space="0" w:color="95B3D7"/>
      </w:tblBorders>
      <w:tblCellMar>
        <w:top w:w="0" w:type="dxa"/>
        <w:left w:w="108" w:type="dxa"/>
        <w:bottom w:w="0" w:type="dxa"/>
        <w:right w:w="108" w:type="dxa"/>
      </w:tblCellMar>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Hipervnculo">
    <w:name w:val="Hyperlink"/>
    <w:basedOn w:val="Fuentedeprrafopredeter"/>
    <w:semiHidden/>
    <w:rsid w:val="00961F7B"/>
    <w:rPr>
      <w:color w:val="0000FF"/>
      <w:u w:val="single"/>
    </w:rPr>
  </w:style>
  <w:style w:type="paragraph" w:styleId="Textodeglobo">
    <w:name w:val="Balloon Text"/>
    <w:basedOn w:val="Normal"/>
    <w:link w:val="TextodegloboCar"/>
    <w:uiPriority w:val="99"/>
    <w:semiHidden/>
    <w:unhideWhenUsed/>
    <w:rsid w:val="00B63B1B"/>
    <w:rPr>
      <w:rFonts w:ascii="Tahoma" w:hAnsi="Tahoma" w:cs="Tahoma"/>
      <w:sz w:val="16"/>
      <w:szCs w:val="16"/>
    </w:rPr>
  </w:style>
  <w:style w:type="character" w:customStyle="1" w:styleId="TextodegloboCar">
    <w:name w:val="Texto de globo Car"/>
    <w:basedOn w:val="Fuentedeprrafopredeter"/>
    <w:link w:val="Textodeglobo"/>
    <w:uiPriority w:val="99"/>
    <w:semiHidden/>
    <w:rsid w:val="00B63B1B"/>
    <w:rPr>
      <w:rFonts w:ascii="Tahoma" w:hAnsi="Tahoma" w:cs="Tahoma"/>
      <w:sz w:val="16"/>
      <w:szCs w:val="16"/>
      <w:lang w:val="es-ES" w:eastAsia="es-ES"/>
    </w:rPr>
  </w:style>
  <w:style w:type="paragraph" w:styleId="Mapadeldocumento">
    <w:name w:val="Document Map"/>
    <w:basedOn w:val="Normal"/>
    <w:link w:val="MapadeldocumentoCar"/>
    <w:uiPriority w:val="99"/>
    <w:semiHidden/>
    <w:unhideWhenUsed/>
    <w:rsid w:val="00B173F9"/>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173F9"/>
    <w:rPr>
      <w:rFonts w:ascii="Tahoma" w:hAnsi="Tahoma" w:cs="Tahoma"/>
      <w:sz w:val="16"/>
      <w:szCs w:val="16"/>
      <w:lang w:val="es-ES" w:eastAsia="es-ES"/>
    </w:rPr>
  </w:style>
  <w:style w:type="paragraph" w:styleId="Prrafodelista">
    <w:name w:val="List Paragraph"/>
    <w:basedOn w:val="Normal"/>
    <w:uiPriority w:val="34"/>
    <w:qFormat/>
    <w:rsid w:val="002D1C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5F"/>
    <w:pPr>
      <w:jc w:val="both"/>
    </w:pPr>
    <w:rPr>
      <w:rFonts w:ascii="Arial" w:hAnsi="Arial"/>
      <w:sz w:val="22"/>
      <w:szCs w:val="24"/>
      <w:lang w:val="es-ES" w:eastAsia="es-ES"/>
    </w:rPr>
  </w:style>
  <w:style w:type="paragraph" w:styleId="Ttulo1">
    <w:name w:val="heading 1"/>
    <w:basedOn w:val="Normal"/>
    <w:next w:val="Normal"/>
    <w:qFormat/>
    <w:rsid w:val="0017285F"/>
    <w:pPr>
      <w:keepNext/>
      <w:numPr>
        <w:numId w:val="23"/>
      </w:numPr>
      <w:spacing w:before="240" w:after="60"/>
      <w:outlineLvl w:val="0"/>
    </w:pPr>
    <w:rPr>
      <w:rFonts w:cs="Arial"/>
    </w:rPr>
  </w:style>
  <w:style w:type="paragraph" w:styleId="Ttulo2">
    <w:name w:val="heading 2"/>
    <w:aliases w:val="Neg"/>
    <w:basedOn w:val="Normal"/>
    <w:next w:val="Normal"/>
    <w:qFormat/>
    <w:rsid w:val="0017285F"/>
    <w:pPr>
      <w:numPr>
        <w:ilvl w:val="1"/>
        <w:numId w:val="23"/>
      </w:numPr>
      <w:spacing w:before="240" w:after="60"/>
      <w:outlineLvl w:val="1"/>
    </w:pPr>
    <w:rPr>
      <w:rFonts w:cs="Arial"/>
      <w:b/>
      <w:lang w:val="es-MX"/>
    </w:rPr>
  </w:style>
  <w:style w:type="paragraph" w:styleId="Ttulo3">
    <w:name w:val="heading 3"/>
    <w:basedOn w:val="Normal"/>
    <w:next w:val="Normal"/>
    <w:qFormat/>
    <w:rsid w:val="0017285F"/>
    <w:pPr>
      <w:keepNext/>
      <w:numPr>
        <w:ilvl w:val="2"/>
        <w:numId w:val="23"/>
      </w:numPr>
      <w:outlineLvl w:val="2"/>
    </w:pPr>
    <w:rPr>
      <w:rFonts w:cs="Arial"/>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Normal"/>
    <w:next w:val="Normal"/>
    <w:semiHidden/>
    <w:rsid w:val="0017285F"/>
    <w:pPr>
      <w:numPr>
        <w:numId w:val="3"/>
      </w:numPr>
      <w:tabs>
        <w:tab w:val="clear" w:pos="907"/>
        <w:tab w:val="num" w:pos="720"/>
      </w:tabs>
      <w:ind w:left="720" w:hanging="360"/>
    </w:pPr>
  </w:style>
  <w:style w:type="paragraph" w:styleId="Encabezado">
    <w:name w:val="header"/>
    <w:basedOn w:val="Normal"/>
    <w:semiHidden/>
    <w:rsid w:val="0017285F"/>
    <w:pPr>
      <w:tabs>
        <w:tab w:val="center" w:pos="4252"/>
        <w:tab w:val="right" w:pos="8504"/>
      </w:tabs>
    </w:pPr>
    <w:rPr>
      <w:szCs w:val="20"/>
      <w:lang w:val="es-CO"/>
    </w:rPr>
  </w:style>
  <w:style w:type="character" w:styleId="Refdenotaalpie">
    <w:name w:val="footnote reference"/>
    <w:basedOn w:val="Fuentedeprrafopredeter"/>
    <w:semiHidden/>
    <w:rsid w:val="0017285F"/>
    <w:rPr>
      <w:rFonts w:ascii="Arial" w:hAnsi="Arial"/>
      <w:sz w:val="16"/>
      <w:vertAlign w:val="superscript"/>
      <w:lang w:val="es-ES" w:bidi="ar-SA"/>
    </w:rPr>
  </w:style>
  <w:style w:type="paragraph" w:customStyle="1" w:styleId="Figuras">
    <w:name w:val="Figuras"/>
    <w:basedOn w:val="Textoindependiente"/>
    <w:rsid w:val="0017285F"/>
    <w:pPr>
      <w:numPr>
        <w:numId w:val="21"/>
      </w:numPr>
      <w:spacing w:after="0"/>
      <w:jc w:val="center"/>
    </w:pPr>
    <w:rPr>
      <w:i/>
      <w:iCs/>
      <w:szCs w:val="20"/>
      <w:lang w:val="es-CO"/>
    </w:rPr>
  </w:style>
  <w:style w:type="paragraph" w:styleId="Textoindependiente">
    <w:name w:val="Body Text"/>
    <w:basedOn w:val="Normal"/>
    <w:semiHidden/>
    <w:rsid w:val="0017285F"/>
    <w:pPr>
      <w:spacing w:after="120"/>
    </w:pPr>
  </w:style>
  <w:style w:type="paragraph" w:styleId="Piedepgina">
    <w:name w:val="footer"/>
    <w:basedOn w:val="Normal"/>
    <w:semiHidden/>
    <w:rsid w:val="0017285F"/>
    <w:pPr>
      <w:tabs>
        <w:tab w:val="center" w:pos="4320"/>
        <w:tab w:val="right" w:pos="8640"/>
      </w:tabs>
    </w:pPr>
    <w:rPr>
      <w:spacing w:val="-5"/>
      <w:sz w:val="20"/>
      <w:szCs w:val="20"/>
      <w:lang w:eastAsia="en-US"/>
    </w:rPr>
  </w:style>
  <w:style w:type="character" w:styleId="Nmerodepgina">
    <w:name w:val="page number"/>
    <w:basedOn w:val="Fuentedeprrafopredeter"/>
    <w:semiHidden/>
    <w:rsid w:val="0017285F"/>
    <w:rPr>
      <w:lang w:val="es-ES" w:bidi="ar-SA"/>
    </w:rPr>
  </w:style>
  <w:style w:type="paragraph" w:styleId="Ttulo">
    <w:name w:val="Title"/>
    <w:basedOn w:val="Normal"/>
    <w:qFormat/>
    <w:rsid w:val="0017285F"/>
    <w:pPr>
      <w:spacing w:before="240" w:after="60"/>
      <w:jc w:val="center"/>
      <w:outlineLvl w:val="0"/>
    </w:pPr>
    <w:rPr>
      <w:rFonts w:cs="Arial"/>
      <w:b/>
      <w:bCs/>
      <w:spacing w:val="-5"/>
      <w:kern w:val="28"/>
      <w:sz w:val="32"/>
      <w:szCs w:val="32"/>
      <w:lang w:eastAsia="en-US"/>
    </w:rPr>
  </w:style>
  <w:style w:type="numbering" w:customStyle="1" w:styleId="Estilo1">
    <w:name w:val="Estilo1"/>
    <w:uiPriority w:val="99"/>
    <w:rsid w:val="00F86DBD"/>
    <w:pPr>
      <w:numPr>
        <w:numId w:val="27"/>
      </w:numPr>
    </w:pPr>
  </w:style>
  <w:style w:type="numbering" w:customStyle="1" w:styleId="Estilo2">
    <w:name w:val="Estilo2"/>
    <w:uiPriority w:val="99"/>
    <w:rsid w:val="001F2093"/>
    <w:pPr>
      <w:numPr>
        <w:numId w:val="30"/>
      </w:numPr>
    </w:pPr>
  </w:style>
  <w:style w:type="table" w:styleId="Tablaconcuadrcula">
    <w:name w:val="Table Grid"/>
    <w:basedOn w:val="Tablanormal"/>
    <w:uiPriority w:val="59"/>
    <w:rsid w:val="001F20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Sombreadoclaro-nfasis5">
    <w:name w:val="Light Shading Accent 5"/>
    <w:basedOn w:val="Tablanormal"/>
    <w:uiPriority w:val="60"/>
    <w:rsid w:val="001F209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alendar2">
    <w:name w:val="Calendar 2"/>
    <w:basedOn w:val="Tablanormal"/>
    <w:uiPriority w:val="99"/>
    <w:qFormat/>
    <w:rsid w:val="00F91BB1"/>
    <w:pPr>
      <w:jc w:val="center"/>
    </w:pPr>
    <w:rPr>
      <w:rFonts w:ascii="Calibri" w:hAnsi="Calibri"/>
      <w:sz w:val="28"/>
      <w:szCs w:val="28"/>
      <w:lang w:val="es-ES" w:eastAsia="en-US"/>
    </w:rPr>
    <w:tblPr>
      <w:tblInd w:w="0" w:type="dxa"/>
      <w:tblBorders>
        <w:insideV w:val="single" w:sz="4" w:space="0" w:color="95B3D7"/>
      </w:tblBorders>
      <w:tblCellMar>
        <w:top w:w="0" w:type="dxa"/>
        <w:left w:w="108" w:type="dxa"/>
        <w:bottom w:w="0" w:type="dxa"/>
        <w:right w:w="108" w:type="dxa"/>
      </w:tblCellMar>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Hipervnculo">
    <w:name w:val="Hyperlink"/>
    <w:basedOn w:val="Fuentedeprrafopredeter"/>
    <w:semiHidden/>
    <w:rsid w:val="00961F7B"/>
    <w:rPr>
      <w:color w:val="0000FF"/>
      <w:u w:val="single"/>
    </w:rPr>
  </w:style>
  <w:style w:type="paragraph" w:styleId="Textodeglobo">
    <w:name w:val="Balloon Text"/>
    <w:basedOn w:val="Normal"/>
    <w:link w:val="TextodegloboCar"/>
    <w:uiPriority w:val="99"/>
    <w:semiHidden/>
    <w:unhideWhenUsed/>
    <w:rsid w:val="00B63B1B"/>
    <w:rPr>
      <w:rFonts w:ascii="Tahoma" w:hAnsi="Tahoma" w:cs="Tahoma"/>
      <w:sz w:val="16"/>
      <w:szCs w:val="16"/>
    </w:rPr>
  </w:style>
  <w:style w:type="character" w:customStyle="1" w:styleId="TextodegloboCar">
    <w:name w:val="Texto de globo Car"/>
    <w:basedOn w:val="Fuentedeprrafopredeter"/>
    <w:link w:val="Textodeglobo"/>
    <w:uiPriority w:val="99"/>
    <w:semiHidden/>
    <w:rsid w:val="00B63B1B"/>
    <w:rPr>
      <w:rFonts w:ascii="Tahoma" w:hAnsi="Tahoma" w:cs="Tahoma"/>
      <w:sz w:val="16"/>
      <w:szCs w:val="16"/>
      <w:lang w:val="es-ES" w:eastAsia="es-ES"/>
    </w:rPr>
  </w:style>
  <w:style w:type="paragraph" w:styleId="Mapadeldocumento">
    <w:name w:val="Document Map"/>
    <w:basedOn w:val="Normal"/>
    <w:link w:val="MapadeldocumentoCar"/>
    <w:uiPriority w:val="99"/>
    <w:semiHidden/>
    <w:unhideWhenUsed/>
    <w:rsid w:val="00B173F9"/>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173F9"/>
    <w:rPr>
      <w:rFonts w:ascii="Tahoma" w:hAnsi="Tahoma" w:cs="Tahoma"/>
      <w:sz w:val="16"/>
      <w:szCs w:val="16"/>
      <w:lang w:val="es-ES" w:eastAsia="es-ES"/>
    </w:rPr>
  </w:style>
  <w:style w:type="paragraph" w:styleId="Prrafodelista">
    <w:name w:val="List Paragraph"/>
    <w:basedOn w:val="Normal"/>
    <w:uiPriority w:val="34"/>
    <w:qFormat/>
    <w:rsid w:val="002D1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581</Words>
  <Characters>3063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Bogotá, D</vt:lpstr>
    </vt:vector>
  </TitlesOfParts>
  <Company>CREG</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creg</dc:creator>
  <cp:lastModifiedBy>Luz Stella Rojas Macias</cp:lastModifiedBy>
  <cp:revision>2</cp:revision>
  <cp:lastPrinted>2006-11-18T02:24:00Z</cp:lastPrinted>
  <dcterms:created xsi:type="dcterms:W3CDTF">2011-04-27T19:08:00Z</dcterms:created>
  <dcterms:modified xsi:type="dcterms:W3CDTF">2011-04-27T19:08:00Z</dcterms:modified>
</cp:coreProperties>
</file>