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ED" w:rsidRDefault="00D83AED" w:rsidP="007E16DF">
      <w:pPr>
        <w:rPr>
          <w:rFonts w:ascii="Arial" w:hAnsi="Arial" w:cs="Arial"/>
          <w:lang w:val="es-MX"/>
        </w:rPr>
      </w:pPr>
      <w:bookmarkStart w:id="0" w:name="_GoBack"/>
      <w:bookmarkEnd w:id="0"/>
    </w:p>
    <w:p w:rsidR="007E16DF" w:rsidRPr="00D83AED" w:rsidRDefault="007E16DF" w:rsidP="007E16DF">
      <w:pPr>
        <w:rPr>
          <w:rFonts w:ascii="Arial" w:hAnsi="Arial" w:cs="Arial"/>
          <w:lang w:val="es-MX"/>
        </w:rPr>
      </w:pPr>
      <w:r w:rsidRPr="00D83AED">
        <w:rPr>
          <w:rFonts w:ascii="Arial" w:hAnsi="Arial" w:cs="Arial"/>
          <w:lang w:val="es-MX"/>
        </w:rPr>
        <w:t xml:space="preserve">Bogotá, D. C., </w:t>
      </w:r>
      <w:r w:rsidR="0013038E" w:rsidRPr="00D83AED">
        <w:rPr>
          <w:rFonts w:ascii="Arial" w:hAnsi="Arial" w:cs="Arial"/>
          <w:lang w:val="es-MX"/>
        </w:rPr>
        <w:t>Enero</w:t>
      </w:r>
      <w:r w:rsidRPr="00D83AED">
        <w:rPr>
          <w:rFonts w:ascii="Arial" w:hAnsi="Arial" w:cs="Arial"/>
          <w:lang w:val="es-MX"/>
        </w:rPr>
        <w:t xml:space="preserve"> </w:t>
      </w:r>
      <w:r w:rsidR="005A0A9E">
        <w:rPr>
          <w:rFonts w:ascii="Arial" w:hAnsi="Arial" w:cs="Arial"/>
          <w:lang w:val="es-MX"/>
        </w:rPr>
        <w:t>21</w:t>
      </w:r>
      <w:r w:rsidR="0013038E" w:rsidRPr="00D83AED">
        <w:rPr>
          <w:rFonts w:ascii="Arial" w:hAnsi="Arial" w:cs="Arial"/>
          <w:lang w:val="es-MX"/>
        </w:rPr>
        <w:t xml:space="preserve"> de 2019.</w:t>
      </w:r>
    </w:p>
    <w:p w:rsidR="007E16DF" w:rsidRPr="00D83AED" w:rsidRDefault="007E16DF" w:rsidP="007E16DF">
      <w:pPr>
        <w:rPr>
          <w:rFonts w:ascii="Arial" w:hAnsi="Arial" w:cs="Arial"/>
          <w:lang w:val="es-MX"/>
        </w:rPr>
      </w:pPr>
    </w:p>
    <w:p w:rsidR="007E16DF" w:rsidRPr="00D83AED" w:rsidRDefault="007E16DF" w:rsidP="007E16DF">
      <w:pPr>
        <w:rPr>
          <w:rFonts w:ascii="Arial" w:hAnsi="Arial" w:cs="Arial"/>
          <w:lang w:val="es-MX"/>
        </w:rPr>
      </w:pPr>
    </w:p>
    <w:p w:rsidR="007E16DF" w:rsidRPr="00D83AED" w:rsidRDefault="007E16DF" w:rsidP="007E16DF">
      <w:pPr>
        <w:rPr>
          <w:rFonts w:ascii="Arial" w:hAnsi="Arial" w:cs="Arial"/>
          <w:lang w:val="es-MX"/>
        </w:rPr>
      </w:pPr>
    </w:p>
    <w:p w:rsidR="007E16DF" w:rsidRPr="00D83AED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24"/>
        </w:rPr>
      </w:pPr>
      <w:r w:rsidRPr="00D83AED">
        <w:rPr>
          <w:rFonts w:ascii="Arial" w:hAnsi="Arial" w:cs="Arial"/>
          <w:b/>
          <w:bCs/>
          <w:i/>
          <w:iCs/>
          <w:kern w:val="60"/>
          <w:sz w:val="40"/>
          <w:szCs w:val="24"/>
        </w:rPr>
        <w:t xml:space="preserve">CIRCULAR No. </w:t>
      </w:r>
      <w:r w:rsidR="00CA4333">
        <w:rPr>
          <w:rFonts w:ascii="Arial" w:hAnsi="Arial" w:cs="Arial"/>
          <w:b/>
          <w:bCs/>
          <w:i/>
          <w:iCs/>
          <w:kern w:val="60"/>
          <w:sz w:val="40"/>
          <w:szCs w:val="24"/>
        </w:rPr>
        <w:t>003</w:t>
      </w:r>
    </w:p>
    <w:p w:rsidR="007E16DF" w:rsidRPr="00D83AED" w:rsidRDefault="007E16DF" w:rsidP="007E16DF">
      <w:pPr>
        <w:rPr>
          <w:rFonts w:ascii="Arial" w:hAnsi="Arial" w:cs="Arial"/>
        </w:rPr>
      </w:pPr>
    </w:p>
    <w:p w:rsidR="007E16DF" w:rsidRDefault="007E16DF" w:rsidP="007E16DF">
      <w:pPr>
        <w:rPr>
          <w:rFonts w:ascii="Arial" w:hAnsi="Arial" w:cs="Arial"/>
          <w:lang w:val="es-MX"/>
        </w:rPr>
      </w:pPr>
    </w:p>
    <w:p w:rsidR="00D83AED" w:rsidRPr="00D83AED" w:rsidRDefault="00D83AED" w:rsidP="007E16DF">
      <w:pPr>
        <w:rPr>
          <w:rFonts w:ascii="Arial" w:hAnsi="Arial" w:cs="Arial"/>
          <w:lang w:val="es-MX"/>
        </w:rPr>
      </w:pPr>
    </w:p>
    <w:p w:rsidR="007E16DF" w:rsidRPr="00D83AED" w:rsidRDefault="007E16DF" w:rsidP="0013038E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D83AED">
        <w:rPr>
          <w:rFonts w:ascii="Arial" w:hAnsi="Arial" w:cs="Arial"/>
          <w:b/>
        </w:rPr>
        <w:t>PARA:</w:t>
      </w:r>
      <w:r w:rsidRPr="00D83AED">
        <w:rPr>
          <w:rFonts w:ascii="Arial" w:hAnsi="Arial" w:cs="Arial"/>
          <w:b/>
        </w:rPr>
        <w:tab/>
      </w:r>
      <w:r w:rsidR="0013038E" w:rsidRPr="00D83AED">
        <w:rPr>
          <w:rFonts w:ascii="Arial" w:hAnsi="Arial" w:cs="Arial"/>
          <w:b/>
        </w:rPr>
        <w:t>PRESTADORES DE LOS SERVICIOS PÚBLICOS DOMICILIARIOS DE ENERGÍA ELÉCTRICA y DEMÁS INTERESADOS.</w:t>
      </w:r>
    </w:p>
    <w:p w:rsidR="0013038E" w:rsidRPr="00D83AED" w:rsidRDefault="0013038E" w:rsidP="0013038E">
      <w:pPr>
        <w:pStyle w:val="Sangradetextonormal"/>
        <w:ind w:left="1410" w:hanging="1410"/>
        <w:jc w:val="both"/>
        <w:rPr>
          <w:rFonts w:ascii="Arial" w:hAnsi="Arial" w:cs="Arial"/>
          <w:b/>
        </w:rPr>
      </w:pPr>
    </w:p>
    <w:p w:rsidR="007E16DF" w:rsidRPr="00D83AED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D83AED">
        <w:rPr>
          <w:rFonts w:ascii="Arial" w:hAnsi="Arial" w:cs="Arial"/>
          <w:b/>
        </w:rPr>
        <w:t>DE:</w:t>
      </w:r>
      <w:r w:rsidRPr="00D83AED">
        <w:rPr>
          <w:rFonts w:ascii="Arial" w:hAnsi="Arial" w:cs="Arial"/>
          <w:b/>
        </w:rPr>
        <w:tab/>
        <w:t>DIRECCIÓN EJECUTIVA</w:t>
      </w:r>
    </w:p>
    <w:p w:rsidR="007E16DF" w:rsidRPr="00D83AED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D83AED" w:rsidRDefault="007E16DF" w:rsidP="007E16DF">
      <w:pPr>
        <w:spacing w:line="216" w:lineRule="auto"/>
        <w:rPr>
          <w:rFonts w:ascii="Arial" w:hAnsi="Arial" w:cs="Arial"/>
        </w:rPr>
      </w:pPr>
    </w:p>
    <w:p w:rsidR="007E16DF" w:rsidRPr="00D83AED" w:rsidRDefault="007E16DF" w:rsidP="00461DB8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D83AED">
        <w:rPr>
          <w:rFonts w:ascii="Arial" w:hAnsi="Arial" w:cs="Arial"/>
          <w:b/>
        </w:rPr>
        <w:t>ASUNTO:</w:t>
      </w:r>
      <w:r w:rsidRPr="00D83AED">
        <w:rPr>
          <w:rFonts w:ascii="Arial" w:hAnsi="Arial" w:cs="Arial"/>
          <w:b/>
        </w:rPr>
        <w:tab/>
      </w:r>
      <w:r w:rsidR="0013038E" w:rsidRPr="00D83AED">
        <w:rPr>
          <w:rFonts w:ascii="Arial" w:hAnsi="Arial" w:cs="Arial"/>
          <w:b/>
        </w:rPr>
        <w:t xml:space="preserve">PUBLICACIÓN </w:t>
      </w:r>
      <w:r w:rsidR="005A0A9E">
        <w:rPr>
          <w:rFonts w:ascii="Arial" w:hAnsi="Arial" w:cs="Arial"/>
          <w:b/>
        </w:rPr>
        <w:t xml:space="preserve">DEL TEXTO DE </w:t>
      </w:r>
      <w:r w:rsidR="0013038E" w:rsidRPr="00D83AED">
        <w:rPr>
          <w:rFonts w:ascii="Arial" w:hAnsi="Arial" w:cs="Arial"/>
          <w:b/>
        </w:rPr>
        <w:t xml:space="preserve">RESOLUCIÓN SOBRE </w:t>
      </w:r>
      <w:r w:rsidR="00461DB8" w:rsidRPr="00D83AED">
        <w:rPr>
          <w:rFonts w:ascii="Arial" w:hAnsi="Arial" w:cs="Arial"/>
          <w:b/>
        </w:rPr>
        <w:t xml:space="preserve">LAS </w:t>
      </w:r>
      <w:r w:rsidR="0013038E" w:rsidRPr="00D83AED">
        <w:rPr>
          <w:rFonts w:ascii="Arial" w:hAnsi="Arial" w:cs="Arial"/>
          <w:b/>
        </w:rPr>
        <w:t>CONDICIONES</w:t>
      </w:r>
      <w:r w:rsidR="00461DB8" w:rsidRPr="00D83AED">
        <w:rPr>
          <w:rFonts w:ascii="Arial" w:hAnsi="Arial" w:cs="Arial"/>
          <w:b/>
        </w:rPr>
        <w:t xml:space="preserve"> DE COMPETENCIA PARA EL MECANISMO DE CONTRATACIÓN ESTABLECIDO EN LA RESOLUCIÓN 40791 DE 2018 DEL MINISTERIO DE MINAS Y ENERGÍA Y LAS FÓRMULA DE TRASLADO DE LOS PRECIOS DE DICHO MECANISMO EN EL COMPONENTE DE COMRPAS DE ENERGÍA AL USUARIO REGULADO.</w:t>
      </w:r>
    </w:p>
    <w:p w:rsidR="007E16DF" w:rsidRPr="00D83AED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4"/>
          <w:szCs w:val="24"/>
        </w:rPr>
      </w:pPr>
    </w:p>
    <w:p w:rsidR="005A0A9E" w:rsidRDefault="00461DB8" w:rsidP="00CA4333">
      <w:pPr>
        <w:jc w:val="both"/>
        <w:rPr>
          <w:rFonts w:ascii="Arial" w:hAnsi="Arial" w:cs="Arial"/>
        </w:rPr>
      </w:pPr>
      <w:r w:rsidRPr="00D83AED">
        <w:rPr>
          <w:rFonts w:ascii="Arial" w:hAnsi="Arial" w:cs="Arial"/>
        </w:rPr>
        <w:t xml:space="preserve">La Comisión de Regulación de Energía y Gas CREG, en la Sesión 897 del 14 de enero de 2019 </w:t>
      </w:r>
      <w:r w:rsidR="005A0A9E">
        <w:rPr>
          <w:rFonts w:ascii="Arial" w:hAnsi="Arial" w:cs="Arial"/>
        </w:rPr>
        <w:t>aprobó el texto de</w:t>
      </w:r>
      <w:r w:rsidR="00C55A17">
        <w:rPr>
          <w:rFonts w:ascii="Arial" w:hAnsi="Arial" w:cs="Arial"/>
        </w:rPr>
        <w:t>l acto administrativo que contiene</w:t>
      </w:r>
      <w:r w:rsidR="005A0A9E">
        <w:rPr>
          <w:rFonts w:ascii="Arial" w:hAnsi="Arial" w:cs="Arial"/>
        </w:rPr>
        <w:t xml:space="preserve"> la propuesta regulatoria relativa a </w:t>
      </w:r>
      <w:r w:rsidR="00C55A17">
        <w:rPr>
          <w:rFonts w:ascii="Arial" w:hAnsi="Arial" w:cs="Arial"/>
        </w:rPr>
        <w:t xml:space="preserve">las </w:t>
      </w:r>
      <w:r w:rsidR="005A0A9E">
        <w:rPr>
          <w:rFonts w:ascii="Arial" w:hAnsi="Arial" w:cs="Arial"/>
        </w:rPr>
        <w:t>“</w:t>
      </w:r>
      <w:r w:rsidR="005A0A9E" w:rsidRPr="005A0A9E">
        <w:rPr>
          <w:rFonts w:ascii="Arial" w:hAnsi="Arial" w:cs="Arial"/>
        </w:rPr>
        <w:t xml:space="preserve">Condiciones de competencia para el mecanismo de contratación establecido en la Resolución 40791 de 2018 del Ministerio de Minas y Energía y </w:t>
      </w:r>
      <w:r w:rsidR="008C3F52">
        <w:rPr>
          <w:rFonts w:ascii="Arial" w:hAnsi="Arial" w:cs="Arial"/>
        </w:rPr>
        <w:t xml:space="preserve">la </w:t>
      </w:r>
      <w:r w:rsidR="005A0A9E" w:rsidRPr="005A0A9E">
        <w:rPr>
          <w:rFonts w:ascii="Arial" w:hAnsi="Arial" w:cs="Arial"/>
        </w:rPr>
        <w:t>fórmula de traslado de los precios de dicho mecanismo en el componente de costos de compras de energía al usuario regulado</w:t>
      </w:r>
      <w:r w:rsidR="005A0A9E">
        <w:rPr>
          <w:rFonts w:ascii="Arial" w:hAnsi="Arial" w:cs="Arial"/>
        </w:rPr>
        <w:t>”.</w:t>
      </w:r>
    </w:p>
    <w:p w:rsidR="005A0A9E" w:rsidRDefault="005A0A9E" w:rsidP="00CA4333">
      <w:pPr>
        <w:jc w:val="both"/>
        <w:rPr>
          <w:rFonts w:ascii="Arial" w:hAnsi="Arial" w:cs="Arial"/>
        </w:rPr>
      </w:pPr>
    </w:p>
    <w:p w:rsidR="00D83AED" w:rsidRDefault="008C3F52" w:rsidP="00CA43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55A17">
        <w:rPr>
          <w:rFonts w:ascii="Arial" w:hAnsi="Arial" w:cs="Arial"/>
        </w:rPr>
        <w:t>ste</w:t>
      </w:r>
      <w:r w:rsidR="005A0A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acto administrativo fue</w:t>
      </w:r>
      <w:r w:rsidR="005A0A9E">
        <w:rPr>
          <w:rFonts w:ascii="Arial" w:hAnsi="Arial" w:cs="Arial"/>
        </w:rPr>
        <w:t xml:space="preserve"> remitido a </w:t>
      </w:r>
      <w:r w:rsidR="00461DB8" w:rsidRPr="00D83AED">
        <w:rPr>
          <w:rFonts w:ascii="Arial" w:hAnsi="Arial" w:cs="Arial"/>
        </w:rPr>
        <w:t xml:space="preserve">la Superintendencia de Industria y Comercio </w:t>
      </w:r>
      <w:r w:rsidR="00D83AED" w:rsidRPr="00D83AED">
        <w:rPr>
          <w:rFonts w:ascii="Arial" w:hAnsi="Arial" w:cs="Arial"/>
        </w:rPr>
        <w:t>(</w:t>
      </w:r>
      <w:r w:rsidR="00461DB8" w:rsidRPr="00D83AED">
        <w:rPr>
          <w:rFonts w:ascii="Arial" w:hAnsi="Arial" w:cs="Arial"/>
        </w:rPr>
        <w:t>SIC</w:t>
      </w:r>
      <w:r w:rsidR="00D83AED" w:rsidRPr="00D83AED">
        <w:rPr>
          <w:rFonts w:ascii="Arial" w:hAnsi="Arial" w:cs="Arial"/>
        </w:rPr>
        <w:t>)</w:t>
      </w:r>
      <w:r w:rsidR="005A0A9E">
        <w:rPr>
          <w:rFonts w:ascii="Arial" w:hAnsi="Arial" w:cs="Arial"/>
        </w:rPr>
        <w:t xml:space="preserve"> </w:t>
      </w:r>
      <w:r w:rsidR="005A0A9E" w:rsidRPr="005A0A9E">
        <w:rPr>
          <w:rFonts w:ascii="Arial" w:hAnsi="Arial" w:cs="Arial"/>
        </w:rPr>
        <w:t>en los términos del artículo 7 de la Ley 1340 de 2009, reglamentado por el Decreto 2897 de 2010</w:t>
      </w:r>
      <w:r w:rsidR="00C55A17">
        <w:rPr>
          <w:rStyle w:val="Refdenotaalpie"/>
          <w:rFonts w:ascii="Arial" w:hAnsi="Arial" w:cs="Arial"/>
        </w:rPr>
        <w:footnoteReference w:id="1"/>
      </w:r>
      <w:r w:rsidR="005A0A9E">
        <w:rPr>
          <w:rFonts w:ascii="Arial" w:hAnsi="Arial" w:cs="Arial"/>
        </w:rPr>
        <w:t>.</w:t>
      </w:r>
    </w:p>
    <w:p w:rsidR="00C55A17" w:rsidRPr="00D83AED" w:rsidRDefault="00C55A17" w:rsidP="00CA4333">
      <w:pPr>
        <w:jc w:val="both"/>
        <w:rPr>
          <w:rFonts w:ascii="Arial" w:hAnsi="Arial" w:cs="Arial"/>
        </w:rPr>
      </w:pPr>
    </w:p>
    <w:p w:rsidR="00C55A17" w:rsidRDefault="00C55A17" w:rsidP="005A0A9E">
      <w:pPr>
        <w:pStyle w:val="Textoindependiente"/>
        <w:spacing w:after="0" w:line="240" w:lineRule="auto"/>
        <w:rPr>
          <w:rFonts w:eastAsiaTheme="minorEastAsia" w:cs="Arial"/>
          <w:spacing w:val="0"/>
          <w:sz w:val="24"/>
          <w:szCs w:val="24"/>
          <w:lang w:val="es-ES_tradnl"/>
        </w:rPr>
      </w:pPr>
      <w:r>
        <w:rPr>
          <w:rFonts w:eastAsiaTheme="minorEastAsia" w:cs="Arial"/>
          <w:spacing w:val="0"/>
          <w:sz w:val="24"/>
          <w:szCs w:val="24"/>
          <w:lang w:val="es-ES_tradnl"/>
        </w:rPr>
        <w:t>Ahora, e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n la medida que </w:t>
      </w:r>
      <w:r w:rsidR="00D83AED"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la entrega de documentos que contienen los parámetros para pre-calificación y calificación de vendedores y compradores, 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de acuerdo con el cronograma de actividades publicado por la UPME en calidad de administrador de la subasta de contratos de largo plazo convocada por el Ministerio de Minas y </w:t>
      </w:r>
      <w:r w:rsidR="00D86D20">
        <w:rPr>
          <w:rFonts w:eastAsiaTheme="minorEastAsia" w:cs="Arial"/>
          <w:spacing w:val="0"/>
          <w:sz w:val="24"/>
          <w:szCs w:val="24"/>
          <w:lang w:val="es-ES_tradnl"/>
        </w:rPr>
        <w:t>E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nergía, </w:t>
      </w:r>
      <w:r w:rsidR="00D83AED" w:rsidRPr="00D83AED">
        <w:rPr>
          <w:rFonts w:eastAsiaTheme="minorEastAsia" w:cs="Arial"/>
          <w:spacing w:val="0"/>
          <w:sz w:val="24"/>
          <w:szCs w:val="24"/>
          <w:lang w:val="es-ES_tradnl"/>
        </w:rPr>
        <w:t>es el 28 de enero de 2019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>; la CREG</w:t>
      </w:r>
      <w:r w:rsidR="005A0A9E">
        <w:rPr>
          <w:rFonts w:eastAsiaTheme="minorEastAsia" w:cs="Arial"/>
          <w:spacing w:val="0"/>
          <w:sz w:val="24"/>
          <w:szCs w:val="24"/>
          <w:lang w:val="es-ES_tradnl"/>
        </w:rPr>
        <w:t xml:space="preserve"> </w:t>
      </w:r>
      <w:r w:rsidR="005A0A9E" w:rsidRPr="005A0A9E">
        <w:rPr>
          <w:rFonts w:eastAsiaTheme="minorEastAsia" w:cs="Arial"/>
          <w:spacing w:val="0"/>
          <w:sz w:val="24"/>
          <w:szCs w:val="24"/>
          <w:lang w:val="es-ES_tradnl"/>
        </w:rPr>
        <w:t xml:space="preserve">en la </w:t>
      </w:r>
      <w:r w:rsidR="005A0A9E">
        <w:rPr>
          <w:rFonts w:eastAsiaTheme="minorEastAsia" w:cs="Arial"/>
          <w:spacing w:val="0"/>
          <w:sz w:val="24"/>
          <w:szCs w:val="24"/>
          <w:lang w:val="es-ES_tradnl"/>
        </w:rPr>
        <w:t xml:space="preserve">misma </w:t>
      </w:r>
      <w:r w:rsidR="005A0A9E" w:rsidRPr="005A0A9E">
        <w:rPr>
          <w:rFonts w:eastAsiaTheme="minorEastAsia" w:cs="Arial"/>
          <w:spacing w:val="0"/>
          <w:sz w:val="24"/>
          <w:szCs w:val="24"/>
          <w:lang w:val="es-ES_tradnl"/>
        </w:rPr>
        <w:t>Sesión 89</w:t>
      </w:r>
      <w:r w:rsidR="005A0A9E">
        <w:rPr>
          <w:rFonts w:eastAsiaTheme="minorEastAsia" w:cs="Arial"/>
          <w:spacing w:val="0"/>
          <w:sz w:val="24"/>
          <w:szCs w:val="24"/>
          <w:lang w:val="es-ES_tradnl"/>
        </w:rPr>
        <w:t xml:space="preserve">7 del 14 de </w:t>
      </w:r>
      <w:r w:rsidR="005A0A9E">
        <w:rPr>
          <w:rFonts w:eastAsiaTheme="minorEastAsia" w:cs="Arial"/>
          <w:spacing w:val="0"/>
          <w:sz w:val="24"/>
          <w:szCs w:val="24"/>
          <w:lang w:val="es-ES_tradnl"/>
        </w:rPr>
        <w:lastRenderedPageBreak/>
        <w:t xml:space="preserve">enero de 2019 </w:t>
      </w:r>
      <w:r>
        <w:rPr>
          <w:rFonts w:eastAsiaTheme="minorEastAsia" w:cs="Arial"/>
          <w:spacing w:val="0"/>
          <w:sz w:val="24"/>
          <w:szCs w:val="24"/>
          <w:lang w:val="es-ES_tradnl"/>
        </w:rPr>
        <w:t>consideró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 oportuno publicar el </w:t>
      </w:r>
      <w:r>
        <w:rPr>
          <w:rFonts w:eastAsiaTheme="minorEastAsia" w:cs="Arial"/>
          <w:spacing w:val="0"/>
          <w:sz w:val="24"/>
          <w:szCs w:val="24"/>
          <w:lang w:val="es-ES_tradnl"/>
        </w:rPr>
        <w:t>texto de la propuesta regulatoria remitido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 a la SIC</w:t>
      </w:r>
      <w:r>
        <w:rPr>
          <w:rFonts w:eastAsiaTheme="minorEastAsia" w:cs="Arial"/>
          <w:spacing w:val="0"/>
          <w:sz w:val="24"/>
          <w:szCs w:val="24"/>
          <w:lang w:val="es-ES_tradnl"/>
        </w:rPr>
        <w:t xml:space="preserve">, ateniendo estas condiciones de naturaleza particular y excepcional.  </w:t>
      </w:r>
    </w:p>
    <w:p w:rsidR="00D83AED" w:rsidRPr="00D83AED" w:rsidRDefault="00D83AED" w:rsidP="007E16DF">
      <w:pPr>
        <w:pStyle w:val="Textoindependiente"/>
        <w:spacing w:after="0" w:line="240" w:lineRule="auto"/>
        <w:rPr>
          <w:rFonts w:eastAsiaTheme="minorEastAsia" w:cs="Arial"/>
          <w:spacing w:val="0"/>
          <w:sz w:val="24"/>
          <w:szCs w:val="24"/>
          <w:lang w:val="es-ES_tradnl"/>
        </w:rPr>
      </w:pPr>
    </w:p>
    <w:p w:rsidR="00461DB8" w:rsidRDefault="00D83AED" w:rsidP="007E16DF">
      <w:pPr>
        <w:pStyle w:val="Textoindependiente"/>
        <w:spacing w:after="0" w:line="240" w:lineRule="auto"/>
        <w:rPr>
          <w:rFonts w:eastAsiaTheme="minorEastAsia" w:cs="Arial"/>
          <w:spacing w:val="0"/>
          <w:sz w:val="24"/>
          <w:szCs w:val="24"/>
          <w:lang w:val="es-ES_tradnl"/>
        </w:rPr>
      </w:pP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>E</w:t>
      </w:r>
      <w:r w:rsidR="00C55A17">
        <w:rPr>
          <w:rFonts w:eastAsiaTheme="minorEastAsia" w:cs="Arial"/>
          <w:spacing w:val="0"/>
          <w:sz w:val="24"/>
          <w:szCs w:val="24"/>
          <w:lang w:val="es-ES_tradnl"/>
        </w:rPr>
        <w:t>n este sentido, la presente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 publicación se lleva a cabo</w:t>
      </w:r>
      <w:r w:rsidR="00B92EE7">
        <w:rPr>
          <w:rFonts w:eastAsiaTheme="minorEastAsia" w:cs="Arial"/>
          <w:spacing w:val="0"/>
          <w:sz w:val="24"/>
          <w:szCs w:val="24"/>
          <w:lang w:val="es-ES_tradnl"/>
        </w:rPr>
        <w:t xml:space="preserve"> excepcionalmente,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 dada la pertinencia que tiene que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 los potenciales participantes en la subasta tengan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>,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 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previo al envío de los documentos de precalificación y calificación, 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>la información relevante acerca de los indicadores de competencia que se deben cumplir para entender que la interacción de compradores y vendedores fue eficiente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, así como </w:t>
      </w:r>
      <w:r w:rsidR="00461DB8" w:rsidRPr="00D83AED">
        <w:rPr>
          <w:rFonts w:eastAsiaTheme="minorEastAsia" w:cs="Arial"/>
          <w:spacing w:val="0"/>
          <w:sz w:val="24"/>
          <w:szCs w:val="24"/>
          <w:lang w:val="es-ES_tradnl"/>
        </w:rPr>
        <w:t xml:space="preserve">la fórmula mediante la que </w:t>
      </w:r>
      <w:r w:rsidRPr="00D83AED">
        <w:rPr>
          <w:rFonts w:eastAsiaTheme="minorEastAsia" w:cs="Arial"/>
          <w:spacing w:val="0"/>
          <w:sz w:val="24"/>
          <w:szCs w:val="24"/>
          <w:lang w:val="es-ES_tradnl"/>
        </w:rPr>
        <w:t>los comercializadores que atienden demanda regulada podrán trasladar los precios de los contratos resultantes de la subasta en el costo unitario de prestación del servicio.</w:t>
      </w:r>
    </w:p>
    <w:p w:rsidR="00C55A17" w:rsidRDefault="00C55A17" w:rsidP="007E16DF">
      <w:pPr>
        <w:pStyle w:val="Textoindependiente"/>
        <w:spacing w:after="0" w:line="240" w:lineRule="auto"/>
        <w:rPr>
          <w:rFonts w:eastAsiaTheme="minorEastAsia" w:cs="Arial"/>
          <w:spacing w:val="0"/>
          <w:sz w:val="24"/>
          <w:szCs w:val="24"/>
          <w:lang w:val="es-ES_tradnl"/>
        </w:rPr>
      </w:pPr>
    </w:p>
    <w:p w:rsidR="003B7BB8" w:rsidRDefault="00C55A17" w:rsidP="00CA4333">
      <w:pPr>
        <w:pStyle w:val="Textoindependiente"/>
        <w:spacing w:after="0" w:line="240" w:lineRule="auto"/>
        <w:rPr>
          <w:rFonts w:eastAsiaTheme="minorEastAsia" w:cs="Arial"/>
          <w:spacing w:val="0"/>
          <w:sz w:val="24"/>
          <w:szCs w:val="24"/>
          <w:lang w:val="es-ES_tradnl"/>
        </w:rPr>
      </w:pPr>
      <w:r>
        <w:rPr>
          <w:rFonts w:eastAsiaTheme="minorEastAsia" w:cs="Arial"/>
          <w:spacing w:val="0"/>
          <w:sz w:val="24"/>
          <w:szCs w:val="24"/>
          <w:lang w:val="es-ES_tradnl"/>
        </w:rPr>
        <w:t xml:space="preserve">Así mismo, en los términos del artículo 2.2.2.30.9 del Decreto 1074 de 2015, </w:t>
      </w:r>
      <w:r w:rsidR="003B7BB8">
        <w:rPr>
          <w:rFonts w:eastAsiaTheme="minorEastAsia" w:cs="Arial"/>
          <w:spacing w:val="0"/>
          <w:sz w:val="24"/>
          <w:szCs w:val="24"/>
          <w:lang w:val="es-ES_tradnl"/>
        </w:rPr>
        <w:t>si la SIC rinde</w:t>
      </w:r>
      <w:r>
        <w:rPr>
          <w:rFonts w:eastAsiaTheme="minorEastAsia" w:cs="Arial"/>
          <w:spacing w:val="0"/>
          <w:sz w:val="24"/>
          <w:szCs w:val="24"/>
          <w:lang w:val="es-ES_tradnl"/>
        </w:rPr>
        <w:t xml:space="preserve"> concepto </w:t>
      </w:r>
      <w:r w:rsidR="003B7BB8" w:rsidRPr="00C55A17">
        <w:rPr>
          <w:rFonts w:eastAsiaTheme="minorEastAsia" w:cs="Arial"/>
          <w:spacing w:val="0"/>
          <w:sz w:val="24"/>
          <w:szCs w:val="24"/>
          <w:lang w:val="es-ES_tradnl"/>
        </w:rPr>
        <w:t>en el sentido de que el proyecto de acto</w:t>
      </w:r>
      <w:r w:rsidR="003B7BB8">
        <w:rPr>
          <w:rFonts w:eastAsiaTheme="minorEastAsia" w:cs="Arial"/>
          <w:spacing w:val="0"/>
          <w:sz w:val="24"/>
          <w:szCs w:val="24"/>
          <w:lang w:val="es-ES_tradnl"/>
        </w:rPr>
        <w:t xml:space="preserve"> administrativo</w:t>
      </w:r>
      <w:r w:rsidR="003B7BB8" w:rsidRPr="00C55A17">
        <w:rPr>
          <w:rFonts w:eastAsiaTheme="minorEastAsia" w:cs="Arial"/>
          <w:spacing w:val="0"/>
          <w:sz w:val="24"/>
          <w:szCs w:val="24"/>
          <w:lang w:val="es-ES_tradnl"/>
        </w:rPr>
        <w:t xml:space="preserve"> </w:t>
      </w:r>
      <w:r w:rsidR="003B7BB8">
        <w:rPr>
          <w:rFonts w:eastAsiaTheme="minorEastAsia" w:cs="Arial"/>
          <w:spacing w:val="0"/>
          <w:sz w:val="24"/>
          <w:szCs w:val="24"/>
          <w:lang w:val="es-ES_tradnl"/>
        </w:rPr>
        <w:t xml:space="preserve">tiene </w:t>
      </w:r>
      <w:r w:rsidR="003B7BB8" w:rsidRPr="00C55A17">
        <w:rPr>
          <w:rFonts w:eastAsiaTheme="minorEastAsia" w:cs="Arial"/>
          <w:spacing w:val="0"/>
          <w:sz w:val="24"/>
          <w:szCs w:val="24"/>
          <w:lang w:val="es-ES_tradnl"/>
        </w:rPr>
        <w:t>incide</w:t>
      </w:r>
      <w:r w:rsidR="003B7BB8">
        <w:rPr>
          <w:rFonts w:eastAsiaTheme="minorEastAsia" w:cs="Arial"/>
          <w:spacing w:val="0"/>
          <w:sz w:val="24"/>
          <w:szCs w:val="24"/>
          <w:lang w:val="es-ES_tradnl"/>
        </w:rPr>
        <w:t xml:space="preserve">ncia negativa sobre la libre competencia y la CREG decide apartarse, </w:t>
      </w:r>
      <w:r w:rsidR="003B7BB8" w:rsidRPr="003B7BB8">
        <w:rPr>
          <w:rFonts w:eastAsiaTheme="minorEastAsia" w:cs="Arial"/>
          <w:spacing w:val="0"/>
          <w:sz w:val="24"/>
          <w:szCs w:val="24"/>
          <w:lang w:val="es-ES_tradnl"/>
        </w:rPr>
        <w:t>dentro de las consideraciones del acto administrativo</w:t>
      </w:r>
      <w:r w:rsidR="003B7BB8">
        <w:rPr>
          <w:rFonts w:eastAsiaTheme="minorEastAsia" w:cs="Arial"/>
          <w:spacing w:val="0"/>
          <w:sz w:val="24"/>
          <w:szCs w:val="24"/>
          <w:lang w:val="es-ES_tradnl"/>
        </w:rPr>
        <w:t xml:space="preserve"> definitivo se consignarán los motivos de dicha</w:t>
      </w:r>
      <w:r w:rsidR="003B7BB8" w:rsidRPr="003B7BB8">
        <w:rPr>
          <w:rFonts w:eastAsiaTheme="minorEastAsia" w:cs="Arial"/>
          <w:spacing w:val="0"/>
          <w:sz w:val="24"/>
          <w:szCs w:val="24"/>
          <w:lang w:val="es-ES_tradnl"/>
        </w:rPr>
        <w:t xml:space="preserve"> decisión.</w:t>
      </w: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D83AED">
        <w:rPr>
          <w:rFonts w:cs="Arial"/>
          <w:sz w:val="24"/>
          <w:szCs w:val="24"/>
        </w:rPr>
        <w:t>Cordialmente,</w:t>
      </w:r>
    </w:p>
    <w:p w:rsidR="007E16DF" w:rsidRPr="00D83AED" w:rsidRDefault="007E16DF" w:rsidP="007E16DF">
      <w:pPr>
        <w:jc w:val="center"/>
        <w:rPr>
          <w:rFonts w:ascii="Arial" w:hAnsi="Arial" w:cs="Arial"/>
        </w:rPr>
      </w:pP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D83AED" w:rsidRDefault="00D83AED" w:rsidP="007E16DF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 w:rsidRPr="00D83AED">
        <w:rPr>
          <w:rFonts w:cs="Arial"/>
          <w:sz w:val="24"/>
          <w:szCs w:val="24"/>
        </w:rPr>
        <w:t>CHRISTIAN JARAMILLO HERRERA</w:t>
      </w: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7E16DF" w:rsidRPr="00D83AED" w:rsidRDefault="007E16DF" w:rsidP="007E16DF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D83AED">
        <w:rPr>
          <w:rFonts w:cs="Arial"/>
          <w:sz w:val="24"/>
          <w:szCs w:val="24"/>
        </w:rPr>
        <w:t xml:space="preserve">Anexo: </w:t>
      </w:r>
      <w:r w:rsidR="00D83AED" w:rsidRPr="00D83AED">
        <w:rPr>
          <w:rFonts w:cs="Arial"/>
          <w:sz w:val="24"/>
          <w:szCs w:val="24"/>
        </w:rPr>
        <w:t xml:space="preserve">Proyecto de resolución. </w:t>
      </w:r>
    </w:p>
    <w:sectPr w:rsidR="007E16DF" w:rsidRPr="00D83AED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2D" w:rsidRDefault="00585F2D" w:rsidP="00AA0519">
      <w:r>
        <w:separator/>
      </w:r>
    </w:p>
  </w:endnote>
  <w:endnote w:type="continuationSeparator" w:id="0">
    <w:p w:rsidR="00585F2D" w:rsidRDefault="00585F2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2D" w:rsidRDefault="00585F2D" w:rsidP="00AA0519">
      <w:r>
        <w:separator/>
      </w:r>
    </w:p>
  </w:footnote>
  <w:footnote w:type="continuationSeparator" w:id="0">
    <w:p w:rsidR="00585F2D" w:rsidRDefault="00585F2D" w:rsidP="00AA0519">
      <w:r>
        <w:continuationSeparator/>
      </w:r>
    </w:p>
  </w:footnote>
  <w:footnote w:id="1">
    <w:p w:rsidR="00C55A17" w:rsidRPr="00CA4333" w:rsidRDefault="00C55A17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CA4333">
        <w:rPr>
          <w:rStyle w:val="Refdenotaalpie"/>
          <w:rFonts w:ascii="Arial" w:hAnsi="Arial" w:cs="Arial"/>
          <w:sz w:val="16"/>
          <w:szCs w:val="16"/>
        </w:rPr>
        <w:footnoteRef/>
      </w:r>
      <w:r w:rsidRPr="00CA4333">
        <w:rPr>
          <w:rFonts w:ascii="Arial" w:hAnsi="Arial" w:cs="Arial"/>
          <w:sz w:val="16"/>
          <w:szCs w:val="16"/>
        </w:rPr>
        <w:t xml:space="preserve"> Se debe precisar que estas disposiciones se encuentran recogidas actualmente en los numerales 2.2.2.30 y siguientes del Decreto 1074 de 2015.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13038E"/>
    <w:rsid w:val="00191B60"/>
    <w:rsid w:val="00281A2C"/>
    <w:rsid w:val="003B7BB8"/>
    <w:rsid w:val="003C7E1C"/>
    <w:rsid w:val="003F2F4B"/>
    <w:rsid w:val="004618A3"/>
    <w:rsid w:val="00461DB8"/>
    <w:rsid w:val="00585F2D"/>
    <w:rsid w:val="005A0A9E"/>
    <w:rsid w:val="00735E1F"/>
    <w:rsid w:val="007E16DF"/>
    <w:rsid w:val="00816448"/>
    <w:rsid w:val="00866CD0"/>
    <w:rsid w:val="008841FF"/>
    <w:rsid w:val="008C3F52"/>
    <w:rsid w:val="00905996"/>
    <w:rsid w:val="00940ECF"/>
    <w:rsid w:val="009A3312"/>
    <w:rsid w:val="00A15CDD"/>
    <w:rsid w:val="00AA0519"/>
    <w:rsid w:val="00B92EE7"/>
    <w:rsid w:val="00C55A17"/>
    <w:rsid w:val="00CA4333"/>
    <w:rsid w:val="00D83AED"/>
    <w:rsid w:val="00D86D20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A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A9E"/>
    <w:rPr>
      <w:rFonts w:ascii="Segoe UI" w:eastAsiaTheme="minorEastAsia" w:hAnsi="Segoe UI" w:cs="Segoe UI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5A1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5A17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55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C911-3DCA-4FB2-9D39-E8B8DC6D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2019-01-21T22:23:00Z</cp:lastPrinted>
  <dcterms:created xsi:type="dcterms:W3CDTF">2019-01-21T22:28:00Z</dcterms:created>
  <dcterms:modified xsi:type="dcterms:W3CDTF">2019-01-21T22:28:00Z</dcterms:modified>
</cp:coreProperties>
</file>