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232093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32093">
        <w:rPr>
          <w:rFonts w:ascii="Arial" w:hAnsi="Arial" w:cs="Arial"/>
          <w:sz w:val="22"/>
          <w:szCs w:val="22"/>
        </w:rPr>
        <w:t xml:space="preserve">Bogotá, </w:t>
      </w:r>
      <w:r w:rsidR="00AB1A94">
        <w:rPr>
          <w:rFonts w:ascii="Arial" w:hAnsi="Arial" w:cs="Arial"/>
          <w:sz w:val="22"/>
          <w:szCs w:val="22"/>
        </w:rPr>
        <w:t>mayo</w:t>
      </w:r>
      <w:r w:rsidR="002F0F56">
        <w:rPr>
          <w:rFonts w:ascii="Arial" w:hAnsi="Arial" w:cs="Arial"/>
          <w:sz w:val="22"/>
          <w:szCs w:val="22"/>
        </w:rPr>
        <w:t xml:space="preserve"> 13</w:t>
      </w:r>
      <w:r w:rsidR="00AB1A94">
        <w:rPr>
          <w:rFonts w:ascii="Arial" w:hAnsi="Arial" w:cs="Arial"/>
          <w:sz w:val="22"/>
          <w:szCs w:val="22"/>
        </w:rPr>
        <w:t xml:space="preserve"> de 2015</w:t>
      </w:r>
    </w:p>
    <w:p w:rsidR="00D82B54" w:rsidRDefault="00D82B54" w:rsidP="00D82B54">
      <w:pPr>
        <w:ind w:left="1440"/>
        <w:jc w:val="center"/>
        <w:rPr>
          <w:rFonts w:ascii="Arial" w:hAnsi="Arial" w:cs="Arial"/>
          <w:szCs w:val="24"/>
        </w:rPr>
      </w:pPr>
    </w:p>
    <w:p w:rsidR="00FF2592" w:rsidRDefault="00FF2592" w:rsidP="00D82B54">
      <w:pPr>
        <w:ind w:left="1440"/>
        <w:jc w:val="center"/>
        <w:rPr>
          <w:rFonts w:ascii="Arial" w:hAnsi="Arial" w:cs="Arial"/>
          <w:szCs w:val="24"/>
        </w:rPr>
      </w:pPr>
    </w:p>
    <w:p w:rsidR="00735BD8" w:rsidRPr="00FF0396" w:rsidRDefault="00735BD8" w:rsidP="00D82B54">
      <w:pPr>
        <w:ind w:left="1440"/>
        <w:jc w:val="center"/>
        <w:rPr>
          <w:rFonts w:ascii="Arial" w:hAnsi="Arial" w:cs="Arial"/>
          <w:szCs w:val="24"/>
        </w:rPr>
      </w:pPr>
    </w:p>
    <w:p w:rsidR="00344B64" w:rsidRPr="005A25A7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5A25A7">
        <w:rPr>
          <w:rFonts w:ascii="Arial" w:hAnsi="Arial" w:cs="Arial"/>
          <w:b/>
          <w:bCs/>
          <w:i/>
          <w:iCs/>
          <w:sz w:val="40"/>
          <w:szCs w:val="24"/>
        </w:rPr>
        <w:t>CIRCULAR No</w:t>
      </w:r>
      <w:r w:rsidR="00B139AB">
        <w:rPr>
          <w:rFonts w:ascii="Arial" w:hAnsi="Arial" w:cs="Arial"/>
          <w:b/>
          <w:bCs/>
          <w:i/>
          <w:iCs/>
          <w:sz w:val="40"/>
          <w:szCs w:val="24"/>
        </w:rPr>
        <w:t>.</w:t>
      </w:r>
      <w:r w:rsidR="00DE0FC1">
        <w:rPr>
          <w:rFonts w:ascii="Arial" w:hAnsi="Arial" w:cs="Arial"/>
          <w:b/>
          <w:bCs/>
          <w:i/>
          <w:iCs/>
          <w:sz w:val="40"/>
          <w:szCs w:val="24"/>
        </w:rPr>
        <w:t>0</w:t>
      </w:r>
      <w:r w:rsidR="002F0F56">
        <w:rPr>
          <w:rFonts w:ascii="Arial" w:hAnsi="Arial" w:cs="Arial"/>
          <w:b/>
          <w:bCs/>
          <w:i/>
          <w:iCs/>
          <w:sz w:val="40"/>
          <w:szCs w:val="24"/>
        </w:rPr>
        <w:t>54</w:t>
      </w:r>
    </w:p>
    <w:p w:rsidR="00A070B4" w:rsidRDefault="00A070B4" w:rsidP="00F61507">
      <w:pPr>
        <w:rPr>
          <w:szCs w:val="24"/>
          <w:lang w:val="es-ES"/>
        </w:rPr>
      </w:pPr>
    </w:p>
    <w:p w:rsidR="00FF2592" w:rsidRPr="00FF0396" w:rsidRDefault="00FF2592" w:rsidP="00F61507">
      <w:pPr>
        <w:rPr>
          <w:szCs w:val="24"/>
          <w:lang w:val="es-ES"/>
        </w:rPr>
      </w:pPr>
    </w:p>
    <w:p w:rsidR="00D33120" w:rsidRPr="00FF0396" w:rsidRDefault="00D33120" w:rsidP="00344B64">
      <w:pPr>
        <w:rPr>
          <w:rFonts w:ascii="Arial" w:hAnsi="Arial" w:cs="Arial"/>
          <w:szCs w:val="24"/>
          <w:lang w:val="es-ES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PARA:</w:t>
      </w:r>
      <w:r w:rsidRPr="00FF0396">
        <w:rPr>
          <w:rFonts w:cs="Arial"/>
          <w:szCs w:val="24"/>
        </w:rPr>
        <w:t xml:space="preserve"> </w:t>
      </w:r>
      <w:r w:rsidRPr="00FF0396">
        <w:rPr>
          <w:rFonts w:cs="Arial"/>
          <w:szCs w:val="24"/>
        </w:rPr>
        <w:tab/>
      </w:r>
      <w:r w:rsidRPr="00FF0396">
        <w:rPr>
          <w:rFonts w:cs="Arial"/>
          <w:bCs/>
          <w:szCs w:val="24"/>
        </w:rPr>
        <w:t xml:space="preserve">EMPRESAS </w:t>
      </w:r>
      <w:r w:rsidR="00D544AE">
        <w:rPr>
          <w:rFonts w:cs="Arial"/>
          <w:bCs/>
          <w:szCs w:val="24"/>
        </w:rPr>
        <w:t xml:space="preserve">COMERCIALIZADORAS </w:t>
      </w:r>
      <w:r w:rsidR="005F1E56">
        <w:rPr>
          <w:rFonts w:cs="Arial"/>
          <w:bCs/>
          <w:szCs w:val="24"/>
        </w:rPr>
        <w:t xml:space="preserve">DE </w:t>
      </w:r>
      <w:r w:rsidR="00735BD8">
        <w:rPr>
          <w:rFonts w:cs="Arial"/>
          <w:bCs/>
          <w:szCs w:val="24"/>
        </w:rPr>
        <w:t>ENERGÍA ELÉ</w:t>
      </w:r>
      <w:r w:rsidRPr="00FF0396">
        <w:rPr>
          <w:rFonts w:cs="Arial"/>
          <w:bCs/>
          <w:szCs w:val="24"/>
        </w:rPr>
        <w:t>CTRICA</w:t>
      </w:r>
      <w:r w:rsidR="001429E8">
        <w:rPr>
          <w:rFonts w:cs="Arial"/>
          <w:bCs/>
          <w:szCs w:val="24"/>
        </w:rPr>
        <w:t>,</w:t>
      </w:r>
      <w:r w:rsidR="001429E8" w:rsidRPr="001429E8">
        <w:rPr>
          <w:rFonts w:cs="Arial"/>
          <w:bCs/>
          <w:szCs w:val="24"/>
        </w:rPr>
        <w:t xml:space="preserve"> </w:t>
      </w:r>
      <w:r w:rsidR="001429E8">
        <w:rPr>
          <w:rFonts w:cs="Arial"/>
          <w:bCs/>
          <w:szCs w:val="24"/>
        </w:rPr>
        <w:t>USUARIOS Y DEMÁS INTERESADOS</w:t>
      </w:r>
    </w:p>
    <w:p w:rsidR="00656D79" w:rsidRPr="00FF0396" w:rsidRDefault="00656D79" w:rsidP="00656D79">
      <w:pPr>
        <w:rPr>
          <w:rFonts w:ascii="Arial" w:hAnsi="Arial" w:cs="Arial"/>
          <w:szCs w:val="24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DE:</w:t>
      </w:r>
      <w:r w:rsidRPr="00FF0396">
        <w:rPr>
          <w:rFonts w:cs="Arial"/>
          <w:bCs/>
          <w:szCs w:val="24"/>
        </w:rPr>
        <w:tab/>
        <w:t>DIRECCIÓN EJECUTIVA COMISIÓN DE REGULACIÓN DE ENERGÍA Y GAS - CREG</w:t>
      </w:r>
    </w:p>
    <w:p w:rsidR="00656D79" w:rsidRPr="00FF0396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FF0396" w:rsidRDefault="00656D79" w:rsidP="005F1E56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 xml:space="preserve">ASUNTO: </w:t>
      </w:r>
      <w:r w:rsidRPr="00FF0396">
        <w:rPr>
          <w:rFonts w:cs="Arial"/>
          <w:bCs/>
          <w:szCs w:val="24"/>
        </w:rPr>
        <w:tab/>
      </w:r>
      <w:r w:rsidR="00AB7935">
        <w:rPr>
          <w:rFonts w:cs="Arial"/>
          <w:bCs/>
          <w:szCs w:val="24"/>
        </w:rPr>
        <w:t xml:space="preserve">CÓDIGO DE MEDIDA </w:t>
      </w:r>
      <w:r w:rsidR="00865160">
        <w:rPr>
          <w:rFonts w:cs="Arial"/>
          <w:bCs/>
          <w:szCs w:val="24"/>
        </w:rPr>
        <w:t>–</w:t>
      </w:r>
      <w:r w:rsidR="00AB7935">
        <w:rPr>
          <w:rFonts w:cs="Arial"/>
          <w:bCs/>
          <w:szCs w:val="24"/>
        </w:rPr>
        <w:t xml:space="preserve"> </w:t>
      </w:r>
      <w:r w:rsidR="00E95ACA">
        <w:rPr>
          <w:rFonts w:cs="Arial"/>
          <w:bCs/>
          <w:szCs w:val="24"/>
        </w:rPr>
        <w:t>Indicadores del ASIC</w:t>
      </w:r>
      <w:r w:rsidR="005F1E56">
        <w:rPr>
          <w:rFonts w:cs="Arial"/>
          <w:bCs/>
          <w:szCs w:val="24"/>
        </w:rPr>
        <w:t xml:space="preserve"> </w:t>
      </w:r>
    </w:p>
    <w:p w:rsidR="00FF2592" w:rsidRDefault="00FF2592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D33120" w:rsidRDefault="00D33120" w:rsidP="00656D79">
      <w:pPr>
        <w:jc w:val="both"/>
        <w:rPr>
          <w:rFonts w:ascii="Arial" w:hAnsi="Arial" w:cs="Arial"/>
          <w:szCs w:val="22"/>
        </w:rPr>
      </w:pPr>
    </w:p>
    <w:p w:rsidR="00DE0FC1" w:rsidRDefault="00DE0FC1" w:rsidP="00656D79">
      <w:pPr>
        <w:jc w:val="both"/>
        <w:rPr>
          <w:rFonts w:ascii="Arial" w:hAnsi="Arial" w:cs="Arial"/>
          <w:szCs w:val="22"/>
        </w:rPr>
      </w:pPr>
    </w:p>
    <w:p w:rsidR="005F1E56" w:rsidRDefault="00656D79" w:rsidP="00656D79">
      <w:pPr>
        <w:jc w:val="both"/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 xml:space="preserve">La Dirección Ejecutiva de la Comisión de Regulación de Energía y Gas, </w:t>
      </w:r>
      <w:r w:rsidR="00735BD8" w:rsidRPr="00D33120">
        <w:rPr>
          <w:rFonts w:ascii="Arial" w:hAnsi="Arial" w:cs="Arial"/>
          <w:szCs w:val="22"/>
        </w:rPr>
        <w:t xml:space="preserve">CREG, </w:t>
      </w:r>
      <w:r w:rsidRPr="00D33120">
        <w:rPr>
          <w:rFonts w:ascii="Arial" w:hAnsi="Arial" w:cs="Arial"/>
          <w:szCs w:val="22"/>
        </w:rPr>
        <w:t xml:space="preserve">con el fin de </w:t>
      </w:r>
      <w:r w:rsidR="00D544AE">
        <w:rPr>
          <w:rFonts w:ascii="Arial" w:hAnsi="Arial" w:cs="Arial"/>
          <w:szCs w:val="22"/>
        </w:rPr>
        <w:t>d</w:t>
      </w:r>
      <w:r w:rsidRPr="00D33120">
        <w:rPr>
          <w:rFonts w:ascii="Arial" w:hAnsi="Arial" w:cs="Arial"/>
          <w:szCs w:val="22"/>
        </w:rPr>
        <w:t xml:space="preserve">ar </w:t>
      </w:r>
      <w:r w:rsidR="001429E8">
        <w:rPr>
          <w:rFonts w:ascii="Arial" w:hAnsi="Arial" w:cs="Arial"/>
          <w:szCs w:val="22"/>
        </w:rPr>
        <w:t xml:space="preserve">cumplimiento </w:t>
      </w:r>
      <w:r w:rsidR="00D544AE">
        <w:rPr>
          <w:rFonts w:ascii="Arial" w:hAnsi="Arial" w:cs="Arial"/>
          <w:szCs w:val="22"/>
        </w:rPr>
        <w:t>a</w:t>
      </w:r>
      <w:r w:rsidR="001429E8">
        <w:rPr>
          <w:rFonts w:ascii="Arial" w:hAnsi="Arial" w:cs="Arial"/>
          <w:szCs w:val="22"/>
        </w:rPr>
        <w:t xml:space="preserve"> lo ordenado por la Resolución CREG 038 de 2014 que contiene el nuevo código de medida, </w:t>
      </w:r>
      <w:r w:rsidR="00F7776D">
        <w:rPr>
          <w:rFonts w:ascii="Arial" w:hAnsi="Arial" w:cs="Arial"/>
          <w:szCs w:val="22"/>
        </w:rPr>
        <w:t>hace públicos para</w:t>
      </w:r>
      <w:r w:rsidR="00D544AE">
        <w:rPr>
          <w:rFonts w:ascii="Arial" w:hAnsi="Arial" w:cs="Arial"/>
          <w:szCs w:val="22"/>
        </w:rPr>
        <w:t xml:space="preserve"> los agentes, usuarios y demás interesados</w:t>
      </w:r>
      <w:r w:rsidR="00F7776D">
        <w:rPr>
          <w:rFonts w:ascii="Arial" w:hAnsi="Arial" w:cs="Arial"/>
          <w:szCs w:val="22"/>
        </w:rPr>
        <w:t>,</w:t>
      </w:r>
      <w:r w:rsidR="001429E8">
        <w:rPr>
          <w:rFonts w:ascii="Arial" w:hAnsi="Arial" w:cs="Arial"/>
          <w:szCs w:val="22"/>
        </w:rPr>
        <w:t xml:space="preserve"> los siguiente</w:t>
      </w:r>
      <w:r w:rsidR="00F7776D">
        <w:rPr>
          <w:rFonts w:ascii="Arial" w:hAnsi="Arial" w:cs="Arial"/>
          <w:szCs w:val="22"/>
        </w:rPr>
        <w:t>s documentos elaborados por el C</w:t>
      </w:r>
      <w:r w:rsidR="001429E8">
        <w:rPr>
          <w:rFonts w:ascii="Arial" w:hAnsi="Arial" w:cs="Arial"/>
          <w:szCs w:val="22"/>
        </w:rPr>
        <w:t xml:space="preserve">omité </w:t>
      </w:r>
      <w:r w:rsidR="00F7776D">
        <w:rPr>
          <w:rFonts w:ascii="Arial" w:hAnsi="Arial" w:cs="Arial"/>
          <w:szCs w:val="22"/>
        </w:rPr>
        <w:t>Asesor de C</w:t>
      </w:r>
      <w:r w:rsidR="00D544AE">
        <w:rPr>
          <w:rFonts w:ascii="Arial" w:hAnsi="Arial" w:cs="Arial"/>
          <w:szCs w:val="22"/>
        </w:rPr>
        <w:t>omercialización, CAC: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804"/>
      </w:tblGrid>
      <w:tr w:rsidR="00AB1A94" w:rsidTr="00AB1A94">
        <w:tc>
          <w:tcPr>
            <w:tcW w:w="1809" w:type="dxa"/>
          </w:tcPr>
          <w:p w:rsidR="00AB1A94" w:rsidRPr="00AB1A94" w:rsidRDefault="00AB1A94" w:rsidP="00AB1A94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contextualSpacing w:val="0"/>
              <w:rPr>
                <w:rFonts w:ascii="Arial" w:hAnsi="Arial" w:cs="Arial"/>
                <w:szCs w:val="22"/>
              </w:rPr>
            </w:pPr>
            <w:r w:rsidRPr="00AB1A94">
              <w:rPr>
                <w:rFonts w:ascii="Arial" w:hAnsi="Arial" w:cs="Arial"/>
                <w:szCs w:val="22"/>
              </w:rPr>
              <w:t>Anexo 1:</w:t>
            </w:r>
          </w:p>
        </w:tc>
        <w:tc>
          <w:tcPr>
            <w:tcW w:w="6804" w:type="dxa"/>
          </w:tcPr>
          <w:p w:rsidR="00AB1A94" w:rsidRDefault="00AB1A94" w:rsidP="00AB1A94">
            <w:pPr>
              <w:spacing w:before="120" w:after="120"/>
              <w:ind w:left="68"/>
              <w:rPr>
                <w:rFonts w:ascii="Arial" w:hAnsi="Arial" w:cs="Arial"/>
                <w:szCs w:val="22"/>
              </w:rPr>
            </w:pPr>
            <w:r w:rsidRPr="00AB1A94">
              <w:rPr>
                <w:rFonts w:ascii="Arial" w:hAnsi="Arial" w:cs="Arial"/>
                <w:szCs w:val="22"/>
              </w:rPr>
              <w:t>Indicadores del ASIC</w:t>
            </w:r>
          </w:p>
        </w:tc>
      </w:tr>
      <w:tr w:rsidR="00AB1A94" w:rsidTr="00AB1A94">
        <w:tc>
          <w:tcPr>
            <w:tcW w:w="1809" w:type="dxa"/>
          </w:tcPr>
          <w:p w:rsidR="00AB1A94" w:rsidRPr="00AB1A94" w:rsidRDefault="00AB1A94" w:rsidP="00AB1A94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contextualSpacing w:val="0"/>
              <w:rPr>
                <w:rFonts w:ascii="Arial" w:hAnsi="Arial" w:cs="Arial"/>
                <w:szCs w:val="22"/>
              </w:rPr>
            </w:pPr>
            <w:r w:rsidRPr="00AB1A94">
              <w:rPr>
                <w:rFonts w:ascii="Arial" w:hAnsi="Arial" w:cs="Arial"/>
                <w:szCs w:val="22"/>
              </w:rPr>
              <w:t>Anexo 2:</w:t>
            </w:r>
            <w:r w:rsidRPr="00AB1A94">
              <w:rPr>
                <w:rFonts w:ascii="Arial" w:hAnsi="Arial" w:cs="Arial"/>
                <w:szCs w:val="22"/>
              </w:rPr>
              <w:tab/>
            </w:r>
          </w:p>
        </w:tc>
        <w:tc>
          <w:tcPr>
            <w:tcW w:w="6804" w:type="dxa"/>
          </w:tcPr>
          <w:p w:rsidR="00AB1A94" w:rsidRDefault="00AB1A94" w:rsidP="00AB1A94">
            <w:pPr>
              <w:spacing w:before="120" w:after="120"/>
              <w:ind w:left="68"/>
              <w:rPr>
                <w:rFonts w:ascii="Arial" w:hAnsi="Arial" w:cs="Arial"/>
                <w:szCs w:val="22"/>
              </w:rPr>
            </w:pPr>
            <w:r w:rsidRPr="00AB1A94">
              <w:rPr>
                <w:rFonts w:ascii="Arial" w:hAnsi="Arial" w:cs="Arial"/>
                <w:szCs w:val="22"/>
              </w:rPr>
              <w:t>Compilación comentarios y respuestas a las comunicaciones recibidas sobre la Circular CREG 041 de 2015</w:t>
            </w:r>
          </w:p>
        </w:tc>
      </w:tr>
    </w:tbl>
    <w:p w:rsidR="00AB1A94" w:rsidRDefault="00AB1A94" w:rsidP="00656D79">
      <w:pPr>
        <w:jc w:val="both"/>
        <w:rPr>
          <w:rFonts w:ascii="Arial" w:hAnsi="Arial" w:cs="Arial"/>
          <w:szCs w:val="22"/>
        </w:rPr>
      </w:pPr>
    </w:p>
    <w:p w:rsidR="00232093" w:rsidRPr="00D33120" w:rsidRDefault="00232093" w:rsidP="00656D79">
      <w:pPr>
        <w:rPr>
          <w:rFonts w:ascii="Arial" w:hAnsi="Arial" w:cs="Arial"/>
          <w:szCs w:val="22"/>
        </w:rPr>
      </w:pPr>
    </w:p>
    <w:p w:rsidR="00656D79" w:rsidRPr="00D33120" w:rsidRDefault="00656D79" w:rsidP="00656D79">
      <w:pPr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>Cordialmente,</w:t>
      </w:r>
    </w:p>
    <w:p w:rsidR="009F312D" w:rsidRPr="00D33120" w:rsidRDefault="009F312D" w:rsidP="009F312D">
      <w:pPr>
        <w:rPr>
          <w:rFonts w:cs="Arial"/>
          <w:szCs w:val="22"/>
        </w:rPr>
      </w:pPr>
    </w:p>
    <w:p w:rsidR="00D03361" w:rsidRDefault="00D03361" w:rsidP="009F312D">
      <w:pPr>
        <w:rPr>
          <w:rFonts w:cs="Arial"/>
          <w:szCs w:val="22"/>
        </w:rPr>
      </w:pPr>
    </w:p>
    <w:p w:rsidR="00DE0FC1" w:rsidRPr="00D33120" w:rsidRDefault="00DE0FC1" w:rsidP="009F312D">
      <w:pPr>
        <w:rPr>
          <w:rFonts w:cs="Arial"/>
          <w:szCs w:val="22"/>
        </w:rPr>
      </w:pPr>
    </w:p>
    <w:p w:rsidR="00232093" w:rsidRPr="00D33120" w:rsidRDefault="00232093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02373D" w:rsidRPr="00D33120" w:rsidRDefault="00865160" w:rsidP="00232093">
      <w:pPr>
        <w:pStyle w:val="Textoindependiente3"/>
        <w:rPr>
          <w:szCs w:val="22"/>
        </w:rPr>
      </w:pPr>
      <w:r>
        <w:rPr>
          <w:szCs w:val="22"/>
        </w:rPr>
        <w:t>JORGE PINTO NOLLA</w:t>
      </w:r>
    </w:p>
    <w:p w:rsidR="00AB1A94" w:rsidRDefault="00AB1A94">
      <w:pPr>
        <w:rPr>
          <w:rFonts w:ascii="Arial" w:hAnsi="Arial" w:cs="Arial"/>
          <w:spacing w:val="-5"/>
          <w:szCs w:val="22"/>
          <w:lang w:eastAsia="en-US"/>
        </w:rPr>
      </w:pPr>
      <w:r>
        <w:rPr>
          <w:rFonts w:ascii="Arial" w:hAnsi="Arial" w:cs="Arial"/>
          <w:spacing w:val="-5"/>
          <w:szCs w:val="22"/>
          <w:lang w:eastAsia="en-US"/>
        </w:rPr>
        <w:br w:type="page"/>
      </w:r>
    </w:p>
    <w:p w:rsidR="00AB1A94" w:rsidRPr="00A21A00" w:rsidRDefault="00AB1A94" w:rsidP="00AB1A94">
      <w:pPr>
        <w:jc w:val="center"/>
        <w:rPr>
          <w:rFonts w:ascii="Verdana" w:hAnsi="Verdana" w:cs="Arial"/>
          <w:b/>
          <w:sz w:val="20"/>
          <w:szCs w:val="22"/>
          <w:lang w:val="es-CO"/>
        </w:rPr>
      </w:pPr>
      <w:r w:rsidRPr="00A21A00">
        <w:rPr>
          <w:rFonts w:ascii="Verdana" w:hAnsi="Verdana" w:cs="Arial"/>
          <w:b/>
          <w:sz w:val="20"/>
          <w:szCs w:val="22"/>
          <w:lang w:val="es-CO"/>
        </w:rPr>
        <w:lastRenderedPageBreak/>
        <w:t>ANEXO 1</w:t>
      </w:r>
    </w:p>
    <w:p w:rsidR="00AB1A94" w:rsidRPr="00A21A00" w:rsidRDefault="00AB1A94" w:rsidP="00AB1A94">
      <w:pPr>
        <w:jc w:val="center"/>
        <w:rPr>
          <w:rFonts w:ascii="Verdana" w:hAnsi="Verdana" w:cs="Arial"/>
          <w:b/>
          <w:sz w:val="20"/>
          <w:szCs w:val="22"/>
          <w:lang w:val="es-CO"/>
        </w:rPr>
      </w:pPr>
    </w:p>
    <w:p w:rsidR="00AB1A94" w:rsidRPr="00A21A00" w:rsidRDefault="00AB1A94" w:rsidP="00AB1A94">
      <w:pPr>
        <w:jc w:val="both"/>
        <w:rPr>
          <w:rFonts w:ascii="Verdana" w:hAnsi="Verdana" w:cs="Arial"/>
          <w:b/>
          <w:sz w:val="20"/>
          <w:szCs w:val="22"/>
          <w:lang w:val="es-CO"/>
        </w:rPr>
      </w:pPr>
      <w:r w:rsidRPr="00A21A00">
        <w:rPr>
          <w:rFonts w:ascii="Verdana" w:hAnsi="Verdana" w:cs="Arial"/>
          <w:b/>
          <w:sz w:val="20"/>
          <w:szCs w:val="22"/>
          <w:lang w:val="es-CO"/>
        </w:rPr>
        <w:t>Indicador Numero 1</w:t>
      </w:r>
    </w:p>
    <w:p w:rsidR="00AB1A94" w:rsidRPr="00A21A00" w:rsidRDefault="00AB1A94" w:rsidP="00AB1A94">
      <w:pPr>
        <w:jc w:val="both"/>
        <w:rPr>
          <w:rFonts w:ascii="Verdana" w:hAnsi="Verdana" w:cs="Arial"/>
          <w:sz w:val="20"/>
          <w:szCs w:val="22"/>
          <w:lang w:val="es-CO"/>
        </w:rPr>
      </w:pPr>
      <w:r w:rsidRPr="00A21A00">
        <w:rPr>
          <w:rFonts w:ascii="Verdana" w:hAnsi="Verdana" w:cs="Arial"/>
          <w:sz w:val="20"/>
          <w:szCs w:val="22"/>
          <w:lang w:val="es-CO"/>
        </w:rPr>
        <w:t xml:space="preserve"> 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Nombre: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Oportunidad en la publicación del informe sobre fronteras comerciales (Numeral 7, anexo 8)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Tipo: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Indicador de gestión del ASIC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Unidades métricas: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número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Descripción: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Atrasos en la publicación del informe sobre fronteras comerciales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Métrica: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Cantidad de días de atraso en la oportunidad de la publicación del informe sobre fronteras comerciales, contados desde la fecha de publicación definida en la resolución CREG 038 de 2014.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18"/>
          <w:szCs w:val="22"/>
          <w:lang w:val="es-CO"/>
        </w:rPr>
      </w:pPr>
    </w:p>
    <w:p w:rsidR="00AB1A94" w:rsidRPr="00D649C1" w:rsidRDefault="00AB1A94" w:rsidP="00AB1A94">
      <w:pPr>
        <w:rPr>
          <w:rFonts w:ascii="Verdana" w:eastAsiaTheme="minorEastAsia" w:hAnsi="Verdana"/>
        </w:rPr>
      </w:pPr>
      <m:oMathPara>
        <m:oMath>
          <m:r>
            <w:rPr>
              <w:rFonts w:ascii="Cambria Math" w:hAnsi="Cambria Math"/>
              <w:sz w:val="22"/>
            </w:rPr>
            <m:t>CDAIFC=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</w:rPr>
                <m:t>i=1</m:t>
              </m:r>
            </m:sub>
            <m:sup>
              <m:r>
                <w:rPr>
                  <w:rFonts w:ascii="Cambria Math" w:hAnsi="Cambria Math"/>
                  <w:sz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DAIFC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i</m:t>
                  </m:r>
                </m:sub>
              </m:sSub>
            </m:e>
          </m:nary>
        </m:oMath>
      </m:oMathPara>
    </w:p>
    <w:p w:rsidR="00AB1A94" w:rsidRPr="00C20B6A" w:rsidRDefault="00AB1A94" w:rsidP="00AB1A94">
      <w:pPr>
        <w:jc w:val="both"/>
        <w:rPr>
          <w:rFonts w:ascii="Verdana" w:hAnsi="Verdana" w:cs="Arial"/>
          <w:sz w:val="20"/>
          <w:szCs w:val="22"/>
          <w:lang w:val="es-CO"/>
        </w:rPr>
      </w:pPr>
    </w:p>
    <w:p w:rsidR="00AB1A94" w:rsidRPr="00C20B6A" w:rsidRDefault="00AB1A94" w:rsidP="00AB1A94">
      <w:pPr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lang w:val="es-CO"/>
        </w:rPr>
        <w:t>Donde:</w:t>
      </w:r>
    </w:p>
    <w:p w:rsidR="00AB1A94" w:rsidRPr="00C20B6A" w:rsidRDefault="00AB1A94" w:rsidP="00AB1A94">
      <w:pPr>
        <w:ind w:left="2127" w:hanging="2127"/>
        <w:jc w:val="both"/>
        <w:rPr>
          <w:rFonts w:eastAsiaTheme="minorEastAsia"/>
          <w:sz w:val="22"/>
        </w:rPr>
      </w:pPr>
      <m:oMath>
        <m:r>
          <w:rPr>
            <w:rFonts w:ascii="Cambria Math" w:eastAsiaTheme="minorEastAsia" w:hAnsi="Cambria Math"/>
            <w:sz w:val="22"/>
          </w:rPr>
          <m:t>CAIFC</m:t>
        </m:r>
      </m:oMath>
      <w:r w:rsidRPr="00C20B6A">
        <w:rPr>
          <w:rFonts w:eastAsiaTheme="minorEastAsia"/>
          <w:sz w:val="22"/>
        </w:rPr>
        <w:t>=</w:t>
      </w:r>
      <w:r w:rsidRPr="00C20B6A">
        <w:rPr>
          <w:rFonts w:eastAsiaTheme="minorEastAsia"/>
          <w:sz w:val="22"/>
        </w:rPr>
        <w:tab/>
      </w:r>
      <w:r w:rsidRPr="00C20B6A">
        <w:rPr>
          <w:rFonts w:ascii="Verdana" w:hAnsi="Verdana" w:cs="Arial"/>
          <w:sz w:val="20"/>
          <w:szCs w:val="22"/>
          <w:lang w:val="es-CO"/>
        </w:rPr>
        <w:t>Cantidad de días de atraso en la oportunidad de la publicación del informe sobre fronteras comerciales, contados desde la fecha de publicación definida en la resolución CREG 038 de 2014</w:t>
      </w:r>
    </w:p>
    <w:p w:rsidR="00AB1A94" w:rsidRPr="00C20B6A" w:rsidRDefault="00AB1A94" w:rsidP="00AB1A94">
      <w:pPr>
        <w:ind w:left="2127" w:hanging="2127"/>
        <w:jc w:val="both"/>
        <w:rPr>
          <w:rFonts w:eastAsiaTheme="minorEastAsia"/>
          <w:sz w:val="22"/>
        </w:rPr>
      </w:pPr>
      <m:oMath>
        <m:r>
          <w:rPr>
            <w:rFonts w:ascii="Cambria Math" w:eastAsiaTheme="minorEastAsia" w:hAnsi="Cambria Math"/>
            <w:sz w:val="22"/>
          </w:rPr>
          <m:t xml:space="preserve">DAIFC= </m:t>
        </m:r>
      </m:oMath>
      <w:r w:rsidRPr="00C20B6A">
        <w:rPr>
          <w:rFonts w:ascii="Verdana" w:hAnsi="Verdana" w:cs="Arial"/>
          <w:sz w:val="22"/>
        </w:rPr>
        <w:tab/>
      </w:r>
      <w:r w:rsidRPr="00C20B6A">
        <w:rPr>
          <w:rFonts w:ascii="Verdana" w:hAnsi="Verdana" w:cs="Arial"/>
          <w:sz w:val="20"/>
          <w:szCs w:val="22"/>
          <w:lang w:val="es-CO"/>
        </w:rPr>
        <w:t>Días de atraso de informe de las fronteras comerciales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m:oMath>
        <m:r>
          <w:rPr>
            <w:rFonts w:ascii="Cambria Math" w:eastAsiaTheme="minorEastAsia" w:hAnsi="Cambria Math"/>
            <w:sz w:val="22"/>
          </w:rPr>
          <m:t xml:space="preserve">i= </m:t>
        </m:r>
      </m:oMath>
      <w:r w:rsidRPr="00C20B6A">
        <w:rPr>
          <w:rFonts w:ascii="Verdana" w:hAnsi="Verdana" w:cs="Arial"/>
          <w:sz w:val="22"/>
        </w:rPr>
        <w:tab/>
      </w:r>
      <w:r w:rsidRPr="00C20B6A">
        <w:rPr>
          <w:rFonts w:ascii="Verdana" w:hAnsi="Verdana" w:cs="Arial"/>
          <w:sz w:val="20"/>
          <w:szCs w:val="22"/>
          <w:lang w:val="es-CO"/>
        </w:rPr>
        <w:t>Cantidad de atrasos en el año.</w:t>
      </w:r>
    </w:p>
    <w:p w:rsidR="00AB1A94" w:rsidRPr="00A21A00" w:rsidRDefault="00AB1A94" w:rsidP="00AB1A94">
      <w:pPr>
        <w:jc w:val="both"/>
        <w:rPr>
          <w:rFonts w:ascii="Verdana" w:hAnsi="Verdana" w:cs="Arial"/>
          <w:sz w:val="20"/>
          <w:lang w:val="es-CO"/>
        </w:rPr>
      </w:pPr>
      <w:r w:rsidRPr="00A21A00">
        <w:rPr>
          <w:rFonts w:ascii="Verdana" w:hAnsi="Verdana" w:cs="Arial"/>
          <w:sz w:val="20"/>
          <w:lang w:val="es-CO"/>
        </w:rPr>
        <w:t xml:space="preserve"> </w:t>
      </w:r>
    </w:p>
    <w:p w:rsidR="00AB1A94" w:rsidRPr="00A21A00" w:rsidRDefault="00AB1A94" w:rsidP="00AB1A94">
      <w:pPr>
        <w:jc w:val="both"/>
        <w:rPr>
          <w:rFonts w:ascii="Verdana" w:hAnsi="Verdana" w:cs="Arial"/>
          <w:b/>
          <w:sz w:val="20"/>
          <w:lang w:val="es-CO"/>
        </w:rPr>
      </w:pPr>
      <w:r w:rsidRPr="00A21A00">
        <w:rPr>
          <w:rFonts w:ascii="Verdana" w:hAnsi="Verdana" w:cs="Arial"/>
          <w:b/>
          <w:sz w:val="20"/>
          <w:lang w:val="es-CO"/>
        </w:rPr>
        <w:t>Indicador Numero 2</w:t>
      </w:r>
    </w:p>
    <w:p w:rsidR="00AB1A94" w:rsidRPr="00A21A00" w:rsidRDefault="00AB1A94" w:rsidP="00AB1A94">
      <w:pPr>
        <w:tabs>
          <w:tab w:val="left" w:pos="2268"/>
        </w:tabs>
        <w:jc w:val="both"/>
        <w:rPr>
          <w:rFonts w:ascii="Verdana" w:hAnsi="Verdana" w:cs="Arial"/>
          <w:sz w:val="20"/>
          <w:lang w:val="es-CO"/>
        </w:rPr>
      </w:pPr>
      <w:r w:rsidRPr="00A21A00">
        <w:rPr>
          <w:rFonts w:ascii="Verdana" w:hAnsi="Verdana" w:cs="Arial"/>
          <w:sz w:val="20"/>
          <w:lang w:val="es-CO"/>
        </w:rPr>
        <w:t xml:space="preserve"> </w:t>
      </w:r>
    </w:p>
    <w:p w:rsidR="00AB1A94" w:rsidRPr="00C20B6A" w:rsidRDefault="00AB1A94" w:rsidP="00AB1A94">
      <w:pPr>
        <w:tabs>
          <w:tab w:val="left" w:pos="2127"/>
        </w:tabs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Nombre: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 xml:space="preserve">Oportunidad en la publicación de información soporte </w:t>
      </w:r>
    </w:p>
    <w:p w:rsidR="00AB1A94" w:rsidRPr="00C20B6A" w:rsidRDefault="00AB1A94" w:rsidP="00AB1A94">
      <w:pPr>
        <w:tabs>
          <w:tab w:val="left" w:pos="2127"/>
        </w:tabs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Tipo: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Indicador de gestión del ASIC</w:t>
      </w:r>
    </w:p>
    <w:p w:rsidR="00AB1A94" w:rsidRPr="00C20B6A" w:rsidRDefault="00AB1A94" w:rsidP="00AB1A94">
      <w:pPr>
        <w:tabs>
          <w:tab w:val="left" w:pos="2127"/>
        </w:tabs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Unidades métricas: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número</w:t>
      </w:r>
    </w:p>
    <w:p w:rsidR="00AB1A94" w:rsidRPr="00C20B6A" w:rsidRDefault="00AB1A94" w:rsidP="00AB1A94">
      <w:pPr>
        <w:tabs>
          <w:tab w:val="left" w:pos="2127"/>
        </w:tabs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Descripción: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Atrasos en la publicación de información soporte</w:t>
      </w:r>
    </w:p>
    <w:p w:rsidR="00AB1A94" w:rsidRPr="00C20B6A" w:rsidRDefault="00AB1A94" w:rsidP="00AB1A94">
      <w:pPr>
        <w:ind w:left="2127" w:hanging="2127"/>
        <w:jc w:val="both"/>
        <w:rPr>
          <w:rFonts w:ascii="Verdana" w:hAnsi="Verdana" w:cs="Arial"/>
          <w:sz w:val="20"/>
          <w:szCs w:val="22"/>
          <w:lang w:val="es-CO"/>
        </w:rPr>
      </w:pPr>
      <w:r w:rsidRPr="00C20B6A">
        <w:rPr>
          <w:rFonts w:ascii="Verdana" w:hAnsi="Verdana" w:cs="Arial"/>
          <w:sz w:val="20"/>
          <w:szCs w:val="22"/>
          <w:u w:val="single"/>
          <w:lang w:val="es-CO"/>
        </w:rPr>
        <w:t>Métrica:</w:t>
      </w:r>
      <w:r w:rsidRPr="00C20B6A">
        <w:rPr>
          <w:rFonts w:ascii="Verdana" w:hAnsi="Verdana" w:cs="Arial"/>
          <w:sz w:val="20"/>
          <w:szCs w:val="22"/>
          <w:lang w:val="es-CO"/>
        </w:rPr>
        <w:tab/>
        <w:t>Cantidad de días de atraso en la publicación de información soporte, contados desde la fecha de publicación definida en la Resolución CREG 038 de 2014.</w:t>
      </w:r>
    </w:p>
    <w:p w:rsidR="00AB1A94" w:rsidRPr="00C20B6A" w:rsidRDefault="00AB1A94" w:rsidP="00AB1A94">
      <w:pPr>
        <w:tabs>
          <w:tab w:val="left" w:pos="2127"/>
          <w:tab w:val="left" w:pos="2268"/>
        </w:tabs>
        <w:jc w:val="both"/>
        <w:rPr>
          <w:rFonts w:eastAsiaTheme="minorEastAsia"/>
          <w:sz w:val="22"/>
        </w:rPr>
      </w:pPr>
    </w:p>
    <w:p w:rsidR="00AB1A94" w:rsidRPr="00666B03" w:rsidRDefault="00AB1A94" w:rsidP="00AB1A94">
      <w:pPr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  <w:sz w:val="22"/>
            </w:rPr>
            <m:t>CDAPIS=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</w:rPr>
                <m:t>i=1</m:t>
              </m:r>
            </m:sub>
            <m:sup>
              <m:r>
                <w:rPr>
                  <w:rFonts w:ascii="Cambria Math" w:hAnsi="Cambria Math"/>
                  <w:sz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DAPIS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i</m:t>
                  </m:r>
                </m:sub>
              </m:sSub>
            </m:e>
          </m:nary>
        </m:oMath>
      </m:oMathPara>
    </w:p>
    <w:p w:rsidR="00AB1A94" w:rsidRPr="00C20B6A" w:rsidRDefault="00AB1A94" w:rsidP="00AB1A94">
      <w:pPr>
        <w:jc w:val="both"/>
        <w:rPr>
          <w:rFonts w:ascii="Verdana" w:hAnsi="Verdana" w:cs="Arial"/>
          <w:sz w:val="20"/>
          <w:szCs w:val="22"/>
          <w:u w:val="single"/>
          <w:lang w:val="es-CO"/>
        </w:rPr>
      </w:pPr>
    </w:p>
    <w:p w:rsidR="00AB1A94" w:rsidRPr="00C20B6A" w:rsidRDefault="00AB1A94" w:rsidP="00AB1A94">
      <w:pPr>
        <w:ind w:left="2127" w:hanging="2127"/>
        <w:jc w:val="both"/>
        <w:rPr>
          <w:rFonts w:eastAsiaTheme="minorEastAsia"/>
          <w:sz w:val="22"/>
        </w:rPr>
      </w:pPr>
      <m:oMath>
        <m:r>
          <w:rPr>
            <w:rFonts w:ascii="Cambria Math" w:hAnsi="Cambria Math"/>
            <w:sz w:val="22"/>
          </w:rPr>
          <m:t>CDAPIS=</m:t>
        </m:r>
      </m:oMath>
      <w:r w:rsidRPr="00C20B6A">
        <w:rPr>
          <w:rFonts w:eastAsiaTheme="minorEastAsia"/>
          <w:sz w:val="22"/>
        </w:rPr>
        <w:tab/>
      </w:r>
      <w:r w:rsidRPr="00C20B6A">
        <w:rPr>
          <w:rFonts w:ascii="Verdana" w:eastAsiaTheme="minorEastAsia" w:hAnsi="Verdana"/>
          <w:sz w:val="20"/>
        </w:rPr>
        <w:t xml:space="preserve">Cantidad de días de atraso </w:t>
      </w:r>
      <w:r w:rsidRPr="00C20B6A">
        <w:rPr>
          <w:rFonts w:ascii="Verdana" w:hAnsi="Verdana" w:cs="Arial"/>
          <w:sz w:val="20"/>
          <w:szCs w:val="22"/>
          <w:lang w:val="es-CO"/>
        </w:rPr>
        <w:t>en la publicación de información soporte, contados desde la fecha de publicación definida en la Resolución CREG 038 de 2014.</w:t>
      </w:r>
    </w:p>
    <w:p w:rsidR="00AB1A94" w:rsidRPr="00C20B6A" w:rsidRDefault="00AB1A94" w:rsidP="00AB1A94">
      <w:pPr>
        <w:tabs>
          <w:tab w:val="left" w:pos="2127"/>
        </w:tabs>
        <w:ind w:left="2268" w:hanging="2268"/>
        <w:jc w:val="both"/>
        <w:rPr>
          <w:rFonts w:ascii="Verdana" w:eastAsiaTheme="minorEastAsia" w:hAnsi="Verdana"/>
          <w:sz w:val="20"/>
        </w:rPr>
      </w:pPr>
      <m:oMath>
        <m:r>
          <w:rPr>
            <w:rFonts w:ascii="Cambria Math" w:hAnsi="Cambria Math"/>
            <w:sz w:val="22"/>
          </w:rPr>
          <m:t>DIAPIS=</m:t>
        </m:r>
      </m:oMath>
      <w:r w:rsidRPr="00C20B6A">
        <w:rPr>
          <w:rFonts w:eastAsiaTheme="minorEastAsia"/>
          <w:sz w:val="22"/>
        </w:rPr>
        <w:tab/>
      </w:r>
      <w:r w:rsidRPr="00C20B6A">
        <w:rPr>
          <w:rFonts w:ascii="Verdana" w:eastAsiaTheme="minorEastAsia" w:hAnsi="Verdana"/>
          <w:sz w:val="20"/>
        </w:rPr>
        <w:t xml:space="preserve">Días de atraso de la publicación de </w:t>
      </w:r>
      <w:r w:rsidRPr="00C20B6A">
        <w:rPr>
          <w:rFonts w:ascii="Verdana" w:hAnsi="Verdana" w:cs="Arial"/>
          <w:sz w:val="20"/>
          <w:szCs w:val="22"/>
          <w:lang w:val="es-CO"/>
        </w:rPr>
        <w:t>información soporte</w:t>
      </w:r>
    </w:p>
    <w:p w:rsidR="00AB1A94" w:rsidRPr="00C20B6A" w:rsidRDefault="00AB1A94" w:rsidP="00AB1A94">
      <w:pPr>
        <w:tabs>
          <w:tab w:val="left" w:pos="2127"/>
        </w:tabs>
        <w:ind w:left="2268" w:hanging="2268"/>
        <w:jc w:val="both"/>
        <w:rPr>
          <w:rFonts w:ascii="Verdana" w:eastAsiaTheme="minorEastAsia" w:hAnsi="Verdana"/>
          <w:sz w:val="20"/>
        </w:rPr>
      </w:pPr>
      <m:oMath>
        <m:r>
          <w:rPr>
            <w:rFonts w:ascii="Cambria Math" w:hAnsi="Cambria Math"/>
            <w:sz w:val="22"/>
          </w:rPr>
          <m:t>i=</m:t>
        </m:r>
      </m:oMath>
      <w:r w:rsidRPr="00C20B6A">
        <w:rPr>
          <w:rFonts w:eastAsiaTheme="minorEastAsia"/>
          <w:sz w:val="22"/>
        </w:rPr>
        <w:tab/>
      </w:r>
      <w:r w:rsidRPr="00C20B6A">
        <w:rPr>
          <w:rFonts w:ascii="Verdana" w:eastAsiaTheme="minorEastAsia" w:hAnsi="Verdana"/>
          <w:sz w:val="20"/>
        </w:rPr>
        <w:t>Cantidad de atrasos en el año.</w:t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AB1A94" w:rsidRDefault="00AB1A94" w:rsidP="00AB1A94">
      <w:pPr>
        <w:jc w:val="center"/>
        <w:rPr>
          <w:rFonts w:ascii="Verdana" w:hAnsi="Verdana" w:cs="Arial"/>
          <w:b/>
          <w:sz w:val="22"/>
          <w:szCs w:val="22"/>
          <w:lang w:val="es-CO"/>
        </w:rPr>
      </w:pPr>
      <w:r w:rsidRPr="005B25CE">
        <w:rPr>
          <w:rFonts w:ascii="Verdana" w:hAnsi="Verdana" w:cs="Arial"/>
          <w:b/>
          <w:sz w:val="22"/>
          <w:szCs w:val="22"/>
          <w:lang w:val="es-CO"/>
        </w:rPr>
        <w:lastRenderedPageBreak/>
        <w:t>ANEXO</w:t>
      </w:r>
      <w:r>
        <w:rPr>
          <w:rFonts w:ascii="Verdana" w:hAnsi="Verdana" w:cs="Arial"/>
          <w:b/>
          <w:sz w:val="22"/>
          <w:szCs w:val="22"/>
          <w:lang w:val="es-CO"/>
        </w:rPr>
        <w:t xml:space="preserve"> 2</w:t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  <w:r w:rsidRPr="004A3C73">
        <w:rPr>
          <w:noProof/>
          <w:lang w:val="es-CO" w:eastAsia="es-CO"/>
        </w:rPr>
        <w:drawing>
          <wp:inline distT="0" distB="0" distL="0" distR="0" wp14:anchorId="19A54391" wp14:editId="741DC0F4">
            <wp:extent cx="5612130" cy="3713615"/>
            <wp:effectExtent l="19050" t="19050" r="26670" b="203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  <w:r w:rsidRPr="004A3C73">
        <w:rPr>
          <w:noProof/>
          <w:lang w:val="es-CO" w:eastAsia="es-CO"/>
        </w:rPr>
        <w:lastRenderedPageBreak/>
        <w:drawing>
          <wp:inline distT="0" distB="0" distL="0" distR="0" wp14:anchorId="34804215" wp14:editId="3773F99E">
            <wp:extent cx="5612130" cy="6513007"/>
            <wp:effectExtent l="19050" t="19050" r="2667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13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  <w:r w:rsidRPr="004A3C73">
        <w:rPr>
          <w:noProof/>
          <w:lang w:val="es-CO" w:eastAsia="es-CO"/>
        </w:rPr>
        <w:lastRenderedPageBreak/>
        <w:drawing>
          <wp:inline distT="0" distB="0" distL="0" distR="0" wp14:anchorId="773C0201" wp14:editId="5425D7DF">
            <wp:extent cx="5612130" cy="5111643"/>
            <wp:effectExtent l="19050" t="19050" r="26670" b="133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11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  <w:r w:rsidRPr="004A3C73">
        <w:rPr>
          <w:noProof/>
          <w:lang w:val="es-CO" w:eastAsia="es-CO"/>
        </w:rPr>
        <w:lastRenderedPageBreak/>
        <w:drawing>
          <wp:inline distT="0" distB="0" distL="0" distR="0" wp14:anchorId="4AD77B6D" wp14:editId="47A6D046">
            <wp:extent cx="5612130" cy="2108200"/>
            <wp:effectExtent l="19050" t="19050" r="26670" b="254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A94" w:rsidRDefault="00AB1A94" w:rsidP="00AB1A94">
      <w:pPr>
        <w:jc w:val="both"/>
        <w:rPr>
          <w:rFonts w:ascii="Verdana" w:hAnsi="Verdana" w:cs="Arial"/>
          <w:sz w:val="22"/>
          <w:szCs w:val="22"/>
          <w:u w:val="single"/>
          <w:lang w:val="es-CO"/>
        </w:rPr>
      </w:pPr>
    </w:p>
    <w:p w:rsidR="003C69CF" w:rsidRDefault="003C69CF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sectPr w:rsidR="003C69CF" w:rsidSect="00A21A00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430" w:right="1701" w:bottom="1418" w:left="1985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E1" w:rsidRDefault="00A52AE1">
      <w:r>
        <w:separator/>
      </w:r>
    </w:p>
  </w:endnote>
  <w:endnote w:type="continuationSeparator" w:id="0">
    <w:p w:rsidR="00A52AE1" w:rsidRDefault="00A52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A21A00" w:rsidRDefault="00A21A00" w:rsidP="00A21A00">
    <w:pPr>
      <w:pStyle w:val="Piedepgina"/>
    </w:pPr>
    <w:r>
      <w:rPr>
        <w:noProof/>
        <w:lang w:val="es-CO" w:eastAsia="es-CO"/>
      </w:rPr>
      <w:drawing>
        <wp:inline distT="0" distB="0" distL="0" distR="0" wp14:anchorId="4A3F0A4D" wp14:editId="6F7B0655">
          <wp:extent cx="5330190" cy="727075"/>
          <wp:effectExtent l="0" t="0" r="3810" b="0"/>
          <wp:docPr id="12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A21A00" w:rsidRDefault="001429E8">
    <w:pPr>
      <w:pStyle w:val="Piedepgina"/>
      <w:rPr>
        <w:rFonts w:ascii="Arial" w:hAnsi="Arial" w:cs="Arial"/>
        <w:sz w:val="18"/>
      </w:rPr>
    </w:pPr>
    <w:r>
      <w:rPr>
        <w:noProof/>
        <w:lang w:val="es-CO" w:eastAsia="es-CO"/>
      </w:rPr>
      <w:drawing>
        <wp:inline distT="0" distB="0" distL="0" distR="0" wp14:anchorId="50599DCB" wp14:editId="19074958">
          <wp:extent cx="5330190" cy="727075"/>
          <wp:effectExtent l="0" t="0" r="3810" b="0"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E1" w:rsidRDefault="00A52AE1">
      <w:r>
        <w:separator/>
      </w:r>
    </w:p>
  </w:footnote>
  <w:footnote w:type="continuationSeparator" w:id="0">
    <w:p w:rsidR="00A52AE1" w:rsidRDefault="00A52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00" w:rsidRDefault="00A21A00" w:rsidP="00A21A00">
    <w:pPr>
      <w:pStyle w:val="Encabezado"/>
      <w:tabs>
        <w:tab w:val="clear" w:pos="4252"/>
        <w:tab w:val="left" w:pos="6624"/>
      </w:tabs>
    </w:pPr>
    <w:r>
      <w:rPr>
        <w:noProof/>
        <w:lang w:val="es-CO" w:eastAsia="es-CO"/>
      </w:rPr>
      <w:drawing>
        <wp:inline distT="0" distB="0" distL="0" distR="0" wp14:anchorId="0FC98D64" wp14:editId="4241DDF0">
          <wp:extent cx="1250315" cy="699135"/>
          <wp:effectExtent l="0" t="0" r="6985" b="571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1" cy="699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s-CO" w:eastAsia="es-CO"/>
      </w:rPr>
      <w:drawing>
        <wp:inline distT="0" distB="0" distL="0" distR="0" wp14:anchorId="73EC2B42" wp14:editId="46447278">
          <wp:extent cx="1112807" cy="703232"/>
          <wp:effectExtent l="0" t="0" r="0" b="1905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71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0F56" w:rsidRDefault="00A21A00" w:rsidP="00A21A00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sz w:val="18"/>
        <w:szCs w:val="18"/>
        <w:u w:val="single"/>
      </w:rPr>
      <w:t>CIRCULAR-</w:t>
    </w:r>
    <w:r w:rsidR="002F0F56">
      <w:rPr>
        <w:rFonts w:ascii="Arial" w:hAnsi="Arial" w:cs="Arial"/>
        <w:sz w:val="18"/>
        <w:szCs w:val="18"/>
        <w:u w:val="single"/>
      </w:rPr>
      <w:t>054</w:t>
    </w:r>
  </w:p>
  <w:p w:rsidR="00A21A00" w:rsidRDefault="002F0F56" w:rsidP="00A21A00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sz w:val="18"/>
        <w:szCs w:val="18"/>
        <w:u w:val="single"/>
      </w:rPr>
      <w:t xml:space="preserve">Mayo de  </w:t>
    </w:r>
    <w:r w:rsidR="00A21A00" w:rsidRPr="00735F2F">
      <w:rPr>
        <w:rFonts w:ascii="Arial" w:hAnsi="Arial" w:cs="Arial"/>
        <w:sz w:val="18"/>
        <w:szCs w:val="18"/>
        <w:u w:val="single"/>
      </w:rPr>
      <w:t>201</w:t>
    </w:r>
    <w:r w:rsidR="00A21A00">
      <w:rPr>
        <w:rFonts w:ascii="Arial" w:hAnsi="Arial" w:cs="Arial"/>
        <w:sz w:val="18"/>
        <w:szCs w:val="18"/>
        <w:u w:val="single"/>
      </w:rPr>
      <w:t>5</w:t>
    </w:r>
  </w:p>
  <w:p w:rsidR="00A21A00" w:rsidRPr="00735F2F" w:rsidRDefault="00A21A00" w:rsidP="00A21A00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C16933">
      <w:rPr>
        <w:rFonts w:ascii="Arial" w:hAnsi="Arial" w:cs="Arial"/>
        <w:noProof/>
        <w:sz w:val="18"/>
        <w:szCs w:val="18"/>
        <w:u w:val="single"/>
        <w:lang w:val="es-ES"/>
      </w:rPr>
      <w:t>6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C16933">
      <w:rPr>
        <w:rFonts w:ascii="Arial" w:hAnsi="Arial" w:cs="Arial"/>
        <w:noProof/>
        <w:sz w:val="18"/>
        <w:szCs w:val="18"/>
        <w:u w:val="single"/>
        <w:lang w:val="es-ES"/>
      </w:rPr>
      <w:t>6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A21A00" w:rsidRPr="00A21A00" w:rsidRDefault="00A21A00" w:rsidP="00A21A0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A21A00" w:rsidP="00A21A00">
    <w:pPr>
      <w:pStyle w:val="Encabezado"/>
      <w:tabs>
        <w:tab w:val="clear" w:pos="4252"/>
        <w:tab w:val="left" w:pos="6624"/>
      </w:tabs>
    </w:pPr>
    <w:r>
      <w:rPr>
        <w:noProof/>
        <w:lang w:val="es-CO" w:eastAsia="es-CO"/>
      </w:rPr>
      <w:drawing>
        <wp:inline distT="0" distB="0" distL="0" distR="0" wp14:anchorId="220CFA55" wp14:editId="66EC4D98">
          <wp:extent cx="1250315" cy="699135"/>
          <wp:effectExtent l="0" t="0" r="6985" b="571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1" cy="699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s-CO" w:eastAsia="es-CO"/>
      </w:rPr>
      <w:drawing>
        <wp:inline distT="0" distB="0" distL="0" distR="0" wp14:anchorId="12699B56" wp14:editId="7878E0EB">
          <wp:extent cx="1112807" cy="703232"/>
          <wp:effectExtent l="0" t="0" r="0" b="190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71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21A00" w:rsidRDefault="00A21A00" w:rsidP="00A21A00">
    <w:pPr>
      <w:pStyle w:val="Encabezado"/>
      <w:tabs>
        <w:tab w:val="clear" w:pos="425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1E20B3"/>
    <w:multiLevelType w:val="hybridMultilevel"/>
    <w:tmpl w:val="4E545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0161F"/>
    <w:multiLevelType w:val="hybridMultilevel"/>
    <w:tmpl w:val="6B2AB50A"/>
    <w:lvl w:ilvl="0" w:tplc="D3EEE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371E52"/>
    <w:multiLevelType w:val="hybridMultilevel"/>
    <w:tmpl w:val="90A0EC60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B46F0"/>
    <w:multiLevelType w:val="hybridMultilevel"/>
    <w:tmpl w:val="9F120152"/>
    <w:lvl w:ilvl="0" w:tplc="9B3CC7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74003"/>
    <w:multiLevelType w:val="hybridMultilevel"/>
    <w:tmpl w:val="DCC866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6730CF"/>
    <w:multiLevelType w:val="hybridMultilevel"/>
    <w:tmpl w:val="3F26F1F6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14"/>
  </w:num>
  <w:num w:numId="11">
    <w:abstractNumId w:val="3"/>
  </w:num>
  <w:num w:numId="12">
    <w:abstractNumId w:val="8"/>
  </w:num>
  <w:num w:numId="13">
    <w:abstractNumId w:val="12"/>
  </w:num>
  <w:num w:numId="14">
    <w:abstractNumId w:val="6"/>
  </w:num>
  <w:num w:numId="15">
    <w:abstractNumId w:val="16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2373D"/>
    <w:rsid w:val="00027E5C"/>
    <w:rsid w:val="00061F10"/>
    <w:rsid w:val="000726F0"/>
    <w:rsid w:val="00077F70"/>
    <w:rsid w:val="00082448"/>
    <w:rsid w:val="000B07A4"/>
    <w:rsid w:val="000C35C8"/>
    <w:rsid w:val="000C71AA"/>
    <w:rsid w:val="000E61E3"/>
    <w:rsid w:val="001147A6"/>
    <w:rsid w:val="00115046"/>
    <w:rsid w:val="001349E6"/>
    <w:rsid w:val="0013655C"/>
    <w:rsid w:val="001429E8"/>
    <w:rsid w:val="001475BC"/>
    <w:rsid w:val="001513EE"/>
    <w:rsid w:val="00154F06"/>
    <w:rsid w:val="00156162"/>
    <w:rsid w:val="00164414"/>
    <w:rsid w:val="001670B7"/>
    <w:rsid w:val="001873A2"/>
    <w:rsid w:val="00190F7D"/>
    <w:rsid w:val="001A5FB2"/>
    <w:rsid w:val="001A7865"/>
    <w:rsid w:val="001B4245"/>
    <w:rsid w:val="001C5B47"/>
    <w:rsid w:val="001C6261"/>
    <w:rsid w:val="001D0DD6"/>
    <w:rsid w:val="001D3B53"/>
    <w:rsid w:val="001E0A7B"/>
    <w:rsid w:val="001E5ECC"/>
    <w:rsid w:val="0020348D"/>
    <w:rsid w:val="00207B98"/>
    <w:rsid w:val="002120E8"/>
    <w:rsid w:val="00214CC7"/>
    <w:rsid w:val="00225E34"/>
    <w:rsid w:val="00232093"/>
    <w:rsid w:val="002458A5"/>
    <w:rsid w:val="00256924"/>
    <w:rsid w:val="00262E44"/>
    <w:rsid w:val="002653C6"/>
    <w:rsid w:val="0027586D"/>
    <w:rsid w:val="002813D4"/>
    <w:rsid w:val="00281F0D"/>
    <w:rsid w:val="0029566A"/>
    <w:rsid w:val="00296E23"/>
    <w:rsid w:val="002A61B1"/>
    <w:rsid w:val="002B5C3E"/>
    <w:rsid w:val="002B5CF9"/>
    <w:rsid w:val="002B7D08"/>
    <w:rsid w:val="002D5A2A"/>
    <w:rsid w:val="002D7778"/>
    <w:rsid w:val="002D7D7A"/>
    <w:rsid w:val="002E7756"/>
    <w:rsid w:val="002F0F56"/>
    <w:rsid w:val="0030191B"/>
    <w:rsid w:val="003138F7"/>
    <w:rsid w:val="00320366"/>
    <w:rsid w:val="0033124D"/>
    <w:rsid w:val="00333410"/>
    <w:rsid w:val="00344B64"/>
    <w:rsid w:val="00355AE1"/>
    <w:rsid w:val="00365174"/>
    <w:rsid w:val="0038247F"/>
    <w:rsid w:val="003A0137"/>
    <w:rsid w:val="003A0A86"/>
    <w:rsid w:val="003A1071"/>
    <w:rsid w:val="003A74B3"/>
    <w:rsid w:val="003B0EDB"/>
    <w:rsid w:val="003B2513"/>
    <w:rsid w:val="003C5EFC"/>
    <w:rsid w:val="003C69CF"/>
    <w:rsid w:val="003C7953"/>
    <w:rsid w:val="003E1166"/>
    <w:rsid w:val="003E394F"/>
    <w:rsid w:val="003F6D32"/>
    <w:rsid w:val="004074F4"/>
    <w:rsid w:val="00414C35"/>
    <w:rsid w:val="004334C3"/>
    <w:rsid w:val="00451C5D"/>
    <w:rsid w:val="00457FE9"/>
    <w:rsid w:val="00470CAB"/>
    <w:rsid w:val="00483320"/>
    <w:rsid w:val="004926A3"/>
    <w:rsid w:val="004C55AF"/>
    <w:rsid w:val="004E07F2"/>
    <w:rsid w:val="004E3E94"/>
    <w:rsid w:val="004E74CF"/>
    <w:rsid w:val="004F22B5"/>
    <w:rsid w:val="004F5988"/>
    <w:rsid w:val="004F79C3"/>
    <w:rsid w:val="00502992"/>
    <w:rsid w:val="005333F3"/>
    <w:rsid w:val="005347BF"/>
    <w:rsid w:val="00535612"/>
    <w:rsid w:val="0053578A"/>
    <w:rsid w:val="00543928"/>
    <w:rsid w:val="00566B3C"/>
    <w:rsid w:val="005728A7"/>
    <w:rsid w:val="00576337"/>
    <w:rsid w:val="005764C2"/>
    <w:rsid w:val="0059457C"/>
    <w:rsid w:val="005A25A7"/>
    <w:rsid w:val="005A35E6"/>
    <w:rsid w:val="005A57A1"/>
    <w:rsid w:val="005A6DE0"/>
    <w:rsid w:val="005A7737"/>
    <w:rsid w:val="005B2067"/>
    <w:rsid w:val="005C7FED"/>
    <w:rsid w:val="005E37F6"/>
    <w:rsid w:val="005F18EB"/>
    <w:rsid w:val="005F1E56"/>
    <w:rsid w:val="005F4D2A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D79"/>
    <w:rsid w:val="0067330F"/>
    <w:rsid w:val="00674CC2"/>
    <w:rsid w:val="00675EA8"/>
    <w:rsid w:val="00684A24"/>
    <w:rsid w:val="006931E3"/>
    <w:rsid w:val="006A684A"/>
    <w:rsid w:val="006A6AD5"/>
    <w:rsid w:val="006B0BCF"/>
    <w:rsid w:val="006E4878"/>
    <w:rsid w:val="006E77A4"/>
    <w:rsid w:val="00700F18"/>
    <w:rsid w:val="007151CE"/>
    <w:rsid w:val="0072576E"/>
    <w:rsid w:val="00730691"/>
    <w:rsid w:val="007313DD"/>
    <w:rsid w:val="00735BD8"/>
    <w:rsid w:val="00735F2F"/>
    <w:rsid w:val="00744E56"/>
    <w:rsid w:val="0075539F"/>
    <w:rsid w:val="00760286"/>
    <w:rsid w:val="00762040"/>
    <w:rsid w:val="00783462"/>
    <w:rsid w:val="00792000"/>
    <w:rsid w:val="007B0F7C"/>
    <w:rsid w:val="007B1AC4"/>
    <w:rsid w:val="007B2D93"/>
    <w:rsid w:val="007B4558"/>
    <w:rsid w:val="007B539D"/>
    <w:rsid w:val="007E637E"/>
    <w:rsid w:val="007F4151"/>
    <w:rsid w:val="008037E6"/>
    <w:rsid w:val="00804C07"/>
    <w:rsid w:val="00812AAC"/>
    <w:rsid w:val="00816FDB"/>
    <w:rsid w:val="008344B0"/>
    <w:rsid w:val="00841BE9"/>
    <w:rsid w:val="00860744"/>
    <w:rsid w:val="00865160"/>
    <w:rsid w:val="00874455"/>
    <w:rsid w:val="00883B01"/>
    <w:rsid w:val="008858AF"/>
    <w:rsid w:val="00891FA7"/>
    <w:rsid w:val="008946EC"/>
    <w:rsid w:val="008C5CD8"/>
    <w:rsid w:val="008F3111"/>
    <w:rsid w:val="008F6093"/>
    <w:rsid w:val="00901086"/>
    <w:rsid w:val="00905BF5"/>
    <w:rsid w:val="0091246C"/>
    <w:rsid w:val="009154C3"/>
    <w:rsid w:val="00916F04"/>
    <w:rsid w:val="00942766"/>
    <w:rsid w:val="00943182"/>
    <w:rsid w:val="00943496"/>
    <w:rsid w:val="0094409F"/>
    <w:rsid w:val="00945824"/>
    <w:rsid w:val="009662F3"/>
    <w:rsid w:val="0097225E"/>
    <w:rsid w:val="009803FA"/>
    <w:rsid w:val="00984273"/>
    <w:rsid w:val="00995CAD"/>
    <w:rsid w:val="009A4C5D"/>
    <w:rsid w:val="009B2717"/>
    <w:rsid w:val="009D6F95"/>
    <w:rsid w:val="009E224A"/>
    <w:rsid w:val="009F312D"/>
    <w:rsid w:val="00A06179"/>
    <w:rsid w:val="00A070B4"/>
    <w:rsid w:val="00A1065D"/>
    <w:rsid w:val="00A16E0B"/>
    <w:rsid w:val="00A21A00"/>
    <w:rsid w:val="00A26360"/>
    <w:rsid w:val="00A402A5"/>
    <w:rsid w:val="00A406C0"/>
    <w:rsid w:val="00A52AE1"/>
    <w:rsid w:val="00A53F08"/>
    <w:rsid w:val="00A64CEB"/>
    <w:rsid w:val="00A924F1"/>
    <w:rsid w:val="00A92642"/>
    <w:rsid w:val="00AA3B7A"/>
    <w:rsid w:val="00AB1A94"/>
    <w:rsid w:val="00AB7935"/>
    <w:rsid w:val="00AC1917"/>
    <w:rsid w:val="00AC6DC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444B"/>
    <w:rsid w:val="00B15551"/>
    <w:rsid w:val="00B2043D"/>
    <w:rsid w:val="00B3023A"/>
    <w:rsid w:val="00B64898"/>
    <w:rsid w:val="00B6503D"/>
    <w:rsid w:val="00B65502"/>
    <w:rsid w:val="00B91ACB"/>
    <w:rsid w:val="00B9693B"/>
    <w:rsid w:val="00BA170E"/>
    <w:rsid w:val="00BA5F03"/>
    <w:rsid w:val="00BB300B"/>
    <w:rsid w:val="00BC09B1"/>
    <w:rsid w:val="00BC0D05"/>
    <w:rsid w:val="00BC1B18"/>
    <w:rsid w:val="00BC32DE"/>
    <w:rsid w:val="00BC77E2"/>
    <w:rsid w:val="00BC7A00"/>
    <w:rsid w:val="00BD33B8"/>
    <w:rsid w:val="00BF1319"/>
    <w:rsid w:val="00BF1A1D"/>
    <w:rsid w:val="00BF5574"/>
    <w:rsid w:val="00C106FA"/>
    <w:rsid w:val="00C1150A"/>
    <w:rsid w:val="00C15F38"/>
    <w:rsid w:val="00C16933"/>
    <w:rsid w:val="00C34338"/>
    <w:rsid w:val="00C373AD"/>
    <w:rsid w:val="00C51536"/>
    <w:rsid w:val="00C52923"/>
    <w:rsid w:val="00C653D7"/>
    <w:rsid w:val="00C77846"/>
    <w:rsid w:val="00CB0590"/>
    <w:rsid w:val="00CC01A4"/>
    <w:rsid w:val="00CC47CE"/>
    <w:rsid w:val="00CD37B8"/>
    <w:rsid w:val="00CE25CB"/>
    <w:rsid w:val="00CE4882"/>
    <w:rsid w:val="00CE7E52"/>
    <w:rsid w:val="00CF7809"/>
    <w:rsid w:val="00D03361"/>
    <w:rsid w:val="00D301AD"/>
    <w:rsid w:val="00D327CE"/>
    <w:rsid w:val="00D33120"/>
    <w:rsid w:val="00D36267"/>
    <w:rsid w:val="00D42E57"/>
    <w:rsid w:val="00D45410"/>
    <w:rsid w:val="00D544AE"/>
    <w:rsid w:val="00D65260"/>
    <w:rsid w:val="00D705F6"/>
    <w:rsid w:val="00D77549"/>
    <w:rsid w:val="00D82B54"/>
    <w:rsid w:val="00DA54D7"/>
    <w:rsid w:val="00DB5884"/>
    <w:rsid w:val="00DB5905"/>
    <w:rsid w:val="00DB7CA2"/>
    <w:rsid w:val="00DD468D"/>
    <w:rsid w:val="00DD5FAD"/>
    <w:rsid w:val="00DE0565"/>
    <w:rsid w:val="00DE0CFB"/>
    <w:rsid w:val="00DE0FC1"/>
    <w:rsid w:val="00DE63EE"/>
    <w:rsid w:val="00E02625"/>
    <w:rsid w:val="00E21731"/>
    <w:rsid w:val="00E344E3"/>
    <w:rsid w:val="00E466BD"/>
    <w:rsid w:val="00E51E68"/>
    <w:rsid w:val="00E5292D"/>
    <w:rsid w:val="00E60F9F"/>
    <w:rsid w:val="00E72CEA"/>
    <w:rsid w:val="00E73974"/>
    <w:rsid w:val="00E83CD2"/>
    <w:rsid w:val="00E95ACA"/>
    <w:rsid w:val="00E96FF9"/>
    <w:rsid w:val="00EA3B58"/>
    <w:rsid w:val="00EA3C04"/>
    <w:rsid w:val="00EB3F9C"/>
    <w:rsid w:val="00EB6533"/>
    <w:rsid w:val="00EB6E84"/>
    <w:rsid w:val="00EC10FD"/>
    <w:rsid w:val="00EC7783"/>
    <w:rsid w:val="00EC7DC9"/>
    <w:rsid w:val="00F0117A"/>
    <w:rsid w:val="00F05BBF"/>
    <w:rsid w:val="00F066D0"/>
    <w:rsid w:val="00F23323"/>
    <w:rsid w:val="00F30AF4"/>
    <w:rsid w:val="00F33539"/>
    <w:rsid w:val="00F415FE"/>
    <w:rsid w:val="00F43487"/>
    <w:rsid w:val="00F50166"/>
    <w:rsid w:val="00F57622"/>
    <w:rsid w:val="00F61507"/>
    <w:rsid w:val="00F72BC3"/>
    <w:rsid w:val="00F74D2F"/>
    <w:rsid w:val="00F75971"/>
    <w:rsid w:val="00F76823"/>
    <w:rsid w:val="00F7776D"/>
    <w:rsid w:val="00F80949"/>
    <w:rsid w:val="00F828D0"/>
    <w:rsid w:val="00F84D00"/>
    <w:rsid w:val="00FA0016"/>
    <w:rsid w:val="00FA2CA9"/>
    <w:rsid w:val="00FA5200"/>
    <w:rsid w:val="00FA66B8"/>
    <w:rsid w:val="00FB735B"/>
    <w:rsid w:val="00FE40A3"/>
    <w:rsid w:val="00FE4999"/>
    <w:rsid w:val="00FF0396"/>
    <w:rsid w:val="00FF1D86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B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A21A00"/>
    <w:rPr>
      <w:rFonts w:ascii="CG Times" w:hAnsi="CG Times"/>
      <w:sz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B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A21A00"/>
    <w:rPr>
      <w:rFonts w:ascii="CG Times" w:hAnsi="CG Times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3726F-9926-4B0A-AD6F-34A744FE8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2303</CharactersWithSpaces>
  <SharedDoc>false</SharedDoc>
  <HLinks>
    <vt:vector size="6" baseType="variant"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mailto:creg@creg.gov.co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2015-05-13T20:13:00Z</cp:lastPrinted>
  <dcterms:created xsi:type="dcterms:W3CDTF">2015-05-13T20:34:00Z</dcterms:created>
  <dcterms:modified xsi:type="dcterms:W3CDTF">2015-05-13T20:34:00Z</dcterms:modified>
</cp:coreProperties>
</file>