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853" w:rsidRDefault="009C3853" w:rsidP="00D42E1A">
      <w:pPr>
        <w:rPr>
          <w:rFonts w:ascii="Arial" w:hAnsi="Arial" w:cs="Arial"/>
          <w:sz w:val="22"/>
          <w:szCs w:val="22"/>
          <w:lang w:val="es-MX"/>
        </w:rPr>
      </w:pPr>
    </w:p>
    <w:p w:rsidR="00D42E1A" w:rsidRPr="007B1550" w:rsidRDefault="00D42E1A" w:rsidP="00D42E1A">
      <w:pPr>
        <w:rPr>
          <w:rFonts w:ascii="Arial" w:hAnsi="Arial" w:cs="Arial"/>
          <w:sz w:val="22"/>
          <w:szCs w:val="22"/>
          <w:lang w:val="es-MX"/>
        </w:rPr>
      </w:pPr>
      <w:r w:rsidRPr="007B1550">
        <w:rPr>
          <w:rFonts w:ascii="Arial" w:hAnsi="Arial" w:cs="Arial"/>
          <w:sz w:val="22"/>
          <w:szCs w:val="22"/>
          <w:lang w:val="es-MX"/>
        </w:rPr>
        <w:t xml:space="preserve">Bogotá, D. C., </w:t>
      </w:r>
      <w:r w:rsidR="009F58B4">
        <w:rPr>
          <w:rFonts w:ascii="Arial" w:hAnsi="Arial" w:cs="Arial"/>
          <w:sz w:val="22"/>
          <w:szCs w:val="22"/>
          <w:lang w:val="es-MX"/>
        </w:rPr>
        <w:t xml:space="preserve">noviembre </w:t>
      </w:r>
      <w:r>
        <w:rPr>
          <w:rFonts w:ascii="Arial" w:hAnsi="Arial" w:cs="Arial"/>
          <w:sz w:val="22"/>
          <w:szCs w:val="22"/>
          <w:lang w:val="es-MX"/>
        </w:rPr>
        <w:t>5 de 2019</w:t>
      </w:r>
    </w:p>
    <w:p w:rsidR="00D42E1A" w:rsidRDefault="00D42E1A" w:rsidP="00D42E1A">
      <w:pPr>
        <w:rPr>
          <w:rFonts w:ascii="Arial" w:hAnsi="Arial" w:cs="Arial"/>
          <w:sz w:val="22"/>
          <w:szCs w:val="22"/>
          <w:lang w:val="es-MX"/>
        </w:rPr>
      </w:pPr>
    </w:p>
    <w:p w:rsidR="009F58B4" w:rsidRPr="007B1550" w:rsidRDefault="009F58B4" w:rsidP="00D42E1A">
      <w:pPr>
        <w:rPr>
          <w:rFonts w:ascii="Arial" w:hAnsi="Arial" w:cs="Arial"/>
          <w:sz w:val="22"/>
          <w:szCs w:val="22"/>
          <w:lang w:val="es-MX"/>
        </w:rPr>
      </w:pPr>
    </w:p>
    <w:p w:rsidR="00D42E1A" w:rsidRDefault="00D42E1A" w:rsidP="00D42E1A">
      <w:pPr>
        <w:pStyle w:val="Ttulo5"/>
        <w:jc w:val="center"/>
        <w:rPr>
          <w:rFonts w:ascii="Arial" w:hAnsi="Arial" w:cs="Arial"/>
          <w:b/>
          <w:bCs/>
          <w:i/>
          <w:iCs/>
          <w:kern w:val="60"/>
          <w:sz w:val="40"/>
          <w:szCs w:val="40"/>
        </w:rPr>
      </w:pPr>
      <w:r w:rsidRPr="00F9402A">
        <w:rPr>
          <w:rFonts w:ascii="Arial" w:hAnsi="Arial" w:cs="Arial"/>
          <w:b/>
          <w:bCs/>
          <w:i/>
          <w:iCs/>
          <w:kern w:val="60"/>
          <w:sz w:val="40"/>
          <w:szCs w:val="40"/>
        </w:rPr>
        <w:t>CIRCULAR No.</w:t>
      </w:r>
      <w:r w:rsidR="009F58B4">
        <w:rPr>
          <w:rFonts w:ascii="Arial" w:hAnsi="Arial" w:cs="Arial"/>
          <w:b/>
          <w:bCs/>
          <w:i/>
          <w:iCs/>
          <w:kern w:val="60"/>
          <w:sz w:val="40"/>
          <w:szCs w:val="40"/>
        </w:rPr>
        <w:t>097</w:t>
      </w:r>
    </w:p>
    <w:p w:rsidR="009F58B4" w:rsidRPr="009F58B4" w:rsidRDefault="009F58B4" w:rsidP="009F58B4">
      <w:pPr>
        <w:pStyle w:val="Textoindependiente"/>
      </w:pPr>
    </w:p>
    <w:p w:rsidR="00D42E1A" w:rsidRPr="007B1550" w:rsidRDefault="00D42E1A" w:rsidP="00D42E1A">
      <w:pPr>
        <w:rPr>
          <w:rFonts w:ascii="Arial" w:hAnsi="Arial" w:cs="Arial"/>
          <w:sz w:val="22"/>
          <w:szCs w:val="22"/>
          <w:lang w:val="es-MX"/>
        </w:rPr>
      </w:pPr>
    </w:p>
    <w:p w:rsidR="00D42E1A" w:rsidRPr="009F58B4" w:rsidRDefault="00D42E1A" w:rsidP="00D42E1A">
      <w:pPr>
        <w:pStyle w:val="Sangradetextonormal"/>
        <w:ind w:left="1410" w:hanging="1410"/>
        <w:rPr>
          <w:rFonts w:ascii="Arial" w:hAnsi="Arial" w:cs="Arial"/>
          <w:b/>
        </w:rPr>
      </w:pPr>
      <w:r w:rsidRPr="009F58B4">
        <w:rPr>
          <w:rFonts w:ascii="Arial" w:hAnsi="Arial" w:cs="Arial"/>
          <w:b/>
        </w:rPr>
        <w:t>PARA:</w:t>
      </w:r>
      <w:r w:rsidRPr="009F58B4">
        <w:rPr>
          <w:rFonts w:ascii="Arial" w:hAnsi="Arial" w:cs="Arial"/>
          <w:b/>
        </w:rPr>
        <w:tab/>
        <w:t>COMERCIALIZADORES MAYORISTAS DE GLP, DISTRIBUIDORES, SUPERINTENDENCIA DE SERVICIOS PÚBLICOS DOMICILIARIOS Y TERCEROS INTERESADOS</w:t>
      </w:r>
    </w:p>
    <w:p w:rsidR="00D42E1A" w:rsidRPr="009F58B4" w:rsidRDefault="00D42E1A" w:rsidP="00D42E1A">
      <w:pPr>
        <w:spacing w:line="216" w:lineRule="auto"/>
        <w:ind w:left="1410" w:hanging="1410"/>
        <w:rPr>
          <w:rFonts w:ascii="Arial" w:hAnsi="Arial" w:cs="Arial"/>
          <w:b/>
        </w:rPr>
      </w:pPr>
    </w:p>
    <w:p w:rsidR="00D42E1A" w:rsidRPr="009F58B4" w:rsidRDefault="00D42E1A" w:rsidP="00D42E1A">
      <w:pPr>
        <w:pStyle w:val="Sangradetextonormal"/>
        <w:ind w:left="1410" w:hanging="1410"/>
        <w:rPr>
          <w:rFonts w:ascii="Arial" w:hAnsi="Arial" w:cs="Arial"/>
          <w:b/>
        </w:rPr>
      </w:pPr>
      <w:r w:rsidRPr="009F58B4">
        <w:rPr>
          <w:rFonts w:ascii="Arial" w:hAnsi="Arial" w:cs="Arial"/>
          <w:b/>
        </w:rPr>
        <w:t>DE:</w:t>
      </w:r>
      <w:r w:rsidRPr="009F58B4">
        <w:rPr>
          <w:rFonts w:ascii="Arial" w:hAnsi="Arial" w:cs="Arial"/>
          <w:b/>
        </w:rPr>
        <w:tab/>
        <w:t>DIRECCIÓN EJECUTIVA</w:t>
      </w:r>
    </w:p>
    <w:p w:rsidR="00D42E1A" w:rsidRPr="009F58B4" w:rsidRDefault="00D42E1A" w:rsidP="00D42E1A">
      <w:pPr>
        <w:spacing w:line="216" w:lineRule="auto"/>
        <w:rPr>
          <w:rFonts w:ascii="Arial" w:hAnsi="Arial" w:cs="Arial"/>
        </w:rPr>
      </w:pPr>
    </w:p>
    <w:p w:rsidR="00D42E1A" w:rsidRPr="009F58B4" w:rsidRDefault="00D42E1A" w:rsidP="00D42E1A">
      <w:pPr>
        <w:pStyle w:val="Sangradetextonormal"/>
        <w:ind w:left="1410" w:hanging="1410"/>
        <w:rPr>
          <w:rFonts w:ascii="Arial" w:hAnsi="Arial" w:cs="Arial"/>
          <w:b/>
        </w:rPr>
      </w:pPr>
      <w:r w:rsidRPr="009F58B4">
        <w:rPr>
          <w:rFonts w:ascii="Arial" w:hAnsi="Arial" w:cs="Arial"/>
          <w:b/>
        </w:rPr>
        <w:t>ASUNTO:</w:t>
      </w:r>
      <w:r w:rsidRPr="009F58B4">
        <w:rPr>
          <w:rFonts w:ascii="Arial" w:hAnsi="Arial" w:cs="Arial"/>
          <w:b/>
        </w:rPr>
        <w:tab/>
        <w:t>CIRCULAR CREG 048 DE 2019. PUBLICACIÓN CAPACIDADES DE COMPRA ARTÍCULO 9 DE LA RESOLUCIÓN CREG 063 DE 2016. SEXTO PERÍODO DE COMPRA</w:t>
      </w:r>
    </w:p>
    <w:p w:rsidR="00D42E1A" w:rsidRDefault="00D42E1A" w:rsidP="00D42E1A">
      <w:pPr>
        <w:pStyle w:val="Textoindependiente"/>
        <w:spacing w:after="0" w:line="240" w:lineRule="auto"/>
        <w:ind w:left="1410" w:hanging="1410"/>
        <w:rPr>
          <w:rFonts w:cs="Arial"/>
          <w:sz w:val="22"/>
          <w:szCs w:val="22"/>
        </w:rPr>
      </w:pPr>
    </w:p>
    <w:p w:rsidR="009C3853" w:rsidRPr="007B1550" w:rsidRDefault="009C3853" w:rsidP="00D42E1A">
      <w:pPr>
        <w:pStyle w:val="Textoindependiente"/>
        <w:spacing w:after="0" w:line="240" w:lineRule="auto"/>
        <w:ind w:left="1410" w:hanging="1410"/>
        <w:rPr>
          <w:rFonts w:cs="Arial"/>
          <w:sz w:val="22"/>
          <w:szCs w:val="22"/>
        </w:rPr>
      </w:pPr>
    </w:p>
    <w:p w:rsidR="00D42E1A" w:rsidRPr="007B1550" w:rsidRDefault="00D42E1A" w:rsidP="00D42E1A">
      <w:pPr>
        <w:jc w:val="both"/>
        <w:rPr>
          <w:rFonts w:ascii="Arial" w:eastAsia="Times New Roman" w:hAnsi="Arial" w:cs="Arial"/>
          <w:spacing w:val="-5"/>
          <w:sz w:val="22"/>
          <w:szCs w:val="22"/>
        </w:rPr>
      </w:pPr>
      <w:r w:rsidRPr="007B1550">
        <w:rPr>
          <w:rFonts w:ascii="Arial" w:eastAsia="Times New Roman" w:hAnsi="Arial" w:cs="Arial"/>
          <w:spacing w:val="-5"/>
          <w:sz w:val="22"/>
          <w:szCs w:val="22"/>
        </w:rPr>
        <w:t>En ejercicio de sus facultades regulatorias previstas entre otras en la Ley 142 de 1994 y en el artículo 62 de la Ley 1151 de 2007</w:t>
      </w:r>
      <w:r w:rsidRPr="007B1550">
        <w:rPr>
          <w:rFonts w:ascii="Arial" w:eastAsia="Times New Roman" w:hAnsi="Arial" w:cs="Arial"/>
          <w:spacing w:val="-5"/>
          <w:sz w:val="22"/>
          <w:szCs w:val="22"/>
          <w:vertAlign w:val="superscript"/>
        </w:rPr>
        <w:footnoteReference w:id="1"/>
      </w:r>
      <w:r w:rsidRPr="007B1550">
        <w:rPr>
          <w:rFonts w:ascii="Arial" w:eastAsia="Times New Roman" w:hAnsi="Arial" w:cs="Arial"/>
          <w:spacing w:val="-5"/>
          <w:sz w:val="22"/>
          <w:szCs w:val="22"/>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D42E1A" w:rsidRPr="007B1550" w:rsidRDefault="00D42E1A" w:rsidP="00D42E1A">
      <w:pPr>
        <w:jc w:val="both"/>
        <w:rPr>
          <w:rFonts w:ascii="Arial" w:eastAsia="Times New Roman" w:hAnsi="Arial" w:cs="Arial"/>
          <w:spacing w:val="-5"/>
          <w:sz w:val="22"/>
          <w:szCs w:val="22"/>
        </w:rPr>
      </w:pPr>
    </w:p>
    <w:p w:rsidR="00D42E1A" w:rsidRPr="007B1550" w:rsidRDefault="00D42E1A" w:rsidP="00D42E1A">
      <w:pPr>
        <w:jc w:val="both"/>
        <w:rPr>
          <w:rFonts w:ascii="Arial" w:eastAsia="Times New Roman" w:hAnsi="Arial" w:cs="Arial"/>
          <w:spacing w:val="-5"/>
          <w:sz w:val="22"/>
          <w:szCs w:val="22"/>
        </w:rPr>
      </w:pPr>
      <w:r w:rsidRPr="007B1550">
        <w:rPr>
          <w:rFonts w:ascii="Arial" w:eastAsia="Times New Roman" w:hAnsi="Arial" w:cs="Arial"/>
          <w:spacing w:val="-5"/>
          <w:sz w:val="22"/>
          <w:szCs w:val="22"/>
        </w:rPr>
        <w:t xml:space="preserve">Dentro de este acto administrativo se dispuso la existencia de una “capacidad de compra” determinada por esta Comisión de acuerdo con lo previsto en el artículo 8 de la Resolución CREG 063 de 2016, modificado por el artículo 1 de la Resolución CREG 180 de 2017, atendiendo la capacidad de envase en kilogramos registrado de acuerdo con la información reportada en el Sistema Único de Información – SUI. </w:t>
      </w:r>
    </w:p>
    <w:p w:rsidR="00D42E1A" w:rsidRPr="007B1550" w:rsidRDefault="00D42E1A" w:rsidP="00D42E1A">
      <w:pPr>
        <w:jc w:val="both"/>
        <w:rPr>
          <w:rFonts w:ascii="Arial" w:eastAsia="Times New Roman" w:hAnsi="Arial" w:cs="Arial"/>
          <w:spacing w:val="-5"/>
          <w:sz w:val="22"/>
          <w:szCs w:val="22"/>
        </w:rPr>
      </w:pPr>
    </w:p>
    <w:p w:rsidR="00D42E1A" w:rsidRPr="007B1550" w:rsidRDefault="00D42E1A" w:rsidP="00D42E1A">
      <w:pPr>
        <w:jc w:val="both"/>
        <w:rPr>
          <w:rFonts w:ascii="Arial" w:eastAsia="Times New Roman" w:hAnsi="Arial" w:cs="Arial"/>
          <w:sz w:val="22"/>
          <w:szCs w:val="22"/>
          <w:lang w:val="es-ES" w:eastAsia="es-ES"/>
        </w:rPr>
      </w:pPr>
      <w:r w:rsidRPr="007B1550">
        <w:rPr>
          <w:rFonts w:ascii="Arial" w:eastAsia="Times New Roman" w:hAnsi="Arial" w:cs="Arial"/>
          <w:spacing w:val="-5"/>
          <w:sz w:val="22"/>
          <w:szCs w:val="22"/>
        </w:rPr>
        <w:t xml:space="preserve">Mediante la Resolución CREG 048 de 2018 la CREG definió la capacidad de compra para </w:t>
      </w:r>
      <w:r w:rsidRPr="007B1550">
        <w:rPr>
          <w:rFonts w:ascii="Arial" w:hAnsi="Arial" w:cs="Arial"/>
          <w:sz w:val="22"/>
          <w:szCs w:val="22"/>
        </w:rPr>
        <w:t xml:space="preserve">68 distribuidores que de acuerdo con la información del Sistema Único de Información – SUI y del Registro Único de Prestadores - RUPS realizan la prestación </w:t>
      </w:r>
      <w:r w:rsidRPr="007B1550">
        <w:rPr>
          <w:rFonts w:ascii="Arial" w:eastAsia="MS Mincho" w:hAnsi="Arial" w:cs="Arial"/>
          <w:sz w:val="22"/>
          <w:szCs w:val="22"/>
        </w:rPr>
        <w:t>del</w:t>
      </w:r>
      <w:r w:rsidRPr="007B1550">
        <w:rPr>
          <w:rFonts w:ascii="Arial" w:hAnsi="Arial" w:cs="Arial"/>
          <w:sz w:val="22"/>
          <w:szCs w:val="22"/>
        </w:rPr>
        <w:t xml:space="preserve"> servicio de GLP en cilindros y/o a granel, aplicable para </w:t>
      </w:r>
      <w:r w:rsidRPr="007B1550">
        <w:rPr>
          <w:rFonts w:ascii="Arial" w:eastAsia="Times New Roman" w:hAnsi="Arial" w:cs="Arial"/>
          <w:sz w:val="22"/>
          <w:szCs w:val="22"/>
          <w:lang w:val="es-ES" w:eastAsia="es-ES"/>
        </w:rPr>
        <w:t>e</w:t>
      </w:r>
      <w:r w:rsidRPr="007B1550">
        <w:rPr>
          <w:rFonts w:ascii="Arial" w:eastAsia="Times New Roman" w:hAnsi="Arial" w:cs="Arial"/>
          <w:sz w:val="22"/>
          <w:szCs w:val="22"/>
          <w:lang w:eastAsia="es-ES"/>
        </w:rPr>
        <w:t xml:space="preserve">l </w:t>
      </w:r>
      <w:r w:rsidR="00B07F2D">
        <w:rPr>
          <w:rFonts w:ascii="Arial" w:eastAsia="Times New Roman" w:hAnsi="Arial" w:cs="Arial"/>
          <w:sz w:val="22"/>
          <w:szCs w:val="22"/>
          <w:lang w:eastAsia="es-ES"/>
        </w:rPr>
        <w:t>sexto</w:t>
      </w:r>
      <w:r w:rsidRPr="007B1550">
        <w:rPr>
          <w:rFonts w:ascii="Arial" w:eastAsia="Times New Roman" w:hAnsi="Arial" w:cs="Arial"/>
          <w:sz w:val="22"/>
          <w:szCs w:val="22"/>
          <w:lang w:eastAsia="es-ES"/>
        </w:rPr>
        <w:t xml:space="preserve"> período de compra el cual corresponde, atendiendo lo previsto en el artículo 2 de la Resolución CREG 063 de 2016, al periodo de 6 meses que inicia el primero (1) de julio de 2018 y termina el treinta y uno (31) de diciembre del mismo año. En atención a lo anterior, dichas capacidades serán aplicables para las cantidades que sean comercializadas o que se estén comercializando a partir de la expedición de la presente circular y hasta la finalización del </w:t>
      </w:r>
      <w:r w:rsidR="00B07F2D">
        <w:rPr>
          <w:rFonts w:ascii="Arial" w:eastAsia="Times New Roman" w:hAnsi="Arial" w:cs="Arial"/>
          <w:sz w:val="22"/>
          <w:szCs w:val="22"/>
          <w:lang w:eastAsia="es-ES"/>
        </w:rPr>
        <w:t>sext</w:t>
      </w:r>
      <w:r w:rsidRPr="007B1550">
        <w:rPr>
          <w:rFonts w:ascii="Arial" w:eastAsia="Times New Roman" w:hAnsi="Arial" w:cs="Arial"/>
          <w:sz w:val="22"/>
          <w:szCs w:val="22"/>
          <w:lang w:eastAsia="es-ES"/>
        </w:rPr>
        <w:t>o período de compra.</w:t>
      </w:r>
    </w:p>
    <w:p w:rsidR="00D42E1A" w:rsidRPr="007B1550" w:rsidRDefault="00D42E1A" w:rsidP="00D42E1A">
      <w:pPr>
        <w:jc w:val="both"/>
        <w:rPr>
          <w:rFonts w:ascii="Arial" w:eastAsia="MS Mincho" w:hAnsi="Arial" w:cs="Arial"/>
          <w:sz w:val="22"/>
          <w:szCs w:val="22"/>
        </w:rPr>
      </w:pPr>
    </w:p>
    <w:p w:rsidR="00D42E1A" w:rsidRPr="007B1550" w:rsidRDefault="00D42E1A" w:rsidP="00D42E1A">
      <w:pPr>
        <w:jc w:val="both"/>
        <w:rPr>
          <w:rFonts w:ascii="Arial" w:eastAsia="MS Mincho" w:hAnsi="Arial" w:cs="Arial"/>
          <w:sz w:val="22"/>
          <w:szCs w:val="22"/>
        </w:rPr>
      </w:pPr>
      <w:r w:rsidRPr="007B1550">
        <w:rPr>
          <w:rFonts w:ascii="Arial" w:eastAsia="MS Mincho" w:hAnsi="Arial" w:cs="Arial"/>
          <w:sz w:val="22"/>
          <w:szCs w:val="22"/>
        </w:rPr>
        <w:t xml:space="preserve">De acuerdo con lo previsto en la regulación, se establece </w:t>
      </w:r>
      <w:proofErr w:type="gramStart"/>
      <w:r w:rsidRPr="007B1550">
        <w:rPr>
          <w:rFonts w:ascii="Arial" w:eastAsia="MS Mincho" w:hAnsi="Arial" w:cs="Arial"/>
          <w:sz w:val="22"/>
          <w:szCs w:val="22"/>
        </w:rPr>
        <w:t>que</w:t>
      </w:r>
      <w:proofErr w:type="gramEnd"/>
      <w:r w:rsidRPr="007B1550">
        <w:rPr>
          <w:rFonts w:ascii="Arial" w:eastAsia="MS Mincho" w:hAnsi="Arial" w:cs="Arial"/>
          <w:sz w:val="22"/>
          <w:szCs w:val="22"/>
        </w:rPr>
        <w:t xml:space="preserve"> para la aplicación de la capacidad de compra, así como para el cumplimiento de las obligaciones consagradas en la Resolución CREG 063 de 2016 para el caso de los comercializadores mayoristas y los distribuidores, dicha </w:t>
      </w:r>
      <w:r w:rsidRPr="007B1550">
        <w:rPr>
          <w:rFonts w:ascii="Arial" w:eastAsia="MS Mincho" w:hAnsi="Arial" w:cs="Arial"/>
          <w:sz w:val="22"/>
          <w:szCs w:val="22"/>
        </w:rPr>
        <w:lastRenderedPageBreak/>
        <w:t>capacidad debe estar definida y publicada por la CREG con anterioridad al inicio de un período de compra. Desde el lado del comercializador mayorista, dichas obligaciones hacen referencia a abstenerse de ofrecer y vender GLP a un distribuidor cuando, de manera directa o a través de la representación de otro comercializador mayorista, dicha oferta o venta lleve al distribuidor a exceder su capacidad de compra, de acuerdo con lo previsto en la regulación.</w:t>
      </w:r>
    </w:p>
    <w:p w:rsidR="00D42E1A" w:rsidRDefault="00D42E1A" w:rsidP="00D42E1A">
      <w:pPr>
        <w:jc w:val="both"/>
        <w:rPr>
          <w:rFonts w:ascii="Arial" w:eastAsia="Times New Roman" w:hAnsi="Arial" w:cs="Arial"/>
          <w:spacing w:val="-5"/>
          <w:sz w:val="22"/>
          <w:szCs w:val="22"/>
        </w:rPr>
      </w:pPr>
    </w:p>
    <w:p w:rsidR="00C92DB1" w:rsidRPr="007B1550" w:rsidRDefault="00C92DB1" w:rsidP="00C92DB1">
      <w:pPr>
        <w:jc w:val="both"/>
        <w:rPr>
          <w:rFonts w:ascii="Arial" w:eastAsia="Times New Roman" w:hAnsi="Arial" w:cs="Arial"/>
          <w:spacing w:val="-5"/>
          <w:sz w:val="22"/>
          <w:szCs w:val="22"/>
        </w:rPr>
      </w:pPr>
      <w:r w:rsidRPr="007B1550">
        <w:rPr>
          <w:rFonts w:ascii="Arial" w:eastAsia="Times New Roman" w:hAnsi="Arial" w:cs="Arial"/>
          <w:spacing w:val="-5"/>
          <w:sz w:val="22"/>
          <w:szCs w:val="22"/>
        </w:rPr>
        <w:t xml:space="preserve">Como resultado de las actuaciones administrativas desarrolladas en virtud de lo dispuesto en el artículo 8 de la Resolución CREG 063 de 2016, así como resueltos los recursos de reposición en contra de la Resolución CREG 048 de 2018, las siguientes correspondieron a las capacidades definidas y en firme para las empresas </w:t>
      </w:r>
      <w:proofErr w:type="spellStart"/>
      <w:r w:rsidR="009F58B4" w:rsidRPr="007B1550">
        <w:rPr>
          <w:rFonts w:ascii="Arial" w:eastAsia="Times New Roman" w:hAnsi="Arial" w:cs="Arial"/>
          <w:spacing w:val="-5"/>
          <w:sz w:val="22"/>
          <w:szCs w:val="22"/>
        </w:rPr>
        <w:t>Nortesantandereana</w:t>
      </w:r>
      <w:proofErr w:type="spellEnd"/>
      <w:r w:rsidR="009F58B4" w:rsidRPr="007B1550">
        <w:rPr>
          <w:rFonts w:ascii="Arial" w:eastAsia="Times New Roman" w:hAnsi="Arial" w:cs="Arial"/>
          <w:spacing w:val="-5"/>
          <w:sz w:val="22"/>
          <w:szCs w:val="22"/>
        </w:rPr>
        <w:t xml:space="preserve"> de Gas S.A. E.S.P</w:t>
      </w:r>
      <w:r w:rsidR="009F58B4">
        <w:rPr>
          <w:rFonts w:ascii="Arial" w:eastAsia="Times New Roman" w:hAnsi="Arial" w:cs="Arial"/>
          <w:spacing w:val="-5"/>
          <w:sz w:val="22"/>
          <w:szCs w:val="22"/>
        </w:rPr>
        <w:t xml:space="preserve">., </w:t>
      </w:r>
      <w:proofErr w:type="spellStart"/>
      <w:r w:rsidR="009F58B4">
        <w:rPr>
          <w:rFonts w:ascii="Arial" w:eastAsia="Times New Roman" w:hAnsi="Arial" w:cs="Arial"/>
          <w:spacing w:val="-5"/>
          <w:sz w:val="22"/>
          <w:szCs w:val="22"/>
        </w:rPr>
        <w:t>Colgas</w:t>
      </w:r>
      <w:proofErr w:type="spellEnd"/>
      <w:r w:rsidR="009F58B4">
        <w:rPr>
          <w:rFonts w:ascii="Arial" w:eastAsia="Times New Roman" w:hAnsi="Arial" w:cs="Arial"/>
          <w:spacing w:val="-5"/>
          <w:sz w:val="22"/>
          <w:szCs w:val="22"/>
        </w:rPr>
        <w:t xml:space="preserve"> de Occidente S.A E.S.P. </w:t>
      </w:r>
      <w:r w:rsidRPr="007B1550">
        <w:rPr>
          <w:rFonts w:ascii="Arial" w:eastAsia="Times New Roman" w:hAnsi="Arial" w:cs="Arial"/>
          <w:spacing w:val="-5"/>
          <w:sz w:val="22"/>
          <w:szCs w:val="22"/>
        </w:rPr>
        <w:t>Gases de Antioquia S.A. E.S.P.</w:t>
      </w:r>
      <w:r>
        <w:rPr>
          <w:rFonts w:ascii="Arial" w:eastAsia="Times New Roman" w:hAnsi="Arial" w:cs="Arial"/>
          <w:spacing w:val="-5"/>
          <w:sz w:val="22"/>
          <w:szCs w:val="22"/>
        </w:rPr>
        <w:t xml:space="preserve">, </w:t>
      </w:r>
      <w:proofErr w:type="spellStart"/>
      <w:r>
        <w:rPr>
          <w:rFonts w:ascii="Arial" w:eastAsia="Times New Roman" w:hAnsi="Arial" w:cs="Arial"/>
          <w:spacing w:val="-5"/>
          <w:sz w:val="22"/>
          <w:szCs w:val="22"/>
        </w:rPr>
        <w:t>Compañias</w:t>
      </w:r>
      <w:proofErr w:type="spellEnd"/>
      <w:r>
        <w:rPr>
          <w:rFonts w:ascii="Arial" w:eastAsia="Times New Roman" w:hAnsi="Arial" w:cs="Arial"/>
          <w:spacing w:val="-5"/>
          <w:sz w:val="22"/>
          <w:szCs w:val="22"/>
        </w:rPr>
        <w:t xml:space="preserve"> Asociadas de Gas S.A., </w:t>
      </w:r>
      <w:r w:rsidR="009F58B4">
        <w:rPr>
          <w:rFonts w:ascii="Arial" w:eastAsia="Times New Roman" w:hAnsi="Arial" w:cs="Arial"/>
          <w:color w:val="000000"/>
          <w:sz w:val="20"/>
          <w:szCs w:val="20"/>
          <w:lang w:val="es-CO" w:eastAsia="es-CO"/>
        </w:rPr>
        <w:t>Inversiones GLP</w:t>
      </w:r>
      <w:r w:rsidR="009F58B4" w:rsidRPr="00015126">
        <w:rPr>
          <w:rFonts w:ascii="Arial" w:eastAsia="Times New Roman" w:hAnsi="Arial" w:cs="Arial"/>
          <w:color w:val="000000"/>
          <w:sz w:val="20"/>
          <w:szCs w:val="20"/>
          <w:lang w:val="es-CO" w:eastAsia="es-CO"/>
        </w:rPr>
        <w:t xml:space="preserve"> S.A</w:t>
      </w:r>
      <w:r w:rsidR="009F58B4">
        <w:rPr>
          <w:rFonts w:ascii="Arial" w:eastAsia="Times New Roman" w:hAnsi="Arial" w:cs="Arial"/>
          <w:color w:val="000000"/>
          <w:sz w:val="20"/>
          <w:szCs w:val="20"/>
          <w:lang w:val="es-CO" w:eastAsia="es-CO"/>
        </w:rPr>
        <w:t>.S.</w:t>
      </w:r>
      <w:r w:rsidR="009F58B4" w:rsidRPr="00015126">
        <w:rPr>
          <w:rFonts w:ascii="Arial" w:eastAsia="Times New Roman" w:hAnsi="Arial" w:cs="Arial"/>
          <w:color w:val="000000"/>
          <w:sz w:val="20"/>
          <w:szCs w:val="20"/>
          <w:lang w:val="es-CO" w:eastAsia="es-CO"/>
        </w:rPr>
        <w:t xml:space="preserve"> E.S.P.</w:t>
      </w:r>
      <w:r w:rsidR="009F58B4">
        <w:rPr>
          <w:rFonts w:ascii="Arial" w:eastAsia="Times New Roman" w:hAnsi="Arial" w:cs="Arial"/>
          <w:color w:val="000000"/>
          <w:sz w:val="20"/>
          <w:szCs w:val="20"/>
          <w:lang w:val="es-CO" w:eastAsia="es-CO"/>
        </w:rPr>
        <w:t xml:space="preserve"> </w:t>
      </w:r>
      <w:r w:rsidRPr="007B1550">
        <w:rPr>
          <w:rFonts w:ascii="Arial" w:eastAsia="Times New Roman" w:hAnsi="Arial" w:cs="Arial"/>
          <w:spacing w:val="-5"/>
          <w:sz w:val="22"/>
          <w:szCs w:val="22"/>
        </w:rPr>
        <w:t>y.,</w:t>
      </w:r>
      <w:r w:rsidR="009F58B4">
        <w:rPr>
          <w:rFonts w:ascii="Arial" w:eastAsia="Times New Roman" w:hAnsi="Arial" w:cs="Arial"/>
          <w:spacing w:val="-5"/>
          <w:sz w:val="22"/>
          <w:szCs w:val="22"/>
        </w:rPr>
        <w:t xml:space="preserve"> </w:t>
      </w:r>
      <w:proofErr w:type="spellStart"/>
      <w:r w:rsidR="009F58B4">
        <w:rPr>
          <w:rFonts w:ascii="Arial" w:eastAsia="Times New Roman" w:hAnsi="Arial" w:cs="Arial"/>
          <w:spacing w:val="-5"/>
          <w:sz w:val="22"/>
          <w:szCs w:val="22"/>
        </w:rPr>
        <w:t>Unigas</w:t>
      </w:r>
      <w:proofErr w:type="spellEnd"/>
      <w:r w:rsidR="009F58B4">
        <w:rPr>
          <w:rFonts w:ascii="Arial" w:eastAsia="Times New Roman" w:hAnsi="Arial" w:cs="Arial"/>
          <w:spacing w:val="-5"/>
          <w:sz w:val="22"/>
          <w:szCs w:val="22"/>
        </w:rPr>
        <w:t xml:space="preserve"> Colombia S.A. </w:t>
      </w:r>
      <w:proofErr w:type="spellStart"/>
      <w:r w:rsidR="009F58B4">
        <w:rPr>
          <w:rFonts w:ascii="Arial" w:eastAsia="Times New Roman" w:hAnsi="Arial" w:cs="Arial"/>
          <w:spacing w:val="-5"/>
          <w:sz w:val="22"/>
          <w:szCs w:val="22"/>
        </w:rPr>
        <w:t>E.S.P.</w:t>
      </w:r>
      <w:r w:rsidRPr="007B1550">
        <w:rPr>
          <w:rFonts w:ascii="Arial" w:eastAsia="Times New Roman" w:hAnsi="Arial" w:cs="Arial"/>
          <w:spacing w:val="-5"/>
          <w:sz w:val="22"/>
          <w:szCs w:val="22"/>
        </w:rPr>
        <w:t>las</w:t>
      </w:r>
      <w:proofErr w:type="spellEnd"/>
      <w:r w:rsidRPr="007B1550">
        <w:rPr>
          <w:rFonts w:ascii="Arial" w:eastAsia="Times New Roman" w:hAnsi="Arial" w:cs="Arial"/>
          <w:spacing w:val="-5"/>
          <w:sz w:val="22"/>
          <w:szCs w:val="22"/>
        </w:rPr>
        <w:t xml:space="preserve"> cuales fueron publicadas a través</w:t>
      </w:r>
      <w:r>
        <w:rPr>
          <w:rFonts w:ascii="Arial" w:eastAsia="Times New Roman" w:hAnsi="Arial" w:cs="Arial"/>
          <w:spacing w:val="-5"/>
          <w:sz w:val="22"/>
          <w:szCs w:val="22"/>
        </w:rPr>
        <w:t xml:space="preserve"> de la Circular CREG 042 de 2019</w:t>
      </w:r>
      <w:r w:rsidRPr="007B1550">
        <w:rPr>
          <w:rFonts w:ascii="Arial" w:eastAsia="Times New Roman" w:hAnsi="Arial" w:cs="Arial"/>
          <w:spacing w:val="-5"/>
          <w:sz w:val="22"/>
          <w:szCs w:val="22"/>
        </w:rPr>
        <w:t>:</w:t>
      </w:r>
    </w:p>
    <w:p w:rsidR="00C92DB1" w:rsidRDefault="00C92DB1" w:rsidP="00C92DB1">
      <w:pPr>
        <w:jc w:val="both"/>
        <w:rPr>
          <w:rFonts w:ascii="Arial" w:eastAsia="Times New Roman" w:hAnsi="Arial" w:cs="Arial"/>
          <w:spacing w:val="-5"/>
          <w:sz w:val="20"/>
          <w:szCs w:val="20"/>
        </w:rPr>
      </w:pPr>
    </w:p>
    <w:tbl>
      <w:tblPr>
        <w:tblW w:w="8828" w:type="dxa"/>
        <w:tblCellMar>
          <w:left w:w="70" w:type="dxa"/>
          <w:right w:w="70" w:type="dxa"/>
        </w:tblCellMar>
        <w:tblLook w:val="04A0" w:firstRow="1" w:lastRow="0" w:firstColumn="1" w:lastColumn="0" w:noHBand="0" w:noVBand="1"/>
      </w:tblPr>
      <w:tblGrid>
        <w:gridCol w:w="1129"/>
        <w:gridCol w:w="5380"/>
        <w:gridCol w:w="2275"/>
        <w:gridCol w:w="44"/>
      </w:tblGrid>
      <w:tr w:rsidR="00C92DB1" w:rsidRPr="00015126" w:rsidTr="008960A9">
        <w:trPr>
          <w:gridAfter w:val="1"/>
          <w:wAfter w:w="44" w:type="dxa"/>
          <w:trHeight w:val="750"/>
          <w:tblHead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2DB1" w:rsidRPr="00015126" w:rsidRDefault="00C92DB1" w:rsidP="008960A9">
            <w:pPr>
              <w:jc w:val="center"/>
              <w:rPr>
                <w:rFonts w:ascii="Arial" w:eastAsia="Times New Roman" w:hAnsi="Arial" w:cs="Arial"/>
                <w:b/>
                <w:bCs/>
                <w:color w:val="000000"/>
                <w:sz w:val="20"/>
                <w:szCs w:val="20"/>
                <w:lang w:val="es-CO" w:eastAsia="es-CO"/>
              </w:rPr>
            </w:pPr>
            <w:r w:rsidRPr="00015126">
              <w:rPr>
                <w:rFonts w:ascii="Arial" w:eastAsia="Times New Roman" w:hAnsi="Arial" w:cs="Arial"/>
                <w:b/>
                <w:bCs/>
                <w:color w:val="000000"/>
                <w:sz w:val="20"/>
                <w:szCs w:val="20"/>
                <w:lang w:val="es-CO" w:eastAsia="es-CO"/>
              </w:rPr>
              <w:t>Código SUI</w:t>
            </w:r>
          </w:p>
        </w:tc>
        <w:tc>
          <w:tcPr>
            <w:tcW w:w="5380" w:type="dxa"/>
            <w:tcBorders>
              <w:top w:val="single" w:sz="4" w:space="0" w:color="auto"/>
              <w:left w:val="nil"/>
              <w:bottom w:val="single" w:sz="4" w:space="0" w:color="auto"/>
              <w:right w:val="single" w:sz="4" w:space="0" w:color="auto"/>
            </w:tcBorders>
            <w:shd w:val="clear" w:color="auto" w:fill="auto"/>
            <w:noWrap/>
            <w:vAlign w:val="center"/>
            <w:hideMark/>
          </w:tcPr>
          <w:p w:rsidR="00C92DB1" w:rsidRPr="00015126" w:rsidRDefault="00C92DB1" w:rsidP="008960A9">
            <w:pPr>
              <w:jc w:val="center"/>
              <w:rPr>
                <w:rFonts w:ascii="Arial" w:eastAsia="Times New Roman" w:hAnsi="Arial" w:cs="Arial"/>
                <w:b/>
                <w:bCs/>
                <w:color w:val="000000"/>
                <w:sz w:val="20"/>
                <w:szCs w:val="20"/>
                <w:lang w:val="es-CO" w:eastAsia="es-CO"/>
              </w:rPr>
            </w:pPr>
            <w:r w:rsidRPr="00015126">
              <w:rPr>
                <w:rFonts w:ascii="Arial" w:eastAsia="Times New Roman" w:hAnsi="Arial" w:cs="Arial"/>
                <w:b/>
                <w:bCs/>
                <w:color w:val="000000"/>
                <w:sz w:val="20"/>
                <w:szCs w:val="20"/>
                <w:lang w:val="es-CO" w:eastAsia="es-CO"/>
              </w:rPr>
              <w:t>Empresa</w:t>
            </w:r>
          </w:p>
        </w:tc>
        <w:tc>
          <w:tcPr>
            <w:tcW w:w="2275" w:type="dxa"/>
            <w:tcBorders>
              <w:top w:val="single" w:sz="4" w:space="0" w:color="auto"/>
              <w:left w:val="nil"/>
              <w:bottom w:val="single" w:sz="4" w:space="0" w:color="auto"/>
              <w:right w:val="single" w:sz="4" w:space="0" w:color="auto"/>
            </w:tcBorders>
            <w:shd w:val="clear" w:color="auto" w:fill="auto"/>
            <w:noWrap/>
            <w:vAlign w:val="center"/>
            <w:hideMark/>
          </w:tcPr>
          <w:p w:rsidR="00C92DB1" w:rsidRPr="00015126" w:rsidRDefault="00C92DB1" w:rsidP="008960A9">
            <w:pPr>
              <w:jc w:val="center"/>
              <w:rPr>
                <w:rFonts w:ascii="Arial" w:eastAsia="Times New Roman" w:hAnsi="Arial" w:cs="Arial"/>
                <w:b/>
                <w:bCs/>
                <w:color w:val="000000"/>
                <w:sz w:val="20"/>
                <w:szCs w:val="20"/>
                <w:lang w:val="es-CO" w:eastAsia="es-CO"/>
              </w:rPr>
            </w:pPr>
            <w:r w:rsidRPr="00015126">
              <w:rPr>
                <w:rFonts w:ascii="Arial" w:eastAsia="Times New Roman" w:hAnsi="Arial" w:cs="Arial"/>
                <w:b/>
                <w:bCs/>
                <w:color w:val="000000"/>
                <w:sz w:val="20"/>
                <w:szCs w:val="20"/>
                <w:lang w:eastAsia="es-CO"/>
              </w:rPr>
              <w:t xml:space="preserve">Capacidad de compra </w:t>
            </w:r>
            <m:oMath>
              <m:r>
                <m:rPr>
                  <m:sty m:val="bi"/>
                </m:rPr>
                <w:rPr>
                  <w:rFonts w:ascii="Cambria Math" w:eastAsia="Times New Roman" w:hAnsi="Cambria Math" w:cs="Arial"/>
                  <w:color w:val="000000"/>
                  <w:sz w:val="20"/>
                  <w:szCs w:val="20"/>
                  <w:lang w:eastAsia="es-CO"/>
                </w:rPr>
                <m:t>C</m:t>
              </m:r>
              <m:sSub>
                <m:sSubPr>
                  <m:ctrlPr>
                    <w:rPr>
                      <w:rFonts w:ascii="Cambria Math" w:eastAsia="Times New Roman" w:hAnsi="Cambria Math" w:cs="Arial"/>
                      <w:b/>
                      <w:bCs/>
                      <w:i/>
                      <w:color w:val="000000"/>
                      <w:sz w:val="20"/>
                      <w:szCs w:val="20"/>
                      <w:lang w:eastAsia="es-CO"/>
                    </w:rPr>
                  </m:ctrlPr>
                </m:sSubPr>
                <m:e>
                  <m:r>
                    <m:rPr>
                      <m:sty m:val="bi"/>
                    </m:rPr>
                    <w:rPr>
                      <w:rFonts w:ascii="Cambria Math" w:eastAsia="Times New Roman" w:hAnsi="Cambria Math" w:cs="Arial"/>
                      <w:color w:val="000000"/>
                      <w:sz w:val="20"/>
                      <w:szCs w:val="20"/>
                      <w:lang w:eastAsia="es-CO"/>
                    </w:rPr>
                    <m:t>C</m:t>
                  </m:r>
                </m:e>
                <m:sub>
                  <m:r>
                    <m:rPr>
                      <m:sty m:val="bi"/>
                    </m:rPr>
                    <w:rPr>
                      <w:rFonts w:ascii="Cambria Math" w:eastAsia="Times New Roman" w:hAnsi="Cambria Math" w:cs="Arial"/>
                      <w:color w:val="000000"/>
                      <w:sz w:val="20"/>
                      <w:szCs w:val="20"/>
                      <w:lang w:eastAsia="es-CO"/>
                    </w:rPr>
                    <m:t>i,3</m:t>
                  </m:r>
                </m:sub>
              </m:sSub>
            </m:oMath>
          </w:p>
        </w:tc>
      </w:tr>
      <w:tr w:rsidR="00C92DB1" w:rsidRPr="00015126" w:rsidTr="008960A9">
        <w:trPr>
          <w:gridAfter w:val="1"/>
          <w:wAfter w:w="44" w:type="dxa"/>
          <w:trHeight w:val="40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92DB1" w:rsidRPr="00015126" w:rsidRDefault="00C92DB1" w:rsidP="008960A9">
            <w:pPr>
              <w:jc w:val="center"/>
              <w:rPr>
                <w:rFonts w:ascii="Arial" w:eastAsia="Times New Roman" w:hAnsi="Arial" w:cs="Arial"/>
                <w:color w:val="000000"/>
                <w:sz w:val="20"/>
                <w:szCs w:val="20"/>
                <w:lang w:val="es-CO" w:eastAsia="es-CO"/>
              </w:rPr>
            </w:pPr>
            <w:r w:rsidRPr="00015126">
              <w:rPr>
                <w:rFonts w:ascii="Arial" w:eastAsia="Times New Roman" w:hAnsi="Arial" w:cs="Arial"/>
                <w:color w:val="000000"/>
                <w:sz w:val="20"/>
                <w:szCs w:val="20"/>
                <w:lang w:val="es-CO" w:eastAsia="es-CO"/>
              </w:rPr>
              <w:t>522</w:t>
            </w:r>
          </w:p>
        </w:tc>
        <w:tc>
          <w:tcPr>
            <w:tcW w:w="5380" w:type="dxa"/>
            <w:tcBorders>
              <w:top w:val="nil"/>
              <w:left w:val="nil"/>
              <w:bottom w:val="single" w:sz="4" w:space="0" w:color="auto"/>
              <w:right w:val="single" w:sz="4" w:space="0" w:color="auto"/>
            </w:tcBorders>
            <w:shd w:val="clear" w:color="auto" w:fill="auto"/>
            <w:noWrap/>
            <w:vAlign w:val="center"/>
            <w:hideMark/>
          </w:tcPr>
          <w:p w:rsidR="00C92DB1" w:rsidRPr="00015126" w:rsidRDefault="00C92DB1" w:rsidP="008960A9">
            <w:pPr>
              <w:rPr>
                <w:rFonts w:ascii="Arial" w:eastAsia="Times New Roman" w:hAnsi="Arial" w:cs="Arial"/>
                <w:color w:val="000000"/>
                <w:sz w:val="20"/>
                <w:szCs w:val="20"/>
                <w:lang w:val="es-CO" w:eastAsia="es-CO"/>
              </w:rPr>
            </w:pPr>
            <w:proofErr w:type="spellStart"/>
            <w:r>
              <w:rPr>
                <w:rFonts w:ascii="Arial" w:eastAsia="Times New Roman" w:hAnsi="Arial" w:cs="Arial"/>
                <w:color w:val="000000"/>
                <w:sz w:val="20"/>
                <w:szCs w:val="20"/>
                <w:lang w:val="es-CO" w:eastAsia="es-CO"/>
              </w:rPr>
              <w:t>Nortesantandereana</w:t>
            </w:r>
            <w:proofErr w:type="spellEnd"/>
            <w:r>
              <w:rPr>
                <w:rFonts w:ascii="Arial" w:eastAsia="Times New Roman" w:hAnsi="Arial" w:cs="Arial"/>
                <w:color w:val="000000"/>
                <w:sz w:val="20"/>
                <w:szCs w:val="20"/>
                <w:lang w:val="es-CO" w:eastAsia="es-CO"/>
              </w:rPr>
              <w:t xml:space="preserve"> d</w:t>
            </w:r>
            <w:r w:rsidRPr="00015126">
              <w:rPr>
                <w:rFonts w:ascii="Arial" w:eastAsia="Times New Roman" w:hAnsi="Arial" w:cs="Arial"/>
                <w:color w:val="000000"/>
                <w:sz w:val="20"/>
                <w:szCs w:val="20"/>
                <w:lang w:val="es-CO" w:eastAsia="es-CO"/>
              </w:rPr>
              <w:t>e Gas S.A. E.S.P.</w:t>
            </w:r>
          </w:p>
        </w:tc>
        <w:tc>
          <w:tcPr>
            <w:tcW w:w="2275" w:type="dxa"/>
            <w:tcBorders>
              <w:top w:val="nil"/>
              <w:left w:val="nil"/>
              <w:bottom w:val="single" w:sz="4" w:space="0" w:color="auto"/>
              <w:right w:val="single" w:sz="4" w:space="0" w:color="auto"/>
            </w:tcBorders>
            <w:shd w:val="clear" w:color="auto" w:fill="auto"/>
            <w:noWrap/>
            <w:vAlign w:val="center"/>
            <w:hideMark/>
          </w:tcPr>
          <w:p w:rsidR="00C92DB1" w:rsidRPr="00015126" w:rsidRDefault="00C92DB1" w:rsidP="00AD15B5">
            <w:pPr>
              <w:jc w:val="center"/>
              <w:rPr>
                <w:rFonts w:ascii="Arial" w:eastAsia="Times New Roman" w:hAnsi="Arial" w:cs="Arial"/>
                <w:color w:val="000000"/>
                <w:sz w:val="20"/>
                <w:szCs w:val="20"/>
                <w:lang w:val="es-CO" w:eastAsia="es-CO"/>
              </w:rPr>
            </w:pPr>
            <w:r w:rsidRPr="00015126">
              <w:rPr>
                <w:rFonts w:ascii="Arial" w:eastAsia="Times New Roman" w:hAnsi="Arial" w:cs="Arial"/>
                <w:color w:val="000000"/>
                <w:sz w:val="20"/>
                <w:szCs w:val="20"/>
                <w:lang w:val="es-CO" w:eastAsia="es-CO"/>
              </w:rPr>
              <w:t>57,539,831</w:t>
            </w:r>
          </w:p>
        </w:tc>
      </w:tr>
      <w:tr w:rsidR="00C92DB1" w:rsidRPr="00015126" w:rsidTr="008960A9">
        <w:trPr>
          <w:gridAfter w:val="1"/>
          <w:wAfter w:w="44" w:type="dxa"/>
          <w:trHeight w:val="405"/>
        </w:trPr>
        <w:tc>
          <w:tcPr>
            <w:tcW w:w="1129" w:type="dxa"/>
            <w:tcBorders>
              <w:top w:val="nil"/>
              <w:left w:val="single" w:sz="4" w:space="0" w:color="auto"/>
              <w:bottom w:val="single" w:sz="4" w:space="0" w:color="auto"/>
              <w:right w:val="single" w:sz="4" w:space="0" w:color="auto"/>
            </w:tcBorders>
            <w:shd w:val="clear" w:color="auto" w:fill="auto"/>
            <w:noWrap/>
            <w:hideMark/>
          </w:tcPr>
          <w:p w:rsidR="00C92DB1" w:rsidRPr="00015126" w:rsidRDefault="00C92DB1" w:rsidP="008960A9">
            <w:pPr>
              <w:jc w:val="center"/>
              <w:rPr>
                <w:rFonts w:ascii="Arial" w:hAnsi="Arial" w:cs="Arial"/>
                <w:sz w:val="20"/>
                <w:szCs w:val="20"/>
              </w:rPr>
            </w:pPr>
            <w:r w:rsidRPr="00015126">
              <w:rPr>
                <w:rFonts w:ascii="Arial" w:hAnsi="Arial" w:cs="Arial"/>
                <w:sz w:val="20"/>
                <w:szCs w:val="20"/>
              </w:rPr>
              <w:t>1345</w:t>
            </w:r>
          </w:p>
        </w:tc>
        <w:tc>
          <w:tcPr>
            <w:tcW w:w="5380" w:type="dxa"/>
            <w:tcBorders>
              <w:top w:val="nil"/>
              <w:left w:val="nil"/>
              <w:bottom w:val="single" w:sz="4" w:space="0" w:color="auto"/>
              <w:right w:val="single" w:sz="4" w:space="0" w:color="auto"/>
            </w:tcBorders>
            <w:shd w:val="clear" w:color="auto" w:fill="auto"/>
            <w:noWrap/>
            <w:hideMark/>
          </w:tcPr>
          <w:p w:rsidR="00C92DB1" w:rsidRPr="00015126" w:rsidRDefault="00C92DB1" w:rsidP="008960A9">
            <w:pPr>
              <w:rPr>
                <w:rFonts w:ascii="Arial" w:hAnsi="Arial" w:cs="Arial"/>
                <w:sz w:val="20"/>
                <w:szCs w:val="20"/>
              </w:rPr>
            </w:pPr>
            <w:proofErr w:type="spellStart"/>
            <w:r w:rsidRPr="00015126">
              <w:rPr>
                <w:rFonts w:ascii="Arial" w:hAnsi="Arial" w:cs="Arial"/>
                <w:sz w:val="20"/>
                <w:szCs w:val="20"/>
              </w:rPr>
              <w:t>Colgas</w:t>
            </w:r>
            <w:proofErr w:type="spellEnd"/>
            <w:r w:rsidRPr="00015126">
              <w:rPr>
                <w:rFonts w:ascii="Arial" w:hAnsi="Arial" w:cs="Arial"/>
                <w:sz w:val="20"/>
                <w:szCs w:val="20"/>
              </w:rPr>
              <w:t xml:space="preserve"> De Occidente S.A E.S.P.</w:t>
            </w:r>
          </w:p>
        </w:tc>
        <w:tc>
          <w:tcPr>
            <w:tcW w:w="2275" w:type="dxa"/>
            <w:tcBorders>
              <w:top w:val="nil"/>
              <w:left w:val="nil"/>
              <w:bottom w:val="single" w:sz="4" w:space="0" w:color="auto"/>
              <w:right w:val="single" w:sz="4" w:space="0" w:color="auto"/>
            </w:tcBorders>
            <w:shd w:val="clear" w:color="auto" w:fill="auto"/>
            <w:noWrap/>
            <w:hideMark/>
          </w:tcPr>
          <w:p w:rsidR="00C92DB1" w:rsidRPr="00015126" w:rsidRDefault="00C92DB1" w:rsidP="00AD15B5">
            <w:pPr>
              <w:jc w:val="center"/>
              <w:rPr>
                <w:rFonts w:ascii="Arial" w:hAnsi="Arial" w:cs="Arial"/>
                <w:sz w:val="20"/>
                <w:szCs w:val="20"/>
              </w:rPr>
            </w:pPr>
            <w:r w:rsidRPr="00015126">
              <w:rPr>
                <w:rFonts w:ascii="Arial" w:hAnsi="Arial" w:cs="Arial"/>
                <w:sz w:val="20"/>
                <w:szCs w:val="20"/>
              </w:rPr>
              <w:t>36,811,026</w:t>
            </w:r>
          </w:p>
        </w:tc>
      </w:tr>
      <w:tr w:rsidR="00C92DB1" w:rsidRPr="00015126" w:rsidTr="008960A9">
        <w:trPr>
          <w:trHeight w:val="40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92DB1" w:rsidRPr="00015126" w:rsidRDefault="00C92DB1" w:rsidP="008960A9">
            <w:pPr>
              <w:jc w:val="center"/>
              <w:rPr>
                <w:rFonts w:ascii="Arial" w:eastAsia="Times New Roman" w:hAnsi="Arial" w:cs="Arial"/>
                <w:color w:val="000000"/>
                <w:sz w:val="20"/>
                <w:szCs w:val="20"/>
                <w:lang w:val="es-CO" w:eastAsia="es-CO"/>
              </w:rPr>
            </w:pPr>
            <w:r w:rsidRPr="00015126">
              <w:rPr>
                <w:rFonts w:ascii="Arial" w:eastAsia="Times New Roman" w:hAnsi="Arial" w:cs="Arial"/>
                <w:color w:val="000000"/>
                <w:sz w:val="20"/>
                <w:szCs w:val="20"/>
                <w:lang w:val="es-CO" w:eastAsia="es-CO"/>
              </w:rPr>
              <w:t>479</w:t>
            </w:r>
          </w:p>
        </w:tc>
        <w:tc>
          <w:tcPr>
            <w:tcW w:w="5380" w:type="dxa"/>
            <w:tcBorders>
              <w:top w:val="nil"/>
              <w:left w:val="nil"/>
              <w:bottom w:val="single" w:sz="4" w:space="0" w:color="auto"/>
              <w:right w:val="single" w:sz="4" w:space="0" w:color="auto"/>
            </w:tcBorders>
            <w:shd w:val="clear" w:color="auto" w:fill="auto"/>
            <w:noWrap/>
            <w:vAlign w:val="center"/>
            <w:hideMark/>
          </w:tcPr>
          <w:p w:rsidR="00C92DB1" w:rsidRPr="00015126" w:rsidRDefault="00C92DB1" w:rsidP="008960A9">
            <w:pPr>
              <w:rPr>
                <w:rFonts w:ascii="Arial" w:eastAsia="Times New Roman" w:hAnsi="Arial" w:cs="Arial"/>
                <w:color w:val="000000"/>
                <w:sz w:val="20"/>
                <w:szCs w:val="20"/>
                <w:lang w:val="es-CO" w:eastAsia="es-CO"/>
              </w:rPr>
            </w:pPr>
            <w:r w:rsidRPr="00015126">
              <w:rPr>
                <w:rFonts w:ascii="Arial" w:eastAsia="Times New Roman" w:hAnsi="Arial" w:cs="Arial"/>
                <w:color w:val="000000"/>
                <w:sz w:val="20"/>
                <w:szCs w:val="20"/>
                <w:lang w:val="es-CO" w:eastAsia="es-CO"/>
              </w:rPr>
              <w:t>Gases de Antioquia S.A E.S.P.</w:t>
            </w:r>
          </w:p>
        </w:tc>
        <w:tc>
          <w:tcPr>
            <w:tcW w:w="2319" w:type="dxa"/>
            <w:gridSpan w:val="2"/>
            <w:tcBorders>
              <w:top w:val="nil"/>
              <w:left w:val="nil"/>
              <w:bottom w:val="single" w:sz="4" w:space="0" w:color="auto"/>
              <w:right w:val="single" w:sz="4" w:space="0" w:color="auto"/>
            </w:tcBorders>
            <w:shd w:val="clear" w:color="auto" w:fill="auto"/>
            <w:noWrap/>
            <w:vAlign w:val="center"/>
            <w:hideMark/>
          </w:tcPr>
          <w:p w:rsidR="00C92DB1" w:rsidRPr="00015126" w:rsidRDefault="00C92DB1" w:rsidP="00AD15B5">
            <w:pPr>
              <w:ind w:right="261"/>
              <w:jc w:val="center"/>
              <w:rPr>
                <w:rFonts w:ascii="Arial" w:eastAsia="Times New Roman" w:hAnsi="Arial" w:cs="Arial"/>
                <w:color w:val="000000"/>
                <w:sz w:val="20"/>
                <w:szCs w:val="20"/>
                <w:lang w:val="es-CO" w:eastAsia="es-CO"/>
              </w:rPr>
            </w:pPr>
            <w:r w:rsidRPr="00015126">
              <w:rPr>
                <w:rFonts w:ascii="Arial" w:eastAsia="Times New Roman" w:hAnsi="Arial" w:cs="Arial"/>
                <w:color w:val="000000"/>
                <w:sz w:val="20"/>
                <w:szCs w:val="20"/>
                <w:lang w:val="es-CO" w:eastAsia="es-CO"/>
              </w:rPr>
              <w:t>32,212,465</w:t>
            </w:r>
          </w:p>
        </w:tc>
      </w:tr>
      <w:tr w:rsidR="00C92DB1" w:rsidRPr="00015126" w:rsidTr="008960A9">
        <w:trPr>
          <w:trHeight w:val="40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92DB1" w:rsidRPr="00015126" w:rsidRDefault="00C92DB1" w:rsidP="008960A9">
            <w:pPr>
              <w:jc w:val="center"/>
              <w:rPr>
                <w:rFonts w:ascii="Arial" w:eastAsia="Times New Roman" w:hAnsi="Arial" w:cs="Arial"/>
                <w:color w:val="000000"/>
                <w:sz w:val="20"/>
                <w:szCs w:val="20"/>
                <w:lang w:val="es-CO" w:eastAsia="es-CO"/>
              </w:rPr>
            </w:pPr>
            <w:r w:rsidRPr="00015126">
              <w:rPr>
                <w:rFonts w:ascii="Arial" w:eastAsia="Times New Roman" w:hAnsi="Arial" w:cs="Arial"/>
                <w:color w:val="000000"/>
                <w:sz w:val="20"/>
                <w:szCs w:val="20"/>
                <w:lang w:val="es-CO" w:eastAsia="es-CO"/>
              </w:rPr>
              <w:t>1172</w:t>
            </w:r>
          </w:p>
        </w:tc>
        <w:tc>
          <w:tcPr>
            <w:tcW w:w="5380" w:type="dxa"/>
            <w:tcBorders>
              <w:top w:val="nil"/>
              <w:left w:val="nil"/>
              <w:bottom w:val="single" w:sz="4" w:space="0" w:color="auto"/>
              <w:right w:val="single" w:sz="4" w:space="0" w:color="auto"/>
            </w:tcBorders>
            <w:shd w:val="clear" w:color="auto" w:fill="auto"/>
            <w:noWrap/>
            <w:vAlign w:val="center"/>
            <w:hideMark/>
          </w:tcPr>
          <w:p w:rsidR="00C92DB1" w:rsidRPr="00015126" w:rsidRDefault="00C92DB1" w:rsidP="008960A9">
            <w:pPr>
              <w:rPr>
                <w:rFonts w:ascii="Arial" w:eastAsia="Times New Roman" w:hAnsi="Arial" w:cs="Arial"/>
                <w:color w:val="000000"/>
                <w:sz w:val="20"/>
                <w:szCs w:val="20"/>
                <w:lang w:val="es-CO" w:eastAsia="es-CO"/>
              </w:rPr>
            </w:pPr>
            <w:proofErr w:type="spellStart"/>
            <w:r w:rsidRPr="00015126">
              <w:rPr>
                <w:rFonts w:ascii="Arial" w:eastAsia="Times New Roman" w:hAnsi="Arial" w:cs="Arial"/>
                <w:color w:val="000000"/>
                <w:sz w:val="20"/>
                <w:szCs w:val="20"/>
                <w:lang w:val="es-CO" w:eastAsia="es-CO"/>
              </w:rPr>
              <w:t>Compañias</w:t>
            </w:r>
            <w:proofErr w:type="spellEnd"/>
            <w:r w:rsidRPr="00015126">
              <w:rPr>
                <w:rFonts w:ascii="Arial" w:eastAsia="Times New Roman" w:hAnsi="Arial" w:cs="Arial"/>
                <w:color w:val="000000"/>
                <w:sz w:val="20"/>
                <w:szCs w:val="20"/>
                <w:lang w:val="es-CO" w:eastAsia="es-CO"/>
              </w:rPr>
              <w:t xml:space="preserve"> </w:t>
            </w:r>
            <w:proofErr w:type="spellStart"/>
            <w:r w:rsidRPr="00015126">
              <w:rPr>
                <w:rFonts w:ascii="Arial" w:eastAsia="Times New Roman" w:hAnsi="Arial" w:cs="Arial"/>
                <w:color w:val="000000"/>
                <w:sz w:val="20"/>
                <w:szCs w:val="20"/>
                <w:lang w:val="es-CO" w:eastAsia="es-CO"/>
              </w:rPr>
              <w:t>Asocaidas</w:t>
            </w:r>
            <w:proofErr w:type="spellEnd"/>
            <w:r w:rsidRPr="00015126">
              <w:rPr>
                <w:rFonts w:ascii="Arial" w:eastAsia="Times New Roman" w:hAnsi="Arial" w:cs="Arial"/>
                <w:color w:val="000000"/>
                <w:sz w:val="20"/>
                <w:szCs w:val="20"/>
                <w:lang w:val="es-CO" w:eastAsia="es-CO"/>
              </w:rPr>
              <w:t xml:space="preserve"> de Gas S.A E.S.P.</w:t>
            </w:r>
          </w:p>
        </w:tc>
        <w:tc>
          <w:tcPr>
            <w:tcW w:w="2319" w:type="dxa"/>
            <w:gridSpan w:val="2"/>
            <w:tcBorders>
              <w:top w:val="nil"/>
              <w:left w:val="nil"/>
              <w:bottom w:val="single" w:sz="4" w:space="0" w:color="auto"/>
              <w:right w:val="single" w:sz="4" w:space="0" w:color="auto"/>
            </w:tcBorders>
            <w:shd w:val="clear" w:color="auto" w:fill="auto"/>
            <w:noWrap/>
            <w:vAlign w:val="center"/>
            <w:hideMark/>
          </w:tcPr>
          <w:p w:rsidR="00C92DB1" w:rsidRPr="00015126" w:rsidRDefault="00C92DB1" w:rsidP="00AD15B5">
            <w:pPr>
              <w:ind w:right="261"/>
              <w:jc w:val="center"/>
              <w:rPr>
                <w:rFonts w:ascii="Arial" w:eastAsia="Times New Roman" w:hAnsi="Arial" w:cs="Arial"/>
                <w:color w:val="000000"/>
                <w:sz w:val="20"/>
                <w:szCs w:val="20"/>
                <w:lang w:val="es-CO" w:eastAsia="es-CO"/>
              </w:rPr>
            </w:pPr>
            <w:r w:rsidRPr="00015126">
              <w:rPr>
                <w:rFonts w:ascii="Arial" w:eastAsia="Times New Roman" w:hAnsi="Arial" w:cs="Arial"/>
                <w:color w:val="000000"/>
                <w:sz w:val="20"/>
                <w:szCs w:val="20"/>
                <w:lang w:val="es-CO" w:eastAsia="es-CO"/>
              </w:rPr>
              <w:t>24,781,821</w:t>
            </w:r>
          </w:p>
        </w:tc>
      </w:tr>
      <w:tr w:rsidR="00E452A8" w:rsidRPr="00015126" w:rsidTr="008960A9">
        <w:trPr>
          <w:trHeight w:val="40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E452A8" w:rsidRPr="00015126" w:rsidRDefault="00E452A8" w:rsidP="008960A9">
            <w:pPr>
              <w:jc w:val="center"/>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t>23312</w:t>
            </w:r>
          </w:p>
        </w:tc>
        <w:tc>
          <w:tcPr>
            <w:tcW w:w="5380" w:type="dxa"/>
            <w:tcBorders>
              <w:top w:val="nil"/>
              <w:left w:val="nil"/>
              <w:bottom w:val="single" w:sz="4" w:space="0" w:color="auto"/>
              <w:right w:val="single" w:sz="4" w:space="0" w:color="auto"/>
            </w:tcBorders>
            <w:shd w:val="clear" w:color="auto" w:fill="auto"/>
            <w:noWrap/>
            <w:vAlign w:val="center"/>
            <w:hideMark/>
          </w:tcPr>
          <w:p w:rsidR="00E452A8" w:rsidRPr="00015126" w:rsidRDefault="00AD15B5" w:rsidP="008960A9">
            <w:pPr>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t>Inversiones GLP</w:t>
            </w:r>
            <w:r w:rsidR="00E452A8" w:rsidRPr="00015126">
              <w:rPr>
                <w:rFonts w:ascii="Arial" w:eastAsia="Times New Roman" w:hAnsi="Arial" w:cs="Arial"/>
                <w:color w:val="000000"/>
                <w:sz w:val="20"/>
                <w:szCs w:val="20"/>
                <w:lang w:val="es-CO" w:eastAsia="es-CO"/>
              </w:rPr>
              <w:t xml:space="preserve"> S.A</w:t>
            </w:r>
            <w:r>
              <w:rPr>
                <w:rFonts w:ascii="Arial" w:eastAsia="Times New Roman" w:hAnsi="Arial" w:cs="Arial"/>
                <w:color w:val="000000"/>
                <w:sz w:val="20"/>
                <w:szCs w:val="20"/>
                <w:lang w:val="es-CO" w:eastAsia="es-CO"/>
              </w:rPr>
              <w:t>.S.</w:t>
            </w:r>
            <w:r w:rsidR="00E452A8" w:rsidRPr="00015126">
              <w:rPr>
                <w:rFonts w:ascii="Arial" w:eastAsia="Times New Roman" w:hAnsi="Arial" w:cs="Arial"/>
                <w:color w:val="000000"/>
                <w:sz w:val="20"/>
                <w:szCs w:val="20"/>
                <w:lang w:val="es-CO" w:eastAsia="es-CO"/>
              </w:rPr>
              <w:t xml:space="preserve"> E.S.P.</w:t>
            </w:r>
          </w:p>
        </w:tc>
        <w:tc>
          <w:tcPr>
            <w:tcW w:w="2319" w:type="dxa"/>
            <w:gridSpan w:val="2"/>
            <w:tcBorders>
              <w:top w:val="nil"/>
              <w:left w:val="nil"/>
              <w:bottom w:val="single" w:sz="4" w:space="0" w:color="auto"/>
              <w:right w:val="single" w:sz="4" w:space="0" w:color="auto"/>
            </w:tcBorders>
            <w:shd w:val="clear" w:color="auto" w:fill="auto"/>
            <w:noWrap/>
            <w:vAlign w:val="center"/>
            <w:hideMark/>
          </w:tcPr>
          <w:p w:rsidR="00E452A8" w:rsidRPr="00015126" w:rsidRDefault="00E452A8" w:rsidP="00AD15B5">
            <w:pPr>
              <w:ind w:right="261"/>
              <w:jc w:val="center"/>
              <w:rPr>
                <w:rFonts w:ascii="Arial" w:eastAsia="Times New Roman" w:hAnsi="Arial" w:cs="Arial"/>
                <w:color w:val="000000"/>
                <w:sz w:val="20"/>
                <w:szCs w:val="20"/>
                <w:lang w:val="es-CO" w:eastAsia="es-CO"/>
              </w:rPr>
            </w:pPr>
            <w:r w:rsidRPr="00E452A8">
              <w:rPr>
                <w:rFonts w:ascii="Arial" w:eastAsia="Times New Roman" w:hAnsi="Arial" w:cs="Arial"/>
                <w:color w:val="000000"/>
                <w:sz w:val="20"/>
                <w:szCs w:val="20"/>
                <w:lang w:val="es-CO" w:eastAsia="es-CO"/>
              </w:rPr>
              <w:t>64,847,359</w:t>
            </w:r>
          </w:p>
        </w:tc>
      </w:tr>
      <w:tr w:rsidR="00E452A8" w:rsidRPr="00015126" w:rsidTr="008960A9">
        <w:trPr>
          <w:trHeight w:val="40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E452A8" w:rsidRPr="00015126" w:rsidRDefault="00AD15B5" w:rsidP="008960A9">
            <w:pPr>
              <w:jc w:val="center"/>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t>2633</w:t>
            </w:r>
          </w:p>
        </w:tc>
        <w:tc>
          <w:tcPr>
            <w:tcW w:w="5380" w:type="dxa"/>
            <w:tcBorders>
              <w:top w:val="nil"/>
              <w:left w:val="nil"/>
              <w:bottom w:val="single" w:sz="4" w:space="0" w:color="auto"/>
              <w:right w:val="single" w:sz="4" w:space="0" w:color="auto"/>
            </w:tcBorders>
            <w:shd w:val="clear" w:color="auto" w:fill="auto"/>
            <w:noWrap/>
            <w:vAlign w:val="center"/>
            <w:hideMark/>
          </w:tcPr>
          <w:p w:rsidR="00E452A8" w:rsidRPr="00015126" w:rsidRDefault="00AD15B5" w:rsidP="008960A9">
            <w:pPr>
              <w:rPr>
                <w:rFonts w:ascii="Arial" w:eastAsia="Times New Roman" w:hAnsi="Arial" w:cs="Arial"/>
                <w:color w:val="000000"/>
                <w:sz w:val="20"/>
                <w:szCs w:val="20"/>
                <w:lang w:val="es-CO" w:eastAsia="es-CO"/>
              </w:rPr>
            </w:pPr>
            <w:proofErr w:type="spellStart"/>
            <w:r>
              <w:rPr>
                <w:rFonts w:ascii="Arial" w:eastAsia="Times New Roman" w:hAnsi="Arial" w:cs="Arial"/>
                <w:color w:val="000000"/>
                <w:sz w:val="20"/>
                <w:szCs w:val="20"/>
                <w:lang w:val="es-CO" w:eastAsia="es-CO"/>
              </w:rPr>
              <w:t>Unigas</w:t>
            </w:r>
            <w:proofErr w:type="spellEnd"/>
            <w:r>
              <w:rPr>
                <w:rFonts w:ascii="Arial" w:eastAsia="Times New Roman" w:hAnsi="Arial" w:cs="Arial"/>
                <w:color w:val="000000"/>
                <w:sz w:val="20"/>
                <w:szCs w:val="20"/>
                <w:lang w:val="es-CO" w:eastAsia="es-CO"/>
              </w:rPr>
              <w:t xml:space="preserve"> Colombia</w:t>
            </w:r>
            <w:r w:rsidR="00E452A8" w:rsidRPr="00015126">
              <w:rPr>
                <w:rFonts w:ascii="Arial" w:eastAsia="Times New Roman" w:hAnsi="Arial" w:cs="Arial"/>
                <w:color w:val="000000"/>
                <w:sz w:val="20"/>
                <w:szCs w:val="20"/>
                <w:lang w:val="es-CO" w:eastAsia="es-CO"/>
              </w:rPr>
              <w:t xml:space="preserve"> S.A E.S.P.</w:t>
            </w:r>
          </w:p>
        </w:tc>
        <w:tc>
          <w:tcPr>
            <w:tcW w:w="2319" w:type="dxa"/>
            <w:gridSpan w:val="2"/>
            <w:tcBorders>
              <w:top w:val="nil"/>
              <w:left w:val="nil"/>
              <w:bottom w:val="single" w:sz="4" w:space="0" w:color="auto"/>
              <w:right w:val="single" w:sz="4" w:space="0" w:color="auto"/>
            </w:tcBorders>
            <w:shd w:val="clear" w:color="auto" w:fill="auto"/>
            <w:noWrap/>
            <w:vAlign w:val="center"/>
            <w:hideMark/>
          </w:tcPr>
          <w:p w:rsidR="00E452A8" w:rsidRPr="00015126" w:rsidRDefault="00AD15B5" w:rsidP="00AD15B5">
            <w:pPr>
              <w:ind w:right="261"/>
              <w:jc w:val="center"/>
              <w:rPr>
                <w:rFonts w:ascii="Arial" w:eastAsia="Times New Roman" w:hAnsi="Arial" w:cs="Arial"/>
                <w:color w:val="000000"/>
                <w:sz w:val="20"/>
                <w:szCs w:val="20"/>
                <w:lang w:val="es-CO" w:eastAsia="es-CO"/>
              </w:rPr>
            </w:pPr>
            <w:r w:rsidRPr="00367E25">
              <w:rPr>
                <w:rFonts w:ascii="Arial" w:eastAsia="Times New Roman" w:hAnsi="Arial" w:cs="Arial"/>
                <w:color w:val="000000"/>
                <w:sz w:val="20"/>
                <w:szCs w:val="20"/>
                <w:lang w:val="es-CO" w:eastAsia="es-CO"/>
              </w:rPr>
              <w:t>22,952,640</w:t>
            </w:r>
          </w:p>
        </w:tc>
      </w:tr>
    </w:tbl>
    <w:p w:rsidR="00C92DB1" w:rsidRPr="00556073" w:rsidRDefault="00C92DB1" w:rsidP="00C92DB1">
      <w:pPr>
        <w:jc w:val="both"/>
        <w:rPr>
          <w:rFonts w:ascii="Arial" w:eastAsia="MS Mincho" w:hAnsi="Arial" w:cs="Arial"/>
          <w:sz w:val="20"/>
          <w:szCs w:val="20"/>
        </w:rPr>
      </w:pPr>
    </w:p>
    <w:p w:rsidR="00C92DB1" w:rsidRDefault="00C92DB1" w:rsidP="00C92DB1">
      <w:pPr>
        <w:pStyle w:val="Textoindependiente"/>
        <w:spacing w:after="0" w:line="240" w:lineRule="auto"/>
        <w:rPr>
          <w:rFonts w:cs="Arial"/>
          <w:sz w:val="22"/>
          <w:szCs w:val="22"/>
        </w:rPr>
      </w:pPr>
      <w:r w:rsidRPr="007B1550">
        <w:rPr>
          <w:rFonts w:cs="Arial"/>
          <w:sz w:val="22"/>
          <w:szCs w:val="22"/>
        </w:rPr>
        <w:t xml:space="preserve">Ahora bien, mediante comunicación con radicado CREG </w:t>
      </w:r>
      <w:r w:rsidR="00E452A8">
        <w:rPr>
          <w:rFonts w:cs="Arial"/>
          <w:sz w:val="22"/>
          <w:szCs w:val="22"/>
        </w:rPr>
        <w:t>E-20</w:t>
      </w:r>
      <w:r>
        <w:rPr>
          <w:rFonts w:cs="Arial"/>
          <w:sz w:val="22"/>
          <w:szCs w:val="22"/>
        </w:rPr>
        <w:t>19-011893</w:t>
      </w:r>
      <w:r w:rsidRPr="007B1550">
        <w:rPr>
          <w:rFonts w:cs="Arial"/>
          <w:sz w:val="22"/>
          <w:szCs w:val="22"/>
        </w:rPr>
        <w:t xml:space="preserve"> la empresa </w:t>
      </w:r>
      <w:proofErr w:type="spellStart"/>
      <w:r w:rsidRPr="007B1550">
        <w:rPr>
          <w:rFonts w:cs="Arial"/>
          <w:sz w:val="22"/>
          <w:szCs w:val="22"/>
        </w:rPr>
        <w:t>Nortesantandereana</w:t>
      </w:r>
      <w:proofErr w:type="spellEnd"/>
      <w:r w:rsidRPr="007B1550">
        <w:rPr>
          <w:rFonts w:cs="Arial"/>
          <w:sz w:val="22"/>
          <w:szCs w:val="22"/>
        </w:rPr>
        <w:t xml:space="preserve"> de Gas S.A. E.S.P.</w:t>
      </w:r>
      <w:r>
        <w:rPr>
          <w:rFonts w:cs="Arial"/>
          <w:sz w:val="22"/>
          <w:szCs w:val="22"/>
        </w:rPr>
        <w:t xml:space="preserve"> expone que</w:t>
      </w:r>
      <w:r w:rsidRPr="008E593E">
        <w:t xml:space="preserve"> </w:t>
      </w:r>
      <w:r w:rsidRPr="008E593E">
        <w:rPr>
          <w:rFonts w:cs="Arial"/>
          <w:sz w:val="22"/>
          <w:szCs w:val="22"/>
        </w:rPr>
        <w:t xml:space="preserve">durante el transcurso del actual período de compra (i.e. </w:t>
      </w:r>
      <w:r>
        <w:rPr>
          <w:rFonts w:cs="Arial"/>
          <w:sz w:val="22"/>
          <w:szCs w:val="22"/>
        </w:rPr>
        <w:t>sexto</w:t>
      </w:r>
      <w:r w:rsidRPr="008E593E">
        <w:rPr>
          <w:rFonts w:cs="Arial"/>
          <w:sz w:val="22"/>
          <w:szCs w:val="22"/>
        </w:rPr>
        <w:t xml:space="preserve"> período),</w:t>
      </w:r>
      <w:r>
        <w:rPr>
          <w:rFonts w:cs="Arial"/>
          <w:sz w:val="22"/>
          <w:szCs w:val="22"/>
        </w:rPr>
        <w:t xml:space="preserve"> dicha empresa ha llevado a cabo un proceso de fusión por absorción de las empresas distribuidoras </w:t>
      </w:r>
      <w:proofErr w:type="spellStart"/>
      <w:r>
        <w:rPr>
          <w:rFonts w:cs="Arial"/>
          <w:sz w:val="22"/>
          <w:szCs w:val="22"/>
        </w:rPr>
        <w:t>Colgas</w:t>
      </w:r>
      <w:proofErr w:type="spellEnd"/>
      <w:r>
        <w:rPr>
          <w:rFonts w:cs="Arial"/>
          <w:sz w:val="22"/>
          <w:szCs w:val="22"/>
        </w:rPr>
        <w:t xml:space="preserve"> de Occidente S.A. E.S.P., Gases de Antioquia S.A. E.S.P., Compañías Asociadas de Gas S.A. E.S.P. adjuntando los soportes correspondientes, incluida la escritura pública formalizada del acuerdo fusión.</w:t>
      </w:r>
    </w:p>
    <w:p w:rsidR="00C92DB1" w:rsidRDefault="00C92DB1" w:rsidP="00C92DB1">
      <w:pPr>
        <w:jc w:val="both"/>
        <w:rPr>
          <w:rFonts w:ascii="Arial" w:eastAsia="Times New Roman" w:hAnsi="Arial" w:cs="Arial"/>
          <w:spacing w:val="-5"/>
          <w:sz w:val="22"/>
          <w:szCs w:val="22"/>
        </w:rPr>
      </w:pPr>
    </w:p>
    <w:p w:rsidR="00E452A8" w:rsidRDefault="00E452A8" w:rsidP="00C92DB1">
      <w:pPr>
        <w:jc w:val="both"/>
        <w:rPr>
          <w:rFonts w:ascii="Arial" w:eastAsia="Times New Roman" w:hAnsi="Arial" w:cs="Arial"/>
          <w:spacing w:val="-5"/>
          <w:sz w:val="22"/>
          <w:szCs w:val="22"/>
        </w:rPr>
      </w:pPr>
      <w:r>
        <w:rPr>
          <w:rFonts w:ascii="Arial" w:eastAsia="Times New Roman" w:hAnsi="Arial" w:cs="Arial"/>
          <w:spacing w:val="-5"/>
          <w:sz w:val="22"/>
          <w:szCs w:val="22"/>
        </w:rPr>
        <w:t xml:space="preserve">Igualmente, </w:t>
      </w:r>
      <w:r w:rsidRPr="00E452A8">
        <w:rPr>
          <w:rFonts w:ascii="Arial" w:eastAsia="Times New Roman" w:hAnsi="Arial" w:cs="Arial"/>
          <w:spacing w:val="-5"/>
          <w:sz w:val="22"/>
          <w:szCs w:val="22"/>
        </w:rPr>
        <w:t>mediante comunicación con radicado</w:t>
      </w:r>
      <w:r>
        <w:rPr>
          <w:rFonts w:ascii="Arial" w:eastAsia="Times New Roman" w:hAnsi="Arial" w:cs="Arial"/>
          <w:spacing w:val="-5"/>
          <w:sz w:val="22"/>
          <w:szCs w:val="22"/>
        </w:rPr>
        <w:t xml:space="preserve"> CREG E-2019-011739</w:t>
      </w:r>
      <w:r w:rsidRPr="00E452A8">
        <w:rPr>
          <w:rFonts w:ascii="Arial" w:eastAsia="Times New Roman" w:hAnsi="Arial" w:cs="Arial"/>
          <w:spacing w:val="-5"/>
          <w:sz w:val="22"/>
          <w:szCs w:val="22"/>
        </w:rPr>
        <w:t xml:space="preserve"> la empresa </w:t>
      </w:r>
      <w:r>
        <w:rPr>
          <w:rFonts w:ascii="Arial" w:eastAsia="Times New Roman" w:hAnsi="Arial" w:cs="Arial"/>
          <w:spacing w:val="-5"/>
          <w:sz w:val="22"/>
          <w:szCs w:val="22"/>
        </w:rPr>
        <w:t>Inversiones GLP S.A.</w:t>
      </w:r>
      <w:r w:rsidR="006E45D1">
        <w:rPr>
          <w:rFonts w:ascii="Arial" w:eastAsia="Times New Roman" w:hAnsi="Arial" w:cs="Arial"/>
          <w:spacing w:val="-5"/>
          <w:sz w:val="22"/>
          <w:szCs w:val="22"/>
        </w:rPr>
        <w:t>E.</w:t>
      </w:r>
      <w:r>
        <w:rPr>
          <w:rFonts w:ascii="Arial" w:eastAsia="Times New Roman" w:hAnsi="Arial" w:cs="Arial"/>
          <w:spacing w:val="-5"/>
          <w:sz w:val="22"/>
          <w:szCs w:val="22"/>
        </w:rPr>
        <w:t xml:space="preserve"> E.S.P.</w:t>
      </w:r>
      <w:r w:rsidRPr="00E452A8">
        <w:rPr>
          <w:rFonts w:ascii="Arial" w:eastAsia="Times New Roman" w:hAnsi="Arial" w:cs="Arial"/>
          <w:spacing w:val="-5"/>
          <w:sz w:val="22"/>
          <w:szCs w:val="22"/>
        </w:rPr>
        <w:t xml:space="preserve"> expone que durante el transcurso del actual período de compra (i.e. sexto período), dicha empresa ha llevado a cabo un proces</w:t>
      </w:r>
      <w:r>
        <w:rPr>
          <w:rFonts w:ascii="Arial" w:eastAsia="Times New Roman" w:hAnsi="Arial" w:cs="Arial"/>
          <w:spacing w:val="-5"/>
          <w:sz w:val="22"/>
          <w:szCs w:val="22"/>
        </w:rPr>
        <w:t>o de fusión por absorción de la empresa distribuidora</w:t>
      </w:r>
      <w:r w:rsidRPr="00E452A8">
        <w:rPr>
          <w:rFonts w:ascii="Arial" w:eastAsia="Times New Roman" w:hAnsi="Arial" w:cs="Arial"/>
          <w:spacing w:val="-5"/>
          <w:sz w:val="22"/>
          <w:szCs w:val="22"/>
        </w:rPr>
        <w:t xml:space="preserve"> </w:t>
      </w:r>
      <w:proofErr w:type="spellStart"/>
      <w:r>
        <w:rPr>
          <w:rFonts w:ascii="Arial" w:eastAsia="Times New Roman" w:hAnsi="Arial" w:cs="Arial"/>
          <w:spacing w:val="-5"/>
          <w:sz w:val="22"/>
          <w:szCs w:val="22"/>
        </w:rPr>
        <w:t>Unigas</w:t>
      </w:r>
      <w:proofErr w:type="spellEnd"/>
      <w:r>
        <w:rPr>
          <w:rFonts w:ascii="Arial" w:eastAsia="Times New Roman" w:hAnsi="Arial" w:cs="Arial"/>
          <w:spacing w:val="-5"/>
          <w:sz w:val="22"/>
          <w:szCs w:val="22"/>
        </w:rPr>
        <w:t xml:space="preserve"> </w:t>
      </w:r>
      <w:r w:rsidR="006E45D1">
        <w:rPr>
          <w:rFonts w:ascii="Arial" w:eastAsia="Times New Roman" w:hAnsi="Arial" w:cs="Arial"/>
          <w:spacing w:val="-5"/>
          <w:sz w:val="22"/>
          <w:szCs w:val="22"/>
        </w:rPr>
        <w:t xml:space="preserve">Colombia </w:t>
      </w:r>
      <w:r w:rsidRPr="00E452A8">
        <w:rPr>
          <w:rFonts w:ascii="Arial" w:eastAsia="Times New Roman" w:hAnsi="Arial" w:cs="Arial"/>
          <w:spacing w:val="-5"/>
          <w:sz w:val="22"/>
          <w:szCs w:val="22"/>
        </w:rPr>
        <w:t>S.A. E.S.P. adjuntando los soportes correspondientes, incluida la escritura pública formalizada del acuerdo fusión.</w:t>
      </w:r>
    </w:p>
    <w:p w:rsidR="00E452A8" w:rsidRPr="007B1550" w:rsidRDefault="00E452A8" w:rsidP="00C92DB1">
      <w:pPr>
        <w:jc w:val="both"/>
        <w:rPr>
          <w:rFonts w:ascii="Arial" w:eastAsia="Times New Roman" w:hAnsi="Arial" w:cs="Arial"/>
          <w:spacing w:val="-5"/>
          <w:sz w:val="22"/>
          <w:szCs w:val="22"/>
        </w:rPr>
      </w:pPr>
    </w:p>
    <w:p w:rsidR="00C92DB1" w:rsidRDefault="00C92DB1" w:rsidP="00C92DB1">
      <w:pPr>
        <w:jc w:val="both"/>
        <w:rPr>
          <w:rFonts w:ascii="Arial" w:eastAsia="Times New Roman" w:hAnsi="Arial" w:cs="Arial"/>
          <w:spacing w:val="-5"/>
          <w:sz w:val="22"/>
          <w:szCs w:val="22"/>
        </w:rPr>
      </w:pPr>
      <w:r>
        <w:rPr>
          <w:rFonts w:ascii="Arial" w:eastAsia="Times New Roman" w:hAnsi="Arial" w:cs="Arial"/>
          <w:spacing w:val="-5"/>
          <w:sz w:val="22"/>
          <w:szCs w:val="22"/>
        </w:rPr>
        <w:t>En relación con esto</w:t>
      </w:r>
      <w:r w:rsidRPr="007B1550">
        <w:rPr>
          <w:rFonts w:ascii="Arial" w:eastAsia="Times New Roman" w:hAnsi="Arial" w:cs="Arial"/>
          <w:spacing w:val="-5"/>
          <w:sz w:val="22"/>
          <w:szCs w:val="22"/>
        </w:rPr>
        <w:t>, el artículo 178 del Código de Comercio establece lo siguiente:</w:t>
      </w:r>
    </w:p>
    <w:p w:rsidR="006E45D1" w:rsidRPr="007B1550" w:rsidRDefault="006E45D1" w:rsidP="00C92DB1">
      <w:pPr>
        <w:jc w:val="both"/>
        <w:rPr>
          <w:rFonts w:ascii="Arial" w:eastAsia="Times New Roman" w:hAnsi="Arial" w:cs="Arial"/>
          <w:spacing w:val="-5"/>
          <w:sz w:val="22"/>
          <w:szCs w:val="22"/>
        </w:rPr>
      </w:pPr>
    </w:p>
    <w:p w:rsidR="00C92DB1" w:rsidRPr="007B1550" w:rsidRDefault="00C92DB1" w:rsidP="00C92DB1">
      <w:pPr>
        <w:spacing w:after="220" w:line="220" w:lineRule="atLeast"/>
        <w:ind w:left="720"/>
        <w:jc w:val="both"/>
        <w:rPr>
          <w:rFonts w:ascii="Arial" w:eastAsia="Times New Roman" w:hAnsi="Arial" w:cs="Arial"/>
          <w:spacing w:val="-5"/>
          <w:sz w:val="20"/>
          <w:szCs w:val="20"/>
        </w:rPr>
      </w:pPr>
      <w:r w:rsidRPr="007B1550">
        <w:rPr>
          <w:rFonts w:ascii="Arial" w:eastAsia="Times New Roman" w:hAnsi="Arial" w:cs="Arial"/>
          <w:spacing w:val="-5"/>
          <w:sz w:val="20"/>
          <w:szCs w:val="20"/>
        </w:rPr>
        <w:t xml:space="preserve">“ARTÍCULO 178. </w:t>
      </w:r>
      <w:r w:rsidRPr="00015126">
        <w:rPr>
          <w:rFonts w:ascii="Arial" w:eastAsia="Times New Roman" w:hAnsi="Arial" w:cs="Arial"/>
          <w:b/>
          <w:spacing w:val="-5"/>
          <w:sz w:val="20"/>
          <w:szCs w:val="20"/>
          <w:u w:val="single"/>
        </w:rPr>
        <w:t>En virtud del acuerdo de fusión, una vez formalizado,</w:t>
      </w:r>
      <w:r w:rsidRPr="007B1550">
        <w:rPr>
          <w:rFonts w:ascii="Arial" w:eastAsia="Times New Roman" w:hAnsi="Arial" w:cs="Arial"/>
          <w:spacing w:val="-5"/>
          <w:sz w:val="20"/>
          <w:szCs w:val="20"/>
        </w:rPr>
        <w:t xml:space="preserve"> </w:t>
      </w:r>
      <w:r w:rsidRPr="007B1550">
        <w:rPr>
          <w:rFonts w:ascii="Arial" w:eastAsia="Times New Roman" w:hAnsi="Arial" w:cs="Arial"/>
          <w:b/>
          <w:spacing w:val="-5"/>
          <w:sz w:val="20"/>
          <w:szCs w:val="20"/>
          <w:u w:val="single"/>
        </w:rPr>
        <w:t>la sociedad absorbente adquiere los bienes y derechos de las sociedades absorbidas</w:t>
      </w:r>
      <w:r w:rsidRPr="007B1550">
        <w:rPr>
          <w:rFonts w:ascii="Arial" w:eastAsia="Times New Roman" w:hAnsi="Arial" w:cs="Arial"/>
          <w:spacing w:val="-5"/>
          <w:sz w:val="20"/>
          <w:szCs w:val="20"/>
        </w:rPr>
        <w:t>, y se hace cargo de pagar el pasivo interno y externo de las mismas.</w:t>
      </w:r>
    </w:p>
    <w:p w:rsidR="00C92DB1" w:rsidRPr="007B1550" w:rsidRDefault="00C92DB1" w:rsidP="00C92DB1">
      <w:pPr>
        <w:ind w:left="720"/>
        <w:jc w:val="both"/>
        <w:rPr>
          <w:rFonts w:ascii="Arial" w:eastAsia="Times New Roman" w:hAnsi="Arial" w:cs="Arial"/>
          <w:spacing w:val="-5"/>
          <w:sz w:val="20"/>
          <w:szCs w:val="20"/>
        </w:rPr>
      </w:pPr>
      <w:r w:rsidRPr="007B1550">
        <w:rPr>
          <w:rFonts w:ascii="Arial" w:eastAsia="Times New Roman" w:hAnsi="Arial" w:cs="Arial"/>
          <w:spacing w:val="-5"/>
          <w:sz w:val="20"/>
          <w:szCs w:val="20"/>
        </w:rPr>
        <w:lastRenderedPageBreak/>
        <w:t>La tradición de los inmuebles se hará por la misma escritura de fusión o por escritura separada, registrada conforme a la ley. La entrega de los bienes muebles se hará por inventario y se cumplirán las solemnidades que la ley exija para su validez o para que surtan efectos contra terceros.” (Resaltado fuera de texto)</w:t>
      </w:r>
    </w:p>
    <w:p w:rsidR="00C92DB1" w:rsidRPr="009C3853" w:rsidRDefault="00C92DB1" w:rsidP="00C92DB1">
      <w:pPr>
        <w:ind w:left="720"/>
        <w:jc w:val="both"/>
        <w:rPr>
          <w:rFonts w:ascii="Arial" w:eastAsia="Times New Roman" w:hAnsi="Arial" w:cs="Arial"/>
          <w:spacing w:val="-5"/>
          <w:sz w:val="18"/>
          <w:szCs w:val="22"/>
        </w:rPr>
      </w:pPr>
    </w:p>
    <w:p w:rsidR="00E452A8" w:rsidRDefault="00C92DB1" w:rsidP="00C92DB1">
      <w:pPr>
        <w:jc w:val="both"/>
        <w:rPr>
          <w:rFonts w:ascii="Arial" w:eastAsia="Times New Roman" w:hAnsi="Arial" w:cs="Arial"/>
          <w:spacing w:val="-5"/>
          <w:sz w:val="22"/>
          <w:szCs w:val="22"/>
        </w:rPr>
      </w:pPr>
      <w:r>
        <w:rPr>
          <w:rFonts w:ascii="Arial" w:eastAsia="Times New Roman" w:hAnsi="Arial" w:cs="Arial"/>
          <w:spacing w:val="-5"/>
          <w:sz w:val="22"/>
          <w:szCs w:val="22"/>
        </w:rPr>
        <w:t xml:space="preserve">En relación con que se debe entender como acuerdo formalizado, la </w:t>
      </w:r>
      <w:proofErr w:type="spellStart"/>
      <w:r>
        <w:rPr>
          <w:rFonts w:ascii="Arial" w:eastAsia="Times New Roman" w:hAnsi="Arial" w:cs="Arial"/>
          <w:spacing w:val="-5"/>
          <w:sz w:val="22"/>
          <w:szCs w:val="22"/>
        </w:rPr>
        <w:t>Supersociedades</w:t>
      </w:r>
      <w:proofErr w:type="spellEnd"/>
      <w:r>
        <w:rPr>
          <w:rFonts w:ascii="Arial" w:eastAsia="Times New Roman" w:hAnsi="Arial" w:cs="Arial"/>
          <w:spacing w:val="-5"/>
          <w:sz w:val="22"/>
          <w:szCs w:val="22"/>
        </w:rPr>
        <w:t xml:space="preserve"> </w:t>
      </w:r>
      <w:r w:rsidR="00E452A8">
        <w:rPr>
          <w:rFonts w:ascii="Arial" w:eastAsia="Times New Roman" w:hAnsi="Arial" w:cs="Arial"/>
          <w:spacing w:val="-5"/>
          <w:sz w:val="22"/>
          <w:szCs w:val="22"/>
        </w:rPr>
        <w:t>en oficio</w:t>
      </w:r>
      <w:r w:rsidR="00E452A8" w:rsidRPr="00E452A8">
        <w:rPr>
          <w:rFonts w:ascii="Arial" w:eastAsia="Times New Roman" w:hAnsi="Arial" w:cs="Arial"/>
          <w:spacing w:val="-5"/>
          <w:sz w:val="22"/>
          <w:szCs w:val="22"/>
        </w:rPr>
        <w:t xml:space="preserve"> 220-</w:t>
      </w:r>
      <w:r w:rsidR="00E452A8">
        <w:rPr>
          <w:rFonts w:ascii="Arial" w:eastAsia="Times New Roman" w:hAnsi="Arial" w:cs="Arial"/>
          <w:spacing w:val="-5"/>
          <w:sz w:val="22"/>
          <w:szCs w:val="22"/>
        </w:rPr>
        <w:t>012757 de 2018 expuso</w:t>
      </w:r>
      <w:r>
        <w:rPr>
          <w:rFonts w:ascii="Arial" w:eastAsia="Times New Roman" w:hAnsi="Arial" w:cs="Arial"/>
          <w:spacing w:val="-5"/>
          <w:sz w:val="22"/>
          <w:szCs w:val="22"/>
        </w:rPr>
        <w:t xml:space="preserve"> que</w:t>
      </w:r>
      <w:r w:rsidR="00E452A8">
        <w:rPr>
          <w:rFonts w:ascii="Arial" w:eastAsia="Times New Roman" w:hAnsi="Arial" w:cs="Arial"/>
          <w:spacing w:val="-5"/>
          <w:sz w:val="22"/>
          <w:szCs w:val="22"/>
        </w:rPr>
        <w:t xml:space="preserve">: </w:t>
      </w:r>
      <w:r>
        <w:rPr>
          <w:rFonts w:ascii="Arial" w:eastAsia="Times New Roman" w:hAnsi="Arial" w:cs="Arial"/>
          <w:spacing w:val="-5"/>
          <w:sz w:val="22"/>
          <w:szCs w:val="22"/>
        </w:rPr>
        <w:t xml:space="preserve"> </w:t>
      </w:r>
    </w:p>
    <w:p w:rsidR="00E452A8" w:rsidRPr="009C3853" w:rsidRDefault="00E452A8" w:rsidP="00C92DB1">
      <w:pPr>
        <w:jc w:val="both"/>
        <w:rPr>
          <w:rFonts w:ascii="Arial" w:eastAsia="Times New Roman" w:hAnsi="Arial" w:cs="Arial"/>
          <w:spacing w:val="-5"/>
          <w:sz w:val="18"/>
          <w:szCs w:val="22"/>
        </w:rPr>
      </w:pPr>
    </w:p>
    <w:p w:rsidR="00C92DB1" w:rsidRPr="00E452A8" w:rsidRDefault="00C92DB1" w:rsidP="00E452A8">
      <w:pPr>
        <w:ind w:left="708"/>
        <w:jc w:val="both"/>
        <w:rPr>
          <w:rFonts w:ascii="Arial" w:eastAsia="Times New Roman" w:hAnsi="Arial" w:cs="Arial"/>
          <w:i/>
          <w:spacing w:val="-5"/>
          <w:sz w:val="20"/>
          <w:szCs w:val="20"/>
        </w:rPr>
      </w:pPr>
      <w:r w:rsidRPr="00E452A8">
        <w:rPr>
          <w:rFonts w:ascii="Arial" w:eastAsia="Times New Roman" w:hAnsi="Arial" w:cs="Arial"/>
          <w:i/>
          <w:spacing w:val="-5"/>
          <w:sz w:val="20"/>
          <w:szCs w:val="20"/>
        </w:rPr>
        <w:t>“Sobre el particular vale precisar, que de acuerdo co</w:t>
      </w:r>
      <w:r w:rsidR="00E452A8" w:rsidRPr="00E452A8">
        <w:rPr>
          <w:rFonts w:ascii="Arial" w:eastAsia="Times New Roman" w:hAnsi="Arial" w:cs="Arial"/>
          <w:i/>
          <w:spacing w:val="-5"/>
          <w:sz w:val="20"/>
          <w:szCs w:val="20"/>
        </w:rPr>
        <w:t xml:space="preserve">n el artículo 172 del Código de </w:t>
      </w:r>
      <w:r w:rsidRPr="00E452A8">
        <w:rPr>
          <w:rFonts w:ascii="Arial" w:eastAsia="Times New Roman" w:hAnsi="Arial" w:cs="Arial"/>
          <w:i/>
          <w:spacing w:val="-5"/>
          <w:sz w:val="20"/>
          <w:szCs w:val="20"/>
        </w:rPr>
        <w:t>Comercio la fusión implica una reforma estatut</w:t>
      </w:r>
      <w:r w:rsidR="00E452A8" w:rsidRPr="00E452A8">
        <w:rPr>
          <w:rFonts w:ascii="Arial" w:eastAsia="Times New Roman" w:hAnsi="Arial" w:cs="Arial"/>
          <w:i/>
          <w:spacing w:val="-5"/>
          <w:sz w:val="20"/>
          <w:szCs w:val="20"/>
        </w:rPr>
        <w:t xml:space="preserve">aria, para la cual, conforme al </w:t>
      </w:r>
      <w:r w:rsidRPr="00E452A8">
        <w:rPr>
          <w:rFonts w:ascii="Arial" w:eastAsia="Times New Roman" w:hAnsi="Arial" w:cs="Arial"/>
          <w:i/>
          <w:spacing w:val="-5"/>
          <w:sz w:val="20"/>
          <w:szCs w:val="20"/>
        </w:rPr>
        <w:t xml:space="preserve">artículo 173 </w:t>
      </w:r>
      <w:proofErr w:type="spellStart"/>
      <w:r w:rsidRPr="00E452A8">
        <w:rPr>
          <w:rFonts w:ascii="Arial" w:eastAsia="Times New Roman" w:hAnsi="Arial" w:cs="Arial"/>
          <w:i/>
          <w:spacing w:val="-5"/>
          <w:sz w:val="20"/>
          <w:szCs w:val="20"/>
        </w:rPr>
        <w:t>ibidem</w:t>
      </w:r>
      <w:proofErr w:type="spellEnd"/>
      <w:r w:rsidRPr="00E452A8">
        <w:rPr>
          <w:rFonts w:ascii="Arial" w:eastAsia="Times New Roman" w:hAnsi="Arial" w:cs="Arial"/>
          <w:i/>
          <w:spacing w:val="-5"/>
          <w:sz w:val="20"/>
          <w:szCs w:val="20"/>
        </w:rPr>
        <w:t xml:space="preserve"> le corresponde al máximo ó</w:t>
      </w:r>
      <w:r w:rsidR="00E452A8" w:rsidRPr="00E452A8">
        <w:rPr>
          <w:rFonts w:ascii="Arial" w:eastAsia="Times New Roman" w:hAnsi="Arial" w:cs="Arial"/>
          <w:i/>
          <w:spacing w:val="-5"/>
          <w:sz w:val="20"/>
          <w:szCs w:val="20"/>
        </w:rPr>
        <w:t xml:space="preserve">rgano social (junta de socios o </w:t>
      </w:r>
      <w:r w:rsidRPr="00E452A8">
        <w:rPr>
          <w:rFonts w:ascii="Arial" w:eastAsia="Times New Roman" w:hAnsi="Arial" w:cs="Arial"/>
          <w:i/>
          <w:spacing w:val="-5"/>
          <w:sz w:val="20"/>
          <w:szCs w:val="20"/>
        </w:rPr>
        <w:t>asamblea), aprobar el respectivo compromiso de f</w:t>
      </w:r>
      <w:r w:rsidR="00E452A8" w:rsidRPr="00E452A8">
        <w:rPr>
          <w:rFonts w:ascii="Arial" w:eastAsia="Times New Roman" w:hAnsi="Arial" w:cs="Arial"/>
          <w:i/>
          <w:spacing w:val="-5"/>
          <w:sz w:val="20"/>
          <w:szCs w:val="20"/>
        </w:rPr>
        <w:t xml:space="preserve">usión con el quórum previsto en </w:t>
      </w:r>
      <w:r w:rsidRPr="00E452A8">
        <w:rPr>
          <w:rFonts w:ascii="Arial" w:eastAsia="Times New Roman" w:hAnsi="Arial" w:cs="Arial"/>
          <w:i/>
          <w:spacing w:val="-5"/>
          <w:sz w:val="20"/>
          <w:szCs w:val="20"/>
        </w:rPr>
        <w:t>los estatutos.</w:t>
      </w:r>
    </w:p>
    <w:p w:rsidR="00E452A8" w:rsidRPr="009C3853" w:rsidRDefault="00E452A8" w:rsidP="00E452A8">
      <w:pPr>
        <w:ind w:left="708"/>
        <w:jc w:val="both"/>
        <w:rPr>
          <w:rFonts w:ascii="Arial" w:eastAsia="Times New Roman" w:hAnsi="Arial" w:cs="Arial"/>
          <w:i/>
          <w:spacing w:val="-5"/>
          <w:sz w:val="18"/>
          <w:szCs w:val="20"/>
        </w:rPr>
      </w:pPr>
    </w:p>
    <w:p w:rsidR="00C92DB1" w:rsidRPr="00E452A8" w:rsidRDefault="00C92DB1" w:rsidP="00B07F2D">
      <w:pPr>
        <w:ind w:left="708"/>
        <w:jc w:val="both"/>
        <w:rPr>
          <w:rFonts w:ascii="Arial" w:eastAsia="Times New Roman" w:hAnsi="Arial" w:cs="Arial"/>
          <w:i/>
          <w:spacing w:val="-5"/>
          <w:sz w:val="20"/>
          <w:szCs w:val="20"/>
        </w:rPr>
      </w:pPr>
      <w:r w:rsidRPr="00E452A8">
        <w:rPr>
          <w:rFonts w:ascii="Arial" w:eastAsia="Times New Roman" w:hAnsi="Arial" w:cs="Arial"/>
          <w:i/>
          <w:spacing w:val="-5"/>
          <w:sz w:val="20"/>
          <w:szCs w:val="20"/>
        </w:rPr>
        <w:t>Igual, el artículo 178 de la misma codificación, di</w:t>
      </w:r>
      <w:r w:rsidR="00E452A8" w:rsidRPr="00E452A8">
        <w:rPr>
          <w:rFonts w:ascii="Arial" w:eastAsia="Times New Roman" w:hAnsi="Arial" w:cs="Arial"/>
          <w:i/>
          <w:spacing w:val="-5"/>
          <w:sz w:val="20"/>
          <w:szCs w:val="20"/>
        </w:rPr>
        <w:t xml:space="preserve">spone </w:t>
      </w:r>
      <w:proofErr w:type="gramStart"/>
      <w:r w:rsidR="00E452A8" w:rsidRPr="00E452A8">
        <w:rPr>
          <w:rFonts w:ascii="Arial" w:eastAsia="Times New Roman" w:hAnsi="Arial" w:cs="Arial"/>
          <w:i/>
          <w:spacing w:val="-5"/>
          <w:sz w:val="20"/>
          <w:szCs w:val="20"/>
        </w:rPr>
        <w:t>que</w:t>
      </w:r>
      <w:proofErr w:type="gramEnd"/>
      <w:r w:rsidR="00E452A8" w:rsidRPr="00E452A8">
        <w:rPr>
          <w:rFonts w:ascii="Arial" w:eastAsia="Times New Roman" w:hAnsi="Arial" w:cs="Arial"/>
          <w:i/>
          <w:spacing w:val="-5"/>
          <w:sz w:val="20"/>
          <w:szCs w:val="20"/>
        </w:rPr>
        <w:t xml:space="preserve"> en virtud del acuerdo </w:t>
      </w:r>
      <w:r w:rsidRPr="00E452A8">
        <w:rPr>
          <w:rFonts w:ascii="Arial" w:eastAsia="Times New Roman" w:hAnsi="Arial" w:cs="Arial"/>
          <w:i/>
          <w:spacing w:val="-5"/>
          <w:sz w:val="20"/>
          <w:szCs w:val="20"/>
        </w:rPr>
        <w:t>de fusión, una vez formalizado, la sociedad a</w:t>
      </w:r>
      <w:r w:rsidR="00E452A8" w:rsidRPr="00E452A8">
        <w:rPr>
          <w:rFonts w:ascii="Arial" w:eastAsia="Times New Roman" w:hAnsi="Arial" w:cs="Arial"/>
          <w:i/>
          <w:spacing w:val="-5"/>
          <w:sz w:val="20"/>
          <w:szCs w:val="20"/>
        </w:rPr>
        <w:t xml:space="preserve">bsorbente adquiere los bienes y </w:t>
      </w:r>
      <w:r w:rsidRPr="00E452A8">
        <w:rPr>
          <w:rFonts w:ascii="Arial" w:eastAsia="Times New Roman" w:hAnsi="Arial" w:cs="Arial"/>
          <w:i/>
          <w:spacing w:val="-5"/>
          <w:sz w:val="20"/>
          <w:szCs w:val="20"/>
        </w:rPr>
        <w:t>derechos de las sociedades absorbidas, y s</w:t>
      </w:r>
      <w:r w:rsidR="00E452A8" w:rsidRPr="00E452A8">
        <w:rPr>
          <w:rFonts w:ascii="Arial" w:eastAsia="Times New Roman" w:hAnsi="Arial" w:cs="Arial"/>
          <w:i/>
          <w:spacing w:val="-5"/>
          <w:sz w:val="20"/>
          <w:szCs w:val="20"/>
        </w:rPr>
        <w:t xml:space="preserve">e hace cargo de pagar el pasivo </w:t>
      </w:r>
      <w:r w:rsidRPr="00E452A8">
        <w:rPr>
          <w:rFonts w:ascii="Arial" w:eastAsia="Times New Roman" w:hAnsi="Arial" w:cs="Arial"/>
          <w:i/>
          <w:spacing w:val="-5"/>
          <w:sz w:val="20"/>
          <w:szCs w:val="20"/>
        </w:rPr>
        <w:t xml:space="preserve">interno y externo de las mismas. Formalizar quiere </w:t>
      </w:r>
      <w:r w:rsidR="00E452A8" w:rsidRPr="00E452A8">
        <w:rPr>
          <w:rFonts w:ascii="Arial" w:eastAsia="Times New Roman" w:hAnsi="Arial" w:cs="Arial"/>
          <w:i/>
          <w:spacing w:val="-5"/>
          <w:sz w:val="20"/>
          <w:szCs w:val="20"/>
        </w:rPr>
        <w:t xml:space="preserve">decir, que el acuerdo de fusión </w:t>
      </w:r>
      <w:r w:rsidRPr="00E452A8">
        <w:rPr>
          <w:rFonts w:ascii="Arial" w:eastAsia="Times New Roman" w:hAnsi="Arial" w:cs="Arial"/>
          <w:i/>
          <w:spacing w:val="-5"/>
          <w:sz w:val="20"/>
          <w:szCs w:val="20"/>
        </w:rPr>
        <w:t>debe elevarse a escritura pública, instrumento en el que han de insertarse los</w:t>
      </w:r>
      <w:r w:rsidR="00B07F2D">
        <w:rPr>
          <w:rFonts w:ascii="Arial" w:eastAsia="Times New Roman" w:hAnsi="Arial" w:cs="Arial"/>
          <w:i/>
          <w:spacing w:val="-5"/>
          <w:sz w:val="20"/>
          <w:szCs w:val="20"/>
        </w:rPr>
        <w:t xml:space="preserve"> </w:t>
      </w:r>
      <w:r w:rsidRPr="00E452A8">
        <w:rPr>
          <w:rFonts w:ascii="Arial" w:eastAsia="Times New Roman" w:hAnsi="Arial" w:cs="Arial"/>
          <w:i/>
          <w:spacing w:val="-5"/>
          <w:sz w:val="20"/>
          <w:szCs w:val="20"/>
        </w:rPr>
        <w:t>documentos a que alude el artículo 177 del Código de Comercio.</w:t>
      </w:r>
    </w:p>
    <w:p w:rsidR="00E452A8" w:rsidRPr="009C3853" w:rsidRDefault="00E452A8" w:rsidP="00E452A8">
      <w:pPr>
        <w:ind w:left="708"/>
        <w:jc w:val="both"/>
        <w:rPr>
          <w:rFonts w:ascii="Arial" w:eastAsia="Times New Roman" w:hAnsi="Arial" w:cs="Arial"/>
          <w:i/>
          <w:spacing w:val="-5"/>
          <w:sz w:val="18"/>
          <w:szCs w:val="20"/>
        </w:rPr>
      </w:pPr>
    </w:p>
    <w:p w:rsidR="00E452A8" w:rsidRPr="00E452A8" w:rsidRDefault="00E452A8" w:rsidP="00E452A8">
      <w:pPr>
        <w:ind w:left="708"/>
        <w:jc w:val="both"/>
        <w:rPr>
          <w:rFonts w:ascii="Arial" w:eastAsia="Times New Roman" w:hAnsi="Arial" w:cs="Arial"/>
          <w:i/>
          <w:spacing w:val="-5"/>
          <w:sz w:val="20"/>
          <w:szCs w:val="20"/>
        </w:rPr>
      </w:pPr>
      <w:r w:rsidRPr="00E452A8">
        <w:rPr>
          <w:rFonts w:ascii="Arial" w:eastAsia="Times New Roman" w:hAnsi="Arial" w:cs="Arial"/>
          <w:i/>
          <w:spacing w:val="-5"/>
          <w:sz w:val="20"/>
          <w:szCs w:val="20"/>
        </w:rPr>
        <w:t>Como se puede observar, para que la sociedad absorbente adquiera los derechos y las obligaciones de las absorbidas, es requisito sine qua non, que el acuerdo se formalice, esto es, que se proceda de conformidad con lo previsto en el artículo 158 del Código de Comercio, según el cual ‘Toda reforma del contrato de sociedad comercial deberá reducirse a escritura pública que se registrará como se dispone para la escritura de constitución de la sociedad, en la cámara correspondiente al domicilio social al tiempo de la reforma.</w:t>
      </w:r>
    </w:p>
    <w:p w:rsidR="00E452A8" w:rsidRPr="009C3853" w:rsidRDefault="00E452A8" w:rsidP="00E452A8">
      <w:pPr>
        <w:ind w:left="708"/>
        <w:jc w:val="both"/>
        <w:rPr>
          <w:rFonts w:ascii="Arial" w:eastAsia="Times New Roman" w:hAnsi="Arial" w:cs="Arial"/>
          <w:i/>
          <w:spacing w:val="-5"/>
          <w:sz w:val="18"/>
          <w:szCs w:val="20"/>
        </w:rPr>
      </w:pPr>
    </w:p>
    <w:p w:rsidR="00E452A8" w:rsidRPr="00E452A8" w:rsidRDefault="00E452A8" w:rsidP="00AD15B5">
      <w:pPr>
        <w:ind w:left="708"/>
        <w:jc w:val="both"/>
        <w:rPr>
          <w:rFonts w:ascii="Arial" w:eastAsia="Times New Roman" w:hAnsi="Arial" w:cs="Arial"/>
          <w:i/>
          <w:spacing w:val="-5"/>
          <w:sz w:val="20"/>
          <w:szCs w:val="20"/>
        </w:rPr>
      </w:pPr>
      <w:r w:rsidRPr="00E452A8">
        <w:rPr>
          <w:rFonts w:ascii="Arial" w:eastAsia="Times New Roman" w:hAnsi="Arial" w:cs="Arial"/>
          <w:i/>
          <w:spacing w:val="-5"/>
          <w:sz w:val="20"/>
          <w:szCs w:val="20"/>
        </w:rPr>
        <w:t xml:space="preserve">Sin los requisitos anteriores la reforma no producirá efecto alguno respecto de </w:t>
      </w:r>
      <w:r w:rsidR="00AD15B5">
        <w:rPr>
          <w:rFonts w:ascii="Arial" w:eastAsia="Times New Roman" w:hAnsi="Arial" w:cs="Arial"/>
          <w:i/>
          <w:spacing w:val="-5"/>
          <w:sz w:val="20"/>
          <w:szCs w:val="20"/>
        </w:rPr>
        <w:t xml:space="preserve">terceros…’. </w:t>
      </w:r>
      <w:r w:rsidRPr="00E452A8">
        <w:rPr>
          <w:rFonts w:ascii="Arial" w:eastAsia="Times New Roman" w:hAnsi="Arial" w:cs="Arial"/>
          <w:i/>
          <w:spacing w:val="-5"/>
          <w:sz w:val="20"/>
          <w:szCs w:val="20"/>
        </w:rPr>
        <w:t>(…)</w:t>
      </w:r>
    </w:p>
    <w:p w:rsidR="00E452A8" w:rsidRPr="009C3853" w:rsidRDefault="00E452A8" w:rsidP="00E452A8">
      <w:pPr>
        <w:ind w:left="708"/>
        <w:jc w:val="both"/>
        <w:rPr>
          <w:rFonts w:ascii="Arial" w:eastAsia="Times New Roman" w:hAnsi="Arial" w:cs="Arial"/>
          <w:i/>
          <w:spacing w:val="-5"/>
          <w:sz w:val="18"/>
          <w:szCs w:val="20"/>
        </w:rPr>
      </w:pPr>
    </w:p>
    <w:p w:rsidR="00E452A8" w:rsidRPr="00E452A8" w:rsidRDefault="00E452A8" w:rsidP="00E452A8">
      <w:pPr>
        <w:ind w:left="708"/>
        <w:jc w:val="both"/>
        <w:rPr>
          <w:rFonts w:ascii="Arial" w:eastAsia="Times New Roman" w:hAnsi="Arial" w:cs="Arial"/>
          <w:spacing w:val="-5"/>
          <w:sz w:val="22"/>
          <w:szCs w:val="22"/>
        </w:rPr>
      </w:pPr>
      <w:r w:rsidRPr="00E452A8">
        <w:rPr>
          <w:rFonts w:ascii="Arial" w:eastAsia="Times New Roman" w:hAnsi="Arial" w:cs="Arial"/>
          <w:i/>
          <w:spacing w:val="-5"/>
          <w:sz w:val="20"/>
          <w:szCs w:val="20"/>
        </w:rPr>
        <w:t>En ese orden de ideas se precisa, que la adquisición por parte de la sociedad absorbente, respecto de las absorbidas se consolida al momento de elevarse a escritura pública el compromiso de fusión, siendo oponible a terceros a partir de su inscripción en el registro mercantil en razón a su función publicitaria”.</w:t>
      </w:r>
    </w:p>
    <w:p w:rsidR="00D42E1A" w:rsidRPr="009C3853" w:rsidRDefault="00D42E1A" w:rsidP="00D42E1A">
      <w:pPr>
        <w:ind w:left="720"/>
        <w:jc w:val="both"/>
        <w:rPr>
          <w:rFonts w:ascii="Arial" w:eastAsia="Times New Roman" w:hAnsi="Arial" w:cs="Arial"/>
          <w:spacing w:val="-5"/>
          <w:sz w:val="20"/>
          <w:szCs w:val="22"/>
        </w:rPr>
      </w:pPr>
      <w:bookmarkStart w:id="0" w:name="_GoBack"/>
      <w:bookmarkEnd w:id="0"/>
    </w:p>
    <w:p w:rsidR="00D42E1A" w:rsidRDefault="00D42E1A" w:rsidP="00D42E1A">
      <w:pPr>
        <w:jc w:val="both"/>
        <w:rPr>
          <w:rFonts w:ascii="Arial" w:eastAsia="Times New Roman" w:hAnsi="Arial" w:cs="Arial"/>
          <w:spacing w:val="-5"/>
          <w:sz w:val="22"/>
          <w:szCs w:val="22"/>
        </w:rPr>
      </w:pPr>
      <w:r w:rsidRPr="007B1550">
        <w:rPr>
          <w:rFonts w:ascii="Arial" w:eastAsia="Times New Roman" w:hAnsi="Arial" w:cs="Arial"/>
          <w:spacing w:val="-5"/>
          <w:sz w:val="22"/>
          <w:szCs w:val="22"/>
        </w:rPr>
        <w:t xml:space="preserve">De acuerdo con lo anterior, encuentra la Comisión que en el caso de la capacidad de compra definida para </w:t>
      </w:r>
      <w:r w:rsidR="00E452A8">
        <w:rPr>
          <w:rFonts w:ascii="Arial" w:eastAsia="Times New Roman" w:hAnsi="Arial" w:cs="Arial"/>
          <w:spacing w:val="-5"/>
          <w:sz w:val="22"/>
          <w:szCs w:val="22"/>
        </w:rPr>
        <w:t>las empresas distribuidoras</w:t>
      </w:r>
      <w:r w:rsidRPr="007B1550">
        <w:rPr>
          <w:rFonts w:ascii="Arial" w:eastAsia="Times New Roman" w:hAnsi="Arial" w:cs="Arial"/>
          <w:spacing w:val="-5"/>
          <w:sz w:val="22"/>
          <w:szCs w:val="22"/>
        </w:rPr>
        <w:t xml:space="preserve"> </w:t>
      </w:r>
      <w:proofErr w:type="spellStart"/>
      <w:r w:rsidR="00E452A8" w:rsidRPr="00E452A8">
        <w:rPr>
          <w:rFonts w:ascii="Arial" w:eastAsia="Times New Roman" w:hAnsi="Arial" w:cs="Arial"/>
          <w:spacing w:val="-5"/>
          <w:sz w:val="22"/>
          <w:szCs w:val="22"/>
        </w:rPr>
        <w:t>Colgas</w:t>
      </w:r>
      <w:proofErr w:type="spellEnd"/>
      <w:r w:rsidR="00E452A8" w:rsidRPr="00E452A8">
        <w:rPr>
          <w:rFonts w:ascii="Arial" w:eastAsia="Times New Roman" w:hAnsi="Arial" w:cs="Arial"/>
          <w:spacing w:val="-5"/>
          <w:sz w:val="22"/>
          <w:szCs w:val="22"/>
        </w:rPr>
        <w:t xml:space="preserve"> de Occidente S.A. E.S.P., Gases de Antioquia S.A. E.S.P., Compañías Asociadas de Gas S.A. E.S.P.</w:t>
      </w:r>
      <w:r w:rsidR="00E452A8">
        <w:rPr>
          <w:rFonts w:ascii="Arial" w:eastAsia="Times New Roman" w:hAnsi="Arial" w:cs="Arial"/>
          <w:spacing w:val="-5"/>
          <w:sz w:val="22"/>
          <w:szCs w:val="22"/>
        </w:rPr>
        <w:t xml:space="preserve"> </w:t>
      </w:r>
      <w:r w:rsidRPr="007B1550">
        <w:rPr>
          <w:rFonts w:ascii="Arial" w:eastAsia="Times New Roman" w:hAnsi="Arial" w:cs="Arial"/>
          <w:spacing w:val="-5"/>
          <w:sz w:val="22"/>
          <w:szCs w:val="22"/>
        </w:rPr>
        <w:t xml:space="preserve">para un período de compra determinado, si durante el transcurso de dicho periodo de compra se lleva a cabo la formalización de un acuerdo fusión donde este distribuidor es absorbido por otro distribuidor, </w:t>
      </w:r>
      <w:r>
        <w:rPr>
          <w:rFonts w:ascii="Arial" w:eastAsia="Times New Roman" w:hAnsi="Arial" w:cs="Arial"/>
          <w:spacing w:val="-5"/>
          <w:sz w:val="22"/>
          <w:szCs w:val="22"/>
        </w:rPr>
        <w:t xml:space="preserve">en este caso </w:t>
      </w:r>
      <w:proofErr w:type="spellStart"/>
      <w:r>
        <w:rPr>
          <w:rFonts w:ascii="Arial" w:eastAsia="Times New Roman" w:hAnsi="Arial" w:cs="Arial"/>
          <w:spacing w:val="-5"/>
          <w:sz w:val="22"/>
          <w:szCs w:val="22"/>
        </w:rPr>
        <w:t>Nortesantandereana</w:t>
      </w:r>
      <w:proofErr w:type="spellEnd"/>
      <w:r>
        <w:rPr>
          <w:rFonts w:ascii="Arial" w:eastAsia="Times New Roman" w:hAnsi="Arial" w:cs="Arial"/>
          <w:spacing w:val="-5"/>
          <w:sz w:val="22"/>
          <w:szCs w:val="22"/>
        </w:rPr>
        <w:t xml:space="preserve"> de Gas S.A. E.S.P., </w:t>
      </w:r>
      <w:r w:rsidRPr="007B1550">
        <w:rPr>
          <w:rFonts w:ascii="Arial" w:eastAsia="Times New Roman" w:hAnsi="Arial" w:cs="Arial"/>
          <w:spacing w:val="-5"/>
          <w:sz w:val="22"/>
          <w:szCs w:val="22"/>
        </w:rPr>
        <w:t>la capacidad de compra disponible del distribuidor absorbido, es decir, aquella que no ha sido contratada por el distribuidor absorbido durante este período de compra correspondería a un derecho que pasaría a estar en cabeza del distribuidor que cuenta con la calidad de sociedad absorbente en los términos del artículo 178 citado.</w:t>
      </w:r>
      <w:r>
        <w:rPr>
          <w:rFonts w:ascii="Arial" w:eastAsia="Times New Roman" w:hAnsi="Arial" w:cs="Arial"/>
          <w:spacing w:val="-5"/>
          <w:sz w:val="22"/>
          <w:szCs w:val="22"/>
        </w:rPr>
        <w:t xml:space="preserve"> </w:t>
      </w:r>
    </w:p>
    <w:p w:rsidR="009C3853" w:rsidRPr="007B1550" w:rsidRDefault="009C3853" w:rsidP="009C3853">
      <w:pPr>
        <w:tabs>
          <w:tab w:val="left" w:pos="2205"/>
        </w:tabs>
        <w:jc w:val="both"/>
        <w:rPr>
          <w:rFonts w:ascii="Arial" w:eastAsia="Times New Roman" w:hAnsi="Arial" w:cs="Arial"/>
          <w:spacing w:val="-5"/>
          <w:sz w:val="22"/>
          <w:szCs w:val="22"/>
        </w:rPr>
      </w:pPr>
      <w:r>
        <w:rPr>
          <w:rFonts w:ascii="Arial" w:eastAsia="Times New Roman" w:hAnsi="Arial" w:cs="Arial"/>
          <w:spacing w:val="-5"/>
          <w:sz w:val="22"/>
          <w:szCs w:val="22"/>
        </w:rPr>
        <w:tab/>
      </w:r>
    </w:p>
    <w:p w:rsidR="00D42E1A" w:rsidRDefault="00D42E1A" w:rsidP="00D42E1A">
      <w:pPr>
        <w:jc w:val="both"/>
        <w:rPr>
          <w:rFonts w:ascii="Arial" w:eastAsia="Times New Roman" w:hAnsi="Arial" w:cs="Arial"/>
          <w:spacing w:val="-5"/>
          <w:sz w:val="22"/>
          <w:szCs w:val="22"/>
        </w:rPr>
      </w:pPr>
      <w:r>
        <w:rPr>
          <w:rFonts w:ascii="Arial" w:eastAsia="Times New Roman" w:hAnsi="Arial" w:cs="Arial"/>
          <w:spacing w:val="-5"/>
          <w:sz w:val="22"/>
          <w:szCs w:val="22"/>
        </w:rPr>
        <w:t>Es por esto que,</w:t>
      </w:r>
      <w:r w:rsidRPr="007B1550">
        <w:rPr>
          <w:rFonts w:ascii="Arial" w:eastAsia="Times New Roman" w:hAnsi="Arial" w:cs="Arial"/>
          <w:spacing w:val="-5"/>
          <w:sz w:val="22"/>
          <w:szCs w:val="22"/>
        </w:rPr>
        <w:t xml:space="preserve"> para efectos regulatorios y con el fin de poder dar cumplimiento a las obligaciones con las que cuentan los comercializadores mayoristas y los distribuidores de GLP en la Resolución CREG </w:t>
      </w:r>
      <w:r>
        <w:rPr>
          <w:rFonts w:ascii="Arial" w:eastAsia="Times New Roman" w:hAnsi="Arial" w:cs="Arial"/>
          <w:spacing w:val="-5"/>
          <w:sz w:val="22"/>
          <w:szCs w:val="22"/>
        </w:rPr>
        <w:t xml:space="preserve">063 de 2016, corresponde precisar esta circunstancia dentro </w:t>
      </w:r>
      <w:r w:rsidRPr="007B1550">
        <w:rPr>
          <w:rFonts w:ascii="Arial" w:eastAsia="Times New Roman" w:hAnsi="Arial" w:cs="Arial"/>
          <w:spacing w:val="-5"/>
          <w:sz w:val="22"/>
          <w:szCs w:val="22"/>
        </w:rPr>
        <w:t xml:space="preserve"> </w:t>
      </w:r>
      <w:r>
        <w:rPr>
          <w:rFonts w:ascii="Arial" w:eastAsia="Times New Roman" w:hAnsi="Arial" w:cs="Arial"/>
          <w:spacing w:val="-5"/>
          <w:sz w:val="22"/>
          <w:szCs w:val="22"/>
        </w:rPr>
        <w:t>d</w:t>
      </w:r>
      <w:r w:rsidRPr="007B1550">
        <w:rPr>
          <w:rFonts w:ascii="Arial" w:eastAsia="Times New Roman" w:hAnsi="Arial" w:cs="Arial"/>
          <w:spacing w:val="-5"/>
          <w:sz w:val="22"/>
          <w:szCs w:val="22"/>
        </w:rPr>
        <w:t xml:space="preserve">el contenido de la Circular </w:t>
      </w:r>
      <w:r w:rsidR="00E452A8">
        <w:rPr>
          <w:rFonts w:ascii="Arial" w:eastAsia="Times New Roman" w:hAnsi="Arial" w:cs="Arial"/>
          <w:spacing w:val="-5"/>
          <w:sz w:val="22"/>
          <w:szCs w:val="22"/>
        </w:rPr>
        <w:t>CREG 042 de 2019</w:t>
      </w:r>
      <w:r w:rsidRPr="007B1550">
        <w:rPr>
          <w:rFonts w:ascii="Arial" w:eastAsia="Times New Roman" w:hAnsi="Arial" w:cs="Arial"/>
          <w:spacing w:val="-5"/>
          <w:sz w:val="22"/>
          <w:szCs w:val="22"/>
        </w:rPr>
        <w:t xml:space="preserve"> </w:t>
      </w:r>
      <w:r>
        <w:rPr>
          <w:rFonts w:ascii="Arial" w:eastAsia="Times New Roman" w:hAnsi="Arial" w:cs="Arial"/>
          <w:spacing w:val="-5"/>
          <w:sz w:val="22"/>
          <w:szCs w:val="22"/>
        </w:rPr>
        <w:t xml:space="preserve">mediante </w:t>
      </w:r>
      <w:r w:rsidRPr="007B1550">
        <w:rPr>
          <w:rFonts w:ascii="Arial" w:eastAsia="Times New Roman" w:hAnsi="Arial" w:cs="Arial"/>
          <w:spacing w:val="-5"/>
          <w:sz w:val="22"/>
          <w:szCs w:val="22"/>
        </w:rPr>
        <w:t xml:space="preserve">la cual se publicaron las capacidades de compra aplicables para el </w:t>
      </w:r>
      <w:r w:rsidR="00E452A8">
        <w:rPr>
          <w:rFonts w:ascii="Arial" w:eastAsia="Times New Roman" w:hAnsi="Arial" w:cs="Arial"/>
          <w:spacing w:val="-5"/>
          <w:sz w:val="22"/>
          <w:szCs w:val="22"/>
        </w:rPr>
        <w:t>sexto</w:t>
      </w:r>
      <w:r>
        <w:rPr>
          <w:rFonts w:ascii="Arial" w:eastAsia="Times New Roman" w:hAnsi="Arial" w:cs="Arial"/>
          <w:spacing w:val="-5"/>
          <w:sz w:val="22"/>
          <w:szCs w:val="22"/>
        </w:rPr>
        <w:t xml:space="preserve"> </w:t>
      </w:r>
      <w:r w:rsidRPr="007B1550">
        <w:rPr>
          <w:rFonts w:ascii="Arial" w:eastAsia="Times New Roman" w:hAnsi="Arial" w:cs="Arial"/>
          <w:spacing w:val="-5"/>
          <w:sz w:val="22"/>
          <w:szCs w:val="22"/>
        </w:rPr>
        <w:t>período de compra correspondiente, integrando la capacidad de compra de</w:t>
      </w:r>
      <w:r w:rsidR="00E452A8">
        <w:rPr>
          <w:rFonts w:ascii="Arial" w:eastAsia="Times New Roman" w:hAnsi="Arial" w:cs="Arial"/>
          <w:spacing w:val="-5"/>
          <w:sz w:val="22"/>
          <w:szCs w:val="22"/>
        </w:rPr>
        <w:t xml:space="preserve"> </w:t>
      </w:r>
      <w:r w:rsidRPr="007B1550">
        <w:rPr>
          <w:rFonts w:ascii="Arial" w:eastAsia="Times New Roman" w:hAnsi="Arial" w:cs="Arial"/>
          <w:spacing w:val="-5"/>
          <w:sz w:val="22"/>
          <w:szCs w:val="22"/>
        </w:rPr>
        <w:t>l</w:t>
      </w:r>
      <w:r w:rsidR="00E452A8">
        <w:rPr>
          <w:rFonts w:ascii="Arial" w:eastAsia="Times New Roman" w:hAnsi="Arial" w:cs="Arial"/>
          <w:spacing w:val="-5"/>
          <w:sz w:val="22"/>
          <w:szCs w:val="22"/>
        </w:rPr>
        <w:t>os</w:t>
      </w:r>
      <w:r w:rsidRPr="007B1550">
        <w:rPr>
          <w:rFonts w:ascii="Arial" w:eastAsia="Times New Roman" w:hAnsi="Arial" w:cs="Arial"/>
          <w:spacing w:val="-5"/>
          <w:sz w:val="22"/>
          <w:szCs w:val="22"/>
        </w:rPr>
        <w:t xml:space="preserve"> distribuidor</w:t>
      </w:r>
      <w:r w:rsidR="00E452A8">
        <w:rPr>
          <w:rFonts w:ascii="Arial" w:eastAsia="Times New Roman" w:hAnsi="Arial" w:cs="Arial"/>
          <w:spacing w:val="-5"/>
          <w:sz w:val="22"/>
          <w:szCs w:val="22"/>
        </w:rPr>
        <w:t>es</w:t>
      </w:r>
      <w:r w:rsidRPr="007B1550">
        <w:rPr>
          <w:rFonts w:ascii="Arial" w:eastAsia="Times New Roman" w:hAnsi="Arial" w:cs="Arial"/>
          <w:spacing w:val="-5"/>
          <w:sz w:val="22"/>
          <w:szCs w:val="22"/>
        </w:rPr>
        <w:t xml:space="preserve"> absorbido</w:t>
      </w:r>
      <w:r w:rsidR="00E452A8">
        <w:rPr>
          <w:rFonts w:ascii="Arial" w:eastAsia="Times New Roman" w:hAnsi="Arial" w:cs="Arial"/>
          <w:spacing w:val="-5"/>
          <w:sz w:val="22"/>
          <w:szCs w:val="22"/>
        </w:rPr>
        <w:t>s</w:t>
      </w:r>
      <w:r>
        <w:rPr>
          <w:rFonts w:ascii="Arial" w:eastAsia="Times New Roman" w:hAnsi="Arial" w:cs="Arial"/>
          <w:spacing w:val="-5"/>
          <w:sz w:val="22"/>
          <w:szCs w:val="22"/>
        </w:rPr>
        <w:t xml:space="preserve"> (i.e. </w:t>
      </w:r>
      <w:proofErr w:type="spellStart"/>
      <w:r w:rsidR="00E452A8" w:rsidRPr="00E452A8">
        <w:rPr>
          <w:rFonts w:ascii="Arial" w:eastAsia="Times New Roman" w:hAnsi="Arial" w:cs="Arial"/>
          <w:spacing w:val="-5"/>
          <w:sz w:val="22"/>
          <w:szCs w:val="22"/>
        </w:rPr>
        <w:t>Colgas</w:t>
      </w:r>
      <w:proofErr w:type="spellEnd"/>
      <w:r w:rsidR="00E452A8" w:rsidRPr="00E452A8">
        <w:rPr>
          <w:rFonts w:ascii="Arial" w:eastAsia="Times New Roman" w:hAnsi="Arial" w:cs="Arial"/>
          <w:spacing w:val="-5"/>
          <w:sz w:val="22"/>
          <w:szCs w:val="22"/>
        </w:rPr>
        <w:t xml:space="preserve"> de Occidente S.A. E.S.P., Gases de Antioquia S.A. E.S.P., Compañías Asociadas de Gas S.A. E.S.P.</w:t>
      </w:r>
      <w:r w:rsidRPr="00E452A8">
        <w:rPr>
          <w:rFonts w:ascii="Arial" w:eastAsia="Times New Roman" w:hAnsi="Arial" w:cs="Arial"/>
          <w:spacing w:val="-5"/>
          <w:sz w:val="22"/>
          <w:szCs w:val="22"/>
        </w:rPr>
        <w:t>)</w:t>
      </w:r>
      <w:r w:rsidRPr="007B1550">
        <w:rPr>
          <w:rFonts w:ascii="Arial" w:eastAsia="Times New Roman" w:hAnsi="Arial" w:cs="Arial"/>
          <w:spacing w:val="-5"/>
          <w:sz w:val="22"/>
          <w:szCs w:val="22"/>
        </w:rPr>
        <w:t xml:space="preserve"> al distribuidor absorbente</w:t>
      </w:r>
      <w:r>
        <w:rPr>
          <w:rFonts w:ascii="Arial" w:eastAsia="Times New Roman" w:hAnsi="Arial" w:cs="Arial"/>
          <w:spacing w:val="-5"/>
          <w:sz w:val="22"/>
          <w:szCs w:val="22"/>
        </w:rPr>
        <w:t xml:space="preserve"> (i.e. </w:t>
      </w:r>
      <w:proofErr w:type="spellStart"/>
      <w:r>
        <w:rPr>
          <w:rFonts w:ascii="Arial" w:eastAsia="Times New Roman" w:hAnsi="Arial" w:cs="Arial"/>
          <w:spacing w:val="-5"/>
          <w:sz w:val="22"/>
          <w:szCs w:val="22"/>
        </w:rPr>
        <w:t>Nortesantandereana</w:t>
      </w:r>
      <w:proofErr w:type="spellEnd"/>
      <w:r>
        <w:rPr>
          <w:rFonts w:ascii="Arial" w:eastAsia="Times New Roman" w:hAnsi="Arial" w:cs="Arial"/>
          <w:spacing w:val="-5"/>
          <w:sz w:val="22"/>
          <w:szCs w:val="22"/>
        </w:rPr>
        <w:t xml:space="preserve"> de Gas)</w:t>
      </w:r>
      <w:r w:rsidRPr="007B1550">
        <w:rPr>
          <w:rFonts w:ascii="Arial" w:eastAsia="Times New Roman" w:hAnsi="Arial" w:cs="Arial"/>
          <w:spacing w:val="-5"/>
          <w:sz w:val="22"/>
          <w:szCs w:val="22"/>
        </w:rPr>
        <w:t xml:space="preserve">, </w:t>
      </w:r>
      <w:r>
        <w:rPr>
          <w:rFonts w:ascii="Arial" w:eastAsia="Times New Roman" w:hAnsi="Arial" w:cs="Arial"/>
          <w:spacing w:val="-5"/>
          <w:sz w:val="22"/>
          <w:szCs w:val="22"/>
        </w:rPr>
        <w:t xml:space="preserve">toda vez </w:t>
      </w:r>
      <w:r>
        <w:rPr>
          <w:rFonts w:ascii="Arial" w:eastAsia="Times New Roman" w:hAnsi="Arial" w:cs="Arial"/>
          <w:spacing w:val="-5"/>
          <w:sz w:val="22"/>
          <w:szCs w:val="22"/>
        </w:rPr>
        <w:lastRenderedPageBreak/>
        <w:t>que esta Comisión ha</w:t>
      </w:r>
      <w:r w:rsidRPr="007B1550">
        <w:rPr>
          <w:rFonts w:ascii="Arial" w:eastAsia="Times New Roman" w:hAnsi="Arial" w:cs="Arial"/>
          <w:spacing w:val="-5"/>
          <w:sz w:val="22"/>
          <w:szCs w:val="22"/>
        </w:rPr>
        <w:t xml:space="preserve"> </w:t>
      </w:r>
      <w:r>
        <w:rPr>
          <w:rFonts w:ascii="Arial" w:eastAsia="Times New Roman" w:hAnsi="Arial" w:cs="Arial"/>
          <w:spacing w:val="-5"/>
          <w:sz w:val="22"/>
          <w:szCs w:val="22"/>
        </w:rPr>
        <w:t>sido</w:t>
      </w:r>
      <w:r w:rsidRPr="007B1550">
        <w:rPr>
          <w:rFonts w:ascii="Arial" w:eastAsia="Times New Roman" w:hAnsi="Arial" w:cs="Arial"/>
          <w:spacing w:val="-5"/>
          <w:sz w:val="22"/>
          <w:szCs w:val="22"/>
        </w:rPr>
        <w:t xml:space="preserve"> informada con los correspondientes soportes del acuerdo de fusión debidamente formalizado, así como la correspondiente cesión de la marca y su registro ante la SSPD.</w:t>
      </w:r>
    </w:p>
    <w:p w:rsidR="00D42E1A" w:rsidRDefault="00D42E1A" w:rsidP="00D42E1A">
      <w:pPr>
        <w:jc w:val="both"/>
        <w:rPr>
          <w:rFonts w:ascii="Arial" w:eastAsia="Times New Roman" w:hAnsi="Arial" w:cs="Arial"/>
          <w:spacing w:val="-5"/>
          <w:sz w:val="22"/>
          <w:szCs w:val="22"/>
        </w:rPr>
      </w:pPr>
    </w:p>
    <w:p w:rsidR="00E452A8" w:rsidRDefault="00E452A8" w:rsidP="00D42E1A">
      <w:pPr>
        <w:jc w:val="both"/>
        <w:rPr>
          <w:rFonts w:ascii="Arial" w:eastAsia="Times New Roman" w:hAnsi="Arial" w:cs="Arial"/>
          <w:spacing w:val="-5"/>
          <w:sz w:val="22"/>
          <w:szCs w:val="22"/>
        </w:rPr>
      </w:pPr>
      <w:r>
        <w:rPr>
          <w:rFonts w:ascii="Arial" w:eastAsia="Times New Roman" w:hAnsi="Arial" w:cs="Arial"/>
          <w:spacing w:val="-5"/>
          <w:sz w:val="22"/>
          <w:szCs w:val="22"/>
        </w:rPr>
        <w:t xml:space="preserve">Igual caso ocurre para el caso de la empresa </w:t>
      </w:r>
      <w:r w:rsidRPr="00E452A8">
        <w:rPr>
          <w:rFonts w:ascii="Arial" w:eastAsia="Times New Roman" w:hAnsi="Arial" w:cs="Arial"/>
          <w:spacing w:val="-5"/>
          <w:sz w:val="22"/>
          <w:szCs w:val="22"/>
        </w:rPr>
        <w:t>Inversiones GLP S.A.S E.S.P.</w:t>
      </w:r>
      <w:r>
        <w:rPr>
          <w:rFonts w:ascii="Arial" w:eastAsia="Times New Roman" w:hAnsi="Arial" w:cs="Arial"/>
          <w:spacing w:val="-5"/>
          <w:sz w:val="22"/>
          <w:szCs w:val="22"/>
        </w:rPr>
        <w:t xml:space="preserve"> como sociedad absorbente frente a </w:t>
      </w:r>
      <w:proofErr w:type="spellStart"/>
      <w:r>
        <w:rPr>
          <w:rFonts w:ascii="Arial" w:eastAsia="Times New Roman" w:hAnsi="Arial" w:cs="Arial"/>
          <w:spacing w:val="-5"/>
          <w:sz w:val="22"/>
          <w:szCs w:val="22"/>
        </w:rPr>
        <w:t>Unigas</w:t>
      </w:r>
      <w:proofErr w:type="spellEnd"/>
      <w:r>
        <w:rPr>
          <w:rFonts w:ascii="Arial" w:eastAsia="Times New Roman" w:hAnsi="Arial" w:cs="Arial"/>
          <w:spacing w:val="-5"/>
          <w:sz w:val="22"/>
          <w:szCs w:val="22"/>
        </w:rPr>
        <w:t xml:space="preserve"> Colombia S.A. E.S.P. en calidad de sociedad absorbida.</w:t>
      </w:r>
    </w:p>
    <w:p w:rsidR="00E452A8" w:rsidRDefault="00E452A8" w:rsidP="00D42E1A">
      <w:pPr>
        <w:jc w:val="both"/>
        <w:rPr>
          <w:rFonts w:ascii="Arial" w:eastAsia="Times New Roman" w:hAnsi="Arial" w:cs="Arial"/>
          <w:spacing w:val="-5"/>
          <w:sz w:val="22"/>
          <w:szCs w:val="22"/>
        </w:rPr>
      </w:pPr>
    </w:p>
    <w:p w:rsidR="00D42E1A" w:rsidRPr="00B07F2D" w:rsidRDefault="00D42E1A" w:rsidP="00D42E1A">
      <w:pPr>
        <w:jc w:val="both"/>
        <w:rPr>
          <w:rFonts w:ascii="Arial" w:eastAsia="Times New Roman" w:hAnsi="Arial" w:cs="Arial"/>
          <w:spacing w:val="-5"/>
          <w:sz w:val="22"/>
          <w:szCs w:val="22"/>
        </w:rPr>
      </w:pPr>
      <w:r>
        <w:rPr>
          <w:rFonts w:ascii="Arial" w:eastAsia="Times New Roman" w:hAnsi="Arial" w:cs="Arial"/>
          <w:spacing w:val="-5"/>
          <w:sz w:val="22"/>
          <w:szCs w:val="22"/>
        </w:rPr>
        <w:t>En este sentido, la</w:t>
      </w:r>
      <w:r w:rsidR="00B07F2D">
        <w:rPr>
          <w:rFonts w:ascii="Arial" w:eastAsia="Times New Roman" w:hAnsi="Arial" w:cs="Arial"/>
          <w:spacing w:val="-5"/>
          <w:sz w:val="22"/>
          <w:szCs w:val="22"/>
        </w:rPr>
        <w:t>s</w:t>
      </w:r>
      <w:r>
        <w:rPr>
          <w:rFonts w:ascii="Arial" w:eastAsia="Times New Roman" w:hAnsi="Arial" w:cs="Arial"/>
          <w:spacing w:val="-5"/>
          <w:sz w:val="22"/>
          <w:szCs w:val="22"/>
        </w:rPr>
        <w:t xml:space="preserve"> siguiente</w:t>
      </w:r>
      <w:r w:rsidR="00B07F2D">
        <w:rPr>
          <w:rFonts w:ascii="Arial" w:eastAsia="Times New Roman" w:hAnsi="Arial" w:cs="Arial"/>
          <w:spacing w:val="-5"/>
          <w:sz w:val="22"/>
          <w:szCs w:val="22"/>
        </w:rPr>
        <w:t>s</w:t>
      </w:r>
      <w:r>
        <w:rPr>
          <w:rFonts w:ascii="Arial" w:eastAsia="Times New Roman" w:hAnsi="Arial" w:cs="Arial"/>
          <w:spacing w:val="-5"/>
          <w:sz w:val="22"/>
          <w:szCs w:val="22"/>
        </w:rPr>
        <w:t xml:space="preserve"> corresponde</w:t>
      </w:r>
      <w:r w:rsidR="00B07F2D">
        <w:rPr>
          <w:rFonts w:ascii="Arial" w:eastAsia="Times New Roman" w:hAnsi="Arial" w:cs="Arial"/>
          <w:spacing w:val="-5"/>
          <w:sz w:val="22"/>
          <w:szCs w:val="22"/>
        </w:rPr>
        <w:t>n</w:t>
      </w:r>
      <w:r>
        <w:rPr>
          <w:rFonts w:ascii="Arial" w:eastAsia="Times New Roman" w:hAnsi="Arial" w:cs="Arial"/>
          <w:spacing w:val="-5"/>
          <w:sz w:val="22"/>
          <w:szCs w:val="22"/>
        </w:rPr>
        <w:t xml:space="preserve"> a la capacidad de compra de la empresa Norte santandereana de Gas S.A. E.S.P.</w:t>
      </w:r>
      <w:r w:rsidR="00B07F2D">
        <w:rPr>
          <w:rFonts w:ascii="Arial" w:eastAsia="Times New Roman" w:hAnsi="Arial" w:cs="Arial"/>
          <w:spacing w:val="-5"/>
          <w:sz w:val="22"/>
          <w:szCs w:val="22"/>
        </w:rPr>
        <w:t xml:space="preserve"> e Inversiones GLP S.A.S. E.S.P.</w:t>
      </w:r>
      <w:r>
        <w:rPr>
          <w:rFonts w:ascii="Arial" w:eastAsia="Times New Roman" w:hAnsi="Arial" w:cs="Arial"/>
          <w:spacing w:val="-5"/>
          <w:sz w:val="22"/>
          <w:szCs w:val="22"/>
        </w:rPr>
        <w:t xml:space="preserve"> </w:t>
      </w:r>
      <w:r w:rsidRPr="00B07F2D">
        <w:rPr>
          <w:rFonts w:ascii="Arial" w:eastAsia="Times New Roman" w:hAnsi="Arial" w:cs="Arial"/>
          <w:spacing w:val="-5"/>
          <w:sz w:val="22"/>
          <w:szCs w:val="22"/>
        </w:rPr>
        <w:t xml:space="preserve">aplicable para el </w:t>
      </w:r>
      <w:r w:rsidR="00B07F2D" w:rsidRPr="00B07F2D">
        <w:rPr>
          <w:rFonts w:ascii="Arial" w:eastAsia="Times New Roman" w:hAnsi="Arial" w:cs="Arial"/>
          <w:spacing w:val="-5"/>
          <w:sz w:val="22"/>
          <w:szCs w:val="22"/>
        </w:rPr>
        <w:t>sexto</w:t>
      </w:r>
      <w:r w:rsidRPr="00B07F2D">
        <w:rPr>
          <w:rFonts w:ascii="Arial" w:eastAsia="Times New Roman" w:hAnsi="Arial" w:cs="Arial"/>
          <w:spacing w:val="-5"/>
          <w:sz w:val="22"/>
          <w:szCs w:val="22"/>
        </w:rPr>
        <w:t xml:space="preserve"> período de compra, en atención a lo dispuesto en el artículo 178 del Código de Comercio:</w:t>
      </w:r>
    </w:p>
    <w:p w:rsidR="00D42E1A" w:rsidRPr="00B07F2D" w:rsidRDefault="00D42E1A" w:rsidP="00D42E1A">
      <w:pPr>
        <w:jc w:val="both"/>
        <w:rPr>
          <w:rFonts w:ascii="Arial" w:eastAsia="Times New Roman" w:hAnsi="Arial" w:cs="Arial"/>
          <w:spacing w:val="-5"/>
          <w:sz w:val="22"/>
          <w:szCs w:val="22"/>
        </w:rPr>
      </w:pPr>
    </w:p>
    <w:tbl>
      <w:tblPr>
        <w:tblW w:w="8784" w:type="dxa"/>
        <w:tblCellMar>
          <w:left w:w="70" w:type="dxa"/>
          <w:right w:w="70" w:type="dxa"/>
        </w:tblCellMar>
        <w:tblLook w:val="04A0" w:firstRow="1" w:lastRow="0" w:firstColumn="1" w:lastColumn="0" w:noHBand="0" w:noVBand="1"/>
      </w:tblPr>
      <w:tblGrid>
        <w:gridCol w:w="1220"/>
        <w:gridCol w:w="5721"/>
        <w:gridCol w:w="1843"/>
      </w:tblGrid>
      <w:tr w:rsidR="00D42E1A" w:rsidRPr="00B07F2D" w:rsidTr="008960A9">
        <w:trPr>
          <w:trHeight w:val="750"/>
          <w:tblHead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E1A" w:rsidRPr="00B07F2D" w:rsidRDefault="00D42E1A" w:rsidP="008960A9">
            <w:pPr>
              <w:jc w:val="center"/>
              <w:rPr>
                <w:rFonts w:ascii="Arial" w:eastAsia="Times New Roman" w:hAnsi="Arial" w:cs="Arial"/>
                <w:b/>
                <w:bCs/>
                <w:color w:val="000000"/>
                <w:sz w:val="18"/>
                <w:szCs w:val="18"/>
                <w:lang w:val="es-CO" w:eastAsia="es-CO"/>
              </w:rPr>
            </w:pPr>
            <w:r w:rsidRPr="00B07F2D">
              <w:rPr>
                <w:rFonts w:ascii="Arial" w:eastAsia="Times New Roman" w:hAnsi="Arial" w:cs="Arial"/>
                <w:b/>
                <w:bCs/>
                <w:color w:val="000000"/>
                <w:sz w:val="18"/>
                <w:szCs w:val="18"/>
                <w:lang w:val="es-CO" w:eastAsia="es-CO"/>
              </w:rPr>
              <w:t>Código SUI</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D42E1A" w:rsidRPr="00B07F2D" w:rsidRDefault="00D42E1A" w:rsidP="008960A9">
            <w:pPr>
              <w:jc w:val="center"/>
              <w:rPr>
                <w:rFonts w:ascii="Arial" w:eastAsia="Times New Roman" w:hAnsi="Arial" w:cs="Arial"/>
                <w:b/>
                <w:bCs/>
                <w:color w:val="000000"/>
                <w:sz w:val="18"/>
                <w:szCs w:val="18"/>
                <w:lang w:val="es-CO" w:eastAsia="es-CO"/>
              </w:rPr>
            </w:pPr>
            <w:r w:rsidRPr="00B07F2D">
              <w:rPr>
                <w:rFonts w:ascii="Arial" w:eastAsia="Times New Roman" w:hAnsi="Arial" w:cs="Arial"/>
                <w:b/>
                <w:bCs/>
                <w:color w:val="000000"/>
                <w:sz w:val="18"/>
                <w:szCs w:val="18"/>
                <w:lang w:val="es-CO" w:eastAsia="es-CO"/>
              </w:rPr>
              <w:t>Empresa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42E1A" w:rsidRPr="00B07F2D" w:rsidRDefault="00D42E1A" w:rsidP="008960A9">
            <w:pPr>
              <w:jc w:val="center"/>
              <w:rPr>
                <w:rFonts w:ascii="Arial" w:eastAsia="Times New Roman" w:hAnsi="Arial" w:cs="Arial"/>
                <w:b/>
                <w:bCs/>
                <w:color w:val="000000"/>
                <w:sz w:val="18"/>
                <w:szCs w:val="18"/>
                <w:lang w:val="es-CO" w:eastAsia="es-CO"/>
              </w:rPr>
            </w:pPr>
            <w:r w:rsidRPr="00B07F2D">
              <w:rPr>
                <w:rFonts w:ascii="Arial" w:eastAsia="Times New Roman" w:hAnsi="Arial" w:cs="Arial"/>
                <w:b/>
                <w:bCs/>
                <w:color w:val="000000"/>
                <w:sz w:val="18"/>
                <w:szCs w:val="18"/>
                <w:lang w:eastAsia="es-CO"/>
              </w:rPr>
              <w:t xml:space="preserve">Capacidad de compra </w:t>
            </w:r>
            <m:oMath>
              <m:r>
                <m:rPr>
                  <m:sty m:val="bi"/>
                </m:rPr>
                <w:rPr>
                  <w:rFonts w:ascii="Cambria Math" w:eastAsia="Times New Roman" w:hAnsi="Cambria Math" w:cs="Arial"/>
                  <w:color w:val="000000"/>
                  <w:sz w:val="18"/>
                  <w:szCs w:val="18"/>
                  <w:lang w:eastAsia="es-CO"/>
                </w:rPr>
                <m:t>C</m:t>
              </m:r>
              <m:sSub>
                <m:sSubPr>
                  <m:ctrlPr>
                    <w:rPr>
                      <w:rFonts w:ascii="Cambria Math" w:eastAsia="Times New Roman" w:hAnsi="Cambria Math" w:cs="Arial"/>
                      <w:b/>
                      <w:bCs/>
                      <w:i/>
                      <w:color w:val="000000"/>
                      <w:sz w:val="18"/>
                      <w:szCs w:val="18"/>
                      <w:lang w:eastAsia="es-CO"/>
                    </w:rPr>
                  </m:ctrlPr>
                </m:sSubPr>
                <m:e>
                  <m:r>
                    <m:rPr>
                      <m:sty m:val="bi"/>
                    </m:rPr>
                    <w:rPr>
                      <w:rFonts w:ascii="Cambria Math" w:eastAsia="Times New Roman" w:hAnsi="Cambria Math" w:cs="Arial"/>
                      <w:color w:val="000000"/>
                      <w:sz w:val="18"/>
                      <w:szCs w:val="18"/>
                      <w:lang w:eastAsia="es-CO"/>
                    </w:rPr>
                    <m:t>C</m:t>
                  </m:r>
                </m:e>
                <m:sub>
                  <m:r>
                    <m:rPr>
                      <m:sty m:val="bi"/>
                    </m:rPr>
                    <w:rPr>
                      <w:rFonts w:ascii="Cambria Math" w:eastAsia="Times New Roman" w:hAnsi="Cambria Math" w:cs="Arial"/>
                      <w:color w:val="000000"/>
                      <w:sz w:val="18"/>
                      <w:szCs w:val="18"/>
                      <w:lang w:eastAsia="es-CO"/>
                    </w:rPr>
                    <m:t>i,3</m:t>
                  </m:r>
                </m:sub>
              </m:sSub>
            </m:oMath>
          </w:p>
        </w:tc>
      </w:tr>
      <w:tr w:rsidR="00D42E1A" w:rsidRPr="00B07F2D" w:rsidTr="008960A9">
        <w:trPr>
          <w:trHeight w:val="40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D42E1A" w:rsidRPr="00B07F2D" w:rsidRDefault="00D42E1A" w:rsidP="008960A9">
            <w:pPr>
              <w:jc w:val="center"/>
              <w:rPr>
                <w:rFonts w:ascii="Arial" w:eastAsia="Times New Roman" w:hAnsi="Arial" w:cs="Arial"/>
                <w:color w:val="000000"/>
                <w:sz w:val="18"/>
                <w:szCs w:val="18"/>
                <w:lang w:val="es-CO" w:eastAsia="es-CO"/>
              </w:rPr>
            </w:pPr>
            <w:r w:rsidRPr="00B07F2D">
              <w:rPr>
                <w:rFonts w:ascii="Arial" w:eastAsia="Times New Roman" w:hAnsi="Arial" w:cs="Arial"/>
                <w:color w:val="000000"/>
                <w:sz w:val="18"/>
                <w:szCs w:val="18"/>
                <w:lang w:val="es-CO" w:eastAsia="es-CO"/>
              </w:rPr>
              <w:t>522</w:t>
            </w:r>
          </w:p>
        </w:tc>
        <w:tc>
          <w:tcPr>
            <w:tcW w:w="5721" w:type="dxa"/>
            <w:tcBorders>
              <w:top w:val="nil"/>
              <w:left w:val="nil"/>
              <w:bottom w:val="single" w:sz="4" w:space="0" w:color="auto"/>
              <w:right w:val="single" w:sz="4" w:space="0" w:color="auto"/>
            </w:tcBorders>
            <w:shd w:val="clear" w:color="auto" w:fill="auto"/>
            <w:noWrap/>
            <w:vAlign w:val="center"/>
            <w:hideMark/>
          </w:tcPr>
          <w:p w:rsidR="00D42E1A" w:rsidRPr="00B07F2D" w:rsidRDefault="00D42E1A" w:rsidP="008960A9">
            <w:pPr>
              <w:rPr>
                <w:rFonts w:ascii="Arial" w:eastAsia="Times New Roman" w:hAnsi="Arial" w:cs="Arial"/>
                <w:color w:val="000000"/>
                <w:sz w:val="18"/>
                <w:szCs w:val="18"/>
                <w:lang w:val="es-CO" w:eastAsia="es-CO"/>
              </w:rPr>
            </w:pPr>
            <w:r w:rsidRPr="00B07F2D">
              <w:rPr>
                <w:rFonts w:ascii="Arial" w:eastAsia="Times New Roman" w:hAnsi="Arial" w:cs="Arial"/>
                <w:color w:val="000000"/>
                <w:sz w:val="18"/>
                <w:szCs w:val="18"/>
                <w:lang w:val="es-CO" w:eastAsia="es-CO"/>
              </w:rPr>
              <w:t>NORTESANTANDEREANA DE GAS S.A. E.S.P.</w:t>
            </w:r>
          </w:p>
        </w:tc>
        <w:tc>
          <w:tcPr>
            <w:tcW w:w="1843" w:type="dxa"/>
            <w:tcBorders>
              <w:top w:val="nil"/>
              <w:left w:val="nil"/>
              <w:bottom w:val="single" w:sz="4" w:space="0" w:color="auto"/>
              <w:right w:val="single" w:sz="4" w:space="0" w:color="auto"/>
            </w:tcBorders>
            <w:shd w:val="clear" w:color="auto" w:fill="auto"/>
            <w:noWrap/>
            <w:vAlign w:val="center"/>
            <w:hideMark/>
          </w:tcPr>
          <w:p w:rsidR="00D42E1A" w:rsidRPr="00B07F2D" w:rsidRDefault="00B07F2D" w:rsidP="00AD15B5">
            <w:pPr>
              <w:rPr>
                <w:rFonts w:ascii="Arial" w:eastAsia="Times New Roman" w:hAnsi="Arial" w:cs="Arial"/>
                <w:color w:val="000000"/>
                <w:sz w:val="18"/>
                <w:szCs w:val="18"/>
                <w:lang w:val="es-CO" w:eastAsia="es-CO"/>
              </w:rPr>
            </w:pPr>
            <w:r w:rsidRPr="00B07F2D">
              <w:rPr>
                <w:rFonts w:ascii="Arial" w:eastAsia="Times New Roman" w:hAnsi="Arial" w:cs="Arial"/>
                <w:color w:val="000000"/>
                <w:sz w:val="18"/>
                <w:szCs w:val="18"/>
                <w:lang w:val="es-CO" w:eastAsia="es-CO"/>
              </w:rPr>
              <w:t xml:space="preserve">     151,345,143</w:t>
            </w:r>
          </w:p>
        </w:tc>
      </w:tr>
      <w:tr w:rsidR="00AD15B5" w:rsidRPr="00B07F2D" w:rsidTr="003D2775">
        <w:trPr>
          <w:trHeight w:val="405"/>
        </w:trPr>
        <w:tc>
          <w:tcPr>
            <w:tcW w:w="1220" w:type="dxa"/>
            <w:tcBorders>
              <w:top w:val="nil"/>
              <w:left w:val="single" w:sz="4" w:space="0" w:color="auto"/>
              <w:bottom w:val="single" w:sz="4" w:space="0" w:color="auto"/>
              <w:right w:val="single" w:sz="4" w:space="0" w:color="auto"/>
            </w:tcBorders>
            <w:shd w:val="clear" w:color="auto" w:fill="auto"/>
            <w:noWrap/>
            <w:hideMark/>
          </w:tcPr>
          <w:p w:rsidR="00AD15B5" w:rsidRPr="00B07F2D" w:rsidRDefault="00AD15B5" w:rsidP="00AD15B5">
            <w:pPr>
              <w:jc w:val="center"/>
              <w:rPr>
                <w:rFonts w:ascii="Arial" w:eastAsia="Times New Roman" w:hAnsi="Arial" w:cs="Arial"/>
                <w:color w:val="000000"/>
                <w:sz w:val="18"/>
                <w:szCs w:val="18"/>
                <w:lang w:val="es-CO" w:eastAsia="es-CO"/>
              </w:rPr>
            </w:pPr>
            <w:r w:rsidRPr="00B07F2D">
              <w:rPr>
                <w:rFonts w:ascii="Arial" w:eastAsia="Times New Roman" w:hAnsi="Arial" w:cs="Arial"/>
                <w:color w:val="000000"/>
                <w:sz w:val="18"/>
                <w:szCs w:val="18"/>
                <w:lang w:val="es-CO" w:eastAsia="es-CO"/>
              </w:rPr>
              <w:t>23312</w:t>
            </w:r>
          </w:p>
        </w:tc>
        <w:tc>
          <w:tcPr>
            <w:tcW w:w="5721" w:type="dxa"/>
            <w:tcBorders>
              <w:top w:val="nil"/>
              <w:left w:val="nil"/>
              <w:bottom w:val="single" w:sz="4" w:space="0" w:color="auto"/>
              <w:right w:val="single" w:sz="4" w:space="0" w:color="auto"/>
            </w:tcBorders>
            <w:shd w:val="clear" w:color="auto" w:fill="auto"/>
            <w:noWrap/>
            <w:hideMark/>
          </w:tcPr>
          <w:p w:rsidR="00AD15B5" w:rsidRPr="00B07F2D" w:rsidRDefault="00AD15B5" w:rsidP="00AD15B5">
            <w:pPr>
              <w:jc w:val="center"/>
              <w:rPr>
                <w:rFonts w:ascii="Arial" w:eastAsia="Times New Roman" w:hAnsi="Arial" w:cs="Arial"/>
                <w:color w:val="000000"/>
                <w:sz w:val="18"/>
                <w:szCs w:val="18"/>
                <w:lang w:val="es-CO" w:eastAsia="es-CO"/>
              </w:rPr>
            </w:pPr>
            <w:r w:rsidRPr="00B07F2D">
              <w:rPr>
                <w:rFonts w:ascii="Arial" w:eastAsia="Times New Roman" w:hAnsi="Arial" w:cs="Arial"/>
                <w:color w:val="000000"/>
                <w:sz w:val="18"/>
                <w:szCs w:val="18"/>
                <w:lang w:val="es-CO" w:eastAsia="es-CO"/>
              </w:rPr>
              <w:t>INVERSIONES GLP S.A.S. E.S.P.</w:t>
            </w:r>
          </w:p>
        </w:tc>
        <w:tc>
          <w:tcPr>
            <w:tcW w:w="1843" w:type="dxa"/>
            <w:tcBorders>
              <w:top w:val="nil"/>
              <w:left w:val="nil"/>
              <w:bottom w:val="single" w:sz="4" w:space="0" w:color="auto"/>
              <w:right w:val="single" w:sz="4" w:space="0" w:color="auto"/>
            </w:tcBorders>
            <w:shd w:val="clear" w:color="auto" w:fill="auto"/>
            <w:noWrap/>
            <w:hideMark/>
          </w:tcPr>
          <w:p w:rsidR="00AD15B5" w:rsidRPr="00B07F2D" w:rsidRDefault="00B07F2D" w:rsidP="00AD15B5">
            <w:pPr>
              <w:jc w:val="center"/>
              <w:rPr>
                <w:rFonts w:ascii="Arial" w:eastAsia="Times New Roman" w:hAnsi="Arial" w:cs="Arial"/>
                <w:color w:val="000000"/>
                <w:sz w:val="18"/>
                <w:szCs w:val="18"/>
                <w:lang w:val="es-CO" w:eastAsia="es-CO"/>
              </w:rPr>
            </w:pPr>
            <w:r w:rsidRPr="00B07F2D">
              <w:rPr>
                <w:rFonts w:ascii="Arial" w:eastAsia="Times New Roman" w:hAnsi="Arial" w:cs="Arial"/>
                <w:color w:val="000000"/>
                <w:sz w:val="18"/>
                <w:szCs w:val="18"/>
                <w:lang w:val="es-CO" w:eastAsia="es-CO"/>
              </w:rPr>
              <w:t>87,800,000</w:t>
            </w:r>
          </w:p>
        </w:tc>
      </w:tr>
    </w:tbl>
    <w:p w:rsidR="00D42E1A" w:rsidRPr="00B07F2D" w:rsidRDefault="00D42E1A" w:rsidP="00D42E1A">
      <w:pPr>
        <w:jc w:val="both"/>
        <w:rPr>
          <w:rFonts w:ascii="Arial" w:eastAsia="Times New Roman" w:hAnsi="Arial" w:cs="Arial"/>
          <w:spacing w:val="-5"/>
          <w:sz w:val="22"/>
          <w:szCs w:val="22"/>
        </w:rPr>
      </w:pPr>
    </w:p>
    <w:p w:rsidR="00D42E1A" w:rsidRPr="0053011E" w:rsidRDefault="00D42E1A" w:rsidP="00D42E1A">
      <w:pPr>
        <w:jc w:val="both"/>
        <w:rPr>
          <w:rFonts w:ascii="Arial" w:eastAsia="Times New Roman" w:hAnsi="Arial" w:cs="Arial"/>
          <w:spacing w:val="-5"/>
          <w:sz w:val="22"/>
          <w:szCs w:val="22"/>
        </w:rPr>
      </w:pPr>
      <w:r w:rsidRPr="00B07F2D">
        <w:rPr>
          <w:rFonts w:ascii="Arial" w:eastAsia="Times New Roman" w:hAnsi="Arial" w:cs="Arial"/>
          <w:spacing w:val="-5"/>
          <w:sz w:val="22"/>
          <w:szCs w:val="22"/>
        </w:rPr>
        <w:t>Una vez hecha la presente publicación con la precisión en la capacidad de compra de</w:t>
      </w:r>
      <w:r w:rsidR="00AD15B5" w:rsidRPr="00B07F2D">
        <w:rPr>
          <w:rFonts w:ascii="Arial" w:eastAsia="Times New Roman" w:hAnsi="Arial" w:cs="Arial"/>
          <w:spacing w:val="-5"/>
          <w:sz w:val="22"/>
          <w:szCs w:val="22"/>
        </w:rPr>
        <w:t xml:space="preserve"> </w:t>
      </w:r>
      <w:r w:rsidRPr="00B07F2D">
        <w:rPr>
          <w:rFonts w:ascii="Arial" w:eastAsia="Times New Roman" w:hAnsi="Arial" w:cs="Arial"/>
          <w:spacing w:val="-5"/>
          <w:sz w:val="22"/>
          <w:szCs w:val="22"/>
        </w:rPr>
        <w:t>l</w:t>
      </w:r>
      <w:r w:rsidR="00AD15B5" w:rsidRPr="00B07F2D">
        <w:rPr>
          <w:rFonts w:ascii="Arial" w:eastAsia="Times New Roman" w:hAnsi="Arial" w:cs="Arial"/>
          <w:spacing w:val="-5"/>
          <w:sz w:val="22"/>
          <w:szCs w:val="22"/>
        </w:rPr>
        <w:t>os</w:t>
      </w:r>
      <w:r w:rsidRPr="00B07F2D">
        <w:rPr>
          <w:rFonts w:ascii="Arial" w:eastAsia="Times New Roman" w:hAnsi="Arial" w:cs="Arial"/>
          <w:spacing w:val="-5"/>
          <w:sz w:val="22"/>
          <w:szCs w:val="22"/>
        </w:rPr>
        <w:t xml:space="preserve"> distribuidor</w:t>
      </w:r>
      <w:r w:rsidR="00AD15B5" w:rsidRPr="00B07F2D">
        <w:rPr>
          <w:rFonts w:ascii="Arial" w:eastAsia="Times New Roman" w:hAnsi="Arial" w:cs="Arial"/>
          <w:spacing w:val="-5"/>
          <w:sz w:val="22"/>
          <w:szCs w:val="22"/>
        </w:rPr>
        <w:t>es</w:t>
      </w:r>
      <w:r w:rsidRPr="00B07F2D">
        <w:rPr>
          <w:rFonts w:ascii="Arial" w:eastAsia="Times New Roman" w:hAnsi="Arial" w:cs="Arial"/>
          <w:spacing w:val="-5"/>
          <w:sz w:val="22"/>
          <w:szCs w:val="22"/>
        </w:rPr>
        <w:t xml:space="preserve"> </w:t>
      </w:r>
      <w:proofErr w:type="spellStart"/>
      <w:r w:rsidRPr="00B07F2D">
        <w:rPr>
          <w:rFonts w:ascii="Arial" w:eastAsia="Times New Roman" w:hAnsi="Arial" w:cs="Arial"/>
          <w:spacing w:val="-5"/>
          <w:sz w:val="22"/>
          <w:szCs w:val="22"/>
        </w:rPr>
        <w:t>Nortesantandereana</w:t>
      </w:r>
      <w:proofErr w:type="spellEnd"/>
      <w:r w:rsidRPr="00B07F2D">
        <w:rPr>
          <w:rFonts w:ascii="Arial" w:eastAsia="Times New Roman" w:hAnsi="Arial" w:cs="Arial"/>
          <w:spacing w:val="-5"/>
          <w:sz w:val="22"/>
          <w:szCs w:val="22"/>
        </w:rPr>
        <w:t xml:space="preserve"> de Gas S.A. E.S.P. </w:t>
      </w:r>
      <w:r w:rsidR="00AD15B5" w:rsidRPr="00B07F2D">
        <w:rPr>
          <w:rFonts w:ascii="Arial" w:eastAsia="Times New Roman" w:hAnsi="Arial" w:cs="Arial"/>
          <w:spacing w:val="-5"/>
          <w:sz w:val="22"/>
          <w:szCs w:val="22"/>
        </w:rPr>
        <w:t xml:space="preserve">e Inversiones GLP S.A.S. E.S.P. </w:t>
      </w:r>
      <w:r w:rsidRPr="00B07F2D">
        <w:rPr>
          <w:rFonts w:ascii="Arial" w:eastAsia="Times New Roman" w:hAnsi="Arial" w:cs="Arial"/>
          <w:spacing w:val="-5"/>
          <w:sz w:val="22"/>
          <w:szCs w:val="22"/>
        </w:rPr>
        <w:t>en calidad de distribuidor</w:t>
      </w:r>
      <w:r w:rsidR="00AD15B5" w:rsidRPr="00B07F2D">
        <w:rPr>
          <w:rFonts w:ascii="Arial" w:eastAsia="Times New Roman" w:hAnsi="Arial" w:cs="Arial"/>
          <w:spacing w:val="-5"/>
          <w:sz w:val="22"/>
          <w:szCs w:val="22"/>
        </w:rPr>
        <w:t>es</w:t>
      </w:r>
      <w:r>
        <w:rPr>
          <w:rFonts w:ascii="Arial" w:eastAsia="Times New Roman" w:hAnsi="Arial" w:cs="Arial"/>
          <w:spacing w:val="-5"/>
          <w:sz w:val="22"/>
          <w:szCs w:val="22"/>
        </w:rPr>
        <w:t xml:space="preserve"> absorbente</w:t>
      </w:r>
      <w:r w:rsidR="00AD15B5">
        <w:rPr>
          <w:rFonts w:ascii="Arial" w:eastAsia="Times New Roman" w:hAnsi="Arial" w:cs="Arial"/>
          <w:spacing w:val="-5"/>
          <w:sz w:val="22"/>
          <w:szCs w:val="22"/>
        </w:rPr>
        <w:t>s, estos</w:t>
      </w:r>
      <w:r w:rsidRPr="007B1550">
        <w:rPr>
          <w:rFonts w:ascii="Arial" w:eastAsia="Times New Roman" w:hAnsi="Arial" w:cs="Arial"/>
          <w:spacing w:val="-5"/>
          <w:sz w:val="22"/>
          <w:szCs w:val="22"/>
        </w:rPr>
        <w:t xml:space="preserve"> distribuidor</w:t>
      </w:r>
      <w:r w:rsidR="00AD15B5">
        <w:rPr>
          <w:rFonts w:ascii="Arial" w:eastAsia="Times New Roman" w:hAnsi="Arial" w:cs="Arial"/>
          <w:spacing w:val="-5"/>
          <w:sz w:val="22"/>
          <w:szCs w:val="22"/>
        </w:rPr>
        <w:t>es</w:t>
      </w:r>
      <w:r w:rsidRPr="007B1550">
        <w:rPr>
          <w:rFonts w:ascii="Arial" w:eastAsia="Times New Roman" w:hAnsi="Arial" w:cs="Arial"/>
          <w:spacing w:val="-5"/>
          <w:sz w:val="22"/>
          <w:szCs w:val="22"/>
        </w:rPr>
        <w:t xml:space="preserve"> y los comercializadores mayoristas </w:t>
      </w:r>
      <w:r>
        <w:rPr>
          <w:rFonts w:ascii="Arial" w:eastAsia="Times New Roman" w:hAnsi="Arial" w:cs="Arial"/>
          <w:spacing w:val="-5"/>
          <w:sz w:val="22"/>
          <w:szCs w:val="22"/>
        </w:rPr>
        <w:t>a efectos de dar cumplimiento a</w:t>
      </w:r>
      <w:r w:rsidRPr="007B1550">
        <w:rPr>
          <w:rFonts w:ascii="Arial" w:eastAsia="Times New Roman" w:hAnsi="Arial" w:cs="Arial"/>
          <w:spacing w:val="-5"/>
          <w:sz w:val="22"/>
          <w:szCs w:val="22"/>
        </w:rPr>
        <w:t xml:space="preserve"> las obligaciones regulatorias </w:t>
      </w:r>
      <w:r>
        <w:rPr>
          <w:rFonts w:ascii="Arial" w:eastAsia="Times New Roman" w:hAnsi="Arial" w:cs="Arial"/>
          <w:spacing w:val="-5"/>
          <w:sz w:val="22"/>
          <w:szCs w:val="22"/>
        </w:rPr>
        <w:t xml:space="preserve">de la Resolución CREG 063 de 2016 </w:t>
      </w:r>
      <w:r w:rsidRPr="007B1550">
        <w:rPr>
          <w:rFonts w:ascii="Arial" w:eastAsia="Times New Roman" w:hAnsi="Arial" w:cs="Arial"/>
          <w:spacing w:val="-5"/>
          <w:sz w:val="22"/>
          <w:szCs w:val="22"/>
        </w:rPr>
        <w:t xml:space="preserve">a las que se ha hecho referencia, deberán considerar para la capacidad de compra disponible </w:t>
      </w:r>
      <w:r w:rsidR="00AD15B5">
        <w:rPr>
          <w:rFonts w:ascii="Arial" w:eastAsia="Times New Roman" w:hAnsi="Arial" w:cs="Arial"/>
          <w:spacing w:val="-5"/>
          <w:sz w:val="22"/>
          <w:szCs w:val="22"/>
        </w:rPr>
        <w:t>de estos</w:t>
      </w:r>
      <w:r w:rsidRPr="007B1550">
        <w:rPr>
          <w:rFonts w:ascii="Arial" w:eastAsia="Times New Roman" w:hAnsi="Arial" w:cs="Arial"/>
          <w:spacing w:val="-5"/>
          <w:sz w:val="22"/>
          <w:szCs w:val="22"/>
        </w:rPr>
        <w:t xml:space="preserve"> distribuidor</w:t>
      </w:r>
      <w:r w:rsidR="00AD15B5">
        <w:rPr>
          <w:rFonts w:ascii="Arial" w:eastAsia="Times New Roman" w:hAnsi="Arial" w:cs="Arial"/>
          <w:spacing w:val="-5"/>
          <w:sz w:val="22"/>
          <w:szCs w:val="22"/>
        </w:rPr>
        <w:t>es</w:t>
      </w:r>
      <w:r w:rsidRPr="007B1550">
        <w:rPr>
          <w:rFonts w:ascii="Arial" w:eastAsia="Times New Roman" w:hAnsi="Arial" w:cs="Arial"/>
          <w:spacing w:val="-5"/>
          <w:sz w:val="22"/>
          <w:szCs w:val="22"/>
        </w:rPr>
        <w:t xml:space="preserve"> las cantidades de GLP contratadas (i.e. de fuentes de precio libre como de fue</w:t>
      </w:r>
      <w:r w:rsidR="00AD15B5">
        <w:rPr>
          <w:rFonts w:ascii="Arial" w:eastAsia="Times New Roman" w:hAnsi="Arial" w:cs="Arial"/>
          <w:spacing w:val="-5"/>
          <w:sz w:val="22"/>
          <w:szCs w:val="22"/>
        </w:rPr>
        <w:t>ntes con precio regulado) por los</w:t>
      </w:r>
      <w:r w:rsidRPr="007B1550">
        <w:rPr>
          <w:rFonts w:ascii="Arial" w:eastAsia="Times New Roman" w:hAnsi="Arial" w:cs="Arial"/>
          <w:spacing w:val="-5"/>
          <w:sz w:val="22"/>
          <w:szCs w:val="22"/>
        </w:rPr>
        <w:t xml:space="preserve"> distribuidor</w:t>
      </w:r>
      <w:r w:rsidR="00AD15B5">
        <w:rPr>
          <w:rFonts w:ascii="Arial" w:eastAsia="Times New Roman" w:hAnsi="Arial" w:cs="Arial"/>
          <w:spacing w:val="-5"/>
          <w:sz w:val="22"/>
          <w:szCs w:val="22"/>
        </w:rPr>
        <w:t>es</w:t>
      </w:r>
      <w:r w:rsidRPr="007B1550">
        <w:rPr>
          <w:rFonts w:ascii="Arial" w:eastAsia="Times New Roman" w:hAnsi="Arial" w:cs="Arial"/>
          <w:spacing w:val="-5"/>
          <w:sz w:val="22"/>
          <w:szCs w:val="22"/>
        </w:rPr>
        <w:t xml:space="preserve"> absorbido</w:t>
      </w:r>
      <w:r w:rsidR="00AD15B5">
        <w:rPr>
          <w:rFonts w:ascii="Arial" w:eastAsia="Times New Roman" w:hAnsi="Arial" w:cs="Arial"/>
          <w:spacing w:val="-5"/>
          <w:sz w:val="22"/>
          <w:szCs w:val="22"/>
        </w:rPr>
        <w:t>s</w:t>
      </w:r>
      <w:r>
        <w:rPr>
          <w:rFonts w:ascii="Arial" w:eastAsia="Times New Roman" w:hAnsi="Arial" w:cs="Arial"/>
          <w:spacing w:val="-5"/>
          <w:sz w:val="22"/>
          <w:szCs w:val="22"/>
        </w:rPr>
        <w:t xml:space="preserve"> </w:t>
      </w:r>
      <w:proofErr w:type="spellStart"/>
      <w:r w:rsidR="00AD15B5" w:rsidRPr="00AD15B5">
        <w:rPr>
          <w:rFonts w:ascii="Arial" w:eastAsia="Times New Roman" w:hAnsi="Arial" w:cs="Arial"/>
          <w:spacing w:val="-5"/>
          <w:sz w:val="22"/>
          <w:szCs w:val="22"/>
        </w:rPr>
        <w:t>Colgas</w:t>
      </w:r>
      <w:proofErr w:type="spellEnd"/>
      <w:r w:rsidR="00AD15B5" w:rsidRPr="00AD15B5">
        <w:rPr>
          <w:rFonts w:ascii="Arial" w:eastAsia="Times New Roman" w:hAnsi="Arial" w:cs="Arial"/>
          <w:spacing w:val="-5"/>
          <w:sz w:val="22"/>
          <w:szCs w:val="22"/>
        </w:rPr>
        <w:t xml:space="preserve"> de Occidente S.A. E.S.P., Gases de Antioquia S.A. E.S.P., Compañías Asociadas de Gas S.A. E.S.P.</w:t>
      </w:r>
      <w:r w:rsidR="00AD15B5">
        <w:rPr>
          <w:rFonts w:ascii="Arial" w:eastAsia="Times New Roman" w:hAnsi="Arial" w:cs="Arial"/>
          <w:spacing w:val="-5"/>
          <w:sz w:val="22"/>
          <w:szCs w:val="22"/>
        </w:rPr>
        <w:t xml:space="preserve"> e </w:t>
      </w:r>
      <w:proofErr w:type="spellStart"/>
      <w:r w:rsidR="00AD15B5">
        <w:rPr>
          <w:rFonts w:ascii="Arial" w:eastAsia="Times New Roman" w:hAnsi="Arial" w:cs="Arial"/>
          <w:spacing w:val="-5"/>
          <w:sz w:val="22"/>
          <w:szCs w:val="22"/>
        </w:rPr>
        <w:t>Unigas</w:t>
      </w:r>
      <w:proofErr w:type="spellEnd"/>
      <w:r w:rsidR="00AD15B5">
        <w:rPr>
          <w:rFonts w:ascii="Arial" w:eastAsia="Times New Roman" w:hAnsi="Arial" w:cs="Arial"/>
          <w:spacing w:val="-5"/>
          <w:sz w:val="22"/>
          <w:szCs w:val="22"/>
        </w:rPr>
        <w:t xml:space="preserve"> Colombia S.A. E.S.P., respectivamente, </w:t>
      </w:r>
      <w:r w:rsidRPr="007B1550">
        <w:rPr>
          <w:rFonts w:ascii="Arial" w:eastAsia="Times New Roman" w:hAnsi="Arial" w:cs="Arial"/>
          <w:spacing w:val="-5"/>
          <w:sz w:val="22"/>
          <w:szCs w:val="22"/>
        </w:rPr>
        <w:t xml:space="preserve">para el </w:t>
      </w:r>
      <w:r w:rsidR="00AD15B5">
        <w:rPr>
          <w:rFonts w:ascii="Arial" w:eastAsia="Times New Roman" w:hAnsi="Arial" w:cs="Arial"/>
          <w:spacing w:val="-5"/>
          <w:sz w:val="22"/>
          <w:szCs w:val="22"/>
        </w:rPr>
        <w:t>sexto</w:t>
      </w:r>
      <w:r>
        <w:rPr>
          <w:rFonts w:ascii="Arial" w:eastAsia="Times New Roman" w:hAnsi="Arial" w:cs="Arial"/>
          <w:spacing w:val="-5"/>
          <w:sz w:val="22"/>
          <w:szCs w:val="22"/>
        </w:rPr>
        <w:t xml:space="preserve"> </w:t>
      </w:r>
      <w:r w:rsidRPr="007B1550">
        <w:rPr>
          <w:rFonts w:ascii="Arial" w:eastAsia="Times New Roman" w:hAnsi="Arial" w:cs="Arial"/>
          <w:spacing w:val="-5"/>
          <w:sz w:val="22"/>
          <w:szCs w:val="22"/>
        </w:rPr>
        <w:t>periodo de compra</w:t>
      </w:r>
      <w:r>
        <w:rPr>
          <w:rFonts w:ascii="Arial" w:eastAsia="Times New Roman" w:hAnsi="Arial" w:cs="Arial"/>
          <w:spacing w:val="-5"/>
          <w:sz w:val="22"/>
          <w:szCs w:val="22"/>
        </w:rPr>
        <w:t>,</w:t>
      </w:r>
      <w:r w:rsidRPr="007B1550">
        <w:rPr>
          <w:rFonts w:ascii="Arial" w:eastAsia="Times New Roman" w:hAnsi="Arial" w:cs="Arial"/>
          <w:spacing w:val="-5"/>
          <w:sz w:val="22"/>
          <w:szCs w:val="22"/>
        </w:rPr>
        <w:t xml:space="preserve"> hasta</w:t>
      </w:r>
      <w:r>
        <w:rPr>
          <w:rFonts w:ascii="Arial" w:eastAsia="Times New Roman" w:hAnsi="Arial" w:cs="Arial"/>
          <w:spacing w:val="-5"/>
          <w:sz w:val="22"/>
          <w:szCs w:val="22"/>
        </w:rPr>
        <w:t xml:space="preserve"> el momento en que</w:t>
      </w:r>
      <w:r w:rsidR="00AD15B5">
        <w:rPr>
          <w:rFonts w:ascii="Arial" w:eastAsia="Times New Roman" w:hAnsi="Arial" w:cs="Arial"/>
          <w:spacing w:val="-5"/>
          <w:sz w:val="22"/>
          <w:szCs w:val="22"/>
        </w:rPr>
        <w:t xml:space="preserve"> estas empresas</w:t>
      </w:r>
      <w:r>
        <w:rPr>
          <w:rFonts w:ascii="Arial" w:eastAsia="Times New Roman" w:hAnsi="Arial" w:cs="Arial"/>
          <w:spacing w:val="-5"/>
          <w:sz w:val="22"/>
          <w:szCs w:val="22"/>
        </w:rPr>
        <w:t xml:space="preserve"> </w:t>
      </w:r>
      <w:r w:rsidR="00AD15B5">
        <w:rPr>
          <w:rFonts w:ascii="Arial" w:eastAsia="Times New Roman" w:hAnsi="Arial" w:cs="Arial"/>
          <w:spacing w:val="-5"/>
          <w:sz w:val="22"/>
          <w:szCs w:val="22"/>
        </w:rPr>
        <w:t>llevaron</w:t>
      </w:r>
      <w:r w:rsidRPr="007B1550">
        <w:rPr>
          <w:rFonts w:ascii="Arial" w:eastAsia="Times New Roman" w:hAnsi="Arial" w:cs="Arial"/>
          <w:spacing w:val="-5"/>
          <w:sz w:val="22"/>
          <w:szCs w:val="22"/>
        </w:rPr>
        <w:t xml:space="preserve"> a cabo la ejecución de su objeto social.  </w:t>
      </w:r>
      <w:r>
        <w:rPr>
          <w:rFonts w:ascii="Arial" w:eastAsia="Times New Roman" w:hAnsi="Arial" w:cs="Arial"/>
          <w:spacing w:val="-5"/>
          <w:sz w:val="22"/>
          <w:szCs w:val="22"/>
        </w:rPr>
        <w:t xml:space="preserve">  </w:t>
      </w:r>
    </w:p>
    <w:p w:rsidR="00D42E1A" w:rsidRPr="0053011E" w:rsidRDefault="00D42E1A" w:rsidP="00D42E1A">
      <w:pPr>
        <w:pStyle w:val="Textoindependiente"/>
        <w:spacing w:after="0" w:line="240" w:lineRule="auto"/>
        <w:rPr>
          <w:rFonts w:cs="Arial"/>
          <w:sz w:val="22"/>
          <w:szCs w:val="22"/>
        </w:rPr>
      </w:pPr>
    </w:p>
    <w:p w:rsidR="00D42E1A" w:rsidRPr="0053011E" w:rsidRDefault="00D42E1A" w:rsidP="00D42E1A">
      <w:pPr>
        <w:pStyle w:val="Textoindependiente"/>
        <w:spacing w:after="0" w:line="240" w:lineRule="auto"/>
        <w:rPr>
          <w:rFonts w:cs="Arial"/>
          <w:sz w:val="22"/>
          <w:szCs w:val="22"/>
        </w:rPr>
      </w:pPr>
      <w:r w:rsidRPr="0053011E">
        <w:rPr>
          <w:rFonts w:cs="Arial"/>
          <w:sz w:val="22"/>
          <w:szCs w:val="22"/>
        </w:rPr>
        <w:t>Cordialmente,</w:t>
      </w:r>
    </w:p>
    <w:p w:rsidR="00D42E1A" w:rsidRPr="0053011E" w:rsidRDefault="00D42E1A" w:rsidP="00D42E1A">
      <w:pPr>
        <w:jc w:val="center"/>
        <w:rPr>
          <w:rFonts w:ascii="Arial" w:hAnsi="Arial" w:cs="Arial"/>
          <w:sz w:val="22"/>
          <w:szCs w:val="22"/>
        </w:rPr>
      </w:pPr>
    </w:p>
    <w:p w:rsidR="00D42E1A" w:rsidRPr="0053011E" w:rsidRDefault="00D42E1A" w:rsidP="00D42E1A">
      <w:pPr>
        <w:jc w:val="center"/>
        <w:rPr>
          <w:rFonts w:ascii="Arial" w:hAnsi="Arial" w:cs="Arial"/>
          <w:sz w:val="22"/>
          <w:szCs w:val="22"/>
        </w:rPr>
      </w:pPr>
    </w:p>
    <w:p w:rsidR="00D42E1A" w:rsidRPr="0053011E" w:rsidRDefault="00D42E1A" w:rsidP="00D42E1A">
      <w:pPr>
        <w:pStyle w:val="Textoindependiente"/>
        <w:spacing w:after="0" w:line="240" w:lineRule="auto"/>
        <w:rPr>
          <w:rFonts w:cs="Arial"/>
          <w:sz w:val="22"/>
          <w:szCs w:val="22"/>
        </w:rPr>
      </w:pPr>
    </w:p>
    <w:p w:rsidR="00D42E1A" w:rsidRPr="009F65E7" w:rsidRDefault="00D42E1A" w:rsidP="00D42E1A">
      <w:pPr>
        <w:pStyle w:val="Textoindependiente"/>
        <w:spacing w:after="0" w:line="240" w:lineRule="auto"/>
        <w:jc w:val="center"/>
        <w:rPr>
          <w:rFonts w:cs="Arial"/>
          <w:sz w:val="22"/>
          <w:szCs w:val="22"/>
        </w:rPr>
      </w:pPr>
      <w:r w:rsidRPr="009F65E7">
        <w:rPr>
          <w:rFonts w:cs="Arial"/>
          <w:sz w:val="22"/>
          <w:szCs w:val="22"/>
        </w:rPr>
        <w:t>CHRISTIAN JARAMILLO HERRERA</w:t>
      </w:r>
    </w:p>
    <w:p w:rsidR="00D42E1A" w:rsidRDefault="00D42E1A" w:rsidP="00D42E1A">
      <w:pPr>
        <w:rPr>
          <w:rFonts w:ascii="Arial" w:hAnsi="Arial" w:cs="Arial"/>
          <w:lang w:val="es-ES"/>
        </w:rPr>
      </w:pPr>
    </w:p>
    <w:p w:rsidR="006B07C9" w:rsidRPr="006B1478" w:rsidRDefault="006B07C9" w:rsidP="006B07C9">
      <w:pPr>
        <w:pStyle w:val="Textoindependiente"/>
        <w:spacing w:after="0" w:line="240" w:lineRule="auto"/>
        <w:rPr>
          <w:rFonts w:cs="Arial"/>
          <w:sz w:val="24"/>
          <w:szCs w:val="24"/>
        </w:rPr>
      </w:pPr>
    </w:p>
    <w:sectPr w:rsidR="006B07C9" w:rsidRPr="006B1478" w:rsidSect="009C3853">
      <w:headerReference w:type="default" r:id="rId8"/>
      <w:footerReference w:type="default" r:id="rId9"/>
      <w:headerReference w:type="first" r:id="rId10"/>
      <w:footerReference w:type="first" r:id="rId11"/>
      <w:pgSz w:w="12240" w:h="15840"/>
      <w:pgMar w:top="1843" w:right="1418" w:bottom="1418" w:left="1418" w:header="1135" w:footer="4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A86" w:rsidRDefault="00A90A86" w:rsidP="00AA0519">
      <w:r>
        <w:separator/>
      </w:r>
    </w:p>
  </w:endnote>
  <w:endnote w:type="continuationSeparator" w:id="0">
    <w:p w:rsidR="00A90A86" w:rsidRDefault="00A90A86"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E1F" w:rsidRDefault="005723D7" w:rsidP="00735E1F">
    <w:pPr>
      <w:pStyle w:val="Piedepgina"/>
      <w:jc w:val="center"/>
    </w:pPr>
    <w:r>
      <w:rPr>
        <w:noProof/>
        <w:lang w:val="es-CO" w:eastAsia="es-CO"/>
      </w:rPr>
      <w:drawing>
        <wp:inline distT="0" distB="0" distL="0" distR="0" wp14:anchorId="7FB4360A" wp14:editId="3F8A2388">
          <wp:extent cx="2695575" cy="561975"/>
          <wp:effectExtent l="0" t="0" r="9525" b="9525"/>
          <wp:docPr id="477" name="Imagen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r w:rsidR="000F38B4">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4B" w:rsidRDefault="005723D7" w:rsidP="003F2F4B">
    <w:pPr>
      <w:pStyle w:val="Piedepgina"/>
      <w:jc w:val="center"/>
    </w:pPr>
    <w:r>
      <w:rPr>
        <w:noProof/>
        <w:lang w:val="es-CO" w:eastAsia="es-CO"/>
      </w:rPr>
      <w:drawing>
        <wp:anchor distT="0" distB="0" distL="114300" distR="114300" simplePos="0" relativeHeight="251663360" behindDoc="1" locked="0" layoutInCell="1" allowOverlap="1">
          <wp:simplePos x="0" y="0"/>
          <wp:positionH relativeFrom="column">
            <wp:posOffset>1633220</wp:posOffset>
          </wp:positionH>
          <wp:positionV relativeFrom="paragraph">
            <wp:posOffset>-270510</wp:posOffset>
          </wp:positionV>
          <wp:extent cx="2695575" cy="561975"/>
          <wp:effectExtent l="0" t="0" r="9525" b="9525"/>
          <wp:wrapNone/>
          <wp:docPr id="480" name="Imagen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14:sizeRelH relativeFrom="page">
            <wp14:pctWidth>0</wp14:pctWidth>
          </wp14:sizeRelH>
          <wp14:sizeRelV relativeFrom="page">
            <wp14:pctHeight>0</wp14:pctHeight>
          </wp14:sizeRelV>
        </wp:anchor>
      </w:drawing>
    </w:r>
    <w:r w:rsidR="00717096">
      <w:t xml:space="preserve">  </w:t>
    </w:r>
    <w:r w:rsidR="000F38B4">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A86" w:rsidRDefault="00A90A86" w:rsidP="00AA0519">
      <w:r>
        <w:separator/>
      </w:r>
    </w:p>
  </w:footnote>
  <w:footnote w:type="continuationSeparator" w:id="0">
    <w:p w:rsidR="00A90A86" w:rsidRDefault="00A90A86" w:rsidP="00AA0519">
      <w:r>
        <w:continuationSeparator/>
      </w:r>
    </w:p>
  </w:footnote>
  <w:footnote w:id="1">
    <w:p w:rsidR="00D42E1A" w:rsidRPr="002542D3" w:rsidRDefault="00D42E1A" w:rsidP="00D42E1A">
      <w:pPr>
        <w:pStyle w:val="Textonotapie"/>
        <w:jc w:val="both"/>
        <w:rPr>
          <w:rFonts w:ascii="Arial" w:hAnsi="Arial" w:cs="Arial"/>
          <w:sz w:val="16"/>
          <w:szCs w:val="16"/>
        </w:rPr>
      </w:pPr>
      <w:r w:rsidRPr="002542D3">
        <w:rPr>
          <w:rStyle w:val="Refdenotaalpie"/>
          <w:rFonts w:ascii="Arial" w:hAnsi="Arial" w:cs="Arial"/>
          <w:sz w:val="16"/>
          <w:szCs w:val="16"/>
        </w:rPr>
        <w:footnoteRef/>
      </w:r>
      <w:r w:rsidRPr="002542D3">
        <w:rPr>
          <w:rFonts w:ascii="Arial" w:hAnsi="Arial"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CC2" w:rsidRDefault="0014353D" w:rsidP="00457CC2">
    <w:pPr>
      <w:pStyle w:val="Encabezado"/>
      <w:tabs>
        <w:tab w:val="clear" w:pos="8838"/>
        <w:tab w:val="right" w:pos="9072"/>
      </w:tabs>
      <w:ind w:left="-567"/>
    </w:pPr>
    <w:r>
      <w:rPr>
        <w:noProof/>
        <w:lang w:val="es-CO" w:eastAsia="es-CO"/>
      </w:rPr>
      <w:drawing>
        <wp:anchor distT="0" distB="0" distL="114300" distR="114300" simplePos="0" relativeHeight="251665408" behindDoc="1" locked="0" layoutInCell="1" allowOverlap="1" wp14:anchorId="1DDE1EE5" wp14:editId="6D540B09">
          <wp:simplePos x="0" y="0"/>
          <wp:positionH relativeFrom="column">
            <wp:posOffset>2969260</wp:posOffset>
          </wp:positionH>
          <wp:positionV relativeFrom="paragraph">
            <wp:posOffset>-246380</wp:posOffset>
          </wp:positionV>
          <wp:extent cx="3073400" cy="589280"/>
          <wp:effectExtent l="0" t="0" r="0" b="1270"/>
          <wp:wrapNone/>
          <wp:docPr id="475" name="Imagen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bierno-logo.jpg"/>
                  <pic:cNvPicPr/>
                </pic:nvPicPr>
                <pic:blipFill rotWithShape="1">
                  <a:blip r:embed="rId1">
                    <a:extLst>
                      <a:ext uri="{28A0092B-C50C-407E-A947-70E740481C1C}">
                        <a14:useLocalDpi xmlns:a14="http://schemas.microsoft.com/office/drawing/2010/main" val="0"/>
                      </a:ext>
                    </a:extLst>
                  </a:blip>
                  <a:srcRect t="-268" b="-268"/>
                  <a:stretch/>
                </pic:blipFill>
                <pic:spPr>
                  <a:xfrm>
                    <a:off x="0" y="0"/>
                    <a:ext cx="3073400" cy="589280"/>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7456" behindDoc="1" locked="0" layoutInCell="1" allowOverlap="1" wp14:anchorId="72BFC098" wp14:editId="414C74C4">
          <wp:simplePos x="0" y="0"/>
          <wp:positionH relativeFrom="column">
            <wp:posOffset>143510</wp:posOffset>
          </wp:positionH>
          <wp:positionV relativeFrom="paragraph">
            <wp:posOffset>-275590</wp:posOffset>
          </wp:positionV>
          <wp:extent cx="1104900" cy="618490"/>
          <wp:effectExtent l="0" t="0" r="0" b="0"/>
          <wp:wrapNone/>
          <wp:docPr id="476" name="Imagen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104900" cy="618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7CC2">
      <w:rPr>
        <w:noProof/>
        <w:lang w:val="es-CO" w:eastAsia="es-CO"/>
      </w:rPr>
      <w:t xml:space="preserve">                                                              </w:t>
    </w:r>
  </w:p>
  <w:p w:rsidR="009A3312" w:rsidRDefault="00D754A1" w:rsidP="00AD15B5">
    <w:pPr>
      <w:pStyle w:val="Encabezado"/>
      <w:tabs>
        <w:tab w:val="clear" w:pos="4419"/>
        <w:tab w:val="clear" w:pos="8838"/>
        <w:tab w:val="left" w:pos="6840"/>
      </w:tabs>
    </w:pPr>
    <w:r>
      <w:t xml:space="preserve">    </w:t>
    </w:r>
    <w:r w:rsidR="004170AF">
      <w:t xml:space="preserve"> </w:t>
    </w:r>
    <w:r w:rsidR="00F13D47">
      <w:t xml:space="preserve">                                       </w:t>
    </w:r>
    <w:r>
      <w:t xml:space="preserve">   </w:t>
    </w:r>
    <w:r w:rsidR="00353D1D">
      <w:tab/>
    </w:r>
    <w:r w:rsidR="0014353D">
      <w:tab/>
    </w:r>
  </w:p>
  <w:p w:rsidR="009F58B4" w:rsidRDefault="00AD15B5" w:rsidP="00D21C7E">
    <w:pPr>
      <w:pStyle w:val="Textoindependiente"/>
      <w:spacing w:after="0" w:line="240" w:lineRule="auto"/>
      <w:jc w:val="left"/>
      <w:rPr>
        <w:rFonts w:cs="Arial"/>
        <w:sz w:val="18"/>
        <w:szCs w:val="18"/>
        <w:u w:val="single"/>
      </w:rPr>
    </w:pPr>
    <w:r>
      <w:rPr>
        <w:rFonts w:cs="Arial"/>
        <w:sz w:val="18"/>
        <w:szCs w:val="18"/>
        <w:u w:val="single"/>
      </w:rPr>
      <w:t>Circular</w:t>
    </w:r>
    <w:r w:rsidR="009F58B4">
      <w:rPr>
        <w:rFonts w:cs="Arial"/>
        <w:sz w:val="18"/>
        <w:szCs w:val="18"/>
        <w:u w:val="single"/>
      </w:rPr>
      <w:t>097</w:t>
    </w:r>
  </w:p>
  <w:p w:rsidR="003F2F4B" w:rsidRPr="00D42E1A" w:rsidRDefault="009F58B4" w:rsidP="00D21C7E">
    <w:pPr>
      <w:pStyle w:val="Textoindependiente"/>
      <w:spacing w:after="0" w:line="240" w:lineRule="auto"/>
      <w:jc w:val="left"/>
      <w:rPr>
        <w:rFonts w:cs="Arial"/>
        <w:sz w:val="18"/>
        <w:szCs w:val="18"/>
        <w:u w:val="single"/>
      </w:rPr>
    </w:pPr>
    <w:r>
      <w:rPr>
        <w:rFonts w:cs="Arial"/>
        <w:sz w:val="18"/>
        <w:szCs w:val="18"/>
        <w:u w:val="single"/>
      </w:rPr>
      <w:t>Noviembre de 2019</w:t>
    </w:r>
    <w:r w:rsidR="00AD15B5">
      <w:rPr>
        <w:rFonts w:cs="Arial"/>
        <w:sz w:val="18"/>
        <w:szCs w:val="18"/>
        <w:u w:val="single"/>
      </w:rPr>
      <w:t xml:space="preserve"> </w:t>
    </w:r>
  </w:p>
  <w:p w:rsidR="003F2F4B" w:rsidRPr="00D03901" w:rsidRDefault="003F2F4B" w:rsidP="003F2F4B">
    <w:pPr>
      <w:rPr>
        <w:sz w:val="18"/>
        <w:szCs w:val="18"/>
        <w:u w:val="single"/>
        <w:lang w:val="es-ES"/>
      </w:rPr>
    </w:pPr>
    <w:r w:rsidRPr="00CC3B9D">
      <w:rPr>
        <w:sz w:val="18"/>
        <w:szCs w:val="18"/>
        <w:u w:val="single"/>
        <w:lang w:val="es-ES"/>
      </w:rPr>
      <w:t xml:space="preserve">   </w:t>
    </w:r>
    <w:r w:rsidRPr="00CC3B9D">
      <w:rPr>
        <w:sz w:val="18"/>
        <w:szCs w:val="18"/>
        <w:u w:val="single"/>
        <w:lang w:val="es-ES"/>
      </w:rPr>
      <w:fldChar w:fldCharType="begin"/>
    </w:r>
    <w:r w:rsidRPr="00CC3B9D">
      <w:rPr>
        <w:sz w:val="18"/>
        <w:szCs w:val="18"/>
        <w:u w:val="single"/>
        <w:lang w:val="es-ES"/>
      </w:rPr>
      <w:instrText xml:space="preserve"> PAGE </w:instrText>
    </w:r>
    <w:r w:rsidRPr="00CC3B9D">
      <w:rPr>
        <w:sz w:val="18"/>
        <w:szCs w:val="18"/>
        <w:u w:val="single"/>
        <w:lang w:val="es-ES"/>
      </w:rPr>
      <w:fldChar w:fldCharType="separate"/>
    </w:r>
    <w:r w:rsidR="009C3853">
      <w:rPr>
        <w:noProof/>
        <w:sz w:val="18"/>
        <w:szCs w:val="18"/>
        <w:u w:val="single"/>
        <w:lang w:val="es-ES"/>
      </w:rPr>
      <w:t>4</w:t>
    </w:r>
    <w:r w:rsidRPr="00CC3B9D">
      <w:rPr>
        <w:sz w:val="18"/>
        <w:szCs w:val="18"/>
        <w:u w:val="single"/>
        <w:lang w:val="es-ES"/>
      </w:rPr>
      <w:fldChar w:fldCharType="end"/>
    </w:r>
    <w:r w:rsidRPr="00CC3B9D">
      <w:rPr>
        <w:sz w:val="18"/>
        <w:szCs w:val="18"/>
        <w:u w:val="single"/>
        <w:lang w:val="es-ES"/>
      </w:rPr>
      <w:t xml:space="preserve"> / </w:t>
    </w:r>
    <w:r w:rsidRPr="00CC3B9D">
      <w:rPr>
        <w:sz w:val="18"/>
        <w:szCs w:val="18"/>
        <w:u w:val="single"/>
        <w:lang w:val="es-ES"/>
      </w:rPr>
      <w:fldChar w:fldCharType="begin"/>
    </w:r>
    <w:r w:rsidRPr="00CC3B9D">
      <w:rPr>
        <w:sz w:val="18"/>
        <w:szCs w:val="18"/>
        <w:u w:val="single"/>
        <w:lang w:val="es-ES"/>
      </w:rPr>
      <w:instrText xml:space="preserve"> NUMPAGES  </w:instrText>
    </w:r>
    <w:r w:rsidRPr="00CC3B9D">
      <w:rPr>
        <w:sz w:val="18"/>
        <w:szCs w:val="18"/>
        <w:u w:val="single"/>
        <w:lang w:val="es-ES"/>
      </w:rPr>
      <w:fldChar w:fldCharType="separate"/>
    </w:r>
    <w:r w:rsidR="009C3853">
      <w:rPr>
        <w:noProof/>
        <w:sz w:val="18"/>
        <w:szCs w:val="18"/>
        <w:u w:val="single"/>
        <w:lang w:val="es-ES"/>
      </w:rPr>
      <w:t>4</w:t>
    </w:r>
    <w:r w:rsidRPr="00CC3B9D">
      <w:rPr>
        <w:sz w:val="18"/>
        <w:szCs w:val="18"/>
        <w:u w:val="single"/>
        <w:lang w:val="es-ES"/>
      </w:rPr>
      <w:fldChar w:fldCharType="end"/>
    </w:r>
  </w:p>
  <w:p w:rsidR="00AA0519" w:rsidRDefault="00AA051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4B" w:rsidRDefault="0014353D" w:rsidP="0014353D">
    <w:pPr>
      <w:pStyle w:val="Encabezado"/>
      <w:tabs>
        <w:tab w:val="clear" w:pos="4419"/>
        <w:tab w:val="clear" w:pos="8838"/>
        <w:tab w:val="left" w:pos="7274"/>
      </w:tabs>
      <w:ind w:left="-567"/>
    </w:pPr>
    <w:r>
      <w:rPr>
        <w:noProof/>
        <w:lang w:val="es-CO" w:eastAsia="es-CO"/>
      </w:rPr>
      <w:drawing>
        <wp:anchor distT="0" distB="0" distL="114300" distR="114300" simplePos="0" relativeHeight="251658240" behindDoc="1" locked="0" layoutInCell="1" allowOverlap="1" wp14:anchorId="0CB222B7" wp14:editId="28EA7098">
          <wp:simplePos x="0" y="0"/>
          <wp:positionH relativeFrom="column">
            <wp:posOffset>2963545</wp:posOffset>
          </wp:positionH>
          <wp:positionV relativeFrom="paragraph">
            <wp:posOffset>-350279</wp:posOffset>
          </wp:positionV>
          <wp:extent cx="3073400" cy="589280"/>
          <wp:effectExtent l="0" t="0" r="0" b="1270"/>
          <wp:wrapNone/>
          <wp:docPr id="478" name="Imagen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bierno-logo.jpg"/>
                  <pic:cNvPicPr/>
                </pic:nvPicPr>
                <pic:blipFill rotWithShape="1">
                  <a:blip r:embed="rId1">
                    <a:extLst>
                      <a:ext uri="{28A0092B-C50C-407E-A947-70E740481C1C}">
                        <a14:useLocalDpi xmlns:a14="http://schemas.microsoft.com/office/drawing/2010/main" val="0"/>
                      </a:ext>
                    </a:extLst>
                  </a:blip>
                  <a:srcRect t="-268" b="-268"/>
                  <a:stretch/>
                </pic:blipFill>
                <pic:spPr>
                  <a:xfrm>
                    <a:off x="0" y="0"/>
                    <a:ext cx="3073400" cy="589280"/>
                  </a:xfrm>
                  <a:prstGeom prst="rect">
                    <a:avLst/>
                  </a:prstGeom>
                </pic:spPr>
              </pic:pic>
            </a:graphicData>
          </a:graphic>
          <wp14:sizeRelH relativeFrom="page">
            <wp14:pctWidth>0</wp14:pctWidth>
          </wp14:sizeRelH>
          <wp14:sizeRelV relativeFrom="page">
            <wp14:pctHeight>0</wp14:pctHeight>
          </wp14:sizeRelV>
        </wp:anchor>
      </w:drawing>
    </w:r>
    <w:r w:rsidR="00353D1D">
      <w:rPr>
        <w:noProof/>
        <w:lang w:val="es-CO" w:eastAsia="es-CO"/>
      </w:rPr>
      <w:drawing>
        <wp:anchor distT="0" distB="0" distL="114300" distR="114300" simplePos="0" relativeHeight="251659264" behindDoc="1" locked="0" layoutInCell="1" allowOverlap="1" wp14:anchorId="76CCD468" wp14:editId="2AFD8707">
          <wp:simplePos x="0" y="0"/>
          <wp:positionH relativeFrom="column">
            <wp:posOffset>144145</wp:posOffset>
          </wp:positionH>
          <wp:positionV relativeFrom="paragraph">
            <wp:posOffset>-346579</wp:posOffset>
          </wp:positionV>
          <wp:extent cx="1104900" cy="618490"/>
          <wp:effectExtent l="0" t="0" r="0" b="0"/>
          <wp:wrapNone/>
          <wp:docPr id="479" name="Imagen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104900" cy="618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3D47">
      <w:rPr>
        <w:noProof/>
        <w:lang w:val="es-CO" w:eastAsia="es-CO"/>
      </w:rPr>
      <w:t xml:space="preserve">                     </w:t>
    </w:r>
    <w:r w:rsidR="00457CC2">
      <w:rPr>
        <w:noProof/>
        <w:lang w:val="es-CO" w:eastAsia="es-CO"/>
      </w:rPr>
      <w:t xml:space="preserve">          </w:t>
    </w:r>
    <w:r w:rsidR="00F13D47">
      <w:rPr>
        <w:noProof/>
        <w:lang w:val="es-CO" w:eastAsia="es-CO"/>
      </w:rPr>
      <w:t xml:space="preserve">               </w:t>
    </w:r>
    <w:r w:rsidR="00457CC2">
      <w:rPr>
        <w:noProof/>
        <w:lang w:val="es-CO" w:eastAsia="es-CO"/>
      </w:rPr>
      <w:t xml:space="preserve">    </w:t>
    </w:r>
    <w:r w:rsidR="00F13D47">
      <w:rPr>
        <w:noProof/>
        <w:lang w:val="es-CO" w:eastAsia="es-CO"/>
      </w:rPr>
      <w:t xml:space="preserve">        </w:t>
    </w:r>
    <w:r w:rsidR="004170AF">
      <w:rPr>
        <w:noProof/>
        <w:lang w:val="es-CO" w:eastAsia="es-CO"/>
      </w:rPr>
      <w:t xml:space="preserve">   </w:t>
    </w:r>
    <w:r w:rsidR="00457CC2">
      <w:rPr>
        <w:noProof/>
        <w:lang w:val="es-CO" w:eastAsia="es-CO"/>
      </w:rPr>
      <w:t xml:space="preserve"> </w:t>
    </w:r>
    <w:r>
      <w:rPr>
        <w:noProof/>
        <w:lang w:val="es-CO" w:eastAsia="es-CO"/>
      </w:rPr>
      <w:tab/>
    </w:r>
  </w:p>
  <w:p w:rsidR="003F2F4B" w:rsidRDefault="00457CC2" w:rsidP="00457CC2">
    <w:pPr>
      <w:pStyle w:val="Encabezado"/>
      <w:tabs>
        <w:tab w:val="clear" w:pos="4419"/>
        <w:tab w:val="clear" w:pos="8838"/>
        <w:tab w:val="left" w:pos="141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B2869"/>
    <w:multiLevelType w:val="hybridMultilevel"/>
    <w:tmpl w:val="6D48FA36"/>
    <w:lvl w:ilvl="0" w:tplc="89F640D4">
      <w:start w:val="1"/>
      <w:numFmt w:val="decimal"/>
      <w:lvlText w:val="%1."/>
      <w:lvlJc w:val="left"/>
      <w:pPr>
        <w:ind w:left="704" w:hanging="4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762943D4"/>
    <w:multiLevelType w:val="hybridMultilevel"/>
    <w:tmpl w:val="E29E6A16"/>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19"/>
    <w:rsid w:val="00006B41"/>
    <w:rsid w:val="00035DAC"/>
    <w:rsid w:val="000B7EF2"/>
    <w:rsid w:val="000F38B4"/>
    <w:rsid w:val="001012E5"/>
    <w:rsid w:val="00115F10"/>
    <w:rsid w:val="001215BB"/>
    <w:rsid w:val="0014353D"/>
    <w:rsid w:val="00153BE7"/>
    <w:rsid w:val="0018742F"/>
    <w:rsid w:val="002940DD"/>
    <w:rsid w:val="002C26C3"/>
    <w:rsid w:val="003002F2"/>
    <w:rsid w:val="003169C4"/>
    <w:rsid w:val="00353D1D"/>
    <w:rsid w:val="003B4CBD"/>
    <w:rsid w:val="003C7E1C"/>
    <w:rsid w:val="003F1EC9"/>
    <w:rsid w:val="003F2F4B"/>
    <w:rsid w:val="004170AF"/>
    <w:rsid w:val="00420335"/>
    <w:rsid w:val="00457CC2"/>
    <w:rsid w:val="00504850"/>
    <w:rsid w:val="00565D63"/>
    <w:rsid w:val="00567292"/>
    <w:rsid w:val="005723D7"/>
    <w:rsid w:val="005C14A4"/>
    <w:rsid w:val="005E3227"/>
    <w:rsid w:val="005E366C"/>
    <w:rsid w:val="0061402B"/>
    <w:rsid w:val="006B07C9"/>
    <w:rsid w:val="006D7F27"/>
    <w:rsid w:val="006E45D1"/>
    <w:rsid w:val="00717096"/>
    <w:rsid w:val="00735E1F"/>
    <w:rsid w:val="0074199A"/>
    <w:rsid w:val="007F42E3"/>
    <w:rsid w:val="00932F98"/>
    <w:rsid w:val="009A1D68"/>
    <w:rsid w:val="009A21AE"/>
    <w:rsid w:val="009A3312"/>
    <w:rsid w:val="009C3853"/>
    <w:rsid w:val="009F58B4"/>
    <w:rsid w:val="00A15CDD"/>
    <w:rsid w:val="00A90A86"/>
    <w:rsid w:val="00A9253B"/>
    <w:rsid w:val="00AA0519"/>
    <w:rsid w:val="00AA7A5F"/>
    <w:rsid w:val="00AB1A1A"/>
    <w:rsid w:val="00AC74B1"/>
    <w:rsid w:val="00AD15B5"/>
    <w:rsid w:val="00B07F2D"/>
    <w:rsid w:val="00B21A08"/>
    <w:rsid w:val="00BB1311"/>
    <w:rsid w:val="00BC3B19"/>
    <w:rsid w:val="00C92DB1"/>
    <w:rsid w:val="00CD714C"/>
    <w:rsid w:val="00CF0C52"/>
    <w:rsid w:val="00CF35D8"/>
    <w:rsid w:val="00D21C7E"/>
    <w:rsid w:val="00D42E1A"/>
    <w:rsid w:val="00D754A1"/>
    <w:rsid w:val="00E06860"/>
    <w:rsid w:val="00E452A8"/>
    <w:rsid w:val="00EB21FD"/>
    <w:rsid w:val="00EB447C"/>
    <w:rsid w:val="00EB677A"/>
    <w:rsid w:val="00F13D47"/>
    <w:rsid w:val="00FD2A8B"/>
    <w:rsid w:val="00FE26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E96E611"/>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D42E1A"/>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character" w:styleId="Hipervnculo">
    <w:name w:val="Hyperlink"/>
    <w:basedOn w:val="Fuentedeprrafopredeter"/>
    <w:uiPriority w:val="99"/>
    <w:unhideWhenUsed/>
    <w:rsid w:val="00AC74B1"/>
    <w:rPr>
      <w:color w:val="0563C1" w:themeColor="hyperlink"/>
      <w:u w:val="single"/>
    </w:rPr>
  </w:style>
  <w:style w:type="paragraph" w:styleId="Prrafodelista">
    <w:name w:val="List Paragraph"/>
    <w:basedOn w:val="Normal"/>
    <w:link w:val="PrrafodelistaCar"/>
    <w:uiPriority w:val="34"/>
    <w:qFormat/>
    <w:rsid w:val="002940DD"/>
    <w:pPr>
      <w:ind w:left="720"/>
      <w:contextualSpacing/>
    </w:pPr>
  </w:style>
  <w:style w:type="character" w:styleId="Refdecomentario">
    <w:name w:val="annotation reference"/>
    <w:basedOn w:val="Fuentedeprrafopredeter"/>
    <w:uiPriority w:val="99"/>
    <w:semiHidden/>
    <w:unhideWhenUsed/>
    <w:rsid w:val="002940DD"/>
    <w:rPr>
      <w:sz w:val="16"/>
      <w:szCs w:val="16"/>
    </w:rPr>
  </w:style>
  <w:style w:type="paragraph" w:styleId="Textocomentario">
    <w:name w:val="annotation text"/>
    <w:basedOn w:val="Normal"/>
    <w:link w:val="TextocomentarioCar"/>
    <w:uiPriority w:val="99"/>
    <w:semiHidden/>
    <w:unhideWhenUsed/>
    <w:rsid w:val="002940DD"/>
    <w:rPr>
      <w:sz w:val="20"/>
      <w:szCs w:val="20"/>
    </w:rPr>
  </w:style>
  <w:style w:type="character" w:customStyle="1" w:styleId="TextocomentarioCar">
    <w:name w:val="Texto comentario Car"/>
    <w:basedOn w:val="Fuentedeprrafopredeter"/>
    <w:link w:val="Textocomentario"/>
    <w:uiPriority w:val="99"/>
    <w:semiHidden/>
    <w:rsid w:val="002940DD"/>
    <w:rPr>
      <w:rFonts w:eastAsiaTheme="minorEastAsia"/>
      <w:sz w:val="20"/>
      <w:szCs w:val="20"/>
      <w:lang w:val="es-ES_tradnl"/>
    </w:rPr>
  </w:style>
  <w:style w:type="character" w:customStyle="1" w:styleId="PrrafodelistaCar">
    <w:name w:val="Párrafo de lista Car"/>
    <w:link w:val="Prrafodelista"/>
    <w:uiPriority w:val="34"/>
    <w:rsid w:val="002940DD"/>
    <w:rPr>
      <w:rFonts w:eastAsiaTheme="minorEastAsia"/>
      <w:sz w:val="24"/>
      <w:szCs w:val="24"/>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CF0C52"/>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CF0C52"/>
    <w:rPr>
      <w:rFonts w:eastAsiaTheme="minorEastAsia"/>
      <w:sz w:val="20"/>
      <w:szCs w:val="20"/>
      <w:lang w:val="es-ES_tradnl"/>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basedOn w:val="Fuentedeprrafopredeter"/>
    <w:uiPriority w:val="99"/>
    <w:unhideWhenUsed/>
    <w:rsid w:val="00CF0C52"/>
    <w:rPr>
      <w:vertAlign w:val="superscript"/>
    </w:rPr>
  </w:style>
  <w:style w:type="paragraph" w:styleId="Sangradetextonormal">
    <w:name w:val="Body Text Indent"/>
    <w:basedOn w:val="Normal"/>
    <w:link w:val="SangradetextonormalCar"/>
    <w:uiPriority w:val="99"/>
    <w:semiHidden/>
    <w:unhideWhenUsed/>
    <w:rsid w:val="00D42E1A"/>
    <w:pPr>
      <w:spacing w:after="120"/>
      <w:ind w:left="283"/>
    </w:pPr>
  </w:style>
  <w:style w:type="character" w:customStyle="1" w:styleId="SangradetextonormalCar">
    <w:name w:val="Sangría de texto normal Car"/>
    <w:basedOn w:val="Fuentedeprrafopredeter"/>
    <w:link w:val="Sangradetextonormal"/>
    <w:uiPriority w:val="99"/>
    <w:semiHidden/>
    <w:rsid w:val="00D42E1A"/>
    <w:rPr>
      <w:rFonts w:eastAsiaTheme="minorEastAsia"/>
      <w:sz w:val="24"/>
      <w:szCs w:val="24"/>
      <w:lang w:val="es-ES_tradnl"/>
    </w:rPr>
  </w:style>
  <w:style w:type="character" w:customStyle="1" w:styleId="Ttulo5Car">
    <w:name w:val="Título 5 Car"/>
    <w:basedOn w:val="Fuentedeprrafopredeter"/>
    <w:link w:val="Ttulo5"/>
    <w:semiHidden/>
    <w:rsid w:val="00D42E1A"/>
    <w:rPr>
      <w:rFonts w:ascii="Arial Black" w:eastAsia="Times New Roman" w:hAnsi="Arial Black" w:cs="Times New Roman"/>
      <w:spacing w:val="-5"/>
      <w:kern w:val="2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6D774-BCDA-4EFC-A993-76168EA4F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1582</Words>
  <Characters>8704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2019-03-28T15:24:00Z</cp:lastPrinted>
  <dcterms:created xsi:type="dcterms:W3CDTF">2019-11-06T20:23:00Z</dcterms:created>
  <dcterms:modified xsi:type="dcterms:W3CDTF">2019-11-06T20:23:00Z</dcterms:modified>
</cp:coreProperties>
</file>