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F3789" w14:textId="6244B2ED" w:rsidR="00D40520" w:rsidRDefault="00D40520" w:rsidP="007E16DF">
      <w:pPr>
        <w:rPr>
          <w:rFonts w:ascii="Arial" w:hAnsi="Arial" w:cs="Arial"/>
          <w:sz w:val="22"/>
          <w:szCs w:val="22"/>
          <w:lang w:val="es-MX"/>
        </w:rPr>
      </w:pPr>
    </w:p>
    <w:p w14:paraId="2C723EA4" w14:textId="7C70E7B1" w:rsidR="007E16DF" w:rsidRPr="009E0F14" w:rsidRDefault="007E16DF" w:rsidP="007E16DF">
      <w:pPr>
        <w:rPr>
          <w:rFonts w:ascii="Arial" w:hAnsi="Arial" w:cs="Arial"/>
          <w:sz w:val="22"/>
          <w:szCs w:val="22"/>
          <w:lang w:val="es-MX"/>
        </w:rPr>
      </w:pPr>
      <w:r w:rsidRPr="009E0F14">
        <w:rPr>
          <w:rFonts w:ascii="Arial" w:hAnsi="Arial" w:cs="Arial"/>
          <w:sz w:val="22"/>
          <w:szCs w:val="22"/>
          <w:lang w:val="es-MX"/>
        </w:rPr>
        <w:t>Bogotá, D. C.,</w:t>
      </w:r>
      <w:r w:rsidR="001F235D">
        <w:rPr>
          <w:rFonts w:ascii="Arial" w:hAnsi="Arial" w:cs="Arial"/>
          <w:sz w:val="22"/>
          <w:szCs w:val="22"/>
          <w:lang w:val="es-MX"/>
        </w:rPr>
        <w:t xml:space="preserve"> 11 de </w:t>
      </w:r>
      <w:r w:rsidR="00B71887">
        <w:rPr>
          <w:rFonts w:ascii="Arial" w:hAnsi="Arial" w:cs="Arial"/>
          <w:sz w:val="22"/>
          <w:szCs w:val="22"/>
          <w:lang w:val="es-MX"/>
        </w:rPr>
        <w:t xml:space="preserve">junio </w:t>
      </w:r>
      <w:r w:rsidR="00817775">
        <w:rPr>
          <w:rFonts w:ascii="Arial" w:hAnsi="Arial" w:cs="Arial"/>
          <w:sz w:val="22"/>
          <w:szCs w:val="22"/>
          <w:lang w:val="es-MX"/>
        </w:rPr>
        <w:t>de 20</w:t>
      </w:r>
      <w:r w:rsidR="006D3877">
        <w:rPr>
          <w:rFonts w:ascii="Arial" w:hAnsi="Arial" w:cs="Arial"/>
          <w:sz w:val="22"/>
          <w:szCs w:val="22"/>
          <w:lang w:val="es-MX"/>
        </w:rPr>
        <w:t>20</w:t>
      </w:r>
    </w:p>
    <w:p w14:paraId="35D9D213" w14:textId="77777777" w:rsidR="007E16DF" w:rsidRPr="009E0F14" w:rsidRDefault="007E16DF" w:rsidP="007E16DF">
      <w:pPr>
        <w:rPr>
          <w:rFonts w:ascii="Arial" w:hAnsi="Arial" w:cs="Arial"/>
          <w:sz w:val="22"/>
          <w:szCs w:val="22"/>
          <w:lang w:val="es-MX"/>
        </w:rPr>
      </w:pPr>
    </w:p>
    <w:p w14:paraId="005CFB19" w14:textId="77777777" w:rsidR="007E16DF" w:rsidRDefault="007E16DF" w:rsidP="007E16DF">
      <w:pPr>
        <w:rPr>
          <w:rFonts w:ascii="Arial" w:hAnsi="Arial" w:cs="Arial"/>
          <w:sz w:val="22"/>
          <w:szCs w:val="22"/>
          <w:lang w:val="es-MX"/>
        </w:rPr>
      </w:pPr>
    </w:p>
    <w:p w14:paraId="0A19998B" w14:textId="77777777" w:rsidR="00C27953" w:rsidRPr="009E0F14" w:rsidRDefault="00C27953" w:rsidP="007E16DF">
      <w:pPr>
        <w:rPr>
          <w:rFonts w:ascii="Arial" w:hAnsi="Arial" w:cs="Arial"/>
          <w:sz w:val="22"/>
          <w:szCs w:val="22"/>
          <w:lang w:val="es-MX"/>
        </w:rPr>
      </w:pPr>
    </w:p>
    <w:p w14:paraId="13242A77" w14:textId="2651B9D4" w:rsidR="007E16DF" w:rsidRDefault="007E16DF" w:rsidP="007E16DF">
      <w:pPr>
        <w:pStyle w:val="Ttulo5"/>
        <w:jc w:val="center"/>
        <w:rPr>
          <w:rFonts w:ascii="Arial" w:hAnsi="Arial" w:cs="Arial"/>
          <w:b/>
          <w:bCs/>
          <w:i/>
          <w:iCs/>
          <w:kern w:val="60"/>
          <w:sz w:val="40"/>
          <w:szCs w:val="40"/>
        </w:rPr>
      </w:pPr>
      <w:r w:rsidRPr="009E0F14">
        <w:rPr>
          <w:rFonts w:ascii="Arial" w:hAnsi="Arial" w:cs="Arial"/>
          <w:b/>
          <w:bCs/>
          <w:i/>
          <w:iCs/>
          <w:kern w:val="60"/>
          <w:sz w:val="40"/>
          <w:szCs w:val="40"/>
        </w:rPr>
        <w:t>CIRCULAR No.</w:t>
      </w:r>
      <w:r w:rsidR="00220F6A">
        <w:rPr>
          <w:rFonts w:ascii="Arial" w:hAnsi="Arial" w:cs="Arial"/>
          <w:b/>
          <w:bCs/>
          <w:i/>
          <w:iCs/>
          <w:kern w:val="60"/>
          <w:sz w:val="40"/>
          <w:szCs w:val="40"/>
        </w:rPr>
        <w:t xml:space="preserve"> </w:t>
      </w:r>
      <w:r w:rsidR="001F235D">
        <w:rPr>
          <w:rFonts w:ascii="Arial" w:hAnsi="Arial" w:cs="Arial"/>
          <w:b/>
          <w:bCs/>
          <w:i/>
          <w:iCs/>
          <w:kern w:val="60"/>
          <w:sz w:val="40"/>
          <w:szCs w:val="40"/>
        </w:rPr>
        <w:t>052</w:t>
      </w:r>
    </w:p>
    <w:p w14:paraId="0D0420E5" w14:textId="12757627" w:rsidR="007E16DF" w:rsidRDefault="007E16DF" w:rsidP="007E16DF">
      <w:pPr>
        <w:rPr>
          <w:rFonts w:ascii="Arial" w:hAnsi="Arial" w:cs="Arial"/>
          <w:sz w:val="22"/>
          <w:szCs w:val="22"/>
        </w:rPr>
      </w:pPr>
    </w:p>
    <w:p w14:paraId="3F426B98" w14:textId="77777777" w:rsidR="001F235D" w:rsidRPr="009E0F14" w:rsidRDefault="001F235D" w:rsidP="007E16DF">
      <w:pPr>
        <w:rPr>
          <w:rFonts w:ascii="Arial" w:hAnsi="Arial" w:cs="Arial"/>
          <w:sz w:val="22"/>
          <w:szCs w:val="22"/>
        </w:rPr>
      </w:pPr>
    </w:p>
    <w:p w14:paraId="726EB2C0" w14:textId="77777777" w:rsidR="007E16DF" w:rsidRPr="009E0F14" w:rsidRDefault="007E16DF" w:rsidP="007E16DF">
      <w:pPr>
        <w:rPr>
          <w:rFonts w:ascii="Arial" w:hAnsi="Arial" w:cs="Arial"/>
          <w:sz w:val="22"/>
          <w:szCs w:val="22"/>
          <w:lang w:val="es-MX"/>
        </w:rPr>
      </w:pPr>
    </w:p>
    <w:p w14:paraId="1BCC6D7B" w14:textId="0B16AF3F" w:rsidR="007E16DF" w:rsidRPr="00D40520" w:rsidRDefault="007E16DF" w:rsidP="00D40520">
      <w:pPr>
        <w:pStyle w:val="Sangradetextonormal"/>
        <w:spacing w:after="0"/>
        <w:ind w:left="1418" w:hanging="1418"/>
        <w:jc w:val="both"/>
        <w:rPr>
          <w:rFonts w:ascii="Arial" w:hAnsi="Arial" w:cs="Arial"/>
          <w:b/>
        </w:rPr>
      </w:pPr>
      <w:r w:rsidRPr="00D40520">
        <w:rPr>
          <w:rFonts w:ascii="Arial" w:hAnsi="Arial" w:cs="Arial"/>
          <w:b/>
        </w:rPr>
        <w:t>PARA:</w:t>
      </w:r>
      <w:r w:rsidR="00817775" w:rsidRPr="00D40520">
        <w:rPr>
          <w:rFonts w:ascii="Arial" w:hAnsi="Arial" w:cs="Arial"/>
          <w:b/>
        </w:rPr>
        <w:t xml:space="preserve"> </w:t>
      </w:r>
      <w:r w:rsidR="00CF6068" w:rsidRPr="00D40520">
        <w:rPr>
          <w:rFonts w:ascii="Arial" w:hAnsi="Arial" w:cs="Arial"/>
          <w:b/>
        </w:rPr>
        <w:tab/>
      </w:r>
      <w:r w:rsidR="00817775" w:rsidRPr="00D40520">
        <w:rPr>
          <w:rFonts w:ascii="Arial" w:hAnsi="Arial" w:cs="Arial"/>
          <w:b/>
        </w:rPr>
        <w:t xml:space="preserve">EMPRESAS </w:t>
      </w:r>
      <w:r w:rsidR="003908ED">
        <w:rPr>
          <w:rFonts w:ascii="Arial" w:hAnsi="Arial" w:cs="Arial"/>
          <w:b/>
        </w:rPr>
        <w:t>COMERCIALIZADOR</w:t>
      </w:r>
      <w:r w:rsidR="002C1FBF">
        <w:rPr>
          <w:rFonts w:ascii="Arial" w:hAnsi="Arial" w:cs="Arial"/>
          <w:b/>
        </w:rPr>
        <w:t>A</w:t>
      </w:r>
      <w:r w:rsidR="003908ED">
        <w:rPr>
          <w:rFonts w:ascii="Arial" w:hAnsi="Arial" w:cs="Arial"/>
          <w:b/>
        </w:rPr>
        <w:t>S</w:t>
      </w:r>
      <w:r w:rsidR="002C1FBF">
        <w:rPr>
          <w:rFonts w:ascii="Arial" w:hAnsi="Arial" w:cs="Arial"/>
          <w:b/>
        </w:rPr>
        <w:t xml:space="preserve"> DE ENERGÍA ELÉCTRICA</w:t>
      </w:r>
      <w:r w:rsidR="003908ED">
        <w:rPr>
          <w:rFonts w:ascii="Arial" w:hAnsi="Arial" w:cs="Arial"/>
          <w:b/>
        </w:rPr>
        <w:t xml:space="preserve"> </w:t>
      </w:r>
      <w:r w:rsidR="00CF6068" w:rsidRPr="00D40520">
        <w:rPr>
          <w:rFonts w:ascii="Arial" w:hAnsi="Arial" w:cs="Arial"/>
          <w:b/>
        </w:rPr>
        <w:t xml:space="preserve">Y </w:t>
      </w:r>
      <w:r w:rsidR="00817775" w:rsidRPr="00D40520">
        <w:rPr>
          <w:rFonts w:ascii="Arial" w:hAnsi="Arial" w:cs="Arial"/>
          <w:b/>
        </w:rPr>
        <w:t>TERCEROS INTERESADOS</w:t>
      </w:r>
      <w:r w:rsidRPr="00D40520">
        <w:rPr>
          <w:rFonts w:ascii="Arial" w:hAnsi="Arial" w:cs="Arial"/>
          <w:b/>
        </w:rPr>
        <w:tab/>
      </w:r>
    </w:p>
    <w:p w14:paraId="0C90D9BC" w14:textId="77777777" w:rsidR="007E16DF" w:rsidRPr="00D40520" w:rsidRDefault="007E16DF" w:rsidP="00D40520">
      <w:pPr>
        <w:ind w:left="1410" w:hanging="1410"/>
        <w:rPr>
          <w:rFonts w:ascii="Arial" w:hAnsi="Arial" w:cs="Arial"/>
          <w:b/>
        </w:rPr>
      </w:pPr>
    </w:p>
    <w:p w14:paraId="2BFDB0CE" w14:textId="77777777" w:rsidR="00C27953" w:rsidRPr="00D40520" w:rsidRDefault="00C27953" w:rsidP="00D40520">
      <w:pPr>
        <w:ind w:left="1410" w:hanging="1410"/>
        <w:rPr>
          <w:rFonts w:ascii="Arial" w:hAnsi="Arial" w:cs="Arial"/>
          <w:b/>
        </w:rPr>
      </w:pPr>
    </w:p>
    <w:p w14:paraId="3E748875" w14:textId="77777777" w:rsidR="007E16DF" w:rsidRPr="00D40520" w:rsidRDefault="00817775" w:rsidP="00D40520">
      <w:pPr>
        <w:pStyle w:val="Sangradetextonormal"/>
        <w:spacing w:after="0"/>
        <w:ind w:left="1410" w:hanging="1410"/>
        <w:jc w:val="both"/>
        <w:rPr>
          <w:rFonts w:ascii="Arial" w:hAnsi="Arial" w:cs="Arial"/>
          <w:b/>
        </w:rPr>
      </w:pPr>
      <w:r w:rsidRPr="00D40520">
        <w:rPr>
          <w:rFonts w:ascii="Arial" w:hAnsi="Arial" w:cs="Arial"/>
          <w:b/>
        </w:rPr>
        <w:t xml:space="preserve">DE: </w:t>
      </w:r>
      <w:r w:rsidR="00CF6068" w:rsidRPr="00D40520">
        <w:rPr>
          <w:rFonts w:ascii="Arial" w:hAnsi="Arial" w:cs="Arial"/>
          <w:b/>
        </w:rPr>
        <w:tab/>
      </w:r>
      <w:r w:rsidR="007E16DF" w:rsidRPr="00D40520">
        <w:rPr>
          <w:rFonts w:ascii="Arial" w:hAnsi="Arial" w:cs="Arial"/>
          <w:b/>
        </w:rPr>
        <w:t>DIRECCIÓN EJECUTIVA</w:t>
      </w:r>
    </w:p>
    <w:p w14:paraId="17A3BE22" w14:textId="77777777" w:rsidR="007E16DF" w:rsidRPr="00D40520" w:rsidRDefault="007E16DF" w:rsidP="00D40520">
      <w:pPr>
        <w:ind w:left="1410" w:hanging="1410"/>
        <w:rPr>
          <w:rFonts w:ascii="Arial" w:hAnsi="Arial" w:cs="Arial"/>
          <w:b/>
        </w:rPr>
      </w:pPr>
    </w:p>
    <w:p w14:paraId="7FC1D8B8" w14:textId="77777777" w:rsidR="00C27953" w:rsidRPr="00D40520" w:rsidRDefault="00C27953" w:rsidP="00D40520">
      <w:pPr>
        <w:ind w:left="1410" w:hanging="1410"/>
        <w:rPr>
          <w:rFonts w:ascii="Arial" w:hAnsi="Arial" w:cs="Arial"/>
          <w:b/>
        </w:rPr>
      </w:pPr>
    </w:p>
    <w:p w14:paraId="0F65DE6C" w14:textId="14E026A0" w:rsidR="007E16DF" w:rsidRDefault="007E16DF" w:rsidP="002C1FBF">
      <w:pPr>
        <w:pStyle w:val="Sangradetextonormal"/>
        <w:spacing w:after="0"/>
        <w:ind w:left="1418" w:hanging="1418"/>
        <w:jc w:val="both"/>
        <w:rPr>
          <w:rFonts w:ascii="Arial" w:hAnsi="Arial" w:cs="Arial"/>
          <w:szCs w:val="22"/>
        </w:rPr>
      </w:pPr>
      <w:r w:rsidRPr="00D40520">
        <w:rPr>
          <w:rFonts w:ascii="Arial" w:hAnsi="Arial" w:cs="Arial"/>
          <w:b/>
        </w:rPr>
        <w:t>ASUNTO:</w:t>
      </w:r>
      <w:r w:rsidR="00817775" w:rsidRPr="00D40520">
        <w:rPr>
          <w:rFonts w:ascii="Arial" w:hAnsi="Arial" w:cs="Arial"/>
          <w:b/>
        </w:rPr>
        <w:t xml:space="preserve"> </w:t>
      </w:r>
      <w:r w:rsidR="00CF6068" w:rsidRPr="00D40520">
        <w:rPr>
          <w:rFonts w:ascii="Arial" w:hAnsi="Arial" w:cs="Arial"/>
          <w:b/>
        </w:rPr>
        <w:tab/>
      </w:r>
      <w:r w:rsidR="003367F7">
        <w:rPr>
          <w:rFonts w:ascii="Arial" w:hAnsi="Arial" w:cs="Arial"/>
          <w:b/>
        </w:rPr>
        <w:t>PROCEDIMIENTO PARA DIFERIR LAS OBLIGACIONES DE LOS COMERCIALIZADORES FACTURADAS POR EL ASIC Y LAC</w:t>
      </w:r>
      <w:r w:rsidR="00B71887">
        <w:rPr>
          <w:rFonts w:ascii="Arial" w:hAnsi="Arial" w:cs="Arial"/>
          <w:b/>
        </w:rPr>
        <w:t xml:space="preserve"> DEL MES DE JUNIO </w:t>
      </w:r>
    </w:p>
    <w:p w14:paraId="52128723" w14:textId="77777777" w:rsidR="00D41D5A" w:rsidRPr="00D41D5A" w:rsidRDefault="00D41D5A" w:rsidP="00D41D5A">
      <w:pPr>
        <w:rPr>
          <w:rFonts w:ascii="Arial" w:hAnsi="Arial" w:cs="Arial"/>
          <w:szCs w:val="22"/>
        </w:rPr>
      </w:pPr>
    </w:p>
    <w:p w14:paraId="2BD72282" w14:textId="77777777" w:rsidR="00367CC8" w:rsidRPr="00D41D5A" w:rsidRDefault="00367CC8" w:rsidP="00D41D5A">
      <w:pPr>
        <w:rPr>
          <w:rFonts w:ascii="Arial" w:hAnsi="Arial" w:cs="Arial"/>
          <w:szCs w:val="22"/>
        </w:rPr>
      </w:pPr>
    </w:p>
    <w:p w14:paraId="7C13D806" w14:textId="30096F28" w:rsidR="00434917" w:rsidRPr="00434917" w:rsidRDefault="00B71887" w:rsidP="00434917">
      <w:pPr>
        <w:pStyle w:val="Textoindependiente"/>
        <w:spacing w:after="0" w:line="240" w:lineRule="auto"/>
        <w:rPr>
          <w:rFonts w:cs="Arial"/>
          <w:sz w:val="24"/>
          <w:szCs w:val="22"/>
          <w:shd w:val="clear" w:color="auto" w:fill="FFFFFF"/>
        </w:rPr>
      </w:pPr>
      <w:r>
        <w:rPr>
          <w:rFonts w:cs="Arial"/>
          <w:sz w:val="24"/>
          <w:szCs w:val="22"/>
          <w:shd w:val="clear" w:color="auto" w:fill="FFFFFF"/>
        </w:rPr>
        <w:t xml:space="preserve">La Resolución CREG 107 de 2020 amplió la aplicación del artículo 1 de la Resolución CREG 061 de 2020 </w:t>
      </w:r>
      <w:r w:rsidR="00434917">
        <w:rPr>
          <w:rFonts w:cs="Arial"/>
          <w:sz w:val="24"/>
          <w:szCs w:val="22"/>
          <w:shd w:val="clear" w:color="auto" w:fill="FFFFFF"/>
        </w:rPr>
        <w:t xml:space="preserve">para diferir los montos que se deben pagar en el mes de junio de 2020, para lo cual XM </w:t>
      </w:r>
      <w:r w:rsidR="00BE27EE">
        <w:rPr>
          <w:rFonts w:cs="Arial"/>
          <w:sz w:val="24"/>
          <w:szCs w:val="22"/>
          <w:shd w:val="clear" w:color="auto" w:fill="FFFFFF"/>
        </w:rPr>
        <w:t xml:space="preserve">S.A. E.S.P., </w:t>
      </w:r>
      <w:r w:rsidR="00434917">
        <w:rPr>
          <w:rFonts w:cs="Arial"/>
          <w:sz w:val="24"/>
          <w:szCs w:val="22"/>
          <w:shd w:val="clear" w:color="auto" w:fill="FFFFFF"/>
        </w:rPr>
        <w:t>mediante la comunicación E-2020-</w:t>
      </w:r>
      <w:r w:rsidR="00434917" w:rsidRPr="00434917">
        <w:rPr>
          <w:rFonts w:cs="Arial"/>
          <w:sz w:val="24"/>
          <w:szCs w:val="22"/>
          <w:shd w:val="clear" w:color="auto" w:fill="FFFFFF"/>
        </w:rPr>
        <w:t>006336</w:t>
      </w:r>
      <w:r w:rsidR="00BE27EE">
        <w:rPr>
          <w:rFonts w:cs="Arial"/>
          <w:sz w:val="24"/>
          <w:szCs w:val="22"/>
          <w:shd w:val="clear" w:color="auto" w:fill="FFFFFF"/>
        </w:rPr>
        <w:t>,</w:t>
      </w:r>
      <w:r w:rsidR="00434917" w:rsidRPr="00434917">
        <w:rPr>
          <w:rFonts w:cs="Arial"/>
          <w:sz w:val="24"/>
          <w:szCs w:val="22"/>
          <w:shd w:val="clear" w:color="auto" w:fill="FFFFFF"/>
        </w:rPr>
        <w:t xml:space="preserve"> remitió el procedimiento que aplica para </w:t>
      </w:r>
      <w:r w:rsidR="001646BF">
        <w:rPr>
          <w:rFonts w:cs="Arial"/>
          <w:sz w:val="24"/>
          <w:szCs w:val="22"/>
          <w:shd w:val="clear" w:color="auto" w:fill="FFFFFF"/>
        </w:rPr>
        <w:t>dicho mes</w:t>
      </w:r>
      <w:r w:rsidR="00434917" w:rsidRPr="00434917">
        <w:rPr>
          <w:rFonts w:cs="Arial"/>
          <w:sz w:val="24"/>
          <w:szCs w:val="22"/>
          <w:shd w:val="clear" w:color="auto" w:fill="FFFFFF"/>
        </w:rPr>
        <w:t>.</w:t>
      </w:r>
    </w:p>
    <w:p w14:paraId="36C38518" w14:textId="77777777" w:rsidR="00434917" w:rsidRDefault="00434917" w:rsidP="0037459B">
      <w:pPr>
        <w:pStyle w:val="Textoindependiente"/>
        <w:spacing w:after="0" w:line="240" w:lineRule="auto"/>
        <w:rPr>
          <w:rFonts w:cs="Arial"/>
          <w:sz w:val="24"/>
          <w:szCs w:val="22"/>
          <w:shd w:val="clear" w:color="auto" w:fill="FFFFFF"/>
        </w:rPr>
      </w:pPr>
    </w:p>
    <w:p w14:paraId="77539211" w14:textId="09B17D63" w:rsidR="006D5018" w:rsidRPr="00D41D5A" w:rsidRDefault="00434917" w:rsidP="0037459B">
      <w:pPr>
        <w:pStyle w:val="Textoindependiente"/>
        <w:spacing w:after="0" w:line="240" w:lineRule="auto"/>
        <w:rPr>
          <w:rFonts w:cs="Arial"/>
          <w:sz w:val="24"/>
          <w:szCs w:val="22"/>
          <w:shd w:val="clear" w:color="auto" w:fill="FFFFFF"/>
        </w:rPr>
      </w:pPr>
      <w:r>
        <w:rPr>
          <w:rFonts w:cs="Arial"/>
          <w:sz w:val="24"/>
          <w:szCs w:val="22"/>
          <w:shd w:val="clear" w:color="auto" w:fill="FFFFFF"/>
        </w:rPr>
        <w:t>De acuerdo con lo anterior, l</w:t>
      </w:r>
      <w:r w:rsidR="00247E26" w:rsidRPr="00D41D5A">
        <w:rPr>
          <w:rFonts w:cs="Arial"/>
          <w:sz w:val="24"/>
          <w:szCs w:val="22"/>
          <w:shd w:val="clear" w:color="auto" w:fill="FFFFFF"/>
        </w:rPr>
        <w:t xml:space="preserve">a Dirección Ejecutiva de la Comisión de Regulación de Energía y Gas, CREG, </w:t>
      </w:r>
      <w:r w:rsidR="003908ED">
        <w:rPr>
          <w:rFonts w:cs="Arial"/>
          <w:sz w:val="24"/>
          <w:szCs w:val="22"/>
          <w:shd w:val="clear" w:color="auto" w:fill="FFFFFF"/>
        </w:rPr>
        <w:t>informa que</w:t>
      </w:r>
      <w:r w:rsidR="00512106">
        <w:rPr>
          <w:rFonts w:cs="Arial"/>
          <w:sz w:val="24"/>
          <w:szCs w:val="22"/>
          <w:shd w:val="clear" w:color="auto" w:fill="FFFFFF"/>
        </w:rPr>
        <w:t>,</w:t>
      </w:r>
      <w:r w:rsidR="003908ED">
        <w:rPr>
          <w:rFonts w:cs="Arial"/>
          <w:sz w:val="24"/>
          <w:szCs w:val="22"/>
          <w:shd w:val="clear" w:color="auto" w:fill="FFFFFF"/>
        </w:rPr>
        <w:t xml:space="preserve"> de acuerdo con lo dispuesto en el parágrafo 1 del artículo 1 de la Resolución CREG 061 de 2020, publica el procedimiento definido por</w:t>
      </w:r>
      <w:r w:rsidR="00096D99">
        <w:rPr>
          <w:rFonts w:cs="Arial"/>
          <w:sz w:val="24"/>
          <w:szCs w:val="22"/>
          <w:shd w:val="clear" w:color="auto" w:fill="FFFFFF"/>
        </w:rPr>
        <w:t xml:space="preserve"> XM S</w:t>
      </w:r>
      <w:r w:rsidR="00512106">
        <w:rPr>
          <w:rFonts w:cs="Arial"/>
          <w:sz w:val="24"/>
          <w:szCs w:val="22"/>
          <w:shd w:val="clear" w:color="auto" w:fill="FFFFFF"/>
        </w:rPr>
        <w:t>.</w:t>
      </w:r>
      <w:r w:rsidR="00096D99">
        <w:rPr>
          <w:rFonts w:cs="Arial"/>
          <w:sz w:val="24"/>
          <w:szCs w:val="22"/>
          <w:shd w:val="clear" w:color="auto" w:fill="FFFFFF"/>
        </w:rPr>
        <w:t>A</w:t>
      </w:r>
      <w:r w:rsidR="00512106">
        <w:rPr>
          <w:rFonts w:cs="Arial"/>
          <w:sz w:val="24"/>
          <w:szCs w:val="22"/>
          <w:shd w:val="clear" w:color="auto" w:fill="FFFFFF"/>
        </w:rPr>
        <w:t>.</w:t>
      </w:r>
      <w:r w:rsidR="00096D99">
        <w:rPr>
          <w:rFonts w:cs="Arial"/>
          <w:sz w:val="24"/>
          <w:szCs w:val="22"/>
          <w:shd w:val="clear" w:color="auto" w:fill="FFFFFF"/>
        </w:rPr>
        <w:t xml:space="preserve"> E</w:t>
      </w:r>
      <w:r w:rsidR="00512106">
        <w:rPr>
          <w:rFonts w:cs="Arial"/>
          <w:sz w:val="24"/>
          <w:szCs w:val="22"/>
          <w:shd w:val="clear" w:color="auto" w:fill="FFFFFF"/>
        </w:rPr>
        <w:t>.</w:t>
      </w:r>
      <w:r w:rsidR="00096D99">
        <w:rPr>
          <w:rFonts w:cs="Arial"/>
          <w:sz w:val="24"/>
          <w:szCs w:val="22"/>
          <w:shd w:val="clear" w:color="auto" w:fill="FFFFFF"/>
        </w:rPr>
        <w:t>S</w:t>
      </w:r>
      <w:r w:rsidR="00512106">
        <w:rPr>
          <w:rFonts w:cs="Arial"/>
          <w:sz w:val="24"/>
          <w:szCs w:val="22"/>
          <w:shd w:val="clear" w:color="auto" w:fill="FFFFFF"/>
        </w:rPr>
        <w:t>.</w:t>
      </w:r>
      <w:r w:rsidR="00096D99">
        <w:rPr>
          <w:rFonts w:cs="Arial"/>
          <w:sz w:val="24"/>
          <w:szCs w:val="22"/>
          <w:shd w:val="clear" w:color="auto" w:fill="FFFFFF"/>
        </w:rPr>
        <w:t>P</w:t>
      </w:r>
      <w:r w:rsidR="00512106">
        <w:rPr>
          <w:rFonts w:cs="Arial"/>
          <w:sz w:val="24"/>
          <w:szCs w:val="22"/>
          <w:shd w:val="clear" w:color="auto" w:fill="FFFFFF"/>
        </w:rPr>
        <w:t>.</w:t>
      </w:r>
      <w:r w:rsidR="00096D99">
        <w:rPr>
          <w:rFonts w:cs="Arial"/>
          <w:sz w:val="24"/>
          <w:szCs w:val="22"/>
          <w:shd w:val="clear" w:color="auto" w:fill="FFFFFF"/>
        </w:rPr>
        <w:t xml:space="preserve"> en sus funciones de Administrador d</w:t>
      </w:r>
      <w:r w:rsidR="003908ED">
        <w:rPr>
          <w:rFonts w:cs="Arial"/>
          <w:sz w:val="24"/>
          <w:szCs w:val="22"/>
          <w:shd w:val="clear" w:color="auto" w:fill="FFFFFF"/>
        </w:rPr>
        <w:t>el</w:t>
      </w:r>
      <w:r w:rsidR="00096D99">
        <w:rPr>
          <w:rFonts w:cs="Arial"/>
          <w:sz w:val="24"/>
          <w:szCs w:val="22"/>
          <w:shd w:val="clear" w:color="auto" w:fill="FFFFFF"/>
        </w:rPr>
        <w:t xml:space="preserve"> Sistema de Intercambios Comerciales</w:t>
      </w:r>
      <w:r w:rsidR="003908ED">
        <w:rPr>
          <w:rFonts w:cs="Arial"/>
          <w:sz w:val="24"/>
          <w:szCs w:val="22"/>
          <w:shd w:val="clear" w:color="auto" w:fill="FFFFFF"/>
        </w:rPr>
        <w:t xml:space="preserve"> </w:t>
      </w:r>
      <w:r w:rsidR="00096D99">
        <w:rPr>
          <w:rFonts w:cs="Arial"/>
          <w:sz w:val="24"/>
          <w:szCs w:val="22"/>
          <w:shd w:val="clear" w:color="auto" w:fill="FFFFFF"/>
        </w:rPr>
        <w:t>-</w:t>
      </w:r>
      <w:r w:rsidR="003908ED">
        <w:rPr>
          <w:rFonts w:cs="Arial"/>
          <w:sz w:val="24"/>
          <w:szCs w:val="22"/>
          <w:shd w:val="clear" w:color="auto" w:fill="FFFFFF"/>
        </w:rPr>
        <w:t>ASIC</w:t>
      </w:r>
      <w:r w:rsidR="00096D99">
        <w:rPr>
          <w:rFonts w:cs="Arial"/>
          <w:sz w:val="24"/>
          <w:szCs w:val="22"/>
          <w:shd w:val="clear" w:color="auto" w:fill="FFFFFF"/>
        </w:rPr>
        <w:t>-</w:t>
      </w:r>
      <w:r w:rsidR="003908ED">
        <w:rPr>
          <w:rFonts w:cs="Arial"/>
          <w:sz w:val="24"/>
          <w:szCs w:val="22"/>
          <w:shd w:val="clear" w:color="auto" w:fill="FFFFFF"/>
        </w:rPr>
        <w:t xml:space="preserve"> y</w:t>
      </w:r>
      <w:r w:rsidR="00096D99">
        <w:rPr>
          <w:rFonts w:cs="Arial"/>
          <w:sz w:val="24"/>
          <w:szCs w:val="22"/>
          <w:shd w:val="clear" w:color="auto" w:fill="FFFFFF"/>
        </w:rPr>
        <w:t xml:space="preserve"> Liquidador y Administrador de Cuentas</w:t>
      </w:r>
      <w:r w:rsidR="003908ED">
        <w:rPr>
          <w:rFonts w:cs="Arial"/>
          <w:sz w:val="24"/>
          <w:szCs w:val="22"/>
          <w:shd w:val="clear" w:color="auto" w:fill="FFFFFF"/>
        </w:rPr>
        <w:t xml:space="preserve"> </w:t>
      </w:r>
      <w:r w:rsidR="00096D99">
        <w:rPr>
          <w:rFonts w:cs="Arial"/>
          <w:sz w:val="24"/>
          <w:szCs w:val="22"/>
          <w:shd w:val="clear" w:color="auto" w:fill="FFFFFF"/>
        </w:rPr>
        <w:t>-</w:t>
      </w:r>
      <w:r w:rsidR="003908ED">
        <w:rPr>
          <w:rFonts w:cs="Arial"/>
          <w:sz w:val="24"/>
          <w:szCs w:val="22"/>
          <w:shd w:val="clear" w:color="auto" w:fill="FFFFFF"/>
        </w:rPr>
        <w:t>LAC</w:t>
      </w:r>
      <w:r w:rsidR="00096D99">
        <w:rPr>
          <w:rFonts w:cs="Arial"/>
          <w:sz w:val="24"/>
          <w:szCs w:val="22"/>
          <w:shd w:val="clear" w:color="auto" w:fill="FFFFFF"/>
        </w:rPr>
        <w:t>-</w:t>
      </w:r>
      <w:r w:rsidR="003908ED">
        <w:rPr>
          <w:rFonts w:cs="Arial"/>
          <w:sz w:val="24"/>
          <w:szCs w:val="22"/>
          <w:shd w:val="clear" w:color="auto" w:fill="FFFFFF"/>
        </w:rPr>
        <w:t>, para diferir las obligaciones de pago de los comercializadores de energía eléctrica</w:t>
      </w:r>
      <w:r w:rsidR="002C1FBF">
        <w:rPr>
          <w:rFonts w:cs="Arial"/>
          <w:sz w:val="24"/>
          <w:szCs w:val="22"/>
          <w:shd w:val="clear" w:color="auto" w:fill="FFFFFF"/>
        </w:rPr>
        <w:t xml:space="preserve"> de</w:t>
      </w:r>
      <w:r>
        <w:rPr>
          <w:rFonts w:cs="Arial"/>
          <w:sz w:val="24"/>
          <w:szCs w:val="22"/>
          <w:shd w:val="clear" w:color="auto" w:fill="FFFFFF"/>
        </w:rPr>
        <w:t xml:space="preserve">l </w:t>
      </w:r>
      <w:r w:rsidR="002C1FBF">
        <w:rPr>
          <w:rFonts w:cs="Arial"/>
          <w:sz w:val="24"/>
          <w:szCs w:val="22"/>
          <w:shd w:val="clear" w:color="auto" w:fill="FFFFFF"/>
        </w:rPr>
        <w:t>mes</w:t>
      </w:r>
      <w:r>
        <w:rPr>
          <w:rFonts w:cs="Arial"/>
          <w:sz w:val="24"/>
          <w:szCs w:val="22"/>
          <w:shd w:val="clear" w:color="auto" w:fill="FFFFFF"/>
        </w:rPr>
        <w:t xml:space="preserve"> </w:t>
      </w:r>
      <w:r w:rsidR="002C1FBF">
        <w:rPr>
          <w:rFonts w:cs="Arial"/>
          <w:sz w:val="24"/>
          <w:szCs w:val="22"/>
          <w:shd w:val="clear" w:color="auto" w:fill="FFFFFF"/>
        </w:rPr>
        <w:t xml:space="preserve">de </w:t>
      </w:r>
      <w:r>
        <w:rPr>
          <w:rFonts w:cs="Arial"/>
          <w:sz w:val="24"/>
          <w:szCs w:val="22"/>
          <w:shd w:val="clear" w:color="auto" w:fill="FFFFFF"/>
        </w:rPr>
        <w:t xml:space="preserve">junio </w:t>
      </w:r>
      <w:r w:rsidR="002C1FBF">
        <w:rPr>
          <w:rFonts w:cs="Arial"/>
          <w:sz w:val="24"/>
          <w:szCs w:val="22"/>
          <w:shd w:val="clear" w:color="auto" w:fill="FFFFFF"/>
        </w:rPr>
        <w:t>del presente año</w:t>
      </w:r>
      <w:r w:rsidR="003908ED">
        <w:rPr>
          <w:rFonts w:cs="Arial"/>
          <w:sz w:val="24"/>
          <w:szCs w:val="22"/>
          <w:shd w:val="clear" w:color="auto" w:fill="FFFFFF"/>
        </w:rPr>
        <w:t xml:space="preserve">. </w:t>
      </w:r>
    </w:p>
    <w:p w14:paraId="5C1782E5" w14:textId="77777777" w:rsidR="00D41D5A" w:rsidRPr="00D41D5A" w:rsidRDefault="00D41D5A" w:rsidP="0037459B">
      <w:pPr>
        <w:pStyle w:val="Textoindependiente"/>
        <w:spacing w:after="0" w:line="240" w:lineRule="auto"/>
        <w:rPr>
          <w:rFonts w:cs="Arial"/>
          <w:sz w:val="24"/>
          <w:szCs w:val="22"/>
          <w:shd w:val="clear" w:color="auto" w:fill="FFFFFF"/>
        </w:rPr>
      </w:pPr>
    </w:p>
    <w:p w14:paraId="263D9056" w14:textId="77777777" w:rsidR="007E16DF" w:rsidRPr="00D41D5A" w:rsidRDefault="007E16DF" w:rsidP="007E16DF">
      <w:pPr>
        <w:pStyle w:val="Textoindependiente"/>
        <w:spacing w:after="0" w:line="240" w:lineRule="auto"/>
        <w:rPr>
          <w:rFonts w:cs="Arial"/>
          <w:sz w:val="24"/>
          <w:szCs w:val="22"/>
          <w:shd w:val="clear" w:color="auto" w:fill="FFFFFF"/>
        </w:rPr>
      </w:pPr>
      <w:r w:rsidRPr="00D41D5A">
        <w:rPr>
          <w:rFonts w:cs="Arial"/>
          <w:sz w:val="24"/>
          <w:szCs w:val="22"/>
          <w:shd w:val="clear" w:color="auto" w:fill="FFFFFF"/>
        </w:rPr>
        <w:t>Cordialmente,</w:t>
      </w:r>
    </w:p>
    <w:p w14:paraId="22D6E8AB" w14:textId="77777777" w:rsidR="007E16DF" w:rsidRPr="00D41D5A" w:rsidRDefault="007E16DF" w:rsidP="007E16DF">
      <w:pPr>
        <w:jc w:val="center"/>
        <w:rPr>
          <w:rFonts w:ascii="Arial" w:eastAsia="Times New Roman" w:hAnsi="Arial" w:cs="Arial"/>
          <w:spacing w:val="-5"/>
          <w:szCs w:val="22"/>
          <w:shd w:val="clear" w:color="auto" w:fill="FFFFFF"/>
          <w:lang w:val="es-CO"/>
        </w:rPr>
      </w:pPr>
    </w:p>
    <w:p w14:paraId="29A8AF28" w14:textId="77777777" w:rsidR="007E16DF" w:rsidRPr="00D41D5A" w:rsidRDefault="007E16DF" w:rsidP="007E16DF">
      <w:pPr>
        <w:jc w:val="center"/>
        <w:rPr>
          <w:rFonts w:ascii="Arial" w:hAnsi="Arial" w:cs="Arial"/>
          <w:szCs w:val="22"/>
        </w:rPr>
      </w:pPr>
    </w:p>
    <w:p w14:paraId="47544C80" w14:textId="77777777" w:rsidR="007E16DF" w:rsidRPr="00D41D5A" w:rsidRDefault="007E16DF" w:rsidP="007E16DF">
      <w:pPr>
        <w:jc w:val="center"/>
        <w:rPr>
          <w:rFonts w:ascii="Arial" w:hAnsi="Arial" w:cs="Arial"/>
          <w:szCs w:val="22"/>
        </w:rPr>
      </w:pPr>
    </w:p>
    <w:p w14:paraId="0807A278" w14:textId="77777777" w:rsidR="007E16DF" w:rsidRPr="00D41D5A" w:rsidRDefault="007E16DF" w:rsidP="007E16DF">
      <w:pPr>
        <w:pStyle w:val="Textoindependiente"/>
        <w:spacing w:after="0" w:line="240" w:lineRule="auto"/>
        <w:rPr>
          <w:rFonts w:cs="Arial"/>
          <w:sz w:val="24"/>
          <w:szCs w:val="22"/>
        </w:rPr>
      </w:pPr>
    </w:p>
    <w:p w14:paraId="27F09283" w14:textId="3F9192AE" w:rsidR="007E16DF" w:rsidRDefault="003908ED" w:rsidP="00817775">
      <w:pPr>
        <w:pStyle w:val="Textoindependiente"/>
        <w:spacing w:after="0" w:line="240" w:lineRule="auto"/>
        <w:jc w:val="center"/>
        <w:rPr>
          <w:rFonts w:cs="Arial"/>
          <w:sz w:val="24"/>
          <w:szCs w:val="22"/>
        </w:rPr>
      </w:pPr>
      <w:r>
        <w:rPr>
          <w:rFonts w:cs="Arial"/>
          <w:sz w:val="24"/>
          <w:szCs w:val="22"/>
        </w:rPr>
        <w:t xml:space="preserve">JORGE </w:t>
      </w:r>
      <w:r w:rsidR="00512106">
        <w:rPr>
          <w:rFonts w:cs="Arial"/>
          <w:sz w:val="24"/>
          <w:szCs w:val="22"/>
        </w:rPr>
        <w:t xml:space="preserve">ALBERTO </w:t>
      </w:r>
      <w:r>
        <w:rPr>
          <w:rFonts w:cs="Arial"/>
          <w:sz w:val="24"/>
          <w:szCs w:val="22"/>
        </w:rPr>
        <w:t>VALENCIA MARÍN</w:t>
      </w:r>
    </w:p>
    <w:p w14:paraId="533178EA" w14:textId="77777777" w:rsidR="007E16DF" w:rsidRDefault="007E16DF" w:rsidP="007E16DF">
      <w:pPr>
        <w:pStyle w:val="Textoindependiente"/>
        <w:spacing w:after="0" w:line="240" w:lineRule="auto"/>
        <w:rPr>
          <w:rFonts w:cs="Arial"/>
        </w:rPr>
      </w:pPr>
    </w:p>
    <w:p w14:paraId="2BF8943B" w14:textId="77777777" w:rsidR="005B310D" w:rsidRDefault="005B310D" w:rsidP="007E16DF">
      <w:pPr>
        <w:pStyle w:val="Textoindependiente"/>
        <w:spacing w:after="0" w:line="240" w:lineRule="auto"/>
        <w:rPr>
          <w:rFonts w:cs="Arial"/>
        </w:rPr>
      </w:pPr>
    </w:p>
    <w:p w14:paraId="24427E56" w14:textId="1F01899E" w:rsidR="00BD3FE9" w:rsidRPr="002C1FBF" w:rsidRDefault="001646BF" w:rsidP="003908ED">
      <w:pPr>
        <w:pStyle w:val="Default"/>
        <w:jc w:val="both"/>
        <w:rPr>
          <w:rFonts w:ascii="Arial" w:hAnsi="Arial" w:cs="Arial"/>
          <w:i/>
          <w:sz w:val="20"/>
          <w:szCs w:val="22"/>
        </w:rPr>
      </w:pPr>
      <w:r>
        <w:rPr>
          <w:rFonts w:ascii="Arial" w:hAnsi="Arial" w:cs="Arial"/>
          <w:sz w:val="20"/>
          <w:szCs w:val="22"/>
        </w:rPr>
        <w:t>Anexo:</w:t>
      </w:r>
      <w:r w:rsidR="00D41D5A" w:rsidRPr="002C1FBF">
        <w:rPr>
          <w:rFonts w:ascii="Arial" w:hAnsi="Arial" w:cs="Arial"/>
          <w:i/>
          <w:sz w:val="20"/>
          <w:szCs w:val="22"/>
        </w:rPr>
        <w:t xml:space="preserve"> </w:t>
      </w:r>
      <w:r w:rsidR="003908ED" w:rsidRPr="002C1FBF">
        <w:rPr>
          <w:rFonts w:ascii="Arial" w:hAnsi="Arial" w:cs="Arial"/>
          <w:bCs/>
          <w:i/>
          <w:sz w:val="20"/>
          <w:szCs w:val="22"/>
        </w:rPr>
        <w:t xml:space="preserve">PROCEDIMIENTO PARA APLICAR EL MECANISMO PARA DIFERIR LAS OBLIGACIONES DE PAGO DE LOS COMERCIALIZADORES FACTURADAS POR EL ASIC Y EL LAC, PARA LOS VENCIMIENTOS DE </w:t>
      </w:r>
      <w:r w:rsidR="00434917">
        <w:rPr>
          <w:rFonts w:ascii="Arial" w:hAnsi="Arial" w:cs="Arial"/>
          <w:bCs/>
          <w:i/>
          <w:sz w:val="20"/>
          <w:szCs w:val="22"/>
        </w:rPr>
        <w:t xml:space="preserve">JUNIO </w:t>
      </w:r>
      <w:r w:rsidR="003908ED" w:rsidRPr="002C1FBF">
        <w:rPr>
          <w:rFonts w:ascii="Arial" w:hAnsi="Arial" w:cs="Arial"/>
          <w:bCs/>
          <w:i/>
          <w:sz w:val="20"/>
          <w:szCs w:val="22"/>
        </w:rPr>
        <w:t>DE 2020</w:t>
      </w:r>
    </w:p>
    <w:p w14:paraId="563F9379" w14:textId="7B5D4F80" w:rsidR="00D41D5A" w:rsidRDefault="00D41D5A" w:rsidP="007E16DF">
      <w:pPr>
        <w:pStyle w:val="Textoindependiente"/>
        <w:spacing w:after="0" w:line="240" w:lineRule="auto"/>
        <w:rPr>
          <w:rFonts w:cs="Arial"/>
          <w:i/>
        </w:rPr>
      </w:pPr>
    </w:p>
    <w:p w14:paraId="235B0961" w14:textId="77777777" w:rsidR="00434917" w:rsidRDefault="00434917" w:rsidP="00434917">
      <w:pPr>
        <w:tabs>
          <w:tab w:val="center" w:pos="4419"/>
          <w:tab w:val="left" w:pos="7920"/>
        </w:tabs>
        <w:jc w:val="center"/>
        <w:rPr>
          <w:b/>
          <w:sz w:val="22"/>
          <w:szCs w:val="22"/>
          <w:lang w:val="es-MX"/>
        </w:rPr>
      </w:pPr>
    </w:p>
    <w:p w14:paraId="6E2F513F" w14:textId="77777777" w:rsidR="00434917" w:rsidRDefault="00434917" w:rsidP="00434917">
      <w:pPr>
        <w:tabs>
          <w:tab w:val="center" w:pos="4419"/>
          <w:tab w:val="left" w:pos="7920"/>
        </w:tabs>
        <w:jc w:val="center"/>
        <w:rPr>
          <w:b/>
          <w:sz w:val="22"/>
          <w:szCs w:val="22"/>
          <w:lang w:val="es-MX"/>
        </w:rPr>
      </w:pPr>
    </w:p>
    <w:p w14:paraId="08BC20A5" w14:textId="0EB91A36" w:rsidR="00434917" w:rsidRPr="00434917" w:rsidRDefault="00434917" w:rsidP="00434917">
      <w:pPr>
        <w:tabs>
          <w:tab w:val="center" w:pos="4419"/>
          <w:tab w:val="left" w:pos="7920"/>
        </w:tabs>
        <w:jc w:val="center"/>
        <w:rPr>
          <w:rFonts w:ascii="Arial" w:hAnsi="Arial" w:cs="Arial"/>
          <w:b/>
          <w:lang w:val="es-MX"/>
        </w:rPr>
      </w:pPr>
      <w:r w:rsidRPr="00434917">
        <w:rPr>
          <w:rFonts w:ascii="Arial" w:hAnsi="Arial" w:cs="Arial"/>
          <w:b/>
          <w:lang w:val="es-MX"/>
        </w:rPr>
        <w:t>PROCEDIMIENTO MECANISMO OBLIGACIONES DIFERIDAS VENCIMIENTO DE JUNIO RESOLUCIÓN CREG 107 DE 2020</w:t>
      </w:r>
    </w:p>
    <w:p w14:paraId="343D08EC" w14:textId="77777777" w:rsidR="00434917" w:rsidRPr="00434917" w:rsidRDefault="00434917" w:rsidP="00434917">
      <w:pPr>
        <w:jc w:val="both"/>
        <w:rPr>
          <w:rFonts w:ascii="Arial" w:hAnsi="Arial" w:cs="Arial"/>
        </w:rPr>
      </w:pPr>
    </w:p>
    <w:p w14:paraId="248C1B4E" w14:textId="77777777" w:rsidR="00434917" w:rsidRPr="00434917" w:rsidRDefault="00434917" w:rsidP="00434917">
      <w:pPr>
        <w:jc w:val="both"/>
        <w:rPr>
          <w:rFonts w:ascii="Arial" w:hAnsi="Arial" w:cs="Arial"/>
        </w:rPr>
      </w:pPr>
      <w:r w:rsidRPr="00434917">
        <w:rPr>
          <w:rFonts w:ascii="Arial" w:hAnsi="Arial" w:cs="Arial"/>
        </w:rPr>
        <w:t>Los agentes que se podrán acoger al Mecanismo de Obligaciones diferidas para el vencimiento de junio de 2020 son los Comercializadores que presenten problemas de recaudo y que atendían demanda al momento de la expedición del Decreto Legislativo 457 del 22 de marzo de 2020, con excepción de los agentes comercializadores que atendían exclusivamente usuarios no regulados</w:t>
      </w:r>
    </w:p>
    <w:p w14:paraId="2E004372" w14:textId="77777777" w:rsidR="00434917" w:rsidRPr="00434917" w:rsidRDefault="00434917" w:rsidP="00434917">
      <w:pPr>
        <w:jc w:val="both"/>
        <w:rPr>
          <w:rFonts w:ascii="Arial" w:hAnsi="Arial" w:cs="Arial"/>
        </w:rPr>
      </w:pPr>
    </w:p>
    <w:p w14:paraId="5B284A86" w14:textId="77777777" w:rsidR="00434917" w:rsidRPr="00434917" w:rsidRDefault="00434917" w:rsidP="00434917">
      <w:pPr>
        <w:jc w:val="both"/>
        <w:rPr>
          <w:rFonts w:ascii="Arial" w:hAnsi="Arial" w:cs="Arial"/>
        </w:rPr>
      </w:pPr>
      <w:r w:rsidRPr="00434917">
        <w:rPr>
          <w:rFonts w:ascii="Arial" w:hAnsi="Arial" w:cs="Arial"/>
        </w:rPr>
        <w:t xml:space="preserve">A continuación, se relacionan las fechas que deben cumplir los agentes Deudores y Acreedores para acogerse al mecanismo de obligaciones diferidas para el vencimiento de junio de 2020: </w:t>
      </w:r>
    </w:p>
    <w:p w14:paraId="33BFD5EA" w14:textId="77777777" w:rsidR="00434917" w:rsidRPr="00434917" w:rsidRDefault="00434917" w:rsidP="00434917">
      <w:pPr>
        <w:jc w:val="both"/>
        <w:rPr>
          <w:rFonts w:ascii="Arial" w:hAnsi="Arial" w:cs="Arial"/>
        </w:rPr>
      </w:pPr>
    </w:p>
    <w:p w14:paraId="617E46AD" w14:textId="77777777" w:rsidR="00434917" w:rsidRPr="00434917" w:rsidRDefault="00434917" w:rsidP="00434917">
      <w:pPr>
        <w:pStyle w:val="Prrafodelista"/>
        <w:numPr>
          <w:ilvl w:val="0"/>
          <w:numId w:val="9"/>
        </w:numPr>
        <w:spacing w:after="160" w:line="259" w:lineRule="auto"/>
        <w:contextualSpacing/>
        <w:jc w:val="both"/>
      </w:pPr>
      <w:r w:rsidRPr="00434917">
        <w:t xml:space="preserve">Todos los agentes que en el neto vencimiento sean beneficiarios en el SIC y/o en el LAC para el mes de JUNIO, deberán entregar a más tardar el </w:t>
      </w:r>
      <w:r w:rsidRPr="00434917">
        <w:rPr>
          <w:b/>
        </w:rPr>
        <w:t>12 de junio de 2020</w:t>
      </w:r>
      <w:r w:rsidRPr="00434917">
        <w:t xml:space="preserve">, el formato “DEFINICIÓN TASA </w:t>
      </w:r>
      <w:proofErr w:type="spellStart"/>
      <w:r w:rsidRPr="00434917">
        <w:t>ACREEDORES_Jun</w:t>
      </w:r>
      <w:proofErr w:type="spellEnd"/>
      <w:r w:rsidRPr="00434917">
        <w:t xml:space="preserve">” debidamente diligenciado y firmado por Representante Legal o autorizado. </w:t>
      </w:r>
    </w:p>
    <w:p w14:paraId="446A3E6D" w14:textId="77777777" w:rsidR="00434917" w:rsidRPr="00434917" w:rsidRDefault="00434917" w:rsidP="00434917">
      <w:pPr>
        <w:pStyle w:val="Prrafodelista"/>
        <w:jc w:val="both"/>
      </w:pPr>
    </w:p>
    <w:p w14:paraId="3AE9C4CC" w14:textId="6409F01A" w:rsidR="00434917" w:rsidRPr="00434917" w:rsidRDefault="00434917" w:rsidP="00434917">
      <w:pPr>
        <w:pStyle w:val="Prrafodelista"/>
        <w:numPr>
          <w:ilvl w:val="0"/>
          <w:numId w:val="9"/>
        </w:numPr>
        <w:spacing w:after="160" w:line="259" w:lineRule="auto"/>
        <w:contextualSpacing/>
        <w:jc w:val="both"/>
      </w:pPr>
      <w:r w:rsidRPr="00434917">
        <w:t xml:space="preserve">La publicación de la Tasa de Financiación para el vencimiento de </w:t>
      </w:r>
      <w:r>
        <w:t xml:space="preserve">junio </w:t>
      </w:r>
      <w:r w:rsidRPr="00434917">
        <w:t xml:space="preserve">será publicada a más tardar el </w:t>
      </w:r>
      <w:r w:rsidRPr="00434917">
        <w:rPr>
          <w:b/>
        </w:rPr>
        <w:t>15 de junio de 2020</w:t>
      </w:r>
      <w:r w:rsidRPr="00434917">
        <w:t>.</w:t>
      </w:r>
    </w:p>
    <w:p w14:paraId="352FA0D9" w14:textId="77777777" w:rsidR="00434917" w:rsidRPr="00434917" w:rsidRDefault="00434917" w:rsidP="00434917">
      <w:pPr>
        <w:pStyle w:val="Prrafodelista"/>
        <w:jc w:val="both"/>
      </w:pPr>
    </w:p>
    <w:p w14:paraId="7F3A7D65" w14:textId="77777777" w:rsidR="00434917" w:rsidRPr="00434917" w:rsidRDefault="00434917" w:rsidP="00434917">
      <w:pPr>
        <w:pStyle w:val="Prrafodelista"/>
        <w:numPr>
          <w:ilvl w:val="0"/>
          <w:numId w:val="9"/>
        </w:numPr>
        <w:spacing w:after="160" w:line="259" w:lineRule="auto"/>
        <w:contextualSpacing/>
        <w:jc w:val="both"/>
      </w:pPr>
      <w:r w:rsidRPr="00434917">
        <w:t xml:space="preserve">Los agentes Comercializadores que deseen acogerse al mecanismo de obligaciones diferidas para el mes de </w:t>
      </w:r>
      <w:r w:rsidRPr="00434917">
        <w:rPr>
          <w:b/>
        </w:rPr>
        <w:t>JUNIO</w:t>
      </w:r>
      <w:r w:rsidRPr="00434917">
        <w:t xml:space="preserve"> deberán entregar diligenciado a más tardar el </w:t>
      </w:r>
      <w:r w:rsidRPr="00434917">
        <w:rPr>
          <w:b/>
        </w:rPr>
        <w:t>16 de junio de 2020</w:t>
      </w:r>
      <w:r w:rsidRPr="00434917">
        <w:t xml:space="preserve"> el formato “Solicitud aplicación Artículo 1° de la Resolución CREG 061 de 2020_Junio” firmado por Representante Legal o autorizado. </w:t>
      </w:r>
    </w:p>
    <w:p w14:paraId="01E9805C" w14:textId="77777777" w:rsidR="00434917" w:rsidRPr="00434917" w:rsidRDefault="00434917" w:rsidP="00434917">
      <w:pPr>
        <w:pStyle w:val="Prrafodelista"/>
      </w:pPr>
    </w:p>
    <w:p w14:paraId="75EDF5DA" w14:textId="77777777" w:rsidR="00434917" w:rsidRPr="00434917" w:rsidRDefault="00434917" w:rsidP="00434917">
      <w:pPr>
        <w:pStyle w:val="Prrafodelista"/>
        <w:ind w:left="720"/>
        <w:jc w:val="both"/>
      </w:pPr>
      <w:r w:rsidRPr="00434917">
        <w:t>Se aclara que en esta misma fecha los Operadores de Red deben informar al LAC los agentes Comercializadores que se acogieron a la Resolución CREG 107 de 2020 y los planes de pago (12 cuotas incluidos intereses) acordados entre las partes.</w:t>
      </w:r>
    </w:p>
    <w:p w14:paraId="44FDA163" w14:textId="77777777" w:rsidR="00434917" w:rsidRPr="00434917" w:rsidRDefault="00434917" w:rsidP="00434917">
      <w:pPr>
        <w:pStyle w:val="Prrafodelista"/>
      </w:pPr>
    </w:p>
    <w:p w14:paraId="512520D1" w14:textId="5F704A96" w:rsidR="00434917" w:rsidRPr="00434917" w:rsidRDefault="00434917" w:rsidP="00434917">
      <w:pPr>
        <w:pStyle w:val="Prrafodelista"/>
        <w:numPr>
          <w:ilvl w:val="0"/>
          <w:numId w:val="9"/>
        </w:numPr>
        <w:spacing w:after="160" w:line="259" w:lineRule="auto"/>
        <w:contextualSpacing/>
        <w:jc w:val="both"/>
      </w:pPr>
      <w:r w:rsidRPr="00434917">
        <w:t xml:space="preserve">Los agentes Comercializadores que se acojan al mecanismo de obligaciones diferidas para junio deberán presentar las coberturas descritas en el Numeral 9 de la Circular CREG 036 de 2020 para los valores diferidos, bien sea garantías bancarias o Fiducia de Administración de Pagos a más tardar el </w:t>
      </w:r>
      <w:r w:rsidRPr="00434917">
        <w:rPr>
          <w:b/>
        </w:rPr>
        <w:t>17 de junio de 2020</w:t>
      </w:r>
      <w:r w:rsidRPr="00434917">
        <w:t>, el valor de la Cobertura de la primera cuota (</w:t>
      </w:r>
      <w:proofErr w:type="gramStart"/>
      <w:r w:rsidRPr="00434917">
        <w:t>Agosto</w:t>
      </w:r>
      <w:proofErr w:type="gramEnd"/>
      <w:r w:rsidRPr="00434917">
        <w:t xml:space="preserve"> 2020) es conocido por los Comercializadores que se acojan al mecanismo de Obligaciones Diferidas. </w:t>
      </w:r>
    </w:p>
    <w:p w14:paraId="1868C134" w14:textId="77777777" w:rsidR="00434917" w:rsidRPr="00434917" w:rsidRDefault="00434917" w:rsidP="00434917">
      <w:pPr>
        <w:jc w:val="both"/>
        <w:rPr>
          <w:rFonts w:ascii="Arial" w:hAnsi="Arial" w:cs="Arial"/>
        </w:rPr>
      </w:pPr>
    </w:p>
    <w:p w14:paraId="05C8A21D" w14:textId="71EA3D39" w:rsidR="00434917" w:rsidRDefault="00434917" w:rsidP="00434917">
      <w:pPr>
        <w:jc w:val="both"/>
        <w:rPr>
          <w:rFonts w:ascii="Arial" w:hAnsi="Arial" w:cs="Arial"/>
        </w:rPr>
      </w:pPr>
      <w:r w:rsidRPr="00434917">
        <w:rPr>
          <w:rFonts w:ascii="Arial" w:hAnsi="Arial" w:cs="Arial"/>
        </w:rPr>
        <w:t>Todos los lineamientos de los pagos y las fechas establecidas en el procedimiento publicado en la Circular CREG 036 de 2020, siguen aplicando para los agentes comercializadores que se acojan en el vencimiento de junio de 2020 al mecanismo de Obligaciones diferidas, adicionando las fechas establecidas anteriormente.</w:t>
      </w:r>
    </w:p>
    <w:p w14:paraId="423BA0A7" w14:textId="77777777" w:rsidR="00434917" w:rsidRPr="00434917" w:rsidRDefault="00434917" w:rsidP="00434917">
      <w:pPr>
        <w:jc w:val="both"/>
        <w:rPr>
          <w:rFonts w:ascii="Arial" w:hAnsi="Arial" w:cs="Arial"/>
        </w:rPr>
      </w:pPr>
    </w:p>
    <w:p w14:paraId="7CFFEB2D" w14:textId="77777777" w:rsidR="00434917" w:rsidRPr="00434917" w:rsidRDefault="00434917" w:rsidP="00434917">
      <w:pPr>
        <w:jc w:val="both"/>
        <w:rPr>
          <w:rFonts w:ascii="Arial" w:hAnsi="Arial" w:cs="Arial"/>
        </w:rPr>
      </w:pPr>
      <w:r w:rsidRPr="00434917">
        <w:rPr>
          <w:rFonts w:ascii="Arial" w:hAnsi="Arial" w:cs="Arial"/>
        </w:rPr>
        <w:t>En cuanto al calendario a tener en cuenta para la presentación de las garantías bancarias de que habla el Numeral 9 de la Circular CREG 036 de 2020 se debe incluir la última cuota para Julio de 2021 que sería:</w:t>
      </w:r>
    </w:p>
    <w:p w14:paraId="00EE29D8" w14:textId="77777777" w:rsidR="00434917" w:rsidRPr="00434917" w:rsidRDefault="00434917" w:rsidP="00434917">
      <w:pPr>
        <w:jc w:val="both"/>
        <w:rPr>
          <w:rFonts w:ascii="Arial" w:hAnsi="Arial" w:cs="Arial"/>
        </w:rPr>
      </w:pPr>
    </w:p>
    <w:p w14:paraId="4BC7E6C2" w14:textId="77777777" w:rsidR="00434917" w:rsidRPr="00434917" w:rsidRDefault="00434917" w:rsidP="00434917">
      <w:pPr>
        <w:jc w:val="both"/>
        <w:rPr>
          <w:rFonts w:ascii="Arial" w:hAnsi="Arial" w:cs="Arial"/>
        </w:rPr>
      </w:pPr>
    </w:p>
    <w:tbl>
      <w:tblPr>
        <w:tblW w:w="8947" w:type="dxa"/>
        <w:tblCellMar>
          <w:left w:w="70" w:type="dxa"/>
          <w:right w:w="70" w:type="dxa"/>
        </w:tblCellMar>
        <w:tblLook w:val="04A0" w:firstRow="1" w:lastRow="0" w:firstColumn="1" w:lastColumn="0" w:noHBand="0" w:noVBand="1"/>
      </w:tblPr>
      <w:tblGrid>
        <w:gridCol w:w="1401"/>
        <w:gridCol w:w="2047"/>
        <w:gridCol w:w="1401"/>
        <w:gridCol w:w="1401"/>
        <w:gridCol w:w="1401"/>
        <w:gridCol w:w="1401"/>
      </w:tblGrid>
      <w:tr w:rsidR="00434917" w:rsidRPr="00434917" w14:paraId="4A8FD9D6" w14:textId="77777777" w:rsidTr="00FD1CD2">
        <w:trPr>
          <w:trHeight w:val="255"/>
        </w:trPr>
        <w:tc>
          <w:tcPr>
            <w:tcW w:w="1401" w:type="dxa"/>
            <w:vMerge w:val="restart"/>
            <w:tcBorders>
              <w:top w:val="single" w:sz="8" w:space="0" w:color="auto"/>
              <w:left w:val="single" w:sz="8" w:space="0" w:color="auto"/>
              <w:bottom w:val="nil"/>
              <w:right w:val="single" w:sz="8" w:space="0" w:color="auto"/>
            </w:tcBorders>
            <w:shd w:val="clear" w:color="auto" w:fill="auto"/>
            <w:vAlign w:val="center"/>
            <w:hideMark/>
          </w:tcPr>
          <w:p w14:paraId="4EEC8F85" w14:textId="77777777"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CUOTA A CUBRIR</w:t>
            </w:r>
          </w:p>
        </w:tc>
        <w:tc>
          <w:tcPr>
            <w:tcW w:w="19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4ACDF6" w14:textId="77777777"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FECHA LÍMITE PRESENTACIÓN DE GARANTIAS</w:t>
            </w:r>
          </w:p>
        </w:tc>
        <w:tc>
          <w:tcPr>
            <w:tcW w:w="5607" w:type="dxa"/>
            <w:gridSpan w:val="4"/>
            <w:tcBorders>
              <w:top w:val="single" w:sz="8" w:space="0" w:color="auto"/>
              <w:left w:val="nil"/>
              <w:bottom w:val="single" w:sz="8" w:space="0" w:color="auto"/>
              <w:right w:val="single" w:sz="8" w:space="0" w:color="000000"/>
            </w:tcBorders>
            <w:shd w:val="clear" w:color="auto" w:fill="auto"/>
            <w:vAlign w:val="center"/>
            <w:hideMark/>
          </w:tcPr>
          <w:p w14:paraId="24CC3EBF" w14:textId="048F04B5"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FECHA VIGENCIA DE LAS GARANTÍAS</w:t>
            </w:r>
          </w:p>
        </w:tc>
      </w:tr>
      <w:tr w:rsidR="00434917" w:rsidRPr="00434917" w14:paraId="38316B63" w14:textId="77777777" w:rsidTr="00FD1CD2">
        <w:trPr>
          <w:trHeight w:val="274"/>
        </w:trPr>
        <w:tc>
          <w:tcPr>
            <w:tcW w:w="1401" w:type="dxa"/>
            <w:vMerge/>
            <w:tcBorders>
              <w:top w:val="single" w:sz="8" w:space="0" w:color="auto"/>
              <w:left w:val="single" w:sz="8" w:space="0" w:color="auto"/>
              <w:bottom w:val="nil"/>
              <w:right w:val="single" w:sz="8" w:space="0" w:color="auto"/>
            </w:tcBorders>
            <w:vAlign w:val="center"/>
            <w:hideMark/>
          </w:tcPr>
          <w:p w14:paraId="0BA4C647" w14:textId="77777777" w:rsidR="00434917" w:rsidRPr="00434917" w:rsidRDefault="00434917" w:rsidP="00FD1CD2">
            <w:pPr>
              <w:rPr>
                <w:rFonts w:ascii="Arial" w:hAnsi="Arial" w:cs="Arial"/>
                <w:b/>
                <w:bCs/>
                <w:color w:val="000000"/>
                <w:lang w:eastAsia="es-CO"/>
              </w:rPr>
            </w:pPr>
          </w:p>
        </w:tc>
        <w:tc>
          <w:tcPr>
            <w:tcW w:w="1939" w:type="dxa"/>
            <w:vMerge/>
            <w:tcBorders>
              <w:top w:val="single" w:sz="8" w:space="0" w:color="auto"/>
              <w:left w:val="single" w:sz="8" w:space="0" w:color="auto"/>
              <w:bottom w:val="single" w:sz="8" w:space="0" w:color="000000"/>
              <w:right w:val="single" w:sz="8" w:space="0" w:color="auto"/>
            </w:tcBorders>
            <w:vAlign w:val="center"/>
            <w:hideMark/>
          </w:tcPr>
          <w:p w14:paraId="4B575BF9" w14:textId="77777777" w:rsidR="00434917" w:rsidRPr="00434917" w:rsidRDefault="00434917" w:rsidP="00FD1CD2">
            <w:pPr>
              <w:rPr>
                <w:rFonts w:ascii="Arial" w:hAnsi="Arial" w:cs="Arial"/>
                <w:b/>
                <w:bCs/>
                <w:color w:val="000000"/>
                <w:lang w:eastAsia="es-CO"/>
              </w:rPr>
            </w:pPr>
          </w:p>
        </w:tc>
        <w:tc>
          <w:tcPr>
            <w:tcW w:w="2803" w:type="dxa"/>
            <w:gridSpan w:val="2"/>
            <w:tcBorders>
              <w:top w:val="single" w:sz="8" w:space="0" w:color="auto"/>
              <w:left w:val="nil"/>
              <w:bottom w:val="single" w:sz="8" w:space="0" w:color="auto"/>
              <w:right w:val="single" w:sz="8" w:space="0" w:color="000000"/>
            </w:tcBorders>
            <w:shd w:val="clear" w:color="auto" w:fill="auto"/>
            <w:vAlign w:val="center"/>
            <w:hideMark/>
          </w:tcPr>
          <w:p w14:paraId="7170328D" w14:textId="77777777"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Banco Colombiano</w:t>
            </w:r>
          </w:p>
        </w:tc>
        <w:tc>
          <w:tcPr>
            <w:tcW w:w="2803" w:type="dxa"/>
            <w:gridSpan w:val="2"/>
            <w:tcBorders>
              <w:top w:val="single" w:sz="8" w:space="0" w:color="auto"/>
              <w:left w:val="nil"/>
              <w:bottom w:val="single" w:sz="8" w:space="0" w:color="auto"/>
              <w:right w:val="single" w:sz="8" w:space="0" w:color="000000"/>
            </w:tcBorders>
            <w:shd w:val="clear" w:color="auto" w:fill="auto"/>
            <w:vAlign w:val="center"/>
            <w:hideMark/>
          </w:tcPr>
          <w:p w14:paraId="785035EB" w14:textId="77777777"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Banco Extranjero</w:t>
            </w:r>
          </w:p>
        </w:tc>
      </w:tr>
      <w:tr w:rsidR="00434917" w:rsidRPr="00434917" w14:paraId="724EA7D1" w14:textId="77777777" w:rsidTr="00FD1CD2">
        <w:trPr>
          <w:trHeight w:val="274"/>
        </w:trPr>
        <w:tc>
          <w:tcPr>
            <w:tcW w:w="1401" w:type="dxa"/>
            <w:vMerge/>
            <w:tcBorders>
              <w:top w:val="single" w:sz="8" w:space="0" w:color="auto"/>
              <w:left w:val="single" w:sz="8" w:space="0" w:color="auto"/>
              <w:bottom w:val="nil"/>
              <w:right w:val="single" w:sz="8" w:space="0" w:color="auto"/>
            </w:tcBorders>
            <w:vAlign w:val="center"/>
            <w:hideMark/>
          </w:tcPr>
          <w:p w14:paraId="5AF187E9" w14:textId="77777777" w:rsidR="00434917" w:rsidRPr="00434917" w:rsidRDefault="00434917" w:rsidP="00FD1CD2">
            <w:pPr>
              <w:rPr>
                <w:rFonts w:ascii="Arial" w:hAnsi="Arial" w:cs="Arial"/>
                <w:b/>
                <w:bCs/>
                <w:color w:val="000000"/>
                <w:lang w:eastAsia="es-CO"/>
              </w:rPr>
            </w:pPr>
          </w:p>
        </w:tc>
        <w:tc>
          <w:tcPr>
            <w:tcW w:w="1939" w:type="dxa"/>
            <w:vMerge/>
            <w:tcBorders>
              <w:top w:val="single" w:sz="8" w:space="0" w:color="auto"/>
              <w:left w:val="single" w:sz="8" w:space="0" w:color="auto"/>
              <w:bottom w:val="single" w:sz="8" w:space="0" w:color="000000"/>
              <w:right w:val="single" w:sz="8" w:space="0" w:color="auto"/>
            </w:tcBorders>
            <w:vAlign w:val="center"/>
            <w:hideMark/>
          </w:tcPr>
          <w:p w14:paraId="7EF7D267" w14:textId="77777777" w:rsidR="00434917" w:rsidRPr="00434917" w:rsidRDefault="00434917" w:rsidP="00FD1CD2">
            <w:pPr>
              <w:rPr>
                <w:rFonts w:ascii="Arial" w:hAnsi="Arial" w:cs="Arial"/>
                <w:b/>
                <w:bCs/>
                <w:color w:val="000000"/>
                <w:lang w:eastAsia="es-CO"/>
              </w:rPr>
            </w:pPr>
          </w:p>
        </w:tc>
        <w:tc>
          <w:tcPr>
            <w:tcW w:w="1401" w:type="dxa"/>
            <w:tcBorders>
              <w:top w:val="nil"/>
              <w:left w:val="nil"/>
              <w:bottom w:val="single" w:sz="8" w:space="0" w:color="auto"/>
              <w:right w:val="single" w:sz="8" w:space="0" w:color="auto"/>
            </w:tcBorders>
            <w:shd w:val="clear" w:color="auto" w:fill="auto"/>
            <w:vAlign w:val="center"/>
            <w:hideMark/>
          </w:tcPr>
          <w:p w14:paraId="044FB4AE" w14:textId="77777777"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 xml:space="preserve">Inicio </w:t>
            </w:r>
            <w:proofErr w:type="spellStart"/>
            <w:r w:rsidRPr="00434917">
              <w:rPr>
                <w:rFonts w:ascii="Arial" w:hAnsi="Arial" w:cs="Arial"/>
                <w:b/>
                <w:bCs/>
                <w:color w:val="000000"/>
                <w:lang w:eastAsia="es-CO"/>
              </w:rPr>
              <w:t>Gtía</w:t>
            </w:r>
            <w:proofErr w:type="spellEnd"/>
          </w:p>
        </w:tc>
        <w:tc>
          <w:tcPr>
            <w:tcW w:w="1401" w:type="dxa"/>
            <w:tcBorders>
              <w:top w:val="nil"/>
              <w:left w:val="nil"/>
              <w:bottom w:val="single" w:sz="8" w:space="0" w:color="auto"/>
              <w:right w:val="single" w:sz="8" w:space="0" w:color="auto"/>
            </w:tcBorders>
            <w:shd w:val="clear" w:color="auto" w:fill="auto"/>
            <w:vAlign w:val="center"/>
            <w:hideMark/>
          </w:tcPr>
          <w:p w14:paraId="00D3230C" w14:textId="77777777"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 xml:space="preserve">Fin </w:t>
            </w:r>
            <w:proofErr w:type="spellStart"/>
            <w:r w:rsidRPr="00434917">
              <w:rPr>
                <w:rFonts w:ascii="Arial" w:hAnsi="Arial" w:cs="Arial"/>
                <w:b/>
                <w:bCs/>
                <w:color w:val="000000"/>
                <w:lang w:eastAsia="es-CO"/>
              </w:rPr>
              <w:t>Gtía</w:t>
            </w:r>
            <w:proofErr w:type="spellEnd"/>
          </w:p>
        </w:tc>
        <w:tc>
          <w:tcPr>
            <w:tcW w:w="1401" w:type="dxa"/>
            <w:tcBorders>
              <w:top w:val="nil"/>
              <w:left w:val="nil"/>
              <w:bottom w:val="single" w:sz="8" w:space="0" w:color="auto"/>
              <w:right w:val="single" w:sz="8" w:space="0" w:color="auto"/>
            </w:tcBorders>
            <w:shd w:val="clear" w:color="auto" w:fill="auto"/>
            <w:vAlign w:val="center"/>
            <w:hideMark/>
          </w:tcPr>
          <w:p w14:paraId="3EF440CD" w14:textId="77777777"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 xml:space="preserve">Inicio </w:t>
            </w:r>
            <w:proofErr w:type="spellStart"/>
            <w:r w:rsidRPr="00434917">
              <w:rPr>
                <w:rFonts w:ascii="Arial" w:hAnsi="Arial" w:cs="Arial"/>
                <w:b/>
                <w:bCs/>
                <w:color w:val="000000"/>
                <w:lang w:eastAsia="es-CO"/>
              </w:rPr>
              <w:t>Gtía</w:t>
            </w:r>
            <w:proofErr w:type="spellEnd"/>
          </w:p>
        </w:tc>
        <w:tc>
          <w:tcPr>
            <w:tcW w:w="1401" w:type="dxa"/>
            <w:tcBorders>
              <w:top w:val="nil"/>
              <w:left w:val="nil"/>
              <w:bottom w:val="single" w:sz="8" w:space="0" w:color="auto"/>
              <w:right w:val="single" w:sz="8" w:space="0" w:color="auto"/>
            </w:tcBorders>
            <w:shd w:val="clear" w:color="auto" w:fill="auto"/>
            <w:vAlign w:val="center"/>
            <w:hideMark/>
          </w:tcPr>
          <w:p w14:paraId="3B66D037" w14:textId="77777777" w:rsidR="00434917" w:rsidRPr="00434917" w:rsidRDefault="00434917" w:rsidP="00FD1CD2">
            <w:pPr>
              <w:jc w:val="center"/>
              <w:rPr>
                <w:rFonts w:ascii="Arial" w:hAnsi="Arial" w:cs="Arial"/>
                <w:b/>
                <w:bCs/>
                <w:color w:val="000000"/>
                <w:lang w:eastAsia="es-CO"/>
              </w:rPr>
            </w:pPr>
            <w:r w:rsidRPr="00434917">
              <w:rPr>
                <w:rFonts w:ascii="Arial" w:hAnsi="Arial" w:cs="Arial"/>
                <w:b/>
                <w:bCs/>
                <w:color w:val="000000"/>
                <w:lang w:eastAsia="es-CO"/>
              </w:rPr>
              <w:t xml:space="preserve">Fin </w:t>
            </w:r>
            <w:proofErr w:type="spellStart"/>
            <w:r w:rsidRPr="00434917">
              <w:rPr>
                <w:rFonts w:ascii="Arial" w:hAnsi="Arial" w:cs="Arial"/>
                <w:b/>
                <w:bCs/>
                <w:color w:val="000000"/>
                <w:lang w:eastAsia="es-CO"/>
              </w:rPr>
              <w:t>Gtía</w:t>
            </w:r>
            <w:proofErr w:type="spellEnd"/>
          </w:p>
        </w:tc>
      </w:tr>
      <w:tr w:rsidR="00434917" w:rsidRPr="00434917" w14:paraId="2292E5DA" w14:textId="77777777" w:rsidTr="00FD1CD2">
        <w:trPr>
          <w:trHeight w:val="274"/>
        </w:trPr>
        <w:tc>
          <w:tcPr>
            <w:tcW w:w="14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88F4F6" w14:textId="77777777" w:rsidR="00434917" w:rsidRPr="00434917" w:rsidRDefault="00434917" w:rsidP="00FD1CD2">
            <w:pPr>
              <w:jc w:val="center"/>
              <w:rPr>
                <w:rFonts w:ascii="Arial" w:hAnsi="Arial" w:cs="Arial"/>
                <w:color w:val="000000"/>
                <w:lang w:eastAsia="es-CO"/>
              </w:rPr>
            </w:pPr>
            <w:r w:rsidRPr="00434917">
              <w:rPr>
                <w:rFonts w:ascii="Arial" w:hAnsi="Arial" w:cs="Arial"/>
                <w:color w:val="000000"/>
                <w:lang w:eastAsia="es-CO"/>
              </w:rPr>
              <w:t>21-jul</w:t>
            </w:r>
          </w:p>
        </w:tc>
        <w:tc>
          <w:tcPr>
            <w:tcW w:w="1939" w:type="dxa"/>
            <w:tcBorders>
              <w:top w:val="nil"/>
              <w:left w:val="nil"/>
              <w:bottom w:val="single" w:sz="8" w:space="0" w:color="auto"/>
              <w:right w:val="nil"/>
            </w:tcBorders>
            <w:shd w:val="clear" w:color="000000" w:fill="D9D9D9"/>
            <w:noWrap/>
            <w:vAlign w:val="center"/>
            <w:hideMark/>
          </w:tcPr>
          <w:p w14:paraId="772A5AE7" w14:textId="77777777" w:rsidR="00434917" w:rsidRPr="00434917" w:rsidRDefault="00434917" w:rsidP="00FD1CD2">
            <w:pPr>
              <w:jc w:val="center"/>
              <w:rPr>
                <w:rFonts w:ascii="Arial" w:hAnsi="Arial" w:cs="Arial"/>
                <w:color w:val="000000"/>
                <w:lang w:eastAsia="es-CO"/>
              </w:rPr>
            </w:pPr>
            <w:r w:rsidRPr="00434917">
              <w:rPr>
                <w:rFonts w:ascii="Arial" w:hAnsi="Arial" w:cs="Arial"/>
                <w:color w:val="000000"/>
                <w:lang w:eastAsia="es-CO"/>
              </w:rPr>
              <w:t>20-may-21</w:t>
            </w:r>
          </w:p>
        </w:tc>
        <w:tc>
          <w:tcPr>
            <w:tcW w:w="1401" w:type="dxa"/>
            <w:tcBorders>
              <w:top w:val="nil"/>
              <w:left w:val="single" w:sz="8" w:space="0" w:color="auto"/>
              <w:bottom w:val="single" w:sz="8" w:space="0" w:color="auto"/>
              <w:right w:val="single" w:sz="8" w:space="0" w:color="auto"/>
            </w:tcBorders>
            <w:shd w:val="clear" w:color="000000" w:fill="D9D9D9"/>
            <w:noWrap/>
            <w:vAlign w:val="center"/>
            <w:hideMark/>
          </w:tcPr>
          <w:p w14:paraId="2EEE5272" w14:textId="77777777" w:rsidR="00434917" w:rsidRPr="00434917" w:rsidRDefault="00434917" w:rsidP="00FD1CD2">
            <w:pPr>
              <w:jc w:val="center"/>
              <w:rPr>
                <w:rFonts w:ascii="Arial" w:hAnsi="Arial" w:cs="Arial"/>
                <w:color w:val="000000"/>
                <w:lang w:eastAsia="es-CO"/>
              </w:rPr>
            </w:pPr>
            <w:r w:rsidRPr="00434917">
              <w:rPr>
                <w:rFonts w:ascii="Arial" w:hAnsi="Arial" w:cs="Arial"/>
                <w:color w:val="000000"/>
                <w:lang w:eastAsia="es-CO"/>
              </w:rPr>
              <w:t>19-jul-21</w:t>
            </w:r>
          </w:p>
        </w:tc>
        <w:tc>
          <w:tcPr>
            <w:tcW w:w="1401" w:type="dxa"/>
            <w:tcBorders>
              <w:top w:val="nil"/>
              <w:left w:val="nil"/>
              <w:bottom w:val="single" w:sz="8" w:space="0" w:color="auto"/>
              <w:right w:val="single" w:sz="8" w:space="0" w:color="auto"/>
            </w:tcBorders>
            <w:shd w:val="clear" w:color="000000" w:fill="D9D9D9"/>
            <w:noWrap/>
            <w:vAlign w:val="center"/>
            <w:hideMark/>
          </w:tcPr>
          <w:p w14:paraId="07DDA314" w14:textId="77777777" w:rsidR="00434917" w:rsidRPr="00434917" w:rsidRDefault="00434917" w:rsidP="00FD1CD2">
            <w:pPr>
              <w:jc w:val="center"/>
              <w:rPr>
                <w:rFonts w:ascii="Arial" w:hAnsi="Arial" w:cs="Arial"/>
                <w:color w:val="000000"/>
                <w:lang w:eastAsia="es-CO"/>
              </w:rPr>
            </w:pPr>
            <w:r w:rsidRPr="00434917">
              <w:rPr>
                <w:rFonts w:ascii="Arial" w:hAnsi="Arial" w:cs="Arial"/>
                <w:color w:val="000000"/>
                <w:lang w:eastAsia="es-CO"/>
              </w:rPr>
              <w:t>26-jul-21</w:t>
            </w:r>
          </w:p>
        </w:tc>
        <w:tc>
          <w:tcPr>
            <w:tcW w:w="1401" w:type="dxa"/>
            <w:tcBorders>
              <w:top w:val="nil"/>
              <w:left w:val="nil"/>
              <w:bottom w:val="single" w:sz="8" w:space="0" w:color="auto"/>
              <w:right w:val="single" w:sz="8" w:space="0" w:color="auto"/>
            </w:tcBorders>
            <w:shd w:val="clear" w:color="000000" w:fill="D9D9D9"/>
            <w:noWrap/>
            <w:vAlign w:val="center"/>
            <w:hideMark/>
          </w:tcPr>
          <w:p w14:paraId="5CC5EA90" w14:textId="77777777" w:rsidR="00434917" w:rsidRPr="00434917" w:rsidRDefault="00434917" w:rsidP="00FD1CD2">
            <w:pPr>
              <w:jc w:val="center"/>
              <w:rPr>
                <w:rFonts w:ascii="Arial" w:hAnsi="Arial" w:cs="Arial"/>
                <w:color w:val="000000"/>
                <w:lang w:eastAsia="es-CO"/>
              </w:rPr>
            </w:pPr>
            <w:r w:rsidRPr="00434917">
              <w:rPr>
                <w:rFonts w:ascii="Arial" w:hAnsi="Arial" w:cs="Arial"/>
                <w:color w:val="000000"/>
                <w:lang w:eastAsia="es-CO"/>
              </w:rPr>
              <w:t>19-jul-21</w:t>
            </w:r>
          </w:p>
        </w:tc>
        <w:tc>
          <w:tcPr>
            <w:tcW w:w="1401" w:type="dxa"/>
            <w:tcBorders>
              <w:top w:val="nil"/>
              <w:left w:val="nil"/>
              <w:bottom w:val="single" w:sz="8" w:space="0" w:color="auto"/>
              <w:right w:val="single" w:sz="8" w:space="0" w:color="auto"/>
            </w:tcBorders>
            <w:shd w:val="clear" w:color="000000" w:fill="D9D9D9"/>
            <w:noWrap/>
            <w:vAlign w:val="center"/>
            <w:hideMark/>
          </w:tcPr>
          <w:p w14:paraId="2FC48E46" w14:textId="77777777" w:rsidR="00434917" w:rsidRPr="00434917" w:rsidRDefault="00434917" w:rsidP="00FD1CD2">
            <w:pPr>
              <w:jc w:val="center"/>
              <w:rPr>
                <w:rFonts w:ascii="Arial" w:hAnsi="Arial" w:cs="Arial"/>
                <w:color w:val="000000"/>
                <w:lang w:eastAsia="es-CO"/>
              </w:rPr>
            </w:pPr>
            <w:r w:rsidRPr="00434917">
              <w:rPr>
                <w:rFonts w:ascii="Arial" w:hAnsi="Arial" w:cs="Arial"/>
                <w:color w:val="000000"/>
                <w:lang w:eastAsia="es-CO"/>
              </w:rPr>
              <w:t>05-ago-21</w:t>
            </w:r>
          </w:p>
        </w:tc>
      </w:tr>
    </w:tbl>
    <w:p w14:paraId="7888AE8A" w14:textId="77777777" w:rsidR="00434917" w:rsidRPr="00434917" w:rsidRDefault="00434917" w:rsidP="00434917">
      <w:pPr>
        <w:jc w:val="both"/>
        <w:rPr>
          <w:rFonts w:ascii="Arial" w:hAnsi="Arial" w:cs="Arial"/>
        </w:rPr>
      </w:pPr>
    </w:p>
    <w:p w14:paraId="2E9CD5E0" w14:textId="228466E9" w:rsidR="00434917" w:rsidRDefault="00434917" w:rsidP="00434917">
      <w:pPr>
        <w:jc w:val="both"/>
        <w:rPr>
          <w:rStyle w:val="Hipervnculo"/>
          <w:rFonts w:ascii="Arial" w:hAnsi="Arial" w:cs="Arial"/>
        </w:rPr>
      </w:pPr>
      <w:r w:rsidRPr="00434917">
        <w:rPr>
          <w:rFonts w:ascii="Arial" w:hAnsi="Arial" w:cs="Arial"/>
        </w:rPr>
        <w:t xml:space="preserve">Toda la información y formatos descritos anteriormente pueden ser encontrados en la página web de XM en el siguiente link: </w:t>
      </w:r>
      <w:hyperlink r:id="rId8" w:history="1">
        <w:r w:rsidRPr="00434917">
          <w:rPr>
            <w:rStyle w:val="Hipervnculo"/>
            <w:rFonts w:ascii="Arial" w:hAnsi="Arial" w:cs="Arial"/>
          </w:rPr>
          <w:t>http://www.xm.com.co/Paginas/Mercado-de-energia/Resolucion-CREG061-de-2020.aspx</w:t>
        </w:r>
      </w:hyperlink>
    </w:p>
    <w:p w14:paraId="4C6CB556" w14:textId="7B5776B7" w:rsidR="001F235D" w:rsidRPr="001F235D" w:rsidRDefault="001F235D" w:rsidP="001F235D">
      <w:pPr>
        <w:jc w:val="center"/>
        <w:rPr>
          <w:b/>
          <w:bCs/>
          <w:sz w:val="22"/>
          <w:szCs w:val="22"/>
        </w:rPr>
      </w:pPr>
      <w:r w:rsidRPr="001F235D">
        <w:rPr>
          <w:rStyle w:val="Hipervnculo"/>
          <w:rFonts w:ascii="Arial" w:hAnsi="Arial" w:cs="Arial"/>
          <w:b/>
          <w:bCs/>
          <w:color w:val="auto"/>
        </w:rPr>
        <w:t>FIN</w:t>
      </w:r>
      <w:r>
        <w:rPr>
          <w:rStyle w:val="Hipervnculo"/>
          <w:rFonts w:ascii="Arial" w:hAnsi="Arial" w:cs="Arial"/>
          <w:b/>
          <w:bCs/>
          <w:color w:val="auto"/>
        </w:rPr>
        <w:t xml:space="preserve"> DEL ANEXO</w:t>
      </w:r>
      <w:bookmarkStart w:id="0" w:name="_GoBack"/>
      <w:bookmarkEnd w:id="0"/>
    </w:p>
    <w:p w14:paraId="45BFEB98" w14:textId="77777777" w:rsidR="00434917" w:rsidRDefault="00434917" w:rsidP="007E16DF">
      <w:pPr>
        <w:pStyle w:val="Textoindependiente"/>
        <w:spacing w:after="0" w:line="240" w:lineRule="auto"/>
        <w:rPr>
          <w:rFonts w:cs="Arial"/>
          <w:i/>
        </w:rPr>
      </w:pPr>
    </w:p>
    <w:sectPr w:rsidR="00434917" w:rsidSect="003F2F4B">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AAFD7" w14:textId="77777777" w:rsidR="008972B9" w:rsidRDefault="008972B9" w:rsidP="00AA0519">
      <w:r>
        <w:separator/>
      </w:r>
    </w:p>
  </w:endnote>
  <w:endnote w:type="continuationSeparator" w:id="0">
    <w:p w14:paraId="561C270E" w14:textId="77777777" w:rsidR="008972B9" w:rsidRDefault="008972B9"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0091" w14:textId="77777777" w:rsidR="00247E26" w:rsidRDefault="00247E26" w:rsidP="00735E1F">
    <w:pPr>
      <w:pStyle w:val="Piedepgina"/>
      <w:jc w:val="center"/>
    </w:pPr>
    <w:r>
      <w:rPr>
        <w:noProof/>
        <w:lang w:val="es-CO" w:eastAsia="es-CO"/>
      </w:rPr>
      <w:drawing>
        <wp:inline distT="0" distB="0" distL="0" distR="0" wp14:anchorId="7D5AA2DB" wp14:editId="1926B92D">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B2363" w14:textId="77777777" w:rsidR="00247E26" w:rsidRDefault="00247E26" w:rsidP="003F2F4B">
    <w:pPr>
      <w:pStyle w:val="Piedepgina"/>
      <w:jc w:val="center"/>
    </w:pPr>
    <w:r>
      <w:rPr>
        <w:noProof/>
        <w:lang w:val="es-CO" w:eastAsia="es-CO"/>
      </w:rPr>
      <w:drawing>
        <wp:inline distT="0" distB="0" distL="0" distR="0" wp14:anchorId="5725774E" wp14:editId="535EC028">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BF8A1" w14:textId="77777777" w:rsidR="008972B9" w:rsidRDefault="008972B9" w:rsidP="00AA0519">
      <w:r>
        <w:separator/>
      </w:r>
    </w:p>
  </w:footnote>
  <w:footnote w:type="continuationSeparator" w:id="0">
    <w:p w14:paraId="5E736BA6" w14:textId="77777777" w:rsidR="008972B9" w:rsidRDefault="008972B9"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CC1C" w14:textId="77777777" w:rsidR="00247E26" w:rsidRDefault="00247E26">
    <w:pPr>
      <w:pStyle w:val="Encabezado"/>
    </w:pPr>
    <w:r>
      <w:rPr>
        <w:noProof/>
        <w:lang w:val="es-CO" w:eastAsia="es-CO"/>
      </w:rPr>
      <w:drawing>
        <wp:anchor distT="0" distB="0" distL="114300" distR="114300" simplePos="0" relativeHeight="251665408" behindDoc="1" locked="0" layoutInCell="1" allowOverlap="1" wp14:anchorId="78DA4CEE" wp14:editId="69C6417E">
          <wp:simplePos x="0" y="0"/>
          <wp:positionH relativeFrom="margin">
            <wp:align>left</wp:align>
          </wp:positionH>
          <wp:positionV relativeFrom="paragraph">
            <wp:posOffset>-167005</wp:posOffset>
          </wp:positionV>
          <wp:extent cx="946150" cy="542260"/>
          <wp:effectExtent l="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46150" cy="542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3360" behindDoc="1" locked="0" layoutInCell="1" allowOverlap="1" wp14:anchorId="75CB6280" wp14:editId="168EBFA4">
          <wp:simplePos x="0" y="0"/>
          <wp:positionH relativeFrom="margin">
            <wp:posOffset>2809875</wp:posOffset>
          </wp:positionH>
          <wp:positionV relativeFrom="paragraph">
            <wp:posOffset>-124460</wp:posOffset>
          </wp:positionV>
          <wp:extent cx="3073400" cy="57415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2">
                    <a:extLst>
                      <a:ext uri="{28A0092B-C50C-407E-A947-70E740481C1C}">
                        <a14:useLocalDpi xmlns:a14="http://schemas.microsoft.com/office/drawing/2010/main" val="0"/>
                      </a:ext>
                    </a:extLst>
                  </a:blip>
                  <a:srcRect t="-268" b="-268"/>
                  <a:stretch/>
                </pic:blipFill>
                <pic:spPr>
                  <a:xfrm>
                    <a:off x="0" y="0"/>
                    <a:ext cx="3073400" cy="574158"/>
                  </a:xfrm>
                  <a:prstGeom prst="rect">
                    <a:avLst/>
                  </a:prstGeom>
                </pic:spPr>
              </pic:pic>
            </a:graphicData>
          </a:graphic>
          <wp14:sizeRelH relativeFrom="page">
            <wp14:pctWidth>0</wp14:pctWidth>
          </wp14:sizeRelH>
          <wp14:sizeRelV relativeFrom="page">
            <wp14:pctHeight>0</wp14:pctHeight>
          </wp14:sizeRelV>
        </wp:anchor>
      </w:drawing>
    </w:r>
  </w:p>
  <w:p w14:paraId="30471881" w14:textId="77777777" w:rsidR="00247E26" w:rsidRDefault="00247E26">
    <w:pPr>
      <w:pStyle w:val="Encabezado"/>
    </w:pPr>
  </w:p>
  <w:p w14:paraId="3283C789" w14:textId="77777777" w:rsidR="00247E26" w:rsidRDefault="00247E26">
    <w:pPr>
      <w:pStyle w:val="Encabezado"/>
      <w:rPr>
        <w:rFonts w:ascii="Arial" w:hAnsi="Arial" w:cs="Arial"/>
        <w:i/>
        <w:sz w:val="18"/>
        <w:szCs w:val="18"/>
        <w:u w:val="single"/>
      </w:rPr>
    </w:pPr>
  </w:p>
  <w:p w14:paraId="5FF680D3" w14:textId="372506D8" w:rsidR="00434917" w:rsidRDefault="00247E26" w:rsidP="00434917">
    <w:pPr>
      <w:pStyle w:val="Encabezado"/>
      <w:rPr>
        <w:rFonts w:ascii="Arial" w:hAnsi="Arial" w:cs="Arial"/>
        <w:i/>
        <w:sz w:val="18"/>
        <w:szCs w:val="18"/>
        <w:u w:val="single"/>
      </w:rPr>
    </w:pPr>
    <w:r w:rsidRPr="000527F4">
      <w:rPr>
        <w:rFonts w:ascii="Arial" w:hAnsi="Arial" w:cs="Arial"/>
        <w:i/>
        <w:sz w:val="18"/>
        <w:szCs w:val="18"/>
        <w:u w:val="single"/>
      </w:rPr>
      <w:t>Circular</w:t>
    </w:r>
    <w:r w:rsidR="001F235D">
      <w:rPr>
        <w:rFonts w:ascii="Arial" w:hAnsi="Arial" w:cs="Arial"/>
        <w:i/>
        <w:sz w:val="18"/>
        <w:szCs w:val="18"/>
        <w:u w:val="single"/>
      </w:rPr>
      <w:t>052</w:t>
    </w:r>
  </w:p>
  <w:p w14:paraId="529781AF" w14:textId="68D57500" w:rsidR="00247E26" w:rsidRPr="000527F4" w:rsidRDefault="00434917" w:rsidP="00434917">
    <w:pPr>
      <w:pStyle w:val="Encabezado"/>
      <w:rPr>
        <w:rFonts w:ascii="Arial" w:hAnsi="Arial" w:cs="Arial"/>
        <w:i/>
        <w:sz w:val="18"/>
        <w:szCs w:val="18"/>
        <w:u w:val="single"/>
      </w:rPr>
    </w:pPr>
    <w:r>
      <w:rPr>
        <w:rFonts w:ascii="Arial" w:hAnsi="Arial" w:cs="Arial"/>
        <w:i/>
        <w:sz w:val="18"/>
        <w:szCs w:val="18"/>
        <w:u w:val="single"/>
      </w:rPr>
      <w:t>Junio</w:t>
    </w:r>
    <w:r w:rsidR="00247E26" w:rsidRPr="000527F4">
      <w:rPr>
        <w:rFonts w:ascii="Arial" w:hAnsi="Arial" w:cs="Arial"/>
        <w:i/>
        <w:sz w:val="18"/>
        <w:szCs w:val="18"/>
        <w:u w:val="single"/>
      </w:rPr>
      <w:t xml:space="preserve"> de 2019</w:t>
    </w:r>
  </w:p>
  <w:p w14:paraId="195708C5" w14:textId="77777777" w:rsidR="00247E26" w:rsidRPr="000527F4" w:rsidRDefault="00247E26">
    <w:pPr>
      <w:pStyle w:val="Encabezado"/>
      <w:rPr>
        <w:rFonts w:ascii="Arial" w:hAnsi="Arial" w:cs="Arial"/>
        <w:i/>
        <w:sz w:val="18"/>
        <w:szCs w:val="18"/>
        <w:u w:val="single"/>
      </w:rPr>
    </w:pPr>
    <w:r w:rsidRPr="000527F4">
      <w:rPr>
        <w:rFonts w:ascii="Arial" w:hAnsi="Arial" w:cs="Arial"/>
        <w:b/>
        <w:bCs/>
        <w:i/>
        <w:sz w:val="18"/>
        <w:szCs w:val="18"/>
        <w:u w:val="single"/>
      </w:rPr>
      <w:fldChar w:fldCharType="begin"/>
    </w:r>
    <w:r w:rsidRPr="000527F4">
      <w:rPr>
        <w:rFonts w:ascii="Arial" w:hAnsi="Arial" w:cs="Arial"/>
        <w:b/>
        <w:bCs/>
        <w:i/>
        <w:sz w:val="18"/>
        <w:szCs w:val="18"/>
        <w:u w:val="single"/>
      </w:rPr>
      <w:instrText>PAGE  \* Arabic  \* MERGEFORMAT</w:instrText>
    </w:r>
    <w:r w:rsidRPr="000527F4">
      <w:rPr>
        <w:rFonts w:ascii="Arial" w:hAnsi="Arial" w:cs="Arial"/>
        <w:b/>
        <w:bCs/>
        <w:i/>
        <w:sz w:val="18"/>
        <w:szCs w:val="18"/>
        <w:u w:val="single"/>
      </w:rPr>
      <w:fldChar w:fldCharType="separate"/>
    </w:r>
    <w:r w:rsidR="00D41D5A" w:rsidRPr="00D41D5A">
      <w:rPr>
        <w:rFonts w:ascii="Arial" w:hAnsi="Arial" w:cs="Arial"/>
        <w:b/>
        <w:bCs/>
        <w:i/>
        <w:noProof/>
        <w:sz w:val="18"/>
        <w:szCs w:val="18"/>
        <w:u w:val="single"/>
        <w:lang w:val="es-ES"/>
      </w:rPr>
      <w:t>2</w:t>
    </w:r>
    <w:r w:rsidRPr="000527F4">
      <w:rPr>
        <w:rFonts w:ascii="Arial" w:hAnsi="Arial" w:cs="Arial"/>
        <w:b/>
        <w:bCs/>
        <w:i/>
        <w:sz w:val="18"/>
        <w:szCs w:val="18"/>
        <w:u w:val="single"/>
      </w:rPr>
      <w:fldChar w:fldCharType="end"/>
    </w:r>
    <w:r w:rsidRPr="000527F4">
      <w:rPr>
        <w:rFonts w:ascii="Arial" w:hAnsi="Arial" w:cs="Arial"/>
        <w:i/>
        <w:sz w:val="18"/>
        <w:szCs w:val="18"/>
        <w:u w:val="single"/>
        <w:lang w:val="es-ES"/>
      </w:rPr>
      <w:t xml:space="preserve"> / </w:t>
    </w:r>
    <w:r w:rsidRPr="000527F4">
      <w:rPr>
        <w:rFonts w:ascii="Arial" w:hAnsi="Arial" w:cs="Arial"/>
        <w:b/>
        <w:bCs/>
        <w:i/>
        <w:sz w:val="18"/>
        <w:szCs w:val="18"/>
        <w:u w:val="single"/>
      </w:rPr>
      <w:fldChar w:fldCharType="begin"/>
    </w:r>
    <w:r w:rsidRPr="000527F4">
      <w:rPr>
        <w:rFonts w:ascii="Arial" w:hAnsi="Arial" w:cs="Arial"/>
        <w:b/>
        <w:bCs/>
        <w:i/>
        <w:sz w:val="18"/>
        <w:szCs w:val="18"/>
        <w:u w:val="single"/>
      </w:rPr>
      <w:instrText>NUMPAGES  \* Arabic  \* MERGEFORMAT</w:instrText>
    </w:r>
    <w:r w:rsidRPr="000527F4">
      <w:rPr>
        <w:rFonts w:ascii="Arial" w:hAnsi="Arial" w:cs="Arial"/>
        <w:b/>
        <w:bCs/>
        <w:i/>
        <w:sz w:val="18"/>
        <w:szCs w:val="18"/>
        <w:u w:val="single"/>
      </w:rPr>
      <w:fldChar w:fldCharType="separate"/>
    </w:r>
    <w:r w:rsidR="00D41D5A" w:rsidRPr="00D41D5A">
      <w:rPr>
        <w:rFonts w:ascii="Arial" w:hAnsi="Arial" w:cs="Arial"/>
        <w:b/>
        <w:bCs/>
        <w:i/>
        <w:noProof/>
        <w:sz w:val="18"/>
        <w:szCs w:val="18"/>
        <w:u w:val="single"/>
        <w:lang w:val="es-ES"/>
      </w:rPr>
      <w:t>2</w:t>
    </w:r>
    <w:r w:rsidRPr="000527F4">
      <w:rPr>
        <w:rFonts w:ascii="Arial" w:hAnsi="Arial" w:cs="Arial"/>
        <w:b/>
        <w:bCs/>
        <w:i/>
        <w:sz w:val="18"/>
        <w:szCs w:val="18"/>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A629" w14:textId="77777777" w:rsidR="00247E26" w:rsidRDefault="00247E26" w:rsidP="003F2F4B">
    <w:pPr>
      <w:pStyle w:val="Encabezado"/>
    </w:pPr>
    <w:r>
      <w:rPr>
        <w:noProof/>
        <w:lang w:val="es-CO" w:eastAsia="es-CO"/>
      </w:rPr>
      <w:drawing>
        <wp:anchor distT="0" distB="0" distL="114300" distR="114300" simplePos="0" relativeHeight="251661312" behindDoc="1" locked="0" layoutInCell="1" allowOverlap="1" wp14:anchorId="7D9AB282" wp14:editId="32BF2A27">
          <wp:simplePos x="0" y="0"/>
          <wp:positionH relativeFrom="margin">
            <wp:posOffset>0</wp:posOffset>
          </wp:positionH>
          <wp:positionV relativeFrom="paragraph">
            <wp:posOffset>-635</wp:posOffset>
          </wp:positionV>
          <wp:extent cx="946150" cy="542260"/>
          <wp:effectExtent l="0" t="0" r="635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6528" cy="548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1" locked="0" layoutInCell="1" allowOverlap="1" wp14:anchorId="6AC0D6A2" wp14:editId="02F6F519">
          <wp:simplePos x="0" y="0"/>
          <wp:positionH relativeFrom="margin">
            <wp:posOffset>2876550</wp:posOffset>
          </wp:positionH>
          <wp:positionV relativeFrom="paragraph">
            <wp:posOffset>-124460</wp:posOffset>
          </wp:positionV>
          <wp:extent cx="3073400" cy="57415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2">
                    <a:extLst>
                      <a:ext uri="{28A0092B-C50C-407E-A947-70E740481C1C}">
                        <a14:useLocalDpi xmlns:a14="http://schemas.microsoft.com/office/drawing/2010/main" val="0"/>
                      </a:ext>
                    </a:extLst>
                  </a:blip>
                  <a:srcRect t="-268" b="-268"/>
                  <a:stretch/>
                </pic:blipFill>
                <pic:spPr>
                  <a:xfrm>
                    <a:off x="0" y="0"/>
                    <a:ext cx="3073400" cy="574158"/>
                  </a:xfrm>
                  <a:prstGeom prst="rect">
                    <a:avLst/>
                  </a:prstGeom>
                </pic:spPr>
              </pic:pic>
            </a:graphicData>
          </a:graphic>
          <wp14:sizeRelH relativeFrom="page">
            <wp14:pctWidth>0</wp14:pctWidth>
          </wp14:sizeRelH>
          <wp14:sizeRelV relativeFrom="page">
            <wp14:pctHeight>0</wp14:pctHeight>
          </wp14:sizeRelV>
        </wp:anchor>
      </w:drawing>
    </w:r>
  </w:p>
  <w:p w14:paraId="67454FBB" w14:textId="77777777" w:rsidR="00247E26" w:rsidRDefault="00247E26" w:rsidP="003F2F4B">
    <w:pPr>
      <w:pStyle w:val="Encabezado"/>
    </w:pPr>
  </w:p>
  <w:p w14:paraId="691094CB" w14:textId="77777777" w:rsidR="00247E26" w:rsidRDefault="00247E26"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3E6"/>
    <w:multiLevelType w:val="hybridMultilevel"/>
    <w:tmpl w:val="F8DEF068"/>
    <w:lvl w:ilvl="0" w:tplc="60C8752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3A75E66"/>
    <w:multiLevelType w:val="hybridMultilevel"/>
    <w:tmpl w:val="9912F4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642EBA"/>
    <w:multiLevelType w:val="hybridMultilevel"/>
    <w:tmpl w:val="016E20A6"/>
    <w:lvl w:ilvl="0" w:tplc="79D2094A">
      <w:start w:val="1"/>
      <w:numFmt w:val="decimal"/>
      <w:lvlText w:val="Artículo %1."/>
      <w:lvlJc w:val="left"/>
      <w:pPr>
        <w:ind w:left="720" w:hanging="360"/>
      </w:pPr>
      <w:rPr>
        <w:rFonts w:ascii="Bookman Old Style" w:hAnsi="Bookman Old Style"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A40523"/>
    <w:multiLevelType w:val="hybridMultilevel"/>
    <w:tmpl w:val="49DABC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B45F36"/>
    <w:multiLevelType w:val="hybridMultilevel"/>
    <w:tmpl w:val="463A7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55E7910"/>
    <w:multiLevelType w:val="hybridMultilevel"/>
    <w:tmpl w:val="AEF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8C15886"/>
    <w:multiLevelType w:val="hybridMultilevel"/>
    <w:tmpl w:val="7D385E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F1639F"/>
    <w:multiLevelType w:val="hybridMultilevel"/>
    <w:tmpl w:val="4A9A631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C977FE7"/>
    <w:multiLevelType w:val="hybridMultilevel"/>
    <w:tmpl w:val="0722FB1A"/>
    <w:lvl w:ilvl="0" w:tplc="4FB8C5C4">
      <w:start w:val="1"/>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3"/>
  </w:num>
  <w:num w:numId="5">
    <w:abstractNumId w:val="1"/>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527F4"/>
    <w:rsid w:val="00067CAC"/>
    <w:rsid w:val="000764BE"/>
    <w:rsid w:val="00080D6E"/>
    <w:rsid w:val="00096D99"/>
    <w:rsid w:val="000A1C08"/>
    <w:rsid w:val="000A565A"/>
    <w:rsid w:val="000B217D"/>
    <w:rsid w:val="000C658C"/>
    <w:rsid w:val="000D48F3"/>
    <w:rsid w:val="00134F34"/>
    <w:rsid w:val="001646BF"/>
    <w:rsid w:val="00183440"/>
    <w:rsid w:val="001C6042"/>
    <w:rsid w:val="001E17EB"/>
    <w:rsid w:val="001F235D"/>
    <w:rsid w:val="001F40B4"/>
    <w:rsid w:val="00204A5C"/>
    <w:rsid w:val="00220F6A"/>
    <w:rsid w:val="00247E26"/>
    <w:rsid w:val="002673A2"/>
    <w:rsid w:val="002A7F13"/>
    <w:rsid w:val="002C1FBF"/>
    <w:rsid w:val="002D16D7"/>
    <w:rsid w:val="002D5876"/>
    <w:rsid w:val="00304265"/>
    <w:rsid w:val="00305139"/>
    <w:rsid w:val="00324A50"/>
    <w:rsid w:val="003367F7"/>
    <w:rsid w:val="00367CC8"/>
    <w:rsid w:val="00370748"/>
    <w:rsid w:val="0037459B"/>
    <w:rsid w:val="003855DE"/>
    <w:rsid w:val="003908ED"/>
    <w:rsid w:val="003C12F8"/>
    <w:rsid w:val="003C7E1C"/>
    <w:rsid w:val="003F2F4B"/>
    <w:rsid w:val="00404B2B"/>
    <w:rsid w:val="00425B93"/>
    <w:rsid w:val="00434917"/>
    <w:rsid w:val="004368F7"/>
    <w:rsid w:val="00444569"/>
    <w:rsid w:val="004637DB"/>
    <w:rsid w:val="00467F6F"/>
    <w:rsid w:val="0047601D"/>
    <w:rsid w:val="004854E4"/>
    <w:rsid w:val="0048608F"/>
    <w:rsid w:val="004D670B"/>
    <w:rsid w:val="004D6A7B"/>
    <w:rsid w:val="00512106"/>
    <w:rsid w:val="0051501A"/>
    <w:rsid w:val="00532C8F"/>
    <w:rsid w:val="0055667D"/>
    <w:rsid w:val="00556749"/>
    <w:rsid w:val="005B310D"/>
    <w:rsid w:val="005C5842"/>
    <w:rsid w:val="005F3269"/>
    <w:rsid w:val="00652B91"/>
    <w:rsid w:val="0065716D"/>
    <w:rsid w:val="00657678"/>
    <w:rsid w:val="006677D0"/>
    <w:rsid w:val="0067200F"/>
    <w:rsid w:val="0067234D"/>
    <w:rsid w:val="006975E5"/>
    <w:rsid w:val="006C5C1A"/>
    <w:rsid w:val="006D3877"/>
    <w:rsid w:val="006D5018"/>
    <w:rsid w:val="006E43D0"/>
    <w:rsid w:val="00734DB7"/>
    <w:rsid w:val="00735E1F"/>
    <w:rsid w:val="007650D9"/>
    <w:rsid w:val="0077647B"/>
    <w:rsid w:val="0079207E"/>
    <w:rsid w:val="007B6F34"/>
    <w:rsid w:val="007D179E"/>
    <w:rsid w:val="007D2874"/>
    <w:rsid w:val="007E16DF"/>
    <w:rsid w:val="007F08EA"/>
    <w:rsid w:val="007F15FC"/>
    <w:rsid w:val="00816448"/>
    <w:rsid w:val="00817775"/>
    <w:rsid w:val="00823CB1"/>
    <w:rsid w:val="0084604C"/>
    <w:rsid w:val="00863D99"/>
    <w:rsid w:val="00871B5B"/>
    <w:rsid w:val="008972B9"/>
    <w:rsid w:val="008B4FD7"/>
    <w:rsid w:val="008B57A7"/>
    <w:rsid w:val="008D6F2A"/>
    <w:rsid w:val="0090047B"/>
    <w:rsid w:val="00927D7D"/>
    <w:rsid w:val="009660CD"/>
    <w:rsid w:val="0099524D"/>
    <w:rsid w:val="009A3312"/>
    <w:rsid w:val="009C263F"/>
    <w:rsid w:val="009C5B5A"/>
    <w:rsid w:val="009D0E08"/>
    <w:rsid w:val="009D3FBF"/>
    <w:rsid w:val="009E14F5"/>
    <w:rsid w:val="009E3FA3"/>
    <w:rsid w:val="00A15CDD"/>
    <w:rsid w:val="00A361A0"/>
    <w:rsid w:val="00A55787"/>
    <w:rsid w:val="00A6575F"/>
    <w:rsid w:val="00A72DE4"/>
    <w:rsid w:val="00A82605"/>
    <w:rsid w:val="00A938C2"/>
    <w:rsid w:val="00AA0519"/>
    <w:rsid w:val="00AB2F3A"/>
    <w:rsid w:val="00AB64A6"/>
    <w:rsid w:val="00AB64CA"/>
    <w:rsid w:val="00AD6B69"/>
    <w:rsid w:val="00AF1729"/>
    <w:rsid w:val="00B060B1"/>
    <w:rsid w:val="00B3471C"/>
    <w:rsid w:val="00B71887"/>
    <w:rsid w:val="00BC7E3D"/>
    <w:rsid w:val="00BD3FE9"/>
    <w:rsid w:val="00BE27EE"/>
    <w:rsid w:val="00C10ABD"/>
    <w:rsid w:val="00C27953"/>
    <w:rsid w:val="00C55304"/>
    <w:rsid w:val="00C607DA"/>
    <w:rsid w:val="00C724B1"/>
    <w:rsid w:val="00C848A6"/>
    <w:rsid w:val="00C85046"/>
    <w:rsid w:val="00C90AEB"/>
    <w:rsid w:val="00C9140B"/>
    <w:rsid w:val="00CB7BD6"/>
    <w:rsid w:val="00CC5616"/>
    <w:rsid w:val="00CF4070"/>
    <w:rsid w:val="00CF6068"/>
    <w:rsid w:val="00D21B18"/>
    <w:rsid w:val="00D40520"/>
    <w:rsid w:val="00D41D5A"/>
    <w:rsid w:val="00D43CBB"/>
    <w:rsid w:val="00D74864"/>
    <w:rsid w:val="00DC00DA"/>
    <w:rsid w:val="00DE6475"/>
    <w:rsid w:val="00E005A8"/>
    <w:rsid w:val="00E723ED"/>
    <w:rsid w:val="00E81BBF"/>
    <w:rsid w:val="00E96517"/>
    <w:rsid w:val="00F30DC2"/>
    <w:rsid w:val="00F319AE"/>
    <w:rsid w:val="00FA05B6"/>
    <w:rsid w:val="00FD2A8B"/>
    <w:rsid w:val="00FE5584"/>
    <w:rsid w:val="00FE65FB"/>
    <w:rsid w:val="00FF30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6757D4"/>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5F32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character" w:styleId="Hipervnculo">
    <w:name w:val="Hyperlink"/>
    <w:basedOn w:val="Fuentedeprrafopredeter"/>
    <w:uiPriority w:val="99"/>
    <w:unhideWhenUsed/>
    <w:rsid w:val="00817775"/>
    <w:rPr>
      <w:color w:val="0000FF"/>
      <w:u w:val="single"/>
    </w:rPr>
  </w:style>
  <w:style w:type="character" w:customStyle="1" w:styleId="Ttulo1Car">
    <w:name w:val="Título 1 Car"/>
    <w:basedOn w:val="Fuentedeprrafopredeter"/>
    <w:link w:val="Ttulo1"/>
    <w:uiPriority w:val="9"/>
    <w:rsid w:val="005F3269"/>
    <w:rPr>
      <w:rFonts w:asciiTheme="majorHAnsi" w:eastAsiaTheme="majorEastAsia" w:hAnsiTheme="majorHAnsi" w:cstheme="majorBidi"/>
      <w:color w:val="2E74B5" w:themeColor="accent1" w:themeShade="BF"/>
      <w:sz w:val="32"/>
      <w:szCs w:val="32"/>
      <w:lang w:val="es-ES_tradnl"/>
    </w:rPr>
  </w:style>
  <w:style w:type="paragraph" w:styleId="Textodeglobo">
    <w:name w:val="Balloon Text"/>
    <w:basedOn w:val="Normal"/>
    <w:link w:val="TextodegloboCar"/>
    <w:uiPriority w:val="99"/>
    <w:semiHidden/>
    <w:unhideWhenUsed/>
    <w:rsid w:val="00C848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8A6"/>
    <w:rPr>
      <w:rFonts w:ascii="Segoe UI" w:eastAsiaTheme="minorEastAsia" w:hAnsi="Segoe UI" w:cs="Segoe UI"/>
      <w:sz w:val="18"/>
      <w:szCs w:val="18"/>
      <w:lang w:val="es-ES_tradnl"/>
    </w:rPr>
  </w:style>
  <w:style w:type="table" w:styleId="Tablaconcuadrcula">
    <w:name w:val="Table Grid"/>
    <w:basedOn w:val="Tablanormal"/>
    <w:uiPriority w:val="39"/>
    <w:rsid w:val="005B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5B310D"/>
    <w:pPr>
      <w:tabs>
        <w:tab w:val="left" w:pos="708"/>
      </w:tabs>
      <w:suppressAutoHyphens/>
      <w:spacing w:line="256" w:lineRule="auto"/>
    </w:pPr>
    <w:rPr>
      <w:rFonts w:ascii="Calibri" w:eastAsia="Droid Sans" w:hAnsi="Calibri"/>
    </w:rPr>
  </w:style>
  <w:style w:type="character" w:styleId="Refdecomentario">
    <w:name w:val="annotation reference"/>
    <w:basedOn w:val="Fuentedeprrafopredeter"/>
    <w:semiHidden/>
    <w:unhideWhenUsed/>
    <w:rsid w:val="00220F6A"/>
    <w:rPr>
      <w:sz w:val="16"/>
      <w:szCs w:val="16"/>
    </w:rPr>
  </w:style>
  <w:style w:type="paragraph" w:styleId="Textocomentario">
    <w:name w:val="annotation text"/>
    <w:basedOn w:val="Normal"/>
    <w:link w:val="TextocomentarioCar"/>
    <w:semiHidden/>
    <w:unhideWhenUsed/>
    <w:rsid w:val="00220F6A"/>
    <w:rPr>
      <w:sz w:val="20"/>
      <w:szCs w:val="20"/>
    </w:rPr>
  </w:style>
  <w:style w:type="character" w:customStyle="1" w:styleId="TextocomentarioCar">
    <w:name w:val="Texto comentario Car"/>
    <w:basedOn w:val="Fuentedeprrafopredeter"/>
    <w:link w:val="Textocomentario"/>
    <w:semiHidden/>
    <w:rsid w:val="00220F6A"/>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20F6A"/>
    <w:rPr>
      <w:b/>
      <w:bCs/>
    </w:rPr>
  </w:style>
  <w:style w:type="character" w:customStyle="1" w:styleId="AsuntodelcomentarioCar">
    <w:name w:val="Asunto del comentario Car"/>
    <w:basedOn w:val="TextocomentarioCar"/>
    <w:link w:val="Asuntodelcomentario"/>
    <w:uiPriority w:val="99"/>
    <w:semiHidden/>
    <w:rsid w:val="00220F6A"/>
    <w:rPr>
      <w:rFonts w:eastAsiaTheme="minorEastAsia"/>
      <w:b/>
      <w:bCs/>
      <w:sz w:val="20"/>
      <w:szCs w:val="20"/>
      <w:lang w:val="es-ES_tradnl"/>
    </w:rPr>
  </w:style>
  <w:style w:type="paragraph" w:customStyle="1" w:styleId="Default">
    <w:name w:val="Default"/>
    <w:rsid w:val="003908ED"/>
    <w:pPr>
      <w:autoSpaceDE w:val="0"/>
      <w:autoSpaceDN w:val="0"/>
      <w:adjustRightInd w:val="0"/>
      <w:spacing w:after="0" w:line="240" w:lineRule="auto"/>
    </w:pPr>
    <w:rPr>
      <w:rFonts w:ascii="Bookman Old Style" w:hAnsi="Bookman Old Style" w:cs="Bookman Old Style"/>
      <w:color w:val="000000"/>
      <w:sz w:val="24"/>
      <w:szCs w:val="24"/>
    </w:rPr>
  </w:style>
  <w:style w:type="paragraph" w:styleId="Prrafodelista">
    <w:name w:val="List Paragraph"/>
    <w:basedOn w:val="Normal"/>
    <w:link w:val="PrrafodelistaCar"/>
    <w:uiPriority w:val="34"/>
    <w:qFormat/>
    <w:rsid w:val="00434917"/>
    <w:pPr>
      <w:ind w:left="708"/>
    </w:pPr>
    <w:rPr>
      <w:rFonts w:ascii="Arial" w:eastAsia="Times New Roman" w:hAnsi="Arial" w:cs="Arial"/>
      <w:lang w:val="es-CO" w:eastAsia="es-CO"/>
    </w:rPr>
  </w:style>
  <w:style w:type="character" w:customStyle="1" w:styleId="PrrafodelistaCar">
    <w:name w:val="Párrafo de lista Car"/>
    <w:link w:val="Prrafodelista"/>
    <w:uiPriority w:val="34"/>
    <w:rsid w:val="00434917"/>
    <w:rPr>
      <w:rFonts w:ascii="Arial" w:eastAsia="Times New Roman" w:hAnsi="Arial" w:cs="Arial"/>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837784">
      <w:bodyDiv w:val="1"/>
      <w:marLeft w:val="0"/>
      <w:marRight w:val="0"/>
      <w:marTop w:val="0"/>
      <w:marBottom w:val="0"/>
      <w:divBdr>
        <w:top w:val="none" w:sz="0" w:space="0" w:color="auto"/>
        <w:left w:val="none" w:sz="0" w:space="0" w:color="auto"/>
        <w:bottom w:val="none" w:sz="0" w:space="0" w:color="auto"/>
        <w:right w:val="none" w:sz="0" w:space="0" w:color="auto"/>
      </w:divBdr>
      <w:divsChild>
        <w:div w:id="120147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m.com.co/Paginas/Mercado-de-energia/Resolucion-CREG061-de-202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D78B-40F2-4B8A-AE13-115D694B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3800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2020-06-11T21:30:00Z</cp:lastPrinted>
  <dcterms:created xsi:type="dcterms:W3CDTF">2020-06-11T21:31:00Z</dcterms:created>
  <dcterms:modified xsi:type="dcterms:W3CDTF">2020-06-11T21:31:00Z</dcterms:modified>
</cp:coreProperties>
</file>