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3B9" w:rsidRPr="003301B8" w:rsidRDefault="006873B7" w:rsidP="003D03B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9264" fillcolor="#0c9">
            <v:imagedata r:id="rId8" o:title=""/>
          </v:shape>
          <o:OLEObject Type="Embed" ProgID="PBrush" ShapeID="_x0000_s1026" DrawAspect="Content" ObjectID="_1638253298" r:id="rId9"/>
        </w:object>
      </w:r>
    </w:p>
    <w:p w:rsidR="003D03B9" w:rsidRPr="003301B8" w:rsidRDefault="003D03B9" w:rsidP="003D03B9">
      <w:pPr>
        <w:pStyle w:val="Ttulo4"/>
        <w:tabs>
          <w:tab w:val="left" w:pos="0"/>
          <w:tab w:val="right" w:pos="9356"/>
        </w:tabs>
        <w:ind w:left="0"/>
        <w:rPr>
          <w:rFonts w:ascii="Bookman Old Style" w:hAnsi="Bookman Old Style"/>
          <w:b w:val="0"/>
          <w:bCs/>
          <w:sz w:val="24"/>
          <w:szCs w:val="24"/>
        </w:rPr>
      </w:pPr>
    </w:p>
    <w:p w:rsidR="003D03B9" w:rsidRPr="003301B8" w:rsidRDefault="003D03B9" w:rsidP="003D03B9">
      <w:pPr>
        <w:pStyle w:val="Ttulo4"/>
        <w:tabs>
          <w:tab w:val="left" w:pos="0"/>
          <w:tab w:val="right" w:pos="9356"/>
        </w:tabs>
        <w:ind w:left="0"/>
        <w:rPr>
          <w:rFonts w:ascii="Bookman Old Style" w:hAnsi="Bookman Old Style"/>
          <w:b w:val="0"/>
          <w:bCs/>
          <w:noProof/>
          <w:sz w:val="24"/>
          <w:szCs w:val="24"/>
          <w:lang w:val="es-ES"/>
        </w:rPr>
      </w:pPr>
      <w:r w:rsidRPr="003301B8">
        <w:rPr>
          <w:rFonts w:ascii="Bookman Old Style" w:hAnsi="Bookman Old Style"/>
          <w:b w:val="0"/>
          <w:bCs/>
          <w:sz w:val="24"/>
          <w:szCs w:val="24"/>
        </w:rPr>
        <w:t>Ministerio de Minas y Energía</w:t>
      </w:r>
    </w:p>
    <w:p w:rsidR="003D03B9" w:rsidRPr="003301B8" w:rsidRDefault="003D03B9" w:rsidP="003D03B9">
      <w:pPr>
        <w:pStyle w:val="Ttulo4"/>
        <w:tabs>
          <w:tab w:val="left" w:pos="0"/>
          <w:tab w:val="right" w:pos="9356"/>
        </w:tabs>
        <w:ind w:left="0"/>
        <w:rPr>
          <w:rFonts w:ascii="Bookman Old Style" w:hAnsi="Bookman Old Style"/>
          <w:b w:val="0"/>
          <w:bCs/>
          <w:sz w:val="24"/>
          <w:szCs w:val="24"/>
        </w:rPr>
      </w:pPr>
    </w:p>
    <w:p w:rsidR="003D03B9" w:rsidRPr="003301B8" w:rsidRDefault="003D03B9" w:rsidP="003D03B9">
      <w:pPr>
        <w:pStyle w:val="Ttulo3"/>
        <w:tabs>
          <w:tab w:val="left" w:pos="0"/>
          <w:tab w:val="right" w:pos="9356"/>
        </w:tabs>
        <w:ind w:left="0"/>
        <w:rPr>
          <w:rFonts w:ascii="Bookman Old Style" w:hAnsi="Bookman Old Style" w:cs="Arial"/>
          <w:spacing w:val="20"/>
          <w:szCs w:val="24"/>
        </w:rPr>
      </w:pPr>
      <w:r w:rsidRPr="003301B8">
        <w:rPr>
          <w:rFonts w:ascii="Bookman Old Style" w:hAnsi="Bookman Old Style" w:cs="Arial"/>
          <w:spacing w:val="20"/>
          <w:szCs w:val="24"/>
        </w:rPr>
        <w:t>COMISIÓN DE REGULACIÓN DE ENERGÍA Y GAS</w:t>
      </w:r>
    </w:p>
    <w:p w:rsidR="003D03B9" w:rsidRPr="003301B8" w:rsidRDefault="003D03B9" w:rsidP="003D03B9">
      <w:pPr>
        <w:pStyle w:val="Ttulo5"/>
        <w:tabs>
          <w:tab w:val="left" w:pos="0"/>
          <w:tab w:val="right" w:pos="9356"/>
        </w:tabs>
        <w:ind w:left="0"/>
        <w:rPr>
          <w:rFonts w:ascii="Bookman Old Style" w:hAnsi="Bookman Old Style"/>
          <w:sz w:val="24"/>
          <w:szCs w:val="24"/>
        </w:rPr>
      </w:pPr>
    </w:p>
    <w:p w:rsidR="003D03B9" w:rsidRPr="003301B8" w:rsidRDefault="003D03B9" w:rsidP="003D03B9">
      <w:pPr>
        <w:pStyle w:val="Ttulo5"/>
        <w:tabs>
          <w:tab w:val="left" w:pos="0"/>
          <w:tab w:val="right" w:pos="9356"/>
        </w:tabs>
        <w:ind w:left="0"/>
        <w:rPr>
          <w:rFonts w:ascii="Bookman Old Style" w:hAnsi="Bookman Old Style"/>
          <w:sz w:val="24"/>
          <w:szCs w:val="24"/>
        </w:rPr>
      </w:pPr>
      <w:r w:rsidRPr="003301B8">
        <w:rPr>
          <w:rFonts w:ascii="Bookman Old Style" w:hAnsi="Bookman Old Style"/>
          <w:sz w:val="24"/>
          <w:szCs w:val="24"/>
        </w:rPr>
        <w:t>RESOLUCIÓN No.          DE 201</w:t>
      </w:r>
      <w:r>
        <w:rPr>
          <w:rFonts w:ascii="Bookman Old Style" w:hAnsi="Bookman Old Style"/>
          <w:sz w:val="24"/>
          <w:szCs w:val="24"/>
        </w:rPr>
        <w:t>9</w:t>
      </w:r>
    </w:p>
    <w:p w:rsidR="003D03B9" w:rsidRPr="003301B8" w:rsidRDefault="003D03B9" w:rsidP="003D03B9">
      <w:pPr>
        <w:tabs>
          <w:tab w:val="left" w:pos="0"/>
          <w:tab w:val="right" w:pos="9356"/>
        </w:tabs>
        <w:ind w:left="0"/>
        <w:jc w:val="center"/>
        <w:rPr>
          <w:rFonts w:ascii="Bookman Old Style" w:hAnsi="Bookman Old Style" w:cs="Arial"/>
          <w:b/>
          <w:snapToGrid w:val="0"/>
          <w:color w:val="000000"/>
          <w:lang w:val="es-ES_tradnl"/>
        </w:rPr>
      </w:pPr>
    </w:p>
    <w:p w:rsidR="003D03B9" w:rsidRPr="003301B8" w:rsidRDefault="003D03B9" w:rsidP="003D03B9">
      <w:pPr>
        <w:pStyle w:val="Ttulo3"/>
        <w:tabs>
          <w:tab w:val="left" w:pos="0"/>
          <w:tab w:val="right" w:pos="9356"/>
        </w:tabs>
        <w:ind w:left="0"/>
        <w:rPr>
          <w:rFonts w:ascii="Bookman Old Style" w:hAnsi="Bookman Old Style"/>
          <w:b w:val="0"/>
          <w:szCs w:val="24"/>
        </w:rPr>
      </w:pPr>
      <w:r w:rsidRPr="003301B8">
        <w:rPr>
          <w:rFonts w:ascii="Bookman Old Style" w:hAnsi="Bookman Old Style"/>
          <w:b w:val="0"/>
          <w:szCs w:val="24"/>
        </w:rPr>
        <w:t>(                 )</w:t>
      </w:r>
    </w:p>
    <w:p w:rsidR="003D03B9" w:rsidRPr="003301B8" w:rsidRDefault="003D03B9" w:rsidP="003D03B9">
      <w:pPr>
        <w:tabs>
          <w:tab w:val="left" w:pos="0"/>
          <w:tab w:val="right" w:pos="9356"/>
        </w:tabs>
        <w:ind w:left="0"/>
        <w:jc w:val="center"/>
        <w:rPr>
          <w:rFonts w:ascii="Bookman Old Style" w:hAnsi="Bookman Old Style"/>
          <w:lang w:val="es-ES_tradnl"/>
        </w:rPr>
      </w:pPr>
    </w:p>
    <w:p w:rsidR="003D03B9" w:rsidRPr="003301B8" w:rsidRDefault="003D03B9" w:rsidP="003D03B9">
      <w:pPr>
        <w:ind w:left="0"/>
        <w:rPr>
          <w:rFonts w:ascii="Bookman Old Style" w:hAnsi="Bookman Old Style"/>
          <w:bCs/>
          <w:lang w:val="es-ES_tradnl"/>
        </w:rPr>
      </w:pPr>
    </w:p>
    <w:p w:rsidR="003D03B9" w:rsidRPr="003301B8" w:rsidRDefault="003D03B9" w:rsidP="00050A11">
      <w:pPr>
        <w:ind w:left="227" w:right="-142"/>
        <w:jc w:val="center"/>
        <w:rPr>
          <w:rFonts w:ascii="Bookman Old Style" w:hAnsi="Bookman Old Style"/>
        </w:rPr>
      </w:pPr>
      <w:r w:rsidRPr="003301B8">
        <w:rPr>
          <w:rFonts w:ascii="Bookman Old Style" w:hAnsi="Bookman Old Style"/>
        </w:rPr>
        <w:t xml:space="preserve">Por medio de la cual se resuelve </w:t>
      </w:r>
      <w:r w:rsidR="00050A11">
        <w:rPr>
          <w:rFonts w:ascii="Bookman Old Style" w:hAnsi="Bookman Old Style"/>
        </w:rPr>
        <w:t>el</w:t>
      </w:r>
      <w:r w:rsidRPr="003301B8">
        <w:rPr>
          <w:rFonts w:ascii="Bookman Old Style" w:hAnsi="Bookman Old Style"/>
        </w:rPr>
        <w:t xml:space="preserve"> recurso de reposición </w:t>
      </w:r>
      <w:r w:rsidR="00050A11">
        <w:rPr>
          <w:rFonts w:ascii="Bookman Old Style" w:hAnsi="Bookman Old Style"/>
        </w:rPr>
        <w:t xml:space="preserve">interpuesto por </w:t>
      </w:r>
      <w:r w:rsidR="00050A11" w:rsidRPr="00050A11">
        <w:rPr>
          <w:rFonts w:ascii="Bookman Old Style" w:hAnsi="Bookman Old Style"/>
        </w:rPr>
        <w:t>NORTESANTANDEREANA DE GAS S.A. E.S.P., SOCIEDAD ABSORBENTE DE GAS DE SANTANDER S.A. E S.P</w:t>
      </w:r>
      <w:r w:rsidR="00050A11">
        <w:rPr>
          <w:rFonts w:ascii="Bookman Old Style" w:hAnsi="Bookman Old Style"/>
        </w:rPr>
        <w:t xml:space="preserve">, </w:t>
      </w:r>
      <w:r w:rsidRPr="003301B8">
        <w:rPr>
          <w:rFonts w:ascii="Bookman Old Style" w:hAnsi="Bookman Old Style"/>
        </w:rPr>
        <w:t xml:space="preserve">en contra de la Resolución CREG </w:t>
      </w:r>
      <w:r>
        <w:rPr>
          <w:rFonts w:ascii="Bookman Old Style" w:hAnsi="Bookman Old Style"/>
        </w:rPr>
        <w:t>139 de 2018</w:t>
      </w:r>
    </w:p>
    <w:p w:rsidR="003D03B9" w:rsidRPr="003301B8" w:rsidRDefault="003D03B9" w:rsidP="003D03B9">
      <w:pPr>
        <w:ind w:left="170" w:right="-454"/>
        <w:jc w:val="both"/>
        <w:rPr>
          <w:rFonts w:ascii="Bookman Old Style" w:hAnsi="Bookman Old Style"/>
        </w:rPr>
      </w:pPr>
    </w:p>
    <w:p w:rsidR="003D03B9" w:rsidRPr="003301B8" w:rsidRDefault="003D03B9" w:rsidP="003D03B9">
      <w:pPr>
        <w:ind w:left="170" w:right="-454"/>
        <w:jc w:val="center"/>
        <w:rPr>
          <w:rFonts w:ascii="Bookman Old Style" w:hAnsi="Bookman Old Style"/>
          <w:b/>
        </w:rPr>
      </w:pPr>
      <w:r w:rsidRPr="003301B8">
        <w:rPr>
          <w:rFonts w:ascii="Bookman Old Style" w:hAnsi="Bookman Old Style"/>
          <w:b/>
        </w:rPr>
        <w:t>LA COMISIÓN DE REGULACIÓN DE ENERGÍA Y GAS -CREG-</w:t>
      </w:r>
    </w:p>
    <w:p w:rsidR="003D03B9" w:rsidRPr="003301B8" w:rsidRDefault="003D03B9" w:rsidP="003D03B9">
      <w:pPr>
        <w:ind w:left="170" w:right="-454"/>
        <w:jc w:val="both"/>
        <w:rPr>
          <w:rFonts w:ascii="Bookman Old Style" w:hAnsi="Bookman Old Style"/>
        </w:rPr>
      </w:pPr>
    </w:p>
    <w:p w:rsidR="003D03B9" w:rsidRPr="003301B8" w:rsidRDefault="003D03B9" w:rsidP="003D03B9">
      <w:pPr>
        <w:ind w:left="170"/>
        <w:jc w:val="both"/>
        <w:rPr>
          <w:rFonts w:ascii="Bookman Old Style" w:hAnsi="Bookman Old Style"/>
        </w:rPr>
      </w:pPr>
      <w:r w:rsidRPr="003301B8">
        <w:rPr>
          <w:rFonts w:ascii="Bookman Old Style" w:hAnsi="Bookman Old Style"/>
        </w:rPr>
        <w:t>En uso de sus facultades legales, en especial las conferidas por las Leyes 142 de 1994 y 143 de 1994, y en desarrollo de los decretos 1524 y 2253 de 1994</w:t>
      </w:r>
      <w:r w:rsidR="001930C9">
        <w:rPr>
          <w:rFonts w:ascii="Bookman Old Style" w:hAnsi="Bookman Old Style"/>
        </w:rPr>
        <w:t xml:space="preserve"> y 1260 de 2013</w:t>
      </w:r>
      <w:r w:rsidRPr="003301B8">
        <w:rPr>
          <w:rFonts w:ascii="Bookman Old Style" w:hAnsi="Bookman Old Style"/>
        </w:rPr>
        <w:t xml:space="preserve">, </w:t>
      </w:r>
    </w:p>
    <w:p w:rsidR="003D03B9" w:rsidRPr="003301B8" w:rsidRDefault="003D03B9" w:rsidP="003D03B9">
      <w:pPr>
        <w:ind w:left="0" w:right="-454"/>
        <w:jc w:val="both"/>
        <w:rPr>
          <w:rFonts w:ascii="Bookman Old Style" w:hAnsi="Bookman Old Style"/>
        </w:rPr>
      </w:pPr>
    </w:p>
    <w:p w:rsidR="003D03B9" w:rsidRPr="003301B8" w:rsidRDefault="003D03B9" w:rsidP="003D03B9">
      <w:pPr>
        <w:tabs>
          <w:tab w:val="center" w:pos="4512"/>
        </w:tabs>
        <w:suppressAutoHyphens/>
        <w:ind w:left="170" w:right="-454"/>
        <w:jc w:val="center"/>
        <w:rPr>
          <w:rFonts w:ascii="Bookman Old Style" w:hAnsi="Bookman Old Style"/>
          <w:b/>
          <w:spacing w:val="-3"/>
        </w:rPr>
      </w:pPr>
      <w:r w:rsidRPr="003301B8">
        <w:rPr>
          <w:rFonts w:ascii="Bookman Old Style" w:hAnsi="Bookman Old Style"/>
          <w:b/>
          <w:spacing w:val="-3"/>
        </w:rPr>
        <w:t>C O N S I D E R A N D O:</w:t>
      </w:r>
    </w:p>
    <w:p w:rsidR="003D03B9" w:rsidRDefault="003D03B9" w:rsidP="003D03B9">
      <w:pPr>
        <w:ind w:left="0"/>
        <w:jc w:val="both"/>
        <w:rPr>
          <w:rFonts w:ascii="Bookman Old Style" w:hAnsi="Bookman Old Style"/>
        </w:rPr>
      </w:pPr>
    </w:p>
    <w:p w:rsidR="006873B7" w:rsidRPr="003301B8" w:rsidRDefault="006873B7" w:rsidP="003D03B9">
      <w:pPr>
        <w:ind w:left="0"/>
        <w:jc w:val="both"/>
        <w:rPr>
          <w:rFonts w:ascii="Bookman Old Style" w:hAnsi="Bookman Old Style"/>
        </w:rPr>
      </w:pPr>
    </w:p>
    <w:p w:rsidR="003D03B9" w:rsidRPr="003301B8" w:rsidRDefault="003D03B9" w:rsidP="003D03B9">
      <w:pPr>
        <w:ind w:left="0"/>
        <w:jc w:val="both"/>
        <w:rPr>
          <w:rFonts w:ascii="Bookman Old Style" w:hAnsi="Bookman Old Style" w:cs="Arial"/>
        </w:rPr>
      </w:pPr>
      <w:r w:rsidRPr="003301B8">
        <w:rPr>
          <w:rFonts w:ascii="Bookman Old Style" w:hAnsi="Bookman Old Style" w:cs="Arial"/>
        </w:rPr>
        <w:t>Que de acuerdo con el artículo 85 de la Ley 142 de 1994, con el fin de recuperar los costos del servicio de regulación que preste cada comisión a las entidades sometidas a su regulación, estas estarán sujetas a una contribución que se liquidará y pagará cada año conforme a las reglas establecidas, en el numeral 2 y el parágrafo 2 de esta misma disposición;</w:t>
      </w:r>
    </w:p>
    <w:p w:rsidR="003D03B9" w:rsidRPr="003301B8" w:rsidRDefault="003D03B9" w:rsidP="003D03B9">
      <w:pPr>
        <w:ind w:left="0"/>
        <w:jc w:val="both"/>
        <w:rPr>
          <w:rFonts w:ascii="Bookman Old Style" w:hAnsi="Bookman Old Style" w:cs="Arial"/>
        </w:rPr>
      </w:pPr>
    </w:p>
    <w:p w:rsidR="003D03B9" w:rsidRPr="003301B8" w:rsidRDefault="003D03B9" w:rsidP="003D03B9">
      <w:pPr>
        <w:ind w:left="0"/>
        <w:jc w:val="both"/>
        <w:rPr>
          <w:rFonts w:ascii="Bookman Old Style" w:hAnsi="Bookman Old Style" w:cs="Arial"/>
        </w:rPr>
      </w:pPr>
      <w:r w:rsidRPr="003301B8">
        <w:rPr>
          <w:rFonts w:ascii="Bookman Old Style" w:hAnsi="Bookman Old Style" w:cs="Arial"/>
        </w:rPr>
        <w:t>Que la Comisión de Regulación de Energía y Gas -CREG- tiene a su cargo la liquidación del monto de la contribución que se aplica a cada una de las entidades sujetas a su regulación, de acuerdo con lo señalado en el artículo 85 de la Ley 142 de 1994 y en los Artículos 20 y 21 del Decreto 2461 de 1999, para los subsectores de energía eléctrica y de gas combustible, cuya tarifa máxima no puede ser superior al uno por ciento (1%) del valor de los gastos de funcionamiento de la entidad contribuyente, con exclusión de los factores señalados en las Leyes 142 y 143 de 1994;</w:t>
      </w:r>
    </w:p>
    <w:p w:rsidR="003D03B9" w:rsidRPr="003301B8" w:rsidRDefault="003D03B9" w:rsidP="003D03B9">
      <w:pPr>
        <w:pStyle w:val="Prrafodelista"/>
        <w:ind w:left="720"/>
        <w:jc w:val="both"/>
        <w:rPr>
          <w:rFonts w:ascii="Bookman Old Style" w:hAnsi="Bookman Old Style" w:cs="Arial"/>
          <w:sz w:val="24"/>
          <w:szCs w:val="24"/>
        </w:rPr>
      </w:pPr>
    </w:p>
    <w:p w:rsidR="003D03B9" w:rsidRPr="003301B8" w:rsidRDefault="003D03B9" w:rsidP="003D03B9">
      <w:pPr>
        <w:ind w:left="0"/>
        <w:jc w:val="both"/>
        <w:rPr>
          <w:rFonts w:ascii="Bookman Old Style" w:hAnsi="Bookman Old Style" w:cs="Arial"/>
        </w:rPr>
      </w:pPr>
      <w:r w:rsidRPr="003301B8">
        <w:rPr>
          <w:rFonts w:ascii="Bookman Old Style" w:hAnsi="Bookman Old Style" w:cs="Arial"/>
        </w:rPr>
        <w:t>Que mediante resolución CREG-</w:t>
      </w:r>
      <w:r>
        <w:rPr>
          <w:rFonts w:ascii="Bookman Old Style" w:hAnsi="Bookman Old Style" w:cs="Arial"/>
        </w:rPr>
        <w:t>139 de 2018</w:t>
      </w:r>
      <w:r w:rsidRPr="003301B8">
        <w:rPr>
          <w:rFonts w:ascii="Bookman Old Style" w:hAnsi="Bookman Old Style" w:cs="Arial"/>
        </w:rPr>
        <w:t xml:space="preserve"> se señala la contribución que debe pagar a la Comisión de Regulación de Energía y Gas –CREG- cada una de las entidades reguladas por el año 201</w:t>
      </w:r>
      <w:r>
        <w:rPr>
          <w:rFonts w:ascii="Bookman Old Style" w:hAnsi="Bookman Old Style" w:cs="Arial"/>
        </w:rPr>
        <w:t>8</w:t>
      </w:r>
      <w:r w:rsidRPr="003301B8">
        <w:rPr>
          <w:rFonts w:ascii="Bookman Old Style" w:hAnsi="Bookman Old Style" w:cs="Arial"/>
        </w:rPr>
        <w:t>.</w:t>
      </w:r>
    </w:p>
    <w:p w:rsidR="003D03B9" w:rsidRPr="003301B8" w:rsidRDefault="003D03B9" w:rsidP="003D03B9">
      <w:pPr>
        <w:ind w:left="0"/>
        <w:jc w:val="both"/>
        <w:rPr>
          <w:rFonts w:ascii="Bookman Old Style" w:hAnsi="Bookman Old Style" w:cs="Arial"/>
        </w:rPr>
      </w:pPr>
      <w:r w:rsidRPr="003301B8">
        <w:rPr>
          <w:rFonts w:ascii="Bookman Old Style" w:hAnsi="Bookman Old Style" w:cs="Arial"/>
        </w:rPr>
        <w:t xml:space="preserve"> </w:t>
      </w:r>
    </w:p>
    <w:p w:rsidR="003D03B9" w:rsidRPr="003301B8" w:rsidRDefault="003D03B9" w:rsidP="003D03B9">
      <w:pPr>
        <w:ind w:left="0"/>
        <w:jc w:val="both"/>
        <w:rPr>
          <w:rFonts w:ascii="Bookman Old Style" w:hAnsi="Bookman Old Style" w:cs="Arial"/>
        </w:rPr>
      </w:pPr>
      <w:r w:rsidRPr="003301B8">
        <w:rPr>
          <w:rFonts w:ascii="Bookman Old Style" w:hAnsi="Bookman Old Style" w:cs="Arial"/>
        </w:rPr>
        <w:t>Que la</w:t>
      </w:r>
      <w:r>
        <w:rPr>
          <w:rFonts w:ascii="Bookman Old Style" w:hAnsi="Bookman Old Style" w:cs="Arial"/>
        </w:rPr>
        <w:t xml:space="preserve"> empresa NORTESANTANDEREANA DE GAS S.A. E.S.P., SOCIEDAD ABSORBENTE DE GAS DE SANTANDER S.A. E S.P., </w:t>
      </w:r>
      <w:r w:rsidRPr="003301B8">
        <w:rPr>
          <w:rFonts w:ascii="Bookman Old Style" w:hAnsi="Bookman Old Style" w:cs="Arial"/>
        </w:rPr>
        <w:t xml:space="preserve">fue notificada </w:t>
      </w:r>
      <w:r>
        <w:rPr>
          <w:rFonts w:ascii="Bookman Old Style" w:hAnsi="Bookman Old Style" w:cs="Arial"/>
        </w:rPr>
        <w:t xml:space="preserve">conforme a los mecanismos previstos en la ley </w:t>
      </w:r>
      <w:r w:rsidRPr="003301B8">
        <w:rPr>
          <w:rFonts w:ascii="Bookman Old Style" w:hAnsi="Bookman Old Style" w:cs="Arial"/>
        </w:rPr>
        <w:t>del contenido de la resolución CREG-</w:t>
      </w:r>
      <w:r>
        <w:rPr>
          <w:rFonts w:ascii="Bookman Old Style" w:hAnsi="Bookman Old Style" w:cs="Arial"/>
        </w:rPr>
        <w:t>139 de 2018</w:t>
      </w:r>
      <w:r w:rsidRPr="003301B8">
        <w:rPr>
          <w:rFonts w:ascii="Bookman Old Style" w:hAnsi="Bookman Old Style" w:cs="Arial"/>
        </w:rPr>
        <w:t xml:space="preserve">. </w:t>
      </w:r>
    </w:p>
    <w:p w:rsidR="003D03B9" w:rsidRPr="003301B8" w:rsidRDefault="003D03B9" w:rsidP="003D03B9">
      <w:pPr>
        <w:pStyle w:val="Prrafodelista"/>
        <w:rPr>
          <w:rFonts w:ascii="Bookman Old Style" w:hAnsi="Bookman Old Style" w:cs="Arial"/>
          <w:sz w:val="24"/>
          <w:szCs w:val="24"/>
        </w:rPr>
      </w:pPr>
    </w:p>
    <w:p w:rsidR="003D03B9" w:rsidRPr="003301B8" w:rsidRDefault="003D03B9" w:rsidP="003D03B9">
      <w:pPr>
        <w:ind w:left="0"/>
        <w:jc w:val="both"/>
        <w:rPr>
          <w:rFonts w:ascii="Bookman Old Style" w:hAnsi="Bookman Old Style" w:cs="Arial"/>
          <w:highlight w:val="yellow"/>
        </w:rPr>
      </w:pPr>
      <w:r w:rsidRPr="001930C9">
        <w:rPr>
          <w:rFonts w:ascii="Bookman Old Style" w:hAnsi="Bookman Old Style" w:cs="Arial"/>
        </w:rPr>
        <w:t>Que, encontrándose dentro del término legal, mediante escrito presentado en la Comisión de Regulación de Energía y Gas -CREG- bajo radicado número E-2019-</w:t>
      </w:r>
      <w:r w:rsidRPr="001930C9">
        <w:rPr>
          <w:rFonts w:ascii="Bookman Old Style" w:hAnsi="Bookman Old Style" w:cs="Arial"/>
        </w:rPr>
        <w:lastRenderedPageBreak/>
        <w:t xml:space="preserve">001093 del </w:t>
      </w:r>
      <w:r w:rsidR="0054400C" w:rsidRPr="001930C9">
        <w:rPr>
          <w:rFonts w:ascii="Bookman Old Style" w:hAnsi="Bookman Old Style" w:cs="Arial"/>
        </w:rPr>
        <w:t>veintinueve</w:t>
      </w:r>
      <w:r w:rsidRPr="001930C9">
        <w:rPr>
          <w:rFonts w:ascii="Bookman Old Style" w:hAnsi="Bookman Old Style" w:cs="Arial"/>
        </w:rPr>
        <w:t xml:space="preserve"> de enero de 2019., el señor DILSO ALBERTO VERJEL ÁLVAREZ en calidad de representante legal de la empresa NORTESANTANDEREANA DE GAS S.A. E.S.P., SOCIEDAD ABSORBENTE</w:t>
      </w:r>
      <w:r>
        <w:rPr>
          <w:rFonts w:ascii="Bookman Old Style" w:hAnsi="Bookman Old Style" w:cs="Arial"/>
        </w:rPr>
        <w:t xml:space="preserve"> DE GAS DE SANTANDER S.A. E S.P. </w:t>
      </w:r>
      <w:r w:rsidRPr="003301B8">
        <w:rPr>
          <w:rFonts w:ascii="Bookman Old Style" w:hAnsi="Bookman Old Style" w:cs="Arial"/>
        </w:rPr>
        <w:t>presentó r</w:t>
      </w:r>
      <w:r w:rsidR="001930C9">
        <w:rPr>
          <w:rFonts w:ascii="Bookman Old Style" w:hAnsi="Bookman Old Style" w:cs="Arial"/>
        </w:rPr>
        <w:t>ecurso de reposición contra la R</w:t>
      </w:r>
      <w:r w:rsidRPr="003301B8">
        <w:rPr>
          <w:rFonts w:ascii="Bookman Old Style" w:hAnsi="Bookman Old Style" w:cs="Arial"/>
        </w:rPr>
        <w:t>esolución CREG</w:t>
      </w:r>
      <w:r w:rsidR="001930C9">
        <w:rPr>
          <w:rFonts w:ascii="Bookman Old Style" w:hAnsi="Bookman Old Style" w:cs="Arial"/>
        </w:rPr>
        <w:t xml:space="preserve"> </w:t>
      </w:r>
      <w:r>
        <w:rPr>
          <w:rFonts w:ascii="Bookman Old Style" w:hAnsi="Bookman Old Style" w:cs="Arial"/>
        </w:rPr>
        <w:t>139 de 2018</w:t>
      </w:r>
      <w:r w:rsidRPr="003301B8">
        <w:rPr>
          <w:rFonts w:ascii="Bookman Old Style" w:hAnsi="Bookman Old Style" w:cs="Arial"/>
        </w:rPr>
        <w:t>.</w:t>
      </w:r>
    </w:p>
    <w:p w:rsidR="003D03B9" w:rsidRPr="003301B8" w:rsidRDefault="003D03B9" w:rsidP="003D03B9">
      <w:pPr>
        <w:ind w:left="0"/>
        <w:jc w:val="both"/>
        <w:rPr>
          <w:rFonts w:ascii="Bookman Old Style" w:hAnsi="Bookman Old Style" w:cs="Arial"/>
        </w:rPr>
      </w:pPr>
    </w:p>
    <w:p w:rsidR="003D03B9" w:rsidRPr="003301B8" w:rsidRDefault="003D03B9" w:rsidP="003D03B9">
      <w:pPr>
        <w:ind w:left="0"/>
        <w:jc w:val="both"/>
        <w:rPr>
          <w:rFonts w:ascii="Bookman Old Style" w:hAnsi="Bookman Old Style" w:cs="Arial"/>
        </w:rPr>
      </w:pPr>
      <w:r w:rsidRPr="003301B8">
        <w:rPr>
          <w:rFonts w:ascii="Bookman Old Style" w:hAnsi="Bookman Old Style" w:cs="Arial"/>
        </w:rPr>
        <w:t xml:space="preserve">Que, mediante la presente resolución, se procede a resolver este recurso en contra de la Resolución CREG </w:t>
      </w:r>
      <w:r>
        <w:rPr>
          <w:rFonts w:ascii="Bookman Old Style" w:hAnsi="Bookman Old Style" w:cs="Arial"/>
        </w:rPr>
        <w:t>139 de 2018</w:t>
      </w:r>
      <w:r w:rsidRPr="003301B8">
        <w:rPr>
          <w:rFonts w:ascii="Bookman Old Style" w:hAnsi="Bookman Old Style" w:cs="Arial"/>
        </w:rPr>
        <w:t>, con base en las siguientes consideraciones:</w:t>
      </w:r>
    </w:p>
    <w:p w:rsidR="003D03B9" w:rsidRPr="003301B8" w:rsidRDefault="003D03B9" w:rsidP="003D03B9">
      <w:pPr>
        <w:ind w:left="0"/>
        <w:jc w:val="both"/>
        <w:rPr>
          <w:rFonts w:ascii="Bookman Old Style" w:hAnsi="Bookman Old Style" w:cs="Arial"/>
        </w:rPr>
      </w:pPr>
    </w:p>
    <w:p w:rsidR="003D03B9" w:rsidRPr="003301B8" w:rsidRDefault="003D03B9" w:rsidP="003D03B9">
      <w:pPr>
        <w:pStyle w:val="Prrafodelista"/>
        <w:numPr>
          <w:ilvl w:val="0"/>
          <w:numId w:val="2"/>
        </w:numPr>
        <w:jc w:val="both"/>
        <w:rPr>
          <w:rFonts w:ascii="Bookman Old Style" w:hAnsi="Bookman Old Style" w:cs="Arial"/>
          <w:b/>
          <w:sz w:val="24"/>
          <w:szCs w:val="24"/>
        </w:rPr>
      </w:pPr>
      <w:r w:rsidRPr="003301B8">
        <w:rPr>
          <w:rFonts w:ascii="Bookman Old Style" w:hAnsi="Bookman Old Style" w:cs="Arial"/>
          <w:b/>
          <w:sz w:val="24"/>
          <w:szCs w:val="24"/>
        </w:rPr>
        <w:t>EL RECURSO DE REPOSICIÓN</w:t>
      </w:r>
    </w:p>
    <w:p w:rsidR="003D03B9" w:rsidRPr="003301B8" w:rsidRDefault="003D03B9" w:rsidP="003D03B9">
      <w:pPr>
        <w:ind w:left="0"/>
        <w:jc w:val="both"/>
        <w:rPr>
          <w:rFonts w:ascii="Bookman Old Style" w:hAnsi="Bookman Old Style" w:cs="Arial"/>
        </w:rPr>
      </w:pPr>
    </w:p>
    <w:p w:rsidR="003D03B9" w:rsidRPr="003301B8" w:rsidRDefault="003D03B9" w:rsidP="003D03B9">
      <w:pPr>
        <w:pStyle w:val="Prrafodelista"/>
        <w:numPr>
          <w:ilvl w:val="0"/>
          <w:numId w:val="1"/>
        </w:numPr>
        <w:rPr>
          <w:rFonts w:ascii="Bookman Old Style" w:hAnsi="Bookman Old Style" w:cs="Arial"/>
          <w:b/>
          <w:sz w:val="24"/>
          <w:szCs w:val="24"/>
        </w:rPr>
      </w:pPr>
      <w:r w:rsidRPr="003301B8">
        <w:rPr>
          <w:rFonts w:ascii="Bookman Old Style" w:hAnsi="Bookman Old Style" w:cs="Arial"/>
          <w:b/>
          <w:sz w:val="24"/>
          <w:szCs w:val="24"/>
        </w:rPr>
        <w:t>PROCEDENCIA DEL RECURSO</w:t>
      </w:r>
    </w:p>
    <w:p w:rsidR="003D03B9" w:rsidRPr="003301B8" w:rsidRDefault="003D03B9" w:rsidP="003D03B9">
      <w:pPr>
        <w:pStyle w:val="Prrafodelista"/>
        <w:ind w:left="720"/>
        <w:rPr>
          <w:rFonts w:ascii="Bookman Old Style" w:hAnsi="Bookman Old Style" w:cs="Arial"/>
          <w:b/>
          <w:sz w:val="24"/>
          <w:szCs w:val="24"/>
        </w:rPr>
      </w:pPr>
    </w:p>
    <w:p w:rsidR="003D03B9" w:rsidRPr="003301B8" w:rsidRDefault="003D03B9" w:rsidP="003D03B9">
      <w:pPr>
        <w:ind w:left="0"/>
        <w:jc w:val="both"/>
        <w:rPr>
          <w:rFonts w:ascii="Bookman Old Style" w:hAnsi="Bookman Old Style" w:cs="Arial"/>
        </w:rPr>
      </w:pPr>
      <w:r w:rsidRPr="003301B8">
        <w:rPr>
          <w:rFonts w:ascii="Bookman Old Style" w:hAnsi="Bookman Old Style" w:cs="Arial"/>
        </w:rPr>
        <w:t>El recurrente presentó el recurso de reposició</w:t>
      </w:r>
      <w:r>
        <w:rPr>
          <w:rFonts w:ascii="Bookman Old Style" w:hAnsi="Bookman Old Style" w:cs="Arial"/>
        </w:rPr>
        <w:t xml:space="preserve">n contra </w:t>
      </w:r>
      <w:r w:rsidRPr="003301B8">
        <w:rPr>
          <w:rFonts w:ascii="Bookman Old Style" w:hAnsi="Bookman Old Style" w:cs="Arial"/>
        </w:rPr>
        <w:t>l</w:t>
      </w:r>
      <w:r>
        <w:rPr>
          <w:rFonts w:ascii="Bookman Old Style" w:hAnsi="Bookman Old Style" w:cs="Arial"/>
        </w:rPr>
        <w:t>a</w:t>
      </w:r>
      <w:r w:rsidRPr="003301B8">
        <w:rPr>
          <w:rFonts w:ascii="Bookman Old Style" w:hAnsi="Bookman Old Style" w:cs="Arial"/>
        </w:rPr>
        <w:t xml:space="preserve"> </w:t>
      </w:r>
      <w:r w:rsidR="00AA524A">
        <w:rPr>
          <w:rFonts w:ascii="Bookman Old Style" w:hAnsi="Bookman Old Style" w:cs="Arial"/>
        </w:rPr>
        <w:t>R</w:t>
      </w:r>
      <w:r>
        <w:rPr>
          <w:rFonts w:ascii="Bookman Old Style" w:hAnsi="Bookman Old Style" w:cs="Arial"/>
        </w:rPr>
        <w:t>esolución CREG 139 de 2018</w:t>
      </w:r>
      <w:r w:rsidRPr="003301B8">
        <w:rPr>
          <w:rFonts w:ascii="Bookman Old Style" w:hAnsi="Bookman Old Style" w:cs="Arial"/>
        </w:rPr>
        <w:t>, proferida por la Comisión de Regulación de Energía y Gas –CREG-, por medio de la cual se señala la contribución que debe pagar a la Comisión de Regulación de Energía y Gas –CREG- cada una de las ent</w:t>
      </w:r>
      <w:r>
        <w:rPr>
          <w:rFonts w:ascii="Bookman Old Style" w:hAnsi="Bookman Old Style" w:cs="Arial"/>
        </w:rPr>
        <w:t>idades reguladas por el año 2018</w:t>
      </w:r>
      <w:r w:rsidRPr="003301B8">
        <w:rPr>
          <w:rFonts w:ascii="Bookman Old Style" w:hAnsi="Bookman Old Style" w:cs="Arial"/>
        </w:rPr>
        <w:t>.</w:t>
      </w:r>
    </w:p>
    <w:p w:rsidR="003D03B9" w:rsidRPr="003301B8" w:rsidRDefault="003D03B9" w:rsidP="003D03B9">
      <w:pPr>
        <w:pStyle w:val="Prrafodelista"/>
        <w:ind w:left="0"/>
        <w:jc w:val="both"/>
        <w:rPr>
          <w:rFonts w:ascii="Bookman Old Style" w:hAnsi="Bookman Old Style" w:cs="Arial"/>
          <w:sz w:val="24"/>
          <w:szCs w:val="24"/>
        </w:rPr>
      </w:pPr>
    </w:p>
    <w:p w:rsidR="003D03B9" w:rsidRPr="003301B8" w:rsidRDefault="003D03B9" w:rsidP="003D03B9">
      <w:pPr>
        <w:pStyle w:val="Prrafodelista"/>
        <w:ind w:left="0"/>
        <w:jc w:val="both"/>
        <w:rPr>
          <w:rFonts w:ascii="Bookman Old Style" w:hAnsi="Bookman Old Style" w:cs="Arial"/>
          <w:sz w:val="24"/>
          <w:szCs w:val="24"/>
        </w:rPr>
      </w:pPr>
      <w:r w:rsidRPr="003301B8">
        <w:rPr>
          <w:rFonts w:ascii="Bookman Old Style" w:hAnsi="Bookman Old Style" w:cs="Arial"/>
          <w:sz w:val="24"/>
          <w:szCs w:val="24"/>
        </w:rPr>
        <w:t>El recurso fue interpuesto dentro del término legal, esto es, dentro de los diez (10) días hábiles siguientes a la notificación, de acuerdo con el plazo establecido en el artículo 76 del Código de Procedimiento Administrativo y de lo Contencioso Administrativo.</w:t>
      </w:r>
    </w:p>
    <w:p w:rsidR="003D03B9" w:rsidRPr="003301B8" w:rsidRDefault="003D03B9" w:rsidP="003D03B9">
      <w:pPr>
        <w:pStyle w:val="Prrafodelista"/>
        <w:ind w:left="0"/>
        <w:jc w:val="both"/>
        <w:rPr>
          <w:rFonts w:ascii="Bookman Old Style" w:hAnsi="Bookman Old Style" w:cs="Arial"/>
          <w:sz w:val="24"/>
          <w:szCs w:val="24"/>
        </w:rPr>
      </w:pPr>
    </w:p>
    <w:p w:rsidR="003D03B9" w:rsidRPr="003301B8" w:rsidRDefault="003D03B9" w:rsidP="003D03B9">
      <w:pPr>
        <w:pStyle w:val="Prrafodelista"/>
        <w:ind w:left="0"/>
        <w:jc w:val="both"/>
        <w:rPr>
          <w:rFonts w:ascii="Bookman Old Style" w:hAnsi="Bookman Old Style" w:cs="Arial"/>
          <w:sz w:val="24"/>
          <w:szCs w:val="24"/>
        </w:rPr>
      </w:pPr>
      <w:r w:rsidRPr="003301B8">
        <w:rPr>
          <w:rFonts w:ascii="Bookman Old Style" w:hAnsi="Bookman Old Style" w:cs="Arial"/>
          <w:sz w:val="24"/>
          <w:szCs w:val="24"/>
        </w:rPr>
        <w:t>Es así que, al dar cumplimiento a los requisitos previstos en el artículo 77 del Código de Procedimiento Administrativo y de lo Contencioso Administrativo, se admite este recurso, por lo que se procede a resolver de fondo y pronunciarse respecto de las inconformidades planteadas por el recurrente, motivando los aspectos de hecho y de derecho que la sustentan.</w:t>
      </w:r>
    </w:p>
    <w:p w:rsidR="003D03B9" w:rsidRPr="003301B8" w:rsidRDefault="003D03B9" w:rsidP="003D03B9">
      <w:pPr>
        <w:pStyle w:val="Prrafodelista"/>
        <w:ind w:left="0"/>
        <w:jc w:val="both"/>
        <w:rPr>
          <w:rFonts w:ascii="Bookman Old Style" w:hAnsi="Bookman Old Style" w:cs="Arial"/>
          <w:sz w:val="24"/>
          <w:szCs w:val="24"/>
        </w:rPr>
      </w:pPr>
    </w:p>
    <w:p w:rsidR="003D03B9" w:rsidRPr="003301B8" w:rsidRDefault="003D03B9" w:rsidP="003D03B9">
      <w:pPr>
        <w:pStyle w:val="Prrafodelista"/>
        <w:numPr>
          <w:ilvl w:val="0"/>
          <w:numId w:val="1"/>
        </w:numPr>
        <w:rPr>
          <w:rFonts w:ascii="Bookman Old Style" w:hAnsi="Bookman Old Style" w:cs="Arial"/>
          <w:b/>
          <w:sz w:val="24"/>
          <w:szCs w:val="24"/>
        </w:rPr>
      </w:pPr>
      <w:r w:rsidRPr="003301B8">
        <w:rPr>
          <w:rFonts w:ascii="Bookman Old Style" w:hAnsi="Bookman Old Style" w:cs="Arial"/>
          <w:b/>
          <w:sz w:val="24"/>
          <w:szCs w:val="24"/>
        </w:rPr>
        <w:t>RAZONES Y FUNDAMENTOS DEL RECURSO DE REPOSICIÓN</w:t>
      </w:r>
    </w:p>
    <w:p w:rsidR="003D03B9" w:rsidRPr="003301B8" w:rsidRDefault="003D03B9" w:rsidP="003D03B9">
      <w:pPr>
        <w:ind w:left="0"/>
        <w:jc w:val="both"/>
        <w:rPr>
          <w:rFonts w:ascii="Bookman Old Style" w:hAnsi="Bookman Old Style"/>
        </w:rPr>
      </w:pPr>
    </w:p>
    <w:p w:rsidR="003D03B9" w:rsidRPr="0054400C" w:rsidRDefault="003D03B9" w:rsidP="003D03B9">
      <w:pPr>
        <w:ind w:left="0"/>
        <w:jc w:val="both"/>
        <w:rPr>
          <w:rFonts w:ascii="Bookman Old Style" w:hAnsi="Bookman Old Style" w:cs="Arial"/>
          <w:i/>
          <w:lang w:val="es-CO"/>
        </w:rPr>
      </w:pPr>
      <w:r w:rsidRPr="0054400C">
        <w:rPr>
          <w:rFonts w:ascii="Bookman Old Style" w:hAnsi="Bookman Old Style" w:cs="Arial"/>
          <w:i/>
          <w:lang w:val="es-CO"/>
        </w:rPr>
        <w:t>Los fundamentos del recurrente se exponen a continuación:</w:t>
      </w:r>
    </w:p>
    <w:p w:rsidR="003D03B9" w:rsidRPr="0054400C" w:rsidRDefault="003D03B9" w:rsidP="003D03B9">
      <w:pPr>
        <w:ind w:left="170"/>
        <w:jc w:val="both"/>
        <w:rPr>
          <w:rFonts w:ascii="Bookman Old Style" w:hAnsi="Bookman Old Style" w:cs="Arial"/>
          <w:i/>
          <w:lang w:val="es-CO"/>
        </w:rPr>
      </w:pPr>
    </w:p>
    <w:p w:rsidR="003D03B9" w:rsidRPr="00BF46E5" w:rsidRDefault="003D03B9" w:rsidP="003D03B9">
      <w:pPr>
        <w:ind w:left="170"/>
        <w:jc w:val="both"/>
        <w:rPr>
          <w:rFonts w:ascii="Bookman Old Style" w:hAnsi="Bookman Old Style"/>
        </w:rPr>
      </w:pPr>
      <w:r w:rsidRPr="0054400C">
        <w:rPr>
          <w:rFonts w:ascii="Bookman Old Style" w:hAnsi="Bookman Old Style" w:cs="Arial"/>
          <w:i/>
          <w:lang w:val="es-CO"/>
        </w:rPr>
        <w:t xml:space="preserve">Argumenta el </w:t>
      </w:r>
      <w:r w:rsidRPr="0054400C">
        <w:rPr>
          <w:rFonts w:ascii="Bookman Old Style" w:hAnsi="Bookman Old Style"/>
        </w:rPr>
        <w:t>recurrente que:</w:t>
      </w:r>
    </w:p>
    <w:p w:rsidR="003D03B9" w:rsidRPr="00BF46E5" w:rsidRDefault="003D03B9" w:rsidP="003D03B9">
      <w:pPr>
        <w:ind w:left="0"/>
        <w:jc w:val="both"/>
        <w:rPr>
          <w:rFonts w:ascii="Bookman Old Style" w:hAnsi="Bookman Old Style"/>
        </w:rPr>
      </w:pPr>
    </w:p>
    <w:p w:rsidR="00BF46E5" w:rsidRPr="00BF46E5" w:rsidRDefault="00BF46E5" w:rsidP="006873B7">
      <w:pPr>
        <w:pStyle w:val="Style18"/>
        <w:numPr>
          <w:ilvl w:val="0"/>
          <w:numId w:val="4"/>
        </w:numPr>
        <w:shd w:val="clear" w:color="auto" w:fill="auto"/>
        <w:tabs>
          <w:tab w:val="right" w:pos="4358"/>
          <w:tab w:val="right" w:pos="4858"/>
          <w:tab w:val="center" w:pos="5126"/>
          <w:tab w:val="right" w:pos="8774"/>
        </w:tabs>
        <w:spacing w:before="0" w:after="0" w:line="240" w:lineRule="auto"/>
        <w:ind w:right="40"/>
        <w:jc w:val="both"/>
        <w:rPr>
          <w:rFonts w:ascii="Bookman Old Style" w:eastAsia="Times New Roman" w:hAnsi="Bookman Old Style" w:cs="Times New Roman"/>
          <w:i/>
          <w:sz w:val="24"/>
          <w:szCs w:val="24"/>
          <w:lang w:val="es-ES" w:eastAsia="es-ES"/>
        </w:rPr>
      </w:pPr>
      <w:r w:rsidRPr="00BF46E5">
        <w:rPr>
          <w:rFonts w:ascii="Bookman Old Style" w:eastAsia="Times New Roman" w:hAnsi="Bookman Old Style" w:cs="Times New Roman"/>
          <w:i/>
          <w:sz w:val="24"/>
          <w:szCs w:val="24"/>
          <w:lang w:val="es-ES" w:eastAsia="es-ES"/>
        </w:rPr>
        <w:t>“</w:t>
      </w:r>
      <w:r w:rsidR="003D03B9" w:rsidRPr="00BF46E5">
        <w:rPr>
          <w:rFonts w:ascii="Bookman Old Style" w:eastAsia="Times New Roman" w:hAnsi="Bookman Old Style" w:cs="Times New Roman"/>
          <w:i/>
          <w:sz w:val="24"/>
          <w:szCs w:val="24"/>
          <w:lang w:val="es-ES" w:eastAsia="es-ES"/>
        </w:rPr>
        <w:t xml:space="preserve">Por medio de la </w:t>
      </w:r>
      <w:r w:rsidRPr="00BF46E5">
        <w:rPr>
          <w:rFonts w:ascii="Bookman Old Style" w:eastAsia="Times New Roman" w:hAnsi="Bookman Old Style" w:cs="Times New Roman"/>
          <w:i/>
          <w:sz w:val="24"/>
          <w:szCs w:val="24"/>
          <w:lang w:val="es-ES" w:eastAsia="es-ES"/>
        </w:rPr>
        <w:t xml:space="preserve">139 del 23 de noviembre de 2018 la </w:t>
      </w:r>
      <w:r w:rsidR="003D03B9" w:rsidRPr="00BF46E5">
        <w:rPr>
          <w:rFonts w:ascii="Bookman Old Style" w:eastAsia="Times New Roman" w:hAnsi="Bookman Old Style" w:cs="Times New Roman"/>
          <w:i/>
          <w:sz w:val="24"/>
          <w:szCs w:val="24"/>
          <w:lang w:val="es-ES" w:eastAsia="es-ES"/>
        </w:rPr>
        <w:t>Comisión de Regulación de Energía</w:t>
      </w:r>
      <w:r w:rsidRPr="00BF46E5">
        <w:rPr>
          <w:rFonts w:ascii="Bookman Old Style" w:eastAsia="Times New Roman" w:hAnsi="Bookman Old Style" w:cs="Times New Roman"/>
          <w:i/>
          <w:sz w:val="24"/>
          <w:szCs w:val="24"/>
          <w:lang w:val="es-ES" w:eastAsia="es-ES"/>
        </w:rPr>
        <w:t xml:space="preserve"> </w:t>
      </w:r>
      <w:r w:rsidR="003D03B9" w:rsidRPr="00BF46E5">
        <w:rPr>
          <w:rFonts w:ascii="Bookman Old Style" w:eastAsia="Times New Roman" w:hAnsi="Bookman Old Style" w:cs="Times New Roman"/>
          <w:i/>
          <w:sz w:val="24"/>
          <w:szCs w:val="24"/>
          <w:lang w:val="es-ES" w:eastAsia="es-ES"/>
        </w:rPr>
        <w:t>y</w:t>
      </w:r>
      <w:r w:rsidRPr="00BF46E5">
        <w:rPr>
          <w:rFonts w:ascii="Bookman Old Style" w:eastAsia="Times New Roman" w:hAnsi="Bookman Old Style" w:cs="Times New Roman"/>
          <w:i/>
          <w:sz w:val="24"/>
          <w:szCs w:val="24"/>
          <w:lang w:val="es-ES" w:eastAsia="es-ES"/>
        </w:rPr>
        <w:t xml:space="preserve"> Cas CREG</w:t>
      </w:r>
      <w:r w:rsidR="003D03B9" w:rsidRPr="00BF46E5">
        <w:rPr>
          <w:rFonts w:ascii="Bookman Old Style" w:eastAsia="Times New Roman" w:hAnsi="Bookman Old Style" w:cs="Times New Roman"/>
          <w:i/>
          <w:sz w:val="24"/>
          <w:szCs w:val="24"/>
          <w:lang w:val="es-ES" w:eastAsia="es-ES"/>
        </w:rPr>
        <w:t>, envió aviso,</w:t>
      </w:r>
      <w:r w:rsidRPr="00BF46E5">
        <w:rPr>
          <w:rFonts w:ascii="Bookman Old Style" w:eastAsia="Times New Roman" w:hAnsi="Bookman Old Style" w:cs="Times New Roman"/>
          <w:i/>
          <w:sz w:val="24"/>
          <w:szCs w:val="24"/>
          <w:lang w:val="es-ES" w:eastAsia="es-ES"/>
        </w:rPr>
        <w:t xml:space="preserve"> </w:t>
      </w:r>
      <w:r w:rsidR="003D03B9" w:rsidRPr="00BF46E5">
        <w:rPr>
          <w:rFonts w:ascii="Bookman Old Style" w:eastAsia="Times New Roman" w:hAnsi="Bookman Old Style" w:cs="Times New Roman"/>
          <w:i/>
          <w:sz w:val="24"/>
          <w:szCs w:val="24"/>
          <w:lang w:val="es-ES" w:eastAsia="es-ES"/>
        </w:rPr>
        <w:t>el</w:t>
      </w:r>
      <w:r w:rsidRPr="00BF46E5">
        <w:rPr>
          <w:rFonts w:ascii="Bookman Old Style" w:eastAsia="Times New Roman" w:hAnsi="Bookman Old Style" w:cs="Times New Roman"/>
          <w:i/>
          <w:sz w:val="24"/>
          <w:szCs w:val="24"/>
          <w:lang w:val="es-ES" w:eastAsia="es-ES"/>
        </w:rPr>
        <w:t xml:space="preserve"> día veintiuno 21 </w:t>
      </w:r>
      <w:r w:rsidR="003D03B9" w:rsidRPr="00BF46E5">
        <w:rPr>
          <w:rFonts w:ascii="Bookman Old Style" w:eastAsia="Times New Roman" w:hAnsi="Bookman Old Style" w:cs="Times New Roman"/>
          <w:i/>
          <w:sz w:val="24"/>
          <w:szCs w:val="24"/>
          <w:lang w:val="es-ES" w:eastAsia="es-ES"/>
        </w:rPr>
        <w:t>de enero de 2019,</w:t>
      </w:r>
      <w:r w:rsidRPr="00BF46E5">
        <w:rPr>
          <w:rFonts w:ascii="Bookman Old Style" w:eastAsia="Times New Roman" w:hAnsi="Bookman Old Style" w:cs="Times New Roman"/>
          <w:i/>
          <w:sz w:val="24"/>
          <w:szCs w:val="24"/>
          <w:lang w:val="es-ES" w:eastAsia="es-ES"/>
        </w:rPr>
        <w:t xml:space="preserve"> </w:t>
      </w:r>
      <w:r w:rsidR="003D03B9" w:rsidRPr="00BF46E5">
        <w:rPr>
          <w:rFonts w:ascii="Bookman Old Style" w:eastAsia="Times New Roman" w:hAnsi="Bookman Old Style" w:cs="Times New Roman"/>
          <w:b/>
          <w:bCs/>
          <w:i/>
          <w:sz w:val="24"/>
          <w:szCs w:val="24"/>
          <w:lang w:val="es-ES" w:eastAsia="es-ES"/>
        </w:rPr>
        <w:t>a</w:t>
      </w:r>
      <w:r w:rsidRPr="00BF46E5">
        <w:rPr>
          <w:rFonts w:ascii="Bookman Old Style" w:eastAsia="Times New Roman" w:hAnsi="Bookman Old Style" w:cs="Times New Roman"/>
          <w:b/>
          <w:bCs/>
          <w:i/>
          <w:sz w:val="24"/>
          <w:szCs w:val="24"/>
          <w:lang w:val="es-ES" w:eastAsia="es-ES"/>
        </w:rPr>
        <w:t xml:space="preserve"> </w:t>
      </w:r>
      <w:r w:rsidR="003D03B9" w:rsidRPr="00BF46E5">
        <w:rPr>
          <w:rFonts w:ascii="Bookman Old Style" w:eastAsia="Times New Roman" w:hAnsi="Bookman Old Style" w:cs="Times New Roman"/>
          <w:b/>
          <w:bCs/>
          <w:i/>
          <w:sz w:val="24"/>
          <w:szCs w:val="24"/>
          <w:lang w:val="es-ES" w:eastAsia="es-ES"/>
        </w:rPr>
        <w:t xml:space="preserve">GAS DE SANTANDER S.A. E.S.P. </w:t>
      </w:r>
      <w:r w:rsidRPr="00BF46E5">
        <w:rPr>
          <w:rFonts w:ascii="Bookman Old Style" w:eastAsia="Times New Roman" w:hAnsi="Bookman Old Style" w:cs="Times New Roman"/>
          <w:i/>
          <w:sz w:val="24"/>
          <w:szCs w:val="24"/>
          <w:lang w:val="es-ES" w:eastAsia="es-ES"/>
        </w:rPr>
        <w:t xml:space="preserve">sobre el </w:t>
      </w:r>
      <w:r w:rsidR="003D03B9" w:rsidRPr="00BF46E5">
        <w:rPr>
          <w:rFonts w:ascii="Bookman Old Style" w:eastAsia="Times New Roman" w:hAnsi="Bookman Old Style" w:cs="Times New Roman"/>
          <w:i/>
          <w:sz w:val="24"/>
          <w:szCs w:val="24"/>
          <w:lang w:val="es-ES" w:eastAsia="es-ES"/>
        </w:rPr>
        <w:t>valor de la cont</w:t>
      </w:r>
      <w:r w:rsidRPr="00BF46E5">
        <w:rPr>
          <w:rFonts w:ascii="Bookman Old Style" w:eastAsia="Times New Roman" w:hAnsi="Bookman Old Style" w:cs="Times New Roman"/>
          <w:i/>
          <w:sz w:val="24"/>
          <w:szCs w:val="24"/>
          <w:lang w:val="es-ES" w:eastAsia="es-ES"/>
        </w:rPr>
        <w:t>ribución que debía cancelar dich</w:t>
      </w:r>
      <w:r w:rsidR="003D03B9" w:rsidRPr="00BF46E5">
        <w:rPr>
          <w:rFonts w:ascii="Bookman Old Style" w:eastAsia="Times New Roman" w:hAnsi="Bookman Old Style" w:cs="Times New Roman"/>
          <w:i/>
          <w:sz w:val="24"/>
          <w:szCs w:val="24"/>
          <w:lang w:val="es-ES" w:eastAsia="es-ES"/>
        </w:rPr>
        <w:t>a compañía para el año 2018.</w:t>
      </w:r>
    </w:p>
    <w:p w:rsidR="00BF46E5" w:rsidRDefault="00BF46E5" w:rsidP="006873B7">
      <w:pPr>
        <w:pStyle w:val="Style18"/>
        <w:numPr>
          <w:ilvl w:val="0"/>
          <w:numId w:val="4"/>
        </w:numPr>
        <w:shd w:val="clear" w:color="auto" w:fill="auto"/>
        <w:tabs>
          <w:tab w:val="right" w:pos="4358"/>
          <w:tab w:val="right" w:pos="4858"/>
          <w:tab w:val="center" w:pos="5126"/>
          <w:tab w:val="right" w:pos="8774"/>
        </w:tabs>
        <w:spacing w:before="0" w:after="0" w:line="240" w:lineRule="auto"/>
        <w:ind w:right="40"/>
        <w:jc w:val="both"/>
        <w:rPr>
          <w:rFonts w:ascii="Bookman Old Style" w:eastAsia="Times New Roman" w:hAnsi="Bookman Old Style" w:cs="Times New Roman"/>
          <w:i/>
          <w:sz w:val="24"/>
          <w:szCs w:val="24"/>
          <w:lang w:val="es-ES" w:eastAsia="es-ES"/>
        </w:rPr>
      </w:pPr>
      <w:r w:rsidRPr="00BF46E5">
        <w:rPr>
          <w:rFonts w:ascii="Bookman Old Style" w:eastAsia="Times New Roman" w:hAnsi="Bookman Old Style" w:cs="Times New Roman"/>
          <w:i/>
          <w:sz w:val="24"/>
          <w:szCs w:val="24"/>
          <w:lang w:val="es-ES" w:eastAsia="es-ES"/>
        </w:rPr>
        <w:t>S</w:t>
      </w:r>
      <w:r w:rsidR="003D03B9" w:rsidRPr="00BF46E5">
        <w:rPr>
          <w:rFonts w:ascii="Bookman Old Style" w:eastAsia="Times New Roman" w:hAnsi="Bookman Old Style" w:cs="Times New Roman"/>
          <w:i/>
          <w:sz w:val="24"/>
          <w:szCs w:val="24"/>
          <w:lang w:val="es-ES" w:eastAsia="es-ES"/>
        </w:rPr>
        <w:t>e calcula de conformidad con la tarifa establecida por la CREC y teniendo</w:t>
      </w:r>
      <w:r w:rsidRPr="00BF46E5">
        <w:rPr>
          <w:rFonts w:ascii="Bookman Old Style" w:eastAsia="Times New Roman" w:hAnsi="Bookman Old Style" w:cs="Times New Roman"/>
          <w:i/>
          <w:sz w:val="24"/>
          <w:szCs w:val="24"/>
          <w:lang w:val="es-ES" w:eastAsia="es-ES"/>
        </w:rPr>
        <w:t xml:space="preserve"> </w:t>
      </w:r>
      <w:r w:rsidR="003D03B9" w:rsidRPr="00BF46E5">
        <w:rPr>
          <w:rFonts w:ascii="Bookman Old Style" w:eastAsia="Times New Roman" w:hAnsi="Bookman Old Style" w:cs="Times New Roman"/>
          <w:i/>
          <w:sz w:val="24"/>
          <w:szCs w:val="24"/>
          <w:lang w:val="es-ES" w:eastAsia="es-ES"/>
        </w:rPr>
        <w:t>como base los</w:t>
      </w:r>
      <w:r w:rsidRPr="00BF46E5">
        <w:rPr>
          <w:rFonts w:ascii="Bookman Old Style" w:eastAsia="Times New Roman" w:hAnsi="Bookman Old Style" w:cs="Times New Roman"/>
          <w:i/>
          <w:sz w:val="24"/>
          <w:szCs w:val="24"/>
          <w:lang w:val="es-ES" w:eastAsia="es-ES"/>
        </w:rPr>
        <w:t xml:space="preserve"> </w:t>
      </w:r>
      <w:r w:rsidR="003D03B9" w:rsidRPr="00BF46E5">
        <w:rPr>
          <w:rFonts w:ascii="Bookman Old Style" w:eastAsia="Times New Roman" w:hAnsi="Bookman Old Style" w:cs="Times New Roman"/>
          <w:i/>
          <w:sz w:val="24"/>
          <w:szCs w:val="24"/>
          <w:lang w:val="es-ES" w:eastAsia="es-ES"/>
        </w:rPr>
        <w:t>estados</w:t>
      </w:r>
      <w:r w:rsidRPr="00BF46E5">
        <w:rPr>
          <w:rFonts w:ascii="Bookman Old Style" w:eastAsia="Times New Roman" w:hAnsi="Bookman Old Style" w:cs="Times New Roman"/>
          <w:i/>
          <w:sz w:val="24"/>
          <w:szCs w:val="24"/>
          <w:lang w:val="es-ES" w:eastAsia="es-ES"/>
        </w:rPr>
        <w:t xml:space="preserve"> </w:t>
      </w:r>
      <w:r w:rsidR="003D03B9" w:rsidRPr="00BF46E5">
        <w:rPr>
          <w:rFonts w:ascii="Bookman Old Style" w:eastAsia="Times New Roman" w:hAnsi="Bookman Old Style" w:cs="Times New Roman"/>
          <w:i/>
          <w:sz w:val="24"/>
          <w:szCs w:val="24"/>
          <w:lang w:val="es-ES" w:eastAsia="es-ES"/>
        </w:rPr>
        <w:t>financieros</w:t>
      </w:r>
      <w:r w:rsidRPr="00BF46E5">
        <w:rPr>
          <w:rFonts w:ascii="Bookman Old Style" w:eastAsia="Times New Roman" w:hAnsi="Bookman Old Style" w:cs="Times New Roman"/>
          <w:i/>
          <w:sz w:val="24"/>
          <w:szCs w:val="24"/>
          <w:lang w:val="es-ES" w:eastAsia="es-ES"/>
        </w:rPr>
        <w:t xml:space="preserve"> </w:t>
      </w:r>
      <w:r w:rsidR="003D03B9" w:rsidRPr="00BF46E5">
        <w:rPr>
          <w:rFonts w:ascii="Bookman Old Style" w:eastAsia="Times New Roman" w:hAnsi="Bookman Old Style" w:cs="Times New Roman"/>
          <w:i/>
          <w:sz w:val="24"/>
          <w:szCs w:val="24"/>
          <w:lang w:val="es-ES" w:eastAsia="es-ES"/>
        </w:rPr>
        <w:t>del año 20l7</w:t>
      </w:r>
      <w:r w:rsidRPr="00BF46E5">
        <w:rPr>
          <w:rFonts w:ascii="Bookman Old Style" w:eastAsia="Times New Roman" w:hAnsi="Bookman Old Style" w:cs="Times New Roman"/>
          <w:i/>
          <w:sz w:val="24"/>
          <w:szCs w:val="24"/>
          <w:lang w:val="es-ES" w:eastAsia="es-ES"/>
        </w:rPr>
        <w:t xml:space="preserve"> </w:t>
      </w:r>
      <w:r w:rsidR="003D03B9" w:rsidRPr="00BF46E5">
        <w:rPr>
          <w:rFonts w:ascii="Bookman Old Style" w:eastAsia="Times New Roman" w:hAnsi="Bookman Old Style" w:cs="Times New Roman"/>
          <w:i/>
          <w:sz w:val="24"/>
          <w:szCs w:val="24"/>
          <w:lang w:val="es-ES" w:eastAsia="es-ES"/>
        </w:rPr>
        <w:t>de acuerdo a</w:t>
      </w:r>
      <w:r w:rsidRPr="00BF46E5">
        <w:rPr>
          <w:rFonts w:ascii="Bookman Old Style" w:eastAsia="Times New Roman" w:hAnsi="Bookman Old Style" w:cs="Times New Roman"/>
          <w:i/>
          <w:sz w:val="24"/>
          <w:szCs w:val="24"/>
          <w:lang w:val="es-ES" w:eastAsia="es-ES"/>
        </w:rPr>
        <w:t xml:space="preserve"> </w:t>
      </w:r>
      <w:r w:rsidR="003D03B9" w:rsidRPr="00BF46E5">
        <w:rPr>
          <w:rFonts w:ascii="Bookman Old Style" w:eastAsia="Times New Roman" w:hAnsi="Bookman Old Style" w:cs="Times New Roman"/>
          <w:i/>
          <w:sz w:val="24"/>
          <w:szCs w:val="24"/>
          <w:lang w:val="es-ES" w:eastAsia="es-ES"/>
        </w:rPr>
        <w:t>los</w:t>
      </w:r>
      <w:r w:rsidRPr="00BF46E5">
        <w:rPr>
          <w:rFonts w:ascii="Bookman Old Style" w:eastAsia="Times New Roman" w:hAnsi="Bookman Old Style" w:cs="Times New Roman"/>
          <w:i/>
          <w:sz w:val="24"/>
          <w:szCs w:val="24"/>
          <w:lang w:val="es-ES" w:eastAsia="es-ES"/>
        </w:rPr>
        <w:t xml:space="preserve"> </w:t>
      </w:r>
      <w:r w:rsidR="003D03B9" w:rsidRPr="00BF46E5">
        <w:rPr>
          <w:rFonts w:ascii="Bookman Old Style" w:eastAsia="Times New Roman" w:hAnsi="Bookman Old Style" w:cs="Times New Roman"/>
          <w:i/>
          <w:sz w:val="24"/>
          <w:szCs w:val="24"/>
          <w:lang w:val="es-ES" w:eastAsia="es-ES"/>
        </w:rPr>
        <w:t>parámetros</w:t>
      </w:r>
      <w:r w:rsidRPr="00BF46E5">
        <w:rPr>
          <w:rFonts w:ascii="Bookman Old Style" w:eastAsia="Times New Roman" w:hAnsi="Bookman Old Style" w:cs="Times New Roman"/>
          <w:i/>
          <w:sz w:val="24"/>
          <w:szCs w:val="24"/>
          <w:lang w:val="es-ES" w:eastAsia="es-ES"/>
        </w:rPr>
        <w:t xml:space="preserve"> </w:t>
      </w:r>
      <w:r w:rsidR="003D03B9" w:rsidRPr="00BF46E5">
        <w:rPr>
          <w:rFonts w:ascii="Bookman Old Style" w:eastAsia="Times New Roman" w:hAnsi="Bookman Old Style" w:cs="Times New Roman"/>
          <w:i/>
          <w:sz w:val="24"/>
          <w:szCs w:val="24"/>
          <w:lang w:val="es-ES" w:eastAsia="es-ES"/>
        </w:rPr>
        <w:t>indicados</w:t>
      </w:r>
      <w:r w:rsidRPr="00BF46E5">
        <w:rPr>
          <w:rFonts w:ascii="Bookman Old Style" w:eastAsia="Times New Roman" w:hAnsi="Bookman Old Style" w:cs="Times New Roman"/>
          <w:i/>
          <w:sz w:val="24"/>
          <w:szCs w:val="24"/>
          <w:lang w:val="es-ES" w:eastAsia="es-ES"/>
        </w:rPr>
        <w:t xml:space="preserve"> </w:t>
      </w:r>
      <w:r w:rsidR="003D03B9" w:rsidRPr="00BF46E5">
        <w:rPr>
          <w:rFonts w:ascii="Bookman Old Style" w:eastAsia="Times New Roman" w:hAnsi="Bookman Old Style" w:cs="Times New Roman"/>
          <w:i/>
          <w:sz w:val="24"/>
          <w:szCs w:val="24"/>
          <w:lang w:val="es-ES" w:eastAsia="es-ES"/>
        </w:rPr>
        <w:t>en</w:t>
      </w:r>
      <w:r w:rsidRPr="00BF46E5">
        <w:rPr>
          <w:rFonts w:ascii="Bookman Old Style" w:eastAsia="Times New Roman" w:hAnsi="Bookman Old Style" w:cs="Times New Roman"/>
          <w:i/>
          <w:sz w:val="24"/>
          <w:szCs w:val="24"/>
          <w:lang w:val="es-ES" w:eastAsia="es-ES"/>
        </w:rPr>
        <w:t xml:space="preserve"> </w:t>
      </w:r>
      <w:r w:rsidR="003D03B9" w:rsidRPr="00BF46E5">
        <w:rPr>
          <w:rFonts w:ascii="Bookman Old Style" w:eastAsia="Times New Roman" w:hAnsi="Bookman Old Style" w:cs="Times New Roman"/>
          <w:i/>
          <w:sz w:val="24"/>
          <w:szCs w:val="24"/>
          <w:lang w:val="es-ES" w:eastAsia="es-ES"/>
        </w:rPr>
        <w:t>los</w:t>
      </w:r>
      <w:r w:rsidRPr="00BF46E5">
        <w:rPr>
          <w:rFonts w:ascii="Bookman Old Style" w:eastAsia="Times New Roman" w:hAnsi="Bookman Old Style" w:cs="Times New Roman"/>
          <w:i/>
          <w:sz w:val="24"/>
          <w:szCs w:val="24"/>
          <w:lang w:val="es-ES" w:eastAsia="es-ES"/>
        </w:rPr>
        <w:t xml:space="preserve"> </w:t>
      </w:r>
      <w:r w:rsidR="003D03B9" w:rsidRPr="00BF46E5">
        <w:rPr>
          <w:rFonts w:ascii="Bookman Old Style" w:eastAsia="Times New Roman" w:hAnsi="Bookman Old Style" w:cs="Times New Roman"/>
          <w:i/>
          <w:sz w:val="24"/>
          <w:szCs w:val="24"/>
          <w:lang w:val="es-ES" w:eastAsia="es-ES"/>
        </w:rPr>
        <w:t>artículos</w:t>
      </w:r>
      <w:r w:rsidRPr="00BF46E5">
        <w:rPr>
          <w:rFonts w:ascii="Bookman Old Style" w:eastAsia="Times New Roman" w:hAnsi="Bookman Old Style" w:cs="Times New Roman"/>
          <w:i/>
          <w:sz w:val="24"/>
          <w:szCs w:val="24"/>
          <w:lang w:val="es-ES" w:eastAsia="es-ES"/>
        </w:rPr>
        <w:t xml:space="preserve"> </w:t>
      </w:r>
      <w:r w:rsidR="003D03B9" w:rsidRPr="00BF46E5">
        <w:rPr>
          <w:rFonts w:ascii="Bookman Old Style" w:eastAsia="Times New Roman" w:hAnsi="Bookman Old Style" w:cs="Times New Roman"/>
          <w:i/>
          <w:sz w:val="24"/>
          <w:szCs w:val="24"/>
          <w:lang w:val="es-ES" w:eastAsia="es-ES"/>
        </w:rPr>
        <w:t>21</w:t>
      </w:r>
      <w:r w:rsidRPr="00BF46E5">
        <w:rPr>
          <w:rFonts w:ascii="Bookman Old Style" w:eastAsia="Times New Roman" w:hAnsi="Bookman Old Style" w:cs="Times New Roman"/>
          <w:i/>
          <w:sz w:val="24"/>
          <w:szCs w:val="24"/>
          <w:lang w:val="es-ES" w:eastAsia="es-ES"/>
        </w:rPr>
        <w:t xml:space="preserve"> y 22delaResolución CREG 039 de 2018 </w:t>
      </w:r>
      <w:r w:rsidR="003D03B9" w:rsidRPr="00BF46E5">
        <w:rPr>
          <w:rFonts w:ascii="Bookman Old Style" w:eastAsia="Times New Roman" w:hAnsi="Bookman Old Style" w:cs="Times New Roman"/>
          <w:i/>
          <w:sz w:val="24"/>
          <w:szCs w:val="24"/>
          <w:lang w:val="es-ES" w:eastAsia="es-ES"/>
        </w:rPr>
        <w:t>y</w:t>
      </w:r>
      <w:r w:rsidRPr="00BF46E5">
        <w:rPr>
          <w:rFonts w:ascii="Bookman Old Style" w:eastAsia="Times New Roman" w:hAnsi="Bookman Old Style" w:cs="Times New Roman"/>
          <w:i/>
          <w:sz w:val="24"/>
          <w:szCs w:val="24"/>
          <w:lang w:val="es-ES" w:eastAsia="es-ES"/>
        </w:rPr>
        <w:t xml:space="preserve"> al artículo 85 numera </w:t>
      </w:r>
      <w:r w:rsidR="003D03B9" w:rsidRPr="00BF46E5">
        <w:rPr>
          <w:rFonts w:ascii="Bookman Old Style" w:eastAsia="Times New Roman" w:hAnsi="Bookman Old Style" w:cs="Times New Roman"/>
          <w:i/>
          <w:sz w:val="24"/>
          <w:szCs w:val="24"/>
          <w:lang w:val="es-ES" w:eastAsia="es-ES"/>
        </w:rPr>
        <w:t>2</w:t>
      </w:r>
      <w:r w:rsidRPr="00BF46E5">
        <w:rPr>
          <w:rFonts w:ascii="Bookman Old Style" w:eastAsia="Times New Roman" w:hAnsi="Bookman Old Style" w:cs="Times New Roman"/>
          <w:i/>
          <w:sz w:val="24"/>
          <w:szCs w:val="24"/>
          <w:lang w:val="es-ES" w:eastAsia="es-ES"/>
        </w:rPr>
        <w:t xml:space="preserve"> </w:t>
      </w:r>
      <w:r w:rsidR="003D03B9" w:rsidRPr="00BF46E5">
        <w:rPr>
          <w:rFonts w:ascii="Bookman Old Style" w:eastAsia="Times New Roman" w:hAnsi="Bookman Old Style" w:cs="Times New Roman"/>
          <w:i/>
          <w:sz w:val="24"/>
          <w:szCs w:val="24"/>
          <w:lang w:val="es-ES" w:eastAsia="es-ES"/>
        </w:rPr>
        <w:t>de la Ley 142 de 1994. De conformidad con</w:t>
      </w:r>
      <w:r w:rsidRPr="00BF46E5">
        <w:rPr>
          <w:rFonts w:ascii="Bookman Old Style" w:eastAsia="Times New Roman" w:hAnsi="Bookman Old Style" w:cs="Times New Roman"/>
          <w:i/>
          <w:sz w:val="24"/>
          <w:szCs w:val="24"/>
          <w:lang w:val="es-ES" w:eastAsia="es-ES"/>
        </w:rPr>
        <w:t xml:space="preserve"> lo establecido en dich</w:t>
      </w:r>
      <w:r w:rsidR="003D03B9" w:rsidRPr="00BF46E5">
        <w:rPr>
          <w:rFonts w:ascii="Bookman Old Style" w:eastAsia="Times New Roman" w:hAnsi="Bookman Old Style" w:cs="Times New Roman"/>
          <w:i/>
          <w:sz w:val="24"/>
          <w:szCs w:val="24"/>
          <w:lang w:val="es-ES" w:eastAsia="es-ES"/>
        </w:rPr>
        <w:t>a</w:t>
      </w:r>
      <w:r w:rsidRPr="00BF46E5">
        <w:rPr>
          <w:rFonts w:ascii="Bookman Old Style" w:eastAsia="Times New Roman" w:hAnsi="Bookman Old Style" w:cs="Times New Roman"/>
          <w:i/>
          <w:sz w:val="24"/>
          <w:szCs w:val="24"/>
          <w:lang w:val="es-ES" w:eastAsia="es-ES"/>
        </w:rPr>
        <w:t xml:space="preserve"> normatividad, este pago se h</w:t>
      </w:r>
      <w:r w:rsidR="003D03B9" w:rsidRPr="00BF46E5">
        <w:rPr>
          <w:rFonts w:ascii="Bookman Old Style" w:eastAsia="Times New Roman" w:hAnsi="Bookman Old Style" w:cs="Times New Roman"/>
          <w:i/>
          <w:sz w:val="24"/>
          <w:szCs w:val="24"/>
          <w:lang w:val="es-ES" w:eastAsia="es-ES"/>
        </w:rPr>
        <w:t xml:space="preserve">ace como una contraprestación al servicio </w:t>
      </w:r>
      <w:r w:rsidRPr="00BF46E5">
        <w:rPr>
          <w:rFonts w:ascii="Bookman Old Style" w:eastAsia="Times New Roman" w:hAnsi="Bookman Old Style" w:cs="Times New Roman"/>
          <w:i/>
          <w:sz w:val="24"/>
          <w:szCs w:val="24"/>
          <w:lang w:val="es-ES" w:eastAsia="es-ES"/>
        </w:rPr>
        <w:t xml:space="preserve">de regulación que presta la CREG </w:t>
      </w:r>
      <w:r w:rsidR="003D03B9" w:rsidRPr="00BF46E5">
        <w:rPr>
          <w:rFonts w:ascii="Bookman Old Style" w:eastAsia="Times New Roman" w:hAnsi="Bookman Old Style" w:cs="Times New Roman"/>
          <w:i/>
          <w:sz w:val="24"/>
          <w:szCs w:val="24"/>
          <w:lang w:val="es-ES" w:eastAsia="es-ES"/>
        </w:rPr>
        <w:t>a</w:t>
      </w:r>
      <w:r w:rsidRPr="00BF46E5">
        <w:rPr>
          <w:rFonts w:ascii="Bookman Old Style" w:eastAsia="Times New Roman" w:hAnsi="Bookman Old Style" w:cs="Times New Roman"/>
          <w:i/>
          <w:sz w:val="24"/>
          <w:szCs w:val="24"/>
          <w:lang w:val="es-ES" w:eastAsia="es-ES"/>
        </w:rPr>
        <w:t xml:space="preserve"> </w:t>
      </w:r>
      <w:r w:rsidR="003D03B9" w:rsidRPr="00BF46E5">
        <w:rPr>
          <w:rFonts w:ascii="Bookman Old Style" w:eastAsia="Times New Roman" w:hAnsi="Bookman Old Style" w:cs="Times New Roman"/>
          <w:i/>
          <w:sz w:val="24"/>
          <w:szCs w:val="24"/>
          <w:lang w:val="es-ES" w:eastAsia="es-ES"/>
        </w:rPr>
        <w:t>las entidades sometidas</w:t>
      </w:r>
      <w:r w:rsidRPr="00BF46E5">
        <w:rPr>
          <w:rFonts w:ascii="Bookman Old Style" w:eastAsia="Times New Roman" w:hAnsi="Bookman Old Style" w:cs="Times New Roman"/>
          <w:i/>
          <w:sz w:val="24"/>
          <w:szCs w:val="24"/>
          <w:lang w:val="es-ES" w:eastAsia="es-ES"/>
        </w:rPr>
        <w:t xml:space="preserve"> </w:t>
      </w:r>
      <w:r w:rsidR="003D03B9" w:rsidRPr="00BF46E5">
        <w:rPr>
          <w:rFonts w:ascii="Bookman Old Style" w:eastAsia="Times New Roman" w:hAnsi="Bookman Old Style" w:cs="Times New Roman"/>
          <w:i/>
          <w:sz w:val="24"/>
          <w:szCs w:val="24"/>
          <w:lang w:val="es-ES" w:eastAsia="es-ES"/>
        </w:rPr>
        <w:t>a</w:t>
      </w:r>
      <w:r w:rsidRPr="00BF46E5">
        <w:rPr>
          <w:rFonts w:ascii="Bookman Old Style" w:eastAsia="Times New Roman" w:hAnsi="Bookman Old Style" w:cs="Times New Roman"/>
          <w:i/>
          <w:sz w:val="24"/>
          <w:szCs w:val="24"/>
          <w:lang w:val="es-ES" w:eastAsia="es-ES"/>
        </w:rPr>
        <w:t xml:space="preserve"> </w:t>
      </w:r>
      <w:r w:rsidR="003D03B9" w:rsidRPr="00BF46E5">
        <w:rPr>
          <w:rFonts w:ascii="Bookman Old Style" w:eastAsia="Times New Roman" w:hAnsi="Bookman Old Style" w:cs="Times New Roman"/>
          <w:i/>
          <w:sz w:val="24"/>
          <w:szCs w:val="24"/>
          <w:lang w:val="es-ES" w:eastAsia="es-ES"/>
        </w:rPr>
        <w:t>regulación.</w:t>
      </w:r>
    </w:p>
    <w:p w:rsidR="006873B7" w:rsidRDefault="006873B7" w:rsidP="006873B7">
      <w:pPr>
        <w:pStyle w:val="Style18"/>
        <w:shd w:val="clear" w:color="auto" w:fill="auto"/>
        <w:tabs>
          <w:tab w:val="right" w:pos="4358"/>
          <w:tab w:val="right" w:pos="4858"/>
          <w:tab w:val="center" w:pos="5126"/>
          <w:tab w:val="right" w:pos="8774"/>
        </w:tabs>
        <w:spacing w:before="0" w:after="0" w:line="240" w:lineRule="auto"/>
        <w:ind w:left="720" w:right="40" w:firstLine="0"/>
        <w:jc w:val="both"/>
        <w:rPr>
          <w:rFonts w:ascii="Bookman Old Style" w:eastAsia="Times New Roman" w:hAnsi="Bookman Old Style" w:cs="Times New Roman"/>
          <w:i/>
          <w:sz w:val="24"/>
          <w:szCs w:val="24"/>
          <w:lang w:val="es-ES" w:eastAsia="es-ES"/>
        </w:rPr>
      </w:pPr>
    </w:p>
    <w:p w:rsidR="006873B7" w:rsidRDefault="006873B7" w:rsidP="006873B7">
      <w:pPr>
        <w:pStyle w:val="Style18"/>
        <w:shd w:val="clear" w:color="auto" w:fill="auto"/>
        <w:tabs>
          <w:tab w:val="right" w:pos="4358"/>
          <w:tab w:val="right" w:pos="4858"/>
          <w:tab w:val="center" w:pos="5126"/>
          <w:tab w:val="right" w:pos="8774"/>
        </w:tabs>
        <w:spacing w:before="0" w:after="0" w:line="240" w:lineRule="auto"/>
        <w:ind w:left="720" w:right="40" w:firstLine="0"/>
        <w:jc w:val="both"/>
        <w:rPr>
          <w:rFonts w:ascii="Bookman Old Style" w:eastAsia="Times New Roman" w:hAnsi="Bookman Old Style" w:cs="Times New Roman"/>
          <w:i/>
          <w:sz w:val="24"/>
          <w:szCs w:val="24"/>
          <w:lang w:val="es-ES" w:eastAsia="es-ES"/>
        </w:rPr>
      </w:pPr>
    </w:p>
    <w:p w:rsidR="006873B7" w:rsidRDefault="006873B7" w:rsidP="006873B7">
      <w:pPr>
        <w:pStyle w:val="Style18"/>
        <w:shd w:val="clear" w:color="auto" w:fill="auto"/>
        <w:tabs>
          <w:tab w:val="right" w:pos="4358"/>
          <w:tab w:val="right" w:pos="4858"/>
          <w:tab w:val="center" w:pos="5126"/>
          <w:tab w:val="right" w:pos="8774"/>
        </w:tabs>
        <w:spacing w:before="0" w:after="0" w:line="240" w:lineRule="auto"/>
        <w:ind w:left="720" w:right="40" w:firstLine="0"/>
        <w:jc w:val="both"/>
        <w:rPr>
          <w:rFonts w:ascii="Bookman Old Style" w:eastAsia="Times New Roman" w:hAnsi="Bookman Old Style" w:cs="Times New Roman"/>
          <w:i/>
          <w:sz w:val="24"/>
          <w:szCs w:val="24"/>
          <w:lang w:val="es-ES" w:eastAsia="es-ES"/>
        </w:rPr>
      </w:pPr>
    </w:p>
    <w:p w:rsidR="006873B7" w:rsidRPr="00BF46E5" w:rsidRDefault="006873B7" w:rsidP="006873B7">
      <w:pPr>
        <w:pStyle w:val="Style18"/>
        <w:shd w:val="clear" w:color="auto" w:fill="auto"/>
        <w:tabs>
          <w:tab w:val="right" w:pos="4358"/>
          <w:tab w:val="right" w:pos="4858"/>
          <w:tab w:val="center" w:pos="5126"/>
          <w:tab w:val="right" w:pos="8774"/>
        </w:tabs>
        <w:spacing w:before="0" w:after="0" w:line="240" w:lineRule="auto"/>
        <w:ind w:left="720" w:right="40" w:firstLine="0"/>
        <w:jc w:val="both"/>
        <w:rPr>
          <w:rFonts w:ascii="Bookman Old Style" w:eastAsia="Times New Roman" w:hAnsi="Bookman Old Style" w:cs="Times New Roman"/>
          <w:i/>
          <w:sz w:val="24"/>
          <w:szCs w:val="24"/>
          <w:lang w:val="es-ES" w:eastAsia="es-ES"/>
        </w:rPr>
      </w:pPr>
    </w:p>
    <w:p w:rsidR="00BF46E5" w:rsidRDefault="003D03B9" w:rsidP="006873B7">
      <w:pPr>
        <w:pStyle w:val="Style18"/>
        <w:numPr>
          <w:ilvl w:val="0"/>
          <w:numId w:val="4"/>
        </w:numPr>
        <w:shd w:val="clear" w:color="auto" w:fill="auto"/>
        <w:tabs>
          <w:tab w:val="right" w:pos="4358"/>
          <w:tab w:val="right" w:pos="4858"/>
          <w:tab w:val="center" w:pos="5126"/>
          <w:tab w:val="right" w:pos="8774"/>
        </w:tabs>
        <w:spacing w:before="0" w:after="0" w:line="240" w:lineRule="auto"/>
        <w:ind w:right="40"/>
        <w:jc w:val="both"/>
        <w:rPr>
          <w:rFonts w:ascii="Bookman Old Style" w:eastAsia="Times New Roman" w:hAnsi="Bookman Old Style" w:cs="Times New Roman"/>
          <w:i/>
          <w:sz w:val="24"/>
          <w:szCs w:val="24"/>
          <w:lang w:val="es-ES" w:eastAsia="es-ES"/>
        </w:rPr>
      </w:pPr>
      <w:r w:rsidRPr="00BF46E5">
        <w:rPr>
          <w:rFonts w:ascii="Bookman Old Style" w:eastAsia="Times New Roman" w:hAnsi="Bookman Old Style" w:cs="Times New Roman"/>
          <w:i/>
          <w:sz w:val="24"/>
          <w:szCs w:val="24"/>
          <w:lang w:val="es-ES" w:eastAsia="es-ES"/>
        </w:rPr>
        <w:t xml:space="preserve">Es así como para la compañía </w:t>
      </w:r>
      <w:r w:rsidRPr="00BF46E5">
        <w:rPr>
          <w:rFonts w:ascii="Bookman Old Style" w:eastAsia="Times New Roman" w:hAnsi="Bookman Old Style" w:cs="Times New Roman"/>
          <w:b/>
          <w:bCs/>
          <w:i/>
          <w:sz w:val="24"/>
          <w:szCs w:val="24"/>
          <w:lang w:val="es-ES" w:eastAsia="es-ES"/>
        </w:rPr>
        <w:t xml:space="preserve">GAS DE SANTANDER S.A. E.S.P., </w:t>
      </w:r>
      <w:r w:rsidRPr="00BF46E5">
        <w:rPr>
          <w:rFonts w:ascii="Bookman Old Style" w:eastAsia="Times New Roman" w:hAnsi="Bookman Old Style" w:cs="Times New Roman"/>
          <w:i/>
          <w:sz w:val="24"/>
          <w:szCs w:val="24"/>
          <w:lang w:val="es-ES" w:eastAsia="es-ES"/>
        </w:rPr>
        <w:t>te</w:t>
      </w:r>
      <w:r w:rsidR="00BF46E5" w:rsidRPr="00BF46E5">
        <w:rPr>
          <w:rFonts w:ascii="Bookman Old Style" w:eastAsia="Times New Roman" w:hAnsi="Bookman Old Style" w:cs="Times New Roman"/>
          <w:i/>
          <w:sz w:val="24"/>
          <w:szCs w:val="24"/>
          <w:lang w:val="es-ES" w:eastAsia="es-ES"/>
        </w:rPr>
        <w:t>niendo como base de contribución el monto de $</w:t>
      </w:r>
      <w:r w:rsidRPr="00BF46E5">
        <w:rPr>
          <w:rFonts w:ascii="Bookman Old Style" w:eastAsia="Times New Roman" w:hAnsi="Bookman Old Style" w:cs="Times New Roman"/>
          <w:i/>
          <w:sz w:val="24"/>
          <w:szCs w:val="24"/>
          <w:lang w:val="es-ES" w:eastAsia="es-ES"/>
        </w:rPr>
        <w:t>4.020.670.256 de pesos, le fue asignado como valor de p</w:t>
      </w:r>
      <w:r w:rsidR="00BF46E5" w:rsidRPr="00BF46E5">
        <w:rPr>
          <w:rFonts w:ascii="Bookman Old Style" w:eastAsia="Times New Roman" w:hAnsi="Bookman Old Style" w:cs="Times New Roman"/>
          <w:i/>
          <w:sz w:val="24"/>
          <w:szCs w:val="24"/>
          <w:lang w:val="es-ES" w:eastAsia="es-ES"/>
        </w:rPr>
        <w:t>ago de contribución la suma de $</w:t>
      </w:r>
      <w:r w:rsidRPr="00BF46E5">
        <w:rPr>
          <w:rFonts w:ascii="Bookman Old Style" w:eastAsia="Times New Roman" w:hAnsi="Bookman Old Style" w:cs="Times New Roman"/>
          <w:i/>
          <w:sz w:val="24"/>
          <w:szCs w:val="24"/>
          <w:lang w:val="es-ES" w:eastAsia="es-ES"/>
        </w:rPr>
        <w:t>40.206.703 de pesos.</w:t>
      </w:r>
    </w:p>
    <w:p w:rsidR="003D03B9" w:rsidRPr="00BF46E5" w:rsidRDefault="00BF46E5" w:rsidP="006873B7">
      <w:pPr>
        <w:pStyle w:val="Style18"/>
        <w:numPr>
          <w:ilvl w:val="0"/>
          <w:numId w:val="4"/>
        </w:numPr>
        <w:shd w:val="clear" w:color="auto" w:fill="auto"/>
        <w:tabs>
          <w:tab w:val="right" w:pos="4358"/>
          <w:tab w:val="right" w:pos="4858"/>
          <w:tab w:val="center" w:pos="5126"/>
          <w:tab w:val="right" w:pos="8774"/>
        </w:tabs>
        <w:spacing w:before="0" w:after="0" w:line="240" w:lineRule="auto"/>
        <w:ind w:right="40"/>
        <w:jc w:val="both"/>
        <w:rPr>
          <w:rFonts w:ascii="Bookman Old Style" w:eastAsia="Times New Roman" w:hAnsi="Bookman Old Style" w:cs="Times New Roman"/>
          <w:i/>
          <w:sz w:val="24"/>
          <w:szCs w:val="24"/>
          <w:lang w:val="es-ES" w:eastAsia="es-ES"/>
        </w:rPr>
      </w:pPr>
      <w:r w:rsidRPr="00BF46E5">
        <w:rPr>
          <w:rFonts w:ascii="Bookman Old Style" w:eastAsia="Times New Roman" w:hAnsi="Bookman Old Style" w:cs="Times New Roman"/>
          <w:i/>
          <w:sz w:val="24"/>
          <w:szCs w:val="24"/>
          <w:lang w:val="es-ES" w:eastAsia="es-ES"/>
        </w:rPr>
        <w:t>El día 1</w:t>
      </w:r>
      <w:r w:rsidR="003D03B9" w:rsidRPr="00BF46E5">
        <w:rPr>
          <w:rFonts w:ascii="Bookman Old Style" w:eastAsia="Times New Roman" w:hAnsi="Bookman Old Style" w:cs="Times New Roman"/>
          <w:i/>
          <w:sz w:val="24"/>
          <w:szCs w:val="24"/>
          <w:lang w:val="es-ES" w:eastAsia="es-ES"/>
        </w:rPr>
        <w:t xml:space="preserve">7 de agosto de 2018, </w:t>
      </w:r>
      <w:r w:rsidR="003D03B9" w:rsidRPr="00BF46E5">
        <w:rPr>
          <w:rFonts w:ascii="Bookman Old Style" w:eastAsia="Times New Roman" w:hAnsi="Bookman Old Style" w:cs="Times New Roman"/>
          <w:b/>
          <w:bCs/>
          <w:i/>
          <w:sz w:val="24"/>
          <w:szCs w:val="24"/>
          <w:lang w:val="es-ES" w:eastAsia="es-ES"/>
        </w:rPr>
        <w:t xml:space="preserve">GAS DE SANTANDER S.A. E.S.P </w:t>
      </w:r>
      <w:r w:rsidR="003D03B9" w:rsidRPr="00BF46E5">
        <w:rPr>
          <w:rFonts w:ascii="Bookman Old Style" w:eastAsia="Times New Roman" w:hAnsi="Bookman Old Style" w:cs="Times New Roman"/>
          <w:i/>
          <w:sz w:val="24"/>
          <w:szCs w:val="24"/>
          <w:lang w:val="es-ES" w:eastAsia="es-ES"/>
        </w:rPr>
        <w:t xml:space="preserve">y </w:t>
      </w:r>
      <w:r w:rsidR="003D03B9" w:rsidRPr="00BF46E5">
        <w:rPr>
          <w:rFonts w:ascii="Bookman Old Style" w:eastAsia="Times New Roman" w:hAnsi="Bookman Old Style" w:cs="Times New Roman"/>
          <w:b/>
          <w:bCs/>
          <w:i/>
          <w:sz w:val="24"/>
          <w:szCs w:val="24"/>
          <w:lang w:val="es-ES" w:eastAsia="es-ES"/>
        </w:rPr>
        <w:t xml:space="preserve">NORTESANTANDEREANA DE GAS S.A. E.S.P </w:t>
      </w:r>
      <w:r w:rsidRPr="00BF46E5">
        <w:rPr>
          <w:rFonts w:ascii="Bookman Old Style" w:eastAsia="Times New Roman" w:hAnsi="Bookman Old Style" w:cs="Times New Roman"/>
          <w:i/>
          <w:sz w:val="24"/>
          <w:szCs w:val="24"/>
          <w:lang w:val="es-ES" w:eastAsia="es-ES"/>
        </w:rPr>
        <w:t>formaliza</w:t>
      </w:r>
      <w:r w:rsidR="003D03B9" w:rsidRPr="00BF46E5">
        <w:rPr>
          <w:rFonts w:ascii="Bookman Old Style" w:eastAsia="Times New Roman" w:hAnsi="Bookman Old Style" w:cs="Times New Roman"/>
          <w:i/>
          <w:sz w:val="24"/>
          <w:szCs w:val="24"/>
          <w:lang w:val="es-ES" w:eastAsia="es-ES"/>
        </w:rPr>
        <w:t>ron</w:t>
      </w:r>
      <w:r w:rsidRPr="00BF46E5">
        <w:rPr>
          <w:rFonts w:ascii="Bookman Old Style" w:eastAsia="Times New Roman" w:hAnsi="Bookman Old Style" w:cs="Times New Roman"/>
          <w:i/>
          <w:sz w:val="24"/>
          <w:szCs w:val="24"/>
          <w:lang w:val="es-ES" w:eastAsia="es-ES"/>
        </w:rPr>
        <w:t xml:space="preserve"> l</w:t>
      </w:r>
      <w:r w:rsidR="003D03B9" w:rsidRPr="00BF46E5">
        <w:rPr>
          <w:rFonts w:ascii="Bookman Old Style" w:eastAsia="Times New Roman" w:hAnsi="Bookman Old Style" w:cs="Times New Roman"/>
          <w:i/>
          <w:sz w:val="24"/>
          <w:szCs w:val="24"/>
          <w:lang w:val="es-ES" w:eastAsia="es-ES"/>
        </w:rPr>
        <w:t>a fusión por abs</w:t>
      </w:r>
      <w:r w:rsidRPr="00BF46E5">
        <w:rPr>
          <w:rFonts w:ascii="Bookman Old Style" w:eastAsia="Times New Roman" w:hAnsi="Bookman Old Style" w:cs="Times New Roman"/>
          <w:i/>
          <w:sz w:val="24"/>
          <w:szCs w:val="24"/>
          <w:lang w:val="es-ES" w:eastAsia="es-ES"/>
        </w:rPr>
        <w:t>orción entre dichas sociedades (</w:t>
      </w:r>
      <w:r w:rsidR="003D03B9" w:rsidRPr="00BF46E5">
        <w:rPr>
          <w:rFonts w:ascii="Bookman Old Style" w:eastAsia="Times New Roman" w:hAnsi="Bookman Old Style" w:cs="Times New Roman"/>
          <w:i/>
          <w:sz w:val="24"/>
          <w:szCs w:val="24"/>
          <w:lang w:val="es-ES" w:eastAsia="es-ES"/>
        </w:rPr>
        <w:t>por medio de la cual la última absorbió a la primera</w:t>
      </w:r>
      <w:r w:rsidRPr="00BF46E5">
        <w:rPr>
          <w:rFonts w:ascii="Bookman Old Style" w:eastAsia="Times New Roman" w:hAnsi="Bookman Old Style" w:cs="Times New Roman"/>
          <w:i/>
          <w:sz w:val="24"/>
          <w:szCs w:val="24"/>
          <w:lang w:val="es-ES" w:eastAsia="es-ES"/>
        </w:rPr>
        <w:t>)</w:t>
      </w:r>
      <w:r w:rsidR="003D03B9" w:rsidRPr="00BF46E5">
        <w:rPr>
          <w:rFonts w:ascii="Bookman Old Style" w:eastAsia="Times New Roman" w:hAnsi="Bookman Old Style" w:cs="Times New Roman"/>
          <w:i/>
          <w:sz w:val="24"/>
          <w:szCs w:val="24"/>
          <w:lang w:val="es-ES" w:eastAsia="es-ES"/>
        </w:rPr>
        <w:t xml:space="preserve"> mediante la Escritura Pública número 1135,</w:t>
      </w:r>
      <w:r w:rsidRPr="00BF46E5">
        <w:rPr>
          <w:rFonts w:ascii="Bookman Old Style" w:eastAsia="Times New Roman" w:hAnsi="Bookman Old Style" w:cs="Times New Roman"/>
          <w:i/>
          <w:sz w:val="24"/>
          <w:szCs w:val="24"/>
          <w:lang w:val="es-ES" w:eastAsia="es-ES"/>
        </w:rPr>
        <w:t xml:space="preserve"> en la botaría N°</w:t>
      </w:r>
      <w:r w:rsidR="003D03B9" w:rsidRPr="00BF46E5">
        <w:rPr>
          <w:rFonts w:ascii="Bookman Old Style" w:eastAsia="Times New Roman" w:hAnsi="Bookman Old Style" w:cs="Times New Roman"/>
          <w:i/>
          <w:sz w:val="24"/>
          <w:szCs w:val="24"/>
          <w:lang w:val="es-ES" w:eastAsia="es-ES"/>
        </w:rPr>
        <w:t xml:space="preserve"> 12</w:t>
      </w:r>
      <w:r w:rsidRPr="00BF46E5">
        <w:rPr>
          <w:rFonts w:ascii="Bookman Old Style" w:eastAsia="Times New Roman" w:hAnsi="Bookman Old Style" w:cs="Times New Roman"/>
          <w:i/>
          <w:sz w:val="24"/>
          <w:szCs w:val="24"/>
          <w:lang w:val="es-ES" w:eastAsia="es-ES"/>
        </w:rPr>
        <w:t xml:space="preserve"> </w:t>
      </w:r>
      <w:r w:rsidR="003D03B9" w:rsidRPr="00BF46E5">
        <w:rPr>
          <w:rFonts w:ascii="Bookman Old Style" w:eastAsia="Times New Roman" w:hAnsi="Bookman Old Style" w:cs="Times New Roman"/>
          <w:i/>
          <w:sz w:val="24"/>
          <w:szCs w:val="24"/>
          <w:lang w:val="es-ES" w:eastAsia="es-ES"/>
        </w:rPr>
        <w:t>del círculo de</w:t>
      </w:r>
      <w:r w:rsidRPr="00BF46E5">
        <w:rPr>
          <w:rFonts w:ascii="Bookman Old Style" w:eastAsia="Times New Roman" w:hAnsi="Bookman Old Style" w:cs="Times New Roman"/>
          <w:i/>
          <w:sz w:val="24"/>
          <w:szCs w:val="24"/>
          <w:lang w:val="es-ES" w:eastAsia="es-ES"/>
        </w:rPr>
        <w:t xml:space="preserve"> </w:t>
      </w:r>
      <w:r w:rsidR="003D03B9" w:rsidRPr="00BF46E5">
        <w:rPr>
          <w:rFonts w:ascii="Bookman Old Style" w:eastAsia="Times New Roman" w:hAnsi="Bookman Old Style" w:cs="Times New Roman"/>
          <w:i/>
          <w:sz w:val="24"/>
          <w:szCs w:val="24"/>
          <w:lang w:val="es-ES" w:eastAsia="es-ES"/>
        </w:rPr>
        <w:t xml:space="preserve">Bogotá, teniendo como consecuencia </w:t>
      </w:r>
      <w:proofErr w:type="gramStart"/>
      <w:r w:rsidR="003D03B9" w:rsidRPr="00BF46E5">
        <w:rPr>
          <w:rFonts w:ascii="Bookman Old Style" w:eastAsia="Times New Roman" w:hAnsi="Bookman Old Style" w:cs="Times New Roman"/>
          <w:i/>
          <w:sz w:val="24"/>
          <w:szCs w:val="24"/>
          <w:lang w:val="es-ES" w:eastAsia="es-ES"/>
        </w:rPr>
        <w:t>que</w:t>
      </w:r>
      <w:proofErr w:type="gramEnd"/>
      <w:r w:rsidRPr="00BF46E5">
        <w:rPr>
          <w:rFonts w:ascii="Bookman Old Style" w:eastAsia="Times New Roman" w:hAnsi="Bookman Old Style" w:cs="Times New Roman"/>
          <w:i/>
          <w:sz w:val="24"/>
          <w:szCs w:val="24"/>
          <w:lang w:val="es-ES" w:eastAsia="es-ES"/>
        </w:rPr>
        <w:t xml:space="preserve"> </w:t>
      </w:r>
      <w:r w:rsidR="003D03B9" w:rsidRPr="00BF46E5">
        <w:rPr>
          <w:rFonts w:ascii="Bookman Old Style" w:eastAsia="Times New Roman" w:hAnsi="Bookman Old Style" w:cs="Times New Roman"/>
          <w:i/>
          <w:sz w:val="24"/>
          <w:szCs w:val="24"/>
          <w:lang w:val="es-ES" w:eastAsia="es-ES"/>
        </w:rPr>
        <w:t>desde</w:t>
      </w:r>
      <w:r w:rsidRPr="00BF46E5">
        <w:rPr>
          <w:rFonts w:ascii="Bookman Old Style" w:eastAsia="Times New Roman" w:hAnsi="Bookman Old Style" w:cs="Times New Roman"/>
          <w:i/>
          <w:sz w:val="24"/>
          <w:szCs w:val="24"/>
          <w:lang w:val="es-ES" w:eastAsia="es-ES"/>
        </w:rPr>
        <w:t xml:space="preserve"> GAS DE SANTANDER S.A. E.S.P., </w:t>
      </w:r>
      <w:r w:rsidR="003D03B9" w:rsidRPr="00BF46E5">
        <w:rPr>
          <w:rFonts w:ascii="Bookman Old Style" w:eastAsia="Times New Roman" w:hAnsi="Bookman Old Style" w:cs="Times New Roman"/>
          <w:i/>
          <w:sz w:val="24"/>
          <w:szCs w:val="24"/>
          <w:lang w:val="es-ES" w:eastAsia="es-ES"/>
        </w:rPr>
        <w:t xml:space="preserve">el mes de agosto la compañía I3A8 DE SAI^TAI^IDERS.A. E.8.P. </w:t>
      </w:r>
      <w:proofErr w:type="spellStart"/>
      <w:r w:rsidR="003D03B9" w:rsidRPr="00BF46E5">
        <w:rPr>
          <w:rFonts w:ascii="Bookman Old Style" w:eastAsia="Times New Roman" w:hAnsi="Bookman Old Style" w:cs="Times New Roman"/>
          <w:i/>
          <w:sz w:val="24"/>
          <w:szCs w:val="24"/>
          <w:lang w:val="es-ES" w:eastAsia="es-ES"/>
        </w:rPr>
        <w:t>de^ó</w:t>
      </w:r>
      <w:proofErr w:type="spellEnd"/>
      <w:r w:rsidR="003D03B9" w:rsidRPr="00BF46E5">
        <w:rPr>
          <w:rFonts w:ascii="Bookman Old Style" w:eastAsia="Times New Roman" w:hAnsi="Bookman Old Style" w:cs="Times New Roman"/>
          <w:i/>
          <w:sz w:val="24"/>
          <w:szCs w:val="24"/>
          <w:lang w:val="es-ES" w:eastAsia="es-ES"/>
        </w:rPr>
        <w:t xml:space="preserve"> de existir y por ende de ejecutar operaciones. Dicha situación fue notificada</w:t>
      </w:r>
      <w:r w:rsidRPr="00BF46E5">
        <w:rPr>
          <w:rFonts w:ascii="Bookman Old Style" w:eastAsia="Times New Roman" w:hAnsi="Bookman Old Style" w:cs="Times New Roman"/>
          <w:i/>
          <w:sz w:val="24"/>
          <w:szCs w:val="24"/>
          <w:lang w:val="es-ES" w:eastAsia="es-ES"/>
        </w:rPr>
        <w:t xml:space="preserve"> </w:t>
      </w:r>
      <w:r w:rsidR="003D03B9" w:rsidRPr="00BF46E5">
        <w:rPr>
          <w:rFonts w:ascii="Bookman Old Style" w:eastAsia="Times New Roman" w:hAnsi="Bookman Old Style" w:cs="Times New Roman"/>
          <w:i/>
          <w:sz w:val="24"/>
          <w:szCs w:val="24"/>
          <w:lang w:val="es-ES" w:eastAsia="es-ES"/>
        </w:rPr>
        <w:t>a</w:t>
      </w:r>
      <w:r w:rsidRPr="00BF46E5">
        <w:rPr>
          <w:rFonts w:ascii="Bookman Old Style" w:eastAsia="Times New Roman" w:hAnsi="Bookman Old Style" w:cs="Times New Roman"/>
          <w:i/>
          <w:sz w:val="24"/>
          <w:szCs w:val="24"/>
          <w:lang w:val="es-ES" w:eastAsia="es-ES"/>
        </w:rPr>
        <w:t xml:space="preserve"> </w:t>
      </w:r>
      <w:r w:rsidR="003D03B9" w:rsidRPr="00BF46E5">
        <w:rPr>
          <w:rFonts w:ascii="Bookman Old Style" w:eastAsia="Times New Roman" w:hAnsi="Bookman Old Style" w:cs="Times New Roman"/>
          <w:i/>
          <w:sz w:val="24"/>
          <w:szCs w:val="24"/>
          <w:lang w:val="es-ES" w:eastAsia="es-ES"/>
        </w:rPr>
        <w:t>la</w:t>
      </w:r>
      <w:r w:rsidRPr="00BF46E5">
        <w:rPr>
          <w:rFonts w:ascii="Bookman Old Style" w:eastAsia="Times New Roman" w:hAnsi="Bookman Old Style" w:cs="Times New Roman"/>
          <w:i/>
          <w:sz w:val="24"/>
          <w:szCs w:val="24"/>
          <w:lang w:val="es-ES" w:eastAsia="es-ES"/>
        </w:rPr>
        <w:t xml:space="preserve"> CREG </w:t>
      </w:r>
      <w:r w:rsidR="003D03B9" w:rsidRPr="00BF46E5">
        <w:rPr>
          <w:rFonts w:ascii="Bookman Old Style" w:eastAsia="Times New Roman" w:hAnsi="Bookman Old Style" w:cs="Times New Roman"/>
          <w:i/>
          <w:sz w:val="24"/>
          <w:szCs w:val="24"/>
          <w:lang w:val="es-ES" w:eastAsia="es-ES"/>
        </w:rPr>
        <w:t xml:space="preserve">por </w:t>
      </w:r>
      <w:r w:rsidR="003D03B9" w:rsidRPr="00BF46E5">
        <w:rPr>
          <w:rFonts w:ascii="Bookman Old Style" w:eastAsia="Times New Roman" w:hAnsi="Bookman Old Style" w:cs="Times New Roman"/>
          <w:b/>
          <w:bCs/>
          <w:i/>
          <w:sz w:val="24"/>
          <w:szCs w:val="24"/>
          <w:lang w:val="es-ES" w:eastAsia="es-ES"/>
        </w:rPr>
        <w:t xml:space="preserve">NORTESANTANDEREANA DE GAS S.A. E.S.P </w:t>
      </w:r>
      <w:r w:rsidR="003D03B9" w:rsidRPr="00BF46E5">
        <w:rPr>
          <w:rFonts w:ascii="Bookman Old Style" w:eastAsia="Times New Roman" w:hAnsi="Bookman Old Style" w:cs="Times New Roman"/>
          <w:i/>
          <w:sz w:val="24"/>
          <w:szCs w:val="24"/>
          <w:lang w:val="es-ES" w:eastAsia="es-ES"/>
        </w:rPr>
        <w:t>mediante comunicación de fecha 27 de agosto de 2018 con radicado número ED2018 008727.</w:t>
      </w:r>
    </w:p>
    <w:p w:rsidR="00BF46E5" w:rsidRDefault="00BF46E5" w:rsidP="003D03B9">
      <w:pPr>
        <w:ind w:left="0"/>
        <w:jc w:val="both"/>
        <w:rPr>
          <w:rFonts w:ascii="Bookman Old Style" w:hAnsi="Bookman Old Style"/>
          <w:i/>
        </w:rPr>
      </w:pPr>
    </w:p>
    <w:p w:rsidR="003D03B9" w:rsidRPr="00BF46E5" w:rsidRDefault="003D03B9" w:rsidP="003D03B9">
      <w:pPr>
        <w:ind w:left="0"/>
        <w:jc w:val="both"/>
        <w:rPr>
          <w:rFonts w:ascii="Bookman Old Style" w:hAnsi="Bookman Old Style"/>
          <w:i/>
        </w:rPr>
      </w:pPr>
      <w:r w:rsidRPr="00BF46E5">
        <w:rPr>
          <w:rFonts w:ascii="Bookman Old Style" w:hAnsi="Bookman Old Style"/>
          <w:i/>
        </w:rPr>
        <w:t xml:space="preserve">Por lo anterior, se considera que el valor de la contribución dispuesto para la compañía </w:t>
      </w:r>
      <w:r w:rsidRPr="00BF46E5">
        <w:rPr>
          <w:rFonts w:ascii="Bookman Old Style" w:hAnsi="Bookman Old Style"/>
          <w:b/>
          <w:bCs/>
          <w:i/>
        </w:rPr>
        <w:t xml:space="preserve">GAS DE SANTANDER S.A. E.S.P </w:t>
      </w:r>
      <w:r w:rsidRPr="00BF46E5">
        <w:rPr>
          <w:rFonts w:ascii="Bookman Old Style" w:hAnsi="Bookman Old Style"/>
          <w:i/>
        </w:rPr>
        <w:t xml:space="preserve">en la </w:t>
      </w:r>
      <w:r w:rsidRPr="00BF46E5">
        <w:rPr>
          <w:rFonts w:ascii="Bookman Old Style" w:hAnsi="Bookman Old Style"/>
          <w:b/>
          <w:bCs/>
          <w:i/>
        </w:rPr>
        <w:t xml:space="preserve">Resolución 139 del 23 de noviembre de 2018 </w:t>
      </w:r>
      <w:r w:rsidRPr="00BF46E5">
        <w:rPr>
          <w:rFonts w:ascii="Bookman Old Style" w:hAnsi="Bookman Old Style"/>
          <w:i/>
        </w:rPr>
        <w:t>no es el correcto, toda vez que se está cobrando la totalidad del valor por la prestación del servicio durante el año 2018, y ésta compañía se disolvió y dejo de operar desde el 17 de agosto del mismo año, por lo que el cobro que se debería realizar debe corresponder a la proporción del año en que dicha compañía estuvo en operación</w:t>
      </w:r>
    </w:p>
    <w:p w:rsidR="00BF46E5" w:rsidRPr="003301B8" w:rsidRDefault="00BF46E5" w:rsidP="003D03B9">
      <w:pPr>
        <w:ind w:left="0"/>
        <w:jc w:val="both"/>
        <w:rPr>
          <w:rFonts w:ascii="Bookman Old Style" w:hAnsi="Bookman Old Style"/>
        </w:rPr>
      </w:pPr>
    </w:p>
    <w:p w:rsidR="003D03B9" w:rsidRPr="00BF46E5" w:rsidRDefault="003D03B9" w:rsidP="003D03B9">
      <w:pPr>
        <w:pStyle w:val="Prrafodelista"/>
        <w:numPr>
          <w:ilvl w:val="0"/>
          <w:numId w:val="2"/>
        </w:numPr>
        <w:jc w:val="both"/>
        <w:rPr>
          <w:rFonts w:ascii="Bookman Old Style" w:hAnsi="Bookman Old Style"/>
          <w:b/>
          <w:sz w:val="24"/>
          <w:szCs w:val="24"/>
          <w:lang w:val="es-ES"/>
        </w:rPr>
      </w:pPr>
      <w:r w:rsidRPr="00BF46E5">
        <w:rPr>
          <w:rFonts w:ascii="Bookman Old Style" w:hAnsi="Bookman Old Style"/>
          <w:b/>
          <w:sz w:val="24"/>
          <w:szCs w:val="24"/>
          <w:lang w:val="es-ES"/>
        </w:rPr>
        <w:t>CONSIDERACIONES DE LA CREG</w:t>
      </w:r>
    </w:p>
    <w:p w:rsidR="003D03B9" w:rsidRDefault="003D03B9" w:rsidP="003D03B9">
      <w:pPr>
        <w:ind w:left="0"/>
        <w:jc w:val="both"/>
        <w:rPr>
          <w:rFonts w:ascii="Bookman Old Style" w:hAnsi="Bookman Old Style"/>
        </w:rPr>
      </w:pPr>
    </w:p>
    <w:p w:rsidR="003D03B9" w:rsidRDefault="003D03B9" w:rsidP="003D03B9">
      <w:pPr>
        <w:ind w:left="0"/>
        <w:jc w:val="both"/>
        <w:rPr>
          <w:rFonts w:ascii="Bookman Old Style" w:hAnsi="Bookman Old Style"/>
        </w:rPr>
      </w:pPr>
      <w:r w:rsidRPr="003301B8">
        <w:rPr>
          <w:rFonts w:ascii="Bookman Old Style" w:hAnsi="Bookman Old Style"/>
        </w:rPr>
        <w:t>Para dilucidar el planteamiento del recurso de reposición, la Comisión de Regulación de Energía y Gas</w:t>
      </w:r>
      <w:r w:rsidR="0099616D">
        <w:rPr>
          <w:rFonts w:ascii="Bookman Old Style" w:hAnsi="Bookman Old Style"/>
        </w:rPr>
        <w:t xml:space="preserve">, </w:t>
      </w:r>
      <w:r w:rsidRPr="003301B8">
        <w:rPr>
          <w:rFonts w:ascii="Bookman Old Style" w:hAnsi="Bookman Old Style"/>
        </w:rPr>
        <w:t>CREG</w:t>
      </w:r>
      <w:r w:rsidR="0099616D">
        <w:rPr>
          <w:rFonts w:ascii="Bookman Old Style" w:hAnsi="Bookman Old Style"/>
        </w:rPr>
        <w:t>,</w:t>
      </w:r>
      <w:r w:rsidRPr="003301B8">
        <w:rPr>
          <w:rFonts w:ascii="Bookman Old Style" w:hAnsi="Bookman Old Style"/>
        </w:rPr>
        <w:t xml:space="preserve"> efectuará un análisis acerca de los requisitos de la contribución.</w:t>
      </w:r>
    </w:p>
    <w:p w:rsidR="003D03B9" w:rsidRDefault="003D03B9" w:rsidP="003D03B9">
      <w:pPr>
        <w:ind w:left="0"/>
        <w:jc w:val="both"/>
        <w:rPr>
          <w:rFonts w:ascii="Bookman Old Style" w:hAnsi="Bookman Old Style"/>
        </w:rPr>
      </w:pPr>
    </w:p>
    <w:p w:rsidR="003D03B9" w:rsidRPr="003301B8" w:rsidRDefault="003D03B9" w:rsidP="003D03B9">
      <w:pPr>
        <w:pStyle w:val="Prrafodelista"/>
        <w:ind w:left="0"/>
        <w:jc w:val="both"/>
        <w:rPr>
          <w:rFonts w:ascii="Bookman Old Style" w:hAnsi="Bookman Old Style"/>
          <w:sz w:val="24"/>
          <w:szCs w:val="24"/>
        </w:rPr>
      </w:pPr>
      <w:r>
        <w:rPr>
          <w:rFonts w:ascii="Bookman Old Style" w:hAnsi="Bookman Old Style"/>
          <w:sz w:val="24"/>
          <w:szCs w:val="24"/>
        </w:rPr>
        <w:t>En este orden de ideas es necesario precisar que l</w:t>
      </w:r>
      <w:r w:rsidRPr="003301B8">
        <w:rPr>
          <w:rFonts w:ascii="Bookman Old Style" w:hAnsi="Bookman Old Style"/>
          <w:sz w:val="24"/>
          <w:szCs w:val="24"/>
        </w:rPr>
        <w:t>os tributos se clasifican en impuestos, tasas y contribuciones y se pueden definir de la siguiente forma, de acuerdo con la Sentencia C-545 de 1994 con ponencia del Magistrado Fabio Morón Díaz:</w:t>
      </w:r>
    </w:p>
    <w:p w:rsidR="003D03B9" w:rsidRPr="003301B8" w:rsidRDefault="003D03B9" w:rsidP="003D03B9">
      <w:pPr>
        <w:pStyle w:val="NormalWeb"/>
        <w:jc w:val="both"/>
        <w:rPr>
          <w:rFonts w:ascii="Bookman Old Style" w:hAnsi="Bookman Old Style" w:cs="Arial"/>
          <w:iCs/>
        </w:rPr>
      </w:pPr>
      <w:r w:rsidRPr="003301B8">
        <w:rPr>
          <w:rFonts w:ascii="Bookman Old Style" w:hAnsi="Bookman Old Style"/>
        </w:rPr>
        <w:t>IMPUESTOS: R</w:t>
      </w:r>
      <w:r w:rsidRPr="003301B8">
        <w:rPr>
          <w:rFonts w:ascii="Bookman Old Style" w:hAnsi="Bookman Old Style" w:cs="Arial"/>
          <w:iCs/>
        </w:rPr>
        <w:t>epresentan la obligación para el contribuyente de hacer un pago, sin que exista una retribución particular por parte del Estado.</w:t>
      </w:r>
    </w:p>
    <w:p w:rsidR="003D03B9" w:rsidRPr="003301B8" w:rsidRDefault="003D03B9" w:rsidP="003D03B9">
      <w:pPr>
        <w:pStyle w:val="Prrafodelista"/>
        <w:ind w:left="0"/>
        <w:jc w:val="both"/>
        <w:rPr>
          <w:rFonts w:ascii="Bookman Old Style" w:hAnsi="Bookman Old Style"/>
          <w:sz w:val="24"/>
          <w:szCs w:val="24"/>
        </w:rPr>
      </w:pPr>
      <w:r w:rsidRPr="003301B8">
        <w:rPr>
          <w:rFonts w:ascii="Bookman Old Style" w:hAnsi="Bookman Old Style"/>
          <w:sz w:val="24"/>
          <w:szCs w:val="24"/>
        </w:rPr>
        <w:t xml:space="preserve">TASAS: </w:t>
      </w:r>
      <w:r w:rsidRPr="003301B8">
        <w:rPr>
          <w:rFonts w:ascii="Bookman Old Style" w:hAnsi="Bookman Old Style" w:cs="Arial"/>
          <w:iCs/>
          <w:sz w:val="24"/>
          <w:szCs w:val="24"/>
        </w:rPr>
        <w:t>Tributo cuya obligación tiene como hecho generador la prestación efectiva y potencial de un servicio público individualizado en el contribuyente. Su producto no debe tener un destino ajeno al servicio que contribuye al presupuesto de la obligación."</w:t>
      </w:r>
    </w:p>
    <w:p w:rsidR="003D03B9" w:rsidRPr="003301B8" w:rsidRDefault="003D03B9" w:rsidP="003D03B9">
      <w:pPr>
        <w:pStyle w:val="Prrafodelista"/>
        <w:ind w:left="0"/>
        <w:jc w:val="both"/>
        <w:rPr>
          <w:rFonts w:ascii="Bookman Old Style" w:hAnsi="Bookman Old Style"/>
          <w:sz w:val="24"/>
          <w:szCs w:val="24"/>
        </w:rPr>
      </w:pPr>
    </w:p>
    <w:p w:rsidR="003D03B9" w:rsidRPr="003301B8" w:rsidRDefault="003D03B9" w:rsidP="003D03B9">
      <w:pPr>
        <w:pStyle w:val="Prrafodelista"/>
        <w:ind w:left="0"/>
        <w:jc w:val="both"/>
        <w:rPr>
          <w:rFonts w:ascii="Bookman Old Style" w:hAnsi="Bookman Old Style" w:cs="Arial"/>
          <w:iCs/>
          <w:sz w:val="24"/>
          <w:szCs w:val="24"/>
        </w:rPr>
      </w:pPr>
      <w:r w:rsidRPr="003301B8">
        <w:rPr>
          <w:rFonts w:ascii="Bookman Old Style" w:hAnsi="Bookman Old Style"/>
          <w:sz w:val="24"/>
          <w:szCs w:val="24"/>
        </w:rPr>
        <w:t>CONTRIBUCIONES:</w:t>
      </w:r>
      <w:r w:rsidRPr="003301B8">
        <w:rPr>
          <w:rFonts w:ascii="Bookman Old Style" w:hAnsi="Bookman Old Style" w:cs="Arial"/>
          <w:iCs/>
          <w:sz w:val="24"/>
          <w:szCs w:val="24"/>
        </w:rPr>
        <w:t xml:space="preserve"> Todas las cargas fiscales al patrimonio particular, sustentadas en la potestad tributaria del Estado.</w:t>
      </w:r>
    </w:p>
    <w:p w:rsidR="003D03B9" w:rsidRPr="003301B8" w:rsidRDefault="003D03B9" w:rsidP="003D03B9">
      <w:pPr>
        <w:pStyle w:val="Prrafodelista"/>
        <w:ind w:left="0"/>
        <w:jc w:val="both"/>
        <w:rPr>
          <w:rFonts w:ascii="Bookman Old Style" w:hAnsi="Bookman Old Style"/>
          <w:sz w:val="24"/>
          <w:szCs w:val="24"/>
        </w:rPr>
      </w:pPr>
    </w:p>
    <w:p w:rsidR="003D03B9" w:rsidRDefault="003D03B9" w:rsidP="003D03B9">
      <w:pPr>
        <w:pStyle w:val="Prrafodelista"/>
        <w:ind w:left="0"/>
        <w:jc w:val="both"/>
        <w:rPr>
          <w:rFonts w:ascii="Bookman Old Style" w:hAnsi="Bookman Old Style" w:cs="Arial"/>
          <w:iCs/>
          <w:sz w:val="24"/>
          <w:szCs w:val="24"/>
        </w:rPr>
      </w:pPr>
      <w:r w:rsidRPr="003301B8">
        <w:rPr>
          <w:rFonts w:ascii="Bookman Old Style" w:hAnsi="Bookman Old Style"/>
          <w:sz w:val="24"/>
          <w:szCs w:val="24"/>
        </w:rPr>
        <w:t xml:space="preserve">CONTRIBUCIONES ESPECIALES: </w:t>
      </w:r>
      <w:r w:rsidRPr="003301B8">
        <w:rPr>
          <w:rFonts w:ascii="Bookman Old Style" w:hAnsi="Bookman Old Style" w:cs="Arial"/>
          <w:iCs/>
          <w:sz w:val="24"/>
          <w:szCs w:val="24"/>
        </w:rPr>
        <w:t>Es un pago por una inversión que beneficia a un grupo de personas.</w:t>
      </w:r>
    </w:p>
    <w:p w:rsidR="006873B7" w:rsidRDefault="006873B7" w:rsidP="003D03B9">
      <w:pPr>
        <w:pStyle w:val="Prrafodelista"/>
        <w:ind w:left="0"/>
        <w:jc w:val="both"/>
        <w:rPr>
          <w:rFonts w:ascii="Bookman Old Style" w:hAnsi="Bookman Old Style" w:cs="Arial"/>
          <w:iCs/>
          <w:sz w:val="24"/>
          <w:szCs w:val="24"/>
        </w:rPr>
      </w:pPr>
    </w:p>
    <w:p w:rsidR="006873B7" w:rsidRDefault="006873B7" w:rsidP="003D03B9">
      <w:pPr>
        <w:pStyle w:val="Prrafodelista"/>
        <w:ind w:left="0"/>
        <w:jc w:val="both"/>
        <w:rPr>
          <w:rFonts w:ascii="Bookman Old Style" w:hAnsi="Bookman Old Style" w:cs="Arial"/>
          <w:iCs/>
          <w:sz w:val="24"/>
          <w:szCs w:val="24"/>
        </w:rPr>
      </w:pPr>
    </w:p>
    <w:p w:rsidR="006873B7" w:rsidRDefault="006873B7" w:rsidP="003D03B9">
      <w:pPr>
        <w:pStyle w:val="Prrafodelista"/>
        <w:ind w:left="0"/>
        <w:jc w:val="both"/>
        <w:rPr>
          <w:rFonts w:ascii="Bookman Old Style" w:hAnsi="Bookman Old Style" w:cs="Arial"/>
          <w:iCs/>
          <w:sz w:val="24"/>
          <w:szCs w:val="24"/>
        </w:rPr>
      </w:pPr>
    </w:p>
    <w:p w:rsidR="003D03B9" w:rsidRPr="003301B8" w:rsidRDefault="003D03B9" w:rsidP="003D03B9">
      <w:pPr>
        <w:pStyle w:val="Prrafodelista"/>
        <w:ind w:left="0"/>
        <w:jc w:val="both"/>
        <w:rPr>
          <w:rFonts w:ascii="Bookman Old Style" w:hAnsi="Bookman Old Style"/>
          <w:sz w:val="24"/>
          <w:szCs w:val="24"/>
        </w:rPr>
      </w:pPr>
    </w:p>
    <w:p w:rsidR="003D03B9" w:rsidRDefault="003D03B9" w:rsidP="003D03B9">
      <w:pPr>
        <w:pStyle w:val="Prrafodelista"/>
        <w:ind w:left="0"/>
        <w:jc w:val="both"/>
        <w:rPr>
          <w:rFonts w:ascii="Bookman Old Style" w:hAnsi="Bookman Old Style"/>
          <w:sz w:val="24"/>
          <w:szCs w:val="24"/>
        </w:rPr>
      </w:pPr>
      <w:r w:rsidRPr="003301B8">
        <w:rPr>
          <w:rFonts w:ascii="Bookman Old Style" w:hAnsi="Bookman Old Style"/>
          <w:sz w:val="24"/>
          <w:szCs w:val="24"/>
        </w:rPr>
        <w:t>De acuerdo esta clasificación, las normas procedimentales del Estatuto Tributario Nacional son aplicables a los impuestos del orden nacional y a los impuestos de orden territorial, en virtud de lo dispuesto en el artículo 66 de la Ley 383 de 1997 para éste último. Es por esto, que el tributo a que hace referencia el artículo 85.2 de la Ley 142 de 1994, no se clasifica como un impuesto del orden nacional y territorial, sino como una contribución especial, la cual, escapa a la aplicación de las normas procedimentales del Estatuto Tributario Nacional.</w:t>
      </w:r>
    </w:p>
    <w:p w:rsidR="003D03B9" w:rsidRDefault="003D03B9" w:rsidP="003D03B9">
      <w:pPr>
        <w:pStyle w:val="Prrafodelista"/>
        <w:ind w:left="0"/>
        <w:jc w:val="both"/>
        <w:rPr>
          <w:rFonts w:ascii="Bookman Old Style" w:hAnsi="Bookman Old Style"/>
          <w:sz w:val="24"/>
          <w:szCs w:val="24"/>
        </w:rPr>
      </w:pPr>
    </w:p>
    <w:p w:rsidR="003D03B9" w:rsidRDefault="003D03B9" w:rsidP="003D03B9">
      <w:pPr>
        <w:pStyle w:val="Prrafodelista"/>
        <w:ind w:left="0"/>
        <w:jc w:val="both"/>
        <w:rPr>
          <w:rFonts w:ascii="Bookman Old Style" w:hAnsi="Bookman Old Style"/>
          <w:sz w:val="24"/>
          <w:szCs w:val="24"/>
        </w:rPr>
      </w:pPr>
      <w:r>
        <w:rPr>
          <w:rFonts w:ascii="Bookman Old Style" w:hAnsi="Bookman Old Style"/>
          <w:sz w:val="24"/>
          <w:szCs w:val="24"/>
        </w:rPr>
        <w:t>Así las cosas, se trata de una contribución legalmente establecida, ajustada a los principios de legalidad del tributo y cumple con el lleno de requisitos legales para ser exigible por la CREG.</w:t>
      </w:r>
    </w:p>
    <w:p w:rsidR="003D03B9" w:rsidRDefault="003D03B9" w:rsidP="003D03B9">
      <w:pPr>
        <w:pStyle w:val="Prrafodelista"/>
        <w:ind w:left="0"/>
        <w:jc w:val="both"/>
        <w:rPr>
          <w:rFonts w:ascii="Bookman Old Style" w:hAnsi="Bookman Old Style"/>
          <w:sz w:val="24"/>
          <w:szCs w:val="24"/>
        </w:rPr>
      </w:pPr>
    </w:p>
    <w:p w:rsidR="003D03B9" w:rsidRPr="003301B8" w:rsidRDefault="003D03B9" w:rsidP="003D03B9">
      <w:pPr>
        <w:ind w:left="0"/>
        <w:jc w:val="both"/>
        <w:rPr>
          <w:rFonts w:ascii="Bookman Old Style" w:hAnsi="Bookman Old Style"/>
        </w:rPr>
      </w:pPr>
      <w:r w:rsidRPr="003301B8">
        <w:rPr>
          <w:rFonts w:ascii="Bookman Old Style" w:hAnsi="Bookman Old Style"/>
        </w:rPr>
        <w:t>La contribución que se liquidó en el acto administrativo recurrido, fue establecida por la Ley 142 de 1992 “</w:t>
      </w:r>
      <w:r w:rsidRPr="003301B8">
        <w:rPr>
          <w:rFonts w:ascii="Bookman Old Style" w:hAnsi="Bookman Old Style"/>
          <w:i/>
        </w:rPr>
        <w:t>Ley de servicios públicos domiciliarios</w:t>
      </w:r>
      <w:r w:rsidRPr="003301B8">
        <w:rPr>
          <w:rFonts w:ascii="Bookman Old Style" w:hAnsi="Bookman Old Style"/>
        </w:rPr>
        <w:t xml:space="preserve">” artículo 85, de acuerdo con los criterios del numeral 2 y parágrafo 2 de esta disposición, a favor de la Comisión de Regulación de Energía y Gas –CREG- y a cargo de las entidades sometidas a su regulación, con el fin de recuperar los costos de los servicios de regulación que presta la Entidad. </w:t>
      </w:r>
    </w:p>
    <w:p w:rsidR="003D03B9" w:rsidRPr="003301B8" w:rsidRDefault="003D03B9" w:rsidP="003D03B9">
      <w:pPr>
        <w:ind w:left="0"/>
        <w:jc w:val="both"/>
        <w:rPr>
          <w:rFonts w:ascii="Bookman Old Style" w:hAnsi="Bookman Old Style"/>
        </w:rPr>
      </w:pPr>
    </w:p>
    <w:p w:rsidR="003D03B9" w:rsidRPr="003301B8" w:rsidRDefault="003D03B9" w:rsidP="003D03B9">
      <w:pPr>
        <w:ind w:left="0"/>
        <w:jc w:val="both"/>
        <w:rPr>
          <w:rFonts w:ascii="Bookman Old Style" w:hAnsi="Bookman Old Style"/>
        </w:rPr>
      </w:pPr>
      <w:r w:rsidRPr="003301B8">
        <w:rPr>
          <w:rFonts w:ascii="Bookman Old Style" w:hAnsi="Bookman Old Style"/>
        </w:rPr>
        <w:t>La contribución a favor de la Comisión de Regulación de Energía y Gas CREG-, constituye un tributo que como tal, es obligatorio para todas las sociedades sometidas a regulación. Esta obligación fiscal a cargo de las entidades reguladas tiene prevista una sanción moratoria en caso de retardo en su cancelación lo que denota su carácter coercitivo. Como se puede apreciar la contribución va dirigida a un sector específico, como lo son las entidades reguladas por la CREG y su recaudo tiene como destinación cubrir sus gastos de funcionamiento.</w:t>
      </w:r>
    </w:p>
    <w:p w:rsidR="003D03B9" w:rsidRPr="003301B8" w:rsidRDefault="003D03B9" w:rsidP="003D03B9">
      <w:pPr>
        <w:ind w:left="0"/>
        <w:jc w:val="both"/>
        <w:rPr>
          <w:rFonts w:ascii="Bookman Old Style" w:hAnsi="Bookman Old Style"/>
        </w:rPr>
      </w:pPr>
    </w:p>
    <w:p w:rsidR="003D03B9" w:rsidRPr="003301B8" w:rsidRDefault="003D03B9" w:rsidP="003D03B9">
      <w:pPr>
        <w:ind w:left="0"/>
        <w:jc w:val="both"/>
        <w:rPr>
          <w:rFonts w:ascii="Bookman Old Style" w:hAnsi="Bookman Old Style"/>
        </w:rPr>
      </w:pPr>
      <w:r w:rsidRPr="003301B8">
        <w:rPr>
          <w:rFonts w:ascii="Bookman Old Style" w:hAnsi="Bookman Old Style"/>
        </w:rPr>
        <w:t>En este orden de ideas son sujetos pasivos de la contribución a favor de la CREG las entidades sometidas a su regulación control y vigilancia</w:t>
      </w:r>
      <w:r w:rsidRPr="003301B8">
        <w:rPr>
          <w:rStyle w:val="Refdenotaalpie"/>
          <w:rFonts w:ascii="Bookman Old Style" w:hAnsi="Bookman Old Style"/>
        </w:rPr>
        <w:footnoteReference w:id="1"/>
      </w:r>
      <w:r w:rsidRPr="003301B8">
        <w:rPr>
          <w:rFonts w:ascii="Bookman Old Style" w:hAnsi="Bookman Old Style"/>
        </w:rPr>
        <w:t xml:space="preserve">, </w:t>
      </w:r>
    </w:p>
    <w:p w:rsidR="003D03B9" w:rsidRPr="003301B8" w:rsidRDefault="003D03B9" w:rsidP="003D03B9">
      <w:pPr>
        <w:ind w:left="0"/>
        <w:jc w:val="both"/>
        <w:rPr>
          <w:rFonts w:ascii="Bookman Old Style" w:hAnsi="Bookman Old Style"/>
        </w:rPr>
      </w:pPr>
    </w:p>
    <w:p w:rsidR="003D03B9" w:rsidRPr="003301B8" w:rsidRDefault="003D03B9" w:rsidP="003D03B9">
      <w:pPr>
        <w:ind w:left="0"/>
        <w:jc w:val="both"/>
        <w:rPr>
          <w:rFonts w:ascii="Bookman Old Style" w:hAnsi="Bookman Old Style" w:cs="Arial"/>
          <w:bCs/>
        </w:rPr>
      </w:pPr>
      <w:r w:rsidRPr="003301B8">
        <w:rPr>
          <w:rFonts w:ascii="Bookman Old Style" w:hAnsi="Bookman Old Style" w:cs="Arial"/>
          <w:bCs/>
        </w:rPr>
        <w:t>La Comisión de Regulación de Energía y Gas- CREG-, para llevar a cabo la contribución especial se fundamentó en la información del Registro Único de Prestadores de Servicios Púb</w:t>
      </w:r>
      <w:r>
        <w:rPr>
          <w:rFonts w:ascii="Bookman Old Style" w:hAnsi="Bookman Old Style" w:cs="Arial"/>
          <w:bCs/>
        </w:rPr>
        <w:t>licos –RUPS, encontrando que la</w:t>
      </w:r>
      <w:r w:rsidRPr="003301B8">
        <w:rPr>
          <w:rFonts w:ascii="Bookman Old Style" w:hAnsi="Bookman Old Style" w:cs="Arial"/>
          <w:bCs/>
        </w:rPr>
        <w:t xml:space="preserve"> </w:t>
      </w:r>
      <w:r>
        <w:rPr>
          <w:rFonts w:ascii="Bookman Old Style" w:hAnsi="Bookman Old Style" w:cs="Arial"/>
          <w:bCs/>
        </w:rPr>
        <w:t xml:space="preserve">empresa </w:t>
      </w:r>
      <w:r>
        <w:rPr>
          <w:rFonts w:ascii="Bookman Old Style" w:hAnsi="Bookman Old Style" w:cs="Arial"/>
        </w:rPr>
        <w:t xml:space="preserve">NORTESANTANDEREANA DE GAS S.A. E.S.P., SOCIEDAD ABSORBENTE DE GAS DE SANTANDER S.A. E S.P., </w:t>
      </w:r>
      <w:r w:rsidRPr="003301B8">
        <w:rPr>
          <w:rFonts w:ascii="Bookman Old Style" w:hAnsi="Bookman Old Style"/>
          <w:bCs/>
        </w:rPr>
        <w:t>desarrolla actividades objeto de regulación.</w:t>
      </w:r>
    </w:p>
    <w:p w:rsidR="003D03B9" w:rsidRPr="003301B8" w:rsidRDefault="003D03B9" w:rsidP="003D03B9">
      <w:pPr>
        <w:pStyle w:val="NormalWeb"/>
        <w:spacing w:before="0" w:beforeAutospacing="0" w:after="0" w:afterAutospacing="0"/>
        <w:jc w:val="both"/>
        <w:rPr>
          <w:rFonts w:ascii="Bookman Old Style" w:hAnsi="Bookman Old Style" w:cs="Arial"/>
          <w:bCs/>
          <w:lang w:val="es-MX"/>
        </w:rPr>
      </w:pPr>
    </w:p>
    <w:p w:rsidR="003D03B9" w:rsidRDefault="003D03B9" w:rsidP="003D03B9">
      <w:pPr>
        <w:pStyle w:val="Prrafodelista"/>
        <w:ind w:left="0"/>
        <w:jc w:val="both"/>
        <w:rPr>
          <w:rFonts w:ascii="Bookman Old Style" w:hAnsi="Bookman Old Style"/>
          <w:sz w:val="24"/>
          <w:szCs w:val="24"/>
        </w:rPr>
      </w:pPr>
      <w:r w:rsidRPr="003301B8">
        <w:rPr>
          <w:rFonts w:ascii="Bookman Old Style" w:hAnsi="Bookman Old Style"/>
          <w:sz w:val="24"/>
          <w:szCs w:val="24"/>
        </w:rPr>
        <w:t>De la misma forma, el artículo 21 de la Ley 143 de 1994 establece la forma como debe realizarse la liquidación de la contribución especial de las empresas reguladas por la Comisión de Regulación de Energía y Gas –CREG-</w:t>
      </w:r>
    </w:p>
    <w:p w:rsidR="003D03B9" w:rsidRDefault="003D03B9" w:rsidP="003D03B9">
      <w:pPr>
        <w:pStyle w:val="Prrafodelista"/>
        <w:ind w:left="0"/>
        <w:jc w:val="both"/>
        <w:rPr>
          <w:rFonts w:ascii="Bookman Old Style" w:hAnsi="Bookman Old Style"/>
          <w:sz w:val="24"/>
          <w:szCs w:val="24"/>
        </w:rPr>
      </w:pPr>
    </w:p>
    <w:p w:rsidR="003D03B9" w:rsidRPr="00A96759" w:rsidRDefault="003D03B9" w:rsidP="003D03B9">
      <w:pPr>
        <w:ind w:left="0"/>
        <w:jc w:val="both"/>
        <w:rPr>
          <w:rFonts w:ascii="Bookman Old Style" w:hAnsi="Bookman Old Style" w:cs="Arial"/>
        </w:rPr>
      </w:pPr>
      <w:r w:rsidRPr="00A96759">
        <w:rPr>
          <w:rFonts w:ascii="Bookman Old Style" w:hAnsi="Bookman Old Style" w:cs="Arial"/>
        </w:rPr>
        <w:t>Los criterios para la determinación del porcentaje de la contribución y su liquidación se encuentran desarrollados en la Resolución</w:t>
      </w:r>
      <w:r>
        <w:rPr>
          <w:rFonts w:ascii="Bookman Old Style" w:hAnsi="Bookman Old Style" w:cs="Arial"/>
        </w:rPr>
        <w:t xml:space="preserve"> </w:t>
      </w:r>
      <w:r w:rsidRPr="000134CB">
        <w:rPr>
          <w:rFonts w:ascii="Bookman Old Style" w:hAnsi="Bookman Old Style" w:cs="Arial"/>
        </w:rPr>
        <w:t>0</w:t>
      </w:r>
      <w:r>
        <w:rPr>
          <w:rFonts w:ascii="Bookman Old Style" w:hAnsi="Bookman Old Style" w:cs="Arial"/>
        </w:rPr>
        <w:t>39</w:t>
      </w:r>
      <w:r w:rsidRPr="000134CB">
        <w:rPr>
          <w:rFonts w:ascii="Bookman Old Style" w:hAnsi="Bookman Old Style" w:cs="Arial"/>
        </w:rPr>
        <w:t xml:space="preserve"> de 201</w:t>
      </w:r>
      <w:r>
        <w:rPr>
          <w:rFonts w:ascii="Bookman Old Style" w:hAnsi="Bookman Old Style" w:cs="Arial"/>
        </w:rPr>
        <w:t>7</w:t>
      </w:r>
      <w:r w:rsidRPr="000134CB">
        <w:rPr>
          <w:rFonts w:ascii="Bookman Old Style" w:hAnsi="Bookman Old Style" w:cs="Arial"/>
        </w:rPr>
        <w:t xml:space="preserve"> </w:t>
      </w:r>
      <w:r>
        <w:rPr>
          <w:rFonts w:ascii="Bookman Old Style" w:hAnsi="Bookman Old Style" w:cs="Arial"/>
        </w:rPr>
        <w:t>mediante la cual “</w:t>
      </w:r>
      <w:r w:rsidRPr="004226D5">
        <w:rPr>
          <w:rFonts w:ascii="Bookman Old Style" w:hAnsi="Bookman Old Style" w:cs="Arial"/>
          <w:i/>
        </w:rPr>
        <w:t>Por la cual se establece el Reglamento Interno de la Comisión de Regulación de Energía y Gas, CREG</w:t>
      </w:r>
      <w:r>
        <w:rPr>
          <w:rFonts w:ascii="Bookman Old Style" w:hAnsi="Bookman Old Style" w:cs="Arial"/>
          <w:i/>
        </w:rPr>
        <w:t>”</w:t>
      </w:r>
      <w:r>
        <w:rPr>
          <w:rFonts w:ascii="Bookman Old Style" w:hAnsi="Bookman Old Style" w:cs="Arial"/>
        </w:rPr>
        <w:t>.</w:t>
      </w:r>
    </w:p>
    <w:p w:rsidR="003D03B9" w:rsidRPr="00A96759" w:rsidRDefault="003D03B9" w:rsidP="003D03B9">
      <w:pPr>
        <w:ind w:left="0"/>
        <w:jc w:val="both"/>
        <w:rPr>
          <w:rFonts w:ascii="Bookman Old Style" w:hAnsi="Bookman Old Style" w:cs="Arial"/>
        </w:rPr>
      </w:pPr>
    </w:p>
    <w:p w:rsidR="006873B7" w:rsidRDefault="006873B7" w:rsidP="003D03B9">
      <w:pPr>
        <w:ind w:left="0"/>
        <w:jc w:val="both"/>
        <w:rPr>
          <w:rFonts w:ascii="Bookman Old Style" w:hAnsi="Bookman Old Style" w:cs="Arial"/>
        </w:rPr>
      </w:pPr>
    </w:p>
    <w:p w:rsidR="006873B7" w:rsidRDefault="006873B7" w:rsidP="003D03B9">
      <w:pPr>
        <w:ind w:left="0"/>
        <w:jc w:val="both"/>
        <w:rPr>
          <w:rFonts w:ascii="Bookman Old Style" w:hAnsi="Bookman Old Style" w:cs="Arial"/>
        </w:rPr>
      </w:pPr>
    </w:p>
    <w:p w:rsidR="006873B7" w:rsidRDefault="006873B7" w:rsidP="003D03B9">
      <w:pPr>
        <w:ind w:left="0"/>
        <w:jc w:val="both"/>
        <w:rPr>
          <w:rFonts w:ascii="Bookman Old Style" w:hAnsi="Bookman Old Style" w:cs="Arial"/>
        </w:rPr>
      </w:pPr>
    </w:p>
    <w:p w:rsidR="003D03B9" w:rsidRDefault="003D03B9" w:rsidP="003D03B9">
      <w:pPr>
        <w:ind w:left="0"/>
        <w:jc w:val="both"/>
        <w:rPr>
          <w:rFonts w:ascii="Bookman Old Style" w:hAnsi="Bookman Old Style" w:cs="Arial"/>
        </w:rPr>
      </w:pPr>
      <w:r w:rsidRPr="001930C9">
        <w:rPr>
          <w:rFonts w:ascii="Bookman Old Style" w:hAnsi="Bookman Old Style" w:cs="Arial"/>
        </w:rPr>
        <w:t>En el Documento CREG No.105 de 2018 están contenidos los análisis que soportan la propuesta de asignación de porcentaje de contribución que deben pagar las entidades sometidas a la regulación de la CREG para el año 2018.</w:t>
      </w:r>
    </w:p>
    <w:p w:rsidR="003D03B9" w:rsidRDefault="00BF46E5" w:rsidP="003D03B9">
      <w:pPr>
        <w:ind w:left="0"/>
        <w:jc w:val="both"/>
        <w:rPr>
          <w:rFonts w:ascii="Bookman Old Style" w:hAnsi="Bookman Old Style" w:cs="Arial"/>
          <w:lang w:eastAsia="es-CO"/>
        </w:rPr>
      </w:pPr>
      <w:r>
        <w:rPr>
          <w:rFonts w:ascii="Bookman Old Style" w:hAnsi="Bookman Old Style" w:cs="Arial"/>
          <w:lang w:eastAsia="es-CO"/>
        </w:rPr>
        <w:t>Que al respecto el artículo 85 de la Ley 142 de 1994 establece que:</w:t>
      </w:r>
    </w:p>
    <w:p w:rsidR="00BF46E5" w:rsidRDefault="00BF46E5" w:rsidP="003D03B9">
      <w:pPr>
        <w:ind w:left="0"/>
        <w:jc w:val="both"/>
        <w:rPr>
          <w:rFonts w:ascii="Bookman Old Style" w:hAnsi="Bookman Old Style" w:cs="Arial"/>
          <w:lang w:eastAsia="es-CO"/>
        </w:rPr>
      </w:pPr>
    </w:p>
    <w:p w:rsidR="00BF46E5" w:rsidRPr="0054400C" w:rsidRDefault="00BF46E5" w:rsidP="00BF46E5">
      <w:pPr>
        <w:shd w:val="clear" w:color="auto" w:fill="FFFFFF"/>
        <w:ind w:left="0"/>
        <w:jc w:val="both"/>
        <w:rPr>
          <w:rFonts w:ascii="Bookman Old Style" w:hAnsi="Bookman Old Style" w:cs="Arial"/>
          <w:i/>
        </w:rPr>
      </w:pPr>
      <w:r w:rsidRPr="0054400C">
        <w:rPr>
          <w:rFonts w:ascii="Bookman Old Style" w:hAnsi="Bookman Old Style" w:cs="Arial"/>
          <w:i/>
        </w:rPr>
        <w:t>1. Base gravable: La base gravable de cada sujeto pasivo se determinará con base en los costos y gastos totales devengados de acuerdo con la técnica contable menos los impuestos, tasas, contribuciones y los intereses devengados a favor de terceros independientes, del año inmediatamente anterior al de la fecha de liquidación, este resultado se denomina costos y gastos totales depurados. Este valor se multiplicará por la división de los ingresos por actividades ordinarias reguladas y el total de ingresos por actividades ordinarias, conforme a los estados financieros de la vigencia fiscal anterior a la cual se haga su cobro. La base gravable descrita se calculará para cada sujeto pasivo así:</w:t>
      </w:r>
    </w:p>
    <w:p w:rsidR="00BF46E5" w:rsidRPr="0054400C" w:rsidRDefault="00BF46E5" w:rsidP="00BF46E5">
      <w:pPr>
        <w:shd w:val="clear" w:color="auto" w:fill="FFFFFF"/>
        <w:ind w:left="0"/>
        <w:jc w:val="both"/>
        <w:rPr>
          <w:rFonts w:ascii="Bookman Old Style" w:hAnsi="Bookman Old Style" w:cs="Arial"/>
          <w:i/>
        </w:rPr>
      </w:pPr>
      <w:r w:rsidRPr="0054400C">
        <w:rPr>
          <w:rFonts w:ascii="Bookman Old Style" w:hAnsi="Bookman Old Style" w:cs="Arial"/>
          <w:i/>
        </w:rPr>
        <w:t> </w:t>
      </w:r>
    </w:p>
    <w:p w:rsidR="00BF46E5" w:rsidRPr="0054400C" w:rsidRDefault="00BF46E5" w:rsidP="00BF46E5">
      <w:pPr>
        <w:shd w:val="clear" w:color="auto" w:fill="FFFFFF"/>
        <w:ind w:left="0"/>
        <w:jc w:val="both"/>
        <w:rPr>
          <w:rFonts w:ascii="Bookman Old Style" w:hAnsi="Bookman Old Style" w:cs="Arial"/>
          <w:i/>
        </w:rPr>
      </w:pPr>
      <w:r w:rsidRPr="0054400C">
        <w:rPr>
          <w:rFonts w:ascii="Bookman Old Style" w:hAnsi="Bookman Old Style" w:cs="Arial"/>
          <w:i/>
        </w:rPr>
        <w:t>Base gravable = (Costos y Gastos totales depurados) * (Total ingresos actividades ordinarias y sus actividades complementarias de servicios sujetas a inspección vigilancia, control y regulación devengados en el período) / (Total de ingresos de actividades ordinarias devengados en el período).</w:t>
      </w:r>
    </w:p>
    <w:p w:rsidR="00BF46E5" w:rsidRPr="0054400C" w:rsidRDefault="00BF46E5" w:rsidP="00BF46E5">
      <w:pPr>
        <w:shd w:val="clear" w:color="auto" w:fill="FFFFFF"/>
        <w:ind w:left="0"/>
        <w:jc w:val="both"/>
        <w:rPr>
          <w:rFonts w:ascii="Bookman Old Style" w:hAnsi="Bookman Old Style" w:cs="Arial"/>
          <w:i/>
        </w:rPr>
      </w:pPr>
      <w:r w:rsidRPr="0054400C">
        <w:rPr>
          <w:rFonts w:ascii="Bookman Old Style" w:hAnsi="Bookman Old Style" w:cs="Arial"/>
          <w:i/>
        </w:rPr>
        <w:t> </w:t>
      </w:r>
    </w:p>
    <w:p w:rsidR="00BF46E5" w:rsidRPr="0054400C" w:rsidRDefault="00BF46E5" w:rsidP="00BF46E5">
      <w:pPr>
        <w:shd w:val="clear" w:color="auto" w:fill="FFFFFF"/>
        <w:ind w:left="0"/>
        <w:jc w:val="both"/>
        <w:rPr>
          <w:rFonts w:ascii="Bookman Old Style" w:hAnsi="Bookman Old Style" w:cs="Arial"/>
          <w:i/>
        </w:rPr>
      </w:pPr>
      <w:r w:rsidRPr="0054400C">
        <w:rPr>
          <w:rFonts w:ascii="Bookman Old Style" w:hAnsi="Bookman Old Style" w:cs="Arial"/>
          <w:i/>
        </w:rPr>
        <w:t>Se entenderá que es un tercero independiente siempre que no cumpla con alguno de los criterios de vinculación previstos en el artículo 260-1 del Estatuto Tributario.</w:t>
      </w:r>
    </w:p>
    <w:p w:rsidR="00BF46E5" w:rsidRPr="0054400C" w:rsidRDefault="00BF46E5" w:rsidP="00BF46E5">
      <w:pPr>
        <w:shd w:val="clear" w:color="auto" w:fill="FFFFFF"/>
        <w:ind w:left="0"/>
        <w:jc w:val="both"/>
        <w:rPr>
          <w:rFonts w:ascii="Bookman Old Style" w:hAnsi="Bookman Old Style" w:cs="Arial"/>
          <w:i/>
        </w:rPr>
      </w:pPr>
      <w:r w:rsidRPr="0054400C">
        <w:rPr>
          <w:rFonts w:ascii="Bookman Old Style" w:hAnsi="Bookman Old Style" w:cs="Arial"/>
          <w:i/>
        </w:rPr>
        <w:t> </w:t>
      </w:r>
    </w:p>
    <w:p w:rsidR="00BF46E5" w:rsidRPr="0054400C" w:rsidRDefault="00BF46E5" w:rsidP="00BF46E5">
      <w:pPr>
        <w:shd w:val="clear" w:color="auto" w:fill="FFFFFF"/>
        <w:ind w:left="0"/>
        <w:jc w:val="both"/>
        <w:rPr>
          <w:rFonts w:ascii="Bookman Old Style" w:hAnsi="Bookman Old Style" w:cs="Arial"/>
          <w:i/>
        </w:rPr>
      </w:pPr>
      <w:r w:rsidRPr="0054400C">
        <w:rPr>
          <w:rFonts w:ascii="Bookman Old Style" w:hAnsi="Bookman Old Style" w:cs="Arial"/>
          <w:i/>
        </w:rPr>
        <w:t>2. Tarifa: La tarifa de cada contribución especial se determinará por cada uno de los sujetos activos de la contribución de manera independiente, tomando el valor del presupuesto neto de la entidad correspondiente en el año a financiar, incluidos la totalidad de gastos de funcionamiento e inversión, el cual se dividirá por la suma de las bases gravables determinadas para los sujetos pasivos conforme a los estados financieros de la vigencia fiscal anterior.</w:t>
      </w:r>
    </w:p>
    <w:p w:rsidR="00BF46E5" w:rsidRPr="0054400C" w:rsidRDefault="00BF46E5" w:rsidP="00BF46E5">
      <w:pPr>
        <w:shd w:val="clear" w:color="auto" w:fill="FFFFFF"/>
        <w:ind w:left="0"/>
        <w:jc w:val="both"/>
        <w:rPr>
          <w:rFonts w:ascii="Bookman Old Style" w:hAnsi="Bookman Old Style" w:cs="Arial"/>
          <w:i/>
        </w:rPr>
      </w:pPr>
      <w:r w:rsidRPr="0054400C">
        <w:rPr>
          <w:rFonts w:ascii="Bookman Old Style" w:hAnsi="Bookman Old Style" w:cs="Arial"/>
          <w:i/>
        </w:rPr>
        <w:t> </w:t>
      </w:r>
    </w:p>
    <w:p w:rsidR="00BF46E5" w:rsidRPr="0054400C" w:rsidRDefault="00BF46E5" w:rsidP="00BF46E5">
      <w:pPr>
        <w:shd w:val="clear" w:color="auto" w:fill="FFFFFF"/>
        <w:ind w:left="0"/>
        <w:jc w:val="both"/>
        <w:rPr>
          <w:rFonts w:ascii="Bookman Old Style" w:hAnsi="Bookman Old Style" w:cs="Arial"/>
          <w:i/>
        </w:rPr>
      </w:pPr>
      <w:r w:rsidRPr="0054400C">
        <w:rPr>
          <w:rFonts w:ascii="Bookman Old Style" w:hAnsi="Bookman Old Style" w:cs="Arial"/>
          <w:i/>
        </w:rPr>
        <w:t>Tarifa de contribución de sujeto activo = (Presupuesto a financiar de sujeto activo) / (Suma de bases gravables de sujetos pasivos).</w:t>
      </w:r>
    </w:p>
    <w:p w:rsidR="00BF46E5" w:rsidRPr="0054400C" w:rsidRDefault="00BF46E5" w:rsidP="00BF46E5">
      <w:pPr>
        <w:shd w:val="clear" w:color="auto" w:fill="FFFFFF"/>
        <w:ind w:left="0"/>
        <w:jc w:val="both"/>
        <w:rPr>
          <w:rFonts w:ascii="Bookman Old Style" w:hAnsi="Bookman Old Style" w:cs="Arial"/>
          <w:i/>
        </w:rPr>
      </w:pPr>
      <w:r w:rsidRPr="0054400C">
        <w:rPr>
          <w:rFonts w:ascii="Bookman Old Style" w:hAnsi="Bookman Old Style" w:cs="Arial"/>
          <w:i/>
        </w:rPr>
        <w:t> </w:t>
      </w:r>
    </w:p>
    <w:p w:rsidR="00BF46E5" w:rsidRPr="0054400C" w:rsidRDefault="00BF46E5" w:rsidP="00BF46E5">
      <w:pPr>
        <w:shd w:val="clear" w:color="auto" w:fill="FFFFFF"/>
        <w:ind w:left="0"/>
        <w:jc w:val="both"/>
        <w:rPr>
          <w:rFonts w:ascii="Bookman Old Style" w:hAnsi="Bookman Old Style" w:cs="Arial"/>
          <w:i/>
        </w:rPr>
      </w:pPr>
      <w:r w:rsidRPr="0054400C">
        <w:rPr>
          <w:rFonts w:ascii="Bookman Old Style" w:hAnsi="Bookman Old Style" w:cs="Arial"/>
          <w:i/>
        </w:rPr>
        <w:t>3. Hecho generador. El hecho generador de cada contribución especial por parte de los sujetos pasivos, será la prestación de los servicios sometidos a inspección, control, vigilancia y la venta de sus bienes vigilados o regulados. (subrayado fuera del texto original)</w:t>
      </w:r>
    </w:p>
    <w:p w:rsidR="00BF46E5" w:rsidRPr="0054400C" w:rsidRDefault="00BF46E5" w:rsidP="00BF46E5">
      <w:pPr>
        <w:shd w:val="clear" w:color="auto" w:fill="FFFFFF"/>
        <w:ind w:left="0"/>
        <w:jc w:val="both"/>
        <w:rPr>
          <w:rFonts w:ascii="Bookman Old Style" w:hAnsi="Bookman Old Style" w:cs="Arial"/>
          <w:i/>
        </w:rPr>
      </w:pPr>
      <w:r w:rsidRPr="0054400C">
        <w:rPr>
          <w:rFonts w:ascii="Bookman Old Style" w:hAnsi="Bookman Old Style" w:cs="Arial"/>
          <w:i/>
        </w:rPr>
        <w:t> </w:t>
      </w:r>
    </w:p>
    <w:p w:rsidR="00BF46E5" w:rsidRPr="0054400C" w:rsidRDefault="00BF46E5" w:rsidP="00BF46E5">
      <w:pPr>
        <w:shd w:val="clear" w:color="auto" w:fill="FFFFFF"/>
        <w:ind w:left="0"/>
        <w:jc w:val="both"/>
        <w:rPr>
          <w:rFonts w:ascii="Bookman Old Style" w:hAnsi="Bookman Old Style" w:cs="Arial"/>
          <w:i/>
        </w:rPr>
      </w:pPr>
      <w:r w:rsidRPr="0054400C">
        <w:rPr>
          <w:rFonts w:ascii="Bookman Old Style" w:hAnsi="Bookman Old Style" w:cs="Arial"/>
          <w:i/>
        </w:rPr>
        <w:t>4. Sujetos pasivos. Los sujetos pasivos de la contribución especial son las personas prestadoras de servicios públicos domiciliarios, conforme a los artículos </w:t>
      </w:r>
      <w:hyperlink r:id="rId10" w:anchor="15" w:history="1">
        <w:r w:rsidRPr="0054400C">
          <w:rPr>
            <w:rFonts w:ascii="Bookman Old Style" w:hAnsi="Bookman Old Style" w:cs="Arial"/>
            <w:i/>
          </w:rPr>
          <w:t>15</w:t>
        </w:r>
      </w:hyperlink>
      <w:r w:rsidRPr="0054400C">
        <w:rPr>
          <w:rFonts w:ascii="Bookman Old Style" w:hAnsi="Bookman Old Style" w:cs="Arial"/>
          <w:i/>
        </w:rPr>
        <w:t> y </w:t>
      </w:r>
      <w:hyperlink r:id="rId11" w:anchor="16" w:history="1">
        <w:r w:rsidRPr="0054400C">
          <w:rPr>
            <w:rFonts w:ascii="Bookman Old Style" w:hAnsi="Bookman Old Style" w:cs="Arial"/>
            <w:i/>
          </w:rPr>
          <w:t>16</w:t>
        </w:r>
      </w:hyperlink>
      <w:r w:rsidRPr="0054400C">
        <w:rPr>
          <w:rFonts w:ascii="Bookman Old Style" w:hAnsi="Bookman Old Style" w:cs="Arial"/>
          <w:i/>
        </w:rPr>
        <w:t> de la Ley 142 de 1994, y todos aquellos que inciden directa o indirectamente en la prestación de los servicios públicos domiciliarios; las personas prestadoras de la cadena de combustibles líquidos y las personas prestadoras del servicio de alumbrado público. Tratándose de la CREG también lo serán las personas prestadoras a que hace referencia el artículo </w:t>
      </w:r>
      <w:hyperlink r:id="rId12" w:anchor="61" w:history="1">
        <w:r w:rsidRPr="0054400C">
          <w:rPr>
            <w:rFonts w:ascii="Bookman Old Style" w:hAnsi="Bookman Old Style" w:cs="Arial"/>
            <w:i/>
          </w:rPr>
          <w:t>61</w:t>
        </w:r>
      </w:hyperlink>
      <w:r w:rsidRPr="0054400C">
        <w:rPr>
          <w:rFonts w:ascii="Bookman Old Style" w:hAnsi="Bookman Old Style" w:cs="Arial"/>
          <w:i/>
        </w:rPr>
        <w:t> de la Ley 812 de 2003 y el Decreto número </w:t>
      </w:r>
      <w:hyperlink r:id="rId13" w:anchor="0" w:history="1">
        <w:r w:rsidRPr="0054400C">
          <w:rPr>
            <w:rFonts w:ascii="Bookman Old Style" w:hAnsi="Bookman Old Style" w:cs="Arial"/>
            <w:i/>
          </w:rPr>
          <w:t>4299</w:t>
        </w:r>
      </w:hyperlink>
      <w:r w:rsidRPr="0054400C">
        <w:rPr>
          <w:rFonts w:ascii="Bookman Old Style" w:hAnsi="Bookman Old Style" w:cs="Arial"/>
          <w:i/>
        </w:rPr>
        <w:t> de 2005, o las normas que lo modifiquen, sustituyan o deroguen, con excepción de los distribuidores minoristas en estación de servicio en un municipio ubicado en zona de frontera.</w:t>
      </w:r>
    </w:p>
    <w:p w:rsidR="00BF46E5" w:rsidRPr="0054400C" w:rsidRDefault="00BF46E5" w:rsidP="00BF46E5">
      <w:pPr>
        <w:shd w:val="clear" w:color="auto" w:fill="FFFFFF"/>
        <w:ind w:left="0"/>
        <w:jc w:val="both"/>
        <w:rPr>
          <w:rFonts w:ascii="Bookman Old Style" w:hAnsi="Bookman Old Style" w:cs="Arial"/>
          <w:i/>
        </w:rPr>
      </w:pPr>
      <w:r w:rsidRPr="0054400C">
        <w:rPr>
          <w:rFonts w:ascii="Bookman Old Style" w:hAnsi="Bookman Old Style" w:cs="Arial"/>
          <w:i/>
        </w:rPr>
        <w:t> </w:t>
      </w:r>
    </w:p>
    <w:p w:rsidR="006873B7" w:rsidRDefault="006873B7" w:rsidP="00BF46E5">
      <w:pPr>
        <w:shd w:val="clear" w:color="auto" w:fill="FFFFFF"/>
        <w:ind w:left="0"/>
        <w:jc w:val="both"/>
        <w:rPr>
          <w:rFonts w:ascii="Bookman Old Style" w:hAnsi="Bookman Old Style" w:cs="Arial"/>
          <w:i/>
        </w:rPr>
      </w:pPr>
    </w:p>
    <w:p w:rsidR="006873B7" w:rsidRDefault="006873B7" w:rsidP="00BF46E5">
      <w:pPr>
        <w:shd w:val="clear" w:color="auto" w:fill="FFFFFF"/>
        <w:ind w:left="0"/>
        <w:jc w:val="both"/>
        <w:rPr>
          <w:rFonts w:ascii="Bookman Old Style" w:hAnsi="Bookman Old Style" w:cs="Arial"/>
          <w:i/>
        </w:rPr>
      </w:pPr>
    </w:p>
    <w:p w:rsidR="00BF46E5" w:rsidRPr="0054400C" w:rsidRDefault="00BF46E5" w:rsidP="00BF46E5">
      <w:pPr>
        <w:shd w:val="clear" w:color="auto" w:fill="FFFFFF"/>
        <w:ind w:left="0"/>
        <w:jc w:val="both"/>
        <w:rPr>
          <w:rFonts w:ascii="Bookman Old Style" w:hAnsi="Bookman Old Style" w:cs="Arial"/>
          <w:i/>
        </w:rPr>
      </w:pPr>
      <w:r w:rsidRPr="0054400C">
        <w:rPr>
          <w:rFonts w:ascii="Bookman Old Style" w:hAnsi="Bookman Old Style" w:cs="Arial"/>
          <w:i/>
        </w:rPr>
        <w:t>Parágrafo 1°. El Gobierno nacional reglamentará las características y condiciones especiales que se requieran para la determinación de las contribuciones especiales a que hace referencia el presente artículo, así como los asuntos relacionados con la declaración, administración, fiscalización, el cálculo, cobro, recaudo y aplicación del anticipo y demás aspectos relacionados con obligaciones formales y de procedimiento. Las sanciones e intereses por el incumplimiento de las obligaciones formales y sustanciales relacionadas con la contribución especial serán las mismas establecidas en el Estatuto Tributario para el impuesto sobre la renta y complementarios.</w:t>
      </w:r>
    </w:p>
    <w:p w:rsidR="00BF46E5" w:rsidRPr="0054400C" w:rsidRDefault="00BF46E5" w:rsidP="00BF46E5">
      <w:pPr>
        <w:shd w:val="clear" w:color="auto" w:fill="FFFFFF"/>
        <w:ind w:left="0"/>
        <w:jc w:val="both"/>
        <w:rPr>
          <w:rFonts w:ascii="Bookman Old Style" w:hAnsi="Bookman Old Style" w:cs="Arial"/>
          <w:i/>
        </w:rPr>
      </w:pPr>
      <w:r w:rsidRPr="0054400C">
        <w:rPr>
          <w:rFonts w:ascii="Bookman Old Style" w:hAnsi="Bookman Old Style" w:cs="Arial"/>
          <w:i/>
        </w:rPr>
        <w:t> </w:t>
      </w:r>
    </w:p>
    <w:p w:rsidR="00BF46E5" w:rsidRPr="0054400C" w:rsidRDefault="00BF46E5" w:rsidP="00BF46E5">
      <w:pPr>
        <w:shd w:val="clear" w:color="auto" w:fill="FFFFFF"/>
        <w:ind w:left="0"/>
        <w:jc w:val="both"/>
        <w:rPr>
          <w:rFonts w:ascii="Bookman Old Style" w:hAnsi="Bookman Old Style" w:cs="Arial"/>
          <w:i/>
        </w:rPr>
      </w:pPr>
      <w:r w:rsidRPr="0054400C">
        <w:rPr>
          <w:rFonts w:ascii="Bookman Old Style" w:hAnsi="Bookman Old Style" w:cs="Arial"/>
          <w:i/>
        </w:rPr>
        <w:t>Parágrafo 2°. El manejo de los recursos del pago de las contribuciones especiales de la CRA y la CREG a que hace referencia el presente artículo se realizará de acuerdo con los mecanismos previstos en los artículos </w:t>
      </w:r>
      <w:hyperlink r:id="rId14" w:anchor="72" w:history="1">
        <w:r w:rsidRPr="0054400C">
          <w:rPr>
            <w:rFonts w:ascii="Bookman Old Style" w:hAnsi="Bookman Old Style" w:cs="Arial"/>
            <w:i/>
          </w:rPr>
          <w:t>72</w:t>
        </w:r>
      </w:hyperlink>
      <w:r w:rsidRPr="0054400C">
        <w:rPr>
          <w:rFonts w:ascii="Bookman Old Style" w:hAnsi="Bookman Old Style" w:cs="Arial"/>
          <w:i/>
        </w:rPr>
        <w:t> de la Ley 142 de 1994 y </w:t>
      </w:r>
      <w:hyperlink r:id="rId15" w:anchor="21" w:history="1">
        <w:r w:rsidRPr="0054400C">
          <w:rPr>
            <w:rFonts w:ascii="Bookman Old Style" w:hAnsi="Bookman Old Style" w:cs="Arial"/>
            <w:i/>
          </w:rPr>
          <w:t>21</w:t>
        </w:r>
      </w:hyperlink>
      <w:r w:rsidRPr="0054400C">
        <w:rPr>
          <w:rFonts w:ascii="Bookman Old Style" w:hAnsi="Bookman Old Style" w:cs="Arial"/>
          <w:i/>
        </w:rPr>
        <w:t> de la Ley 143 de 1994. En el evento de existir excedentes de la contribución especial de la CREG provenientes de las actividades reguladas de combustibles líquidos, debido a recursos no ejecutados en el período presupuestal, dichos excedentes serán compensados al pago de la contribución especial de cada empresa del sector de combustibles líquidos en la siguiente vigencia fiscal.</w:t>
      </w:r>
    </w:p>
    <w:p w:rsidR="00BF46E5" w:rsidRPr="0054400C" w:rsidRDefault="00BF46E5" w:rsidP="00BF46E5">
      <w:pPr>
        <w:shd w:val="clear" w:color="auto" w:fill="FFFFFF"/>
        <w:ind w:left="0"/>
        <w:jc w:val="both"/>
        <w:rPr>
          <w:rFonts w:ascii="Bookman Old Style" w:hAnsi="Bookman Old Style" w:cs="Arial"/>
          <w:i/>
        </w:rPr>
      </w:pPr>
      <w:r w:rsidRPr="0054400C">
        <w:rPr>
          <w:rFonts w:ascii="Bookman Old Style" w:hAnsi="Bookman Old Style" w:cs="Arial"/>
          <w:i/>
        </w:rPr>
        <w:t> </w:t>
      </w:r>
    </w:p>
    <w:p w:rsidR="00BF46E5" w:rsidRPr="0054400C" w:rsidRDefault="00BF46E5" w:rsidP="00BF46E5">
      <w:pPr>
        <w:shd w:val="clear" w:color="auto" w:fill="FFFFFF"/>
        <w:ind w:left="0"/>
        <w:jc w:val="both"/>
        <w:rPr>
          <w:rFonts w:ascii="Bookman Old Style" w:hAnsi="Bookman Old Style" w:cs="Arial"/>
          <w:i/>
        </w:rPr>
      </w:pPr>
      <w:r w:rsidRPr="0054400C">
        <w:rPr>
          <w:rFonts w:ascii="Bookman Old Style" w:hAnsi="Bookman Old Style" w:cs="Arial"/>
          <w:i/>
        </w:rPr>
        <w:t>Parágrafo 3°. Los sujetos pasivos objeto de la presente contribución están obligados a reportar a más tardar el 30 de abril de cada vigencia la información requerida para el cálculo de la tarifa y la liquidación de la contribución especial en el formato que para el efecto defina la CRA, la CREG y la SSPD a través del SUI.</w:t>
      </w:r>
    </w:p>
    <w:p w:rsidR="00BF46E5" w:rsidRPr="0054400C" w:rsidRDefault="00BF46E5" w:rsidP="00BF46E5">
      <w:pPr>
        <w:shd w:val="clear" w:color="auto" w:fill="FFFFFF"/>
        <w:ind w:left="0"/>
        <w:jc w:val="both"/>
        <w:rPr>
          <w:rFonts w:ascii="Bookman Old Style" w:hAnsi="Bookman Old Style" w:cs="Arial"/>
          <w:i/>
        </w:rPr>
      </w:pPr>
      <w:r w:rsidRPr="0054400C">
        <w:rPr>
          <w:rFonts w:ascii="Bookman Old Style" w:hAnsi="Bookman Old Style" w:cs="Arial"/>
          <w:i/>
        </w:rPr>
        <w:t> </w:t>
      </w:r>
    </w:p>
    <w:p w:rsidR="00BF46E5" w:rsidRPr="0054400C" w:rsidRDefault="00BF46E5" w:rsidP="00BF46E5">
      <w:pPr>
        <w:shd w:val="clear" w:color="auto" w:fill="FFFFFF"/>
        <w:ind w:left="0"/>
        <w:jc w:val="both"/>
        <w:rPr>
          <w:rFonts w:ascii="Bookman Old Style" w:hAnsi="Bookman Old Style" w:cs="Arial"/>
          <w:i/>
        </w:rPr>
      </w:pPr>
      <w:r w:rsidRPr="0054400C">
        <w:rPr>
          <w:rFonts w:ascii="Bookman Old Style" w:hAnsi="Bookman Old Style" w:cs="Arial"/>
          <w:i/>
        </w:rPr>
        <w:t>El no reporte de información, en las condiciones de oportunidad, calidad e integralidad definidos por la SSPD, generará la imposición de las sanciones a que hubiere lugar.</w:t>
      </w:r>
    </w:p>
    <w:p w:rsidR="00BF46E5" w:rsidRPr="0054400C" w:rsidRDefault="00BF46E5" w:rsidP="00BF46E5">
      <w:pPr>
        <w:shd w:val="clear" w:color="auto" w:fill="FFFFFF"/>
        <w:ind w:left="0"/>
        <w:jc w:val="both"/>
        <w:rPr>
          <w:rFonts w:ascii="Bookman Old Style" w:hAnsi="Bookman Old Style" w:cs="Arial"/>
          <w:i/>
        </w:rPr>
      </w:pPr>
      <w:r w:rsidRPr="0054400C">
        <w:rPr>
          <w:rFonts w:ascii="Bookman Old Style" w:hAnsi="Bookman Old Style" w:cs="Arial"/>
          <w:i/>
        </w:rPr>
        <w:t> </w:t>
      </w:r>
    </w:p>
    <w:p w:rsidR="00BF46E5" w:rsidRPr="0054400C" w:rsidRDefault="00BF46E5" w:rsidP="00BF46E5">
      <w:pPr>
        <w:shd w:val="clear" w:color="auto" w:fill="FFFFFF"/>
        <w:ind w:left="0"/>
        <w:jc w:val="both"/>
        <w:rPr>
          <w:rFonts w:ascii="Bookman Old Style" w:hAnsi="Bookman Old Style" w:cs="Arial"/>
          <w:i/>
        </w:rPr>
      </w:pPr>
      <w:r w:rsidRPr="0054400C">
        <w:rPr>
          <w:rFonts w:ascii="Bookman Old Style" w:hAnsi="Bookman Old Style" w:cs="Arial"/>
          <w:i/>
        </w:rPr>
        <w:t>Parágrafo transitorio. Para la vigencia de 2019 el plazo para el cargue de la información será el 31 de julio.</w:t>
      </w:r>
    </w:p>
    <w:p w:rsidR="00BF46E5" w:rsidRPr="00BF46E5" w:rsidRDefault="00BF46E5" w:rsidP="00BF46E5">
      <w:pPr>
        <w:shd w:val="clear" w:color="auto" w:fill="FFFFFF"/>
        <w:ind w:left="0"/>
        <w:jc w:val="both"/>
        <w:rPr>
          <w:i/>
          <w:color w:val="181717"/>
          <w:sz w:val="21"/>
          <w:szCs w:val="21"/>
          <w:lang w:val="es-CO" w:eastAsia="es-CO"/>
        </w:rPr>
      </w:pPr>
    </w:p>
    <w:p w:rsidR="00BF46E5" w:rsidRDefault="00BF46E5" w:rsidP="003D03B9">
      <w:pPr>
        <w:ind w:left="0"/>
        <w:jc w:val="both"/>
        <w:rPr>
          <w:rFonts w:ascii="Bookman Old Style" w:hAnsi="Bookman Old Style" w:cs="Arial"/>
          <w:lang w:eastAsia="es-CO"/>
        </w:rPr>
      </w:pPr>
      <w:r>
        <w:rPr>
          <w:rFonts w:ascii="Bookman Old Style" w:hAnsi="Bookman Old Style" w:cs="Arial"/>
          <w:lang w:eastAsia="es-CO"/>
        </w:rPr>
        <w:t xml:space="preserve">En este orden de ideas, la ley 142 de 1994 que establece la contribución a favor de la CREG no consagro el pago de la contribución por fracción de año, por este motivo y en aras de garantizar la legalidad del tributo no es procedente acceder a la petición del interesado. </w:t>
      </w:r>
    </w:p>
    <w:p w:rsidR="00BF46E5" w:rsidRDefault="00BF46E5" w:rsidP="003D03B9">
      <w:pPr>
        <w:ind w:left="0"/>
        <w:jc w:val="both"/>
        <w:rPr>
          <w:rFonts w:ascii="Bookman Old Style" w:hAnsi="Bookman Old Style" w:cs="Arial"/>
          <w:lang w:eastAsia="es-CO"/>
        </w:rPr>
      </w:pPr>
    </w:p>
    <w:p w:rsidR="00BF46E5" w:rsidRDefault="00BF46E5" w:rsidP="00BF46E5">
      <w:pPr>
        <w:ind w:left="0"/>
        <w:jc w:val="both"/>
        <w:rPr>
          <w:rFonts w:ascii="Bookman Old Style" w:hAnsi="Bookman Old Style" w:cs="Arial"/>
          <w:lang w:eastAsia="es-CO"/>
        </w:rPr>
      </w:pPr>
      <w:r>
        <w:rPr>
          <w:rFonts w:ascii="Bookman Old Style" w:hAnsi="Bookman Old Style" w:cs="Arial"/>
          <w:lang w:eastAsia="es-CO"/>
        </w:rPr>
        <w:t>Por otro lado</w:t>
      </w:r>
      <w:r w:rsidR="0054400C">
        <w:rPr>
          <w:rFonts w:ascii="Bookman Old Style" w:hAnsi="Bookman Old Style" w:cs="Arial"/>
          <w:lang w:eastAsia="es-CO"/>
        </w:rPr>
        <w:t>,</w:t>
      </w:r>
      <w:r>
        <w:rPr>
          <w:rFonts w:ascii="Bookman Old Style" w:hAnsi="Bookman Old Style" w:cs="Arial"/>
          <w:lang w:eastAsia="es-CO"/>
        </w:rPr>
        <w:t xml:space="preserve"> se observa que si bien, en agosto de 2018 se realizó el movimiento entre las sociedades no menos cierto resulta que la sociedad </w:t>
      </w:r>
      <w:r>
        <w:rPr>
          <w:rFonts w:ascii="Bookman Old Style" w:hAnsi="Bookman Old Style" w:cs="Arial"/>
        </w:rPr>
        <w:t xml:space="preserve">GAS DE SANTANDER S.A. E S.P., se encuentra catalogado como sujeto pasivo de contribución a favor de la CREG </w:t>
      </w:r>
      <w:r w:rsidR="0054400C">
        <w:rPr>
          <w:rFonts w:ascii="Bookman Old Style" w:hAnsi="Bookman Old Style" w:cs="Arial"/>
        </w:rPr>
        <w:t xml:space="preserve">por cuanto realizó las actividades objeto de este cobro durante el año 2017 </w:t>
      </w:r>
      <w:r>
        <w:rPr>
          <w:rFonts w:ascii="Bookman Old Style" w:hAnsi="Bookman Old Style" w:cs="Arial"/>
        </w:rPr>
        <w:t>y por ende debe darse aplicación a los presupuestos establecidos para el cobro de dicho tributo.</w:t>
      </w:r>
    </w:p>
    <w:p w:rsidR="00BF46E5" w:rsidRPr="00BF46E5" w:rsidRDefault="00BF46E5" w:rsidP="003D03B9">
      <w:pPr>
        <w:ind w:left="0"/>
        <w:jc w:val="both"/>
        <w:rPr>
          <w:rFonts w:ascii="Bookman Old Style" w:hAnsi="Bookman Old Style" w:cs="Arial"/>
          <w:lang w:eastAsia="es-CO"/>
        </w:rPr>
      </w:pPr>
    </w:p>
    <w:p w:rsidR="003D03B9" w:rsidRPr="00B3569D" w:rsidRDefault="003D03B9" w:rsidP="00AA524A">
      <w:pPr>
        <w:ind w:left="0"/>
        <w:jc w:val="both"/>
        <w:rPr>
          <w:rFonts w:ascii="Bookman Old Style" w:hAnsi="Bookman Old Style"/>
          <w:lang w:val="es-CO"/>
        </w:rPr>
      </w:pPr>
      <w:r w:rsidRPr="00B3569D">
        <w:rPr>
          <w:rFonts w:ascii="Bookman Old Style" w:hAnsi="Bookman Old Style"/>
          <w:spacing w:val="-3"/>
        </w:rPr>
        <w:t>Por las razones expuestas, la Comisión de Regulación de Energía y Gas</w:t>
      </w:r>
      <w:r w:rsidR="001930C9">
        <w:rPr>
          <w:rFonts w:ascii="Bookman Old Style" w:hAnsi="Bookman Old Style"/>
          <w:spacing w:val="-3"/>
        </w:rPr>
        <w:t>, CREG</w:t>
      </w:r>
      <w:r w:rsidRPr="00B3569D">
        <w:rPr>
          <w:rFonts w:ascii="Bookman Old Style" w:hAnsi="Bookman Old Style"/>
          <w:spacing w:val="-3"/>
        </w:rPr>
        <w:t>,</w:t>
      </w:r>
      <w:r w:rsidR="001930C9">
        <w:rPr>
          <w:rFonts w:ascii="Bookman Old Style" w:hAnsi="Bookman Old Style"/>
          <w:spacing w:val="-3"/>
        </w:rPr>
        <w:t xml:space="preserve"> en la sesión 960 del 22 de noviembre de 2019, aprobó la presente resolución.</w:t>
      </w:r>
    </w:p>
    <w:p w:rsidR="003D03B9" w:rsidRPr="00B3569D" w:rsidRDefault="003D03B9" w:rsidP="003D03B9">
      <w:pPr>
        <w:tabs>
          <w:tab w:val="center" w:pos="4512"/>
        </w:tabs>
        <w:suppressAutoHyphens/>
        <w:ind w:left="0"/>
        <w:jc w:val="both"/>
        <w:rPr>
          <w:rFonts w:ascii="Bookman Old Style" w:hAnsi="Bookman Old Style"/>
          <w:b/>
          <w:spacing w:val="-3"/>
        </w:rPr>
      </w:pPr>
    </w:p>
    <w:p w:rsidR="003D03B9" w:rsidRPr="003301B8" w:rsidRDefault="003D03B9" w:rsidP="003D03B9">
      <w:pPr>
        <w:tabs>
          <w:tab w:val="center" w:pos="4512"/>
        </w:tabs>
        <w:suppressAutoHyphens/>
        <w:ind w:left="170"/>
        <w:jc w:val="center"/>
        <w:rPr>
          <w:rFonts w:ascii="Bookman Old Style" w:hAnsi="Bookman Old Style"/>
          <w:b/>
          <w:spacing w:val="-3"/>
        </w:rPr>
      </w:pPr>
      <w:r w:rsidRPr="003301B8">
        <w:rPr>
          <w:rFonts w:ascii="Bookman Old Style" w:hAnsi="Bookman Old Style"/>
          <w:b/>
          <w:spacing w:val="-3"/>
        </w:rPr>
        <w:t>R E S U E L V E:</w:t>
      </w:r>
    </w:p>
    <w:p w:rsidR="003D03B9" w:rsidRPr="003301B8" w:rsidRDefault="003D03B9" w:rsidP="003D03B9">
      <w:pPr>
        <w:ind w:left="0"/>
        <w:jc w:val="both"/>
        <w:rPr>
          <w:rFonts w:ascii="Bookman Old Style" w:hAnsi="Bookman Old Style"/>
          <w:b/>
        </w:rPr>
      </w:pPr>
    </w:p>
    <w:p w:rsidR="003D03B9" w:rsidRPr="003301B8" w:rsidRDefault="003D03B9" w:rsidP="003D03B9">
      <w:pPr>
        <w:ind w:left="0"/>
        <w:jc w:val="both"/>
        <w:rPr>
          <w:rFonts w:ascii="Bookman Old Style" w:hAnsi="Bookman Old Style"/>
        </w:rPr>
      </w:pPr>
      <w:r w:rsidRPr="003301B8">
        <w:rPr>
          <w:rFonts w:ascii="Bookman Old Style" w:hAnsi="Bookman Old Style"/>
          <w:b/>
        </w:rPr>
        <w:t>ARTÍCULO 1.</w:t>
      </w:r>
      <w:r w:rsidRPr="003301B8">
        <w:rPr>
          <w:rFonts w:ascii="Bookman Old Style" w:hAnsi="Bookman Old Style"/>
        </w:rPr>
        <w:t xml:space="preserve"> </w:t>
      </w:r>
      <w:r w:rsidR="00BF46E5">
        <w:rPr>
          <w:rFonts w:ascii="Bookman Old Style" w:hAnsi="Bookman Old Style"/>
          <w:b/>
        </w:rPr>
        <w:t>CONFIRMAR</w:t>
      </w:r>
      <w:r w:rsidRPr="003301B8">
        <w:rPr>
          <w:rFonts w:ascii="Bookman Old Style" w:hAnsi="Bookman Old Style"/>
          <w:b/>
        </w:rPr>
        <w:t xml:space="preserve"> </w:t>
      </w:r>
      <w:r w:rsidR="00EF577D" w:rsidRPr="00EF577D">
        <w:rPr>
          <w:rFonts w:ascii="Bookman Old Style" w:hAnsi="Bookman Old Style"/>
        </w:rPr>
        <w:t>e</w:t>
      </w:r>
      <w:r w:rsidRPr="00EF577D">
        <w:rPr>
          <w:rFonts w:ascii="Bookman Old Style" w:hAnsi="Bookman Old Style"/>
        </w:rPr>
        <w:t>l</w:t>
      </w:r>
      <w:r w:rsidRPr="003301B8">
        <w:rPr>
          <w:rFonts w:ascii="Bookman Old Style" w:hAnsi="Bookman Old Style"/>
        </w:rPr>
        <w:t xml:space="preserve"> artículo primero de la </w:t>
      </w:r>
      <w:r w:rsidR="00E316FF">
        <w:rPr>
          <w:rFonts w:ascii="Bookman Old Style" w:hAnsi="Bookman Old Style"/>
        </w:rPr>
        <w:t>R</w:t>
      </w:r>
      <w:r w:rsidRPr="003301B8">
        <w:rPr>
          <w:rFonts w:ascii="Bookman Old Style" w:hAnsi="Bookman Old Style"/>
        </w:rPr>
        <w:t>esolución CREG</w:t>
      </w:r>
      <w:r w:rsidR="00E316FF">
        <w:rPr>
          <w:rFonts w:ascii="Bookman Old Style" w:hAnsi="Bookman Old Style"/>
        </w:rPr>
        <w:t xml:space="preserve"> </w:t>
      </w:r>
      <w:r>
        <w:rPr>
          <w:rFonts w:ascii="Bookman Old Style" w:hAnsi="Bookman Old Style"/>
        </w:rPr>
        <w:t>139 de 2018</w:t>
      </w:r>
      <w:r w:rsidRPr="003301B8">
        <w:rPr>
          <w:rFonts w:ascii="Bookman Old Style" w:hAnsi="Bookman Old Style"/>
        </w:rPr>
        <w:t>, en la cual se señala la base gra</w:t>
      </w:r>
      <w:r>
        <w:rPr>
          <w:rFonts w:ascii="Bookman Old Style" w:hAnsi="Bookman Old Style"/>
        </w:rPr>
        <w:t>vable y el valor a pagar por la empresa</w:t>
      </w:r>
      <w:r w:rsidRPr="003301B8">
        <w:rPr>
          <w:rFonts w:ascii="Bookman Old Style" w:hAnsi="Bookman Old Style"/>
        </w:rPr>
        <w:t xml:space="preserve"> </w:t>
      </w:r>
      <w:r>
        <w:rPr>
          <w:rFonts w:ascii="Bookman Old Style" w:hAnsi="Bookman Old Style" w:cs="Arial"/>
        </w:rPr>
        <w:lastRenderedPageBreak/>
        <w:t xml:space="preserve">NORTESANTANDEREANA DE GAS S.A. E.S.P., SOCIEDAD ABSORBENTE DE GAS DE SANTANDER S.A. E S.P., </w:t>
      </w:r>
      <w:r w:rsidRPr="003301B8">
        <w:rPr>
          <w:rFonts w:ascii="Bookman Old Style" w:hAnsi="Bookman Old Style"/>
        </w:rPr>
        <w:t>con fundamento en las razones expuestas en la parte motiva de este proveído.</w:t>
      </w:r>
    </w:p>
    <w:p w:rsidR="003D03B9" w:rsidRPr="003301B8" w:rsidRDefault="003D03B9" w:rsidP="003D03B9">
      <w:pPr>
        <w:ind w:left="0"/>
        <w:jc w:val="both"/>
        <w:rPr>
          <w:rFonts w:ascii="Bookman Old Style" w:hAnsi="Bookman Old Style"/>
          <w:bCs/>
        </w:rPr>
      </w:pPr>
    </w:p>
    <w:p w:rsidR="003D03B9" w:rsidRPr="003301B8" w:rsidRDefault="003D03B9" w:rsidP="003D03B9">
      <w:pPr>
        <w:ind w:left="0"/>
        <w:jc w:val="both"/>
        <w:rPr>
          <w:rFonts w:ascii="Bookman Old Style" w:hAnsi="Bookman Old Style"/>
        </w:rPr>
      </w:pPr>
      <w:r w:rsidRPr="003301B8">
        <w:rPr>
          <w:rFonts w:ascii="Bookman Old Style" w:hAnsi="Bookman Old Style"/>
          <w:b/>
        </w:rPr>
        <w:t>ARTÍCULO 2.</w:t>
      </w:r>
      <w:r w:rsidRPr="003301B8">
        <w:rPr>
          <w:rFonts w:ascii="Bookman Old Style" w:hAnsi="Bookman Old Style"/>
        </w:rPr>
        <w:t xml:space="preserve"> </w:t>
      </w:r>
      <w:r w:rsidRPr="003301B8">
        <w:rPr>
          <w:rFonts w:ascii="Bookman Old Style" w:hAnsi="Bookman Old Style"/>
        </w:rPr>
        <w:tab/>
      </w:r>
      <w:r w:rsidRPr="003301B8">
        <w:rPr>
          <w:rFonts w:ascii="Bookman Old Style" w:hAnsi="Bookman Old Style"/>
          <w:b/>
        </w:rPr>
        <w:t xml:space="preserve">INFORMAR </w:t>
      </w:r>
      <w:r w:rsidRPr="003301B8">
        <w:rPr>
          <w:rFonts w:ascii="Bookman Old Style" w:hAnsi="Bookman Old Style"/>
        </w:rPr>
        <w:t xml:space="preserve">a quien corresponda el contenido de la presente resolución para que efectué </w:t>
      </w:r>
      <w:r w:rsidR="00BF46E5">
        <w:rPr>
          <w:rFonts w:ascii="Bookman Old Style" w:hAnsi="Bookman Old Style"/>
        </w:rPr>
        <w:t xml:space="preserve">el trámite de cobro </w:t>
      </w:r>
      <w:r>
        <w:rPr>
          <w:rFonts w:ascii="Bookman Old Style" w:hAnsi="Bookman Old Style"/>
        </w:rPr>
        <w:t xml:space="preserve">de la </w:t>
      </w:r>
      <w:r w:rsidR="00E316FF">
        <w:rPr>
          <w:rFonts w:ascii="Bookman Old Style" w:hAnsi="Bookman Old Style"/>
        </w:rPr>
        <w:t>R</w:t>
      </w:r>
      <w:r>
        <w:rPr>
          <w:rFonts w:ascii="Bookman Old Style" w:hAnsi="Bookman Old Style"/>
        </w:rPr>
        <w:t>esolución 139 de 2018</w:t>
      </w:r>
      <w:r w:rsidR="00BF46E5">
        <w:rPr>
          <w:rFonts w:ascii="Bookman Old Style" w:hAnsi="Bookman Old Style"/>
        </w:rPr>
        <w:t>, una vez cumplidos los términos legales</w:t>
      </w:r>
      <w:r w:rsidRPr="003301B8">
        <w:rPr>
          <w:rFonts w:ascii="Bookman Old Style" w:hAnsi="Bookman Old Style"/>
        </w:rPr>
        <w:t>.</w:t>
      </w:r>
    </w:p>
    <w:p w:rsidR="003D03B9" w:rsidRPr="003301B8" w:rsidRDefault="003D03B9" w:rsidP="003D03B9">
      <w:pPr>
        <w:ind w:left="0"/>
        <w:jc w:val="both"/>
        <w:rPr>
          <w:rFonts w:ascii="Bookman Old Style" w:hAnsi="Bookman Old Style" w:cs="Arial"/>
          <w:color w:val="000000"/>
        </w:rPr>
      </w:pPr>
    </w:p>
    <w:p w:rsidR="003D03B9" w:rsidRPr="003301B8" w:rsidRDefault="003D03B9" w:rsidP="003D03B9">
      <w:pPr>
        <w:ind w:left="0"/>
        <w:jc w:val="both"/>
        <w:rPr>
          <w:rFonts w:ascii="Bookman Old Style" w:hAnsi="Bookman Old Style" w:cs="Arial"/>
        </w:rPr>
      </w:pPr>
      <w:r w:rsidRPr="003301B8">
        <w:rPr>
          <w:rFonts w:ascii="Bookman Old Style" w:hAnsi="Bookman Old Style"/>
          <w:b/>
        </w:rPr>
        <w:t xml:space="preserve">ARTÍCULO 3. NOTIFICAR </w:t>
      </w:r>
      <w:r w:rsidRPr="003301B8">
        <w:rPr>
          <w:rFonts w:ascii="Bookman Old Style" w:hAnsi="Bookman Old Style"/>
        </w:rPr>
        <w:t>al representante legal de la</w:t>
      </w:r>
      <w:r>
        <w:rPr>
          <w:rFonts w:ascii="Bookman Old Style" w:hAnsi="Bookman Old Style"/>
        </w:rPr>
        <w:t xml:space="preserve"> empresa</w:t>
      </w:r>
      <w:r w:rsidRPr="003301B8">
        <w:rPr>
          <w:rFonts w:ascii="Bookman Old Style" w:hAnsi="Bookman Old Style"/>
        </w:rPr>
        <w:t xml:space="preserve"> </w:t>
      </w:r>
      <w:r>
        <w:rPr>
          <w:rFonts w:ascii="Bookman Old Style" w:hAnsi="Bookman Old Style" w:cs="Arial"/>
        </w:rPr>
        <w:t xml:space="preserve">NORTESANTANDEREANA DE GAS S.A. E.S.P., SOCIEDAD ABSORBENTE DE GAS DE SANTANDER S.A. E S.P., </w:t>
      </w:r>
      <w:r w:rsidRPr="003301B8">
        <w:rPr>
          <w:rFonts w:ascii="Bookman Old Style" w:hAnsi="Bookman Old Style" w:cs="Arial"/>
        </w:rPr>
        <w:t xml:space="preserve">el contenido de la presente resolución, conforme con lo establecido en los artículos 67 y </w:t>
      </w:r>
      <w:proofErr w:type="spellStart"/>
      <w:r w:rsidRPr="003301B8">
        <w:rPr>
          <w:rFonts w:ascii="Bookman Old Style" w:hAnsi="Bookman Old Style" w:cs="Arial"/>
        </w:rPr>
        <w:t>ss</w:t>
      </w:r>
      <w:proofErr w:type="spellEnd"/>
      <w:r w:rsidRPr="003301B8">
        <w:rPr>
          <w:rFonts w:ascii="Bookman Old Style" w:hAnsi="Bookman Old Style" w:cs="Arial"/>
        </w:rPr>
        <w:t xml:space="preserve"> del Código de Procedimiento Administrativo y de lo Contencioso Administrativo. </w:t>
      </w:r>
    </w:p>
    <w:p w:rsidR="003D03B9" w:rsidRPr="003301B8" w:rsidRDefault="003D03B9" w:rsidP="003D03B9">
      <w:pPr>
        <w:ind w:left="170"/>
        <w:jc w:val="both"/>
        <w:rPr>
          <w:rFonts w:ascii="Bookman Old Style" w:hAnsi="Bookman Old Style" w:cs="Arial"/>
        </w:rPr>
      </w:pPr>
    </w:p>
    <w:p w:rsidR="003D03B9" w:rsidRPr="003301B8" w:rsidRDefault="003D03B9" w:rsidP="003D03B9">
      <w:pPr>
        <w:ind w:left="0"/>
        <w:jc w:val="both"/>
        <w:rPr>
          <w:rFonts w:ascii="Bookman Old Style" w:hAnsi="Bookman Old Style"/>
        </w:rPr>
      </w:pPr>
      <w:r w:rsidRPr="003301B8">
        <w:rPr>
          <w:rFonts w:ascii="Bookman Old Style" w:hAnsi="Bookman Old Style"/>
          <w:b/>
        </w:rPr>
        <w:t xml:space="preserve">ARTÍCULO 4. </w:t>
      </w:r>
      <w:r w:rsidRPr="003301B8">
        <w:rPr>
          <w:rFonts w:ascii="Bookman Old Style" w:hAnsi="Bookman Old Style"/>
        </w:rPr>
        <w:t>Contra la presente resolución no procede recurso alguno, quedando por lo tanto agotada la vía gubernativa.</w:t>
      </w:r>
    </w:p>
    <w:p w:rsidR="003D03B9" w:rsidRPr="003301B8" w:rsidRDefault="003D03B9" w:rsidP="003D03B9">
      <w:pPr>
        <w:ind w:left="0"/>
        <w:jc w:val="both"/>
        <w:rPr>
          <w:rFonts w:ascii="Bookman Old Style" w:hAnsi="Bookman Old Style" w:cs="Arial"/>
        </w:rPr>
      </w:pPr>
    </w:p>
    <w:p w:rsidR="003D03B9" w:rsidRPr="003301B8" w:rsidRDefault="003D03B9" w:rsidP="003D03B9">
      <w:pPr>
        <w:ind w:left="0"/>
        <w:jc w:val="both"/>
        <w:rPr>
          <w:rFonts w:ascii="Bookman Old Style" w:hAnsi="Bookman Old Style" w:cs="Arial"/>
        </w:rPr>
      </w:pPr>
    </w:p>
    <w:p w:rsidR="003D03B9" w:rsidRPr="003301B8" w:rsidRDefault="003D03B9" w:rsidP="003D03B9">
      <w:pPr>
        <w:ind w:left="0"/>
        <w:jc w:val="center"/>
        <w:rPr>
          <w:rFonts w:ascii="Bookman Old Style" w:hAnsi="Bookman Old Style" w:cs="Arial"/>
          <w:b/>
        </w:rPr>
      </w:pPr>
      <w:r w:rsidRPr="003301B8">
        <w:rPr>
          <w:rFonts w:ascii="Bookman Old Style" w:hAnsi="Bookman Old Style" w:cs="Arial"/>
          <w:b/>
        </w:rPr>
        <w:t>NOTIFÍQUESE Y CÚMPLASE</w:t>
      </w:r>
    </w:p>
    <w:p w:rsidR="003D03B9" w:rsidRPr="003301B8" w:rsidRDefault="003D03B9" w:rsidP="003D03B9">
      <w:pPr>
        <w:ind w:left="0"/>
        <w:jc w:val="center"/>
        <w:rPr>
          <w:rFonts w:ascii="Bookman Old Style" w:hAnsi="Bookman Old Style" w:cs="Arial"/>
          <w:b/>
        </w:rPr>
      </w:pPr>
    </w:p>
    <w:p w:rsidR="003D03B9" w:rsidRPr="003301B8" w:rsidRDefault="003D03B9" w:rsidP="003D03B9">
      <w:pPr>
        <w:ind w:left="0"/>
        <w:rPr>
          <w:rFonts w:ascii="Bookman Old Style" w:hAnsi="Bookman Old Style" w:cs="Arial"/>
        </w:rPr>
      </w:pPr>
    </w:p>
    <w:p w:rsidR="003D03B9" w:rsidRDefault="003D03B9" w:rsidP="003D03B9">
      <w:pPr>
        <w:ind w:left="0"/>
        <w:rPr>
          <w:rFonts w:ascii="Bookman Old Style" w:hAnsi="Bookman Old Style" w:cs="Arial"/>
        </w:rPr>
      </w:pPr>
      <w:r w:rsidRPr="003301B8">
        <w:rPr>
          <w:rFonts w:ascii="Bookman Old Style" w:hAnsi="Bookman Old Style" w:cs="Arial"/>
        </w:rPr>
        <w:t>Dada en Bogotá D.C, a</w:t>
      </w:r>
    </w:p>
    <w:p w:rsidR="006873B7" w:rsidRDefault="006873B7" w:rsidP="003D03B9">
      <w:pPr>
        <w:ind w:left="0"/>
        <w:rPr>
          <w:rFonts w:ascii="Bookman Old Style" w:hAnsi="Bookman Old Style" w:cs="Arial"/>
        </w:rPr>
      </w:pPr>
    </w:p>
    <w:p w:rsidR="006873B7" w:rsidRDefault="006873B7" w:rsidP="003D03B9">
      <w:pPr>
        <w:ind w:left="0"/>
        <w:rPr>
          <w:rFonts w:ascii="Bookman Old Style" w:hAnsi="Bookman Old Style" w:cs="Arial"/>
        </w:rPr>
      </w:pPr>
    </w:p>
    <w:p w:rsidR="006873B7" w:rsidRDefault="006873B7" w:rsidP="003D03B9">
      <w:pPr>
        <w:ind w:left="0"/>
        <w:rPr>
          <w:rFonts w:ascii="Bookman Old Style" w:hAnsi="Bookman Old Style" w:cs="Arial"/>
        </w:rPr>
      </w:pPr>
    </w:p>
    <w:p w:rsidR="006873B7" w:rsidRDefault="006873B7" w:rsidP="003D03B9">
      <w:pPr>
        <w:ind w:left="0"/>
        <w:rPr>
          <w:rFonts w:ascii="Bookman Old Style" w:hAnsi="Bookman Old Style" w:cs="Arial"/>
        </w:rPr>
      </w:pPr>
      <w:bookmarkStart w:id="0" w:name="_GoBack"/>
      <w:bookmarkEnd w:id="0"/>
    </w:p>
    <w:p w:rsidR="006873B7" w:rsidRDefault="006873B7" w:rsidP="003D03B9">
      <w:pPr>
        <w:ind w:left="0"/>
        <w:rPr>
          <w:rFonts w:ascii="Bookman Old Style" w:hAnsi="Bookman Old Style" w:cs="Arial"/>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6873B7" w:rsidTr="006873B7">
        <w:trPr>
          <w:tblCellSpacing w:w="0" w:type="dxa"/>
        </w:trPr>
        <w:tc>
          <w:tcPr>
            <w:tcW w:w="5104" w:type="dxa"/>
            <w:shd w:val="clear" w:color="auto" w:fill="FFFFFF"/>
            <w:hideMark/>
          </w:tcPr>
          <w:p w:rsidR="006873B7" w:rsidRDefault="006873B7">
            <w:pPr>
              <w:ind w:left="0"/>
              <w:jc w:val="center"/>
              <w:rPr>
                <w:rFonts w:ascii="Bookman Old Style" w:hAnsi="Bookman Old Style" w:cs="Arial"/>
                <w:b/>
                <w:sz w:val="23"/>
                <w:szCs w:val="23"/>
                <w:lang w:val="es-CO" w:eastAsia="es-CO"/>
              </w:rPr>
            </w:pPr>
            <w:r>
              <w:rPr>
                <w:rFonts w:ascii="Bookman Old Style" w:hAnsi="Bookman Old Style"/>
                <w:b/>
              </w:rPr>
              <w:t>DIEGO MESA PUYO</w:t>
            </w:r>
          </w:p>
        </w:tc>
        <w:tc>
          <w:tcPr>
            <w:tcW w:w="4536" w:type="dxa"/>
            <w:shd w:val="clear" w:color="auto" w:fill="FFFFFF"/>
            <w:hideMark/>
          </w:tcPr>
          <w:p w:rsidR="006873B7" w:rsidRDefault="006873B7">
            <w:pPr>
              <w:ind w:left="142"/>
              <w:jc w:val="center"/>
              <w:rPr>
                <w:rFonts w:ascii="Bookman Old Style" w:hAnsi="Bookman Old Style" w:cs="Arial"/>
                <w:sz w:val="23"/>
                <w:szCs w:val="23"/>
                <w:lang w:val="es-CO" w:eastAsia="es-CO"/>
              </w:rPr>
            </w:pPr>
            <w:r>
              <w:rPr>
                <w:rFonts w:ascii="Bookman Old Style" w:hAnsi="Bookman Old Style" w:cs="Arial"/>
                <w:b/>
                <w:bCs/>
                <w:szCs w:val="23"/>
                <w:lang w:val="es-CO" w:eastAsia="es-CO"/>
              </w:rPr>
              <w:t>CHRISTIAN JARAMILLO HERRERA</w:t>
            </w:r>
          </w:p>
        </w:tc>
      </w:tr>
      <w:tr w:rsidR="006873B7" w:rsidTr="006873B7">
        <w:trPr>
          <w:tblCellSpacing w:w="0" w:type="dxa"/>
        </w:trPr>
        <w:tc>
          <w:tcPr>
            <w:tcW w:w="5104" w:type="dxa"/>
            <w:shd w:val="clear" w:color="auto" w:fill="FFFFFF"/>
            <w:hideMark/>
          </w:tcPr>
          <w:p w:rsidR="006873B7" w:rsidRDefault="006873B7">
            <w:pPr>
              <w:ind w:left="0"/>
              <w:jc w:val="center"/>
              <w:rPr>
                <w:rFonts w:ascii="Bookman Old Style" w:hAnsi="Bookman Old Style" w:cs="Arial"/>
                <w:lang w:val="es-CO" w:eastAsia="es-CO"/>
              </w:rPr>
            </w:pPr>
            <w:r>
              <w:rPr>
                <w:rFonts w:ascii="Bookman Old Style" w:hAnsi="Bookman Old Style"/>
              </w:rPr>
              <w:t>Viceministro de Energía, delegado de la Ministra de Minas y Energía</w:t>
            </w:r>
          </w:p>
        </w:tc>
        <w:tc>
          <w:tcPr>
            <w:tcW w:w="4536" w:type="dxa"/>
            <w:shd w:val="clear" w:color="auto" w:fill="FFFFFF"/>
            <w:hideMark/>
          </w:tcPr>
          <w:p w:rsidR="006873B7" w:rsidRDefault="006873B7">
            <w:pPr>
              <w:ind w:left="142"/>
              <w:jc w:val="center"/>
              <w:rPr>
                <w:rFonts w:ascii="Bookman Old Style" w:hAnsi="Bookman Old Style" w:cs="Arial"/>
                <w:lang w:val="es-CO" w:eastAsia="es-CO"/>
              </w:rPr>
            </w:pPr>
            <w:r>
              <w:rPr>
                <w:rFonts w:ascii="Bookman Old Style" w:hAnsi="Bookman Old Style" w:cs="Arial"/>
                <w:lang w:val="es-CO" w:eastAsia="es-CO"/>
              </w:rPr>
              <w:t>Director Ejecutivo</w:t>
            </w:r>
          </w:p>
        </w:tc>
      </w:tr>
      <w:tr w:rsidR="006873B7" w:rsidTr="006873B7">
        <w:trPr>
          <w:tblCellSpacing w:w="0" w:type="dxa"/>
        </w:trPr>
        <w:tc>
          <w:tcPr>
            <w:tcW w:w="5104" w:type="dxa"/>
            <w:shd w:val="clear" w:color="auto" w:fill="FFFFFF"/>
            <w:hideMark/>
          </w:tcPr>
          <w:p w:rsidR="006873B7" w:rsidRDefault="006873B7">
            <w:pPr>
              <w:ind w:left="0"/>
              <w:jc w:val="center"/>
              <w:rPr>
                <w:rFonts w:ascii="Bookman Old Style" w:hAnsi="Bookman Old Style" w:cs="Arial"/>
                <w:lang w:val="es-CO" w:eastAsia="es-CO"/>
              </w:rPr>
            </w:pPr>
            <w:r>
              <w:rPr>
                <w:rFonts w:ascii="Bookman Old Style" w:hAnsi="Bookman Old Style" w:cs="Arial"/>
                <w:lang w:val="es-CO" w:eastAsia="es-CO"/>
              </w:rPr>
              <w:t>Presidente</w:t>
            </w:r>
          </w:p>
        </w:tc>
        <w:tc>
          <w:tcPr>
            <w:tcW w:w="4536" w:type="dxa"/>
            <w:shd w:val="clear" w:color="auto" w:fill="FFFFFF"/>
            <w:hideMark/>
          </w:tcPr>
          <w:p w:rsidR="006873B7" w:rsidRDefault="006873B7">
            <w:pPr>
              <w:ind w:left="142"/>
              <w:rPr>
                <w:rFonts w:ascii="Bookman Old Style" w:hAnsi="Bookman Old Style" w:cs="Arial"/>
                <w:lang w:val="es-CO" w:eastAsia="es-CO"/>
              </w:rPr>
            </w:pPr>
            <w:r>
              <w:rPr>
                <w:rFonts w:ascii="Bookman Old Style" w:hAnsi="Bookman Old Style" w:cs="Arial"/>
                <w:noProof/>
                <w:lang w:val="es-CO" w:eastAsia="es-CO"/>
              </w:rPr>
              <w:drawing>
                <wp:inline distT="0" distB="0" distL="0" distR="0">
                  <wp:extent cx="9525" cy="9525"/>
                  <wp:effectExtent l="0" t="0" r="0" b="0"/>
                  <wp:docPr id="2" name="Imagen 2"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apolo.creg.gov.co/icons/ec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873B7" w:rsidRPr="003301B8" w:rsidRDefault="006873B7" w:rsidP="003D03B9">
      <w:pPr>
        <w:ind w:left="0"/>
        <w:rPr>
          <w:rFonts w:ascii="Bookman Old Style" w:hAnsi="Bookman Old Style" w:cs="Arial"/>
        </w:rPr>
      </w:pPr>
    </w:p>
    <w:p w:rsidR="003D03B9" w:rsidRPr="003301B8" w:rsidRDefault="003D03B9" w:rsidP="003D03B9">
      <w:pPr>
        <w:ind w:left="0"/>
        <w:jc w:val="both"/>
        <w:rPr>
          <w:rFonts w:ascii="Bookman Old Style" w:hAnsi="Bookman Old Style" w:cs="Arial"/>
          <w:b/>
        </w:rPr>
      </w:pPr>
    </w:p>
    <w:p w:rsidR="003D03B9" w:rsidRPr="003301B8" w:rsidRDefault="003D03B9" w:rsidP="003D03B9">
      <w:pPr>
        <w:rPr>
          <w:rFonts w:ascii="Bookman Old Style" w:hAnsi="Bookman Old Style"/>
        </w:rPr>
      </w:pPr>
    </w:p>
    <w:p w:rsidR="003D03B9" w:rsidRDefault="003D03B9" w:rsidP="003D03B9"/>
    <w:p w:rsidR="003D03B9" w:rsidRDefault="003D03B9" w:rsidP="003D03B9"/>
    <w:p w:rsidR="003C6F78" w:rsidRDefault="003C6F78"/>
    <w:sectPr w:rsidR="003C6F78" w:rsidSect="00337231">
      <w:headerReference w:type="default" r:id="rId17"/>
      <w:headerReference w:type="first" r:id="rId18"/>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CC0" w:rsidRDefault="00647CC0" w:rsidP="003D03B9">
      <w:r>
        <w:separator/>
      </w:r>
    </w:p>
  </w:endnote>
  <w:endnote w:type="continuationSeparator" w:id="0">
    <w:p w:rsidR="00647CC0" w:rsidRDefault="00647CC0" w:rsidP="003D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CC0" w:rsidRDefault="00647CC0" w:rsidP="003D03B9">
      <w:r>
        <w:separator/>
      </w:r>
    </w:p>
  </w:footnote>
  <w:footnote w:type="continuationSeparator" w:id="0">
    <w:p w:rsidR="00647CC0" w:rsidRDefault="00647CC0" w:rsidP="003D03B9">
      <w:r>
        <w:continuationSeparator/>
      </w:r>
    </w:p>
  </w:footnote>
  <w:footnote w:id="1">
    <w:p w:rsidR="003D03B9" w:rsidRPr="000C6060" w:rsidRDefault="003D03B9" w:rsidP="003D03B9">
      <w:pPr>
        <w:pStyle w:val="Textonotapie"/>
      </w:pPr>
      <w:r>
        <w:rPr>
          <w:rStyle w:val="Refdenotaalpie"/>
        </w:rPr>
        <w:footnoteRef/>
      </w:r>
      <w:r>
        <w:t xml:space="preserve"> Artículo 85 Ley 142 de 1994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6873B7" w:rsidP="00951F79">
    <w:pPr>
      <w:pStyle w:val="Ttulo1"/>
      <w:ind w:right="6"/>
      <w:jc w:val="left"/>
      <w:rPr>
        <w:rFonts w:ascii="Bookman Old Style" w:hAnsi="Bookman Old Style" w:cs="Arial"/>
        <w:b w:val="0"/>
        <w:sz w:val="22"/>
        <w:szCs w:val="22"/>
      </w:rPr>
    </w:pPr>
  </w:p>
  <w:p w:rsidR="00227116" w:rsidRPr="00951F79" w:rsidRDefault="009A244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6873B7">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6873B7" w:rsidRPr="006873B7">
        <w:rPr>
          <w:rFonts w:ascii="Bookman Old Style" w:hAnsi="Bookman Old Style" w:cs="Arial"/>
          <w:b w:val="0"/>
          <w:noProof/>
          <w:sz w:val="22"/>
          <w:szCs w:val="22"/>
        </w:rPr>
        <w:t>7</w:t>
      </w:r>
    </w:fldSimple>
  </w:p>
  <w:p w:rsidR="00227116" w:rsidRDefault="009A2447"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4D114605" wp14:editId="2AB80EB3">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42D4D"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227116" w:rsidRPr="00617704" w:rsidRDefault="009A2447" w:rsidP="00617704">
    <w:pPr>
      <w:ind w:left="0"/>
      <w:jc w:val="both"/>
      <w:rPr>
        <w:rFonts w:ascii="Bookman Old Style" w:hAnsi="Bookman Old Style" w:cs="Arial"/>
        <w:sz w:val="22"/>
        <w:szCs w:val="22"/>
      </w:rPr>
    </w:pPr>
    <w:r w:rsidRPr="00617704">
      <w:rPr>
        <w:rFonts w:ascii="Bookman Old Style" w:hAnsi="Bookman Old Style" w:cs="Arial"/>
        <w:sz w:val="22"/>
        <w:szCs w:val="22"/>
      </w:rPr>
      <w:t xml:space="preserve">Por medio de la cual se resuelve </w:t>
    </w:r>
    <w:r w:rsidR="004C61D0" w:rsidRPr="004C61D0">
      <w:rPr>
        <w:rFonts w:ascii="Bookman Old Style" w:hAnsi="Bookman Old Style" w:cs="Arial"/>
        <w:sz w:val="22"/>
        <w:szCs w:val="22"/>
      </w:rPr>
      <w:t xml:space="preserve">el recurso de reposición interpuesto por NORTESANTANDEREANA DE GAS S.A. E.S.P., SOCIEDAD ABSORBENTE DE GAS DE SANTANDER S.A. E S.P, </w:t>
    </w:r>
    <w:r w:rsidRPr="00617704">
      <w:rPr>
        <w:rFonts w:ascii="Bookman Old Style" w:hAnsi="Bookman Old Style" w:cs="Arial"/>
        <w:sz w:val="22"/>
        <w:szCs w:val="22"/>
      </w:rPr>
      <w:t xml:space="preserve">en contra de la Resolución CREG </w:t>
    </w:r>
    <w:r>
      <w:rPr>
        <w:rFonts w:ascii="Bookman Old Style" w:hAnsi="Bookman Old Style" w:cs="Arial"/>
        <w:sz w:val="22"/>
        <w:szCs w:val="22"/>
      </w:rPr>
      <w:t>162 de 2017</w:t>
    </w:r>
  </w:p>
  <w:p w:rsidR="00227116" w:rsidRPr="00CB5DD0" w:rsidRDefault="006873B7" w:rsidP="00AD01E4">
    <w:pPr>
      <w:pBdr>
        <w:bottom w:val="single" w:sz="4" w:space="1" w:color="auto"/>
      </w:pBdr>
      <w:ind w:left="142" w:right="148"/>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9A2447"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27116" w:rsidRDefault="006873B7">
    <w:pPr>
      <w:pStyle w:val="Encabezado"/>
      <w:jc w:val="center"/>
      <w:rPr>
        <w:rFonts w:ascii="Arial" w:hAnsi="Arial" w:cs="Arial"/>
        <w:spacing w:val="20"/>
        <w:sz w:val="20"/>
      </w:rPr>
    </w:pPr>
  </w:p>
  <w:p w:rsidR="00227116" w:rsidRDefault="009A244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7218BD8B" wp14:editId="3A2C798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0D4FD"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Arial" w:hAnsi="Arial" w:cs="Arial"/>
        <w:b/>
        <w:bCs/>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bCs/>
        <w:i w:val="0"/>
        <w:iCs w:val="0"/>
        <w:smallCaps w:val="0"/>
        <w:strike w:val="0"/>
        <w:color w:val="000000"/>
        <w:spacing w:val="0"/>
        <w:w w:val="100"/>
        <w:position w:val="0"/>
        <w:sz w:val="24"/>
        <w:szCs w:val="24"/>
        <w:u w:val="none"/>
      </w:rPr>
    </w:lvl>
    <w:lvl w:ilvl="2">
      <w:start w:val="1"/>
      <w:numFmt w:val="decimal"/>
      <w:lvlText w:val="%1."/>
      <w:lvlJc w:val="left"/>
      <w:rPr>
        <w:rFonts w:ascii="Arial" w:hAnsi="Arial" w:cs="Arial"/>
        <w:b/>
        <w:bCs/>
        <w:i w:val="0"/>
        <w:iCs w:val="0"/>
        <w:smallCaps w:val="0"/>
        <w:strike w:val="0"/>
        <w:color w:val="000000"/>
        <w:spacing w:val="0"/>
        <w:w w:val="100"/>
        <w:position w:val="0"/>
        <w:sz w:val="24"/>
        <w:szCs w:val="24"/>
        <w:u w:val="none"/>
      </w:rPr>
    </w:lvl>
    <w:lvl w:ilvl="3">
      <w:start w:val="1"/>
      <w:numFmt w:val="decimal"/>
      <w:lvlText w:val="%1."/>
      <w:lvlJc w:val="left"/>
      <w:rPr>
        <w:rFonts w:ascii="Arial" w:hAnsi="Arial" w:cs="Arial"/>
        <w:b/>
        <w:bCs/>
        <w:i w:val="0"/>
        <w:iCs w:val="0"/>
        <w:smallCaps w:val="0"/>
        <w:strike w:val="0"/>
        <w:color w:val="000000"/>
        <w:spacing w:val="0"/>
        <w:w w:val="100"/>
        <w:position w:val="0"/>
        <w:sz w:val="24"/>
        <w:szCs w:val="24"/>
        <w:u w:val="none"/>
      </w:rPr>
    </w:lvl>
    <w:lvl w:ilvl="4">
      <w:start w:val="1"/>
      <w:numFmt w:val="decimal"/>
      <w:lvlText w:val="%1."/>
      <w:lvlJc w:val="left"/>
      <w:rPr>
        <w:rFonts w:ascii="Arial" w:hAnsi="Arial" w:cs="Arial"/>
        <w:b/>
        <w:bCs/>
        <w:i w:val="0"/>
        <w:iCs w:val="0"/>
        <w:smallCaps w:val="0"/>
        <w:strike w:val="0"/>
        <w:color w:val="000000"/>
        <w:spacing w:val="0"/>
        <w:w w:val="100"/>
        <w:position w:val="0"/>
        <w:sz w:val="24"/>
        <w:szCs w:val="24"/>
        <w:u w:val="none"/>
      </w:rPr>
    </w:lvl>
    <w:lvl w:ilvl="5">
      <w:start w:val="1"/>
      <w:numFmt w:val="decimal"/>
      <w:lvlText w:val="%1."/>
      <w:lvlJc w:val="left"/>
      <w:rPr>
        <w:rFonts w:ascii="Arial" w:hAnsi="Arial" w:cs="Arial"/>
        <w:b/>
        <w:bCs/>
        <w:i w:val="0"/>
        <w:iCs w:val="0"/>
        <w:smallCaps w:val="0"/>
        <w:strike w:val="0"/>
        <w:color w:val="000000"/>
        <w:spacing w:val="0"/>
        <w:w w:val="100"/>
        <w:position w:val="0"/>
        <w:sz w:val="24"/>
        <w:szCs w:val="24"/>
        <w:u w:val="none"/>
      </w:rPr>
    </w:lvl>
    <w:lvl w:ilvl="6">
      <w:start w:val="1"/>
      <w:numFmt w:val="decimal"/>
      <w:lvlText w:val="%1."/>
      <w:lvlJc w:val="left"/>
      <w:rPr>
        <w:rFonts w:ascii="Arial" w:hAnsi="Arial" w:cs="Arial"/>
        <w:b/>
        <w:bCs/>
        <w:i w:val="0"/>
        <w:iCs w:val="0"/>
        <w:smallCaps w:val="0"/>
        <w:strike w:val="0"/>
        <w:color w:val="000000"/>
        <w:spacing w:val="0"/>
        <w:w w:val="100"/>
        <w:position w:val="0"/>
        <w:sz w:val="24"/>
        <w:szCs w:val="24"/>
        <w:u w:val="none"/>
      </w:rPr>
    </w:lvl>
    <w:lvl w:ilvl="7">
      <w:start w:val="1"/>
      <w:numFmt w:val="decimal"/>
      <w:lvlText w:val="%1."/>
      <w:lvlJc w:val="left"/>
      <w:rPr>
        <w:rFonts w:ascii="Arial" w:hAnsi="Arial" w:cs="Arial"/>
        <w:b/>
        <w:bCs/>
        <w:i w:val="0"/>
        <w:iCs w:val="0"/>
        <w:smallCaps w:val="0"/>
        <w:strike w:val="0"/>
        <w:color w:val="000000"/>
        <w:spacing w:val="0"/>
        <w:w w:val="100"/>
        <w:position w:val="0"/>
        <w:sz w:val="24"/>
        <w:szCs w:val="24"/>
        <w:u w:val="none"/>
      </w:rPr>
    </w:lvl>
    <w:lvl w:ilvl="8">
      <w:start w:val="1"/>
      <w:numFmt w:val="decimal"/>
      <w:lvlText w:val="%1."/>
      <w:lvlJc w:val="left"/>
      <w:rPr>
        <w:rFonts w:ascii="Arial" w:hAnsi="Arial" w:cs="Arial"/>
        <w:b/>
        <w:bCs/>
        <w:i w:val="0"/>
        <w:iCs w:val="0"/>
        <w:smallCaps w:val="0"/>
        <w:strike w:val="0"/>
        <w:color w:val="000000"/>
        <w:spacing w:val="0"/>
        <w:w w:val="100"/>
        <w:position w:val="0"/>
        <w:sz w:val="24"/>
        <w:szCs w:val="24"/>
        <w:u w:val="none"/>
      </w:rPr>
    </w:lvl>
  </w:abstractNum>
  <w:abstractNum w:abstractNumId="1" w15:restartNumberingAfterBreak="0">
    <w:nsid w:val="059679FE"/>
    <w:multiLevelType w:val="hybridMultilevel"/>
    <w:tmpl w:val="5652E1A2"/>
    <w:lvl w:ilvl="0" w:tplc="FE50D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844B05"/>
    <w:multiLevelType w:val="hybridMultilevel"/>
    <w:tmpl w:val="B4EA0F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1BC0AEC"/>
    <w:multiLevelType w:val="hybridMultilevel"/>
    <w:tmpl w:val="3078E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3B9"/>
    <w:rsid w:val="0001566D"/>
    <w:rsid w:val="00037956"/>
    <w:rsid w:val="00050A11"/>
    <w:rsid w:val="001930C9"/>
    <w:rsid w:val="001B7B4F"/>
    <w:rsid w:val="00324D89"/>
    <w:rsid w:val="003C6F78"/>
    <w:rsid w:val="003D03B9"/>
    <w:rsid w:val="004C61D0"/>
    <w:rsid w:val="0054400C"/>
    <w:rsid w:val="00647CC0"/>
    <w:rsid w:val="006873B7"/>
    <w:rsid w:val="009439F1"/>
    <w:rsid w:val="0099616D"/>
    <w:rsid w:val="009A2447"/>
    <w:rsid w:val="009B4780"/>
    <w:rsid w:val="00AA524A"/>
    <w:rsid w:val="00B56ACB"/>
    <w:rsid w:val="00BF46E5"/>
    <w:rsid w:val="00E316FF"/>
    <w:rsid w:val="00E44A58"/>
    <w:rsid w:val="00EF57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C6399A"/>
  <w15:chartTrackingRefBased/>
  <w15:docId w15:val="{FEFCED54-31EA-4523-8715-A54AB176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3B9"/>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D03B9"/>
    <w:pPr>
      <w:keepNext/>
      <w:jc w:val="center"/>
      <w:outlineLvl w:val="0"/>
    </w:pPr>
    <w:rPr>
      <w:rFonts w:ascii="CG Times" w:hAnsi="CG Times"/>
      <w:b/>
      <w:szCs w:val="20"/>
      <w:lang w:val="es-CO"/>
    </w:rPr>
  </w:style>
  <w:style w:type="paragraph" w:styleId="Ttulo3">
    <w:name w:val="heading 3"/>
    <w:basedOn w:val="Normal"/>
    <w:next w:val="Normal"/>
    <w:link w:val="Ttulo3Car"/>
    <w:qFormat/>
    <w:rsid w:val="003D03B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D03B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D03B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D03B9"/>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3D03B9"/>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3D03B9"/>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3D03B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3D03B9"/>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uiPriority w:val="99"/>
    <w:rsid w:val="003D03B9"/>
    <w:rPr>
      <w:rFonts w:ascii="CG Times" w:eastAsia="Times New Roman" w:hAnsi="CG Times" w:cs="Times New Roman"/>
      <w:sz w:val="24"/>
      <w:szCs w:val="20"/>
      <w:lang w:eastAsia="es-ES"/>
    </w:rPr>
  </w:style>
  <w:style w:type="paragraph" w:styleId="Prrafodelista">
    <w:name w:val="List Paragraph"/>
    <w:basedOn w:val="Normal"/>
    <w:link w:val="PrrafodelistaCar"/>
    <w:uiPriority w:val="34"/>
    <w:qFormat/>
    <w:rsid w:val="003D03B9"/>
    <w:pPr>
      <w:ind w:left="708"/>
    </w:pPr>
    <w:rPr>
      <w:sz w:val="20"/>
      <w:szCs w:val="20"/>
      <w:lang w:val="es-CO"/>
    </w:rPr>
  </w:style>
  <w:style w:type="character" w:customStyle="1" w:styleId="PrrafodelistaCar">
    <w:name w:val="Párrafo de lista Car"/>
    <w:basedOn w:val="Fuentedeprrafopredeter"/>
    <w:link w:val="Prrafodelista"/>
    <w:uiPriority w:val="34"/>
    <w:rsid w:val="003D03B9"/>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3D03B9"/>
    <w:pPr>
      <w:spacing w:before="100" w:beforeAutospacing="1" w:after="100" w:afterAutospacing="1"/>
      <w:ind w:left="0"/>
    </w:pPr>
    <w:rPr>
      <w:lang w:val="es-CO" w:eastAsia="es-CO"/>
    </w:rPr>
  </w:style>
  <w:style w:type="paragraph" w:styleId="Textonotapie">
    <w:name w:val="footnote text"/>
    <w:basedOn w:val="Normal"/>
    <w:link w:val="TextonotapieCar"/>
    <w:uiPriority w:val="99"/>
    <w:semiHidden/>
    <w:unhideWhenUsed/>
    <w:rsid w:val="003D03B9"/>
    <w:rPr>
      <w:sz w:val="20"/>
      <w:szCs w:val="20"/>
    </w:rPr>
  </w:style>
  <w:style w:type="character" w:customStyle="1" w:styleId="TextonotapieCar">
    <w:name w:val="Texto nota pie Car"/>
    <w:basedOn w:val="Fuentedeprrafopredeter"/>
    <w:link w:val="Textonotapie"/>
    <w:uiPriority w:val="99"/>
    <w:semiHidden/>
    <w:rsid w:val="003D03B9"/>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3D03B9"/>
    <w:rPr>
      <w:vertAlign w:val="superscript"/>
    </w:rPr>
  </w:style>
  <w:style w:type="character" w:customStyle="1" w:styleId="CharStyle25">
    <w:name w:val="Char Style 25"/>
    <w:basedOn w:val="Fuentedeprrafopredeter"/>
    <w:link w:val="Style24"/>
    <w:uiPriority w:val="99"/>
    <w:rsid w:val="003D03B9"/>
    <w:rPr>
      <w:rFonts w:ascii="Arial" w:hAnsi="Arial" w:cs="Arial"/>
      <w:sz w:val="17"/>
      <w:szCs w:val="17"/>
      <w:shd w:val="clear" w:color="auto" w:fill="FFFFFF"/>
    </w:rPr>
  </w:style>
  <w:style w:type="paragraph" w:customStyle="1" w:styleId="Style24">
    <w:name w:val="Style 24"/>
    <w:basedOn w:val="Normal"/>
    <w:link w:val="CharStyle25"/>
    <w:uiPriority w:val="99"/>
    <w:rsid w:val="003D03B9"/>
    <w:pPr>
      <w:widowControl w:val="0"/>
      <w:shd w:val="clear" w:color="auto" w:fill="FFFFFF"/>
      <w:spacing w:before="360" w:after="180" w:line="214" w:lineRule="exact"/>
      <w:ind w:left="0" w:hanging="320"/>
      <w:jc w:val="center"/>
    </w:pPr>
    <w:rPr>
      <w:rFonts w:ascii="Arial" w:eastAsiaTheme="minorHAnsi" w:hAnsi="Arial" w:cs="Arial"/>
      <w:sz w:val="17"/>
      <w:szCs w:val="17"/>
      <w:lang w:val="es-CO" w:eastAsia="en-US"/>
    </w:rPr>
  </w:style>
  <w:style w:type="character" w:customStyle="1" w:styleId="CharStyle12">
    <w:name w:val="Char Style 12"/>
    <w:basedOn w:val="Fuentedeprrafopredeter"/>
    <w:link w:val="Style11"/>
    <w:uiPriority w:val="99"/>
    <w:rsid w:val="003D03B9"/>
    <w:rPr>
      <w:rFonts w:ascii="Arial" w:hAnsi="Arial" w:cs="Arial"/>
      <w:sz w:val="19"/>
      <w:szCs w:val="19"/>
      <w:shd w:val="clear" w:color="auto" w:fill="FFFFFF"/>
    </w:rPr>
  </w:style>
  <w:style w:type="paragraph" w:customStyle="1" w:styleId="Style11">
    <w:name w:val="Style 11"/>
    <w:basedOn w:val="Normal"/>
    <w:link w:val="CharStyle12"/>
    <w:uiPriority w:val="99"/>
    <w:rsid w:val="003D03B9"/>
    <w:pPr>
      <w:widowControl w:val="0"/>
      <w:shd w:val="clear" w:color="auto" w:fill="FFFFFF"/>
      <w:spacing w:line="235" w:lineRule="exact"/>
      <w:ind w:left="0" w:hanging="380"/>
    </w:pPr>
    <w:rPr>
      <w:rFonts w:ascii="Arial" w:eastAsiaTheme="minorHAnsi" w:hAnsi="Arial" w:cs="Arial"/>
      <w:sz w:val="19"/>
      <w:szCs w:val="19"/>
      <w:lang w:val="es-CO" w:eastAsia="en-US"/>
    </w:rPr>
  </w:style>
  <w:style w:type="character" w:customStyle="1" w:styleId="CharStyle9">
    <w:name w:val="Char Style 9"/>
    <w:basedOn w:val="Fuentedeprrafopredeter"/>
    <w:link w:val="Style8"/>
    <w:uiPriority w:val="99"/>
    <w:rsid w:val="003D03B9"/>
    <w:rPr>
      <w:rFonts w:ascii="Arial" w:hAnsi="Arial" w:cs="Arial"/>
      <w:shd w:val="clear" w:color="auto" w:fill="FFFFFF"/>
    </w:rPr>
  </w:style>
  <w:style w:type="character" w:customStyle="1" w:styleId="CharStyle17">
    <w:name w:val="Char Style 17"/>
    <w:basedOn w:val="CharStyle9"/>
    <w:uiPriority w:val="99"/>
    <w:rsid w:val="003D03B9"/>
    <w:rPr>
      <w:rFonts w:ascii="Arial" w:hAnsi="Arial" w:cs="Arial"/>
      <w:b/>
      <w:bCs/>
      <w:shd w:val="clear" w:color="auto" w:fill="FFFFFF"/>
    </w:rPr>
  </w:style>
  <w:style w:type="character" w:customStyle="1" w:styleId="CharStyle19">
    <w:name w:val="Char Style 19"/>
    <w:basedOn w:val="Fuentedeprrafopredeter"/>
    <w:link w:val="Style18"/>
    <w:uiPriority w:val="99"/>
    <w:rsid w:val="003D03B9"/>
    <w:rPr>
      <w:rFonts w:ascii="Courier New" w:hAnsi="Courier New" w:cs="Courier New"/>
      <w:sz w:val="17"/>
      <w:szCs w:val="17"/>
      <w:shd w:val="clear" w:color="auto" w:fill="FFFFFF"/>
    </w:rPr>
  </w:style>
  <w:style w:type="character" w:customStyle="1" w:styleId="CharStyle20">
    <w:name w:val="Char Style 20"/>
    <w:basedOn w:val="CharStyle9"/>
    <w:uiPriority w:val="99"/>
    <w:rsid w:val="003D03B9"/>
    <w:rPr>
      <w:rFonts w:ascii="Arial" w:hAnsi="Arial" w:cs="Arial"/>
      <w:b/>
      <w:bCs/>
      <w:spacing w:val="30"/>
      <w:shd w:val="clear" w:color="auto" w:fill="FFFFFF"/>
    </w:rPr>
  </w:style>
  <w:style w:type="paragraph" w:customStyle="1" w:styleId="Style8">
    <w:name w:val="Style 8"/>
    <w:basedOn w:val="Normal"/>
    <w:link w:val="CharStyle9"/>
    <w:uiPriority w:val="99"/>
    <w:rsid w:val="003D03B9"/>
    <w:pPr>
      <w:widowControl w:val="0"/>
      <w:shd w:val="clear" w:color="auto" w:fill="FFFFFF"/>
      <w:spacing w:before="840" w:after="600" w:line="240" w:lineRule="atLeast"/>
      <w:ind w:left="0" w:hanging="720"/>
      <w:jc w:val="both"/>
    </w:pPr>
    <w:rPr>
      <w:rFonts w:ascii="Arial" w:eastAsiaTheme="minorHAnsi" w:hAnsi="Arial" w:cs="Arial"/>
      <w:sz w:val="22"/>
      <w:szCs w:val="22"/>
      <w:lang w:val="es-CO" w:eastAsia="en-US"/>
    </w:rPr>
  </w:style>
  <w:style w:type="paragraph" w:customStyle="1" w:styleId="Style18">
    <w:name w:val="Style 18"/>
    <w:basedOn w:val="Normal"/>
    <w:link w:val="CharStyle19"/>
    <w:uiPriority w:val="99"/>
    <w:rsid w:val="003D03B9"/>
    <w:pPr>
      <w:widowControl w:val="0"/>
      <w:shd w:val="clear" w:color="auto" w:fill="FFFFFF"/>
      <w:spacing w:before="480" w:after="360" w:line="240" w:lineRule="atLeast"/>
      <w:ind w:left="0" w:hanging="980"/>
      <w:jc w:val="center"/>
    </w:pPr>
    <w:rPr>
      <w:rFonts w:ascii="Courier New" w:eastAsiaTheme="minorHAnsi" w:hAnsi="Courier New" w:cs="Courier New"/>
      <w:sz w:val="17"/>
      <w:szCs w:val="17"/>
      <w:lang w:val="es-CO" w:eastAsia="en-US"/>
    </w:rPr>
  </w:style>
  <w:style w:type="character" w:styleId="Hipervnculo">
    <w:name w:val="Hyperlink"/>
    <w:basedOn w:val="Fuentedeprrafopredeter"/>
    <w:uiPriority w:val="99"/>
    <w:semiHidden/>
    <w:unhideWhenUsed/>
    <w:rsid w:val="00BF46E5"/>
    <w:rPr>
      <w:color w:val="0000FF"/>
      <w:u w:val="single"/>
    </w:rPr>
  </w:style>
  <w:style w:type="paragraph" w:styleId="Piedepgina">
    <w:name w:val="footer"/>
    <w:basedOn w:val="Normal"/>
    <w:link w:val="PiedepginaCar"/>
    <w:uiPriority w:val="99"/>
    <w:unhideWhenUsed/>
    <w:rsid w:val="004C61D0"/>
    <w:pPr>
      <w:tabs>
        <w:tab w:val="center" w:pos="4419"/>
        <w:tab w:val="right" w:pos="8838"/>
      </w:tabs>
    </w:pPr>
  </w:style>
  <w:style w:type="character" w:customStyle="1" w:styleId="PiedepginaCar">
    <w:name w:val="Pie de página Car"/>
    <w:basedOn w:val="Fuentedeprrafopredeter"/>
    <w:link w:val="Piedepgina"/>
    <w:uiPriority w:val="99"/>
    <w:rsid w:val="004C61D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38299">
      <w:bodyDiv w:val="1"/>
      <w:marLeft w:val="0"/>
      <w:marRight w:val="0"/>
      <w:marTop w:val="0"/>
      <w:marBottom w:val="0"/>
      <w:divBdr>
        <w:top w:val="none" w:sz="0" w:space="0" w:color="auto"/>
        <w:left w:val="none" w:sz="0" w:space="0" w:color="auto"/>
        <w:bottom w:val="none" w:sz="0" w:space="0" w:color="auto"/>
        <w:right w:val="none" w:sz="0" w:space="0" w:color="auto"/>
      </w:divBdr>
    </w:div>
    <w:div w:id="1873808880">
      <w:bodyDiv w:val="1"/>
      <w:marLeft w:val="0"/>
      <w:marRight w:val="0"/>
      <w:marTop w:val="0"/>
      <w:marBottom w:val="0"/>
      <w:divBdr>
        <w:top w:val="none" w:sz="0" w:space="0" w:color="auto"/>
        <w:left w:val="none" w:sz="0" w:space="0" w:color="auto"/>
        <w:bottom w:val="none" w:sz="0" w:space="0" w:color="auto"/>
        <w:right w:val="none" w:sz="0" w:space="0" w:color="auto"/>
      </w:divBdr>
    </w:div>
    <w:div w:id="21140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ogotajuridica.gov.co/normas/Norma1.jsp?i=18314"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gotajuridica.gov.co/normas/Norma1.jsp?i=879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gotajuridica.gov.co/normas/Norma1.jsp?i=2752" TargetMode="External"/><Relationship Id="rId5" Type="http://schemas.openxmlformats.org/officeDocument/2006/relationships/webSettings" Target="webSettings.xml"/><Relationship Id="rId15" Type="http://schemas.openxmlformats.org/officeDocument/2006/relationships/hyperlink" Target="https://www.bogotajuridica.gov.co/normas/Norma1.jsp?i=4631" TargetMode="External"/><Relationship Id="rId10" Type="http://schemas.openxmlformats.org/officeDocument/2006/relationships/hyperlink" Target="https://www.bogotajuridica.gov.co/normas/Norma1.jsp?i=275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bogotajuridica.gov.co/normas/Norma1.jsp?i=275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E02E7-F811-4508-BD72-A9D32CBEB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2626</Words>
  <Characters>14445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Velosa</dc:creator>
  <cp:keywords/>
  <dc:description/>
  <cp:lastModifiedBy>Luz Stella Rojas Macias</cp:lastModifiedBy>
  <cp:revision>3</cp:revision>
  <dcterms:created xsi:type="dcterms:W3CDTF">2019-12-16T14:04:00Z</dcterms:created>
  <dcterms:modified xsi:type="dcterms:W3CDTF">2019-12-19T14:35:00Z</dcterms:modified>
</cp:coreProperties>
</file>