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C34" w:rsidRPr="007F428A" w:rsidRDefault="00C87FED" w:rsidP="004C4C34">
      <w:pPr>
        <w:pStyle w:val="Ttulo4"/>
        <w:tabs>
          <w:tab w:val="left" w:pos="0"/>
          <w:tab w:val="right" w:pos="9356"/>
        </w:tabs>
        <w:ind w:left="0"/>
        <w:contextualSpacing/>
        <w:rPr>
          <w:rFonts w:ascii="Bookman Old Style" w:hAnsi="Bookman Old Style"/>
          <w:b w:val="0"/>
          <w:bCs/>
          <w:noProof/>
          <w:sz w:val="24"/>
          <w:szCs w:val="24"/>
          <w:lang w:val="es-ES"/>
        </w:rPr>
      </w:pPr>
      <w:r>
        <w:rPr>
          <w:rFonts w:ascii="Bookman Old Style" w:hAnsi="Bookman Old Style"/>
          <w:b w:val="0"/>
          <w:bCs/>
          <w:noProof/>
          <w:snapToGrid/>
          <w:sz w:val="24"/>
          <w:szCs w:val="24"/>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8240" fillcolor="#0c9">
            <v:imagedata r:id="rId9" o:title=""/>
          </v:shape>
          <o:OLEObject Type="Embed" ProgID="PBrush" ShapeID="_x0000_s1026" DrawAspect="Content" ObjectID="_1494418074" r:id="rId10"/>
        </w:pict>
      </w:r>
      <w:r w:rsidR="004C4C34" w:rsidRPr="007F428A">
        <w:rPr>
          <w:rFonts w:ascii="Bookman Old Style" w:hAnsi="Bookman Old Style"/>
          <w:b w:val="0"/>
          <w:bCs/>
          <w:sz w:val="24"/>
          <w:szCs w:val="24"/>
        </w:rPr>
        <w:t>Ministerio de Minas y Energía</w:t>
      </w:r>
    </w:p>
    <w:p w:rsidR="004C4C34" w:rsidRPr="007F428A" w:rsidRDefault="004C4C34" w:rsidP="004C4C34">
      <w:pPr>
        <w:pStyle w:val="Ttulo4"/>
        <w:tabs>
          <w:tab w:val="left" w:pos="0"/>
          <w:tab w:val="right" w:pos="9356"/>
        </w:tabs>
        <w:ind w:left="0"/>
        <w:contextualSpacing/>
        <w:rPr>
          <w:rFonts w:ascii="Bookman Old Style" w:hAnsi="Bookman Old Style"/>
          <w:b w:val="0"/>
          <w:bCs/>
          <w:sz w:val="24"/>
          <w:szCs w:val="24"/>
        </w:rPr>
      </w:pPr>
    </w:p>
    <w:p w:rsidR="004C4C34" w:rsidRPr="007F428A" w:rsidRDefault="004C4C34" w:rsidP="004C4C34">
      <w:pPr>
        <w:pStyle w:val="Ttulo3"/>
        <w:tabs>
          <w:tab w:val="left" w:pos="0"/>
          <w:tab w:val="right" w:pos="9356"/>
        </w:tabs>
        <w:ind w:left="0"/>
        <w:contextualSpacing/>
        <w:rPr>
          <w:rFonts w:ascii="Bookman Old Style" w:hAnsi="Bookman Old Style" w:cs="Arial"/>
          <w:spacing w:val="20"/>
          <w:szCs w:val="24"/>
        </w:rPr>
      </w:pPr>
      <w:r w:rsidRPr="007F428A">
        <w:rPr>
          <w:rFonts w:ascii="Bookman Old Style" w:hAnsi="Bookman Old Style" w:cs="Arial"/>
          <w:spacing w:val="20"/>
          <w:szCs w:val="24"/>
        </w:rPr>
        <w:t>COMISIÓN DE REGULACIÓN DE ENERGÍA Y GAS</w:t>
      </w:r>
    </w:p>
    <w:p w:rsidR="004C4C34" w:rsidRPr="007F428A" w:rsidRDefault="004C4C34" w:rsidP="004C4C34">
      <w:pPr>
        <w:pStyle w:val="Ttulo5"/>
        <w:tabs>
          <w:tab w:val="left" w:pos="0"/>
          <w:tab w:val="right" w:pos="9356"/>
        </w:tabs>
        <w:ind w:left="0"/>
        <w:contextualSpacing/>
        <w:rPr>
          <w:rFonts w:ascii="Bookman Old Style" w:hAnsi="Bookman Old Style"/>
          <w:sz w:val="24"/>
          <w:szCs w:val="24"/>
        </w:rPr>
      </w:pPr>
    </w:p>
    <w:p w:rsidR="004C4C34" w:rsidRPr="007F428A" w:rsidRDefault="004C4C34" w:rsidP="004C4C34">
      <w:pPr>
        <w:pStyle w:val="Ttulo5"/>
        <w:tabs>
          <w:tab w:val="left" w:pos="0"/>
          <w:tab w:val="right" w:pos="9356"/>
        </w:tabs>
        <w:ind w:left="0"/>
        <w:contextualSpacing/>
        <w:rPr>
          <w:rFonts w:ascii="Bookman Old Style" w:hAnsi="Bookman Old Style"/>
          <w:sz w:val="24"/>
          <w:szCs w:val="24"/>
        </w:rPr>
      </w:pPr>
    </w:p>
    <w:p w:rsidR="004C4C34" w:rsidRPr="007F428A" w:rsidRDefault="004C4C34" w:rsidP="004C4C34">
      <w:pPr>
        <w:pStyle w:val="Ttulo5"/>
        <w:tabs>
          <w:tab w:val="left" w:pos="0"/>
          <w:tab w:val="right" w:pos="9356"/>
        </w:tabs>
        <w:ind w:left="0"/>
        <w:contextualSpacing/>
        <w:rPr>
          <w:rFonts w:ascii="Bookman Old Style" w:hAnsi="Bookman Old Style"/>
          <w:sz w:val="24"/>
          <w:szCs w:val="24"/>
        </w:rPr>
      </w:pPr>
      <w:r w:rsidRPr="007F428A">
        <w:rPr>
          <w:rFonts w:ascii="Bookman Old Style" w:hAnsi="Bookman Old Style"/>
          <w:sz w:val="24"/>
          <w:szCs w:val="24"/>
        </w:rPr>
        <w:t>RESOLUCIÓN No.                   DE 2015</w:t>
      </w:r>
    </w:p>
    <w:p w:rsidR="004C4C34" w:rsidRPr="007F428A" w:rsidRDefault="004C4C34" w:rsidP="004C4C34">
      <w:pPr>
        <w:tabs>
          <w:tab w:val="left" w:pos="0"/>
          <w:tab w:val="right" w:pos="9356"/>
        </w:tabs>
        <w:ind w:left="0"/>
        <w:contextualSpacing/>
        <w:jc w:val="center"/>
        <w:rPr>
          <w:rFonts w:ascii="Bookman Old Style" w:hAnsi="Bookman Old Style" w:cs="Arial"/>
          <w:b/>
          <w:snapToGrid w:val="0"/>
          <w:color w:val="000000"/>
          <w:lang w:val="es-ES_tradnl"/>
        </w:rPr>
      </w:pPr>
    </w:p>
    <w:p w:rsidR="004C4C34" w:rsidRPr="007F428A" w:rsidRDefault="004C4C34" w:rsidP="004C4C34">
      <w:pPr>
        <w:pStyle w:val="Ttulo3"/>
        <w:tabs>
          <w:tab w:val="left" w:pos="0"/>
          <w:tab w:val="right" w:pos="9356"/>
        </w:tabs>
        <w:ind w:left="0"/>
        <w:contextualSpacing/>
        <w:rPr>
          <w:rFonts w:ascii="Bookman Old Style" w:hAnsi="Bookman Old Style"/>
          <w:b w:val="0"/>
          <w:szCs w:val="24"/>
        </w:rPr>
      </w:pPr>
      <w:r w:rsidRPr="007F428A">
        <w:rPr>
          <w:rFonts w:ascii="Bookman Old Style" w:hAnsi="Bookman Old Style"/>
          <w:b w:val="0"/>
          <w:szCs w:val="24"/>
        </w:rPr>
        <w:t>(                                  )</w:t>
      </w:r>
    </w:p>
    <w:p w:rsidR="004C4C34" w:rsidRPr="007F428A" w:rsidRDefault="004C4C34" w:rsidP="004C4C34">
      <w:pPr>
        <w:tabs>
          <w:tab w:val="left" w:pos="0"/>
          <w:tab w:val="right" w:pos="9356"/>
        </w:tabs>
        <w:ind w:left="0"/>
        <w:contextualSpacing/>
        <w:jc w:val="center"/>
        <w:rPr>
          <w:rFonts w:ascii="Bookman Old Style" w:hAnsi="Bookman Old Style"/>
          <w:lang w:val="es-ES_tradnl"/>
        </w:rPr>
      </w:pPr>
    </w:p>
    <w:p w:rsidR="004C4C34" w:rsidRDefault="004C4C34" w:rsidP="004C4C34">
      <w:pPr>
        <w:ind w:left="0"/>
        <w:contextualSpacing/>
        <w:rPr>
          <w:rFonts w:ascii="Bookman Old Style" w:hAnsi="Bookman Old Style"/>
          <w:bCs/>
          <w:lang w:val="es-CO"/>
        </w:rPr>
      </w:pPr>
    </w:p>
    <w:p w:rsidR="0054314B" w:rsidRPr="007F428A" w:rsidRDefault="0054314B" w:rsidP="004C4C34">
      <w:pPr>
        <w:ind w:left="0"/>
        <w:contextualSpacing/>
        <w:rPr>
          <w:rFonts w:ascii="Bookman Old Style" w:hAnsi="Bookman Old Style"/>
          <w:bCs/>
          <w:lang w:val="es-CO"/>
        </w:rPr>
      </w:pPr>
    </w:p>
    <w:p w:rsidR="00546BF6" w:rsidRDefault="004C4C34" w:rsidP="004C4C34">
      <w:pPr>
        <w:contextualSpacing/>
        <w:jc w:val="center"/>
        <w:rPr>
          <w:rFonts w:ascii="Bookman Old Style" w:hAnsi="Bookman Old Style" w:cs="Arial"/>
          <w:color w:val="000000"/>
        </w:rPr>
      </w:pPr>
      <w:r w:rsidRPr="007F428A">
        <w:rPr>
          <w:rFonts w:ascii="Bookman Old Style" w:hAnsi="Bookman Old Style" w:cs="Arial"/>
          <w:color w:val="000000"/>
        </w:rPr>
        <w:t xml:space="preserve">Por la cual se </w:t>
      </w:r>
      <w:r w:rsidR="00546BF6">
        <w:rPr>
          <w:rFonts w:ascii="Bookman Old Style" w:hAnsi="Bookman Old Style" w:cs="Arial"/>
          <w:color w:val="000000"/>
        </w:rPr>
        <w:t xml:space="preserve">ajustan </w:t>
      </w:r>
      <w:r w:rsidR="00EA5140">
        <w:rPr>
          <w:rFonts w:ascii="Bookman Old Style" w:hAnsi="Bookman Old Style" w:cs="Arial"/>
          <w:color w:val="000000"/>
        </w:rPr>
        <w:t xml:space="preserve">parcialmente </w:t>
      </w:r>
      <w:r w:rsidR="00546BF6">
        <w:rPr>
          <w:rFonts w:ascii="Bookman Old Style" w:hAnsi="Bookman Old Style" w:cs="Arial"/>
          <w:color w:val="000000"/>
        </w:rPr>
        <w:t xml:space="preserve">las condiciones </w:t>
      </w:r>
      <w:r w:rsidR="00546BF6" w:rsidRPr="00546BF6">
        <w:rPr>
          <w:rFonts w:ascii="Bookman Old Style" w:hAnsi="Bookman Old Style" w:cs="Arial"/>
          <w:color w:val="000000"/>
        </w:rPr>
        <w:t>para la oferta pública de</w:t>
      </w:r>
      <w:r w:rsidR="00546BF6">
        <w:rPr>
          <w:rFonts w:ascii="Bookman Old Style" w:hAnsi="Bookman Old Style" w:cs="Arial"/>
          <w:color w:val="000000"/>
        </w:rPr>
        <w:t xml:space="preserve"> cantidades de</w:t>
      </w:r>
      <w:r w:rsidR="00546BF6" w:rsidRPr="00546BF6">
        <w:rPr>
          <w:rFonts w:ascii="Bookman Old Style" w:hAnsi="Bookman Old Style" w:cs="Arial"/>
          <w:color w:val="000000"/>
        </w:rPr>
        <w:t xml:space="preserve"> </w:t>
      </w:r>
      <w:r w:rsidR="00546BF6">
        <w:rPr>
          <w:rFonts w:ascii="Bookman Old Style" w:hAnsi="Bookman Old Style" w:cs="Arial"/>
          <w:color w:val="000000"/>
        </w:rPr>
        <w:t>GLP</w:t>
      </w:r>
      <w:r w:rsidR="00546BF6" w:rsidRPr="00546BF6">
        <w:rPr>
          <w:rFonts w:ascii="Bookman Old Style" w:hAnsi="Bookman Old Style" w:cs="Arial"/>
          <w:color w:val="000000"/>
        </w:rPr>
        <w:t xml:space="preserve"> con precio regulado</w:t>
      </w:r>
      <w:r w:rsidR="00546BF6">
        <w:rPr>
          <w:rFonts w:ascii="Bookman Old Style" w:hAnsi="Bookman Old Style" w:cs="Arial"/>
          <w:color w:val="000000"/>
        </w:rPr>
        <w:t xml:space="preserve"> </w:t>
      </w:r>
      <w:r w:rsidR="00546BF6" w:rsidRPr="00546BF6">
        <w:rPr>
          <w:rFonts w:ascii="Bookman Old Style" w:hAnsi="Bookman Old Style" w:cs="Arial"/>
          <w:color w:val="000000"/>
        </w:rPr>
        <w:t>que cubra la demanda a part</w:t>
      </w:r>
      <w:r w:rsidR="00546BF6">
        <w:rPr>
          <w:rFonts w:ascii="Bookman Old Style" w:hAnsi="Bookman Old Style" w:cs="Arial"/>
          <w:color w:val="000000"/>
        </w:rPr>
        <w:t>ir del primero de julio de 2015</w:t>
      </w:r>
    </w:p>
    <w:p w:rsidR="00546BF6" w:rsidRDefault="00546BF6" w:rsidP="004C4C34">
      <w:pPr>
        <w:contextualSpacing/>
        <w:jc w:val="center"/>
        <w:rPr>
          <w:rFonts w:ascii="Bookman Old Style" w:hAnsi="Bookman Old Style" w:cs="Arial"/>
          <w:color w:val="000000"/>
        </w:rPr>
      </w:pPr>
    </w:p>
    <w:p w:rsidR="004C4C34" w:rsidRPr="007F428A" w:rsidRDefault="004C4C34" w:rsidP="00546BF6">
      <w:pPr>
        <w:ind w:left="0"/>
        <w:contextualSpacing/>
        <w:rPr>
          <w:rFonts w:ascii="Bookman Old Style" w:hAnsi="Bookman Old Style" w:cs="Arial"/>
          <w:color w:val="000000"/>
        </w:rPr>
      </w:pPr>
    </w:p>
    <w:p w:rsidR="004C4C34" w:rsidRDefault="004C4C34" w:rsidP="004C4C34">
      <w:pPr>
        <w:contextualSpacing/>
        <w:jc w:val="center"/>
        <w:rPr>
          <w:rFonts w:ascii="Bookman Old Style" w:hAnsi="Bookman Old Style" w:cs="Arial"/>
          <w:b/>
          <w:color w:val="000000"/>
        </w:rPr>
      </w:pPr>
      <w:r w:rsidRPr="007F428A">
        <w:rPr>
          <w:rFonts w:ascii="Bookman Old Style" w:hAnsi="Bookman Old Style" w:cs="Arial"/>
          <w:b/>
          <w:color w:val="000000"/>
        </w:rPr>
        <w:t>LA COMISIÓN DE REGULACIÓN DE ENERGÍA Y GAS</w:t>
      </w:r>
    </w:p>
    <w:p w:rsidR="004C4C34" w:rsidRPr="007F428A" w:rsidRDefault="004C4C34" w:rsidP="004C4C34">
      <w:pPr>
        <w:contextualSpacing/>
        <w:jc w:val="center"/>
        <w:rPr>
          <w:rFonts w:ascii="Bookman Old Style" w:hAnsi="Bookman Old Style" w:cs="Arial"/>
          <w:b/>
          <w:color w:val="000000"/>
        </w:rPr>
      </w:pPr>
    </w:p>
    <w:p w:rsidR="004C4C34" w:rsidRPr="007F428A" w:rsidRDefault="004C4C34" w:rsidP="004C4C34">
      <w:pPr>
        <w:ind w:left="0"/>
        <w:contextualSpacing/>
        <w:rPr>
          <w:rFonts w:ascii="Bookman Old Style" w:hAnsi="Bookman Old Style" w:cs="Arial"/>
          <w:color w:val="000000"/>
          <w:sz w:val="16"/>
          <w:szCs w:val="16"/>
        </w:rPr>
      </w:pPr>
    </w:p>
    <w:p w:rsidR="004C4C34" w:rsidRPr="007F428A" w:rsidRDefault="004C4C34" w:rsidP="004C4C34">
      <w:pPr>
        <w:ind w:left="0"/>
        <w:contextualSpacing/>
        <w:jc w:val="center"/>
        <w:rPr>
          <w:rFonts w:ascii="Bookman Old Style" w:hAnsi="Bookman Old Style" w:cs="Arial"/>
          <w:color w:val="000000"/>
        </w:rPr>
      </w:pPr>
      <w:r w:rsidRPr="007F428A">
        <w:rPr>
          <w:rFonts w:ascii="Bookman Old Style" w:hAnsi="Bookman Old Style" w:cs="Arial"/>
          <w:color w:val="000000"/>
        </w:rPr>
        <w:t>En ejercicio de las atribuciones constitucionales y legales, en especial las conferidas por la Ley 142 de 1994 y los Decretos 1523 y 2253 de 1994 y 1260 de 2013 y,</w:t>
      </w:r>
    </w:p>
    <w:p w:rsidR="004C4C34" w:rsidRPr="007F428A" w:rsidRDefault="004C4C34" w:rsidP="004C4C34">
      <w:pPr>
        <w:ind w:left="0"/>
        <w:contextualSpacing/>
        <w:rPr>
          <w:rFonts w:ascii="Bookman Old Style" w:hAnsi="Bookman Old Style" w:cs="Arial"/>
          <w:color w:val="000000"/>
        </w:rPr>
      </w:pPr>
    </w:p>
    <w:p w:rsidR="004C4C34" w:rsidRPr="007F428A" w:rsidRDefault="004C4C34" w:rsidP="004C4C34">
      <w:pPr>
        <w:ind w:left="0"/>
        <w:contextualSpacing/>
        <w:rPr>
          <w:rFonts w:ascii="Bookman Old Style" w:hAnsi="Bookman Old Style" w:cs="Arial"/>
          <w:color w:val="000000"/>
        </w:rPr>
      </w:pPr>
    </w:p>
    <w:p w:rsidR="004C4C34" w:rsidRPr="007F428A" w:rsidRDefault="004C4C34" w:rsidP="004C4C34">
      <w:pPr>
        <w:ind w:left="0"/>
        <w:contextualSpacing/>
        <w:jc w:val="center"/>
        <w:rPr>
          <w:rFonts w:ascii="Bookman Old Style" w:hAnsi="Bookman Old Style" w:cs="Arial"/>
          <w:b/>
          <w:color w:val="000000"/>
        </w:rPr>
      </w:pPr>
      <w:r w:rsidRPr="007F428A">
        <w:rPr>
          <w:rFonts w:ascii="Bookman Old Style" w:hAnsi="Bookman Old Style" w:cs="Arial"/>
          <w:b/>
          <w:color w:val="000000"/>
        </w:rPr>
        <w:t>C O N S I D E R A N D O  Q U E:</w:t>
      </w:r>
    </w:p>
    <w:p w:rsidR="004C4C34" w:rsidRPr="007F428A" w:rsidRDefault="004C4C34" w:rsidP="004C4C34">
      <w:pPr>
        <w:ind w:left="0"/>
        <w:contextualSpacing/>
        <w:jc w:val="center"/>
        <w:rPr>
          <w:rFonts w:ascii="Bookman Old Style" w:hAnsi="Bookman Old Style" w:cs="Arial"/>
          <w:b/>
          <w:color w:val="000000"/>
        </w:rPr>
      </w:pPr>
    </w:p>
    <w:p w:rsidR="004C4C34" w:rsidRPr="007F428A" w:rsidRDefault="004C4C34" w:rsidP="004C4C34">
      <w:pPr>
        <w:ind w:left="0"/>
        <w:contextualSpacing/>
        <w:jc w:val="both"/>
        <w:rPr>
          <w:rFonts w:ascii="Bookman Old Style" w:hAnsi="Bookman Old Style"/>
        </w:rPr>
      </w:pPr>
    </w:p>
    <w:p w:rsidR="004C4C34" w:rsidRPr="007F428A" w:rsidRDefault="004C4C34" w:rsidP="004C4C34">
      <w:pPr>
        <w:ind w:left="0"/>
        <w:contextualSpacing/>
        <w:jc w:val="both"/>
        <w:rPr>
          <w:rFonts w:ascii="Bookman Old Style" w:hAnsi="Bookman Old Style"/>
        </w:rPr>
      </w:pPr>
    </w:p>
    <w:p w:rsidR="004C4C34" w:rsidRPr="007F428A" w:rsidRDefault="004C4C34" w:rsidP="004C4C34">
      <w:pPr>
        <w:ind w:left="0"/>
        <w:contextualSpacing/>
        <w:jc w:val="both"/>
        <w:rPr>
          <w:rFonts w:ascii="Bookman Old Style" w:hAnsi="Bookman Old Style"/>
        </w:rPr>
      </w:pPr>
      <w:r w:rsidRPr="007F428A">
        <w:rPr>
          <w:rFonts w:ascii="Bookman Old Style" w:hAnsi="Bookman Old Style"/>
        </w:rPr>
        <w:t>El artículo 14.28 de la Ley 142 de 1994 definió el servicio público domiciliario de gas combustible como el conjunto de actividades ordenadas a la distribución de gas combustible y estableció la actividad de comercialización como actividad complementaria del servicio público domiciliario de gas combustible.</w:t>
      </w:r>
    </w:p>
    <w:p w:rsidR="004C4C34" w:rsidRPr="007F428A" w:rsidRDefault="004C4C34" w:rsidP="004C4C34">
      <w:pPr>
        <w:ind w:left="0"/>
        <w:contextualSpacing/>
        <w:jc w:val="both"/>
        <w:rPr>
          <w:rFonts w:ascii="Bookman Old Style" w:hAnsi="Bookman Old Style"/>
        </w:rPr>
      </w:pPr>
    </w:p>
    <w:p w:rsidR="004C4C34" w:rsidRPr="007F428A" w:rsidRDefault="004C4C34" w:rsidP="004C4C34">
      <w:pPr>
        <w:ind w:left="0"/>
        <w:contextualSpacing/>
        <w:jc w:val="both"/>
        <w:rPr>
          <w:rFonts w:ascii="Bookman Old Style" w:hAnsi="Bookman Old Style"/>
        </w:rPr>
      </w:pPr>
      <w:r w:rsidRPr="007F428A">
        <w:rPr>
          <w:rFonts w:ascii="Bookman Old Style" w:hAnsi="Bookman Old Style"/>
        </w:rPr>
        <w:t>De acuerdo con lo estipulado en el artículo 74.1 de la Ley 142 de 1994, es función de la CREG "regular el ejercicio de las actividades de los sectores de energía y gas combustible para asegurar la disponibilidad de una oferta energética eficiente, propiciar la com</w:t>
      </w:r>
      <w:bookmarkStart w:id="0" w:name="_GoBack"/>
      <w:bookmarkEnd w:id="0"/>
      <w:r w:rsidRPr="007F428A">
        <w:rPr>
          <w:rFonts w:ascii="Bookman Old Style" w:hAnsi="Bookman Old Style"/>
        </w:rPr>
        <w:t>petencia en el sector de minas y energía y proponer la adopción de las medidas necesarias para impedir abusos de posición dominante y buscar la liberación gradual de los mercados hacia la libre competencia".</w:t>
      </w:r>
    </w:p>
    <w:p w:rsidR="004C4C34" w:rsidRPr="007F428A" w:rsidRDefault="004C4C34" w:rsidP="004C4C34">
      <w:pPr>
        <w:ind w:left="0"/>
        <w:contextualSpacing/>
        <w:jc w:val="both"/>
        <w:rPr>
          <w:rFonts w:ascii="Bookman Old Style" w:hAnsi="Bookman Old Style"/>
        </w:rPr>
      </w:pPr>
    </w:p>
    <w:p w:rsidR="004C4C34" w:rsidRPr="007F428A" w:rsidRDefault="004C4C34" w:rsidP="004C4C34">
      <w:pPr>
        <w:ind w:left="0"/>
        <w:contextualSpacing/>
        <w:jc w:val="both"/>
        <w:rPr>
          <w:rFonts w:ascii="Bookman Old Style" w:hAnsi="Bookman Old Style"/>
        </w:rPr>
      </w:pPr>
      <w:r w:rsidRPr="007F428A">
        <w:rPr>
          <w:rFonts w:ascii="Bookman Old Style" w:hAnsi="Bookman Old Style"/>
        </w:rPr>
        <w:t>Según lo previsto en los artículos 1, 2 y 4 de la Ley 142 de 1994, la distribución de gas combustible y sus actividades complementarias constituyen servicios públicos domiciliarios esenciales y el Estado intervendrá en los mismos a fin de, entre otros, garantizar la calidad del bien y su disposición final para asegurar el mejoramiento de la calidad de vida de los usuarios, así como su prestación continua, ininterrumpida y eficiente.</w:t>
      </w:r>
    </w:p>
    <w:p w:rsidR="004C4C34" w:rsidRPr="007F428A" w:rsidRDefault="004C4C34" w:rsidP="004C4C34">
      <w:pPr>
        <w:ind w:left="0"/>
        <w:contextualSpacing/>
        <w:jc w:val="both"/>
        <w:rPr>
          <w:rFonts w:ascii="Bookman Old Style" w:hAnsi="Bookman Old Style"/>
        </w:rPr>
      </w:pPr>
    </w:p>
    <w:p w:rsidR="004C4C34" w:rsidRPr="007F428A" w:rsidRDefault="004C4C34" w:rsidP="004C4C34">
      <w:pPr>
        <w:ind w:left="0"/>
        <w:contextualSpacing/>
        <w:jc w:val="both"/>
        <w:rPr>
          <w:rFonts w:ascii="Bookman Old Style" w:hAnsi="Bookman Old Style"/>
        </w:rPr>
      </w:pPr>
      <w:r w:rsidRPr="007F428A">
        <w:rPr>
          <w:rFonts w:ascii="Bookman Old Style" w:hAnsi="Bookman Old Style"/>
        </w:rPr>
        <w:t xml:space="preserve">Mediante Resolución CREG 066 de 2007, modificada por las resoluciones CREG 059 de 2008, 002 de 2009, 123 de 2010 y 095 de 2011, la Comisión estableció “la regulación de precios de suministro de GLP de comercializadores </w:t>
      </w:r>
      <w:r w:rsidRPr="007F428A">
        <w:rPr>
          <w:rFonts w:ascii="Bookman Old Style" w:hAnsi="Bookman Old Style"/>
        </w:rPr>
        <w:lastRenderedPageBreak/>
        <w:t>mayoristas a distribuidores”. La resolución en mención señala la metodología para calcular el precio máximo regulado de suministro de GLP producido en las fuentes reguladas</w:t>
      </w:r>
      <w:r w:rsidRPr="007F428A">
        <w:rPr>
          <w:rStyle w:val="Refdenotaalpie"/>
          <w:rFonts w:ascii="Bookman Old Style" w:hAnsi="Bookman Old Style"/>
        </w:rPr>
        <w:footnoteReference w:id="1"/>
      </w:r>
      <w:r w:rsidRPr="007F428A">
        <w:rPr>
          <w:rFonts w:ascii="Bookman Old Style" w:hAnsi="Bookman Old Style"/>
        </w:rPr>
        <w:t xml:space="preserve">, mencionando adicionalmente que las demás fuentes de producción de GLP pueden fijar libremente su tarifa. </w:t>
      </w:r>
    </w:p>
    <w:p w:rsidR="004C4C34" w:rsidRPr="007F428A" w:rsidRDefault="004C4C34" w:rsidP="004C4C34">
      <w:pPr>
        <w:ind w:left="0"/>
        <w:contextualSpacing/>
        <w:jc w:val="both"/>
        <w:rPr>
          <w:rFonts w:ascii="Bookman Old Style" w:hAnsi="Bookman Old Style"/>
        </w:rPr>
      </w:pPr>
    </w:p>
    <w:p w:rsidR="00440626" w:rsidRPr="007F428A" w:rsidRDefault="00440626" w:rsidP="00440626">
      <w:pPr>
        <w:ind w:left="0"/>
        <w:contextualSpacing/>
        <w:jc w:val="both"/>
        <w:rPr>
          <w:rFonts w:ascii="Bookman Old Style" w:hAnsi="Bookman Old Style"/>
        </w:rPr>
      </w:pPr>
      <w:r w:rsidRPr="007F428A">
        <w:rPr>
          <w:rFonts w:ascii="Bookman Old Style" w:hAnsi="Bookman Old Style"/>
        </w:rPr>
        <w:t>Las medidas adoptadas en la Resolución CREG 066 de 2007 se expidieron por parte de la CREG con el fin de brindar las señales necesarias para la promoción de la competencia en la comercialización mayorista, que permitieran que en un futuro se llegara a la desregulación del precio de suministro de GLP, así como a garantizar la oferta de producto dentro de la prestación del servicio público domiciliario, diferenciando la posición de cada agente comercializador mayorista en el mercado</w:t>
      </w:r>
      <w:r w:rsidRPr="007F428A">
        <w:rPr>
          <w:rStyle w:val="Refdenotaalpie"/>
          <w:rFonts w:ascii="Bookman Old Style" w:hAnsi="Bookman Old Style"/>
        </w:rPr>
        <w:footnoteReference w:id="2"/>
      </w:r>
      <w:r w:rsidRPr="007F428A">
        <w:rPr>
          <w:rFonts w:ascii="Bookman Old Style" w:hAnsi="Bookman Old Style"/>
        </w:rPr>
        <w:t>. Lo anterior, en concordancia con los fines previstos en la Ley 142 de 1994</w:t>
      </w:r>
      <w:r w:rsidRPr="007F428A">
        <w:rPr>
          <w:rStyle w:val="Refdenotaalpie"/>
          <w:rFonts w:ascii="Bookman Old Style" w:hAnsi="Bookman Old Style"/>
        </w:rPr>
        <w:footnoteReference w:id="3"/>
      </w:r>
      <w:r w:rsidRPr="007F428A">
        <w:rPr>
          <w:rFonts w:ascii="Bookman Old Style" w:hAnsi="Bookman Old Style"/>
        </w:rPr>
        <w:t>.</w:t>
      </w:r>
    </w:p>
    <w:p w:rsidR="00440626" w:rsidRDefault="00440626" w:rsidP="00440626">
      <w:pPr>
        <w:ind w:left="0"/>
        <w:contextualSpacing/>
        <w:jc w:val="both"/>
        <w:rPr>
          <w:rFonts w:ascii="Bookman Old Style" w:hAnsi="Bookman Old Style"/>
        </w:rPr>
      </w:pPr>
    </w:p>
    <w:p w:rsidR="00440626" w:rsidRPr="00440626" w:rsidRDefault="00440626" w:rsidP="00EA5140">
      <w:pPr>
        <w:ind w:left="0"/>
        <w:contextualSpacing/>
        <w:jc w:val="both"/>
        <w:rPr>
          <w:rFonts w:ascii="Bookman Old Style" w:hAnsi="Bookman Old Style"/>
        </w:rPr>
      </w:pPr>
      <w:r w:rsidRPr="007F428A">
        <w:rPr>
          <w:rFonts w:ascii="Bookman Old Style" w:hAnsi="Bookman Old Style"/>
        </w:rPr>
        <w:t>De acuerdo con esto, desde el punto de vista tarifario, atendiendo las facultades regulatorias con las que cuenta la CREG en esta materia y como parte de la fijación de los precios y la remuneración que se debía dar al producto en la comercialización mayorista, la CREG consideró que a través de esta resolución: i) se debía proporcionar al mercado señales regulatorias de escasez (en el corto y mediano plazo a fin de incentivar la entrada de nuevos agentes) y remunerar el verdadero costo económico del bien (a fin de incentivar igualmente la competencia, como la búsqueda de nuevas fuentes de suministro que garanticen la prestación del servicio público); ii) dichas señales debían estar en consonancia con el cumplimiento de los criterios que en esta materia se encuentran previstos en el artículo 87 de la Ley 142 de 1994, principalmente en materia de eficiencia económica y suficiencia financiera; iii) las señales de precios debían orientar el interés privado (el cual incorpora, entre otros, generar utilidades acordes a dicha actividad), así como el beneficio para los usuarios en relación con las tarifas, en términos de eficiencia y una adecuada remuneración que permitiera contar con el producto para la prestación del</w:t>
      </w:r>
      <w:r>
        <w:rPr>
          <w:rFonts w:ascii="Bookman Old Style" w:hAnsi="Bookman Old Style"/>
        </w:rPr>
        <w:t xml:space="preserve"> servicio público domiciliario.</w:t>
      </w:r>
    </w:p>
    <w:p w:rsidR="00440626" w:rsidRDefault="00440626" w:rsidP="00EA5140">
      <w:pPr>
        <w:ind w:left="0"/>
        <w:contextualSpacing/>
        <w:jc w:val="both"/>
        <w:rPr>
          <w:rFonts w:ascii="Bookman Old Style" w:hAnsi="Bookman Old Style"/>
        </w:rPr>
      </w:pPr>
    </w:p>
    <w:p w:rsidR="00EA5140" w:rsidRDefault="00EA5140" w:rsidP="00EA5140">
      <w:pPr>
        <w:ind w:left="0"/>
        <w:contextualSpacing/>
        <w:jc w:val="both"/>
        <w:rPr>
          <w:rFonts w:ascii="Bookman Old Style" w:hAnsi="Bookman Old Style"/>
        </w:rPr>
      </w:pPr>
      <w:r>
        <w:rPr>
          <w:rFonts w:ascii="Bookman Old Style" w:hAnsi="Bookman Old Style"/>
        </w:rPr>
        <w:t>Mediante la Resolución CREG 066</w:t>
      </w:r>
      <w:r w:rsidRPr="00AE2B44">
        <w:rPr>
          <w:rFonts w:ascii="Bookman Old Style" w:hAnsi="Bookman Old Style"/>
        </w:rPr>
        <w:t xml:space="preserve"> de 2015 la </w:t>
      </w:r>
      <w:r>
        <w:rPr>
          <w:rFonts w:ascii="Bookman Old Style" w:hAnsi="Bookman Old Style"/>
        </w:rPr>
        <w:t>CREG</w:t>
      </w:r>
      <w:r w:rsidRPr="00AE2B44">
        <w:rPr>
          <w:rFonts w:ascii="Bookman Old Style" w:hAnsi="Bookman Old Style"/>
        </w:rPr>
        <w:t xml:space="preserve"> </w:t>
      </w:r>
      <w:r>
        <w:rPr>
          <w:rFonts w:ascii="Bookman Old Style" w:hAnsi="Bookman Old Style"/>
        </w:rPr>
        <w:t>se hizo público un</w:t>
      </w:r>
      <w:r w:rsidRPr="00AE2B44">
        <w:rPr>
          <w:rFonts w:ascii="Bookman Old Style" w:hAnsi="Bookman Old Style"/>
        </w:rPr>
        <w:t xml:space="preserve"> proyecto de resolución de carácter general</w:t>
      </w:r>
      <w:r>
        <w:rPr>
          <w:rFonts w:ascii="Bookman Old Style" w:hAnsi="Bookman Old Style"/>
        </w:rPr>
        <w:t xml:space="preserve"> “</w:t>
      </w:r>
      <w:r w:rsidRPr="00200230">
        <w:rPr>
          <w:rFonts w:ascii="Bookman Old Style" w:hAnsi="Bookman Old Style"/>
        </w:rPr>
        <w:t>Por la cual se adoptan medidas regulatorias como parte de la actualización del balance oferta demanda del Gas Licuado de Petróleo para las fuentes con precio regulado</w:t>
      </w:r>
      <w:r>
        <w:rPr>
          <w:rFonts w:ascii="Bookman Old Style" w:hAnsi="Bookman Old Style"/>
        </w:rPr>
        <w:t xml:space="preserve">” </w:t>
      </w:r>
      <w:r w:rsidRPr="00AE2B44">
        <w:rPr>
          <w:rFonts w:ascii="Bookman Old Style" w:hAnsi="Bookman Old Style"/>
        </w:rPr>
        <w:t xml:space="preserve">a fin de que agentes y </w:t>
      </w:r>
      <w:r w:rsidRPr="00AE2B44">
        <w:rPr>
          <w:rFonts w:ascii="Bookman Old Style" w:hAnsi="Bookman Old Style"/>
        </w:rPr>
        <w:lastRenderedPageBreak/>
        <w:t>demás interesados presentaran sus comentarios en relación con los aspectos anteriormente mencionados.</w:t>
      </w:r>
    </w:p>
    <w:p w:rsidR="00EA5140" w:rsidRDefault="00EA5140" w:rsidP="00EA5140">
      <w:pPr>
        <w:ind w:left="0"/>
        <w:contextualSpacing/>
        <w:jc w:val="both"/>
        <w:rPr>
          <w:rFonts w:ascii="Bookman Old Style" w:hAnsi="Bookman Old Style"/>
        </w:rPr>
      </w:pPr>
    </w:p>
    <w:p w:rsidR="00440626" w:rsidRPr="00440626" w:rsidRDefault="00EA5140" w:rsidP="00EA5140">
      <w:pPr>
        <w:ind w:left="0"/>
        <w:contextualSpacing/>
        <w:jc w:val="both"/>
        <w:rPr>
          <w:rFonts w:ascii="Bookman Old Style" w:hAnsi="Bookman Old Style"/>
          <w:lang w:val="es-CO"/>
        </w:rPr>
      </w:pPr>
      <w:r>
        <w:rPr>
          <w:rFonts w:ascii="Bookman Old Style" w:hAnsi="Bookman Old Style"/>
        </w:rPr>
        <w:t>La propuesta regulatoria sometida a consulta y las medidas regulatorias que allí se incluyen</w:t>
      </w:r>
      <w:r w:rsidR="00440626">
        <w:rPr>
          <w:rFonts w:ascii="Bookman Old Style" w:hAnsi="Bookman Old Style"/>
        </w:rPr>
        <w:t>,</w:t>
      </w:r>
      <w:r>
        <w:rPr>
          <w:rFonts w:ascii="Bookman Old Style" w:hAnsi="Bookman Old Style"/>
        </w:rPr>
        <w:t xml:space="preserve"> se </w:t>
      </w:r>
      <w:r w:rsidR="00440626">
        <w:rPr>
          <w:rFonts w:ascii="Bookman Old Style" w:hAnsi="Bookman Old Style"/>
        </w:rPr>
        <w:t>proponen</w:t>
      </w:r>
      <w:r>
        <w:rPr>
          <w:rFonts w:ascii="Bookman Old Style" w:hAnsi="Bookman Old Style"/>
        </w:rPr>
        <w:t xml:space="preserve"> a fin de dar </w:t>
      </w:r>
      <w:r w:rsidRPr="00EA5140">
        <w:rPr>
          <w:rFonts w:ascii="Bookman Old Style" w:hAnsi="Bookman Old Style"/>
          <w:lang w:val="es-CO"/>
        </w:rPr>
        <w:t xml:space="preserve">cumplimiento a los fines y criterios </w:t>
      </w:r>
      <w:r w:rsidR="00440626">
        <w:rPr>
          <w:rFonts w:ascii="Bookman Old Style" w:hAnsi="Bookman Old Style"/>
          <w:lang w:val="es-CO"/>
        </w:rPr>
        <w:t>previstos en la Ley 142 de 1994</w:t>
      </w:r>
      <w:r w:rsidRPr="00EA5140">
        <w:rPr>
          <w:rFonts w:ascii="Bookman Old Style" w:hAnsi="Bookman Old Style"/>
          <w:lang w:val="es-CO"/>
        </w:rPr>
        <w:t xml:space="preserve"> así como a los objetivos perse</w:t>
      </w:r>
      <w:r w:rsidR="00FA7F49">
        <w:rPr>
          <w:rFonts w:ascii="Bookman Old Style" w:hAnsi="Bookman Old Style"/>
          <w:lang w:val="es-CO"/>
        </w:rPr>
        <w:t>guidos por la regulación</w:t>
      </w:r>
      <w:r w:rsidR="00440626">
        <w:rPr>
          <w:rFonts w:ascii="Bookman Old Style" w:hAnsi="Bookman Old Style"/>
          <w:lang w:val="es-CO"/>
        </w:rPr>
        <w:t xml:space="preserve">, </w:t>
      </w:r>
      <w:r w:rsidR="00440626" w:rsidRPr="00440626">
        <w:rPr>
          <w:rFonts w:ascii="Bookman Old Style" w:hAnsi="Bookman Old Style"/>
          <w:lang w:val="es-CO"/>
        </w:rPr>
        <w:t>en especial aquellos relacionados con brindar las señales de precio eficiente que permitan contar con una adecuada oferta de producto para atender la demanda nacional, asegurando el suministro de GLP para el servicio público domiciliario. Esto, teniendo en cuenta que, ante la coyuntura de precios internacionales, los usos alternativos que tiene el productor se vuelven entonces el nuevo referente de la remuneración a pagar por el GLP, reflejando en estas circunstancias el costo de oportunidad del productor.</w:t>
      </w:r>
    </w:p>
    <w:p w:rsidR="00440626" w:rsidRDefault="00440626" w:rsidP="00EA5140">
      <w:pPr>
        <w:ind w:left="0"/>
        <w:contextualSpacing/>
        <w:jc w:val="both"/>
        <w:rPr>
          <w:rFonts w:ascii="Bookman Old Style" w:hAnsi="Bookman Old Style"/>
          <w:lang w:val="es-CO"/>
        </w:rPr>
      </w:pPr>
    </w:p>
    <w:p w:rsidR="00440626" w:rsidRDefault="007E1908" w:rsidP="00EA5140">
      <w:pPr>
        <w:ind w:left="0"/>
        <w:contextualSpacing/>
        <w:jc w:val="both"/>
        <w:rPr>
          <w:rFonts w:ascii="Bookman Old Style" w:hAnsi="Bookman Old Style"/>
          <w:lang w:val="es-CO"/>
        </w:rPr>
      </w:pPr>
      <w:r>
        <w:rPr>
          <w:rFonts w:ascii="Bookman Old Style" w:hAnsi="Bookman Old Style"/>
          <w:lang w:val="es-CO"/>
        </w:rPr>
        <w:t>Para estos efectos</w:t>
      </w:r>
      <w:r w:rsidR="00FA7F49">
        <w:rPr>
          <w:rFonts w:ascii="Bookman Old Style" w:hAnsi="Bookman Old Style"/>
          <w:lang w:val="es-CO"/>
        </w:rPr>
        <w:t xml:space="preserve">, </w:t>
      </w:r>
      <w:r>
        <w:rPr>
          <w:rFonts w:ascii="Bookman Old Style" w:hAnsi="Bookman Old Style"/>
          <w:lang w:val="es-CO"/>
        </w:rPr>
        <w:t xml:space="preserve">dentro de las consideraciones </w:t>
      </w:r>
      <w:r w:rsidR="00440626">
        <w:rPr>
          <w:rFonts w:ascii="Bookman Old Style" w:hAnsi="Bookman Old Style"/>
          <w:lang w:val="es-CO"/>
        </w:rPr>
        <w:t xml:space="preserve">y análisis que sustentan </w:t>
      </w:r>
      <w:r>
        <w:rPr>
          <w:rFonts w:ascii="Bookman Old Style" w:hAnsi="Bookman Old Style"/>
          <w:lang w:val="es-CO"/>
        </w:rPr>
        <w:t>la propuesta regulatoria</w:t>
      </w:r>
      <w:r w:rsidR="00440626">
        <w:rPr>
          <w:rFonts w:ascii="Bookman Old Style" w:hAnsi="Bookman Old Style"/>
          <w:lang w:val="es-CO"/>
        </w:rPr>
        <w:t>,</w:t>
      </w:r>
      <w:r>
        <w:rPr>
          <w:rFonts w:ascii="Bookman Old Style" w:hAnsi="Bookman Old Style"/>
          <w:lang w:val="es-CO"/>
        </w:rPr>
        <w:t xml:space="preserve"> se </w:t>
      </w:r>
      <w:r w:rsidR="00440626">
        <w:rPr>
          <w:rFonts w:ascii="Bookman Old Style" w:hAnsi="Bookman Old Style"/>
          <w:lang w:val="es-CO"/>
        </w:rPr>
        <w:t xml:space="preserve">encuentra que la </w:t>
      </w:r>
      <w:r w:rsidR="00FA7F49">
        <w:rPr>
          <w:rFonts w:ascii="Bookman Old Style" w:hAnsi="Bookman Old Style"/>
          <w:lang w:val="es-CO"/>
        </w:rPr>
        <w:t xml:space="preserve">CREG </w:t>
      </w:r>
      <w:r w:rsidR="00FA7F49" w:rsidRPr="00FA7F49">
        <w:rPr>
          <w:rFonts w:ascii="Bookman Old Style" w:hAnsi="Bookman Old Style"/>
          <w:lang w:val="es-CO"/>
        </w:rPr>
        <w:t>ha advertido desde el proceso de consulta de la actual metodología</w:t>
      </w:r>
      <w:r w:rsidR="00FA7F49">
        <w:rPr>
          <w:rStyle w:val="Refdenotaalpie"/>
          <w:rFonts w:ascii="Bookman Old Style" w:hAnsi="Bookman Old Style"/>
          <w:lang w:val="es-CO"/>
        </w:rPr>
        <w:footnoteReference w:id="4"/>
      </w:r>
      <w:r w:rsidR="00FA7F49" w:rsidRPr="00FA7F49">
        <w:rPr>
          <w:rFonts w:ascii="Bookman Old Style" w:hAnsi="Bookman Old Style"/>
          <w:lang w:val="es-CO"/>
        </w:rPr>
        <w:t>, así como dentro de las medidas adoptadas para la regulación de la comercialización mayorista</w:t>
      </w:r>
      <w:r w:rsidR="00FA7F49">
        <w:rPr>
          <w:rStyle w:val="Refdenotaalpie"/>
          <w:rFonts w:ascii="Bookman Old Style" w:hAnsi="Bookman Old Style"/>
          <w:lang w:val="es-CO"/>
        </w:rPr>
        <w:footnoteReference w:id="5"/>
      </w:r>
      <w:r w:rsidR="00FA7F49" w:rsidRPr="00FA7F49">
        <w:rPr>
          <w:rFonts w:ascii="Bookman Old Style" w:hAnsi="Bookman Old Style"/>
          <w:lang w:val="es-CO"/>
        </w:rPr>
        <w:t xml:space="preserve"> de GLP, como parte de la adopción de la metodología de costo de oportunidad, que existe la posibilidad de analizar la condición de valor de referencia como parte de la actualización que se debe hacer del</w:t>
      </w:r>
      <w:r w:rsidR="00440626">
        <w:rPr>
          <w:rFonts w:ascii="Bookman Old Style" w:hAnsi="Bookman Old Style"/>
          <w:lang w:val="es-CO"/>
        </w:rPr>
        <w:t xml:space="preserve"> balance entre oferta y demanda de GLP ante la evidencia de algún evento que la afectara dicho balance y la señal de precio</w:t>
      </w:r>
      <w:r w:rsidR="00440626" w:rsidRPr="007F428A">
        <w:rPr>
          <w:rFonts w:ascii="Bookman Old Style" w:hAnsi="Bookman Old Style"/>
          <w:lang w:val="es-CO"/>
        </w:rPr>
        <w:t>. Lo anterior, debido a que dentro del marco de prestación del servicio público domiciliario, la regulación, en cumplimiento de lo previsto en la Ley 142 de 1994, debía brindar señales de precio eficiente que aseguraran el suministro de GLP para el</w:t>
      </w:r>
      <w:r w:rsidR="00440626">
        <w:rPr>
          <w:rFonts w:ascii="Bookman Old Style" w:hAnsi="Bookman Old Style"/>
          <w:lang w:val="es-CO"/>
        </w:rPr>
        <w:t xml:space="preserve"> servicio público domiciliario.</w:t>
      </w:r>
    </w:p>
    <w:p w:rsidR="00440626" w:rsidRDefault="00440626" w:rsidP="00EA5140">
      <w:pPr>
        <w:ind w:left="0"/>
        <w:contextualSpacing/>
        <w:jc w:val="both"/>
        <w:rPr>
          <w:rFonts w:ascii="Bookman Old Style" w:hAnsi="Bookman Old Style"/>
          <w:lang w:val="es-CO"/>
        </w:rPr>
      </w:pPr>
    </w:p>
    <w:p w:rsidR="00FA7F49" w:rsidRPr="007F428A" w:rsidRDefault="00440626" w:rsidP="00FA7F49">
      <w:pPr>
        <w:ind w:left="0"/>
        <w:contextualSpacing/>
        <w:jc w:val="both"/>
        <w:rPr>
          <w:rFonts w:ascii="Bookman Old Style" w:hAnsi="Bookman Old Style"/>
          <w:lang w:val="es-CO"/>
        </w:rPr>
      </w:pPr>
      <w:r>
        <w:rPr>
          <w:rFonts w:ascii="Bookman Old Style" w:hAnsi="Bookman Old Style"/>
          <w:lang w:val="es-CO"/>
        </w:rPr>
        <w:t xml:space="preserve">Igualmente, que atendiendo las circunstancias actuales, </w:t>
      </w:r>
      <w:r w:rsidRPr="007F428A">
        <w:rPr>
          <w:rFonts w:ascii="Bookman Old Style" w:hAnsi="Bookman Old Style"/>
        </w:rPr>
        <w:t>como</w:t>
      </w:r>
      <w:r w:rsidR="00FA7F49" w:rsidRPr="007F428A">
        <w:rPr>
          <w:rFonts w:ascii="Bookman Old Style" w:hAnsi="Bookman Old Style"/>
        </w:rPr>
        <w:t xml:space="preserve"> parte del análisis del balance entre oferta y demanda, la</w:t>
      </w:r>
      <w:r w:rsidR="00FA7F49" w:rsidRPr="007F428A">
        <w:rPr>
          <w:rFonts w:ascii="Bookman Old Style" w:hAnsi="Bookman Old Style"/>
          <w:lang w:val="es-CO"/>
        </w:rPr>
        <w:t xml:space="preserve"> situación actual muestra que los precios internacionales, a los que se encuentra indexado el precio máximo de suministro de GLP para fuentes con precio regulado, han caído sustancialmente, hecho que tuvo inicio durante el segundo semestre de 2014. Se observa que en el último trimestre de 2014 el precio máximo regulado de GLP tiene su mayor disminución y si se revisa la variación de dicho precio entre enero de 2014 y enero de 2015 la reducción fue del orden del 26.7%.</w:t>
      </w:r>
    </w:p>
    <w:p w:rsidR="00FA7F49" w:rsidRPr="007F428A" w:rsidRDefault="00FA7F49" w:rsidP="00FA7F49">
      <w:pPr>
        <w:ind w:left="0"/>
        <w:contextualSpacing/>
        <w:jc w:val="both"/>
        <w:rPr>
          <w:rFonts w:ascii="Bookman Old Style" w:hAnsi="Bookman Old Style"/>
          <w:lang w:val="es-CO"/>
        </w:rPr>
      </w:pPr>
    </w:p>
    <w:p w:rsidR="00FA7F49" w:rsidRPr="007F428A" w:rsidRDefault="00FA7F49" w:rsidP="00FA7F49">
      <w:pPr>
        <w:ind w:left="0"/>
        <w:contextualSpacing/>
        <w:jc w:val="both"/>
        <w:rPr>
          <w:rFonts w:ascii="Bookman Old Style" w:hAnsi="Bookman Old Style"/>
          <w:lang w:val="es-CO"/>
        </w:rPr>
      </w:pPr>
      <w:r w:rsidRPr="007F428A">
        <w:rPr>
          <w:rFonts w:ascii="Bookman Old Style" w:hAnsi="Bookman Old Style"/>
          <w:lang w:val="es-CO"/>
        </w:rPr>
        <w:t xml:space="preserve">En la coyuntura actual de precios internacionales, diferentes alternativas para el uso del GLP empiezan a tener mayor racionalidad para un productor, desde el punto de vista económico y financiero, que considerar la opción de exportar el producto. El mercado internacional pasa a un segundo plano y la disminución de los costos, a través de la utilización de GLP como alternativa de </w:t>
      </w:r>
      <w:r w:rsidRPr="007F428A">
        <w:rPr>
          <w:rFonts w:ascii="Bookman Old Style" w:hAnsi="Bookman Old Style"/>
          <w:lang w:val="es-CO"/>
        </w:rPr>
        <w:lastRenderedPageBreak/>
        <w:t>combustible, en los procesos de refinación y secado de gas natural, comienza a ser la prioridad para el productor.</w:t>
      </w:r>
    </w:p>
    <w:p w:rsidR="00FA7F49" w:rsidRDefault="00FA7F49" w:rsidP="00EA5140">
      <w:pPr>
        <w:ind w:left="0"/>
        <w:contextualSpacing/>
        <w:jc w:val="both"/>
        <w:rPr>
          <w:rFonts w:ascii="Bookman Old Style" w:hAnsi="Bookman Old Style"/>
          <w:lang w:val="es-CO"/>
        </w:rPr>
      </w:pPr>
    </w:p>
    <w:p w:rsidR="004C4C34" w:rsidRPr="00DE77C7" w:rsidRDefault="00EA5140" w:rsidP="004C4C34">
      <w:pPr>
        <w:ind w:left="0"/>
        <w:contextualSpacing/>
        <w:jc w:val="both"/>
        <w:rPr>
          <w:rFonts w:ascii="Bookman Old Style" w:hAnsi="Bookman Old Style"/>
          <w:lang w:val="es-CO"/>
        </w:rPr>
      </w:pPr>
      <w:r w:rsidRPr="00EA5140">
        <w:rPr>
          <w:rFonts w:ascii="Bookman Old Style" w:hAnsi="Bookman Old Style"/>
          <w:lang w:val="es-CO"/>
        </w:rPr>
        <w:t>Esto, teniendo en cuenta que</w:t>
      </w:r>
      <w:r>
        <w:rPr>
          <w:rFonts w:ascii="Bookman Old Style" w:hAnsi="Bookman Old Style"/>
          <w:lang w:val="es-CO"/>
        </w:rPr>
        <w:t xml:space="preserve"> la situación actual </w:t>
      </w:r>
      <w:r w:rsidR="00FA7F49">
        <w:rPr>
          <w:rFonts w:ascii="Bookman Old Style" w:hAnsi="Bookman Old Style"/>
          <w:lang w:val="es-CO"/>
        </w:rPr>
        <w:t>en relación con</w:t>
      </w:r>
      <w:r w:rsidRPr="00EA5140">
        <w:rPr>
          <w:rFonts w:ascii="Bookman Old Style" w:hAnsi="Bookman Old Style"/>
          <w:lang w:val="es-CO"/>
        </w:rPr>
        <w:t xml:space="preserve"> la coyuntura de precios internacionales, </w:t>
      </w:r>
      <w:r w:rsidR="00FA7F49">
        <w:rPr>
          <w:rFonts w:ascii="Bookman Old Style" w:hAnsi="Bookman Old Style"/>
          <w:lang w:val="es-CO"/>
        </w:rPr>
        <w:t xml:space="preserve">así como </w:t>
      </w:r>
      <w:r w:rsidRPr="00EA5140">
        <w:rPr>
          <w:rFonts w:ascii="Bookman Old Style" w:hAnsi="Bookman Old Style"/>
          <w:lang w:val="es-CO"/>
        </w:rPr>
        <w:t>los usos alternativos que tiene el productor se vuelven entonces el nuevo referente de la remuneración a pagar por el GLP, reflejando en estas circunstancias el costo de oportunidad del productor.</w:t>
      </w:r>
      <w:r w:rsidR="00440626">
        <w:rPr>
          <w:rFonts w:ascii="Bookman Old Style" w:hAnsi="Bookman Old Style"/>
          <w:lang w:val="es-CO"/>
        </w:rPr>
        <w:t xml:space="preserve"> Por lo tanto, de acuerdo con los análisis consignados en la propuesta regulatoria</w:t>
      </w:r>
      <w:r w:rsidR="004C4C34" w:rsidRPr="007F428A">
        <w:rPr>
          <w:rFonts w:ascii="Bookman Old Style" w:hAnsi="Bookman Old Style"/>
          <w:lang w:val="es-CO"/>
        </w:rPr>
        <w:t xml:space="preserve">, en </w:t>
      </w:r>
      <w:r w:rsidR="004C4C34">
        <w:rPr>
          <w:rFonts w:ascii="Bookman Old Style" w:hAnsi="Bookman Old Style"/>
          <w:lang w:val="es-CO"/>
        </w:rPr>
        <w:t>este momento</w:t>
      </w:r>
      <w:r w:rsidR="004C4C34" w:rsidRPr="007F428A">
        <w:rPr>
          <w:rFonts w:ascii="Bookman Old Style" w:hAnsi="Bookman Old Style"/>
          <w:lang w:val="es-CO"/>
        </w:rPr>
        <w:t xml:space="preserve"> el mercado internacional no refleja </w:t>
      </w:r>
      <w:r w:rsidR="004C4C34">
        <w:rPr>
          <w:rFonts w:ascii="Bookman Old Style" w:hAnsi="Bookman Old Style"/>
          <w:lang w:val="es-CO"/>
        </w:rPr>
        <w:t xml:space="preserve">necesariamente </w:t>
      </w:r>
      <w:r w:rsidR="004C4C34" w:rsidRPr="007F428A">
        <w:rPr>
          <w:rFonts w:ascii="Bookman Old Style" w:hAnsi="Bookman Old Style"/>
          <w:lang w:val="es-CO"/>
        </w:rPr>
        <w:t>el costo de oportunidad del producto</w:t>
      </w:r>
      <w:r w:rsidR="004C4C34">
        <w:rPr>
          <w:rFonts w:ascii="Bookman Old Style" w:hAnsi="Bookman Old Style"/>
          <w:lang w:val="es-CO"/>
        </w:rPr>
        <w:t xml:space="preserve"> en todas las fuentes con precio regulado. Con el fin de que</w:t>
      </w:r>
      <w:r w:rsidR="004C4C34" w:rsidRPr="007F428A">
        <w:rPr>
          <w:rFonts w:ascii="Bookman Old Style" w:hAnsi="Bookman Old Style"/>
          <w:lang w:val="es-CO"/>
        </w:rPr>
        <w:t xml:space="preserve"> el productor destine </w:t>
      </w:r>
      <w:r w:rsidR="004C4C34">
        <w:rPr>
          <w:rFonts w:ascii="Bookman Old Style" w:hAnsi="Bookman Old Style"/>
          <w:lang w:val="es-CO"/>
        </w:rPr>
        <w:t xml:space="preserve">su </w:t>
      </w:r>
      <w:r w:rsidR="004C4C34" w:rsidRPr="007F428A">
        <w:rPr>
          <w:rFonts w:ascii="Bookman Old Style" w:hAnsi="Bookman Old Style"/>
          <w:lang w:val="es-CO"/>
        </w:rPr>
        <w:t>produc</w:t>
      </w:r>
      <w:r w:rsidR="004C4C34">
        <w:rPr>
          <w:rFonts w:ascii="Bookman Old Style" w:hAnsi="Bookman Old Style"/>
          <w:lang w:val="es-CO"/>
        </w:rPr>
        <w:t>ción</w:t>
      </w:r>
      <w:r w:rsidR="004C4C34" w:rsidRPr="007F428A">
        <w:rPr>
          <w:rFonts w:ascii="Bookman Old Style" w:hAnsi="Bookman Old Style"/>
          <w:lang w:val="es-CO"/>
        </w:rPr>
        <w:t xml:space="preserve"> al consumo de la demanda </w:t>
      </w:r>
      <w:r w:rsidR="004C4C34">
        <w:rPr>
          <w:rFonts w:ascii="Bookman Old Style" w:hAnsi="Bookman Old Style"/>
          <w:lang w:val="es-CO"/>
        </w:rPr>
        <w:t>nacional</w:t>
      </w:r>
      <w:r w:rsidR="004C4C34" w:rsidRPr="007F428A">
        <w:rPr>
          <w:rFonts w:ascii="Bookman Old Style" w:hAnsi="Bookman Old Style"/>
          <w:lang w:val="es-CO"/>
        </w:rPr>
        <w:t xml:space="preserve">, </w:t>
      </w:r>
      <w:r w:rsidR="004C4C34">
        <w:rPr>
          <w:rFonts w:ascii="Bookman Old Style" w:hAnsi="Bookman Old Style"/>
          <w:lang w:val="es-CO"/>
        </w:rPr>
        <w:t xml:space="preserve">se </w:t>
      </w:r>
      <w:r w:rsidR="004C4C34" w:rsidRPr="007F428A">
        <w:rPr>
          <w:rFonts w:ascii="Bookman Old Style" w:hAnsi="Bookman Old Style"/>
          <w:lang w:val="es-CO"/>
        </w:rPr>
        <w:t>debe</w:t>
      </w:r>
      <w:r w:rsidR="004C4C34">
        <w:rPr>
          <w:rFonts w:ascii="Bookman Old Style" w:hAnsi="Bookman Old Style"/>
          <w:lang w:val="es-CO"/>
        </w:rPr>
        <w:t xml:space="preserve"> entonces </w:t>
      </w:r>
      <w:r w:rsidR="004C4C34" w:rsidRPr="007F428A">
        <w:rPr>
          <w:rFonts w:ascii="Bookman Old Style" w:hAnsi="Bookman Old Style"/>
          <w:lang w:val="es-CO"/>
        </w:rPr>
        <w:t>reconocer</w:t>
      </w:r>
      <w:r w:rsidR="004C4C34">
        <w:rPr>
          <w:rFonts w:ascii="Bookman Old Style" w:hAnsi="Bookman Old Style"/>
          <w:lang w:val="es-CO"/>
        </w:rPr>
        <w:t xml:space="preserve"> por lo menos el valor equivalente a su mejor alternativa</w:t>
      </w:r>
      <w:r w:rsidR="004C4C34" w:rsidRPr="007F428A">
        <w:rPr>
          <w:rFonts w:ascii="Bookman Old Style" w:hAnsi="Bookman Old Style"/>
          <w:lang w:val="es-CO"/>
        </w:rPr>
        <w:t>.</w:t>
      </w:r>
    </w:p>
    <w:p w:rsidR="004C4C34" w:rsidRPr="00D51CE2" w:rsidRDefault="004C4C34" w:rsidP="004C4C34">
      <w:pPr>
        <w:ind w:left="0"/>
        <w:contextualSpacing/>
        <w:jc w:val="both"/>
        <w:rPr>
          <w:rFonts w:ascii="Bookman Old Style" w:hAnsi="Bookman Old Style"/>
          <w:lang w:val="es-CO"/>
        </w:rPr>
      </w:pPr>
    </w:p>
    <w:p w:rsidR="00440626" w:rsidRDefault="00440626" w:rsidP="00200230">
      <w:pPr>
        <w:ind w:left="0"/>
        <w:jc w:val="both"/>
        <w:rPr>
          <w:rFonts w:ascii="Bookman Old Style" w:hAnsi="Bookman Old Style"/>
        </w:rPr>
      </w:pPr>
      <w:r>
        <w:rPr>
          <w:rFonts w:ascii="Bookman Old Style" w:hAnsi="Bookman Old Style"/>
        </w:rPr>
        <w:t xml:space="preserve">Ahora bien, dentro de las disposiciones de la propuesta regulatoria en el artículo 2 de su parte resolutiva, se dispuso una medida transitoria relativa a que únicamente </w:t>
      </w:r>
      <w:r w:rsidRPr="00440626">
        <w:rPr>
          <w:rFonts w:ascii="Bookman Old Style" w:hAnsi="Bookman Old Style"/>
        </w:rPr>
        <w:t xml:space="preserve">para la OPC que cubra la demanda a partir del primero de julio de 2015, </w:t>
      </w:r>
      <w:r>
        <w:rPr>
          <w:rFonts w:ascii="Bookman Old Style" w:hAnsi="Bookman Old Style"/>
        </w:rPr>
        <w:t xml:space="preserve">el Comercializador Mayorista de fuente con precio regulado debía ofrecer </w:t>
      </w:r>
      <w:r w:rsidRPr="00440626">
        <w:rPr>
          <w:rFonts w:ascii="Bookman Old Style" w:hAnsi="Bookman Old Style"/>
        </w:rPr>
        <w:t xml:space="preserve">el producto por los menos </w:t>
      </w:r>
      <w:r>
        <w:rPr>
          <w:rFonts w:ascii="Bookman Old Style" w:hAnsi="Bookman Old Style"/>
        </w:rPr>
        <w:t>veinticinco (25</w:t>
      </w:r>
      <w:r w:rsidRPr="00440626">
        <w:rPr>
          <w:rFonts w:ascii="Bookman Old Style" w:hAnsi="Bookman Old Style"/>
        </w:rPr>
        <w:t>) días calendario antes de ejecutarse los contratos de suministro resultantes.</w:t>
      </w:r>
    </w:p>
    <w:p w:rsidR="00440626" w:rsidRDefault="00440626" w:rsidP="00200230">
      <w:pPr>
        <w:ind w:left="0"/>
        <w:jc w:val="both"/>
        <w:rPr>
          <w:rFonts w:ascii="Bookman Old Style" w:hAnsi="Bookman Old Style"/>
        </w:rPr>
      </w:pPr>
    </w:p>
    <w:p w:rsidR="00EB5F32" w:rsidRDefault="00EB5F32" w:rsidP="00EB5F32">
      <w:pPr>
        <w:ind w:left="0"/>
        <w:jc w:val="both"/>
        <w:rPr>
          <w:rFonts w:ascii="Bookman Old Style" w:hAnsi="Bookman Old Style"/>
        </w:rPr>
      </w:pPr>
      <w:r>
        <w:rPr>
          <w:rFonts w:ascii="Bookman Old Style" w:hAnsi="Bookman Old Style"/>
        </w:rPr>
        <w:t>Esta disposición corresponde a una medida excepcional, la cual debe entenderse de manera concordante con lo dispuesto en el literal d del artículo 13 de la Resolución CREG 053 de 2011, modificado por el artículo 6 de la Resolución CREG 154 de 2014</w:t>
      </w:r>
      <w:r>
        <w:rPr>
          <w:rStyle w:val="Refdenotaalpie"/>
          <w:rFonts w:ascii="Bookman Old Style" w:hAnsi="Bookman Old Style"/>
        </w:rPr>
        <w:footnoteReference w:id="6"/>
      </w:r>
      <w:r>
        <w:rPr>
          <w:rFonts w:ascii="Bookman Old Style" w:hAnsi="Bookman Old Style"/>
        </w:rPr>
        <w:t>, cuya aplicación se sujeta a lo dispuesto en el artículo 2 de la Resolución CREG  019 de 2015.</w:t>
      </w:r>
      <w:r>
        <w:rPr>
          <w:rStyle w:val="Refdenotaalpie"/>
          <w:rFonts w:ascii="Bookman Old Style" w:hAnsi="Bookman Old Style"/>
        </w:rPr>
        <w:footnoteReference w:id="7"/>
      </w:r>
      <w:r>
        <w:rPr>
          <w:rFonts w:ascii="Bookman Old Style" w:hAnsi="Bookman Old Style"/>
        </w:rPr>
        <w:t xml:space="preserve"> </w:t>
      </w:r>
    </w:p>
    <w:p w:rsidR="00EB5F32" w:rsidRDefault="00EB5F32" w:rsidP="00EB5F32">
      <w:pPr>
        <w:ind w:left="0"/>
        <w:jc w:val="both"/>
        <w:rPr>
          <w:rFonts w:ascii="Bookman Old Style" w:hAnsi="Bookman Old Style"/>
        </w:rPr>
      </w:pPr>
    </w:p>
    <w:p w:rsidR="00EB5F32" w:rsidRDefault="00EB5F32" w:rsidP="00EB5F32">
      <w:pPr>
        <w:ind w:left="0"/>
        <w:jc w:val="both"/>
        <w:rPr>
          <w:rFonts w:ascii="Bookman Old Style" w:hAnsi="Bookman Old Style"/>
        </w:rPr>
      </w:pPr>
      <w:r>
        <w:rPr>
          <w:rFonts w:ascii="Bookman Old Style" w:hAnsi="Bookman Old Style"/>
        </w:rPr>
        <w:t xml:space="preserve">Es por esto que se considera razonable y conveniente ajustar las disposiciones previstas para los procedimientos y las </w:t>
      </w:r>
      <w:r w:rsidRPr="00440626">
        <w:rPr>
          <w:rFonts w:ascii="Bookman Old Style" w:hAnsi="Bookman Old Style"/>
        </w:rPr>
        <w:t xml:space="preserve">condiciones para la oferta pública de </w:t>
      </w:r>
      <w:r>
        <w:rPr>
          <w:rFonts w:ascii="Bookman Old Style" w:hAnsi="Bookman Old Style"/>
        </w:rPr>
        <w:t>GLP</w:t>
      </w:r>
      <w:r w:rsidRPr="00440626">
        <w:rPr>
          <w:rFonts w:ascii="Bookman Old Style" w:hAnsi="Bookman Old Style"/>
        </w:rPr>
        <w:t xml:space="preserve"> con precio regulado</w:t>
      </w:r>
      <w:r>
        <w:rPr>
          <w:rFonts w:ascii="Bookman Old Style" w:hAnsi="Bookman Old Style"/>
        </w:rPr>
        <w:t>, en este caso con respecto al ofrecimiento</w:t>
      </w:r>
      <w:r w:rsidRPr="00440626">
        <w:rPr>
          <w:rFonts w:ascii="Bookman Old Style" w:hAnsi="Bookman Old Style"/>
        </w:rPr>
        <w:t xml:space="preserve"> </w:t>
      </w:r>
      <w:r>
        <w:rPr>
          <w:rFonts w:ascii="Bookman Old Style" w:hAnsi="Bookman Old Style"/>
        </w:rPr>
        <w:t>d</w:t>
      </w:r>
      <w:r w:rsidRPr="00440626">
        <w:rPr>
          <w:rFonts w:ascii="Bookman Old Style" w:hAnsi="Bookman Old Style"/>
        </w:rPr>
        <w:t>el producto</w:t>
      </w:r>
      <w:r>
        <w:rPr>
          <w:rFonts w:ascii="Bookman Old Style" w:hAnsi="Bookman Old Style"/>
        </w:rPr>
        <w:t xml:space="preserve"> que debe realizar el Comercializador Mayorista de fuente con precio regulado para la OPC que cubra la demanda a partir del 1 de julio de 2015, por lo que dichos procedimientos y condiciones se deberán llevar a cabo una vez se adopte por parte de la CREG una decisión definitiva a la propuesta de la Resolución CREG 066 de 2015, contando con un plazo razonable para estos efectos. Ejemplo de lo anterior, fue lo dispuesto en el artículo 2 de la Resolución CREG 019 de 2015.</w:t>
      </w:r>
    </w:p>
    <w:p w:rsidR="00440626" w:rsidRDefault="00440626" w:rsidP="00200230">
      <w:pPr>
        <w:ind w:left="0"/>
        <w:jc w:val="both"/>
        <w:rPr>
          <w:rFonts w:ascii="Bookman Old Style" w:hAnsi="Bookman Old Style"/>
        </w:rPr>
      </w:pPr>
    </w:p>
    <w:p w:rsidR="00440626" w:rsidRDefault="00440626" w:rsidP="00440626">
      <w:pPr>
        <w:ind w:left="0"/>
        <w:jc w:val="both"/>
        <w:rPr>
          <w:rFonts w:ascii="Bookman Old Style" w:hAnsi="Bookman Old Style"/>
        </w:rPr>
      </w:pPr>
      <w:r>
        <w:rPr>
          <w:rFonts w:ascii="Bookman Old Style" w:hAnsi="Bookman Old Style"/>
        </w:rPr>
        <w:t>S</w:t>
      </w:r>
      <w:r w:rsidR="00200230" w:rsidRPr="00872AC9">
        <w:rPr>
          <w:rFonts w:ascii="Bookman Old Style" w:hAnsi="Bookman Old Style"/>
        </w:rPr>
        <w:t xml:space="preserve">egún lo previsto en el artículo 8 del Código de Procedimiento Administrativo y de lo Contencioso Administrativo, </w:t>
      </w:r>
      <w:r>
        <w:rPr>
          <w:rFonts w:ascii="Bookman Old Style" w:hAnsi="Bookman Old Style"/>
        </w:rPr>
        <w:t>esta medida regulatoria</w:t>
      </w:r>
      <w:r w:rsidR="00200230" w:rsidRPr="00872AC9">
        <w:rPr>
          <w:rFonts w:ascii="Bookman Old Style" w:hAnsi="Bookman Old Style"/>
        </w:rPr>
        <w:t xml:space="preserve"> ha surtido el proceso de publicidad previo </w:t>
      </w:r>
      <w:r>
        <w:rPr>
          <w:rFonts w:ascii="Bookman Old Style" w:hAnsi="Bookman Old Style"/>
        </w:rPr>
        <w:t>y de consulta correspondiente, sin que se recibieran comentarios en relación con esta medida en particular.</w:t>
      </w:r>
    </w:p>
    <w:p w:rsidR="00200230" w:rsidRDefault="00200230" w:rsidP="00200230">
      <w:pPr>
        <w:ind w:left="0"/>
        <w:jc w:val="both"/>
        <w:rPr>
          <w:rFonts w:ascii="Bookman Old Style" w:hAnsi="Bookman Old Style"/>
        </w:rPr>
      </w:pPr>
    </w:p>
    <w:p w:rsidR="0054314B" w:rsidRDefault="0054314B" w:rsidP="00200230">
      <w:pPr>
        <w:ind w:left="0"/>
        <w:jc w:val="both"/>
        <w:rPr>
          <w:rFonts w:ascii="Bookman Old Style" w:hAnsi="Bookman Old Style"/>
          <w:lang w:val="es-ES_tradnl"/>
        </w:rPr>
      </w:pPr>
    </w:p>
    <w:p w:rsidR="00200230" w:rsidRDefault="00200230" w:rsidP="00200230">
      <w:pPr>
        <w:ind w:left="0"/>
        <w:jc w:val="both"/>
        <w:rPr>
          <w:rFonts w:ascii="Bookman Old Style" w:hAnsi="Bookman Old Style"/>
          <w:lang w:val="es-ES_tradnl"/>
        </w:rPr>
      </w:pPr>
      <w:r>
        <w:rPr>
          <w:rFonts w:ascii="Bookman Old Style" w:hAnsi="Bookman Old Style"/>
          <w:lang w:val="es-ES_tradnl"/>
        </w:rPr>
        <w:t>Con base en</w:t>
      </w:r>
      <w:r w:rsidRPr="00DF5572">
        <w:rPr>
          <w:rFonts w:ascii="Bookman Old Style" w:hAnsi="Bookman Old Style"/>
          <w:lang w:val="es-ES_tradnl"/>
        </w:rPr>
        <w:t xml:space="preserve"> lo establecido en el artículo 4 del Decreto 2897 de 2010, reglamentario de la Ley 1340 de 2009, </w:t>
      </w:r>
      <w:r w:rsidRPr="00872AC9">
        <w:rPr>
          <w:rFonts w:ascii="Bookman Old Style" w:hAnsi="Bookman Old Style"/>
          <w:lang w:val="es-ES_tradnl"/>
        </w:rPr>
        <w:t>se respondió el cuestionario establecido por la Superintendencia de Industria y Comercio para efectos de evaluar la incidencia sobre la libre competencia de los mercados, donde aplicando las reglas allí previstas</w:t>
      </w:r>
      <w:r>
        <w:rPr>
          <w:rFonts w:ascii="Bookman Old Style" w:hAnsi="Bookman Old Style"/>
          <w:lang w:val="es-ES_tradnl"/>
        </w:rPr>
        <w:t>,</w:t>
      </w:r>
      <w:r w:rsidRPr="00872AC9">
        <w:rPr>
          <w:rFonts w:ascii="Bookman Old Style" w:hAnsi="Bookman Old Style"/>
          <w:lang w:val="es-ES_tradnl"/>
        </w:rPr>
        <w:t xml:space="preserve"> la respuesta al conjunto de preguntas fue negativa, en la medida en que no plantea ninguna restricción indebida a la libre competencia.</w:t>
      </w:r>
      <w:r w:rsidR="00440626">
        <w:rPr>
          <w:rFonts w:ascii="Bookman Old Style" w:hAnsi="Bookman Old Style"/>
          <w:lang w:val="es-ES_tradnl"/>
        </w:rPr>
        <w:t xml:space="preserve"> </w:t>
      </w:r>
    </w:p>
    <w:p w:rsidR="00200230" w:rsidRDefault="00200230" w:rsidP="00200230">
      <w:pPr>
        <w:ind w:left="0"/>
        <w:jc w:val="both"/>
        <w:rPr>
          <w:rFonts w:ascii="Bookman Old Style" w:hAnsi="Bookman Old Style"/>
          <w:lang w:val="es-ES_tradnl"/>
        </w:rPr>
      </w:pPr>
    </w:p>
    <w:p w:rsidR="00200230" w:rsidRDefault="00200230" w:rsidP="00200230">
      <w:pPr>
        <w:ind w:left="0"/>
        <w:jc w:val="both"/>
        <w:rPr>
          <w:rFonts w:ascii="Bookman Old Style" w:hAnsi="Bookman Old Style"/>
          <w:lang w:val="es-ES_tradnl"/>
        </w:rPr>
      </w:pPr>
      <w:r w:rsidRPr="00872AC9">
        <w:rPr>
          <w:rFonts w:ascii="Bookman Old Style" w:hAnsi="Bookman Old Style"/>
          <w:lang w:val="es-ES_tradnl"/>
        </w:rPr>
        <w:t xml:space="preserve">En el Documento CREG </w:t>
      </w:r>
      <w:r w:rsidR="0054314B">
        <w:rPr>
          <w:rFonts w:ascii="Bookman Old Style" w:hAnsi="Bookman Old Style"/>
          <w:lang w:val="es-ES_tradnl"/>
        </w:rPr>
        <w:t>044</w:t>
      </w:r>
      <w:r w:rsidRPr="00872AC9">
        <w:rPr>
          <w:rFonts w:ascii="Bookman Old Style" w:hAnsi="Bookman Old Style"/>
          <w:lang w:val="es-ES_tradnl"/>
        </w:rPr>
        <w:t xml:space="preserve"> del </w:t>
      </w:r>
      <w:r w:rsidR="0054314B">
        <w:rPr>
          <w:rFonts w:ascii="Bookman Old Style" w:hAnsi="Bookman Old Style"/>
          <w:lang w:val="es-ES_tradnl"/>
        </w:rPr>
        <w:t>28</w:t>
      </w:r>
      <w:r w:rsidRPr="00872AC9">
        <w:rPr>
          <w:rFonts w:ascii="Bookman Old Style" w:hAnsi="Bookman Old Style"/>
          <w:lang w:val="es-ES_tradnl"/>
        </w:rPr>
        <w:t xml:space="preserve"> de </w:t>
      </w:r>
      <w:r w:rsidR="0054314B">
        <w:rPr>
          <w:rFonts w:ascii="Bookman Old Style" w:hAnsi="Bookman Old Style"/>
          <w:lang w:val="es-ES_tradnl"/>
        </w:rPr>
        <w:t>mayo</w:t>
      </w:r>
      <w:r w:rsidRPr="00872AC9">
        <w:rPr>
          <w:rFonts w:ascii="Bookman Old Style" w:hAnsi="Bookman Old Style"/>
          <w:lang w:val="es-ES_tradnl"/>
        </w:rPr>
        <w:t xml:space="preserve"> de 201</w:t>
      </w:r>
      <w:r>
        <w:rPr>
          <w:rFonts w:ascii="Bookman Old Style" w:hAnsi="Bookman Old Style"/>
          <w:lang w:val="es-ES_tradnl"/>
        </w:rPr>
        <w:t>5</w:t>
      </w:r>
      <w:r w:rsidRPr="00872AC9">
        <w:rPr>
          <w:rFonts w:ascii="Bookman Old Style" w:hAnsi="Bookman Old Style"/>
          <w:lang w:val="es-ES_tradnl"/>
        </w:rPr>
        <w:t xml:space="preserve"> se </w:t>
      </w:r>
      <w:r>
        <w:rPr>
          <w:rFonts w:ascii="Bookman Old Style" w:hAnsi="Bookman Old Style"/>
          <w:lang w:val="es-ES_tradnl"/>
        </w:rPr>
        <w:t>transcribe</w:t>
      </w:r>
      <w:r w:rsidRPr="00872AC9">
        <w:rPr>
          <w:rFonts w:ascii="Bookman Old Style" w:hAnsi="Bookman Old Style"/>
          <w:lang w:val="es-ES_tradnl"/>
        </w:rPr>
        <w:t xml:space="preserve"> el cuestionario al que se refiere el artículo 5 del Decreto 2897 de 2010</w:t>
      </w:r>
      <w:r w:rsidR="00440626">
        <w:rPr>
          <w:rFonts w:ascii="Bookman Old Style" w:hAnsi="Bookman Old Style"/>
          <w:lang w:val="es-ES_tradnl"/>
        </w:rPr>
        <w:t>.</w:t>
      </w:r>
    </w:p>
    <w:p w:rsidR="00440626" w:rsidRDefault="00440626" w:rsidP="00200230">
      <w:pPr>
        <w:ind w:left="0"/>
        <w:jc w:val="both"/>
        <w:rPr>
          <w:rFonts w:ascii="Bookman Old Style" w:hAnsi="Bookman Old Style"/>
          <w:lang w:val="es-ES_tradnl"/>
        </w:rPr>
      </w:pPr>
    </w:p>
    <w:p w:rsidR="00200230" w:rsidRDefault="00200230" w:rsidP="00200230">
      <w:pPr>
        <w:ind w:left="0"/>
        <w:jc w:val="both"/>
        <w:rPr>
          <w:rFonts w:ascii="Bookman Old Style" w:hAnsi="Bookman Old Style"/>
          <w:lang w:val="es-ES_tradnl"/>
        </w:rPr>
      </w:pPr>
      <w:r w:rsidRPr="00872AC9">
        <w:rPr>
          <w:rFonts w:ascii="Bookman Old Style" w:hAnsi="Bookman Old Style"/>
          <w:lang w:val="es-ES_tradnl"/>
        </w:rPr>
        <w:t>La Comisión de Regulación de Energía y Gas aprobó el presente acto adm</w:t>
      </w:r>
      <w:r>
        <w:rPr>
          <w:rFonts w:ascii="Bookman Old Style" w:hAnsi="Bookman Old Style"/>
          <w:lang w:val="es-ES_tradnl"/>
        </w:rPr>
        <w:t xml:space="preserve">inistrativo en la sesión No. </w:t>
      </w:r>
      <w:r w:rsidR="00440626">
        <w:rPr>
          <w:rFonts w:ascii="Bookman Old Style" w:hAnsi="Bookman Old Style"/>
          <w:lang w:val="es-ES_tradnl"/>
        </w:rPr>
        <w:t>65</w:t>
      </w:r>
      <w:r w:rsidR="0054314B">
        <w:rPr>
          <w:rFonts w:ascii="Bookman Old Style" w:hAnsi="Bookman Old Style"/>
          <w:lang w:val="es-ES_tradnl"/>
        </w:rPr>
        <w:t>8</w:t>
      </w:r>
      <w:r w:rsidR="00440626">
        <w:rPr>
          <w:rFonts w:ascii="Bookman Old Style" w:hAnsi="Bookman Old Style"/>
          <w:lang w:val="es-ES_tradnl"/>
        </w:rPr>
        <w:t xml:space="preserve"> del 2</w:t>
      </w:r>
      <w:r w:rsidR="0054314B">
        <w:rPr>
          <w:rFonts w:ascii="Bookman Old Style" w:hAnsi="Bookman Old Style"/>
          <w:lang w:val="es-ES_tradnl"/>
        </w:rPr>
        <w:t>8</w:t>
      </w:r>
      <w:r w:rsidR="000C1FEC">
        <w:rPr>
          <w:rFonts w:ascii="Bookman Old Style" w:hAnsi="Bookman Old Style"/>
          <w:lang w:val="es-ES_tradnl"/>
        </w:rPr>
        <w:t xml:space="preserve"> </w:t>
      </w:r>
      <w:r>
        <w:rPr>
          <w:rFonts w:ascii="Bookman Old Style" w:hAnsi="Bookman Old Style"/>
          <w:lang w:val="es-ES_tradnl"/>
        </w:rPr>
        <w:t xml:space="preserve">de </w:t>
      </w:r>
      <w:r w:rsidR="00440626">
        <w:rPr>
          <w:rFonts w:ascii="Bookman Old Style" w:hAnsi="Bookman Old Style"/>
          <w:lang w:val="es-ES_tradnl"/>
        </w:rPr>
        <w:t>mayo</w:t>
      </w:r>
      <w:r>
        <w:rPr>
          <w:rFonts w:ascii="Bookman Old Style" w:hAnsi="Bookman Old Style"/>
          <w:lang w:val="es-ES_tradnl"/>
        </w:rPr>
        <w:t xml:space="preserve"> de 2015</w:t>
      </w:r>
      <w:r w:rsidRPr="00872AC9">
        <w:rPr>
          <w:rFonts w:ascii="Bookman Old Style" w:hAnsi="Bookman Old Style"/>
          <w:lang w:val="es-ES_tradnl"/>
        </w:rPr>
        <w:t>.</w:t>
      </w:r>
    </w:p>
    <w:p w:rsidR="004C4C34" w:rsidRPr="00B0044D" w:rsidRDefault="004C4C34" w:rsidP="004C4C34">
      <w:pPr>
        <w:ind w:left="0"/>
        <w:contextualSpacing/>
        <w:jc w:val="both"/>
        <w:rPr>
          <w:rFonts w:ascii="Bookman Old Style" w:hAnsi="Bookman Old Style"/>
          <w:lang w:val="es-CO"/>
        </w:rPr>
      </w:pPr>
    </w:p>
    <w:p w:rsidR="004C4C34" w:rsidRPr="003208F5" w:rsidRDefault="004C4C34" w:rsidP="004C4C34">
      <w:pPr>
        <w:ind w:left="0"/>
        <w:contextualSpacing/>
        <w:jc w:val="center"/>
        <w:rPr>
          <w:rFonts w:ascii="Bookman Old Style" w:hAnsi="Bookman Old Style"/>
          <w:b/>
        </w:rPr>
      </w:pPr>
    </w:p>
    <w:p w:rsidR="004C4C34" w:rsidRDefault="004C4C34" w:rsidP="004C4C34">
      <w:pPr>
        <w:ind w:left="0"/>
        <w:contextualSpacing/>
        <w:jc w:val="center"/>
        <w:rPr>
          <w:rFonts w:ascii="Bookman Old Style" w:hAnsi="Bookman Old Style"/>
          <w:b/>
        </w:rPr>
      </w:pPr>
      <w:r w:rsidRPr="003208F5">
        <w:rPr>
          <w:rFonts w:ascii="Bookman Old Style" w:hAnsi="Bookman Old Style"/>
          <w:b/>
        </w:rPr>
        <w:t>R E S U E L V E:</w:t>
      </w:r>
    </w:p>
    <w:p w:rsidR="004C4C34" w:rsidRPr="003208F5" w:rsidRDefault="004C4C34" w:rsidP="004C4C34">
      <w:pPr>
        <w:ind w:left="0"/>
        <w:contextualSpacing/>
        <w:jc w:val="center"/>
        <w:rPr>
          <w:rFonts w:ascii="Bookman Old Style" w:hAnsi="Bookman Old Style"/>
          <w:b/>
        </w:rPr>
      </w:pPr>
    </w:p>
    <w:p w:rsidR="004C4C34" w:rsidRPr="007F428A" w:rsidRDefault="004C4C34" w:rsidP="004C4C34">
      <w:pPr>
        <w:ind w:left="0"/>
        <w:contextualSpacing/>
        <w:jc w:val="both"/>
        <w:rPr>
          <w:rFonts w:ascii="Bookman Old Style" w:hAnsi="Bookman Old Style"/>
        </w:rPr>
      </w:pPr>
    </w:p>
    <w:p w:rsidR="00440626" w:rsidRPr="00440626" w:rsidRDefault="004C4C34" w:rsidP="00440626">
      <w:pPr>
        <w:ind w:left="0"/>
        <w:contextualSpacing/>
        <w:jc w:val="both"/>
        <w:rPr>
          <w:rFonts w:ascii="Bookman Old Style" w:hAnsi="Bookman Old Style"/>
        </w:rPr>
      </w:pPr>
      <w:r w:rsidRPr="007F428A">
        <w:rPr>
          <w:rFonts w:ascii="Bookman Old Style" w:hAnsi="Bookman Old Style"/>
          <w:b/>
        </w:rPr>
        <w:t>ARTÍCULO 1.</w:t>
      </w:r>
      <w:r w:rsidRPr="007F428A">
        <w:rPr>
          <w:rFonts w:ascii="Bookman Old Style" w:hAnsi="Bookman Old Style"/>
        </w:rPr>
        <w:t xml:space="preserve"> </w:t>
      </w:r>
      <w:r w:rsidR="00440626" w:rsidRPr="00440626">
        <w:rPr>
          <w:rFonts w:ascii="Bookman Old Style" w:hAnsi="Bookman Old Style" w:cs="Bookman Old Style"/>
          <w:bCs/>
          <w:color w:val="000000"/>
          <w:lang w:eastAsia="es-CO"/>
        </w:rPr>
        <w:t xml:space="preserve">De manera excepcional y únicamente para la OPC que cubra la demanda a partir del primero de </w:t>
      </w:r>
      <w:r w:rsidR="00440626">
        <w:rPr>
          <w:rFonts w:ascii="Bookman Old Style" w:hAnsi="Bookman Old Style" w:cs="Bookman Old Style"/>
          <w:bCs/>
          <w:color w:val="000000"/>
          <w:lang w:eastAsia="es-CO"/>
        </w:rPr>
        <w:t>julio</w:t>
      </w:r>
      <w:r w:rsidR="00440626" w:rsidRPr="00440626">
        <w:rPr>
          <w:rFonts w:ascii="Bookman Old Style" w:hAnsi="Bookman Old Style" w:cs="Bookman Old Style"/>
          <w:bCs/>
          <w:color w:val="000000"/>
          <w:lang w:eastAsia="es-CO"/>
        </w:rPr>
        <w:t xml:space="preserve"> de 2015, el producto se deberá o</w:t>
      </w:r>
      <w:r w:rsidR="00440626">
        <w:rPr>
          <w:rFonts w:ascii="Bookman Old Style" w:hAnsi="Bookman Old Style" w:cs="Bookman Old Style"/>
          <w:bCs/>
          <w:color w:val="000000"/>
          <w:lang w:eastAsia="es-CO"/>
        </w:rPr>
        <w:t>frecer por los menos veinte (20</w:t>
      </w:r>
      <w:r w:rsidR="00440626" w:rsidRPr="00440626">
        <w:rPr>
          <w:rFonts w:ascii="Bookman Old Style" w:hAnsi="Bookman Old Style" w:cs="Bookman Old Style"/>
          <w:bCs/>
          <w:color w:val="000000"/>
          <w:lang w:eastAsia="es-CO"/>
        </w:rPr>
        <w:t>) días calendario antes de ejecutarse los contratos de suministro resultantes.</w:t>
      </w:r>
    </w:p>
    <w:p w:rsidR="004C4C34" w:rsidRPr="007F428A" w:rsidRDefault="004C4C34" w:rsidP="004C4C34">
      <w:pPr>
        <w:ind w:left="0"/>
        <w:contextualSpacing/>
        <w:jc w:val="both"/>
        <w:rPr>
          <w:rFonts w:ascii="Bookman Old Style" w:hAnsi="Bookman Old Style" w:cs="Arial"/>
        </w:rPr>
      </w:pPr>
    </w:p>
    <w:p w:rsidR="004C4C34" w:rsidRPr="007F428A" w:rsidRDefault="004C4C34" w:rsidP="004C4C34">
      <w:pPr>
        <w:ind w:left="0"/>
        <w:contextualSpacing/>
        <w:jc w:val="both"/>
        <w:rPr>
          <w:rFonts w:ascii="Bookman Old Style" w:hAnsi="Bookman Old Style"/>
          <w:i/>
        </w:rPr>
      </w:pPr>
      <w:r w:rsidRPr="007F428A">
        <w:rPr>
          <w:rFonts w:ascii="Bookman Old Style" w:hAnsi="Bookman Old Style"/>
          <w:b/>
        </w:rPr>
        <w:t xml:space="preserve">ARTÍCULO </w:t>
      </w:r>
      <w:r w:rsidR="00440626">
        <w:rPr>
          <w:rFonts w:ascii="Bookman Old Style" w:hAnsi="Bookman Old Style"/>
          <w:b/>
        </w:rPr>
        <w:t>2</w:t>
      </w:r>
      <w:r>
        <w:rPr>
          <w:rFonts w:ascii="Bookman Old Style" w:hAnsi="Bookman Old Style"/>
          <w:b/>
        </w:rPr>
        <w:t>.</w:t>
      </w:r>
      <w:r w:rsidRPr="007F428A">
        <w:rPr>
          <w:rFonts w:ascii="Bookman Old Style" w:hAnsi="Bookman Old Style"/>
          <w:b/>
        </w:rPr>
        <w:t xml:space="preserve"> VIGENCIA. </w:t>
      </w:r>
      <w:r w:rsidRPr="007F428A">
        <w:rPr>
          <w:rFonts w:ascii="Bookman Old Style" w:hAnsi="Bookman Old Style"/>
        </w:rPr>
        <w:t xml:space="preserve">Esta resolución rige a partir de su publicación en el </w:t>
      </w:r>
      <w:r w:rsidRPr="007F428A">
        <w:rPr>
          <w:rFonts w:ascii="Bookman Old Style" w:hAnsi="Bookman Old Style"/>
          <w:i/>
        </w:rPr>
        <w:t>Diario Oficial</w:t>
      </w:r>
      <w:r w:rsidRPr="007F428A">
        <w:rPr>
          <w:rFonts w:ascii="Bookman Old Style" w:hAnsi="Bookman Old Style"/>
        </w:rPr>
        <w:t xml:space="preserve"> y deroga las normas que le sean contrarias.</w:t>
      </w:r>
    </w:p>
    <w:p w:rsidR="004C4C34" w:rsidRPr="007F428A" w:rsidRDefault="004C4C34" w:rsidP="004C4C34">
      <w:pPr>
        <w:ind w:left="0"/>
        <w:contextualSpacing/>
        <w:jc w:val="both"/>
        <w:rPr>
          <w:rFonts w:ascii="Bookman Old Style" w:hAnsi="Bookman Old Style"/>
        </w:rPr>
      </w:pPr>
    </w:p>
    <w:p w:rsidR="004C4C34" w:rsidRDefault="004C4C34" w:rsidP="004C4C34">
      <w:pPr>
        <w:ind w:left="0"/>
        <w:contextualSpacing/>
        <w:rPr>
          <w:rFonts w:ascii="Bookman Old Style" w:hAnsi="Bookman Old Style"/>
        </w:rPr>
      </w:pPr>
    </w:p>
    <w:p w:rsidR="00E06C4B" w:rsidRPr="00EB29EB" w:rsidRDefault="00E06C4B" w:rsidP="00E06C4B">
      <w:pPr>
        <w:jc w:val="center"/>
        <w:rPr>
          <w:rFonts w:ascii="Bookman Old Style" w:hAnsi="Bookman Old Style"/>
          <w:b/>
        </w:rPr>
      </w:pPr>
      <w:r w:rsidRPr="00EB29EB">
        <w:rPr>
          <w:rFonts w:ascii="Bookman Old Style" w:hAnsi="Bookman Old Style"/>
          <w:b/>
        </w:rPr>
        <w:t>PUBLÍQUESE Y CÚMPLASE</w:t>
      </w:r>
    </w:p>
    <w:p w:rsidR="00E06C4B" w:rsidRPr="00EB29EB" w:rsidRDefault="00E06C4B" w:rsidP="00E06C4B">
      <w:pPr>
        <w:rPr>
          <w:rFonts w:ascii="Bookman Old Style" w:hAnsi="Bookman Old Style"/>
        </w:rPr>
      </w:pPr>
    </w:p>
    <w:p w:rsidR="00E06C4B" w:rsidRDefault="00E06C4B" w:rsidP="00E06C4B">
      <w:pPr>
        <w:ind w:left="0"/>
        <w:rPr>
          <w:rFonts w:ascii="Bookman Old Style" w:hAnsi="Bookman Old Style"/>
        </w:rPr>
      </w:pPr>
      <w:r w:rsidRPr="00AE2B44">
        <w:rPr>
          <w:rFonts w:ascii="Bookman Old Style" w:hAnsi="Bookman Old Style"/>
        </w:rPr>
        <w:t>Dada en Bogotá, D.C.</w:t>
      </w:r>
    </w:p>
    <w:p w:rsidR="00E06C4B" w:rsidRDefault="00E06C4B" w:rsidP="00E06C4B">
      <w:pPr>
        <w:ind w:left="0"/>
        <w:rPr>
          <w:rFonts w:ascii="Bookman Old Style" w:hAnsi="Bookman Old Style"/>
        </w:rPr>
      </w:pPr>
    </w:p>
    <w:p w:rsidR="00E06C4B" w:rsidRDefault="00E06C4B" w:rsidP="00E06C4B">
      <w:pPr>
        <w:ind w:left="0"/>
        <w:rPr>
          <w:rFonts w:ascii="Bookman Old Style" w:hAnsi="Bookman Old Style" w:cs="Arial"/>
        </w:rPr>
      </w:pPr>
    </w:p>
    <w:p w:rsidR="00E06C4B" w:rsidRDefault="00E06C4B" w:rsidP="00E06C4B">
      <w:pPr>
        <w:ind w:left="0"/>
        <w:rPr>
          <w:rFonts w:ascii="Bookman Old Style" w:hAnsi="Bookman Old Style" w:cs="Arial"/>
        </w:rPr>
      </w:pPr>
    </w:p>
    <w:p w:rsidR="00E06C4B" w:rsidRPr="00315BA7" w:rsidRDefault="00E06C4B" w:rsidP="00E06C4B">
      <w:pPr>
        <w:widowControl w:val="0"/>
        <w:ind w:left="0"/>
        <w:rPr>
          <w:rFonts w:ascii="Bookman Old Style" w:hAnsi="Bookman Old Style"/>
        </w:rPr>
      </w:pPr>
    </w:p>
    <w:p w:rsidR="00E06C4B" w:rsidRPr="00315BA7" w:rsidRDefault="00E06C4B" w:rsidP="00E06C4B">
      <w:pPr>
        <w:widowControl w:val="0"/>
        <w:ind w:left="0"/>
        <w:rPr>
          <w:rFonts w:ascii="Bookman Old Style" w:hAnsi="Bookman Old Style"/>
        </w:rPr>
      </w:pPr>
    </w:p>
    <w:tbl>
      <w:tblPr>
        <w:tblW w:w="9676" w:type="dxa"/>
        <w:jc w:val="center"/>
        <w:tblInd w:w="-38" w:type="dxa"/>
        <w:tblLayout w:type="fixed"/>
        <w:tblLook w:val="04A0" w:firstRow="1" w:lastRow="0" w:firstColumn="1" w:lastColumn="0" w:noHBand="0" w:noVBand="1"/>
      </w:tblPr>
      <w:tblGrid>
        <w:gridCol w:w="4928"/>
        <w:gridCol w:w="4748"/>
      </w:tblGrid>
      <w:tr w:rsidR="00E06C4B" w:rsidTr="007E5325">
        <w:trPr>
          <w:jc w:val="center"/>
        </w:trPr>
        <w:tc>
          <w:tcPr>
            <w:tcW w:w="4928" w:type="dxa"/>
            <w:hideMark/>
          </w:tcPr>
          <w:p w:rsidR="00E06C4B" w:rsidRDefault="00E06C4B" w:rsidP="007E5325">
            <w:pPr>
              <w:ind w:left="0" w:right="-288"/>
              <w:rPr>
                <w:rFonts w:ascii="Bookman Old Style" w:hAnsi="Bookman Old Style"/>
                <w:b/>
              </w:rPr>
            </w:pPr>
            <w:r>
              <w:rPr>
                <w:rFonts w:ascii="Bookman Old Style" w:hAnsi="Bookman Old Style"/>
                <w:b/>
              </w:rPr>
              <w:t>CARLOS FERNANDO ERASO CALERO</w:t>
            </w:r>
          </w:p>
          <w:p w:rsidR="00E06C4B" w:rsidRDefault="00E06C4B" w:rsidP="007E5325">
            <w:pPr>
              <w:ind w:left="0"/>
              <w:jc w:val="center"/>
              <w:rPr>
                <w:rFonts w:ascii="Bookman Old Style" w:hAnsi="Bookman Old Style"/>
              </w:rPr>
            </w:pPr>
            <w:r>
              <w:rPr>
                <w:rFonts w:ascii="Bookman Old Style" w:hAnsi="Bookman Old Style"/>
              </w:rPr>
              <w:t>Viceministro de Energía</w:t>
            </w:r>
          </w:p>
          <w:p w:rsidR="00E06C4B" w:rsidRDefault="00E06C4B" w:rsidP="007E5325">
            <w:pPr>
              <w:ind w:left="-90" w:right="-160"/>
              <w:jc w:val="center"/>
              <w:rPr>
                <w:rFonts w:ascii="Bookman Old Style" w:hAnsi="Bookman Old Style"/>
                <w:bCs/>
                <w:lang w:val="es-CO"/>
              </w:rPr>
            </w:pPr>
            <w:r>
              <w:rPr>
                <w:rFonts w:ascii="Bookman Old Style" w:hAnsi="Bookman Old Style"/>
                <w:bCs/>
                <w:lang w:val="es-CO"/>
              </w:rPr>
              <w:t>Delegado del Ministro de Minas y Energía</w:t>
            </w:r>
          </w:p>
          <w:p w:rsidR="00E06C4B" w:rsidRDefault="00E06C4B" w:rsidP="007E5325">
            <w:pPr>
              <w:ind w:left="142"/>
              <w:jc w:val="center"/>
              <w:rPr>
                <w:rFonts w:ascii="Bookman Old Style" w:hAnsi="Bookman Old Style"/>
                <w:bCs/>
                <w:lang w:val="es-CO"/>
              </w:rPr>
            </w:pPr>
            <w:r>
              <w:rPr>
                <w:rFonts w:ascii="Bookman Old Style" w:hAnsi="Bookman Old Style"/>
                <w:bCs/>
                <w:lang w:val="es-CO"/>
              </w:rPr>
              <w:t>Presidente</w:t>
            </w:r>
          </w:p>
        </w:tc>
        <w:tc>
          <w:tcPr>
            <w:tcW w:w="4748" w:type="dxa"/>
            <w:hideMark/>
          </w:tcPr>
          <w:p w:rsidR="00E06C4B" w:rsidRDefault="00E06C4B" w:rsidP="007E5325">
            <w:pPr>
              <w:ind w:left="0"/>
              <w:jc w:val="center"/>
              <w:rPr>
                <w:rFonts w:ascii="Bookman Old Style" w:hAnsi="Bookman Old Style"/>
                <w:b/>
              </w:rPr>
            </w:pPr>
            <w:r>
              <w:rPr>
                <w:rFonts w:ascii="Bookman Old Style" w:hAnsi="Bookman Old Style"/>
                <w:b/>
              </w:rPr>
              <w:t>JORGE PINTO NOLLA</w:t>
            </w:r>
          </w:p>
          <w:p w:rsidR="00E06C4B" w:rsidRDefault="00E06C4B" w:rsidP="007E5325">
            <w:pPr>
              <w:ind w:left="0"/>
              <w:jc w:val="center"/>
              <w:rPr>
                <w:rFonts w:ascii="Bookman Old Style" w:hAnsi="Bookman Old Style"/>
              </w:rPr>
            </w:pPr>
            <w:r>
              <w:rPr>
                <w:rFonts w:ascii="Bookman Old Style" w:hAnsi="Bookman Old Style"/>
              </w:rPr>
              <w:t>Director Ejecutivo</w:t>
            </w:r>
          </w:p>
        </w:tc>
      </w:tr>
    </w:tbl>
    <w:p w:rsidR="00E06C4B" w:rsidRPr="00EB29EB" w:rsidRDefault="00E06C4B" w:rsidP="00E06C4B">
      <w:pPr>
        <w:ind w:left="0"/>
        <w:rPr>
          <w:rFonts w:ascii="Bookman Old Style" w:hAnsi="Bookman Old Style" w:cs="Arial"/>
        </w:rPr>
      </w:pPr>
    </w:p>
    <w:p w:rsidR="00E060BE" w:rsidRPr="004C4C34" w:rsidRDefault="00E060BE" w:rsidP="00A00D24">
      <w:pPr>
        <w:ind w:left="0"/>
      </w:pPr>
    </w:p>
    <w:sectPr w:rsidR="00E060BE" w:rsidRPr="004C4C34"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75E" w:rsidRDefault="0012275E">
      <w:r>
        <w:separator/>
      </w:r>
    </w:p>
  </w:endnote>
  <w:endnote w:type="continuationSeparator" w:id="0">
    <w:p w:rsidR="0012275E" w:rsidRDefault="00122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75E" w:rsidRDefault="0012275E">
      <w:r>
        <w:separator/>
      </w:r>
    </w:p>
  </w:footnote>
  <w:footnote w:type="continuationSeparator" w:id="0">
    <w:p w:rsidR="0012275E" w:rsidRDefault="0012275E">
      <w:r>
        <w:continuationSeparator/>
      </w:r>
    </w:p>
  </w:footnote>
  <w:footnote w:id="1">
    <w:p w:rsidR="004C4C34" w:rsidRPr="006428D2" w:rsidRDefault="004C4C34" w:rsidP="004C4C34">
      <w:pPr>
        <w:pStyle w:val="Textonotapie"/>
        <w:ind w:left="0"/>
        <w:jc w:val="both"/>
        <w:rPr>
          <w:rFonts w:ascii="Bookman Old Style" w:hAnsi="Bookman Old Style" w:cs="Arial"/>
          <w:sz w:val="16"/>
          <w:szCs w:val="16"/>
        </w:rPr>
      </w:pPr>
      <w:r w:rsidRPr="00A51EFB">
        <w:rPr>
          <w:rStyle w:val="Refdenotaalpie"/>
          <w:rFonts w:ascii="Bookman Old Style" w:hAnsi="Bookman Old Style" w:cs="Arial"/>
          <w:sz w:val="16"/>
          <w:szCs w:val="16"/>
          <w:vertAlign w:val="baseline"/>
        </w:rPr>
        <w:footnoteRef/>
      </w:r>
      <w:r w:rsidRPr="00A51EFB">
        <w:rPr>
          <w:rFonts w:ascii="Bookman Old Style" w:hAnsi="Bookman Old Style" w:cs="Arial"/>
          <w:sz w:val="16"/>
          <w:szCs w:val="16"/>
        </w:rPr>
        <w:t xml:space="preserve"> </w:t>
      </w:r>
      <w:r w:rsidRPr="00A51EFB">
        <w:rPr>
          <w:rFonts w:ascii="Bookman Old Style" w:eastAsia="Calibri" w:hAnsi="Bookman Old Style" w:cs="Arial"/>
          <w:sz w:val="16"/>
          <w:szCs w:val="16"/>
          <w:lang w:val="es-CO" w:eastAsia="en-US"/>
        </w:rPr>
        <w:t>En</w:t>
      </w:r>
      <w:r w:rsidRPr="00A51EFB">
        <w:rPr>
          <w:rFonts w:ascii="Bookman Old Style" w:hAnsi="Bookman Old Style" w:cs="Arial"/>
          <w:sz w:val="16"/>
          <w:szCs w:val="16"/>
        </w:rPr>
        <w:t xml:space="preserve"> el caso de Ecopetrol, agente con p</w:t>
      </w:r>
      <w:r>
        <w:rPr>
          <w:rFonts w:ascii="Bookman Old Style" w:hAnsi="Bookman Old Style" w:cs="Arial"/>
          <w:sz w:val="16"/>
          <w:szCs w:val="16"/>
        </w:rPr>
        <w:t>osición dominante en el mercado</w:t>
      </w:r>
      <w:r w:rsidRPr="00A51EFB">
        <w:rPr>
          <w:rFonts w:ascii="Bookman Old Style" w:hAnsi="Bookman Old Style" w:cs="Arial"/>
          <w:sz w:val="16"/>
          <w:szCs w:val="16"/>
        </w:rPr>
        <w:t xml:space="preserve">, la CREG estableció un precio regulado para el producto proveniente de las principales fuentes de producción nacional, es decir Barranca, </w:t>
      </w:r>
      <w:proofErr w:type="spellStart"/>
      <w:r w:rsidRPr="00A51EFB">
        <w:rPr>
          <w:rFonts w:ascii="Bookman Old Style" w:hAnsi="Bookman Old Style" w:cs="Arial"/>
          <w:sz w:val="16"/>
          <w:szCs w:val="16"/>
        </w:rPr>
        <w:t>Apiay</w:t>
      </w:r>
      <w:proofErr w:type="spellEnd"/>
      <w:r w:rsidRPr="00A51EFB">
        <w:rPr>
          <w:rFonts w:ascii="Bookman Old Style" w:hAnsi="Bookman Old Style" w:cs="Arial"/>
          <w:sz w:val="16"/>
          <w:szCs w:val="16"/>
        </w:rPr>
        <w:t xml:space="preserve"> y Cartagena equivalente a la paridad de exportación. Considerando la eventual necesidad de hacer  importaciones marginales, </w:t>
      </w:r>
      <w:r w:rsidRPr="006428D2">
        <w:rPr>
          <w:rFonts w:ascii="Bookman Old Style" w:hAnsi="Bookman Old Style" w:cs="Arial"/>
          <w:sz w:val="16"/>
          <w:szCs w:val="16"/>
        </w:rPr>
        <w:t>aquellas que sean realizadas por Ecopetrol también tienen un precio regulado equivalente al costo de importación más un 8% de margen de comercialización, siempre y cuando las mismas se hagan para atender incrementos de la demanda y no para cubrir desviaciones de producción previamente contratadas.</w:t>
      </w:r>
    </w:p>
    <w:p w:rsidR="004C4C34" w:rsidRPr="006428D2" w:rsidRDefault="004C4C34" w:rsidP="004C4C34">
      <w:pPr>
        <w:pStyle w:val="Textonotapie"/>
        <w:ind w:left="0"/>
        <w:jc w:val="both"/>
        <w:rPr>
          <w:rFonts w:ascii="Bookman Old Style" w:hAnsi="Bookman Old Style" w:cs="Arial"/>
          <w:sz w:val="16"/>
          <w:szCs w:val="16"/>
        </w:rPr>
      </w:pPr>
    </w:p>
    <w:p w:rsidR="004C4C34" w:rsidRDefault="004C4C34" w:rsidP="004C4C34">
      <w:pPr>
        <w:pStyle w:val="Textonotapie"/>
        <w:ind w:left="0"/>
        <w:jc w:val="both"/>
        <w:rPr>
          <w:rFonts w:ascii="Bookman Old Style" w:hAnsi="Bookman Old Style" w:cs="Arial"/>
          <w:sz w:val="16"/>
          <w:szCs w:val="16"/>
        </w:rPr>
      </w:pPr>
      <w:r w:rsidRPr="006428D2">
        <w:rPr>
          <w:rFonts w:ascii="Bookman Old Style" w:hAnsi="Bookman Old Style" w:cs="Arial"/>
          <w:sz w:val="16"/>
          <w:szCs w:val="16"/>
        </w:rPr>
        <w:t xml:space="preserve">Así mismo, cuando se hizo el análisis por parte de la CREG para la expedición de la Resolución CREG 066 de 2007 se observó que el Campo de </w:t>
      </w:r>
      <w:proofErr w:type="spellStart"/>
      <w:r w:rsidRPr="006428D2">
        <w:rPr>
          <w:rFonts w:ascii="Bookman Old Style" w:hAnsi="Bookman Old Style" w:cs="Arial"/>
          <w:sz w:val="16"/>
          <w:szCs w:val="16"/>
        </w:rPr>
        <w:t>Cusiana</w:t>
      </w:r>
      <w:proofErr w:type="spellEnd"/>
      <w:r w:rsidRPr="006428D2">
        <w:rPr>
          <w:rFonts w:ascii="Bookman Old Style" w:hAnsi="Bookman Old Style" w:cs="Arial"/>
          <w:sz w:val="16"/>
          <w:szCs w:val="16"/>
        </w:rPr>
        <w:t xml:space="preserve"> era operado por un agente diferente al Comercializador Mayorista que en ese momento tenía posición dominante en el mercado y por lo tanto podría considerarse como un posible competidor.</w:t>
      </w:r>
    </w:p>
    <w:p w:rsidR="004C4C34" w:rsidRPr="00A51EFB" w:rsidRDefault="004C4C34" w:rsidP="004C4C34">
      <w:pPr>
        <w:pStyle w:val="Textonotapie"/>
        <w:ind w:left="0"/>
        <w:jc w:val="both"/>
        <w:rPr>
          <w:rFonts w:ascii="Bookman Old Style" w:hAnsi="Bookman Old Style" w:cs="Arial"/>
          <w:sz w:val="16"/>
          <w:szCs w:val="16"/>
        </w:rPr>
      </w:pPr>
    </w:p>
  </w:footnote>
  <w:footnote w:id="2">
    <w:p w:rsidR="00440626" w:rsidRPr="00A51EFB" w:rsidRDefault="00440626" w:rsidP="00440626">
      <w:pPr>
        <w:pStyle w:val="Textonotapie"/>
        <w:ind w:left="0"/>
        <w:jc w:val="both"/>
        <w:rPr>
          <w:rFonts w:ascii="Bookman Old Style" w:hAnsi="Bookman Old Style" w:cs="Arial"/>
          <w:sz w:val="16"/>
          <w:szCs w:val="16"/>
        </w:rPr>
      </w:pPr>
      <w:r w:rsidRPr="00A51EFB">
        <w:rPr>
          <w:rFonts w:ascii="Bookman Old Style" w:hAnsi="Bookman Old Style" w:cs="Arial"/>
          <w:sz w:val="16"/>
          <w:szCs w:val="16"/>
        </w:rPr>
        <w:footnoteRef/>
      </w:r>
      <w:r w:rsidRPr="00A51EFB">
        <w:rPr>
          <w:rFonts w:ascii="Bookman Old Style" w:hAnsi="Bookman Old Style" w:cs="Arial"/>
          <w:sz w:val="16"/>
          <w:szCs w:val="16"/>
        </w:rPr>
        <w:t xml:space="preserve"> Con el propósito de introducir señales para incentivar la entrada de potenciales nuevos Comercializadores Mayoristas y para eliminar cualquier barrera o indefinición que pudiese presentarse ante una iniciativa privada en este sentido, y buscando además garantizar la seguridad de suministro de producto y crear competencia al inicio de la cadena, la CREG determinó que para el GLP proveniente de otras fuentes o importado por terceros distintos a Ecopetrol, el precio sería fijado libremente por el Comercializador Mayorista. Sin embargo, la CREG reconoció que inicialmente la entrada de nuevos agentes capaces de dinamizar la competencia no será significativa en la medida en que existen restricciones en la disponibilidad de infraestructura de importación y transporte por ductos para grandes cantidades. Por lo tanto, al menos en el corto plazo, la seguridad de suministro de GLP para atender la demanda nacional de gas combustible seguiría dependiendo casi en su totalidad de Ecopetrol.</w:t>
      </w:r>
    </w:p>
  </w:footnote>
  <w:footnote w:id="3">
    <w:p w:rsidR="00440626" w:rsidRPr="00A51EFB" w:rsidRDefault="00440626" w:rsidP="00440626">
      <w:pPr>
        <w:pStyle w:val="Textonotapie"/>
        <w:ind w:left="0"/>
        <w:jc w:val="both"/>
        <w:rPr>
          <w:rFonts w:ascii="Bookman Old Style" w:hAnsi="Bookman Old Style"/>
          <w:sz w:val="16"/>
          <w:szCs w:val="16"/>
        </w:rPr>
      </w:pPr>
      <w:r w:rsidRPr="00A51EFB">
        <w:rPr>
          <w:rFonts w:ascii="Bookman Old Style" w:hAnsi="Bookman Old Style" w:cs="Arial"/>
          <w:sz w:val="16"/>
          <w:szCs w:val="16"/>
        </w:rPr>
        <w:footnoteRef/>
      </w:r>
      <w:r w:rsidRPr="00A51EFB">
        <w:rPr>
          <w:rFonts w:ascii="Bookman Old Style" w:hAnsi="Bookman Old Style" w:cs="Arial"/>
          <w:sz w:val="16"/>
          <w:szCs w:val="16"/>
        </w:rPr>
        <w:t xml:space="preserve"> Ley 142 de 1994, Arts. 1 a 12.</w:t>
      </w:r>
    </w:p>
  </w:footnote>
  <w:footnote w:id="4">
    <w:p w:rsidR="00FA7F49" w:rsidRPr="00FA7F49" w:rsidRDefault="00FA7F49" w:rsidP="00FA7F49">
      <w:pPr>
        <w:pStyle w:val="Textonotapie"/>
        <w:ind w:left="0"/>
        <w:jc w:val="both"/>
      </w:pPr>
      <w:r w:rsidRPr="00FA7F49">
        <w:rPr>
          <w:rFonts w:ascii="Bookman Old Style" w:hAnsi="Bookman Old Style" w:cs="Arial"/>
          <w:sz w:val="16"/>
          <w:szCs w:val="16"/>
        </w:rPr>
        <w:footnoteRef/>
      </w:r>
      <w:r w:rsidRPr="00FA7F49">
        <w:rPr>
          <w:rFonts w:ascii="Bookman Old Style" w:hAnsi="Bookman Old Style" w:cs="Arial"/>
          <w:sz w:val="16"/>
          <w:szCs w:val="16"/>
        </w:rPr>
        <w:t xml:space="preserve"> De estas hacen parte las resoluciones CREG 066 de 2002, 072 de 2005, 066 de 2007 y el Documento CREG 034 de 2007.</w:t>
      </w:r>
    </w:p>
  </w:footnote>
  <w:footnote w:id="5">
    <w:p w:rsidR="00FA7F49" w:rsidRPr="00FA7F49" w:rsidRDefault="00FA7F49" w:rsidP="00FA7F49">
      <w:pPr>
        <w:pStyle w:val="Textonotapie"/>
        <w:ind w:left="0"/>
        <w:jc w:val="both"/>
      </w:pPr>
      <w:r w:rsidRPr="00FA7F49">
        <w:rPr>
          <w:rFonts w:ascii="Bookman Old Style" w:hAnsi="Bookman Old Style" w:cs="Arial"/>
          <w:sz w:val="16"/>
          <w:szCs w:val="16"/>
        </w:rPr>
        <w:footnoteRef/>
      </w:r>
      <w:r w:rsidRPr="00FA7F49">
        <w:rPr>
          <w:rFonts w:ascii="Bookman Old Style" w:hAnsi="Bookman Old Style" w:cs="Arial"/>
          <w:sz w:val="16"/>
          <w:szCs w:val="16"/>
        </w:rPr>
        <w:t xml:space="preserve"> De estas hacen parte las resoluciones CREG 059 de 2008, 123 de 2010 y la propuesta regulatoria de la Resolución CREG 020 de 2010.</w:t>
      </w:r>
      <w:r w:rsidR="00440626" w:rsidRPr="00440626">
        <w:t xml:space="preserve"> </w:t>
      </w:r>
      <w:r w:rsidR="00440626" w:rsidRPr="00440626">
        <w:rPr>
          <w:rFonts w:ascii="Bookman Old Style" w:hAnsi="Bookman Old Style" w:cs="Arial"/>
          <w:sz w:val="16"/>
          <w:szCs w:val="16"/>
        </w:rPr>
        <w:t xml:space="preserve">En relación con </w:t>
      </w:r>
      <w:r w:rsidR="00440626">
        <w:rPr>
          <w:rFonts w:ascii="Bookman Old Style" w:hAnsi="Bookman Old Style" w:cs="Arial"/>
          <w:sz w:val="16"/>
          <w:szCs w:val="16"/>
        </w:rPr>
        <w:t>esto se advierte en la propuesta de la Resolución CREG 066 de 2015 que</w:t>
      </w:r>
      <w:r w:rsidR="00440626" w:rsidRPr="00440626">
        <w:rPr>
          <w:rFonts w:ascii="Bookman Old Style" w:hAnsi="Bookman Old Style" w:cs="Arial"/>
          <w:sz w:val="16"/>
          <w:szCs w:val="16"/>
        </w:rPr>
        <w:t xml:space="preserve"> </w:t>
      </w:r>
      <w:r w:rsidR="00440626">
        <w:rPr>
          <w:rFonts w:ascii="Bookman Old Style" w:hAnsi="Bookman Old Style" w:cs="Arial"/>
          <w:sz w:val="16"/>
          <w:szCs w:val="16"/>
        </w:rPr>
        <w:t>“</w:t>
      </w:r>
      <w:r w:rsidR="00440626" w:rsidRPr="00440626">
        <w:rPr>
          <w:rFonts w:ascii="Bookman Old Style" w:hAnsi="Bookman Old Style" w:cs="Arial"/>
          <w:sz w:val="16"/>
          <w:szCs w:val="16"/>
        </w:rPr>
        <w:t>como parte de las medidas regulatorias adoptadas por la CREG, en el marco de la comercialización mayorista del producto, los resultados de la aplicación de la oferta pública de cantidades (OPC), como mecanismo para la compra y venta del producto al por mayor, y el acceso al producto por parte de los diferentes agentes de la cadena, de acuerdo con lo previsto en el reglamento de comercialización mayorista de GLP, Resolución CREG 053 de 2011 , permiten evidenciar y conocer de manera adecuada, así como en un mayor grado de realidad, el resultado del balance entre oferta y demanda. Esto, toda vez que mediante dicha regulación se busca dar igual oportunidad a todos los agentes interesados en adquirir el producto nacional regulado para atender su demanda, sea esta residencial, comercial o industrial, de acuerdo con la aplicación que de éste mecanismo se viene realizando a partir del 1º de octubre de 2011</w:t>
      </w:r>
      <w:r w:rsidR="00440626">
        <w:rPr>
          <w:rFonts w:ascii="Bookman Old Style" w:hAnsi="Bookman Old Style" w:cs="Arial"/>
          <w:sz w:val="16"/>
          <w:szCs w:val="16"/>
        </w:rPr>
        <w:t>”</w:t>
      </w:r>
      <w:r w:rsidR="00440626" w:rsidRPr="00440626">
        <w:rPr>
          <w:rFonts w:ascii="Bookman Old Style" w:hAnsi="Bookman Old Style" w:cs="Arial"/>
          <w:sz w:val="16"/>
          <w:szCs w:val="16"/>
        </w:rPr>
        <w:t>.</w:t>
      </w:r>
    </w:p>
  </w:footnote>
  <w:footnote w:id="6">
    <w:p w:rsidR="00EB5F32" w:rsidRPr="00440626" w:rsidRDefault="00EB5F32" w:rsidP="00EB5F32">
      <w:pPr>
        <w:pStyle w:val="Textonotapie"/>
        <w:ind w:left="0"/>
        <w:jc w:val="both"/>
        <w:rPr>
          <w:rFonts w:ascii="Bookman Old Style" w:hAnsi="Bookman Old Style" w:cs="Arial"/>
          <w:sz w:val="16"/>
          <w:szCs w:val="16"/>
        </w:rPr>
      </w:pPr>
      <w:r w:rsidRPr="00440626">
        <w:rPr>
          <w:rFonts w:ascii="Bookman Old Style" w:hAnsi="Bookman Old Style" w:cs="Arial"/>
          <w:sz w:val="16"/>
          <w:szCs w:val="16"/>
        </w:rPr>
        <w:footnoteRef/>
      </w:r>
      <w:r w:rsidRPr="00440626">
        <w:rPr>
          <w:rFonts w:ascii="Bookman Old Style" w:hAnsi="Bookman Old Style" w:cs="Arial"/>
          <w:sz w:val="16"/>
          <w:szCs w:val="16"/>
        </w:rPr>
        <w:t xml:space="preserve"> Resolución CREG 154 de 2014. Artículo 6.</w:t>
      </w:r>
      <w:r w:rsidRPr="00440626">
        <w:rPr>
          <w:rFonts w:ascii="Bookman Old Style" w:hAnsi="Bookman Old Style" w:cs="Arial"/>
          <w:sz w:val="16"/>
          <w:szCs w:val="16"/>
        </w:rPr>
        <w:tab/>
        <w:t>Modificar el literal d), el literal f) y el parágrafo 1, y adicionar el parágrafo 3 al artículo 13 de la Resolución CREG 053 de 2011, los cuales quedarán así:</w:t>
      </w:r>
    </w:p>
    <w:p w:rsidR="00EB5F32" w:rsidRPr="00440626" w:rsidRDefault="00EB5F32" w:rsidP="00EB5F32">
      <w:pPr>
        <w:pStyle w:val="Textonotapie"/>
        <w:ind w:left="0"/>
        <w:jc w:val="both"/>
        <w:rPr>
          <w:rFonts w:ascii="Bookman Old Style" w:hAnsi="Bookman Old Style" w:cs="Arial"/>
          <w:sz w:val="16"/>
          <w:szCs w:val="16"/>
        </w:rPr>
      </w:pPr>
    </w:p>
    <w:p w:rsidR="00EB5F32" w:rsidRPr="00440626" w:rsidRDefault="00EB5F32" w:rsidP="00EB5F32">
      <w:pPr>
        <w:pStyle w:val="Textonotapie"/>
        <w:ind w:left="0"/>
        <w:jc w:val="both"/>
        <w:rPr>
          <w:rFonts w:ascii="Bookman Old Style" w:hAnsi="Bookman Old Style" w:cs="Arial"/>
          <w:sz w:val="16"/>
          <w:szCs w:val="16"/>
        </w:rPr>
      </w:pPr>
      <w:r w:rsidRPr="00440626">
        <w:rPr>
          <w:rFonts w:ascii="Bookman Old Style" w:hAnsi="Bookman Old Style" w:cs="Arial"/>
          <w:sz w:val="16"/>
          <w:szCs w:val="16"/>
        </w:rPr>
        <w:t>d.</w:t>
      </w:r>
      <w:r w:rsidRPr="00440626">
        <w:rPr>
          <w:rFonts w:ascii="Bookman Old Style" w:hAnsi="Bookman Old Style" w:cs="Arial"/>
          <w:sz w:val="16"/>
          <w:szCs w:val="16"/>
        </w:rPr>
        <w:tab/>
        <w:t>La OPC debe cubrir un período de entregas de doce meses, estableciendo las cantidades disponibles en cada punto de producción y, de considerarlo necesario, informando el detalle para cada mes que refleje las condiciones reales y previsibles de disponibilidad. De todas formas, las cantidades disponibles deben también ser ofertadas en unidades diarias.</w:t>
      </w:r>
    </w:p>
  </w:footnote>
  <w:footnote w:id="7">
    <w:p w:rsidR="00EB5F32" w:rsidRPr="00440626" w:rsidRDefault="00EB5F32" w:rsidP="00EB5F32">
      <w:pPr>
        <w:pStyle w:val="Textonotapie"/>
        <w:ind w:left="0"/>
        <w:rPr>
          <w:lang w:val="es-CO"/>
        </w:rPr>
      </w:pPr>
      <w:r w:rsidRPr="00440626">
        <w:rPr>
          <w:rFonts w:ascii="Bookman Old Style" w:hAnsi="Bookman Old Style" w:cs="Arial"/>
          <w:sz w:val="16"/>
          <w:szCs w:val="16"/>
        </w:rPr>
        <w:footnoteRef/>
      </w:r>
      <w:r w:rsidRPr="00440626">
        <w:rPr>
          <w:rFonts w:ascii="Bookman Old Style" w:hAnsi="Bookman Old Style" w:cs="Arial"/>
          <w:sz w:val="16"/>
          <w:szCs w:val="16"/>
        </w:rPr>
        <w:t xml:space="preserve"> Resolución CREG 019 de 2015. Artículo 2. Las modificaciones y adiciones realizadas mediante los artículos 6 y 7 de la Resolución CREG 154 de 2014 a los artículos 13 y 14 de la Resolución CREG 053 de 2011 se empezarán a aplicar a partir de la OPC que se lleve a cabo con posterioridad a la OPC que cubra la demanda a partir del primero de abril de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713" w:rsidRDefault="00806713" w:rsidP="00951F79">
    <w:pPr>
      <w:pStyle w:val="Ttulo1"/>
      <w:ind w:right="6"/>
      <w:jc w:val="left"/>
      <w:rPr>
        <w:rFonts w:ascii="Bookman Old Style" w:hAnsi="Bookman Old Style" w:cs="Arial"/>
        <w:b w:val="0"/>
        <w:sz w:val="22"/>
        <w:szCs w:val="22"/>
      </w:rPr>
    </w:pPr>
  </w:p>
  <w:p w:rsidR="00806713" w:rsidRPr="00951F79" w:rsidRDefault="00806713"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C87FED">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C87FED" w:rsidRPr="00C87FED">
        <w:rPr>
          <w:rFonts w:ascii="Bookman Old Style" w:hAnsi="Bookman Old Style" w:cs="Arial"/>
          <w:b w:val="0"/>
          <w:noProof/>
          <w:sz w:val="22"/>
          <w:szCs w:val="22"/>
        </w:rPr>
        <w:t>5</w:t>
      </w:r>
    </w:fldSimple>
  </w:p>
  <w:p w:rsidR="00806713" w:rsidRDefault="00806713"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75136104" wp14:editId="037DBF22">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806713" w:rsidRPr="00A00D24" w:rsidRDefault="006169CC" w:rsidP="00A00D24">
    <w:pPr>
      <w:pBdr>
        <w:bottom w:val="single" w:sz="4" w:space="1" w:color="auto"/>
      </w:pBdr>
      <w:ind w:left="142" w:right="148"/>
      <w:jc w:val="both"/>
      <w:rPr>
        <w:b/>
        <w:sz w:val="22"/>
        <w:szCs w:val="22"/>
      </w:rPr>
    </w:pPr>
    <w:r w:rsidRPr="006169CC">
      <w:rPr>
        <w:rFonts w:ascii="Bookman Old Style" w:hAnsi="Bookman Old Style"/>
        <w:sz w:val="22"/>
        <w:szCs w:val="22"/>
      </w:rPr>
      <w:t>Por la cual se ajustan parcialmente las condiciones para la oferta pública de cantidades de GLP con precio regulado que cubra la demanda a partir del primero de julio de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713" w:rsidRDefault="00806713"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806713" w:rsidRDefault="00806713">
    <w:pPr>
      <w:pStyle w:val="Encabezado"/>
      <w:jc w:val="center"/>
      <w:rPr>
        <w:rFonts w:ascii="Arial" w:hAnsi="Arial" w:cs="Arial"/>
        <w:spacing w:val="20"/>
        <w:sz w:val="20"/>
      </w:rPr>
    </w:pPr>
  </w:p>
  <w:p w:rsidR="00806713" w:rsidRDefault="00806713"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1874ACA" wp14:editId="1E4D092B">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9">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2">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4">
    <w:nsid w:val="4CB87945"/>
    <w:multiLevelType w:val="hybridMultilevel"/>
    <w:tmpl w:val="2C82BECA"/>
    <w:lvl w:ilvl="0" w:tplc="0C0A0001">
      <w:start w:val="1"/>
      <w:numFmt w:val="bullet"/>
      <w:lvlText w:val=""/>
      <w:lvlJc w:val="left"/>
      <w:pPr>
        <w:tabs>
          <w:tab w:val="num" w:pos="418"/>
        </w:tabs>
        <w:ind w:left="418" w:hanging="360"/>
      </w:pPr>
      <w:rPr>
        <w:rFonts w:ascii="Symbol" w:hAnsi="Symbol" w:hint="default"/>
      </w:rPr>
    </w:lvl>
    <w:lvl w:ilvl="1" w:tplc="0C0A000F">
      <w:start w:val="1"/>
      <w:numFmt w:val="decimal"/>
      <w:lvlText w:val="%2."/>
      <w:lvlJc w:val="left"/>
      <w:pPr>
        <w:tabs>
          <w:tab w:val="num" w:pos="1498"/>
        </w:tabs>
        <w:ind w:left="1498" w:hanging="360"/>
      </w:pPr>
      <w:rPr>
        <w:rFonts w:hint="default"/>
      </w:rPr>
    </w:lvl>
    <w:lvl w:ilvl="2" w:tplc="0C0A0005" w:tentative="1">
      <w:start w:val="1"/>
      <w:numFmt w:val="bullet"/>
      <w:lvlText w:val=""/>
      <w:lvlJc w:val="left"/>
      <w:pPr>
        <w:tabs>
          <w:tab w:val="num" w:pos="2218"/>
        </w:tabs>
        <w:ind w:left="2218" w:hanging="360"/>
      </w:pPr>
      <w:rPr>
        <w:rFonts w:ascii="Wingdings" w:hAnsi="Wingdings" w:hint="default"/>
      </w:rPr>
    </w:lvl>
    <w:lvl w:ilvl="3" w:tplc="0C0A0001" w:tentative="1">
      <w:start w:val="1"/>
      <w:numFmt w:val="bullet"/>
      <w:lvlText w:val=""/>
      <w:lvlJc w:val="left"/>
      <w:pPr>
        <w:tabs>
          <w:tab w:val="num" w:pos="2938"/>
        </w:tabs>
        <w:ind w:left="2938" w:hanging="360"/>
      </w:pPr>
      <w:rPr>
        <w:rFonts w:ascii="Symbol" w:hAnsi="Symbol" w:hint="default"/>
      </w:rPr>
    </w:lvl>
    <w:lvl w:ilvl="4" w:tplc="0C0A0003" w:tentative="1">
      <w:start w:val="1"/>
      <w:numFmt w:val="bullet"/>
      <w:lvlText w:val="o"/>
      <w:lvlJc w:val="left"/>
      <w:pPr>
        <w:tabs>
          <w:tab w:val="num" w:pos="3658"/>
        </w:tabs>
        <w:ind w:left="3658" w:hanging="360"/>
      </w:pPr>
      <w:rPr>
        <w:rFonts w:ascii="Courier New" w:hAnsi="Courier New" w:hint="default"/>
      </w:rPr>
    </w:lvl>
    <w:lvl w:ilvl="5" w:tplc="0C0A0005" w:tentative="1">
      <w:start w:val="1"/>
      <w:numFmt w:val="bullet"/>
      <w:lvlText w:val=""/>
      <w:lvlJc w:val="left"/>
      <w:pPr>
        <w:tabs>
          <w:tab w:val="num" w:pos="4378"/>
        </w:tabs>
        <w:ind w:left="4378" w:hanging="360"/>
      </w:pPr>
      <w:rPr>
        <w:rFonts w:ascii="Wingdings" w:hAnsi="Wingdings" w:hint="default"/>
      </w:rPr>
    </w:lvl>
    <w:lvl w:ilvl="6" w:tplc="0C0A0001" w:tentative="1">
      <w:start w:val="1"/>
      <w:numFmt w:val="bullet"/>
      <w:lvlText w:val=""/>
      <w:lvlJc w:val="left"/>
      <w:pPr>
        <w:tabs>
          <w:tab w:val="num" w:pos="5098"/>
        </w:tabs>
        <w:ind w:left="5098" w:hanging="360"/>
      </w:pPr>
      <w:rPr>
        <w:rFonts w:ascii="Symbol" w:hAnsi="Symbol" w:hint="default"/>
      </w:rPr>
    </w:lvl>
    <w:lvl w:ilvl="7" w:tplc="0C0A0003" w:tentative="1">
      <w:start w:val="1"/>
      <w:numFmt w:val="bullet"/>
      <w:lvlText w:val="o"/>
      <w:lvlJc w:val="left"/>
      <w:pPr>
        <w:tabs>
          <w:tab w:val="num" w:pos="5818"/>
        </w:tabs>
        <w:ind w:left="5818" w:hanging="360"/>
      </w:pPr>
      <w:rPr>
        <w:rFonts w:ascii="Courier New" w:hAnsi="Courier New" w:hint="default"/>
      </w:rPr>
    </w:lvl>
    <w:lvl w:ilvl="8" w:tplc="0C0A0005" w:tentative="1">
      <w:start w:val="1"/>
      <w:numFmt w:val="bullet"/>
      <w:lvlText w:val=""/>
      <w:lvlJc w:val="left"/>
      <w:pPr>
        <w:tabs>
          <w:tab w:val="num" w:pos="6538"/>
        </w:tabs>
        <w:ind w:left="6538" w:hanging="360"/>
      </w:pPr>
      <w:rPr>
        <w:rFonts w:ascii="Wingdings" w:hAnsi="Wingdings" w:hint="default"/>
      </w:rPr>
    </w:lvl>
  </w:abstractNum>
  <w:abstractNum w:abstractNumId="15">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6">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nsid w:val="67F4591D"/>
    <w:multiLevelType w:val="hybridMultilevel"/>
    <w:tmpl w:val="F6ACE1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1">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3432BD8"/>
    <w:multiLevelType w:val="hybridMultilevel"/>
    <w:tmpl w:val="1F3E190C"/>
    <w:lvl w:ilvl="0" w:tplc="68D4F308">
      <w:start w:val="1"/>
      <w:numFmt w:val="decimal"/>
      <w:pStyle w:val="ARTICULOS"/>
      <w:lvlText w:val="Artículo %1."/>
      <w:lvlJc w:val="left"/>
      <w:pPr>
        <w:ind w:left="4046"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23">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23"/>
  </w:num>
  <w:num w:numId="4">
    <w:abstractNumId w:val="6"/>
  </w:num>
  <w:num w:numId="5">
    <w:abstractNumId w:val="16"/>
  </w:num>
  <w:num w:numId="6">
    <w:abstractNumId w:val="4"/>
  </w:num>
  <w:num w:numId="7">
    <w:abstractNumId w:val="3"/>
  </w:num>
  <w:num w:numId="8">
    <w:abstractNumId w:val="18"/>
  </w:num>
  <w:num w:numId="9">
    <w:abstractNumId w:val="17"/>
  </w:num>
  <w:num w:numId="10">
    <w:abstractNumId w:val="12"/>
  </w:num>
  <w:num w:numId="11">
    <w:abstractNumId w:val="24"/>
  </w:num>
  <w:num w:numId="12">
    <w:abstractNumId w:val="21"/>
  </w:num>
  <w:num w:numId="13">
    <w:abstractNumId w:val="10"/>
  </w:num>
  <w:num w:numId="14">
    <w:abstractNumId w:val="2"/>
  </w:num>
  <w:num w:numId="15">
    <w:abstractNumId w:val="13"/>
  </w:num>
  <w:num w:numId="16">
    <w:abstractNumId w:val="1"/>
  </w:num>
  <w:num w:numId="17">
    <w:abstractNumId w:val="9"/>
  </w:num>
  <w:num w:numId="18">
    <w:abstractNumId w:val="0"/>
  </w:num>
  <w:num w:numId="19">
    <w:abstractNumId w:val="20"/>
  </w:num>
  <w:num w:numId="20">
    <w:abstractNumId w:val="15"/>
  </w:num>
  <w:num w:numId="21">
    <w:abstractNumId w:val="7"/>
  </w:num>
  <w:num w:numId="22">
    <w:abstractNumId w:val="8"/>
  </w:num>
  <w:num w:numId="23">
    <w:abstractNumId w:val="22"/>
  </w:num>
  <w:num w:numId="24">
    <w:abstractNumId w:val="14"/>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503E"/>
    <w:rsid w:val="00006AE2"/>
    <w:rsid w:val="000076A1"/>
    <w:rsid w:val="00012259"/>
    <w:rsid w:val="00013272"/>
    <w:rsid w:val="000160AD"/>
    <w:rsid w:val="000212FD"/>
    <w:rsid w:val="000231D5"/>
    <w:rsid w:val="00025383"/>
    <w:rsid w:val="00045D3D"/>
    <w:rsid w:val="00062C6F"/>
    <w:rsid w:val="00063657"/>
    <w:rsid w:val="000643E9"/>
    <w:rsid w:val="00070799"/>
    <w:rsid w:val="000711E4"/>
    <w:rsid w:val="000716FC"/>
    <w:rsid w:val="00076183"/>
    <w:rsid w:val="00076680"/>
    <w:rsid w:val="00076A1D"/>
    <w:rsid w:val="0008073E"/>
    <w:rsid w:val="00081739"/>
    <w:rsid w:val="00083BD1"/>
    <w:rsid w:val="00091CDB"/>
    <w:rsid w:val="000A19AC"/>
    <w:rsid w:val="000A5655"/>
    <w:rsid w:val="000B1F9B"/>
    <w:rsid w:val="000B2EC9"/>
    <w:rsid w:val="000B5BB2"/>
    <w:rsid w:val="000C1FEC"/>
    <w:rsid w:val="000C5161"/>
    <w:rsid w:val="000C5738"/>
    <w:rsid w:val="000C7728"/>
    <w:rsid w:val="000D26F8"/>
    <w:rsid w:val="000F5513"/>
    <w:rsid w:val="00106654"/>
    <w:rsid w:val="00115313"/>
    <w:rsid w:val="0012275E"/>
    <w:rsid w:val="0013521E"/>
    <w:rsid w:val="0013526C"/>
    <w:rsid w:val="001405C6"/>
    <w:rsid w:val="00141013"/>
    <w:rsid w:val="00170282"/>
    <w:rsid w:val="00181A77"/>
    <w:rsid w:val="00190ECF"/>
    <w:rsid w:val="00192CBF"/>
    <w:rsid w:val="00192FF1"/>
    <w:rsid w:val="0019374F"/>
    <w:rsid w:val="001A5F1B"/>
    <w:rsid w:val="001B1C22"/>
    <w:rsid w:val="001B316E"/>
    <w:rsid w:val="001B34C6"/>
    <w:rsid w:val="001B6907"/>
    <w:rsid w:val="001D7832"/>
    <w:rsid w:val="001E0A71"/>
    <w:rsid w:val="001E0ADC"/>
    <w:rsid w:val="001F01DF"/>
    <w:rsid w:val="001F336C"/>
    <w:rsid w:val="001F6046"/>
    <w:rsid w:val="00200230"/>
    <w:rsid w:val="00203510"/>
    <w:rsid w:val="00210DC1"/>
    <w:rsid w:val="00211D34"/>
    <w:rsid w:val="00214F04"/>
    <w:rsid w:val="00220BAE"/>
    <w:rsid w:val="0023102B"/>
    <w:rsid w:val="002331A2"/>
    <w:rsid w:val="002352B9"/>
    <w:rsid w:val="00251EB7"/>
    <w:rsid w:val="00266CD6"/>
    <w:rsid w:val="002673AC"/>
    <w:rsid w:val="00272F8D"/>
    <w:rsid w:val="00275DAB"/>
    <w:rsid w:val="0028701A"/>
    <w:rsid w:val="002903C0"/>
    <w:rsid w:val="002A23E6"/>
    <w:rsid w:val="002A782A"/>
    <w:rsid w:val="002B11E2"/>
    <w:rsid w:val="002B24B8"/>
    <w:rsid w:val="002D3AE9"/>
    <w:rsid w:val="002D4510"/>
    <w:rsid w:val="002F0734"/>
    <w:rsid w:val="002F46E7"/>
    <w:rsid w:val="003101DA"/>
    <w:rsid w:val="003111C3"/>
    <w:rsid w:val="003142BA"/>
    <w:rsid w:val="00314757"/>
    <w:rsid w:val="00315BA7"/>
    <w:rsid w:val="003163BC"/>
    <w:rsid w:val="003208F5"/>
    <w:rsid w:val="003211CE"/>
    <w:rsid w:val="00335684"/>
    <w:rsid w:val="00352CBF"/>
    <w:rsid w:val="0035403A"/>
    <w:rsid w:val="0035423F"/>
    <w:rsid w:val="00356C05"/>
    <w:rsid w:val="0036394B"/>
    <w:rsid w:val="00366DB6"/>
    <w:rsid w:val="003709B5"/>
    <w:rsid w:val="003759C2"/>
    <w:rsid w:val="00385A60"/>
    <w:rsid w:val="00397365"/>
    <w:rsid w:val="003A31F6"/>
    <w:rsid w:val="003C3447"/>
    <w:rsid w:val="003D076C"/>
    <w:rsid w:val="003D48F2"/>
    <w:rsid w:val="003E78B5"/>
    <w:rsid w:val="00415BAB"/>
    <w:rsid w:val="00415ED2"/>
    <w:rsid w:val="0042068C"/>
    <w:rsid w:val="0042263B"/>
    <w:rsid w:val="00430998"/>
    <w:rsid w:val="004315AA"/>
    <w:rsid w:val="00440626"/>
    <w:rsid w:val="0044318E"/>
    <w:rsid w:val="00443B35"/>
    <w:rsid w:val="0047122B"/>
    <w:rsid w:val="00472A4C"/>
    <w:rsid w:val="00473B7A"/>
    <w:rsid w:val="004859D9"/>
    <w:rsid w:val="00490832"/>
    <w:rsid w:val="004960E9"/>
    <w:rsid w:val="004A2E88"/>
    <w:rsid w:val="004A5182"/>
    <w:rsid w:val="004A52FE"/>
    <w:rsid w:val="004A5305"/>
    <w:rsid w:val="004C0288"/>
    <w:rsid w:val="004C4C34"/>
    <w:rsid w:val="004D7634"/>
    <w:rsid w:val="004E37B4"/>
    <w:rsid w:val="004E611A"/>
    <w:rsid w:val="004F6460"/>
    <w:rsid w:val="00503764"/>
    <w:rsid w:val="00513775"/>
    <w:rsid w:val="005300D3"/>
    <w:rsid w:val="00542A10"/>
    <w:rsid w:val="0054314B"/>
    <w:rsid w:val="00544F82"/>
    <w:rsid w:val="00546BF6"/>
    <w:rsid w:val="005509D2"/>
    <w:rsid w:val="00565A32"/>
    <w:rsid w:val="00581DC0"/>
    <w:rsid w:val="00583700"/>
    <w:rsid w:val="00593C4F"/>
    <w:rsid w:val="005946A8"/>
    <w:rsid w:val="005A03B9"/>
    <w:rsid w:val="005A4407"/>
    <w:rsid w:val="005A59EF"/>
    <w:rsid w:val="005B1C7E"/>
    <w:rsid w:val="005B390F"/>
    <w:rsid w:val="005C6976"/>
    <w:rsid w:val="005C6C19"/>
    <w:rsid w:val="005C6E73"/>
    <w:rsid w:val="005D200B"/>
    <w:rsid w:val="005F08C5"/>
    <w:rsid w:val="005F6E30"/>
    <w:rsid w:val="005F6F41"/>
    <w:rsid w:val="006106FA"/>
    <w:rsid w:val="006169CC"/>
    <w:rsid w:val="00625DC6"/>
    <w:rsid w:val="00627B63"/>
    <w:rsid w:val="00630022"/>
    <w:rsid w:val="006301B1"/>
    <w:rsid w:val="0064273A"/>
    <w:rsid w:val="006428D2"/>
    <w:rsid w:val="0064391D"/>
    <w:rsid w:val="0064719D"/>
    <w:rsid w:val="00651821"/>
    <w:rsid w:val="00654384"/>
    <w:rsid w:val="00661DF3"/>
    <w:rsid w:val="006675CD"/>
    <w:rsid w:val="00676E8D"/>
    <w:rsid w:val="006818AB"/>
    <w:rsid w:val="006822BE"/>
    <w:rsid w:val="00684D9B"/>
    <w:rsid w:val="0068510A"/>
    <w:rsid w:val="006972FD"/>
    <w:rsid w:val="00697556"/>
    <w:rsid w:val="006A1FC0"/>
    <w:rsid w:val="006B0E5F"/>
    <w:rsid w:val="006B12FB"/>
    <w:rsid w:val="006B4114"/>
    <w:rsid w:val="006B4647"/>
    <w:rsid w:val="006B4C2B"/>
    <w:rsid w:val="006B6194"/>
    <w:rsid w:val="006B6D47"/>
    <w:rsid w:val="006C5AFE"/>
    <w:rsid w:val="006D5B22"/>
    <w:rsid w:val="006E4C67"/>
    <w:rsid w:val="006E6CE7"/>
    <w:rsid w:val="006F2EC8"/>
    <w:rsid w:val="006F4941"/>
    <w:rsid w:val="006F669D"/>
    <w:rsid w:val="006F6D95"/>
    <w:rsid w:val="006F6F53"/>
    <w:rsid w:val="00706F13"/>
    <w:rsid w:val="007072E8"/>
    <w:rsid w:val="0071618D"/>
    <w:rsid w:val="00720721"/>
    <w:rsid w:val="0072440E"/>
    <w:rsid w:val="00725FA4"/>
    <w:rsid w:val="0073688E"/>
    <w:rsid w:val="00740446"/>
    <w:rsid w:val="007438A9"/>
    <w:rsid w:val="0074491E"/>
    <w:rsid w:val="00745568"/>
    <w:rsid w:val="00760CBC"/>
    <w:rsid w:val="0076247A"/>
    <w:rsid w:val="00775964"/>
    <w:rsid w:val="007765FE"/>
    <w:rsid w:val="00780826"/>
    <w:rsid w:val="00783769"/>
    <w:rsid w:val="00794E2E"/>
    <w:rsid w:val="00795BFB"/>
    <w:rsid w:val="007A19A9"/>
    <w:rsid w:val="007B2760"/>
    <w:rsid w:val="007D60EF"/>
    <w:rsid w:val="007E1908"/>
    <w:rsid w:val="007E5325"/>
    <w:rsid w:val="007F428A"/>
    <w:rsid w:val="007F4FC4"/>
    <w:rsid w:val="00806713"/>
    <w:rsid w:val="00806C01"/>
    <w:rsid w:val="00810B35"/>
    <w:rsid w:val="008148CC"/>
    <w:rsid w:val="00820408"/>
    <w:rsid w:val="008211A4"/>
    <w:rsid w:val="008238A7"/>
    <w:rsid w:val="00843B8C"/>
    <w:rsid w:val="00844822"/>
    <w:rsid w:val="0084693A"/>
    <w:rsid w:val="00851E26"/>
    <w:rsid w:val="00860FD3"/>
    <w:rsid w:val="00863E90"/>
    <w:rsid w:val="008706CA"/>
    <w:rsid w:val="00873150"/>
    <w:rsid w:val="0087657D"/>
    <w:rsid w:val="008807D5"/>
    <w:rsid w:val="00880832"/>
    <w:rsid w:val="00886EE1"/>
    <w:rsid w:val="0088727D"/>
    <w:rsid w:val="008874A7"/>
    <w:rsid w:val="008875B6"/>
    <w:rsid w:val="00897C75"/>
    <w:rsid w:val="008B7183"/>
    <w:rsid w:val="008C1130"/>
    <w:rsid w:val="008C2771"/>
    <w:rsid w:val="008C2854"/>
    <w:rsid w:val="008D18E6"/>
    <w:rsid w:val="008D18ED"/>
    <w:rsid w:val="008D7A9B"/>
    <w:rsid w:val="008E0060"/>
    <w:rsid w:val="008E7091"/>
    <w:rsid w:val="008E76AC"/>
    <w:rsid w:val="008F21F6"/>
    <w:rsid w:val="0091022A"/>
    <w:rsid w:val="009140FD"/>
    <w:rsid w:val="009242CC"/>
    <w:rsid w:val="009351FA"/>
    <w:rsid w:val="00947F40"/>
    <w:rsid w:val="00951F79"/>
    <w:rsid w:val="009538AC"/>
    <w:rsid w:val="00954306"/>
    <w:rsid w:val="00974AB5"/>
    <w:rsid w:val="0098706D"/>
    <w:rsid w:val="0099331D"/>
    <w:rsid w:val="009935FB"/>
    <w:rsid w:val="009A0826"/>
    <w:rsid w:val="009A7527"/>
    <w:rsid w:val="009B5DAE"/>
    <w:rsid w:val="009C4E55"/>
    <w:rsid w:val="009C56D6"/>
    <w:rsid w:val="009D1053"/>
    <w:rsid w:val="009F4A54"/>
    <w:rsid w:val="009F4BEC"/>
    <w:rsid w:val="009F5874"/>
    <w:rsid w:val="009F6992"/>
    <w:rsid w:val="00A00D24"/>
    <w:rsid w:val="00A03159"/>
    <w:rsid w:val="00A1378A"/>
    <w:rsid w:val="00A25FD7"/>
    <w:rsid w:val="00A431B1"/>
    <w:rsid w:val="00A43AFF"/>
    <w:rsid w:val="00A44651"/>
    <w:rsid w:val="00A51EFB"/>
    <w:rsid w:val="00A541FE"/>
    <w:rsid w:val="00A57AC1"/>
    <w:rsid w:val="00A60D6B"/>
    <w:rsid w:val="00A62293"/>
    <w:rsid w:val="00A7793A"/>
    <w:rsid w:val="00A91BB2"/>
    <w:rsid w:val="00AA4CC7"/>
    <w:rsid w:val="00AA5E8E"/>
    <w:rsid w:val="00AB29CB"/>
    <w:rsid w:val="00AB2BAD"/>
    <w:rsid w:val="00AB454B"/>
    <w:rsid w:val="00AB6CA7"/>
    <w:rsid w:val="00AC18A8"/>
    <w:rsid w:val="00AC47A9"/>
    <w:rsid w:val="00AC78CC"/>
    <w:rsid w:val="00AD01E4"/>
    <w:rsid w:val="00AD0858"/>
    <w:rsid w:val="00AD45EB"/>
    <w:rsid w:val="00AE02E3"/>
    <w:rsid w:val="00AE7340"/>
    <w:rsid w:val="00AF1BBD"/>
    <w:rsid w:val="00AF66B3"/>
    <w:rsid w:val="00AF7A4A"/>
    <w:rsid w:val="00B0044D"/>
    <w:rsid w:val="00B10207"/>
    <w:rsid w:val="00B141E7"/>
    <w:rsid w:val="00B351B4"/>
    <w:rsid w:val="00B41391"/>
    <w:rsid w:val="00B46BCA"/>
    <w:rsid w:val="00B478AA"/>
    <w:rsid w:val="00B53899"/>
    <w:rsid w:val="00B555CC"/>
    <w:rsid w:val="00B576AE"/>
    <w:rsid w:val="00B67A6F"/>
    <w:rsid w:val="00B8124D"/>
    <w:rsid w:val="00B81932"/>
    <w:rsid w:val="00B8286D"/>
    <w:rsid w:val="00B87806"/>
    <w:rsid w:val="00B87EC9"/>
    <w:rsid w:val="00BA0475"/>
    <w:rsid w:val="00BC38FD"/>
    <w:rsid w:val="00BD7733"/>
    <w:rsid w:val="00BE1AC3"/>
    <w:rsid w:val="00C034CB"/>
    <w:rsid w:val="00C051A8"/>
    <w:rsid w:val="00C054BC"/>
    <w:rsid w:val="00C06E2A"/>
    <w:rsid w:val="00C17897"/>
    <w:rsid w:val="00C27D36"/>
    <w:rsid w:val="00C313C6"/>
    <w:rsid w:val="00C35D2A"/>
    <w:rsid w:val="00C409D5"/>
    <w:rsid w:val="00C41343"/>
    <w:rsid w:val="00C43597"/>
    <w:rsid w:val="00C435C3"/>
    <w:rsid w:val="00C44E5F"/>
    <w:rsid w:val="00C51B7C"/>
    <w:rsid w:val="00C55F46"/>
    <w:rsid w:val="00C6234B"/>
    <w:rsid w:val="00C63EAE"/>
    <w:rsid w:val="00C64A32"/>
    <w:rsid w:val="00C73260"/>
    <w:rsid w:val="00C74602"/>
    <w:rsid w:val="00C75AB4"/>
    <w:rsid w:val="00C7629F"/>
    <w:rsid w:val="00C8169A"/>
    <w:rsid w:val="00C84430"/>
    <w:rsid w:val="00C8661B"/>
    <w:rsid w:val="00C87FED"/>
    <w:rsid w:val="00CA03C8"/>
    <w:rsid w:val="00CA139A"/>
    <w:rsid w:val="00CA2899"/>
    <w:rsid w:val="00CA3A3D"/>
    <w:rsid w:val="00CA3AA6"/>
    <w:rsid w:val="00CA4186"/>
    <w:rsid w:val="00CA77FB"/>
    <w:rsid w:val="00CB379B"/>
    <w:rsid w:val="00CB4B28"/>
    <w:rsid w:val="00CB5DD0"/>
    <w:rsid w:val="00CB7711"/>
    <w:rsid w:val="00CC05BF"/>
    <w:rsid w:val="00CC51D4"/>
    <w:rsid w:val="00CC65DA"/>
    <w:rsid w:val="00CE1FFF"/>
    <w:rsid w:val="00CF1894"/>
    <w:rsid w:val="00CF21B9"/>
    <w:rsid w:val="00CF6BF9"/>
    <w:rsid w:val="00D03800"/>
    <w:rsid w:val="00D065D3"/>
    <w:rsid w:val="00D14C94"/>
    <w:rsid w:val="00D261A2"/>
    <w:rsid w:val="00D27586"/>
    <w:rsid w:val="00D342A6"/>
    <w:rsid w:val="00D45CA6"/>
    <w:rsid w:val="00D464BF"/>
    <w:rsid w:val="00D51CE2"/>
    <w:rsid w:val="00D53E26"/>
    <w:rsid w:val="00D62D50"/>
    <w:rsid w:val="00D66628"/>
    <w:rsid w:val="00D875B7"/>
    <w:rsid w:val="00DB1524"/>
    <w:rsid w:val="00DB182C"/>
    <w:rsid w:val="00DC2D7A"/>
    <w:rsid w:val="00DD3999"/>
    <w:rsid w:val="00DD4F0E"/>
    <w:rsid w:val="00DE77C7"/>
    <w:rsid w:val="00DF0BF0"/>
    <w:rsid w:val="00DF3522"/>
    <w:rsid w:val="00DF3CA2"/>
    <w:rsid w:val="00DF5572"/>
    <w:rsid w:val="00E01463"/>
    <w:rsid w:val="00E036D8"/>
    <w:rsid w:val="00E05E0A"/>
    <w:rsid w:val="00E060BE"/>
    <w:rsid w:val="00E06C4B"/>
    <w:rsid w:val="00E070DF"/>
    <w:rsid w:val="00E106CE"/>
    <w:rsid w:val="00E2694A"/>
    <w:rsid w:val="00E27469"/>
    <w:rsid w:val="00E2748A"/>
    <w:rsid w:val="00E27D16"/>
    <w:rsid w:val="00E3059A"/>
    <w:rsid w:val="00E41A4A"/>
    <w:rsid w:val="00E4553D"/>
    <w:rsid w:val="00E534CF"/>
    <w:rsid w:val="00E53AB4"/>
    <w:rsid w:val="00E562A9"/>
    <w:rsid w:val="00E56772"/>
    <w:rsid w:val="00E71FA9"/>
    <w:rsid w:val="00E81CB4"/>
    <w:rsid w:val="00E8585B"/>
    <w:rsid w:val="00E87E3A"/>
    <w:rsid w:val="00E87F41"/>
    <w:rsid w:val="00E91FD9"/>
    <w:rsid w:val="00EA3F15"/>
    <w:rsid w:val="00EA5140"/>
    <w:rsid w:val="00EA6CD0"/>
    <w:rsid w:val="00EA7847"/>
    <w:rsid w:val="00EB29EB"/>
    <w:rsid w:val="00EB4C2F"/>
    <w:rsid w:val="00EB5F32"/>
    <w:rsid w:val="00EC12D6"/>
    <w:rsid w:val="00EC13BC"/>
    <w:rsid w:val="00EC3F9F"/>
    <w:rsid w:val="00ED4CAB"/>
    <w:rsid w:val="00EE2CB5"/>
    <w:rsid w:val="00EE2E6E"/>
    <w:rsid w:val="00EE6A92"/>
    <w:rsid w:val="00EE75F0"/>
    <w:rsid w:val="00EF4206"/>
    <w:rsid w:val="00F0367E"/>
    <w:rsid w:val="00F0759E"/>
    <w:rsid w:val="00F16A43"/>
    <w:rsid w:val="00F2495F"/>
    <w:rsid w:val="00F26CCB"/>
    <w:rsid w:val="00F46780"/>
    <w:rsid w:val="00F526B2"/>
    <w:rsid w:val="00F5275B"/>
    <w:rsid w:val="00F72D53"/>
    <w:rsid w:val="00F73B93"/>
    <w:rsid w:val="00F7538B"/>
    <w:rsid w:val="00F77D2D"/>
    <w:rsid w:val="00F81605"/>
    <w:rsid w:val="00F821A3"/>
    <w:rsid w:val="00F83849"/>
    <w:rsid w:val="00F871A0"/>
    <w:rsid w:val="00F8760A"/>
    <w:rsid w:val="00F92F07"/>
    <w:rsid w:val="00F9314A"/>
    <w:rsid w:val="00F940AC"/>
    <w:rsid w:val="00F940B2"/>
    <w:rsid w:val="00F958F4"/>
    <w:rsid w:val="00FA61B6"/>
    <w:rsid w:val="00FA7F49"/>
    <w:rsid w:val="00FC58EF"/>
    <w:rsid w:val="00FD33DF"/>
    <w:rsid w:val="00FE39D7"/>
    <w:rsid w:val="00FF3FA1"/>
    <w:rsid w:val="00FF640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Normal"/>
    <w:link w:val="ARTICULOSCar"/>
    <w:qFormat/>
    <w:rsid w:val="00272F8D"/>
    <w:pPr>
      <w:widowControl w:val="0"/>
      <w:numPr>
        <w:numId w:val="23"/>
      </w:numPr>
      <w:adjustRightInd w:val="0"/>
      <w:ind w:left="0" w:firstLine="1"/>
      <w:jc w:val="both"/>
      <w:textAlignment w:val="baseline"/>
    </w:pPr>
    <w:rPr>
      <w:rFonts w:ascii="Bookman Old Style" w:hAnsi="Bookman Old Style"/>
      <w:bCs/>
      <w:lang w:val="x-none" w:eastAsia="x-none"/>
    </w:rPr>
  </w:style>
  <w:style w:type="character" w:customStyle="1" w:styleId="ARTICULOSCar">
    <w:name w:val="ARTICULOS Car"/>
    <w:link w:val="ARTICULOS"/>
    <w:rsid w:val="00272F8D"/>
    <w:rPr>
      <w:rFonts w:ascii="Bookman Old Style" w:hAnsi="Bookman Old Style"/>
      <w:bCs/>
      <w:sz w:val="24"/>
      <w:szCs w:val="24"/>
      <w:lang w:val="x-none" w:eastAsia="x-none"/>
    </w:rPr>
  </w:style>
  <w:style w:type="character" w:styleId="Textodelmarcadordeposicin">
    <w:name w:val="Placeholder Text"/>
    <w:basedOn w:val="Fuentedeprrafopredeter"/>
    <w:uiPriority w:val="99"/>
    <w:semiHidden/>
    <w:rsid w:val="007F4FC4"/>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DC2D7A"/>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DC2D7A"/>
    <w:rPr>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DC2D7A"/>
    <w:rPr>
      <w:vertAlign w:val="superscript"/>
    </w:rPr>
  </w:style>
  <w:style w:type="character" w:styleId="Refdecomentario">
    <w:name w:val="annotation reference"/>
    <w:basedOn w:val="Fuentedeprrafopredeter"/>
    <w:uiPriority w:val="99"/>
    <w:semiHidden/>
    <w:unhideWhenUsed/>
    <w:rsid w:val="00F92F07"/>
    <w:rPr>
      <w:sz w:val="16"/>
      <w:szCs w:val="16"/>
    </w:rPr>
  </w:style>
  <w:style w:type="paragraph" w:styleId="Textocomentario">
    <w:name w:val="annotation text"/>
    <w:basedOn w:val="Normal"/>
    <w:link w:val="TextocomentarioCar"/>
    <w:uiPriority w:val="99"/>
    <w:semiHidden/>
    <w:unhideWhenUsed/>
    <w:rsid w:val="00F92F07"/>
    <w:rPr>
      <w:sz w:val="20"/>
      <w:szCs w:val="20"/>
    </w:rPr>
  </w:style>
  <w:style w:type="character" w:customStyle="1" w:styleId="TextocomentarioCar">
    <w:name w:val="Texto comentario Car"/>
    <w:basedOn w:val="Fuentedeprrafopredeter"/>
    <w:link w:val="Textocomentario"/>
    <w:uiPriority w:val="99"/>
    <w:semiHidden/>
    <w:rsid w:val="00F92F07"/>
    <w:rPr>
      <w:lang w:val="es-ES" w:eastAsia="es-ES"/>
    </w:rPr>
  </w:style>
  <w:style w:type="paragraph" w:styleId="Asuntodelcomentario">
    <w:name w:val="annotation subject"/>
    <w:basedOn w:val="Textocomentario"/>
    <w:next w:val="Textocomentario"/>
    <w:link w:val="AsuntodelcomentarioCar"/>
    <w:uiPriority w:val="99"/>
    <w:semiHidden/>
    <w:unhideWhenUsed/>
    <w:rsid w:val="00F92F07"/>
    <w:rPr>
      <w:b/>
      <w:bCs/>
    </w:rPr>
  </w:style>
  <w:style w:type="character" w:customStyle="1" w:styleId="AsuntodelcomentarioCar">
    <w:name w:val="Asunto del comentario Car"/>
    <w:basedOn w:val="TextocomentarioCar"/>
    <w:link w:val="Asuntodelcomentario"/>
    <w:uiPriority w:val="99"/>
    <w:semiHidden/>
    <w:rsid w:val="00F92F07"/>
    <w:rPr>
      <w:b/>
      <w:bCs/>
      <w:lang w:val="es-ES" w:eastAsia="es-ES"/>
    </w:rPr>
  </w:style>
  <w:style w:type="paragraph" w:styleId="Revisin">
    <w:name w:val="Revision"/>
    <w:hidden/>
    <w:uiPriority w:val="99"/>
    <w:semiHidden/>
    <w:rsid w:val="00F92F07"/>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Normal"/>
    <w:link w:val="ARTICULOSCar"/>
    <w:qFormat/>
    <w:rsid w:val="00272F8D"/>
    <w:pPr>
      <w:widowControl w:val="0"/>
      <w:numPr>
        <w:numId w:val="23"/>
      </w:numPr>
      <w:adjustRightInd w:val="0"/>
      <w:ind w:left="0" w:firstLine="1"/>
      <w:jc w:val="both"/>
      <w:textAlignment w:val="baseline"/>
    </w:pPr>
    <w:rPr>
      <w:rFonts w:ascii="Bookman Old Style" w:hAnsi="Bookman Old Style"/>
      <w:bCs/>
      <w:lang w:val="x-none" w:eastAsia="x-none"/>
    </w:rPr>
  </w:style>
  <w:style w:type="character" w:customStyle="1" w:styleId="ARTICULOSCar">
    <w:name w:val="ARTICULOS Car"/>
    <w:link w:val="ARTICULOS"/>
    <w:rsid w:val="00272F8D"/>
    <w:rPr>
      <w:rFonts w:ascii="Bookman Old Style" w:hAnsi="Bookman Old Style"/>
      <w:bCs/>
      <w:sz w:val="24"/>
      <w:szCs w:val="24"/>
      <w:lang w:val="x-none" w:eastAsia="x-none"/>
    </w:rPr>
  </w:style>
  <w:style w:type="character" w:styleId="Textodelmarcadordeposicin">
    <w:name w:val="Placeholder Text"/>
    <w:basedOn w:val="Fuentedeprrafopredeter"/>
    <w:uiPriority w:val="99"/>
    <w:semiHidden/>
    <w:rsid w:val="007F4FC4"/>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DC2D7A"/>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DC2D7A"/>
    <w:rPr>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DC2D7A"/>
    <w:rPr>
      <w:vertAlign w:val="superscript"/>
    </w:rPr>
  </w:style>
  <w:style w:type="character" w:styleId="Refdecomentario">
    <w:name w:val="annotation reference"/>
    <w:basedOn w:val="Fuentedeprrafopredeter"/>
    <w:uiPriority w:val="99"/>
    <w:semiHidden/>
    <w:unhideWhenUsed/>
    <w:rsid w:val="00F92F07"/>
    <w:rPr>
      <w:sz w:val="16"/>
      <w:szCs w:val="16"/>
    </w:rPr>
  </w:style>
  <w:style w:type="paragraph" w:styleId="Textocomentario">
    <w:name w:val="annotation text"/>
    <w:basedOn w:val="Normal"/>
    <w:link w:val="TextocomentarioCar"/>
    <w:uiPriority w:val="99"/>
    <w:semiHidden/>
    <w:unhideWhenUsed/>
    <w:rsid w:val="00F92F07"/>
    <w:rPr>
      <w:sz w:val="20"/>
      <w:szCs w:val="20"/>
    </w:rPr>
  </w:style>
  <w:style w:type="character" w:customStyle="1" w:styleId="TextocomentarioCar">
    <w:name w:val="Texto comentario Car"/>
    <w:basedOn w:val="Fuentedeprrafopredeter"/>
    <w:link w:val="Textocomentario"/>
    <w:uiPriority w:val="99"/>
    <w:semiHidden/>
    <w:rsid w:val="00F92F07"/>
    <w:rPr>
      <w:lang w:val="es-ES" w:eastAsia="es-ES"/>
    </w:rPr>
  </w:style>
  <w:style w:type="paragraph" w:styleId="Asuntodelcomentario">
    <w:name w:val="annotation subject"/>
    <w:basedOn w:val="Textocomentario"/>
    <w:next w:val="Textocomentario"/>
    <w:link w:val="AsuntodelcomentarioCar"/>
    <w:uiPriority w:val="99"/>
    <w:semiHidden/>
    <w:unhideWhenUsed/>
    <w:rsid w:val="00F92F07"/>
    <w:rPr>
      <w:b/>
      <w:bCs/>
    </w:rPr>
  </w:style>
  <w:style w:type="character" w:customStyle="1" w:styleId="AsuntodelcomentarioCar">
    <w:name w:val="Asunto del comentario Car"/>
    <w:basedOn w:val="TextocomentarioCar"/>
    <w:link w:val="Asuntodelcomentario"/>
    <w:uiPriority w:val="99"/>
    <w:semiHidden/>
    <w:rsid w:val="00F92F07"/>
    <w:rPr>
      <w:b/>
      <w:bCs/>
      <w:lang w:val="es-ES" w:eastAsia="es-ES"/>
    </w:rPr>
  </w:style>
  <w:style w:type="paragraph" w:styleId="Revisin">
    <w:name w:val="Revision"/>
    <w:hidden/>
    <w:uiPriority w:val="99"/>
    <w:semiHidden/>
    <w:rsid w:val="00F92F07"/>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EFEA4-4DF5-456C-BA87-E99B3A216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5</Pages>
  <Words>1708</Words>
  <Characters>9399</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Mónica Plaza</dc:creator>
  <cp:lastModifiedBy>Luz Stella Rojas Macias</cp:lastModifiedBy>
  <cp:revision>2</cp:revision>
  <cp:lastPrinted>2015-05-28T22:43:00Z</cp:lastPrinted>
  <dcterms:created xsi:type="dcterms:W3CDTF">2015-05-29T20:21:00Z</dcterms:created>
  <dcterms:modified xsi:type="dcterms:W3CDTF">2015-05-29T20:21:00Z</dcterms:modified>
</cp:coreProperties>
</file>