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6F6" w:rsidRPr="003301B8" w:rsidRDefault="00CC5AC2" w:rsidP="00D2619A">
      <w:pPr>
        <w:pStyle w:val="Encabezado"/>
        <w:tabs>
          <w:tab w:val="clear" w:pos="8504"/>
          <w:tab w:val="left" w:pos="0"/>
          <w:tab w:val="right" w:pos="9356"/>
        </w:tabs>
        <w:ind w:left="0"/>
        <w:jc w:val="both"/>
        <w:rPr>
          <w:rFonts w:ascii="Bookman Old Style" w:hAnsi="Bookman Old Style"/>
          <w:b/>
          <w:bCs/>
          <w:szCs w:val="24"/>
        </w:rPr>
      </w:pPr>
      <w:bookmarkStart w:id="0" w:name="_GoBack"/>
      <w:bookmarkEnd w:id="0"/>
      <w:r>
        <w:rPr>
          <w:rFonts w:ascii="Bookman Old Style" w:hAnsi="Bookman Old Style"/>
          <w:noProof/>
          <w:szCs w:val="24"/>
        </w:rPr>
        <w:object w:dxaOrig="1440" w:dyaOrig="1440">
          <v:shape id="_x0000_s1026" type="#_x0000_t75" style="position:absolute;left:0;text-align:left;margin-left:197.15pt;margin-top:-53.35pt;width:52.5pt;height:48.75pt;z-index:251658240" fillcolor="#0c9">
            <v:imagedata r:id="rId7" o:title=""/>
          </v:shape>
          <o:OLEObject Type="Embed" ProgID="PBrush" ShapeID="_x0000_s1026" DrawAspect="Content" ObjectID="_1576567932" r:id="rId8"/>
        </w:object>
      </w:r>
    </w:p>
    <w:p w:rsidR="003A16F6" w:rsidRPr="003301B8" w:rsidRDefault="003A16F6" w:rsidP="003A16F6">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3A16F6" w:rsidRPr="003301B8" w:rsidRDefault="003A16F6" w:rsidP="003A16F6">
      <w:pPr>
        <w:pStyle w:val="Ttulo4"/>
        <w:tabs>
          <w:tab w:val="left" w:pos="0"/>
          <w:tab w:val="right" w:pos="9356"/>
        </w:tabs>
        <w:ind w:left="0"/>
        <w:rPr>
          <w:rFonts w:ascii="Bookman Old Style" w:hAnsi="Bookman Old Style"/>
          <w:b w:val="0"/>
          <w:bCs/>
          <w:sz w:val="24"/>
          <w:szCs w:val="24"/>
        </w:rPr>
      </w:pPr>
    </w:p>
    <w:p w:rsidR="003A16F6" w:rsidRPr="003301B8" w:rsidRDefault="003A16F6" w:rsidP="003A16F6">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 -CREG-</w:t>
      </w:r>
    </w:p>
    <w:p w:rsidR="003A16F6" w:rsidRPr="003301B8" w:rsidRDefault="003A16F6" w:rsidP="003A16F6">
      <w:pPr>
        <w:pStyle w:val="Ttulo5"/>
        <w:tabs>
          <w:tab w:val="left" w:pos="0"/>
          <w:tab w:val="right" w:pos="9356"/>
        </w:tabs>
        <w:ind w:left="0"/>
        <w:rPr>
          <w:rFonts w:ascii="Bookman Old Style" w:hAnsi="Bookman Old Style"/>
          <w:sz w:val="24"/>
          <w:szCs w:val="24"/>
        </w:rPr>
      </w:pPr>
    </w:p>
    <w:p w:rsidR="003A16F6" w:rsidRPr="003301B8" w:rsidRDefault="003A16F6" w:rsidP="003A16F6">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D2619A">
        <w:rPr>
          <w:rFonts w:ascii="Bookman Old Style" w:hAnsi="Bookman Old Style"/>
          <w:sz w:val="24"/>
          <w:szCs w:val="24"/>
        </w:rPr>
        <w:t xml:space="preserve">     </w:t>
      </w:r>
      <w:r w:rsidRPr="003301B8">
        <w:rPr>
          <w:rFonts w:ascii="Bookman Old Style" w:hAnsi="Bookman Old Style"/>
          <w:sz w:val="24"/>
          <w:szCs w:val="24"/>
        </w:rPr>
        <w:t xml:space="preserve">       DE 201</w:t>
      </w:r>
      <w:r>
        <w:rPr>
          <w:rFonts w:ascii="Bookman Old Style" w:hAnsi="Bookman Old Style"/>
          <w:sz w:val="24"/>
          <w:szCs w:val="24"/>
        </w:rPr>
        <w:t>7</w:t>
      </w:r>
    </w:p>
    <w:p w:rsidR="003A16F6" w:rsidRPr="003301B8" w:rsidRDefault="003A16F6" w:rsidP="003A16F6">
      <w:pPr>
        <w:tabs>
          <w:tab w:val="left" w:pos="0"/>
          <w:tab w:val="right" w:pos="9356"/>
        </w:tabs>
        <w:ind w:left="0"/>
        <w:jc w:val="center"/>
        <w:rPr>
          <w:rFonts w:ascii="Bookman Old Style" w:hAnsi="Bookman Old Style" w:cs="Arial"/>
          <w:b/>
          <w:snapToGrid w:val="0"/>
          <w:color w:val="000000"/>
          <w:lang w:val="es-ES_tradnl"/>
        </w:rPr>
      </w:pPr>
    </w:p>
    <w:p w:rsidR="003A16F6" w:rsidRPr="003301B8" w:rsidRDefault="003A16F6" w:rsidP="003A16F6">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D2619A">
        <w:rPr>
          <w:rFonts w:ascii="Bookman Old Style" w:hAnsi="Bookman Old Style"/>
          <w:b w:val="0"/>
          <w:szCs w:val="24"/>
        </w:rPr>
        <w:t xml:space="preserve">                </w:t>
      </w:r>
      <w:r w:rsidRPr="003301B8">
        <w:rPr>
          <w:rFonts w:ascii="Bookman Old Style" w:hAnsi="Bookman Old Style"/>
          <w:b w:val="0"/>
          <w:szCs w:val="24"/>
        </w:rPr>
        <w:t xml:space="preserve">              )</w:t>
      </w:r>
    </w:p>
    <w:p w:rsidR="003A16F6" w:rsidRPr="003301B8" w:rsidRDefault="003A16F6" w:rsidP="003A16F6">
      <w:pPr>
        <w:tabs>
          <w:tab w:val="left" w:pos="0"/>
          <w:tab w:val="right" w:pos="9356"/>
        </w:tabs>
        <w:ind w:left="0"/>
        <w:jc w:val="center"/>
        <w:rPr>
          <w:rFonts w:ascii="Bookman Old Style" w:hAnsi="Bookman Old Style"/>
          <w:lang w:val="es-ES_tradnl"/>
        </w:rPr>
      </w:pPr>
    </w:p>
    <w:p w:rsidR="003A16F6" w:rsidRPr="003301B8" w:rsidRDefault="003A16F6" w:rsidP="003A16F6">
      <w:pPr>
        <w:ind w:left="0"/>
        <w:rPr>
          <w:rFonts w:ascii="Bookman Old Style" w:hAnsi="Bookman Old Style"/>
          <w:bCs/>
          <w:lang w:val="es-ES_tradnl"/>
        </w:rPr>
      </w:pPr>
    </w:p>
    <w:p w:rsidR="003A16F6" w:rsidRDefault="003A16F6" w:rsidP="006A3DBB">
      <w:pPr>
        <w:ind w:left="227"/>
        <w:jc w:val="center"/>
        <w:rPr>
          <w:rFonts w:ascii="Bookman Old Style" w:hAnsi="Bookman Old Style"/>
        </w:rPr>
      </w:pPr>
      <w:r w:rsidRPr="003301B8">
        <w:rPr>
          <w:rFonts w:ascii="Bookman Old Style" w:hAnsi="Bookman Old Style"/>
        </w:rPr>
        <w:t xml:space="preserve">Por medio de la cual se resuelve un recurso de reposición </w:t>
      </w:r>
      <w:r w:rsidR="00636FA8">
        <w:rPr>
          <w:rFonts w:ascii="Bookman Old Style" w:hAnsi="Bookman Old Style"/>
        </w:rPr>
        <w:t xml:space="preserve">interpuesto por </w:t>
      </w:r>
      <w:r w:rsidR="00636FA8" w:rsidRPr="00636FA8">
        <w:rPr>
          <w:rFonts w:ascii="Bookman Old Style" w:hAnsi="Bookman Old Style"/>
        </w:rPr>
        <w:t xml:space="preserve">EMPRESA DE ENERGÍA DEL QUINDIO EDEQ S.A. E.S.P </w:t>
      </w:r>
      <w:r w:rsidRPr="003301B8">
        <w:rPr>
          <w:rFonts w:ascii="Bookman Old Style" w:hAnsi="Bookman Old Style"/>
        </w:rPr>
        <w:t xml:space="preserve">en contra de la Resolución CREG </w:t>
      </w:r>
      <w:r>
        <w:rPr>
          <w:rFonts w:ascii="Bookman Old Style" w:hAnsi="Bookman Old Style"/>
        </w:rPr>
        <w:t>162 de 2017</w:t>
      </w:r>
    </w:p>
    <w:p w:rsidR="006A3DBB" w:rsidRDefault="006A3DBB" w:rsidP="006A3DBB">
      <w:pPr>
        <w:ind w:left="227" w:right="-737"/>
        <w:jc w:val="center"/>
        <w:rPr>
          <w:rFonts w:ascii="Bookman Old Style" w:hAnsi="Bookman Old Style"/>
        </w:rPr>
      </w:pPr>
    </w:p>
    <w:p w:rsidR="006A3DBB" w:rsidRPr="003301B8" w:rsidRDefault="006A3DBB" w:rsidP="006A3DBB">
      <w:pPr>
        <w:ind w:left="227" w:right="-737"/>
        <w:jc w:val="center"/>
        <w:rPr>
          <w:rFonts w:ascii="Bookman Old Style" w:hAnsi="Bookman Old Style"/>
        </w:rPr>
      </w:pPr>
    </w:p>
    <w:p w:rsidR="003A16F6" w:rsidRPr="003301B8" w:rsidRDefault="003A16F6" w:rsidP="003A16F6">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3A16F6" w:rsidRPr="003301B8" w:rsidRDefault="003A16F6" w:rsidP="003A16F6">
      <w:pPr>
        <w:ind w:left="170" w:right="-454"/>
        <w:jc w:val="both"/>
        <w:rPr>
          <w:rFonts w:ascii="Bookman Old Style" w:hAnsi="Bookman Old Style"/>
        </w:rPr>
      </w:pPr>
    </w:p>
    <w:p w:rsidR="003A16F6" w:rsidRPr="003301B8" w:rsidRDefault="003A16F6" w:rsidP="003A16F6">
      <w:pPr>
        <w:ind w:left="170"/>
        <w:jc w:val="both"/>
        <w:rPr>
          <w:rFonts w:ascii="Bookman Old Style" w:hAnsi="Bookman Old Style"/>
        </w:rPr>
      </w:pPr>
      <w:r w:rsidRPr="003301B8">
        <w:rPr>
          <w:rFonts w:ascii="Bookman Old Style" w:hAnsi="Bookman Old Style"/>
        </w:rPr>
        <w:t xml:space="preserve">En uso de sus facultades legales, en especial las conferidas por las Leyes 142 de 1994 y 143 de 1994, y en desarrollo de los decretos 1524 y 2253 de 1994, </w:t>
      </w:r>
    </w:p>
    <w:p w:rsidR="003A16F6" w:rsidRDefault="003A16F6" w:rsidP="003A16F6">
      <w:pPr>
        <w:ind w:left="0" w:right="-454"/>
        <w:jc w:val="both"/>
        <w:rPr>
          <w:rFonts w:ascii="Bookman Old Style" w:hAnsi="Bookman Old Style"/>
        </w:rPr>
      </w:pPr>
    </w:p>
    <w:p w:rsidR="00D2619A" w:rsidRPr="003301B8" w:rsidRDefault="00D2619A" w:rsidP="003A16F6">
      <w:pPr>
        <w:ind w:left="0" w:right="-454"/>
        <w:jc w:val="both"/>
        <w:rPr>
          <w:rFonts w:ascii="Bookman Old Style" w:hAnsi="Bookman Old Style"/>
        </w:rPr>
      </w:pPr>
    </w:p>
    <w:p w:rsidR="003A16F6" w:rsidRPr="003301B8" w:rsidRDefault="003A16F6" w:rsidP="003A16F6">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3A16F6" w:rsidRDefault="003A16F6" w:rsidP="003A16F6">
      <w:pPr>
        <w:ind w:left="0"/>
        <w:jc w:val="both"/>
        <w:rPr>
          <w:rFonts w:ascii="Bookman Old Style" w:hAnsi="Bookman Old Style"/>
        </w:rPr>
      </w:pPr>
    </w:p>
    <w:p w:rsidR="00D2619A" w:rsidRPr="003301B8" w:rsidRDefault="00D2619A"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3A16F6" w:rsidRPr="003301B8" w:rsidRDefault="003A16F6" w:rsidP="003A16F6">
      <w:pPr>
        <w:ind w:left="0"/>
        <w:jc w:val="both"/>
        <w:rPr>
          <w:rFonts w:ascii="Bookman Old Style" w:hAnsi="Bookman Old Style" w:cs="Arial"/>
        </w:rPr>
      </w:pP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3A16F6" w:rsidRPr="003301B8" w:rsidRDefault="003A16F6" w:rsidP="003A16F6">
      <w:pPr>
        <w:pStyle w:val="Prrafodelista"/>
        <w:ind w:left="720"/>
        <w:jc w:val="both"/>
        <w:rPr>
          <w:rFonts w:ascii="Bookman Old Style" w:hAnsi="Bookman Old Style" w:cs="Arial"/>
          <w:sz w:val="24"/>
          <w:szCs w:val="24"/>
        </w:rPr>
      </w:pP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162 de 2017</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7</w:t>
      </w:r>
      <w:r w:rsidRPr="003301B8">
        <w:rPr>
          <w:rFonts w:ascii="Bookman Old Style" w:hAnsi="Bookman Old Style" w:cs="Arial"/>
        </w:rPr>
        <w:t>.</w:t>
      </w: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 xml:space="preserve"> </w:t>
      </w: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 xml:space="preserve">Que la </w:t>
      </w:r>
      <w:r>
        <w:rPr>
          <w:rFonts w:ascii="Bookman Old Style" w:hAnsi="Bookman Old Style" w:cs="Arial"/>
        </w:rPr>
        <w:t>EMPRESA DE ENERGÍA DEL QUINDIO EDEQ</w:t>
      </w:r>
      <w:r w:rsidR="0068734E">
        <w:rPr>
          <w:rFonts w:ascii="Bookman Old Style" w:hAnsi="Bookman Old Style" w:cs="Arial"/>
        </w:rPr>
        <w:t xml:space="preserve"> </w:t>
      </w:r>
      <w:r w:rsidRPr="003301B8">
        <w:rPr>
          <w:rFonts w:ascii="Bookman Old Style" w:hAnsi="Bookman Old Style" w:cs="Arial"/>
        </w:rPr>
        <w:t xml:space="preserve">S.A. E.S.P. fue notificada </w:t>
      </w:r>
      <w:r>
        <w:rPr>
          <w:rFonts w:ascii="Bookman Old Style" w:hAnsi="Bookman Old Style" w:cs="Arial"/>
        </w:rPr>
        <w:t xml:space="preserve">por aviso el día 11 de diciembre de 2017 </w:t>
      </w:r>
      <w:r w:rsidRPr="003301B8">
        <w:rPr>
          <w:rFonts w:ascii="Bookman Old Style" w:hAnsi="Bookman Old Style" w:cs="Arial"/>
        </w:rPr>
        <w:t>del contenido de la resolución CREG-</w:t>
      </w:r>
      <w:r>
        <w:rPr>
          <w:rFonts w:ascii="Bookman Old Style" w:hAnsi="Bookman Old Style" w:cs="Arial"/>
        </w:rPr>
        <w:t>162 de 2017</w:t>
      </w:r>
      <w:r w:rsidR="0068734E">
        <w:rPr>
          <w:rFonts w:ascii="Bookman Old Style" w:hAnsi="Bookman Old Style" w:cs="Arial"/>
        </w:rPr>
        <w:t>, tal y como consta en el radicado de salida S-2017-005743</w:t>
      </w:r>
      <w:r w:rsidRPr="003301B8">
        <w:rPr>
          <w:rFonts w:ascii="Bookman Old Style" w:hAnsi="Bookman Old Style" w:cs="Arial"/>
        </w:rPr>
        <w:t xml:space="preserve">. </w:t>
      </w:r>
    </w:p>
    <w:p w:rsidR="003A16F6" w:rsidRPr="003301B8" w:rsidRDefault="003A16F6" w:rsidP="003A16F6">
      <w:pPr>
        <w:pStyle w:val="Prrafodelista"/>
        <w:rPr>
          <w:rFonts w:ascii="Bookman Old Style" w:hAnsi="Bookman Old Style" w:cs="Arial"/>
          <w:sz w:val="24"/>
          <w:szCs w:val="24"/>
        </w:rPr>
      </w:pPr>
    </w:p>
    <w:p w:rsidR="003A16F6" w:rsidRDefault="003A16F6" w:rsidP="003A16F6">
      <w:pPr>
        <w:ind w:left="0"/>
        <w:jc w:val="both"/>
        <w:rPr>
          <w:rFonts w:ascii="Bookman Old Style" w:hAnsi="Bookman Old Style" w:cs="Arial"/>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ón de Energía y Gas -CREG- bajo radicado número E-2017-0</w:t>
      </w:r>
      <w:r w:rsidR="0068734E">
        <w:rPr>
          <w:rFonts w:ascii="Bookman Old Style" w:hAnsi="Bookman Old Style" w:cs="Arial"/>
        </w:rPr>
        <w:t xml:space="preserve">11747 del 18 de diciembre de 2017., </w:t>
      </w:r>
      <w:r w:rsidRPr="003301B8">
        <w:rPr>
          <w:rFonts w:ascii="Bookman Old Style" w:hAnsi="Bookman Old Style" w:cs="Arial"/>
        </w:rPr>
        <w:t>l</w:t>
      </w:r>
      <w:r w:rsidR="0068734E">
        <w:rPr>
          <w:rFonts w:ascii="Bookman Old Style" w:hAnsi="Bookman Old Style" w:cs="Arial"/>
        </w:rPr>
        <w:t xml:space="preserve">a representante legal de la empresa </w:t>
      </w:r>
      <w:r w:rsidR="0068734E">
        <w:rPr>
          <w:rFonts w:ascii="Bookman Old Style" w:hAnsi="Bookman Old Style" w:cs="Arial"/>
        </w:rPr>
        <w:lastRenderedPageBreak/>
        <w:t>JINNETH MARULANDA ZAPATA</w:t>
      </w:r>
      <w:r w:rsidRPr="003301B8">
        <w:rPr>
          <w:rFonts w:ascii="Bookman Old Style" w:hAnsi="Bookman Old Style" w:cs="Arial"/>
        </w:rPr>
        <w:t xml:space="preserve"> presentó recurso de reposición contra la resolución CREG-</w:t>
      </w:r>
      <w:r>
        <w:rPr>
          <w:rFonts w:ascii="Bookman Old Style" w:hAnsi="Bookman Old Style" w:cs="Arial"/>
        </w:rPr>
        <w:t>162 del 30 de octubre de 2017</w:t>
      </w:r>
      <w:r w:rsidRPr="003301B8">
        <w:rPr>
          <w:rFonts w:ascii="Bookman Old Style" w:hAnsi="Bookman Old Style" w:cs="Arial"/>
        </w:rPr>
        <w:t>.</w:t>
      </w:r>
    </w:p>
    <w:p w:rsidR="00D2619A" w:rsidRPr="0068734E" w:rsidRDefault="00D2619A" w:rsidP="003A16F6">
      <w:pPr>
        <w:ind w:left="0"/>
        <w:jc w:val="both"/>
        <w:rPr>
          <w:rFonts w:ascii="Bookman Old Style" w:hAnsi="Bookman Old Style" w:cs="Arial"/>
        </w:rPr>
      </w:pP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162 de 2017</w:t>
      </w:r>
      <w:r w:rsidRPr="003301B8">
        <w:rPr>
          <w:rFonts w:ascii="Bookman Old Style" w:hAnsi="Bookman Old Style" w:cs="Arial"/>
        </w:rPr>
        <w:t>, con base en las siguientes consideraciones:</w:t>
      </w:r>
    </w:p>
    <w:p w:rsidR="003A16F6" w:rsidRPr="003301B8" w:rsidRDefault="003A16F6" w:rsidP="003A16F6">
      <w:pPr>
        <w:ind w:left="0"/>
        <w:jc w:val="both"/>
        <w:rPr>
          <w:rFonts w:ascii="Bookman Old Style" w:hAnsi="Bookman Old Style" w:cs="Arial"/>
        </w:rPr>
      </w:pPr>
    </w:p>
    <w:p w:rsidR="003A16F6" w:rsidRPr="003301B8" w:rsidRDefault="003A16F6" w:rsidP="003A16F6">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3A16F6" w:rsidRPr="003301B8" w:rsidRDefault="003A16F6" w:rsidP="003A16F6">
      <w:pPr>
        <w:ind w:left="0"/>
        <w:jc w:val="both"/>
        <w:rPr>
          <w:rFonts w:ascii="Bookman Old Style" w:hAnsi="Bookman Old Style" w:cs="Arial"/>
        </w:rPr>
      </w:pPr>
    </w:p>
    <w:p w:rsidR="003A16F6" w:rsidRPr="003301B8" w:rsidRDefault="003A16F6" w:rsidP="003A16F6">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3A16F6" w:rsidRPr="003301B8" w:rsidRDefault="003A16F6" w:rsidP="003A16F6">
      <w:pPr>
        <w:pStyle w:val="Prrafodelista"/>
        <w:ind w:left="720"/>
        <w:rPr>
          <w:rFonts w:ascii="Bookman Old Style" w:hAnsi="Bookman Old Style" w:cs="Arial"/>
          <w:b/>
          <w:sz w:val="24"/>
          <w:szCs w:val="24"/>
        </w:rPr>
      </w:pPr>
    </w:p>
    <w:p w:rsidR="003A16F6" w:rsidRPr="003301B8" w:rsidRDefault="003A16F6" w:rsidP="003A16F6">
      <w:pPr>
        <w:ind w:left="0"/>
        <w:jc w:val="both"/>
        <w:rPr>
          <w:rFonts w:ascii="Bookman Old Style" w:hAnsi="Bookman Old Style" w:cs="Arial"/>
        </w:rPr>
      </w:pPr>
      <w:r w:rsidRPr="003301B8">
        <w:rPr>
          <w:rFonts w:ascii="Bookman Old Style" w:hAnsi="Bookman Old Style" w:cs="Arial"/>
        </w:rPr>
        <w:t xml:space="preserve">El recurrente presentó el recurso de reposición contra el artículo 1 de la resolución </w:t>
      </w:r>
      <w:r>
        <w:rPr>
          <w:rFonts w:ascii="Bookman Old Style" w:hAnsi="Bookman Old Style" w:cs="Arial"/>
        </w:rPr>
        <w:t>162 del 30 de octubre de 2017</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2017</w:t>
      </w:r>
      <w:r w:rsidRPr="003301B8">
        <w:rPr>
          <w:rFonts w:ascii="Bookman Old Style" w:hAnsi="Bookman Old Style" w:cs="Arial"/>
        </w:rPr>
        <w:t>.</w:t>
      </w:r>
    </w:p>
    <w:p w:rsidR="003A16F6" w:rsidRPr="003301B8" w:rsidRDefault="003A16F6" w:rsidP="003A16F6">
      <w:pPr>
        <w:pStyle w:val="Prrafodelista"/>
        <w:ind w:left="0"/>
        <w:jc w:val="both"/>
        <w:rPr>
          <w:rFonts w:ascii="Bookman Old Style" w:hAnsi="Bookman Old Style" w:cs="Arial"/>
          <w:sz w:val="24"/>
          <w:szCs w:val="24"/>
        </w:rPr>
      </w:pPr>
    </w:p>
    <w:p w:rsidR="003A16F6" w:rsidRPr="003301B8" w:rsidRDefault="003A16F6" w:rsidP="003A16F6">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3A16F6" w:rsidRPr="003301B8" w:rsidRDefault="003A16F6" w:rsidP="003A16F6">
      <w:pPr>
        <w:pStyle w:val="Prrafodelista"/>
        <w:ind w:left="0"/>
        <w:jc w:val="both"/>
        <w:rPr>
          <w:rFonts w:ascii="Bookman Old Style" w:hAnsi="Bookman Old Style" w:cs="Arial"/>
          <w:sz w:val="24"/>
          <w:szCs w:val="24"/>
        </w:rPr>
      </w:pPr>
    </w:p>
    <w:p w:rsidR="003A16F6" w:rsidRPr="003301B8" w:rsidRDefault="003A16F6" w:rsidP="003A16F6">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3A16F6" w:rsidRPr="003301B8" w:rsidRDefault="003A16F6" w:rsidP="003A16F6">
      <w:pPr>
        <w:pStyle w:val="Prrafodelista"/>
        <w:ind w:left="0"/>
        <w:jc w:val="both"/>
        <w:rPr>
          <w:rFonts w:ascii="Bookman Old Style" w:hAnsi="Bookman Old Style" w:cs="Arial"/>
          <w:sz w:val="24"/>
          <w:szCs w:val="24"/>
        </w:rPr>
      </w:pPr>
    </w:p>
    <w:p w:rsidR="003A16F6" w:rsidRPr="003301B8" w:rsidRDefault="003A16F6" w:rsidP="003A16F6">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cs="Arial"/>
          <w:i/>
          <w:lang w:val="es-CO"/>
        </w:rPr>
      </w:pPr>
      <w:r w:rsidRPr="003301B8">
        <w:rPr>
          <w:rFonts w:ascii="Bookman Old Style" w:hAnsi="Bookman Old Style" w:cs="Arial"/>
          <w:i/>
          <w:lang w:val="es-CO"/>
        </w:rPr>
        <w:t>Los fundamentos del recurrente se exponen a continuación:</w:t>
      </w:r>
    </w:p>
    <w:p w:rsidR="003A16F6" w:rsidRPr="003301B8" w:rsidRDefault="003A16F6" w:rsidP="003A16F6">
      <w:pPr>
        <w:ind w:left="170"/>
        <w:jc w:val="both"/>
        <w:rPr>
          <w:rFonts w:ascii="Bookman Old Style" w:hAnsi="Bookman Old Style" w:cs="Arial"/>
          <w:i/>
          <w:lang w:val="es-CO"/>
        </w:rPr>
      </w:pPr>
    </w:p>
    <w:p w:rsidR="003A16F6" w:rsidRPr="003301B8" w:rsidRDefault="003A16F6" w:rsidP="003A16F6">
      <w:pPr>
        <w:ind w:left="170"/>
        <w:jc w:val="both"/>
        <w:rPr>
          <w:rFonts w:ascii="Bookman Old Style" w:hAnsi="Bookman Old Style" w:cs="Arial"/>
          <w:i/>
          <w:lang w:val="es-CO"/>
        </w:rPr>
      </w:pPr>
      <w:r w:rsidRPr="003301B8">
        <w:rPr>
          <w:rFonts w:ascii="Bookman Old Style" w:hAnsi="Bookman Old Style" w:cs="Arial"/>
          <w:i/>
          <w:lang w:val="es-CO"/>
        </w:rPr>
        <w:t>Argumenta el recurrente que:</w:t>
      </w:r>
    </w:p>
    <w:p w:rsidR="003A16F6" w:rsidRPr="003301B8" w:rsidRDefault="003A16F6" w:rsidP="003A16F6">
      <w:pPr>
        <w:ind w:left="0"/>
        <w:jc w:val="both"/>
        <w:rPr>
          <w:rFonts w:ascii="Bookman Old Style" w:hAnsi="Bookman Old Style" w:cs="Arial"/>
          <w:i/>
          <w:lang w:val="es-CO"/>
        </w:rPr>
      </w:pPr>
    </w:p>
    <w:p w:rsidR="00200907" w:rsidRPr="00200907" w:rsidRDefault="003A16F6" w:rsidP="00200907">
      <w:pPr>
        <w:pStyle w:val="Style12"/>
        <w:spacing w:after="176" w:line="235"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w:t>
      </w:r>
      <w:r w:rsidR="00200907" w:rsidRPr="00200907">
        <w:rPr>
          <w:rFonts w:ascii="Bookman Old Style" w:eastAsia="Times New Roman" w:hAnsi="Bookman Old Style" w:cs="Times New Roman"/>
          <w:i/>
          <w:sz w:val="24"/>
          <w:szCs w:val="24"/>
          <w:lang w:val="es-ES" w:eastAsia="es-ES"/>
        </w:rPr>
        <w:t>EDEQ presentó ante la Superintendencia de Servicios Públicos Domiciliarios, solicitud de modificación de la información reportada en el Formato Complementario FC01 para realizar una reclasificación del rubro generales, trasladándolo a las cuentas impuesto a las ganancias corrientes</w:t>
      </w:r>
      <w:r w:rsidR="00200907">
        <w:rPr>
          <w:rFonts w:ascii="Bookman Old Style" w:eastAsia="Times New Roman" w:hAnsi="Bookman Old Style" w:cs="Times New Roman"/>
          <w:i/>
          <w:sz w:val="24"/>
          <w:szCs w:val="24"/>
          <w:lang w:val="es-ES" w:eastAsia="es-ES"/>
        </w:rPr>
        <w:t xml:space="preserve"> </w:t>
      </w:r>
      <w:r w:rsidR="00200907" w:rsidRPr="00200907">
        <w:rPr>
          <w:rFonts w:ascii="Bookman Old Style" w:eastAsia="Times New Roman" w:hAnsi="Bookman Old Style" w:cs="Times New Roman"/>
          <w:i/>
          <w:sz w:val="24"/>
          <w:szCs w:val="24"/>
          <w:lang w:val="es-ES" w:eastAsia="es-ES"/>
        </w:rPr>
        <w:t>e</w:t>
      </w:r>
      <w:r w:rsidR="00200907">
        <w:rPr>
          <w:rFonts w:ascii="Bookman Old Style" w:eastAsia="Times New Roman" w:hAnsi="Bookman Old Style" w:cs="Times New Roman"/>
          <w:i/>
          <w:sz w:val="24"/>
          <w:szCs w:val="24"/>
          <w:lang w:val="es-ES" w:eastAsia="es-ES"/>
        </w:rPr>
        <w:t xml:space="preserve"> </w:t>
      </w:r>
      <w:r w:rsidR="00200907" w:rsidRPr="00200907">
        <w:rPr>
          <w:rFonts w:ascii="Bookman Old Style" w:eastAsia="Times New Roman" w:hAnsi="Bookman Old Style" w:cs="Times New Roman"/>
          <w:i/>
          <w:sz w:val="24"/>
          <w:szCs w:val="24"/>
          <w:lang w:val="es-ES" w:eastAsia="es-ES"/>
        </w:rPr>
        <w:t>impuesto</w:t>
      </w:r>
      <w:r w:rsidR="00200907">
        <w:rPr>
          <w:rFonts w:ascii="Bookman Old Style" w:eastAsia="Times New Roman" w:hAnsi="Bookman Old Style" w:cs="Times New Roman"/>
          <w:i/>
          <w:sz w:val="24"/>
          <w:szCs w:val="24"/>
          <w:lang w:val="es-ES" w:eastAsia="es-ES"/>
        </w:rPr>
        <w:t xml:space="preserve">s </w:t>
      </w:r>
      <w:r w:rsidR="00200907" w:rsidRPr="00200907">
        <w:rPr>
          <w:rFonts w:ascii="Bookman Old Style" w:eastAsia="Times New Roman" w:hAnsi="Bookman Old Style" w:cs="Times New Roman"/>
          <w:i/>
          <w:sz w:val="24"/>
          <w:szCs w:val="24"/>
          <w:lang w:val="es-ES" w:eastAsia="es-ES"/>
        </w:rPr>
        <w:t>a</w:t>
      </w:r>
      <w:r w:rsidR="00200907">
        <w:rPr>
          <w:rFonts w:ascii="Bookman Old Style" w:eastAsia="Times New Roman" w:hAnsi="Bookman Old Style" w:cs="Times New Roman"/>
          <w:i/>
          <w:sz w:val="24"/>
          <w:szCs w:val="24"/>
          <w:lang w:val="es-ES" w:eastAsia="es-ES"/>
        </w:rPr>
        <w:t xml:space="preserve"> </w:t>
      </w:r>
      <w:r w:rsidR="00200907" w:rsidRPr="00200907">
        <w:rPr>
          <w:rFonts w:ascii="Bookman Old Style" w:eastAsia="Times New Roman" w:hAnsi="Bookman Old Style" w:cs="Times New Roman"/>
          <w:i/>
          <w:sz w:val="24"/>
          <w:szCs w:val="24"/>
          <w:lang w:val="es-ES" w:eastAsia="es-ES"/>
        </w:rPr>
        <w:t>las ganancias diferido respectivamente,</w:t>
      </w:r>
      <w:r w:rsidR="00200907">
        <w:rPr>
          <w:rFonts w:ascii="Bookman Old Style" w:eastAsia="Times New Roman" w:hAnsi="Bookman Old Style" w:cs="Times New Roman"/>
          <w:i/>
          <w:sz w:val="24"/>
          <w:szCs w:val="24"/>
          <w:lang w:val="es-ES" w:eastAsia="es-ES"/>
        </w:rPr>
        <w:t xml:space="preserve"> </w:t>
      </w:r>
      <w:r w:rsidR="00200907" w:rsidRPr="00200907">
        <w:rPr>
          <w:rFonts w:ascii="Bookman Old Style" w:eastAsia="Times New Roman" w:hAnsi="Bookman Old Style" w:cs="Times New Roman"/>
          <w:i/>
          <w:sz w:val="24"/>
          <w:szCs w:val="24"/>
          <w:lang w:val="es-ES" w:eastAsia="es-ES"/>
        </w:rPr>
        <w:t>mediante oficio 20170430011554 de agosto 28 de 2017.</w:t>
      </w:r>
    </w:p>
    <w:p w:rsidR="00200907" w:rsidRPr="00200907" w:rsidRDefault="00200907" w:rsidP="00200907">
      <w:pPr>
        <w:pStyle w:val="Style12"/>
        <w:spacing w:after="176" w:line="235" w:lineRule="exact"/>
        <w:ind w:left="20" w:right="800"/>
        <w:rPr>
          <w:rFonts w:ascii="Bookman Old Style" w:eastAsia="Times New Roman" w:hAnsi="Bookman Old Style" w:cs="Times New Roman"/>
          <w:i/>
          <w:sz w:val="24"/>
          <w:szCs w:val="24"/>
          <w:lang w:val="es-ES" w:eastAsia="es-ES"/>
        </w:rPr>
      </w:pPr>
      <w:r w:rsidRPr="00200907">
        <w:rPr>
          <w:rFonts w:ascii="Bookman Old Style" w:eastAsia="Times New Roman" w:hAnsi="Bookman Old Style" w:cs="Times New Roman"/>
          <w:i/>
          <w:sz w:val="24"/>
          <w:szCs w:val="24"/>
          <w:lang w:val="es-ES" w:eastAsia="es-ES"/>
        </w:rPr>
        <w:t>La solicitud de modificación se presentó, porque en la información reportada inicialmente por EDEQ en el Formato Complementario 01 (FC01), se realizó una mala asignación en el rubro generales,</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dado que allí se contempló el impuesto</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a</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las ganancias corrientes</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y</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el impuesto</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a</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las ganancias diferido.</w:t>
      </w:r>
    </w:p>
    <w:p w:rsidR="00200907" w:rsidRPr="00200907" w:rsidRDefault="00200907" w:rsidP="00200907">
      <w:pPr>
        <w:pStyle w:val="Style12"/>
        <w:spacing w:after="176" w:line="235" w:lineRule="exact"/>
        <w:ind w:left="20" w:right="800"/>
        <w:rPr>
          <w:rFonts w:ascii="Bookman Old Style" w:eastAsia="Times New Roman" w:hAnsi="Bookman Old Style" w:cs="Times New Roman"/>
          <w:i/>
          <w:sz w:val="24"/>
          <w:szCs w:val="24"/>
          <w:lang w:val="es-ES" w:eastAsia="es-ES"/>
        </w:rPr>
      </w:pPr>
      <w:r w:rsidRPr="00200907">
        <w:rPr>
          <w:rFonts w:ascii="Bookman Old Style" w:eastAsia="Times New Roman" w:hAnsi="Bookman Old Style" w:cs="Times New Roman"/>
          <w:i/>
          <w:sz w:val="24"/>
          <w:szCs w:val="24"/>
          <w:lang w:val="es-ES" w:eastAsia="es-ES"/>
        </w:rPr>
        <w:t>La información reportada al SUI,</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debe ser igual</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a</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la consignada en los estados financieros auditados por Revisoría Fiscal</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y</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aprobados por la Asamblea General de Accionistas de EDEQ</w:t>
      </w:r>
    </w:p>
    <w:p w:rsidR="003A16F6" w:rsidRDefault="00200907" w:rsidP="00200907">
      <w:pPr>
        <w:pStyle w:val="Style12"/>
        <w:shd w:val="clear" w:color="auto" w:fill="auto"/>
        <w:spacing w:after="176" w:line="235" w:lineRule="exact"/>
        <w:ind w:left="20" w:right="800"/>
        <w:rPr>
          <w:rFonts w:ascii="Bookman Old Style" w:eastAsia="Times New Roman" w:hAnsi="Bookman Old Style"/>
          <w:i/>
          <w:sz w:val="24"/>
          <w:szCs w:val="24"/>
          <w:lang w:eastAsia="es-ES"/>
        </w:rPr>
      </w:pPr>
      <w:r w:rsidRPr="00200907">
        <w:rPr>
          <w:rFonts w:ascii="Bookman Old Style" w:eastAsia="Times New Roman" w:hAnsi="Bookman Old Style" w:cs="Times New Roman"/>
          <w:i/>
          <w:sz w:val="24"/>
          <w:szCs w:val="24"/>
          <w:lang w:val="es-ES" w:eastAsia="es-ES"/>
        </w:rPr>
        <w:t>Para que la información que se encuentra reportada e</w:t>
      </w:r>
      <w:r>
        <w:rPr>
          <w:rFonts w:ascii="Bookman Old Style" w:eastAsia="Times New Roman" w:hAnsi="Bookman Old Style" w:cs="Times New Roman"/>
          <w:i/>
          <w:sz w:val="24"/>
          <w:szCs w:val="24"/>
          <w:lang w:val="es-ES" w:eastAsia="es-ES"/>
        </w:rPr>
        <w:t>n el S</w:t>
      </w:r>
      <w:r w:rsidRPr="00200907">
        <w:rPr>
          <w:rFonts w:ascii="Bookman Old Style" w:eastAsia="Times New Roman" w:hAnsi="Bookman Old Style" w:cs="Times New Roman"/>
          <w:i/>
          <w:sz w:val="24"/>
          <w:szCs w:val="24"/>
          <w:lang w:val="es-ES" w:eastAsia="es-ES"/>
        </w:rPr>
        <w:t>UI sea consistente con los estados financieros auditados por la Revisoría Fiscal</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y</w:t>
      </w:r>
      <w:r>
        <w:rPr>
          <w:rFonts w:ascii="Bookman Old Style" w:eastAsia="Times New Roman" w:hAnsi="Bookman Old Style" w:cs="Times New Roman"/>
          <w:i/>
          <w:sz w:val="24"/>
          <w:szCs w:val="24"/>
          <w:lang w:val="es-ES" w:eastAsia="es-ES"/>
        </w:rPr>
        <w:t xml:space="preserve"> </w:t>
      </w:r>
      <w:r w:rsidRPr="00200907">
        <w:rPr>
          <w:rFonts w:ascii="Bookman Old Style" w:eastAsia="Times New Roman" w:hAnsi="Bookman Old Style" w:cs="Times New Roman"/>
          <w:i/>
          <w:sz w:val="24"/>
          <w:szCs w:val="24"/>
          <w:lang w:val="es-ES" w:eastAsia="es-ES"/>
        </w:rPr>
        <w:t>aprobados por la Asamblea General de Accionis</w:t>
      </w:r>
      <w:r>
        <w:rPr>
          <w:rFonts w:ascii="Bookman Old Style" w:eastAsia="Times New Roman" w:hAnsi="Bookman Old Style" w:cs="Times New Roman"/>
          <w:i/>
          <w:sz w:val="24"/>
          <w:szCs w:val="24"/>
          <w:lang w:val="es-ES" w:eastAsia="es-ES"/>
        </w:rPr>
        <w:t xml:space="preserve">tas de EDEQ se requería </w:t>
      </w:r>
      <w:r>
        <w:rPr>
          <w:rFonts w:ascii="Bookman Old Style" w:eastAsia="Times New Roman" w:hAnsi="Bookman Old Style" w:cs="Times New Roman"/>
          <w:i/>
          <w:sz w:val="24"/>
          <w:szCs w:val="24"/>
          <w:lang w:val="es-ES" w:eastAsia="es-ES"/>
        </w:rPr>
        <w:lastRenderedPageBreak/>
        <w:t>que la Superintendencia de S</w:t>
      </w:r>
      <w:r w:rsidRPr="00200907">
        <w:rPr>
          <w:rFonts w:ascii="Bookman Old Style" w:eastAsia="Times New Roman" w:hAnsi="Bookman Old Style" w:cs="Times New Roman"/>
          <w:i/>
          <w:sz w:val="24"/>
          <w:szCs w:val="24"/>
          <w:lang w:val="es-ES" w:eastAsia="es-ES"/>
        </w:rPr>
        <w:t>ervicios Públicos autorizara la modificación solicitada</w:t>
      </w:r>
    </w:p>
    <w:p w:rsidR="003A16F6" w:rsidRPr="003301B8" w:rsidRDefault="003A16F6" w:rsidP="003A16F6">
      <w:pPr>
        <w:ind w:left="0"/>
        <w:jc w:val="both"/>
        <w:rPr>
          <w:rFonts w:ascii="Bookman Old Style" w:hAnsi="Bookman Old Style"/>
        </w:rPr>
      </w:pPr>
    </w:p>
    <w:p w:rsidR="003A16F6" w:rsidRPr="003301B8" w:rsidRDefault="003A16F6" w:rsidP="003A16F6">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rPr>
      </w:pPr>
      <w:r w:rsidRPr="003301B8">
        <w:rPr>
          <w:rFonts w:ascii="Bookman Old Style" w:hAnsi="Bookman Old Style"/>
        </w:rPr>
        <w:t>De acuerdo con los argumentos del recurrente, estos se circunscriben a un aspecto fundamental:</w:t>
      </w:r>
    </w:p>
    <w:p w:rsidR="003A16F6" w:rsidRPr="003301B8" w:rsidRDefault="003A16F6" w:rsidP="003A16F6">
      <w:pPr>
        <w:ind w:left="0"/>
        <w:jc w:val="both"/>
        <w:rPr>
          <w:rFonts w:ascii="Bookman Old Style" w:hAnsi="Bookman Old Style"/>
        </w:rPr>
      </w:pPr>
    </w:p>
    <w:p w:rsidR="00200907" w:rsidRPr="00200907" w:rsidRDefault="00200907" w:rsidP="00200907">
      <w:pPr>
        <w:ind w:left="0"/>
        <w:jc w:val="both"/>
        <w:rPr>
          <w:rFonts w:ascii="Bookman Old Style" w:hAnsi="Bookman Old Style"/>
          <w:i/>
        </w:rPr>
      </w:pPr>
      <w:r w:rsidRPr="00200907">
        <w:rPr>
          <w:rFonts w:ascii="Bookman Old Style" w:hAnsi="Bookman Old Style"/>
          <w:i/>
        </w:rPr>
        <w:t xml:space="preserve">Por lo anterior, se solicita a la Comisión de Regulación de Energía y Gas que se modifique la resolución 162 de 30 de octubre de 2017 liquidando la contribución del año 2017 a cargo de EDEQ con base en la siguiente información; </w:t>
      </w:r>
    </w:p>
    <w:p w:rsidR="00200907" w:rsidRPr="00200907" w:rsidRDefault="00200907" w:rsidP="00200907">
      <w:pPr>
        <w:ind w:left="0"/>
        <w:jc w:val="both"/>
        <w:rPr>
          <w:rFonts w:ascii="Bookman Old Style" w:hAnsi="Bookman Old Style"/>
          <w:i/>
        </w:rPr>
      </w:pPr>
    </w:p>
    <w:tbl>
      <w:tblPr>
        <w:tblW w:w="5840" w:type="dxa"/>
        <w:jc w:val="center"/>
        <w:tblCellMar>
          <w:left w:w="70" w:type="dxa"/>
          <w:right w:w="70" w:type="dxa"/>
        </w:tblCellMar>
        <w:tblLook w:val="04A0" w:firstRow="1" w:lastRow="0" w:firstColumn="1" w:lastColumn="0" w:noHBand="0" w:noVBand="1"/>
      </w:tblPr>
      <w:tblGrid>
        <w:gridCol w:w="2580"/>
        <w:gridCol w:w="1200"/>
        <w:gridCol w:w="2060"/>
      </w:tblGrid>
      <w:tr w:rsidR="00200907" w:rsidRPr="00200907" w:rsidTr="00200907">
        <w:trPr>
          <w:trHeight w:hRule="exact" w:val="300"/>
          <w:jc w:val="center"/>
        </w:trPr>
        <w:tc>
          <w:tcPr>
            <w:tcW w:w="2580" w:type="dxa"/>
            <w:tcBorders>
              <w:top w:val="single" w:sz="8" w:space="0" w:color="auto"/>
              <w:left w:val="single" w:sz="8" w:space="0" w:color="auto"/>
              <w:bottom w:val="nil"/>
              <w:right w:val="nil"/>
            </w:tcBorders>
            <w:shd w:val="clear" w:color="000000" w:fill="FFFFFF"/>
            <w:vAlign w:val="center"/>
            <w:hideMark/>
          </w:tcPr>
          <w:p w:rsidR="00200907" w:rsidRPr="00200907" w:rsidRDefault="00200907" w:rsidP="00200907">
            <w:pPr>
              <w:ind w:left="0"/>
              <w:jc w:val="center"/>
              <w:rPr>
                <w:rFonts w:ascii="Arial" w:hAnsi="Arial" w:cs="Arial"/>
                <w:b/>
                <w:bCs/>
                <w:i/>
                <w:color w:val="000000"/>
                <w:sz w:val="18"/>
                <w:szCs w:val="18"/>
                <w:lang w:val="es-CO" w:eastAsia="es-CO"/>
              </w:rPr>
            </w:pPr>
            <w:r w:rsidRPr="00200907">
              <w:rPr>
                <w:rFonts w:ascii="Arial" w:hAnsi="Arial" w:cs="Arial"/>
                <w:b/>
                <w:bCs/>
                <w:i/>
                <w:color w:val="000000"/>
                <w:sz w:val="18"/>
                <w:szCs w:val="18"/>
                <w:lang w:val="en-US" w:eastAsia="en-US"/>
              </w:rPr>
              <w:t>BASE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00907" w:rsidRPr="00200907" w:rsidRDefault="00200907" w:rsidP="00200907">
            <w:pPr>
              <w:ind w:left="0"/>
              <w:jc w:val="center"/>
              <w:rPr>
                <w:rFonts w:ascii="Arial" w:hAnsi="Arial" w:cs="Arial"/>
                <w:b/>
                <w:bCs/>
                <w:i/>
                <w:color w:val="000000"/>
                <w:sz w:val="18"/>
                <w:szCs w:val="18"/>
                <w:lang w:val="es-CO" w:eastAsia="es-CO"/>
              </w:rPr>
            </w:pPr>
            <w:r w:rsidRPr="00200907">
              <w:rPr>
                <w:rFonts w:ascii="Arial" w:hAnsi="Arial" w:cs="Arial"/>
                <w:b/>
                <w:bCs/>
                <w:i/>
                <w:color w:val="000000"/>
                <w:sz w:val="18"/>
                <w:szCs w:val="18"/>
                <w:lang w:val="es-CO" w:eastAsia="es-ES_tradnl"/>
              </w:rPr>
              <w:t>TARIFA</w:t>
            </w:r>
          </w:p>
        </w:tc>
        <w:tc>
          <w:tcPr>
            <w:tcW w:w="20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00907" w:rsidRPr="00200907" w:rsidRDefault="00200907" w:rsidP="00200907">
            <w:pPr>
              <w:ind w:left="0"/>
              <w:jc w:val="center"/>
              <w:rPr>
                <w:rFonts w:ascii="Arial" w:hAnsi="Arial" w:cs="Arial"/>
                <w:b/>
                <w:bCs/>
                <w:i/>
                <w:color w:val="000000"/>
                <w:sz w:val="18"/>
                <w:szCs w:val="18"/>
                <w:lang w:val="es-CO" w:eastAsia="es-CO"/>
              </w:rPr>
            </w:pPr>
            <w:r w:rsidRPr="00200907">
              <w:rPr>
                <w:rFonts w:ascii="Arial" w:hAnsi="Arial" w:cs="Arial"/>
                <w:b/>
                <w:bCs/>
                <w:i/>
                <w:color w:val="000000"/>
                <w:sz w:val="18"/>
                <w:szCs w:val="18"/>
                <w:lang w:val="es-CO" w:eastAsia="es-ES_tradnl"/>
              </w:rPr>
              <w:t>CONTRIBUCIÓN</w:t>
            </w:r>
          </w:p>
        </w:tc>
      </w:tr>
      <w:tr w:rsidR="00200907" w:rsidRPr="00200907" w:rsidTr="00200907">
        <w:trPr>
          <w:trHeight w:val="315"/>
          <w:jc w:val="center"/>
        </w:trPr>
        <w:tc>
          <w:tcPr>
            <w:tcW w:w="2580" w:type="dxa"/>
            <w:tcBorders>
              <w:top w:val="nil"/>
              <w:left w:val="single" w:sz="8" w:space="0" w:color="auto"/>
              <w:bottom w:val="nil"/>
              <w:right w:val="nil"/>
            </w:tcBorders>
            <w:shd w:val="clear" w:color="000000" w:fill="FFFFFF"/>
            <w:vAlign w:val="center"/>
            <w:hideMark/>
          </w:tcPr>
          <w:p w:rsidR="00200907" w:rsidRPr="00200907" w:rsidRDefault="00200907" w:rsidP="00200907">
            <w:pPr>
              <w:ind w:left="0"/>
              <w:jc w:val="center"/>
              <w:rPr>
                <w:rFonts w:ascii="Arial" w:hAnsi="Arial" w:cs="Arial"/>
                <w:b/>
                <w:bCs/>
                <w:i/>
                <w:color w:val="000000"/>
                <w:sz w:val="18"/>
                <w:szCs w:val="18"/>
                <w:lang w:val="es-CO" w:eastAsia="es-CO"/>
              </w:rPr>
            </w:pPr>
            <w:r w:rsidRPr="00200907">
              <w:rPr>
                <w:rFonts w:ascii="Arial" w:hAnsi="Arial" w:cs="Arial"/>
                <w:b/>
                <w:bCs/>
                <w:i/>
                <w:color w:val="000000"/>
                <w:sz w:val="18"/>
                <w:szCs w:val="18"/>
                <w:lang w:val="es-CO" w:eastAsia="es-ES_tradnl"/>
              </w:rPr>
              <w:t>CONTRIBUCIÓN</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200907" w:rsidRPr="00200907" w:rsidRDefault="00200907" w:rsidP="00200907">
            <w:pPr>
              <w:ind w:left="0"/>
              <w:rPr>
                <w:rFonts w:ascii="Arial" w:hAnsi="Arial" w:cs="Arial"/>
                <w:b/>
                <w:bCs/>
                <w:i/>
                <w:color w:val="000000"/>
                <w:sz w:val="18"/>
                <w:szCs w:val="18"/>
                <w:lang w:val="es-CO" w:eastAsia="es-CO"/>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200907" w:rsidRPr="00200907" w:rsidRDefault="00200907" w:rsidP="00200907">
            <w:pPr>
              <w:ind w:left="0"/>
              <w:rPr>
                <w:rFonts w:ascii="Arial" w:hAnsi="Arial" w:cs="Arial"/>
                <w:b/>
                <w:bCs/>
                <w:i/>
                <w:color w:val="000000"/>
                <w:sz w:val="18"/>
                <w:szCs w:val="18"/>
                <w:lang w:val="es-CO" w:eastAsia="es-CO"/>
              </w:rPr>
            </w:pPr>
          </w:p>
        </w:tc>
      </w:tr>
      <w:tr w:rsidR="00200907" w:rsidRPr="00200907" w:rsidTr="00200907">
        <w:trPr>
          <w:trHeight w:hRule="exact" w:val="315"/>
          <w:jc w:val="center"/>
        </w:trPr>
        <w:tc>
          <w:tcPr>
            <w:tcW w:w="2580" w:type="dxa"/>
            <w:tcBorders>
              <w:top w:val="single" w:sz="8" w:space="0" w:color="auto"/>
              <w:left w:val="single" w:sz="8" w:space="0" w:color="auto"/>
              <w:bottom w:val="single" w:sz="8" w:space="0" w:color="auto"/>
              <w:right w:val="nil"/>
            </w:tcBorders>
            <w:shd w:val="clear" w:color="000000" w:fill="FFFFFF"/>
            <w:vAlign w:val="center"/>
            <w:hideMark/>
          </w:tcPr>
          <w:p w:rsidR="00200907" w:rsidRPr="00200907" w:rsidRDefault="00200907" w:rsidP="00200907">
            <w:pPr>
              <w:ind w:left="0"/>
              <w:jc w:val="center"/>
              <w:rPr>
                <w:rFonts w:ascii="Arial" w:hAnsi="Arial" w:cs="Arial"/>
                <w:i/>
                <w:color w:val="000000"/>
                <w:sz w:val="18"/>
                <w:szCs w:val="18"/>
                <w:lang w:val="es-CO" w:eastAsia="es-CO"/>
              </w:rPr>
            </w:pPr>
            <w:r w:rsidRPr="00200907">
              <w:rPr>
                <w:rFonts w:ascii="Arial" w:hAnsi="Arial" w:cs="Arial"/>
                <w:i/>
                <w:color w:val="000000"/>
                <w:sz w:val="18"/>
                <w:szCs w:val="18"/>
                <w:lang w:val="en-US" w:eastAsia="en-US"/>
              </w:rPr>
              <w:t>14.272.010.551</w:t>
            </w:r>
          </w:p>
        </w:tc>
        <w:tc>
          <w:tcPr>
            <w:tcW w:w="1200" w:type="dxa"/>
            <w:tcBorders>
              <w:top w:val="nil"/>
              <w:left w:val="single" w:sz="8" w:space="0" w:color="auto"/>
              <w:bottom w:val="single" w:sz="8" w:space="0" w:color="auto"/>
              <w:right w:val="nil"/>
            </w:tcBorders>
            <w:shd w:val="clear" w:color="000000" w:fill="FFFFFF"/>
            <w:vAlign w:val="center"/>
            <w:hideMark/>
          </w:tcPr>
          <w:p w:rsidR="00200907" w:rsidRPr="00200907" w:rsidRDefault="00200907" w:rsidP="00200907">
            <w:pPr>
              <w:ind w:left="0"/>
              <w:jc w:val="center"/>
              <w:rPr>
                <w:rFonts w:ascii="Arial" w:hAnsi="Arial" w:cs="Arial"/>
                <w:i/>
                <w:color w:val="000000"/>
                <w:sz w:val="18"/>
                <w:szCs w:val="18"/>
                <w:lang w:val="es-CO" w:eastAsia="es-CO"/>
              </w:rPr>
            </w:pPr>
            <w:r w:rsidRPr="00200907">
              <w:rPr>
                <w:rFonts w:ascii="Arial" w:hAnsi="Arial" w:cs="Arial"/>
                <w:i/>
                <w:color w:val="000000"/>
                <w:sz w:val="18"/>
                <w:szCs w:val="18"/>
                <w:lang w:val="es-CO" w:eastAsia="es-ES_tradnl"/>
              </w:rPr>
              <w:t>0,99</w:t>
            </w:r>
            <w:r w:rsidR="006E67AA">
              <w:rPr>
                <w:rFonts w:ascii="Arial" w:hAnsi="Arial" w:cs="Arial"/>
                <w:i/>
                <w:color w:val="000000"/>
                <w:sz w:val="18"/>
                <w:szCs w:val="18"/>
                <w:lang w:val="es-CO" w:eastAsia="es-ES_tradnl"/>
              </w:rPr>
              <w:t>4</w:t>
            </w:r>
            <w:r w:rsidRPr="00200907">
              <w:rPr>
                <w:rFonts w:ascii="Arial" w:hAnsi="Arial" w:cs="Arial"/>
                <w:i/>
                <w:color w:val="000000"/>
                <w:sz w:val="18"/>
                <w:szCs w:val="18"/>
                <w:lang w:val="es-CO" w:eastAsia="es-ES_tradnl"/>
              </w:rPr>
              <w:t>%</w:t>
            </w:r>
          </w:p>
        </w:tc>
        <w:tc>
          <w:tcPr>
            <w:tcW w:w="2060" w:type="dxa"/>
            <w:tcBorders>
              <w:top w:val="nil"/>
              <w:left w:val="single" w:sz="8" w:space="0" w:color="auto"/>
              <w:bottom w:val="single" w:sz="8" w:space="0" w:color="auto"/>
              <w:right w:val="single" w:sz="8" w:space="0" w:color="auto"/>
            </w:tcBorders>
            <w:shd w:val="clear" w:color="000000" w:fill="FFFFFF"/>
            <w:vAlign w:val="center"/>
            <w:hideMark/>
          </w:tcPr>
          <w:p w:rsidR="00200907" w:rsidRPr="00200907" w:rsidRDefault="00200907" w:rsidP="00200907">
            <w:pPr>
              <w:ind w:left="0"/>
              <w:jc w:val="center"/>
              <w:rPr>
                <w:rFonts w:ascii="Arial" w:hAnsi="Arial" w:cs="Arial"/>
                <w:i/>
                <w:color w:val="000000"/>
                <w:sz w:val="18"/>
                <w:szCs w:val="18"/>
                <w:lang w:val="es-CO" w:eastAsia="es-CO"/>
              </w:rPr>
            </w:pPr>
            <w:r w:rsidRPr="00200907">
              <w:rPr>
                <w:rFonts w:ascii="Arial" w:hAnsi="Arial" w:cs="Arial"/>
                <w:i/>
                <w:color w:val="000000"/>
                <w:sz w:val="18"/>
                <w:szCs w:val="18"/>
                <w:lang w:val="es-CO" w:eastAsia="es-ES_tradnl"/>
              </w:rPr>
              <w:t>141.863.785</w:t>
            </w:r>
          </w:p>
        </w:tc>
      </w:tr>
    </w:tbl>
    <w:p w:rsidR="00200907" w:rsidRPr="00200907" w:rsidRDefault="00200907" w:rsidP="00200907">
      <w:pPr>
        <w:ind w:left="0"/>
        <w:jc w:val="both"/>
        <w:rPr>
          <w:rFonts w:ascii="Bookman Old Style" w:hAnsi="Bookman Old Style"/>
          <w:i/>
        </w:rPr>
      </w:pPr>
      <w:r w:rsidRPr="00200907">
        <w:rPr>
          <w:rFonts w:ascii="Bookman Old Style" w:hAnsi="Bookman Old Style"/>
          <w:i/>
        </w:rPr>
        <w:t xml:space="preserve"> </w:t>
      </w:r>
    </w:p>
    <w:p w:rsidR="003A16F6" w:rsidRPr="003301B8" w:rsidRDefault="003A16F6" w:rsidP="003A16F6">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 –CREG efectuará un análisis acerca de los requisitos de la contribución.</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3A16F6" w:rsidRPr="003301B8" w:rsidRDefault="003A16F6" w:rsidP="003A16F6">
      <w:pPr>
        <w:ind w:left="0"/>
        <w:jc w:val="both"/>
        <w:rPr>
          <w:rFonts w:ascii="Bookman Old Style" w:hAnsi="Bookman Old Style"/>
        </w:rPr>
      </w:pPr>
    </w:p>
    <w:p w:rsidR="003A16F6" w:rsidRPr="003301B8" w:rsidRDefault="003A16F6" w:rsidP="003A16F6">
      <w:pPr>
        <w:ind w:left="0"/>
        <w:jc w:val="both"/>
        <w:rPr>
          <w:rFonts w:ascii="Bookman Old Style" w:hAnsi="Bookman Old Style" w:cs="Arial"/>
          <w:bCs/>
        </w:rPr>
      </w:pPr>
      <w:r w:rsidRPr="003301B8">
        <w:rPr>
          <w:rFonts w:ascii="Bookman Old Style" w:hAnsi="Bookman Old Style" w:cs="Arial"/>
          <w:bCs/>
        </w:rPr>
        <w:t xml:space="preserve">La Comisión de Regulación de Energía y Gas- CREG-, para llevar a cabo la contribución especial se fundamentó en la información del Registro Único de Prestadores de Servicios Públicos –RUPS, encontrando que las </w:t>
      </w:r>
      <w:r>
        <w:rPr>
          <w:rFonts w:ascii="Bookman Old Style" w:hAnsi="Bookman Old Style" w:cs="Arial"/>
        </w:rPr>
        <w:t>EMPRESA DE ENERGÍA DEL QUINDIO EDEQ</w:t>
      </w:r>
      <w:r w:rsidR="00200907">
        <w:rPr>
          <w:rFonts w:ascii="Bookman Old Style" w:hAnsi="Bookman Old Style" w:cs="Arial"/>
        </w:rPr>
        <w:t xml:space="preserve"> </w:t>
      </w:r>
      <w:r w:rsidRPr="003301B8">
        <w:rPr>
          <w:rFonts w:ascii="Bookman Old Style" w:hAnsi="Bookman Old Style"/>
          <w:bCs/>
        </w:rPr>
        <w:t>S.A. E.S.P., desarrolla actividades objeto de regulación.</w:t>
      </w:r>
    </w:p>
    <w:p w:rsidR="003A16F6" w:rsidRPr="003301B8" w:rsidRDefault="003A16F6" w:rsidP="003A16F6">
      <w:pPr>
        <w:pStyle w:val="NormalWeb"/>
        <w:spacing w:before="0" w:beforeAutospacing="0" w:after="0" w:afterAutospacing="0"/>
        <w:jc w:val="both"/>
        <w:rPr>
          <w:rFonts w:ascii="Bookman Old Style" w:hAnsi="Bookman Old Style" w:cs="Arial"/>
          <w:bCs/>
          <w:lang w:val="es-MX"/>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lastRenderedPageBreak/>
        <w:t>Igualmente es importante señalar lo siguiente:</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3A16F6" w:rsidRPr="003301B8" w:rsidRDefault="003A16F6" w:rsidP="003A16F6">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ind w:left="0"/>
        <w:jc w:val="both"/>
        <w:rPr>
          <w:rFonts w:ascii="Bookman Old Style" w:hAnsi="Bookman Old Style" w:cs="Arial"/>
          <w:lang w:eastAsia="es-CO"/>
        </w:rPr>
      </w:pPr>
      <w:r w:rsidRPr="003301B8">
        <w:rPr>
          <w:rFonts w:ascii="Bookman Old Style" w:hAnsi="Bookman Old Style" w:cs="Arial"/>
          <w:bCs/>
          <w:lang w:val="es-CO" w:eastAsia="es-CO"/>
        </w:rPr>
        <w:t>De acuerdo con la Teoría General del</w:t>
      </w:r>
      <w:r w:rsidRPr="003301B8">
        <w:rPr>
          <w:rFonts w:ascii="Bookman Old Style" w:hAnsi="Bookman Old Style" w:cs="Arial"/>
          <w:bCs/>
          <w:lang w:eastAsia="es-CO"/>
        </w:rPr>
        <w:t xml:space="preserve"> Acto Administrativo, e</w:t>
      </w:r>
      <w:r w:rsidRPr="003301B8">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3A16F6" w:rsidRPr="003301B8" w:rsidRDefault="003A16F6" w:rsidP="003A16F6">
      <w:pPr>
        <w:ind w:left="0"/>
        <w:jc w:val="both"/>
        <w:rPr>
          <w:rFonts w:ascii="Bookman Old Style" w:hAnsi="Bookman Old Style" w:cs="Arial"/>
          <w:lang w:eastAsia="es-CO"/>
        </w:rPr>
      </w:pPr>
    </w:p>
    <w:p w:rsidR="003A16F6" w:rsidRDefault="003A16F6" w:rsidP="00D2619A">
      <w:pPr>
        <w:ind w:left="0"/>
        <w:jc w:val="both"/>
        <w:rPr>
          <w:rFonts w:ascii="Bookman Old Style" w:hAnsi="Bookman Old Style" w:cs="Arial"/>
          <w:lang w:eastAsia="es-CO"/>
        </w:rPr>
      </w:pPr>
      <w:r w:rsidRPr="003301B8">
        <w:rPr>
          <w:rFonts w:ascii="Bookman Old Style" w:hAnsi="Bookman Old Style" w:cs="Arial"/>
          <w:lang w:eastAsia="es-CO"/>
        </w:rPr>
        <w:t>Dentro de la clasificación de los actos administrativos pueden ser de carácter general o de carácter particular y concreto así:</w:t>
      </w:r>
    </w:p>
    <w:p w:rsidR="00D2619A" w:rsidRPr="003301B8" w:rsidRDefault="00D2619A" w:rsidP="00D2619A">
      <w:pPr>
        <w:ind w:left="0"/>
        <w:jc w:val="both"/>
        <w:rPr>
          <w:rFonts w:ascii="Bookman Old Style" w:hAnsi="Bookman Old Style" w:cs="Arial"/>
          <w:lang w:eastAsia="es-CO"/>
        </w:rPr>
      </w:pPr>
    </w:p>
    <w:p w:rsidR="003A16F6" w:rsidRDefault="003A16F6" w:rsidP="00D2619A">
      <w:pPr>
        <w:ind w:left="0"/>
        <w:jc w:val="both"/>
        <w:rPr>
          <w:rFonts w:ascii="Bookman Old Style" w:hAnsi="Bookman Old Style" w:cs="Arial"/>
          <w:lang w:eastAsia="es-CO"/>
        </w:rPr>
      </w:pPr>
      <w:r w:rsidRPr="003301B8">
        <w:rPr>
          <w:rFonts w:ascii="Bookman Old Style" w:hAnsi="Bookman Old Style" w:cs="Arial"/>
          <w:iCs/>
          <w:lang w:eastAsia="es-CO"/>
        </w:rPr>
        <w:t>Son actos administrativos de carácter general</w:t>
      </w:r>
      <w:r w:rsidRPr="003301B8">
        <w:rPr>
          <w:rFonts w:ascii="Bookman Old Style" w:hAnsi="Bookman Old Style" w:cs="Arial"/>
          <w:lang w:eastAsia="es-CO"/>
        </w:rPr>
        <w:t xml:space="preserve"> los que recaen sobre un grupo general o indeterminado de personas, o cuando el texto del Acto Administrativo no especifica a quien va dirigido. </w:t>
      </w:r>
    </w:p>
    <w:p w:rsidR="00D2619A" w:rsidRPr="003301B8" w:rsidRDefault="00D2619A" w:rsidP="00D2619A">
      <w:pPr>
        <w:ind w:left="0"/>
        <w:jc w:val="both"/>
        <w:rPr>
          <w:rFonts w:ascii="Bookman Old Style" w:hAnsi="Bookman Old Style" w:cs="Arial"/>
          <w:lang w:eastAsia="es-CO"/>
        </w:rPr>
      </w:pPr>
    </w:p>
    <w:p w:rsidR="003A16F6" w:rsidRPr="003301B8" w:rsidRDefault="003A16F6" w:rsidP="00D2619A">
      <w:pPr>
        <w:pStyle w:val="Prrafodelista"/>
        <w:ind w:left="0"/>
        <w:jc w:val="both"/>
        <w:rPr>
          <w:rFonts w:ascii="Bookman Old Style" w:hAnsi="Bookman Old Style"/>
          <w:sz w:val="24"/>
          <w:szCs w:val="24"/>
        </w:rPr>
      </w:pPr>
      <w:r w:rsidRPr="003301B8">
        <w:rPr>
          <w:rFonts w:ascii="Bookman Old Style" w:hAnsi="Bookman Old Style" w:cs="Arial"/>
          <w:bCs/>
          <w:sz w:val="24"/>
          <w:szCs w:val="24"/>
          <w:lang w:eastAsia="es-CO"/>
        </w:rPr>
        <w:t>Son Actos Administrativos de carácter particular y concreto los que recaen sobre un sujeto</w:t>
      </w:r>
      <w:r w:rsidRPr="003301B8">
        <w:rPr>
          <w:rFonts w:ascii="Bookman Old Style" w:hAnsi="Bookman Old Style" w:cs="Arial"/>
          <w:b/>
          <w:bCs/>
          <w:sz w:val="24"/>
          <w:szCs w:val="24"/>
          <w:lang w:eastAsia="es-CO"/>
        </w:rPr>
        <w:t xml:space="preserve"> </w:t>
      </w:r>
      <w:r w:rsidRPr="003301B8">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o más personas y conservar las características de un acto administrativo particular, </w:t>
      </w:r>
      <w:r w:rsidRPr="003301B8">
        <w:rPr>
          <w:rFonts w:ascii="Bookman Old Style" w:hAnsi="Bookman Old Style" w:cs="Arial"/>
          <w:bCs/>
          <w:sz w:val="24"/>
          <w:szCs w:val="24"/>
          <w:lang w:eastAsia="es-CO"/>
        </w:rPr>
        <w:t>por citar un ejemplo, esto puede suceder c</w:t>
      </w:r>
      <w:r w:rsidRPr="003301B8">
        <w:rPr>
          <w:rFonts w:ascii="Bookman Old Style" w:hAnsi="Bookman Old Style" w:cs="Arial"/>
          <w:sz w:val="24"/>
          <w:szCs w:val="24"/>
          <w:lang w:eastAsia="es-CO"/>
        </w:rPr>
        <w:t>uando se otorga una pensión a una persona, o cuando se les da a más de una persona.</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lastRenderedPageBreak/>
        <w:t>Por lo tanto, siempre que los afectados por el acto estén nominalmente identificados, individualizados, el acto es particular independientemente del número de personas afectadas. Sobre éste punto el Honorable Consejo de Estado ha expuesto:</w:t>
      </w:r>
    </w:p>
    <w:p w:rsidR="003A16F6" w:rsidRPr="001C78BF" w:rsidRDefault="003A16F6" w:rsidP="003A16F6">
      <w:pPr>
        <w:pStyle w:val="Prrafodelista"/>
        <w:ind w:left="0"/>
        <w:jc w:val="both"/>
        <w:rPr>
          <w:rFonts w:ascii="Bookman Old Style" w:hAnsi="Bookman Old Style"/>
          <w:szCs w:val="24"/>
        </w:rPr>
      </w:pPr>
    </w:p>
    <w:p w:rsidR="003A16F6" w:rsidRPr="003301B8" w:rsidRDefault="003A16F6" w:rsidP="003A16F6">
      <w:pPr>
        <w:pStyle w:val="Prrafodelista"/>
        <w:ind w:left="0" w:right="142"/>
        <w:jc w:val="both"/>
        <w:rPr>
          <w:rFonts w:ascii="Bookman Old Style" w:hAnsi="Bookman Old Style"/>
          <w:i/>
          <w:sz w:val="24"/>
          <w:szCs w:val="24"/>
        </w:rPr>
      </w:pPr>
      <w:r w:rsidRPr="003301B8">
        <w:rPr>
          <w:rFonts w:ascii="Bookman Old Style" w:hAnsi="Bookman Old Style"/>
          <w:i/>
          <w:sz w:val="24"/>
          <w:szCs w:val="24"/>
        </w:rPr>
        <w:t>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3301B8">
        <w:rPr>
          <w:rStyle w:val="Refdenotaalpie"/>
          <w:rFonts w:ascii="Bookman Old Style" w:hAnsi="Bookman Old Style"/>
          <w:i/>
          <w:sz w:val="24"/>
          <w:szCs w:val="24"/>
        </w:rPr>
        <w:footnoteReference w:id="2"/>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sz w:val="24"/>
          <w:szCs w:val="24"/>
        </w:rPr>
      </w:pPr>
      <w:r w:rsidRPr="003301B8">
        <w:rPr>
          <w:rFonts w:ascii="Bookman Old Style" w:hAnsi="Bookman Old Style"/>
          <w:sz w:val="24"/>
          <w:szCs w:val="24"/>
        </w:rPr>
        <w:t>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3A16F6" w:rsidRPr="003301B8" w:rsidRDefault="003A16F6" w:rsidP="003A16F6">
      <w:pPr>
        <w:pStyle w:val="Prrafodelista"/>
        <w:ind w:left="0"/>
        <w:jc w:val="both"/>
        <w:rPr>
          <w:rFonts w:ascii="Bookman Old Style" w:hAnsi="Bookman Old Style"/>
          <w:sz w:val="24"/>
          <w:szCs w:val="24"/>
        </w:rPr>
      </w:pPr>
    </w:p>
    <w:p w:rsidR="003A16F6" w:rsidRPr="003301B8" w:rsidRDefault="003A16F6" w:rsidP="003A16F6">
      <w:pPr>
        <w:pStyle w:val="Prrafodelista"/>
        <w:ind w:left="0"/>
        <w:jc w:val="both"/>
        <w:rPr>
          <w:rFonts w:ascii="Bookman Old Style" w:hAnsi="Bookman Old Style"/>
          <w:i/>
          <w:sz w:val="24"/>
          <w:szCs w:val="24"/>
        </w:rPr>
      </w:pPr>
      <w:r w:rsidRPr="003301B8">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3A16F6" w:rsidRPr="001C78BF" w:rsidRDefault="003A16F6" w:rsidP="003A16F6">
      <w:pPr>
        <w:pStyle w:val="Prrafodelista"/>
        <w:ind w:left="0"/>
        <w:jc w:val="both"/>
        <w:rPr>
          <w:rFonts w:ascii="Bookman Old Style" w:hAnsi="Bookman Old Style"/>
          <w:i/>
          <w:szCs w:val="24"/>
        </w:rPr>
      </w:pPr>
    </w:p>
    <w:p w:rsidR="003A16F6" w:rsidRDefault="003A16F6" w:rsidP="006E67AA">
      <w:pPr>
        <w:pStyle w:val="Prrafodelista"/>
        <w:numPr>
          <w:ilvl w:val="0"/>
          <w:numId w:val="3"/>
        </w:numPr>
        <w:jc w:val="both"/>
        <w:rPr>
          <w:rFonts w:ascii="Bookman Old Style" w:hAnsi="Bookman Old Style"/>
          <w:i/>
          <w:sz w:val="24"/>
          <w:szCs w:val="24"/>
        </w:rPr>
      </w:pPr>
      <w:r w:rsidRPr="006D5AD1">
        <w:rPr>
          <w:rFonts w:ascii="Bookman Old Style" w:hAnsi="Bookman Old Style"/>
          <w:i/>
          <w:sz w:val="24"/>
          <w:szCs w:val="24"/>
        </w:rPr>
        <w:t>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r w:rsidR="00D2619A">
        <w:rPr>
          <w:rFonts w:ascii="Bookman Old Style" w:hAnsi="Bookman Old Style"/>
          <w:i/>
          <w:sz w:val="24"/>
          <w:szCs w:val="24"/>
        </w:rPr>
        <w:t xml:space="preserve"> </w:t>
      </w:r>
    </w:p>
    <w:p w:rsidR="003A16F6" w:rsidRPr="00D2619A" w:rsidRDefault="00D2619A" w:rsidP="00D2619A">
      <w:pPr>
        <w:pStyle w:val="Prrafodelista"/>
        <w:numPr>
          <w:ilvl w:val="0"/>
          <w:numId w:val="3"/>
        </w:numPr>
        <w:ind w:left="284" w:hanging="426"/>
        <w:jc w:val="both"/>
        <w:rPr>
          <w:rFonts w:ascii="Bookman Old Style" w:hAnsi="Bookman Old Style"/>
          <w:i/>
          <w:sz w:val="24"/>
          <w:szCs w:val="24"/>
        </w:rPr>
      </w:pPr>
      <w:r w:rsidRPr="00D2619A">
        <w:rPr>
          <w:rFonts w:ascii="Bookman Old Style" w:hAnsi="Bookman Old Style"/>
          <w:i/>
          <w:sz w:val="24"/>
          <w:szCs w:val="24"/>
        </w:rPr>
        <w:lastRenderedPageBreak/>
        <w:t>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base gravable del tributo con erogaciones que (no) hacen parte de los gastos de funcionamiento de las entidades vigiladas</w:t>
      </w:r>
      <w:r>
        <w:rPr>
          <w:rFonts w:ascii="Bookman Old Style" w:hAnsi="Bookman Old Style"/>
          <w:i/>
          <w:sz w:val="24"/>
          <w:szCs w:val="24"/>
        </w:rPr>
        <w:t>”.</w:t>
      </w:r>
    </w:p>
    <w:p w:rsidR="003A16F6" w:rsidRPr="003301B8" w:rsidRDefault="003A16F6" w:rsidP="003A16F6">
      <w:pPr>
        <w:pStyle w:val="Prrafodelista"/>
        <w:ind w:left="0"/>
        <w:jc w:val="both"/>
        <w:rPr>
          <w:rFonts w:ascii="Bookman Old Style" w:hAnsi="Bookman Old Style"/>
          <w:i/>
          <w:sz w:val="24"/>
          <w:szCs w:val="24"/>
          <w:highlight w:val="yellow"/>
        </w:rPr>
      </w:pPr>
    </w:p>
    <w:p w:rsidR="003A16F6" w:rsidRDefault="003A16F6" w:rsidP="00D2619A">
      <w:pPr>
        <w:ind w:left="0"/>
        <w:jc w:val="both"/>
        <w:rPr>
          <w:rFonts w:ascii="Bookman Old Style" w:hAnsi="Bookman Old Style"/>
        </w:rPr>
      </w:pPr>
      <w:r w:rsidRPr="00D2619A">
        <w:rPr>
          <w:rFonts w:ascii="Bookman Old Style" w:hAnsi="Bookman Old Style"/>
        </w:rPr>
        <w:t>Igualmente, la Ley 142 de 1994 en su artículo 85 establece que para efectos de la contribución especial se tomarán los estados financieros, con corte a 31 de diciembre del año anterior, reportados en oportunidad al SUI.</w:t>
      </w:r>
    </w:p>
    <w:p w:rsidR="00D2619A" w:rsidRPr="001C78BF" w:rsidRDefault="00D2619A" w:rsidP="00D2619A">
      <w:pPr>
        <w:ind w:left="0"/>
        <w:jc w:val="both"/>
        <w:rPr>
          <w:rFonts w:ascii="Bookman Old Style" w:hAnsi="Bookman Old Style"/>
          <w:sz w:val="20"/>
        </w:rPr>
      </w:pPr>
    </w:p>
    <w:p w:rsidR="003A16F6" w:rsidRDefault="003A16F6" w:rsidP="00D2619A">
      <w:pPr>
        <w:ind w:left="0"/>
        <w:jc w:val="both"/>
        <w:rPr>
          <w:rFonts w:ascii="Bookman Old Style" w:hAnsi="Bookman Old Style"/>
        </w:rPr>
      </w:pPr>
      <w:r w:rsidRPr="00D2619A">
        <w:rPr>
          <w:rFonts w:ascii="Bookman Old Style" w:hAnsi="Bookman Old Style"/>
        </w:rPr>
        <w:t>La Ley 1314 de 2009, establece el proceso de convergencia a normas internacionales de información financiera, que fue reglamentado para el Grupo 1 mediante el Decreto 2784 de 2012, estableciendo los requisitos para pertenecer a este grupo, así como el cronograma de aplicación de marco normativo internacional (NIIF PLENAS.</w:t>
      </w:r>
    </w:p>
    <w:p w:rsidR="00D2619A" w:rsidRPr="001C78BF" w:rsidRDefault="00D2619A" w:rsidP="00D2619A">
      <w:pPr>
        <w:ind w:left="0"/>
        <w:jc w:val="both"/>
        <w:rPr>
          <w:rFonts w:ascii="Bookman Old Style" w:hAnsi="Bookman Old Style"/>
          <w:sz w:val="20"/>
        </w:rPr>
      </w:pPr>
    </w:p>
    <w:p w:rsidR="003A16F6" w:rsidRDefault="003A16F6" w:rsidP="00D2619A">
      <w:pPr>
        <w:ind w:left="0"/>
        <w:jc w:val="both"/>
        <w:rPr>
          <w:rFonts w:ascii="Bookman Old Style" w:hAnsi="Bookman Old Style"/>
        </w:rPr>
      </w:pPr>
      <w:r w:rsidRPr="00D2619A">
        <w:rPr>
          <w:rFonts w:ascii="Bookman Old Style" w:hAnsi="Bookman Old Style"/>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w:t>
      </w:r>
    </w:p>
    <w:p w:rsidR="00D2619A" w:rsidRPr="001C78BF" w:rsidRDefault="00D2619A" w:rsidP="00D2619A">
      <w:pPr>
        <w:ind w:left="0"/>
        <w:jc w:val="both"/>
        <w:rPr>
          <w:rFonts w:ascii="Bookman Old Style" w:hAnsi="Bookman Old Style"/>
          <w:sz w:val="20"/>
        </w:rPr>
      </w:pPr>
    </w:p>
    <w:p w:rsidR="003A16F6" w:rsidRDefault="003A16F6" w:rsidP="00D2619A">
      <w:pPr>
        <w:ind w:left="0"/>
        <w:jc w:val="both"/>
        <w:rPr>
          <w:rFonts w:ascii="Bookman Old Style" w:hAnsi="Bookman Old Style"/>
        </w:rPr>
      </w:pPr>
      <w:r w:rsidRPr="00D2619A">
        <w:rPr>
          <w:rFonts w:ascii="Bookman Old Style" w:hAnsi="Bookman Old Style"/>
        </w:rPr>
        <w:t>Adicionalmente, es importante aclarar que la Ley 142 de 1994, no establece que la contribución especial este sujeto a un régimen financiero o contable, sino a los estados financieros vigentes.</w:t>
      </w:r>
    </w:p>
    <w:p w:rsidR="00D2619A" w:rsidRPr="001C78BF" w:rsidRDefault="00D2619A" w:rsidP="00D2619A">
      <w:pPr>
        <w:ind w:left="0"/>
        <w:jc w:val="both"/>
        <w:rPr>
          <w:rFonts w:ascii="Bookman Old Style" w:hAnsi="Bookman Old Style"/>
          <w:sz w:val="20"/>
        </w:rPr>
      </w:pPr>
    </w:p>
    <w:p w:rsidR="003A16F6" w:rsidRDefault="003A16F6" w:rsidP="00D2619A">
      <w:pPr>
        <w:ind w:left="0"/>
        <w:jc w:val="both"/>
        <w:rPr>
          <w:rFonts w:ascii="Bookman Old Style" w:hAnsi="Bookman Old Style"/>
        </w:rPr>
      </w:pPr>
      <w:r w:rsidRPr="00D2619A">
        <w:rPr>
          <w:rFonts w:ascii="Bookman Old Style" w:hAnsi="Bookman Old Style"/>
        </w:rPr>
        <w:t>En este sentido, en atención a que el Consejo de Estado en reiterada jurisprudencia ha manifestado que los gastos objeto de contribución fijada mediante la Ley 142 deben ser gastos directamente relacionados con la prestación del servicio y teniendo en cuenta que los activos sociales no corresponden a gastos directamente relacionados con la prestación del servicio, procederá la CREG a excluir estos conceptos de la base gravable establecida en la Resolución 162 de 2017, correspondiente a la contribución especial año 2017, a cargo de la EMPRESA DE ENERGÍA DEL QUINDIO EDEQ</w:t>
      </w:r>
      <w:r w:rsidR="00200907" w:rsidRPr="00D2619A">
        <w:rPr>
          <w:rFonts w:ascii="Bookman Old Style" w:hAnsi="Bookman Old Style"/>
        </w:rPr>
        <w:t xml:space="preserve"> </w:t>
      </w:r>
      <w:r w:rsidRPr="00D2619A">
        <w:rPr>
          <w:rFonts w:ascii="Bookman Old Style" w:hAnsi="Bookman Old Style"/>
        </w:rPr>
        <w:t>S.A. E.S.P.</w:t>
      </w:r>
    </w:p>
    <w:p w:rsidR="00D2619A" w:rsidRPr="001C78BF" w:rsidRDefault="00D2619A" w:rsidP="00D2619A">
      <w:pPr>
        <w:ind w:left="0"/>
        <w:jc w:val="both"/>
        <w:rPr>
          <w:rFonts w:ascii="Bookman Old Style" w:hAnsi="Bookman Old Style"/>
          <w:sz w:val="20"/>
        </w:rPr>
      </w:pPr>
    </w:p>
    <w:p w:rsidR="00200907" w:rsidRDefault="00200907" w:rsidP="00D2619A">
      <w:pPr>
        <w:ind w:left="0"/>
        <w:jc w:val="both"/>
        <w:rPr>
          <w:rFonts w:ascii="Bookman Old Style" w:hAnsi="Bookman Old Style"/>
        </w:rPr>
      </w:pPr>
      <w:r w:rsidRPr="00D2619A">
        <w:rPr>
          <w:rFonts w:ascii="Bookman Old Style" w:hAnsi="Bookman Old Style"/>
        </w:rPr>
        <w:t>De igual manera, revisadas las pruebas aportadas con el recurso de reposición por la EMPRESA DE ENERGÍA DEL QUINDIO EDEQ S.A. E.S.P. se observa que efectivamente se realizó la solicitud de modificación de reporte de información oportunamente, de igual manera se observa que dicha información se encuentra actualmente corregida.</w:t>
      </w:r>
    </w:p>
    <w:p w:rsidR="00D2619A" w:rsidRPr="001C78BF" w:rsidRDefault="00D2619A" w:rsidP="00D2619A">
      <w:pPr>
        <w:ind w:left="0"/>
        <w:jc w:val="both"/>
        <w:rPr>
          <w:rFonts w:ascii="Bookman Old Style" w:hAnsi="Bookman Old Style"/>
          <w:sz w:val="20"/>
        </w:rPr>
      </w:pPr>
    </w:p>
    <w:p w:rsidR="003A16F6" w:rsidRDefault="003A16F6" w:rsidP="00D2619A">
      <w:pPr>
        <w:ind w:left="0"/>
        <w:jc w:val="both"/>
        <w:rPr>
          <w:rFonts w:ascii="Bookman Old Style" w:hAnsi="Bookman Old Style"/>
        </w:rPr>
      </w:pPr>
      <w:r w:rsidRPr="00D2619A">
        <w:rPr>
          <w:rFonts w:ascii="Bookman Old Style" w:hAnsi="Bookman Old Style"/>
        </w:rPr>
        <w:t xml:space="preserve">En este orden de ideas, una vez </w:t>
      </w:r>
      <w:r w:rsidR="00AD58C6">
        <w:rPr>
          <w:rFonts w:ascii="Bookman Old Style" w:hAnsi="Bookman Old Style"/>
        </w:rPr>
        <w:t>aplicada</w:t>
      </w:r>
      <w:r w:rsidRPr="00D2619A">
        <w:rPr>
          <w:rFonts w:ascii="Bookman Old Style" w:hAnsi="Bookman Old Style"/>
        </w:rPr>
        <w:t xml:space="preserve"> la exclusión </w:t>
      </w:r>
      <w:r w:rsidR="00A45E8A">
        <w:rPr>
          <w:rFonts w:ascii="Bookman Old Style" w:hAnsi="Bookman Old Style"/>
        </w:rPr>
        <w:t>de</w:t>
      </w:r>
      <w:r w:rsidRPr="00D2619A">
        <w:rPr>
          <w:rFonts w:ascii="Bookman Old Style" w:hAnsi="Bookman Old Style"/>
        </w:rPr>
        <w:t xml:space="preserve"> la base gravable de contribución para la EMPRESA DE ENERGÍA DEL QUINDIO EDEQ</w:t>
      </w:r>
      <w:r w:rsidR="00A32192" w:rsidRPr="00D2619A">
        <w:rPr>
          <w:rFonts w:ascii="Bookman Old Style" w:hAnsi="Bookman Old Style"/>
        </w:rPr>
        <w:t xml:space="preserve"> </w:t>
      </w:r>
      <w:r w:rsidRPr="00D2619A">
        <w:rPr>
          <w:rFonts w:ascii="Bookman Old Style" w:hAnsi="Bookman Old Style"/>
        </w:rPr>
        <w:t xml:space="preserve">S.A. E.S.P., </w:t>
      </w:r>
      <w:r w:rsidR="00A45E8A">
        <w:rPr>
          <w:rFonts w:ascii="Bookman Old Style" w:hAnsi="Bookman Old Style"/>
        </w:rPr>
        <w:t>la base de liquidación asciende</w:t>
      </w:r>
      <w:r w:rsidRPr="00D2619A">
        <w:rPr>
          <w:rFonts w:ascii="Bookman Old Style" w:hAnsi="Bookman Old Style"/>
        </w:rPr>
        <w:t xml:space="preserve"> al valor de</w:t>
      </w:r>
      <w:r w:rsidR="00A32192" w:rsidRPr="00D2619A">
        <w:rPr>
          <w:rFonts w:ascii="Bookman Old Style" w:hAnsi="Bookman Old Style"/>
        </w:rPr>
        <w:t xml:space="preserve"> CATORCE MIL DOSCIENTOS SETENTA Y DOS MILLONES DIEZ MIL QUINIENTOS CINCUENTA Y UN PESOS </w:t>
      </w:r>
      <w:r w:rsidRPr="00D2619A">
        <w:rPr>
          <w:rFonts w:ascii="Bookman Old Style" w:hAnsi="Bookman Old Style"/>
        </w:rPr>
        <w:t>M/CTE ($</w:t>
      </w:r>
      <w:r w:rsidR="00A32192" w:rsidRPr="00D2619A">
        <w:rPr>
          <w:rFonts w:ascii="Bookman Old Style" w:hAnsi="Bookman Old Style"/>
        </w:rPr>
        <w:t>1</w:t>
      </w:r>
      <w:r w:rsidRPr="00D2619A">
        <w:rPr>
          <w:rFonts w:ascii="Bookman Old Style" w:hAnsi="Bookman Old Style"/>
        </w:rPr>
        <w:t>4.</w:t>
      </w:r>
      <w:r w:rsidR="00A32192" w:rsidRPr="00D2619A">
        <w:rPr>
          <w:rFonts w:ascii="Bookman Old Style" w:hAnsi="Bookman Old Style"/>
        </w:rPr>
        <w:t>272</w:t>
      </w:r>
      <w:r w:rsidRPr="00D2619A">
        <w:rPr>
          <w:rFonts w:ascii="Bookman Old Style" w:hAnsi="Bookman Old Style"/>
        </w:rPr>
        <w:t>.</w:t>
      </w:r>
      <w:r w:rsidR="00A32192" w:rsidRPr="00D2619A">
        <w:rPr>
          <w:rFonts w:ascii="Bookman Old Style" w:hAnsi="Bookman Old Style"/>
        </w:rPr>
        <w:t>010</w:t>
      </w:r>
      <w:r w:rsidRPr="00D2619A">
        <w:rPr>
          <w:rFonts w:ascii="Bookman Old Style" w:hAnsi="Bookman Old Style"/>
        </w:rPr>
        <w:t>.</w:t>
      </w:r>
      <w:r w:rsidR="00A32192" w:rsidRPr="00D2619A">
        <w:rPr>
          <w:rFonts w:ascii="Bookman Old Style" w:hAnsi="Bookman Old Style"/>
        </w:rPr>
        <w:t>551</w:t>
      </w:r>
      <w:r w:rsidRPr="00D2619A">
        <w:rPr>
          <w:rFonts w:ascii="Bookman Old Style" w:hAnsi="Bookman Old Style"/>
        </w:rPr>
        <w:t>.</w:t>
      </w:r>
      <w:r w:rsidR="006E67AA" w:rsidRPr="00D2619A">
        <w:rPr>
          <w:rFonts w:ascii="Bookman Old Style" w:hAnsi="Bookman Old Style"/>
        </w:rPr>
        <w:t>00</w:t>
      </w:r>
      <w:r w:rsidRPr="00D2619A">
        <w:rPr>
          <w:rFonts w:ascii="Bookman Old Style" w:hAnsi="Bookman Old Style"/>
        </w:rPr>
        <w:t xml:space="preserve">) </w:t>
      </w:r>
      <w:r w:rsidR="00A45E8A">
        <w:rPr>
          <w:rFonts w:ascii="Bookman Old Style" w:hAnsi="Bookman Old Style"/>
        </w:rPr>
        <w:t xml:space="preserve">por lo tanto </w:t>
      </w:r>
      <w:r w:rsidRPr="00D2619A">
        <w:rPr>
          <w:rFonts w:ascii="Bookman Old Style" w:hAnsi="Bookman Old Style"/>
        </w:rPr>
        <w:t xml:space="preserve">el valor a pagar por concepto de </w:t>
      </w:r>
      <w:r w:rsidRPr="00D2619A">
        <w:rPr>
          <w:rFonts w:ascii="Bookman Old Style" w:hAnsi="Bookman Old Style"/>
        </w:rPr>
        <w:lastRenderedPageBreak/>
        <w:t xml:space="preserve">contribución asciende a la suma </w:t>
      </w:r>
      <w:r w:rsidR="00A32192" w:rsidRPr="00D2619A">
        <w:rPr>
          <w:rFonts w:ascii="Bookman Old Style" w:hAnsi="Bookman Old Style"/>
        </w:rPr>
        <w:t>de CIENTO CUARENTA Y UN MILLONES OCHOCIENTOS SESENTA Y TRES MIL SETECIENTOS OCHENTA Y CINCO PESOS</w:t>
      </w:r>
      <w:r w:rsidRPr="00D2619A">
        <w:rPr>
          <w:rFonts w:ascii="Bookman Old Style" w:hAnsi="Bookman Old Style"/>
        </w:rPr>
        <w:t xml:space="preserve"> M/CTE ($</w:t>
      </w:r>
      <w:r w:rsidR="00A32192" w:rsidRPr="00D2619A">
        <w:rPr>
          <w:rFonts w:ascii="Bookman Old Style" w:hAnsi="Bookman Old Style"/>
        </w:rPr>
        <w:t>141</w:t>
      </w:r>
      <w:r w:rsidRPr="00D2619A">
        <w:rPr>
          <w:rFonts w:ascii="Bookman Old Style" w:hAnsi="Bookman Old Style"/>
        </w:rPr>
        <w:t>.</w:t>
      </w:r>
      <w:r w:rsidR="00A32192" w:rsidRPr="00D2619A">
        <w:rPr>
          <w:rFonts w:ascii="Bookman Old Style" w:hAnsi="Bookman Old Style"/>
        </w:rPr>
        <w:t>863</w:t>
      </w:r>
      <w:r w:rsidRPr="00D2619A">
        <w:rPr>
          <w:rFonts w:ascii="Bookman Old Style" w:hAnsi="Bookman Old Style"/>
        </w:rPr>
        <w:t>.</w:t>
      </w:r>
      <w:r w:rsidR="00A32192" w:rsidRPr="00D2619A">
        <w:rPr>
          <w:rFonts w:ascii="Bookman Old Style" w:hAnsi="Bookman Old Style"/>
        </w:rPr>
        <w:t>785</w:t>
      </w:r>
      <w:r w:rsidRPr="00D2619A">
        <w:rPr>
          <w:rFonts w:ascii="Bookman Old Style" w:hAnsi="Bookman Old Style"/>
        </w:rPr>
        <w:t>.</w:t>
      </w:r>
      <w:r w:rsidR="006E67AA" w:rsidRPr="00D2619A">
        <w:rPr>
          <w:rFonts w:ascii="Bookman Old Style" w:hAnsi="Bookman Old Style"/>
        </w:rPr>
        <w:t>00</w:t>
      </w:r>
      <w:r w:rsidRPr="00D2619A">
        <w:rPr>
          <w:rFonts w:ascii="Bookman Old Style" w:hAnsi="Bookman Old Style"/>
        </w:rPr>
        <w:t>).</w:t>
      </w:r>
    </w:p>
    <w:p w:rsidR="00D2619A" w:rsidRPr="00D2619A" w:rsidRDefault="00D2619A" w:rsidP="00D2619A">
      <w:pPr>
        <w:ind w:left="0"/>
        <w:jc w:val="both"/>
        <w:rPr>
          <w:rFonts w:ascii="Bookman Old Style" w:hAnsi="Bookman Old Style"/>
        </w:rPr>
      </w:pPr>
    </w:p>
    <w:p w:rsidR="003A16F6" w:rsidRDefault="00D3539C" w:rsidP="003A16F6">
      <w:pPr>
        <w:tabs>
          <w:tab w:val="center" w:pos="4512"/>
        </w:tabs>
        <w:suppressAutoHyphens/>
        <w:ind w:left="0"/>
        <w:jc w:val="both"/>
        <w:rPr>
          <w:rFonts w:ascii="Bookman Old Style" w:hAnsi="Bookman Old Style"/>
        </w:rPr>
      </w:pPr>
      <w:r w:rsidRPr="00D3539C">
        <w:rPr>
          <w:rFonts w:ascii="Bookman Old Style" w:hAnsi="Bookman Old Style"/>
        </w:rPr>
        <w:t>La presente resolución fue aprobada por la Comisión de Regulación de Energía y Gas, CREG, en la sesión 827 del 21 de diciembre de 2017</w:t>
      </w:r>
    </w:p>
    <w:p w:rsidR="00D3539C" w:rsidRPr="00B3569D" w:rsidRDefault="00D3539C" w:rsidP="003A16F6">
      <w:pPr>
        <w:tabs>
          <w:tab w:val="center" w:pos="4512"/>
        </w:tabs>
        <w:suppressAutoHyphens/>
        <w:ind w:left="0"/>
        <w:jc w:val="both"/>
        <w:rPr>
          <w:rFonts w:ascii="Bookman Old Style" w:hAnsi="Bookman Old Style"/>
          <w:b/>
          <w:spacing w:val="-3"/>
        </w:rPr>
      </w:pPr>
    </w:p>
    <w:p w:rsidR="003A16F6" w:rsidRPr="003301B8" w:rsidRDefault="003A16F6" w:rsidP="003A16F6">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3A16F6" w:rsidRPr="003301B8" w:rsidRDefault="003A16F6" w:rsidP="003A16F6">
      <w:pPr>
        <w:ind w:left="0"/>
        <w:jc w:val="both"/>
        <w:rPr>
          <w:rFonts w:ascii="Bookman Old Style" w:hAnsi="Bookman Old Style"/>
          <w:b/>
        </w:rPr>
      </w:pPr>
    </w:p>
    <w:p w:rsidR="003A16F6" w:rsidRPr="003301B8" w:rsidRDefault="003A16F6" w:rsidP="003A16F6">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Pr="003301B8">
        <w:rPr>
          <w:rFonts w:ascii="Bookman Old Style" w:hAnsi="Bookman Old Style"/>
          <w:b/>
        </w:rPr>
        <w:t xml:space="preserve">MODIFICAR </w:t>
      </w:r>
      <w:r w:rsidR="001F5150" w:rsidRPr="001F5150">
        <w:rPr>
          <w:rFonts w:ascii="Bookman Old Style" w:hAnsi="Bookman Old Style"/>
        </w:rPr>
        <w:t>e</w:t>
      </w:r>
      <w:r w:rsidRPr="003301B8">
        <w:rPr>
          <w:rFonts w:ascii="Bookman Old Style" w:hAnsi="Bookman Old Style"/>
        </w:rPr>
        <w:t xml:space="preserve">l artículo primero de la </w:t>
      </w:r>
      <w:r w:rsidR="001F5150">
        <w:rPr>
          <w:rFonts w:ascii="Bookman Old Style" w:hAnsi="Bookman Old Style"/>
        </w:rPr>
        <w:t>R</w:t>
      </w:r>
      <w:r w:rsidRPr="003301B8">
        <w:rPr>
          <w:rFonts w:ascii="Bookman Old Style" w:hAnsi="Bookman Old Style"/>
        </w:rPr>
        <w:t>esolución CREG</w:t>
      </w:r>
      <w:r w:rsidR="001F5150">
        <w:rPr>
          <w:rFonts w:ascii="Bookman Old Style" w:hAnsi="Bookman Old Style"/>
        </w:rPr>
        <w:t xml:space="preserve"> </w:t>
      </w:r>
      <w:r w:rsidRPr="003301B8">
        <w:rPr>
          <w:rFonts w:ascii="Bookman Old Style" w:hAnsi="Bookman Old Style"/>
        </w:rPr>
        <w:t>1</w:t>
      </w:r>
      <w:r>
        <w:rPr>
          <w:rFonts w:ascii="Bookman Old Style" w:hAnsi="Bookman Old Style"/>
        </w:rPr>
        <w:t>62 de 2017</w:t>
      </w:r>
      <w:r w:rsidRPr="003301B8">
        <w:rPr>
          <w:rFonts w:ascii="Bookman Old Style" w:hAnsi="Bookman Old Style"/>
        </w:rPr>
        <w:t xml:space="preserve">, en la cual se señala la base gravable y el valor a pagar por la </w:t>
      </w:r>
      <w:r>
        <w:rPr>
          <w:rFonts w:ascii="Bookman Old Style" w:hAnsi="Bookman Old Style" w:cs="Arial"/>
        </w:rPr>
        <w:t>EMPRESA DE ENERGÍA DEL QUINDIO EDEQ</w:t>
      </w:r>
      <w:r w:rsidRPr="003301B8">
        <w:rPr>
          <w:rFonts w:ascii="Bookman Old Style" w:hAnsi="Bookman Old Style"/>
          <w:bCs/>
        </w:rPr>
        <w:t xml:space="preserve">S.A. E.S.P., </w:t>
      </w:r>
      <w:r w:rsidRPr="003301B8">
        <w:rPr>
          <w:rFonts w:ascii="Bookman Old Style" w:hAnsi="Bookman Old Style"/>
        </w:rPr>
        <w:t>con fundamento en las razones expuestas en la parte motiva de este proveído.</w:t>
      </w:r>
    </w:p>
    <w:p w:rsidR="003A16F6" w:rsidRPr="003301B8" w:rsidRDefault="003A16F6" w:rsidP="003A16F6">
      <w:pPr>
        <w:ind w:left="0"/>
        <w:jc w:val="both"/>
        <w:rPr>
          <w:rFonts w:ascii="Bookman Old Style" w:hAnsi="Bookman Old Style"/>
          <w:b/>
        </w:rPr>
      </w:pPr>
    </w:p>
    <w:p w:rsidR="003A16F6" w:rsidRDefault="003A16F6" w:rsidP="003A16F6">
      <w:pPr>
        <w:ind w:left="0"/>
        <w:jc w:val="both"/>
        <w:rPr>
          <w:rFonts w:ascii="Bookman Old Style" w:hAnsi="Bookman Old Style"/>
        </w:rPr>
      </w:pPr>
      <w:r w:rsidRPr="003301B8">
        <w:rPr>
          <w:rFonts w:ascii="Bookman Old Style" w:hAnsi="Bookman Old Style"/>
          <w:b/>
        </w:rPr>
        <w:t>Parágrafo:</w:t>
      </w:r>
      <w:r w:rsidRPr="003301B8">
        <w:rPr>
          <w:rFonts w:ascii="Bookman Old Style" w:hAnsi="Bookman Old Style"/>
        </w:rPr>
        <w:t xml:space="preserve"> En consecuencia de lo anterior, la base gravable por parte de la </w:t>
      </w:r>
      <w:r>
        <w:rPr>
          <w:rFonts w:ascii="Bookman Old Style" w:hAnsi="Bookman Old Style" w:cs="Arial"/>
        </w:rPr>
        <w:t>EMPRESA DE ENERGÍA DEL QUINDIO EDEQ</w:t>
      </w:r>
      <w:r w:rsidR="00A32192">
        <w:rPr>
          <w:rFonts w:ascii="Bookman Old Style" w:hAnsi="Bookman Old Style" w:cs="Arial"/>
        </w:rPr>
        <w:t xml:space="preserve"> </w:t>
      </w:r>
      <w:r w:rsidRPr="003301B8">
        <w:rPr>
          <w:rFonts w:ascii="Bookman Old Style" w:hAnsi="Bookman Old Style"/>
          <w:bCs/>
        </w:rPr>
        <w:t xml:space="preserve">S.A. E.S.P, corresponde a la suma de </w:t>
      </w:r>
      <w:r w:rsidR="00A32192">
        <w:rPr>
          <w:rFonts w:ascii="Bookman Old Style" w:hAnsi="Bookman Old Style"/>
        </w:rPr>
        <w:t>CATORCE MIL DOSCIENTOS SETENTA Y DOS MILLONES DIEZ MIL QUINIENTOS CINCUENTA Y UN PESOS M/CTE</w:t>
      </w:r>
      <w:r w:rsidR="00A32192" w:rsidRPr="003301B8">
        <w:rPr>
          <w:rFonts w:ascii="Bookman Old Style" w:hAnsi="Bookman Old Style"/>
        </w:rPr>
        <w:t xml:space="preserve"> ($</w:t>
      </w:r>
      <w:r w:rsidR="00A32192">
        <w:rPr>
          <w:rFonts w:ascii="Bookman Old Style" w:hAnsi="Bookman Old Style"/>
        </w:rPr>
        <w:t>14.272.010.551</w:t>
      </w:r>
      <w:r w:rsidR="00A32192" w:rsidRPr="003301B8">
        <w:rPr>
          <w:rFonts w:ascii="Bookman Old Style" w:hAnsi="Bookman Old Style"/>
        </w:rPr>
        <w:t>.</w:t>
      </w:r>
      <w:r w:rsidR="006E67AA">
        <w:rPr>
          <w:rFonts w:ascii="Bookman Old Style" w:hAnsi="Bookman Old Style"/>
        </w:rPr>
        <w:t>00</w:t>
      </w:r>
      <w:r w:rsidR="00A32192" w:rsidRPr="003301B8">
        <w:rPr>
          <w:rFonts w:ascii="Bookman Old Style" w:hAnsi="Bookman Old Style"/>
        </w:rPr>
        <w:t>)</w:t>
      </w:r>
      <w:r w:rsidR="000405A2">
        <w:rPr>
          <w:rFonts w:ascii="Bookman Old Style" w:hAnsi="Bookman Old Style"/>
        </w:rPr>
        <w:t>, y</w:t>
      </w:r>
      <w:r w:rsidR="00A32192" w:rsidRPr="003301B8">
        <w:rPr>
          <w:rFonts w:ascii="Bookman Old Style" w:hAnsi="Bookman Old Style"/>
        </w:rPr>
        <w:t xml:space="preserve"> el valor a pagar por concepto de contribución </w:t>
      </w:r>
      <w:r w:rsidR="00A32192">
        <w:rPr>
          <w:rFonts w:ascii="Bookman Old Style" w:hAnsi="Bookman Old Style"/>
        </w:rPr>
        <w:t>asciende a la suma de CIENTO CUARENTA Y UN MILLONES OCHOCIENTOS SESENTA Y TRES MIL SETECIENTOS OCHENTA Y CINCO PESOS M/CTE</w:t>
      </w:r>
      <w:r w:rsidR="00A32192" w:rsidRPr="003301B8">
        <w:rPr>
          <w:rFonts w:ascii="Bookman Old Style" w:hAnsi="Bookman Old Style"/>
        </w:rPr>
        <w:t xml:space="preserve"> ($</w:t>
      </w:r>
      <w:r w:rsidR="00A32192">
        <w:rPr>
          <w:rFonts w:ascii="Bookman Old Style" w:hAnsi="Bookman Old Style"/>
        </w:rPr>
        <w:t>141.863.785</w:t>
      </w:r>
      <w:r w:rsidR="00A32192" w:rsidRPr="003301B8">
        <w:rPr>
          <w:rFonts w:ascii="Bookman Old Style" w:hAnsi="Bookman Old Style"/>
        </w:rPr>
        <w:t>.</w:t>
      </w:r>
      <w:r w:rsidR="006E67AA">
        <w:rPr>
          <w:rFonts w:ascii="Bookman Old Style" w:hAnsi="Bookman Old Style"/>
        </w:rPr>
        <w:t>00)</w:t>
      </w:r>
      <w:r w:rsidR="00E65C90">
        <w:rPr>
          <w:rFonts w:ascii="Bookman Old Style" w:hAnsi="Bookman Old Style"/>
        </w:rPr>
        <w:t>.</w:t>
      </w:r>
    </w:p>
    <w:p w:rsidR="00E65C90" w:rsidRPr="003301B8" w:rsidRDefault="00E65C90" w:rsidP="003A16F6">
      <w:pPr>
        <w:ind w:left="0"/>
        <w:jc w:val="both"/>
        <w:rPr>
          <w:rFonts w:ascii="Bookman Old Style" w:hAnsi="Bookman Old Style"/>
          <w:bCs/>
        </w:rPr>
      </w:pPr>
    </w:p>
    <w:p w:rsidR="003A16F6" w:rsidRPr="003301B8" w:rsidRDefault="003A16F6" w:rsidP="003A16F6">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a quien corresponda el contenido de la presente resolución para que efectué los ajustes contables necesarios y se emita el respectivo</w:t>
      </w:r>
      <w:r>
        <w:rPr>
          <w:rFonts w:ascii="Bookman Old Style" w:hAnsi="Bookman Old Style"/>
        </w:rPr>
        <w:t xml:space="preserve"> paz y salvo de la resolución 162 de </w:t>
      </w:r>
      <w:r w:rsidRPr="003301B8">
        <w:rPr>
          <w:rFonts w:ascii="Bookman Old Style" w:hAnsi="Bookman Old Style"/>
        </w:rPr>
        <w:t>201</w:t>
      </w:r>
      <w:r>
        <w:rPr>
          <w:rFonts w:ascii="Bookman Old Style" w:hAnsi="Bookman Old Style"/>
        </w:rPr>
        <w:t>7</w:t>
      </w:r>
      <w:r w:rsidRPr="003301B8">
        <w:rPr>
          <w:rFonts w:ascii="Bookman Old Style" w:hAnsi="Bookman Old Style"/>
        </w:rPr>
        <w:t xml:space="preserve"> con destino al recurrente.</w:t>
      </w:r>
    </w:p>
    <w:p w:rsidR="003A16F6" w:rsidRPr="003301B8" w:rsidRDefault="003A16F6" w:rsidP="003A16F6">
      <w:pPr>
        <w:ind w:left="0"/>
        <w:jc w:val="both"/>
        <w:rPr>
          <w:rFonts w:ascii="Bookman Old Style" w:hAnsi="Bookman Old Style" w:cs="Arial"/>
          <w:color w:val="000000"/>
        </w:rPr>
      </w:pPr>
    </w:p>
    <w:p w:rsidR="003A16F6" w:rsidRPr="003301B8" w:rsidRDefault="003A16F6" w:rsidP="003A16F6">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 xml:space="preserve">al representante legal de la </w:t>
      </w:r>
      <w:r>
        <w:rPr>
          <w:rFonts w:ascii="Bookman Old Style" w:hAnsi="Bookman Old Style" w:cs="Arial"/>
        </w:rPr>
        <w:t>EMPRESA DE ENERGÍA DEL QUINDIO EDEQ</w:t>
      </w:r>
      <w:r w:rsidR="00A32192">
        <w:rPr>
          <w:rFonts w:ascii="Bookman Old Style" w:hAnsi="Bookman Old Style" w:cs="Arial"/>
        </w:rPr>
        <w:t xml:space="preserve"> </w:t>
      </w:r>
      <w:r w:rsidRPr="003301B8">
        <w:rPr>
          <w:rFonts w:ascii="Bookman Old Style" w:hAnsi="Bookman Old Style" w:cs="Arial"/>
        </w:rPr>
        <w:t>S.A. E.S.P.</w:t>
      </w:r>
      <w:r w:rsidRPr="003301B8">
        <w:rPr>
          <w:rFonts w:ascii="Bookman Old Style" w:hAnsi="Bookman Old Style"/>
          <w:bCs/>
        </w:rPr>
        <w:t xml:space="preserve">,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3A16F6" w:rsidRPr="003301B8" w:rsidRDefault="003A16F6" w:rsidP="003A16F6">
      <w:pPr>
        <w:ind w:left="170"/>
        <w:jc w:val="both"/>
        <w:rPr>
          <w:rFonts w:ascii="Bookman Old Style" w:hAnsi="Bookman Old Style" w:cs="Arial"/>
        </w:rPr>
      </w:pPr>
    </w:p>
    <w:p w:rsidR="003A16F6" w:rsidRPr="003301B8" w:rsidRDefault="003A16F6" w:rsidP="003A16F6">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3A16F6" w:rsidRPr="003301B8" w:rsidRDefault="003A16F6" w:rsidP="003A16F6">
      <w:pPr>
        <w:ind w:left="0"/>
        <w:jc w:val="both"/>
        <w:rPr>
          <w:rFonts w:ascii="Bookman Old Style" w:hAnsi="Bookman Old Style" w:cs="Arial"/>
        </w:rPr>
      </w:pPr>
    </w:p>
    <w:p w:rsidR="003A16F6" w:rsidRPr="003301B8" w:rsidRDefault="003A16F6" w:rsidP="003A16F6">
      <w:pPr>
        <w:ind w:left="0"/>
        <w:jc w:val="center"/>
        <w:rPr>
          <w:rFonts w:ascii="Bookman Old Style" w:hAnsi="Bookman Old Style" w:cs="Arial"/>
          <w:b/>
        </w:rPr>
      </w:pPr>
      <w:r w:rsidRPr="003301B8">
        <w:rPr>
          <w:rFonts w:ascii="Bookman Old Style" w:hAnsi="Bookman Old Style" w:cs="Arial"/>
          <w:b/>
        </w:rPr>
        <w:t>NOTIFÍQUESE Y CÚMPLASE</w:t>
      </w:r>
    </w:p>
    <w:p w:rsidR="003A16F6" w:rsidRDefault="003A16F6" w:rsidP="003A16F6">
      <w:pPr>
        <w:ind w:left="0"/>
        <w:jc w:val="center"/>
        <w:rPr>
          <w:rFonts w:ascii="Bookman Old Style" w:hAnsi="Bookman Old Style" w:cs="Arial"/>
          <w:b/>
        </w:rPr>
      </w:pPr>
    </w:p>
    <w:p w:rsidR="003A16F6" w:rsidRPr="003301B8" w:rsidRDefault="003A16F6" w:rsidP="003A16F6">
      <w:pPr>
        <w:ind w:left="0"/>
        <w:rPr>
          <w:rFonts w:ascii="Bookman Old Style" w:hAnsi="Bookman Old Style" w:cs="Arial"/>
        </w:rPr>
      </w:pPr>
      <w:r w:rsidRPr="003301B8">
        <w:rPr>
          <w:rFonts w:ascii="Bookman Old Style" w:hAnsi="Bookman Old Style" w:cs="Arial"/>
        </w:rPr>
        <w:t>Dada en Bogotá D.C, a</w:t>
      </w:r>
    </w:p>
    <w:p w:rsidR="003A16F6" w:rsidRDefault="003A16F6" w:rsidP="003A16F6">
      <w:pPr>
        <w:ind w:left="0"/>
        <w:jc w:val="both"/>
        <w:rPr>
          <w:rFonts w:ascii="Bookman Old Style" w:hAnsi="Bookman Old Style" w:cs="Arial"/>
          <w:b/>
        </w:rPr>
      </w:pPr>
    </w:p>
    <w:p w:rsidR="001C78BF" w:rsidRDefault="001C78BF" w:rsidP="003A16F6">
      <w:pPr>
        <w:ind w:left="0"/>
        <w:jc w:val="both"/>
        <w:rPr>
          <w:rFonts w:ascii="Bookman Old Style" w:hAnsi="Bookman Old Style" w:cs="Arial"/>
          <w:b/>
        </w:rPr>
      </w:pPr>
    </w:p>
    <w:p w:rsidR="001C78BF" w:rsidRDefault="001C78BF" w:rsidP="003A16F6">
      <w:pPr>
        <w:ind w:left="0"/>
        <w:jc w:val="both"/>
        <w:rPr>
          <w:rFonts w:ascii="Bookman Old Style" w:hAnsi="Bookman Old Style" w:cs="Arial"/>
          <w:b/>
        </w:rPr>
      </w:pPr>
    </w:p>
    <w:p w:rsidR="001C78BF" w:rsidRDefault="001C78BF" w:rsidP="003A16F6">
      <w:pPr>
        <w:ind w:left="0"/>
        <w:jc w:val="both"/>
        <w:rPr>
          <w:rFonts w:ascii="Bookman Old Style" w:hAnsi="Bookman Old Style" w:cs="Arial"/>
          <w:b/>
        </w:rPr>
      </w:pPr>
    </w:p>
    <w:p w:rsidR="001C78BF" w:rsidRPr="003301B8" w:rsidRDefault="001C78BF" w:rsidP="003A16F6">
      <w:pPr>
        <w:ind w:left="0"/>
        <w:jc w:val="both"/>
        <w:rPr>
          <w:rFonts w:ascii="Bookman Old Style" w:hAnsi="Bookman Old Style" w:cs="Arial"/>
          <w:b/>
        </w:rPr>
      </w:pPr>
    </w:p>
    <w:tbl>
      <w:tblPr>
        <w:tblW w:w="9640" w:type="dxa"/>
        <w:tblInd w:w="-142" w:type="dxa"/>
        <w:tblLayout w:type="fixed"/>
        <w:tblCellMar>
          <w:left w:w="0" w:type="dxa"/>
          <w:right w:w="0" w:type="dxa"/>
        </w:tblCellMar>
        <w:tblLook w:val="04A0" w:firstRow="1" w:lastRow="0" w:firstColumn="1" w:lastColumn="0" w:noHBand="0" w:noVBand="1"/>
      </w:tblPr>
      <w:tblGrid>
        <w:gridCol w:w="4962"/>
        <w:gridCol w:w="4678"/>
      </w:tblGrid>
      <w:tr w:rsidR="00E65C90" w:rsidRPr="00554289" w:rsidTr="00E03B9F">
        <w:tc>
          <w:tcPr>
            <w:tcW w:w="4962" w:type="dxa"/>
            <w:hideMark/>
          </w:tcPr>
          <w:p w:rsidR="00E65C90" w:rsidRPr="00E65C90" w:rsidRDefault="00E65C90" w:rsidP="00E65C90">
            <w:pPr>
              <w:snapToGrid w:val="0"/>
              <w:ind w:left="0"/>
              <w:jc w:val="center"/>
              <w:rPr>
                <w:rFonts w:ascii="Bookman Old Style" w:hAnsi="Bookman Old Style" w:cs="Arial"/>
                <w:b/>
                <w:bCs/>
              </w:rPr>
            </w:pPr>
            <w:r w:rsidRPr="00E65C90">
              <w:rPr>
                <w:rFonts w:ascii="Bookman Old Style" w:hAnsi="Bookman Old Style" w:cs="Arial"/>
                <w:b/>
                <w:bCs/>
              </w:rPr>
              <w:t>ALONSO MAYELO CARDONA DELGADO</w:t>
            </w:r>
          </w:p>
        </w:tc>
        <w:tc>
          <w:tcPr>
            <w:tcW w:w="4678" w:type="dxa"/>
            <w:hideMark/>
          </w:tcPr>
          <w:p w:rsidR="00E65C90" w:rsidRPr="00E65C90" w:rsidRDefault="00E65C90" w:rsidP="00E03B9F">
            <w:pPr>
              <w:snapToGrid w:val="0"/>
              <w:jc w:val="center"/>
              <w:rPr>
                <w:rFonts w:ascii="Bookman Old Style" w:hAnsi="Bookman Old Style" w:cs="Arial"/>
                <w:b/>
                <w:bCs/>
              </w:rPr>
            </w:pPr>
            <w:r w:rsidRPr="00E65C90">
              <w:rPr>
                <w:rFonts w:ascii="Bookman Old Style" w:hAnsi="Bookman Old Style" w:cs="Arial"/>
                <w:b/>
                <w:bCs/>
              </w:rPr>
              <w:t>GERMÁN CASTRO FERREIRA</w:t>
            </w:r>
          </w:p>
        </w:tc>
      </w:tr>
      <w:tr w:rsidR="00E65C90" w:rsidRPr="00554289" w:rsidTr="00E03B9F">
        <w:tc>
          <w:tcPr>
            <w:tcW w:w="4962" w:type="dxa"/>
            <w:hideMark/>
          </w:tcPr>
          <w:p w:rsidR="00E65C90" w:rsidRPr="00E65C90" w:rsidRDefault="00E65C90" w:rsidP="00E03B9F">
            <w:pPr>
              <w:snapToGrid w:val="0"/>
              <w:jc w:val="center"/>
              <w:rPr>
                <w:rFonts w:ascii="Bookman Old Style" w:hAnsi="Bookman Old Style" w:cs="Arial"/>
              </w:rPr>
            </w:pPr>
            <w:r w:rsidRPr="00E65C90">
              <w:rPr>
                <w:rFonts w:ascii="Bookman Old Style" w:hAnsi="Bookman Old Style" w:cs="Arial"/>
              </w:rPr>
              <w:t>Viceministro de Energía (E)</w:t>
            </w:r>
          </w:p>
          <w:p w:rsidR="00E65C90" w:rsidRPr="00E65C90" w:rsidRDefault="00E65C90" w:rsidP="001C78BF">
            <w:pPr>
              <w:snapToGrid w:val="0"/>
              <w:ind w:left="-7"/>
              <w:jc w:val="center"/>
              <w:rPr>
                <w:rFonts w:ascii="Bookman Old Style" w:hAnsi="Bookman Old Style" w:cs="Arial"/>
              </w:rPr>
            </w:pPr>
            <w:r w:rsidRPr="00E65C90">
              <w:rPr>
                <w:rFonts w:ascii="Bookman Old Style" w:hAnsi="Bookman Old Style" w:cs="Arial"/>
              </w:rPr>
              <w:t xml:space="preserve">Delegado del Ministro de Minas y Energía </w:t>
            </w:r>
          </w:p>
        </w:tc>
        <w:tc>
          <w:tcPr>
            <w:tcW w:w="4678" w:type="dxa"/>
            <w:hideMark/>
          </w:tcPr>
          <w:p w:rsidR="00E65C90" w:rsidRPr="00E65C90" w:rsidRDefault="00E65C90" w:rsidP="00E03B9F">
            <w:pPr>
              <w:snapToGrid w:val="0"/>
              <w:jc w:val="center"/>
              <w:rPr>
                <w:rFonts w:ascii="Bookman Old Style" w:hAnsi="Bookman Old Style" w:cs="Arial"/>
              </w:rPr>
            </w:pPr>
            <w:r w:rsidRPr="00E65C90">
              <w:rPr>
                <w:rFonts w:ascii="Bookman Old Style" w:hAnsi="Bookman Old Style" w:cs="Arial"/>
              </w:rPr>
              <w:t>Director Ejecutivo</w:t>
            </w:r>
          </w:p>
        </w:tc>
      </w:tr>
      <w:tr w:rsidR="00E65C90" w:rsidRPr="00554289" w:rsidTr="00E03B9F">
        <w:tc>
          <w:tcPr>
            <w:tcW w:w="4962" w:type="dxa"/>
            <w:hideMark/>
          </w:tcPr>
          <w:p w:rsidR="00E65C90" w:rsidRPr="00E65C90" w:rsidRDefault="00E65C90" w:rsidP="00E03B9F">
            <w:pPr>
              <w:snapToGrid w:val="0"/>
              <w:jc w:val="center"/>
              <w:rPr>
                <w:rFonts w:ascii="Bookman Old Style" w:hAnsi="Bookman Old Style" w:cs="Arial"/>
              </w:rPr>
            </w:pPr>
            <w:r w:rsidRPr="00E65C90">
              <w:rPr>
                <w:rFonts w:ascii="Bookman Old Style" w:hAnsi="Bookman Old Style" w:cs="Arial"/>
              </w:rPr>
              <w:t>Presidente</w:t>
            </w:r>
          </w:p>
        </w:tc>
        <w:tc>
          <w:tcPr>
            <w:tcW w:w="4678" w:type="dxa"/>
          </w:tcPr>
          <w:p w:rsidR="00E65C90" w:rsidRPr="00E65C90" w:rsidRDefault="00E65C90" w:rsidP="00E03B9F">
            <w:pPr>
              <w:snapToGrid w:val="0"/>
              <w:rPr>
                <w:rFonts w:ascii="Bookman Old Style" w:hAnsi="Bookman Old Style" w:cs="Arial"/>
              </w:rPr>
            </w:pPr>
          </w:p>
        </w:tc>
      </w:tr>
    </w:tbl>
    <w:p w:rsidR="00E65C90" w:rsidRDefault="00E65C90" w:rsidP="00E65C90"/>
    <w:p w:rsidR="003A16F6" w:rsidRDefault="003A16F6" w:rsidP="003A16F6">
      <w:pPr>
        <w:rPr>
          <w:rFonts w:ascii="Bookman Old Style" w:hAnsi="Bookman Old Style" w:cs="Arial"/>
          <w:szCs w:val="20"/>
        </w:rPr>
      </w:pPr>
    </w:p>
    <w:p w:rsidR="003A16F6" w:rsidRPr="00F01B67" w:rsidRDefault="003A16F6" w:rsidP="003A16F6">
      <w:pPr>
        <w:rPr>
          <w:rFonts w:ascii="Bookman Old Style" w:hAnsi="Bookman Old Style"/>
          <w:color w:val="FF0000"/>
        </w:rPr>
      </w:pPr>
    </w:p>
    <w:p w:rsidR="003C6F78" w:rsidRDefault="003C6F78"/>
    <w:sectPr w:rsidR="003C6F78" w:rsidSect="00337231">
      <w:headerReference w:type="default" r:id="rId9"/>
      <w:headerReference w:type="first" r:id="rId1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77" w:rsidRDefault="00D36A77" w:rsidP="003A16F6">
      <w:r>
        <w:separator/>
      </w:r>
    </w:p>
  </w:endnote>
  <w:endnote w:type="continuationSeparator" w:id="0">
    <w:p w:rsidR="00D36A77" w:rsidRDefault="00D36A77" w:rsidP="003A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77" w:rsidRDefault="00D36A77" w:rsidP="003A16F6">
      <w:r>
        <w:separator/>
      </w:r>
    </w:p>
  </w:footnote>
  <w:footnote w:type="continuationSeparator" w:id="0">
    <w:p w:rsidR="00D36A77" w:rsidRDefault="00D36A77" w:rsidP="003A16F6">
      <w:r>
        <w:continuationSeparator/>
      </w:r>
    </w:p>
  </w:footnote>
  <w:footnote w:id="1">
    <w:p w:rsidR="003A16F6" w:rsidRPr="000C6060" w:rsidRDefault="003A16F6" w:rsidP="003A16F6">
      <w:pPr>
        <w:pStyle w:val="Textonotapie"/>
      </w:pPr>
      <w:r>
        <w:rPr>
          <w:rStyle w:val="Refdenotaalpie"/>
        </w:rPr>
        <w:footnoteRef/>
      </w:r>
      <w:r>
        <w:t xml:space="preserve"> Artículo 85 Ley 142 de 1994</w:t>
      </w:r>
    </w:p>
  </w:footnote>
  <w:footnote w:id="2">
    <w:p w:rsidR="003A16F6" w:rsidRPr="003D5A97" w:rsidRDefault="003A16F6" w:rsidP="003A16F6">
      <w:pPr>
        <w:pStyle w:val="Textonotapie"/>
        <w:rPr>
          <w:b/>
        </w:rPr>
      </w:pPr>
      <w:r>
        <w:rPr>
          <w:rStyle w:val="Refdenotaalpie"/>
        </w:rPr>
        <w:footnoteRef/>
      </w:r>
      <w:r>
        <w:t xml:space="preserve"> </w:t>
      </w:r>
    </w:p>
    <w:p w:rsidR="003A16F6" w:rsidRPr="003D5A97" w:rsidRDefault="003A16F6" w:rsidP="003A16F6">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CC5AC2" w:rsidP="00951F79">
    <w:pPr>
      <w:pStyle w:val="Ttulo1"/>
      <w:ind w:right="6"/>
      <w:jc w:val="left"/>
      <w:rPr>
        <w:rFonts w:ascii="Bookman Old Style" w:hAnsi="Bookman Old Style" w:cs="Arial"/>
        <w:b w:val="0"/>
        <w:sz w:val="22"/>
        <w:szCs w:val="22"/>
      </w:rPr>
    </w:pPr>
  </w:p>
  <w:p w:rsidR="00227116" w:rsidRPr="00951F79" w:rsidRDefault="0065170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C5AC2">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C5AC2" w:rsidRPr="00CC5AC2">
        <w:rPr>
          <w:rFonts w:ascii="Bookman Old Style" w:hAnsi="Bookman Old Style" w:cs="Arial"/>
          <w:b w:val="0"/>
          <w:noProof/>
          <w:sz w:val="22"/>
          <w:szCs w:val="22"/>
        </w:rPr>
        <w:t>7</w:t>
      </w:r>
    </w:fldSimple>
  </w:p>
  <w:p w:rsidR="00227116" w:rsidRDefault="0065170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4AAA7B1C" wp14:editId="0941C31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DB56"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D2619A" w:rsidRPr="00D2619A" w:rsidRDefault="00D2619A" w:rsidP="00D2619A">
    <w:pPr>
      <w:ind w:left="227"/>
      <w:jc w:val="both"/>
      <w:rPr>
        <w:rFonts w:ascii="Bookman Old Style" w:hAnsi="Bookman Old Style"/>
        <w:sz w:val="22"/>
        <w:szCs w:val="22"/>
      </w:rPr>
    </w:pPr>
    <w:r w:rsidRPr="00D2619A">
      <w:rPr>
        <w:rFonts w:ascii="Bookman Old Style" w:hAnsi="Bookman Old Style"/>
        <w:sz w:val="22"/>
        <w:szCs w:val="22"/>
      </w:rPr>
      <w:t>Por medio de la cual se resuelve un recurso de reposición interpuesto por EMPRESA DE ENERGÍA DEL QUINDIO EDEQ S.A. E.S.P en contra de la Resolución CREG 162 de 2017</w:t>
    </w:r>
  </w:p>
  <w:p w:rsidR="00227116" w:rsidRPr="006A3DBB" w:rsidRDefault="00CC5AC2" w:rsidP="006A3DBB">
    <w:pPr>
      <w:pBdr>
        <w:bottom w:val="single" w:sz="4" w:space="1" w:color="auto"/>
      </w:pBdr>
      <w:ind w:left="142" w:right="148"/>
      <w:jc w:val="both"/>
      <w:rPr>
        <w:b/>
        <w:sz w:val="20"/>
        <w:szCs w:val="20"/>
      </w:rPr>
    </w:pPr>
  </w:p>
  <w:p w:rsidR="00994881" w:rsidRDefault="0099488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65170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CC5AC2">
    <w:pPr>
      <w:pStyle w:val="Encabezado"/>
      <w:jc w:val="center"/>
      <w:rPr>
        <w:rFonts w:ascii="Arial" w:hAnsi="Arial" w:cs="Arial"/>
        <w:spacing w:val="20"/>
        <w:sz w:val="20"/>
      </w:rPr>
    </w:pPr>
  </w:p>
  <w:p w:rsidR="00227116" w:rsidRDefault="0065170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AE6A5CC" wp14:editId="3D73456C">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CE812"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39"/>
      </v:shape>
    </w:pict>
  </w:numPicBullet>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954986"/>
    <w:multiLevelType w:val="hybridMultilevel"/>
    <w:tmpl w:val="D43463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F6"/>
    <w:rsid w:val="0001566D"/>
    <w:rsid w:val="000405A2"/>
    <w:rsid w:val="00185A83"/>
    <w:rsid w:val="001B7B4F"/>
    <w:rsid w:val="001C78BF"/>
    <w:rsid w:val="001F09F2"/>
    <w:rsid w:val="001F5150"/>
    <w:rsid w:val="00200907"/>
    <w:rsid w:val="002735D5"/>
    <w:rsid w:val="00330B28"/>
    <w:rsid w:val="003A16F6"/>
    <w:rsid w:val="003C6F78"/>
    <w:rsid w:val="005036DD"/>
    <w:rsid w:val="00597E34"/>
    <w:rsid w:val="005A058D"/>
    <w:rsid w:val="00636FA8"/>
    <w:rsid w:val="00651705"/>
    <w:rsid w:val="0068734E"/>
    <w:rsid w:val="006A3DBB"/>
    <w:rsid w:val="006D5AD1"/>
    <w:rsid w:val="006E67AA"/>
    <w:rsid w:val="0081179D"/>
    <w:rsid w:val="008D111E"/>
    <w:rsid w:val="00994881"/>
    <w:rsid w:val="00A32192"/>
    <w:rsid w:val="00A45E8A"/>
    <w:rsid w:val="00A94F18"/>
    <w:rsid w:val="00AD58C6"/>
    <w:rsid w:val="00B054A5"/>
    <w:rsid w:val="00C66B0E"/>
    <w:rsid w:val="00CC5AC2"/>
    <w:rsid w:val="00D10BFC"/>
    <w:rsid w:val="00D14A96"/>
    <w:rsid w:val="00D2619A"/>
    <w:rsid w:val="00D3539C"/>
    <w:rsid w:val="00D36A77"/>
    <w:rsid w:val="00D512E0"/>
    <w:rsid w:val="00D81B54"/>
    <w:rsid w:val="00E44A58"/>
    <w:rsid w:val="00E65C90"/>
    <w:rsid w:val="00EC5D0F"/>
    <w:rsid w:val="00F01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72FEE-83C1-4A14-9999-504E7497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6F6"/>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A16F6"/>
    <w:pPr>
      <w:keepNext/>
      <w:jc w:val="center"/>
      <w:outlineLvl w:val="0"/>
    </w:pPr>
    <w:rPr>
      <w:rFonts w:ascii="CG Times" w:hAnsi="CG Times"/>
      <w:b/>
      <w:szCs w:val="20"/>
      <w:lang w:val="es-CO"/>
    </w:rPr>
  </w:style>
  <w:style w:type="paragraph" w:styleId="Ttulo3">
    <w:name w:val="heading 3"/>
    <w:basedOn w:val="Normal"/>
    <w:next w:val="Normal"/>
    <w:link w:val="Ttulo3Car"/>
    <w:qFormat/>
    <w:rsid w:val="003A16F6"/>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A16F6"/>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A16F6"/>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16F6"/>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3A16F6"/>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3A16F6"/>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3A16F6"/>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3A16F6"/>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3A16F6"/>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3A16F6"/>
    <w:pPr>
      <w:ind w:left="708"/>
    </w:pPr>
    <w:rPr>
      <w:sz w:val="20"/>
      <w:szCs w:val="20"/>
      <w:lang w:val="es-CO"/>
    </w:rPr>
  </w:style>
  <w:style w:type="character" w:customStyle="1" w:styleId="PrrafodelistaCar">
    <w:name w:val="Párrafo de lista Car"/>
    <w:basedOn w:val="Fuentedeprrafopredeter"/>
    <w:link w:val="Prrafodelista"/>
    <w:uiPriority w:val="34"/>
    <w:rsid w:val="003A16F6"/>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3A16F6"/>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3A16F6"/>
    <w:rPr>
      <w:sz w:val="20"/>
      <w:szCs w:val="20"/>
    </w:rPr>
  </w:style>
  <w:style w:type="character" w:customStyle="1" w:styleId="TextonotapieCar">
    <w:name w:val="Texto nota pie Car"/>
    <w:basedOn w:val="Fuentedeprrafopredeter"/>
    <w:link w:val="Textonotapie"/>
    <w:uiPriority w:val="99"/>
    <w:semiHidden/>
    <w:rsid w:val="003A16F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A16F6"/>
    <w:rPr>
      <w:vertAlign w:val="superscript"/>
    </w:rPr>
  </w:style>
  <w:style w:type="character" w:customStyle="1" w:styleId="CharStyle25">
    <w:name w:val="Char Style 25"/>
    <w:basedOn w:val="Fuentedeprrafopredeter"/>
    <w:link w:val="Style24"/>
    <w:uiPriority w:val="99"/>
    <w:rsid w:val="003A16F6"/>
    <w:rPr>
      <w:rFonts w:ascii="Arial" w:hAnsi="Arial" w:cs="Arial"/>
      <w:sz w:val="17"/>
      <w:szCs w:val="17"/>
      <w:shd w:val="clear" w:color="auto" w:fill="FFFFFF"/>
    </w:rPr>
  </w:style>
  <w:style w:type="paragraph" w:customStyle="1" w:styleId="Style24">
    <w:name w:val="Style 24"/>
    <w:basedOn w:val="Normal"/>
    <w:link w:val="CharStyle25"/>
    <w:uiPriority w:val="99"/>
    <w:rsid w:val="003A16F6"/>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3A16F6"/>
    <w:rPr>
      <w:rFonts w:ascii="Arial" w:hAnsi="Arial" w:cs="Arial"/>
      <w:sz w:val="19"/>
      <w:szCs w:val="19"/>
      <w:shd w:val="clear" w:color="auto" w:fill="FFFFFF"/>
    </w:rPr>
  </w:style>
  <w:style w:type="paragraph" w:customStyle="1" w:styleId="Style11">
    <w:name w:val="Style 11"/>
    <w:basedOn w:val="Normal"/>
    <w:link w:val="CharStyle12"/>
    <w:uiPriority w:val="99"/>
    <w:rsid w:val="003A16F6"/>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3A16F6"/>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3A16F6"/>
    <w:rPr>
      <w:rFonts w:ascii="Arial" w:hAnsi="Arial" w:cs="Arial"/>
      <w:i/>
      <w:iCs/>
      <w:sz w:val="20"/>
      <w:szCs w:val="20"/>
      <w:shd w:val="clear" w:color="auto" w:fill="FFFFFF"/>
    </w:rPr>
  </w:style>
  <w:style w:type="character" w:customStyle="1" w:styleId="CharStyle30">
    <w:name w:val="Char Style 30"/>
    <w:basedOn w:val="Fuentedeprrafopredeter"/>
    <w:link w:val="Style29"/>
    <w:uiPriority w:val="99"/>
    <w:rsid w:val="003A16F6"/>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3A16F6"/>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3A16F6"/>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3A16F6"/>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15">
    <w:name w:val="Char Style 15"/>
    <w:basedOn w:val="Fuentedeprrafopredeter"/>
    <w:link w:val="Style14"/>
    <w:uiPriority w:val="99"/>
    <w:rsid w:val="003A16F6"/>
    <w:rPr>
      <w:rFonts w:ascii="Arial" w:hAnsi="Arial" w:cs="Arial"/>
      <w:sz w:val="20"/>
      <w:szCs w:val="20"/>
      <w:shd w:val="clear" w:color="auto" w:fill="FFFFFF"/>
    </w:rPr>
  </w:style>
  <w:style w:type="character" w:customStyle="1" w:styleId="CharStyle22">
    <w:name w:val="Char Style 22"/>
    <w:basedOn w:val="CharStyle15"/>
    <w:uiPriority w:val="99"/>
    <w:rsid w:val="003A16F6"/>
    <w:rPr>
      <w:rFonts w:ascii="Arial" w:hAnsi="Arial" w:cs="Arial"/>
      <w:sz w:val="16"/>
      <w:szCs w:val="16"/>
      <w:shd w:val="clear" w:color="auto" w:fill="FFFFFF"/>
    </w:rPr>
  </w:style>
  <w:style w:type="character" w:customStyle="1" w:styleId="CharStyle23">
    <w:name w:val="Char Style 23"/>
    <w:basedOn w:val="CharStyle15"/>
    <w:uiPriority w:val="99"/>
    <w:rsid w:val="003A16F6"/>
    <w:rPr>
      <w:rFonts w:ascii="Arial" w:hAnsi="Arial" w:cs="Arial"/>
      <w:spacing w:val="20"/>
      <w:sz w:val="16"/>
      <w:szCs w:val="16"/>
      <w:shd w:val="clear" w:color="auto" w:fill="FFFFFF"/>
    </w:rPr>
  </w:style>
  <w:style w:type="paragraph" w:customStyle="1" w:styleId="Style14">
    <w:name w:val="Style 14"/>
    <w:basedOn w:val="Normal"/>
    <w:link w:val="CharStyle15"/>
    <w:uiPriority w:val="99"/>
    <w:rsid w:val="003A16F6"/>
    <w:pPr>
      <w:widowControl w:val="0"/>
      <w:shd w:val="clear" w:color="auto" w:fill="FFFFFF"/>
      <w:spacing w:before="1020" w:line="509" w:lineRule="exact"/>
      <w:ind w:left="0"/>
    </w:pPr>
    <w:rPr>
      <w:rFonts w:ascii="Arial" w:eastAsiaTheme="minorHAnsi" w:hAnsi="Arial" w:cs="Arial"/>
      <w:sz w:val="20"/>
      <w:szCs w:val="20"/>
      <w:lang w:val="es-CO" w:eastAsia="en-US"/>
    </w:rPr>
  </w:style>
  <w:style w:type="character" w:customStyle="1" w:styleId="CharStyle36">
    <w:name w:val="Char Style 36"/>
    <w:basedOn w:val="CharStyle15"/>
    <w:uiPriority w:val="99"/>
    <w:rsid w:val="003A16F6"/>
    <w:rPr>
      <w:rFonts w:ascii="Arial" w:hAnsi="Arial" w:cs="Arial"/>
      <w:b/>
      <w:bCs/>
      <w:sz w:val="18"/>
      <w:szCs w:val="18"/>
      <w:u w:val="none"/>
      <w:shd w:val="clear" w:color="auto" w:fill="FFFFFF"/>
    </w:rPr>
  </w:style>
  <w:style w:type="paragraph" w:styleId="Piedepgina">
    <w:name w:val="footer"/>
    <w:basedOn w:val="Normal"/>
    <w:link w:val="PiedepginaCar"/>
    <w:uiPriority w:val="99"/>
    <w:unhideWhenUsed/>
    <w:rsid w:val="006A3DBB"/>
    <w:pPr>
      <w:tabs>
        <w:tab w:val="center" w:pos="4419"/>
        <w:tab w:val="right" w:pos="8838"/>
      </w:tabs>
    </w:pPr>
  </w:style>
  <w:style w:type="character" w:customStyle="1" w:styleId="PiedepginaCar">
    <w:name w:val="Pie de página Car"/>
    <w:basedOn w:val="Fuentedeprrafopredeter"/>
    <w:link w:val="Piedepgina"/>
    <w:uiPriority w:val="99"/>
    <w:rsid w:val="006A3DB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D58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8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2710</Words>
  <Characters>14910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2017-12-27T16:29:00Z</cp:lastPrinted>
  <dcterms:created xsi:type="dcterms:W3CDTF">2018-01-04T15:46:00Z</dcterms:created>
  <dcterms:modified xsi:type="dcterms:W3CDTF">2018-01-04T15:46:00Z</dcterms:modified>
</cp:coreProperties>
</file>