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CBA" w:rsidRPr="00787AE7" w:rsidRDefault="00787AE7" w:rsidP="00483BFD">
      <w:pPr>
        <w:pStyle w:val="Encabezado"/>
        <w:tabs>
          <w:tab w:val="clear" w:pos="8504"/>
          <w:tab w:val="left" w:pos="0"/>
          <w:tab w:val="left" w:pos="2977"/>
          <w:tab w:val="right" w:pos="9356"/>
        </w:tabs>
        <w:ind w:left="0"/>
        <w:jc w:val="both"/>
        <w:rPr>
          <w:rFonts w:ascii="Bookman Old Style" w:hAnsi="Bookman Old Style"/>
          <w:color w:val="000000" w:themeColor="text1"/>
          <w:szCs w:val="24"/>
          <w:lang w:val="es-ES"/>
        </w:rPr>
      </w:pPr>
      <w:bookmarkStart w:id="0" w:name="_GoBack"/>
      <w:bookmarkEnd w:id="0"/>
      <w:r w:rsidRPr="00787AE7">
        <w:rPr>
          <w:rFonts w:ascii="Bookman Old Style" w:hAnsi="Bookman Old Style"/>
          <w:noProof/>
          <w:color w:val="000000" w:themeColor="text1"/>
          <w:szCs w:val="24"/>
          <w:lang w:eastAsia="es-CO"/>
        </w:rPr>
        <w:drawing>
          <wp:anchor distT="0" distB="0" distL="114300" distR="114300" simplePos="0" relativeHeight="251658240" behindDoc="0" locked="0" layoutInCell="1" allowOverlap="1" wp14:anchorId="7CDFF2D4" wp14:editId="36739F7C">
            <wp:simplePos x="0" y="0"/>
            <wp:positionH relativeFrom="column">
              <wp:posOffset>2560955</wp:posOffset>
            </wp:positionH>
            <wp:positionV relativeFrom="paragraph">
              <wp:posOffset>-603250</wp:posOffset>
            </wp:positionV>
            <wp:extent cx="666750" cy="61912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rsidR="00625DC6" w:rsidRPr="00787AE7" w:rsidRDefault="00625DC6" w:rsidP="00483BFD">
      <w:pPr>
        <w:pStyle w:val="Encabezado"/>
        <w:tabs>
          <w:tab w:val="clear" w:pos="8504"/>
          <w:tab w:val="left" w:pos="0"/>
          <w:tab w:val="right" w:pos="9356"/>
        </w:tabs>
        <w:ind w:left="0"/>
        <w:jc w:val="both"/>
        <w:rPr>
          <w:rFonts w:ascii="Bookman Old Style" w:hAnsi="Bookman Old Style"/>
          <w:color w:val="000000" w:themeColor="text1"/>
          <w:szCs w:val="24"/>
          <w:lang w:val="es-ES"/>
        </w:rPr>
      </w:pPr>
    </w:p>
    <w:p w:rsidR="00625DC6" w:rsidRPr="00787AE7" w:rsidRDefault="00625DC6" w:rsidP="00483BFD">
      <w:pPr>
        <w:pStyle w:val="Encabezado"/>
        <w:tabs>
          <w:tab w:val="clear" w:pos="8504"/>
          <w:tab w:val="left" w:pos="0"/>
          <w:tab w:val="right" w:pos="9356"/>
        </w:tabs>
        <w:ind w:left="0"/>
        <w:jc w:val="both"/>
        <w:rPr>
          <w:rFonts w:ascii="Bookman Old Style" w:hAnsi="Bookman Old Style"/>
          <w:color w:val="000000" w:themeColor="text1"/>
          <w:szCs w:val="24"/>
          <w:lang w:val="es-ES"/>
        </w:rPr>
      </w:pPr>
    </w:p>
    <w:p w:rsidR="00CA77FB" w:rsidRPr="00787AE7" w:rsidRDefault="00CA77FB" w:rsidP="00483BFD">
      <w:pPr>
        <w:pStyle w:val="Ttulo4"/>
        <w:tabs>
          <w:tab w:val="right" w:pos="9356"/>
        </w:tabs>
        <w:ind w:left="0"/>
        <w:rPr>
          <w:rFonts w:ascii="Bookman Old Style" w:hAnsi="Bookman Old Style"/>
          <w:b w:val="0"/>
          <w:bCs/>
          <w:noProof/>
          <w:color w:val="000000" w:themeColor="text1"/>
          <w:sz w:val="24"/>
          <w:szCs w:val="24"/>
          <w:lang w:val="es-ES"/>
        </w:rPr>
      </w:pPr>
      <w:r w:rsidRPr="00787AE7">
        <w:rPr>
          <w:rFonts w:ascii="Bookman Old Style" w:hAnsi="Bookman Old Style"/>
          <w:b w:val="0"/>
          <w:bCs/>
          <w:color w:val="000000" w:themeColor="text1"/>
          <w:sz w:val="24"/>
          <w:szCs w:val="24"/>
          <w:lang w:val="es-ES"/>
        </w:rPr>
        <w:t>Ministerio de Minas y Energía</w:t>
      </w:r>
    </w:p>
    <w:p w:rsidR="00CA77FB" w:rsidRPr="00787AE7" w:rsidRDefault="00CA77FB" w:rsidP="00483BFD">
      <w:pPr>
        <w:pStyle w:val="Ttulo4"/>
        <w:tabs>
          <w:tab w:val="right" w:pos="9356"/>
        </w:tabs>
        <w:ind w:left="0"/>
        <w:rPr>
          <w:rFonts w:ascii="Bookman Old Style" w:hAnsi="Bookman Old Style"/>
          <w:b w:val="0"/>
          <w:bCs/>
          <w:color w:val="000000" w:themeColor="text1"/>
          <w:sz w:val="24"/>
          <w:szCs w:val="24"/>
          <w:lang w:val="es-ES"/>
        </w:rPr>
      </w:pPr>
    </w:p>
    <w:p w:rsidR="00CA77FB" w:rsidRPr="00787AE7" w:rsidRDefault="00CA77FB" w:rsidP="00483BFD">
      <w:pPr>
        <w:pStyle w:val="Ttulo3"/>
        <w:tabs>
          <w:tab w:val="right" w:pos="9356"/>
        </w:tabs>
        <w:ind w:left="0"/>
        <w:rPr>
          <w:rFonts w:ascii="Bookman Old Style" w:hAnsi="Bookman Old Style" w:cs="Arial"/>
          <w:color w:val="000000" w:themeColor="text1"/>
          <w:spacing w:val="20"/>
          <w:szCs w:val="24"/>
          <w:lang w:val="es-ES"/>
        </w:rPr>
      </w:pPr>
      <w:r w:rsidRPr="00787AE7">
        <w:rPr>
          <w:rFonts w:ascii="Bookman Old Style" w:hAnsi="Bookman Old Style" w:cs="Arial"/>
          <w:color w:val="000000" w:themeColor="text1"/>
          <w:spacing w:val="20"/>
          <w:szCs w:val="24"/>
          <w:lang w:val="es-ES"/>
        </w:rPr>
        <w:t>COMISIÓN DE REGULACIÓN DE ENERGÍA Y GAS</w:t>
      </w:r>
    </w:p>
    <w:p w:rsidR="00CA77FB" w:rsidRPr="00787AE7" w:rsidRDefault="00CA77FB" w:rsidP="00483BFD">
      <w:pPr>
        <w:pStyle w:val="Ttulo5"/>
        <w:tabs>
          <w:tab w:val="right" w:pos="9356"/>
        </w:tabs>
        <w:ind w:left="0"/>
        <w:rPr>
          <w:rFonts w:ascii="Bookman Old Style" w:hAnsi="Bookman Old Style"/>
          <w:color w:val="000000" w:themeColor="text1"/>
          <w:sz w:val="24"/>
          <w:szCs w:val="24"/>
          <w:lang w:val="es-ES"/>
        </w:rPr>
      </w:pPr>
    </w:p>
    <w:p w:rsidR="00CA77FB" w:rsidRPr="00787AE7" w:rsidRDefault="00785730" w:rsidP="00483BFD">
      <w:pPr>
        <w:pStyle w:val="Ttulo5"/>
        <w:tabs>
          <w:tab w:val="left" w:pos="4170"/>
          <w:tab w:val="right" w:pos="9356"/>
        </w:tabs>
        <w:ind w:left="0"/>
        <w:jc w:val="left"/>
        <w:rPr>
          <w:rFonts w:ascii="Bookman Old Style" w:hAnsi="Bookman Old Style"/>
          <w:color w:val="000000" w:themeColor="text1"/>
          <w:sz w:val="24"/>
          <w:szCs w:val="24"/>
          <w:lang w:val="es-ES"/>
        </w:rPr>
      </w:pPr>
      <w:r w:rsidRPr="00787AE7">
        <w:rPr>
          <w:rFonts w:ascii="Bookman Old Style" w:hAnsi="Bookman Old Style"/>
          <w:color w:val="000000" w:themeColor="text1"/>
          <w:sz w:val="24"/>
          <w:szCs w:val="24"/>
          <w:lang w:val="es-ES"/>
        </w:rPr>
        <w:tab/>
      </w:r>
    </w:p>
    <w:p w:rsidR="00CA77FB" w:rsidRPr="00787AE7" w:rsidRDefault="00CA77FB" w:rsidP="00483BFD">
      <w:pPr>
        <w:pStyle w:val="Ttulo5"/>
        <w:tabs>
          <w:tab w:val="right" w:pos="9356"/>
        </w:tabs>
        <w:ind w:left="0"/>
        <w:rPr>
          <w:rFonts w:ascii="Bookman Old Style" w:hAnsi="Bookman Old Style"/>
          <w:color w:val="000000" w:themeColor="text1"/>
          <w:sz w:val="24"/>
          <w:szCs w:val="24"/>
          <w:lang w:val="es-ES"/>
        </w:rPr>
      </w:pPr>
      <w:r w:rsidRPr="00787AE7">
        <w:rPr>
          <w:rFonts w:ascii="Bookman Old Style" w:hAnsi="Bookman Old Style"/>
          <w:color w:val="000000" w:themeColor="text1"/>
          <w:sz w:val="24"/>
          <w:szCs w:val="24"/>
          <w:lang w:val="es-ES"/>
        </w:rPr>
        <w:t xml:space="preserve">RESOLUCIÓN No. </w:t>
      </w:r>
      <w:r w:rsidR="003F599C" w:rsidRPr="00787AE7">
        <w:rPr>
          <w:rFonts w:ascii="Bookman Old Style" w:hAnsi="Bookman Old Style"/>
          <w:color w:val="000000" w:themeColor="text1"/>
          <w:sz w:val="24"/>
          <w:szCs w:val="24"/>
          <w:lang w:val="es-ES"/>
        </w:rPr>
        <w:t xml:space="preserve">             </w:t>
      </w:r>
      <w:r w:rsidRPr="00787AE7">
        <w:rPr>
          <w:rFonts w:ascii="Bookman Old Style" w:hAnsi="Bookman Old Style"/>
          <w:color w:val="000000" w:themeColor="text1"/>
          <w:sz w:val="24"/>
          <w:szCs w:val="24"/>
          <w:lang w:val="es-ES"/>
        </w:rPr>
        <w:t>DE 20</w:t>
      </w:r>
      <w:r w:rsidR="00795BFB" w:rsidRPr="00787AE7">
        <w:rPr>
          <w:rFonts w:ascii="Bookman Old Style" w:hAnsi="Bookman Old Style"/>
          <w:color w:val="000000" w:themeColor="text1"/>
          <w:sz w:val="24"/>
          <w:szCs w:val="24"/>
          <w:lang w:val="es-ES"/>
        </w:rPr>
        <w:t>1</w:t>
      </w:r>
      <w:r w:rsidR="008160BF" w:rsidRPr="00787AE7">
        <w:rPr>
          <w:rFonts w:ascii="Bookman Old Style" w:hAnsi="Bookman Old Style"/>
          <w:color w:val="000000" w:themeColor="text1"/>
          <w:sz w:val="24"/>
          <w:szCs w:val="24"/>
          <w:lang w:val="es-ES"/>
        </w:rPr>
        <w:t>6</w:t>
      </w:r>
    </w:p>
    <w:p w:rsidR="00CA77FB" w:rsidRPr="00787AE7" w:rsidRDefault="00CA77FB" w:rsidP="00483BFD">
      <w:pPr>
        <w:tabs>
          <w:tab w:val="right" w:pos="9356"/>
        </w:tabs>
        <w:ind w:left="0"/>
        <w:jc w:val="center"/>
        <w:rPr>
          <w:rFonts w:ascii="Bookman Old Style" w:hAnsi="Bookman Old Style" w:cs="Arial"/>
          <w:b/>
          <w:snapToGrid w:val="0"/>
          <w:color w:val="000000" w:themeColor="text1"/>
        </w:rPr>
      </w:pPr>
    </w:p>
    <w:p w:rsidR="00CA77FB" w:rsidRPr="00787AE7" w:rsidRDefault="00CA77FB" w:rsidP="00483BFD">
      <w:pPr>
        <w:pStyle w:val="Ttulo3"/>
        <w:tabs>
          <w:tab w:val="right" w:pos="9356"/>
        </w:tabs>
        <w:ind w:left="0"/>
        <w:rPr>
          <w:rFonts w:ascii="Bookman Old Style" w:hAnsi="Bookman Old Style"/>
          <w:b w:val="0"/>
          <w:color w:val="000000" w:themeColor="text1"/>
          <w:szCs w:val="24"/>
          <w:lang w:val="es-ES"/>
        </w:rPr>
      </w:pPr>
      <w:r w:rsidRPr="00787AE7">
        <w:rPr>
          <w:rFonts w:ascii="Bookman Old Style" w:hAnsi="Bookman Old Style"/>
          <w:b w:val="0"/>
          <w:color w:val="000000" w:themeColor="text1"/>
          <w:szCs w:val="24"/>
          <w:lang w:val="es-ES"/>
        </w:rPr>
        <w:t>(</w:t>
      </w:r>
      <w:r w:rsidR="00002F79" w:rsidRPr="00787AE7">
        <w:rPr>
          <w:rFonts w:ascii="Bookman Old Style" w:hAnsi="Bookman Old Style"/>
          <w:b w:val="0"/>
          <w:color w:val="000000" w:themeColor="text1"/>
          <w:szCs w:val="24"/>
          <w:lang w:val="es-ES"/>
        </w:rPr>
        <w:t xml:space="preserve">  </w:t>
      </w:r>
      <w:r w:rsidR="003F599C" w:rsidRPr="00787AE7">
        <w:rPr>
          <w:rFonts w:ascii="Bookman Old Style" w:hAnsi="Bookman Old Style"/>
          <w:b w:val="0"/>
          <w:color w:val="000000" w:themeColor="text1"/>
          <w:szCs w:val="24"/>
          <w:lang w:val="es-ES"/>
        </w:rPr>
        <w:t xml:space="preserve">                          </w:t>
      </w:r>
      <w:r w:rsidR="00002F79" w:rsidRPr="00787AE7">
        <w:rPr>
          <w:rFonts w:ascii="Bookman Old Style" w:hAnsi="Bookman Old Style"/>
          <w:b w:val="0"/>
          <w:color w:val="000000" w:themeColor="text1"/>
          <w:szCs w:val="24"/>
          <w:lang w:val="es-ES"/>
        </w:rPr>
        <w:t xml:space="preserve">      </w:t>
      </w:r>
      <w:r w:rsidRPr="00787AE7">
        <w:rPr>
          <w:rFonts w:ascii="Bookman Old Style" w:hAnsi="Bookman Old Style"/>
          <w:b w:val="0"/>
          <w:color w:val="000000" w:themeColor="text1"/>
          <w:szCs w:val="24"/>
          <w:lang w:val="es-ES"/>
        </w:rPr>
        <w:t>)</w:t>
      </w:r>
    </w:p>
    <w:p w:rsidR="008160BF" w:rsidRPr="00787AE7" w:rsidRDefault="008160BF" w:rsidP="008160BF">
      <w:pPr>
        <w:tabs>
          <w:tab w:val="left" w:pos="0"/>
          <w:tab w:val="right" w:pos="9356"/>
        </w:tabs>
        <w:ind w:left="0"/>
        <w:jc w:val="center"/>
        <w:rPr>
          <w:rFonts w:ascii="Bookman Old Style" w:hAnsi="Bookman Old Style"/>
          <w:lang w:val="es-ES_tradnl"/>
        </w:rPr>
      </w:pPr>
    </w:p>
    <w:p w:rsidR="008160BF" w:rsidRPr="00787AE7" w:rsidRDefault="008160BF" w:rsidP="008160BF">
      <w:pPr>
        <w:tabs>
          <w:tab w:val="left" w:pos="0"/>
          <w:tab w:val="right" w:pos="9356"/>
        </w:tabs>
        <w:ind w:left="0"/>
        <w:jc w:val="center"/>
        <w:rPr>
          <w:rFonts w:ascii="Bookman Old Style" w:hAnsi="Bookman Old Style"/>
          <w:lang w:val="es-ES_tradnl"/>
        </w:rPr>
      </w:pPr>
    </w:p>
    <w:p w:rsidR="008160BF" w:rsidRPr="00787AE7" w:rsidRDefault="008160BF" w:rsidP="008160BF">
      <w:pPr>
        <w:ind w:left="0"/>
        <w:rPr>
          <w:rFonts w:ascii="Bookman Old Style" w:hAnsi="Bookman Old Style"/>
          <w:bCs/>
          <w:lang w:val="es-CO"/>
        </w:rPr>
      </w:pPr>
    </w:p>
    <w:p w:rsidR="008160BF" w:rsidRPr="00787AE7" w:rsidRDefault="008160BF" w:rsidP="008160BF">
      <w:pPr>
        <w:ind w:left="0"/>
        <w:jc w:val="center"/>
        <w:rPr>
          <w:rFonts w:ascii="Bookman Old Style" w:hAnsi="Bookman Old Style"/>
        </w:rPr>
      </w:pPr>
      <w:r w:rsidRPr="00787AE7">
        <w:rPr>
          <w:rFonts w:ascii="Bookman Old Style" w:hAnsi="Bookman Old Style"/>
        </w:rPr>
        <w:t>Por la cual se ordena hacer público un proyecto de resolución “</w:t>
      </w:r>
      <w:r w:rsidR="00261DCE" w:rsidRPr="00787AE7">
        <w:rPr>
          <w:rFonts w:ascii="Bookman Old Style" w:hAnsi="Bookman Old Style"/>
        </w:rPr>
        <w:t xml:space="preserve">Por la cual se </w:t>
      </w:r>
      <w:r w:rsidR="00122C0E" w:rsidRPr="00787AE7">
        <w:rPr>
          <w:rFonts w:ascii="Bookman Old Style" w:hAnsi="Bookman Old Style"/>
        </w:rPr>
        <w:t xml:space="preserve">modifica </w:t>
      </w:r>
      <w:r w:rsidR="00261DCE" w:rsidRPr="00787AE7">
        <w:rPr>
          <w:rFonts w:ascii="Bookman Old Style" w:hAnsi="Bookman Old Style"/>
        </w:rPr>
        <w:t>el Anexo 2</w:t>
      </w:r>
      <w:r w:rsidR="00122C0E" w:rsidRPr="00787AE7">
        <w:rPr>
          <w:rFonts w:ascii="Bookman Old Style" w:hAnsi="Bookman Old Style"/>
        </w:rPr>
        <w:t xml:space="preserve"> de la </w:t>
      </w:r>
      <w:r w:rsidR="00261DCE" w:rsidRPr="00787AE7">
        <w:rPr>
          <w:rFonts w:ascii="Bookman Old Style" w:hAnsi="Bookman Old Style"/>
        </w:rPr>
        <w:t>Resolución CREG 089 de 2013</w:t>
      </w:r>
      <w:r w:rsidRPr="00787AE7">
        <w:rPr>
          <w:rFonts w:ascii="Bookman Old Style" w:hAnsi="Bookman Old Style"/>
        </w:rPr>
        <w:t xml:space="preserve">” </w:t>
      </w:r>
    </w:p>
    <w:p w:rsidR="008160BF" w:rsidRPr="00787AE7" w:rsidRDefault="008160BF" w:rsidP="008160BF">
      <w:pPr>
        <w:ind w:right="51"/>
        <w:rPr>
          <w:rFonts w:ascii="Bookman Old Style" w:hAnsi="Bookman Old Style"/>
        </w:rPr>
      </w:pPr>
    </w:p>
    <w:p w:rsidR="008160BF" w:rsidRPr="00787AE7" w:rsidRDefault="008160BF" w:rsidP="008160BF">
      <w:pPr>
        <w:ind w:right="51"/>
        <w:rPr>
          <w:rFonts w:ascii="Bookman Old Style" w:hAnsi="Bookman Old Style"/>
        </w:rPr>
      </w:pPr>
    </w:p>
    <w:p w:rsidR="008160BF" w:rsidRPr="00787AE7" w:rsidRDefault="008160BF" w:rsidP="008160BF">
      <w:pPr>
        <w:ind w:right="51"/>
        <w:jc w:val="center"/>
        <w:rPr>
          <w:rFonts w:ascii="Bookman Old Style" w:hAnsi="Bookman Old Style"/>
          <w:b/>
        </w:rPr>
      </w:pPr>
      <w:r w:rsidRPr="00787AE7">
        <w:rPr>
          <w:rFonts w:ascii="Bookman Old Style" w:hAnsi="Bookman Old Style"/>
          <w:b/>
        </w:rPr>
        <w:t>LA COMISIÓN DE REGULACIÓN DE  ENERGÍA Y GAS</w:t>
      </w:r>
    </w:p>
    <w:p w:rsidR="008160BF" w:rsidRPr="00787AE7" w:rsidRDefault="008160BF" w:rsidP="008160BF">
      <w:pPr>
        <w:ind w:left="0" w:right="51"/>
        <w:rPr>
          <w:rFonts w:ascii="Bookman Old Style" w:hAnsi="Bookman Old Style"/>
        </w:rPr>
      </w:pPr>
    </w:p>
    <w:p w:rsidR="008160BF" w:rsidRPr="00787AE7" w:rsidRDefault="008160BF" w:rsidP="008160BF">
      <w:pPr>
        <w:ind w:left="0" w:right="51"/>
        <w:rPr>
          <w:rFonts w:ascii="Bookman Old Style" w:hAnsi="Bookman Old Style"/>
        </w:rPr>
      </w:pPr>
    </w:p>
    <w:p w:rsidR="00351CB1" w:rsidRPr="00787AE7" w:rsidRDefault="00351CB1" w:rsidP="00351CB1">
      <w:pPr>
        <w:ind w:left="0"/>
        <w:jc w:val="center"/>
        <w:rPr>
          <w:rFonts w:ascii="Bookman Old Style" w:hAnsi="Bookman Old Style" w:cs="Arial"/>
          <w:color w:val="000000" w:themeColor="text1"/>
          <w:lang w:eastAsia="es-CO"/>
        </w:rPr>
      </w:pPr>
      <w:r w:rsidRPr="00787AE7">
        <w:rPr>
          <w:rFonts w:ascii="Bookman Old Style" w:hAnsi="Bookman Old Style" w:cs="Arial"/>
          <w:color w:val="000000" w:themeColor="text1"/>
          <w:lang w:eastAsia="es-CO"/>
        </w:rPr>
        <w:t>En ejercicio de sus atribuciones legales, en especial las conferidas por la Ley 142 de 1994, y en desarrollo de los Decretos 2253 de 1994 y 1260 de 2013, y</w:t>
      </w:r>
    </w:p>
    <w:p w:rsidR="008160BF" w:rsidRPr="00787AE7" w:rsidRDefault="008160BF" w:rsidP="008160BF">
      <w:pPr>
        <w:ind w:right="51"/>
        <w:rPr>
          <w:rFonts w:ascii="Bookman Old Style" w:hAnsi="Bookman Old Style"/>
        </w:rPr>
      </w:pPr>
    </w:p>
    <w:p w:rsidR="008160BF" w:rsidRPr="00787AE7" w:rsidRDefault="008160BF" w:rsidP="008160BF">
      <w:pPr>
        <w:ind w:right="51"/>
        <w:rPr>
          <w:rFonts w:ascii="Bookman Old Style" w:hAnsi="Bookman Old Style"/>
        </w:rPr>
      </w:pPr>
    </w:p>
    <w:p w:rsidR="008160BF" w:rsidRPr="00787AE7" w:rsidRDefault="008160BF" w:rsidP="008160BF">
      <w:pPr>
        <w:ind w:right="51"/>
        <w:jc w:val="center"/>
        <w:rPr>
          <w:rFonts w:ascii="Bookman Old Style" w:hAnsi="Bookman Old Style"/>
          <w:b/>
        </w:rPr>
      </w:pPr>
      <w:r w:rsidRPr="00787AE7">
        <w:rPr>
          <w:rFonts w:ascii="Bookman Old Style" w:hAnsi="Bookman Old Style"/>
          <w:b/>
        </w:rPr>
        <w:t>C O N S I D E R A N D O  Q U E:</w:t>
      </w:r>
    </w:p>
    <w:p w:rsidR="008160BF" w:rsidRPr="00787AE7" w:rsidRDefault="008160BF" w:rsidP="008160BF">
      <w:pPr>
        <w:ind w:right="51"/>
        <w:jc w:val="center"/>
        <w:rPr>
          <w:rFonts w:ascii="Bookman Old Style" w:hAnsi="Bookman Old Style"/>
          <w:b/>
        </w:rPr>
      </w:pPr>
    </w:p>
    <w:p w:rsidR="008160BF" w:rsidRPr="00787AE7" w:rsidRDefault="008160BF" w:rsidP="008160BF">
      <w:pPr>
        <w:ind w:right="51"/>
        <w:jc w:val="center"/>
        <w:rPr>
          <w:rFonts w:ascii="Bookman Old Style" w:hAnsi="Bookman Old Style"/>
          <w:b/>
        </w:rPr>
      </w:pPr>
    </w:p>
    <w:p w:rsidR="008160BF" w:rsidRPr="00787AE7" w:rsidRDefault="00476755" w:rsidP="008160BF">
      <w:pPr>
        <w:tabs>
          <w:tab w:val="left" w:pos="0"/>
        </w:tabs>
        <w:ind w:left="0"/>
        <w:jc w:val="both"/>
        <w:rPr>
          <w:rFonts w:ascii="Bookman Old Style" w:hAnsi="Bookman Old Style" w:cs="Arial"/>
        </w:rPr>
      </w:pPr>
      <w:r w:rsidRPr="00787AE7">
        <w:rPr>
          <w:rFonts w:ascii="Bookman Old Style" w:hAnsi="Bookman Old Style" w:cs="Arial"/>
        </w:rPr>
        <w:t>Conforme a lo dispuesto por el artículo 8 del Código de Procedimiento Administrativo y de lo Contencioso Administrativo, así como de acuerdo con lo establecido en  el Decreto 2696 de 2004, el cual ha sido compilado en los numerales 2.2.13.1 y siguientes del Decreto 1078 de 2015, la Comisión debe hacer público en su página web todos los proyectos de resolución de carácter general que pretenda adoptar.</w:t>
      </w:r>
    </w:p>
    <w:p w:rsidR="008160BF" w:rsidRPr="00787AE7" w:rsidRDefault="008160BF" w:rsidP="008160BF">
      <w:pPr>
        <w:tabs>
          <w:tab w:val="left" w:pos="0"/>
        </w:tabs>
        <w:ind w:left="0"/>
        <w:jc w:val="both"/>
        <w:rPr>
          <w:rFonts w:ascii="Bookman Old Style" w:hAnsi="Bookman Old Style" w:cs="Arial"/>
        </w:rPr>
      </w:pPr>
    </w:p>
    <w:p w:rsidR="008160BF" w:rsidRPr="00787AE7" w:rsidRDefault="008160BF" w:rsidP="008160BF">
      <w:pPr>
        <w:tabs>
          <w:tab w:val="left" w:pos="0"/>
        </w:tabs>
        <w:ind w:left="0"/>
        <w:jc w:val="both"/>
        <w:rPr>
          <w:rFonts w:ascii="Bookman Old Style" w:hAnsi="Bookman Old Style"/>
        </w:rPr>
      </w:pPr>
      <w:r w:rsidRPr="00787AE7">
        <w:rPr>
          <w:rFonts w:ascii="Bookman Old Style" w:hAnsi="Bookman Old Style"/>
        </w:rPr>
        <w:t xml:space="preserve">La </w:t>
      </w:r>
      <w:r w:rsidRPr="00787AE7">
        <w:rPr>
          <w:rFonts w:ascii="Bookman Old Style" w:hAnsi="Bookman Old Style" w:cs="Arial"/>
        </w:rPr>
        <w:t>Comisión</w:t>
      </w:r>
      <w:r w:rsidRPr="00787AE7">
        <w:rPr>
          <w:rFonts w:ascii="Bookman Old Style" w:hAnsi="Bookman Old Style"/>
        </w:rPr>
        <w:t xml:space="preserve"> de Regulación de Energía y Gas, en su sesión No. </w:t>
      </w:r>
      <w:r w:rsidR="003F599C" w:rsidRPr="00787AE7">
        <w:rPr>
          <w:rFonts w:ascii="Bookman Old Style" w:hAnsi="Bookman Old Style"/>
        </w:rPr>
        <w:t xml:space="preserve">728 </w:t>
      </w:r>
      <w:r w:rsidRPr="00787AE7">
        <w:rPr>
          <w:rFonts w:ascii="Bookman Old Style" w:hAnsi="Bookman Old Style"/>
        </w:rPr>
        <w:t>del</w:t>
      </w:r>
      <w:r w:rsidR="004F5405" w:rsidRPr="00787AE7">
        <w:rPr>
          <w:rFonts w:ascii="Bookman Old Style" w:hAnsi="Bookman Old Style"/>
        </w:rPr>
        <w:t xml:space="preserve"> </w:t>
      </w:r>
      <w:r w:rsidR="003F599C" w:rsidRPr="00787AE7">
        <w:rPr>
          <w:rFonts w:ascii="Bookman Old Style" w:hAnsi="Bookman Old Style"/>
        </w:rPr>
        <w:t>16</w:t>
      </w:r>
      <w:r w:rsidRPr="00787AE7">
        <w:rPr>
          <w:rFonts w:ascii="Bookman Old Style" w:hAnsi="Bookman Old Style"/>
        </w:rPr>
        <w:t xml:space="preserve"> de  </w:t>
      </w:r>
      <w:r w:rsidR="003F599C" w:rsidRPr="00787AE7">
        <w:rPr>
          <w:rFonts w:ascii="Bookman Old Style" w:hAnsi="Bookman Old Style"/>
        </w:rPr>
        <w:t>agosto</w:t>
      </w:r>
      <w:r w:rsidRPr="00787AE7">
        <w:rPr>
          <w:rFonts w:ascii="Bookman Old Style" w:hAnsi="Bookman Old Style"/>
        </w:rPr>
        <w:t xml:space="preserve"> de 2016, aprobó hacer público el proyecto de resolución </w:t>
      </w:r>
      <w:r w:rsidR="00351CB1" w:rsidRPr="00787AE7">
        <w:rPr>
          <w:rFonts w:ascii="Bookman Old Style" w:hAnsi="Bookman Old Style"/>
        </w:rPr>
        <w:t>“</w:t>
      </w:r>
      <w:r w:rsidR="00261DCE" w:rsidRPr="00787AE7">
        <w:rPr>
          <w:rFonts w:ascii="Bookman Old Style" w:hAnsi="Bookman Old Style"/>
        </w:rPr>
        <w:t xml:space="preserve">Por la cual se </w:t>
      </w:r>
      <w:r w:rsidR="00122C0E" w:rsidRPr="00787AE7">
        <w:rPr>
          <w:rFonts w:ascii="Bookman Old Style" w:hAnsi="Bookman Old Style"/>
        </w:rPr>
        <w:t xml:space="preserve">modifica </w:t>
      </w:r>
      <w:r w:rsidR="00261DCE" w:rsidRPr="00787AE7">
        <w:rPr>
          <w:rFonts w:ascii="Bookman Old Style" w:hAnsi="Bookman Old Style"/>
        </w:rPr>
        <w:t>el Anexo 2</w:t>
      </w:r>
      <w:r w:rsidR="004F5405" w:rsidRPr="00787AE7">
        <w:rPr>
          <w:rFonts w:ascii="Bookman Old Style" w:hAnsi="Bookman Old Style"/>
        </w:rPr>
        <w:t xml:space="preserve"> </w:t>
      </w:r>
      <w:r w:rsidR="00261DCE" w:rsidRPr="00787AE7">
        <w:rPr>
          <w:rFonts w:ascii="Bookman Old Style" w:hAnsi="Bookman Old Style"/>
        </w:rPr>
        <w:t>de la Resolución CREG 089 de 2013</w:t>
      </w:r>
      <w:r w:rsidR="00351CB1" w:rsidRPr="00787AE7">
        <w:rPr>
          <w:rFonts w:ascii="Bookman Old Style" w:hAnsi="Bookman Old Style"/>
        </w:rPr>
        <w:t>”</w:t>
      </w:r>
      <w:r w:rsidRPr="00787AE7">
        <w:rPr>
          <w:rFonts w:ascii="Bookman Old Style" w:hAnsi="Bookman Old Style"/>
        </w:rPr>
        <w:t>.</w:t>
      </w:r>
    </w:p>
    <w:p w:rsidR="008160BF" w:rsidRPr="00787AE7" w:rsidRDefault="008160BF" w:rsidP="008160BF">
      <w:pPr>
        <w:pStyle w:val="Prrafodelista"/>
        <w:tabs>
          <w:tab w:val="left" w:pos="0"/>
        </w:tabs>
        <w:ind w:left="720"/>
        <w:jc w:val="both"/>
        <w:rPr>
          <w:rFonts w:ascii="Bookman Old Style" w:hAnsi="Bookman Old Style"/>
          <w:sz w:val="22"/>
          <w:szCs w:val="22"/>
          <w:lang w:val="es-ES"/>
        </w:rPr>
      </w:pPr>
    </w:p>
    <w:p w:rsidR="008160BF" w:rsidRPr="00787AE7" w:rsidRDefault="008160BF" w:rsidP="008160BF">
      <w:pPr>
        <w:pStyle w:val="Prrafodelista"/>
        <w:tabs>
          <w:tab w:val="left" w:pos="0"/>
        </w:tabs>
        <w:ind w:left="720"/>
        <w:jc w:val="both"/>
        <w:rPr>
          <w:rFonts w:ascii="Bookman Old Style" w:hAnsi="Bookman Old Style"/>
          <w:sz w:val="22"/>
          <w:szCs w:val="22"/>
        </w:rPr>
      </w:pPr>
    </w:p>
    <w:p w:rsidR="008160BF" w:rsidRPr="00787AE7" w:rsidRDefault="008160BF" w:rsidP="008160BF">
      <w:pPr>
        <w:suppressAutoHyphens/>
        <w:jc w:val="center"/>
        <w:rPr>
          <w:rFonts w:ascii="Bookman Old Style" w:hAnsi="Bookman Old Style"/>
          <w:spacing w:val="-3"/>
        </w:rPr>
      </w:pPr>
      <w:r w:rsidRPr="00787AE7">
        <w:rPr>
          <w:rFonts w:ascii="Bookman Old Style" w:hAnsi="Bookman Old Style"/>
          <w:b/>
          <w:spacing w:val="-3"/>
        </w:rPr>
        <w:t>R E S U E L V E:</w:t>
      </w:r>
    </w:p>
    <w:p w:rsidR="008160BF" w:rsidRPr="00787AE7" w:rsidRDefault="008160BF" w:rsidP="008160BF">
      <w:pPr>
        <w:jc w:val="center"/>
        <w:rPr>
          <w:rFonts w:ascii="Bookman Old Style" w:hAnsi="Bookman Old Style"/>
        </w:rPr>
      </w:pPr>
    </w:p>
    <w:p w:rsidR="008160BF" w:rsidRPr="00787AE7" w:rsidRDefault="008160BF" w:rsidP="008160BF">
      <w:pPr>
        <w:jc w:val="center"/>
        <w:rPr>
          <w:rFonts w:ascii="Bookman Old Style" w:hAnsi="Bookman Old Style"/>
        </w:rPr>
      </w:pPr>
    </w:p>
    <w:p w:rsidR="008160BF" w:rsidRPr="00787AE7" w:rsidRDefault="008160BF" w:rsidP="008160BF">
      <w:pPr>
        <w:tabs>
          <w:tab w:val="left" w:pos="0"/>
        </w:tabs>
        <w:ind w:left="0"/>
        <w:jc w:val="both"/>
        <w:rPr>
          <w:rFonts w:ascii="Bookman Old Style" w:hAnsi="Bookman Old Style"/>
        </w:rPr>
      </w:pPr>
      <w:r w:rsidRPr="00787AE7">
        <w:rPr>
          <w:rFonts w:ascii="Bookman Old Style" w:hAnsi="Bookman Old Style" w:cs="Arial"/>
          <w:b/>
          <w:bCs/>
          <w:szCs w:val="27"/>
        </w:rPr>
        <w:t>A</w:t>
      </w:r>
      <w:r w:rsidR="001C0FA0" w:rsidRPr="00787AE7">
        <w:rPr>
          <w:rFonts w:ascii="Bookman Old Style" w:hAnsi="Bookman Old Style" w:cs="Arial"/>
          <w:b/>
          <w:bCs/>
          <w:szCs w:val="27"/>
        </w:rPr>
        <w:t xml:space="preserve">rtículo </w:t>
      </w:r>
      <w:r w:rsidRPr="00787AE7">
        <w:rPr>
          <w:rFonts w:ascii="Bookman Old Style" w:hAnsi="Bookman Old Style" w:cs="Arial"/>
          <w:b/>
          <w:bCs/>
          <w:szCs w:val="27"/>
        </w:rPr>
        <w:t>1</w:t>
      </w:r>
      <w:r w:rsidRPr="00787AE7">
        <w:rPr>
          <w:rFonts w:ascii="Bookman Old Style" w:hAnsi="Bookman Old Style" w:cs="Arial"/>
          <w:szCs w:val="27"/>
        </w:rPr>
        <w:t xml:space="preserve">. Hágase público el siguiente  proyecto  de resolución </w:t>
      </w:r>
      <w:r w:rsidR="00351CB1" w:rsidRPr="00787AE7">
        <w:rPr>
          <w:rFonts w:ascii="Bookman Old Style" w:hAnsi="Bookman Old Style"/>
        </w:rPr>
        <w:t>“</w:t>
      </w:r>
      <w:r w:rsidR="00261DCE" w:rsidRPr="00787AE7">
        <w:rPr>
          <w:rFonts w:ascii="Bookman Old Style" w:hAnsi="Bookman Old Style"/>
        </w:rPr>
        <w:t xml:space="preserve">Por la cual se </w:t>
      </w:r>
      <w:r w:rsidR="00122C0E" w:rsidRPr="00787AE7">
        <w:rPr>
          <w:rFonts w:ascii="Bookman Old Style" w:hAnsi="Bookman Old Style"/>
        </w:rPr>
        <w:t xml:space="preserve">modifica el </w:t>
      </w:r>
      <w:r w:rsidR="00261DCE" w:rsidRPr="00787AE7">
        <w:rPr>
          <w:rFonts w:ascii="Bookman Old Style" w:hAnsi="Bookman Old Style"/>
        </w:rPr>
        <w:t>Anexo 2</w:t>
      </w:r>
      <w:r w:rsidR="004F5405" w:rsidRPr="00787AE7">
        <w:rPr>
          <w:rFonts w:ascii="Bookman Old Style" w:hAnsi="Bookman Old Style"/>
        </w:rPr>
        <w:t xml:space="preserve"> </w:t>
      </w:r>
      <w:r w:rsidR="00261DCE" w:rsidRPr="00787AE7">
        <w:rPr>
          <w:rFonts w:ascii="Bookman Old Style" w:hAnsi="Bookman Old Style"/>
        </w:rPr>
        <w:t>de la Resolución CREG 089 de 2013</w:t>
      </w:r>
      <w:r w:rsidR="00351CB1" w:rsidRPr="00787AE7">
        <w:rPr>
          <w:rFonts w:ascii="Bookman Old Style" w:hAnsi="Bookman Old Style"/>
        </w:rPr>
        <w:t>”</w:t>
      </w:r>
      <w:r w:rsidRPr="00787AE7">
        <w:rPr>
          <w:rFonts w:ascii="Bookman Old Style" w:hAnsi="Bookman Old Style"/>
        </w:rPr>
        <w:t>.</w:t>
      </w:r>
    </w:p>
    <w:p w:rsidR="008160BF" w:rsidRPr="00787AE7" w:rsidRDefault="008160BF" w:rsidP="008160BF">
      <w:pPr>
        <w:tabs>
          <w:tab w:val="left" w:pos="0"/>
        </w:tabs>
        <w:ind w:left="0"/>
        <w:jc w:val="both"/>
        <w:rPr>
          <w:rFonts w:ascii="Bookman Old Style" w:hAnsi="Bookman Old Style" w:cs="Arial"/>
          <w:i/>
          <w:szCs w:val="27"/>
        </w:rPr>
      </w:pPr>
    </w:p>
    <w:p w:rsidR="008160BF" w:rsidRPr="00787AE7" w:rsidRDefault="008160BF" w:rsidP="008160BF">
      <w:pPr>
        <w:tabs>
          <w:tab w:val="left" w:pos="0"/>
        </w:tabs>
        <w:ind w:left="0" w:right="45"/>
        <w:jc w:val="both"/>
        <w:rPr>
          <w:rFonts w:ascii="Bookman Old Style" w:hAnsi="Bookman Old Style" w:cs="Arial"/>
          <w:szCs w:val="27"/>
        </w:rPr>
      </w:pPr>
      <w:r w:rsidRPr="00787AE7">
        <w:rPr>
          <w:rFonts w:ascii="Bookman Old Style" w:hAnsi="Bookman Old Style" w:cs="Arial"/>
          <w:b/>
          <w:bCs/>
          <w:szCs w:val="27"/>
        </w:rPr>
        <w:t>A</w:t>
      </w:r>
      <w:r w:rsidR="001C0FA0" w:rsidRPr="00787AE7">
        <w:rPr>
          <w:rFonts w:ascii="Bookman Old Style" w:hAnsi="Bookman Old Style" w:cs="Arial"/>
          <w:b/>
          <w:bCs/>
          <w:szCs w:val="27"/>
        </w:rPr>
        <w:t xml:space="preserve">rtículo </w:t>
      </w:r>
      <w:r w:rsidRPr="00787AE7">
        <w:rPr>
          <w:rFonts w:ascii="Bookman Old Style" w:hAnsi="Bookman Old Style" w:cs="Arial"/>
          <w:b/>
          <w:bCs/>
          <w:szCs w:val="27"/>
        </w:rPr>
        <w:t>2.</w:t>
      </w:r>
      <w:r w:rsidR="00E74E7D" w:rsidRPr="00787AE7">
        <w:rPr>
          <w:rFonts w:ascii="Bookman Old Style" w:hAnsi="Bookman Old Style" w:cs="Arial"/>
          <w:b/>
          <w:bCs/>
          <w:szCs w:val="27"/>
        </w:rPr>
        <w:t xml:space="preserve"> </w:t>
      </w:r>
      <w:r w:rsidRPr="00787AE7">
        <w:rPr>
          <w:rFonts w:ascii="Bookman Old Style" w:hAnsi="Bookman Old Style" w:cs="Arial"/>
          <w:lang w:val="es-CO" w:eastAsia="es-CO"/>
        </w:rPr>
        <w:t xml:space="preserve">Se invita a los agentes, a los usuarios, a las autoridades competentes, a la Superintendencia de Servicios Públicos Domiciliarios y a la Superintendencia de Industria y Comercio, para que remitan sus observaciones o sugerencias sobre la propuesta, dentro de </w:t>
      </w:r>
      <w:r w:rsidR="00351CB1" w:rsidRPr="00787AE7">
        <w:rPr>
          <w:rFonts w:ascii="Bookman Old Style" w:hAnsi="Bookman Old Style" w:cs="Arial"/>
          <w:lang w:val="es-CO" w:eastAsia="es-CO"/>
        </w:rPr>
        <w:t>los treinta</w:t>
      </w:r>
      <w:r w:rsidRPr="00787AE7">
        <w:rPr>
          <w:rFonts w:ascii="Bookman Old Style" w:hAnsi="Bookman Old Style" w:cs="Arial"/>
          <w:lang w:val="es-CO" w:eastAsia="es-CO"/>
        </w:rPr>
        <w:t xml:space="preserve"> (</w:t>
      </w:r>
      <w:r w:rsidR="00351CB1" w:rsidRPr="00787AE7">
        <w:rPr>
          <w:rFonts w:ascii="Bookman Old Style" w:hAnsi="Bookman Old Style" w:cs="Arial"/>
          <w:lang w:val="es-CO" w:eastAsia="es-CO"/>
        </w:rPr>
        <w:t>3</w:t>
      </w:r>
      <w:r w:rsidRPr="00787AE7">
        <w:rPr>
          <w:rFonts w:ascii="Bookman Old Style" w:hAnsi="Bookman Old Style" w:cs="Arial"/>
          <w:lang w:val="es-CO" w:eastAsia="es-CO"/>
        </w:rPr>
        <w:t xml:space="preserve">0) días </w:t>
      </w:r>
      <w:proofErr w:type="gramStart"/>
      <w:r w:rsidR="00351CB1" w:rsidRPr="00787AE7">
        <w:rPr>
          <w:rFonts w:ascii="Bookman Old Style" w:hAnsi="Bookman Old Style" w:cs="Arial"/>
          <w:lang w:val="es-CO" w:eastAsia="es-CO"/>
        </w:rPr>
        <w:t>calendario</w:t>
      </w:r>
      <w:r w:rsidRPr="00787AE7">
        <w:rPr>
          <w:rFonts w:ascii="Bookman Old Style" w:hAnsi="Bookman Old Style" w:cs="Arial"/>
          <w:lang w:val="es-CO" w:eastAsia="es-CO"/>
        </w:rPr>
        <w:t xml:space="preserve"> siguientes</w:t>
      </w:r>
      <w:proofErr w:type="gramEnd"/>
      <w:r w:rsidRPr="00787AE7">
        <w:rPr>
          <w:rFonts w:ascii="Bookman Old Style" w:hAnsi="Bookman Old Style" w:cs="Arial"/>
          <w:lang w:val="es-CO" w:eastAsia="es-CO"/>
        </w:rPr>
        <w:t xml:space="preserve"> a la </w:t>
      </w:r>
      <w:r w:rsidR="00476755" w:rsidRPr="00787AE7">
        <w:rPr>
          <w:rFonts w:ascii="Bookman Old Style" w:hAnsi="Bookman Old Style" w:cs="Arial"/>
          <w:lang w:val="es-CO" w:eastAsia="es-CO"/>
        </w:rPr>
        <w:t>vigencia de la presente resolución.</w:t>
      </w:r>
    </w:p>
    <w:p w:rsidR="008160BF" w:rsidRPr="00787AE7" w:rsidRDefault="008160BF" w:rsidP="008160BF">
      <w:pPr>
        <w:tabs>
          <w:tab w:val="left" w:pos="0"/>
        </w:tabs>
        <w:ind w:left="0" w:right="45"/>
        <w:jc w:val="both"/>
        <w:rPr>
          <w:rFonts w:ascii="Bookman Old Style" w:hAnsi="Bookman Old Style" w:cs="Arial"/>
          <w:szCs w:val="27"/>
        </w:rPr>
      </w:pPr>
    </w:p>
    <w:p w:rsidR="008160BF" w:rsidRPr="00787AE7" w:rsidRDefault="008160BF" w:rsidP="008160BF">
      <w:pPr>
        <w:tabs>
          <w:tab w:val="left" w:pos="0"/>
        </w:tabs>
        <w:ind w:left="0" w:right="47"/>
        <w:jc w:val="both"/>
        <w:rPr>
          <w:rFonts w:ascii="Bookman Old Style" w:hAnsi="Bookman Old Style" w:cs="Arial"/>
        </w:rPr>
      </w:pPr>
      <w:r w:rsidRPr="00787AE7">
        <w:rPr>
          <w:rFonts w:ascii="Bookman Old Style" w:hAnsi="Bookman Old Style" w:cs="Arial"/>
          <w:b/>
          <w:bCs/>
          <w:szCs w:val="27"/>
        </w:rPr>
        <w:lastRenderedPageBreak/>
        <w:t>A</w:t>
      </w:r>
      <w:r w:rsidR="001C0FA0" w:rsidRPr="00787AE7">
        <w:rPr>
          <w:rFonts w:ascii="Bookman Old Style" w:hAnsi="Bookman Old Style" w:cs="Arial"/>
          <w:b/>
          <w:bCs/>
          <w:szCs w:val="27"/>
        </w:rPr>
        <w:t xml:space="preserve">rtículo </w:t>
      </w:r>
      <w:r w:rsidRPr="00787AE7">
        <w:rPr>
          <w:rFonts w:ascii="Bookman Old Style" w:hAnsi="Bookman Old Style" w:cs="Arial"/>
          <w:b/>
          <w:bCs/>
          <w:szCs w:val="27"/>
        </w:rPr>
        <w:t>3</w:t>
      </w:r>
      <w:r w:rsidRPr="00787AE7">
        <w:rPr>
          <w:rFonts w:ascii="Bookman Old Style" w:hAnsi="Bookman Old Style" w:cs="Arial"/>
          <w:szCs w:val="27"/>
        </w:rPr>
        <w:t xml:space="preserve">. </w:t>
      </w:r>
      <w:r w:rsidR="00476755" w:rsidRPr="00787AE7">
        <w:rPr>
          <w:rFonts w:ascii="Bookman Old Style" w:hAnsi="Bookman Old Style" w:cs="Arial"/>
        </w:rPr>
        <w:t>La presente Resolución</w:t>
      </w:r>
      <w:r w:rsidR="00476755" w:rsidRPr="00787AE7">
        <w:rPr>
          <w:rFonts w:ascii="Bookman Old Style" w:hAnsi="Bookman Old Style"/>
          <w:color w:val="000000" w:themeColor="text1"/>
        </w:rPr>
        <w:t xml:space="preserve"> rige a partir de su publicación en el </w:t>
      </w:r>
      <w:r w:rsidR="00476755" w:rsidRPr="00787AE7">
        <w:rPr>
          <w:rFonts w:ascii="Bookman Old Style" w:hAnsi="Bookman Old Style"/>
          <w:i/>
          <w:color w:val="000000" w:themeColor="text1"/>
        </w:rPr>
        <w:t>Diario Oficial</w:t>
      </w:r>
      <w:r w:rsidR="00476755" w:rsidRPr="00787AE7">
        <w:rPr>
          <w:rFonts w:ascii="Bookman Old Style" w:hAnsi="Bookman Old Style" w:cs="Arial"/>
        </w:rPr>
        <w:t xml:space="preserve"> </w:t>
      </w:r>
      <w:r w:rsidR="00B428D6">
        <w:rPr>
          <w:rFonts w:ascii="Bookman Old Style" w:hAnsi="Bookman Old Style" w:cs="Arial"/>
        </w:rPr>
        <w:t xml:space="preserve">y </w:t>
      </w:r>
      <w:r w:rsidR="00476755" w:rsidRPr="00787AE7">
        <w:rPr>
          <w:rFonts w:ascii="Bookman Old Style" w:hAnsi="Bookman Old Style" w:cs="Arial"/>
        </w:rPr>
        <w:t>no deroga disposiciones vigentes por tratarse de un acto de trámite</w:t>
      </w:r>
      <w:r w:rsidRPr="00787AE7">
        <w:rPr>
          <w:rFonts w:ascii="Bookman Old Style" w:hAnsi="Bookman Old Style" w:cs="Arial"/>
          <w:szCs w:val="27"/>
        </w:rPr>
        <w:t>.</w:t>
      </w:r>
    </w:p>
    <w:p w:rsidR="008160BF" w:rsidRPr="00787AE7" w:rsidRDefault="008160BF" w:rsidP="008160BF">
      <w:pPr>
        <w:rPr>
          <w:rFonts w:ascii="Bookman Old Style" w:hAnsi="Bookman Old Style"/>
        </w:rPr>
      </w:pPr>
    </w:p>
    <w:p w:rsidR="008160BF" w:rsidRPr="00787AE7" w:rsidRDefault="008160BF" w:rsidP="008160BF">
      <w:pPr>
        <w:widowControl w:val="0"/>
        <w:adjustRightInd w:val="0"/>
        <w:ind w:left="0"/>
        <w:textAlignment w:val="baseline"/>
        <w:rPr>
          <w:rFonts w:ascii="Bookman Old Style" w:hAnsi="Bookman Old Style"/>
        </w:rPr>
      </w:pPr>
    </w:p>
    <w:p w:rsidR="008160BF" w:rsidRPr="00787AE7" w:rsidRDefault="008160BF" w:rsidP="008160BF">
      <w:pPr>
        <w:jc w:val="center"/>
        <w:rPr>
          <w:rFonts w:ascii="Bookman Old Style" w:hAnsi="Bookman Old Style"/>
          <w:b/>
        </w:rPr>
      </w:pPr>
      <w:r w:rsidRPr="00787AE7">
        <w:rPr>
          <w:rFonts w:ascii="Bookman Old Style" w:hAnsi="Bookman Old Style"/>
          <w:b/>
        </w:rPr>
        <w:t>PUBLÍQUESE Y CÚMPLASE</w:t>
      </w:r>
    </w:p>
    <w:p w:rsidR="008160BF" w:rsidRPr="00787AE7" w:rsidRDefault="008160BF" w:rsidP="008160BF">
      <w:pPr>
        <w:rPr>
          <w:rFonts w:ascii="Bookman Old Style" w:hAnsi="Bookman Old Style"/>
        </w:rPr>
      </w:pPr>
    </w:p>
    <w:p w:rsidR="008160BF" w:rsidRPr="00787AE7" w:rsidRDefault="008160BF" w:rsidP="008160BF">
      <w:pPr>
        <w:ind w:left="0"/>
        <w:rPr>
          <w:rFonts w:ascii="Bookman Old Style" w:hAnsi="Bookman Old Style"/>
        </w:rPr>
      </w:pPr>
      <w:r w:rsidRPr="00787AE7">
        <w:rPr>
          <w:rFonts w:ascii="Bookman Old Style" w:hAnsi="Bookman Old Style"/>
        </w:rPr>
        <w:t>Dada en Bogotá D</w:t>
      </w:r>
      <w:r w:rsidR="002E5133" w:rsidRPr="00787AE7">
        <w:rPr>
          <w:rFonts w:ascii="Bookman Old Style" w:hAnsi="Bookman Old Style"/>
        </w:rPr>
        <w:t>.</w:t>
      </w:r>
      <w:r w:rsidRPr="00787AE7">
        <w:rPr>
          <w:rFonts w:ascii="Bookman Old Style" w:hAnsi="Bookman Old Style"/>
        </w:rPr>
        <w:t>C</w:t>
      </w:r>
      <w:r w:rsidR="002E5133" w:rsidRPr="00787AE7">
        <w:rPr>
          <w:rFonts w:ascii="Bookman Old Style" w:hAnsi="Bookman Old Style"/>
        </w:rPr>
        <w:t>.</w:t>
      </w:r>
      <w:r w:rsidRPr="00787AE7">
        <w:rPr>
          <w:rFonts w:ascii="Bookman Old Style" w:hAnsi="Bookman Old Style"/>
        </w:rPr>
        <w:t xml:space="preserve">, a </w:t>
      </w:r>
    </w:p>
    <w:p w:rsidR="008160BF" w:rsidRPr="00787AE7" w:rsidRDefault="008160BF" w:rsidP="008160BF">
      <w:pPr>
        <w:ind w:left="0"/>
        <w:rPr>
          <w:rFonts w:ascii="Bookman Old Style" w:hAnsi="Bookman Old Style"/>
        </w:rPr>
      </w:pPr>
    </w:p>
    <w:p w:rsidR="008160BF" w:rsidRPr="00787AE7" w:rsidRDefault="008160BF" w:rsidP="008160BF">
      <w:pPr>
        <w:ind w:left="0"/>
        <w:rPr>
          <w:rFonts w:ascii="Bookman Old Style" w:hAnsi="Bookman Old Style"/>
        </w:rPr>
      </w:pPr>
    </w:p>
    <w:p w:rsidR="008160BF" w:rsidRPr="00787AE7" w:rsidRDefault="008160BF" w:rsidP="008160BF">
      <w:pPr>
        <w:ind w:left="0"/>
        <w:rPr>
          <w:rFonts w:ascii="Bookman Old Style" w:hAnsi="Bookman Old Style"/>
        </w:rPr>
      </w:pPr>
    </w:p>
    <w:p w:rsidR="008160BF" w:rsidRPr="00787AE7" w:rsidRDefault="008160BF" w:rsidP="008160BF">
      <w:pPr>
        <w:ind w:left="0"/>
        <w:rPr>
          <w:rFonts w:ascii="Bookman Old Style" w:hAnsi="Bookman Old Style"/>
        </w:rPr>
      </w:pPr>
    </w:p>
    <w:p w:rsidR="008160BF" w:rsidRPr="00787AE7" w:rsidRDefault="008160BF" w:rsidP="008160BF">
      <w:pPr>
        <w:ind w:left="0"/>
        <w:rPr>
          <w:rFonts w:ascii="Bookman Old Style" w:hAnsi="Bookman Old Style"/>
        </w:rPr>
      </w:pPr>
    </w:p>
    <w:tbl>
      <w:tblPr>
        <w:tblW w:w="9468" w:type="dxa"/>
        <w:tblLayout w:type="fixed"/>
        <w:tblCellMar>
          <w:left w:w="70" w:type="dxa"/>
          <w:right w:w="70" w:type="dxa"/>
        </w:tblCellMar>
        <w:tblLook w:val="04A0" w:firstRow="1" w:lastRow="0" w:firstColumn="1" w:lastColumn="0" w:noHBand="0" w:noVBand="1"/>
      </w:tblPr>
      <w:tblGrid>
        <w:gridCol w:w="4607"/>
        <w:gridCol w:w="4861"/>
      </w:tblGrid>
      <w:tr w:rsidR="008160BF" w:rsidRPr="00787AE7" w:rsidTr="00633921">
        <w:trPr>
          <w:trHeight w:val="302"/>
        </w:trPr>
        <w:tc>
          <w:tcPr>
            <w:tcW w:w="4606" w:type="dxa"/>
            <w:hideMark/>
          </w:tcPr>
          <w:p w:rsidR="008160BF" w:rsidRPr="00787AE7" w:rsidRDefault="001C0FA0" w:rsidP="001C0FA0">
            <w:pPr>
              <w:ind w:left="204"/>
              <w:jc w:val="center"/>
              <w:rPr>
                <w:rFonts w:ascii="Bookman Old Style" w:hAnsi="Bookman Old Style" w:cs="Arial"/>
                <w:b/>
                <w:spacing w:val="-3"/>
                <w:sz w:val="22"/>
                <w:szCs w:val="22"/>
                <w:lang w:val="es-ES_tradnl"/>
              </w:rPr>
            </w:pPr>
            <w:r w:rsidRPr="00787AE7">
              <w:rPr>
                <w:rFonts w:ascii="Bookman Old Style" w:hAnsi="Bookman Old Style" w:cs="Arial"/>
                <w:b/>
                <w:spacing w:val="-3"/>
                <w:sz w:val="22"/>
                <w:szCs w:val="22"/>
              </w:rPr>
              <w:t>GERMÁN ARCE</w:t>
            </w:r>
            <w:r w:rsidR="004F5405" w:rsidRPr="00787AE7">
              <w:rPr>
                <w:rFonts w:ascii="Bookman Old Style" w:hAnsi="Bookman Old Style" w:cs="Arial"/>
                <w:b/>
                <w:spacing w:val="-3"/>
                <w:sz w:val="22"/>
                <w:szCs w:val="22"/>
              </w:rPr>
              <w:t xml:space="preserve"> ZAPATA</w:t>
            </w:r>
            <w:r w:rsidRPr="00787AE7">
              <w:rPr>
                <w:rFonts w:ascii="Bookman Old Style" w:hAnsi="Bookman Old Style" w:cs="Arial"/>
                <w:b/>
                <w:spacing w:val="-3"/>
                <w:sz w:val="22"/>
                <w:szCs w:val="22"/>
              </w:rPr>
              <w:t xml:space="preserve"> </w:t>
            </w:r>
          </w:p>
        </w:tc>
        <w:tc>
          <w:tcPr>
            <w:tcW w:w="4860" w:type="dxa"/>
            <w:hideMark/>
          </w:tcPr>
          <w:p w:rsidR="008160BF" w:rsidRPr="00787AE7" w:rsidRDefault="008160BF" w:rsidP="00633921">
            <w:pPr>
              <w:ind w:left="161" w:right="567"/>
              <w:jc w:val="center"/>
              <w:rPr>
                <w:rFonts w:ascii="Bookman Old Style" w:hAnsi="Bookman Old Style" w:cs="Arial"/>
                <w:b/>
                <w:spacing w:val="-3"/>
                <w:lang w:val="es-ES_tradnl"/>
              </w:rPr>
            </w:pPr>
            <w:r w:rsidRPr="00787AE7">
              <w:rPr>
                <w:rFonts w:ascii="Bookman Old Style" w:hAnsi="Bookman Old Style" w:cs="Arial"/>
                <w:b/>
                <w:spacing w:val="-3"/>
                <w:lang w:val="es-ES_tradnl"/>
              </w:rPr>
              <w:t>JORGE PINTO NOLLA</w:t>
            </w:r>
          </w:p>
        </w:tc>
      </w:tr>
      <w:tr w:rsidR="008160BF" w:rsidRPr="00787AE7" w:rsidTr="00633921">
        <w:trPr>
          <w:trHeight w:val="572"/>
        </w:trPr>
        <w:tc>
          <w:tcPr>
            <w:tcW w:w="4606" w:type="dxa"/>
            <w:hideMark/>
          </w:tcPr>
          <w:p w:rsidR="008160BF" w:rsidRPr="00787AE7" w:rsidRDefault="008160BF" w:rsidP="00633921">
            <w:pPr>
              <w:ind w:left="0"/>
              <w:jc w:val="center"/>
              <w:rPr>
                <w:rFonts w:ascii="Bookman Old Style" w:hAnsi="Bookman Old Style" w:cs="Arial"/>
                <w:spacing w:val="-3"/>
              </w:rPr>
            </w:pPr>
            <w:r w:rsidRPr="00787AE7">
              <w:rPr>
                <w:rFonts w:ascii="Bookman Old Style" w:hAnsi="Bookman Old Style" w:cs="Arial"/>
                <w:spacing w:val="-3"/>
              </w:rPr>
              <w:t>Ministro de Minas y Energía</w:t>
            </w:r>
          </w:p>
          <w:p w:rsidR="008160BF" w:rsidRPr="00787AE7" w:rsidRDefault="008160BF" w:rsidP="00633921">
            <w:pPr>
              <w:ind w:left="0"/>
              <w:jc w:val="center"/>
              <w:rPr>
                <w:rFonts w:ascii="Bookman Old Style" w:hAnsi="Bookman Old Style" w:cs="Arial"/>
                <w:spacing w:val="-3"/>
                <w:lang w:val="es-ES_tradnl"/>
              </w:rPr>
            </w:pPr>
            <w:r w:rsidRPr="00787AE7">
              <w:rPr>
                <w:rFonts w:ascii="Bookman Old Style" w:hAnsi="Bookman Old Style" w:cs="Arial"/>
                <w:spacing w:val="-3"/>
              </w:rPr>
              <w:t>Presidente</w:t>
            </w:r>
          </w:p>
        </w:tc>
        <w:tc>
          <w:tcPr>
            <w:tcW w:w="4860" w:type="dxa"/>
            <w:hideMark/>
          </w:tcPr>
          <w:p w:rsidR="008160BF" w:rsidRPr="00787AE7" w:rsidRDefault="008160BF" w:rsidP="00633921">
            <w:pPr>
              <w:rPr>
                <w:rFonts w:ascii="Bookman Old Style" w:hAnsi="Bookman Old Style" w:cs="Arial"/>
                <w:spacing w:val="-3"/>
                <w:lang w:val="es-ES_tradnl"/>
              </w:rPr>
            </w:pPr>
            <w:r w:rsidRPr="00787AE7">
              <w:rPr>
                <w:rFonts w:ascii="Bookman Old Style" w:hAnsi="Bookman Old Style" w:cs="Arial"/>
                <w:spacing w:val="-3"/>
                <w:lang w:val="es-ES_tradnl"/>
              </w:rPr>
              <w:t xml:space="preserve">         Director Ejecutivo</w:t>
            </w:r>
          </w:p>
        </w:tc>
      </w:tr>
    </w:tbl>
    <w:p w:rsidR="008160BF" w:rsidRPr="00787AE7" w:rsidRDefault="008160BF" w:rsidP="008160BF">
      <w:pPr>
        <w:pStyle w:val="Ttulo4"/>
        <w:tabs>
          <w:tab w:val="left" w:pos="0"/>
          <w:tab w:val="right" w:pos="9356"/>
        </w:tabs>
        <w:ind w:left="0"/>
        <w:rPr>
          <w:rFonts w:ascii="Bookman Old Style" w:hAnsi="Bookman Old Style"/>
          <w:b w:val="0"/>
          <w:bCs/>
          <w:sz w:val="24"/>
          <w:szCs w:val="24"/>
        </w:rPr>
      </w:pPr>
    </w:p>
    <w:p w:rsidR="008160BF" w:rsidRPr="00787AE7" w:rsidRDefault="008160BF" w:rsidP="008160BF">
      <w:pPr>
        <w:rPr>
          <w:lang w:val="es-ES_tradnl"/>
        </w:rPr>
      </w:pPr>
    </w:p>
    <w:p w:rsidR="008160BF" w:rsidRPr="00787AE7" w:rsidRDefault="008160BF" w:rsidP="008160BF">
      <w:pPr>
        <w:pStyle w:val="Ttulo4"/>
        <w:tabs>
          <w:tab w:val="left" w:pos="0"/>
          <w:tab w:val="right" w:pos="9356"/>
        </w:tabs>
        <w:ind w:left="0"/>
        <w:rPr>
          <w:rFonts w:ascii="Bookman Old Style" w:hAnsi="Bookman Old Style"/>
          <w:b w:val="0"/>
          <w:bCs/>
          <w:sz w:val="24"/>
          <w:szCs w:val="24"/>
        </w:rPr>
      </w:pPr>
    </w:p>
    <w:p w:rsidR="00C07E62" w:rsidRPr="00787AE7" w:rsidRDefault="00C07E62">
      <w:pPr>
        <w:ind w:left="0"/>
        <w:rPr>
          <w:rFonts w:ascii="Bookman Old Style" w:hAnsi="Bookman Old Style"/>
          <w:b/>
          <w:snapToGrid w:val="0"/>
          <w:color w:val="000000"/>
          <w:lang w:val="es-ES_tradnl"/>
        </w:rPr>
      </w:pPr>
      <w:r w:rsidRPr="00787AE7">
        <w:rPr>
          <w:rFonts w:ascii="Bookman Old Style" w:hAnsi="Bookman Old Style"/>
        </w:rPr>
        <w:br w:type="page"/>
      </w:r>
    </w:p>
    <w:p w:rsidR="008160BF" w:rsidRPr="00787AE7" w:rsidRDefault="008160BF" w:rsidP="008160BF">
      <w:pPr>
        <w:pStyle w:val="Ttulo3"/>
        <w:tabs>
          <w:tab w:val="left" w:pos="0"/>
          <w:tab w:val="right" w:pos="9356"/>
        </w:tabs>
        <w:ind w:left="0"/>
        <w:rPr>
          <w:rFonts w:ascii="Bookman Old Style" w:hAnsi="Bookman Old Style"/>
          <w:szCs w:val="24"/>
        </w:rPr>
      </w:pPr>
      <w:r w:rsidRPr="00787AE7">
        <w:rPr>
          <w:rFonts w:ascii="Bookman Old Style" w:hAnsi="Bookman Old Style"/>
          <w:szCs w:val="24"/>
        </w:rPr>
        <w:lastRenderedPageBreak/>
        <w:t>PROYECTO DE RESOLUCIÓN</w:t>
      </w:r>
    </w:p>
    <w:p w:rsidR="008160BF" w:rsidRPr="00787AE7" w:rsidRDefault="008160BF" w:rsidP="008160BF">
      <w:pPr>
        <w:tabs>
          <w:tab w:val="left" w:pos="0"/>
          <w:tab w:val="right" w:pos="9356"/>
        </w:tabs>
        <w:ind w:left="0"/>
        <w:jc w:val="center"/>
        <w:rPr>
          <w:rFonts w:ascii="Bookman Old Style" w:hAnsi="Bookman Old Style"/>
          <w:lang w:val="es-ES_tradnl"/>
        </w:rPr>
      </w:pPr>
    </w:p>
    <w:p w:rsidR="008160BF" w:rsidRPr="00787AE7" w:rsidRDefault="008160BF" w:rsidP="008160BF">
      <w:pPr>
        <w:tabs>
          <w:tab w:val="left" w:pos="3418"/>
        </w:tabs>
        <w:ind w:left="0"/>
        <w:rPr>
          <w:rFonts w:ascii="Bookman Old Style" w:hAnsi="Bookman Old Style"/>
          <w:bCs/>
          <w:lang w:val="es-CO"/>
        </w:rPr>
      </w:pPr>
    </w:p>
    <w:p w:rsidR="008160BF" w:rsidRPr="00787AE7" w:rsidRDefault="00261DCE" w:rsidP="008160BF">
      <w:pPr>
        <w:tabs>
          <w:tab w:val="left" w:pos="0"/>
        </w:tabs>
        <w:ind w:left="360" w:right="281"/>
        <w:jc w:val="center"/>
        <w:rPr>
          <w:rFonts w:ascii="Bookman Old Style" w:eastAsia="Arial Unicode MS" w:hAnsi="Bookman Old Style" w:cs="Arial"/>
          <w:bCs/>
        </w:rPr>
      </w:pPr>
      <w:r w:rsidRPr="00787AE7">
        <w:rPr>
          <w:rFonts w:ascii="Bookman Old Style" w:hAnsi="Bookman Old Style"/>
        </w:rPr>
        <w:t xml:space="preserve">Por la cual se </w:t>
      </w:r>
      <w:r w:rsidR="00476755" w:rsidRPr="00787AE7">
        <w:rPr>
          <w:rFonts w:ascii="Bookman Old Style" w:hAnsi="Bookman Old Style"/>
        </w:rPr>
        <w:t xml:space="preserve">modifica </w:t>
      </w:r>
      <w:r w:rsidRPr="00787AE7">
        <w:rPr>
          <w:rFonts w:ascii="Bookman Old Style" w:hAnsi="Bookman Old Style"/>
        </w:rPr>
        <w:t>el Anexo 2</w:t>
      </w:r>
      <w:r w:rsidR="00EC0D1F" w:rsidRPr="00787AE7">
        <w:rPr>
          <w:rFonts w:ascii="Bookman Old Style" w:hAnsi="Bookman Old Style"/>
        </w:rPr>
        <w:t xml:space="preserve"> </w:t>
      </w:r>
      <w:r w:rsidRPr="00787AE7">
        <w:rPr>
          <w:rFonts w:ascii="Bookman Old Style" w:hAnsi="Bookman Old Style"/>
        </w:rPr>
        <w:t>de la Resolución CREG 089 de 2013</w:t>
      </w:r>
    </w:p>
    <w:p w:rsidR="008160BF" w:rsidRPr="00787AE7" w:rsidRDefault="008160BF" w:rsidP="008160BF">
      <w:pPr>
        <w:tabs>
          <w:tab w:val="left" w:pos="0"/>
        </w:tabs>
        <w:ind w:left="360" w:right="281"/>
        <w:jc w:val="center"/>
        <w:rPr>
          <w:rFonts w:ascii="Bookman Old Style" w:eastAsia="Arial Unicode MS" w:hAnsi="Bookman Old Style" w:cs="Arial"/>
          <w:bCs/>
        </w:rPr>
      </w:pPr>
    </w:p>
    <w:p w:rsidR="008160BF" w:rsidRPr="00787AE7" w:rsidRDefault="008160BF" w:rsidP="008160BF">
      <w:pPr>
        <w:tabs>
          <w:tab w:val="left" w:pos="0"/>
        </w:tabs>
        <w:ind w:left="360" w:right="281"/>
        <w:jc w:val="center"/>
        <w:rPr>
          <w:rFonts w:ascii="Bookman Old Style" w:eastAsia="Arial Unicode MS" w:hAnsi="Bookman Old Style" w:cs="Arial"/>
          <w:bCs/>
        </w:rPr>
      </w:pPr>
    </w:p>
    <w:p w:rsidR="008160BF" w:rsidRPr="00787AE7" w:rsidRDefault="008160BF" w:rsidP="008160BF">
      <w:pPr>
        <w:tabs>
          <w:tab w:val="left" w:pos="0"/>
        </w:tabs>
        <w:ind w:left="0" w:right="-73"/>
        <w:jc w:val="center"/>
        <w:rPr>
          <w:rFonts w:ascii="Bookman Old Style" w:eastAsia="Arial Unicode MS" w:hAnsi="Bookman Old Style" w:cs="Arial"/>
          <w:b/>
          <w:bCs/>
        </w:rPr>
      </w:pPr>
      <w:r w:rsidRPr="00787AE7">
        <w:rPr>
          <w:rFonts w:ascii="Bookman Old Style" w:eastAsia="Arial Unicode MS" w:hAnsi="Bookman Old Style" w:cs="Arial"/>
          <w:b/>
          <w:bCs/>
        </w:rPr>
        <w:t>LA COMISIÓN DE REGULACIÓN DE ENERGÍA Y GAS</w:t>
      </w:r>
    </w:p>
    <w:p w:rsidR="00CD5DB7" w:rsidRPr="00787AE7" w:rsidRDefault="00CD5DB7" w:rsidP="00483BFD">
      <w:pPr>
        <w:ind w:left="0"/>
        <w:rPr>
          <w:rFonts w:ascii="Bookman Old Style" w:hAnsi="Bookman Old Style" w:cs="Arial"/>
          <w:color w:val="000000" w:themeColor="text1"/>
          <w:lang w:eastAsia="es-CO"/>
        </w:rPr>
      </w:pPr>
    </w:p>
    <w:p w:rsidR="00CD5DB7" w:rsidRPr="00787AE7" w:rsidRDefault="00CD5DB7" w:rsidP="00483BFD">
      <w:pPr>
        <w:ind w:left="0"/>
        <w:rPr>
          <w:rFonts w:ascii="Bookman Old Style" w:hAnsi="Bookman Old Style" w:cs="Arial"/>
          <w:color w:val="000000" w:themeColor="text1"/>
          <w:lang w:eastAsia="es-CO"/>
        </w:rPr>
      </w:pPr>
    </w:p>
    <w:p w:rsidR="00CD5DB7" w:rsidRPr="00787AE7" w:rsidRDefault="00351CB1" w:rsidP="00351CB1">
      <w:pPr>
        <w:ind w:left="0"/>
        <w:jc w:val="center"/>
        <w:rPr>
          <w:rFonts w:ascii="Bookman Old Style" w:hAnsi="Bookman Old Style" w:cs="Arial"/>
          <w:color w:val="000000" w:themeColor="text1"/>
          <w:lang w:eastAsia="es-CO"/>
        </w:rPr>
      </w:pPr>
      <w:r w:rsidRPr="00787AE7">
        <w:rPr>
          <w:rFonts w:ascii="Bookman Old Style" w:hAnsi="Bookman Old Style" w:cs="Arial"/>
          <w:color w:val="000000" w:themeColor="text1"/>
          <w:lang w:eastAsia="es-CO"/>
        </w:rPr>
        <w:t>En ejercicio de las atribuciones constitucionales y legales, en especial las conferidas por la Ley 142 de 1994 y los Decretos 2253 de 1994 y 1260 de 2013</w:t>
      </w:r>
    </w:p>
    <w:p w:rsidR="00CD5DB7" w:rsidRPr="00787AE7" w:rsidRDefault="00CD5DB7" w:rsidP="00483BFD">
      <w:pPr>
        <w:ind w:left="0"/>
        <w:rPr>
          <w:rFonts w:ascii="Bookman Old Style" w:hAnsi="Bookman Old Style" w:cs="Arial"/>
          <w:color w:val="000000" w:themeColor="text1"/>
          <w:lang w:eastAsia="es-CO"/>
        </w:rPr>
      </w:pPr>
    </w:p>
    <w:p w:rsidR="00261DCE" w:rsidRPr="00787AE7" w:rsidRDefault="00261DCE" w:rsidP="00483BFD">
      <w:pPr>
        <w:ind w:left="0"/>
        <w:rPr>
          <w:rFonts w:ascii="Bookman Old Style" w:hAnsi="Bookman Old Style" w:cs="Arial"/>
          <w:color w:val="000000" w:themeColor="text1"/>
          <w:lang w:eastAsia="es-CO"/>
        </w:rPr>
      </w:pPr>
    </w:p>
    <w:p w:rsidR="00CD5DB7" w:rsidRPr="00787AE7" w:rsidRDefault="00CD5DB7" w:rsidP="00483BFD">
      <w:pPr>
        <w:ind w:left="0"/>
        <w:jc w:val="center"/>
        <w:rPr>
          <w:rFonts w:ascii="Bookman Old Style" w:hAnsi="Bookman Old Style" w:cs="Arial"/>
          <w:b/>
          <w:bCs/>
          <w:color w:val="000000" w:themeColor="text1"/>
          <w:lang w:val="pt-BR" w:eastAsia="es-CO"/>
        </w:rPr>
      </w:pPr>
      <w:r w:rsidRPr="00787AE7">
        <w:rPr>
          <w:rFonts w:ascii="Bookman Old Style" w:hAnsi="Bookman Old Style" w:cs="Arial"/>
          <w:b/>
          <w:bCs/>
          <w:color w:val="000000" w:themeColor="text1"/>
          <w:lang w:val="pt-BR" w:eastAsia="es-CO"/>
        </w:rPr>
        <w:t>C O N S I D E R A N D O</w:t>
      </w:r>
      <w:r w:rsidR="00F27F24" w:rsidRPr="00787AE7">
        <w:rPr>
          <w:rFonts w:ascii="Bookman Old Style" w:hAnsi="Bookman Old Style" w:cs="Arial"/>
          <w:b/>
          <w:bCs/>
          <w:color w:val="000000" w:themeColor="text1"/>
          <w:lang w:val="pt-BR" w:eastAsia="es-CO"/>
        </w:rPr>
        <w:t>Q U E</w:t>
      </w:r>
      <w:r w:rsidRPr="00787AE7">
        <w:rPr>
          <w:rFonts w:ascii="Bookman Old Style" w:hAnsi="Bookman Old Style" w:cs="Arial"/>
          <w:b/>
          <w:bCs/>
          <w:color w:val="000000" w:themeColor="text1"/>
          <w:lang w:val="pt-BR" w:eastAsia="es-CO"/>
        </w:rPr>
        <w:t>:</w:t>
      </w:r>
    </w:p>
    <w:p w:rsidR="00CD5DB7" w:rsidRPr="00787AE7" w:rsidRDefault="00CD5DB7" w:rsidP="00483BFD">
      <w:pPr>
        <w:ind w:left="0"/>
        <w:jc w:val="center"/>
        <w:rPr>
          <w:rFonts w:ascii="Bookman Old Style" w:hAnsi="Bookman Old Style" w:cs="Arial"/>
          <w:color w:val="000000" w:themeColor="text1"/>
          <w:lang w:val="pt-BR" w:eastAsia="es-CO"/>
        </w:rPr>
      </w:pPr>
    </w:p>
    <w:p w:rsidR="00CD5DB7" w:rsidRPr="00787AE7" w:rsidRDefault="00CD5DB7" w:rsidP="00483BFD">
      <w:pPr>
        <w:ind w:left="0"/>
        <w:jc w:val="both"/>
        <w:rPr>
          <w:rFonts w:ascii="Bookman Old Style" w:hAnsi="Bookman Old Style" w:cs="Arial"/>
          <w:color w:val="000000" w:themeColor="text1"/>
          <w:lang w:val="pt-BR"/>
        </w:rPr>
      </w:pP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El literal b) del Numeral 74.1 del Artículo 74 de la Ley 142 de 1994 determina que corresponde a la CREG expedir regulaciones específicas para el uso eficiente del gas combustible por parte de los consumidores.</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De acuerdo con lo establecido en el </w:t>
      </w:r>
      <w:r w:rsidR="00002F79" w:rsidRPr="00787AE7">
        <w:rPr>
          <w:rFonts w:ascii="Bookman Old Style" w:hAnsi="Bookman Old Style" w:cs="Arial"/>
          <w:bCs/>
          <w:color w:val="000000" w:themeColor="text1"/>
          <w:lang w:eastAsia="es-CO"/>
        </w:rPr>
        <w:t>L</w:t>
      </w:r>
      <w:r w:rsidRPr="00787AE7">
        <w:rPr>
          <w:rFonts w:ascii="Bookman Old Style" w:hAnsi="Bookman Old Style" w:cs="Arial"/>
          <w:bCs/>
          <w:color w:val="000000" w:themeColor="text1"/>
          <w:lang w:eastAsia="es-CO"/>
        </w:rPr>
        <w:t>iteral c) del Numeral 74.1 del Artículo 74 de la Ley 142 de 1994, es función de la CREG establecer el reglamento de operación para regular el funcionamiento del mercado mayorista de gas combustible.</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La potestad normativa atribuida a las comisiones de regulación es una manifestación de la intervención del Estado en la economía expresada en la regulación con la finalidad de corregir las fallas del mercado, delimitar la libertad de empresa, preservar la competencia económica, mejorar la prestación de los servicios públicos y proteger los derechos de los usuarios.</w:t>
      </w:r>
    </w:p>
    <w:p w:rsidR="005D15E9" w:rsidRPr="00787AE7" w:rsidRDefault="005D15E9"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El artículo 1 del Decreto 1710 de 2013 establece que al expedir el reglamento de operación del mercado mayorista de gas natural la CREG podrá “</w:t>
      </w:r>
      <w:r w:rsidR="00A25B32" w:rsidRPr="00787AE7">
        <w:rPr>
          <w:rFonts w:ascii="Bookman Old Style" w:hAnsi="Bookman Old Style" w:cs="Arial"/>
          <w:bCs/>
          <w:color w:val="000000" w:themeColor="text1"/>
          <w:lang w:eastAsia="es-CO"/>
        </w:rPr>
        <w:t xml:space="preserve">a) </w:t>
      </w:r>
      <w:r w:rsidRPr="00787AE7">
        <w:rPr>
          <w:rFonts w:ascii="Bookman Old Style" w:hAnsi="Bookman Old Style" w:cs="Arial"/>
          <w:bCs/>
          <w:color w:val="000000" w:themeColor="text1"/>
          <w:lang w:eastAsia="es-CO"/>
        </w:rPr>
        <w:t>(e)</w:t>
      </w:r>
      <w:proofErr w:type="spellStart"/>
      <w:r w:rsidRPr="00787AE7">
        <w:rPr>
          <w:rFonts w:ascii="Bookman Old Style" w:hAnsi="Bookman Old Style" w:cs="Arial"/>
          <w:bCs/>
          <w:color w:val="000000" w:themeColor="text1"/>
          <w:lang w:eastAsia="es-CO"/>
        </w:rPr>
        <w:t>stablecer</w:t>
      </w:r>
      <w:proofErr w:type="spellEnd"/>
      <w:r w:rsidRPr="00787AE7">
        <w:rPr>
          <w:rFonts w:ascii="Bookman Old Style" w:hAnsi="Bookman Old Style" w:cs="Arial"/>
          <w:bCs/>
          <w:color w:val="000000" w:themeColor="text1"/>
          <w:lang w:eastAsia="es-CO"/>
        </w:rPr>
        <w:t xml:space="preserve"> los lineamientos y las condiciones de participación en el mercado </w:t>
      </w:r>
      <w:r w:rsidRPr="00787AE7">
        <w:rPr>
          <w:rFonts w:ascii="Bookman Old Style" w:hAnsi="Bookman Old Style" w:cs="Arial"/>
          <w:bCs/>
          <w:color w:val="000000" w:themeColor="text1"/>
          <w:lang w:eastAsia="es-CO"/>
        </w:rPr>
        <w:lastRenderedPageBreak/>
        <w:t>mayorista, las modalidades y requisitos mínimos de ofertas y contratos, los procedimientos y los demás aspectos que requieran los mecanismos de comercialización de gas natural y de su transporte en el mercado mayorista” y “</w:t>
      </w:r>
      <w:r w:rsidR="00A25B32" w:rsidRPr="00787AE7">
        <w:rPr>
          <w:rFonts w:ascii="Bookman Old Style" w:hAnsi="Bookman Old Style" w:cs="Arial"/>
          <w:bCs/>
          <w:color w:val="000000" w:themeColor="text1"/>
          <w:lang w:eastAsia="es-CO"/>
        </w:rPr>
        <w:t xml:space="preserve">b) </w:t>
      </w:r>
      <w:r w:rsidRPr="00787AE7">
        <w:rPr>
          <w:rFonts w:ascii="Bookman Old Style" w:hAnsi="Bookman Old Style" w:cs="Arial"/>
          <w:bCs/>
          <w:color w:val="000000" w:themeColor="text1"/>
          <w:lang w:eastAsia="es-CO"/>
        </w:rPr>
        <w:t>(s)</w:t>
      </w:r>
      <w:proofErr w:type="spellStart"/>
      <w:r w:rsidRPr="00787AE7">
        <w:rPr>
          <w:rFonts w:ascii="Bookman Old Style" w:hAnsi="Bookman Old Style" w:cs="Arial"/>
          <w:bCs/>
          <w:color w:val="000000" w:themeColor="text1"/>
          <w:lang w:eastAsia="es-CO"/>
        </w:rPr>
        <w:t>eñalar</w:t>
      </w:r>
      <w:proofErr w:type="spellEnd"/>
      <w:r w:rsidRPr="00787AE7">
        <w:rPr>
          <w:rFonts w:ascii="Bookman Old Style" w:hAnsi="Bookman Old Style" w:cs="Arial"/>
          <w:bCs/>
          <w:color w:val="000000" w:themeColor="text1"/>
          <w:lang w:eastAsia="es-CO"/>
        </w:rPr>
        <w:t xml:space="preserve"> la información que será declarada por los participantes del mercado y establecer los mecanismos y procedimientos para obtener, organizar, revisar y divulgar dicha información en forma oportuna para el funcionamiento del mercado mayorista de gas natural”.</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El artículo 2 del Decreto 1710 de 2013 modificó el artículo 20 del Decreto 2100 de 2011 y dispuso que “(l)a CREG, en desarrollo de su función de expedir el reglamento de operación del mercado mayorista de gas natural de que trata el literal c del artículo 74.1 de la Ley 142 de 1994, establecerá el alcance de los servicios que prestará un gestor de los mecanismos de comercialización y de la información, las reglas para la selección de este gestor y las condiciones de prestación de sus servicios. Estas reglas y condiciones deberán asegurar la neutralidad, transparencia, objetividad e independencia del gestor, así como su experiencia comprobada en las actividades a desarrollar. Así mismo, la CREG determinará la forma y remuneración de los servicios del gestor”. También dispuso </w:t>
      </w:r>
      <w:r w:rsidR="00A25B32" w:rsidRPr="00787AE7">
        <w:rPr>
          <w:rFonts w:ascii="Bookman Old Style" w:hAnsi="Bookman Old Style" w:cs="Arial"/>
          <w:bCs/>
          <w:color w:val="000000" w:themeColor="text1"/>
          <w:lang w:eastAsia="es-CO"/>
        </w:rPr>
        <w:t>en el parágrafo del citado artículo</w:t>
      </w:r>
      <w:r w:rsidR="00A764B0" w:rsidRPr="00787AE7">
        <w:rPr>
          <w:rFonts w:ascii="Bookman Old Style" w:hAnsi="Bookman Old Style" w:cs="Arial"/>
          <w:bCs/>
          <w:color w:val="000000" w:themeColor="text1"/>
          <w:lang w:eastAsia="es-CO"/>
        </w:rPr>
        <w:t xml:space="preserve"> </w:t>
      </w:r>
      <w:r w:rsidRPr="00787AE7">
        <w:rPr>
          <w:rFonts w:ascii="Bookman Old Style" w:hAnsi="Bookman Old Style" w:cs="Arial"/>
          <w:bCs/>
          <w:color w:val="000000" w:themeColor="text1"/>
          <w:lang w:eastAsia="es-CO"/>
        </w:rPr>
        <w:t>que “(l</w:t>
      </w:r>
      <w:proofErr w:type="gramStart"/>
      <w:r w:rsidRPr="00787AE7">
        <w:rPr>
          <w:rFonts w:ascii="Bookman Old Style" w:hAnsi="Bookman Old Style" w:cs="Arial"/>
          <w:bCs/>
          <w:color w:val="000000" w:themeColor="text1"/>
          <w:lang w:eastAsia="es-CO"/>
        </w:rPr>
        <w:t>)a</w:t>
      </w:r>
      <w:proofErr w:type="gramEnd"/>
      <w:r w:rsidRPr="00787AE7">
        <w:rPr>
          <w:rFonts w:ascii="Bookman Old Style" w:hAnsi="Bookman Old Style" w:cs="Arial"/>
          <w:bCs/>
          <w:color w:val="000000" w:themeColor="text1"/>
          <w:lang w:eastAsia="es-CO"/>
        </w:rPr>
        <w:t xml:space="preserve"> CREG seleccionará al gestor del mercado mediante un concurso sujeto a los principios de transparencia y selección objetiva que garanticen la libre concurrencia”.</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5D15E9"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Mediante la </w:t>
      </w:r>
      <w:r w:rsidR="00261DCE" w:rsidRPr="00787AE7">
        <w:rPr>
          <w:rFonts w:ascii="Bookman Old Style" w:hAnsi="Bookman Old Style" w:cs="Arial"/>
          <w:bCs/>
          <w:color w:val="000000" w:themeColor="text1"/>
          <w:lang w:eastAsia="es-CO"/>
        </w:rPr>
        <w:t xml:space="preserve">Resolución CREG 089 de 2013, </w:t>
      </w:r>
      <w:r w:rsidRPr="00787AE7">
        <w:rPr>
          <w:rFonts w:ascii="Bookman Old Style" w:hAnsi="Bookman Old Style" w:cs="Arial"/>
          <w:bCs/>
          <w:color w:val="000000" w:themeColor="text1"/>
          <w:lang w:eastAsia="es-CO"/>
        </w:rPr>
        <w:t xml:space="preserve">y otras que la han modificado y complementado, la CREG </w:t>
      </w:r>
      <w:r w:rsidR="00261DCE" w:rsidRPr="00787AE7">
        <w:rPr>
          <w:rFonts w:ascii="Bookman Old Style" w:hAnsi="Bookman Old Style" w:cs="Arial"/>
          <w:bCs/>
          <w:color w:val="000000" w:themeColor="text1"/>
          <w:lang w:eastAsia="es-CO"/>
        </w:rPr>
        <w:t>reglament</w:t>
      </w:r>
      <w:r w:rsidRPr="00787AE7">
        <w:rPr>
          <w:rFonts w:ascii="Bookman Old Style" w:hAnsi="Bookman Old Style" w:cs="Arial"/>
          <w:bCs/>
          <w:color w:val="000000" w:themeColor="text1"/>
          <w:lang w:eastAsia="es-CO"/>
        </w:rPr>
        <w:t>ó</w:t>
      </w:r>
      <w:r w:rsidR="00261DCE" w:rsidRPr="00787AE7">
        <w:rPr>
          <w:rFonts w:ascii="Bookman Old Style" w:hAnsi="Bookman Old Style" w:cs="Arial"/>
          <w:bCs/>
          <w:color w:val="000000" w:themeColor="text1"/>
          <w:lang w:eastAsia="es-CO"/>
        </w:rPr>
        <w:t xml:space="preserve"> aspectos comerciales del mercado mayorista de gas natural, que hacen parte del reglamento de operación de gas natural</w:t>
      </w:r>
      <w:r w:rsidRPr="00787AE7">
        <w:rPr>
          <w:rFonts w:ascii="Bookman Old Style" w:hAnsi="Bookman Old Style" w:cs="Arial"/>
          <w:bCs/>
          <w:color w:val="000000" w:themeColor="text1"/>
          <w:lang w:eastAsia="es-CO"/>
        </w:rPr>
        <w:t xml:space="preserve">. </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En el </w:t>
      </w:r>
      <w:r w:rsidR="00502546" w:rsidRPr="00787AE7">
        <w:rPr>
          <w:rFonts w:ascii="Bookman Old Style" w:hAnsi="Bookman Old Style" w:cs="Arial"/>
          <w:bCs/>
          <w:color w:val="000000" w:themeColor="text1"/>
          <w:lang w:eastAsia="es-CO"/>
        </w:rPr>
        <w:t xml:space="preserve">numeral 2 del </w:t>
      </w:r>
      <w:r w:rsidRPr="00787AE7">
        <w:rPr>
          <w:rFonts w:ascii="Bookman Old Style" w:hAnsi="Bookman Old Style" w:cs="Arial"/>
          <w:bCs/>
          <w:color w:val="000000" w:themeColor="text1"/>
          <w:lang w:eastAsia="es-CO"/>
        </w:rPr>
        <w:t xml:space="preserve">artículo 6 de la </w:t>
      </w:r>
      <w:r w:rsidR="005D15E9" w:rsidRPr="00787AE7">
        <w:rPr>
          <w:rFonts w:ascii="Bookman Old Style" w:hAnsi="Bookman Old Style" w:cs="Arial"/>
          <w:bCs/>
          <w:color w:val="000000" w:themeColor="text1"/>
          <w:lang w:eastAsia="es-CO"/>
        </w:rPr>
        <w:t>R</w:t>
      </w:r>
      <w:r w:rsidRPr="00787AE7">
        <w:rPr>
          <w:rFonts w:ascii="Bookman Old Style" w:hAnsi="Bookman Old Style" w:cs="Arial"/>
          <w:bCs/>
          <w:color w:val="000000" w:themeColor="text1"/>
          <w:lang w:eastAsia="es-CO"/>
        </w:rPr>
        <w:t>esolución</w:t>
      </w:r>
      <w:r w:rsidR="005D15E9" w:rsidRPr="00787AE7">
        <w:rPr>
          <w:rFonts w:ascii="Bookman Old Style" w:hAnsi="Bookman Old Style" w:cs="Arial"/>
          <w:bCs/>
          <w:color w:val="000000" w:themeColor="text1"/>
          <w:lang w:eastAsia="es-CO"/>
        </w:rPr>
        <w:t xml:space="preserve"> CREG 089 de 2013</w:t>
      </w:r>
      <w:r w:rsidRPr="00787AE7">
        <w:rPr>
          <w:rFonts w:ascii="Bookman Old Style" w:hAnsi="Bookman Old Style" w:cs="Arial"/>
          <w:bCs/>
          <w:color w:val="000000" w:themeColor="text1"/>
          <w:lang w:eastAsia="es-CO"/>
        </w:rPr>
        <w:t xml:space="preserve">, referente a los servicios del gestor del mercado, se establece </w:t>
      </w:r>
      <w:r w:rsidR="00502546" w:rsidRPr="00787AE7">
        <w:rPr>
          <w:rFonts w:ascii="Bookman Old Style" w:hAnsi="Bookman Old Style" w:cs="Arial"/>
          <w:bCs/>
          <w:color w:val="000000" w:themeColor="text1"/>
          <w:lang w:eastAsia="es-CO"/>
        </w:rPr>
        <w:t xml:space="preserve"> que e</w:t>
      </w:r>
      <w:r w:rsidRPr="00787AE7">
        <w:rPr>
          <w:rFonts w:ascii="Bookman Old Style" w:hAnsi="Bookman Old Style" w:cs="Arial"/>
          <w:bCs/>
          <w:color w:val="000000" w:themeColor="text1"/>
          <w:lang w:eastAsia="es-CO"/>
        </w:rPr>
        <w:t>l gestor del mercado deberá:</w:t>
      </w:r>
    </w:p>
    <w:p w:rsidR="00261DCE" w:rsidRPr="00787AE7" w:rsidRDefault="00261DCE" w:rsidP="00261DCE">
      <w:pPr>
        <w:autoSpaceDE w:val="0"/>
        <w:autoSpaceDN w:val="0"/>
        <w:adjustRightInd w:val="0"/>
        <w:ind w:left="0"/>
        <w:jc w:val="both"/>
        <w:rPr>
          <w:rFonts w:ascii="Bookman Old Style" w:hAnsi="Bookman Old Style" w:cs="Arial"/>
          <w:bCs/>
          <w:i/>
          <w:color w:val="000000" w:themeColor="text1"/>
          <w:lang w:eastAsia="es-CO"/>
        </w:rPr>
      </w:pPr>
    </w:p>
    <w:p w:rsidR="00261DCE" w:rsidRPr="00787AE7" w:rsidRDefault="00261DCE" w:rsidP="00502546">
      <w:pPr>
        <w:pStyle w:val="Prrafodelista"/>
        <w:numPr>
          <w:ilvl w:val="0"/>
          <w:numId w:val="5"/>
        </w:numPr>
        <w:autoSpaceDE w:val="0"/>
        <w:autoSpaceDN w:val="0"/>
        <w:adjustRightInd w:val="0"/>
        <w:ind w:left="426" w:hanging="426"/>
        <w:jc w:val="both"/>
        <w:rPr>
          <w:rFonts w:ascii="Bookman Old Style" w:hAnsi="Bookman Old Style" w:cs="Arial"/>
          <w:bCs/>
          <w:i/>
          <w:color w:val="000000" w:themeColor="text1"/>
          <w:sz w:val="24"/>
          <w:lang w:eastAsia="es-CO"/>
        </w:rPr>
      </w:pPr>
      <w:r w:rsidRPr="00787AE7">
        <w:rPr>
          <w:rFonts w:ascii="Bookman Old Style" w:hAnsi="Bookman Old Style" w:cs="Arial"/>
          <w:bCs/>
          <w:i/>
          <w:color w:val="000000" w:themeColor="text1"/>
          <w:sz w:val="24"/>
          <w:lang w:eastAsia="es-CO"/>
        </w:rPr>
        <w:t>Recopilar, verificar, publicar y conservar la información sobre el resultado de las negociaciones realizadas en el mercado primario y en el mercado secundario, tal como se establece en el Anexo 2 de esta Resolución.</w:t>
      </w:r>
    </w:p>
    <w:p w:rsidR="003F599C" w:rsidRPr="00787AE7" w:rsidRDefault="003F599C" w:rsidP="003F599C">
      <w:pPr>
        <w:pStyle w:val="Prrafodelista"/>
        <w:autoSpaceDE w:val="0"/>
        <w:autoSpaceDN w:val="0"/>
        <w:adjustRightInd w:val="0"/>
        <w:ind w:left="426"/>
        <w:jc w:val="both"/>
        <w:rPr>
          <w:rFonts w:ascii="Bookman Old Style" w:hAnsi="Bookman Old Style" w:cs="Arial"/>
          <w:bCs/>
          <w:i/>
          <w:color w:val="000000" w:themeColor="text1"/>
          <w:sz w:val="24"/>
          <w:lang w:eastAsia="es-CO"/>
        </w:rPr>
      </w:pPr>
    </w:p>
    <w:p w:rsidR="00261DCE" w:rsidRPr="00787AE7" w:rsidRDefault="00261DCE" w:rsidP="00502546">
      <w:pPr>
        <w:pStyle w:val="Prrafodelista"/>
        <w:numPr>
          <w:ilvl w:val="0"/>
          <w:numId w:val="5"/>
        </w:numPr>
        <w:autoSpaceDE w:val="0"/>
        <w:autoSpaceDN w:val="0"/>
        <w:adjustRightInd w:val="0"/>
        <w:ind w:left="426" w:hanging="426"/>
        <w:jc w:val="both"/>
        <w:rPr>
          <w:rFonts w:ascii="Bookman Old Style" w:hAnsi="Bookman Old Style" w:cs="Arial"/>
          <w:bCs/>
          <w:i/>
          <w:color w:val="000000" w:themeColor="text1"/>
          <w:sz w:val="24"/>
          <w:lang w:eastAsia="es-CO"/>
        </w:rPr>
      </w:pPr>
      <w:r w:rsidRPr="00787AE7">
        <w:rPr>
          <w:rFonts w:ascii="Bookman Old Style" w:hAnsi="Bookman Old Style" w:cs="Arial"/>
          <w:bCs/>
          <w:i/>
          <w:color w:val="000000" w:themeColor="text1"/>
          <w:sz w:val="24"/>
          <w:lang w:eastAsia="es-CO"/>
        </w:rPr>
        <w:t>Recopilar, verificar, publicar y conservar la información sobre el resultado de las negociaciones entre comercializadores y usuarios no regulados, tal como se establece en el Anexo 2 de esta Resolución.</w:t>
      </w:r>
    </w:p>
    <w:p w:rsidR="00261DCE" w:rsidRPr="00787AE7" w:rsidRDefault="00261DCE" w:rsidP="00261DCE">
      <w:pPr>
        <w:autoSpaceDE w:val="0"/>
        <w:autoSpaceDN w:val="0"/>
        <w:adjustRightInd w:val="0"/>
        <w:ind w:left="0"/>
        <w:jc w:val="both"/>
        <w:rPr>
          <w:rFonts w:ascii="Bookman Old Style" w:hAnsi="Bookman Old Style" w:cs="Arial"/>
          <w:bCs/>
          <w:i/>
          <w:color w:val="000000" w:themeColor="text1"/>
          <w:sz w:val="32"/>
          <w:lang w:eastAsia="es-CO"/>
        </w:rPr>
      </w:pPr>
    </w:p>
    <w:p w:rsidR="00261DCE" w:rsidRPr="00787AE7" w:rsidRDefault="00261DCE" w:rsidP="00502546">
      <w:pPr>
        <w:pStyle w:val="Prrafodelista"/>
        <w:numPr>
          <w:ilvl w:val="0"/>
          <w:numId w:val="5"/>
        </w:numPr>
        <w:autoSpaceDE w:val="0"/>
        <w:autoSpaceDN w:val="0"/>
        <w:adjustRightInd w:val="0"/>
        <w:ind w:left="426" w:hanging="426"/>
        <w:jc w:val="both"/>
        <w:rPr>
          <w:rFonts w:ascii="Bookman Old Style" w:hAnsi="Bookman Old Style" w:cs="Arial"/>
          <w:bCs/>
          <w:color w:val="000000" w:themeColor="text1"/>
          <w:sz w:val="24"/>
          <w:lang w:eastAsia="es-CO"/>
        </w:rPr>
      </w:pPr>
      <w:r w:rsidRPr="00787AE7">
        <w:rPr>
          <w:rFonts w:ascii="Bookman Old Style" w:hAnsi="Bookman Old Style" w:cs="Arial"/>
          <w:bCs/>
          <w:i/>
          <w:color w:val="000000" w:themeColor="text1"/>
          <w:sz w:val="24"/>
          <w:lang w:eastAsia="es-CO"/>
        </w:rPr>
        <w:t>Recopilar, verificar, publicar y conservar la información operativa del sector de gas natural, tal como se establece en el Anexo 2 de esta Resolución.</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sz w:val="32"/>
          <w:lang w:eastAsia="es-CO"/>
        </w:rPr>
      </w:pPr>
    </w:p>
    <w:p w:rsidR="00261DCE" w:rsidRPr="00787AE7" w:rsidRDefault="00283F50"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En este numera</w:t>
      </w:r>
      <w:r w:rsidR="00EE77C5" w:rsidRPr="00787AE7">
        <w:rPr>
          <w:rFonts w:ascii="Bookman Old Style" w:hAnsi="Bookman Old Style" w:cs="Arial"/>
          <w:bCs/>
          <w:color w:val="000000" w:themeColor="text1"/>
          <w:lang w:eastAsia="es-CO"/>
        </w:rPr>
        <w:t>l</w:t>
      </w:r>
      <w:r w:rsidRPr="00787AE7">
        <w:rPr>
          <w:rFonts w:ascii="Bookman Old Style" w:hAnsi="Bookman Old Style" w:cs="Arial"/>
          <w:bCs/>
          <w:color w:val="000000" w:themeColor="text1"/>
          <w:lang w:eastAsia="es-CO"/>
        </w:rPr>
        <w:t xml:space="preserve"> también se establece que “</w:t>
      </w:r>
      <w:r w:rsidR="00261DCE" w:rsidRPr="00787AE7">
        <w:rPr>
          <w:rFonts w:ascii="Bookman Old Style" w:hAnsi="Bookman Old Style" w:cs="Arial"/>
          <w:bCs/>
          <w:color w:val="000000" w:themeColor="text1"/>
          <w:lang w:eastAsia="es-CO"/>
        </w:rPr>
        <w:t>Como parte de este servicio el gestor del mercado publicará a través del BEC la información que se señala en los numerales 1, 2, 3 y 4 del Anexo 2 de esta Resolución. Cualquier persona podrá acceder, sin costo alguno, a esta información agregada y publicada por el gestor del mercado. El gestor del mercado podrá prestar otros servicios de información que podrán dar lugar a su cobro</w:t>
      </w:r>
      <w:r w:rsidRPr="00787AE7">
        <w:rPr>
          <w:rFonts w:ascii="Bookman Old Style" w:hAnsi="Bookman Old Style" w:cs="Arial"/>
          <w:bCs/>
          <w:color w:val="000000" w:themeColor="text1"/>
          <w:lang w:eastAsia="es-CO"/>
        </w:rPr>
        <w:t>”</w:t>
      </w:r>
      <w:r w:rsidR="00261DCE" w:rsidRPr="00787AE7">
        <w:rPr>
          <w:rFonts w:ascii="Bookman Old Style" w:hAnsi="Bookman Old Style" w:cs="Arial"/>
          <w:bCs/>
          <w:color w:val="000000" w:themeColor="text1"/>
          <w:lang w:eastAsia="es-CO"/>
        </w:rPr>
        <w:t>.</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lastRenderedPageBreak/>
        <w:t xml:space="preserve">De igual forma se establece que todos los participantes del mercado mayorista de gas natural deben reportar la información que allí se menciona y de no hacerlo, esa conducta será tomada por la autoridad competente como práctica restrictiva de la competencia. </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Por su parte </w:t>
      </w:r>
      <w:r w:rsidR="00502546" w:rsidRPr="00787AE7">
        <w:rPr>
          <w:rFonts w:ascii="Bookman Old Style" w:hAnsi="Bookman Old Style" w:cs="Arial"/>
          <w:bCs/>
          <w:color w:val="000000" w:themeColor="text1"/>
          <w:lang w:eastAsia="es-CO"/>
        </w:rPr>
        <w:t xml:space="preserve">en </w:t>
      </w:r>
      <w:r w:rsidRPr="00787AE7">
        <w:rPr>
          <w:rFonts w:ascii="Bookman Old Style" w:hAnsi="Bookman Old Style" w:cs="Arial"/>
          <w:bCs/>
          <w:color w:val="000000" w:themeColor="text1"/>
          <w:lang w:eastAsia="es-CO"/>
        </w:rPr>
        <w:t xml:space="preserve">el Anexo 2 de la Resolución CREG 089 de 2013, </w:t>
      </w:r>
      <w:r w:rsidR="005D15E9" w:rsidRPr="00787AE7">
        <w:rPr>
          <w:rFonts w:ascii="Bookman Old Style" w:hAnsi="Bookman Old Style" w:cs="Arial"/>
          <w:bCs/>
          <w:color w:val="000000" w:themeColor="text1"/>
          <w:lang w:eastAsia="es-CO"/>
        </w:rPr>
        <w:t>e</w:t>
      </w:r>
      <w:r w:rsidRPr="00787AE7">
        <w:rPr>
          <w:rFonts w:ascii="Bookman Old Style" w:hAnsi="Bookman Old Style" w:cs="Arial"/>
          <w:bCs/>
          <w:color w:val="000000" w:themeColor="text1"/>
          <w:lang w:eastAsia="es-CO"/>
        </w:rPr>
        <w:t xml:space="preserve">n desarrollo del servicio al que se hace referencia en el numeral 2 del Artículo 6, </w:t>
      </w:r>
      <w:r w:rsidR="00502546" w:rsidRPr="00787AE7">
        <w:rPr>
          <w:rFonts w:ascii="Bookman Old Style" w:hAnsi="Bookman Old Style" w:cs="Arial"/>
          <w:bCs/>
          <w:color w:val="000000" w:themeColor="text1"/>
          <w:lang w:eastAsia="es-CO"/>
        </w:rPr>
        <w:t xml:space="preserve">se </w:t>
      </w:r>
      <w:r w:rsidR="00727C1A" w:rsidRPr="00787AE7">
        <w:rPr>
          <w:rFonts w:ascii="Bookman Old Style" w:hAnsi="Bookman Old Style" w:cs="Arial"/>
          <w:bCs/>
          <w:color w:val="000000" w:themeColor="text1"/>
          <w:lang w:eastAsia="es-CO"/>
        </w:rPr>
        <w:t xml:space="preserve">detalla la información que </w:t>
      </w:r>
      <w:r w:rsidRPr="00787AE7">
        <w:rPr>
          <w:rFonts w:ascii="Bookman Old Style" w:hAnsi="Bookman Old Style" w:cs="Arial"/>
          <w:bCs/>
          <w:color w:val="000000" w:themeColor="text1"/>
          <w:lang w:eastAsia="es-CO"/>
        </w:rPr>
        <w:t>el gestor del mercado recopilará, verificará, publicará y conservará</w:t>
      </w:r>
      <w:r w:rsidR="00727C1A" w:rsidRPr="00787AE7">
        <w:rPr>
          <w:rFonts w:ascii="Bookman Old Style" w:hAnsi="Bookman Old Style" w:cs="Arial"/>
          <w:bCs/>
          <w:color w:val="000000" w:themeColor="text1"/>
          <w:lang w:eastAsia="es-CO"/>
        </w:rPr>
        <w:t xml:space="preserve">. </w:t>
      </w:r>
      <w:r w:rsidRPr="00787AE7">
        <w:rPr>
          <w:rFonts w:ascii="Bookman Old Style" w:hAnsi="Bookman Old Style" w:cs="Arial"/>
          <w:bCs/>
          <w:color w:val="000000" w:themeColor="text1"/>
          <w:lang w:eastAsia="es-CO"/>
        </w:rPr>
        <w:t>La declaración de la información señalada en este anexo se hará a partir de la fecha en que el gestor del mercado inicie la prestación de sus servicios.</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261DCE" w:rsidRPr="00787AE7" w:rsidRDefault="009F3182"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M</w:t>
      </w:r>
      <w:r w:rsidR="00261DCE" w:rsidRPr="00787AE7">
        <w:rPr>
          <w:rFonts w:ascii="Bookman Old Style" w:hAnsi="Bookman Old Style" w:cs="Arial"/>
          <w:bCs/>
          <w:color w:val="000000" w:themeColor="text1"/>
          <w:lang w:eastAsia="es-CO"/>
        </w:rPr>
        <w:t>ediante la Resolución CREG 094 de 2014</w:t>
      </w:r>
      <w:r w:rsidRPr="00787AE7">
        <w:rPr>
          <w:rFonts w:ascii="Bookman Old Style" w:hAnsi="Bookman Old Style" w:cs="Arial"/>
          <w:bCs/>
          <w:color w:val="000000" w:themeColor="text1"/>
          <w:lang w:eastAsia="es-CO"/>
        </w:rPr>
        <w:t xml:space="preserve"> la CREG </w:t>
      </w:r>
      <w:r w:rsidR="00261DCE" w:rsidRPr="00787AE7">
        <w:rPr>
          <w:rFonts w:ascii="Bookman Old Style" w:hAnsi="Bookman Old Style" w:cs="Arial"/>
          <w:bCs/>
          <w:color w:val="000000" w:themeColor="text1"/>
          <w:lang w:eastAsia="es-CO"/>
        </w:rPr>
        <w:t xml:space="preserve">escogió a la Bolsa Mercantil de Colombia S.A., como gestor del mercado </w:t>
      </w:r>
      <w:r w:rsidRPr="00787AE7">
        <w:rPr>
          <w:rFonts w:ascii="Bookman Old Style" w:hAnsi="Bookman Old Style" w:cs="Arial"/>
          <w:bCs/>
          <w:color w:val="000000" w:themeColor="text1"/>
          <w:lang w:eastAsia="es-CO"/>
        </w:rPr>
        <w:t xml:space="preserve">quien </w:t>
      </w:r>
      <w:r w:rsidR="00EE77C5" w:rsidRPr="00787AE7">
        <w:rPr>
          <w:rFonts w:ascii="Bookman Old Style" w:hAnsi="Bookman Old Style" w:cs="Arial"/>
          <w:bCs/>
          <w:color w:val="000000" w:themeColor="text1"/>
          <w:lang w:eastAsia="es-CO"/>
        </w:rPr>
        <w:t xml:space="preserve">comenzó a </w:t>
      </w:r>
      <w:r w:rsidRPr="00787AE7">
        <w:rPr>
          <w:rFonts w:ascii="Bookman Old Style" w:hAnsi="Bookman Old Style" w:cs="Arial"/>
          <w:bCs/>
          <w:color w:val="000000" w:themeColor="text1"/>
          <w:lang w:eastAsia="es-CO"/>
        </w:rPr>
        <w:t xml:space="preserve">prestar sus servicios por </w:t>
      </w:r>
      <w:r w:rsidR="00261DCE" w:rsidRPr="00787AE7">
        <w:rPr>
          <w:rFonts w:ascii="Bookman Old Style" w:hAnsi="Bookman Old Style" w:cs="Arial"/>
          <w:bCs/>
          <w:color w:val="000000" w:themeColor="text1"/>
          <w:lang w:eastAsia="es-CO"/>
        </w:rPr>
        <w:t>5 años a partir del 5 de enero de 2015.</w:t>
      </w:r>
    </w:p>
    <w:p w:rsidR="00261DCE" w:rsidRPr="00787AE7" w:rsidRDefault="00261DCE" w:rsidP="00261DCE">
      <w:pPr>
        <w:autoSpaceDE w:val="0"/>
        <w:autoSpaceDN w:val="0"/>
        <w:adjustRightInd w:val="0"/>
        <w:ind w:left="0"/>
        <w:jc w:val="both"/>
        <w:rPr>
          <w:rFonts w:ascii="Bookman Old Style" w:hAnsi="Bookman Old Style" w:cs="Arial"/>
          <w:bCs/>
          <w:color w:val="000000" w:themeColor="text1"/>
          <w:lang w:eastAsia="es-CO"/>
        </w:rPr>
      </w:pPr>
    </w:p>
    <w:p w:rsidR="00492215" w:rsidRPr="00787AE7" w:rsidRDefault="00492215"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Mediante la Resolución CREG 071 de 1999, y otras que la han modificado y complementado, la CREG adoptó el reglamento de transporte de gas natural, RUT, en el cual se establecen reglas operativas que contribuyen a la operación eficiente, económica y confiable del sistema nacional de transporte de gas natural, SNT.</w:t>
      </w:r>
    </w:p>
    <w:p w:rsidR="00492215" w:rsidRPr="00787AE7" w:rsidRDefault="00492215" w:rsidP="00261DCE">
      <w:pPr>
        <w:autoSpaceDE w:val="0"/>
        <w:autoSpaceDN w:val="0"/>
        <w:adjustRightInd w:val="0"/>
        <w:ind w:left="0"/>
        <w:jc w:val="both"/>
        <w:rPr>
          <w:rFonts w:ascii="Bookman Old Style" w:hAnsi="Bookman Old Style" w:cs="Arial"/>
          <w:bCs/>
          <w:color w:val="000000" w:themeColor="text1"/>
          <w:lang w:eastAsia="es-CO"/>
        </w:rPr>
      </w:pPr>
    </w:p>
    <w:p w:rsidR="00492215" w:rsidRPr="00787AE7" w:rsidRDefault="00492215"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En los numerales 4.5.1 y 4.5.2 del RUT, modificado por la Resolución CREG 154 de 2008, se establecen los ciclos de nominación de transporte y de suministro de gas. </w:t>
      </w:r>
    </w:p>
    <w:p w:rsidR="00492215" w:rsidRPr="00787AE7" w:rsidRDefault="00492215" w:rsidP="00261DCE">
      <w:pPr>
        <w:autoSpaceDE w:val="0"/>
        <w:autoSpaceDN w:val="0"/>
        <w:adjustRightInd w:val="0"/>
        <w:ind w:left="0"/>
        <w:jc w:val="both"/>
        <w:rPr>
          <w:rFonts w:ascii="Bookman Old Style" w:hAnsi="Bookman Old Style" w:cs="Arial"/>
          <w:bCs/>
          <w:color w:val="000000" w:themeColor="text1"/>
          <w:lang w:eastAsia="es-CO"/>
        </w:rPr>
      </w:pPr>
    </w:p>
    <w:p w:rsidR="00492215" w:rsidRPr="00787AE7" w:rsidRDefault="00F81D35"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En el numeral 4.5.1.3 del RUT se establece que “el remitente podrá efectuar, y el CPC respectivo deberá aceptar, por lo menos cuatro (4) </w:t>
      </w:r>
      <w:proofErr w:type="spellStart"/>
      <w:r w:rsidRPr="00787AE7">
        <w:rPr>
          <w:rFonts w:ascii="Bookman Old Style" w:hAnsi="Bookman Old Style" w:cs="Arial"/>
          <w:bCs/>
          <w:color w:val="000000" w:themeColor="text1"/>
          <w:lang w:eastAsia="es-CO"/>
        </w:rPr>
        <w:t>renominaciones</w:t>
      </w:r>
      <w:proofErr w:type="spellEnd"/>
      <w:r w:rsidRPr="00787AE7">
        <w:rPr>
          <w:rFonts w:ascii="Bookman Old Style" w:hAnsi="Bookman Old Style" w:cs="Arial"/>
          <w:bCs/>
          <w:color w:val="000000" w:themeColor="text1"/>
          <w:lang w:eastAsia="es-CO"/>
        </w:rPr>
        <w:t xml:space="preserve"> durante el Día de Gas, siempre y cuando las respectivas solicitudes sean enviadas al menos con seis (6) horas de anticipación al momento en que se requiera la modificación en el flujo de Gas”. </w:t>
      </w:r>
    </w:p>
    <w:p w:rsidR="00492215" w:rsidRPr="00787AE7" w:rsidRDefault="00492215" w:rsidP="00261DCE">
      <w:pPr>
        <w:autoSpaceDE w:val="0"/>
        <w:autoSpaceDN w:val="0"/>
        <w:adjustRightInd w:val="0"/>
        <w:ind w:left="0"/>
        <w:jc w:val="both"/>
        <w:rPr>
          <w:rFonts w:ascii="Bookman Old Style" w:hAnsi="Bookman Old Style" w:cs="Arial"/>
          <w:bCs/>
          <w:color w:val="000000" w:themeColor="text1"/>
          <w:lang w:eastAsia="es-CO"/>
        </w:rPr>
      </w:pPr>
    </w:p>
    <w:p w:rsidR="000D0678" w:rsidRPr="00787AE7" w:rsidRDefault="000D0678"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El Gobierno Nacional mediante el Decreto 2100 de 2011, compilado en el Decreto 1073 de 2015, Decreto Único Reglamentario del Sector Administrativo de Minas y Energía, estableció los mecanismos para promover el aseguramiento del abastecimiento nacional de gas natural y dictó otras disposiciones. </w:t>
      </w:r>
    </w:p>
    <w:p w:rsidR="000D0678" w:rsidRPr="00787AE7" w:rsidRDefault="000D0678" w:rsidP="00261DCE">
      <w:pPr>
        <w:autoSpaceDE w:val="0"/>
        <w:autoSpaceDN w:val="0"/>
        <w:adjustRightInd w:val="0"/>
        <w:ind w:left="0"/>
        <w:jc w:val="both"/>
        <w:rPr>
          <w:rFonts w:ascii="Bookman Old Style" w:hAnsi="Bookman Old Style" w:cs="Arial"/>
          <w:bCs/>
          <w:color w:val="000000" w:themeColor="text1"/>
          <w:lang w:eastAsia="es-CO"/>
        </w:rPr>
      </w:pPr>
    </w:p>
    <w:p w:rsidR="000D0678" w:rsidRPr="00787AE7" w:rsidRDefault="000D0678"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En el artículo 2.2.2.2.21 del Decreto 1073 de 2015 se prevé la obligación de los productores y productores comercializadores de gas natural de declarar al Ministerio de Minas y Energía o a quien este determine y con base en todas la información disponible al momento de calcularla: (i) la producción total disponible para la venta, (ii) la producción comprometida debidamente discriminada conforme a lo indicado en el artículo 2.2.2.1.4. </w:t>
      </w:r>
      <w:proofErr w:type="gramStart"/>
      <w:r w:rsidRPr="00787AE7">
        <w:rPr>
          <w:rFonts w:ascii="Bookman Old Style" w:hAnsi="Bookman Old Style" w:cs="Arial"/>
          <w:bCs/>
          <w:color w:val="000000" w:themeColor="text1"/>
          <w:lang w:eastAsia="es-CO"/>
        </w:rPr>
        <w:t>del</w:t>
      </w:r>
      <w:proofErr w:type="gramEnd"/>
      <w:r w:rsidRPr="00787AE7">
        <w:rPr>
          <w:rFonts w:ascii="Bookman Old Style" w:hAnsi="Bookman Old Style" w:cs="Arial"/>
          <w:bCs/>
          <w:color w:val="000000" w:themeColor="text1"/>
          <w:lang w:eastAsia="es-CO"/>
        </w:rPr>
        <w:t xml:space="preserve"> mismo Decreto.</w:t>
      </w:r>
    </w:p>
    <w:p w:rsidR="000D0678" w:rsidRPr="00787AE7" w:rsidRDefault="000D0678" w:rsidP="00261DCE">
      <w:pPr>
        <w:autoSpaceDE w:val="0"/>
        <w:autoSpaceDN w:val="0"/>
        <w:adjustRightInd w:val="0"/>
        <w:ind w:left="0"/>
        <w:jc w:val="both"/>
        <w:rPr>
          <w:rFonts w:ascii="Bookman Old Style" w:hAnsi="Bookman Old Style" w:cs="Arial"/>
          <w:bCs/>
          <w:color w:val="000000" w:themeColor="text1"/>
          <w:lang w:eastAsia="es-CO"/>
        </w:rPr>
      </w:pPr>
    </w:p>
    <w:p w:rsidR="009159BD" w:rsidRPr="00787AE7" w:rsidRDefault="009159BD" w:rsidP="00261DCE">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Así mismo, en el citado artículo 2.2.2.2.21 se prevé que el productor que sea el operador de cada campo deberá declarar: (i) el potencial de producción de gas natural de cada campo y (ii) el porcentaje de participación de los productores y el Estado en la producción de hidrocarburos de cada campo o de aquellos de explotación integrada. </w:t>
      </w:r>
    </w:p>
    <w:p w:rsidR="009159BD" w:rsidRPr="00787AE7" w:rsidRDefault="009159BD" w:rsidP="00261DCE">
      <w:pPr>
        <w:autoSpaceDE w:val="0"/>
        <w:autoSpaceDN w:val="0"/>
        <w:adjustRightInd w:val="0"/>
        <w:ind w:left="0"/>
        <w:jc w:val="both"/>
        <w:rPr>
          <w:rFonts w:ascii="Bookman Old Style" w:hAnsi="Bookman Old Style" w:cs="Arial"/>
          <w:bCs/>
          <w:color w:val="000000" w:themeColor="text1"/>
          <w:lang w:eastAsia="es-CO"/>
        </w:rPr>
      </w:pPr>
    </w:p>
    <w:p w:rsidR="009159BD" w:rsidRPr="00787AE7" w:rsidRDefault="009159BD" w:rsidP="009159BD">
      <w:pPr>
        <w:autoSpaceDE w:val="0"/>
        <w:autoSpaceDN w:val="0"/>
        <w:adjustRightInd w:val="0"/>
        <w:ind w:left="0"/>
        <w:jc w:val="both"/>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 xml:space="preserve">Análisis realizados por la Comisión sobre la evolución del mercado de gas bajo las reglas de la Resolución CREG 089 de 2013 sugieren la necesidad de establecer indicadores de mercado y </w:t>
      </w:r>
      <w:r w:rsidR="008F65CA" w:rsidRPr="00787AE7">
        <w:rPr>
          <w:rFonts w:ascii="Bookman Old Style" w:hAnsi="Bookman Old Style" w:cs="Arial"/>
          <w:bCs/>
          <w:color w:val="000000" w:themeColor="text1"/>
          <w:lang w:eastAsia="es-CO"/>
        </w:rPr>
        <w:t>operativos que permitan a los agentes, a los usuarios y a las autoridades mejor conocimiento sobre las transacciones que hay en el mercado mayorista de gas natural</w:t>
      </w:r>
      <w:r w:rsidRPr="00787AE7">
        <w:rPr>
          <w:rFonts w:ascii="Bookman Old Style" w:hAnsi="Bookman Old Style" w:cs="Arial"/>
          <w:bCs/>
          <w:color w:val="000000" w:themeColor="text1"/>
          <w:lang w:eastAsia="es-CO"/>
        </w:rPr>
        <w:t xml:space="preserve">. Para establecer estos indicadores es necesario que el gestor del mercado cuente con información adicional a aquella establecida en el Anexo 2 de la Resolución CREG 089 de 2013. </w:t>
      </w:r>
    </w:p>
    <w:p w:rsidR="00170128" w:rsidRPr="00787AE7" w:rsidRDefault="00170128" w:rsidP="00483BFD">
      <w:pPr>
        <w:pStyle w:val="Textosinformato"/>
        <w:jc w:val="both"/>
        <w:rPr>
          <w:rFonts w:ascii="Bookman Old Style" w:hAnsi="Bookman Old Style" w:cs="Tahoma"/>
          <w:color w:val="000000" w:themeColor="text1"/>
          <w:sz w:val="24"/>
          <w:szCs w:val="24"/>
        </w:rPr>
      </w:pPr>
    </w:p>
    <w:p w:rsidR="001C534F" w:rsidRPr="00787AE7" w:rsidRDefault="001C534F" w:rsidP="00483BFD">
      <w:pPr>
        <w:ind w:left="0"/>
        <w:rPr>
          <w:rFonts w:ascii="Bookman Old Style" w:hAnsi="Bookman Old Style" w:cs="Arial"/>
          <w:color w:val="000000" w:themeColor="text1"/>
        </w:rPr>
      </w:pPr>
    </w:p>
    <w:p w:rsidR="00CD5DB7" w:rsidRPr="00787AE7" w:rsidRDefault="00CD5DB7" w:rsidP="00D0042C">
      <w:pPr>
        <w:spacing w:before="120" w:after="120"/>
        <w:ind w:left="0"/>
        <w:jc w:val="center"/>
        <w:rPr>
          <w:rFonts w:ascii="Bookman Old Style" w:hAnsi="Bookman Old Style" w:cs="Arial"/>
          <w:b/>
          <w:bCs/>
          <w:color w:val="000000" w:themeColor="text1"/>
          <w:lang w:val="pt-BR"/>
        </w:rPr>
      </w:pPr>
      <w:r w:rsidRPr="00787AE7">
        <w:rPr>
          <w:rFonts w:ascii="Bookman Old Style" w:hAnsi="Bookman Old Style" w:cs="Arial"/>
          <w:b/>
          <w:bCs/>
          <w:color w:val="000000" w:themeColor="text1"/>
          <w:lang w:val="pt-BR"/>
        </w:rPr>
        <w:t>R E S U E L V E:</w:t>
      </w:r>
    </w:p>
    <w:p w:rsidR="00CD5DB7" w:rsidRPr="00787AE7" w:rsidRDefault="00CD5DB7" w:rsidP="00483BFD">
      <w:pPr>
        <w:ind w:left="0"/>
        <w:jc w:val="center"/>
        <w:rPr>
          <w:rFonts w:ascii="Bookman Old Style" w:hAnsi="Bookman Old Style" w:cs="Arial"/>
          <w:color w:val="000000" w:themeColor="text1"/>
          <w:lang w:val="pt-BR"/>
        </w:rPr>
      </w:pPr>
    </w:p>
    <w:p w:rsidR="0003552F" w:rsidRPr="00787AE7" w:rsidRDefault="0003552F" w:rsidP="0003552F">
      <w:pPr>
        <w:pStyle w:val="ARTICULOS"/>
        <w:numPr>
          <w:ilvl w:val="0"/>
          <w:numId w:val="0"/>
        </w:numPr>
        <w:tabs>
          <w:tab w:val="left" w:pos="1560"/>
        </w:tabs>
        <w:rPr>
          <w:rFonts w:cs="Arial"/>
          <w:color w:val="000000" w:themeColor="text1"/>
          <w:lang w:val="es-CO"/>
        </w:rPr>
      </w:pPr>
    </w:p>
    <w:p w:rsidR="0003552F" w:rsidRPr="00787AE7" w:rsidRDefault="0003552F" w:rsidP="0003552F">
      <w:pPr>
        <w:pStyle w:val="ARTICULOS"/>
        <w:tabs>
          <w:tab w:val="left" w:pos="1560"/>
        </w:tabs>
        <w:ind w:left="0" w:firstLine="0"/>
        <w:rPr>
          <w:rFonts w:cs="Arial"/>
          <w:color w:val="000000" w:themeColor="text1"/>
          <w:lang w:val="es-CO"/>
        </w:rPr>
      </w:pPr>
      <w:r w:rsidRPr="00787AE7">
        <w:rPr>
          <w:rFonts w:cs="Arial"/>
          <w:b/>
          <w:color w:val="000000" w:themeColor="text1"/>
          <w:lang w:val="es-CO"/>
        </w:rPr>
        <w:t>Modifíquese el numeral v del literal a) del numeral 1.1 del Anexo 2 de la Resolución CREG 089 de 2013</w:t>
      </w:r>
      <w:r w:rsidR="00D157B5" w:rsidRPr="00787AE7">
        <w:rPr>
          <w:rFonts w:cs="Arial"/>
          <w:b/>
          <w:color w:val="000000" w:themeColor="text1"/>
          <w:lang w:val="es-CO"/>
        </w:rPr>
        <w:t>.</w:t>
      </w:r>
      <w:r w:rsidRPr="00787AE7">
        <w:rPr>
          <w:rFonts w:cs="Arial"/>
          <w:color w:val="000000" w:themeColor="text1"/>
          <w:lang w:val="es-CO"/>
        </w:rPr>
        <w:t xml:space="preserve"> El numeral v del literal a) del numeral 1.1 del Anexo 2 de la Resolución CREG 089 de 2013 quedará así: </w:t>
      </w:r>
    </w:p>
    <w:p w:rsidR="0003552F" w:rsidRPr="00787AE7" w:rsidRDefault="0003552F" w:rsidP="0003552F">
      <w:pPr>
        <w:pStyle w:val="ARTICULOS"/>
        <w:numPr>
          <w:ilvl w:val="0"/>
          <w:numId w:val="0"/>
        </w:numPr>
        <w:tabs>
          <w:tab w:val="left" w:pos="1560"/>
        </w:tabs>
        <w:rPr>
          <w:rFonts w:cs="Arial"/>
          <w:color w:val="000000" w:themeColor="text1"/>
          <w:lang w:val="es-CO"/>
        </w:rPr>
      </w:pPr>
    </w:p>
    <w:p w:rsidR="0003552F" w:rsidRPr="00787AE7" w:rsidRDefault="0003552F" w:rsidP="0003552F">
      <w:pPr>
        <w:pStyle w:val="ARTICULOS"/>
        <w:numPr>
          <w:ilvl w:val="0"/>
          <w:numId w:val="0"/>
        </w:numPr>
        <w:tabs>
          <w:tab w:val="left" w:pos="1560"/>
        </w:tabs>
        <w:rPr>
          <w:rFonts w:cs="Arial"/>
          <w:color w:val="000000" w:themeColor="text1"/>
          <w:lang w:val="es-CO"/>
        </w:rPr>
      </w:pPr>
      <w:r w:rsidRPr="00787AE7">
        <w:rPr>
          <w:rFonts w:cs="Arial"/>
          <w:color w:val="000000" w:themeColor="text1"/>
          <w:lang w:val="es-CO"/>
        </w:rPr>
        <w:t>“</w:t>
      </w:r>
    </w:p>
    <w:p w:rsidR="0003552F" w:rsidRPr="00787AE7" w:rsidRDefault="0003552F" w:rsidP="0003552F">
      <w:pPr>
        <w:pStyle w:val="ARTICULOS"/>
        <w:numPr>
          <w:ilvl w:val="0"/>
          <w:numId w:val="0"/>
        </w:numPr>
        <w:ind w:left="993" w:hanging="426"/>
        <w:rPr>
          <w:rFonts w:cs="Arial"/>
          <w:color w:val="000000" w:themeColor="text1"/>
          <w:lang w:val="es-CO"/>
        </w:rPr>
      </w:pPr>
      <w:r w:rsidRPr="00787AE7">
        <w:rPr>
          <w:rFonts w:cs="Arial"/>
          <w:color w:val="000000" w:themeColor="text1"/>
          <w:lang w:val="es-ES" w:eastAsia="es-ES"/>
        </w:rPr>
        <w:t xml:space="preserve">v. </w:t>
      </w:r>
      <w:r w:rsidRPr="00787AE7">
        <w:rPr>
          <w:rFonts w:cs="Arial"/>
          <w:color w:val="000000" w:themeColor="text1"/>
          <w:lang w:val="es-ES" w:eastAsia="es-ES"/>
        </w:rPr>
        <w:tab/>
        <w:t xml:space="preserve">Punto de entrega de la energía al comprador. Se entenderá por punto de entrega el campo, punto de entrada al SNT o punto del SNT que corresponda al sitio de inicio o terminación de alguno de los tramos de gasoductos definidos para efectos tarifarios. Se deberá indicar el nombre del campo de producción </w:t>
      </w:r>
      <w:r w:rsidR="00A30BA0" w:rsidRPr="00787AE7">
        <w:rPr>
          <w:rFonts w:cs="Arial"/>
          <w:color w:val="000000" w:themeColor="text1"/>
          <w:lang w:val="es-ES" w:eastAsia="es-ES"/>
        </w:rPr>
        <w:t xml:space="preserve">o </w:t>
      </w:r>
      <w:r w:rsidR="00A71C0B" w:rsidRPr="00787AE7">
        <w:rPr>
          <w:rFonts w:cs="Arial"/>
          <w:color w:val="000000" w:themeColor="text1"/>
          <w:lang w:val="es-ES" w:eastAsia="es-ES"/>
        </w:rPr>
        <w:t xml:space="preserve">del </w:t>
      </w:r>
      <w:r w:rsidR="00A30BA0" w:rsidRPr="00787AE7">
        <w:rPr>
          <w:rFonts w:cs="Arial"/>
          <w:color w:val="000000" w:themeColor="text1"/>
          <w:lang w:val="es-ES" w:eastAsia="es-ES"/>
        </w:rPr>
        <w:t>punto de importación d</w:t>
      </w:r>
      <w:r w:rsidRPr="00787AE7">
        <w:rPr>
          <w:rFonts w:cs="Arial"/>
          <w:color w:val="000000" w:themeColor="text1"/>
          <w:lang w:val="es-ES" w:eastAsia="es-ES"/>
        </w:rPr>
        <w:t>el cual se contrató la cantidad de energía pactada en el contrato”.</w:t>
      </w:r>
    </w:p>
    <w:p w:rsidR="006A0D28" w:rsidRPr="00787AE7" w:rsidRDefault="006A0D28" w:rsidP="006A0D28">
      <w:pPr>
        <w:ind w:left="0"/>
        <w:jc w:val="both"/>
        <w:rPr>
          <w:rFonts w:ascii="Bookman Old Style" w:hAnsi="Bookman Old Style" w:cs="Arial"/>
          <w:color w:val="000000" w:themeColor="text1"/>
          <w:lang w:val="es-CO"/>
        </w:rPr>
      </w:pPr>
    </w:p>
    <w:p w:rsidR="006A0D28" w:rsidRPr="00787AE7" w:rsidRDefault="006A0D28" w:rsidP="006A0D28">
      <w:pPr>
        <w:pStyle w:val="ARTICULOS"/>
        <w:tabs>
          <w:tab w:val="left" w:pos="1560"/>
        </w:tabs>
        <w:ind w:left="0" w:firstLine="0"/>
        <w:rPr>
          <w:rFonts w:cs="Arial"/>
          <w:color w:val="000000" w:themeColor="text1"/>
          <w:lang w:val="es-CO"/>
        </w:rPr>
      </w:pPr>
      <w:r w:rsidRPr="00787AE7">
        <w:rPr>
          <w:rFonts w:cs="Arial"/>
          <w:b/>
          <w:color w:val="000000" w:themeColor="text1"/>
          <w:lang w:val="es-CO"/>
        </w:rPr>
        <w:t>Modifíquese el literal a) del numeral 4.1 del Anexo 2 de la Resolución CREG 089 de 2013, modificado por el Artículo 8 de la Resolución CREG 122 de 2014</w:t>
      </w:r>
      <w:r w:rsidR="00D157B5" w:rsidRPr="00787AE7">
        <w:rPr>
          <w:rFonts w:cs="Arial"/>
          <w:b/>
          <w:color w:val="000000" w:themeColor="text1"/>
          <w:lang w:val="es-CO"/>
        </w:rPr>
        <w:t>.</w:t>
      </w:r>
      <w:r w:rsidRPr="00787AE7">
        <w:rPr>
          <w:rFonts w:cs="Arial"/>
          <w:color w:val="000000" w:themeColor="text1"/>
          <w:lang w:val="es-CO"/>
        </w:rPr>
        <w:t xml:space="preserve"> El literal a) del numeral 4.1 del Anexo 2 de la Resolución CREG 089 de 2013 quedará así: </w:t>
      </w:r>
    </w:p>
    <w:p w:rsidR="006A0D28" w:rsidRPr="00787AE7" w:rsidRDefault="006A0D28" w:rsidP="006A0D28">
      <w:pPr>
        <w:pStyle w:val="ARTICULOS"/>
        <w:numPr>
          <w:ilvl w:val="0"/>
          <w:numId w:val="0"/>
        </w:numPr>
        <w:tabs>
          <w:tab w:val="left" w:pos="1560"/>
        </w:tabs>
        <w:rPr>
          <w:rFonts w:cs="Arial"/>
          <w:color w:val="000000" w:themeColor="text1"/>
          <w:lang w:val="es-CO"/>
        </w:rPr>
      </w:pPr>
    </w:p>
    <w:p w:rsidR="006A0D28" w:rsidRPr="00787AE7" w:rsidRDefault="006A0D28" w:rsidP="006A0D28">
      <w:pPr>
        <w:ind w:left="0"/>
        <w:jc w:val="both"/>
        <w:rPr>
          <w:rFonts w:ascii="Bookman Old Style" w:hAnsi="Bookman Old Style"/>
          <w:bCs/>
          <w:color w:val="000000" w:themeColor="text1"/>
        </w:rPr>
      </w:pPr>
      <w:r w:rsidRPr="00787AE7">
        <w:rPr>
          <w:rFonts w:ascii="Bookman Old Style" w:hAnsi="Bookman Old Style"/>
          <w:bCs/>
          <w:color w:val="000000" w:themeColor="text1"/>
        </w:rPr>
        <w:t>“</w:t>
      </w:r>
    </w:p>
    <w:p w:rsidR="006A0D28" w:rsidRPr="00787AE7" w:rsidRDefault="006A0D28" w:rsidP="006A0D28">
      <w:pPr>
        <w:numPr>
          <w:ilvl w:val="0"/>
          <w:numId w:val="15"/>
        </w:numPr>
        <w:autoSpaceDE w:val="0"/>
        <w:autoSpaceDN w:val="0"/>
        <w:adjustRightInd w:val="0"/>
        <w:ind w:left="1134" w:hanging="567"/>
        <w:jc w:val="both"/>
        <w:rPr>
          <w:rFonts w:ascii="Bookman Old Style" w:hAnsi="Bookman Old Style" w:cs="Arial"/>
          <w:color w:val="000000" w:themeColor="text1"/>
        </w:rPr>
      </w:pPr>
      <w:r w:rsidRPr="00787AE7">
        <w:rPr>
          <w:rFonts w:ascii="Bookman Old Style" w:hAnsi="Bookman Old Style" w:cs="Arial"/>
          <w:color w:val="000000" w:themeColor="text1"/>
        </w:rPr>
        <w:t>Suministro</w:t>
      </w:r>
    </w:p>
    <w:p w:rsidR="006A0D28" w:rsidRPr="00787AE7" w:rsidRDefault="006A0D28" w:rsidP="006A0D28">
      <w:pPr>
        <w:autoSpaceDE w:val="0"/>
        <w:autoSpaceDN w:val="0"/>
        <w:adjustRightInd w:val="0"/>
        <w:ind w:left="1134"/>
        <w:jc w:val="both"/>
        <w:rPr>
          <w:rFonts w:ascii="Bookman Old Style" w:hAnsi="Bookman Old Style"/>
          <w:bCs/>
          <w:color w:val="000000" w:themeColor="text1"/>
          <w:lang w:eastAsia="x-none"/>
        </w:rPr>
      </w:pPr>
    </w:p>
    <w:p w:rsidR="006A0D28" w:rsidRPr="00787AE7" w:rsidRDefault="006A0D28" w:rsidP="006A0D28">
      <w:pPr>
        <w:autoSpaceDE w:val="0"/>
        <w:autoSpaceDN w:val="0"/>
        <w:adjustRightInd w:val="0"/>
        <w:ind w:left="1134"/>
        <w:jc w:val="both"/>
        <w:rPr>
          <w:rFonts w:ascii="Bookman Old Style" w:hAnsi="Bookman Old Style"/>
          <w:bCs/>
          <w:color w:val="000000" w:themeColor="text1"/>
          <w:lang w:eastAsia="x-none"/>
        </w:rPr>
      </w:pPr>
      <w:r w:rsidRPr="00787AE7">
        <w:rPr>
          <w:rFonts w:ascii="Bookman Old Style" w:hAnsi="Bookman Old Style"/>
          <w:bCs/>
          <w:color w:val="000000" w:themeColor="text1"/>
        </w:rPr>
        <w:t>A más tardar a las 12:00 horas del día calendario siguiente al día de gas, los productores-comercializadores que operen campos de producción y los comercializadores de gas importado deberán declarar al gestor del mercado la siguiente información operativa del día de gas</w:t>
      </w:r>
      <w:r w:rsidRPr="00787AE7">
        <w:rPr>
          <w:rFonts w:ascii="Bookman Old Style" w:hAnsi="Bookman Old Style"/>
          <w:bCs/>
          <w:color w:val="000000" w:themeColor="text1"/>
          <w:lang w:eastAsia="x-none"/>
        </w:rPr>
        <w:t>:</w:t>
      </w:r>
    </w:p>
    <w:p w:rsidR="006A0D28" w:rsidRPr="00787AE7" w:rsidRDefault="006A0D28" w:rsidP="006A0D28">
      <w:pPr>
        <w:autoSpaceDE w:val="0"/>
        <w:autoSpaceDN w:val="0"/>
        <w:adjustRightInd w:val="0"/>
        <w:ind w:left="1134"/>
        <w:jc w:val="both"/>
        <w:rPr>
          <w:rFonts w:ascii="Bookman Old Style" w:hAnsi="Bookman Old Style"/>
          <w:bCs/>
          <w:color w:val="000000" w:themeColor="text1"/>
          <w:lang w:eastAsia="x-none"/>
        </w:rPr>
      </w:pPr>
    </w:p>
    <w:p w:rsidR="006A0D28" w:rsidRPr="00787AE7" w:rsidRDefault="006A0D28" w:rsidP="006A0D28">
      <w:pPr>
        <w:pStyle w:val="Prrafodelista"/>
        <w:numPr>
          <w:ilvl w:val="0"/>
          <w:numId w:val="14"/>
        </w:numPr>
        <w:ind w:left="1701" w:hanging="567"/>
        <w:contextualSpacing/>
        <w:jc w:val="both"/>
        <w:rPr>
          <w:rFonts w:ascii="Bookman Old Style" w:hAnsi="Bookman Old Style" w:cs="Arial"/>
          <w:color w:val="000000" w:themeColor="text1"/>
          <w:sz w:val="24"/>
          <w:szCs w:val="24"/>
          <w:lang w:val="es-ES" w:eastAsia="es-ES"/>
        </w:rPr>
      </w:pPr>
      <w:r w:rsidRPr="00787AE7">
        <w:rPr>
          <w:rFonts w:ascii="Bookman Old Style" w:hAnsi="Bookman Old Style" w:cs="Arial"/>
          <w:color w:val="000000" w:themeColor="text1"/>
          <w:sz w:val="24"/>
          <w:szCs w:val="24"/>
          <w:lang w:val="es-ES" w:eastAsia="es-ES"/>
        </w:rPr>
        <w:t>Cantidad total de energía inyectada en cada punto de entrada al SNT</w:t>
      </w:r>
      <w:r w:rsidR="006A34CD" w:rsidRPr="00787AE7">
        <w:rPr>
          <w:rFonts w:ascii="Bookman Old Style" w:hAnsi="Bookman Old Style" w:cs="Arial"/>
          <w:color w:val="000000" w:themeColor="text1"/>
          <w:sz w:val="24"/>
          <w:szCs w:val="24"/>
          <w:lang w:val="es-ES" w:eastAsia="es-ES"/>
        </w:rPr>
        <w:t xml:space="preserve"> y la cantidad total entregada a través de otros medios de transporte como gasoducto</w:t>
      </w:r>
      <w:r w:rsidR="00851421" w:rsidRPr="00787AE7">
        <w:rPr>
          <w:rFonts w:ascii="Bookman Old Style" w:hAnsi="Bookman Old Style" w:cs="Arial"/>
          <w:color w:val="000000" w:themeColor="text1"/>
          <w:sz w:val="24"/>
          <w:szCs w:val="24"/>
          <w:lang w:val="es-ES" w:eastAsia="es-ES"/>
        </w:rPr>
        <w:t>s</w:t>
      </w:r>
      <w:r w:rsidR="006A34CD" w:rsidRPr="00787AE7">
        <w:rPr>
          <w:rFonts w:ascii="Bookman Old Style" w:hAnsi="Bookman Old Style" w:cs="Arial"/>
          <w:color w:val="000000" w:themeColor="text1"/>
          <w:sz w:val="24"/>
          <w:szCs w:val="24"/>
          <w:lang w:val="es-ES" w:eastAsia="es-ES"/>
        </w:rPr>
        <w:t xml:space="preserve"> dedicado</w:t>
      </w:r>
      <w:r w:rsidR="00851421" w:rsidRPr="00787AE7">
        <w:rPr>
          <w:rFonts w:ascii="Bookman Old Style" w:hAnsi="Bookman Old Style" w:cs="Arial"/>
          <w:color w:val="000000" w:themeColor="text1"/>
          <w:sz w:val="24"/>
          <w:szCs w:val="24"/>
          <w:lang w:val="es-ES" w:eastAsia="es-ES"/>
        </w:rPr>
        <w:t>s</w:t>
      </w:r>
      <w:r w:rsidR="006A34CD" w:rsidRPr="00787AE7">
        <w:rPr>
          <w:rFonts w:ascii="Bookman Old Style" w:hAnsi="Bookman Old Style" w:cs="Arial"/>
          <w:color w:val="000000" w:themeColor="text1"/>
          <w:sz w:val="24"/>
          <w:szCs w:val="24"/>
          <w:lang w:val="es-ES" w:eastAsia="es-ES"/>
        </w:rPr>
        <w:t xml:space="preserve"> </w:t>
      </w:r>
      <w:r w:rsidR="00851421" w:rsidRPr="00787AE7">
        <w:rPr>
          <w:rFonts w:ascii="Bookman Old Style" w:hAnsi="Bookman Old Style" w:cs="Arial"/>
          <w:color w:val="000000" w:themeColor="text1"/>
          <w:sz w:val="24"/>
          <w:szCs w:val="24"/>
          <w:lang w:val="es-ES" w:eastAsia="es-ES"/>
        </w:rPr>
        <w:t>y</w:t>
      </w:r>
      <w:r w:rsidR="006A34CD" w:rsidRPr="00787AE7">
        <w:rPr>
          <w:rFonts w:ascii="Bookman Old Style" w:hAnsi="Bookman Old Style" w:cs="Arial"/>
          <w:color w:val="000000" w:themeColor="text1"/>
          <w:sz w:val="24"/>
          <w:szCs w:val="24"/>
          <w:lang w:val="es-ES" w:eastAsia="es-ES"/>
        </w:rPr>
        <w:t xml:space="preserve"> gas natural comprimido</w:t>
      </w:r>
      <w:r w:rsidRPr="00787AE7">
        <w:rPr>
          <w:rFonts w:ascii="Bookman Old Style" w:hAnsi="Bookman Old Style" w:cs="Arial"/>
          <w:color w:val="000000" w:themeColor="text1"/>
          <w:sz w:val="24"/>
          <w:szCs w:val="24"/>
          <w:lang w:val="es-ES" w:eastAsia="es-ES"/>
        </w:rPr>
        <w:t>, expresada en MBTU. Los comercializadores de gas importado y los productores-comercializadores de campos aislados también deberán declarar al gestor del mercado aquella cantidad total de energía que es consumida en el territorio nacional y no pasa por el SNT, expresada en MBTU.</w:t>
      </w:r>
    </w:p>
    <w:p w:rsidR="006A0D28" w:rsidRPr="00787AE7" w:rsidRDefault="006A0D28" w:rsidP="006A0D28">
      <w:pPr>
        <w:pStyle w:val="Prrafodelista"/>
        <w:ind w:left="1701" w:hanging="567"/>
        <w:contextualSpacing/>
        <w:jc w:val="both"/>
        <w:rPr>
          <w:rFonts w:ascii="Bookman Old Style" w:hAnsi="Bookman Old Style" w:cs="Arial"/>
          <w:color w:val="000000" w:themeColor="text1"/>
          <w:sz w:val="24"/>
          <w:szCs w:val="24"/>
          <w:lang w:val="es-ES" w:eastAsia="es-ES"/>
        </w:rPr>
      </w:pPr>
    </w:p>
    <w:p w:rsidR="00AA395A" w:rsidRDefault="00AA395A" w:rsidP="006A0D28">
      <w:pPr>
        <w:pStyle w:val="Prrafodelista"/>
        <w:ind w:left="1701" w:hanging="567"/>
        <w:contextualSpacing/>
        <w:jc w:val="both"/>
        <w:rPr>
          <w:rFonts w:ascii="Bookman Old Style" w:hAnsi="Bookman Old Style" w:cs="Arial"/>
          <w:color w:val="000000" w:themeColor="text1"/>
          <w:sz w:val="24"/>
          <w:szCs w:val="24"/>
          <w:lang w:val="es-ES" w:eastAsia="es-ES"/>
        </w:rPr>
      </w:pPr>
    </w:p>
    <w:p w:rsidR="00457950" w:rsidRPr="00787AE7" w:rsidRDefault="00457950" w:rsidP="006A0D28">
      <w:pPr>
        <w:pStyle w:val="Prrafodelista"/>
        <w:ind w:left="1701" w:hanging="567"/>
        <w:contextualSpacing/>
        <w:jc w:val="both"/>
        <w:rPr>
          <w:rFonts w:ascii="Bookman Old Style" w:hAnsi="Bookman Old Style" w:cs="Arial"/>
          <w:color w:val="000000" w:themeColor="text1"/>
          <w:sz w:val="24"/>
          <w:szCs w:val="24"/>
          <w:lang w:val="es-ES" w:eastAsia="es-ES"/>
        </w:rPr>
      </w:pPr>
    </w:p>
    <w:p w:rsidR="006A0D28" w:rsidRPr="00787AE7" w:rsidRDefault="006A0D28" w:rsidP="006A0D28">
      <w:pPr>
        <w:pStyle w:val="Prrafodelista"/>
        <w:numPr>
          <w:ilvl w:val="0"/>
          <w:numId w:val="14"/>
        </w:numPr>
        <w:ind w:left="1701" w:hanging="567"/>
        <w:contextualSpacing/>
        <w:jc w:val="both"/>
        <w:rPr>
          <w:rFonts w:ascii="Bookman Old Style" w:hAnsi="Bookman Old Style" w:cs="Arial"/>
          <w:color w:val="000000" w:themeColor="text1"/>
          <w:sz w:val="24"/>
          <w:szCs w:val="24"/>
          <w:lang w:val="es-ES" w:eastAsia="es-ES"/>
        </w:rPr>
      </w:pPr>
      <w:r w:rsidRPr="00787AE7">
        <w:rPr>
          <w:rFonts w:ascii="Bookman Old Style" w:hAnsi="Bookman Old Style" w:cs="Arial"/>
          <w:color w:val="000000" w:themeColor="text1"/>
          <w:sz w:val="24"/>
          <w:szCs w:val="24"/>
          <w:lang w:val="es-ES" w:eastAsia="es-ES"/>
        </w:rPr>
        <w:t>Cantidad de energía exportada, expresada en MBTU, con sujeción a las medidas que el Ministerio de Minas y Energía adopte sobre la materia.</w:t>
      </w:r>
    </w:p>
    <w:p w:rsidR="006A0D28" w:rsidRPr="00787AE7" w:rsidRDefault="006A0D28" w:rsidP="006A0D28">
      <w:pPr>
        <w:pStyle w:val="Prrafodelista"/>
        <w:ind w:left="1701" w:hanging="567"/>
        <w:contextualSpacing/>
        <w:jc w:val="both"/>
        <w:rPr>
          <w:rFonts w:ascii="Bookman Old Style" w:hAnsi="Bookman Old Style" w:cs="Arial"/>
          <w:color w:val="000000" w:themeColor="text1"/>
          <w:sz w:val="24"/>
          <w:szCs w:val="24"/>
          <w:lang w:val="es-ES" w:eastAsia="es-ES"/>
        </w:rPr>
      </w:pPr>
    </w:p>
    <w:p w:rsidR="006A0D28" w:rsidRPr="00787AE7" w:rsidRDefault="006A0D28" w:rsidP="00AD70D5">
      <w:pPr>
        <w:pStyle w:val="Prrafodelista"/>
        <w:numPr>
          <w:ilvl w:val="0"/>
          <w:numId w:val="14"/>
        </w:numPr>
        <w:ind w:left="1701" w:hanging="567"/>
        <w:contextualSpacing/>
        <w:jc w:val="both"/>
        <w:rPr>
          <w:rFonts w:ascii="Bookman Old Style" w:hAnsi="Bookman Old Style"/>
          <w:bCs/>
          <w:color w:val="000000" w:themeColor="text1"/>
        </w:rPr>
      </w:pPr>
      <w:r w:rsidRPr="00787AE7">
        <w:rPr>
          <w:rFonts w:ascii="Bookman Old Style" w:hAnsi="Bookman Old Style" w:cs="Arial"/>
          <w:color w:val="000000" w:themeColor="text1"/>
          <w:sz w:val="24"/>
          <w:szCs w:val="24"/>
          <w:lang w:val="es-ES" w:eastAsia="es-ES"/>
        </w:rPr>
        <w:t>La demás información que determine la CREG</w:t>
      </w:r>
      <w:r w:rsidR="006A34CD" w:rsidRPr="00787AE7">
        <w:rPr>
          <w:rFonts w:ascii="Bookman Old Style" w:hAnsi="Bookman Old Style" w:cs="Arial"/>
          <w:color w:val="000000" w:themeColor="text1"/>
          <w:sz w:val="24"/>
          <w:szCs w:val="24"/>
          <w:lang w:val="es-ES" w:eastAsia="es-ES"/>
        </w:rPr>
        <w:t>”</w:t>
      </w:r>
      <w:r w:rsidRPr="00787AE7">
        <w:rPr>
          <w:rFonts w:ascii="Bookman Old Style" w:hAnsi="Bookman Old Style" w:cs="Arial"/>
          <w:color w:val="000000" w:themeColor="text1"/>
          <w:sz w:val="24"/>
          <w:szCs w:val="24"/>
          <w:lang w:val="es-ES" w:eastAsia="es-ES"/>
        </w:rPr>
        <w:t>.</w:t>
      </w:r>
    </w:p>
    <w:p w:rsidR="006A0D28" w:rsidRPr="00787AE7" w:rsidRDefault="006A0D28" w:rsidP="006A0D28">
      <w:pPr>
        <w:ind w:left="0"/>
        <w:jc w:val="both"/>
        <w:rPr>
          <w:rFonts w:ascii="Bookman Old Style" w:hAnsi="Bookman Old Style"/>
          <w:bCs/>
          <w:color w:val="000000" w:themeColor="text1"/>
        </w:rPr>
      </w:pPr>
    </w:p>
    <w:p w:rsidR="006A0D28" w:rsidRPr="00787AE7" w:rsidRDefault="006A0D28" w:rsidP="00EC0D1F">
      <w:pPr>
        <w:ind w:left="0"/>
        <w:jc w:val="both"/>
        <w:rPr>
          <w:rFonts w:ascii="Bookman Old Style" w:hAnsi="Bookman Old Style" w:cs="Arial"/>
          <w:color w:val="000000" w:themeColor="text1"/>
          <w:lang w:val="es-CO"/>
        </w:rPr>
      </w:pPr>
    </w:p>
    <w:p w:rsidR="008C4488" w:rsidRPr="00787AE7" w:rsidRDefault="008C4488" w:rsidP="008C4488">
      <w:pPr>
        <w:pStyle w:val="ARTICULOS"/>
        <w:tabs>
          <w:tab w:val="left" w:pos="1560"/>
        </w:tabs>
        <w:ind w:left="0" w:firstLine="0"/>
        <w:rPr>
          <w:rFonts w:cs="Arial"/>
          <w:color w:val="000000" w:themeColor="text1"/>
          <w:lang w:val="es-CO"/>
        </w:rPr>
      </w:pPr>
      <w:r w:rsidRPr="00787AE7">
        <w:rPr>
          <w:rFonts w:cs="Arial"/>
          <w:b/>
          <w:color w:val="000000" w:themeColor="text1"/>
          <w:lang w:val="es-CO"/>
        </w:rPr>
        <w:t>Modifíque</w:t>
      </w:r>
      <w:r w:rsidR="00102ABD" w:rsidRPr="00787AE7">
        <w:rPr>
          <w:rFonts w:cs="Arial"/>
          <w:b/>
          <w:color w:val="000000" w:themeColor="text1"/>
          <w:lang w:val="es-CO"/>
        </w:rPr>
        <w:t>n</w:t>
      </w:r>
      <w:r w:rsidRPr="00787AE7">
        <w:rPr>
          <w:rFonts w:cs="Arial"/>
          <w:b/>
          <w:color w:val="000000" w:themeColor="text1"/>
          <w:lang w:val="es-CO"/>
        </w:rPr>
        <w:t>se l</w:t>
      </w:r>
      <w:r w:rsidR="00102ABD" w:rsidRPr="00787AE7">
        <w:rPr>
          <w:rFonts w:cs="Arial"/>
          <w:b/>
          <w:color w:val="000000" w:themeColor="text1"/>
          <w:lang w:val="es-CO"/>
        </w:rPr>
        <w:t>os</w:t>
      </w:r>
      <w:r w:rsidRPr="00787AE7">
        <w:rPr>
          <w:rFonts w:cs="Arial"/>
          <w:b/>
          <w:color w:val="000000" w:themeColor="text1"/>
          <w:lang w:val="es-CO"/>
        </w:rPr>
        <w:t xml:space="preserve"> numeral</w:t>
      </w:r>
      <w:r w:rsidR="00102ABD" w:rsidRPr="00787AE7">
        <w:rPr>
          <w:rFonts w:cs="Arial"/>
          <w:b/>
          <w:color w:val="000000" w:themeColor="text1"/>
          <w:lang w:val="es-CO"/>
        </w:rPr>
        <w:t>es</w:t>
      </w:r>
      <w:r w:rsidRPr="00787AE7">
        <w:rPr>
          <w:rFonts w:cs="Arial"/>
          <w:b/>
          <w:color w:val="000000" w:themeColor="text1"/>
          <w:lang w:val="es-CO"/>
        </w:rPr>
        <w:t xml:space="preserve"> i</w:t>
      </w:r>
      <w:r w:rsidR="00102ABD" w:rsidRPr="00787AE7">
        <w:rPr>
          <w:rFonts w:cs="Arial"/>
          <w:b/>
          <w:color w:val="000000" w:themeColor="text1"/>
          <w:lang w:val="es-CO"/>
        </w:rPr>
        <w:t xml:space="preserve"> y ii</w:t>
      </w:r>
      <w:r w:rsidRPr="00787AE7">
        <w:rPr>
          <w:rFonts w:cs="Arial"/>
          <w:b/>
          <w:color w:val="000000" w:themeColor="text1"/>
          <w:lang w:val="es-CO"/>
        </w:rPr>
        <w:t xml:space="preserve"> del literal b) del numeral 4.1 del Anexo 2 de la Resolución CREG 089 de 2013</w:t>
      </w:r>
      <w:r w:rsidR="00D157B5" w:rsidRPr="00787AE7">
        <w:rPr>
          <w:rFonts w:cs="Arial"/>
          <w:b/>
          <w:color w:val="000000" w:themeColor="text1"/>
          <w:lang w:val="es-CO"/>
        </w:rPr>
        <w:t>.</w:t>
      </w:r>
      <w:r w:rsidRPr="00787AE7">
        <w:rPr>
          <w:rFonts w:cs="Arial"/>
          <w:color w:val="000000" w:themeColor="text1"/>
          <w:lang w:val="es-CO"/>
        </w:rPr>
        <w:t xml:space="preserve"> </w:t>
      </w:r>
      <w:r w:rsidR="00102ABD" w:rsidRPr="00787AE7">
        <w:rPr>
          <w:rFonts w:cs="Arial"/>
          <w:color w:val="000000" w:themeColor="text1"/>
          <w:lang w:val="es-CO"/>
        </w:rPr>
        <w:t>Los</w:t>
      </w:r>
      <w:r w:rsidRPr="00787AE7">
        <w:rPr>
          <w:rFonts w:cs="Arial"/>
          <w:color w:val="000000" w:themeColor="text1"/>
          <w:lang w:val="es-CO"/>
        </w:rPr>
        <w:t xml:space="preserve"> numeral</w:t>
      </w:r>
      <w:r w:rsidR="00102ABD" w:rsidRPr="00787AE7">
        <w:rPr>
          <w:rFonts w:cs="Arial"/>
          <w:color w:val="000000" w:themeColor="text1"/>
          <w:lang w:val="es-CO"/>
        </w:rPr>
        <w:t>es</w:t>
      </w:r>
      <w:r w:rsidRPr="00787AE7">
        <w:rPr>
          <w:rFonts w:cs="Arial"/>
          <w:color w:val="000000" w:themeColor="text1"/>
          <w:lang w:val="es-CO"/>
        </w:rPr>
        <w:t xml:space="preserve"> i </w:t>
      </w:r>
      <w:r w:rsidR="00102ABD" w:rsidRPr="00787AE7">
        <w:rPr>
          <w:rFonts w:cs="Arial"/>
          <w:color w:val="000000" w:themeColor="text1"/>
          <w:lang w:val="es-CO"/>
        </w:rPr>
        <w:t xml:space="preserve">y ii </w:t>
      </w:r>
      <w:r w:rsidRPr="00787AE7">
        <w:rPr>
          <w:rFonts w:cs="Arial"/>
          <w:color w:val="000000" w:themeColor="text1"/>
          <w:lang w:val="es-CO"/>
        </w:rPr>
        <w:t>del literal b) del numeral 4.1 del Anexo 2 de la Resolución CREG 089 de 2013 quedará</w:t>
      </w:r>
      <w:r w:rsidR="00102ABD" w:rsidRPr="00787AE7">
        <w:rPr>
          <w:rFonts w:cs="Arial"/>
          <w:color w:val="000000" w:themeColor="text1"/>
          <w:lang w:val="es-CO"/>
        </w:rPr>
        <w:t>n</w:t>
      </w:r>
      <w:r w:rsidRPr="00787AE7">
        <w:rPr>
          <w:rFonts w:cs="Arial"/>
          <w:color w:val="000000" w:themeColor="text1"/>
          <w:lang w:val="es-CO"/>
        </w:rPr>
        <w:t xml:space="preserve"> así: </w:t>
      </w:r>
    </w:p>
    <w:p w:rsidR="008C4488" w:rsidRPr="00787AE7" w:rsidRDefault="008C4488" w:rsidP="008C4488">
      <w:pPr>
        <w:pStyle w:val="ARTICULOS"/>
        <w:numPr>
          <w:ilvl w:val="0"/>
          <w:numId w:val="0"/>
        </w:numPr>
        <w:tabs>
          <w:tab w:val="left" w:pos="1560"/>
        </w:tabs>
        <w:rPr>
          <w:rFonts w:cs="Arial"/>
          <w:color w:val="000000" w:themeColor="text1"/>
          <w:lang w:val="es-CO"/>
        </w:rPr>
      </w:pPr>
    </w:p>
    <w:p w:rsidR="008C4488" w:rsidRPr="00787AE7" w:rsidRDefault="008C4488" w:rsidP="008C4488">
      <w:pPr>
        <w:ind w:left="0"/>
        <w:jc w:val="both"/>
        <w:rPr>
          <w:rFonts w:ascii="Bookman Old Style" w:hAnsi="Bookman Old Style"/>
          <w:bCs/>
          <w:color w:val="000000" w:themeColor="text1"/>
        </w:rPr>
      </w:pPr>
      <w:r w:rsidRPr="00787AE7">
        <w:rPr>
          <w:rFonts w:ascii="Bookman Old Style" w:hAnsi="Bookman Old Style"/>
          <w:bCs/>
          <w:color w:val="000000" w:themeColor="text1"/>
        </w:rPr>
        <w:t>“</w:t>
      </w:r>
    </w:p>
    <w:p w:rsidR="00102ABD" w:rsidRPr="00787AE7" w:rsidRDefault="008C4488" w:rsidP="008C4488">
      <w:pPr>
        <w:pStyle w:val="Prrafodelista"/>
        <w:numPr>
          <w:ilvl w:val="0"/>
          <w:numId w:val="13"/>
        </w:numPr>
        <w:ind w:left="426" w:hanging="426"/>
        <w:contextualSpacing/>
        <w:jc w:val="both"/>
        <w:rPr>
          <w:rFonts w:ascii="Bookman Old Style" w:hAnsi="Bookman Old Style" w:cs="Arial"/>
          <w:color w:val="000000" w:themeColor="text1"/>
          <w:sz w:val="24"/>
          <w:szCs w:val="24"/>
          <w:lang w:val="es-ES"/>
        </w:rPr>
      </w:pPr>
      <w:r w:rsidRPr="00787AE7">
        <w:rPr>
          <w:rFonts w:ascii="Bookman Old Style" w:hAnsi="Bookman Old Style" w:cs="Arial"/>
          <w:color w:val="000000" w:themeColor="text1"/>
          <w:sz w:val="24"/>
          <w:szCs w:val="24"/>
          <w:lang w:val="es-ES" w:eastAsia="es-ES"/>
        </w:rPr>
        <w:t>Cantidad de energía recibida en cada punto de entrada o de transferencia del SNT</w:t>
      </w:r>
      <w:r w:rsidR="001F2237" w:rsidRPr="00787AE7">
        <w:rPr>
          <w:rFonts w:ascii="Bookman Old Style" w:hAnsi="Bookman Old Style" w:cs="Arial"/>
          <w:color w:val="000000" w:themeColor="text1"/>
          <w:sz w:val="24"/>
          <w:szCs w:val="24"/>
          <w:lang w:val="es-ES" w:eastAsia="es-ES"/>
        </w:rPr>
        <w:t>,</w:t>
      </w:r>
      <w:r w:rsidRPr="00787AE7">
        <w:rPr>
          <w:rFonts w:ascii="Bookman Old Style" w:hAnsi="Bookman Old Style" w:cs="Arial"/>
          <w:color w:val="000000" w:themeColor="text1"/>
          <w:sz w:val="24"/>
          <w:szCs w:val="24"/>
          <w:lang w:val="es-ES" w:eastAsia="es-ES"/>
        </w:rPr>
        <w:t xml:space="preserve"> y cantidad de energía </w:t>
      </w:r>
      <w:r w:rsidR="001F2237" w:rsidRPr="00787AE7">
        <w:rPr>
          <w:rFonts w:ascii="Bookman Old Style" w:hAnsi="Bookman Old Style" w:cs="Arial"/>
          <w:color w:val="000000" w:themeColor="text1"/>
          <w:sz w:val="24"/>
          <w:szCs w:val="24"/>
          <w:lang w:val="es-ES" w:eastAsia="es-ES"/>
        </w:rPr>
        <w:t>en gas</w:t>
      </w:r>
      <w:r w:rsidR="00B428D6">
        <w:rPr>
          <w:rFonts w:ascii="Bookman Old Style" w:hAnsi="Bookman Old Style" w:cs="Arial"/>
          <w:color w:val="000000" w:themeColor="text1"/>
          <w:sz w:val="24"/>
          <w:szCs w:val="24"/>
          <w:lang w:val="es-ES" w:eastAsia="es-ES"/>
        </w:rPr>
        <w:t xml:space="preserve"> o electricidad</w:t>
      </w:r>
      <w:r w:rsidR="001F2237" w:rsidRPr="00787AE7">
        <w:rPr>
          <w:rFonts w:ascii="Bookman Old Style" w:hAnsi="Bookman Old Style" w:cs="Arial"/>
          <w:color w:val="000000" w:themeColor="text1"/>
          <w:sz w:val="24"/>
          <w:szCs w:val="24"/>
          <w:lang w:val="es-ES" w:eastAsia="es-ES"/>
        </w:rPr>
        <w:t xml:space="preserve"> </w:t>
      </w:r>
      <w:r w:rsidR="00081249" w:rsidRPr="00787AE7">
        <w:rPr>
          <w:rFonts w:ascii="Bookman Old Style" w:hAnsi="Bookman Old Style" w:cs="Arial"/>
          <w:color w:val="000000" w:themeColor="text1"/>
          <w:sz w:val="24"/>
          <w:szCs w:val="24"/>
          <w:lang w:val="es-ES" w:eastAsia="es-ES"/>
        </w:rPr>
        <w:t xml:space="preserve">consumida por estaciones </w:t>
      </w:r>
      <w:r w:rsidR="001F2237" w:rsidRPr="00787AE7">
        <w:rPr>
          <w:rFonts w:ascii="Bookman Old Style" w:hAnsi="Bookman Old Style" w:cs="Arial"/>
          <w:color w:val="000000" w:themeColor="text1"/>
          <w:sz w:val="24"/>
          <w:szCs w:val="24"/>
          <w:lang w:val="es-ES" w:eastAsia="es-ES"/>
        </w:rPr>
        <w:t xml:space="preserve">de compresión </w:t>
      </w:r>
      <w:r w:rsidRPr="00787AE7">
        <w:rPr>
          <w:rFonts w:ascii="Bookman Old Style" w:hAnsi="Bookman Old Style" w:cs="Arial"/>
          <w:color w:val="000000" w:themeColor="text1"/>
          <w:sz w:val="24"/>
          <w:szCs w:val="24"/>
          <w:lang w:val="es-ES" w:eastAsia="es-ES"/>
        </w:rPr>
        <w:t xml:space="preserve">en cada </w:t>
      </w:r>
      <w:r w:rsidR="00053D81" w:rsidRPr="00787AE7">
        <w:rPr>
          <w:rFonts w:ascii="Bookman Old Style" w:hAnsi="Bookman Old Style" w:cs="Arial"/>
          <w:color w:val="000000" w:themeColor="text1"/>
          <w:sz w:val="24"/>
          <w:szCs w:val="24"/>
          <w:lang w:val="es-ES" w:eastAsia="es-ES"/>
        </w:rPr>
        <w:t xml:space="preserve">uno de los </w:t>
      </w:r>
      <w:r w:rsidRPr="00787AE7">
        <w:rPr>
          <w:rFonts w:ascii="Bookman Old Style" w:hAnsi="Bookman Old Style" w:cs="Arial"/>
          <w:color w:val="000000" w:themeColor="text1"/>
          <w:sz w:val="24"/>
          <w:szCs w:val="24"/>
          <w:lang w:val="es-ES" w:eastAsia="es-ES"/>
        </w:rPr>
        <w:t>tramo</w:t>
      </w:r>
      <w:r w:rsidR="00053D81" w:rsidRPr="00787AE7">
        <w:rPr>
          <w:rFonts w:ascii="Bookman Old Style" w:hAnsi="Bookman Old Style" w:cs="Arial"/>
          <w:color w:val="000000" w:themeColor="text1"/>
          <w:sz w:val="24"/>
          <w:szCs w:val="24"/>
          <w:lang w:val="es-ES" w:eastAsia="es-ES"/>
        </w:rPr>
        <w:t>s</w:t>
      </w:r>
      <w:r w:rsidRPr="00787AE7">
        <w:rPr>
          <w:rFonts w:ascii="Bookman Old Style" w:hAnsi="Bookman Old Style" w:cs="Arial"/>
          <w:color w:val="000000" w:themeColor="text1"/>
          <w:sz w:val="24"/>
          <w:szCs w:val="24"/>
          <w:lang w:val="es-ES" w:eastAsia="es-ES"/>
        </w:rPr>
        <w:t xml:space="preserve"> de gasoductos definidos </w:t>
      </w:r>
      <w:r w:rsidR="007E686E" w:rsidRPr="00787AE7">
        <w:rPr>
          <w:rFonts w:ascii="Bookman Old Style" w:hAnsi="Bookman Old Style" w:cs="Arial"/>
          <w:color w:val="000000" w:themeColor="text1"/>
          <w:sz w:val="24"/>
          <w:szCs w:val="24"/>
          <w:lang w:val="es-ES" w:eastAsia="es-ES"/>
        </w:rPr>
        <w:t>por la CREG en las resoluciones de cargos,</w:t>
      </w:r>
      <w:r w:rsidRPr="00787AE7">
        <w:rPr>
          <w:rFonts w:ascii="Bookman Old Style" w:hAnsi="Bookman Old Style" w:cs="Arial"/>
          <w:color w:val="000000" w:themeColor="text1"/>
          <w:sz w:val="24"/>
          <w:szCs w:val="24"/>
          <w:lang w:val="es-ES" w:eastAsia="es-ES"/>
        </w:rPr>
        <w:t xml:space="preserve"> expresada en MBTU</w:t>
      </w:r>
      <w:r w:rsidR="00102ABD" w:rsidRPr="00787AE7">
        <w:rPr>
          <w:rFonts w:ascii="Bookman Old Style" w:hAnsi="Bookman Old Style" w:cs="Arial"/>
          <w:color w:val="000000" w:themeColor="text1"/>
          <w:sz w:val="24"/>
          <w:szCs w:val="24"/>
          <w:lang w:val="es-ES" w:eastAsia="es-ES"/>
        </w:rPr>
        <w:t>.</w:t>
      </w:r>
    </w:p>
    <w:p w:rsidR="00102ABD" w:rsidRPr="00787AE7" w:rsidRDefault="00102ABD" w:rsidP="003D4918">
      <w:pPr>
        <w:pStyle w:val="Prrafodelista"/>
        <w:ind w:left="426"/>
        <w:contextualSpacing/>
        <w:jc w:val="both"/>
        <w:rPr>
          <w:rFonts w:ascii="Bookman Old Style" w:hAnsi="Bookman Old Style" w:cs="Arial"/>
          <w:color w:val="000000" w:themeColor="text1"/>
          <w:sz w:val="24"/>
          <w:szCs w:val="24"/>
          <w:lang w:val="es-ES"/>
        </w:rPr>
      </w:pPr>
    </w:p>
    <w:p w:rsidR="008C4488" w:rsidRPr="00787AE7" w:rsidRDefault="00102ABD" w:rsidP="008C4488">
      <w:pPr>
        <w:pStyle w:val="Prrafodelista"/>
        <w:numPr>
          <w:ilvl w:val="0"/>
          <w:numId w:val="13"/>
        </w:numPr>
        <w:ind w:left="426" w:hanging="426"/>
        <w:contextualSpacing/>
        <w:jc w:val="both"/>
        <w:rPr>
          <w:rFonts w:ascii="Bookman Old Style" w:hAnsi="Bookman Old Style" w:cs="Arial"/>
          <w:color w:val="000000" w:themeColor="text1"/>
          <w:sz w:val="24"/>
          <w:szCs w:val="24"/>
          <w:lang w:val="es-ES"/>
        </w:rPr>
      </w:pPr>
      <w:r w:rsidRPr="00787AE7">
        <w:rPr>
          <w:rFonts w:ascii="Bookman Old Style" w:hAnsi="Bookman Old Style" w:cs="Arial"/>
          <w:color w:val="000000" w:themeColor="text1"/>
          <w:sz w:val="24"/>
          <w:szCs w:val="24"/>
          <w:lang w:val="es-ES" w:eastAsia="es-ES"/>
        </w:rPr>
        <w:t>Cantidad de energía tomada en cada punto de salida del respectivo sistema de transporte, expresada en MBTU. Adicionalmente, el transportador declarará el número del contrato bajo el cual el remitente tomó dicha energía en el respectivo punto de salida. En los puntos de transferencia entre transportadores se deberá declarar la cantidad total transferida al siguiente transportador, expresada en MBTU. Para cada punto de salida y de transferencia entre transportadores el transportador indicará si la cantidad declarada corresponde a medición directa (i.e. punto con telemetría) o indirecta (i.e. punto sin telemetría</w:t>
      </w:r>
      <w:r w:rsidR="007503DA" w:rsidRPr="00787AE7">
        <w:rPr>
          <w:rFonts w:ascii="Bookman Old Style" w:hAnsi="Bookman Old Style" w:cs="Arial"/>
          <w:color w:val="000000" w:themeColor="text1"/>
          <w:sz w:val="24"/>
          <w:szCs w:val="24"/>
          <w:lang w:val="es-ES" w:eastAsia="es-ES"/>
        </w:rPr>
        <w:t>)</w:t>
      </w:r>
      <w:r w:rsidR="008C4488" w:rsidRPr="00787AE7">
        <w:rPr>
          <w:rFonts w:ascii="Bookman Old Style" w:hAnsi="Bookman Old Style" w:cs="Arial"/>
          <w:color w:val="000000" w:themeColor="text1"/>
          <w:sz w:val="24"/>
          <w:szCs w:val="24"/>
          <w:lang w:val="es-ES" w:eastAsia="es-ES"/>
        </w:rPr>
        <w:t>”.</w:t>
      </w:r>
      <w:r w:rsidR="007A454E" w:rsidRPr="00787AE7">
        <w:rPr>
          <w:rFonts w:ascii="Bookman Old Style" w:hAnsi="Bookman Old Style" w:cs="Arial"/>
          <w:color w:val="000000" w:themeColor="text1"/>
          <w:sz w:val="24"/>
          <w:szCs w:val="24"/>
          <w:lang w:val="es-ES" w:eastAsia="es-ES"/>
        </w:rPr>
        <w:t xml:space="preserve"> </w:t>
      </w:r>
    </w:p>
    <w:p w:rsidR="0003552F" w:rsidRPr="00787AE7" w:rsidRDefault="0003552F" w:rsidP="00214DB1">
      <w:pPr>
        <w:pStyle w:val="ARTICULOS"/>
        <w:numPr>
          <w:ilvl w:val="0"/>
          <w:numId w:val="0"/>
        </w:numPr>
        <w:tabs>
          <w:tab w:val="left" w:pos="1560"/>
        </w:tabs>
        <w:rPr>
          <w:rFonts w:cs="Arial"/>
          <w:color w:val="000000" w:themeColor="text1"/>
          <w:lang w:val="es-CO"/>
        </w:rPr>
      </w:pPr>
    </w:p>
    <w:p w:rsidR="00BA4023" w:rsidRPr="00787AE7" w:rsidRDefault="004A7271" w:rsidP="00BA4023">
      <w:pPr>
        <w:pStyle w:val="ARTICULOS"/>
        <w:tabs>
          <w:tab w:val="left" w:pos="1560"/>
        </w:tabs>
        <w:ind w:left="0" w:firstLine="0"/>
        <w:rPr>
          <w:rFonts w:cs="Arial"/>
          <w:color w:val="000000" w:themeColor="text1"/>
          <w:lang w:val="es-CO"/>
        </w:rPr>
      </w:pPr>
      <w:r w:rsidRPr="00787AE7">
        <w:rPr>
          <w:rFonts w:cs="Arial"/>
          <w:b/>
          <w:color w:val="000000" w:themeColor="text1"/>
          <w:lang w:val="es-ES"/>
        </w:rPr>
        <w:t xml:space="preserve">Adiciónese el literal d) al </w:t>
      </w:r>
      <w:r w:rsidR="00BA4023" w:rsidRPr="00787AE7">
        <w:rPr>
          <w:rFonts w:cs="Arial"/>
          <w:b/>
          <w:color w:val="000000" w:themeColor="text1"/>
          <w:lang w:val="es-ES"/>
        </w:rPr>
        <w:t>numeral 4.1 del Anexo 2 de la Resolución CREG 089 de 2013.</w:t>
      </w:r>
      <w:r w:rsidR="00D157B5" w:rsidRPr="00787AE7">
        <w:rPr>
          <w:rFonts w:cs="Arial"/>
          <w:b/>
          <w:color w:val="000000" w:themeColor="text1"/>
          <w:lang w:val="es-ES"/>
        </w:rPr>
        <w:t xml:space="preserve"> </w:t>
      </w:r>
      <w:r w:rsidR="00BA4023" w:rsidRPr="00787AE7">
        <w:rPr>
          <w:rFonts w:cs="Arial"/>
          <w:color w:val="000000" w:themeColor="text1"/>
          <w:lang w:val="es-CO"/>
        </w:rPr>
        <w:t>El literal d) del numeral 4.1 del Anexo 2 de la Resolución CREG 089 de 2013 quedará así:</w:t>
      </w:r>
    </w:p>
    <w:p w:rsidR="00BA4023" w:rsidRPr="00787AE7" w:rsidRDefault="00BA4023" w:rsidP="00BA4023">
      <w:pPr>
        <w:pStyle w:val="ARTICULOS"/>
        <w:numPr>
          <w:ilvl w:val="0"/>
          <w:numId w:val="0"/>
        </w:numPr>
        <w:tabs>
          <w:tab w:val="left" w:pos="1560"/>
        </w:tabs>
        <w:rPr>
          <w:rFonts w:cs="Arial"/>
          <w:color w:val="000000" w:themeColor="text1"/>
          <w:lang w:val="es-CO"/>
        </w:rPr>
      </w:pPr>
    </w:p>
    <w:p w:rsidR="004A7271" w:rsidRPr="00787AE7" w:rsidRDefault="004A7271" w:rsidP="004A7271">
      <w:pPr>
        <w:pStyle w:val="ARTICULOS"/>
        <w:numPr>
          <w:ilvl w:val="0"/>
          <w:numId w:val="0"/>
        </w:numPr>
        <w:rPr>
          <w:rFonts w:cs="Arial"/>
          <w:color w:val="000000" w:themeColor="text1"/>
        </w:rPr>
      </w:pPr>
      <w:r w:rsidRPr="00787AE7">
        <w:rPr>
          <w:rFonts w:cs="Arial"/>
          <w:color w:val="000000" w:themeColor="text1"/>
          <w:lang w:val="es-CO"/>
        </w:rPr>
        <w:t>“d)</w:t>
      </w:r>
      <w:r w:rsidRPr="00787AE7">
        <w:rPr>
          <w:rFonts w:cs="Arial"/>
          <w:color w:val="000000" w:themeColor="text1"/>
          <w:lang w:val="es-CO"/>
        </w:rPr>
        <w:tab/>
      </w:r>
      <w:r w:rsidRPr="00787AE7">
        <w:rPr>
          <w:rFonts w:cs="Arial"/>
          <w:color w:val="000000" w:themeColor="text1"/>
        </w:rPr>
        <w:t xml:space="preserve">Información </w:t>
      </w:r>
      <w:r w:rsidR="00D157B5" w:rsidRPr="00787AE7">
        <w:rPr>
          <w:rFonts w:cs="Arial"/>
          <w:color w:val="000000" w:themeColor="text1"/>
          <w:lang w:val="es-CO"/>
        </w:rPr>
        <w:t xml:space="preserve">sobre </w:t>
      </w:r>
      <w:r w:rsidRPr="00787AE7">
        <w:rPr>
          <w:rFonts w:cs="Arial"/>
          <w:color w:val="000000" w:themeColor="text1"/>
        </w:rPr>
        <w:t>nominaciones de suministro de gas</w:t>
      </w:r>
    </w:p>
    <w:p w:rsidR="004A7271" w:rsidRPr="00787AE7" w:rsidRDefault="004A7271" w:rsidP="004A7271">
      <w:pPr>
        <w:pStyle w:val="ARTICULOS"/>
        <w:numPr>
          <w:ilvl w:val="0"/>
          <w:numId w:val="0"/>
        </w:numPr>
        <w:ind w:left="1134"/>
        <w:rPr>
          <w:bCs w:val="0"/>
          <w:color w:val="000000" w:themeColor="text1"/>
        </w:rPr>
      </w:pPr>
    </w:p>
    <w:p w:rsidR="004A7271" w:rsidRPr="00787AE7" w:rsidRDefault="004A7271" w:rsidP="00C445D0">
      <w:pPr>
        <w:pStyle w:val="Prrafodelista"/>
        <w:numPr>
          <w:ilvl w:val="0"/>
          <w:numId w:val="6"/>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Los productores-comercializadores </w:t>
      </w:r>
      <w:r w:rsidR="00A30BA0" w:rsidRPr="00787AE7">
        <w:rPr>
          <w:rFonts w:ascii="Bookman Old Style" w:hAnsi="Bookman Old Style"/>
          <w:bCs/>
          <w:color w:val="000000" w:themeColor="text1"/>
          <w:sz w:val="24"/>
          <w:szCs w:val="24"/>
        </w:rPr>
        <w:t>y los comercializadores de gas importado</w:t>
      </w:r>
      <w:r w:rsidR="009D38E3" w:rsidRPr="00787AE7">
        <w:rPr>
          <w:rFonts w:ascii="Bookman Old Style" w:hAnsi="Bookman Old Style"/>
          <w:bCs/>
          <w:color w:val="000000" w:themeColor="text1"/>
          <w:sz w:val="24"/>
          <w:szCs w:val="24"/>
        </w:rPr>
        <w:t xml:space="preserve"> </w:t>
      </w:r>
      <w:r w:rsidRPr="00787AE7">
        <w:rPr>
          <w:rFonts w:ascii="Bookman Old Style" w:hAnsi="Bookman Old Style"/>
          <w:bCs/>
          <w:color w:val="000000" w:themeColor="text1"/>
          <w:sz w:val="24"/>
          <w:szCs w:val="24"/>
        </w:rPr>
        <w:t>deberán declarar al gestor del mercado la siguiente información de nominación para el siguiente día de gas, antes de las 15:</w:t>
      </w:r>
      <w:r w:rsidR="00BF24C1" w:rsidRPr="00787AE7">
        <w:rPr>
          <w:rFonts w:ascii="Bookman Old Style" w:hAnsi="Bookman Old Style"/>
          <w:bCs/>
          <w:color w:val="000000" w:themeColor="text1"/>
          <w:sz w:val="24"/>
          <w:szCs w:val="24"/>
        </w:rPr>
        <w:t>55</w:t>
      </w:r>
      <w:r w:rsidRPr="00787AE7">
        <w:rPr>
          <w:rFonts w:ascii="Bookman Old Style" w:hAnsi="Bookman Old Style"/>
          <w:bCs/>
          <w:color w:val="000000" w:themeColor="text1"/>
          <w:sz w:val="24"/>
          <w:szCs w:val="24"/>
        </w:rPr>
        <w:t xml:space="preserve"> horas del día D-1, por cada campo de producción </w:t>
      </w:r>
      <w:r w:rsidR="00420891" w:rsidRPr="00787AE7">
        <w:rPr>
          <w:rFonts w:ascii="Bookman Old Style" w:hAnsi="Bookman Old Style"/>
          <w:bCs/>
          <w:color w:val="000000" w:themeColor="text1"/>
          <w:sz w:val="24"/>
          <w:szCs w:val="24"/>
        </w:rPr>
        <w:t>y</w:t>
      </w:r>
      <w:r w:rsidRPr="00787AE7">
        <w:rPr>
          <w:rFonts w:ascii="Bookman Old Style" w:hAnsi="Bookman Old Style"/>
          <w:bCs/>
          <w:color w:val="000000" w:themeColor="text1"/>
          <w:sz w:val="24"/>
          <w:szCs w:val="24"/>
        </w:rPr>
        <w:t xml:space="preserve"> para cada una de sus contrapartes</w:t>
      </w:r>
      <w:r w:rsidR="00C618A3" w:rsidRPr="00787AE7">
        <w:rPr>
          <w:rFonts w:ascii="Bookman Old Style" w:hAnsi="Bookman Old Style"/>
          <w:bCs/>
          <w:color w:val="000000" w:themeColor="text1"/>
          <w:sz w:val="24"/>
          <w:szCs w:val="24"/>
        </w:rPr>
        <w:t xml:space="preserve"> así</w:t>
      </w:r>
      <w:r w:rsidRPr="00787AE7">
        <w:rPr>
          <w:rFonts w:ascii="Bookman Old Style" w:hAnsi="Bookman Old Style"/>
          <w:bCs/>
          <w:color w:val="000000" w:themeColor="text1"/>
          <w:sz w:val="24"/>
          <w:szCs w:val="24"/>
        </w:rPr>
        <w:t>:</w:t>
      </w:r>
    </w:p>
    <w:p w:rsidR="00970398" w:rsidRPr="00787AE7" w:rsidRDefault="00970398" w:rsidP="00970398">
      <w:pPr>
        <w:autoSpaceDE w:val="0"/>
        <w:autoSpaceDN w:val="0"/>
        <w:adjustRightInd w:val="0"/>
        <w:jc w:val="both"/>
        <w:rPr>
          <w:rFonts w:ascii="Bookman Old Style" w:hAnsi="Bookman Old Style"/>
          <w:bCs/>
          <w:color w:val="000000" w:themeColor="text1"/>
          <w:lang w:val="es-CO"/>
        </w:rPr>
      </w:pPr>
    </w:p>
    <w:p w:rsidR="004A7271" w:rsidRPr="00787AE7" w:rsidRDefault="004A7271"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Código contraparte</w:t>
      </w:r>
    </w:p>
    <w:p w:rsidR="004A7271" w:rsidRPr="00787AE7" w:rsidRDefault="004A7271"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Número </w:t>
      </w:r>
      <w:r w:rsidR="00F84834" w:rsidRPr="00787AE7">
        <w:rPr>
          <w:rFonts w:ascii="Bookman Old Style" w:hAnsi="Bookman Old Style"/>
          <w:bCs/>
          <w:color w:val="000000" w:themeColor="text1"/>
          <w:sz w:val="24"/>
          <w:szCs w:val="24"/>
        </w:rPr>
        <w:t xml:space="preserve">de operación </w:t>
      </w:r>
      <w:r w:rsidR="00711AA9" w:rsidRPr="00787AE7">
        <w:rPr>
          <w:rFonts w:ascii="Bookman Old Style" w:hAnsi="Bookman Old Style"/>
          <w:bCs/>
          <w:color w:val="000000" w:themeColor="text1"/>
          <w:sz w:val="24"/>
          <w:szCs w:val="24"/>
        </w:rPr>
        <w:t xml:space="preserve">asignado por el gestor </w:t>
      </w:r>
    </w:p>
    <w:p w:rsidR="004A7271" w:rsidRPr="00787AE7" w:rsidRDefault="000B1878"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Nombre de</w:t>
      </w:r>
      <w:r w:rsidR="00E03227" w:rsidRPr="00787AE7">
        <w:rPr>
          <w:rFonts w:ascii="Bookman Old Style" w:hAnsi="Bookman Old Style"/>
          <w:bCs/>
          <w:color w:val="000000" w:themeColor="text1"/>
          <w:sz w:val="24"/>
          <w:szCs w:val="24"/>
        </w:rPr>
        <w:t xml:space="preserve"> </w:t>
      </w:r>
      <w:r w:rsidRPr="00787AE7">
        <w:rPr>
          <w:rFonts w:ascii="Bookman Old Style" w:hAnsi="Bookman Old Style"/>
          <w:bCs/>
          <w:color w:val="000000" w:themeColor="text1"/>
          <w:sz w:val="24"/>
          <w:szCs w:val="24"/>
        </w:rPr>
        <w:t>l</w:t>
      </w:r>
      <w:r w:rsidR="00E03227" w:rsidRPr="00787AE7">
        <w:rPr>
          <w:rFonts w:ascii="Bookman Old Style" w:hAnsi="Bookman Old Style"/>
          <w:bCs/>
          <w:color w:val="000000" w:themeColor="text1"/>
          <w:sz w:val="24"/>
          <w:szCs w:val="24"/>
        </w:rPr>
        <w:t>os</w:t>
      </w:r>
      <w:r w:rsidRPr="00787AE7">
        <w:rPr>
          <w:rFonts w:ascii="Bookman Old Style" w:hAnsi="Bookman Old Style"/>
          <w:bCs/>
          <w:color w:val="000000" w:themeColor="text1"/>
          <w:sz w:val="24"/>
          <w:szCs w:val="24"/>
        </w:rPr>
        <w:t xml:space="preserve"> p</w:t>
      </w:r>
      <w:r w:rsidR="001A564D" w:rsidRPr="00787AE7">
        <w:rPr>
          <w:rFonts w:ascii="Bookman Old Style" w:hAnsi="Bookman Old Style"/>
          <w:bCs/>
          <w:color w:val="000000" w:themeColor="text1"/>
          <w:sz w:val="24"/>
          <w:szCs w:val="24"/>
        </w:rPr>
        <w:t>unto</w:t>
      </w:r>
      <w:r w:rsidR="00E03227" w:rsidRPr="00787AE7">
        <w:rPr>
          <w:rFonts w:ascii="Bookman Old Style" w:hAnsi="Bookman Old Style"/>
          <w:bCs/>
          <w:color w:val="000000" w:themeColor="text1"/>
          <w:sz w:val="24"/>
          <w:szCs w:val="24"/>
        </w:rPr>
        <w:t>s</w:t>
      </w:r>
      <w:r w:rsidR="001A564D" w:rsidRPr="00787AE7">
        <w:rPr>
          <w:rFonts w:ascii="Bookman Old Style" w:hAnsi="Bookman Old Style"/>
          <w:bCs/>
          <w:color w:val="000000" w:themeColor="text1"/>
          <w:sz w:val="24"/>
          <w:szCs w:val="24"/>
        </w:rPr>
        <w:t xml:space="preserve"> de entrada donde se </w:t>
      </w:r>
      <w:r w:rsidR="0006363C" w:rsidRPr="00787AE7">
        <w:rPr>
          <w:rFonts w:ascii="Bookman Old Style" w:hAnsi="Bookman Old Style"/>
          <w:bCs/>
          <w:color w:val="000000" w:themeColor="text1"/>
          <w:sz w:val="24"/>
          <w:szCs w:val="24"/>
        </w:rPr>
        <w:t xml:space="preserve">inyecta la </w:t>
      </w:r>
      <w:r w:rsidR="001A564D" w:rsidRPr="00787AE7">
        <w:rPr>
          <w:rFonts w:ascii="Bookman Old Style" w:hAnsi="Bookman Old Style"/>
          <w:bCs/>
          <w:color w:val="000000" w:themeColor="text1"/>
          <w:sz w:val="24"/>
          <w:szCs w:val="24"/>
        </w:rPr>
        <w:t>energía</w:t>
      </w:r>
      <w:r w:rsidR="0006363C" w:rsidRPr="00787AE7">
        <w:rPr>
          <w:rFonts w:ascii="Bookman Old Style" w:hAnsi="Bookman Old Style"/>
          <w:bCs/>
          <w:color w:val="000000" w:themeColor="text1"/>
          <w:sz w:val="24"/>
          <w:szCs w:val="24"/>
        </w:rPr>
        <w:t xml:space="preserve"> al SNT</w:t>
      </w:r>
      <w:r w:rsidR="00E03227" w:rsidRPr="00787AE7">
        <w:rPr>
          <w:rFonts w:ascii="Bookman Old Style" w:hAnsi="Bookman Old Style"/>
          <w:bCs/>
          <w:color w:val="000000" w:themeColor="text1"/>
          <w:sz w:val="24"/>
          <w:szCs w:val="24"/>
        </w:rPr>
        <w:t xml:space="preserve">. Estos puntos de entrada deberán corresponder a los puntos de entrada con código asignado por el gestor del mercado. </w:t>
      </w:r>
    </w:p>
    <w:p w:rsidR="002A5CE9" w:rsidRPr="00787AE7" w:rsidRDefault="002A5CE9"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Destino del gas contratado: Costa, interior, </w:t>
      </w:r>
      <w:r w:rsidR="002C03AB" w:rsidRPr="00787AE7">
        <w:rPr>
          <w:rFonts w:ascii="Bookman Old Style" w:hAnsi="Bookman Old Style"/>
          <w:bCs/>
          <w:color w:val="000000" w:themeColor="text1"/>
          <w:sz w:val="24"/>
          <w:szCs w:val="24"/>
        </w:rPr>
        <w:t>zona aislada en costa o interior</w:t>
      </w:r>
    </w:p>
    <w:p w:rsidR="004A7271" w:rsidRPr="00787AE7" w:rsidRDefault="004A7271" w:rsidP="00C445D0">
      <w:pPr>
        <w:pStyle w:val="Prrafodelista"/>
        <w:numPr>
          <w:ilvl w:val="0"/>
          <w:numId w:val="8"/>
        </w:numPr>
        <w:autoSpaceDE w:val="0"/>
        <w:autoSpaceDN w:val="0"/>
        <w:adjustRightInd w:val="0"/>
        <w:ind w:left="1701"/>
        <w:jc w:val="both"/>
        <w:rPr>
          <w:rFonts w:ascii="Bookman Old Style" w:hAnsi="Bookman Old Style"/>
          <w:bCs/>
          <w:sz w:val="24"/>
          <w:szCs w:val="24"/>
        </w:rPr>
      </w:pPr>
      <w:r w:rsidRPr="00787AE7">
        <w:rPr>
          <w:rFonts w:ascii="Bookman Old Style" w:hAnsi="Bookman Old Style"/>
          <w:bCs/>
          <w:sz w:val="24"/>
          <w:szCs w:val="24"/>
        </w:rPr>
        <w:t xml:space="preserve">Cantidad </w:t>
      </w:r>
      <w:r w:rsidR="00E96017" w:rsidRPr="00787AE7">
        <w:rPr>
          <w:rFonts w:ascii="Bookman Old Style" w:hAnsi="Bookman Old Style"/>
          <w:bCs/>
          <w:sz w:val="24"/>
          <w:szCs w:val="24"/>
        </w:rPr>
        <w:t xml:space="preserve">de energía </w:t>
      </w:r>
      <w:r w:rsidRPr="00787AE7">
        <w:rPr>
          <w:rFonts w:ascii="Bookman Old Style" w:hAnsi="Bookman Old Style"/>
          <w:bCs/>
          <w:sz w:val="24"/>
          <w:szCs w:val="24"/>
        </w:rPr>
        <w:t xml:space="preserve">nominada por </w:t>
      </w:r>
      <w:r w:rsidR="00C7445D" w:rsidRPr="00787AE7">
        <w:rPr>
          <w:rFonts w:ascii="Bookman Old Style" w:hAnsi="Bookman Old Style"/>
          <w:bCs/>
          <w:sz w:val="24"/>
          <w:szCs w:val="24"/>
        </w:rPr>
        <w:t xml:space="preserve">el </w:t>
      </w:r>
      <w:r w:rsidRPr="00787AE7">
        <w:rPr>
          <w:rFonts w:ascii="Bookman Old Style" w:hAnsi="Bookman Old Style"/>
          <w:bCs/>
          <w:sz w:val="24"/>
          <w:szCs w:val="24"/>
        </w:rPr>
        <w:t xml:space="preserve">remitente </w:t>
      </w:r>
      <w:r w:rsidR="00C11E28" w:rsidRPr="00787AE7">
        <w:rPr>
          <w:rFonts w:ascii="Bookman Old Style" w:hAnsi="Bookman Old Style"/>
          <w:bCs/>
          <w:sz w:val="24"/>
          <w:szCs w:val="24"/>
        </w:rPr>
        <w:t>expresada en MBTU</w:t>
      </w:r>
      <w:r w:rsidR="00B9427F" w:rsidRPr="00787AE7">
        <w:rPr>
          <w:rFonts w:ascii="Bookman Old Style" w:hAnsi="Bookman Old Style"/>
          <w:bCs/>
          <w:sz w:val="24"/>
          <w:szCs w:val="24"/>
        </w:rPr>
        <w:t xml:space="preserve">, </w:t>
      </w:r>
      <w:r w:rsidR="00DF5A56" w:rsidRPr="00787AE7">
        <w:rPr>
          <w:rFonts w:ascii="Bookman Old Style" w:hAnsi="Bookman Old Style"/>
          <w:bCs/>
          <w:sz w:val="24"/>
          <w:szCs w:val="24"/>
        </w:rPr>
        <w:t>determinada</w:t>
      </w:r>
      <w:r w:rsidR="004F5405" w:rsidRPr="00787AE7">
        <w:rPr>
          <w:rFonts w:ascii="Bookman Old Style" w:hAnsi="Bookman Old Style"/>
          <w:bCs/>
          <w:sz w:val="24"/>
          <w:szCs w:val="24"/>
        </w:rPr>
        <w:t xml:space="preserve"> </w:t>
      </w:r>
      <w:r w:rsidR="00DF5A56" w:rsidRPr="00787AE7">
        <w:rPr>
          <w:rFonts w:ascii="Bookman Old Style" w:hAnsi="Bookman Old Style"/>
          <w:bCs/>
          <w:sz w:val="24"/>
          <w:szCs w:val="24"/>
        </w:rPr>
        <w:t>por tipo de demanda</w:t>
      </w:r>
      <w:r w:rsidR="0003552F" w:rsidRPr="00787AE7">
        <w:rPr>
          <w:rFonts w:ascii="Bookman Old Style" w:hAnsi="Bookman Old Style"/>
          <w:bCs/>
          <w:sz w:val="24"/>
          <w:szCs w:val="24"/>
        </w:rPr>
        <w:t xml:space="preserve"> no regulada </w:t>
      </w:r>
      <w:r w:rsidR="00DF5A56" w:rsidRPr="00787AE7">
        <w:rPr>
          <w:rFonts w:ascii="Bookman Old Style" w:hAnsi="Bookman Old Style"/>
          <w:bCs/>
          <w:sz w:val="24"/>
          <w:szCs w:val="24"/>
        </w:rPr>
        <w:t xml:space="preserve">la cual </w:t>
      </w:r>
      <w:r w:rsidR="00DF5A56" w:rsidRPr="00787AE7">
        <w:rPr>
          <w:rFonts w:ascii="Bookman Old Style" w:hAnsi="Bookman Old Style"/>
          <w:bCs/>
          <w:sz w:val="24"/>
          <w:szCs w:val="24"/>
        </w:rPr>
        <w:lastRenderedPageBreak/>
        <w:t>deberá ser desagregada en comercial, industrial, gas para transportadores, petroquímica, refinería, gas natural vehicular comprimido, plantas de generación térmica u otros y demanda regulada la cual deberá ser desagregada en residencia</w:t>
      </w:r>
      <w:r w:rsidR="00E13F66" w:rsidRPr="00787AE7">
        <w:rPr>
          <w:rFonts w:ascii="Bookman Old Style" w:hAnsi="Bookman Old Style"/>
          <w:bCs/>
          <w:sz w:val="24"/>
          <w:szCs w:val="24"/>
        </w:rPr>
        <w:t>l</w:t>
      </w:r>
      <w:r w:rsidR="00DF5A56" w:rsidRPr="00787AE7">
        <w:rPr>
          <w:rFonts w:ascii="Bookman Old Style" w:hAnsi="Bookman Old Style"/>
          <w:bCs/>
          <w:sz w:val="24"/>
          <w:szCs w:val="24"/>
        </w:rPr>
        <w:t>, comercial, industrial, gas para transportadores, petroquímica, gas natural vehicular comprimido u otros.</w:t>
      </w:r>
    </w:p>
    <w:p w:rsidR="004A7271" w:rsidRPr="00787AE7" w:rsidRDefault="004A7271" w:rsidP="004A7271">
      <w:pPr>
        <w:autoSpaceDE w:val="0"/>
        <w:autoSpaceDN w:val="0"/>
        <w:adjustRightInd w:val="0"/>
        <w:ind w:left="1341"/>
        <w:jc w:val="both"/>
        <w:rPr>
          <w:rFonts w:ascii="Bookman Old Style" w:hAnsi="Bookman Old Style"/>
          <w:bCs/>
          <w:color w:val="000000" w:themeColor="text1"/>
        </w:rPr>
      </w:pPr>
    </w:p>
    <w:p w:rsidR="004A7271" w:rsidRPr="00787AE7" w:rsidRDefault="004A7271" w:rsidP="00C445D0">
      <w:pPr>
        <w:pStyle w:val="Prrafodelista"/>
        <w:numPr>
          <w:ilvl w:val="0"/>
          <w:numId w:val="6"/>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sz w:val="24"/>
          <w:szCs w:val="24"/>
        </w:rPr>
        <w:t>Los productores-comercializadores</w:t>
      </w:r>
      <w:r w:rsidR="000771E3" w:rsidRPr="00787AE7">
        <w:rPr>
          <w:rFonts w:ascii="Bookman Old Style" w:hAnsi="Bookman Old Style"/>
          <w:bCs/>
          <w:sz w:val="24"/>
          <w:szCs w:val="24"/>
        </w:rPr>
        <w:t xml:space="preserve"> </w:t>
      </w:r>
      <w:r w:rsidR="000771E3" w:rsidRPr="00787AE7">
        <w:rPr>
          <w:rFonts w:ascii="Bookman Old Style" w:hAnsi="Bookman Old Style"/>
          <w:bCs/>
          <w:color w:val="000000" w:themeColor="text1"/>
          <w:sz w:val="24"/>
          <w:szCs w:val="24"/>
        </w:rPr>
        <w:t xml:space="preserve">y los comercializadores de gas importado </w:t>
      </w:r>
      <w:r w:rsidRPr="00787AE7">
        <w:rPr>
          <w:rFonts w:ascii="Bookman Old Style" w:hAnsi="Bookman Old Style"/>
          <w:bCs/>
          <w:sz w:val="24"/>
          <w:szCs w:val="24"/>
        </w:rPr>
        <w:t xml:space="preserve">deberán declarar al gestor del mercado la siguiente información de nominación </w:t>
      </w:r>
      <w:r w:rsidR="00C618A3" w:rsidRPr="00787AE7">
        <w:rPr>
          <w:rFonts w:ascii="Bookman Old Style" w:hAnsi="Bookman Old Style"/>
          <w:bCs/>
          <w:sz w:val="24"/>
          <w:szCs w:val="24"/>
        </w:rPr>
        <w:t xml:space="preserve">para el siguiente </w:t>
      </w:r>
      <w:r w:rsidRPr="00787AE7">
        <w:rPr>
          <w:rFonts w:ascii="Bookman Old Style" w:hAnsi="Bookman Old Style"/>
          <w:bCs/>
          <w:sz w:val="24"/>
          <w:szCs w:val="24"/>
        </w:rPr>
        <w:t xml:space="preserve">día de gas, antes de las </w:t>
      </w:r>
      <w:r w:rsidR="00F25771" w:rsidRPr="00787AE7">
        <w:rPr>
          <w:rFonts w:ascii="Bookman Old Style" w:hAnsi="Bookman Old Style"/>
          <w:bCs/>
          <w:sz w:val="24"/>
          <w:szCs w:val="24"/>
        </w:rPr>
        <w:t>19:50</w:t>
      </w:r>
      <w:r w:rsidR="002A2B97" w:rsidRPr="00787AE7">
        <w:rPr>
          <w:rFonts w:ascii="Bookman Old Style" w:hAnsi="Bookman Old Style"/>
          <w:bCs/>
          <w:sz w:val="24"/>
          <w:szCs w:val="24"/>
        </w:rPr>
        <w:t xml:space="preserve"> </w:t>
      </w:r>
      <w:r w:rsidR="00B346D4" w:rsidRPr="00787AE7">
        <w:rPr>
          <w:rFonts w:ascii="Bookman Old Style" w:hAnsi="Bookman Old Style"/>
          <w:bCs/>
          <w:sz w:val="24"/>
          <w:szCs w:val="24"/>
        </w:rPr>
        <w:t xml:space="preserve">horas </w:t>
      </w:r>
      <w:r w:rsidRPr="00787AE7">
        <w:rPr>
          <w:rFonts w:ascii="Bookman Old Style" w:hAnsi="Bookman Old Style"/>
          <w:bCs/>
          <w:sz w:val="24"/>
          <w:szCs w:val="24"/>
        </w:rPr>
        <w:t>del día D</w:t>
      </w:r>
      <w:r w:rsidR="00C618A3" w:rsidRPr="00787AE7">
        <w:rPr>
          <w:rFonts w:ascii="Bookman Old Style" w:hAnsi="Bookman Old Style"/>
          <w:bCs/>
          <w:sz w:val="24"/>
          <w:szCs w:val="24"/>
        </w:rPr>
        <w:t>-</w:t>
      </w:r>
      <w:r w:rsidRPr="00787AE7">
        <w:rPr>
          <w:rFonts w:ascii="Bookman Old Style" w:hAnsi="Bookman Old Style"/>
          <w:bCs/>
          <w:sz w:val="24"/>
          <w:szCs w:val="24"/>
        </w:rPr>
        <w:t xml:space="preserve">1, por </w:t>
      </w:r>
      <w:r w:rsidRPr="00787AE7">
        <w:rPr>
          <w:rFonts w:ascii="Bookman Old Style" w:hAnsi="Bookman Old Style"/>
          <w:bCs/>
          <w:color w:val="000000" w:themeColor="text1"/>
          <w:sz w:val="24"/>
          <w:szCs w:val="24"/>
        </w:rPr>
        <w:t xml:space="preserve">cada campo de producción </w:t>
      </w:r>
      <w:r w:rsidR="00420891" w:rsidRPr="00787AE7">
        <w:rPr>
          <w:rFonts w:ascii="Bookman Old Style" w:hAnsi="Bookman Old Style"/>
          <w:bCs/>
          <w:color w:val="000000" w:themeColor="text1"/>
          <w:sz w:val="24"/>
          <w:szCs w:val="24"/>
        </w:rPr>
        <w:t xml:space="preserve">y </w:t>
      </w:r>
      <w:r w:rsidRPr="00787AE7">
        <w:rPr>
          <w:rFonts w:ascii="Bookman Old Style" w:hAnsi="Bookman Old Style"/>
          <w:bCs/>
          <w:color w:val="000000" w:themeColor="text1"/>
          <w:sz w:val="24"/>
          <w:szCs w:val="24"/>
        </w:rPr>
        <w:t>para cada una de sus contrapartes:</w:t>
      </w:r>
    </w:p>
    <w:p w:rsidR="004A7271" w:rsidRPr="00787AE7" w:rsidRDefault="004A7271" w:rsidP="004A7271">
      <w:pPr>
        <w:pStyle w:val="Prrafodelista"/>
        <w:autoSpaceDE w:val="0"/>
        <w:autoSpaceDN w:val="0"/>
        <w:adjustRightInd w:val="0"/>
        <w:ind w:left="1287"/>
        <w:jc w:val="both"/>
        <w:rPr>
          <w:rFonts w:ascii="Bookman Old Style" w:hAnsi="Bookman Old Style"/>
          <w:bCs/>
          <w:color w:val="000000" w:themeColor="text1"/>
          <w:sz w:val="24"/>
          <w:szCs w:val="24"/>
        </w:rPr>
      </w:pPr>
    </w:p>
    <w:p w:rsidR="004A7271" w:rsidRPr="00787AE7" w:rsidRDefault="004A7271"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Código contraparte</w:t>
      </w:r>
    </w:p>
    <w:p w:rsidR="004A7271" w:rsidRPr="00787AE7" w:rsidRDefault="004A7271"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Número </w:t>
      </w:r>
      <w:r w:rsidR="00F84834" w:rsidRPr="00787AE7">
        <w:rPr>
          <w:rFonts w:ascii="Bookman Old Style" w:hAnsi="Bookman Old Style"/>
          <w:bCs/>
          <w:color w:val="000000" w:themeColor="text1"/>
          <w:sz w:val="24"/>
          <w:szCs w:val="24"/>
        </w:rPr>
        <w:t xml:space="preserve">de operación </w:t>
      </w:r>
      <w:r w:rsidR="00711AA9" w:rsidRPr="00787AE7">
        <w:rPr>
          <w:rFonts w:ascii="Bookman Old Style" w:hAnsi="Bookman Old Style"/>
          <w:bCs/>
          <w:color w:val="000000" w:themeColor="text1"/>
          <w:sz w:val="24"/>
          <w:szCs w:val="24"/>
        </w:rPr>
        <w:t>asignado por el gestor</w:t>
      </w:r>
    </w:p>
    <w:p w:rsidR="000B1878" w:rsidRPr="00787AE7" w:rsidRDefault="000B1878" w:rsidP="000B1878">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Nombre de</w:t>
      </w:r>
      <w:r w:rsidR="009E4A11" w:rsidRPr="00787AE7">
        <w:rPr>
          <w:rFonts w:ascii="Bookman Old Style" w:hAnsi="Bookman Old Style"/>
          <w:bCs/>
          <w:color w:val="000000" w:themeColor="text1"/>
          <w:sz w:val="24"/>
          <w:szCs w:val="24"/>
        </w:rPr>
        <w:t xml:space="preserve"> </w:t>
      </w:r>
      <w:r w:rsidRPr="00787AE7">
        <w:rPr>
          <w:rFonts w:ascii="Bookman Old Style" w:hAnsi="Bookman Old Style"/>
          <w:bCs/>
          <w:color w:val="000000" w:themeColor="text1"/>
          <w:sz w:val="24"/>
          <w:szCs w:val="24"/>
        </w:rPr>
        <w:t>l</w:t>
      </w:r>
      <w:r w:rsidR="009E4A11" w:rsidRPr="00787AE7">
        <w:rPr>
          <w:rFonts w:ascii="Bookman Old Style" w:hAnsi="Bookman Old Style"/>
          <w:bCs/>
          <w:color w:val="000000" w:themeColor="text1"/>
          <w:sz w:val="24"/>
          <w:szCs w:val="24"/>
        </w:rPr>
        <w:t>os</w:t>
      </w:r>
      <w:r w:rsidRPr="00787AE7">
        <w:rPr>
          <w:rFonts w:ascii="Bookman Old Style" w:hAnsi="Bookman Old Style"/>
          <w:bCs/>
          <w:color w:val="000000" w:themeColor="text1"/>
          <w:sz w:val="24"/>
          <w:szCs w:val="24"/>
        </w:rPr>
        <w:t xml:space="preserve"> punto</w:t>
      </w:r>
      <w:r w:rsidR="009E4A11" w:rsidRPr="00787AE7">
        <w:rPr>
          <w:rFonts w:ascii="Bookman Old Style" w:hAnsi="Bookman Old Style"/>
          <w:bCs/>
          <w:color w:val="000000" w:themeColor="text1"/>
          <w:sz w:val="24"/>
          <w:szCs w:val="24"/>
        </w:rPr>
        <w:t>s</w:t>
      </w:r>
      <w:r w:rsidRPr="00787AE7">
        <w:rPr>
          <w:rFonts w:ascii="Bookman Old Style" w:hAnsi="Bookman Old Style"/>
          <w:bCs/>
          <w:color w:val="000000" w:themeColor="text1"/>
          <w:sz w:val="24"/>
          <w:szCs w:val="24"/>
        </w:rPr>
        <w:t xml:space="preserve"> de entrada donde se </w:t>
      </w:r>
      <w:r w:rsidR="00BA2063" w:rsidRPr="00787AE7">
        <w:rPr>
          <w:rFonts w:ascii="Bookman Old Style" w:hAnsi="Bookman Old Style"/>
          <w:bCs/>
          <w:color w:val="000000" w:themeColor="text1"/>
          <w:sz w:val="24"/>
          <w:szCs w:val="24"/>
        </w:rPr>
        <w:t xml:space="preserve">inyecta </w:t>
      </w:r>
      <w:r w:rsidRPr="00787AE7">
        <w:rPr>
          <w:rFonts w:ascii="Bookman Old Style" w:hAnsi="Bookman Old Style"/>
          <w:bCs/>
          <w:color w:val="000000" w:themeColor="text1"/>
          <w:sz w:val="24"/>
          <w:szCs w:val="24"/>
        </w:rPr>
        <w:t>la energía</w:t>
      </w:r>
      <w:r w:rsidR="00BA2063" w:rsidRPr="00787AE7">
        <w:rPr>
          <w:rFonts w:ascii="Bookman Old Style" w:hAnsi="Bookman Old Style"/>
          <w:bCs/>
          <w:color w:val="000000" w:themeColor="text1"/>
          <w:sz w:val="24"/>
          <w:szCs w:val="24"/>
        </w:rPr>
        <w:t xml:space="preserve"> al SNT</w:t>
      </w:r>
      <w:r w:rsidR="009E4A11" w:rsidRPr="00787AE7">
        <w:rPr>
          <w:rFonts w:ascii="Bookman Old Style" w:hAnsi="Bookman Old Style"/>
          <w:bCs/>
          <w:color w:val="000000" w:themeColor="text1"/>
          <w:sz w:val="24"/>
          <w:szCs w:val="24"/>
        </w:rPr>
        <w:t>. Estos puntos de entrada deberán corresponder a los puntos de entrada con código asignado por el gestor del mercado.</w:t>
      </w:r>
    </w:p>
    <w:p w:rsidR="002C03AB" w:rsidRPr="00787AE7" w:rsidRDefault="002C03AB"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Destino del gas contratado: Costa, interior, zona aislada en costa o interior</w:t>
      </w:r>
    </w:p>
    <w:p w:rsidR="004A7271" w:rsidRPr="00787AE7" w:rsidRDefault="004A7271"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Cantidad </w:t>
      </w:r>
      <w:r w:rsidR="00E96017" w:rsidRPr="00787AE7">
        <w:rPr>
          <w:rFonts w:ascii="Bookman Old Style" w:hAnsi="Bookman Old Style"/>
          <w:bCs/>
          <w:color w:val="000000" w:themeColor="text1"/>
          <w:sz w:val="24"/>
          <w:szCs w:val="24"/>
        </w:rPr>
        <w:t xml:space="preserve">de energía </w:t>
      </w:r>
      <w:r w:rsidR="00D24A11" w:rsidRPr="00787AE7">
        <w:rPr>
          <w:rFonts w:ascii="Bookman Old Style" w:hAnsi="Bookman Old Style"/>
          <w:bCs/>
          <w:color w:val="000000" w:themeColor="text1"/>
          <w:sz w:val="24"/>
          <w:szCs w:val="24"/>
        </w:rPr>
        <w:t xml:space="preserve">a suministrar </w:t>
      </w:r>
      <w:r w:rsidR="00E96017" w:rsidRPr="00787AE7">
        <w:rPr>
          <w:rFonts w:ascii="Bookman Old Style" w:hAnsi="Bookman Old Style"/>
          <w:bCs/>
          <w:color w:val="000000" w:themeColor="text1"/>
          <w:sz w:val="24"/>
          <w:szCs w:val="24"/>
        </w:rPr>
        <w:t xml:space="preserve">incluida en el programa de suministro </w:t>
      </w:r>
      <w:r w:rsidR="00C7445D" w:rsidRPr="00787AE7">
        <w:rPr>
          <w:rFonts w:ascii="Bookman Old Style" w:hAnsi="Bookman Old Style"/>
          <w:bCs/>
          <w:color w:val="000000" w:themeColor="text1"/>
          <w:sz w:val="24"/>
          <w:szCs w:val="24"/>
        </w:rPr>
        <w:t xml:space="preserve">de gas </w:t>
      </w:r>
      <w:r w:rsidR="00E96017" w:rsidRPr="00787AE7">
        <w:rPr>
          <w:rFonts w:ascii="Bookman Old Style" w:hAnsi="Bookman Old Style"/>
          <w:bCs/>
          <w:color w:val="000000" w:themeColor="text1"/>
          <w:sz w:val="24"/>
          <w:szCs w:val="24"/>
        </w:rPr>
        <w:t xml:space="preserve">definitivo </w:t>
      </w:r>
      <w:r w:rsidR="00C11E28" w:rsidRPr="00787AE7">
        <w:rPr>
          <w:rFonts w:ascii="Bookman Old Style" w:hAnsi="Bookman Old Style"/>
          <w:bCs/>
          <w:color w:val="000000" w:themeColor="text1"/>
          <w:sz w:val="24"/>
          <w:szCs w:val="24"/>
        </w:rPr>
        <w:t>expresada en MBTU</w:t>
      </w:r>
      <w:r w:rsidR="00755D21" w:rsidRPr="00787AE7">
        <w:rPr>
          <w:rFonts w:ascii="Bookman Old Style" w:hAnsi="Bookman Old Style"/>
          <w:bCs/>
          <w:color w:val="000000" w:themeColor="text1"/>
          <w:sz w:val="24"/>
          <w:szCs w:val="24"/>
        </w:rPr>
        <w:t xml:space="preserve">, </w:t>
      </w:r>
      <w:r w:rsidR="00DF5A56" w:rsidRPr="00787AE7">
        <w:rPr>
          <w:rFonts w:ascii="Bookman Old Style" w:hAnsi="Bookman Old Style"/>
          <w:bCs/>
          <w:sz w:val="24"/>
          <w:szCs w:val="24"/>
        </w:rPr>
        <w:t>determinada</w:t>
      </w:r>
      <w:r w:rsidR="00E13F66" w:rsidRPr="00787AE7">
        <w:rPr>
          <w:rFonts w:ascii="Bookman Old Style" w:hAnsi="Bookman Old Style"/>
          <w:bCs/>
          <w:sz w:val="24"/>
          <w:szCs w:val="24"/>
        </w:rPr>
        <w:t xml:space="preserve"> </w:t>
      </w:r>
      <w:r w:rsidR="00DF5A56" w:rsidRPr="00787AE7">
        <w:rPr>
          <w:rFonts w:ascii="Bookman Old Style" w:hAnsi="Bookman Old Style"/>
          <w:bCs/>
          <w:sz w:val="24"/>
          <w:szCs w:val="24"/>
        </w:rPr>
        <w:t>por tipo de demanda no regulada la cual deberá ser desagregada en comercial, industrial, gas para transportadores, petroquímica, refinería, gas natural vehicular comprimido, plantas de generación térmica u otros y demanda regulada la cual deberá ser desagregada en residencia</w:t>
      </w:r>
      <w:r w:rsidR="00E13F66" w:rsidRPr="00787AE7">
        <w:rPr>
          <w:rFonts w:ascii="Bookman Old Style" w:hAnsi="Bookman Old Style"/>
          <w:bCs/>
          <w:sz w:val="24"/>
          <w:szCs w:val="24"/>
        </w:rPr>
        <w:t>l</w:t>
      </w:r>
      <w:r w:rsidR="00DF5A56" w:rsidRPr="00787AE7">
        <w:rPr>
          <w:rFonts w:ascii="Bookman Old Style" w:hAnsi="Bookman Old Style"/>
          <w:bCs/>
          <w:sz w:val="24"/>
          <w:szCs w:val="24"/>
        </w:rPr>
        <w:t>, comercial, industrial, gas para transportadores, petroquímica, gas natural vehicular comprimido u otros.</w:t>
      </w:r>
    </w:p>
    <w:p w:rsidR="001C458E" w:rsidRPr="00787AE7" w:rsidRDefault="001C458E" w:rsidP="001C458E">
      <w:pPr>
        <w:autoSpaceDE w:val="0"/>
        <w:autoSpaceDN w:val="0"/>
        <w:adjustRightInd w:val="0"/>
        <w:ind w:left="1341"/>
        <w:jc w:val="both"/>
        <w:rPr>
          <w:rFonts w:ascii="Bookman Old Style" w:hAnsi="Bookman Old Style"/>
          <w:bCs/>
          <w:color w:val="000000" w:themeColor="text1"/>
        </w:rPr>
      </w:pPr>
    </w:p>
    <w:p w:rsidR="001C458E" w:rsidRPr="00787AE7" w:rsidRDefault="001C458E" w:rsidP="001C458E">
      <w:pPr>
        <w:pStyle w:val="Prrafodelista"/>
        <w:numPr>
          <w:ilvl w:val="0"/>
          <w:numId w:val="6"/>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Los productores-comercializadores </w:t>
      </w:r>
      <w:r w:rsidR="00F545FE" w:rsidRPr="00787AE7">
        <w:rPr>
          <w:rFonts w:ascii="Bookman Old Style" w:hAnsi="Bookman Old Style"/>
          <w:bCs/>
          <w:color w:val="000000" w:themeColor="text1"/>
          <w:sz w:val="24"/>
          <w:szCs w:val="24"/>
        </w:rPr>
        <w:t xml:space="preserve">y los comercializadores de gas importado </w:t>
      </w:r>
      <w:r w:rsidRPr="00787AE7">
        <w:rPr>
          <w:rFonts w:ascii="Bookman Old Style" w:hAnsi="Bookman Old Style"/>
          <w:bCs/>
          <w:color w:val="000000" w:themeColor="text1"/>
          <w:sz w:val="24"/>
          <w:szCs w:val="24"/>
        </w:rPr>
        <w:t xml:space="preserve">deberán declarar al gestor del mercado la siguiente información de </w:t>
      </w:r>
      <w:r w:rsidR="00711AA9" w:rsidRPr="00787AE7">
        <w:rPr>
          <w:rFonts w:ascii="Bookman Old Style" w:hAnsi="Bookman Old Style"/>
          <w:bCs/>
          <w:color w:val="000000" w:themeColor="text1"/>
          <w:sz w:val="24"/>
          <w:szCs w:val="24"/>
        </w:rPr>
        <w:t xml:space="preserve">cada </w:t>
      </w:r>
      <w:proofErr w:type="spellStart"/>
      <w:r w:rsidRPr="00787AE7">
        <w:rPr>
          <w:rFonts w:ascii="Bookman Old Style" w:hAnsi="Bookman Old Style"/>
          <w:bCs/>
          <w:color w:val="000000" w:themeColor="text1"/>
          <w:sz w:val="24"/>
          <w:szCs w:val="24"/>
        </w:rPr>
        <w:t>renominación</w:t>
      </w:r>
      <w:proofErr w:type="spellEnd"/>
      <w:r w:rsidRPr="00787AE7">
        <w:rPr>
          <w:rFonts w:ascii="Bookman Old Style" w:hAnsi="Bookman Old Style"/>
          <w:bCs/>
          <w:color w:val="000000" w:themeColor="text1"/>
          <w:sz w:val="24"/>
          <w:szCs w:val="24"/>
        </w:rPr>
        <w:t xml:space="preserve"> </w:t>
      </w:r>
      <w:r w:rsidRPr="00787AE7">
        <w:rPr>
          <w:rFonts w:ascii="Bookman Old Style" w:hAnsi="Bookman Old Style"/>
          <w:bCs/>
          <w:sz w:val="24"/>
          <w:szCs w:val="24"/>
        </w:rPr>
        <w:t>ocurrida durante el día de gas, antes de las 12:00 hora</w:t>
      </w:r>
      <w:r w:rsidR="00C978F4" w:rsidRPr="00787AE7">
        <w:rPr>
          <w:rFonts w:ascii="Bookman Old Style" w:hAnsi="Bookman Old Style"/>
          <w:bCs/>
          <w:sz w:val="24"/>
          <w:szCs w:val="24"/>
        </w:rPr>
        <w:t>s</w:t>
      </w:r>
      <w:r w:rsidRPr="00787AE7">
        <w:rPr>
          <w:rFonts w:ascii="Bookman Old Style" w:hAnsi="Bookman Old Style"/>
          <w:bCs/>
          <w:sz w:val="24"/>
          <w:szCs w:val="24"/>
        </w:rPr>
        <w:t xml:space="preserve"> del día </w:t>
      </w:r>
      <w:r w:rsidR="00F25771" w:rsidRPr="00787AE7">
        <w:rPr>
          <w:rFonts w:ascii="Bookman Old Style" w:hAnsi="Bookman Old Style"/>
          <w:bCs/>
          <w:sz w:val="24"/>
          <w:szCs w:val="24"/>
        </w:rPr>
        <w:t>D+1</w:t>
      </w:r>
      <w:r w:rsidRPr="00787AE7">
        <w:rPr>
          <w:rFonts w:ascii="Bookman Old Style" w:hAnsi="Bookman Old Style"/>
          <w:bCs/>
          <w:sz w:val="24"/>
          <w:szCs w:val="24"/>
        </w:rPr>
        <w:t xml:space="preserve">, </w:t>
      </w:r>
      <w:r w:rsidRPr="00787AE7">
        <w:rPr>
          <w:rFonts w:ascii="Bookman Old Style" w:hAnsi="Bookman Old Style"/>
          <w:bCs/>
          <w:color w:val="000000" w:themeColor="text1"/>
          <w:sz w:val="24"/>
          <w:szCs w:val="24"/>
        </w:rPr>
        <w:t xml:space="preserve">por cada campo de producción </w:t>
      </w:r>
      <w:r w:rsidR="00420891" w:rsidRPr="00787AE7">
        <w:rPr>
          <w:rFonts w:ascii="Bookman Old Style" w:hAnsi="Bookman Old Style"/>
          <w:bCs/>
          <w:color w:val="000000" w:themeColor="text1"/>
          <w:sz w:val="24"/>
          <w:szCs w:val="24"/>
        </w:rPr>
        <w:t>y</w:t>
      </w:r>
      <w:r w:rsidRPr="00787AE7">
        <w:rPr>
          <w:rFonts w:ascii="Bookman Old Style" w:hAnsi="Bookman Old Style"/>
          <w:bCs/>
          <w:color w:val="000000" w:themeColor="text1"/>
          <w:sz w:val="24"/>
          <w:szCs w:val="24"/>
        </w:rPr>
        <w:t xml:space="preserve"> para cada una de sus contrapartes:</w:t>
      </w:r>
    </w:p>
    <w:p w:rsidR="001C458E" w:rsidRPr="00787AE7" w:rsidRDefault="001C458E" w:rsidP="001C458E">
      <w:pPr>
        <w:pStyle w:val="Prrafodelista"/>
        <w:autoSpaceDE w:val="0"/>
        <w:autoSpaceDN w:val="0"/>
        <w:adjustRightInd w:val="0"/>
        <w:ind w:left="1287"/>
        <w:jc w:val="both"/>
        <w:rPr>
          <w:rFonts w:ascii="Bookman Old Style" w:hAnsi="Bookman Old Style"/>
          <w:bCs/>
          <w:color w:val="000000" w:themeColor="text1"/>
          <w:sz w:val="24"/>
          <w:szCs w:val="24"/>
        </w:rPr>
      </w:pPr>
    </w:p>
    <w:p w:rsidR="001C458E" w:rsidRPr="00787AE7" w:rsidRDefault="001C458E" w:rsidP="001C458E">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Código contraparte</w:t>
      </w:r>
      <w:r w:rsidR="00420891" w:rsidRPr="00787AE7">
        <w:rPr>
          <w:rFonts w:ascii="Bookman Old Style" w:hAnsi="Bookman Old Style"/>
          <w:bCs/>
          <w:color w:val="000000" w:themeColor="text1"/>
          <w:sz w:val="24"/>
          <w:szCs w:val="24"/>
        </w:rPr>
        <w:t>.</w:t>
      </w:r>
    </w:p>
    <w:p w:rsidR="001C458E" w:rsidRPr="00787AE7" w:rsidRDefault="001C458E" w:rsidP="001C458E">
      <w:pPr>
        <w:pStyle w:val="Prrafodelista"/>
        <w:numPr>
          <w:ilvl w:val="0"/>
          <w:numId w:val="8"/>
        </w:numPr>
        <w:autoSpaceDE w:val="0"/>
        <w:autoSpaceDN w:val="0"/>
        <w:adjustRightInd w:val="0"/>
        <w:ind w:left="1701"/>
        <w:jc w:val="both"/>
        <w:rPr>
          <w:rFonts w:ascii="Bookman Old Style" w:hAnsi="Bookman Old Style"/>
          <w:bCs/>
          <w:sz w:val="24"/>
          <w:szCs w:val="24"/>
        </w:rPr>
      </w:pPr>
      <w:r w:rsidRPr="00787AE7">
        <w:rPr>
          <w:rFonts w:ascii="Bookman Old Style" w:hAnsi="Bookman Old Style"/>
          <w:bCs/>
          <w:sz w:val="24"/>
          <w:szCs w:val="24"/>
        </w:rPr>
        <w:t xml:space="preserve">Número </w:t>
      </w:r>
      <w:r w:rsidR="00F84834" w:rsidRPr="00787AE7">
        <w:rPr>
          <w:rFonts w:ascii="Bookman Old Style" w:hAnsi="Bookman Old Style"/>
          <w:bCs/>
          <w:color w:val="000000" w:themeColor="text1"/>
          <w:sz w:val="24"/>
          <w:szCs w:val="24"/>
        </w:rPr>
        <w:t xml:space="preserve">de operación </w:t>
      </w:r>
      <w:r w:rsidR="00711AA9" w:rsidRPr="00787AE7">
        <w:rPr>
          <w:rFonts w:ascii="Bookman Old Style" w:hAnsi="Bookman Old Style"/>
          <w:bCs/>
          <w:color w:val="000000" w:themeColor="text1"/>
          <w:sz w:val="24"/>
          <w:szCs w:val="24"/>
        </w:rPr>
        <w:t>asignado por el gestor</w:t>
      </w:r>
      <w:r w:rsidR="00420891" w:rsidRPr="00787AE7">
        <w:rPr>
          <w:rFonts w:ascii="Bookman Old Style" w:hAnsi="Bookman Old Style"/>
          <w:bCs/>
          <w:color w:val="000000" w:themeColor="text1"/>
          <w:sz w:val="24"/>
          <w:szCs w:val="24"/>
        </w:rPr>
        <w:t>.</w:t>
      </w:r>
      <w:r w:rsidR="00711AA9" w:rsidRPr="00787AE7">
        <w:rPr>
          <w:rFonts w:ascii="Bookman Old Style" w:hAnsi="Bookman Old Style"/>
          <w:bCs/>
          <w:color w:val="000000" w:themeColor="text1"/>
          <w:sz w:val="24"/>
          <w:szCs w:val="24"/>
        </w:rPr>
        <w:t xml:space="preserve"> </w:t>
      </w:r>
    </w:p>
    <w:p w:rsidR="000B1878" w:rsidRPr="00787AE7" w:rsidRDefault="00BA2063" w:rsidP="000B1878">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Nombre de</w:t>
      </w:r>
      <w:r w:rsidR="009E4A11" w:rsidRPr="00787AE7">
        <w:rPr>
          <w:rFonts w:ascii="Bookman Old Style" w:hAnsi="Bookman Old Style"/>
          <w:bCs/>
          <w:color w:val="000000" w:themeColor="text1"/>
          <w:sz w:val="24"/>
          <w:szCs w:val="24"/>
        </w:rPr>
        <w:t xml:space="preserve"> </w:t>
      </w:r>
      <w:r w:rsidRPr="00787AE7">
        <w:rPr>
          <w:rFonts w:ascii="Bookman Old Style" w:hAnsi="Bookman Old Style"/>
          <w:bCs/>
          <w:color w:val="000000" w:themeColor="text1"/>
          <w:sz w:val="24"/>
          <w:szCs w:val="24"/>
        </w:rPr>
        <w:t>l</w:t>
      </w:r>
      <w:r w:rsidR="009E4A11" w:rsidRPr="00787AE7">
        <w:rPr>
          <w:rFonts w:ascii="Bookman Old Style" w:hAnsi="Bookman Old Style"/>
          <w:bCs/>
          <w:color w:val="000000" w:themeColor="text1"/>
          <w:sz w:val="24"/>
          <w:szCs w:val="24"/>
        </w:rPr>
        <w:t>os</w:t>
      </w:r>
      <w:r w:rsidRPr="00787AE7">
        <w:rPr>
          <w:rFonts w:ascii="Bookman Old Style" w:hAnsi="Bookman Old Style"/>
          <w:bCs/>
          <w:color w:val="000000" w:themeColor="text1"/>
          <w:sz w:val="24"/>
          <w:szCs w:val="24"/>
        </w:rPr>
        <w:t xml:space="preserve"> </w:t>
      </w:r>
      <w:r w:rsidR="00C279AB" w:rsidRPr="00787AE7">
        <w:rPr>
          <w:rFonts w:ascii="Bookman Old Style" w:hAnsi="Bookman Old Style"/>
          <w:bCs/>
          <w:color w:val="000000" w:themeColor="text1"/>
          <w:sz w:val="24"/>
          <w:szCs w:val="24"/>
        </w:rPr>
        <w:t>punto</w:t>
      </w:r>
      <w:r w:rsidR="009E4A11" w:rsidRPr="00787AE7">
        <w:rPr>
          <w:rFonts w:ascii="Bookman Old Style" w:hAnsi="Bookman Old Style"/>
          <w:bCs/>
          <w:color w:val="000000" w:themeColor="text1"/>
          <w:sz w:val="24"/>
          <w:szCs w:val="24"/>
        </w:rPr>
        <w:t>s</w:t>
      </w:r>
      <w:r w:rsidR="00C279AB" w:rsidRPr="00787AE7">
        <w:rPr>
          <w:rFonts w:ascii="Bookman Old Style" w:hAnsi="Bookman Old Style"/>
          <w:bCs/>
          <w:color w:val="000000" w:themeColor="text1"/>
          <w:sz w:val="24"/>
          <w:szCs w:val="24"/>
        </w:rPr>
        <w:t xml:space="preserve"> de </w:t>
      </w:r>
      <w:r w:rsidR="000B1878" w:rsidRPr="00787AE7">
        <w:rPr>
          <w:rFonts w:ascii="Bookman Old Style" w:hAnsi="Bookman Old Style"/>
          <w:bCs/>
          <w:color w:val="000000" w:themeColor="text1"/>
          <w:sz w:val="24"/>
          <w:szCs w:val="24"/>
        </w:rPr>
        <w:t xml:space="preserve">entrada donde se </w:t>
      </w:r>
      <w:r w:rsidRPr="00787AE7">
        <w:rPr>
          <w:rFonts w:ascii="Bookman Old Style" w:hAnsi="Bookman Old Style"/>
          <w:bCs/>
          <w:color w:val="000000" w:themeColor="text1"/>
          <w:sz w:val="24"/>
          <w:szCs w:val="24"/>
        </w:rPr>
        <w:t xml:space="preserve">inyecta </w:t>
      </w:r>
      <w:r w:rsidR="000B1878" w:rsidRPr="00787AE7">
        <w:rPr>
          <w:rFonts w:ascii="Bookman Old Style" w:hAnsi="Bookman Old Style"/>
          <w:bCs/>
          <w:color w:val="000000" w:themeColor="text1"/>
          <w:sz w:val="24"/>
          <w:szCs w:val="24"/>
        </w:rPr>
        <w:t>la energía</w:t>
      </w:r>
      <w:r w:rsidRPr="00787AE7">
        <w:rPr>
          <w:rFonts w:ascii="Bookman Old Style" w:hAnsi="Bookman Old Style"/>
          <w:bCs/>
          <w:color w:val="000000" w:themeColor="text1"/>
          <w:sz w:val="24"/>
          <w:szCs w:val="24"/>
        </w:rPr>
        <w:t xml:space="preserve"> al SNT</w:t>
      </w:r>
      <w:r w:rsidR="009E4A11" w:rsidRPr="00787AE7">
        <w:rPr>
          <w:rFonts w:ascii="Bookman Old Style" w:hAnsi="Bookman Old Style"/>
          <w:bCs/>
          <w:color w:val="000000" w:themeColor="text1"/>
          <w:sz w:val="24"/>
          <w:szCs w:val="24"/>
        </w:rPr>
        <w:t>. Estos puntos de entrada deberán corresponder a los puntos de entrada con código asignado por el gestor del mercado.</w:t>
      </w:r>
    </w:p>
    <w:p w:rsidR="00420891" w:rsidRPr="00787AE7" w:rsidRDefault="00420891" w:rsidP="00C978F4">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Hora en la cual el productor-comercializador </w:t>
      </w:r>
      <w:r w:rsidR="00F55FD5" w:rsidRPr="00787AE7">
        <w:rPr>
          <w:rFonts w:ascii="Bookman Old Style" w:hAnsi="Bookman Old Style"/>
          <w:bCs/>
          <w:color w:val="000000" w:themeColor="text1"/>
          <w:sz w:val="24"/>
          <w:szCs w:val="24"/>
        </w:rPr>
        <w:t xml:space="preserve">o el comercializador de gas importado </w:t>
      </w:r>
      <w:r w:rsidRPr="00787AE7">
        <w:rPr>
          <w:rFonts w:ascii="Bookman Old Style" w:hAnsi="Bookman Old Style"/>
          <w:bCs/>
          <w:color w:val="000000" w:themeColor="text1"/>
          <w:sz w:val="24"/>
          <w:szCs w:val="24"/>
        </w:rPr>
        <w:t xml:space="preserve">recibió la </w:t>
      </w:r>
      <w:proofErr w:type="spellStart"/>
      <w:r w:rsidRPr="00787AE7">
        <w:rPr>
          <w:rFonts w:ascii="Bookman Old Style" w:hAnsi="Bookman Old Style"/>
          <w:bCs/>
          <w:color w:val="000000" w:themeColor="text1"/>
          <w:sz w:val="24"/>
          <w:szCs w:val="24"/>
        </w:rPr>
        <w:t>renominación</w:t>
      </w:r>
      <w:proofErr w:type="spellEnd"/>
      <w:r w:rsidRPr="00787AE7">
        <w:rPr>
          <w:rFonts w:ascii="Bookman Old Style" w:hAnsi="Bookman Old Style"/>
          <w:bCs/>
          <w:color w:val="000000" w:themeColor="text1"/>
          <w:sz w:val="24"/>
          <w:szCs w:val="24"/>
        </w:rPr>
        <w:t>.</w:t>
      </w:r>
    </w:p>
    <w:p w:rsidR="002C03AB" w:rsidRPr="00787AE7" w:rsidRDefault="002C03AB" w:rsidP="00C978F4">
      <w:pPr>
        <w:pStyle w:val="Prrafodelista"/>
        <w:numPr>
          <w:ilvl w:val="0"/>
          <w:numId w:val="8"/>
        </w:numPr>
        <w:autoSpaceDE w:val="0"/>
        <w:autoSpaceDN w:val="0"/>
        <w:adjustRightInd w:val="0"/>
        <w:ind w:left="1701"/>
        <w:jc w:val="both"/>
        <w:rPr>
          <w:rFonts w:cs="Arial"/>
          <w:color w:val="000000" w:themeColor="text1"/>
        </w:rPr>
      </w:pPr>
      <w:r w:rsidRPr="00787AE7">
        <w:rPr>
          <w:rFonts w:ascii="Bookman Old Style" w:hAnsi="Bookman Old Style"/>
          <w:bCs/>
          <w:color w:val="000000" w:themeColor="text1"/>
          <w:sz w:val="24"/>
          <w:szCs w:val="24"/>
        </w:rPr>
        <w:t>Destino del gas contratado: Costa, interior, zona aislada en costa o interior</w:t>
      </w:r>
      <w:r w:rsidR="00420891" w:rsidRPr="00787AE7">
        <w:rPr>
          <w:rFonts w:ascii="Bookman Old Style" w:hAnsi="Bookman Old Style"/>
          <w:bCs/>
          <w:color w:val="000000" w:themeColor="text1"/>
          <w:sz w:val="24"/>
          <w:szCs w:val="24"/>
        </w:rPr>
        <w:t>.</w:t>
      </w:r>
    </w:p>
    <w:p w:rsidR="001C458E" w:rsidRPr="00787AE7" w:rsidRDefault="001C458E" w:rsidP="00C978F4">
      <w:pPr>
        <w:pStyle w:val="Prrafodelista"/>
        <w:numPr>
          <w:ilvl w:val="0"/>
          <w:numId w:val="8"/>
        </w:numPr>
        <w:autoSpaceDE w:val="0"/>
        <w:autoSpaceDN w:val="0"/>
        <w:adjustRightInd w:val="0"/>
        <w:ind w:left="1701"/>
        <w:jc w:val="both"/>
        <w:rPr>
          <w:rFonts w:cs="Arial"/>
          <w:color w:val="000000" w:themeColor="text1"/>
        </w:rPr>
      </w:pPr>
      <w:r w:rsidRPr="00787AE7">
        <w:rPr>
          <w:rFonts w:ascii="Bookman Old Style" w:hAnsi="Bookman Old Style"/>
          <w:bCs/>
          <w:color w:val="000000" w:themeColor="text1"/>
          <w:sz w:val="24"/>
          <w:szCs w:val="24"/>
        </w:rPr>
        <w:t>Cantidad de energía a suministrar incluida en el programa de suministro de gas definitivo</w:t>
      </w:r>
      <w:r w:rsidR="00C978F4" w:rsidRPr="00787AE7">
        <w:rPr>
          <w:rFonts w:ascii="Bookman Old Style" w:hAnsi="Bookman Old Style"/>
          <w:bCs/>
          <w:color w:val="000000" w:themeColor="text1"/>
          <w:sz w:val="24"/>
          <w:szCs w:val="24"/>
        </w:rPr>
        <w:t xml:space="preserve"> (dato final después de </w:t>
      </w:r>
      <w:r w:rsidR="00C11E28" w:rsidRPr="00787AE7">
        <w:rPr>
          <w:rFonts w:ascii="Bookman Old Style" w:hAnsi="Bookman Old Style"/>
          <w:bCs/>
          <w:color w:val="000000" w:themeColor="text1"/>
          <w:sz w:val="24"/>
          <w:szCs w:val="24"/>
        </w:rPr>
        <w:t xml:space="preserve">la </w:t>
      </w:r>
      <w:proofErr w:type="spellStart"/>
      <w:r w:rsidR="00C978F4" w:rsidRPr="00787AE7">
        <w:rPr>
          <w:rFonts w:ascii="Bookman Old Style" w:hAnsi="Bookman Old Style"/>
          <w:bCs/>
          <w:color w:val="000000" w:themeColor="text1"/>
          <w:sz w:val="24"/>
          <w:szCs w:val="24"/>
        </w:rPr>
        <w:t>reno</w:t>
      </w:r>
      <w:r w:rsidR="00C11E28" w:rsidRPr="00787AE7">
        <w:rPr>
          <w:rFonts w:ascii="Bookman Old Style" w:hAnsi="Bookman Old Style"/>
          <w:bCs/>
          <w:color w:val="000000" w:themeColor="text1"/>
          <w:sz w:val="24"/>
          <w:szCs w:val="24"/>
        </w:rPr>
        <w:t>minación</w:t>
      </w:r>
      <w:proofErr w:type="spellEnd"/>
      <w:r w:rsidR="000B0672" w:rsidRPr="00787AE7">
        <w:rPr>
          <w:rFonts w:ascii="Bookman Old Style" w:hAnsi="Bookman Old Style"/>
          <w:bCs/>
          <w:color w:val="000000" w:themeColor="text1"/>
          <w:sz w:val="24"/>
          <w:szCs w:val="24"/>
        </w:rPr>
        <w:t>)</w:t>
      </w:r>
      <w:r w:rsidR="005B614F" w:rsidRPr="00787AE7">
        <w:rPr>
          <w:rFonts w:ascii="Bookman Old Style" w:hAnsi="Bookman Old Style"/>
          <w:bCs/>
          <w:color w:val="000000" w:themeColor="text1"/>
          <w:sz w:val="24"/>
          <w:szCs w:val="24"/>
        </w:rPr>
        <w:t xml:space="preserve"> </w:t>
      </w:r>
      <w:r w:rsidR="000B0672" w:rsidRPr="00787AE7">
        <w:rPr>
          <w:rFonts w:ascii="Bookman Old Style" w:hAnsi="Bookman Old Style"/>
          <w:bCs/>
          <w:color w:val="000000" w:themeColor="text1"/>
          <w:sz w:val="24"/>
          <w:szCs w:val="24"/>
        </w:rPr>
        <w:t xml:space="preserve">para el día de gas </w:t>
      </w:r>
      <w:r w:rsidR="00C11E28" w:rsidRPr="00787AE7">
        <w:rPr>
          <w:rFonts w:ascii="Bookman Old Style" w:hAnsi="Bookman Old Style"/>
          <w:bCs/>
          <w:color w:val="000000" w:themeColor="text1"/>
          <w:sz w:val="24"/>
          <w:szCs w:val="24"/>
        </w:rPr>
        <w:t>expresada en MBTU</w:t>
      </w:r>
      <w:r w:rsidR="00755D21" w:rsidRPr="00787AE7">
        <w:rPr>
          <w:rFonts w:ascii="Bookman Old Style" w:hAnsi="Bookman Old Style"/>
          <w:bCs/>
          <w:color w:val="000000" w:themeColor="text1"/>
          <w:sz w:val="24"/>
          <w:szCs w:val="24"/>
        </w:rPr>
        <w:t xml:space="preserve">, </w:t>
      </w:r>
      <w:r w:rsidR="00DF5A56" w:rsidRPr="00787AE7">
        <w:rPr>
          <w:rFonts w:ascii="Bookman Old Style" w:hAnsi="Bookman Old Style"/>
          <w:bCs/>
          <w:sz w:val="24"/>
          <w:szCs w:val="24"/>
        </w:rPr>
        <w:t>determinada</w:t>
      </w:r>
      <w:r w:rsidR="00711AA9" w:rsidRPr="00787AE7">
        <w:rPr>
          <w:rFonts w:ascii="Bookman Old Style" w:hAnsi="Bookman Old Style"/>
          <w:bCs/>
          <w:sz w:val="24"/>
          <w:szCs w:val="24"/>
        </w:rPr>
        <w:t xml:space="preserve"> </w:t>
      </w:r>
      <w:r w:rsidR="00DF5A56" w:rsidRPr="00787AE7">
        <w:rPr>
          <w:rFonts w:ascii="Bookman Old Style" w:hAnsi="Bookman Old Style"/>
          <w:bCs/>
          <w:sz w:val="24"/>
          <w:szCs w:val="24"/>
        </w:rPr>
        <w:t xml:space="preserve">por tipo de demanda no regulada la cual deberá ser </w:t>
      </w:r>
      <w:r w:rsidR="00DF5A56" w:rsidRPr="00787AE7">
        <w:rPr>
          <w:rFonts w:ascii="Bookman Old Style" w:hAnsi="Bookman Old Style"/>
          <w:bCs/>
          <w:sz w:val="24"/>
          <w:szCs w:val="24"/>
        </w:rPr>
        <w:lastRenderedPageBreak/>
        <w:t>desagregada en comercial, industrial, gas para transportadores, petroquímica, refinería, gas natural vehicular comprimido, plantas de generación térmica u otros y demanda regulada la cual deberá ser desagregada en residencia</w:t>
      </w:r>
      <w:r w:rsidR="00E13F66" w:rsidRPr="00787AE7">
        <w:rPr>
          <w:rFonts w:ascii="Bookman Old Style" w:hAnsi="Bookman Old Style"/>
          <w:bCs/>
          <w:sz w:val="24"/>
          <w:szCs w:val="24"/>
        </w:rPr>
        <w:t>l</w:t>
      </w:r>
      <w:r w:rsidR="00DF5A56" w:rsidRPr="00787AE7">
        <w:rPr>
          <w:rFonts w:ascii="Bookman Old Style" w:hAnsi="Bookman Old Style"/>
          <w:bCs/>
          <w:sz w:val="24"/>
          <w:szCs w:val="24"/>
        </w:rPr>
        <w:t>, comercial, industrial, gas para transportadores, petroquímica, gas natural vehicular comprimido u otros.</w:t>
      </w:r>
      <w:r w:rsidR="00F545FE" w:rsidRPr="00787AE7">
        <w:rPr>
          <w:rFonts w:ascii="Bookman Old Style" w:hAnsi="Bookman Old Style"/>
          <w:bCs/>
          <w:sz w:val="24"/>
          <w:szCs w:val="24"/>
        </w:rPr>
        <w:t xml:space="preserve"> </w:t>
      </w:r>
    </w:p>
    <w:p w:rsidR="001C458E" w:rsidRPr="00787AE7" w:rsidRDefault="001C458E" w:rsidP="00BA4023">
      <w:pPr>
        <w:pStyle w:val="ARTICULOS"/>
        <w:numPr>
          <w:ilvl w:val="0"/>
          <w:numId w:val="0"/>
        </w:numPr>
        <w:tabs>
          <w:tab w:val="left" w:pos="1560"/>
        </w:tabs>
        <w:rPr>
          <w:rFonts w:cs="Arial"/>
          <w:color w:val="000000" w:themeColor="text1"/>
          <w:lang w:val="es-CO"/>
        </w:rPr>
      </w:pPr>
    </w:p>
    <w:p w:rsidR="004C7AF1" w:rsidRPr="00787AE7" w:rsidRDefault="004C7AF1" w:rsidP="00BA4023">
      <w:pPr>
        <w:pStyle w:val="ARTICULOS"/>
        <w:numPr>
          <w:ilvl w:val="0"/>
          <w:numId w:val="0"/>
        </w:numPr>
        <w:tabs>
          <w:tab w:val="left" w:pos="1560"/>
        </w:tabs>
        <w:rPr>
          <w:rFonts w:cs="Arial"/>
          <w:color w:val="000000" w:themeColor="text1"/>
          <w:lang w:val="es-CO"/>
        </w:rPr>
      </w:pPr>
      <w:r w:rsidRPr="00787AE7">
        <w:rPr>
          <w:rFonts w:cs="Arial"/>
          <w:color w:val="000000" w:themeColor="text1"/>
          <w:lang w:val="es-ES"/>
        </w:rPr>
        <w:t>El gestor del mercado definirá el medio y los formatos para la declaración de la información señalada en este literal”.</w:t>
      </w:r>
    </w:p>
    <w:p w:rsidR="004C7AF1" w:rsidRPr="00787AE7" w:rsidRDefault="004C7AF1" w:rsidP="00BA4023">
      <w:pPr>
        <w:pStyle w:val="ARTICULOS"/>
        <w:numPr>
          <w:ilvl w:val="0"/>
          <w:numId w:val="0"/>
        </w:numPr>
        <w:tabs>
          <w:tab w:val="left" w:pos="1560"/>
        </w:tabs>
        <w:rPr>
          <w:rFonts w:cs="Arial"/>
          <w:color w:val="000000" w:themeColor="text1"/>
          <w:lang w:val="es-CO"/>
        </w:rPr>
      </w:pPr>
    </w:p>
    <w:p w:rsidR="00C445D0" w:rsidRPr="00787AE7" w:rsidRDefault="00C445D0" w:rsidP="00C445D0">
      <w:pPr>
        <w:pStyle w:val="ARTICULOS"/>
        <w:tabs>
          <w:tab w:val="left" w:pos="1560"/>
        </w:tabs>
        <w:ind w:left="0" w:firstLine="0"/>
        <w:rPr>
          <w:rFonts w:cs="Arial"/>
          <w:color w:val="000000" w:themeColor="text1"/>
          <w:lang w:val="es-CO"/>
        </w:rPr>
      </w:pPr>
      <w:r w:rsidRPr="00787AE7">
        <w:rPr>
          <w:rFonts w:cs="Arial"/>
          <w:b/>
          <w:color w:val="000000" w:themeColor="text1"/>
          <w:lang w:val="es-ES"/>
        </w:rPr>
        <w:t>Adiciónese el literal e) al numeral 4.1 del Anexo 2 de la Resolución CREG 089 de 2013.</w:t>
      </w:r>
      <w:r w:rsidR="004F5405" w:rsidRPr="00787AE7">
        <w:rPr>
          <w:rFonts w:cs="Arial"/>
          <w:b/>
          <w:color w:val="000000" w:themeColor="text1"/>
          <w:lang w:val="es-ES"/>
        </w:rPr>
        <w:t xml:space="preserve"> </w:t>
      </w:r>
      <w:r w:rsidRPr="00787AE7">
        <w:rPr>
          <w:rFonts w:cs="Arial"/>
          <w:color w:val="000000" w:themeColor="text1"/>
          <w:lang w:val="es-CO"/>
        </w:rPr>
        <w:t>El literal e) del numeral 4.1 del Anexo 2 de la Resolución CREG 089 de 2013 quedará así:</w:t>
      </w:r>
    </w:p>
    <w:p w:rsidR="00C445D0" w:rsidRPr="00787AE7" w:rsidRDefault="00C445D0" w:rsidP="00C445D0">
      <w:pPr>
        <w:pStyle w:val="ARTICULOS"/>
        <w:numPr>
          <w:ilvl w:val="0"/>
          <w:numId w:val="0"/>
        </w:numPr>
        <w:tabs>
          <w:tab w:val="left" w:pos="1560"/>
        </w:tabs>
        <w:rPr>
          <w:rFonts w:cs="Arial"/>
          <w:color w:val="000000" w:themeColor="text1"/>
          <w:lang w:val="es-CO"/>
        </w:rPr>
      </w:pPr>
    </w:p>
    <w:p w:rsidR="00C445D0" w:rsidRPr="00787AE7" w:rsidRDefault="00C445D0" w:rsidP="00C445D0">
      <w:pPr>
        <w:pStyle w:val="ARTICULOS"/>
        <w:numPr>
          <w:ilvl w:val="0"/>
          <w:numId w:val="0"/>
        </w:numPr>
        <w:ind w:left="705" w:hanging="705"/>
        <w:rPr>
          <w:rFonts w:cs="Arial"/>
          <w:color w:val="000000" w:themeColor="text1"/>
        </w:rPr>
      </w:pPr>
      <w:r w:rsidRPr="00787AE7">
        <w:rPr>
          <w:rFonts w:cs="Arial"/>
          <w:color w:val="000000" w:themeColor="text1"/>
          <w:lang w:val="es-CO"/>
        </w:rPr>
        <w:t>“e)</w:t>
      </w:r>
      <w:r w:rsidRPr="00787AE7">
        <w:rPr>
          <w:rFonts w:cs="Arial"/>
          <w:color w:val="000000" w:themeColor="text1"/>
          <w:lang w:val="es-CO"/>
        </w:rPr>
        <w:tab/>
      </w:r>
      <w:r w:rsidRPr="00787AE7">
        <w:rPr>
          <w:rFonts w:cs="Arial"/>
          <w:color w:val="000000" w:themeColor="text1"/>
        </w:rPr>
        <w:t xml:space="preserve">Información </w:t>
      </w:r>
      <w:r w:rsidR="00D157B5" w:rsidRPr="00787AE7">
        <w:rPr>
          <w:rFonts w:cs="Arial"/>
          <w:color w:val="000000" w:themeColor="text1"/>
          <w:lang w:val="es-CO"/>
        </w:rPr>
        <w:t xml:space="preserve">sobre </w:t>
      </w:r>
      <w:r w:rsidRPr="00787AE7">
        <w:rPr>
          <w:rFonts w:cs="Arial"/>
          <w:color w:val="000000" w:themeColor="text1"/>
        </w:rPr>
        <w:t>nominaciones de capacidad de transporte de gas</w:t>
      </w:r>
    </w:p>
    <w:p w:rsidR="00C445D0" w:rsidRPr="00787AE7" w:rsidRDefault="00C445D0" w:rsidP="00C445D0">
      <w:pPr>
        <w:pStyle w:val="ARTICULOS"/>
        <w:numPr>
          <w:ilvl w:val="0"/>
          <w:numId w:val="0"/>
        </w:numPr>
        <w:ind w:left="1134"/>
        <w:rPr>
          <w:bCs w:val="0"/>
          <w:color w:val="000000" w:themeColor="text1"/>
        </w:rPr>
      </w:pPr>
    </w:p>
    <w:p w:rsidR="00C445D0" w:rsidRPr="00787AE7" w:rsidRDefault="00C445D0" w:rsidP="00C445D0">
      <w:pPr>
        <w:pStyle w:val="Prrafodelista"/>
        <w:numPr>
          <w:ilvl w:val="0"/>
          <w:numId w:val="9"/>
        </w:numPr>
        <w:autoSpaceDE w:val="0"/>
        <w:autoSpaceDN w:val="0"/>
        <w:adjustRightInd w:val="0"/>
        <w:ind w:left="1276"/>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Los </w:t>
      </w:r>
      <w:r w:rsidR="00E96017" w:rsidRPr="00787AE7">
        <w:rPr>
          <w:rFonts w:ascii="Bookman Old Style" w:hAnsi="Bookman Old Style"/>
          <w:bCs/>
          <w:color w:val="000000" w:themeColor="text1"/>
          <w:sz w:val="24"/>
          <w:szCs w:val="24"/>
        </w:rPr>
        <w:t xml:space="preserve">transportadores </w:t>
      </w:r>
      <w:r w:rsidRPr="00787AE7">
        <w:rPr>
          <w:rFonts w:ascii="Bookman Old Style" w:hAnsi="Bookman Old Style"/>
          <w:bCs/>
          <w:color w:val="000000" w:themeColor="text1"/>
          <w:sz w:val="24"/>
          <w:szCs w:val="24"/>
        </w:rPr>
        <w:t>deberán declarar al gestor del mercado la siguiente información de nominación para el siguiente día de gas, antes de las 16:5</w:t>
      </w:r>
      <w:r w:rsidR="00E15277" w:rsidRPr="00787AE7">
        <w:rPr>
          <w:rFonts w:ascii="Bookman Old Style" w:hAnsi="Bookman Old Style"/>
          <w:bCs/>
          <w:color w:val="000000" w:themeColor="text1"/>
          <w:sz w:val="24"/>
          <w:szCs w:val="24"/>
        </w:rPr>
        <w:t>0</w:t>
      </w:r>
      <w:r w:rsidRPr="00787AE7">
        <w:rPr>
          <w:rFonts w:ascii="Bookman Old Style" w:hAnsi="Bookman Old Style"/>
          <w:bCs/>
          <w:color w:val="000000" w:themeColor="text1"/>
          <w:sz w:val="24"/>
          <w:szCs w:val="24"/>
        </w:rPr>
        <w:t xml:space="preserve"> horas del día D-1, </w:t>
      </w:r>
      <w:r w:rsidR="00E96017" w:rsidRPr="00787AE7">
        <w:rPr>
          <w:rFonts w:ascii="Bookman Old Style" w:hAnsi="Bookman Old Style"/>
          <w:bCs/>
          <w:color w:val="000000" w:themeColor="text1"/>
          <w:sz w:val="24"/>
          <w:szCs w:val="24"/>
        </w:rPr>
        <w:t xml:space="preserve">la cual </w:t>
      </w:r>
      <w:r w:rsidRPr="00787AE7">
        <w:rPr>
          <w:rFonts w:ascii="Bookman Old Style" w:hAnsi="Bookman Old Style"/>
          <w:bCs/>
          <w:color w:val="000000" w:themeColor="text1"/>
          <w:sz w:val="24"/>
          <w:szCs w:val="24"/>
        </w:rPr>
        <w:t xml:space="preserve">debe corresponder al nombre y código que el gestor asignó al punto de </w:t>
      </w:r>
      <w:r w:rsidR="0026757F" w:rsidRPr="00787AE7">
        <w:rPr>
          <w:rFonts w:ascii="Bookman Old Style" w:hAnsi="Bookman Old Style"/>
          <w:bCs/>
          <w:color w:val="000000" w:themeColor="text1"/>
          <w:sz w:val="24"/>
          <w:szCs w:val="24"/>
        </w:rPr>
        <w:t xml:space="preserve">inicio </w:t>
      </w:r>
      <w:r w:rsidR="00E96017" w:rsidRPr="00787AE7">
        <w:rPr>
          <w:rFonts w:ascii="Bookman Old Style" w:hAnsi="Bookman Old Style"/>
          <w:bCs/>
          <w:color w:val="000000" w:themeColor="text1"/>
          <w:sz w:val="24"/>
          <w:szCs w:val="24"/>
        </w:rPr>
        <w:t xml:space="preserve">y </w:t>
      </w:r>
      <w:r w:rsidR="0026757F" w:rsidRPr="00787AE7">
        <w:rPr>
          <w:rFonts w:ascii="Bookman Old Style" w:hAnsi="Bookman Old Style"/>
          <w:bCs/>
          <w:color w:val="000000" w:themeColor="text1"/>
          <w:sz w:val="24"/>
          <w:szCs w:val="24"/>
        </w:rPr>
        <w:t xml:space="preserve">de terminación del servicio de transporte en el </w:t>
      </w:r>
      <w:r w:rsidRPr="00787AE7">
        <w:rPr>
          <w:rFonts w:ascii="Bookman Old Style" w:hAnsi="Bookman Old Style"/>
          <w:bCs/>
          <w:color w:val="000000" w:themeColor="text1"/>
          <w:sz w:val="24"/>
          <w:szCs w:val="24"/>
        </w:rPr>
        <w:t>SNT, para cada una de sus contrapartes:</w:t>
      </w:r>
    </w:p>
    <w:p w:rsidR="00C445D0" w:rsidRPr="00787AE7" w:rsidRDefault="00C445D0" w:rsidP="00C445D0">
      <w:pPr>
        <w:pStyle w:val="Prrafodelista"/>
        <w:autoSpaceDE w:val="0"/>
        <w:autoSpaceDN w:val="0"/>
        <w:adjustRightInd w:val="0"/>
        <w:ind w:left="1287"/>
        <w:jc w:val="both"/>
        <w:rPr>
          <w:rFonts w:ascii="Bookman Old Style" w:hAnsi="Bookman Old Style"/>
          <w:bCs/>
          <w:color w:val="000000" w:themeColor="text1"/>
          <w:sz w:val="24"/>
          <w:szCs w:val="24"/>
        </w:rPr>
      </w:pPr>
    </w:p>
    <w:p w:rsidR="00C445D0" w:rsidRPr="00787AE7" w:rsidRDefault="00C445D0"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Código contraparte</w:t>
      </w:r>
      <w:r w:rsidR="00420891" w:rsidRPr="00787AE7">
        <w:rPr>
          <w:rFonts w:ascii="Bookman Old Style" w:hAnsi="Bookman Old Style"/>
          <w:bCs/>
          <w:color w:val="000000" w:themeColor="text1"/>
          <w:sz w:val="24"/>
          <w:szCs w:val="24"/>
        </w:rPr>
        <w:t>.</w:t>
      </w:r>
    </w:p>
    <w:p w:rsidR="00C445D0" w:rsidRPr="00787AE7" w:rsidRDefault="00C445D0"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Número </w:t>
      </w:r>
      <w:r w:rsidR="00711AA9" w:rsidRPr="00787AE7">
        <w:rPr>
          <w:rFonts w:ascii="Bookman Old Style" w:hAnsi="Bookman Old Style"/>
          <w:bCs/>
          <w:color w:val="000000" w:themeColor="text1"/>
          <w:sz w:val="24"/>
          <w:szCs w:val="24"/>
        </w:rPr>
        <w:t>de operación asignado por el gestor</w:t>
      </w:r>
      <w:r w:rsidR="00420891" w:rsidRPr="00787AE7">
        <w:rPr>
          <w:rFonts w:ascii="Bookman Old Style" w:hAnsi="Bookman Old Style"/>
          <w:bCs/>
          <w:color w:val="000000" w:themeColor="text1"/>
          <w:sz w:val="24"/>
          <w:szCs w:val="24"/>
        </w:rPr>
        <w:t>.</w:t>
      </w:r>
      <w:r w:rsidR="00711AA9" w:rsidRPr="00787AE7">
        <w:rPr>
          <w:rFonts w:ascii="Bookman Old Style" w:hAnsi="Bookman Old Style"/>
          <w:bCs/>
          <w:color w:val="000000" w:themeColor="text1"/>
          <w:sz w:val="24"/>
          <w:szCs w:val="24"/>
        </w:rPr>
        <w:t xml:space="preserve"> </w:t>
      </w:r>
    </w:p>
    <w:p w:rsidR="00C445D0" w:rsidRPr="00787AE7" w:rsidRDefault="00C279AB"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Nombre </w:t>
      </w:r>
      <w:r w:rsidR="0024228D" w:rsidRPr="00787AE7">
        <w:rPr>
          <w:rFonts w:ascii="Bookman Old Style" w:hAnsi="Bookman Old Style"/>
          <w:bCs/>
          <w:color w:val="000000" w:themeColor="text1"/>
          <w:sz w:val="24"/>
          <w:szCs w:val="24"/>
        </w:rPr>
        <w:t>d</w:t>
      </w:r>
      <w:r w:rsidRPr="00787AE7">
        <w:rPr>
          <w:rFonts w:ascii="Bookman Old Style" w:hAnsi="Bookman Old Style"/>
          <w:bCs/>
          <w:color w:val="000000" w:themeColor="text1"/>
          <w:sz w:val="24"/>
          <w:szCs w:val="24"/>
        </w:rPr>
        <w:t>el p</w:t>
      </w:r>
      <w:r w:rsidR="00C445D0" w:rsidRPr="00787AE7">
        <w:rPr>
          <w:rFonts w:ascii="Bookman Old Style" w:hAnsi="Bookman Old Style"/>
          <w:bCs/>
          <w:color w:val="000000" w:themeColor="text1"/>
          <w:sz w:val="24"/>
          <w:szCs w:val="24"/>
        </w:rPr>
        <w:t xml:space="preserve">unto de </w:t>
      </w:r>
      <w:r w:rsidR="00C40B22" w:rsidRPr="00787AE7">
        <w:rPr>
          <w:rFonts w:ascii="Bookman Old Style" w:hAnsi="Bookman Old Style"/>
          <w:bCs/>
          <w:color w:val="000000" w:themeColor="text1"/>
          <w:sz w:val="24"/>
          <w:szCs w:val="24"/>
        </w:rPr>
        <w:t xml:space="preserve">entrada o de transferencia entre transportadores donde el transportador recibe el gas. </w:t>
      </w:r>
      <w:r w:rsidR="0026757F" w:rsidRPr="00787AE7">
        <w:rPr>
          <w:rFonts w:ascii="Bookman Old Style" w:hAnsi="Bookman Old Style"/>
          <w:bCs/>
          <w:color w:val="000000" w:themeColor="text1"/>
          <w:sz w:val="24"/>
          <w:szCs w:val="24"/>
        </w:rPr>
        <w:t xml:space="preserve"> </w:t>
      </w:r>
    </w:p>
    <w:p w:rsidR="00C445D0" w:rsidRPr="00787AE7" w:rsidRDefault="00C279AB"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Nombre del pu</w:t>
      </w:r>
      <w:r w:rsidR="00C445D0" w:rsidRPr="00787AE7">
        <w:rPr>
          <w:rFonts w:ascii="Bookman Old Style" w:hAnsi="Bookman Old Style"/>
          <w:bCs/>
          <w:color w:val="000000" w:themeColor="text1"/>
          <w:sz w:val="24"/>
          <w:szCs w:val="24"/>
        </w:rPr>
        <w:t xml:space="preserve">nto de </w:t>
      </w:r>
      <w:r w:rsidR="00C40B22" w:rsidRPr="00787AE7">
        <w:rPr>
          <w:rFonts w:ascii="Bookman Old Style" w:hAnsi="Bookman Old Style"/>
          <w:bCs/>
          <w:color w:val="000000" w:themeColor="text1"/>
          <w:sz w:val="24"/>
          <w:szCs w:val="24"/>
        </w:rPr>
        <w:t xml:space="preserve">salida o de transferencia entre transportadores donde el transportador entrega el gas. </w:t>
      </w:r>
      <w:r w:rsidR="0026757F" w:rsidRPr="00787AE7">
        <w:rPr>
          <w:rFonts w:ascii="Bookman Old Style" w:hAnsi="Bookman Old Style"/>
          <w:bCs/>
          <w:color w:val="000000" w:themeColor="text1"/>
          <w:sz w:val="24"/>
          <w:szCs w:val="24"/>
        </w:rPr>
        <w:t xml:space="preserve"> </w:t>
      </w:r>
    </w:p>
    <w:p w:rsidR="00E27F6E" w:rsidRPr="00787AE7" w:rsidRDefault="00E27F6E"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Destino del gas contratado: Costa, interior, zona aislada en costa o interior</w:t>
      </w:r>
      <w:r w:rsidR="00420891" w:rsidRPr="00787AE7">
        <w:rPr>
          <w:rFonts w:ascii="Bookman Old Style" w:hAnsi="Bookman Old Style"/>
          <w:bCs/>
          <w:color w:val="000000" w:themeColor="text1"/>
          <w:sz w:val="24"/>
          <w:szCs w:val="24"/>
        </w:rPr>
        <w:t>.</w:t>
      </w:r>
    </w:p>
    <w:p w:rsidR="00C445D0" w:rsidRPr="00787AE7" w:rsidRDefault="00C445D0" w:rsidP="00E13F66">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Cantidad </w:t>
      </w:r>
      <w:r w:rsidR="006865BE" w:rsidRPr="00787AE7">
        <w:rPr>
          <w:rFonts w:ascii="Bookman Old Style" w:hAnsi="Bookman Old Style"/>
          <w:bCs/>
          <w:color w:val="000000" w:themeColor="text1"/>
          <w:sz w:val="24"/>
          <w:szCs w:val="24"/>
        </w:rPr>
        <w:t xml:space="preserve">de energía </w:t>
      </w:r>
      <w:r w:rsidRPr="00787AE7">
        <w:rPr>
          <w:rFonts w:ascii="Bookman Old Style" w:hAnsi="Bookman Old Style"/>
          <w:bCs/>
          <w:color w:val="000000" w:themeColor="text1"/>
          <w:sz w:val="24"/>
          <w:szCs w:val="24"/>
        </w:rPr>
        <w:t xml:space="preserve">nominada por </w:t>
      </w:r>
      <w:r w:rsidR="0024228D" w:rsidRPr="00787AE7">
        <w:rPr>
          <w:rFonts w:ascii="Bookman Old Style" w:hAnsi="Bookman Old Style"/>
          <w:bCs/>
          <w:color w:val="000000" w:themeColor="text1"/>
          <w:sz w:val="24"/>
          <w:szCs w:val="24"/>
        </w:rPr>
        <w:t xml:space="preserve">el </w:t>
      </w:r>
      <w:r w:rsidRPr="00787AE7">
        <w:rPr>
          <w:rFonts w:ascii="Bookman Old Style" w:hAnsi="Bookman Old Style"/>
          <w:bCs/>
          <w:color w:val="000000" w:themeColor="text1"/>
          <w:sz w:val="24"/>
          <w:szCs w:val="24"/>
        </w:rPr>
        <w:t xml:space="preserve">remitente a la hora límite </w:t>
      </w:r>
      <w:r w:rsidR="006865BE" w:rsidRPr="00787AE7">
        <w:rPr>
          <w:rFonts w:ascii="Bookman Old Style" w:hAnsi="Bookman Old Style"/>
          <w:bCs/>
          <w:color w:val="000000" w:themeColor="text1"/>
          <w:sz w:val="24"/>
          <w:szCs w:val="24"/>
        </w:rPr>
        <w:t xml:space="preserve">en </w:t>
      </w:r>
      <w:r w:rsidRPr="00787AE7">
        <w:rPr>
          <w:rFonts w:ascii="Bookman Old Style" w:hAnsi="Bookman Old Style"/>
          <w:bCs/>
          <w:color w:val="000000" w:themeColor="text1"/>
          <w:sz w:val="24"/>
          <w:szCs w:val="24"/>
        </w:rPr>
        <w:t xml:space="preserve">punto de </w:t>
      </w:r>
      <w:r w:rsidR="00C40B22" w:rsidRPr="00787AE7">
        <w:rPr>
          <w:rFonts w:ascii="Bookman Old Style" w:hAnsi="Bookman Old Style"/>
          <w:bCs/>
          <w:color w:val="000000" w:themeColor="text1"/>
          <w:sz w:val="24"/>
          <w:szCs w:val="24"/>
        </w:rPr>
        <w:t>entrada, de salida o de transferencia</w:t>
      </w:r>
      <w:r w:rsidR="0024228D" w:rsidRPr="00787AE7">
        <w:rPr>
          <w:rFonts w:ascii="Bookman Old Style" w:hAnsi="Bookman Old Style"/>
          <w:bCs/>
          <w:color w:val="000000" w:themeColor="text1"/>
          <w:sz w:val="24"/>
          <w:szCs w:val="24"/>
        </w:rPr>
        <w:t>,</w:t>
      </w:r>
      <w:r w:rsidR="00711AA9" w:rsidRPr="00787AE7">
        <w:rPr>
          <w:rFonts w:ascii="Bookman Old Style" w:hAnsi="Bookman Old Style"/>
          <w:bCs/>
          <w:color w:val="000000" w:themeColor="text1"/>
          <w:sz w:val="24"/>
          <w:szCs w:val="24"/>
        </w:rPr>
        <w:t xml:space="preserve"> </w:t>
      </w:r>
      <w:r w:rsidR="006865BE" w:rsidRPr="00787AE7">
        <w:rPr>
          <w:rFonts w:ascii="Bookman Old Style" w:hAnsi="Bookman Old Style"/>
          <w:bCs/>
          <w:color w:val="000000" w:themeColor="text1"/>
          <w:sz w:val="24"/>
          <w:szCs w:val="24"/>
        </w:rPr>
        <w:t xml:space="preserve">expresada en </w:t>
      </w:r>
      <w:r w:rsidRPr="00787AE7">
        <w:rPr>
          <w:rFonts w:ascii="Bookman Old Style" w:hAnsi="Bookman Old Style"/>
          <w:bCs/>
          <w:color w:val="000000" w:themeColor="text1"/>
          <w:sz w:val="24"/>
          <w:szCs w:val="24"/>
        </w:rPr>
        <w:t xml:space="preserve">MBTU y su equivalente </w:t>
      </w:r>
      <w:r w:rsidR="00C7445D" w:rsidRPr="00787AE7">
        <w:rPr>
          <w:rFonts w:ascii="Bookman Old Style" w:hAnsi="Bookman Old Style"/>
          <w:bCs/>
          <w:color w:val="000000" w:themeColor="text1"/>
          <w:sz w:val="24"/>
          <w:szCs w:val="24"/>
        </w:rPr>
        <w:t xml:space="preserve">en </w:t>
      </w:r>
      <w:r w:rsidRPr="00787AE7">
        <w:rPr>
          <w:rFonts w:ascii="Bookman Old Style" w:hAnsi="Bookman Old Style"/>
          <w:bCs/>
          <w:color w:val="000000" w:themeColor="text1"/>
          <w:sz w:val="24"/>
          <w:szCs w:val="24"/>
        </w:rPr>
        <w:t>KPC</w:t>
      </w:r>
      <w:r w:rsidR="00755D21" w:rsidRPr="00787AE7">
        <w:rPr>
          <w:rFonts w:ascii="Bookman Old Style" w:hAnsi="Bookman Old Style"/>
          <w:bCs/>
          <w:color w:val="000000" w:themeColor="text1"/>
          <w:sz w:val="24"/>
          <w:szCs w:val="24"/>
        </w:rPr>
        <w:t xml:space="preserve">, </w:t>
      </w:r>
      <w:r w:rsidR="00EA202F" w:rsidRPr="00787AE7">
        <w:rPr>
          <w:rFonts w:ascii="Bookman Old Style" w:hAnsi="Bookman Old Style"/>
          <w:bCs/>
          <w:sz w:val="24"/>
          <w:szCs w:val="24"/>
        </w:rPr>
        <w:t>determinada</w:t>
      </w:r>
      <w:r w:rsidR="00711AA9" w:rsidRPr="00787AE7">
        <w:rPr>
          <w:rFonts w:ascii="Bookman Old Style" w:hAnsi="Bookman Old Style"/>
          <w:bCs/>
          <w:sz w:val="24"/>
          <w:szCs w:val="24"/>
        </w:rPr>
        <w:t xml:space="preserve"> </w:t>
      </w:r>
      <w:r w:rsidR="00EA202F" w:rsidRPr="00787AE7">
        <w:rPr>
          <w:rFonts w:ascii="Bookman Old Style" w:hAnsi="Bookman Old Style"/>
          <w:bCs/>
          <w:sz w:val="24"/>
          <w:szCs w:val="24"/>
        </w:rPr>
        <w:t>por tipo de demanda no regulada la cual deberá ser desagregada en comercial, industrial, gas para transportadores, petroquímica, refinería, gas natural vehicular comprimido, plantas de generación térmica u otros y demanda regulada la cual deberá ser desagregada en residencia</w:t>
      </w:r>
      <w:r w:rsidR="00E13F66" w:rsidRPr="00787AE7">
        <w:rPr>
          <w:rFonts w:ascii="Bookman Old Style" w:hAnsi="Bookman Old Style"/>
          <w:bCs/>
          <w:sz w:val="24"/>
          <w:szCs w:val="24"/>
        </w:rPr>
        <w:t>l</w:t>
      </w:r>
      <w:r w:rsidR="00EA202F" w:rsidRPr="00787AE7">
        <w:rPr>
          <w:rFonts w:ascii="Bookman Old Style" w:hAnsi="Bookman Old Style"/>
          <w:bCs/>
          <w:sz w:val="24"/>
          <w:szCs w:val="24"/>
        </w:rPr>
        <w:t>, comercial, industrial, gas para transportadores, petroquímica, gas natural vehicular comprimido u otros.</w:t>
      </w:r>
      <w:r w:rsidR="00F55FD5" w:rsidRPr="00787AE7">
        <w:rPr>
          <w:rFonts w:ascii="Bookman Old Style" w:hAnsi="Bookman Old Style"/>
          <w:bCs/>
          <w:sz w:val="24"/>
          <w:szCs w:val="24"/>
        </w:rPr>
        <w:t xml:space="preserve"> </w:t>
      </w:r>
    </w:p>
    <w:p w:rsidR="00C445D0" w:rsidRPr="00787AE7" w:rsidRDefault="00C445D0" w:rsidP="00C445D0">
      <w:pPr>
        <w:autoSpaceDE w:val="0"/>
        <w:autoSpaceDN w:val="0"/>
        <w:adjustRightInd w:val="0"/>
        <w:jc w:val="both"/>
        <w:rPr>
          <w:rFonts w:ascii="Bookman Old Style" w:hAnsi="Bookman Old Style"/>
          <w:bCs/>
          <w:color w:val="000000" w:themeColor="text1"/>
        </w:rPr>
      </w:pPr>
    </w:p>
    <w:p w:rsidR="00C445D0" w:rsidRPr="00787AE7" w:rsidRDefault="00C445D0" w:rsidP="00C445D0">
      <w:pPr>
        <w:pStyle w:val="Prrafodelista"/>
        <w:numPr>
          <w:ilvl w:val="0"/>
          <w:numId w:val="9"/>
        </w:numPr>
        <w:autoSpaceDE w:val="0"/>
        <w:autoSpaceDN w:val="0"/>
        <w:adjustRightInd w:val="0"/>
        <w:ind w:left="1276"/>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Los </w:t>
      </w:r>
      <w:r w:rsidR="00C7445D" w:rsidRPr="00787AE7">
        <w:rPr>
          <w:rFonts w:ascii="Bookman Old Style" w:hAnsi="Bookman Old Style"/>
          <w:bCs/>
          <w:color w:val="000000" w:themeColor="text1"/>
          <w:sz w:val="24"/>
          <w:szCs w:val="24"/>
        </w:rPr>
        <w:t xml:space="preserve">transportadores </w:t>
      </w:r>
      <w:r w:rsidRPr="00787AE7">
        <w:rPr>
          <w:rFonts w:ascii="Bookman Old Style" w:hAnsi="Bookman Old Style"/>
          <w:bCs/>
          <w:color w:val="000000" w:themeColor="text1"/>
          <w:sz w:val="24"/>
          <w:szCs w:val="24"/>
        </w:rPr>
        <w:t xml:space="preserve">deberán declarar al gestor del mercado la siguiente información de nominación </w:t>
      </w:r>
      <w:r w:rsidR="00C7445D" w:rsidRPr="00787AE7">
        <w:rPr>
          <w:rFonts w:ascii="Bookman Old Style" w:hAnsi="Bookman Old Style"/>
          <w:bCs/>
          <w:color w:val="000000" w:themeColor="text1"/>
          <w:sz w:val="24"/>
          <w:szCs w:val="24"/>
        </w:rPr>
        <w:t xml:space="preserve">para el siguiente </w:t>
      </w:r>
      <w:r w:rsidRPr="00787AE7">
        <w:rPr>
          <w:rFonts w:ascii="Bookman Old Style" w:hAnsi="Bookman Old Style"/>
          <w:bCs/>
          <w:color w:val="000000" w:themeColor="text1"/>
          <w:sz w:val="24"/>
          <w:szCs w:val="24"/>
        </w:rPr>
        <w:t xml:space="preserve">día de gas, antes de las </w:t>
      </w:r>
      <w:r w:rsidR="00EA202F" w:rsidRPr="00787AE7">
        <w:rPr>
          <w:rFonts w:ascii="Bookman Old Style" w:hAnsi="Bookman Old Style"/>
          <w:bCs/>
          <w:color w:val="000000" w:themeColor="text1"/>
          <w:sz w:val="24"/>
          <w:szCs w:val="24"/>
        </w:rPr>
        <w:t>20:20</w:t>
      </w:r>
      <w:r w:rsidR="006B204A" w:rsidRPr="00787AE7">
        <w:rPr>
          <w:rFonts w:ascii="Bookman Old Style" w:hAnsi="Bookman Old Style"/>
          <w:bCs/>
          <w:color w:val="000000" w:themeColor="text1"/>
          <w:sz w:val="24"/>
          <w:szCs w:val="24"/>
        </w:rPr>
        <w:t xml:space="preserve"> horas </w:t>
      </w:r>
      <w:r w:rsidRPr="00787AE7">
        <w:rPr>
          <w:rFonts w:ascii="Bookman Old Style" w:hAnsi="Bookman Old Style"/>
          <w:bCs/>
          <w:color w:val="000000" w:themeColor="text1"/>
          <w:sz w:val="24"/>
          <w:szCs w:val="24"/>
        </w:rPr>
        <w:t>del día D</w:t>
      </w:r>
      <w:r w:rsidR="00C7445D" w:rsidRPr="00787AE7">
        <w:rPr>
          <w:rFonts w:ascii="Bookman Old Style" w:hAnsi="Bookman Old Style"/>
          <w:bCs/>
          <w:color w:val="000000" w:themeColor="text1"/>
          <w:sz w:val="24"/>
          <w:szCs w:val="24"/>
        </w:rPr>
        <w:t>-</w:t>
      </w:r>
      <w:r w:rsidRPr="00787AE7">
        <w:rPr>
          <w:rFonts w:ascii="Bookman Old Style" w:hAnsi="Bookman Old Style"/>
          <w:bCs/>
          <w:color w:val="000000" w:themeColor="text1"/>
          <w:sz w:val="24"/>
          <w:szCs w:val="24"/>
        </w:rPr>
        <w:t xml:space="preserve">1, </w:t>
      </w:r>
      <w:r w:rsidR="00C7445D" w:rsidRPr="00787AE7">
        <w:rPr>
          <w:rFonts w:ascii="Bookman Old Style" w:hAnsi="Bookman Old Style"/>
          <w:bCs/>
          <w:color w:val="000000" w:themeColor="text1"/>
          <w:sz w:val="24"/>
          <w:szCs w:val="24"/>
        </w:rPr>
        <w:t xml:space="preserve">la cual debe corresponder al nombre y código que el gestor asignó al punto de </w:t>
      </w:r>
      <w:r w:rsidR="0026757F" w:rsidRPr="00787AE7">
        <w:rPr>
          <w:rFonts w:ascii="Bookman Old Style" w:hAnsi="Bookman Old Style"/>
          <w:bCs/>
          <w:color w:val="000000" w:themeColor="text1"/>
          <w:sz w:val="24"/>
          <w:szCs w:val="24"/>
        </w:rPr>
        <w:t xml:space="preserve">inicio </w:t>
      </w:r>
      <w:r w:rsidR="00C7445D" w:rsidRPr="00787AE7">
        <w:rPr>
          <w:rFonts w:ascii="Bookman Old Style" w:hAnsi="Bookman Old Style"/>
          <w:bCs/>
          <w:color w:val="000000" w:themeColor="text1"/>
          <w:sz w:val="24"/>
          <w:szCs w:val="24"/>
        </w:rPr>
        <w:t xml:space="preserve">y </w:t>
      </w:r>
      <w:r w:rsidR="0026757F" w:rsidRPr="00787AE7">
        <w:rPr>
          <w:rFonts w:ascii="Bookman Old Style" w:hAnsi="Bookman Old Style"/>
          <w:bCs/>
          <w:color w:val="000000" w:themeColor="text1"/>
          <w:sz w:val="24"/>
          <w:szCs w:val="24"/>
        </w:rPr>
        <w:t xml:space="preserve">de terminación </w:t>
      </w:r>
      <w:r w:rsidR="00C7445D" w:rsidRPr="00787AE7">
        <w:rPr>
          <w:rFonts w:ascii="Bookman Old Style" w:hAnsi="Bookman Old Style"/>
          <w:bCs/>
          <w:color w:val="000000" w:themeColor="text1"/>
          <w:sz w:val="24"/>
          <w:szCs w:val="24"/>
        </w:rPr>
        <w:t xml:space="preserve">del </w:t>
      </w:r>
      <w:r w:rsidR="0026757F" w:rsidRPr="00787AE7">
        <w:rPr>
          <w:rFonts w:ascii="Bookman Old Style" w:hAnsi="Bookman Old Style"/>
          <w:bCs/>
          <w:color w:val="000000" w:themeColor="text1"/>
          <w:sz w:val="24"/>
          <w:szCs w:val="24"/>
        </w:rPr>
        <w:t xml:space="preserve">servicio de transporte en el </w:t>
      </w:r>
      <w:r w:rsidR="00C7445D" w:rsidRPr="00787AE7">
        <w:rPr>
          <w:rFonts w:ascii="Bookman Old Style" w:hAnsi="Bookman Old Style"/>
          <w:bCs/>
          <w:color w:val="000000" w:themeColor="text1"/>
          <w:sz w:val="24"/>
          <w:szCs w:val="24"/>
        </w:rPr>
        <w:t>SNT, para cada una de sus contrapartes:</w:t>
      </w:r>
    </w:p>
    <w:p w:rsidR="00C445D0" w:rsidRPr="00787AE7" w:rsidRDefault="00C445D0" w:rsidP="00C445D0">
      <w:pPr>
        <w:pStyle w:val="Prrafodelista"/>
        <w:autoSpaceDE w:val="0"/>
        <w:autoSpaceDN w:val="0"/>
        <w:adjustRightInd w:val="0"/>
        <w:ind w:left="1287"/>
        <w:jc w:val="both"/>
        <w:rPr>
          <w:rFonts w:ascii="Bookman Old Style" w:hAnsi="Bookman Old Style"/>
          <w:bCs/>
          <w:color w:val="000000" w:themeColor="text1"/>
          <w:sz w:val="24"/>
          <w:szCs w:val="24"/>
        </w:rPr>
      </w:pPr>
    </w:p>
    <w:p w:rsidR="00BE3006" w:rsidRPr="00787AE7" w:rsidRDefault="00BE3006" w:rsidP="00BE3006">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Código contraparte</w:t>
      </w:r>
      <w:r w:rsidR="00420891" w:rsidRPr="00787AE7">
        <w:rPr>
          <w:rFonts w:ascii="Bookman Old Style" w:hAnsi="Bookman Old Style"/>
          <w:bCs/>
          <w:color w:val="000000" w:themeColor="text1"/>
          <w:sz w:val="24"/>
          <w:szCs w:val="24"/>
        </w:rPr>
        <w:t>.</w:t>
      </w:r>
    </w:p>
    <w:p w:rsidR="00BE3006" w:rsidRPr="00787AE7" w:rsidRDefault="00BE3006" w:rsidP="00BE3006">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Número </w:t>
      </w:r>
      <w:r w:rsidR="00711AA9" w:rsidRPr="00787AE7">
        <w:rPr>
          <w:rFonts w:ascii="Bookman Old Style" w:hAnsi="Bookman Old Style"/>
          <w:bCs/>
          <w:color w:val="000000" w:themeColor="text1"/>
          <w:sz w:val="24"/>
          <w:szCs w:val="24"/>
        </w:rPr>
        <w:t>de operación asignado por el gestor</w:t>
      </w:r>
      <w:r w:rsidR="00420891" w:rsidRPr="00787AE7">
        <w:rPr>
          <w:rFonts w:ascii="Bookman Old Style" w:hAnsi="Bookman Old Style"/>
          <w:bCs/>
          <w:color w:val="000000" w:themeColor="text1"/>
          <w:sz w:val="24"/>
          <w:szCs w:val="24"/>
        </w:rPr>
        <w:t>.</w:t>
      </w:r>
      <w:r w:rsidR="00711AA9" w:rsidRPr="00787AE7">
        <w:rPr>
          <w:rFonts w:ascii="Bookman Old Style" w:hAnsi="Bookman Old Style"/>
          <w:bCs/>
          <w:color w:val="000000" w:themeColor="text1"/>
          <w:sz w:val="24"/>
          <w:szCs w:val="24"/>
        </w:rPr>
        <w:t xml:space="preserve"> </w:t>
      </w:r>
    </w:p>
    <w:p w:rsidR="00BE3006" w:rsidRPr="00787AE7" w:rsidRDefault="0024228D" w:rsidP="00BE3006">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lastRenderedPageBreak/>
        <w:t xml:space="preserve">Nombre </w:t>
      </w:r>
      <w:r w:rsidR="00BE3006" w:rsidRPr="00787AE7">
        <w:rPr>
          <w:rFonts w:ascii="Bookman Old Style" w:hAnsi="Bookman Old Style"/>
          <w:bCs/>
          <w:color w:val="000000" w:themeColor="text1"/>
          <w:sz w:val="24"/>
          <w:szCs w:val="24"/>
        </w:rPr>
        <w:t>de</w:t>
      </w:r>
      <w:r w:rsidRPr="00787AE7">
        <w:rPr>
          <w:rFonts w:ascii="Bookman Old Style" w:hAnsi="Bookman Old Style"/>
          <w:bCs/>
          <w:color w:val="000000" w:themeColor="text1"/>
          <w:sz w:val="24"/>
          <w:szCs w:val="24"/>
        </w:rPr>
        <w:t xml:space="preserve">l punto de </w:t>
      </w:r>
      <w:r w:rsidR="00C40B22" w:rsidRPr="00787AE7">
        <w:rPr>
          <w:rFonts w:ascii="Bookman Old Style" w:hAnsi="Bookman Old Style"/>
          <w:bCs/>
          <w:color w:val="000000" w:themeColor="text1"/>
          <w:sz w:val="24"/>
          <w:szCs w:val="24"/>
        </w:rPr>
        <w:t>entrada o de transferencia entre transportadores donde el transportador recibe el gas</w:t>
      </w:r>
      <w:r w:rsidR="00420891" w:rsidRPr="00787AE7">
        <w:rPr>
          <w:rFonts w:ascii="Bookman Old Style" w:hAnsi="Bookman Old Style"/>
          <w:bCs/>
          <w:color w:val="000000" w:themeColor="text1"/>
          <w:sz w:val="24"/>
          <w:szCs w:val="24"/>
        </w:rPr>
        <w:t>.</w:t>
      </w:r>
      <w:r w:rsidR="00BE3006" w:rsidRPr="00787AE7">
        <w:rPr>
          <w:rFonts w:ascii="Bookman Old Style" w:hAnsi="Bookman Old Style"/>
          <w:bCs/>
          <w:color w:val="000000" w:themeColor="text1"/>
          <w:sz w:val="24"/>
          <w:szCs w:val="24"/>
        </w:rPr>
        <w:t xml:space="preserve"> </w:t>
      </w:r>
    </w:p>
    <w:p w:rsidR="00BE3006" w:rsidRPr="00787AE7" w:rsidRDefault="0024228D" w:rsidP="00BE3006">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Nombre del p</w:t>
      </w:r>
      <w:r w:rsidR="00BE3006" w:rsidRPr="00787AE7">
        <w:rPr>
          <w:rFonts w:ascii="Bookman Old Style" w:hAnsi="Bookman Old Style"/>
          <w:bCs/>
          <w:color w:val="000000" w:themeColor="text1"/>
          <w:sz w:val="24"/>
          <w:szCs w:val="24"/>
        </w:rPr>
        <w:t xml:space="preserve">unto de </w:t>
      </w:r>
      <w:r w:rsidR="00C40B22" w:rsidRPr="00787AE7">
        <w:rPr>
          <w:rFonts w:ascii="Bookman Old Style" w:hAnsi="Bookman Old Style"/>
          <w:bCs/>
          <w:color w:val="000000" w:themeColor="text1"/>
          <w:sz w:val="24"/>
          <w:szCs w:val="24"/>
        </w:rPr>
        <w:t>salida o de transferencia entre transportadores donde el transportador entrega el gas</w:t>
      </w:r>
      <w:r w:rsidR="00420891" w:rsidRPr="00787AE7">
        <w:rPr>
          <w:rFonts w:ascii="Bookman Old Style" w:hAnsi="Bookman Old Style"/>
          <w:bCs/>
          <w:color w:val="000000" w:themeColor="text1"/>
          <w:sz w:val="24"/>
          <w:szCs w:val="24"/>
        </w:rPr>
        <w:t>.</w:t>
      </w:r>
      <w:r w:rsidR="00BE3006" w:rsidRPr="00787AE7">
        <w:rPr>
          <w:rFonts w:ascii="Bookman Old Style" w:hAnsi="Bookman Old Style"/>
          <w:bCs/>
          <w:color w:val="000000" w:themeColor="text1"/>
          <w:sz w:val="24"/>
          <w:szCs w:val="24"/>
        </w:rPr>
        <w:t xml:space="preserve"> </w:t>
      </w:r>
    </w:p>
    <w:p w:rsidR="00E27F6E" w:rsidRPr="00787AE7" w:rsidRDefault="00E27F6E"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Destino del gas contratado: Costa, interior, zona aislada en costa o interior</w:t>
      </w:r>
      <w:r w:rsidR="00420891" w:rsidRPr="00787AE7">
        <w:rPr>
          <w:rFonts w:ascii="Bookman Old Style" w:hAnsi="Bookman Old Style"/>
          <w:bCs/>
          <w:color w:val="000000" w:themeColor="text1"/>
          <w:sz w:val="24"/>
          <w:szCs w:val="24"/>
        </w:rPr>
        <w:t>.</w:t>
      </w:r>
    </w:p>
    <w:p w:rsidR="00C445D0" w:rsidRPr="00787AE7" w:rsidRDefault="00C7445D" w:rsidP="00C445D0">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Cantidad de energía </w:t>
      </w:r>
      <w:r w:rsidR="00711AA9" w:rsidRPr="00787AE7">
        <w:rPr>
          <w:rFonts w:ascii="Bookman Old Style" w:hAnsi="Bookman Old Style"/>
          <w:bCs/>
          <w:color w:val="000000" w:themeColor="text1"/>
          <w:sz w:val="24"/>
          <w:szCs w:val="24"/>
        </w:rPr>
        <w:t xml:space="preserve"> autorizada </w:t>
      </w:r>
      <w:r w:rsidR="00BE3006" w:rsidRPr="00787AE7">
        <w:rPr>
          <w:rFonts w:ascii="Bookman Old Style" w:hAnsi="Bookman Old Style"/>
          <w:bCs/>
          <w:color w:val="000000" w:themeColor="text1"/>
          <w:sz w:val="24"/>
          <w:szCs w:val="24"/>
        </w:rPr>
        <w:t xml:space="preserve">por el transportador al </w:t>
      </w:r>
      <w:r w:rsidRPr="00787AE7">
        <w:rPr>
          <w:rFonts w:ascii="Bookman Old Style" w:hAnsi="Bookman Old Style"/>
          <w:bCs/>
          <w:color w:val="000000" w:themeColor="text1"/>
          <w:sz w:val="24"/>
          <w:szCs w:val="24"/>
        </w:rPr>
        <w:t xml:space="preserve">remitente incluida en el programa de transporte de gas definitivo </w:t>
      </w:r>
      <w:r w:rsidR="00BE3006" w:rsidRPr="00787AE7">
        <w:rPr>
          <w:rFonts w:ascii="Bookman Old Style" w:hAnsi="Bookman Old Style"/>
          <w:bCs/>
          <w:color w:val="000000" w:themeColor="text1"/>
          <w:sz w:val="24"/>
          <w:szCs w:val="24"/>
        </w:rPr>
        <w:t xml:space="preserve">por punto de </w:t>
      </w:r>
      <w:r w:rsidR="00C40B22" w:rsidRPr="00787AE7">
        <w:rPr>
          <w:rFonts w:ascii="Bookman Old Style" w:hAnsi="Bookman Old Style"/>
          <w:bCs/>
          <w:color w:val="000000" w:themeColor="text1"/>
          <w:sz w:val="24"/>
          <w:szCs w:val="24"/>
        </w:rPr>
        <w:t>entrada, de salida o de transferencia</w:t>
      </w:r>
      <w:r w:rsidR="0024228D" w:rsidRPr="00787AE7">
        <w:rPr>
          <w:rFonts w:ascii="Bookman Old Style" w:hAnsi="Bookman Old Style"/>
          <w:bCs/>
          <w:color w:val="000000" w:themeColor="text1"/>
          <w:sz w:val="24"/>
          <w:szCs w:val="24"/>
        </w:rPr>
        <w:t>,</w:t>
      </w:r>
      <w:r w:rsidR="008E2854" w:rsidRPr="00787AE7">
        <w:rPr>
          <w:rFonts w:ascii="Bookman Old Style" w:hAnsi="Bookman Old Style"/>
          <w:bCs/>
          <w:color w:val="000000" w:themeColor="text1"/>
          <w:sz w:val="24"/>
          <w:szCs w:val="24"/>
        </w:rPr>
        <w:t xml:space="preserve"> </w:t>
      </w:r>
      <w:r w:rsidR="006865BE" w:rsidRPr="00787AE7">
        <w:rPr>
          <w:rFonts w:ascii="Bookman Old Style" w:hAnsi="Bookman Old Style"/>
          <w:bCs/>
          <w:color w:val="000000" w:themeColor="text1"/>
          <w:sz w:val="24"/>
          <w:szCs w:val="24"/>
        </w:rPr>
        <w:t xml:space="preserve">expresada </w:t>
      </w:r>
      <w:r w:rsidR="00BE3006" w:rsidRPr="00787AE7">
        <w:rPr>
          <w:rFonts w:ascii="Bookman Old Style" w:hAnsi="Bookman Old Style"/>
          <w:bCs/>
          <w:color w:val="000000" w:themeColor="text1"/>
          <w:sz w:val="24"/>
          <w:szCs w:val="24"/>
        </w:rPr>
        <w:t>en MBTU y su equivalente en KPC</w:t>
      </w:r>
      <w:r w:rsidR="00755D21" w:rsidRPr="00787AE7">
        <w:rPr>
          <w:rFonts w:ascii="Bookman Old Style" w:hAnsi="Bookman Old Style"/>
          <w:bCs/>
          <w:color w:val="000000" w:themeColor="text1"/>
          <w:sz w:val="24"/>
          <w:szCs w:val="24"/>
        </w:rPr>
        <w:t xml:space="preserve">, </w:t>
      </w:r>
      <w:r w:rsidR="00EA202F" w:rsidRPr="00787AE7">
        <w:rPr>
          <w:rFonts w:ascii="Bookman Old Style" w:hAnsi="Bookman Old Style"/>
          <w:bCs/>
          <w:sz w:val="24"/>
          <w:szCs w:val="24"/>
        </w:rPr>
        <w:t>determinada</w:t>
      </w:r>
      <w:r w:rsidR="008E2854" w:rsidRPr="00787AE7">
        <w:rPr>
          <w:rFonts w:ascii="Bookman Old Style" w:hAnsi="Bookman Old Style"/>
          <w:bCs/>
          <w:sz w:val="24"/>
          <w:szCs w:val="24"/>
        </w:rPr>
        <w:t xml:space="preserve"> </w:t>
      </w:r>
      <w:r w:rsidR="00EA202F" w:rsidRPr="00787AE7">
        <w:rPr>
          <w:rFonts w:ascii="Bookman Old Style" w:hAnsi="Bookman Old Style"/>
          <w:bCs/>
          <w:sz w:val="24"/>
          <w:szCs w:val="24"/>
        </w:rPr>
        <w:t>por tipo de demanda no regulada la cual deberá ser desagregada en comercial, industrial, gas para transportadores, petroquímica, refinería, gas natural vehicular comprimido, plantas de generación térmica u otros y demanda regulada la cual deberá ser desagregada en residencia</w:t>
      </w:r>
      <w:r w:rsidR="00E13F66" w:rsidRPr="00787AE7">
        <w:rPr>
          <w:rFonts w:ascii="Bookman Old Style" w:hAnsi="Bookman Old Style"/>
          <w:bCs/>
          <w:sz w:val="24"/>
          <w:szCs w:val="24"/>
        </w:rPr>
        <w:t>l</w:t>
      </w:r>
      <w:r w:rsidR="00EA202F" w:rsidRPr="00787AE7">
        <w:rPr>
          <w:rFonts w:ascii="Bookman Old Style" w:hAnsi="Bookman Old Style"/>
          <w:bCs/>
          <w:sz w:val="24"/>
          <w:szCs w:val="24"/>
        </w:rPr>
        <w:t>, comercial, industrial, gas para transportadores, petroquímica, gas natural vehicular comprimido u otros</w:t>
      </w:r>
      <w:r w:rsidR="00EA202F" w:rsidRPr="00787AE7">
        <w:rPr>
          <w:rFonts w:ascii="Bookman Old Style" w:hAnsi="Bookman Old Style"/>
          <w:bCs/>
          <w:color w:val="000000" w:themeColor="text1"/>
          <w:sz w:val="24"/>
          <w:szCs w:val="24"/>
        </w:rPr>
        <w:t>.</w:t>
      </w:r>
      <w:r w:rsidR="00F55FD5" w:rsidRPr="00787AE7">
        <w:rPr>
          <w:rFonts w:ascii="Bookman Old Style" w:hAnsi="Bookman Old Style"/>
          <w:bCs/>
          <w:color w:val="000000" w:themeColor="text1"/>
          <w:sz w:val="24"/>
          <w:szCs w:val="24"/>
        </w:rPr>
        <w:t xml:space="preserve">  </w:t>
      </w:r>
    </w:p>
    <w:p w:rsidR="001A564D" w:rsidRPr="00787AE7" w:rsidRDefault="001A564D" w:rsidP="001A564D">
      <w:pPr>
        <w:autoSpaceDE w:val="0"/>
        <w:autoSpaceDN w:val="0"/>
        <w:adjustRightInd w:val="0"/>
        <w:jc w:val="both"/>
        <w:rPr>
          <w:rFonts w:ascii="Bookman Old Style" w:hAnsi="Bookman Old Style"/>
          <w:bCs/>
          <w:color w:val="000000" w:themeColor="text1"/>
        </w:rPr>
      </w:pPr>
    </w:p>
    <w:p w:rsidR="001A564D" w:rsidRPr="00787AE7" w:rsidRDefault="001A564D" w:rsidP="001A564D">
      <w:pPr>
        <w:pStyle w:val="Prrafodelista"/>
        <w:numPr>
          <w:ilvl w:val="0"/>
          <w:numId w:val="9"/>
        </w:numPr>
        <w:autoSpaceDE w:val="0"/>
        <w:autoSpaceDN w:val="0"/>
        <w:adjustRightInd w:val="0"/>
        <w:ind w:left="1276"/>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Los transportadores deberán declarar al gestor del mercado la siguiente información de </w:t>
      </w:r>
      <w:r w:rsidR="008E2854" w:rsidRPr="00787AE7">
        <w:rPr>
          <w:rFonts w:ascii="Bookman Old Style" w:hAnsi="Bookman Old Style"/>
          <w:bCs/>
          <w:color w:val="000000" w:themeColor="text1"/>
          <w:sz w:val="24"/>
          <w:szCs w:val="24"/>
        </w:rPr>
        <w:t xml:space="preserve">cada </w:t>
      </w:r>
      <w:proofErr w:type="spellStart"/>
      <w:r w:rsidR="00113B05" w:rsidRPr="00787AE7">
        <w:rPr>
          <w:rFonts w:ascii="Bookman Old Style" w:hAnsi="Bookman Old Style"/>
          <w:bCs/>
          <w:color w:val="000000" w:themeColor="text1"/>
          <w:sz w:val="24"/>
          <w:szCs w:val="24"/>
        </w:rPr>
        <w:t>re</w:t>
      </w:r>
      <w:r w:rsidRPr="00787AE7">
        <w:rPr>
          <w:rFonts w:ascii="Bookman Old Style" w:hAnsi="Bookman Old Style"/>
          <w:bCs/>
          <w:color w:val="000000" w:themeColor="text1"/>
          <w:sz w:val="24"/>
          <w:szCs w:val="24"/>
        </w:rPr>
        <w:t>nominación</w:t>
      </w:r>
      <w:proofErr w:type="spellEnd"/>
      <w:r w:rsidRPr="00787AE7">
        <w:rPr>
          <w:rFonts w:ascii="Bookman Old Style" w:hAnsi="Bookman Old Style"/>
          <w:bCs/>
          <w:color w:val="000000" w:themeColor="text1"/>
          <w:sz w:val="24"/>
          <w:szCs w:val="24"/>
        </w:rPr>
        <w:t xml:space="preserve"> </w:t>
      </w:r>
      <w:r w:rsidR="00113B05" w:rsidRPr="00787AE7">
        <w:rPr>
          <w:rFonts w:ascii="Bookman Old Style" w:hAnsi="Bookman Old Style"/>
          <w:bCs/>
          <w:color w:val="000000" w:themeColor="text1"/>
          <w:sz w:val="24"/>
          <w:szCs w:val="24"/>
        </w:rPr>
        <w:t xml:space="preserve">ocurrida durante el día de gas, </w:t>
      </w:r>
      <w:r w:rsidRPr="00787AE7">
        <w:rPr>
          <w:rFonts w:ascii="Bookman Old Style" w:hAnsi="Bookman Old Style"/>
          <w:bCs/>
          <w:color w:val="000000" w:themeColor="text1"/>
          <w:sz w:val="24"/>
          <w:szCs w:val="24"/>
        </w:rPr>
        <w:t xml:space="preserve">antes de las 12:00 </w:t>
      </w:r>
      <w:r w:rsidR="00113B05" w:rsidRPr="00787AE7">
        <w:rPr>
          <w:rFonts w:ascii="Bookman Old Style" w:hAnsi="Bookman Old Style"/>
          <w:bCs/>
          <w:color w:val="000000" w:themeColor="text1"/>
          <w:sz w:val="24"/>
          <w:szCs w:val="24"/>
        </w:rPr>
        <w:t xml:space="preserve">horas </w:t>
      </w:r>
      <w:r w:rsidRPr="00787AE7">
        <w:rPr>
          <w:rFonts w:ascii="Bookman Old Style" w:hAnsi="Bookman Old Style"/>
          <w:bCs/>
          <w:color w:val="000000" w:themeColor="text1"/>
          <w:sz w:val="24"/>
          <w:szCs w:val="24"/>
        </w:rPr>
        <w:t xml:space="preserve">del día </w:t>
      </w:r>
      <w:r w:rsidR="00EA202F" w:rsidRPr="00787AE7">
        <w:rPr>
          <w:rFonts w:ascii="Bookman Old Style" w:hAnsi="Bookman Old Style"/>
          <w:bCs/>
          <w:color w:val="000000" w:themeColor="text1"/>
          <w:sz w:val="24"/>
          <w:szCs w:val="24"/>
        </w:rPr>
        <w:t>D+1</w:t>
      </w:r>
      <w:r w:rsidRPr="00787AE7">
        <w:rPr>
          <w:rFonts w:ascii="Bookman Old Style" w:hAnsi="Bookman Old Style"/>
          <w:bCs/>
          <w:color w:val="000000" w:themeColor="text1"/>
          <w:sz w:val="24"/>
          <w:szCs w:val="24"/>
        </w:rPr>
        <w:t>, la cual debe corresponder al nombre y código que el gestor asignó al punto de inicio y de terminación del servicio de transporte en el SNT, para cada una de sus contrapartes:</w:t>
      </w:r>
    </w:p>
    <w:p w:rsidR="00113B05" w:rsidRPr="00787AE7" w:rsidRDefault="00113B05" w:rsidP="001A564D">
      <w:pPr>
        <w:pStyle w:val="Prrafodelista"/>
        <w:autoSpaceDE w:val="0"/>
        <w:autoSpaceDN w:val="0"/>
        <w:adjustRightInd w:val="0"/>
        <w:ind w:left="1287"/>
        <w:jc w:val="both"/>
        <w:rPr>
          <w:rFonts w:ascii="Bookman Old Style" w:hAnsi="Bookman Old Style"/>
          <w:bCs/>
          <w:color w:val="000000" w:themeColor="text1"/>
          <w:sz w:val="24"/>
          <w:szCs w:val="24"/>
        </w:rPr>
      </w:pPr>
    </w:p>
    <w:p w:rsidR="001A564D" w:rsidRPr="00787AE7" w:rsidRDefault="001A564D" w:rsidP="001A564D">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Código contraparte</w:t>
      </w:r>
      <w:r w:rsidR="009E4A11" w:rsidRPr="00787AE7">
        <w:rPr>
          <w:rFonts w:ascii="Bookman Old Style" w:hAnsi="Bookman Old Style"/>
          <w:bCs/>
          <w:color w:val="000000" w:themeColor="text1"/>
          <w:sz w:val="24"/>
          <w:szCs w:val="24"/>
        </w:rPr>
        <w:t>.</w:t>
      </w:r>
    </w:p>
    <w:p w:rsidR="001A564D" w:rsidRPr="00787AE7" w:rsidRDefault="001A564D" w:rsidP="001A564D">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Número </w:t>
      </w:r>
      <w:r w:rsidR="008E2854" w:rsidRPr="00787AE7">
        <w:rPr>
          <w:rFonts w:ascii="Bookman Old Style" w:hAnsi="Bookman Old Style"/>
          <w:bCs/>
          <w:color w:val="000000" w:themeColor="text1"/>
          <w:sz w:val="24"/>
          <w:szCs w:val="24"/>
        </w:rPr>
        <w:t>de operación asignado por el gestor</w:t>
      </w:r>
      <w:r w:rsidR="009E4A11" w:rsidRPr="00787AE7">
        <w:rPr>
          <w:rFonts w:ascii="Bookman Old Style" w:hAnsi="Bookman Old Style"/>
          <w:bCs/>
          <w:color w:val="000000" w:themeColor="text1"/>
          <w:sz w:val="24"/>
          <w:szCs w:val="24"/>
        </w:rPr>
        <w:t>.</w:t>
      </w:r>
      <w:r w:rsidR="008E2854" w:rsidRPr="00787AE7">
        <w:rPr>
          <w:rFonts w:ascii="Bookman Old Style" w:hAnsi="Bookman Old Style"/>
          <w:bCs/>
          <w:color w:val="000000" w:themeColor="text1"/>
          <w:sz w:val="24"/>
          <w:szCs w:val="24"/>
        </w:rPr>
        <w:t xml:space="preserve"> </w:t>
      </w:r>
    </w:p>
    <w:p w:rsidR="001A564D" w:rsidRPr="00787AE7" w:rsidRDefault="0024228D" w:rsidP="001A564D">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Nombre </w:t>
      </w:r>
      <w:r w:rsidR="00C40B22" w:rsidRPr="00787AE7">
        <w:rPr>
          <w:rFonts w:ascii="Bookman Old Style" w:hAnsi="Bookman Old Style"/>
          <w:bCs/>
          <w:color w:val="000000" w:themeColor="text1"/>
          <w:sz w:val="24"/>
          <w:szCs w:val="24"/>
        </w:rPr>
        <w:t>del punto de entrada o de transferencia entre transportadores donde el transportador recibe el gas</w:t>
      </w:r>
      <w:r w:rsidR="009E4A11" w:rsidRPr="00787AE7">
        <w:rPr>
          <w:rFonts w:ascii="Bookman Old Style" w:hAnsi="Bookman Old Style"/>
          <w:bCs/>
          <w:color w:val="000000" w:themeColor="text1"/>
          <w:sz w:val="24"/>
          <w:szCs w:val="24"/>
        </w:rPr>
        <w:t>.</w:t>
      </w:r>
      <w:r w:rsidR="001A564D" w:rsidRPr="00787AE7">
        <w:rPr>
          <w:rFonts w:ascii="Bookman Old Style" w:hAnsi="Bookman Old Style"/>
          <w:bCs/>
          <w:color w:val="000000" w:themeColor="text1"/>
          <w:sz w:val="24"/>
          <w:szCs w:val="24"/>
        </w:rPr>
        <w:t xml:space="preserve"> </w:t>
      </w:r>
    </w:p>
    <w:p w:rsidR="001A564D" w:rsidRPr="00787AE7" w:rsidRDefault="0024228D" w:rsidP="001A564D">
      <w:pPr>
        <w:pStyle w:val="Prrafodelista"/>
        <w:numPr>
          <w:ilvl w:val="0"/>
          <w:numId w:val="8"/>
        </w:numPr>
        <w:autoSpaceDE w:val="0"/>
        <w:autoSpaceDN w:val="0"/>
        <w:adjustRightInd w:val="0"/>
        <w:ind w:left="1701"/>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Nombre del p</w:t>
      </w:r>
      <w:r w:rsidR="001A564D" w:rsidRPr="00787AE7">
        <w:rPr>
          <w:rFonts w:ascii="Bookman Old Style" w:hAnsi="Bookman Old Style"/>
          <w:bCs/>
          <w:color w:val="000000" w:themeColor="text1"/>
          <w:sz w:val="24"/>
          <w:szCs w:val="24"/>
        </w:rPr>
        <w:t xml:space="preserve">unto </w:t>
      </w:r>
      <w:r w:rsidR="00C40B22" w:rsidRPr="00787AE7">
        <w:rPr>
          <w:rFonts w:ascii="Bookman Old Style" w:hAnsi="Bookman Old Style"/>
          <w:bCs/>
          <w:color w:val="000000" w:themeColor="text1"/>
          <w:sz w:val="24"/>
          <w:szCs w:val="24"/>
        </w:rPr>
        <w:t>de salida o de transferencia entre transportadores donde el transportador entrega el gas</w:t>
      </w:r>
      <w:r w:rsidR="009E4A11" w:rsidRPr="00787AE7">
        <w:rPr>
          <w:rFonts w:ascii="Bookman Old Style" w:hAnsi="Bookman Old Style"/>
          <w:bCs/>
          <w:color w:val="000000" w:themeColor="text1"/>
          <w:sz w:val="24"/>
          <w:szCs w:val="24"/>
        </w:rPr>
        <w:t>.</w:t>
      </w:r>
      <w:r w:rsidR="001A564D" w:rsidRPr="00787AE7">
        <w:rPr>
          <w:rFonts w:ascii="Bookman Old Style" w:hAnsi="Bookman Old Style"/>
          <w:bCs/>
          <w:color w:val="000000" w:themeColor="text1"/>
          <w:sz w:val="24"/>
          <w:szCs w:val="24"/>
        </w:rPr>
        <w:t xml:space="preserve"> </w:t>
      </w:r>
    </w:p>
    <w:p w:rsidR="00E27F6E" w:rsidRPr="00787AE7" w:rsidRDefault="00E27F6E" w:rsidP="001A564D">
      <w:pPr>
        <w:pStyle w:val="Prrafodelista"/>
        <w:numPr>
          <w:ilvl w:val="0"/>
          <w:numId w:val="8"/>
        </w:numPr>
        <w:autoSpaceDE w:val="0"/>
        <w:autoSpaceDN w:val="0"/>
        <w:adjustRightInd w:val="0"/>
        <w:ind w:left="1701"/>
        <w:jc w:val="both"/>
        <w:rPr>
          <w:rFonts w:cs="Arial"/>
          <w:color w:val="000000" w:themeColor="text1"/>
        </w:rPr>
      </w:pPr>
      <w:r w:rsidRPr="00787AE7">
        <w:rPr>
          <w:rFonts w:ascii="Bookman Old Style" w:hAnsi="Bookman Old Style"/>
          <w:bCs/>
          <w:color w:val="000000" w:themeColor="text1"/>
          <w:sz w:val="24"/>
          <w:szCs w:val="24"/>
        </w:rPr>
        <w:t>Destino del gas contratado: Costa, interior, zona aislada en costa o interior</w:t>
      </w:r>
      <w:r w:rsidR="009E4A11" w:rsidRPr="00787AE7">
        <w:rPr>
          <w:rFonts w:ascii="Bookman Old Style" w:hAnsi="Bookman Old Style"/>
          <w:bCs/>
          <w:color w:val="000000" w:themeColor="text1"/>
          <w:sz w:val="24"/>
          <w:szCs w:val="24"/>
        </w:rPr>
        <w:t>.</w:t>
      </w:r>
    </w:p>
    <w:p w:rsidR="007E57D1" w:rsidRPr="00787AE7" w:rsidRDefault="007E57D1" w:rsidP="001A564D">
      <w:pPr>
        <w:pStyle w:val="Prrafodelista"/>
        <w:numPr>
          <w:ilvl w:val="0"/>
          <w:numId w:val="8"/>
        </w:numPr>
        <w:autoSpaceDE w:val="0"/>
        <w:autoSpaceDN w:val="0"/>
        <w:adjustRightInd w:val="0"/>
        <w:ind w:left="1701"/>
        <w:jc w:val="both"/>
        <w:rPr>
          <w:rFonts w:cs="Arial"/>
          <w:color w:val="000000" w:themeColor="text1"/>
        </w:rPr>
      </w:pPr>
      <w:r w:rsidRPr="00787AE7">
        <w:rPr>
          <w:rFonts w:ascii="Bookman Old Style" w:hAnsi="Bookman Old Style"/>
          <w:bCs/>
          <w:color w:val="000000" w:themeColor="text1"/>
          <w:sz w:val="24"/>
          <w:szCs w:val="24"/>
        </w:rPr>
        <w:t xml:space="preserve">Hora en la cual el transportador recibió la </w:t>
      </w:r>
      <w:proofErr w:type="spellStart"/>
      <w:r w:rsidRPr="00787AE7">
        <w:rPr>
          <w:rFonts w:ascii="Bookman Old Style" w:hAnsi="Bookman Old Style"/>
          <w:bCs/>
          <w:color w:val="000000" w:themeColor="text1"/>
          <w:sz w:val="24"/>
          <w:szCs w:val="24"/>
        </w:rPr>
        <w:t>renominación</w:t>
      </w:r>
      <w:proofErr w:type="spellEnd"/>
      <w:r w:rsidRPr="00787AE7">
        <w:rPr>
          <w:rFonts w:ascii="Bookman Old Style" w:hAnsi="Bookman Old Style"/>
          <w:bCs/>
          <w:color w:val="000000" w:themeColor="text1"/>
          <w:sz w:val="24"/>
          <w:szCs w:val="24"/>
        </w:rPr>
        <w:t>.</w:t>
      </w:r>
    </w:p>
    <w:p w:rsidR="001A564D" w:rsidRPr="00787AE7" w:rsidRDefault="001A564D" w:rsidP="001A564D">
      <w:pPr>
        <w:pStyle w:val="Prrafodelista"/>
        <w:numPr>
          <w:ilvl w:val="0"/>
          <w:numId w:val="8"/>
        </w:numPr>
        <w:autoSpaceDE w:val="0"/>
        <w:autoSpaceDN w:val="0"/>
        <w:adjustRightInd w:val="0"/>
        <w:ind w:left="1701"/>
        <w:jc w:val="both"/>
        <w:rPr>
          <w:rFonts w:cs="Arial"/>
          <w:color w:val="000000" w:themeColor="text1"/>
        </w:rPr>
      </w:pPr>
      <w:r w:rsidRPr="00787AE7">
        <w:rPr>
          <w:rFonts w:ascii="Bookman Old Style" w:hAnsi="Bookman Old Style"/>
          <w:bCs/>
          <w:color w:val="000000" w:themeColor="text1"/>
          <w:sz w:val="24"/>
          <w:szCs w:val="24"/>
        </w:rPr>
        <w:t>Cantidad de energía autorizada por el transportador al remitente incluida en el programa de transporte de gas definitivo</w:t>
      </w:r>
      <w:r w:rsidR="00113B05" w:rsidRPr="00787AE7">
        <w:rPr>
          <w:rFonts w:ascii="Bookman Old Style" w:hAnsi="Bookman Old Style"/>
          <w:bCs/>
          <w:color w:val="000000" w:themeColor="text1"/>
          <w:sz w:val="24"/>
          <w:szCs w:val="24"/>
        </w:rPr>
        <w:t xml:space="preserve"> (dato final después de la </w:t>
      </w:r>
      <w:proofErr w:type="spellStart"/>
      <w:r w:rsidR="00113B05" w:rsidRPr="00787AE7">
        <w:rPr>
          <w:rFonts w:ascii="Bookman Old Style" w:hAnsi="Bookman Old Style"/>
          <w:bCs/>
          <w:color w:val="000000" w:themeColor="text1"/>
          <w:sz w:val="24"/>
          <w:szCs w:val="24"/>
        </w:rPr>
        <w:t>renominación</w:t>
      </w:r>
      <w:proofErr w:type="spellEnd"/>
      <w:r w:rsidR="00113B05" w:rsidRPr="00787AE7">
        <w:rPr>
          <w:rFonts w:ascii="Bookman Old Style" w:hAnsi="Bookman Old Style"/>
          <w:bCs/>
          <w:color w:val="000000" w:themeColor="text1"/>
          <w:sz w:val="24"/>
          <w:szCs w:val="24"/>
        </w:rPr>
        <w:t>) para el día de gas</w:t>
      </w:r>
      <w:r w:rsidRPr="00787AE7">
        <w:rPr>
          <w:rFonts w:ascii="Bookman Old Style" w:hAnsi="Bookman Old Style"/>
          <w:bCs/>
          <w:color w:val="000000" w:themeColor="text1"/>
          <w:sz w:val="24"/>
          <w:szCs w:val="24"/>
        </w:rPr>
        <w:t xml:space="preserve"> por punto de </w:t>
      </w:r>
      <w:r w:rsidR="00C40B22" w:rsidRPr="00787AE7">
        <w:rPr>
          <w:rFonts w:ascii="Bookman Old Style" w:hAnsi="Bookman Old Style"/>
          <w:bCs/>
          <w:color w:val="000000" w:themeColor="text1"/>
          <w:sz w:val="24"/>
          <w:szCs w:val="24"/>
        </w:rPr>
        <w:t>entrada, de salida o de transferencia</w:t>
      </w:r>
      <w:r w:rsidR="0024228D" w:rsidRPr="00787AE7">
        <w:rPr>
          <w:rFonts w:ascii="Bookman Old Style" w:hAnsi="Bookman Old Style"/>
          <w:bCs/>
          <w:color w:val="000000" w:themeColor="text1"/>
          <w:sz w:val="24"/>
          <w:szCs w:val="24"/>
        </w:rPr>
        <w:t xml:space="preserve">, expresada en </w:t>
      </w:r>
      <w:r w:rsidRPr="00787AE7">
        <w:rPr>
          <w:rFonts w:ascii="Bookman Old Style" w:hAnsi="Bookman Old Style"/>
          <w:bCs/>
          <w:color w:val="000000" w:themeColor="text1"/>
          <w:sz w:val="24"/>
          <w:szCs w:val="24"/>
        </w:rPr>
        <w:t>MBTU y su equivalente en KPC</w:t>
      </w:r>
      <w:r w:rsidR="00755D21" w:rsidRPr="00787AE7">
        <w:rPr>
          <w:rFonts w:ascii="Bookman Old Style" w:hAnsi="Bookman Old Style"/>
          <w:bCs/>
          <w:color w:val="000000" w:themeColor="text1"/>
          <w:sz w:val="24"/>
          <w:szCs w:val="24"/>
        </w:rPr>
        <w:t xml:space="preserve">, </w:t>
      </w:r>
      <w:r w:rsidR="00EA202F" w:rsidRPr="00787AE7">
        <w:rPr>
          <w:rFonts w:ascii="Bookman Old Style" w:hAnsi="Bookman Old Style"/>
          <w:bCs/>
          <w:sz w:val="24"/>
          <w:szCs w:val="24"/>
        </w:rPr>
        <w:t>determinada</w:t>
      </w:r>
      <w:r w:rsidR="008E2854" w:rsidRPr="00787AE7">
        <w:rPr>
          <w:rFonts w:ascii="Bookman Old Style" w:hAnsi="Bookman Old Style"/>
          <w:bCs/>
          <w:sz w:val="24"/>
          <w:szCs w:val="24"/>
        </w:rPr>
        <w:t xml:space="preserve"> </w:t>
      </w:r>
      <w:r w:rsidR="00EA202F" w:rsidRPr="00787AE7">
        <w:rPr>
          <w:rFonts w:ascii="Bookman Old Style" w:hAnsi="Bookman Old Style"/>
          <w:bCs/>
          <w:sz w:val="24"/>
          <w:szCs w:val="24"/>
        </w:rPr>
        <w:t>por tipo de demanda no regulada la cual deberá ser desagregada en comercial, industrial, gas para transportadores, petroquímica, refinería, gas natural vehicular comprimido, plantas de generación térmica u otros y demanda regulada la cual deberá ser desagregada en residencia</w:t>
      </w:r>
      <w:r w:rsidR="00E13F66" w:rsidRPr="00787AE7">
        <w:rPr>
          <w:rFonts w:ascii="Bookman Old Style" w:hAnsi="Bookman Old Style"/>
          <w:bCs/>
          <w:sz w:val="24"/>
          <w:szCs w:val="24"/>
        </w:rPr>
        <w:t>l</w:t>
      </w:r>
      <w:r w:rsidR="00EA202F" w:rsidRPr="00787AE7">
        <w:rPr>
          <w:rFonts w:ascii="Bookman Old Style" w:hAnsi="Bookman Old Style"/>
          <w:bCs/>
          <w:sz w:val="24"/>
          <w:szCs w:val="24"/>
        </w:rPr>
        <w:t>, comercial, industrial, gas para transportadores, petroquímica, gas natural vehicular comprimido u otros</w:t>
      </w:r>
      <w:r w:rsidR="009E4A11" w:rsidRPr="00787AE7">
        <w:rPr>
          <w:rFonts w:ascii="Bookman Old Style" w:hAnsi="Bookman Old Style"/>
          <w:bCs/>
          <w:color w:val="000000" w:themeColor="text1"/>
          <w:sz w:val="24"/>
          <w:szCs w:val="24"/>
        </w:rPr>
        <w:t>.</w:t>
      </w:r>
      <w:r w:rsidR="00F55FD5" w:rsidRPr="00787AE7">
        <w:rPr>
          <w:rFonts w:ascii="Bookman Old Style" w:hAnsi="Bookman Old Style"/>
          <w:bCs/>
          <w:color w:val="000000" w:themeColor="text1"/>
          <w:sz w:val="24"/>
          <w:szCs w:val="24"/>
        </w:rPr>
        <w:t xml:space="preserve"> </w:t>
      </w:r>
    </w:p>
    <w:p w:rsidR="001A564D" w:rsidRPr="00787AE7" w:rsidRDefault="001A564D" w:rsidP="00BA4023">
      <w:pPr>
        <w:pStyle w:val="ARTICULOS"/>
        <w:numPr>
          <w:ilvl w:val="0"/>
          <w:numId w:val="0"/>
        </w:numPr>
        <w:tabs>
          <w:tab w:val="left" w:pos="1560"/>
        </w:tabs>
        <w:rPr>
          <w:rFonts w:cs="Arial"/>
          <w:color w:val="000000" w:themeColor="text1"/>
          <w:lang w:val="es-CO"/>
        </w:rPr>
      </w:pPr>
    </w:p>
    <w:p w:rsidR="004C7AF1" w:rsidRDefault="004C7AF1" w:rsidP="00BA4023">
      <w:pPr>
        <w:pStyle w:val="ARTICULOS"/>
        <w:numPr>
          <w:ilvl w:val="0"/>
          <w:numId w:val="0"/>
        </w:numPr>
        <w:tabs>
          <w:tab w:val="left" w:pos="1560"/>
        </w:tabs>
        <w:rPr>
          <w:rFonts w:cs="Arial"/>
          <w:color w:val="000000" w:themeColor="text1"/>
          <w:lang w:val="es-ES"/>
        </w:rPr>
      </w:pPr>
      <w:r w:rsidRPr="00787AE7">
        <w:rPr>
          <w:rFonts w:cs="Arial"/>
          <w:color w:val="000000" w:themeColor="text1"/>
          <w:lang w:val="es-ES"/>
        </w:rPr>
        <w:t>El gestor del mercado definirá el medio y los formatos para la declaración de la información señalada en este literal”.</w:t>
      </w:r>
    </w:p>
    <w:p w:rsidR="00457950" w:rsidRDefault="00457950" w:rsidP="00BA4023">
      <w:pPr>
        <w:pStyle w:val="ARTICULOS"/>
        <w:numPr>
          <w:ilvl w:val="0"/>
          <w:numId w:val="0"/>
        </w:numPr>
        <w:tabs>
          <w:tab w:val="left" w:pos="1560"/>
        </w:tabs>
        <w:rPr>
          <w:rFonts w:cs="Arial"/>
          <w:color w:val="000000" w:themeColor="text1"/>
          <w:lang w:val="es-ES"/>
        </w:rPr>
      </w:pPr>
    </w:p>
    <w:p w:rsidR="00457950" w:rsidRDefault="00457950" w:rsidP="00BA4023">
      <w:pPr>
        <w:pStyle w:val="ARTICULOS"/>
        <w:numPr>
          <w:ilvl w:val="0"/>
          <w:numId w:val="0"/>
        </w:numPr>
        <w:tabs>
          <w:tab w:val="left" w:pos="1560"/>
        </w:tabs>
        <w:rPr>
          <w:rFonts w:cs="Arial"/>
          <w:color w:val="000000" w:themeColor="text1"/>
          <w:lang w:val="es-ES"/>
        </w:rPr>
      </w:pPr>
    </w:p>
    <w:p w:rsidR="00457950" w:rsidRPr="00787AE7" w:rsidRDefault="00457950" w:rsidP="00BA4023">
      <w:pPr>
        <w:pStyle w:val="ARTICULOS"/>
        <w:numPr>
          <w:ilvl w:val="0"/>
          <w:numId w:val="0"/>
        </w:numPr>
        <w:tabs>
          <w:tab w:val="left" w:pos="1560"/>
        </w:tabs>
        <w:rPr>
          <w:rFonts w:cs="Arial"/>
          <w:color w:val="000000" w:themeColor="text1"/>
          <w:lang w:val="es-CO"/>
        </w:rPr>
      </w:pPr>
    </w:p>
    <w:p w:rsidR="004C7AF1" w:rsidRPr="00787AE7" w:rsidRDefault="004C7AF1" w:rsidP="00BA4023">
      <w:pPr>
        <w:pStyle w:val="ARTICULOS"/>
        <w:numPr>
          <w:ilvl w:val="0"/>
          <w:numId w:val="0"/>
        </w:numPr>
        <w:tabs>
          <w:tab w:val="left" w:pos="1560"/>
        </w:tabs>
        <w:rPr>
          <w:rFonts w:cs="Arial"/>
          <w:color w:val="000000" w:themeColor="text1"/>
          <w:lang w:val="es-CO"/>
        </w:rPr>
      </w:pPr>
    </w:p>
    <w:p w:rsidR="004F576F" w:rsidRPr="00787AE7" w:rsidRDefault="00806F29" w:rsidP="004F576F">
      <w:pPr>
        <w:pStyle w:val="ARTICULOS"/>
        <w:tabs>
          <w:tab w:val="left" w:pos="1560"/>
        </w:tabs>
        <w:ind w:left="0" w:firstLine="0"/>
        <w:rPr>
          <w:rFonts w:cs="Arial"/>
          <w:color w:val="000000" w:themeColor="text1"/>
          <w:lang w:val="es-CO"/>
        </w:rPr>
      </w:pPr>
      <w:bookmarkStart w:id="1" w:name="_Ref330309365"/>
      <w:r w:rsidRPr="00787AE7">
        <w:rPr>
          <w:rFonts w:cs="Arial"/>
          <w:b/>
          <w:color w:val="000000" w:themeColor="text1"/>
          <w:lang w:val="es-ES"/>
        </w:rPr>
        <w:t xml:space="preserve">Adiciónese </w:t>
      </w:r>
      <w:r w:rsidR="004F576F" w:rsidRPr="00787AE7">
        <w:rPr>
          <w:rFonts w:cs="Arial"/>
          <w:b/>
          <w:color w:val="000000" w:themeColor="text1"/>
          <w:lang w:val="es-ES"/>
        </w:rPr>
        <w:t xml:space="preserve">el </w:t>
      </w:r>
      <w:r w:rsidR="001B7C19" w:rsidRPr="00787AE7">
        <w:rPr>
          <w:rFonts w:cs="Arial"/>
          <w:b/>
          <w:color w:val="000000" w:themeColor="text1"/>
          <w:lang w:val="es-ES"/>
        </w:rPr>
        <w:t xml:space="preserve">literal </w:t>
      </w:r>
      <w:r w:rsidR="006E7479" w:rsidRPr="00787AE7">
        <w:rPr>
          <w:rFonts w:cs="Arial"/>
          <w:b/>
          <w:color w:val="000000" w:themeColor="text1"/>
          <w:lang w:val="es-ES"/>
        </w:rPr>
        <w:t>f</w:t>
      </w:r>
      <w:r w:rsidR="001B7C19" w:rsidRPr="00787AE7">
        <w:rPr>
          <w:rFonts w:cs="Arial"/>
          <w:b/>
          <w:color w:val="000000" w:themeColor="text1"/>
          <w:lang w:val="es-ES"/>
        </w:rPr>
        <w:t xml:space="preserve">) al </w:t>
      </w:r>
      <w:r w:rsidR="004F576F" w:rsidRPr="00787AE7">
        <w:rPr>
          <w:rFonts w:cs="Arial"/>
          <w:b/>
          <w:color w:val="000000" w:themeColor="text1"/>
          <w:lang w:val="es-ES"/>
        </w:rPr>
        <w:t xml:space="preserve">numeral </w:t>
      </w:r>
      <w:r w:rsidR="0094740B" w:rsidRPr="00787AE7">
        <w:rPr>
          <w:rFonts w:cs="Arial"/>
          <w:b/>
          <w:color w:val="000000" w:themeColor="text1"/>
          <w:lang w:val="es-ES"/>
        </w:rPr>
        <w:t>4.</w:t>
      </w:r>
      <w:r w:rsidR="001B7C19" w:rsidRPr="00787AE7">
        <w:rPr>
          <w:rFonts w:cs="Arial"/>
          <w:b/>
          <w:color w:val="000000" w:themeColor="text1"/>
          <w:lang w:val="es-ES"/>
        </w:rPr>
        <w:t>1</w:t>
      </w:r>
      <w:r w:rsidR="0094740B" w:rsidRPr="00787AE7">
        <w:rPr>
          <w:rFonts w:cs="Arial"/>
          <w:b/>
          <w:color w:val="000000" w:themeColor="text1"/>
          <w:lang w:val="es-ES"/>
        </w:rPr>
        <w:t xml:space="preserve"> de</w:t>
      </w:r>
      <w:r w:rsidR="004F576F" w:rsidRPr="00787AE7">
        <w:rPr>
          <w:rFonts w:cs="Arial"/>
          <w:b/>
          <w:color w:val="000000" w:themeColor="text1"/>
          <w:lang w:val="es-ES"/>
        </w:rPr>
        <w:t>l Anexo 2 de la Resolución CREG 089 de 2013</w:t>
      </w:r>
      <w:r w:rsidR="00CD5DB7" w:rsidRPr="00787AE7">
        <w:rPr>
          <w:rFonts w:cs="Arial"/>
          <w:b/>
          <w:color w:val="000000" w:themeColor="text1"/>
          <w:lang w:val="es-ES"/>
        </w:rPr>
        <w:t>.</w:t>
      </w:r>
      <w:bookmarkEnd w:id="1"/>
      <w:r w:rsidR="008E2854" w:rsidRPr="00787AE7">
        <w:rPr>
          <w:rFonts w:cs="Arial"/>
          <w:b/>
          <w:color w:val="000000" w:themeColor="text1"/>
          <w:lang w:val="es-ES"/>
        </w:rPr>
        <w:t xml:space="preserve"> </w:t>
      </w:r>
      <w:r w:rsidR="004F576F" w:rsidRPr="00787AE7">
        <w:rPr>
          <w:rFonts w:cs="Arial"/>
          <w:color w:val="000000" w:themeColor="text1"/>
          <w:lang w:val="es-CO"/>
        </w:rPr>
        <w:t>El</w:t>
      </w:r>
      <w:r w:rsidR="008E2854" w:rsidRPr="00787AE7">
        <w:rPr>
          <w:rFonts w:cs="Arial"/>
          <w:color w:val="000000" w:themeColor="text1"/>
          <w:lang w:val="es-CO"/>
        </w:rPr>
        <w:t xml:space="preserve"> </w:t>
      </w:r>
      <w:r w:rsidR="001B7C19" w:rsidRPr="00787AE7">
        <w:rPr>
          <w:rFonts w:cs="Arial"/>
          <w:color w:val="000000" w:themeColor="text1"/>
          <w:lang w:val="es-CO"/>
        </w:rPr>
        <w:t xml:space="preserve">literal </w:t>
      </w:r>
      <w:r w:rsidR="004A7271" w:rsidRPr="00787AE7">
        <w:rPr>
          <w:rFonts w:cs="Arial"/>
          <w:color w:val="000000" w:themeColor="text1"/>
          <w:lang w:val="es-CO"/>
        </w:rPr>
        <w:t>f</w:t>
      </w:r>
      <w:r w:rsidR="001B7C19" w:rsidRPr="00787AE7">
        <w:rPr>
          <w:rFonts w:cs="Arial"/>
          <w:color w:val="000000" w:themeColor="text1"/>
          <w:lang w:val="es-CO"/>
        </w:rPr>
        <w:t>) del numeral 4.1</w:t>
      </w:r>
      <w:r w:rsidR="004F576F" w:rsidRPr="00787AE7">
        <w:rPr>
          <w:rFonts w:cs="Arial"/>
          <w:color w:val="000000" w:themeColor="text1"/>
          <w:lang w:val="es-CO"/>
        </w:rPr>
        <w:t xml:space="preserve"> del Anexo 2 de la Resolución CREG 089 de 2013 quedará así:</w:t>
      </w:r>
    </w:p>
    <w:p w:rsidR="001B7C19" w:rsidRPr="00787AE7" w:rsidRDefault="001B7C19" w:rsidP="001B7C19">
      <w:pPr>
        <w:pStyle w:val="ARTICULOS"/>
        <w:numPr>
          <w:ilvl w:val="0"/>
          <w:numId w:val="0"/>
        </w:numPr>
        <w:tabs>
          <w:tab w:val="left" w:pos="1560"/>
        </w:tabs>
        <w:rPr>
          <w:rFonts w:cs="Arial"/>
          <w:color w:val="000000" w:themeColor="text1"/>
          <w:lang w:val="es-CO"/>
        </w:rPr>
      </w:pPr>
    </w:p>
    <w:p w:rsidR="001B7C19" w:rsidRPr="00787AE7" w:rsidRDefault="001B7C19" w:rsidP="001B7C19">
      <w:pPr>
        <w:pStyle w:val="ARTICULOS"/>
        <w:numPr>
          <w:ilvl w:val="0"/>
          <w:numId w:val="0"/>
        </w:numPr>
        <w:tabs>
          <w:tab w:val="left" w:pos="709"/>
        </w:tabs>
        <w:ind w:left="709" w:hanging="709"/>
        <w:rPr>
          <w:rFonts w:cs="Arial"/>
          <w:color w:val="000000" w:themeColor="text1"/>
        </w:rPr>
      </w:pPr>
      <w:r w:rsidRPr="00787AE7">
        <w:rPr>
          <w:rFonts w:cs="Arial"/>
          <w:color w:val="000000" w:themeColor="text1"/>
          <w:lang w:val="es-CO"/>
        </w:rPr>
        <w:t>“</w:t>
      </w:r>
      <w:r w:rsidR="006E7479" w:rsidRPr="00787AE7">
        <w:rPr>
          <w:rFonts w:cs="Arial"/>
          <w:color w:val="000000" w:themeColor="text1"/>
          <w:lang w:val="es-CO"/>
        </w:rPr>
        <w:t>f</w:t>
      </w:r>
      <w:r w:rsidRPr="00787AE7">
        <w:rPr>
          <w:rFonts w:cs="Arial"/>
          <w:color w:val="000000" w:themeColor="text1"/>
          <w:lang w:val="es-CO"/>
        </w:rPr>
        <w:t xml:space="preserve">) </w:t>
      </w:r>
      <w:r w:rsidRPr="00787AE7">
        <w:rPr>
          <w:rFonts w:cs="Arial"/>
          <w:color w:val="000000" w:themeColor="text1"/>
          <w:lang w:val="es-CO"/>
        </w:rPr>
        <w:tab/>
      </w:r>
      <w:r w:rsidRPr="00787AE7">
        <w:rPr>
          <w:rFonts w:cs="Arial"/>
          <w:color w:val="000000" w:themeColor="text1"/>
        </w:rPr>
        <w:t xml:space="preserve">Otra </w:t>
      </w:r>
      <w:r w:rsidR="0024228D" w:rsidRPr="00787AE7">
        <w:rPr>
          <w:rFonts w:cs="Arial"/>
          <w:color w:val="000000" w:themeColor="text1"/>
        </w:rPr>
        <w:t>información</w:t>
      </w:r>
      <w:r w:rsidRPr="00787AE7">
        <w:rPr>
          <w:rFonts w:cs="Arial"/>
          <w:color w:val="000000" w:themeColor="text1"/>
        </w:rPr>
        <w:t xml:space="preserve"> </w:t>
      </w:r>
      <w:r w:rsidR="001A38CC" w:rsidRPr="00787AE7">
        <w:rPr>
          <w:rFonts w:cs="Arial"/>
          <w:color w:val="000000" w:themeColor="text1"/>
        </w:rPr>
        <w:t>opera</w:t>
      </w:r>
      <w:r w:rsidR="00D157B5" w:rsidRPr="00787AE7">
        <w:rPr>
          <w:rFonts w:cs="Arial"/>
          <w:color w:val="000000" w:themeColor="text1"/>
          <w:lang w:val="es-CO"/>
        </w:rPr>
        <w:t>tiva</w:t>
      </w:r>
    </w:p>
    <w:p w:rsidR="001B7C19" w:rsidRPr="00787AE7" w:rsidRDefault="001B7C19" w:rsidP="001B7C19">
      <w:pPr>
        <w:pStyle w:val="ARTICULOS"/>
        <w:numPr>
          <w:ilvl w:val="0"/>
          <w:numId w:val="0"/>
        </w:numPr>
        <w:ind w:left="1134"/>
        <w:rPr>
          <w:bCs w:val="0"/>
          <w:color w:val="000000" w:themeColor="text1"/>
        </w:rPr>
      </w:pPr>
    </w:p>
    <w:p w:rsidR="00AE42BC" w:rsidRPr="00787AE7" w:rsidRDefault="000B6632" w:rsidP="00AE42BC">
      <w:pPr>
        <w:pStyle w:val="Prrafodelista"/>
        <w:numPr>
          <w:ilvl w:val="0"/>
          <w:numId w:val="10"/>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Los productores</w:t>
      </w:r>
      <w:r w:rsidR="003C6D70" w:rsidRPr="00787AE7">
        <w:rPr>
          <w:rFonts w:ascii="Bookman Old Style" w:hAnsi="Bookman Old Style"/>
          <w:bCs/>
          <w:color w:val="000000" w:themeColor="text1"/>
          <w:sz w:val="24"/>
          <w:szCs w:val="24"/>
        </w:rPr>
        <w:t>-</w:t>
      </w:r>
      <w:r w:rsidRPr="00787AE7">
        <w:rPr>
          <w:rFonts w:ascii="Bookman Old Style" w:hAnsi="Bookman Old Style"/>
          <w:bCs/>
          <w:color w:val="000000" w:themeColor="text1"/>
          <w:sz w:val="24"/>
          <w:szCs w:val="24"/>
        </w:rPr>
        <w:t>comercial</w:t>
      </w:r>
      <w:r w:rsidR="003C6D70" w:rsidRPr="00787AE7">
        <w:rPr>
          <w:rFonts w:ascii="Bookman Old Style" w:hAnsi="Bookman Old Style"/>
          <w:bCs/>
          <w:color w:val="000000" w:themeColor="text1"/>
          <w:sz w:val="24"/>
          <w:szCs w:val="24"/>
        </w:rPr>
        <w:t>i</w:t>
      </w:r>
      <w:r w:rsidRPr="00787AE7">
        <w:rPr>
          <w:rFonts w:ascii="Bookman Old Style" w:hAnsi="Bookman Old Style"/>
          <w:bCs/>
          <w:color w:val="000000" w:themeColor="text1"/>
          <w:sz w:val="24"/>
          <w:szCs w:val="24"/>
        </w:rPr>
        <w:t xml:space="preserve">zadores deberán declarar al </w:t>
      </w:r>
      <w:r w:rsidR="00AB5561" w:rsidRPr="00787AE7">
        <w:rPr>
          <w:rFonts w:ascii="Bookman Old Style" w:hAnsi="Bookman Old Style"/>
          <w:bCs/>
          <w:color w:val="000000" w:themeColor="text1"/>
          <w:sz w:val="24"/>
          <w:szCs w:val="24"/>
        </w:rPr>
        <w:t xml:space="preserve">gestor del mercado la información sobre </w:t>
      </w:r>
      <w:r w:rsidR="006C37E0" w:rsidRPr="00787AE7">
        <w:rPr>
          <w:rFonts w:ascii="Bookman Old Style" w:hAnsi="Bookman Old Style"/>
          <w:bCs/>
          <w:color w:val="000000" w:themeColor="text1"/>
          <w:sz w:val="24"/>
          <w:szCs w:val="24"/>
        </w:rPr>
        <w:t xml:space="preserve">producción total disponible para la venta, PTDV, </w:t>
      </w:r>
      <w:r w:rsidR="00ED0A4C" w:rsidRPr="00787AE7">
        <w:rPr>
          <w:rFonts w:ascii="Bookman Old Style" w:hAnsi="Bookman Old Style"/>
          <w:bCs/>
          <w:color w:val="000000" w:themeColor="text1"/>
          <w:sz w:val="24"/>
          <w:szCs w:val="24"/>
        </w:rPr>
        <w:t xml:space="preserve">y </w:t>
      </w:r>
      <w:r w:rsidR="006C37E0" w:rsidRPr="00787AE7">
        <w:rPr>
          <w:rFonts w:ascii="Bookman Old Style" w:hAnsi="Bookman Old Style"/>
          <w:bCs/>
          <w:color w:val="000000" w:themeColor="text1"/>
          <w:sz w:val="24"/>
          <w:szCs w:val="24"/>
        </w:rPr>
        <w:t>producción comprometida, PC</w:t>
      </w:r>
      <w:r w:rsidR="00AE42BC" w:rsidRPr="00787AE7">
        <w:rPr>
          <w:rFonts w:ascii="Bookman Old Style" w:hAnsi="Bookman Old Style"/>
          <w:bCs/>
          <w:color w:val="000000" w:themeColor="text1"/>
          <w:sz w:val="24"/>
          <w:szCs w:val="24"/>
        </w:rPr>
        <w:t>. El productor</w:t>
      </w:r>
      <w:r w:rsidR="00DC204F" w:rsidRPr="00787AE7">
        <w:rPr>
          <w:rFonts w:ascii="Bookman Old Style" w:hAnsi="Bookman Old Style"/>
          <w:bCs/>
          <w:color w:val="000000" w:themeColor="text1"/>
          <w:sz w:val="24"/>
          <w:szCs w:val="24"/>
        </w:rPr>
        <w:t>-comercializador</w:t>
      </w:r>
      <w:r w:rsidR="00AE42BC" w:rsidRPr="00787AE7">
        <w:rPr>
          <w:rFonts w:ascii="Bookman Old Style" w:hAnsi="Bookman Old Style"/>
          <w:bCs/>
          <w:color w:val="000000" w:themeColor="text1"/>
          <w:sz w:val="24"/>
          <w:szCs w:val="24"/>
        </w:rPr>
        <w:t xml:space="preserve"> que sea operador del campo deberá declarar al gestor del mercado la información sobre potencial de producción, PP. Los comercializadores de gas importado deberán declarar al gestor del mercado las cantidades importadas disponibles para la venta para el consumo interno, CIDV.</w:t>
      </w:r>
    </w:p>
    <w:p w:rsidR="00AE42BC" w:rsidRPr="00787AE7" w:rsidRDefault="00AE42BC" w:rsidP="00B75567">
      <w:pPr>
        <w:pStyle w:val="Prrafodelista"/>
        <w:autoSpaceDE w:val="0"/>
        <w:autoSpaceDN w:val="0"/>
        <w:adjustRightInd w:val="0"/>
        <w:ind w:left="1287"/>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 </w:t>
      </w:r>
    </w:p>
    <w:p w:rsidR="00AE42BC" w:rsidRPr="00787AE7" w:rsidRDefault="00AE42BC" w:rsidP="00B75567">
      <w:pPr>
        <w:pStyle w:val="Prrafodelista"/>
        <w:autoSpaceDE w:val="0"/>
        <w:autoSpaceDN w:val="0"/>
        <w:adjustRightInd w:val="0"/>
        <w:ind w:left="1287"/>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Estas declaraciones se realizarán </w:t>
      </w:r>
      <w:r w:rsidR="00BF31DC" w:rsidRPr="00787AE7">
        <w:rPr>
          <w:rFonts w:ascii="Bookman Old Style" w:hAnsi="Bookman Old Style"/>
          <w:bCs/>
          <w:color w:val="000000" w:themeColor="text1"/>
          <w:sz w:val="24"/>
          <w:szCs w:val="24"/>
        </w:rPr>
        <w:t xml:space="preserve">(i) </w:t>
      </w:r>
      <w:r w:rsidRPr="00787AE7">
        <w:rPr>
          <w:rFonts w:ascii="Bookman Old Style" w:hAnsi="Bookman Old Style"/>
          <w:bCs/>
          <w:color w:val="000000" w:themeColor="text1"/>
          <w:sz w:val="24"/>
          <w:szCs w:val="24"/>
        </w:rPr>
        <w:t xml:space="preserve">teniendo en cuenta las definiciones  de PTDV, PC, PP y CIDV establecidas en el </w:t>
      </w:r>
      <w:r w:rsidR="003E4A78" w:rsidRPr="00787AE7">
        <w:rPr>
          <w:rFonts w:ascii="Bookman Old Style" w:hAnsi="Bookman Old Style"/>
          <w:bCs/>
          <w:color w:val="000000" w:themeColor="text1"/>
          <w:sz w:val="24"/>
          <w:szCs w:val="24"/>
        </w:rPr>
        <w:t>Artículo 2</w:t>
      </w:r>
      <w:r w:rsidR="00BF31DC" w:rsidRPr="00787AE7">
        <w:rPr>
          <w:rFonts w:ascii="Bookman Old Style" w:hAnsi="Bookman Old Style"/>
          <w:bCs/>
          <w:color w:val="000000" w:themeColor="text1"/>
          <w:sz w:val="24"/>
          <w:szCs w:val="24"/>
        </w:rPr>
        <w:t xml:space="preserve">.2.2.1.4 del </w:t>
      </w:r>
      <w:r w:rsidRPr="00787AE7">
        <w:rPr>
          <w:rFonts w:ascii="Bookman Old Style" w:hAnsi="Bookman Old Style"/>
          <w:bCs/>
          <w:color w:val="000000" w:themeColor="text1"/>
          <w:sz w:val="24"/>
          <w:szCs w:val="24"/>
        </w:rPr>
        <w:t xml:space="preserve">Decreto </w:t>
      </w:r>
      <w:r w:rsidR="00BF31DC" w:rsidRPr="00787AE7">
        <w:rPr>
          <w:rFonts w:ascii="Bookman Old Style" w:hAnsi="Bookman Old Style"/>
          <w:bCs/>
          <w:color w:val="000000" w:themeColor="text1"/>
          <w:sz w:val="24"/>
          <w:szCs w:val="24"/>
        </w:rPr>
        <w:t xml:space="preserve">1073 </w:t>
      </w:r>
      <w:r w:rsidRPr="00787AE7">
        <w:rPr>
          <w:rFonts w:ascii="Bookman Old Style" w:hAnsi="Bookman Old Style"/>
          <w:bCs/>
          <w:color w:val="000000" w:themeColor="text1"/>
          <w:sz w:val="24"/>
          <w:szCs w:val="24"/>
        </w:rPr>
        <w:t>de 201</w:t>
      </w:r>
      <w:r w:rsidR="00BF31DC" w:rsidRPr="00787AE7">
        <w:rPr>
          <w:rFonts w:ascii="Bookman Old Style" w:hAnsi="Bookman Old Style"/>
          <w:bCs/>
          <w:color w:val="000000" w:themeColor="text1"/>
          <w:sz w:val="24"/>
          <w:szCs w:val="24"/>
        </w:rPr>
        <w:t>5</w:t>
      </w:r>
      <w:r w:rsidRPr="00787AE7">
        <w:rPr>
          <w:rFonts w:ascii="Bookman Old Style" w:hAnsi="Bookman Old Style"/>
          <w:bCs/>
          <w:color w:val="000000" w:themeColor="text1"/>
          <w:sz w:val="24"/>
          <w:szCs w:val="24"/>
        </w:rPr>
        <w:t xml:space="preserve">, </w:t>
      </w:r>
      <w:r w:rsidR="00F566AA" w:rsidRPr="00787AE7">
        <w:rPr>
          <w:rFonts w:ascii="Bookman Old Style" w:hAnsi="Bookman Old Style"/>
          <w:bCs/>
          <w:color w:val="000000" w:themeColor="text1"/>
          <w:sz w:val="24"/>
          <w:szCs w:val="24"/>
        </w:rPr>
        <w:t xml:space="preserve">Decreto Único Reglamentario del Sector Administrativo de Minas y Energía, </w:t>
      </w:r>
      <w:r w:rsidRPr="00787AE7">
        <w:rPr>
          <w:rFonts w:ascii="Bookman Old Style" w:hAnsi="Bookman Old Style"/>
          <w:bCs/>
          <w:color w:val="000000" w:themeColor="text1"/>
          <w:sz w:val="24"/>
          <w:szCs w:val="24"/>
        </w:rPr>
        <w:t>o aquellos que lo modifiquen o sustituyan</w:t>
      </w:r>
      <w:r w:rsidR="00BF31DC" w:rsidRPr="00787AE7">
        <w:rPr>
          <w:rFonts w:ascii="Bookman Old Style" w:hAnsi="Bookman Old Style"/>
          <w:bCs/>
          <w:color w:val="000000" w:themeColor="text1"/>
          <w:sz w:val="24"/>
          <w:szCs w:val="24"/>
        </w:rPr>
        <w:t xml:space="preserve">; (ii) con </w:t>
      </w:r>
      <w:r w:rsidR="00B75567" w:rsidRPr="00787AE7">
        <w:rPr>
          <w:rFonts w:ascii="Bookman Old Style" w:hAnsi="Bookman Old Style"/>
          <w:bCs/>
          <w:color w:val="000000" w:themeColor="text1"/>
          <w:sz w:val="24"/>
          <w:szCs w:val="24"/>
        </w:rPr>
        <w:t>la desagregación</w:t>
      </w:r>
      <w:r w:rsidR="00B30898" w:rsidRPr="00787AE7">
        <w:rPr>
          <w:rFonts w:ascii="Bookman Old Style" w:hAnsi="Bookman Old Style"/>
          <w:bCs/>
          <w:color w:val="000000" w:themeColor="text1"/>
          <w:sz w:val="24"/>
          <w:szCs w:val="24"/>
        </w:rPr>
        <w:t xml:space="preserve">, fecha de reporte y período </w:t>
      </w:r>
      <w:r w:rsidR="00B75567" w:rsidRPr="00787AE7">
        <w:rPr>
          <w:rFonts w:ascii="Bookman Old Style" w:hAnsi="Bookman Old Style"/>
          <w:bCs/>
          <w:color w:val="000000" w:themeColor="text1"/>
          <w:sz w:val="24"/>
          <w:szCs w:val="24"/>
        </w:rPr>
        <w:t>establecid</w:t>
      </w:r>
      <w:r w:rsidR="00B30898" w:rsidRPr="00787AE7">
        <w:rPr>
          <w:rFonts w:ascii="Bookman Old Style" w:hAnsi="Bookman Old Style"/>
          <w:bCs/>
          <w:color w:val="000000" w:themeColor="text1"/>
          <w:sz w:val="24"/>
          <w:szCs w:val="24"/>
        </w:rPr>
        <w:t>o</w:t>
      </w:r>
      <w:r w:rsidR="00B75567" w:rsidRPr="00787AE7">
        <w:rPr>
          <w:rFonts w:ascii="Bookman Old Style" w:hAnsi="Bookman Old Style"/>
          <w:bCs/>
          <w:color w:val="000000" w:themeColor="text1"/>
          <w:sz w:val="24"/>
          <w:szCs w:val="24"/>
        </w:rPr>
        <w:t xml:space="preserve"> en el segundo inciso del Artículo 2.2.2.2.21 del Decreto 1073 de 2015, o aquellos que lo modifiquen o sustituyan</w:t>
      </w:r>
      <w:r w:rsidR="00A9103C" w:rsidRPr="00787AE7">
        <w:rPr>
          <w:rFonts w:ascii="Bookman Old Style" w:hAnsi="Bookman Old Style"/>
          <w:bCs/>
          <w:color w:val="000000" w:themeColor="text1"/>
          <w:sz w:val="24"/>
          <w:szCs w:val="24"/>
        </w:rPr>
        <w:t>; (iii) teniendo en cuenta lo previsto en el parágrafo 2 del Artículo 2.2.2.2.21 del Decreto 1073 de 2015, o aquellos que lo modifiquen o sustituyan</w:t>
      </w:r>
      <w:r w:rsidR="00A945C1" w:rsidRPr="00787AE7">
        <w:rPr>
          <w:rFonts w:ascii="Bookman Old Style" w:hAnsi="Bookman Old Style"/>
          <w:bCs/>
          <w:color w:val="000000" w:themeColor="text1"/>
          <w:sz w:val="24"/>
          <w:szCs w:val="24"/>
        </w:rPr>
        <w:t>, para el caso de campos que se encuentren en pruebas extensas o sobre los cuales no se haya declarado su comercialidad</w:t>
      </w:r>
      <w:r w:rsidRPr="00787AE7">
        <w:rPr>
          <w:rFonts w:ascii="Bookman Old Style" w:hAnsi="Bookman Old Style"/>
          <w:bCs/>
          <w:color w:val="000000" w:themeColor="text1"/>
          <w:sz w:val="24"/>
          <w:szCs w:val="24"/>
        </w:rPr>
        <w:t>.</w:t>
      </w:r>
    </w:p>
    <w:p w:rsidR="00AE42BC" w:rsidRPr="00787AE7" w:rsidRDefault="00AE42BC" w:rsidP="00B75567">
      <w:pPr>
        <w:pStyle w:val="Prrafodelista"/>
        <w:autoSpaceDE w:val="0"/>
        <w:autoSpaceDN w:val="0"/>
        <w:adjustRightInd w:val="0"/>
        <w:ind w:left="1287"/>
        <w:jc w:val="both"/>
        <w:rPr>
          <w:rFonts w:ascii="Bookman Old Style" w:hAnsi="Bookman Old Style"/>
          <w:bCs/>
          <w:color w:val="000000" w:themeColor="text1"/>
          <w:sz w:val="24"/>
          <w:szCs w:val="24"/>
        </w:rPr>
      </w:pPr>
    </w:p>
    <w:p w:rsidR="00AE42BC" w:rsidRPr="00787AE7" w:rsidRDefault="00A9103C" w:rsidP="00B75567">
      <w:pPr>
        <w:pStyle w:val="Prrafodelista"/>
        <w:autoSpaceDE w:val="0"/>
        <w:autoSpaceDN w:val="0"/>
        <w:adjustRightInd w:val="0"/>
        <w:ind w:left="1287"/>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La primera declaración </w:t>
      </w:r>
      <w:r w:rsidR="00A945C1" w:rsidRPr="00787AE7">
        <w:rPr>
          <w:rFonts w:ascii="Bookman Old Style" w:hAnsi="Bookman Old Style"/>
          <w:bCs/>
          <w:color w:val="000000" w:themeColor="text1"/>
          <w:sz w:val="24"/>
          <w:szCs w:val="24"/>
        </w:rPr>
        <w:t xml:space="preserve">de los productores-comercializadores y los comercializadores de gas importado se realizará a más tardar el 30 de septiembre de 2016. A partir del 1 de octubre de 2016 estos participantes del mercado actualizarán la información ante el gestor del mercado cuando la actualicen al Ministerio de Minas y Energía en virtud de lo establecido en el artículo 2.2.2.2.22 del Decreto 1073 de 2015, o aquellos que lo modifiquen o sustituyan.     </w:t>
      </w:r>
    </w:p>
    <w:p w:rsidR="001B7C19" w:rsidRPr="00787AE7" w:rsidRDefault="001B7C19" w:rsidP="001B7C19">
      <w:pPr>
        <w:autoSpaceDE w:val="0"/>
        <w:autoSpaceDN w:val="0"/>
        <w:adjustRightInd w:val="0"/>
        <w:jc w:val="both"/>
        <w:rPr>
          <w:rFonts w:ascii="Bookman Old Style" w:hAnsi="Bookman Old Style"/>
          <w:bCs/>
          <w:color w:val="000000" w:themeColor="text1"/>
        </w:rPr>
      </w:pPr>
    </w:p>
    <w:p w:rsidR="00AB5561" w:rsidRPr="00787AE7" w:rsidRDefault="00AB5561" w:rsidP="00AB5561">
      <w:pPr>
        <w:pStyle w:val="Prrafodelista"/>
        <w:numPr>
          <w:ilvl w:val="0"/>
          <w:numId w:val="10"/>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Los productores-comercializadores </w:t>
      </w:r>
      <w:r w:rsidR="00906A3A" w:rsidRPr="00787AE7">
        <w:rPr>
          <w:rFonts w:ascii="Bookman Old Style" w:hAnsi="Bookman Old Style"/>
          <w:bCs/>
          <w:color w:val="000000" w:themeColor="text1"/>
          <w:sz w:val="24"/>
          <w:szCs w:val="24"/>
        </w:rPr>
        <w:t xml:space="preserve">y los comercializadores de gas importado </w:t>
      </w:r>
      <w:r w:rsidRPr="00787AE7">
        <w:rPr>
          <w:rFonts w:ascii="Bookman Old Style" w:hAnsi="Bookman Old Style"/>
          <w:bCs/>
          <w:color w:val="000000" w:themeColor="text1"/>
          <w:sz w:val="24"/>
          <w:szCs w:val="24"/>
        </w:rPr>
        <w:t xml:space="preserve">deberán declarar al gestor del mercado la siguiente información, cada vez que sea necesario para mantenerla actualizada, por cada </w:t>
      </w:r>
      <w:r w:rsidR="006E7479" w:rsidRPr="00787AE7">
        <w:rPr>
          <w:rFonts w:ascii="Bookman Old Style" w:hAnsi="Bookman Old Style"/>
          <w:bCs/>
          <w:color w:val="000000" w:themeColor="text1"/>
          <w:sz w:val="24"/>
          <w:szCs w:val="24"/>
        </w:rPr>
        <w:t xml:space="preserve">fuente </w:t>
      </w:r>
      <w:r w:rsidRPr="00787AE7">
        <w:rPr>
          <w:rFonts w:ascii="Bookman Old Style" w:hAnsi="Bookman Old Style"/>
          <w:bCs/>
          <w:color w:val="000000" w:themeColor="text1"/>
          <w:sz w:val="24"/>
          <w:szCs w:val="24"/>
        </w:rPr>
        <w:t xml:space="preserve">de </w:t>
      </w:r>
      <w:r w:rsidR="006E7479" w:rsidRPr="00787AE7">
        <w:rPr>
          <w:rFonts w:ascii="Bookman Old Style" w:hAnsi="Bookman Old Style"/>
          <w:bCs/>
          <w:color w:val="000000" w:themeColor="text1"/>
          <w:sz w:val="24"/>
          <w:szCs w:val="24"/>
        </w:rPr>
        <w:t xml:space="preserve">suministro </w:t>
      </w:r>
      <w:r w:rsidR="000C0917" w:rsidRPr="00787AE7">
        <w:rPr>
          <w:rFonts w:ascii="Bookman Old Style" w:hAnsi="Bookman Old Style"/>
          <w:bCs/>
          <w:color w:val="000000" w:themeColor="text1"/>
          <w:sz w:val="24"/>
          <w:szCs w:val="24"/>
        </w:rPr>
        <w:t xml:space="preserve">que </w:t>
      </w:r>
      <w:r w:rsidRPr="00787AE7">
        <w:rPr>
          <w:rFonts w:ascii="Bookman Old Style" w:hAnsi="Bookman Old Style"/>
          <w:bCs/>
          <w:color w:val="000000" w:themeColor="text1"/>
          <w:sz w:val="24"/>
          <w:szCs w:val="24"/>
        </w:rPr>
        <w:t>debe corresponder al código que el gestor asignó al punto de entrada donde el productor inyecta el gas al SNT:</w:t>
      </w:r>
    </w:p>
    <w:p w:rsidR="00AB5561" w:rsidRPr="00787AE7" w:rsidRDefault="00AB5561" w:rsidP="00AB5561">
      <w:pPr>
        <w:autoSpaceDE w:val="0"/>
        <w:autoSpaceDN w:val="0"/>
        <w:adjustRightInd w:val="0"/>
        <w:jc w:val="both"/>
        <w:rPr>
          <w:rFonts w:ascii="Bookman Old Style" w:hAnsi="Bookman Old Style"/>
          <w:bCs/>
          <w:color w:val="000000" w:themeColor="text1"/>
        </w:rPr>
      </w:pPr>
    </w:p>
    <w:p w:rsidR="00AB5561" w:rsidRPr="00787AE7" w:rsidRDefault="00AB5561" w:rsidP="00AB5561">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Tipo de </w:t>
      </w:r>
      <w:r w:rsidR="006E7479" w:rsidRPr="00787AE7">
        <w:rPr>
          <w:rFonts w:ascii="Bookman Old Style" w:hAnsi="Bookman Old Style"/>
          <w:bCs/>
          <w:color w:val="000000" w:themeColor="text1"/>
          <w:sz w:val="24"/>
          <w:szCs w:val="24"/>
        </w:rPr>
        <w:t>fuente de suministro</w:t>
      </w:r>
      <w:r w:rsidRPr="00787AE7">
        <w:rPr>
          <w:rFonts w:ascii="Bookman Old Style" w:hAnsi="Bookman Old Style"/>
          <w:bCs/>
          <w:color w:val="000000" w:themeColor="text1"/>
          <w:sz w:val="24"/>
          <w:szCs w:val="24"/>
        </w:rPr>
        <w:t xml:space="preserve">: </w:t>
      </w:r>
      <w:r w:rsidR="006E7479" w:rsidRPr="00787AE7">
        <w:rPr>
          <w:rFonts w:ascii="Bookman Old Style" w:hAnsi="Bookman Old Style"/>
          <w:bCs/>
          <w:color w:val="000000" w:themeColor="text1"/>
          <w:sz w:val="24"/>
          <w:szCs w:val="24"/>
        </w:rPr>
        <w:t>planta de importación de gas, cam</w:t>
      </w:r>
      <w:r w:rsidR="00906A3A" w:rsidRPr="00787AE7">
        <w:rPr>
          <w:rFonts w:ascii="Bookman Old Style" w:hAnsi="Bookman Old Style"/>
          <w:bCs/>
          <w:color w:val="000000" w:themeColor="text1"/>
          <w:sz w:val="24"/>
          <w:szCs w:val="24"/>
        </w:rPr>
        <w:t>po de producción (</w:t>
      </w:r>
      <w:r w:rsidRPr="00787AE7">
        <w:rPr>
          <w:rFonts w:ascii="Bookman Old Style" w:hAnsi="Bookman Old Style"/>
          <w:bCs/>
          <w:color w:val="000000" w:themeColor="text1"/>
          <w:sz w:val="24"/>
          <w:szCs w:val="24"/>
        </w:rPr>
        <w:t xml:space="preserve">menor, aislado, pruebas extensas, yacimiento no convencional, nuevo campo y </w:t>
      </w:r>
      <w:r w:rsidRPr="00787AE7">
        <w:rPr>
          <w:rFonts w:ascii="Bookman Old Style" w:hAnsi="Bookman Old Style"/>
          <w:bCs/>
          <w:sz w:val="24"/>
          <w:szCs w:val="24"/>
        </w:rPr>
        <w:t>otros</w:t>
      </w:r>
      <w:r w:rsidR="00906A3A" w:rsidRPr="00787AE7">
        <w:rPr>
          <w:rFonts w:ascii="Bookman Old Style" w:hAnsi="Bookman Old Style"/>
          <w:bCs/>
          <w:sz w:val="24"/>
          <w:szCs w:val="24"/>
        </w:rPr>
        <w:t>)</w:t>
      </w:r>
      <w:r w:rsidRPr="00787AE7">
        <w:rPr>
          <w:rFonts w:ascii="Bookman Old Style" w:hAnsi="Bookman Old Style"/>
          <w:bCs/>
          <w:color w:val="000000" w:themeColor="text1"/>
          <w:sz w:val="24"/>
          <w:szCs w:val="24"/>
        </w:rPr>
        <w:t>.</w:t>
      </w:r>
    </w:p>
    <w:p w:rsidR="00AB5561" w:rsidRPr="00787AE7" w:rsidRDefault="00AB5561" w:rsidP="00AB5561">
      <w:pPr>
        <w:pStyle w:val="Prrafodelista"/>
        <w:numPr>
          <w:ilvl w:val="0"/>
          <w:numId w:val="7"/>
        </w:numPr>
        <w:autoSpaceDE w:val="0"/>
        <w:autoSpaceDN w:val="0"/>
        <w:adjustRightInd w:val="0"/>
        <w:jc w:val="both"/>
        <w:rPr>
          <w:rFonts w:ascii="Bookman Old Style" w:hAnsi="Bookman Old Style"/>
          <w:bCs/>
          <w:sz w:val="24"/>
          <w:szCs w:val="24"/>
        </w:rPr>
      </w:pPr>
      <w:r w:rsidRPr="00787AE7">
        <w:rPr>
          <w:rFonts w:ascii="Bookman Old Style" w:hAnsi="Bookman Old Style"/>
          <w:bCs/>
          <w:sz w:val="24"/>
          <w:szCs w:val="24"/>
        </w:rPr>
        <w:t xml:space="preserve">Nombre del punto de entrada: punto de entrada donde se inyecta el gas al SNT que corresponda al nombre y código asignado por el gestor del mercado. En caso de que el punto de entrada esté sobre un sistema de distribución se deberá indicar el nombre del mercado relevante y del municipio donde </w:t>
      </w:r>
      <w:r w:rsidR="00C66803" w:rsidRPr="00787AE7">
        <w:rPr>
          <w:rFonts w:ascii="Bookman Old Style" w:hAnsi="Bookman Old Style"/>
          <w:bCs/>
          <w:sz w:val="24"/>
          <w:szCs w:val="24"/>
        </w:rPr>
        <w:t xml:space="preserve">está ubicado </w:t>
      </w:r>
      <w:r w:rsidRPr="00787AE7">
        <w:rPr>
          <w:rFonts w:ascii="Bookman Old Style" w:hAnsi="Bookman Old Style"/>
          <w:bCs/>
          <w:sz w:val="24"/>
          <w:szCs w:val="24"/>
        </w:rPr>
        <w:t xml:space="preserve">el punto </w:t>
      </w:r>
      <w:r w:rsidRPr="00787AE7">
        <w:rPr>
          <w:rFonts w:ascii="Bookman Old Style" w:hAnsi="Bookman Old Style"/>
          <w:bCs/>
          <w:sz w:val="24"/>
          <w:szCs w:val="24"/>
        </w:rPr>
        <w:lastRenderedPageBreak/>
        <w:t>de entrada. Si se trata de un</w:t>
      </w:r>
      <w:r w:rsidR="00906A3A" w:rsidRPr="00787AE7">
        <w:rPr>
          <w:rFonts w:ascii="Bookman Old Style" w:hAnsi="Bookman Old Style"/>
          <w:bCs/>
          <w:sz w:val="24"/>
          <w:szCs w:val="24"/>
        </w:rPr>
        <w:t>a</w:t>
      </w:r>
      <w:r w:rsidRPr="00787AE7">
        <w:rPr>
          <w:rFonts w:ascii="Bookman Old Style" w:hAnsi="Bookman Old Style"/>
          <w:bCs/>
          <w:sz w:val="24"/>
          <w:szCs w:val="24"/>
        </w:rPr>
        <w:t xml:space="preserve"> </w:t>
      </w:r>
      <w:r w:rsidR="00906A3A" w:rsidRPr="00787AE7">
        <w:rPr>
          <w:rFonts w:ascii="Bookman Old Style" w:hAnsi="Bookman Old Style"/>
          <w:bCs/>
          <w:sz w:val="24"/>
          <w:szCs w:val="24"/>
        </w:rPr>
        <w:t xml:space="preserve">fuente </w:t>
      </w:r>
      <w:r w:rsidRPr="00787AE7">
        <w:rPr>
          <w:rFonts w:ascii="Bookman Old Style" w:hAnsi="Bookman Old Style"/>
          <w:bCs/>
          <w:sz w:val="24"/>
          <w:szCs w:val="24"/>
        </w:rPr>
        <w:t>que no tiene conexión al SNT o a un sistema de distribución (</w:t>
      </w:r>
      <w:proofErr w:type="spellStart"/>
      <w:r w:rsidRPr="00787AE7">
        <w:rPr>
          <w:rFonts w:ascii="Bookman Old Style" w:hAnsi="Bookman Old Style"/>
          <w:bCs/>
          <w:sz w:val="24"/>
          <w:szCs w:val="24"/>
        </w:rPr>
        <w:t>e.g</w:t>
      </w:r>
      <w:proofErr w:type="spellEnd"/>
      <w:r w:rsidRPr="00787AE7">
        <w:rPr>
          <w:rFonts w:ascii="Bookman Old Style" w:hAnsi="Bookman Old Style"/>
          <w:bCs/>
          <w:sz w:val="24"/>
          <w:szCs w:val="24"/>
        </w:rPr>
        <w:t>. porque entrega gas a sistemas de transporte de gas natural comprimido) el nombre del punto de entrada será igual al nombre de</w:t>
      </w:r>
      <w:r w:rsidR="00906A3A" w:rsidRPr="00787AE7">
        <w:rPr>
          <w:rFonts w:ascii="Bookman Old Style" w:hAnsi="Bookman Old Style"/>
          <w:bCs/>
          <w:sz w:val="24"/>
          <w:szCs w:val="24"/>
        </w:rPr>
        <w:t xml:space="preserve"> </w:t>
      </w:r>
      <w:r w:rsidRPr="00787AE7">
        <w:rPr>
          <w:rFonts w:ascii="Bookman Old Style" w:hAnsi="Bookman Old Style"/>
          <w:bCs/>
          <w:sz w:val="24"/>
          <w:szCs w:val="24"/>
        </w:rPr>
        <w:t>l</w:t>
      </w:r>
      <w:r w:rsidR="00906A3A" w:rsidRPr="00787AE7">
        <w:rPr>
          <w:rFonts w:ascii="Bookman Old Style" w:hAnsi="Bookman Old Style"/>
          <w:bCs/>
          <w:sz w:val="24"/>
          <w:szCs w:val="24"/>
        </w:rPr>
        <w:t>a</w:t>
      </w:r>
      <w:r w:rsidRPr="00787AE7">
        <w:rPr>
          <w:rFonts w:ascii="Bookman Old Style" w:hAnsi="Bookman Old Style"/>
          <w:bCs/>
          <w:sz w:val="24"/>
          <w:szCs w:val="24"/>
        </w:rPr>
        <w:t xml:space="preserve"> </w:t>
      </w:r>
      <w:r w:rsidR="00906A3A" w:rsidRPr="00787AE7">
        <w:rPr>
          <w:rFonts w:ascii="Bookman Old Style" w:hAnsi="Bookman Old Style"/>
          <w:bCs/>
          <w:sz w:val="24"/>
          <w:szCs w:val="24"/>
        </w:rPr>
        <w:t>fuente</w:t>
      </w:r>
      <w:r w:rsidRPr="00787AE7">
        <w:rPr>
          <w:rFonts w:ascii="Bookman Old Style" w:hAnsi="Bookman Old Style"/>
          <w:bCs/>
          <w:sz w:val="24"/>
          <w:szCs w:val="24"/>
        </w:rPr>
        <w:t>.</w:t>
      </w:r>
    </w:p>
    <w:p w:rsidR="00CE069C" w:rsidRPr="00787AE7" w:rsidRDefault="00CE069C" w:rsidP="001B7C19">
      <w:pPr>
        <w:autoSpaceDE w:val="0"/>
        <w:autoSpaceDN w:val="0"/>
        <w:adjustRightInd w:val="0"/>
        <w:jc w:val="both"/>
        <w:rPr>
          <w:rFonts w:ascii="Bookman Old Style" w:hAnsi="Bookman Old Style"/>
          <w:bCs/>
          <w:color w:val="000000" w:themeColor="text1"/>
        </w:rPr>
      </w:pPr>
    </w:p>
    <w:p w:rsidR="00EB62D8" w:rsidRPr="00787AE7" w:rsidRDefault="00EB62D8" w:rsidP="00EB62D8">
      <w:pPr>
        <w:pStyle w:val="Prrafodelista"/>
        <w:numPr>
          <w:ilvl w:val="0"/>
          <w:numId w:val="10"/>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El gestor del mercado tomará la información sobre capacidad máxima de mediano plazo, CMMP, por tramos y grupos de gasoductos definidos </w:t>
      </w:r>
      <w:r w:rsidR="008D00A3" w:rsidRPr="00787AE7">
        <w:rPr>
          <w:rFonts w:ascii="Bookman Old Style" w:hAnsi="Bookman Old Style"/>
          <w:bCs/>
          <w:color w:val="000000" w:themeColor="text1"/>
          <w:sz w:val="24"/>
          <w:szCs w:val="24"/>
        </w:rPr>
        <w:t>en las resoluciones de cargos regulados aprobados por la CREG</w:t>
      </w:r>
      <w:r w:rsidRPr="00787AE7">
        <w:rPr>
          <w:rFonts w:ascii="Bookman Old Style" w:hAnsi="Bookman Old Style"/>
          <w:bCs/>
          <w:color w:val="000000" w:themeColor="text1"/>
          <w:sz w:val="24"/>
          <w:szCs w:val="24"/>
        </w:rPr>
        <w:t xml:space="preserve">, publicada en cada una de las resoluciones </w:t>
      </w:r>
      <w:r w:rsidR="008D00A3" w:rsidRPr="00787AE7">
        <w:rPr>
          <w:rFonts w:ascii="Bookman Old Style" w:hAnsi="Bookman Old Style"/>
          <w:bCs/>
          <w:color w:val="000000" w:themeColor="text1"/>
          <w:sz w:val="24"/>
          <w:szCs w:val="24"/>
        </w:rPr>
        <w:t>de cargos.</w:t>
      </w:r>
      <w:r w:rsidRPr="00787AE7">
        <w:rPr>
          <w:rFonts w:ascii="Bookman Old Style" w:hAnsi="Bookman Old Style"/>
          <w:bCs/>
          <w:color w:val="000000" w:themeColor="text1"/>
          <w:sz w:val="24"/>
          <w:szCs w:val="24"/>
        </w:rPr>
        <w:t xml:space="preserve"> </w:t>
      </w:r>
    </w:p>
    <w:p w:rsidR="00EB62D8" w:rsidRPr="00787AE7" w:rsidRDefault="00EB62D8" w:rsidP="00EB62D8">
      <w:pPr>
        <w:pStyle w:val="Prrafodelista"/>
        <w:autoSpaceDE w:val="0"/>
        <w:autoSpaceDN w:val="0"/>
        <w:adjustRightInd w:val="0"/>
        <w:ind w:left="1287"/>
        <w:jc w:val="both"/>
        <w:rPr>
          <w:rFonts w:ascii="Bookman Old Style" w:hAnsi="Bookman Old Style"/>
          <w:bCs/>
          <w:color w:val="000000" w:themeColor="text1"/>
          <w:sz w:val="24"/>
          <w:szCs w:val="24"/>
        </w:rPr>
      </w:pPr>
    </w:p>
    <w:p w:rsidR="001B7C19" w:rsidRPr="00787AE7" w:rsidRDefault="00EB62D8" w:rsidP="00EC0D1F">
      <w:pPr>
        <w:pStyle w:val="Prrafodelista"/>
        <w:autoSpaceDE w:val="0"/>
        <w:autoSpaceDN w:val="0"/>
        <w:adjustRightInd w:val="0"/>
        <w:ind w:left="1287"/>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Los transportadores actualizarán esta información </w:t>
      </w:r>
      <w:r w:rsidR="00942C99" w:rsidRPr="00787AE7">
        <w:rPr>
          <w:rFonts w:ascii="Bookman Old Style" w:hAnsi="Bookman Old Style"/>
          <w:bCs/>
          <w:color w:val="000000" w:themeColor="text1"/>
          <w:sz w:val="24"/>
          <w:szCs w:val="24"/>
        </w:rPr>
        <w:t xml:space="preserve">ante </w:t>
      </w:r>
      <w:r w:rsidRPr="00787AE7">
        <w:rPr>
          <w:rFonts w:ascii="Bookman Old Style" w:hAnsi="Bookman Old Style"/>
          <w:bCs/>
          <w:color w:val="000000" w:themeColor="text1"/>
          <w:sz w:val="24"/>
          <w:szCs w:val="24"/>
        </w:rPr>
        <w:t xml:space="preserve">el gestor del mercado </w:t>
      </w:r>
      <w:r w:rsidR="00942C99" w:rsidRPr="00787AE7">
        <w:rPr>
          <w:rFonts w:ascii="Bookman Old Style" w:hAnsi="Bookman Old Style"/>
          <w:bCs/>
          <w:color w:val="000000" w:themeColor="text1"/>
          <w:sz w:val="24"/>
          <w:szCs w:val="24"/>
        </w:rPr>
        <w:t xml:space="preserve">dentro de las 24 horas siguientes </w:t>
      </w:r>
      <w:r w:rsidRPr="00787AE7">
        <w:rPr>
          <w:rFonts w:ascii="Bookman Old Style" w:hAnsi="Bookman Old Style"/>
          <w:bCs/>
          <w:color w:val="000000" w:themeColor="text1"/>
          <w:sz w:val="24"/>
          <w:szCs w:val="24"/>
        </w:rPr>
        <w:t xml:space="preserve">cuando la actualicen en virtud de lo establecido en </w:t>
      </w:r>
      <w:r w:rsidR="008D00A3" w:rsidRPr="00787AE7">
        <w:rPr>
          <w:rFonts w:ascii="Bookman Old Style" w:hAnsi="Bookman Old Style"/>
          <w:bCs/>
          <w:color w:val="000000" w:themeColor="text1"/>
          <w:sz w:val="24"/>
          <w:szCs w:val="24"/>
        </w:rPr>
        <w:t>el parágrafo 1 del Artículo 4 de la presente Resolución, o aquellas que la modifiquen o sustituyan</w:t>
      </w:r>
      <w:r w:rsidRPr="00787AE7">
        <w:rPr>
          <w:rFonts w:ascii="Bookman Old Style" w:hAnsi="Bookman Old Style"/>
          <w:bCs/>
          <w:color w:val="000000" w:themeColor="text1"/>
          <w:sz w:val="24"/>
          <w:szCs w:val="24"/>
        </w:rPr>
        <w:t xml:space="preserve">. </w:t>
      </w:r>
      <w:r w:rsidR="00942C99" w:rsidRPr="00787AE7">
        <w:rPr>
          <w:rFonts w:ascii="Bookman Old Style" w:hAnsi="Bookman Old Style"/>
          <w:bCs/>
          <w:color w:val="000000" w:themeColor="text1"/>
          <w:sz w:val="24"/>
          <w:szCs w:val="24"/>
        </w:rPr>
        <w:t xml:space="preserve">Esta actualización se deberá reportar al gestor del mercado dentro de las 24 horas siguientes a la verificación de la misma por parte la firma auditora de que trata el parágrafo 1 del Artículo 4 de la presente Resolución, o aquellas que la modifiquen o sustituyan. </w:t>
      </w:r>
      <w:r w:rsidR="0080138D" w:rsidRPr="00787AE7">
        <w:rPr>
          <w:rFonts w:ascii="Bookman Old Style" w:hAnsi="Bookman Old Style"/>
          <w:bCs/>
          <w:color w:val="000000" w:themeColor="text1"/>
          <w:sz w:val="24"/>
          <w:szCs w:val="24"/>
        </w:rPr>
        <w:t>En todo caso, cada vez que la CREG adopte nuevos cargos regulados el gestor del mercado tomará la nueva información de CMMP para actualizar su base de datos.</w:t>
      </w:r>
    </w:p>
    <w:p w:rsidR="001B7C19" w:rsidRPr="00787AE7" w:rsidRDefault="001B7C19" w:rsidP="001B7C19">
      <w:pPr>
        <w:autoSpaceDE w:val="0"/>
        <w:autoSpaceDN w:val="0"/>
        <w:adjustRightInd w:val="0"/>
        <w:jc w:val="both"/>
        <w:rPr>
          <w:rFonts w:ascii="Bookman Old Style" w:hAnsi="Bookman Old Style"/>
          <w:bCs/>
          <w:color w:val="000000" w:themeColor="text1"/>
        </w:rPr>
      </w:pPr>
    </w:p>
    <w:p w:rsidR="00EB62D8" w:rsidRPr="00787AE7" w:rsidRDefault="00EB62D8" w:rsidP="00EB62D8">
      <w:pPr>
        <w:pStyle w:val="Prrafodelista"/>
        <w:numPr>
          <w:ilvl w:val="0"/>
          <w:numId w:val="10"/>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Los transportadores deberán declarar al gestor del mercado, y cada vez que exista una modificación o actualización, la siguiente información para todos los tramos del SNT que corresponda:</w:t>
      </w:r>
    </w:p>
    <w:p w:rsidR="00EB62D8" w:rsidRPr="00787AE7" w:rsidRDefault="00EB62D8" w:rsidP="00EB62D8">
      <w:pPr>
        <w:autoSpaceDE w:val="0"/>
        <w:autoSpaceDN w:val="0"/>
        <w:adjustRightInd w:val="0"/>
        <w:jc w:val="both"/>
        <w:rPr>
          <w:rFonts w:ascii="Bookman Old Style" w:hAnsi="Bookman Old Style"/>
          <w:bCs/>
          <w:color w:val="000000" w:themeColor="text1"/>
        </w:rPr>
      </w:pPr>
    </w:p>
    <w:p w:rsidR="00EB62D8" w:rsidRPr="00787AE7" w:rsidRDefault="00EB62D8" w:rsidP="00EB62D8">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Nombre del tramo o grupo de gasoductos </w:t>
      </w:r>
      <w:r w:rsidR="0090552C" w:rsidRPr="00787AE7">
        <w:rPr>
          <w:rFonts w:ascii="Bookman Old Style" w:hAnsi="Bookman Old Style"/>
          <w:bCs/>
          <w:color w:val="000000" w:themeColor="text1"/>
          <w:sz w:val="24"/>
          <w:szCs w:val="24"/>
        </w:rPr>
        <w:t xml:space="preserve">definidos en las resoluciones de cargos regulados aprobados por la CREG </w:t>
      </w:r>
      <w:r w:rsidRPr="00787AE7">
        <w:rPr>
          <w:rFonts w:ascii="Bookman Old Style" w:hAnsi="Bookman Old Style"/>
          <w:bCs/>
          <w:color w:val="000000" w:themeColor="text1"/>
          <w:sz w:val="24"/>
          <w:szCs w:val="24"/>
        </w:rPr>
        <w:t>para efectos tarifarios</w:t>
      </w:r>
      <w:r w:rsidR="0090552C" w:rsidRPr="00787AE7">
        <w:rPr>
          <w:rFonts w:ascii="Bookman Old Style" w:hAnsi="Bookman Old Style"/>
          <w:bCs/>
          <w:color w:val="000000" w:themeColor="text1"/>
          <w:sz w:val="24"/>
          <w:szCs w:val="24"/>
        </w:rPr>
        <w:t>. El tramo deberá corresponde</w:t>
      </w:r>
      <w:r w:rsidR="00710551" w:rsidRPr="00787AE7">
        <w:rPr>
          <w:rFonts w:ascii="Bookman Old Style" w:hAnsi="Bookman Old Style"/>
          <w:bCs/>
          <w:color w:val="000000" w:themeColor="text1"/>
          <w:sz w:val="24"/>
          <w:szCs w:val="24"/>
        </w:rPr>
        <w:t>r</w:t>
      </w:r>
      <w:r w:rsidR="0090552C" w:rsidRPr="00787AE7">
        <w:rPr>
          <w:rFonts w:ascii="Bookman Old Style" w:hAnsi="Bookman Old Style"/>
          <w:bCs/>
          <w:color w:val="000000" w:themeColor="text1"/>
          <w:sz w:val="24"/>
          <w:szCs w:val="24"/>
        </w:rPr>
        <w:t xml:space="preserve"> con </w:t>
      </w:r>
      <w:r w:rsidRPr="00787AE7">
        <w:rPr>
          <w:rFonts w:ascii="Bookman Old Style" w:hAnsi="Bookman Old Style"/>
          <w:bCs/>
          <w:color w:val="000000" w:themeColor="text1"/>
          <w:sz w:val="24"/>
          <w:szCs w:val="24"/>
        </w:rPr>
        <w:t>el código asignado por el gestor del mercado.</w:t>
      </w:r>
    </w:p>
    <w:p w:rsidR="00EB62D8" w:rsidRPr="00787AE7" w:rsidRDefault="00EB62D8" w:rsidP="00EB62D8">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Nombre de los puntos de entrada al sistema de transporte con su respectiva georreferenciación dada en longitud, latitud y altitud. El punto de entrada deberá corresponder con el código asignado por el gestor del mercado</w:t>
      </w:r>
      <w:r w:rsidR="00B42331" w:rsidRPr="00787AE7">
        <w:rPr>
          <w:rFonts w:ascii="Bookman Old Style" w:hAnsi="Bookman Old Style"/>
          <w:bCs/>
          <w:color w:val="000000" w:themeColor="text1"/>
          <w:sz w:val="24"/>
          <w:szCs w:val="24"/>
        </w:rPr>
        <w:t xml:space="preserve"> y se deberá especificar el nombre del tramo de gasoducto sobre el cual se ubica</w:t>
      </w:r>
      <w:r w:rsidRPr="00787AE7">
        <w:rPr>
          <w:rFonts w:ascii="Bookman Old Style" w:hAnsi="Bookman Old Style"/>
          <w:bCs/>
          <w:color w:val="000000" w:themeColor="text1"/>
          <w:sz w:val="24"/>
          <w:szCs w:val="24"/>
        </w:rPr>
        <w:t xml:space="preserve">. En caso de que en el punto de entrada se reciba gas de un sistema de distribución </w:t>
      </w:r>
      <w:r w:rsidRPr="00787AE7">
        <w:rPr>
          <w:rFonts w:ascii="Bookman Old Style" w:hAnsi="Bookman Old Style"/>
          <w:bCs/>
          <w:sz w:val="24"/>
          <w:szCs w:val="24"/>
        </w:rPr>
        <w:t>se deberá indicar el nombre del mercado relevante de distribución y del municipio donde está ubicado el punto de entrada.</w:t>
      </w:r>
    </w:p>
    <w:p w:rsidR="00EB62D8" w:rsidRPr="00787AE7" w:rsidRDefault="00EB62D8" w:rsidP="00EB62D8">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Nombre de puntos de salida asociados a cada tramo o grupo de gasoductos </w:t>
      </w:r>
      <w:r w:rsidR="0090552C" w:rsidRPr="00787AE7">
        <w:rPr>
          <w:rFonts w:ascii="Bookman Old Style" w:hAnsi="Bookman Old Style"/>
          <w:bCs/>
          <w:color w:val="000000" w:themeColor="text1"/>
          <w:sz w:val="24"/>
          <w:szCs w:val="24"/>
        </w:rPr>
        <w:t>definidos en las resoluciones de cargos regulados aprobados por la CREG</w:t>
      </w:r>
      <w:r w:rsidRPr="00787AE7">
        <w:rPr>
          <w:rFonts w:ascii="Bookman Old Style" w:hAnsi="Bookman Old Style"/>
          <w:bCs/>
          <w:color w:val="000000" w:themeColor="text1"/>
          <w:sz w:val="24"/>
          <w:szCs w:val="24"/>
        </w:rPr>
        <w:t xml:space="preserve"> y su respectiva georreferenciación dada en longitud, latitud y altitud. El punto de salida deberá corresponder con el código asignado al punto de salida por el gestor del mercado.</w:t>
      </w:r>
    </w:p>
    <w:p w:rsidR="00EB62D8" w:rsidRPr="00787AE7" w:rsidRDefault="00EB62D8" w:rsidP="00CB5F3B">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Georreferenciación dada en longitud, latitud y altitud de</w:t>
      </w:r>
      <w:r w:rsidR="00CB5F3B" w:rsidRPr="00787AE7">
        <w:rPr>
          <w:rFonts w:ascii="Bookman Old Style" w:hAnsi="Bookman Old Style"/>
          <w:bCs/>
          <w:color w:val="000000" w:themeColor="text1"/>
          <w:sz w:val="24"/>
          <w:szCs w:val="24"/>
        </w:rPr>
        <w:t xml:space="preserve"> (i) e</w:t>
      </w:r>
      <w:r w:rsidRPr="00787AE7">
        <w:rPr>
          <w:rFonts w:ascii="Bookman Old Style" w:hAnsi="Bookman Old Style"/>
          <w:bCs/>
          <w:color w:val="000000" w:themeColor="text1"/>
          <w:sz w:val="24"/>
          <w:szCs w:val="24"/>
        </w:rPr>
        <w:t>l punto sobre el troncal o gasoducto principal del que se desprende un gasoducto ramal</w:t>
      </w:r>
      <w:r w:rsidR="00CB5F3B" w:rsidRPr="00787AE7">
        <w:rPr>
          <w:rFonts w:ascii="Bookman Old Style" w:hAnsi="Bookman Old Style"/>
          <w:bCs/>
          <w:color w:val="000000" w:themeColor="text1"/>
          <w:sz w:val="24"/>
          <w:szCs w:val="24"/>
        </w:rPr>
        <w:t>; e</w:t>
      </w:r>
      <w:r w:rsidR="0090552C" w:rsidRPr="00787AE7">
        <w:rPr>
          <w:rFonts w:ascii="Bookman Old Style" w:hAnsi="Bookman Old Style"/>
          <w:bCs/>
          <w:color w:val="000000" w:themeColor="text1"/>
          <w:sz w:val="24"/>
          <w:szCs w:val="24"/>
        </w:rPr>
        <w:t xml:space="preserve">l transportador </w:t>
      </w:r>
      <w:r w:rsidRPr="00787AE7">
        <w:rPr>
          <w:rFonts w:ascii="Bookman Old Style" w:hAnsi="Bookman Old Style"/>
          <w:bCs/>
          <w:color w:val="000000" w:themeColor="text1"/>
          <w:sz w:val="24"/>
          <w:szCs w:val="24"/>
        </w:rPr>
        <w:t>asignar</w:t>
      </w:r>
      <w:r w:rsidR="0090552C" w:rsidRPr="00787AE7">
        <w:rPr>
          <w:rFonts w:ascii="Bookman Old Style" w:hAnsi="Bookman Old Style"/>
          <w:bCs/>
          <w:color w:val="000000" w:themeColor="text1"/>
          <w:sz w:val="24"/>
          <w:szCs w:val="24"/>
        </w:rPr>
        <w:t>á</w:t>
      </w:r>
      <w:r w:rsidRPr="00787AE7">
        <w:rPr>
          <w:rFonts w:ascii="Bookman Old Style" w:hAnsi="Bookman Old Style"/>
          <w:bCs/>
          <w:color w:val="000000" w:themeColor="text1"/>
          <w:sz w:val="24"/>
          <w:szCs w:val="24"/>
        </w:rPr>
        <w:t xml:space="preserve"> </w:t>
      </w:r>
      <w:r w:rsidR="0090552C" w:rsidRPr="00787AE7">
        <w:rPr>
          <w:rFonts w:ascii="Bookman Old Style" w:hAnsi="Bookman Old Style"/>
          <w:bCs/>
          <w:color w:val="000000" w:themeColor="text1"/>
          <w:sz w:val="24"/>
          <w:szCs w:val="24"/>
        </w:rPr>
        <w:t>y</w:t>
      </w:r>
      <w:r w:rsidRPr="00787AE7">
        <w:rPr>
          <w:rFonts w:ascii="Bookman Old Style" w:hAnsi="Bookman Old Style"/>
          <w:bCs/>
          <w:color w:val="000000" w:themeColor="text1"/>
          <w:sz w:val="24"/>
          <w:szCs w:val="24"/>
        </w:rPr>
        <w:t xml:space="preserve"> </w:t>
      </w:r>
      <w:r w:rsidR="0090552C" w:rsidRPr="00787AE7">
        <w:rPr>
          <w:rFonts w:ascii="Bookman Old Style" w:hAnsi="Bookman Old Style"/>
          <w:bCs/>
          <w:color w:val="000000" w:themeColor="text1"/>
          <w:sz w:val="24"/>
          <w:szCs w:val="24"/>
        </w:rPr>
        <w:t xml:space="preserve">declarará </w:t>
      </w:r>
      <w:r w:rsidRPr="00787AE7">
        <w:rPr>
          <w:rFonts w:ascii="Bookman Old Style" w:hAnsi="Bookman Old Style"/>
          <w:bCs/>
          <w:color w:val="000000" w:themeColor="text1"/>
          <w:sz w:val="24"/>
          <w:szCs w:val="24"/>
        </w:rPr>
        <w:t>un nombre al punto de salida del cual se desprende el respectivo ramal</w:t>
      </w:r>
      <w:r w:rsidR="00CB5F3B" w:rsidRPr="00787AE7">
        <w:rPr>
          <w:rFonts w:ascii="Bookman Old Style" w:hAnsi="Bookman Old Style"/>
          <w:bCs/>
          <w:color w:val="000000" w:themeColor="text1"/>
          <w:sz w:val="24"/>
          <w:szCs w:val="24"/>
        </w:rPr>
        <w:t xml:space="preserve">; (ii) </w:t>
      </w:r>
      <w:r w:rsidR="00CB5F3B" w:rsidRPr="00787AE7" w:rsidDel="00CB5F3B">
        <w:rPr>
          <w:rFonts w:ascii="Bookman Old Style" w:hAnsi="Bookman Old Style"/>
          <w:bCs/>
          <w:color w:val="000000" w:themeColor="text1"/>
          <w:sz w:val="24"/>
          <w:szCs w:val="24"/>
        </w:rPr>
        <w:t xml:space="preserve"> </w:t>
      </w:r>
      <w:r w:rsidRPr="00787AE7">
        <w:rPr>
          <w:rFonts w:ascii="Bookman Old Style" w:hAnsi="Bookman Old Style"/>
          <w:bCs/>
          <w:color w:val="000000" w:themeColor="text1"/>
          <w:sz w:val="24"/>
          <w:szCs w:val="24"/>
        </w:rPr>
        <w:t xml:space="preserve">el punto sobre el sistema de transporte donde termina un tramo de gasoducto, </w:t>
      </w:r>
      <w:r w:rsidR="0090552C" w:rsidRPr="00787AE7">
        <w:rPr>
          <w:rFonts w:ascii="Bookman Old Style" w:hAnsi="Bookman Old Style"/>
          <w:bCs/>
          <w:color w:val="000000" w:themeColor="text1"/>
          <w:sz w:val="24"/>
          <w:szCs w:val="24"/>
        </w:rPr>
        <w:t xml:space="preserve">definido en las </w:t>
      </w:r>
      <w:r w:rsidR="0090552C" w:rsidRPr="00787AE7">
        <w:rPr>
          <w:rFonts w:ascii="Bookman Old Style" w:hAnsi="Bookman Old Style"/>
          <w:bCs/>
          <w:color w:val="000000" w:themeColor="text1"/>
          <w:sz w:val="24"/>
          <w:szCs w:val="24"/>
        </w:rPr>
        <w:lastRenderedPageBreak/>
        <w:t>resoluciones de cargos regulados aprobados por la CREG</w:t>
      </w:r>
      <w:r w:rsidRPr="00787AE7">
        <w:rPr>
          <w:rFonts w:ascii="Bookman Old Style" w:hAnsi="Bookman Old Style"/>
          <w:bCs/>
          <w:color w:val="000000" w:themeColor="text1"/>
          <w:sz w:val="24"/>
          <w:szCs w:val="24"/>
        </w:rPr>
        <w:t>, e inicia el siguiente tramo</w:t>
      </w:r>
      <w:r w:rsidR="00CB5F3B" w:rsidRPr="00787AE7">
        <w:rPr>
          <w:rFonts w:ascii="Bookman Old Style" w:hAnsi="Bookman Old Style"/>
          <w:bCs/>
          <w:color w:val="000000" w:themeColor="text1"/>
          <w:sz w:val="24"/>
          <w:szCs w:val="24"/>
        </w:rPr>
        <w:t>; e</w:t>
      </w:r>
      <w:r w:rsidR="0090552C" w:rsidRPr="00787AE7">
        <w:rPr>
          <w:rFonts w:ascii="Bookman Old Style" w:hAnsi="Bookman Old Style"/>
          <w:bCs/>
          <w:color w:val="000000" w:themeColor="text1"/>
          <w:sz w:val="24"/>
          <w:szCs w:val="24"/>
        </w:rPr>
        <w:t xml:space="preserve">l transportador </w:t>
      </w:r>
      <w:r w:rsidRPr="00787AE7">
        <w:rPr>
          <w:rFonts w:ascii="Bookman Old Style" w:hAnsi="Bookman Old Style"/>
          <w:bCs/>
          <w:color w:val="000000" w:themeColor="text1"/>
          <w:sz w:val="24"/>
          <w:szCs w:val="24"/>
        </w:rPr>
        <w:t>asignar</w:t>
      </w:r>
      <w:r w:rsidR="0090552C" w:rsidRPr="00787AE7">
        <w:rPr>
          <w:rFonts w:ascii="Bookman Old Style" w:hAnsi="Bookman Old Style"/>
          <w:bCs/>
          <w:color w:val="000000" w:themeColor="text1"/>
          <w:sz w:val="24"/>
          <w:szCs w:val="24"/>
        </w:rPr>
        <w:t>á</w:t>
      </w:r>
      <w:r w:rsidRPr="00787AE7">
        <w:rPr>
          <w:rFonts w:ascii="Bookman Old Style" w:hAnsi="Bookman Old Style"/>
          <w:bCs/>
          <w:color w:val="000000" w:themeColor="text1"/>
          <w:sz w:val="24"/>
          <w:szCs w:val="24"/>
        </w:rPr>
        <w:t xml:space="preserve"> </w:t>
      </w:r>
      <w:r w:rsidR="0090552C" w:rsidRPr="00787AE7">
        <w:rPr>
          <w:rFonts w:ascii="Bookman Old Style" w:hAnsi="Bookman Old Style"/>
          <w:bCs/>
          <w:color w:val="000000" w:themeColor="text1"/>
          <w:sz w:val="24"/>
          <w:szCs w:val="24"/>
        </w:rPr>
        <w:t>y</w:t>
      </w:r>
      <w:r w:rsidRPr="00787AE7">
        <w:rPr>
          <w:rFonts w:ascii="Bookman Old Style" w:hAnsi="Bookman Old Style"/>
          <w:bCs/>
          <w:color w:val="000000" w:themeColor="text1"/>
          <w:sz w:val="24"/>
          <w:szCs w:val="24"/>
        </w:rPr>
        <w:t xml:space="preserve"> </w:t>
      </w:r>
      <w:r w:rsidR="0090552C" w:rsidRPr="00787AE7">
        <w:rPr>
          <w:rFonts w:ascii="Bookman Old Style" w:hAnsi="Bookman Old Style"/>
          <w:bCs/>
          <w:color w:val="000000" w:themeColor="text1"/>
          <w:sz w:val="24"/>
          <w:szCs w:val="24"/>
        </w:rPr>
        <w:t xml:space="preserve">declarará </w:t>
      </w:r>
      <w:r w:rsidRPr="00787AE7">
        <w:rPr>
          <w:rFonts w:ascii="Bookman Old Style" w:hAnsi="Bookman Old Style"/>
          <w:bCs/>
          <w:color w:val="000000" w:themeColor="text1"/>
          <w:sz w:val="24"/>
          <w:szCs w:val="24"/>
        </w:rPr>
        <w:t>un nombre para este punto</w:t>
      </w:r>
      <w:r w:rsidR="00CB5F3B" w:rsidRPr="00787AE7">
        <w:rPr>
          <w:rFonts w:ascii="Bookman Old Style" w:hAnsi="Bookman Old Style"/>
          <w:bCs/>
          <w:color w:val="000000" w:themeColor="text1"/>
          <w:sz w:val="24"/>
          <w:szCs w:val="24"/>
        </w:rPr>
        <w:t xml:space="preserve">; (iii) el punto sobre sistema donde se ubica una estación de compresión; el transportador asignará y declarará un nombre para la respectiva estación de compresión; (iv) punto donde se presenta transferencia de custodia entre </w:t>
      </w:r>
      <w:proofErr w:type="spellStart"/>
      <w:r w:rsidR="00CB5F3B" w:rsidRPr="00787AE7">
        <w:rPr>
          <w:rFonts w:ascii="Bookman Old Style" w:hAnsi="Bookman Old Style"/>
          <w:bCs/>
          <w:color w:val="000000" w:themeColor="text1"/>
          <w:sz w:val="24"/>
          <w:szCs w:val="24"/>
        </w:rPr>
        <w:t>transprotadores</w:t>
      </w:r>
      <w:proofErr w:type="spellEnd"/>
      <w:r w:rsidR="00CB5F3B" w:rsidRPr="00787AE7">
        <w:rPr>
          <w:rFonts w:ascii="Bookman Old Style" w:hAnsi="Bookman Old Style"/>
          <w:bCs/>
          <w:color w:val="000000" w:themeColor="text1"/>
          <w:sz w:val="24"/>
          <w:szCs w:val="24"/>
        </w:rPr>
        <w:t>; el transportador asignará y declarará un nombre para este punto y declarará el nombre del transportador a quien le transfiere la custodia del gas en ese punto</w:t>
      </w:r>
      <w:r w:rsidRPr="00787AE7">
        <w:rPr>
          <w:rFonts w:ascii="Bookman Old Style" w:hAnsi="Bookman Old Style"/>
          <w:bCs/>
          <w:color w:val="000000" w:themeColor="text1"/>
          <w:sz w:val="24"/>
          <w:szCs w:val="24"/>
        </w:rPr>
        <w:t>.</w:t>
      </w:r>
      <w:r w:rsidR="000B623A" w:rsidRPr="00787AE7">
        <w:rPr>
          <w:rFonts w:ascii="Bookman Old Style" w:hAnsi="Bookman Old Style"/>
          <w:bCs/>
          <w:color w:val="000000" w:themeColor="text1"/>
          <w:sz w:val="24"/>
          <w:szCs w:val="24"/>
        </w:rPr>
        <w:t xml:space="preserve"> Esta información de georreferenciación no será pública y sólo podrá ser utilizad</w:t>
      </w:r>
      <w:r w:rsidR="003C2C22" w:rsidRPr="00787AE7">
        <w:rPr>
          <w:rFonts w:ascii="Bookman Old Style" w:hAnsi="Bookman Old Style"/>
          <w:bCs/>
          <w:color w:val="000000" w:themeColor="text1"/>
          <w:sz w:val="24"/>
          <w:szCs w:val="24"/>
        </w:rPr>
        <w:t>a</w:t>
      </w:r>
      <w:r w:rsidR="000B623A" w:rsidRPr="00787AE7">
        <w:rPr>
          <w:rFonts w:ascii="Bookman Old Style" w:hAnsi="Bookman Old Style"/>
          <w:bCs/>
          <w:color w:val="000000" w:themeColor="text1"/>
          <w:sz w:val="24"/>
          <w:szCs w:val="24"/>
        </w:rPr>
        <w:t xml:space="preserve"> por las entidades </w:t>
      </w:r>
      <w:r w:rsidR="00763DFF" w:rsidRPr="00787AE7">
        <w:rPr>
          <w:rFonts w:ascii="Bookman Old Style" w:hAnsi="Bookman Old Style"/>
          <w:bCs/>
          <w:color w:val="000000" w:themeColor="text1"/>
          <w:sz w:val="24"/>
          <w:szCs w:val="24"/>
        </w:rPr>
        <w:t xml:space="preserve">del Estado </w:t>
      </w:r>
      <w:r w:rsidR="000B623A" w:rsidRPr="00787AE7">
        <w:rPr>
          <w:rFonts w:ascii="Bookman Old Style" w:hAnsi="Bookman Old Style"/>
          <w:bCs/>
          <w:color w:val="000000" w:themeColor="text1"/>
          <w:sz w:val="24"/>
          <w:szCs w:val="24"/>
        </w:rPr>
        <w:t xml:space="preserve">que la requieran para el ejercicio de sus funciones.  </w:t>
      </w:r>
    </w:p>
    <w:p w:rsidR="00906A3A" w:rsidRPr="00787AE7" w:rsidRDefault="00906A3A" w:rsidP="00EC0D1F">
      <w:pPr>
        <w:autoSpaceDE w:val="0"/>
        <w:autoSpaceDN w:val="0"/>
        <w:adjustRightInd w:val="0"/>
        <w:jc w:val="both"/>
        <w:rPr>
          <w:rFonts w:ascii="Bookman Old Style" w:hAnsi="Bookman Old Style"/>
          <w:bCs/>
          <w:color w:val="000000" w:themeColor="text1"/>
        </w:rPr>
      </w:pPr>
    </w:p>
    <w:p w:rsidR="00DA0241" w:rsidRPr="00787AE7" w:rsidRDefault="00906A3A" w:rsidP="00EC0D1F">
      <w:pPr>
        <w:pStyle w:val="Prrafodelista"/>
        <w:numPr>
          <w:ilvl w:val="0"/>
          <w:numId w:val="10"/>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Los comercializadores que atienden usuarios finales deberán declarar al gestor</w:t>
      </w:r>
      <w:r w:rsidR="00DA0241" w:rsidRPr="00787AE7">
        <w:rPr>
          <w:rFonts w:ascii="Bookman Old Style" w:hAnsi="Bookman Old Style"/>
          <w:bCs/>
          <w:color w:val="000000" w:themeColor="text1"/>
          <w:sz w:val="24"/>
          <w:szCs w:val="24"/>
        </w:rPr>
        <w:t xml:space="preserve">, dentro de los primeros 10 días hábiles de cada mes, la siguiente información: </w:t>
      </w:r>
    </w:p>
    <w:p w:rsidR="00DA0241" w:rsidRPr="00787AE7" w:rsidRDefault="00DA0241" w:rsidP="00EC0D1F">
      <w:pPr>
        <w:pStyle w:val="Prrafodelista"/>
        <w:autoSpaceDE w:val="0"/>
        <w:autoSpaceDN w:val="0"/>
        <w:adjustRightInd w:val="0"/>
        <w:ind w:left="1287"/>
        <w:jc w:val="both"/>
        <w:rPr>
          <w:rFonts w:ascii="Bookman Old Style" w:hAnsi="Bookman Old Style"/>
          <w:bCs/>
          <w:color w:val="000000" w:themeColor="text1"/>
          <w:sz w:val="24"/>
          <w:szCs w:val="24"/>
        </w:rPr>
      </w:pPr>
    </w:p>
    <w:p w:rsidR="00144BAE" w:rsidRPr="00787AE7" w:rsidRDefault="00144BAE">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Nombre de los mercados relevantes de comercialización en los que atiende usuarios finales.</w:t>
      </w:r>
    </w:p>
    <w:p w:rsidR="00144BAE" w:rsidRPr="00787AE7" w:rsidRDefault="00144BAE">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Cantidad de energía consumida en el mes anterior por los usuarios atendidos por el comercializador y desagregada para cada uno de </w:t>
      </w:r>
      <w:r w:rsidR="007708CA" w:rsidRPr="00787AE7">
        <w:rPr>
          <w:rFonts w:ascii="Bookman Old Style" w:hAnsi="Bookman Old Style"/>
          <w:bCs/>
          <w:color w:val="000000" w:themeColor="text1"/>
          <w:sz w:val="24"/>
          <w:szCs w:val="24"/>
        </w:rPr>
        <w:t>sus</w:t>
      </w:r>
      <w:r w:rsidRPr="00787AE7">
        <w:rPr>
          <w:rFonts w:ascii="Bookman Old Style" w:hAnsi="Bookman Old Style"/>
          <w:bCs/>
          <w:color w:val="000000" w:themeColor="text1"/>
          <w:sz w:val="24"/>
          <w:szCs w:val="24"/>
        </w:rPr>
        <w:t xml:space="preserve"> mercados relevantes de comercialización</w:t>
      </w:r>
      <w:r w:rsidR="007F0783" w:rsidRPr="00787AE7">
        <w:rPr>
          <w:rFonts w:ascii="Bookman Old Style" w:hAnsi="Bookman Old Style"/>
          <w:bCs/>
          <w:color w:val="000000" w:themeColor="text1"/>
          <w:sz w:val="24"/>
          <w:szCs w:val="24"/>
        </w:rPr>
        <w:t xml:space="preserve"> y </w:t>
      </w:r>
      <w:r w:rsidR="007708CA" w:rsidRPr="00787AE7">
        <w:rPr>
          <w:rFonts w:ascii="Bookman Old Style" w:hAnsi="Bookman Old Style"/>
          <w:bCs/>
          <w:color w:val="000000" w:themeColor="text1"/>
          <w:sz w:val="24"/>
          <w:szCs w:val="24"/>
        </w:rPr>
        <w:t xml:space="preserve">por tipo de demanda </w:t>
      </w:r>
      <w:r w:rsidR="007708CA" w:rsidRPr="00787AE7">
        <w:rPr>
          <w:rFonts w:ascii="Bookman Old Style" w:hAnsi="Bookman Old Style" w:cs="Arial"/>
          <w:color w:val="000000" w:themeColor="text1"/>
          <w:sz w:val="24"/>
          <w:szCs w:val="24"/>
          <w:lang w:val="es-ES" w:eastAsia="es-ES"/>
        </w:rPr>
        <w:t xml:space="preserve">residencial, comercial, industrial, </w:t>
      </w:r>
      <w:r w:rsidR="00275EDD" w:rsidRPr="00787AE7">
        <w:rPr>
          <w:rFonts w:ascii="Bookman Old Style" w:hAnsi="Bookman Old Style" w:cs="Arial"/>
          <w:color w:val="000000" w:themeColor="text1"/>
          <w:sz w:val="24"/>
          <w:szCs w:val="24"/>
          <w:lang w:val="es-ES" w:eastAsia="es-ES"/>
        </w:rPr>
        <w:t xml:space="preserve">gas para transportadores, </w:t>
      </w:r>
      <w:r w:rsidR="007708CA" w:rsidRPr="00787AE7">
        <w:rPr>
          <w:rFonts w:ascii="Bookman Old Style" w:hAnsi="Bookman Old Style" w:cs="Arial"/>
          <w:color w:val="000000" w:themeColor="text1"/>
          <w:sz w:val="24"/>
          <w:szCs w:val="24"/>
          <w:lang w:val="es-ES" w:eastAsia="es-ES"/>
        </w:rPr>
        <w:t>petroquímica, refinería, gas natural vehicular comprimido, plantas térmicas u otros, expresada en MBTU</w:t>
      </w:r>
      <w:r w:rsidRPr="00787AE7">
        <w:rPr>
          <w:rFonts w:ascii="Bookman Old Style" w:hAnsi="Bookman Old Style"/>
          <w:bCs/>
          <w:color w:val="000000" w:themeColor="text1"/>
          <w:sz w:val="24"/>
          <w:szCs w:val="24"/>
        </w:rPr>
        <w:t>.</w:t>
      </w:r>
    </w:p>
    <w:p w:rsidR="00CD6729" w:rsidRPr="00787AE7" w:rsidRDefault="00CD6729" w:rsidP="00CD6729">
      <w:pPr>
        <w:pStyle w:val="Prrafodelista"/>
        <w:autoSpaceDE w:val="0"/>
        <w:autoSpaceDN w:val="0"/>
        <w:adjustRightInd w:val="0"/>
        <w:ind w:left="1647"/>
        <w:jc w:val="both"/>
        <w:rPr>
          <w:rFonts w:ascii="Bookman Old Style" w:hAnsi="Bookman Old Style"/>
          <w:bCs/>
          <w:color w:val="000000" w:themeColor="text1"/>
          <w:sz w:val="24"/>
          <w:szCs w:val="24"/>
        </w:rPr>
      </w:pPr>
    </w:p>
    <w:p w:rsidR="00CD6729" w:rsidRPr="00787AE7" w:rsidRDefault="00CD6729" w:rsidP="00CD6729">
      <w:pPr>
        <w:pStyle w:val="Prrafodelista"/>
        <w:numPr>
          <w:ilvl w:val="0"/>
          <w:numId w:val="10"/>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Los transportadores que posean estaciones de compresión en su</w:t>
      </w:r>
      <w:r w:rsidR="00935478" w:rsidRPr="00787AE7">
        <w:rPr>
          <w:rFonts w:ascii="Bookman Old Style" w:hAnsi="Bookman Old Style"/>
          <w:bCs/>
          <w:color w:val="000000" w:themeColor="text1"/>
          <w:sz w:val="24"/>
          <w:szCs w:val="24"/>
        </w:rPr>
        <w:t>s</w:t>
      </w:r>
      <w:r w:rsidRPr="00787AE7">
        <w:rPr>
          <w:rFonts w:ascii="Bookman Old Style" w:hAnsi="Bookman Old Style"/>
          <w:bCs/>
          <w:color w:val="000000" w:themeColor="text1"/>
          <w:sz w:val="24"/>
          <w:szCs w:val="24"/>
        </w:rPr>
        <w:t xml:space="preserve"> sistemas de transporte deberán declarar al gestor del mercado, dentro de los primeros 10 días hábiles de cada mes, la siguiente información del mes anterior para cada estación de compresión: </w:t>
      </w:r>
    </w:p>
    <w:p w:rsidR="00CD6729" w:rsidRPr="00787AE7" w:rsidRDefault="00CD6729" w:rsidP="00CD6729">
      <w:pPr>
        <w:pStyle w:val="Prrafodelista"/>
        <w:autoSpaceDE w:val="0"/>
        <w:autoSpaceDN w:val="0"/>
        <w:adjustRightInd w:val="0"/>
        <w:ind w:left="1287"/>
        <w:jc w:val="both"/>
        <w:rPr>
          <w:rFonts w:ascii="Bookman Old Style" w:hAnsi="Bookman Old Style"/>
          <w:bCs/>
          <w:color w:val="000000" w:themeColor="text1"/>
          <w:sz w:val="24"/>
          <w:szCs w:val="24"/>
        </w:rPr>
      </w:pPr>
    </w:p>
    <w:p w:rsidR="00CD6729" w:rsidRPr="00787AE7" w:rsidRDefault="00CD6729" w:rsidP="00CD6729">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Nombre de la estación de compresión</w:t>
      </w:r>
    </w:p>
    <w:p w:rsidR="00CD6729" w:rsidRPr="00787AE7" w:rsidRDefault="00CD6729" w:rsidP="00CD6729">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Horas de uso de la estación</w:t>
      </w:r>
    </w:p>
    <w:p w:rsidR="00570956" w:rsidRPr="00787AE7" w:rsidRDefault="004B5DD8" w:rsidP="00CD6729">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 xml:space="preserve">Factor del carga </w:t>
      </w:r>
      <w:r w:rsidR="00570956" w:rsidRPr="00787AE7">
        <w:rPr>
          <w:rFonts w:ascii="Bookman Old Style" w:hAnsi="Bookman Old Style"/>
          <w:bCs/>
          <w:color w:val="000000" w:themeColor="text1"/>
          <w:sz w:val="24"/>
          <w:szCs w:val="24"/>
        </w:rPr>
        <w:t>para cada uno de los días del respectivo mes entendido como la relación entre la potencia entregada y la potencia nominal de la estación</w:t>
      </w:r>
    </w:p>
    <w:p w:rsidR="00CD6729" w:rsidRPr="00787AE7" w:rsidRDefault="00570956" w:rsidP="00CD6729">
      <w:pPr>
        <w:pStyle w:val="Prrafodelista"/>
        <w:numPr>
          <w:ilvl w:val="0"/>
          <w:numId w:val="7"/>
        </w:numPr>
        <w:autoSpaceDE w:val="0"/>
        <w:autoSpaceDN w:val="0"/>
        <w:adjustRightInd w:val="0"/>
        <w:jc w:val="both"/>
        <w:rPr>
          <w:rFonts w:ascii="Bookman Old Style" w:hAnsi="Bookman Old Style"/>
          <w:bCs/>
          <w:color w:val="000000" w:themeColor="text1"/>
          <w:sz w:val="24"/>
          <w:szCs w:val="24"/>
        </w:rPr>
      </w:pPr>
      <w:r w:rsidRPr="00787AE7">
        <w:rPr>
          <w:rFonts w:ascii="Bookman Old Style" w:hAnsi="Bookman Old Style"/>
          <w:bCs/>
          <w:color w:val="000000" w:themeColor="text1"/>
          <w:sz w:val="24"/>
          <w:szCs w:val="24"/>
        </w:rPr>
        <w:t>Consumo de combustible o energía durante el respectivo mes en MBTU</w:t>
      </w:r>
      <w:r w:rsidR="00CD6729" w:rsidRPr="00787AE7">
        <w:rPr>
          <w:rFonts w:ascii="Bookman Old Style" w:hAnsi="Bookman Old Style"/>
          <w:bCs/>
          <w:color w:val="000000" w:themeColor="text1"/>
          <w:sz w:val="24"/>
          <w:szCs w:val="24"/>
        </w:rPr>
        <w:t xml:space="preserve"> </w:t>
      </w:r>
    </w:p>
    <w:p w:rsidR="00144BAE" w:rsidRPr="00787AE7" w:rsidRDefault="00144BAE" w:rsidP="00EC0D1F">
      <w:pPr>
        <w:pStyle w:val="Prrafodelista"/>
        <w:autoSpaceDE w:val="0"/>
        <w:autoSpaceDN w:val="0"/>
        <w:adjustRightInd w:val="0"/>
        <w:ind w:left="1647"/>
        <w:jc w:val="both"/>
        <w:rPr>
          <w:rFonts w:ascii="Bookman Old Style" w:hAnsi="Bookman Old Style"/>
          <w:bCs/>
          <w:color w:val="000000" w:themeColor="text1"/>
          <w:sz w:val="24"/>
          <w:szCs w:val="24"/>
        </w:rPr>
      </w:pPr>
    </w:p>
    <w:p w:rsidR="004C7AF1" w:rsidRPr="00787AE7" w:rsidRDefault="004C7AF1" w:rsidP="004C7AF1">
      <w:pPr>
        <w:autoSpaceDE w:val="0"/>
        <w:autoSpaceDN w:val="0"/>
        <w:adjustRightInd w:val="0"/>
        <w:ind w:left="0"/>
        <w:jc w:val="both"/>
        <w:rPr>
          <w:rFonts w:ascii="Bookman Old Style" w:hAnsi="Bookman Old Style"/>
          <w:bCs/>
          <w:color w:val="000000" w:themeColor="text1"/>
        </w:rPr>
      </w:pPr>
      <w:r w:rsidRPr="00787AE7">
        <w:rPr>
          <w:rFonts w:ascii="Bookman Old Style" w:hAnsi="Bookman Old Style" w:cs="Arial"/>
          <w:color w:val="000000" w:themeColor="text1"/>
        </w:rPr>
        <w:t>El gestor del mercado definirá el medio y los formatos para la declaración de la información señalada en este artículo”.</w:t>
      </w:r>
    </w:p>
    <w:p w:rsidR="004C7AF1" w:rsidRPr="00787AE7" w:rsidRDefault="004C7AF1" w:rsidP="00EC0D1F">
      <w:pPr>
        <w:pStyle w:val="Prrafodelista"/>
        <w:autoSpaceDE w:val="0"/>
        <w:autoSpaceDN w:val="0"/>
        <w:adjustRightInd w:val="0"/>
        <w:ind w:left="1647"/>
        <w:jc w:val="both"/>
        <w:rPr>
          <w:rFonts w:ascii="Bookman Old Style" w:hAnsi="Bookman Old Style"/>
          <w:bCs/>
          <w:color w:val="000000" w:themeColor="text1"/>
          <w:sz w:val="24"/>
          <w:szCs w:val="24"/>
        </w:rPr>
      </w:pPr>
    </w:p>
    <w:p w:rsidR="00816F10" w:rsidRPr="00787AE7" w:rsidRDefault="00816F10" w:rsidP="00816F10">
      <w:pPr>
        <w:pStyle w:val="ARTICULOS"/>
        <w:tabs>
          <w:tab w:val="left" w:pos="1560"/>
        </w:tabs>
        <w:ind w:left="0" w:firstLine="0"/>
        <w:rPr>
          <w:rFonts w:cs="Arial"/>
          <w:color w:val="000000" w:themeColor="text1"/>
          <w:lang w:val="es-CO"/>
        </w:rPr>
      </w:pPr>
      <w:r w:rsidRPr="00787AE7">
        <w:rPr>
          <w:rFonts w:cs="Arial"/>
          <w:b/>
          <w:color w:val="000000" w:themeColor="text1"/>
          <w:lang w:val="es-ES"/>
        </w:rPr>
        <w:t xml:space="preserve">Modifíquense los numerales </w:t>
      </w:r>
      <w:r w:rsidR="002B54A6" w:rsidRPr="00787AE7">
        <w:rPr>
          <w:rFonts w:cs="Arial"/>
          <w:b/>
          <w:color w:val="000000" w:themeColor="text1"/>
          <w:lang w:val="es-ES"/>
        </w:rPr>
        <w:t xml:space="preserve">ii, </w:t>
      </w:r>
      <w:r w:rsidRPr="00787AE7">
        <w:rPr>
          <w:rFonts w:cs="Arial"/>
          <w:b/>
          <w:color w:val="000000" w:themeColor="text1"/>
          <w:lang w:val="es-ES"/>
        </w:rPr>
        <w:t>vi y vii del literal b) del numeral 4.2 del Anexo 2 de la Resolución CREG 089 de 2013.</w:t>
      </w:r>
      <w:r w:rsidR="004F5405" w:rsidRPr="00787AE7">
        <w:rPr>
          <w:rFonts w:cs="Arial"/>
          <w:b/>
          <w:color w:val="000000" w:themeColor="text1"/>
          <w:lang w:val="es-ES"/>
        </w:rPr>
        <w:t xml:space="preserve"> </w:t>
      </w:r>
      <w:r w:rsidRPr="00787AE7">
        <w:rPr>
          <w:rFonts w:cs="Arial"/>
          <w:color w:val="000000" w:themeColor="text1"/>
          <w:lang w:val="es-ES"/>
        </w:rPr>
        <w:t>Los</w:t>
      </w:r>
      <w:r w:rsidRPr="00787AE7">
        <w:rPr>
          <w:rFonts w:cs="Arial"/>
          <w:color w:val="000000" w:themeColor="text1"/>
          <w:lang w:val="es-CO"/>
        </w:rPr>
        <w:t xml:space="preserve"> numerales </w:t>
      </w:r>
      <w:r w:rsidR="00E36CBF" w:rsidRPr="00787AE7">
        <w:rPr>
          <w:rFonts w:cs="Arial"/>
          <w:color w:val="000000" w:themeColor="text1"/>
          <w:lang w:val="es-CO"/>
        </w:rPr>
        <w:t>i</w:t>
      </w:r>
      <w:r w:rsidRPr="00787AE7">
        <w:rPr>
          <w:rFonts w:cs="Arial"/>
          <w:color w:val="000000" w:themeColor="text1"/>
          <w:lang w:val="es-CO"/>
        </w:rPr>
        <w:t>i</w:t>
      </w:r>
      <w:r w:rsidR="00E36CBF" w:rsidRPr="00787AE7">
        <w:rPr>
          <w:rFonts w:cs="Arial"/>
          <w:color w:val="000000" w:themeColor="text1"/>
          <w:lang w:val="es-CO"/>
        </w:rPr>
        <w:t>, vi</w:t>
      </w:r>
      <w:r w:rsidRPr="00787AE7">
        <w:rPr>
          <w:rFonts w:cs="Arial"/>
          <w:color w:val="000000" w:themeColor="text1"/>
          <w:lang w:val="es-CO"/>
        </w:rPr>
        <w:t xml:space="preserve"> y vii del literal b) del numeral 4.2 del Anexo 2 de la Resolución CREG 089 de 2013 quedarán así:</w:t>
      </w:r>
      <w:r w:rsidR="00B7309D" w:rsidRPr="00787AE7">
        <w:rPr>
          <w:rFonts w:cs="Arial"/>
          <w:color w:val="000000" w:themeColor="text1"/>
          <w:lang w:val="es-CO"/>
        </w:rPr>
        <w:t xml:space="preserve"> </w:t>
      </w:r>
    </w:p>
    <w:p w:rsidR="00816F10" w:rsidRPr="00787AE7" w:rsidRDefault="00816F10" w:rsidP="00483BFD">
      <w:pPr>
        <w:pStyle w:val="ARTICULOS"/>
        <w:numPr>
          <w:ilvl w:val="0"/>
          <w:numId w:val="0"/>
        </w:numPr>
        <w:tabs>
          <w:tab w:val="left" w:pos="1560"/>
        </w:tabs>
        <w:rPr>
          <w:rFonts w:cs="Arial"/>
          <w:color w:val="000000" w:themeColor="text1"/>
          <w:lang w:val="es-CO"/>
        </w:rPr>
      </w:pPr>
    </w:p>
    <w:p w:rsidR="0030294E" w:rsidRPr="00787AE7" w:rsidRDefault="002B54A6" w:rsidP="002B54A6">
      <w:pPr>
        <w:pStyle w:val="ARTICULOS"/>
        <w:numPr>
          <w:ilvl w:val="0"/>
          <w:numId w:val="0"/>
        </w:numPr>
        <w:tabs>
          <w:tab w:val="left" w:pos="1560"/>
        </w:tabs>
        <w:ind w:left="567" w:hanging="567"/>
        <w:rPr>
          <w:rFonts w:cs="Arial"/>
          <w:color w:val="000000" w:themeColor="text1"/>
          <w:lang w:val="es-ES" w:eastAsia="es-ES"/>
        </w:rPr>
      </w:pPr>
      <w:r w:rsidRPr="00787AE7">
        <w:rPr>
          <w:rFonts w:cs="Arial"/>
          <w:color w:val="000000" w:themeColor="text1"/>
          <w:lang w:val="es-ES" w:eastAsia="es-ES"/>
        </w:rPr>
        <w:t>“</w:t>
      </w:r>
      <w:r w:rsidR="004F5405" w:rsidRPr="00787AE7">
        <w:rPr>
          <w:rFonts w:cs="Arial"/>
          <w:color w:val="000000" w:themeColor="text1"/>
          <w:lang w:val="es-ES" w:eastAsia="es-ES"/>
        </w:rPr>
        <w:t>i</w:t>
      </w:r>
      <w:r w:rsidRPr="00787AE7">
        <w:rPr>
          <w:rFonts w:cs="Arial"/>
          <w:color w:val="000000" w:themeColor="text1"/>
          <w:lang w:val="es-ES" w:eastAsia="es-ES"/>
        </w:rPr>
        <w:t xml:space="preserve">i. </w:t>
      </w:r>
      <w:r w:rsidR="004F5405" w:rsidRPr="00787AE7">
        <w:rPr>
          <w:rFonts w:cs="Arial"/>
          <w:color w:val="000000" w:themeColor="text1"/>
          <w:lang w:val="es-ES" w:eastAsia="es-ES"/>
        </w:rPr>
        <w:t xml:space="preserve">  </w:t>
      </w:r>
      <w:r w:rsidRPr="00787AE7">
        <w:rPr>
          <w:rFonts w:cs="Arial"/>
          <w:color w:val="000000" w:themeColor="text1"/>
          <w:lang w:val="es-ES" w:eastAsia="es-ES"/>
        </w:rPr>
        <w:t xml:space="preserve">La cantidad total de energía tomada y la transportada diariamente de cada tramo de gasoducto definido para efectos tarifarios y </w:t>
      </w:r>
      <w:r w:rsidR="00C13FF7" w:rsidRPr="00787AE7">
        <w:rPr>
          <w:rFonts w:cs="Arial"/>
          <w:color w:val="000000" w:themeColor="text1"/>
          <w:lang w:val="es-ES" w:eastAsia="es-ES"/>
        </w:rPr>
        <w:t xml:space="preserve">el total </w:t>
      </w:r>
      <w:r w:rsidRPr="00787AE7">
        <w:rPr>
          <w:rFonts w:cs="Arial"/>
          <w:color w:val="000000" w:themeColor="text1"/>
          <w:lang w:val="es-ES" w:eastAsia="es-ES"/>
        </w:rPr>
        <w:t xml:space="preserve">de </w:t>
      </w:r>
      <w:r w:rsidR="00C13FF7" w:rsidRPr="00787AE7">
        <w:rPr>
          <w:rFonts w:cs="Arial"/>
          <w:color w:val="000000" w:themeColor="text1"/>
          <w:lang w:val="es-ES" w:eastAsia="es-ES"/>
        </w:rPr>
        <w:t xml:space="preserve">energía tomada de </w:t>
      </w:r>
      <w:r w:rsidRPr="00787AE7">
        <w:rPr>
          <w:rFonts w:cs="Arial"/>
          <w:color w:val="000000" w:themeColor="text1"/>
          <w:lang w:val="es-ES" w:eastAsia="es-ES"/>
        </w:rPr>
        <w:t>cada sistema de transporte, expresada en MBTU</w:t>
      </w:r>
      <w:r w:rsidR="00C13FF7" w:rsidRPr="00787AE7">
        <w:rPr>
          <w:rFonts w:cs="Arial"/>
          <w:color w:val="000000" w:themeColor="text1"/>
          <w:lang w:val="es-ES" w:eastAsia="es-ES"/>
        </w:rPr>
        <w:t xml:space="preserve">. </w:t>
      </w:r>
      <w:r w:rsidR="00D01BF2" w:rsidRPr="00787AE7">
        <w:rPr>
          <w:rFonts w:cs="Arial"/>
          <w:color w:val="000000" w:themeColor="text1"/>
          <w:lang w:val="es-ES" w:eastAsia="es-ES"/>
        </w:rPr>
        <w:t xml:space="preserve">El total de energía tomada de cada tramo y del sistema de transporte deberá estar </w:t>
      </w:r>
      <w:r w:rsidR="00B32017" w:rsidRPr="00787AE7">
        <w:rPr>
          <w:rFonts w:cs="Arial"/>
          <w:color w:val="000000" w:themeColor="text1"/>
          <w:lang w:val="es-ES" w:eastAsia="es-ES"/>
        </w:rPr>
        <w:lastRenderedPageBreak/>
        <w:t>determinada por tipo de demanda no regulada la cual deberá ser desagregada en comercial, industrial, gas para transportadores, petroquímica, refinería, gas natural vehicular comprimido, plantas de generación térmica u otros y demanda regulada la cual deberá ser desagregada en residencia</w:t>
      </w:r>
      <w:r w:rsidR="007C4B28" w:rsidRPr="00787AE7">
        <w:rPr>
          <w:rFonts w:cs="Arial"/>
          <w:color w:val="000000" w:themeColor="text1"/>
          <w:lang w:val="es-ES" w:eastAsia="es-ES"/>
        </w:rPr>
        <w:t>l</w:t>
      </w:r>
      <w:r w:rsidR="00B32017" w:rsidRPr="00787AE7">
        <w:rPr>
          <w:rFonts w:cs="Arial"/>
          <w:color w:val="000000" w:themeColor="text1"/>
          <w:lang w:val="es-ES" w:eastAsia="es-ES"/>
        </w:rPr>
        <w:t>, comercial, industrial, gas para transportadores, petroquímica, gas natural vehicular comprimido u otros</w:t>
      </w:r>
      <w:r w:rsidRPr="00787AE7">
        <w:rPr>
          <w:rFonts w:cs="Arial"/>
          <w:color w:val="000000" w:themeColor="text1"/>
          <w:lang w:val="es-ES" w:eastAsia="es-ES"/>
        </w:rPr>
        <w:t>.</w:t>
      </w:r>
      <w:r w:rsidR="0001482B" w:rsidRPr="00787AE7">
        <w:rPr>
          <w:rFonts w:cs="Arial"/>
          <w:color w:val="000000" w:themeColor="text1"/>
          <w:lang w:val="es-ES" w:eastAsia="es-ES"/>
        </w:rPr>
        <w:t xml:space="preserve"> </w:t>
      </w:r>
    </w:p>
    <w:p w:rsidR="0030294E" w:rsidRPr="00787AE7" w:rsidRDefault="0030294E" w:rsidP="002B54A6">
      <w:pPr>
        <w:pStyle w:val="ARTICULOS"/>
        <w:numPr>
          <w:ilvl w:val="0"/>
          <w:numId w:val="0"/>
        </w:numPr>
        <w:tabs>
          <w:tab w:val="left" w:pos="1560"/>
        </w:tabs>
        <w:ind w:left="567" w:hanging="567"/>
        <w:rPr>
          <w:rFonts w:cs="Arial"/>
          <w:color w:val="000000" w:themeColor="text1"/>
          <w:lang w:val="es-ES" w:eastAsia="es-ES"/>
        </w:rPr>
      </w:pPr>
    </w:p>
    <w:p w:rsidR="002B54A6" w:rsidRPr="00787AE7" w:rsidRDefault="0030294E" w:rsidP="002B54A6">
      <w:pPr>
        <w:pStyle w:val="ARTICULOS"/>
        <w:numPr>
          <w:ilvl w:val="0"/>
          <w:numId w:val="0"/>
        </w:numPr>
        <w:tabs>
          <w:tab w:val="left" w:pos="1560"/>
        </w:tabs>
        <w:ind w:left="567" w:hanging="567"/>
        <w:rPr>
          <w:rFonts w:cs="Arial"/>
          <w:color w:val="000000" w:themeColor="text1"/>
          <w:lang w:val="es-CO"/>
        </w:rPr>
      </w:pPr>
      <w:r w:rsidRPr="00787AE7">
        <w:rPr>
          <w:rFonts w:cs="Arial"/>
          <w:color w:val="000000" w:themeColor="text1"/>
          <w:lang w:val="es-ES" w:eastAsia="es-ES"/>
        </w:rPr>
        <w:tab/>
      </w:r>
      <w:r w:rsidR="0001482B" w:rsidRPr="00787AE7">
        <w:rPr>
          <w:rFonts w:cs="Arial"/>
          <w:color w:val="000000" w:themeColor="text1"/>
          <w:lang w:val="es-ES" w:eastAsia="es-ES"/>
        </w:rPr>
        <w:t>El total de energía tomada de cada sistema de transporte corresponderá a la suma de las cantidades tomadas en cada uno de los tramos de gasoductos del respectivo sistema y de las cantidades entregadas en los puntos de transferencia con otros sistemas de transporte.</w:t>
      </w:r>
      <w:r w:rsidR="00D01BF2" w:rsidRPr="00787AE7">
        <w:rPr>
          <w:rFonts w:cs="Arial"/>
          <w:color w:val="000000" w:themeColor="text1"/>
          <w:lang w:val="es-ES" w:eastAsia="es-ES"/>
        </w:rPr>
        <w:t xml:space="preserve"> </w:t>
      </w:r>
      <w:r w:rsidR="0001482B" w:rsidRPr="00787AE7">
        <w:rPr>
          <w:rFonts w:cs="Arial"/>
          <w:color w:val="000000" w:themeColor="text1"/>
          <w:lang w:val="es-ES" w:eastAsia="es-ES"/>
        </w:rPr>
        <w:t xml:space="preserve">La anterior </w:t>
      </w:r>
      <w:r w:rsidR="002B54A6" w:rsidRPr="00787AE7">
        <w:rPr>
          <w:rFonts w:cs="Arial"/>
          <w:color w:val="000000" w:themeColor="text1"/>
          <w:lang w:val="es-ES" w:eastAsia="es-ES"/>
        </w:rPr>
        <w:t>información se actualizará dentro de los primeros cinco (5) días hábiles de cada mes y deberá mostrar el histórico de los últimos doce (12) meses</w:t>
      </w:r>
      <w:r w:rsidR="0096021E" w:rsidRPr="00787AE7">
        <w:rPr>
          <w:rFonts w:cs="Arial"/>
          <w:color w:val="000000" w:themeColor="text1"/>
          <w:lang w:val="es-ES" w:eastAsia="es-ES"/>
        </w:rPr>
        <w:t xml:space="preserve">. Durante los primeros 12 </w:t>
      </w:r>
      <w:r w:rsidR="001B2FED" w:rsidRPr="00787AE7">
        <w:rPr>
          <w:rFonts w:cs="Arial"/>
          <w:color w:val="000000" w:themeColor="text1"/>
          <w:lang w:val="es-ES" w:eastAsia="es-ES"/>
        </w:rPr>
        <w:t xml:space="preserve">meses </w:t>
      </w:r>
      <w:r w:rsidR="0096021E" w:rsidRPr="00787AE7">
        <w:rPr>
          <w:rFonts w:cs="Arial"/>
          <w:color w:val="000000" w:themeColor="text1"/>
          <w:lang w:val="es-ES" w:eastAsia="es-ES"/>
        </w:rPr>
        <w:t>de recolección de información se publicará el histórico de los meses sobre los que se haya recolectado información</w:t>
      </w:r>
      <w:r w:rsidR="004F5405" w:rsidRPr="00787AE7">
        <w:rPr>
          <w:rFonts w:cs="Arial"/>
          <w:color w:val="000000" w:themeColor="text1"/>
          <w:lang w:val="es-ES" w:eastAsia="es-ES"/>
        </w:rPr>
        <w:t>”</w:t>
      </w:r>
      <w:r w:rsidR="0096021E" w:rsidRPr="00787AE7">
        <w:rPr>
          <w:rFonts w:cs="Arial"/>
          <w:color w:val="000000" w:themeColor="text1"/>
          <w:lang w:val="es-ES" w:eastAsia="es-ES"/>
        </w:rPr>
        <w:t>.</w:t>
      </w:r>
      <w:r w:rsidR="002B54A6" w:rsidRPr="00787AE7">
        <w:rPr>
          <w:rFonts w:cs="Arial"/>
          <w:color w:val="000000" w:themeColor="text1"/>
          <w:lang w:val="es-ES" w:eastAsia="es-ES"/>
        </w:rPr>
        <w:t xml:space="preserve"> </w:t>
      </w:r>
    </w:p>
    <w:p w:rsidR="002B54A6" w:rsidRPr="00787AE7" w:rsidRDefault="002B54A6" w:rsidP="00483BFD">
      <w:pPr>
        <w:pStyle w:val="ARTICULOS"/>
        <w:numPr>
          <w:ilvl w:val="0"/>
          <w:numId w:val="0"/>
        </w:numPr>
        <w:tabs>
          <w:tab w:val="left" w:pos="1560"/>
        </w:tabs>
        <w:rPr>
          <w:rFonts w:cs="Arial"/>
          <w:color w:val="000000" w:themeColor="text1"/>
          <w:lang w:val="es-CO"/>
        </w:rPr>
      </w:pPr>
    </w:p>
    <w:p w:rsidR="009F6A0A" w:rsidRPr="00787AE7" w:rsidRDefault="002B54A6" w:rsidP="00816F10">
      <w:pPr>
        <w:pStyle w:val="ARTICULOS"/>
        <w:numPr>
          <w:ilvl w:val="0"/>
          <w:numId w:val="0"/>
        </w:numPr>
        <w:ind w:left="567" w:hanging="567"/>
        <w:contextualSpacing/>
        <w:rPr>
          <w:rFonts w:cs="Arial"/>
          <w:color w:val="000000" w:themeColor="text1"/>
          <w:lang w:val="es-ES" w:eastAsia="es-ES"/>
        </w:rPr>
      </w:pPr>
      <w:r w:rsidRPr="00787AE7">
        <w:rPr>
          <w:rFonts w:cs="Arial"/>
          <w:color w:val="000000" w:themeColor="text1"/>
          <w:lang w:val="es-ES" w:eastAsia="es-ES"/>
        </w:rPr>
        <w:t>“</w:t>
      </w:r>
      <w:r w:rsidR="00816F10" w:rsidRPr="00787AE7">
        <w:rPr>
          <w:rFonts w:cs="Arial"/>
          <w:color w:val="000000" w:themeColor="text1"/>
          <w:lang w:val="es-ES" w:eastAsia="es-ES"/>
        </w:rPr>
        <w:t>v</w:t>
      </w:r>
      <w:r w:rsidR="004F5405" w:rsidRPr="00787AE7">
        <w:rPr>
          <w:rFonts w:cs="Arial"/>
          <w:color w:val="000000" w:themeColor="text1"/>
          <w:lang w:val="es-ES" w:eastAsia="es-ES"/>
        </w:rPr>
        <w:t>i</w:t>
      </w:r>
      <w:r w:rsidR="00816F10" w:rsidRPr="00787AE7">
        <w:rPr>
          <w:rFonts w:cs="Arial"/>
          <w:color w:val="000000" w:themeColor="text1"/>
          <w:lang w:val="es-ES" w:eastAsia="es-ES"/>
        </w:rPr>
        <w:t xml:space="preserve">. </w:t>
      </w:r>
      <w:r w:rsidR="004F5405" w:rsidRPr="00787AE7">
        <w:rPr>
          <w:rFonts w:cs="Arial"/>
          <w:color w:val="000000" w:themeColor="text1"/>
          <w:lang w:val="es-ES" w:eastAsia="es-ES"/>
        </w:rPr>
        <w:t xml:space="preserve"> </w:t>
      </w:r>
      <w:r w:rsidR="00816F10" w:rsidRPr="00787AE7">
        <w:rPr>
          <w:rFonts w:cs="Arial"/>
          <w:color w:val="000000" w:themeColor="text1"/>
          <w:lang w:val="es-ES" w:eastAsia="es-ES"/>
        </w:rPr>
        <w:t>Las cantidades totales</w:t>
      </w:r>
      <w:r w:rsidR="005B614F" w:rsidRPr="00787AE7">
        <w:rPr>
          <w:rFonts w:cs="Arial"/>
          <w:color w:val="000000" w:themeColor="text1"/>
          <w:lang w:val="es-ES" w:eastAsia="es-ES"/>
        </w:rPr>
        <w:t xml:space="preserve"> diarias </w:t>
      </w:r>
      <w:r w:rsidR="00816F10" w:rsidRPr="00787AE7">
        <w:rPr>
          <w:rFonts w:cs="Arial"/>
          <w:color w:val="000000" w:themeColor="text1"/>
          <w:lang w:val="es-ES" w:eastAsia="es-ES"/>
        </w:rPr>
        <w:t xml:space="preserve">de energía </w:t>
      </w:r>
      <w:r w:rsidR="00F2457C" w:rsidRPr="00787AE7">
        <w:rPr>
          <w:rFonts w:cs="Arial"/>
          <w:color w:val="000000" w:themeColor="text1"/>
          <w:lang w:val="es-ES" w:eastAsia="es-ES"/>
        </w:rPr>
        <w:t>nominada</w:t>
      </w:r>
      <w:r w:rsidR="00E340DF" w:rsidRPr="00787AE7">
        <w:rPr>
          <w:rFonts w:cs="Arial"/>
          <w:color w:val="000000" w:themeColor="text1"/>
          <w:lang w:val="es-ES" w:eastAsia="es-ES"/>
        </w:rPr>
        <w:t>, reportada al gestor a</w:t>
      </w:r>
      <w:r w:rsidR="00A86B70" w:rsidRPr="00787AE7">
        <w:rPr>
          <w:rFonts w:cs="Arial"/>
          <w:color w:val="000000" w:themeColor="text1"/>
          <w:lang w:val="es-ES" w:eastAsia="es-ES"/>
        </w:rPr>
        <w:t>ntes de</w:t>
      </w:r>
      <w:r w:rsidR="00E340DF" w:rsidRPr="00787AE7">
        <w:rPr>
          <w:rFonts w:cs="Arial"/>
          <w:color w:val="000000" w:themeColor="text1"/>
          <w:lang w:val="es-ES" w:eastAsia="es-ES"/>
        </w:rPr>
        <w:t xml:space="preserve"> las </w:t>
      </w:r>
      <w:r w:rsidR="00E340DF" w:rsidRPr="00787AE7">
        <w:rPr>
          <w:color w:val="000000" w:themeColor="text1"/>
        </w:rPr>
        <w:t>15:55 horas del día D-1</w:t>
      </w:r>
      <w:r w:rsidR="00E340DF" w:rsidRPr="00787AE7">
        <w:rPr>
          <w:color w:val="000000" w:themeColor="text1"/>
          <w:lang w:val="es-CO"/>
        </w:rPr>
        <w:t>,</w:t>
      </w:r>
      <w:r w:rsidR="00F2457C" w:rsidRPr="00787AE7">
        <w:rPr>
          <w:rFonts w:cs="Arial"/>
          <w:color w:val="000000" w:themeColor="text1"/>
          <w:lang w:val="es-ES" w:eastAsia="es-ES"/>
        </w:rPr>
        <w:t xml:space="preserve"> y </w:t>
      </w:r>
      <w:r w:rsidR="005B614F" w:rsidRPr="00787AE7">
        <w:rPr>
          <w:rFonts w:cs="Arial"/>
          <w:color w:val="000000" w:themeColor="text1"/>
          <w:lang w:val="es-ES" w:eastAsia="es-ES"/>
        </w:rPr>
        <w:t xml:space="preserve">la incluida </w:t>
      </w:r>
      <w:r w:rsidR="0096021E" w:rsidRPr="00787AE7">
        <w:rPr>
          <w:rFonts w:cs="Arial"/>
          <w:color w:val="000000" w:themeColor="text1"/>
          <w:lang w:val="es-ES" w:eastAsia="es-ES"/>
        </w:rPr>
        <w:t xml:space="preserve"> </w:t>
      </w:r>
      <w:r w:rsidR="004A18AF" w:rsidRPr="00787AE7">
        <w:rPr>
          <w:color w:val="000000" w:themeColor="text1"/>
        </w:rPr>
        <w:t>en el programa de suministro de gas definitivo</w:t>
      </w:r>
      <w:r w:rsidR="00816F10" w:rsidRPr="00787AE7">
        <w:rPr>
          <w:rFonts w:cs="Arial"/>
          <w:color w:val="000000" w:themeColor="text1"/>
          <w:lang w:val="es-ES" w:eastAsia="es-ES"/>
        </w:rPr>
        <w:t xml:space="preserve">, </w:t>
      </w:r>
      <w:r w:rsidR="00A86B70" w:rsidRPr="00787AE7">
        <w:rPr>
          <w:rFonts w:cs="Arial"/>
          <w:color w:val="000000" w:themeColor="text1"/>
          <w:lang w:val="es-ES" w:eastAsia="es-ES"/>
        </w:rPr>
        <w:t xml:space="preserve">reportada al gestor </w:t>
      </w:r>
      <w:r w:rsidR="00A86B70" w:rsidRPr="00787AE7">
        <w:t xml:space="preserve">antes de las 19:50 </w:t>
      </w:r>
      <w:r w:rsidR="006B204A" w:rsidRPr="00787AE7">
        <w:rPr>
          <w:lang w:val="es-CO"/>
        </w:rPr>
        <w:t xml:space="preserve">horas </w:t>
      </w:r>
      <w:r w:rsidR="00A86B70" w:rsidRPr="00787AE7">
        <w:t>del día D-1</w:t>
      </w:r>
      <w:r w:rsidR="00816F10" w:rsidRPr="00787AE7">
        <w:rPr>
          <w:rFonts w:cs="Arial"/>
          <w:color w:val="000000" w:themeColor="text1"/>
          <w:lang w:val="es-ES" w:eastAsia="es-ES"/>
        </w:rPr>
        <w:t>, en cada punto de entrada al SNT, expresadas en MBTU</w:t>
      </w:r>
      <w:r w:rsidR="00A86B70" w:rsidRPr="00787AE7">
        <w:rPr>
          <w:rFonts w:cs="Arial"/>
          <w:color w:val="000000" w:themeColor="text1"/>
          <w:lang w:val="es-ES" w:eastAsia="es-ES"/>
        </w:rPr>
        <w:t>.</w:t>
      </w:r>
      <w:r w:rsidR="00E340DF" w:rsidRPr="00787AE7">
        <w:rPr>
          <w:rFonts w:cs="Arial"/>
          <w:color w:val="000000" w:themeColor="text1"/>
          <w:lang w:val="es-ES" w:eastAsia="es-ES"/>
        </w:rPr>
        <w:t xml:space="preserve"> Estas cantidades deberán estar </w:t>
      </w:r>
      <w:r w:rsidR="0093743F" w:rsidRPr="00787AE7">
        <w:rPr>
          <w:rFonts w:cs="Arial"/>
          <w:color w:val="000000" w:themeColor="text1"/>
          <w:lang w:val="es-ES" w:eastAsia="es-ES"/>
        </w:rPr>
        <w:t>determinada</w:t>
      </w:r>
      <w:r w:rsidR="005B614F" w:rsidRPr="00787AE7">
        <w:rPr>
          <w:rFonts w:cs="Arial"/>
          <w:color w:val="000000" w:themeColor="text1"/>
          <w:lang w:val="es-ES" w:eastAsia="es-ES"/>
        </w:rPr>
        <w:t>s</w:t>
      </w:r>
      <w:r w:rsidR="0093743F" w:rsidRPr="00787AE7">
        <w:rPr>
          <w:rFonts w:cs="Arial"/>
          <w:color w:val="000000" w:themeColor="text1"/>
          <w:lang w:val="es-ES" w:eastAsia="es-ES"/>
        </w:rPr>
        <w:t xml:space="preserve"> por tipo de demanda no regulada la cual deberá ser desagregada en comercial, industrial, gas para transportadores, petroquímica, refinería, gas natural vehicular comprimido, plantas de generación térmica u otros y demanda regulada la cual deberá ser desagregada en residencia</w:t>
      </w:r>
      <w:r w:rsidR="005B614F" w:rsidRPr="00787AE7">
        <w:rPr>
          <w:rFonts w:cs="Arial"/>
          <w:color w:val="000000" w:themeColor="text1"/>
          <w:lang w:val="es-ES" w:eastAsia="es-ES"/>
        </w:rPr>
        <w:t>l</w:t>
      </w:r>
      <w:r w:rsidR="0093743F" w:rsidRPr="00787AE7">
        <w:rPr>
          <w:rFonts w:cs="Arial"/>
          <w:color w:val="000000" w:themeColor="text1"/>
          <w:lang w:val="es-ES" w:eastAsia="es-ES"/>
        </w:rPr>
        <w:t>, comercial, industrial, gas para transportadores, petroquímica, gas natural vehicular comprimido u otros</w:t>
      </w:r>
      <w:r w:rsidR="00816F10" w:rsidRPr="00787AE7">
        <w:rPr>
          <w:rFonts w:cs="Arial"/>
          <w:color w:val="000000" w:themeColor="text1"/>
          <w:lang w:val="es-ES" w:eastAsia="es-ES"/>
        </w:rPr>
        <w:t xml:space="preserve">. </w:t>
      </w:r>
    </w:p>
    <w:p w:rsidR="009F6A0A" w:rsidRPr="00787AE7" w:rsidRDefault="009F6A0A" w:rsidP="00816F10">
      <w:pPr>
        <w:pStyle w:val="ARTICULOS"/>
        <w:numPr>
          <w:ilvl w:val="0"/>
          <w:numId w:val="0"/>
        </w:numPr>
        <w:ind w:left="567" w:hanging="567"/>
        <w:contextualSpacing/>
        <w:rPr>
          <w:rFonts w:cs="Arial"/>
          <w:color w:val="000000" w:themeColor="text1"/>
          <w:lang w:val="es-ES" w:eastAsia="es-ES"/>
        </w:rPr>
      </w:pPr>
    </w:p>
    <w:p w:rsidR="00816F10" w:rsidRPr="00787AE7" w:rsidRDefault="00816F10" w:rsidP="00EC0D1F">
      <w:pPr>
        <w:pStyle w:val="ARTICULOS"/>
        <w:numPr>
          <w:ilvl w:val="0"/>
          <w:numId w:val="0"/>
        </w:numPr>
        <w:ind w:left="567"/>
        <w:contextualSpacing/>
        <w:rPr>
          <w:rFonts w:cs="Arial"/>
          <w:color w:val="000000" w:themeColor="text1"/>
        </w:rPr>
      </w:pPr>
      <w:r w:rsidRPr="00787AE7">
        <w:rPr>
          <w:rFonts w:cs="Arial"/>
          <w:color w:val="000000" w:themeColor="text1"/>
          <w:lang w:val="es-ES" w:eastAsia="es-ES"/>
        </w:rPr>
        <w:t>Esta información se actualizará dentro de los primeros cinco (5) días hábiles de cada mes y deberá mostrar el histórico de los últimos doce (12) meses</w:t>
      </w:r>
      <w:r w:rsidR="0096021E" w:rsidRPr="00787AE7">
        <w:rPr>
          <w:rFonts w:cs="Arial"/>
          <w:color w:val="000000" w:themeColor="text1"/>
          <w:lang w:val="es-ES" w:eastAsia="es-ES"/>
        </w:rPr>
        <w:t xml:space="preserve">. Durante los primeros 12 </w:t>
      </w:r>
      <w:r w:rsidR="001B2FED" w:rsidRPr="00787AE7">
        <w:rPr>
          <w:rFonts w:cs="Arial"/>
          <w:color w:val="000000" w:themeColor="text1"/>
          <w:lang w:val="es-ES" w:eastAsia="es-ES"/>
        </w:rPr>
        <w:t xml:space="preserve">meses </w:t>
      </w:r>
      <w:r w:rsidR="0096021E" w:rsidRPr="00787AE7">
        <w:rPr>
          <w:rFonts w:cs="Arial"/>
          <w:color w:val="000000" w:themeColor="text1"/>
          <w:lang w:val="es-ES" w:eastAsia="es-ES"/>
        </w:rPr>
        <w:t>de recolección de información se publicará el histórico de los meses sobre los que se haya recolectado información</w:t>
      </w:r>
      <w:r w:rsidR="002B54A6" w:rsidRPr="00787AE7">
        <w:rPr>
          <w:rFonts w:cs="Arial"/>
          <w:color w:val="000000" w:themeColor="text1"/>
          <w:lang w:val="es-ES" w:eastAsia="es-ES"/>
        </w:rPr>
        <w:t>”</w:t>
      </w:r>
      <w:r w:rsidRPr="00787AE7">
        <w:rPr>
          <w:rFonts w:cs="Arial"/>
          <w:color w:val="000000" w:themeColor="text1"/>
          <w:lang w:val="es-ES" w:eastAsia="es-ES"/>
        </w:rPr>
        <w:t>.</w:t>
      </w:r>
      <w:r w:rsidR="001069C4" w:rsidRPr="00787AE7">
        <w:rPr>
          <w:rFonts w:cs="Arial"/>
          <w:color w:val="000000" w:themeColor="text1"/>
          <w:lang w:val="es-ES" w:eastAsia="es-ES"/>
        </w:rPr>
        <w:t xml:space="preserve"> </w:t>
      </w:r>
    </w:p>
    <w:p w:rsidR="00816F10" w:rsidRPr="00787AE7" w:rsidRDefault="00816F10" w:rsidP="00816F10">
      <w:pPr>
        <w:pStyle w:val="Prrafodelista"/>
        <w:rPr>
          <w:rFonts w:ascii="Bookman Old Style" w:hAnsi="Bookman Old Style" w:cs="Arial"/>
          <w:color w:val="000000" w:themeColor="text1"/>
          <w:sz w:val="24"/>
          <w:szCs w:val="24"/>
          <w:lang w:val="es-ES"/>
        </w:rPr>
      </w:pPr>
    </w:p>
    <w:p w:rsidR="009F6A0A" w:rsidRPr="00787AE7" w:rsidRDefault="002B54A6" w:rsidP="00816F10">
      <w:pPr>
        <w:pStyle w:val="ARTICULOS"/>
        <w:numPr>
          <w:ilvl w:val="0"/>
          <w:numId w:val="0"/>
        </w:numPr>
        <w:tabs>
          <w:tab w:val="left" w:pos="1560"/>
        </w:tabs>
        <w:ind w:left="567" w:hanging="567"/>
        <w:rPr>
          <w:rFonts w:cs="Arial"/>
          <w:color w:val="000000" w:themeColor="text1"/>
          <w:lang w:val="es-ES" w:eastAsia="es-ES"/>
        </w:rPr>
      </w:pPr>
      <w:r w:rsidRPr="00787AE7">
        <w:rPr>
          <w:rFonts w:cs="Arial"/>
          <w:color w:val="000000" w:themeColor="text1"/>
          <w:lang w:val="es-ES" w:eastAsia="es-ES"/>
        </w:rPr>
        <w:t>“</w:t>
      </w:r>
      <w:r w:rsidR="00816F10" w:rsidRPr="00787AE7">
        <w:rPr>
          <w:rFonts w:cs="Arial"/>
          <w:color w:val="000000" w:themeColor="text1"/>
          <w:lang w:val="es-ES" w:eastAsia="es-ES"/>
        </w:rPr>
        <w:t xml:space="preserve">vii. Las cantidades totales </w:t>
      </w:r>
      <w:r w:rsidR="005B614F" w:rsidRPr="00787AE7">
        <w:rPr>
          <w:rFonts w:cs="Arial"/>
          <w:color w:val="000000" w:themeColor="text1"/>
          <w:lang w:val="es-ES" w:eastAsia="es-ES"/>
        </w:rPr>
        <w:t xml:space="preserve">diarias </w:t>
      </w:r>
      <w:r w:rsidR="00816F10" w:rsidRPr="00787AE7">
        <w:rPr>
          <w:rFonts w:cs="Arial"/>
          <w:color w:val="000000" w:themeColor="text1"/>
          <w:lang w:val="es-ES" w:eastAsia="es-ES"/>
        </w:rPr>
        <w:t xml:space="preserve">de energía </w:t>
      </w:r>
      <w:r w:rsidR="00F2457C" w:rsidRPr="00787AE7">
        <w:rPr>
          <w:rFonts w:cs="Arial"/>
          <w:color w:val="000000" w:themeColor="text1"/>
          <w:lang w:val="es-ES" w:eastAsia="es-ES"/>
        </w:rPr>
        <w:t>nominada</w:t>
      </w:r>
      <w:r w:rsidR="00816635" w:rsidRPr="00787AE7">
        <w:rPr>
          <w:rFonts w:cs="Arial"/>
          <w:color w:val="000000" w:themeColor="text1"/>
          <w:lang w:val="es-ES" w:eastAsia="es-ES"/>
        </w:rPr>
        <w:t xml:space="preserve">, reportada al gestor </w:t>
      </w:r>
      <w:r w:rsidR="00816635" w:rsidRPr="00787AE7">
        <w:rPr>
          <w:color w:val="000000" w:themeColor="text1"/>
        </w:rPr>
        <w:t>antes de las 16:50 horas del día D-1</w:t>
      </w:r>
      <w:r w:rsidR="00816635" w:rsidRPr="00787AE7">
        <w:rPr>
          <w:color w:val="000000" w:themeColor="text1"/>
          <w:lang w:val="es-CO"/>
        </w:rPr>
        <w:t>,</w:t>
      </w:r>
      <w:r w:rsidR="00F2457C" w:rsidRPr="00787AE7">
        <w:rPr>
          <w:rFonts w:cs="Arial"/>
          <w:color w:val="000000" w:themeColor="text1"/>
          <w:lang w:val="es-ES" w:eastAsia="es-ES"/>
        </w:rPr>
        <w:t xml:space="preserve"> y </w:t>
      </w:r>
      <w:r w:rsidR="005B614F" w:rsidRPr="00787AE7">
        <w:rPr>
          <w:rFonts w:cs="Arial"/>
          <w:color w:val="000000" w:themeColor="text1"/>
          <w:lang w:val="es-ES" w:eastAsia="es-ES"/>
        </w:rPr>
        <w:t xml:space="preserve">la </w:t>
      </w:r>
      <w:r w:rsidR="00816F10" w:rsidRPr="00787AE7">
        <w:rPr>
          <w:rFonts w:cs="Arial"/>
          <w:color w:val="000000" w:themeColor="text1"/>
          <w:lang w:val="es-ES" w:eastAsia="es-ES"/>
        </w:rPr>
        <w:t xml:space="preserve">autorizada </w:t>
      </w:r>
      <w:r w:rsidR="005B614F" w:rsidRPr="00787AE7">
        <w:rPr>
          <w:rFonts w:cs="Arial"/>
          <w:color w:val="000000" w:themeColor="text1"/>
          <w:lang w:val="es-ES" w:eastAsia="es-ES"/>
        </w:rPr>
        <w:t xml:space="preserve"> </w:t>
      </w:r>
      <w:r w:rsidR="004A18AF" w:rsidRPr="00787AE7">
        <w:rPr>
          <w:color w:val="000000" w:themeColor="text1"/>
        </w:rPr>
        <w:t>en el programa de transporte de gas definitivo</w:t>
      </w:r>
      <w:r w:rsidR="00816F10" w:rsidRPr="00787AE7">
        <w:rPr>
          <w:rFonts w:cs="Arial"/>
          <w:color w:val="000000" w:themeColor="text1"/>
          <w:lang w:val="es-ES" w:eastAsia="es-ES"/>
        </w:rPr>
        <w:t xml:space="preserve">, </w:t>
      </w:r>
      <w:r w:rsidR="006B204A" w:rsidRPr="00787AE7">
        <w:rPr>
          <w:rFonts w:cs="Arial"/>
          <w:color w:val="000000" w:themeColor="text1"/>
          <w:lang w:val="es-ES" w:eastAsia="es-ES"/>
        </w:rPr>
        <w:t xml:space="preserve">reportada al gestor </w:t>
      </w:r>
      <w:r w:rsidR="006B204A" w:rsidRPr="00787AE7">
        <w:rPr>
          <w:color w:val="000000" w:themeColor="text1"/>
        </w:rPr>
        <w:t>antes de las 20:20</w:t>
      </w:r>
      <w:r w:rsidR="006B204A" w:rsidRPr="00787AE7">
        <w:rPr>
          <w:bCs w:val="0"/>
          <w:color w:val="000000" w:themeColor="text1"/>
        </w:rPr>
        <w:t xml:space="preserve"> horas </w:t>
      </w:r>
      <w:r w:rsidR="006B204A" w:rsidRPr="00787AE7">
        <w:rPr>
          <w:color w:val="000000" w:themeColor="text1"/>
        </w:rPr>
        <w:t>del día D-1</w:t>
      </w:r>
      <w:r w:rsidR="00816F10" w:rsidRPr="00787AE7">
        <w:rPr>
          <w:rFonts w:cs="Arial"/>
          <w:color w:val="000000" w:themeColor="text1"/>
          <w:lang w:val="es-ES" w:eastAsia="es-ES"/>
        </w:rPr>
        <w:t>, por cada sistema de transporte, expresadas en MBTU</w:t>
      </w:r>
      <w:r w:rsidR="006B204A" w:rsidRPr="00787AE7">
        <w:rPr>
          <w:rFonts w:cs="Arial"/>
          <w:color w:val="000000" w:themeColor="text1"/>
          <w:lang w:val="es-ES" w:eastAsia="es-ES"/>
        </w:rPr>
        <w:t xml:space="preserve">. Estas cantidades deberán estar </w:t>
      </w:r>
      <w:r w:rsidR="0093743F" w:rsidRPr="00787AE7">
        <w:rPr>
          <w:rFonts w:cs="Arial"/>
          <w:color w:val="000000" w:themeColor="text1"/>
          <w:lang w:val="es-ES" w:eastAsia="es-ES"/>
        </w:rPr>
        <w:t>determinada</w:t>
      </w:r>
      <w:r w:rsidR="00915993" w:rsidRPr="00787AE7">
        <w:rPr>
          <w:rFonts w:cs="Arial"/>
          <w:color w:val="000000" w:themeColor="text1"/>
          <w:lang w:val="es-ES" w:eastAsia="es-ES"/>
        </w:rPr>
        <w:t>s</w:t>
      </w:r>
      <w:r w:rsidR="0093743F" w:rsidRPr="00787AE7">
        <w:rPr>
          <w:rFonts w:cs="Arial"/>
          <w:color w:val="000000" w:themeColor="text1"/>
          <w:lang w:val="es-ES" w:eastAsia="es-ES"/>
        </w:rPr>
        <w:t xml:space="preserve"> por tipo de demanda no regulada la cual deberá ser desagregada en comercial, industrial, gas para transportadores, petroquímica, refinería, gas natural vehicular comprimido, plantas de generación térmica u otros y demanda regulada la cual deberá ser desagregada en residencia</w:t>
      </w:r>
      <w:r w:rsidR="00915993" w:rsidRPr="00787AE7">
        <w:rPr>
          <w:rFonts w:cs="Arial"/>
          <w:color w:val="000000" w:themeColor="text1"/>
          <w:lang w:val="es-ES" w:eastAsia="es-ES"/>
        </w:rPr>
        <w:t>l</w:t>
      </w:r>
      <w:r w:rsidR="0093743F" w:rsidRPr="00787AE7">
        <w:rPr>
          <w:rFonts w:cs="Arial"/>
          <w:color w:val="000000" w:themeColor="text1"/>
          <w:lang w:val="es-ES" w:eastAsia="es-ES"/>
        </w:rPr>
        <w:t>, comercial, industrial, gas para transportadores, petroquímica, gas natural vehicular comprimido u otros</w:t>
      </w:r>
      <w:r w:rsidR="00816F10" w:rsidRPr="00787AE7">
        <w:rPr>
          <w:rFonts w:cs="Arial"/>
          <w:color w:val="000000" w:themeColor="text1"/>
          <w:lang w:val="es-ES" w:eastAsia="es-ES"/>
        </w:rPr>
        <w:t xml:space="preserve">. </w:t>
      </w:r>
    </w:p>
    <w:p w:rsidR="009F6A0A" w:rsidRPr="00787AE7" w:rsidRDefault="009F6A0A" w:rsidP="00816F10">
      <w:pPr>
        <w:pStyle w:val="ARTICULOS"/>
        <w:numPr>
          <w:ilvl w:val="0"/>
          <w:numId w:val="0"/>
        </w:numPr>
        <w:tabs>
          <w:tab w:val="left" w:pos="1560"/>
        </w:tabs>
        <w:ind w:left="567" w:hanging="567"/>
        <w:rPr>
          <w:rFonts w:cs="Arial"/>
          <w:color w:val="000000" w:themeColor="text1"/>
          <w:lang w:val="es-ES" w:eastAsia="es-ES"/>
        </w:rPr>
      </w:pPr>
      <w:r w:rsidRPr="00787AE7">
        <w:rPr>
          <w:rFonts w:cs="Arial"/>
          <w:color w:val="000000" w:themeColor="text1"/>
          <w:lang w:val="es-ES" w:eastAsia="es-ES"/>
        </w:rPr>
        <w:tab/>
      </w:r>
    </w:p>
    <w:p w:rsidR="00816F10" w:rsidRPr="00787AE7" w:rsidRDefault="009F6A0A" w:rsidP="00816F10">
      <w:pPr>
        <w:pStyle w:val="ARTICULOS"/>
        <w:numPr>
          <w:ilvl w:val="0"/>
          <w:numId w:val="0"/>
        </w:numPr>
        <w:tabs>
          <w:tab w:val="left" w:pos="1560"/>
        </w:tabs>
        <w:ind w:left="567" w:hanging="567"/>
        <w:rPr>
          <w:rFonts w:cs="Arial"/>
          <w:color w:val="000000" w:themeColor="text1"/>
          <w:lang w:val="es-CO"/>
        </w:rPr>
      </w:pPr>
      <w:r w:rsidRPr="00787AE7">
        <w:rPr>
          <w:rFonts w:cs="Arial"/>
          <w:color w:val="000000" w:themeColor="text1"/>
          <w:lang w:val="es-ES" w:eastAsia="es-ES"/>
        </w:rPr>
        <w:tab/>
      </w:r>
      <w:r w:rsidR="00816F10" w:rsidRPr="00787AE7">
        <w:rPr>
          <w:rFonts w:cs="Arial"/>
          <w:color w:val="000000" w:themeColor="text1"/>
          <w:lang w:val="es-ES" w:eastAsia="es-ES"/>
        </w:rPr>
        <w:t>Esta información se actualizará dentro de los primeros cinco (5) días hábiles de cada mes y deberá mostrar el histórico de los últimos doce (12) meses</w:t>
      </w:r>
      <w:r w:rsidR="00915993" w:rsidRPr="00787AE7">
        <w:rPr>
          <w:rFonts w:cs="Arial"/>
          <w:color w:val="000000" w:themeColor="text1"/>
          <w:lang w:val="es-ES" w:eastAsia="es-ES"/>
        </w:rPr>
        <w:t xml:space="preserve">. Durante los primeros 12 </w:t>
      </w:r>
      <w:r w:rsidR="001B2FED" w:rsidRPr="00787AE7">
        <w:rPr>
          <w:rFonts w:cs="Arial"/>
          <w:color w:val="000000" w:themeColor="text1"/>
          <w:lang w:val="es-ES" w:eastAsia="es-ES"/>
        </w:rPr>
        <w:t xml:space="preserve">meses </w:t>
      </w:r>
      <w:r w:rsidR="00915993" w:rsidRPr="00787AE7">
        <w:rPr>
          <w:rFonts w:cs="Arial"/>
          <w:color w:val="000000" w:themeColor="text1"/>
          <w:lang w:val="es-ES" w:eastAsia="es-ES"/>
        </w:rPr>
        <w:t>de recolección de información se publicará el histórico de los meses sobre los que se haya recolectado información</w:t>
      </w:r>
      <w:r w:rsidR="00816F10" w:rsidRPr="00787AE7">
        <w:rPr>
          <w:rFonts w:cs="Arial"/>
          <w:color w:val="000000" w:themeColor="text1"/>
          <w:lang w:val="es-ES" w:eastAsia="es-ES"/>
        </w:rPr>
        <w:t>”.</w:t>
      </w:r>
      <w:r w:rsidR="001069C4" w:rsidRPr="00787AE7">
        <w:rPr>
          <w:rFonts w:cs="Arial"/>
          <w:color w:val="000000" w:themeColor="text1"/>
          <w:lang w:val="es-ES" w:eastAsia="es-ES"/>
        </w:rPr>
        <w:t xml:space="preserve"> </w:t>
      </w:r>
    </w:p>
    <w:p w:rsidR="00816F10" w:rsidRDefault="00816F10" w:rsidP="00483BFD">
      <w:pPr>
        <w:pStyle w:val="ARTICULOS"/>
        <w:numPr>
          <w:ilvl w:val="0"/>
          <w:numId w:val="0"/>
        </w:numPr>
        <w:tabs>
          <w:tab w:val="left" w:pos="1560"/>
        </w:tabs>
        <w:rPr>
          <w:rFonts w:cs="Arial"/>
          <w:color w:val="000000" w:themeColor="text1"/>
          <w:lang w:val="es-CO"/>
        </w:rPr>
      </w:pPr>
    </w:p>
    <w:p w:rsidR="00457950" w:rsidRDefault="00457950" w:rsidP="00483BFD">
      <w:pPr>
        <w:pStyle w:val="ARTICULOS"/>
        <w:numPr>
          <w:ilvl w:val="0"/>
          <w:numId w:val="0"/>
        </w:numPr>
        <w:tabs>
          <w:tab w:val="left" w:pos="1560"/>
        </w:tabs>
        <w:rPr>
          <w:rFonts w:cs="Arial"/>
          <w:color w:val="000000" w:themeColor="text1"/>
          <w:lang w:val="es-CO"/>
        </w:rPr>
      </w:pPr>
    </w:p>
    <w:p w:rsidR="00457950" w:rsidRPr="00787AE7" w:rsidRDefault="00457950" w:rsidP="00483BFD">
      <w:pPr>
        <w:pStyle w:val="ARTICULOS"/>
        <w:numPr>
          <w:ilvl w:val="0"/>
          <w:numId w:val="0"/>
        </w:numPr>
        <w:tabs>
          <w:tab w:val="left" w:pos="1560"/>
        </w:tabs>
        <w:rPr>
          <w:rFonts w:cs="Arial"/>
          <w:color w:val="000000" w:themeColor="text1"/>
          <w:lang w:val="es-CO"/>
        </w:rPr>
      </w:pPr>
    </w:p>
    <w:p w:rsidR="00C17185" w:rsidRPr="00787AE7" w:rsidRDefault="00CA4AD9" w:rsidP="00483BFD">
      <w:pPr>
        <w:pStyle w:val="ARTICULOS"/>
        <w:tabs>
          <w:tab w:val="left" w:pos="1701"/>
        </w:tabs>
        <w:ind w:left="0" w:firstLine="0"/>
        <w:rPr>
          <w:rFonts w:cs="Arial"/>
          <w:color w:val="000000" w:themeColor="text1"/>
        </w:rPr>
      </w:pPr>
      <w:r w:rsidRPr="00787AE7">
        <w:rPr>
          <w:rFonts w:cs="Arial"/>
          <w:b/>
          <w:color w:val="000000" w:themeColor="text1"/>
          <w:lang w:val="es-ES"/>
        </w:rPr>
        <w:t>V</w:t>
      </w:r>
      <w:r w:rsidR="00F854E0" w:rsidRPr="00787AE7">
        <w:rPr>
          <w:rFonts w:cs="Arial"/>
          <w:b/>
          <w:color w:val="000000" w:themeColor="text1"/>
          <w:lang w:val="es-ES"/>
        </w:rPr>
        <w:t>igencia</w:t>
      </w:r>
      <w:r w:rsidR="00261DCE" w:rsidRPr="00787AE7">
        <w:rPr>
          <w:rFonts w:cs="Arial"/>
          <w:b/>
          <w:color w:val="000000" w:themeColor="text1"/>
          <w:lang w:val="es-ES"/>
        </w:rPr>
        <w:t xml:space="preserve"> y derogatorias</w:t>
      </w:r>
      <w:r w:rsidRPr="00787AE7">
        <w:rPr>
          <w:rFonts w:cs="Arial"/>
          <w:b/>
          <w:color w:val="000000" w:themeColor="text1"/>
          <w:lang w:val="es-ES"/>
        </w:rPr>
        <w:t>.</w:t>
      </w:r>
      <w:r w:rsidRPr="00787AE7">
        <w:rPr>
          <w:rFonts w:cs="Arial"/>
          <w:color w:val="000000" w:themeColor="text1"/>
          <w:lang w:val="es-ES"/>
        </w:rPr>
        <w:t xml:space="preserve"> La presente Resolución rige a partir de la fecha de su publicación en el </w:t>
      </w:r>
      <w:r w:rsidRPr="00787AE7">
        <w:rPr>
          <w:rFonts w:cs="Arial"/>
          <w:i/>
          <w:color w:val="000000" w:themeColor="text1"/>
          <w:lang w:val="es-ES"/>
        </w:rPr>
        <w:t>Diario Oficial</w:t>
      </w:r>
      <w:r w:rsidR="00E75184" w:rsidRPr="00787AE7">
        <w:rPr>
          <w:rFonts w:cs="Arial"/>
          <w:i/>
          <w:color w:val="000000" w:themeColor="text1"/>
          <w:lang w:val="es-ES"/>
        </w:rPr>
        <w:t xml:space="preserve"> </w:t>
      </w:r>
      <w:r w:rsidR="00261DCE" w:rsidRPr="00787AE7">
        <w:rPr>
          <w:rFonts w:cs="Arial"/>
          <w:spacing w:val="-4"/>
        </w:rPr>
        <w:t>y deroga las disposiciones que le sean contrarias</w:t>
      </w:r>
      <w:r w:rsidRPr="00787AE7">
        <w:rPr>
          <w:rFonts w:cs="Arial"/>
          <w:color w:val="000000" w:themeColor="text1"/>
          <w:lang w:val="es-ES"/>
        </w:rPr>
        <w:t>.</w:t>
      </w:r>
    </w:p>
    <w:p w:rsidR="0090564D" w:rsidRDefault="0090564D" w:rsidP="00C73F70">
      <w:pPr>
        <w:pStyle w:val="Prrafodelista"/>
        <w:ind w:left="0"/>
        <w:rPr>
          <w:rFonts w:ascii="Bookman Old Style" w:hAnsi="Bookman Old Style" w:cs="Arial"/>
          <w:color w:val="000000" w:themeColor="text1"/>
          <w:sz w:val="24"/>
          <w:szCs w:val="24"/>
          <w:lang w:val="es-ES"/>
        </w:rPr>
      </w:pPr>
    </w:p>
    <w:p w:rsidR="00787AE7" w:rsidRPr="00787AE7" w:rsidRDefault="00787AE7" w:rsidP="00787AE7">
      <w:pPr>
        <w:jc w:val="center"/>
        <w:rPr>
          <w:rFonts w:ascii="Bookman Old Style" w:hAnsi="Bookman Old Style"/>
          <w:b/>
        </w:rPr>
      </w:pPr>
      <w:r w:rsidRPr="00787AE7">
        <w:rPr>
          <w:rFonts w:ascii="Bookman Old Style" w:hAnsi="Bookman Old Style"/>
          <w:b/>
        </w:rPr>
        <w:t>PUBLÍQUESE Y CÚMPLASE</w:t>
      </w:r>
    </w:p>
    <w:p w:rsidR="00787AE7" w:rsidRPr="00787AE7" w:rsidRDefault="00787AE7" w:rsidP="00C73F70">
      <w:pPr>
        <w:pStyle w:val="Prrafodelista"/>
        <w:ind w:left="0"/>
        <w:rPr>
          <w:rFonts w:ascii="Bookman Old Style" w:hAnsi="Bookman Old Style" w:cs="Arial"/>
          <w:color w:val="000000" w:themeColor="text1"/>
          <w:sz w:val="24"/>
          <w:szCs w:val="24"/>
          <w:lang w:val="es-ES"/>
        </w:rPr>
      </w:pPr>
    </w:p>
    <w:p w:rsidR="00D0042C" w:rsidRPr="00787AE7" w:rsidRDefault="00211203" w:rsidP="00211203">
      <w:pPr>
        <w:keepNext/>
        <w:ind w:left="0"/>
        <w:rPr>
          <w:rFonts w:ascii="Bookman Old Style" w:hAnsi="Bookman Old Style" w:cs="Arial"/>
          <w:bCs/>
          <w:color w:val="000000" w:themeColor="text1"/>
          <w:lang w:eastAsia="es-CO"/>
        </w:rPr>
      </w:pPr>
      <w:r w:rsidRPr="00787AE7">
        <w:rPr>
          <w:rFonts w:ascii="Bookman Old Style" w:hAnsi="Bookman Old Style" w:cs="Arial"/>
          <w:bCs/>
          <w:color w:val="000000" w:themeColor="text1"/>
          <w:lang w:eastAsia="es-CO"/>
        </w:rPr>
        <w:t>Firma del proyecto</w:t>
      </w:r>
      <w:r w:rsidR="00457950">
        <w:rPr>
          <w:rFonts w:ascii="Bookman Old Style" w:hAnsi="Bookman Old Style" w:cs="Arial"/>
          <w:bCs/>
          <w:color w:val="000000" w:themeColor="text1"/>
          <w:lang w:eastAsia="es-CO"/>
        </w:rPr>
        <w:t>,</w:t>
      </w:r>
    </w:p>
    <w:p w:rsidR="0090564D" w:rsidRPr="00787AE7" w:rsidRDefault="0090564D" w:rsidP="00C73F70">
      <w:pPr>
        <w:keepNext/>
        <w:ind w:left="0"/>
        <w:jc w:val="center"/>
        <w:rPr>
          <w:rFonts w:ascii="Bookman Old Style" w:hAnsi="Bookman Old Style" w:cs="Arial"/>
          <w:b/>
          <w:bCs/>
          <w:color w:val="000000" w:themeColor="text1"/>
          <w:lang w:eastAsia="es-CO"/>
        </w:rPr>
      </w:pPr>
    </w:p>
    <w:p w:rsidR="00211203" w:rsidRPr="00787AE7" w:rsidRDefault="00211203" w:rsidP="00C73F70">
      <w:pPr>
        <w:keepNext/>
        <w:ind w:left="0"/>
        <w:jc w:val="center"/>
        <w:rPr>
          <w:rFonts w:ascii="Bookman Old Style" w:hAnsi="Bookman Old Style" w:cs="Arial"/>
          <w:b/>
          <w:bCs/>
          <w:color w:val="000000" w:themeColor="text1"/>
          <w:lang w:eastAsia="es-CO"/>
        </w:rPr>
      </w:pPr>
    </w:p>
    <w:p w:rsidR="00211203" w:rsidRPr="00787AE7" w:rsidRDefault="00211203" w:rsidP="00C73F70">
      <w:pPr>
        <w:keepNext/>
        <w:ind w:left="0"/>
        <w:jc w:val="center"/>
        <w:rPr>
          <w:rFonts w:ascii="Bookman Old Style" w:hAnsi="Bookman Old Style" w:cs="Arial"/>
          <w:b/>
          <w:bCs/>
          <w:color w:val="000000" w:themeColor="text1"/>
          <w:lang w:eastAsia="es-CO"/>
        </w:rPr>
      </w:pPr>
    </w:p>
    <w:p w:rsidR="0090564D" w:rsidRPr="00787AE7" w:rsidRDefault="0090564D" w:rsidP="00C73F70">
      <w:pPr>
        <w:keepNext/>
        <w:ind w:left="0"/>
        <w:jc w:val="center"/>
        <w:rPr>
          <w:rFonts w:ascii="Bookman Old Style" w:hAnsi="Bookman Old Style" w:cs="Arial"/>
          <w:b/>
          <w:bCs/>
          <w:color w:val="000000" w:themeColor="text1"/>
          <w:lang w:eastAsia="es-CO"/>
        </w:rPr>
      </w:pPr>
    </w:p>
    <w:p w:rsidR="00D0042C" w:rsidRPr="00787AE7" w:rsidRDefault="00D0042C" w:rsidP="00C73F70">
      <w:pPr>
        <w:keepNext/>
        <w:ind w:left="0"/>
        <w:jc w:val="center"/>
        <w:rPr>
          <w:rFonts w:ascii="Bookman Old Style" w:hAnsi="Bookman Old Style" w:cs="Arial"/>
          <w:b/>
          <w:bCs/>
          <w:color w:val="000000" w:themeColor="text1"/>
          <w:lang w:eastAsia="es-CO"/>
        </w:rPr>
      </w:pPr>
    </w:p>
    <w:tbl>
      <w:tblPr>
        <w:tblW w:w="0" w:type="auto"/>
        <w:jc w:val="center"/>
        <w:tblCellSpacing w:w="0" w:type="dxa"/>
        <w:tblCellMar>
          <w:left w:w="0" w:type="dxa"/>
          <w:right w:w="0" w:type="dxa"/>
        </w:tblCellMar>
        <w:tblLook w:val="0000" w:firstRow="0" w:lastRow="0" w:firstColumn="0" w:lastColumn="0" w:noHBand="0" w:noVBand="0"/>
      </w:tblPr>
      <w:tblGrid>
        <w:gridCol w:w="4641"/>
        <w:gridCol w:w="4399"/>
      </w:tblGrid>
      <w:tr w:rsidR="00D0042C" w:rsidRPr="00787AE7" w:rsidTr="00F55FD5">
        <w:trPr>
          <w:trHeight w:val="258"/>
          <w:tblCellSpacing w:w="0" w:type="dxa"/>
          <w:jc w:val="center"/>
        </w:trPr>
        <w:tc>
          <w:tcPr>
            <w:tcW w:w="4641" w:type="dxa"/>
          </w:tcPr>
          <w:p w:rsidR="00D0042C" w:rsidRPr="00787AE7" w:rsidRDefault="00FA6276" w:rsidP="00FA6276">
            <w:pPr>
              <w:keepNext/>
              <w:ind w:left="0"/>
              <w:jc w:val="center"/>
              <w:rPr>
                <w:rFonts w:ascii="Bookman Old Style" w:hAnsi="Bookman Old Style" w:cs="Arial"/>
                <w:color w:val="000000" w:themeColor="text1"/>
              </w:rPr>
            </w:pPr>
            <w:r w:rsidRPr="00787AE7">
              <w:rPr>
                <w:rFonts w:ascii="Bookman Old Style" w:hAnsi="Bookman Old Style" w:cs="Arial"/>
                <w:b/>
                <w:bCs/>
                <w:color w:val="000000" w:themeColor="text1"/>
              </w:rPr>
              <w:t xml:space="preserve">GERMÁN ARCE </w:t>
            </w:r>
            <w:r w:rsidR="004F5405" w:rsidRPr="00787AE7">
              <w:rPr>
                <w:rFonts w:ascii="Bookman Old Style" w:hAnsi="Bookman Old Style" w:cs="Arial"/>
                <w:b/>
                <w:bCs/>
                <w:color w:val="000000" w:themeColor="text1"/>
              </w:rPr>
              <w:t>ZAPATA</w:t>
            </w:r>
          </w:p>
        </w:tc>
        <w:tc>
          <w:tcPr>
            <w:tcW w:w="4399" w:type="dxa"/>
          </w:tcPr>
          <w:p w:rsidR="00D0042C" w:rsidRPr="00787AE7" w:rsidRDefault="00D0042C" w:rsidP="00F55FD5">
            <w:pPr>
              <w:keepNext/>
              <w:ind w:left="21"/>
              <w:jc w:val="center"/>
              <w:rPr>
                <w:rFonts w:ascii="Bookman Old Style" w:hAnsi="Bookman Old Style" w:cs="Arial"/>
                <w:color w:val="000000" w:themeColor="text1"/>
              </w:rPr>
            </w:pPr>
            <w:r w:rsidRPr="00787AE7">
              <w:rPr>
                <w:rFonts w:ascii="Bookman Old Style" w:hAnsi="Bookman Old Style" w:cs="Arial"/>
                <w:b/>
                <w:bCs/>
                <w:color w:val="000000" w:themeColor="text1"/>
              </w:rPr>
              <w:t>JORGE PINTO NOLLA</w:t>
            </w:r>
          </w:p>
        </w:tc>
      </w:tr>
      <w:tr w:rsidR="00D0042C" w:rsidRPr="00787AE7" w:rsidTr="00F55FD5">
        <w:trPr>
          <w:trHeight w:val="20"/>
          <w:tblCellSpacing w:w="0" w:type="dxa"/>
          <w:jc w:val="center"/>
        </w:trPr>
        <w:tc>
          <w:tcPr>
            <w:tcW w:w="4641" w:type="dxa"/>
          </w:tcPr>
          <w:p w:rsidR="00D0042C" w:rsidRPr="00787AE7" w:rsidRDefault="00D0042C" w:rsidP="00F55FD5">
            <w:pPr>
              <w:keepNext/>
              <w:ind w:left="0"/>
              <w:jc w:val="center"/>
              <w:rPr>
                <w:rFonts w:ascii="Bookman Old Style" w:hAnsi="Bookman Old Style" w:cs="Arial"/>
                <w:color w:val="000000" w:themeColor="text1"/>
              </w:rPr>
            </w:pPr>
            <w:r w:rsidRPr="00787AE7">
              <w:rPr>
                <w:rFonts w:ascii="Bookman Old Style" w:hAnsi="Bookman Old Style" w:cs="Arial"/>
                <w:color w:val="000000" w:themeColor="text1"/>
              </w:rPr>
              <w:t>Ministro de Minas y Energía</w:t>
            </w:r>
          </w:p>
        </w:tc>
        <w:tc>
          <w:tcPr>
            <w:tcW w:w="4399" w:type="dxa"/>
          </w:tcPr>
          <w:p w:rsidR="00D0042C" w:rsidRPr="00787AE7" w:rsidRDefault="00D0042C" w:rsidP="00F55FD5">
            <w:pPr>
              <w:keepNext/>
              <w:ind w:left="0"/>
              <w:jc w:val="center"/>
              <w:rPr>
                <w:rFonts w:ascii="Bookman Old Style" w:hAnsi="Bookman Old Style" w:cs="Arial"/>
                <w:color w:val="000000" w:themeColor="text1"/>
              </w:rPr>
            </w:pPr>
            <w:r w:rsidRPr="00787AE7">
              <w:rPr>
                <w:rFonts w:ascii="Bookman Old Style" w:hAnsi="Bookman Old Style" w:cs="Arial"/>
                <w:color w:val="000000" w:themeColor="text1"/>
              </w:rPr>
              <w:t>Director Ejecutivo</w:t>
            </w:r>
          </w:p>
        </w:tc>
      </w:tr>
      <w:tr w:rsidR="00D0042C" w:rsidRPr="00483BFD" w:rsidTr="00F55FD5">
        <w:trPr>
          <w:trHeight w:val="20"/>
          <w:tblCellSpacing w:w="0" w:type="dxa"/>
          <w:jc w:val="center"/>
        </w:trPr>
        <w:tc>
          <w:tcPr>
            <w:tcW w:w="4641" w:type="dxa"/>
          </w:tcPr>
          <w:p w:rsidR="00D0042C" w:rsidRPr="00483BFD" w:rsidRDefault="00D0042C" w:rsidP="00F55FD5">
            <w:pPr>
              <w:ind w:left="-16"/>
              <w:jc w:val="center"/>
              <w:rPr>
                <w:rFonts w:ascii="Bookman Old Style" w:hAnsi="Bookman Old Style" w:cs="Arial"/>
                <w:color w:val="000000" w:themeColor="text1"/>
              </w:rPr>
            </w:pPr>
            <w:r w:rsidRPr="00787AE7">
              <w:rPr>
                <w:rFonts w:ascii="Bookman Old Style" w:hAnsi="Bookman Old Style" w:cs="Arial"/>
                <w:color w:val="000000" w:themeColor="text1"/>
              </w:rPr>
              <w:t>Presidente</w:t>
            </w:r>
          </w:p>
        </w:tc>
        <w:tc>
          <w:tcPr>
            <w:tcW w:w="0" w:type="auto"/>
          </w:tcPr>
          <w:p w:rsidR="00D0042C" w:rsidRPr="00483BFD" w:rsidRDefault="00D0042C" w:rsidP="00F55FD5">
            <w:pPr>
              <w:jc w:val="center"/>
              <w:rPr>
                <w:rFonts w:ascii="Bookman Old Style" w:hAnsi="Bookman Old Style" w:cs="Arial"/>
                <w:color w:val="000000" w:themeColor="text1"/>
              </w:rPr>
            </w:pPr>
          </w:p>
        </w:tc>
      </w:tr>
    </w:tbl>
    <w:p w:rsidR="00D0042C" w:rsidRDefault="00D0042C" w:rsidP="00C73F70">
      <w:pPr>
        <w:keepNext/>
        <w:ind w:left="0"/>
        <w:jc w:val="center"/>
        <w:rPr>
          <w:rFonts w:ascii="Bookman Old Style" w:hAnsi="Bookman Old Style" w:cs="Arial"/>
          <w:b/>
          <w:bCs/>
          <w:color w:val="000000" w:themeColor="text1"/>
          <w:lang w:eastAsia="es-CO"/>
        </w:rPr>
      </w:pPr>
    </w:p>
    <w:sectPr w:rsidR="00D0042C" w:rsidSect="00E002CC">
      <w:headerReference w:type="default" r:id="rId9"/>
      <w:headerReference w:type="first" r:id="rId10"/>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7C6" w:rsidRDefault="008837C6">
      <w:r>
        <w:separator/>
      </w:r>
    </w:p>
  </w:endnote>
  <w:endnote w:type="continuationSeparator" w:id="0">
    <w:p w:rsidR="008837C6" w:rsidRDefault="0088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7C6" w:rsidRDefault="008837C6">
      <w:r>
        <w:separator/>
      </w:r>
    </w:p>
  </w:footnote>
  <w:footnote w:type="continuationSeparator" w:id="0">
    <w:p w:rsidR="008837C6" w:rsidRDefault="00883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FD5" w:rsidRDefault="00F55FD5" w:rsidP="00951F79">
    <w:pPr>
      <w:pStyle w:val="Ttulo1"/>
      <w:ind w:right="6"/>
      <w:jc w:val="left"/>
      <w:rPr>
        <w:rFonts w:ascii="Bookman Old Style" w:hAnsi="Bookman Old Style" w:cs="Arial"/>
        <w:b w:val="0"/>
        <w:sz w:val="22"/>
        <w:szCs w:val="22"/>
      </w:rPr>
    </w:pPr>
  </w:p>
  <w:p w:rsidR="00F55FD5" w:rsidRPr="00951F79" w:rsidRDefault="00F55FD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E2344">
      <w:rPr>
        <w:rFonts w:ascii="Bookman Old Style" w:hAnsi="Bookman Old Style" w:cs="Arial"/>
        <w:b w:val="0"/>
        <w:noProof/>
        <w:sz w:val="22"/>
        <w:szCs w:val="22"/>
      </w:rPr>
      <w:t>15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E2344" w:rsidRPr="005E2344">
        <w:rPr>
          <w:rFonts w:ascii="Bookman Old Style" w:hAnsi="Bookman Old Style" w:cs="Arial"/>
          <w:b w:val="0"/>
          <w:noProof/>
          <w:sz w:val="22"/>
          <w:szCs w:val="22"/>
        </w:rPr>
        <w:t>15</w:t>
      </w:r>
    </w:fldSimple>
  </w:p>
  <w:p w:rsidR="00F55FD5" w:rsidRDefault="00F55FD5"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4A92C2C" wp14:editId="091055DA">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061C9"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55FD5" w:rsidRPr="003F599C" w:rsidRDefault="003F599C" w:rsidP="0090564D">
    <w:pPr>
      <w:pBdr>
        <w:bottom w:val="single" w:sz="4" w:space="11" w:color="auto"/>
      </w:pBdr>
      <w:spacing w:before="120" w:after="120"/>
      <w:ind w:left="142" w:right="147"/>
      <w:jc w:val="both"/>
      <w:rPr>
        <w:rFonts w:ascii="Bookman Old Style" w:hAnsi="Bookman Old Style" w:cs="Arial"/>
        <w:spacing w:val="-3"/>
        <w:sz w:val="22"/>
        <w:szCs w:val="22"/>
        <w:lang w:val="es-ES_tradnl"/>
      </w:rPr>
    </w:pPr>
    <w:r w:rsidRPr="003F599C">
      <w:rPr>
        <w:rFonts w:ascii="Bookman Old Style" w:hAnsi="Bookman Old Style"/>
        <w:sz w:val="22"/>
        <w:szCs w:val="22"/>
      </w:rPr>
      <w:t>Por la cual se ordena hacer público un proyecto de resolución “Por la cual se modifica el Anexo 2 de la Resolución CREG 089 de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FD5" w:rsidRDefault="00F55FD5"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F55FD5" w:rsidRDefault="00F55FD5">
    <w:pPr>
      <w:pStyle w:val="Encabezado"/>
      <w:jc w:val="center"/>
      <w:rPr>
        <w:rFonts w:ascii="Arial" w:hAnsi="Arial" w:cs="Arial"/>
        <w:spacing w:val="20"/>
        <w:sz w:val="20"/>
      </w:rPr>
    </w:pPr>
  </w:p>
  <w:p w:rsidR="00F55FD5" w:rsidRDefault="00F55FD5"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54D2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1C3B"/>
    <w:multiLevelType w:val="hybridMultilevel"/>
    <w:tmpl w:val="F63AD2C0"/>
    <w:lvl w:ilvl="0" w:tplc="376C9D24">
      <w:numFmt w:val="bullet"/>
      <w:lvlText w:val="-"/>
      <w:lvlJc w:val="left"/>
      <w:pPr>
        <w:ind w:left="1647" w:hanging="360"/>
      </w:pPr>
      <w:rPr>
        <w:rFonts w:ascii="Bookman Old Style" w:eastAsia="Times New Roman" w:hAnsi="Bookman Old Style" w:cs="Times New Roman"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1">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193CC2"/>
    <w:multiLevelType w:val="hybridMultilevel"/>
    <w:tmpl w:val="1F36BD5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1402B18"/>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31E97757"/>
    <w:multiLevelType w:val="hybridMultilevel"/>
    <w:tmpl w:val="BA5AAE50"/>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nsid w:val="3B7376C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
    <w:nsid w:val="3D940474"/>
    <w:multiLevelType w:val="hybridMultilevel"/>
    <w:tmpl w:val="BA5AAE50"/>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nsid w:val="4CCE4D90"/>
    <w:multiLevelType w:val="hybridMultilevel"/>
    <w:tmpl w:val="BA5AAE50"/>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0">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
    <w:nsid w:val="6F1702BD"/>
    <w:multiLevelType w:val="hybridMultilevel"/>
    <w:tmpl w:val="A3D82674"/>
    <w:lvl w:ilvl="0" w:tplc="B33C9160">
      <w:start w:val="1"/>
      <w:numFmt w:val="lowerRoman"/>
      <w:lvlText w:val="%1."/>
      <w:lvlJc w:val="left"/>
      <w:pPr>
        <w:ind w:left="1713" w:hanging="360"/>
      </w:pPr>
      <w:rPr>
        <w:rFonts w:hint="default"/>
        <w:sz w:val="24"/>
        <w:szCs w:val="24"/>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13">
    <w:nsid w:val="751874D5"/>
    <w:multiLevelType w:val="hybridMultilevel"/>
    <w:tmpl w:val="CC9C2D38"/>
    <w:lvl w:ilvl="0" w:tplc="376C9D24">
      <w:numFmt w:val="bullet"/>
      <w:lvlText w:val="-"/>
      <w:lvlJc w:val="left"/>
      <w:pPr>
        <w:ind w:left="2007" w:hanging="360"/>
      </w:pPr>
      <w:rPr>
        <w:rFonts w:ascii="Bookman Old Style" w:eastAsia="Times New Roman" w:hAnsi="Bookman Old Style" w:cs="Times New Roman"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num w:numId="1">
    <w:abstractNumId w:val="12"/>
  </w:num>
  <w:num w:numId="2">
    <w:abstractNumId w:val="8"/>
  </w:num>
  <w:num w:numId="3">
    <w:abstractNumId w:val="1"/>
  </w:num>
  <w:num w:numId="4">
    <w:abstractNumId w:val="9"/>
  </w:num>
  <w:num w:numId="5">
    <w:abstractNumId w:val="2"/>
  </w:num>
  <w:num w:numId="6">
    <w:abstractNumId w:val="7"/>
  </w:num>
  <w:num w:numId="7">
    <w:abstractNumId w:val="0"/>
  </w:num>
  <w:num w:numId="8">
    <w:abstractNumId w:val="13"/>
  </w:num>
  <w:num w:numId="9">
    <w:abstractNumId w:val="6"/>
  </w:num>
  <w:num w:numId="10">
    <w:abstractNumId w:val="4"/>
  </w:num>
  <w:num w:numId="11">
    <w:abstractNumId w:val="5"/>
  </w:num>
  <w:num w:numId="12">
    <w:abstractNumId w:val="12"/>
    <w:lvlOverride w:ilvl="0">
      <w:startOverride w:val="7"/>
    </w:lvlOverride>
  </w:num>
  <w:num w:numId="13">
    <w:abstractNumId w:val="10"/>
  </w:num>
  <w:num w:numId="14">
    <w:abstractNumId w:val="11"/>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850"/>
    <w:rsid w:val="00000A65"/>
    <w:rsid w:val="00000C38"/>
    <w:rsid w:val="00000CF9"/>
    <w:rsid w:val="00000FCB"/>
    <w:rsid w:val="00001060"/>
    <w:rsid w:val="00001A61"/>
    <w:rsid w:val="000020A8"/>
    <w:rsid w:val="00002F79"/>
    <w:rsid w:val="000034E8"/>
    <w:rsid w:val="000037CF"/>
    <w:rsid w:val="00003E8D"/>
    <w:rsid w:val="00004D83"/>
    <w:rsid w:val="00005ABF"/>
    <w:rsid w:val="00005EDD"/>
    <w:rsid w:val="00006A04"/>
    <w:rsid w:val="00006AE2"/>
    <w:rsid w:val="00006F95"/>
    <w:rsid w:val="0000700C"/>
    <w:rsid w:val="000076A1"/>
    <w:rsid w:val="00007A06"/>
    <w:rsid w:val="00007F69"/>
    <w:rsid w:val="00010B1D"/>
    <w:rsid w:val="00010D61"/>
    <w:rsid w:val="00010DFE"/>
    <w:rsid w:val="00011D02"/>
    <w:rsid w:val="0001221B"/>
    <w:rsid w:val="00012259"/>
    <w:rsid w:val="00012472"/>
    <w:rsid w:val="000126C5"/>
    <w:rsid w:val="00012E4F"/>
    <w:rsid w:val="00013B69"/>
    <w:rsid w:val="00013DEA"/>
    <w:rsid w:val="0001482B"/>
    <w:rsid w:val="00014A67"/>
    <w:rsid w:val="00015013"/>
    <w:rsid w:val="000152E6"/>
    <w:rsid w:val="0001533D"/>
    <w:rsid w:val="0001582A"/>
    <w:rsid w:val="00015852"/>
    <w:rsid w:val="00015C89"/>
    <w:rsid w:val="000162D9"/>
    <w:rsid w:val="0001631E"/>
    <w:rsid w:val="00016698"/>
    <w:rsid w:val="00017454"/>
    <w:rsid w:val="000178DC"/>
    <w:rsid w:val="00017983"/>
    <w:rsid w:val="00020B3C"/>
    <w:rsid w:val="0002108F"/>
    <w:rsid w:val="0002165A"/>
    <w:rsid w:val="00021B30"/>
    <w:rsid w:val="000228E3"/>
    <w:rsid w:val="000229A3"/>
    <w:rsid w:val="00022A19"/>
    <w:rsid w:val="000230F9"/>
    <w:rsid w:val="00023A14"/>
    <w:rsid w:val="00024094"/>
    <w:rsid w:val="00024C04"/>
    <w:rsid w:val="000252D3"/>
    <w:rsid w:val="00025383"/>
    <w:rsid w:val="0002564D"/>
    <w:rsid w:val="00025E09"/>
    <w:rsid w:val="00025F55"/>
    <w:rsid w:val="00026477"/>
    <w:rsid w:val="00027CAD"/>
    <w:rsid w:val="00030C6C"/>
    <w:rsid w:val="00030C8A"/>
    <w:rsid w:val="000310AB"/>
    <w:rsid w:val="000320B7"/>
    <w:rsid w:val="0003364E"/>
    <w:rsid w:val="00033795"/>
    <w:rsid w:val="00034E9A"/>
    <w:rsid w:val="00035268"/>
    <w:rsid w:val="0003552F"/>
    <w:rsid w:val="000356A7"/>
    <w:rsid w:val="00035CE1"/>
    <w:rsid w:val="00035D87"/>
    <w:rsid w:val="0003635C"/>
    <w:rsid w:val="00036B45"/>
    <w:rsid w:val="00037BB4"/>
    <w:rsid w:val="00037F75"/>
    <w:rsid w:val="00037FF5"/>
    <w:rsid w:val="00040199"/>
    <w:rsid w:val="000401A2"/>
    <w:rsid w:val="0004162E"/>
    <w:rsid w:val="00041B02"/>
    <w:rsid w:val="0004200A"/>
    <w:rsid w:val="00044247"/>
    <w:rsid w:val="00044C64"/>
    <w:rsid w:val="0004566B"/>
    <w:rsid w:val="00046E7F"/>
    <w:rsid w:val="0004777C"/>
    <w:rsid w:val="00047D40"/>
    <w:rsid w:val="00050277"/>
    <w:rsid w:val="00050BEB"/>
    <w:rsid w:val="0005199A"/>
    <w:rsid w:val="00052EB6"/>
    <w:rsid w:val="00053175"/>
    <w:rsid w:val="0005340D"/>
    <w:rsid w:val="00053D81"/>
    <w:rsid w:val="00053EBD"/>
    <w:rsid w:val="0005424A"/>
    <w:rsid w:val="00054CBF"/>
    <w:rsid w:val="00055386"/>
    <w:rsid w:val="000568B3"/>
    <w:rsid w:val="000572D1"/>
    <w:rsid w:val="00057ABD"/>
    <w:rsid w:val="00057D91"/>
    <w:rsid w:val="00057DD5"/>
    <w:rsid w:val="0006018C"/>
    <w:rsid w:val="000608FD"/>
    <w:rsid w:val="000616A2"/>
    <w:rsid w:val="000629CC"/>
    <w:rsid w:val="000635A1"/>
    <w:rsid w:val="0006363C"/>
    <w:rsid w:val="00063657"/>
    <w:rsid w:val="00063E0C"/>
    <w:rsid w:val="00064237"/>
    <w:rsid w:val="00064B58"/>
    <w:rsid w:val="00064F1B"/>
    <w:rsid w:val="0006553E"/>
    <w:rsid w:val="00065647"/>
    <w:rsid w:val="00065CA6"/>
    <w:rsid w:val="00066393"/>
    <w:rsid w:val="0006651E"/>
    <w:rsid w:val="00067207"/>
    <w:rsid w:val="0006731B"/>
    <w:rsid w:val="00067583"/>
    <w:rsid w:val="0006790B"/>
    <w:rsid w:val="00067958"/>
    <w:rsid w:val="00067CDB"/>
    <w:rsid w:val="0007013D"/>
    <w:rsid w:val="00070AF8"/>
    <w:rsid w:val="00070B84"/>
    <w:rsid w:val="00071219"/>
    <w:rsid w:val="00071928"/>
    <w:rsid w:val="00071B61"/>
    <w:rsid w:val="00071F39"/>
    <w:rsid w:val="000729B1"/>
    <w:rsid w:val="00074A9D"/>
    <w:rsid w:val="00074F03"/>
    <w:rsid w:val="0007624F"/>
    <w:rsid w:val="00076680"/>
    <w:rsid w:val="00076A1D"/>
    <w:rsid w:val="00076D60"/>
    <w:rsid w:val="000771E3"/>
    <w:rsid w:val="00077437"/>
    <w:rsid w:val="0008051A"/>
    <w:rsid w:val="0008073E"/>
    <w:rsid w:val="00080BA2"/>
    <w:rsid w:val="00081249"/>
    <w:rsid w:val="0008149E"/>
    <w:rsid w:val="00081ECC"/>
    <w:rsid w:val="00082535"/>
    <w:rsid w:val="0008267A"/>
    <w:rsid w:val="00082B88"/>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B47"/>
    <w:rsid w:val="000A4DC1"/>
    <w:rsid w:val="000A5F2E"/>
    <w:rsid w:val="000A6122"/>
    <w:rsid w:val="000A77BF"/>
    <w:rsid w:val="000A78D7"/>
    <w:rsid w:val="000A7BEE"/>
    <w:rsid w:val="000A7D3C"/>
    <w:rsid w:val="000B0672"/>
    <w:rsid w:val="000B1878"/>
    <w:rsid w:val="000B1E7A"/>
    <w:rsid w:val="000B2053"/>
    <w:rsid w:val="000B27F1"/>
    <w:rsid w:val="000B285B"/>
    <w:rsid w:val="000B2C8D"/>
    <w:rsid w:val="000B2EE5"/>
    <w:rsid w:val="000B2F81"/>
    <w:rsid w:val="000B36BC"/>
    <w:rsid w:val="000B3750"/>
    <w:rsid w:val="000B4670"/>
    <w:rsid w:val="000B510D"/>
    <w:rsid w:val="000B6034"/>
    <w:rsid w:val="000B623A"/>
    <w:rsid w:val="000B6632"/>
    <w:rsid w:val="000B67A4"/>
    <w:rsid w:val="000B6E6F"/>
    <w:rsid w:val="000B7F01"/>
    <w:rsid w:val="000C01A9"/>
    <w:rsid w:val="000C01FB"/>
    <w:rsid w:val="000C06F6"/>
    <w:rsid w:val="000C07E5"/>
    <w:rsid w:val="000C0917"/>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DC7"/>
    <w:rsid w:val="000D0411"/>
    <w:rsid w:val="000D0678"/>
    <w:rsid w:val="000D11E2"/>
    <w:rsid w:val="000D1456"/>
    <w:rsid w:val="000D166D"/>
    <w:rsid w:val="000D208D"/>
    <w:rsid w:val="000D26F8"/>
    <w:rsid w:val="000D2EF2"/>
    <w:rsid w:val="000D3209"/>
    <w:rsid w:val="000D3581"/>
    <w:rsid w:val="000D3633"/>
    <w:rsid w:val="000D45B1"/>
    <w:rsid w:val="000D5724"/>
    <w:rsid w:val="000D5869"/>
    <w:rsid w:val="000D5B92"/>
    <w:rsid w:val="000D5E46"/>
    <w:rsid w:val="000D63C3"/>
    <w:rsid w:val="000D70C6"/>
    <w:rsid w:val="000D76D7"/>
    <w:rsid w:val="000D77FA"/>
    <w:rsid w:val="000E008F"/>
    <w:rsid w:val="000E0864"/>
    <w:rsid w:val="000E0A0E"/>
    <w:rsid w:val="000E0A9D"/>
    <w:rsid w:val="000E0DA4"/>
    <w:rsid w:val="000E1A2F"/>
    <w:rsid w:val="000E1DD8"/>
    <w:rsid w:val="000E28C9"/>
    <w:rsid w:val="000E2E3F"/>
    <w:rsid w:val="000E3616"/>
    <w:rsid w:val="000E36E0"/>
    <w:rsid w:val="000E4196"/>
    <w:rsid w:val="000E47D5"/>
    <w:rsid w:val="000E47E6"/>
    <w:rsid w:val="000E4990"/>
    <w:rsid w:val="000E4C30"/>
    <w:rsid w:val="000E5806"/>
    <w:rsid w:val="000E6C92"/>
    <w:rsid w:val="000E78C7"/>
    <w:rsid w:val="000F02F4"/>
    <w:rsid w:val="000F06E3"/>
    <w:rsid w:val="000F0E66"/>
    <w:rsid w:val="000F0E70"/>
    <w:rsid w:val="000F1927"/>
    <w:rsid w:val="000F1C07"/>
    <w:rsid w:val="000F1E21"/>
    <w:rsid w:val="000F2EB3"/>
    <w:rsid w:val="000F300E"/>
    <w:rsid w:val="000F40D6"/>
    <w:rsid w:val="000F49DF"/>
    <w:rsid w:val="000F4B5F"/>
    <w:rsid w:val="000F4C1D"/>
    <w:rsid w:val="000F52BF"/>
    <w:rsid w:val="000F578A"/>
    <w:rsid w:val="000F5B99"/>
    <w:rsid w:val="000F7039"/>
    <w:rsid w:val="000F7159"/>
    <w:rsid w:val="00100390"/>
    <w:rsid w:val="00101200"/>
    <w:rsid w:val="00101B7E"/>
    <w:rsid w:val="0010220A"/>
    <w:rsid w:val="0010278A"/>
    <w:rsid w:val="00102ABD"/>
    <w:rsid w:val="00103232"/>
    <w:rsid w:val="001038FA"/>
    <w:rsid w:val="00103F47"/>
    <w:rsid w:val="00104BD8"/>
    <w:rsid w:val="00104E62"/>
    <w:rsid w:val="00105093"/>
    <w:rsid w:val="0010546E"/>
    <w:rsid w:val="00105C47"/>
    <w:rsid w:val="001069C4"/>
    <w:rsid w:val="00106B1A"/>
    <w:rsid w:val="00107649"/>
    <w:rsid w:val="001077DC"/>
    <w:rsid w:val="00107A62"/>
    <w:rsid w:val="00110162"/>
    <w:rsid w:val="0011064E"/>
    <w:rsid w:val="0011089E"/>
    <w:rsid w:val="00111F21"/>
    <w:rsid w:val="001121CE"/>
    <w:rsid w:val="00112B37"/>
    <w:rsid w:val="00113151"/>
    <w:rsid w:val="00113B05"/>
    <w:rsid w:val="00113BCF"/>
    <w:rsid w:val="001151F3"/>
    <w:rsid w:val="001152CF"/>
    <w:rsid w:val="001159F1"/>
    <w:rsid w:val="00116126"/>
    <w:rsid w:val="001169CF"/>
    <w:rsid w:val="00116BF8"/>
    <w:rsid w:val="00116D65"/>
    <w:rsid w:val="00117076"/>
    <w:rsid w:val="001170D2"/>
    <w:rsid w:val="00117398"/>
    <w:rsid w:val="00117581"/>
    <w:rsid w:val="001208FC"/>
    <w:rsid w:val="00121027"/>
    <w:rsid w:val="00121211"/>
    <w:rsid w:val="001213EB"/>
    <w:rsid w:val="00121E87"/>
    <w:rsid w:val="0012269D"/>
    <w:rsid w:val="00122C0E"/>
    <w:rsid w:val="00123F55"/>
    <w:rsid w:val="001241B0"/>
    <w:rsid w:val="001244CD"/>
    <w:rsid w:val="00124DEF"/>
    <w:rsid w:val="00125218"/>
    <w:rsid w:val="00125731"/>
    <w:rsid w:val="00126C83"/>
    <w:rsid w:val="00127077"/>
    <w:rsid w:val="00127201"/>
    <w:rsid w:val="001273C2"/>
    <w:rsid w:val="001273F3"/>
    <w:rsid w:val="0013053F"/>
    <w:rsid w:val="00130551"/>
    <w:rsid w:val="0013110E"/>
    <w:rsid w:val="00131D5E"/>
    <w:rsid w:val="001324AB"/>
    <w:rsid w:val="001339CD"/>
    <w:rsid w:val="001354D9"/>
    <w:rsid w:val="00135CA0"/>
    <w:rsid w:val="00136108"/>
    <w:rsid w:val="001363E4"/>
    <w:rsid w:val="00136742"/>
    <w:rsid w:val="00136D5A"/>
    <w:rsid w:val="001405C6"/>
    <w:rsid w:val="001407B7"/>
    <w:rsid w:val="00141013"/>
    <w:rsid w:val="00141972"/>
    <w:rsid w:val="00141A71"/>
    <w:rsid w:val="00142367"/>
    <w:rsid w:val="00142650"/>
    <w:rsid w:val="00142C62"/>
    <w:rsid w:val="00144BAE"/>
    <w:rsid w:val="001453EA"/>
    <w:rsid w:val="00145B0F"/>
    <w:rsid w:val="00145BA0"/>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D6"/>
    <w:rsid w:val="00157BD2"/>
    <w:rsid w:val="00157F68"/>
    <w:rsid w:val="00160992"/>
    <w:rsid w:val="00160FB1"/>
    <w:rsid w:val="001614C6"/>
    <w:rsid w:val="001615C8"/>
    <w:rsid w:val="0016184E"/>
    <w:rsid w:val="0016196C"/>
    <w:rsid w:val="00161F53"/>
    <w:rsid w:val="00161F54"/>
    <w:rsid w:val="0016204C"/>
    <w:rsid w:val="00162C23"/>
    <w:rsid w:val="00162D48"/>
    <w:rsid w:val="00163363"/>
    <w:rsid w:val="00163CB1"/>
    <w:rsid w:val="0016484E"/>
    <w:rsid w:val="0016562D"/>
    <w:rsid w:val="0016584B"/>
    <w:rsid w:val="00165B40"/>
    <w:rsid w:val="0016637C"/>
    <w:rsid w:val="001674E1"/>
    <w:rsid w:val="00167871"/>
    <w:rsid w:val="001678BB"/>
    <w:rsid w:val="00170128"/>
    <w:rsid w:val="0017065F"/>
    <w:rsid w:val="00170DDD"/>
    <w:rsid w:val="00170E10"/>
    <w:rsid w:val="0017104E"/>
    <w:rsid w:val="001710C9"/>
    <w:rsid w:val="00171E72"/>
    <w:rsid w:val="00172BC5"/>
    <w:rsid w:val="0017302C"/>
    <w:rsid w:val="001731FA"/>
    <w:rsid w:val="0017323C"/>
    <w:rsid w:val="001732D9"/>
    <w:rsid w:val="001733E9"/>
    <w:rsid w:val="0017373A"/>
    <w:rsid w:val="0017392D"/>
    <w:rsid w:val="00173ADC"/>
    <w:rsid w:val="00173BB2"/>
    <w:rsid w:val="001745C3"/>
    <w:rsid w:val="00174993"/>
    <w:rsid w:val="00174BB6"/>
    <w:rsid w:val="00174DC5"/>
    <w:rsid w:val="00175430"/>
    <w:rsid w:val="00175E65"/>
    <w:rsid w:val="00176C2F"/>
    <w:rsid w:val="001776E2"/>
    <w:rsid w:val="00177A37"/>
    <w:rsid w:val="00177BB0"/>
    <w:rsid w:val="001802A1"/>
    <w:rsid w:val="00180599"/>
    <w:rsid w:val="00180DD5"/>
    <w:rsid w:val="001812AE"/>
    <w:rsid w:val="00181488"/>
    <w:rsid w:val="0018155A"/>
    <w:rsid w:val="001818A4"/>
    <w:rsid w:val="00181F86"/>
    <w:rsid w:val="00182761"/>
    <w:rsid w:val="00182964"/>
    <w:rsid w:val="00182B14"/>
    <w:rsid w:val="00182E94"/>
    <w:rsid w:val="00182EA4"/>
    <w:rsid w:val="001832C7"/>
    <w:rsid w:val="00183C2B"/>
    <w:rsid w:val="00183DA2"/>
    <w:rsid w:val="00184A1A"/>
    <w:rsid w:val="00184E7C"/>
    <w:rsid w:val="00185B11"/>
    <w:rsid w:val="00185C24"/>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5A72"/>
    <w:rsid w:val="0019740A"/>
    <w:rsid w:val="001976E0"/>
    <w:rsid w:val="00197B27"/>
    <w:rsid w:val="00197C94"/>
    <w:rsid w:val="00197D44"/>
    <w:rsid w:val="00197ED4"/>
    <w:rsid w:val="00197F4C"/>
    <w:rsid w:val="001A0038"/>
    <w:rsid w:val="001A02E9"/>
    <w:rsid w:val="001A1B21"/>
    <w:rsid w:val="001A1CB9"/>
    <w:rsid w:val="001A2094"/>
    <w:rsid w:val="001A2D40"/>
    <w:rsid w:val="001A38CC"/>
    <w:rsid w:val="001A3997"/>
    <w:rsid w:val="001A4617"/>
    <w:rsid w:val="001A564D"/>
    <w:rsid w:val="001A587F"/>
    <w:rsid w:val="001A5A6B"/>
    <w:rsid w:val="001A5B11"/>
    <w:rsid w:val="001A5F1B"/>
    <w:rsid w:val="001A60D1"/>
    <w:rsid w:val="001A64C8"/>
    <w:rsid w:val="001A64F2"/>
    <w:rsid w:val="001A71EE"/>
    <w:rsid w:val="001A7436"/>
    <w:rsid w:val="001A75BC"/>
    <w:rsid w:val="001A7EE0"/>
    <w:rsid w:val="001B124E"/>
    <w:rsid w:val="001B15B2"/>
    <w:rsid w:val="001B1C22"/>
    <w:rsid w:val="001B2560"/>
    <w:rsid w:val="001B2FED"/>
    <w:rsid w:val="001B31DC"/>
    <w:rsid w:val="001B34C6"/>
    <w:rsid w:val="001B45E5"/>
    <w:rsid w:val="001B5CF5"/>
    <w:rsid w:val="001B5DDC"/>
    <w:rsid w:val="001B6001"/>
    <w:rsid w:val="001B7221"/>
    <w:rsid w:val="001B7843"/>
    <w:rsid w:val="001B7C19"/>
    <w:rsid w:val="001B7C29"/>
    <w:rsid w:val="001B7C41"/>
    <w:rsid w:val="001C0466"/>
    <w:rsid w:val="001C0FA0"/>
    <w:rsid w:val="001C179B"/>
    <w:rsid w:val="001C1F51"/>
    <w:rsid w:val="001C221D"/>
    <w:rsid w:val="001C22CE"/>
    <w:rsid w:val="001C2E15"/>
    <w:rsid w:val="001C32C7"/>
    <w:rsid w:val="001C333A"/>
    <w:rsid w:val="001C3BE8"/>
    <w:rsid w:val="001C3F6C"/>
    <w:rsid w:val="001C416E"/>
    <w:rsid w:val="001C4452"/>
    <w:rsid w:val="001C4463"/>
    <w:rsid w:val="001C458E"/>
    <w:rsid w:val="001C4DB7"/>
    <w:rsid w:val="001C4F12"/>
    <w:rsid w:val="001C4F89"/>
    <w:rsid w:val="001C534F"/>
    <w:rsid w:val="001C54B9"/>
    <w:rsid w:val="001C5793"/>
    <w:rsid w:val="001C6764"/>
    <w:rsid w:val="001C6B76"/>
    <w:rsid w:val="001C6C45"/>
    <w:rsid w:val="001C7366"/>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709"/>
    <w:rsid w:val="001E0967"/>
    <w:rsid w:val="001E229D"/>
    <w:rsid w:val="001E2EE7"/>
    <w:rsid w:val="001E4863"/>
    <w:rsid w:val="001E4876"/>
    <w:rsid w:val="001E492C"/>
    <w:rsid w:val="001E4CD1"/>
    <w:rsid w:val="001E4CE7"/>
    <w:rsid w:val="001E52BD"/>
    <w:rsid w:val="001E6826"/>
    <w:rsid w:val="001E6B6A"/>
    <w:rsid w:val="001E74BB"/>
    <w:rsid w:val="001E7A51"/>
    <w:rsid w:val="001E7B64"/>
    <w:rsid w:val="001E7FB0"/>
    <w:rsid w:val="001F0299"/>
    <w:rsid w:val="001F0A15"/>
    <w:rsid w:val="001F0A38"/>
    <w:rsid w:val="001F0B4D"/>
    <w:rsid w:val="001F0EB9"/>
    <w:rsid w:val="001F1041"/>
    <w:rsid w:val="001F133A"/>
    <w:rsid w:val="001F2180"/>
    <w:rsid w:val="001F2237"/>
    <w:rsid w:val="001F262B"/>
    <w:rsid w:val="001F2639"/>
    <w:rsid w:val="001F2A25"/>
    <w:rsid w:val="001F2F77"/>
    <w:rsid w:val="001F36E8"/>
    <w:rsid w:val="001F3ED9"/>
    <w:rsid w:val="001F4B8D"/>
    <w:rsid w:val="001F532D"/>
    <w:rsid w:val="001F5593"/>
    <w:rsid w:val="001F55A9"/>
    <w:rsid w:val="001F5941"/>
    <w:rsid w:val="001F5B2F"/>
    <w:rsid w:val="001F7082"/>
    <w:rsid w:val="001F74FD"/>
    <w:rsid w:val="001F768E"/>
    <w:rsid w:val="002008F8"/>
    <w:rsid w:val="0020120E"/>
    <w:rsid w:val="00202240"/>
    <w:rsid w:val="00204634"/>
    <w:rsid w:val="00204ABF"/>
    <w:rsid w:val="00204ED0"/>
    <w:rsid w:val="00205A38"/>
    <w:rsid w:val="0021000F"/>
    <w:rsid w:val="0021077F"/>
    <w:rsid w:val="002109F1"/>
    <w:rsid w:val="00210FA0"/>
    <w:rsid w:val="00211185"/>
    <w:rsid w:val="00211203"/>
    <w:rsid w:val="00211D34"/>
    <w:rsid w:val="0021209C"/>
    <w:rsid w:val="002124A3"/>
    <w:rsid w:val="00212CEF"/>
    <w:rsid w:val="00212E51"/>
    <w:rsid w:val="00212F62"/>
    <w:rsid w:val="002136EC"/>
    <w:rsid w:val="002136F4"/>
    <w:rsid w:val="00214116"/>
    <w:rsid w:val="0021438D"/>
    <w:rsid w:val="002145F3"/>
    <w:rsid w:val="002149EB"/>
    <w:rsid w:val="002149FD"/>
    <w:rsid w:val="00214A8D"/>
    <w:rsid w:val="00214DAF"/>
    <w:rsid w:val="00214DB1"/>
    <w:rsid w:val="00214F04"/>
    <w:rsid w:val="00215919"/>
    <w:rsid w:val="00216F2F"/>
    <w:rsid w:val="00220957"/>
    <w:rsid w:val="002210A7"/>
    <w:rsid w:val="00221515"/>
    <w:rsid w:val="00221D86"/>
    <w:rsid w:val="00222A9E"/>
    <w:rsid w:val="00222B0A"/>
    <w:rsid w:val="00222D03"/>
    <w:rsid w:val="00223247"/>
    <w:rsid w:val="00223B10"/>
    <w:rsid w:val="00224071"/>
    <w:rsid w:val="002247AE"/>
    <w:rsid w:val="00224814"/>
    <w:rsid w:val="002263DB"/>
    <w:rsid w:val="00226B06"/>
    <w:rsid w:val="00226BC8"/>
    <w:rsid w:val="00227C6A"/>
    <w:rsid w:val="0023019F"/>
    <w:rsid w:val="00230617"/>
    <w:rsid w:val="00232883"/>
    <w:rsid w:val="002358B9"/>
    <w:rsid w:val="00235B05"/>
    <w:rsid w:val="00236378"/>
    <w:rsid w:val="00236775"/>
    <w:rsid w:val="00236C85"/>
    <w:rsid w:val="00236EB8"/>
    <w:rsid w:val="002375C3"/>
    <w:rsid w:val="00237650"/>
    <w:rsid w:val="002376AA"/>
    <w:rsid w:val="00240937"/>
    <w:rsid w:val="002410D5"/>
    <w:rsid w:val="00241CA1"/>
    <w:rsid w:val="00241D77"/>
    <w:rsid w:val="00241FDA"/>
    <w:rsid w:val="0024228D"/>
    <w:rsid w:val="00243C1C"/>
    <w:rsid w:val="00243C73"/>
    <w:rsid w:val="00243FF3"/>
    <w:rsid w:val="00244378"/>
    <w:rsid w:val="00244761"/>
    <w:rsid w:val="002448BC"/>
    <w:rsid w:val="00244C1D"/>
    <w:rsid w:val="00245E18"/>
    <w:rsid w:val="0024623F"/>
    <w:rsid w:val="00247A99"/>
    <w:rsid w:val="002503EC"/>
    <w:rsid w:val="00250FBF"/>
    <w:rsid w:val="00251CA9"/>
    <w:rsid w:val="00251CD9"/>
    <w:rsid w:val="00252575"/>
    <w:rsid w:val="00252A2F"/>
    <w:rsid w:val="002532DD"/>
    <w:rsid w:val="002536BB"/>
    <w:rsid w:val="00253985"/>
    <w:rsid w:val="00253F38"/>
    <w:rsid w:val="00253F9A"/>
    <w:rsid w:val="00254057"/>
    <w:rsid w:val="002542EF"/>
    <w:rsid w:val="00254868"/>
    <w:rsid w:val="002557A1"/>
    <w:rsid w:val="00255CEE"/>
    <w:rsid w:val="00256200"/>
    <w:rsid w:val="00257678"/>
    <w:rsid w:val="00257B98"/>
    <w:rsid w:val="002605BE"/>
    <w:rsid w:val="00260C6C"/>
    <w:rsid w:val="00260FA2"/>
    <w:rsid w:val="002615BC"/>
    <w:rsid w:val="00261A49"/>
    <w:rsid w:val="00261DCE"/>
    <w:rsid w:val="00261FDE"/>
    <w:rsid w:val="0026238B"/>
    <w:rsid w:val="00262BC3"/>
    <w:rsid w:val="0026301C"/>
    <w:rsid w:val="00263A62"/>
    <w:rsid w:val="00263F26"/>
    <w:rsid w:val="002640F8"/>
    <w:rsid w:val="00264A0A"/>
    <w:rsid w:val="0026583A"/>
    <w:rsid w:val="00265D0F"/>
    <w:rsid w:val="00266CD6"/>
    <w:rsid w:val="002670D5"/>
    <w:rsid w:val="0026757F"/>
    <w:rsid w:val="00267F1F"/>
    <w:rsid w:val="00270125"/>
    <w:rsid w:val="002705BE"/>
    <w:rsid w:val="0027094B"/>
    <w:rsid w:val="0027124E"/>
    <w:rsid w:val="00271CD3"/>
    <w:rsid w:val="00273183"/>
    <w:rsid w:val="00273400"/>
    <w:rsid w:val="00273C3C"/>
    <w:rsid w:val="00273DC7"/>
    <w:rsid w:val="00274195"/>
    <w:rsid w:val="002746D6"/>
    <w:rsid w:val="00274ABB"/>
    <w:rsid w:val="00274E92"/>
    <w:rsid w:val="00275844"/>
    <w:rsid w:val="00275B9A"/>
    <w:rsid w:val="00275DAB"/>
    <w:rsid w:val="00275EDD"/>
    <w:rsid w:val="0027600A"/>
    <w:rsid w:val="00277E55"/>
    <w:rsid w:val="00277E6A"/>
    <w:rsid w:val="00280809"/>
    <w:rsid w:val="002811AC"/>
    <w:rsid w:val="002813ED"/>
    <w:rsid w:val="00281D74"/>
    <w:rsid w:val="00282BAC"/>
    <w:rsid w:val="002833F1"/>
    <w:rsid w:val="00283F50"/>
    <w:rsid w:val="00285AB7"/>
    <w:rsid w:val="002870CA"/>
    <w:rsid w:val="0028750E"/>
    <w:rsid w:val="002879B8"/>
    <w:rsid w:val="00287A1F"/>
    <w:rsid w:val="00287F5C"/>
    <w:rsid w:val="002901B2"/>
    <w:rsid w:val="00290209"/>
    <w:rsid w:val="002902A5"/>
    <w:rsid w:val="0029072D"/>
    <w:rsid w:val="002907A3"/>
    <w:rsid w:val="002908AC"/>
    <w:rsid w:val="002927A1"/>
    <w:rsid w:val="00293991"/>
    <w:rsid w:val="00293B48"/>
    <w:rsid w:val="00293D9D"/>
    <w:rsid w:val="0029542F"/>
    <w:rsid w:val="00295EB9"/>
    <w:rsid w:val="00296DE6"/>
    <w:rsid w:val="002977C1"/>
    <w:rsid w:val="0029780F"/>
    <w:rsid w:val="002A0037"/>
    <w:rsid w:val="002A1672"/>
    <w:rsid w:val="002A1BE8"/>
    <w:rsid w:val="002A1ED4"/>
    <w:rsid w:val="002A25DE"/>
    <w:rsid w:val="002A2B97"/>
    <w:rsid w:val="002A2CA3"/>
    <w:rsid w:val="002A40D1"/>
    <w:rsid w:val="002A4B27"/>
    <w:rsid w:val="002A5CE9"/>
    <w:rsid w:val="002A64E4"/>
    <w:rsid w:val="002A6586"/>
    <w:rsid w:val="002A681A"/>
    <w:rsid w:val="002A7482"/>
    <w:rsid w:val="002A782A"/>
    <w:rsid w:val="002A7A47"/>
    <w:rsid w:val="002B00C2"/>
    <w:rsid w:val="002B0C46"/>
    <w:rsid w:val="002B1063"/>
    <w:rsid w:val="002B10AF"/>
    <w:rsid w:val="002B11E2"/>
    <w:rsid w:val="002B13C8"/>
    <w:rsid w:val="002B15ED"/>
    <w:rsid w:val="002B2118"/>
    <w:rsid w:val="002B231D"/>
    <w:rsid w:val="002B24B8"/>
    <w:rsid w:val="002B272E"/>
    <w:rsid w:val="002B2844"/>
    <w:rsid w:val="002B2C38"/>
    <w:rsid w:val="002B31C3"/>
    <w:rsid w:val="002B33E2"/>
    <w:rsid w:val="002B3E35"/>
    <w:rsid w:val="002B4647"/>
    <w:rsid w:val="002B54A6"/>
    <w:rsid w:val="002B6178"/>
    <w:rsid w:val="002B676C"/>
    <w:rsid w:val="002B70B9"/>
    <w:rsid w:val="002C03AB"/>
    <w:rsid w:val="002C0566"/>
    <w:rsid w:val="002C0A20"/>
    <w:rsid w:val="002C0B99"/>
    <w:rsid w:val="002C12E1"/>
    <w:rsid w:val="002C1F64"/>
    <w:rsid w:val="002C2043"/>
    <w:rsid w:val="002C2600"/>
    <w:rsid w:val="002C2986"/>
    <w:rsid w:val="002C3ADF"/>
    <w:rsid w:val="002C3BD5"/>
    <w:rsid w:val="002C41EA"/>
    <w:rsid w:val="002C4A09"/>
    <w:rsid w:val="002C4C14"/>
    <w:rsid w:val="002C604D"/>
    <w:rsid w:val="002C61FB"/>
    <w:rsid w:val="002C6D5B"/>
    <w:rsid w:val="002C7255"/>
    <w:rsid w:val="002D09DD"/>
    <w:rsid w:val="002D1360"/>
    <w:rsid w:val="002D14D6"/>
    <w:rsid w:val="002D28C5"/>
    <w:rsid w:val="002D2C28"/>
    <w:rsid w:val="002D2FEE"/>
    <w:rsid w:val="002D32DB"/>
    <w:rsid w:val="002D3936"/>
    <w:rsid w:val="002D3AE9"/>
    <w:rsid w:val="002D3E78"/>
    <w:rsid w:val="002D4239"/>
    <w:rsid w:val="002D4510"/>
    <w:rsid w:val="002D45E4"/>
    <w:rsid w:val="002D4DCB"/>
    <w:rsid w:val="002D5170"/>
    <w:rsid w:val="002D52EF"/>
    <w:rsid w:val="002D5983"/>
    <w:rsid w:val="002D5CD9"/>
    <w:rsid w:val="002D5F5F"/>
    <w:rsid w:val="002D694E"/>
    <w:rsid w:val="002D6D93"/>
    <w:rsid w:val="002D6DEA"/>
    <w:rsid w:val="002D734E"/>
    <w:rsid w:val="002D7417"/>
    <w:rsid w:val="002D75D8"/>
    <w:rsid w:val="002E0068"/>
    <w:rsid w:val="002E0B6A"/>
    <w:rsid w:val="002E13D6"/>
    <w:rsid w:val="002E2200"/>
    <w:rsid w:val="002E2870"/>
    <w:rsid w:val="002E36CB"/>
    <w:rsid w:val="002E3BE2"/>
    <w:rsid w:val="002E3E4A"/>
    <w:rsid w:val="002E3EAC"/>
    <w:rsid w:val="002E3F34"/>
    <w:rsid w:val="002E45FB"/>
    <w:rsid w:val="002E467F"/>
    <w:rsid w:val="002E4A7B"/>
    <w:rsid w:val="002E5133"/>
    <w:rsid w:val="002E52A2"/>
    <w:rsid w:val="002E5598"/>
    <w:rsid w:val="002E633F"/>
    <w:rsid w:val="002E7392"/>
    <w:rsid w:val="002E7B1F"/>
    <w:rsid w:val="002E7C97"/>
    <w:rsid w:val="002F0734"/>
    <w:rsid w:val="002F110D"/>
    <w:rsid w:val="002F1C15"/>
    <w:rsid w:val="002F1F22"/>
    <w:rsid w:val="002F2230"/>
    <w:rsid w:val="002F287D"/>
    <w:rsid w:val="002F2CAE"/>
    <w:rsid w:val="002F2E5B"/>
    <w:rsid w:val="002F44EE"/>
    <w:rsid w:val="002F46E7"/>
    <w:rsid w:val="002F68DC"/>
    <w:rsid w:val="002F69E2"/>
    <w:rsid w:val="002F6B2D"/>
    <w:rsid w:val="002F6FA4"/>
    <w:rsid w:val="003001AB"/>
    <w:rsid w:val="003002CF"/>
    <w:rsid w:val="00300658"/>
    <w:rsid w:val="00301831"/>
    <w:rsid w:val="003025A6"/>
    <w:rsid w:val="0030294E"/>
    <w:rsid w:val="00303B0C"/>
    <w:rsid w:val="0030440D"/>
    <w:rsid w:val="0030449B"/>
    <w:rsid w:val="003050F2"/>
    <w:rsid w:val="0030531B"/>
    <w:rsid w:val="0030543B"/>
    <w:rsid w:val="00305F90"/>
    <w:rsid w:val="003064CA"/>
    <w:rsid w:val="003066C8"/>
    <w:rsid w:val="003067CB"/>
    <w:rsid w:val="00306806"/>
    <w:rsid w:val="00306FAE"/>
    <w:rsid w:val="0030742A"/>
    <w:rsid w:val="00307E78"/>
    <w:rsid w:val="00307EE0"/>
    <w:rsid w:val="003101DA"/>
    <w:rsid w:val="003104E6"/>
    <w:rsid w:val="00310D6D"/>
    <w:rsid w:val="003112F3"/>
    <w:rsid w:val="0031137B"/>
    <w:rsid w:val="003116A1"/>
    <w:rsid w:val="003131EF"/>
    <w:rsid w:val="0031371F"/>
    <w:rsid w:val="00313EA3"/>
    <w:rsid w:val="003140F6"/>
    <w:rsid w:val="00314757"/>
    <w:rsid w:val="003158BB"/>
    <w:rsid w:val="0031597A"/>
    <w:rsid w:val="00315BDC"/>
    <w:rsid w:val="00315D1E"/>
    <w:rsid w:val="00315D7A"/>
    <w:rsid w:val="00316494"/>
    <w:rsid w:val="003164AE"/>
    <w:rsid w:val="003167A7"/>
    <w:rsid w:val="003172F2"/>
    <w:rsid w:val="00317867"/>
    <w:rsid w:val="00317AAB"/>
    <w:rsid w:val="00320E04"/>
    <w:rsid w:val="003211CE"/>
    <w:rsid w:val="00321514"/>
    <w:rsid w:val="00321A5C"/>
    <w:rsid w:val="003225CF"/>
    <w:rsid w:val="00322725"/>
    <w:rsid w:val="00323436"/>
    <w:rsid w:val="003234B3"/>
    <w:rsid w:val="0032354C"/>
    <w:rsid w:val="003237C0"/>
    <w:rsid w:val="00324813"/>
    <w:rsid w:val="003252B3"/>
    <w:rsid w:val="00325DC9"/>
    <w:rsid w:val="00325E21"/>
    <w:rsid w:val="00326EC9"/>
    <w:rsid w:val="00327467"/>
    <w:rsid w:val="003277CA"/>
    <w:rsid w:val="003279C3"/>
    <w:rsid w:val="00327F30"/>
    <w:rsid w:val="003304E3"/>
    <w:rsid w:val="00330664"/>
    <w:rsid w:val="00330C73"/>
    <w:rsid w:val="00330F48"/>
    <w:rsid w:val="00331498"/>
    <w:rsid w:val="00331519"/>
    <w:rsid w:val="00331776"/>
    <w:rsid w:val="003324E9"/>
    <w:rsid w:val="00332889"/>
    <w:rsid w:val="00333684"/>
    <w:rsid w:val="003338B2"/>
    <w:rsid w:val="00333991"/>
    <w:rsid w:val="00333BCF"/>
    <w:rsid w:val="00333D9E"/>
    <w:rsid w:val="0033449E"/>
    <w:rsid w:val="0033586A"/>
    <w:rsid w:val="00336511"/>
    <w:rsid w:val="00336C5A"/>
    <w:rsid w:val="00336C8A"/>
    <w:rsid w:val="00340036"/>
    <w:rsid w:val="00340567"/>
    <w:rsid w:val="003405EE"/>
    <w:rsid w:val="00341553"/>
    <w:rsid w:val="00342FD1"/>
    <w:rsid w:val="0034339A"/>
    <w:rsid w:val="00343AAF"/>
    <w:rsid w:val="00343D27"/>
    <w:rsid w:val="00343E92"/>
    <w:rsid w:val="00344A2D"/>
    <w:rsid w:val="00344AD8"/>
    <w:rsid w:val="00344B86"/>
    <w:rsid w:val="003457B0"/>
    <w:rsid w:val="003458C2"/>
    <w:rsid w:val="003458D5"/>
    <w:rsid w:val="00345CF5"/>
    <w:rsid w:val="00345DCF"/>
    <w:rsid w:val="00345F9C"/>
    <w:rsid w:val="0034634C"/>
    <w:rsid w:val="003464DD"/>
    <w:rsid w:val="00346736"/>
    <w:rsid w:val="00347046"/>
    <w:rsid w:val="00350ADD"/>
    <w:rsid w:val="00350D8D"/>
    <w:rsid w:val="00350DCD"/>
    <w:rsid w:val="00350E02"/>
    <w:rsid w:val="00350F79"/>
    <w:rsid w:val="003510EA"/>
    <w:rsid w:val="0035131F"/>
    <w:rsid w:val="003517D7"/>
    <w:rsid w:val="00351B30"/>
    <w:rsid w:val="00351CB1"/>
    <w:rsid w:val="003520BA"/>
    <w:rsid w:val="003522D8"/>
    <w:rsid w:val="003532CD"/>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96C"/>
    <w:rsid w:val="00362D6B"/>
    <w:rsid w:val="003634A0"/>
    <w:rsid w:val="0036394B"/>
    <w:rsid w:val="00363FEF"/>
    <w:rsid w:val="00364E98"/>
    <w:rsid w:val="00365054"/>
    <w:rsid w:val="003666DE"/>
    <w:rsid w:val="00366E69"/>
    <w:rsid w:val="00366F6C"/>
    <w:rsid w:val="00367EDD"/>
    <w:rsid w:val="0037046B"/>
    <w:rsid w:val="003709B5"/>
    <w:rsid w:val="00371444"/>
    <w:rsid w:val="00371F07"/>
    <w:rsid w:val="00371FF1"/>
    <w:rsid w:val="00373493"/>
    <w:rsid w:val="00373972"/>
    <w:rsid w:val="003740D5"/>
    <w:rsid w:val="00374362"/>
    <w:rsid w:val="00374459"/>
    <w:rsid w:val="003748D4"/>
    <w:rsid w:val="00374F24"/>
    <w:rsid w:val="003759C2"/>
    <w:rsid w:val="00375DFD"/>
    <w:rsid w:val="00376E91"/>
    <w:rsid w:val="00377081"/>
    <w:rsid w:val="003776F5"/>
    <w:rsid w:val="00377700"/>
    <w:rsid w:val="00377DFB"/>
    <w:rsid w:val="00380469"/>
    <w:rsid w:val="003806B2"/>
    <w:rsid w:val="00380BC4"/>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DCA"/>
    <w:rsid w:val="00387917"/>
    <w:rsid w:val="00390AA6"/>
    <w:rsid w:val="00390AAE"/>
    <w:rsid w:val="00390AFD"/>
    <w:rsid w:val="0039125C"/>
    <w:rsid w:val="00391695"/>
    <w:rsid w:val="00391F2E"/>
    <w:rsid w:val="00392134"/>
    <w:rsid w:val="003921C5"/>
    <w:rsid w:val="00392839"/>
    <w:rsid w:val="003932A0"/>
    <w:rsid w:val="00393BB7"/>
    <w:rsid w:val="00393F1A"/>
    <w:rsid w:val="00394758"/>
    <w:rsid w:val="003947AB"/>
    <w:rsid w:val="00394953"/>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ECD"/>
    <w:rsid w:val="003A31F6"/>
    <w:rsid w:val="003A433A"/>
    <w:rsid w:val="003A47E9"/>
    <w:rsid w:val="003A4FBC"/>
    <w:rsid w:val="003A5211"/>
    <w:rsid w:val="003A5707"/>
    <w:rsid w:val="003A59B3"/>
    <w:rsid w:val="003A6398"/>
    <w:rsid w:val="003A66ED"/>
    <w:rsid w:val="003A672C"/>
    <w:rsid w:val="003A6880"/>
    <w:rsid w:val="003A6E0A"/>
    <w:rsid w:val="003B000F"/>
    <w:rsid w:val="003B0249"/>
    <w:rsid w:val="003B0BDA"/>
    <w:rsid w:val="003B0C63"/>
    <w:rsid w:val="003B0F4A"/>
    <w:rsid w:val="003B3A4B"/>
    <w:rsid w:val="003B3B4D"/>
    <w:rsid w:val="003B4284"/>
    <w:rsid w:val="003B4767"/>
    <w:rsid w:val="003B4C7D"/>
    <w:rsid w:val="003B59D6"/>
    <w:rsid w:val="003B5BC2"/>
    <w:rsid w:val="003B5C50"/>
    <w:rsid w:val="003B610A"/>
    <w:rsid w:val="003B69D9"/>
    <w:rsid w:val="003B762B"/>
    <w:rsid w:val="003B7F1D"/>
    <w:rsid w:val="003C0415"/>
    <w:rsid w:val="003C0780"/>
    <w:rsid w:val="003C0A0E"/>
    <w:rsid w:val="003C2ADE"/>
    <w:rsid w:val="003C2C22"/>
    <w:rsid w:val="003C30B7"/>
    <w:rsid w:val="003C317A"/>
    <w:rsid w:val="003C328B"/>
    <w:rsid w:val="003C33A7"/>
    <w:rsid w:val="003C3447"/>
    <w:rsid w:val="003C4107"/>
    <w:rsid w:val="003C4444"/>
    <w:rsid w:val="003C484E"/>
    <w:rsid w:val="003C54D3"/>
    <w:rsid w:val="003C63AF"/>
    <w:rsid w:val="003C6D70"/>
    <w:rsid w:val="003C7827"/>
    <w:rsid w:val="003C7F70"/>
    <w:rsid w:val="003D076C"/>
    <w:rsid w:val="003D07A6"/>
    <w:rsid w:val="003D0983"/>
    <w:rsid w:val="003D109D"/>
    <w:rsid w:val="003D11F9"/>
    <w:rsid w:val="003D128A"/>
    <w:rsid w:val="003D220A"/>
    <w:rsid w:val="003D3478"/>
    <w:rsid w:val="003D39B9"/>
    <w:rsid w:val="003D3B96"/>
    <w:rsid w:val="003D40FF"/>
    <w:rsid w:val="003D4918"/>
    <w:rsid w:val="003D5179"/>
    <w:rsid w:val="003D6331"/>
    <w:rsid w:val="003D67F7"/>
    <w:rsid w:val="003D7B0A"/>
    <w:rsid w:val="003D7C1A"/>
    <w:rsid w:val="003E033E"/>
    <w:rsid w:val="003E03A5"/>
    <w:rsid w:val="003E098E"/>
    <w:rsid w:val="003E1EA5"/>
    <w:rsid w:val="003E21E1"/>
    <w:rsid w:val="003E368A"/>
    <w:rsid w:val="003E3723"/>
    <w:rsid w:val="003E3C7E"/>
    <w:rsid w:val="003E3DFA"/>
    <w:rsid w:val="003E492F"/>
    <w:rsid w:val="003E4930"/>
    <w:rsid w:val="003E4A78"/>
    <w:rsid w:val="003E4CB2"/>
    <w:rsid w:val="003E5919"/>
    <w:rsid w:val="003E5E1C"/>
    <w:rsid w:val="003E609F"/>
    <w:rsid w:val="003E6C86"/>
    <w:rsid w:val="003E78B5"/>
    <w:rsid w:val="003E7CD4"/>
    <w:rsid w:val="003E7FC6"/>
    <w:rsid w:val="003F00DD"/>
    <w:rsid w:val="003F0508"/>
    <w:rsid w:val="003F0B21"/>
    <w:rsid w:val="003F0B3F"/>
    <w:rsid w:val="003F0F32"/>
    <w:rsid w:val="003F2061"/>
    <w:rsid w:val="003F2137"/>
    <w:rsid w:val="003F2C15"/>
    <w:rsid w:val="003F2C68"/>
    <w:rsid w:val="003F42F5"/>
    <w:rsid w:val="003F47D3"/>
    <w:rsid w:val="003F4BA3"/>
    <w:rsid w:val="003F5030"/>
    <w:rsid w:val="003F599C"/>
    <w:rsid w:val="003F5B85"/>
    <w:rsid w:val="003F5F69"/>
    <w:rsid w:val="003F67F8"/>
    <w:rsid w:val="003F693F"/>
    <w:rsid w:val="003F6CB9"/>
    <w:rsid w:val="003F6D82"/>
    <w:rsid w:val="003F7251"/>
    <w:rsid w:val="003F759E"/>
    <w:rsid w:val="003F784D"/>
    <w:rsid w:val="0040061A"/>
    <w:rsid w:val="004006C4"/>
    <w:rsid w:val="004010E8"/>
    <w:rsid w:val="00401931"/>
    <w:rsid w:val="004021C1"/>
    <w:rsid w:val="00402DB6"/>
    <w:rsid w:val="004030B3"/>
    <w:rsid w:val="0040394F"/>
    <w:rsid w:val="00404162"/>
    <w:rsid w:val="0040463C"/>
    <w:rsid w:val="004049B7"/>
    <w:rsid w:val="00404AD5"/>
    <w:rsid w:val="00405B10"/>
    <w:rsid w:val="00406786"/>
    <w:rsid w:val="0040689E"/>
    <w:rsid w:val="00406A5A"/>
    <w:rsid w:val="00407447"/>
    <w:rsid w:val="00407EC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A4F"/>
    <w:rsid w:val="00417D2C"/>
    <w:rsid w:val="0042068C"/>
    <w:rsid w:val="00420891"/>
    <w:rsid w:val="0042108D"/>
    <w:rsid w:val="00421717"/>
    <w:rsid w:val="004219C2"/>
    <w:rsid w:val="004220E1"/>
    <w:rsid w:val="00422A56"/>
    <w:rsid w:val="00422C83"/>
    <w:rsid w:val="00423178"/>
    <w:rsid w:val="004232B6"/>
    <w:rsid w:val="00424B00"/>
    <w:rsid w:val="00425439"/>
    <w:rsid w:val="00425D61"/>
    <w:rsid w:val="004264A2"/>
    <w:rsid w:val="004265AD"/>
    <w:rsid w:val="00426BB5"/>
    <w:rsid w:val="00426BCD"/>
    <w:rsid w:val="00426EB0"/>
    <w:rsid w:val="00426ECD"/>
    <w:rsid w:val="004300F8"/>
    <w:rsid w:val="00430421"/>
    <w:rsid w:val="00430F5F"/>
    <w:rsid w:val="004326BC"/>
    <w:rsid w:val="004328B4"/>
    <w:rsid w:val="00432CC0"/>
    <w:rsid w:val="00432E73"/>
    <w:rsid w:val="0043355C"/>
    <w:rsid w:val="00433B96"/>
    <w:rsid w:val="004340D7"/>
    <w:rsid w:val="0043450C"/>
    <w:rsid w:val="004346F8"/>
    <w:rsid w:val="00434814"/>
    <w:rsid w:val="004349C0"/>
    <w:rsid w:val="0043597F"/>
    <w:rsid w:val="0043700A"/>
    <w:rsid w:val="004370EE"/>
    <w:rsid w:val="004372C9"/>
    <w:rsid w:val="004373C9"/>
    <w:rsid w:val="00437E09"/>
    <w:rsid w:val="00440675"/>
    <w:rsid w:val="004406DC"/>
    <w:rsid w:val="00441AEE"/>
    <w:rsid w:val="00442B7B"/>
    <w:rsid w:val="00442F78"/>
    <w:rsid w:val="00442F84"/>
    <w:rsid w:val="0044323E"/>
    <w:rsid w:val="00443286"/>
    <w:rsid w:val="00443358"/>
    <w:rsid w:val="00443362"/>
    <w:rsid w:val="00443CCC"/>
    <w:rsid w:val="0044462D"/>
    <w:rsid w:val="0044478B"/>
    <w:rsid w:val="00444C0B"/>
    <w:rsid w:val="0044547A"/>
    <w:rsid w:val="00445BC0"/>
    <w:rsid w:val="0044652A"/>
    <w:rsid w:val="00446750"/>
    <w:rsid w:val="0044775D"/>
    <w:rsid w:val="004477A0"/>
    <w:rsid w:val="00447904"/>
    <w:rsid w:val="004501C2"/>
    <w:rsid w:val="004522B0"/>
    <w:rsid w:val="004534E7"/>
    <w:rsid w:val="004536A0"/>
    <w:rsid w:val="00453B17"/>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950"/>
    <w:rsid w:val="00457EFA"/>
    <w:rsid w:val="004604C5"/>
    <w:rsid w:val="00460A04"/>
    <w:rsid w:val="00460B88"/>
    <w:rsid w:val="00461924"/>
    <w:rsid w:val="00461B2F"/>
    <w:rsid w:val="004623ED"/>
    <w:rsid w:val="00463A7A"/>
    <w:rsid w:val="00463A90"/>
    <w:rsid w:val="00463F64"/>
    <w:rsid w:val="00464B25"/>
    <w:rsid w:val="00464F48"/>
    <w:rsid w:val="00465D4A"/>
    <w:rsid w:val="00466859"/>
    <w:rsid w:val="004669D7"/>
    <w:rsid w:val="00466B8D"/>
    <w:rsid w:val="00467598"/>
    <w:rsid w:val="004700C0"/>
    <w:rsid w:val="0047122B"/>
    <w:rsid w:val="004716F2"/>
    <w:rsid w:val="0047172D"/>
    <w:rsid w:val="004717E3"/>
    <w:rsid w:val="00472764"/>
    <w:rsid w:val="0047375F"/>
    <w:rsid w:val="00473B7A"/>
    <w:rsid w:val="004740A6"/>
    <w:rsid w:val="004741FF"/>
    <w:rsid w:val="004747F8"/>
    <w:rsid w:val="00476755"/>
    <w:rsid w:val="00476A76"/>
    <w:rsid w:val="00477657"/>
    <w:rsid w:val="00477940"/>
    <w:rsid w:val="00477B56"/>
    <w:rsid w:val="00477FA8"/>
    <w:rsid w:val="004804DB"/>
    <w:rsid w:val="004814AE"/>
    <w:rsid w:val="00481650"/>
    <w:rsid w:val="004817C1"/>
    <w:rsid w:val="0048230E"/>
    <w:rsid w:val="00482A32"/>
    <w:rsid w:val="00483379"/>
    <w:rsid w:val="00483BFD"/>
    <w:rsid w:val="0048630F"/>
    <w:rsid w:val="004875EF"/>
    <w:rsid w:val="0048798A"/>
    <w:rsid w:val="00487E42"/>
    <w:rsid w:val="004902C7"/>
    <w:rsid w:val="004912F0"/>
    <w:rsid w:val="00492215"/>
    <w:rsid w:val="004925EB"/>
    <w:rsid w:val="00492817"/>
    <w:rsid w:val="00492F22"/>
    <w:rsid w:val="00493415"/>
    <w:rsid w:val="00493EAE"/>
    <w:rsid w:val="00495155"/>
    <w:rsid w:val="004960E9"/>
    <w:rsid w:val="00496414"/>
    <w:rsid w:val="004964D6"/>
    <w:rsid w:val="004971D3"/>
    <w:rsid w:val="0049798C"/>
    <w:rsid w:val="004A01C2"/>
    <w:rsid w:val="004A0449"/>
    <w:rsid w:val="004A0A85"/>
    <w:rsid w:val="004A0DC6"/>
    <w:rsid w:val="004A0E37"/>
    <w:rsid w:val="004A0FD2"/>
    <w:rsid w:val="004A0FE9"/>
    <w:rsid w:val="004A17C1"/>
    <w:rsid w:val="004A18AF"/>
    <w:rsid w:val="004A20FE"/>
    <w:rsid w:val="004A2D00"/>
    <w:rsid w:val="004A2DE3"/>
    <w:rsid w:val="004A2E88"/>
    <w:rsid w:val="004A326A"/>
    <w:rsid w:val="004A32DB"/>
    <w:rsid w:val="004A33B8"/>
    <w:rsid w:val="004A4BF0"/>
    <w:rsid w:val="004A51E0"/>
    <w:rsid w:val="004A5305"/>
    <w:rsid w:val="004A57FA"/>
    <w:rsid w:val="004A5D79"/>
    <w:rsid w:val="004A6092"/>
    <w:rsid w:val="004A7271"/>
    <w:rsid w:val="004B0074"/>
    <w:rsid w:val="004B0FC4"/>
    <w:rsid w:val="004B11B2"/>
    <w:rsid w:val="004B12C2"/>
    <w:rsid w:val="004B1676"/>
    <w:rsid w:val="004B25B0"/>
    <w:rsid w:val="004B27FE"/>
    <w:rsid w:val="004B2AA0"/>
    <w:rsid w:val="004B370F"/>
    <w:rsid w:val="004B3F5C"/>
    <w:rsid w:val="004B4139"/>
    <w:rsid w:val="004B415A"/>
    <w:rsid w:val="004B428D"/>
    <w:rsid w:val="004B47B2"/>
    <w:rsid w:val="004B4A60"/>
    <w:rsid w:val="004B5442"/>
    <w:rsid w:val="004B5904"/>
    <w:rsid w:val="004B5DD8"/>
    <w:rsid w:val="004B5F87"/>
    <w:rsid w:val="004B6821"/>
    <w:rsid w:val="004B6B94"/>
    <w:rsid w:val="004B73D6"/>
    <w:rsid w:val="004B7CE2"/>
    <w:rsid w:val="004B7F82"/>
    <w:rsid w:val="004C0B8C"/>
    <w:rsid w:val="004C1D1A"/>
    <w:rsid w:val="004C203F"/>
    <w:rsid w:val="004C24BD"/>
    <w:rsid w:val="004C27D5"/>
    <w:rsid w:val="004C2B06"/>
    <w:rsid w:val="004C3D09"/>
    <w:rsid w:val="004C3DBD"/>
    <w:rsid w:val="004C3E2A"/>
    <w:rsid w:val="004C4868"/>
    <w:rsid w:val="004C497A"/>
    <w:rsid w:val="004C5987"/>
    <w:rsid w:val="004C6FE1"/>
    <w:rsid w:val="004C7024"/>
    <w:rsid w:val="004C7AF1"/>
    <w:rsid w:val="004D03CB"/>
    <w:rsid w:val="004D0934"/>
    <w:rsid w:val="004D142A"/>
    <w:rsid w:val="004D31A2"/>
    <w:rsid w:val="004D3EB6"/>
    <w:rsid w:val="004D49E3"/>
    <w:rsid w:val="004D4FB5"/>
    <w:rsid w:val="004D5600"/>
    <w:rsid w:val="004D7634"/>
    <w:rsid w:val="004E1FE4"/>
    <w:rsid w:val="004E214E"/>
    <w:rsid w:val="004E21B3"/>
    <w:rsid w:val="004E3275"/>
    <w:rsid w:val="004E39E2"/>
    <w:rsid w:val="004E3C03"/>
    <w:rsid w:val="004E47D0"/>
    <w:rsid w:val="004E499F"/>
    <w:rsid w:val="004E5893"/>
    <w:rsid w:val="004E5EDD"/>
    <w:rsid w:val="004E65F3"/>
    <w:rsid w:val="004E6DA1"/>
    <w:rsid w:val="004E6EB0"/>
    <w:rsid w:val="004E700F"/>
    <w:rsid w:val="004E74C8"/>
    <w:rsid w:val="004E74DF"/>
    <w:rsid w:val="004F0408"/>
    <w:rsid w:val="004F19FB"/>
    <w:rsid w:val="004F24B5"/>
    <w:rsid w:val="004F2597"/>
    <w:rsid w:val="004F4032"/>
    <w:rsid w:val="004F43CD"/>
    <w:rsid w:val="004F4552"/>
    <w:rsid w:val="004F5032"/>
    <w:rsid w:val="004F5405"/>
    <w:rsid w:val="004F569D"/>
    <w:rsid w:val="004F576F"/>
    <w:rsid w:val="004F6361"/>
    <w:rsid w:val="004F68C4"/>
    <w:rsid w:val="00500A28"/>
    <w:rsid w:val="005014A3"/>
    <w:rsid w:val="005019D0"/>
    <w:rsid w:val="00501A6B"/>
    <w:rsid w:val="00501DC9"/>
    <w:rsid w:val="00502546"/>
    <w:rsid w:val="0050269F"/>
    <w:rsid w:val="0050282B"/>
    <w:rsid w:val="0050318E"/>
    <w:rsid w:val="00503771"/>
    <w:rsid w:val="00503BA2"/>
    <w:rsid w:val="00503EB5"/>
    <w:rsid w:val="00504458"/>
    <w:rsid w:val="00504D75"/>
    <w:rsid w:val="00504DE2"/>
    <w:rsid w:val="00505153"/>
    <w:rsid w:val="00505281"/>
    <w:rsid w:val="0050528C"/>
    <w:rsid w:val="00505673"/>
    <w:rsid w:val="00506B35"/>
    <w:rsid w:val="00507C8B"/>
    <w:rsid w:val="00510831"/>
    <w:rsid w:val="005114DD"/>
    <w:rsid w:val="005118A4"/>
    <w:rsid w:val="00512CC9"/>
    <w:rsid w:val="00513428"/>
    <w:rsid w:val="00513885"/>
    <w:rsid w:val="00514674"/>
    <w:rsid w:val="0051485D"/>
    <w:rsid w:val="00515246"/>
    <w:rsid w:val="00515C6C"/>
    <w:rsid w:val="00515F11"/>
    <w:rsid w:val="0051737B"/>
    <w:rsid w:val="00517DBC"/>
    <w:rsid w:val="00517E73"/>
    <w:rsid w:val="005206E2"/>
    <w:rsid w:val="00521211"/>
    <w:rsid w:val="00521378"/>
    <w:rsid w:val="005213F1"/>
    <w:rsid w:val="00522142"/>
    <w:rsid w:val="00522D49"/>
    <w:rsid w:val="005236DB"/>
    <w:rsid w:val="00524B22"/>
    <w:rsid w:val="00524EFD"/>
    <w:rsid w:val="00525F4F"/>
    <w:rsid w:val="00526CB1"/>
    <w:rsid w:val="00527E4B"/>
    <w:rsid w:val="005300D3"/>
    <w:rsid w:val="0053024D"/>
    <w:rsid w:val="00530569"/>
    <w:rsid w:val="005307C3"/>
    <w:rsid w:val="00530A8E"/>
    <w:rsid w:val="0053131E"/>
    <w:rsid w:val="00532102"/>
    <w:rsid w:val="00532748"/>
    <w:rsid w:val="00533B44"/>
    <w:rsid w:val="00533B5B"/>
    <w:rsid w:val="00533FEB"/>
    <w:rsid w:val="00535147"/>
    <w:rsid w:val="005359FB"/>
    <w:rsid w:val="00535BCB"/>
    <w:rsid w:val="00535BE9"/>
    <w:rsid w:val="00535ED2"/>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F82"/>
    <w:rsid w:val="00545484"/>
    <w:rsid w:val="00546550"/>
    <w:rsid w:val="00547653"/>
    <w:rsid w:val="0055024D"/>
    <w:rsid w:val="005505D0"/>
    <w:rsid w:val="00551A54"/>
    <w:rsid w:val="00551B4E"/>
    <w:rsid w:val="00551CF1"/>
    <w:rsid w:val="0055258B"/>
    <w:rsid w:val="0055300C"/>
    <w:rsid w:val="005539CD"/>
    <w:rsid w:val="00554AF3"/>
    <w:rsid w:val="00554BC1"/>
    <w:rsid w:val="00556498"/>
    <w:rsid w:val="005575A4"/>
    <w:rsid w:val="0056082B"/>
    <w:rsid w:val="005609BC"/>
    <w:rsid w:val="00560C53"/>
    <w:rsid w:val="00561796"/>
    <w:rsid w:val="00562294"/>
    <w:rsid w:val="005626E0"/>
    <w:rsid w:val="0056286A"/>
    <w:rsid w:val="00564ABA"/>
    <w:rsid w:val="00564C4E"/>
    <w:rsid w:val="00565193"/>
    <w:rsid w:val="00565841"/>
    <w:rsid w:val="00565A7A"/>
    <w:rsid w:val="00565AD9"/>
    <w:rsid w:val="00567051"/>
    <w:rsid w:val="005672F4"/>
    <w:rsid w:val="0057046A"/>
    <w:rsid w:val="00570511"/>
    <w:rsid w:val="0057063C"/>
    <w:rsid w:val="00570956"/>
    <w:rsid w:val="00570D80"/>
    <w:rsid w:val="00572213"/>
    <w:rsid w:val="00574084"/>
    <w:rsid w:val="005745EF"/>
    <w:rsid w:val="0057472E"/>
    <w:rsid w:val="00574FB3"/>
    <w:rsid w:val="005758E2"/>
    <w:rsid w:val="00575D04"/>
    <w:rsid w:val="00575E42"/>
    <w:rsid w:val="005766AC"/>
    <w:rsid w:val="00577129"/>
    <w:rsid w:val="005776E1"/>
    <w:rsid w:val="0057777C"/>
    <w:rsid w:val="00577CB1"/>
    <w:rsid w:val="00577EC1"/>
    <w:rsid w:val="0058064D"/>
    <w:rsid w:val="00580743"/>
    <w:rsid w:val="0058075D"/>
    <w:rsid w:val="00580F3A"/>
    <w:rsid w:val="00581BF0"/>
    <w:rsid w:val="00581C4D"/>
    <w:rsid w:val="00581F52"/>
    <w:rsid w:val="005823A4"/>
    <w:rsid w:val="00582420"/>
    <w:rsid w:val="0058248D"/>
    <w:rsid w:val="00582B8C"/>
    <w:rsid w:val="005841EE"/>
    <w:rsid w:val="00584F15"/>
    <w:rsid w:val="00584F27"/>
    <w:rsid w:val="00585040"/>
    <w:rsid w:val="0058644D"/>
    <w:rsid w:val="00586538"/>
    <w:rsid w:val="00587758"/>
    <w:rsid w:val="005879B0"/>
    <w:rsid w:val="00587A4B"/>
    <w:rsid w:val="00587C3B"/>
    <w:rsid w:val="00590A4F"/>
    <w:rsid w:val="00591425"/>
    <w:rsid w:val="00591A13"/>
    <w:rsid w:val="00591EE7"/>
    <w:rsid w:val="005925C3"/>
    <w:rsid w:val="0059268F"/>
    <w:rsid w:val="0059314A"/>
    <w:rsid w:val="005935AC"/>
    <w:rsid w:val="00593853"/>
    <w:rsid w:val="00593BFB"/>
    <w:rsid w:val="00593C4F"/>
    <w:rsid w:val="005946A8"/>
    <w:rsid w:val="00595744"/>
    <w:rsid w:val="005959BB"/>
    <w:rsid w:val="00596C97"/>
    <w:rsid w:val="00596D0A"/>
    <w:rsid w:val="00596E8D"/>
    <w:rsid w:val="00597494"/>
    <w:rsid w:val="005A00FD"/>
    <w:rsid w:val="005A0536"/>
    <w:rsid w:val="005A05EE"/>
    <w:rsid w:val="005A158B"/>
    <w:rsid w:val="005A1AD2"/>
    <w:rsid w:val="005A24F3"/>
    <w:rsid w:val="005A2829"/>
    <w:rsid w:val="005A36C1"/>
    <w:rsid w:val="005A38D6"/>
    <w:rsid w:val="005A38F3"/>
    <w:rsid w:val="005A3B54"/>
    <w:rsid w:val="005A4114"/>
    <w:rsid w:val="005A4191"/>
    <w:rsid w:val="005A4407"/>
    <w:rsid w:val="005A49FD"/>
    <w:rsid w:val="005A559B"/>
    <w:rsid w:val="005A59EF"/>
    <w:rsid w:val="005A5C18"/>
    <w:rsid w:val="005A5DD8"/>
    <w:rsid w:val="005A624E"/>
    <w:rsid w:val="005A7139"/>
    <w:rsid w:val="005A7890"/>
    <w:rsid w:val="005A7891"/>
    <w:rsid w:val="005B0AEB"/>
    <w:rsid w:val="005B0BBE"/>
    <w:rsid w:val="005B0E4C"/>
    <w:rsid w:val="005B1CB8"/>
    <w:rsid w:val="005B21FE"/>
    <w:rsid w:val="005B27B5"/>
    <w:rsid w:val="005B289C"/>
    <w:rsid w:val="005B2A18"/>
    <w:rsid w:val="005B2B95"/>
    <w:rsid w:val="005B3825"/>
    <w:rsid w:val="005B3B6C"/>
    <w:rsid w:val="005B3F3E"/>
    <w:rsid w:val="005B424B"/>
    <w:rsid w:val="005B4D19"/>
    <w:rsid w:val="005B5FF8"/>
    <w:rsid w:val="005B614F"/>
    <w:rsid w:val="005B6583"/>
    <w:rsid w:val="005B758B"/>
    <w:rsid w:val="005B75CD"/>
    <w:rsid w:val="005C0BD6"/>
    <w:rsid w:val="005C0C94"/>
    <w:rsid w:val="005C0CD4"/>
    <w:rsid w:val="005C0F04"/>
    <w:rsid w:val="005C13F0"/>
    <w:rsid w:val="005C14B4"/>
    <w:rsid w:val="005C2383"/>
    <w:rsid w:val="005C361E"/>
    <w:rsid w:val="005C3F2A"/>
    <w:rsid w:val="005C4862"/>
    <w:rsid w:val="005C50CB"/>
    <w:rsid w:val="005C5369"/>
    <w:rsid w:val="005C599C"/>
    <w:rsid w:val="005C63A8"/>
    <w:rsid w:val="005C7B2B"/>
    <w:rsid w:val="005D0F1F"/>
    <w:rsid w:val="005D1429"/>
    <w:rsid w:val="005D15E9"/>
    <w:rsid w:val="005D215E"/>
    <w:rsid w:val="005D2242"/>
    <w:rsid w:val="005D2E98"/>
    <w:rsid w:val="005D34E6"/>
    <w:rsid w:val="005D3655"/>
    <w:rsid w:val="005D3998"/>
    <w:rsid w:val="005D492F"/>
    <w:rsid w:val="005D4E62"/>
    <w:rsid w:val="005D52B3"/>
    <w:rsid w:val="005D539E"/>
    <w:rsid w:val="005D6385"/>
    <w:rsid w:val="005D6F30"/>
    <w:rsid w:val="005D7748"/>
    <w:rsid w:val="005D790C"/>
    <w:rsid w:val="005E008F"/>
    <w:rsid w:val="005E099D"/>
    <w:rsid w:val="005E0EDE"/>
    <w:rsid w:val="005E10CF"/>
    <w:rsid w:val="005E189C"/>
    <w:rsid w:val="005E1DD4"/>
    <w:rsid w:val="005E2344"/>
    <w:rsid w:val="005E2458"/>
    <w:rsid w:val="005E2563"/>
    <w:rsid w:val="005E343D"/>
    <w:rsid w:val="005E3CAA"/>
    <w:rsid w:val="005E438D"/>
    <w:rsid w:val="005E4D01"/>
    <w:rsid w:val="005E54E9"/>
    <w:rsid w:val="005E5875"/>
    <w:rsid w:val="005E5ED5"/>
    <w:rsid w:val="005E654A"/>
    <w:rsid w:val="005E6915"/>
    <w:rsid w:val="005E6D07"/>
    <w:rsid w:val="005E7111"/>
    <w:rsid w:val="005E7838"/>
    <w:rsid w:val="005E7908"/>
    <w:rsid w:val="005E7991"/>
    <w:rsid w:val="005E7C1F"/>
    <w:rsid w:val="005F041B"/>
    <w:rsid w:val="005F0D84"/>
    <w:rsid w:val="005F20BD"/>
    <w:rsid w:val="005F2625"/>
    <w:rsid w:val="005F26F3"/>
    <w:rsid w:val="005F3318"/>
    <w:rsid w:val="005F3359"/>
    <w:rsid w:val="005F3710"/>
    <w:rsid w:val="005F3B8B"/>
    <w:rsid w:val="005F493B"/>
    <w:rsid w:val="005F4B51"/>
    <w:rsid w:val="005F4BA3"/>
    <w:rsid w:val="005F5386"/>
    <w:rsid w:val="005F562F"/>
    <w:rsid w:val="005F5BA8"/>
    <w:rsid w:val="005F5DC6"/>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F6A"/>
    <w:rsid w:val="006100C2"/>
    <w:rsid w:val="006105D5"/>
    <w:rsid w:val="0061061E"/>
    <w:rsid w:val="00610853"/>
    <w:rsid w:val="00610D7A"/>
    <w:rsid w:val="00611BAF"/>
    <w:rsid w:val="00611E61"/>
    <w:rsid w:val="00612058"/>
    <w:rsid w:val="006132E4"/>
    <w:rsid w:val="00613A17"/>
    <w:rsid w:val="00613AE5"/>
    <w:rsid w:val="006146B1"/>
    <w:rsid w:val="00614BCD"/>
    <w:rsid w:val="00615A42"/>
    <w:rsid w:val="00616689"/>
    <w:rsid w:val="006173C7"/>
    <w:rsid w:val="0061769C"/>
    <w:rsid w:val="0062041E"/>
    <w:rsid w:val="006205BB"/>
    <w:rsid w:val="00620CBA"/>
    <w:rsid w:val="00621520"/>
    <w:rsid w:val="006218F4"/>
    <w:rsid w:val="00621A12"/>
    <w:rsid w:val="00621ABE"/>
    <w:rsid w:val="00622414"/>
    <w:rsid w:val="006229FA"/>
    <w:rsid w:val="00622D66"/>
    <w:rsid w:val="006235E2"/>
    <w:rsid w:val="006236DA"/>
    <w:rsid w:val="00623D9D"/>
    <w:rsid w:val="00624952"/>
    <w:rsid w:val="006250EC"/>
    <w:rsid w:val="00625DC6"/>
    <w:rsid w:val="00626C69"/>
    <w:rsid w:val="00627B30"/>
    <w:rsid w:val="006301EC"/>
    <w:rsid w:val="00630697"/>
    <w:rsid w:val="0063084B"/>
    <w:rsid w:val="006310E9"/>
    <w:rsid w:val="00631535"/>
    <w:rsid w:val="0063153F"/>
    <w:rsid w:val="00632BB1"/>
    <w:rsid w:val="00632C3D"/>
    <w:rsid w:val="00633102"/>
    <w:rsid w:val="00633485"/>
    <w:rsid w:val="0063353C"/>
    <w:rsid w:val="00633921"/>
    <w:rsid w:val="00634194"/>
    <w:rsid w:val="00635170"/>
    <w:rsid w:val="00635A91"/>
    <w:rsid w:val="00635D20"/>
    <w:rsid w:val="006363D0"/>
    <w:rsid w:val="006366A7"/>
    <w:rsid w:val="0064008D"/>
    <w:rsid w:val="00640274"/>
    <w:rsid w:val="00640FA4"/>
    <w:rsid w:val="0064111E"/>
    <w:rsid w:val="0064117E"/>
    <w:rsid w:val="00641483"/>
    <w:rsid w:val="00642010"/>
    <w:rsid w:val="0064391D"/>
    <w:rsid w:val="00643EAD"/>
    <w:rsid w:val="00644013"/>
    <w:rsid w:val="00644368"/>
    <w:rsid w:val="00644451"/>
    <w:rsid w:val="006444D4"/>
    <w:rsid w:val="00644712"/>
    <w:rsid w:val="00644BBC"/>
    <w:rsid w:val="00644D44"/>
    <w:rsid w:val="006455EA"/>
    <w:rsid w:val="006459A5"/>
    <w:rsid w:val="006462F7"/>
    <w:rsid w:val="00646582"/>
    <w:rsid w:val="00646655"/>
    <w:rsid w:val="00646950"/>
    <w:rsid w:val="00646E5B"/>
    <w:rsid w:val="00646F7B"/>
    <w:rsid w:val="00647634"/>
    <w:rsid w:val="00647C1D"/>
    <w:rsid w:val="006500A8"/>
    <w:rsid w:val="0065076C"/>
    <w:rsid w:val="006509FD"/>
    <w:rsid w:val="00650E29"/>
    <w:rsid w:val="00651218"/>
    <w:rsid w:val="00651249"/>
    <w:rsid w:val="006512A9"/>
    <w:rsid w:val="00651821"/>
    <w:rsid w:val="00652548"/>
    <w:rsid w:val="0065280B"/>
    <w:rsid w:val="00652DB2"/>
    <w:rsid w:val="00652DE4"/>
    <w:rsid w:val="0065393F"/>
    <w:rsid w:val="00653C26"/>
    <w:rsid w:val="00653FF5"/>
    <w:rsid w:val="00654117"/>
    <w:rsid w:val="00654384"/>
    <w:rsid w:val="00654B37"/>
    <w:rsid w:val="00654F3E"/>
    <w:rsid w:val="00655782"/>
    <w:rsid w:val="00655805"/>
    <w:rsid w:val="0065599E"/>
    <w:rsid w:val="00656128"/>
    <w:rsid w:val="00657695"/>
    <w:rsid w:val="00660E08"/>
    <w:rsid w:val="006632DB"/>
    <w:rsid w:val="006645AA"/>
    <w:rsid w:val="00664A68"/>
    <w:rsid w:val="006666EB"/>
    <w:rsid w:val="00666FC9"/>
    <w:rsid w:val="006673B1"/>
    <w:rsid w:val="006675CD"/>
    <w:rsid w:val="00667F2A"/>
    <w:rsid w:val="006706EF"/>
    <w:rsid w:val="00670F1A"/>
    <w:rsid w:val="00670F7F"/>
    <w:rsid w:val="00671B03"/>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CCA"/>
    <w:rsid w:val="006829AD"/>
    <w:rsid w:val="00682A8D"/>
    <w:rsid w:val="00683161"/>
    <w:rsid w:val="006831C4"/>
    <w:rsid w:val="00683AC5"/>
    <w:rsid w:val="00684919"/>
    <w:rsid w:val="00684AB3"/>
    <w:rsid w:val="00684D9B"/>
    <w:rsid w:val="006854E5"/>
    <w:rsid w:val="00685915"/>
    <w:rsid w:val="00685EE8"/>
    <w:rsid w:val="006861EF"/>
    <w:rsid w:val="006865BE"/>
    <w:rsid w:val="00686C91"/>
    <w:rsid w:val="00686CBD"/>
    <w:rsid w:val="0068781A"/>
    <w:rsid w:val="00690155"/>
    <w:rsid w:val="0069091A"/>
    <w:rsid w:val="00690AC9"/>
    <w:rsid w:val="00690FA7"/>
    <w:rsid w:val="00691D21"/>
    <w:rsid w:val="00691DFE"/>
    <w:rsid w:val="00691EFE"/>
    <w:rsid w:val="0069208C"/>
    <w:rsid w:val="00692B0E"/>
    <w:rsid w:val="00692D63"/>
    <w:rsid w:val="0069352A"/>
    <w:rsid w:val="00693F88"/>
    <w:rsid w:val="00694885"/>
    <w:rsid w:val="00694BC8"/>
    <w:rsid w:val="00694E03"/>
    <w:rsid w:val="00696554"/>
    <w:rsid w:val="00696592"/>
    <w:rsid w:val="00696618"/>
    <w:rsid w:val="006966DC"/>
    <w:rsid w:val="00696CF4"/>
    <w:rsid w:val="006970CF"/>
    <w:rsid w:val="00697556"/>
    <w:rsid w:val="006A0D28"/>
    <w:rsid w:val="006A0F3F"/>
    <w:rsid w:val="006A14B5"/>
    <w:rsid w:val="006A2161"/>
    <w:rsid w:val="006A2E43"/>
    <w:rsid w:val="006A32BB"/>
    <w:rsid w:val="006A33FF"/>
    <w:rsid w:val="006A34CD"/>
    <w:rsid w:val="006A42F9"/>
    <w:rsid w:val="006A4DA4"/>
    <w:rsid w:val="006A5BD7"/>
    <w:rsid w:val="006A61E7"/>
    <w:rsid w:val="006A71B1"/>
    <w:rsid w:val="006A71F5"/>
    <w:rsid w:val="006A7392"/>
    <w:rsid w:val="006A7868"/>
    <w:rsid w:val="006B0EAB"/>
    <w:rsid w:val="006B12CB"/>
    <w:rsid w:val="006B204A"/>
    <w:rsid w:val="006B23A9"/>
    <w:rsid w:val="006B2AC4"/>
    <w:rsid w:val="006B2C70"/>
    <w:rsid w:val="006B2CA2"/>
    <w:rsid w:val="006B3540"/>
    <w:rsid w:val="006B3A25"/>
    <w:rsid w:val="006B3AF7"/>
    <w:rsid w:val="006B3E48"/>
    <w:rsid w:val="006B438E"/>
    <w:rsid w:val="006B4647"/>
    <w:rsid w:val="006B481B"/>
    <w:rsid w:val="006B491B"/>
    <w:rsid w:val="006B4C2B"/>
    <w:rsid w:val="006B5131"/>
    <w:rsid w:val="006B6D47"/>
    <w:rsid w:val="006B6DA5"/>
    <w:rsid w:val="006B6EB7"/>
    <w:rsid w:val="006B7101"/>
    <w:rsid w:val="006B7DCE"/>
    <w:rsid w:val="006C035B"/>
    <w:rsid w:val="006C0ED5"/>
    <w:rsid w:val="006C2A8E"/>
    <w:rsid w:val="006C3136"/>
    <w:rsid w:val="006C37E0"/>
    <w:rsid w:val="006C4101"/>
    <w:rsid w:val="006C4F01"/>
    <w:rsid w:val="006C51CA"/>
    <w:rsid w:val="006C5AFE"/>
    <w:rsid w:val="006C5DF0"/>
    <w:rsid w:val="006C5F79"/>
    <w:rsid w:val="006C5F80"/>
    <w:rsid w:val="006D0453"/>
    <w:rsid w:val="006D0550"/>
    <w:rsid w:val="006D0E7F"/>
    <w:rsid w:val="006D2557"/>
    <w:rsid w:val="006D2817"/>
    <w:rsid w:val="006D394A"/>
    <w:rsid w:val="006D3BEB"/>
    <w:rsid w:val="006D3C42"/>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712D"/>
    <w:rsid w:val="006E7479"/>
    <w:rsid w:val="006F0147"/>
    <w:rsid w:val="006F2052"/>
    <w:rsid w:val="006F2F91"/>
    <w:rsid w:val="006F4510"/>
    <w:rsid w:val="006F4C1B"/>
    <w:rsid w:val="006F55A6"/>
    <w:rsid w:val="006F57C3"/>
    <w:rsid w:val="006F5AA7"/>
    <w:rsid w:val="006F5AD7"/>
    <w:rsid w:val="006F611E"/>
    <w:rsid w:val="006F65EE"/>
    <w:rsid w:val="006F6A9F"/>
    <w:rsid w:val="006F6D95"/>
    <w:rsid w:val="006F74A5"/>
    <w:rsid w:val="006F75C6"/>
    <w:rsid w:val="006F7B4F"/>
    <w:rsid w:val="0070130A"/>
    <w:rsid w:val="0070157F"/>
    <w:rsid w:val="00701F4A"/>
    <w:rsid w:val="00701FB5"/>
    <w:rsid w:val="007026B9"/>
    <w:rsid w:val="00702CC9"/>
    <w:rsid w:val="00702DFD"/>
    <w:rsid w:val="00703123"/>
    <w:rsid w:val="007031F7"/>
    <w:rsid w:val="007042D3"/>
    <w:rsid w:val="00704B23"/>
    <w:rsid w:val="0070524E"/>
    <w:rsid w:val="0070698A"/>
    <w:rsid w:val="00706F13"/>
    <w:rsid w:val="00706F5F"/>
    <w:rsid w:val="00706FFA"/>
    <w:rsid w:val="0070702E"/>
    <w:rsid w:val="00707180"/>
    <w:rsid w:val="007072E8"/>
    <w:rsid w:val="00707ABF"/>
    <w:rsid w:val="00710551"/>
    <w:rsid w:val="0071081E"/>
    <w:rsid w:val="00711AA9"/>
    <w:rsid w:val="0071261D"/>
    <w:rsid w:val="00712D37"/>
    <w:rsid w:val="00713013"/>
    <w:rsid w:val="007130D0"/>
    <w:rsid w:val="007132F9"/>
    <w:rsid w:val="00713D0E"/>
    <w:rsid w:val="00713EC6"/>
    <w:rsid w:val="00714EB2"/>
    <w:rsid w:val="007158C6"/>
    <w:rsid w:val="007160FE"/>
    <w:rsid w:val="0071618D"/>
    <w:rsid w:val="00716EA8"/>
    <w:rsid w:val="0072061B"/>
    <w:rsid w:val="00720985"/>
    <w:rsid w:val="0072154E"/>
    <w:rsid w:val="0072197D"/>
    <w:rsid w:val="00721A16"/>
    <w:rsid w:val="00721B7F"/>
    <w:rsid w:val="00721CB1"/>
    <w:rsid w:val="00721F7B"/>
    <w:rsid w:val="007224EF"/>
    <w:rsid w:val="00722504"/>
    <w:rsid w:val="00723403"/>
    <w:rsid w:val="007234AF"/>
    <w:rsid w:val="00723806"/>
    <w:rsid w:val="007241B7"/>
    <w:rsid w:val="007242D4"/>
    <w:rsid w:val="007245E2"/>
    <w:rsid w:val="00725FA4"/>
    <w:rsid w:val="007264F3"/>
    <w:rsid w:val="007267A9"/>
    <w:rsid w:val="00726EEB"/>
    <w:rsid w:val="0072749E"/>
    <w:rsid w:val="00727C1A"/>
    <w:rsid w:val="00727F83"/>
    <w:rsid w:val="007304D6"/>
    <w:rsid w:val="00731156"/>
    <w:rsid w:val="007313E8"/>
    <w:rsid w:val="0073143C"/>
    <w:rsid w:val="007319CF"/>
    <w:rsid w:val="00731B22"/>
    <w:rsid w:val="007325B0"/>
    <w:rsid w:val="00733C9A"/>
    <w:rsid w:val="00734321"/>
    <w:rsid w:val="0073597E"/>
    <w:rsid w:val="00736377"/>
    <w:rsid w:val="00736F10"/>
    <w:rsid w:val="00737268"/>
    <w:rsid w:val="007402FF"/>
    <w:rsid w:val="00740446"/>
    <w:rsid w:val="00741712"/>
    <w:rsid w:val="007427CC"/>
    <w:rsid w:val="007434E2"/>
    <w:rsid w:val="00743809"/>
    <w:rsid w:val="007438A9"/>
    <w:rsid w:val="00743CCE"/>
    <w:rsid w:val="0074491E"/>
    <w:rsid w:val="007449F0"/>
    <w:rsid w:val="00745325"/>
    <w:rsid w:val="00745D50"/>
    <w:rsid w:val="00746489"/>
    <w:rsid w:val="00746AEF"/>
    <w:rsid w:val="00747B9D"/>
    <w:rsid w:val="00747C13"/>
    <w:rsid w:val="007503DA"/>
    <w:rsid w:val="0075075C"/>
    <w:rsid w:val="007516F9"/>
    <w:rsid w:val="00751970"/>
    <w:rsid w:val="00751E8F"/>
    <w:rsid w:val="00752031"/>
    <w:rsid w:val="00752A26"/>
    <w:rsid w:val="00753C4B"/>
    <w:rsid w:val="007546D0"/>
    <w:rsid w:val="00754AE0"/>
    <w:rsid w:val="00754E32"/>
    <w:rsid w:val="00755D21"/>
    <w:rsid w:val="00756468"/>
    <w:rsid w:val="007567E2"/>
    <w:rsid w:val="00756EC3"/>
    <w:rsid w:val="00757462"/>
    <w:rsid w:val="00757A3E"/>
    <w:rsid w:val="00757B24"/>
    <w:rsid w:val="00760160"/>
    <w:rsid w:val="00761339"/>
    <w:rsid w:val="007616CD"/>
    <w:rsid w:val="00761A28"/>
    <w:rsid w:val="00761E69"/>
    <w:rsid w:val="00761F02"/>
    <w:rsid w:val="0076247A"/>
    <w:rsid w:val="007624BB"/>
    <w:rsid w:val="00762E7E"/>
    <w:rsid w:val="007636CA"/>
    <w:rsid w:val="00763DFF"/>
    <w:rsid w:val="00763E5B"/>
    <w:rsid w:val="007644E1"/>
    <w:rsid w:val="00764FC5"/>
    <w:rsid w:val="0076529F"/>
    <w:rsid w:val="0076544D"/>
    <w:rsid w:val="00765AED"/>
    <w:rsid w:val="00765BF3"/>
    <w:rsid w:val="0076635A"/>
    <w:rsid w:val="007667A8"/>
    <w:rsid w:val="00766F53"/>
    <w:rsid w:val="0076777C"/>
    <w:rsid w:val="00767D7F"/>
    <w:rsid w:val="00770203"/>
    <w:rsid w:val="00770391"/>
    <w:rsid w:val="007708CA"/>
    <w:rsid w:val="00770C05"/>
    <w:rsid w:val="00770E54"/>
    <w:rsid w:val="0077189E"/>
    <w:rsid w:val="00772CB0"/>
    <w:rsid w:val="007732A6"/>
    <w:rsid w:val="00773386"/>
    <w:rsid w:val="00774B8D"/>
    <w:rsid w:val="00774FF8"/>
    <w:rsid w:val="00775271"/>
    <w:rsid w:val="00775964"/>
    <w:rsid w:val="00775C47"/>
    <w:rsid w:val="00776159"/>
    <w:rsid w:val="007765FE"/>
    <w:rsid w:val="00776775"/>
    <w:rsid w:val="00776A7A"/>
    <w:rsid w:val="00776BD0"/>
    <w:rsid w:val="00777DBF"/>
    <w:rsid w:val="00780489"/>
    <w:rsid w:val="0078052E"/>
    <w:rsid w:val="0078071E"/>
    <w:rsid w:val="007810BE"/>
    <w:rsid w:val="007818F2"/>
    <w:rsid w:val="00781E11"/>
    <w:rsid w:val="00782BA7"/>
    <w:rsid w:val="00783101"/>
    <w:rsid w:val="007833A7"/>
    <w:rsid w:val="007833C9"/>
    <w:rsid w:val="007834F5"/>
    <w:rsid w:val="007838D1"/>
    <w:rsid w:val="00783E94"/>
    <w:rsid w:val="00784D30"/>
    <w:rsid w:val="00785730"/>
    <w:rsid w:val="00786458"/>
    <w:rsid w:val="00787219"/>
    <w:rsid w:val="00787AE7"/>
    <w:rsid w:val="00787FFA"/>
    <w:rsid w:val="00790034"/>
    <w:rsid w:val="007902A0"/>
    <w:rsid w:val="007905F7"/>
    <w:rsid w:val="00790ABF"/>
    <w:rsid w:val="00790E66"/>
    <w:rsid w:val="0079177B"/>
    <w:rsid w:val="00792487"/>
    <w:rsid w:val="007927E8"/>
    <w:rsid w:val="00794353"/>
    <w:rsid w:val="00794BAC"/>
    <w:rsid w:val="00794E60"/>
    <w:rsid w:val="007951A8"/>
    <w:rsid w:val="00795B57"/>
    <w:rsid w:val="00795BFB"/>
    <w:rsid w:val="0079655C"/>
    <w:rsid w:val="0079750B"/>
    <w:rsid w:val="007A024C"/>
    <w:rsid w:val="007A0307"/>
    <w:rsid w:val="007A0CF3"/>
    <w:rsid w:val="007A0F38"/>
    <w:rsid w:val="007A10D6"/>
    <w:rsid w:val="007A1413"/>
    <w:rsid w:val="007A1BA2"/>
    <w:rsid w:val="007A223A"/>
    <w:rsid w:val="007A299D"/>
    <w:rsid w:val="007A4519"/>
    <w:rsid w:val="007A454E"/>
    <w:rsid w:val="007A4753"/>
    <w:rsid w:val="007A4A3E"/>
    <w:rsid w:val="007A570A"/>
    <w:rsid w:val="007A59A0"/>
    <w:rsid w:val="007A5A0A"/>
    <w:rsid w:val="007A5A47"/>
    <w:rsid w:val="007A6139"/>
    <w:rsid w:val="007A69E3"/>
    <w:rsid w:val="007A6F7F"/>
    <w:rsid w:val="007A766F"/>
    <w:rsid w:val="007A7D76"/>
    <w:rsid w:val="007A7E06"/>
    <w:rsid w:val="007B095A"/>
    <w:rsid w:val="007B0989"/>
    <w:rsid w:val="007B0F22"/>
    <w:rsid w:val="007B2424"/>
    <w:rsid w:val="007B2709"/>
    <w:rsid w:val="007B2760"/>
    <w:rsid w:val="007B35F6"/>
    <w:rsid w:val="007B361C"/>
    <w:rsid w:val="007B4F3D"/>
    <w:rsid w:val="007B5D12"/>
    <w:rsid w:val="007B5E9A"/>
    <w:rsid w:val="007B5F8B"/>
    <w:rsid w:val="007B6A62"/>
    <w:rsid w:val="007B71A2"/>
    <w:rsid w:val="007B7211"/>
    <w:rsid w:val="007B7859"/>
    <w:rsid w:val="007B796D"/>
    <w:rsid w:val="007C1C5C"/>
    <w:rsid w:val="007C266F"/>
    <w:rsid w:val="007C2B55"/>
    <w:rsid w:val="007C2CB7"/>
    <w:rsid w:val="007C3D92"/>
    <w:rsid w:val="007C4B28"/>
    <w:rsid w:val="007C51B6"/>
    <w:rsid w:val="007C52AB"/>
    <w:rsid w:val="007C543C"/>
    <w:rsid w:val="007C5765"/>
    <w:rsid w:val="007C5866"/>
    <w:rsid w:val="007C6311"/>
    <w:rsid w:val="007C6478"/>
    <w:rsid w:val="007C667B"/>
    <w:rsid w:val="007C6720"/>
    <w:rsid w:val="007C689F"/>
    <w:rsid w:val="007C6D70"/>
    <w:rsid w:val="007C6DF4"/>
    <w:rsid w:val="007D030C"/>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509B"/>
    <w:rsid w:val="007D5B60"/>
    <w:rsid w:val="007D793F"/>
    <w:rsid w:val="007E015A"/>
    <w:rsid w:val="007E01D6"/>
    <w:rsid w:val="007E0298"/>
    <w:rsid w:val="007E0C3C"/>
    <w:rsid w:val="007E0CC2"/>
    <w:rsid w:val="007E0EE1"/>
    <w:rsid w:val="007E13C5"/>
    <w:rsid w:val="007E14A3"/>
    <w:rsid w:val="007E3184"/>
    <w:rsid w:val="007E34CC"/>
    <w:rsid w:val="007E4121"/>
    <w:rsid w:val="007E43C4"/>
    <w:rsid w:val="007E4A18"/>
    <w:rsid w:val="007E4A19"/>
    <w:rsid w:val="007E4AF0"/>
    <w:rsid w:val="007E57D1"/>
    <w:rsid w:val="007E6094"/>
    <w:rsid w:val="007E686E"/>
    <w:rsid w:val="007E72CA"/>
    <w:rsid w:val="007E7590"/>
    <w:rsid w:val="007F0337"/>
    <w:rsid w:val="007F0361"/>
    <w:rsid w:val="007F0783"/>
    <w:rsid w:val="007F0888"/>
    <w:rsid w:val="007F0C9C"/>
    <w:rsid w:val="007F0D30"/>
    <w:rsid w:val="007F18A8"/>
    <w:rsid w:val="007F20DF"/>
    <w:rsid w:val="007F2F95"/>
    <w:rsid w:val="007F3306"/>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38D"/>
    <w:rsid w:val="00801FFA"/>
    <w:rsid w:val="008024FC"/>
    <w:rsid w:val="00802762"/>
    <w:rsid w:val="00802C8D"/>
    <w:rsid w:val="0080345F"/>
    <w:rsid w:val="008035EB"/>
    <w:rsid w:val="0080425C"/>
    <w:rsid w:val="00804950"/>
    <w:rsid w:val="00804EEE"/>
    <w:rsid w:val="008050B8"/>
    <w:rsid w:val="00805567"/>
    <w:rsid w:val="00805874"/>
    <w:rsid w:val="00805A37"/>
    <w:rsid w:val="00805F15"/>
    <w:rsid w:val="00806C01"/>
    <w:rsid w:val="00806F29"/>
    <w:rsid w:val="00807273"/>
    <w:rsid w:val="00807A08"/>
    <w:rsid w:val="00807F05"/>
    <w:rsid w:val="00810BE0"/>
    <w:rsid w:val="00811718"/>
    <w:rsid w:val="00812AD9"/>
    <w:rsid w:val="008137D1"/>
    <w:rsid w:val="00813839"/>
    <w:rsid w:val="00813908"/>
    <w:rsid w:val="00813C04"/>
    <w:rsid w:val="0081481D"/>
    <w:rsid w:val="008148CC"/>
    <w:rsid w:val="00814936"/>
    <w:rsid w:val="00814B85"/>
    <w:rsid w:val="00814D59"/>
    <w:rsid w:val="00814EE0"/>
    <w:rsid w:val="00815408"/>
    <w:rsid w:val="00815FF7"/>
    <w:rsid w:val="008160BF"/>
    <w:rsid w:val="0081630D"/>
    <w:rsid w:val="00816635"/>
    <w:rsid w:val="008167B6"/>
    <w:rsid w:val="00816F10"/>
    <w:rsid w:val="0081708A"/>
    <w:rsid w:val="00817625"/>
    <w:rsid w:val="00817846"/>
    <w:rsid w:val="00820794"/>
    <w:rsid w:val="008211A4"/>
    <w:rsid w:val="00821797"/>
    <w:rsid w:val="00821A08"/>
    <w:rsid w:val="00821AA9"/>
    <w:rsid w:val="00822BE6"/>
    <w:rsid w:val="00822D51"/>
    <w:rsid w:val="0082340B"/>
    <w:rsid w:val="0082345D"/>
    <w:rsid w:val="0082417E"/>
    <w:rsid w:val="008248DF"/>
    <w:rsid w:val="008254FC"/>
    <w:rsid w:val="008259A5"/>
    <w:rsid w:val="008263EB"/>
    <w:rsid w:val="00826AE0"/>
    <w:rsid w:val="00826CC6"/>
    <w:rsid w:val="0082750D"/>
    <w:rsid w:val="0082774E"/>
    <w:rsid w:val="00827893"/>
    <w:rsid w:val="008303E9"/>
    <w:rsid w:val="00830DFB"/>
    <w:rsid w:val="00831A19"/>
    <w:rsid w:val="00831DC1"/>
    <w:rsid w:val="0083274D"/>
    <w:rsid w:val="008334AE"/>
    <w:rsid w:val="008339A3"/>
    <w:rsid w:val="00833AF1"/>
    <w:rsid w:val="00833DC8"/>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1F41"/>
    <w:rsid w:val="00842138"/>
    <w:rsid w:val="00843CE8"/>
    <w:rsid w:val="00844603"/>
    <w:rsid w:val="00846EBD"/>
    <w:rsid w:val="0084730E"/>
    <w:rsid w:val="0084779A"/>
    <w:rsid w:val="008479FF"/>
    <w:rsid w:val="00847B74"/>
    <w:rsid w:val="00851155"/>
    <w:rsid w:val="00851421"/>
    <w:rsid w:val="00851C34"/>
    <w:rsid w:val="0085240E"/>
    <w:rsid w:val="008527B5"/>
    <w:rsid w:val="00852BA6"/>
    <w:rsid w:val="00852BBA"/>
    <w:rsid w:val="0085317C"/>
    <w:rsid w:val="0085379E"/>
    <w:rsid w:val="00853915"/>
    <w:rsid w:val="00853F5D"/>
    <w:rsid w:val="008540B0"/>
    <w:rsid w:val="0085445E"/>
    <w:rsid w:val="00854910"/>
    <w:rsid w:val="00854A95"/>
    <w:rsid w:val="00855277"/>
    <w:rsid w:val="0085560F"/>
    <w:rsid w:val="008557F9"/>
    <w:rsid w:val="0085582A"/>
    <w:rsid w:val="008561DA"/>
    <w:rsid w:val="00856DB0"/>
    <w:rsid w:val="00856FB5"/>
    <w:rsid w:val="008570D6"/>
    <w:rsid w:val="008577D0"/>
    <w:rsid w:val="00857922"/>
    <w:rsid w:val="00860101"/>
    <w:rsid w:val="0086041C"/>
    <w:rsid w:val="00860C48"/>
    <w:rsid w:val="00862010"/>
    <w:rsid w:val="00862C82"/>
    <w:rsid w:val="00862FD1"/>
    <w:rsid w:val="00863B7D"/>
    <w:rsid w:val="008641A3"/>
    <w:rsid w:val="00864DF2"/>
    <w:rsid w:val="00865302"/>
    <w:rsid w:val="00865658"/>
    <w:rsid w:val="008657E9"/>
    <w:rsid w:val="00865DD0"/>
    <w:rsid w:val="00865F1E"/>
    <w:rsid w:val="00865FC7"/>
    <w:rsid w:val="00866B2F"/>
    <w:rsid w:val="0087001A"/>
    <w:rsid w:val="0087038A"/>
    <w:rsid w:val="00870498"/>
    <w:rsid w:val="0087054E"/>
    <w:rsid w:val="0087105D"/>
    <w:rsid w:val="00871127"/>
    <w:rsid w:val="00871381"/>
    <w:rsid w:val="00871391"/>
    <w:rsid w:val="00871AE7"/>
    <w:rsid w:val="00871FE5"/>
    <w:rsid w:val="008720ED"/>
    <w:rsid w:val="00872A86"/>
    <w:rsid w:val="00872ACB"/>
    <w:rsid w:val="00872FA6"/>
    <w:rsid w:val="00873150"/>
    <w:rsid w:val="008749B9"/>
    <w:rsid w:val="00874ADA"/>
    <w:rsid w:val="0087657D"/>
    <w:rsid w:val="00876BDA"/>
    <w:rsid w:val="00876CC1"/>
    <w:rsid w:val="008803F3"/>
    <w:rsid w:val="008807D5"/>
    <w:rsid w:val="00880832"/>
    <w:rsid w:val="008817B3"/>
    <w:rsid w:val="008817DA"/>
    <w:rsid w:val="00881968"/>
    <w:rsid w:val="00881A2C"/>
    <w:rsid w:val="00882046"/>
    <w:rsid w:val="008837C6"/>
    <w:rsid w:val="00883830"/>
    <w:rsid w:val="00884344"/>
    <w:rsid w:val="0088438E"/>
    <w:rsid w:val="00884584"/>
    <w:rsid w:val="00884D15"/>
    <w:rsid w:val="00885BE0"/>
    <w:rsid w:val="00886992"/>
    <w:rsid w:val="00886EE1"/>
    <w:rsid w:val="0088727D"/>
    <w:rsid w:val="008874AE"/>
    <w:rsid w:val="00887778"/>
    <w:rsid w:val="00890C1C"/>
    <w:rsid w:val="008910BE"/>
    <w:rsid w:val="008916E7"/>
    <w:rsid w:val="00891C4A"/>
    <w:rsid w:val="0089257E"/>
    <w:rsid w:val="00892933"/>
    <w:rsid w:val="00892C9F"/>
    <w:rsid w:val="00892FE7"/>
    <w:rsid w:val="0089361E"/>
    <w:rsid w:val="008938D3"/>
    <w:rsid w:val="0089421C"/>
    <w:rsid w:val="00895B2C"/>
    <w:rsid w:val="00895C66"/>
    <w:rsid w:val="0089652A"/>
    <w:rsid w:val="00896DC1"/>
    <w:rsid w:val="00897053"/>
    <w:rsid w:val="008970D2"/>
    <w:rsid w:val="00897A5D"/>
    <w:rsid w:val="00897C75"/>
    <w:rsid w:val="008A0243"/>
    <w:rsid w:val="008A066F"/>
    <w:rsid w:val="008A0B31"/>
    <w:rsid w:val="008A1364"/>
    <w:rsid w:val="008A205F"/>
    <w:rsid w:val="008A2549"/>
    <w:rsid w:val="008A2F58"/>
    <w:rsid w:val="008A38F4"/>
    <w:rsid w:val="008A4DD5"/>
    <w:rsid w:val="008A4F0C"/>
    <w:rsid w:val="008A5141"/>
    <w:rsid w:val="008A573A"/>
    <w:rsid w:val="008A58C5"/>
    <w:rsid w:val="008A5A4D"/>
    <w:rsid w:val="008A6FA1"/>
    <w:rsid w:val="008A72BE"/>
    <w:rsid w:val="008A756A"/>
    <w:rsid w:val="008A7885"/>
    <w:rsid w:val="008A7E41"/>
    <w:rsid w:val="008B07C8"/>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488"/>
    <w:rsid w:val="008C464D"/>
    <w:rsid w:val="008C4AE9"/>
    <w:rsid w:val="008C4BAE"/>
    <w:rsid w:val="008C4DB9"/>
    <w:rsid w:val="008C4DCC"/>
    <w:rsid w:val="008C4DD6"/>
    <w:rsid w:val="008C571F"/>
    <w:rsid w:val="008C62B9"/>
    <w:rsid w:val="008C66E6"/>
    <w:rsid w:val="008C66ED"/>
    <w:rsid w:val="008C7804"/>
    <w:rsid w:val="008C79A9"/>
    <w:rsid w:val="008C7FDB"/>
    <w:rsid w:val="008D00A3"/>
    <w:rsid w:val="008D1130"/>
    <w:rsid w:val="008D18E6"/>
    <w:rsid w:val="008D1CA0"/>
    <w:rsid w:val="008D227C"/>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E0AD8"/>
    <w:rsid w:val="008E1C05"/>
    <w:rsid w:val="008E2118"/>
    <w:rsid w:val="008E2854"/>
    <w:rsid w:val="008E2DAC"/>
    <w:rsid w:val="008E2F4A"/>
    <w:rsid w:val="008E30A7"/>
    <w:rsid w:val="008E4B42"/>
    <w:rsid w:val="008E5B20"/>
    <w:rsid w:val="008E5D8F"/>
    <w:rsid w:val="008E64DD"/>
    <w:rsid w:val="008E6F6E"/>
    <w:rsid w:val="008E70DD"/>
    <w:rsid w:val="008E76AC"/>
    <w:rsid w:val="008F035E"/>
    <w:rsid w:val="008F057E"/>
    <w:rsid w:val="008F0636"/>
    <w:rsid w:val="008F11DD"/>
    <w:rsid w:val="008F1403"/>
    <w:rsid w:val="008F18D2"/>
    <w:rsid w:val="008F1AE9"/>
    <w:rsid w:val="008F1B6C"/>
    <w:rsid w:val="008F2086"/>
    <w:rsid w:val="008F209A"/>
    <w:rsid w:val="008F20FD"/>
    <w:rsid w:val="008F21F6"/>
    <w:rsid w:val="008F2649"/>
    <w:rsid w:val="008F3209"/>
    <w:rsid w:val="008F3E7B"/>
    <w:rsid w:val="008F3FAA"/>
    <w:rsid w:val="008F460B"/>
    <w:rsid w:val="008F4D05"/>
    <w:rsid w:val="008F4F4C"/>
    <w:rsid w:val="008F4F52"/>
    <w:rsid w:val="008F52C3"/>
    <w:rsid w:val="008F5A34"/>
    <w:rsid w:val="008F65CA"/>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552C"/>
    <w:rsid w:val="0090564D"/>
    <w:rsid w:val="00906967"/>
    <w:rsid w:val="00906A3A"/>
    <w:rsid w:val="00906B3E"/>
    <w:rsid w:val="00906E99"/>
    <w:rsid w:val="009076EF"/>
    <w:rsid w:val="00907CCB"/>
    <w:rsid w:val="00910511"/>
    <w:rsid w:val="00910695"/>
    <w:rsid w:val="00910EC5"/>
    <w:rsid w:val="009115EE"/>
    <w:rsid w:val="00911877"/>
    <w:rsid w:val="00911DE7"/>
    <w:rsid w:val="009124F3"/>
    <w:rsid w:val="00912537"/>
    <w:rsid w:val="00912E33"/>
    <w:rsid w:val="009138D1"/>
    <w:rsid w:val="00914212"/>
    <w:rsid w:val="009142BF"/>
    <w:rsid w:val="009148E0"/>
    <w:rsid w:val="00914AB8"/>
    <w:rsid w:val="00915877"/>
    <w:rsid w:val="00915993"/>
    <w:rsid w:val="009159BD"/>
    <w:rsid w:val="00915A28"/>
    <w:rsid w:val="00915BD9"/>
    <w:rsid w:val="009164EC"/>
    <w:rsid w:val="00916751"/>
    <w:rsid w:val="00916E0C"/>
    <w:rsid w:val="00916E79"/>
    <w:rsid w:val="0091743C"/>
    <w:rsid w:val="009202E4"/>
    <w:rsid w:val="009204CE"/>
    <w:rsid w:val="00920E83"/>
    <w:rsid w:val="00921ED2"/>
    <w:rsid w:val="00922112"/>
    <w:rsid w:val="00922328"/>
    <w:rsid w:val="0092237A"/>
    <w:rsid w:val="00922A42"/>
    <w:rsid w:val="00922A54"/>
    <w:rsid w:val="0092364C"/>
    <w:rsid w:val="00923892"/>
    <w:rsid w:val="00923FD5"/>
    <w:rsid w:val="009251E0"/>
    <w:rsid w:val="009253DC"/>
    <w:rsid w:val="00925D29"/>
    <w:rsid w:val="00925FBA"/>
    <w:rsid w:val="00926033"/>
    <w:rsid w:val="0092636A"/>
    <w:rsid w:val="00926A15"/>
    <w:rsid w:val="00926FC7"/>
    <w:rsid w:val="00927002"/>
    <w:rsid w:val="009303B3"/>
    <w:rsid w:val="009304C4"/>
    <w:rsid w:val="009307A4"/>
    <w:rsid w:val="009311FB"/>
    <w:rsid w:val="009315F9"/>
    <w:rsid w:val="00931691"/>
    <w:rsid w:val="009317D5"/>
    <w:rsid w:val="0093195E"/>
    <w:rsid w:val="00931FC2"/>
    <w:rsid w:val="009322BE"/>
    <w:rsid w:val="00932C6A"/>
    <w:rsid w:val="00932CB0"/>
    <w:rsid w:val="00934163"/>
    <w:rsid w:val="009353DF"/>
    <w:rsid w:val="00935478"/>
    <w:rsid w:val="00935BDA"/>
    <w:rsid w:val="00936D61"/>
    <w:rsid w:val="0093743F"/>
    <w:rsid w:val="00937E6A"/>
    <w:rsid w:val="00940779"/>
    <w:rsid w:val="009413F9"/>
    <w:rsid w:val="0094240E"/>
    <w:rsid w:val="009424E6"/>
    <w:rsid w:val="009426E4"/>
    <w:rsid w:val="00942862"/>
    <w:rsid w:val="00942C99"/>
    <w:rsid w:val="009431FC"/>
    <w:rsid w:val="009434D0"/>
    <w:rsid w:val="0094390A"/>
    <w:rsid w:val="00943A49"/>
    <w:rsid w:val="00943C28"/>
    <w:rsid w:val="00943D9B"/>
    <w:rsid w:val="009443B2"/>
    <w:rsid w:val="009449EB"/>
    <w:rsid w:val="00944D54"/>
    <w:rsid w:val="00944E5F"/>
    <w:rsid w:val="009454C6"/>
    <w:rsid w:val="00945C7D"/>
    <w:rsid w:val="00946CD2"/>
    <w:rsid w:val="00947256"/>
    <w:rsid w:val="0094740B"/>
    <w:rsid w:val="00947A45"/>
    <w:rsid w:val="00947E01"/>
    <w:rsid w:val="00947E4E"/>
    <w:rsid w:val="009500B9"/>
    <w:rsid w:val="0095052C"/>
    <w:rsid w:val="00950D25"/>
    <w:rsid w:val="00951E8C"/>
    <w:rsid w:val="00951EEF"/>
    <w:rsid w:val="00951F79"/>
    <w:rsid w:val="00952E6F"/>
    <w:rsid w:val="009537EE"/>
    <w:rsid w:val="00953D94"/>
    <w:rsid w:val="009548BF"/>
    <w:rsid w:val="00955001"/>
    <w:rsid w:val="0095532A"/>
    <w:rsid w:val="009556A3"/>
    <w:rsid w:val="0095575E"/>
    <w:rsid w:val="009557E9"/>
    <w:rsid w:val="00955C28"/>
    <w:rsid w:val="00956B6C"/>
    <w:rsid w:val="0095702B"/>
    <w:rsid w:val="0095737C"/>
    <w:rsid w:val="00957AFA"/>
    <w:rsid w:val="00957D90"/>
    <w:rsid w:val="0096021E"/>
    <w:rsid w:val="009608BF"/>
    <w:rsid w:val="00961272"/>
    <w:rsid w:val="009617BA"/>
    <w:rsid w:val="00961D9C"/>
    <w:rsid w:val="00961E52"/>
    <w:rsid w:val="00962F94"/>
    <w:rsid w:val="00963079"/>
    <w:rsid w:val="009630CB"/>
    <w:rsid w:val="009634E9"/>
    <w:rsid w:val="009641E0"/>
    <w:rsid w:val="00964837"/>
    <w:rsid w:val="009668C2"/>
    <w:rsid w:val="0096779C"/>
    <w:rsid w:val="00967818"/>
    <w:rsid w:val="00967846"/>
    <w:rsid w:val="009702EF"/>
    <w:rsid w:val="00970398"/>
    <w:rsid w:val="0097042F"/>
    <w:rsid w:val="00970AB5"/>
    <w:rsid w:val="00970F05"/>
    <w:rsid w:val="0097137B"/>
    <w:rsid w:val="00971C1D"/>
    <w:rsid w:val="00971CAE"/>
    <w:rsid w:val="00972067"/>
    <w:rsid w:val="00972810"/>
    <w:rsid w:val="00972999"/>
    <w:rsid w:val="0097332C"/>
    <w:rsid w:val="00973B27"/>
    <w:rsid w:val="009740AD"/>
    <w:rsid w:val="0097484B"/>
    <w:rsid w:val="009749BF"/>
    <w:rsid w:val="00974A51"/>
    <w:rsid w:val="00974AB5"/>
    <w:rsid w:val="00974F34"/>
    <w:rsid w:val="00974F4F"/>
    <w:rsid w:val="00975FE2"/>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9EF"/>
    <w:rsid w:val="00984A11"/>
    <w:rsid w:val="00984F50"/>
    <w:rsid w:val="009856DC"/>
    <w:rsid w:val="009858BC"/>
    <w:rsid w:val="00985E0A"/>
    <w:rsid w:val="009861D3"/>
    <w:rsid w:val="00986853"/>
    <w:rsid w:val="0098685C"/>
    <w:rsid w:val="009868C9"/>
    <w:rsid w:val="00986D00"/>
    <w:rsid w:val="0098704F"/>
    <w:rsid w:val="0098706D"/>
    <w:rsid w:val="00987A3B"/>
    <w:rsid w:val="00987A78"/>
    <w:rsid w:val="009906B3"/>
    <w:rsid w:val="00991053"/>
    <w:rsid w:val="00991279"/>
    <w:rsid w:val="0099183C"/>
    <w:rsid w:val="00991C8F"/>
    <w:rsid w:val="00991FE8"/>
    <w:rsid w:val="009935FB"/>
    <w:rsid w:val="00993C4E"/>
    <w:rsid w:val="009947A4"/>
    <w:rsid w:val="00995A85"/>
    <w:rsid w:val="00995CD6"/>
    <w:rsid w:val="00996FBB"/>
    <w:rsid w:val="00997427"/>
    <w:rsid w:val="0099791B"/>
    <w:rsid w:val="00997DB6"/>
    <w:rsid w:val="009A0BE3"/>
    <w:rsid w:val="009A1546"/>
    <w:rsid w:val="009A2471"/>
    <w:rsid w:val="009A2A6E"/>
    <w:rsid w:val="009A358A"/>
    <w:rsid w:val="009A3699"/>
    <w:rsid w:val="009A3CB4"/>
    <w:rsid w:val="009A40CB"/>
    <w:rsid w:val="009A48BD"/>
    <w:rsid w:val="009A4937"/>
    <w:rsid w:val="009A5085"/>
    <w:rsid w:val="009A5A79"/>
    <w:rsid w:val="009A718C"/>
    <w:rsid w:val="009A7465"/>
    <w:rsid w:val="009A7FBB"/>
    <w:rsid w:val="009B0512"/>
    <w:rsid w:val="009B0DB1"/>
    <w:rsid w:val="009B0EAA"/>
    <w:rsid w:val="009B0F5D"/>
    <w:rsid w:val="009B16DD"/>
    <w:rsid w:val="009B1E44"/>
    <w:rsid w:val="009B23A4"/>
    <w:rsid w:val="009B241C"/>
    <w:rsid w:val="009B2AE1"/>
    <w:rsid w:val="009B2CD0"/>
    <w:rsid w:val="009B2E29"/>
    <w:rsid w:val="009B3FBE"/>
    <w:rsid w:val="009B47B8"/>
    <w:rsid w:val="009B4EC1"/>
    <w:rsid w:val="009B4FC6"/>
    <w:rsid w:val="009B5B47"/>
    <w:rsid w:val="009B5BF0"/>
    <w:rsid w:val="009B650E"/>
    <w:rsid w:val="009B684E"/>
    <w:rsid w:val="009B69E7"/>
    <w:rsid w:val="009B6A4D"/>
    <w:rsid w:val="009B719C"/>
    <w:rsid w:val="009C1259"/>
    <w:rsid w:val="009C1F98"/>
    <w:rsid w:val="009C2CDC"/>
    <w:rsid w:val="009C2FE7"/>
    <w:rsid w:val="009C39E9"/>
    <w:rsid w:val="009C43A9"/>
    <w:rsid w:val="009C4611"/>
    <w:rsid w:val="009C4E15"/>
    <w:rsid w:val="009C5517"/>
    <w:rsid w:val="009C5638"/>
    <w:rsid w:val="009C5B8B"/>
    <w:rsid w:val="009C5DF9"/>
    <w:rsid w:val="009C5EF8"/>
    <w:rsid w:val="009C7377"/>
    <w:rsid w:val="009C7834"/>
    <w:rsid w:val="009C78F2"/>
    <w:rsid w:val="009C7C72"/>
    <w:rsid w:val="009C7F0C"/>
    <w:rsid w:val="009C7F5D"/>
    <w:rsid w:val="009D181B"/>
    <w:rsid w:val="009D228A"/>
    <w:rsid w:val="009D26E4"/>
    <w:rsid w:val="009D29B9"/>
    <w:rsid w:val="009D2B9D"/>
    <w:rsid w:val="009D38E3"/>
    <w:rsid w:val="009D3946"/>
    <w:rsid w:val="009D3F90"/>
    <w:rsid w:val="009D42DC"/>
    <w:rsid w:val="009D53AA"/>
    <w:rsid w:val="009D5B19"/>
    <w:rsid w:val="009D6011"/>
    <w:rsid w:val="009D75A2"/>
    <w:rsid w:val="009D7E92"/>
    <w:rsid w:val="009E01CC"/>
    <w:rsid w:val="009E040C"/>
    <w:rsid w:val="009E045A"/>
    <w:rsid w:val="009E0E69"/>
    <w:rsid w:val="009E1442"/>
    <w:rsid w:val="009E149A"/>
    <w:rsid w:val="009E1760"/>
    <w:rsid w:val="009E1D42"/>
    <w:rsid w:val="009E2709"/>
    <w:rsid w:val="009E2C2B"/>
    <w:rsid w:val="009E3519"/>
    <w:rsid w:val="009E3B2E"/>
    <w:rsid w:val="009E3FBC"/>
    <w:rsid w:val="009E4A11"/>
    <w:rsid w:val="009E5101"/>
    <w:rsid w:val="009E5D0C"/>
    <w:rsid w:val="009E5FE5"/>
    <w:rsid w:val="009E6687"/>
    <w:rsid w:val="009E66DF"/>
    <w:rsid w:val="009E7833"/>
    <w:rsid w:val="009E7D6E"/>
    <w:rsid w:val="009F00F4"/>
    <w:rsid w:val="009F014E"/>
    <w:rsid w:val="009F05C2"/>
    <w:rsid w:val="009F06B9"/>
    <w:rsid w:val="009F0EA9"/>
    <w:rsid w:val="009F1067"/>
    <w:rsid w:val="009F1422"/>
    <w:rsid w:val="009F1C65"/>
    <w:rsid w:val="009F2008"/>
    <w:rsid w:val="009F27EF"/>
    <w:rsid w:val="009F308B"/>
    <w:rsid w:val="009F3182"/>
    <w:rsid w:val="009F3EAA"/>
    <w:rsid w:val="009F440A"/>
    <w:rsid w:val="009F4523"/>
    <w:rsid w:val="009F46E8"/>
    <w:rsid w:val="009F4A54"/>
    <w:rsid w:val="009F4BEC"/>
    <w:rsid w:val="009F55E7"/>
    <w:rsid w:val="009F5D09"/>
    <w:rsid w:val="009F637F"/>
    <w:rsid w:val="009F66BE"/>
    <w:rsid w:val="009F69B2"/>
    <w:rsid w:val="009F6A0A"/>
    <w:rsid w:val="009F77AD"/>
    <w:rsid w:val="00A00412"/>
    <w:rsid w:val="00A0087D"/>
    <w:rsid w:val="00A01227"/>
    <w:rsid w:val="00A01532"/>
    <w:rsid w:val="00A02005"/>
    <w:rsid w:val="00A02A35"/>
    <w:rsid w:val="00A035BA"/>
    <w:rsid w:val="00A035D1"/>
    <w:rsid w:val="00A0383E"/>
    <w:rsid w:val="00A04891"/>
    <w:rsid w:val="00A04BAA"/>
    <w:rsid w:val="00A04D07"/>
    <w:rsid w:val="00A058BC"/>
    <w:rsid w:val="00A05918"/>
    <w:rsid w:val="00A06C9A"/>
    <w:rsid w:val="00A06EBF"/>
    <w:rsid w:val="00A0773B"/>
    <w:rsid w:val="00A10266"/>
    <w:rsid w:val="00A10296"/>
    <w:rsid w:val="00A10634"/>
    <w:rsid w:val="00A11034"/>
    <w:rsid w:val="00A1129E"/>
    <w:rsid w:val="00A11A8C"/>
    <w:rsid w:val="00A12305"/>
    <w:rsid w:val="00A12B6F"/>
    <w:rsid w:val="00A12BEB"/>
    <w:rsid w:val="00A12F7B"/>
    <w:rsid w:val="00A12FCC"/>
    <w:rsid w:val="00A13243"/>
    <w:rsid w:val="00A13E30"/>
    <w:rsid w:val="00A1540B"/>
    <w:rsid w:val="00A15A77"/>
    <w:rsid w:val="00A15B44"/>
    <w:rsid w:val="00A16106"/>
    <w:rsid w:val="00A16111"/>
    <w:rsid w:val="00A169CF"/>
    <w:rsid w:val="00A16A22"/>
    <w:rsid w:val="00A1714D"/>
    <w:rsid w:val="00A20326"/>
    <w:rsid w:val="00A20444"/>
    <w:rsid w:val="00A20616"/>
    <w:rsid w:val="00A20E4C"/>
    <w:rsid w:val="00A21D17"/>
    <w:rsid w:val="00A23903"/>
    <w:rsid w:val="00A24C89"/>
    <w:rsid w:val="00A253A8"/>
    <w:rsid w:val="00A25B32"/>
    <w:rsid w:val="00A25D96"/>
    <w:rsid w:val="00A25FD7"/>
    <w:rsid w:val="00A2614F"/>
    <w:rsid w:val="00A26F7D"/>
    <w:rsid w:val="00A27C03"/>
    <w:rsid w:val="00A27DFA"/>
    <w:rsid w:val="00A27F03"/>
    <w:rsid w:val="00A304F5"/>
    <w:rsid w:val="00A30BA0"/>
    <w:rsid w:val="00A30C52"/>
    <w:rsid w:val="00A31737"/>
    <w:rsid w:val="00A31C48"/>
    <w:rsid w:val="00A32F10"/>
    <w:rsid w:val="00A337E2"/>
    <w:rsid w:val="00A33A56"/>
    <w:rsid w:val="00A33B76"/>
    <w:rsid w:val="00A33E67"/>
    <w:rsid w:val="00A33E9B"/>
    <w:rsid w:val="00A351C4"/>
    <w:rsid w:val="00A3557C"/>
    <w:rsid w:val="00A3581D"/>
    <w:rsid w:val="00A3618F"/>
    <w:rsid w:val="00A361EC"/>
    <w:rsid w:val="00A36D39"/>
    <w:rsid w:val="00A377D8"/>
    <w:rsid w:val="00A37AB7"/>
    <w:rsid w:val="00A37CE1"/>
    <w:rsid w:val="00A37EC0"/>
    <w:rsid w:val="00A4007F"/>
    <w:rsid w:val="00A40671"/>
    <w:rsid w:val="00A40A32"/>
    <w:rsid w:val="00A410FB"/>
    <w:rsid w:val="00A4385A"/>
    <w:rsid w:val="00A43AFF"/>
    <w:rsid w:val="00A4407F"/>
    <w:rsid w:val="00A44AEF"/>
    <w:rsid w:val="00A452A4"/>
    <w:rsid w:val="00A452D1"/>
    <w:rsid w:val="00A45A18"/>
    <w:rsid w:val="00A46251"/>
    <w:rsid w:val="00A46C3E"/>
    <w:rsid w:val="00A47AE3"/>
    <w:rsid w:val="00A50763"/>
    <w:rsid w:val="00A508EB"/>
    <w:rsid w:val="00A511B7"/>
    <w:rsid w:val="00A52666"/>
    <w:rsid w:val="00A53DD8"/>
    <w:rsid w:val="00A54264"/>
    <w:rsid w:val="00A5443C"/>
    <w:rsid w:val="00A54A10"/>
    <w:rsid w:val="00A55EE3"/>
    <w:rsid w:val="00A57EF0"/>
    <w:rsid w:val="00A60AF5"/>
    <w:rsid w:val="00A60E96"/>
    <w:rsid w:val="00A61663"/>
    <w:rsid w:val="00A61AAE"/>
    <w:rsid w:val="00A61AE1"/>
    <w:rsid w:val="00A61D7A"/>
    <w:rsid w:val="00A62242"/>
    <w:rsid w:val="00A62A1D"/>
    <w:rsid w:val="00A62B6E"/>
    <w:rsid w:val="00A630EE"/>
    <w:rsid w:val="00A631F2"/>
    <w:rsid w:val="00A63753"/>
    <w:rsid w:val="00A64924"/>
    <w:rsid w:val="00A64987"/>
    <w:rsid w:val="00A656DE"/>
    <w:rsid w:val="00A65874"/>
    <w:rsid w:val="00A66776"/>
    <w:rsid w:val="00A66989"/>
    <w:rsid w:val="00A66F82"/>
    <w:rsid w:val="00A6732D"/>
    <w:rsid w:val="00A67878"/>
    <w:rsid w:val="00A67918"/>
    <w:rsid w:val="00A7005F"/>
    <w:rsid w:val="00A7042D"/>
    <w:rsid w:val="00A70544"/>
    <w:rsid w:val="00A70A1B"/>
    <w:rsid w:val="00A70ED0"/>
    <w:rsid w:val="00A712C5"/>
    <w:rsid w:val="00A71ACE"/>
    <w:rsid w:val="00A71C0B"/>
    <w:rsid w:val="00A72250"/>
    <w:rsid w:val="00A743FA"/>
    <w:rsid w:val="00A74472"/>
    <w:rsid w:val="00A74774"/>
    <w:rsid w:val="00A74DC3"/>
    <w:rsid w:val="00A75391"/>
    <w:rsid w:val="00A75927"/>
    <w:rsid w:val="00A75C0D"/>
    <w:rsid w:val="00A76023"/>
    <w:rsid w:val="00A76034"/>
    <w:rsid w:val="00A76208"/>
    <w:rsid w:val="00A764B0"/>
    <w:rsid w:val="00A76EA1"/>
    <w:rsid w:val="00A77273"/>
    <w:rsid w:val="00A77302"/>
    <w:rsid w:val="00A7793A"/>
    <w:rsid w:val="00A77AB5"/>
    <w:rsid w:val="00A77FB0"/>
    <w:rsid w:val="00A77FDE"/>
    <w:rsid w:val="00A81112"/>
    <w:rsid w:val="00A81D8A"/>
    <w:rsid w:val="00A838A1"/>
    <w:rsid w:val="00A83AAF"/>
    <w:rsid w:val="00A8406C"/>
    <w:rsid w:val="00A8433E"/>
    <w:rsid w:val="00A8491D"/>
    <w:rsid w:val="00A84A77"/>
    <w:rsid w:val="00A8593A"/>
    <w:rsid w:val="00A86003"/>
    <w:rsid w:val="00A861EE"/>
    <w:rsid w:val="00A8699C"/>
    <w:rsid w:val="00A86B70"/>
    <w:rsid w:val="00A86EF0"/>
    <w:rsid w:val="00A871F0"/>
    <w:rsid w:val="00A87373"/>
    <w:rsid w:val="00A87B9B"/>
    <w:rsid w:val="00A9003C"/>
    <w:rsid w:val="00A909B9"/>
    <w:rsid w:val="00A90EEB"/>
    <w:rsid w:val="00A9103C"/>
    <w:rsid w:val="00A913E7"/>
    <w:rsid w:val="00A913F2"/>
    <w:rsid w:val="00A91462"/>
    <w:rsid w:val="00A9179E"/>
    <w:rsid w:val="00A917C2"/>
    <w:rsid w:val="00A9395A"/>
    <w:rsid w:val="00A93D5C"/>
    <w:rsid w:val="00A94166"/>
    <w:rsid w:val="00A94392"/>
    <w:rsid w:val="00A945C1"/>
    <w:rsid w:val="00A94D54"/>
    <w:rsid w:val="00A963D2"/>
    <w:rsid w:val="00A970DD"/>
    <w:rsid w:val="00A97364"/>
    <w:rsid w:val="00A974B6"/>
    <w:rsid w:val="00A97A28"/>
    <w:rsid w:val="00AA0A5C"/>
    <w:rsid w:val="00AA1586"/>
    <w:rsid w:val="00AA1657"/>
    <w:rsid w:val="00AA1F72"/>
    <w:rsid w:val="00AA258A"/>
    <w:rsid w:val="00AA2AF6"/>
    <w:rsid w:val="00AA386A"/>
    <w:rsid w:val="00AA395A"/>
    <w:rsid w:val="00AA3BE6"/>
    <w:rsid w:val="00AA4CC7"/>
    <w:rsid w:val="00AA4FBB"/>
    <w:rsid w:val="00AA555B"/>
    <w:rsid w:val="00AA5B59"/>
    <w:rsid w:val="00AA5BDF"/>
    <w:rsid w:val="00AA5E8E"/>
    <w:rsid w:val="00AA608C"/>
    <w:rsid w:val="00AA6264"/>
    <w:rsid w:val="00AA6F1B"/>
    <w:rsid w:val="00AA74BE"/>
    <w:rsid w:val="00AA75CA"/>
    <w:rsid w:val="00AB07C8"/>
    <w:rsid w:val="00AB07EB"/>
    <w:rsid w:val="00AB0E1B"/>
    <w:rsid w:val="00AB103D"/>
    <w:rsid w:val="00AB1601"/>
    <w:rsid w:val="00AB1DEF"/>
    <w:rsid w:val="00AB1EFA"/>
    <w:rsid w:val="00AB2597"/>
    <w:rsid w:val="00AB2B39"/>
    <w:rsid w:val="00AB2FA7"/>
    <w:rsid w:val="00AB43D6"/>
    <w:rsid w:val="00AB4443"/>
    <w:rsid w:val="00AB4D00"/>
    <w:rsid w:val="00AB5561"/>
    <w:rsid w:val="00AB580D"/>
    <w:rsid w:val="00AB5929"/>
    <w:rsid w:val="00AB6147"/>
    <w:rsid w:val="00AB6CA7"/>
    <w:rsid w:val="00AB77DB"/>
    <w:rsid w:val="00AB7B39"/>
    <w:rsid w:val="00AC08F0"/>
    <w:rsid w:val="00AC0A76"/>
    <w:rsid w:val="00AC2065"/>
    <w:rsid w:val="00AC2827"/>
    <w:rsid w:val="00AC2CDE"/>
    <w:rsid w:val="00AC3500"/>
    <w:rsid w:val="00AC3523"/>
    <w:rsid w:val="00AC4338"/>
    <w:rsid w:val="00AC5633"/>
    <w:rsid w:val="00AC582F"/>
    <w:rsid w:val="00AC7C41"/>
    <w:rsid w:val="00AD01E4"/>
    <w:rsid w:val="00AD0858"/>
    <w:rsid w:val="00AD0EBF"/>
    <w:rsid w:val="00AD1077"/>
    <w:rsid w:val="00AD14A1"/>
    <w:rsid w:val="00AD17DB"/>
    <w:rsid w:val="00AD1A5B"/>
    <w:rsid w:val="00AD1B36"/>
    <w:rsid w:val="00AD2007"/>
    <w:rsid w:val="00AD318F"/>
    <w:rsid w:val="00AD3F7E"/>
    <w:rsid w:val="00AD4277"/>
    <w:rsid w:val="00AD4E76"/>
    <w:rsid w:val="00AD4F16"/>
    <w:rsid w:val="00AD50FF"/>
    <w:rsid w:val="00AD587E"/>
    <w:rsid w:val="00AD6884"/>
    <w:rsid w:val="00AD6AEC"/>
    <w:rsid w:val="00AD6B46"/>
    <w:rsid w:val="00AD6D52"/>
    <w:rsid w:val="00AD701D"/>
    <w:rsid w:val="00AD70D5"/>
    <w:rsid w:val="00AD71C2"/>
    <w:rsid w:val="00AD7F9E"/>
    <w:rsid w:val="00AE0FB8"/>
    <w:rsid w:val="00AE1220"/>
    <w:rsid w:val="00AE1487"/>
    <w:rsid w:val="00AE1655"/>
    <w:rsid w:val="00AE1FDC"/>
    <w:rsid w:val="00AE2B23"/>
    <w:rsid w:val="00AE32AC"/>
    <w:rsid w:val="00AE389E"/>
    <w:rsid w:val="00AE42BC"/>
    <w:rsid w:val="00AE4CB4"/>
    <w:rsid w:val="00AE6237"/>
    <w:rsid w:val="00AE68DF"/>
    <w:rsid w:val="00AE6A0A"/>
    <w:rsid w:val="00AE6D42"/>
    <w:rsid w:val="00AE6E4A"/>
    <w:rsid w:val="00AE71B0"/>
    <w:rsid w:val="00AE7340"/>
    <w:rsid w:val="00AE739C"/>
    <w:rsid w:val="00AE7D23"/>
    <w:rsid w:val="00AF0F8F"/>
    <w:rsid w:val="00AF1BBD"/>
    <w:rsid w:val="00AF274E"/>
    <w:rsid w:val="00AF2DAB"/>
    <w:rsid w:val="00AF3067"/>
    <w:rsid w:val="00AF4340"/>
    <w:rsid w:val="00AF5197"/>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414"/>
    <w:rsid w:val="00B0373C"/>
    <w:rsid w:val="00B03A3A"/>
    <w:rsid w:val="00B03DB5"/>
    <w:rsid w:val="00B045EE"/>
    <w:rsid w:val="00B04B7C"/>
    <w:rsid w:val="00B04E55"/>
    <w:rsid w:val="00B05A1D"/>
    <w:rsid w:val="00B05BEA"/>
    <w:rsid w:val="00B05E5B"/>
    <w:rsid w:val="00B0677C"/>
    <w:rsid w:val="00B06798"/>
    <w:rsid w:val="00B07649"/>
    <w:rsid w:val="00B07E5C"/>
    <w:rsid w:val="00B07E93"/>
    <w:rsid w:val="00B07E9B"/>
    <w:rsid w:val="00B10207"/>
    <w:rsid w:val="00B107E0"/>
    <w:rsid w:val="00B10CE6"/>
    <w:rsid w:val="00B10DCE"/>
    <w:rsid w:val="00B10E9A"/>
    <w:rsid w:val="00B11B92"/>
    <w:rsid w:val="00B11CE0"/>
    <w:rsid w:val="00B120D4"/>
    <w:rsid w:val="00B12C8C"/>
    <w:rsid w:val="00B12D02"/>
    <w:rsid w:val="00B12EB8"/>
    <w:rsid w:val="00B12F4E"/>
    <w:rsid w:val="00B1381D"/>
    <w:rsid w:val="00B13C5C"/>
    <w:rsid w:val="00B141E7"/>
    <w:rsid w:val="00B14556"/>
    <w:rsid w:val="00B14F80"/>
    <w:rsid w:val="00B16BAF"/>
    <w:rsid w:val="00B20589"/>
    <w:rsid w:val="00B21ABC"/>
    <w:rsid w:val="00B21DAA"/>
    <w:rsid w:val="00B21E30"/>
    <w:rsid w:val="00B22337"/>
    <w:rsid w:val="00B23645"/>
    <w:rsid w:val="00B23F04"/>
    <w:rsid w:val="00B25341"/>
    <w:rsid w:val="00B2568B"/>
    <w:rsid w:val="00B25747"/>
    <w:rsid w:val="00B25A36"/>
    <w:rsid w:val="00B25B45"/>
    <w:rsid w:val="00B264B5"/>
    <w:rsid w:val="00B26FBE"/>
    <w:rsid w:val="00B27123"/>
    <w:rsid w:val="00B30898"/>
    <w:rsid w:val="00B32017"/>
    <w:rsid w:val="00B32148"/>
    <w:rsid w:val="00B32EB3"/>
    <w:rsid w:val="00B330AC"/>
    <w:rsid w:val="00B33AEF"/>
    <w:rsid w:val="00B33BC7"/>
    <w:rsid w:val="00B346D4"/>
    <w:rsid w:val="00B34AE0"/>
    <w:rsid w:val="00B351B4"/>
    <w:rsid w:val="00B3577F"/>
    <w:rsid w:val="00B362BF"/>
    <w:rsid w:val="00B365ED"/>
    <w:rsid w:val="00B37429"/>
    <w:rsid w:val="00B37CF6"/>
    <w:rsid w:val="00B37F7E"/>
    <w:rsid w:val="00B40335"/>
    <w:rsid w:val="00B403A3"/>
    <w:rsid w:val="00B414C3"/>
    <w:rsid w:val="00B416D3"/>
    <w:rsid w:val="00B4190E"/>
    <w:rsid w:val="00B41DD4"/>
    <w:rsid w:val="00B42331"/>
    <w:rsid w:val="00B42776"/>
    <w:rsid w:val="00B428D6"/>
    <w:rsid w:val="00B42959"/>
    <w:rsid w:val="00B43EEF"/>
    <w:rsid w:val="00B44EED"/>
    <w:rsid w:val="00B44F73"/>
    <w:rsid w:val="00B454C6"/>
    <w:rsid w:val="00B45549"/>
    <w:rsid w:val="00B456AC"/>
    <w:rsid w:val="00B4596C"/>
    <w:rsid w:val="00B467FA"/>
    <w:rsid w:val="00B46BCA"/>
    <w:rsid w:val="00B46BD6"/>
    <w:rsid w:val="00B46F87"/>
    <w:rsid w:val="00B472BF"/>
    <w:rsid w:val="00B478A0"/>
    <w:rsid w:val="00B50148"/>
    <w:rsid w:val="00B5058C"/>
    <w:rsid w:val="00B50591"/>
    <w:rsid w:val="00B50F14"/>
    <w:rsid w:val="00B510DE"/>
    <w:rsid w:val="00B51F50"/>
    <w:rsid w:val="00B52612"/>
    <w:rsid w:val="00B52B6B"/>
    <w:rsid w:val="00B53767"/>
    <w:rsid w:val="00B53D86"/>
    <w:rsid w:val="00B54206"/>
    <w:rsid w:val="00B54919"/>
    <w:rsid w:val="00B54F96"/>
    <w:rsid w:val="00B55F6D"/>
    <w:rsid w:val="00B5701C"/>
    <w:rsid w:val="00B579BE"/>
    <w:rsid w:val="00B57BC4"/>
    <w:rsid w:val="00B608E3"/>
    <w:rsid w:val="00B60EE3"/>
    <w:rsid w:val="00B61525"/>
    <w:rsid w:val="00B616F2"/>
    <w:rsid w:val="00B61C8B"/>
    <w:rsid w:val="00B61ED0"/>
    <w:rsid w:val="00B62EDD"/>
    <w:rsid w:val="00B65858"/>
    <w:rsid w:val="00B658F3"/>
    <w:rsid w:val="00B65917"/>
    <w:rsid w:val="00B661C6"/>
    <w:rsid w:val="00B6788F"/>
    <w:rsid w:val="00B7004F"/>
    <w:rsid w:val="00B70231"/>
    <w:rsid w:val="00B70355"/>
    <w:rsid w:val="00B71387"/>
    <w:rsid w:val="00B714F5"/>
    <w:rsid w:val="00B72053"/>
    <w:rsid w:val="00B72B2D"/>
    <w:rsid w:val="00B72B7B"/>
    <w:rsid w:val="00B73087"/>
    <w:rsid w:val="00B7309D"/>
    <w:rsid w:val="00B7387A"/>
    <w:rsid w:val="00B739EB"/>
    <w:rsid w:val="00B74422"/>
    <w:rsid w:val="00B744B4"/>
    <w:rsid w:val="00B746A5"/>
    <w:rsid w:val="00B74C67"/>
    <w:rsid w:val="00B753E5"/>
    <w:rsid w:val="00B75567"/>
    <w:rsid w:val="00B76279"/>
    <w:rsid w:val="00B80276"/>
    <w:rsid w:val="00B8074B"/>
    <w:rsid w:val="00B8115C"/>
    <w:rsid w:val="00B8164C"/>
    <w:rsid w:val="00B81769"/>
    <w:rsid w:val="00B81D9F"/>
    <w:rsid w:val="00B82452"/>
    <w:rsid w:val="00B84135"/>
    <w:rsid w:val="00B84636"/>
    <w:rsid w:val="00B84EF1"/>
    <w:rsid w:val="00B852BE"/>
    <w:rsid w:val="00B85376"/>
    <w:rsid w:val="00B856FB"/>
    <w:rsid w:val="00B859DD"/>
    <w:rsid w:val="00B863FA"/>
    <w:rsid w:val="00B87806"/>
    <w:rsid w:val="00B879C6"/>
    <w:rsid w:val="00B87BC1"/>
    <w:rsid w:val="00B87EC9"/>
    <w:rsid w:val="00B90564"/>
    <w:rsid w:val="00B90904"/>
    <w:rsid w:val="00B90936"/>
    <w:rsid w:val="00B9156A"/>
    <w:rsid w:val="00B9176F"/>
    <w:rsid w:val="00B91BD8"/>
    <w:rsid w:val="00B91FCC"/>
    <w:rsid w:val="00B91FFD"/>
    <w:rsid w:val="00B92352"/>
    <w:rsid w:val="00B9253E"/>
    <w:rsid w:val="00B930DE"/>
    <w:rsid w:val="00B9313E"/>
    <w:rsid w:val="00B93474"/>
    <w:rsid w:val="00B938FD"/>
    <w:rsid w:val="00B9393F"/>
    <w:rsid w:val="00B93CCC"/>
    <w:rsid w:val="00B9427F"/>
    <w:rsid w:val="00B94475"/>
    <w:rsid w:val="00B94561"/>
    <w:rsid w:val="00B94A56"/>
    <w:rsid w:val="00B94A92"/>
    <w:rsid w:val="00B94C37"/>
    <w:rsid w:val="00B94D02"/>
    <w:rsid w:val="00B94F9D"/>
    <w:rsid w:val="00B953F3"/>
    <w:rsid w:val="00B96A5E"/>
    <w:rsid w:val="00B96BE0"/>
    <w:rsid w:val="00B970F9"/>
    <w:rsid w:val="00B9739D"/>
    <w:rsid w:val="00B97FD3"/>
    <w:rsid w:val="00BA0415"/>
    <w:rsid w:val="00BA1A50"/>
    <w:rsid w:val="00BA1CF6"/>
    <w:rsid w:val="00BA2063"/>
    <w:rsid w:val="00BA37EF"/>
    <w:rsid w:val="00BA4023"/>
    <w:rsid w:val="00BA46E0"/>
    <w:rsid w:val="00BA47D9"/>
    <w:rsid w:val="00BA652B"/>
    <w:rsid w:val="00BA6AC6"/>
    <w:rsid w:val="00BA6B17"/>
    <w:rsid w:val="00BA6BBA"/>
    <w:rsid w:val="00BA7371"/>
    <w:rsid w:val="00BA794F"/>
    <w:rsid w:val="00BB0D0D"/>
    <w:rsid w:val="00BB2398"/>
    <w:rsid w:val="00BB240E"/>
    <w:rsid w:val="00BB2AF2"/>
    <w:rsid w:val="00BB4DA1"/>
    <w:rsid w:val="00BC01CB"/>
    <w:rsid w:val="00BC04AE"/>
    <w:rsid w:val="00BC0C38"/>
    <w:rsid w:val="00BC1012"/>
    <w:rsid w:val="00BC1A23"/>
    <w:rsid w:val="00BC1BDF"/>
    <w:rsid w:val="00BC342B"/>
    <w:rsid w:val="00BC37CC"/>
    <w:rsid w:val="00BC389C"/>
    <w:rsid w:val="00BC38FD"/>
    <w:rsid w:val="00BC4C2F"/>
    <w:rsid w:val="00BC4F60"/>
    <w:rsid w:val="00BC5C8E"/>
    <w:rsid w:val="00BC6374"/>
    <w:rsid w:val="00BC789D"/>
    <w:rsid w:val="00BD08B5"/>
    <w:rsid w:val="00BD10CF"/>
    <w:rsid w:val="00BD17B8"/>
    <w:rsid w:val="00BD2615"/>
    <w:rsid w:val="00BD2E6B"/>
    <w:rsid w:val="00BD338B"/>
    <w:rsid w:val="00BD58E3"/>
    <w:rsid w:val="00BD5E99"/>
    <w:rsid w:val="00BD60BA"/>
    <w:rsid w:val="00BD692E"/>
    <w:rsid w:val="00BD736A"/>
    <w:rsid w:val="00BE0A2F"/>
    <w:rsid w:val="00BE10E0"/>
    <w:rsid w:val="00BE1884"/>
    <w:rsid w:val="00BE2258"/>
    <w:rsid w:val="00BE22ED"/>
    <w:rsid w:val="00BE2E74"/>
    <w:rsid w:val="00BE3006"/>
    <w:rsid w:val="00BE312F"/>
    <w:rsid w:val="00BE3AA2"/>
    <w:rsid w:val="00BE3F19"/>
    <w:rsid w:val="00BE4AC7"/>
    <w:rsid w:val="00BE511C"/>
    <w:rsid w:val="00BE588F"/>
    <w:rsid w:val="00BE5F03"/>
    <w:rsid w:val="00BE6CB2"/>
    <w:rsid w:val="00BF24C1"/>
    <w:rsid w:val="00BF2A3A"/>
    <w:rsid w:val="00BF31DC"/>
    <w:rsid w:val="00BF3B8F"/>
    <w:rsid w:val="00BF413D"/>
    <w:rsid w:val="00BF4A84"/>
    <w:rsid w:val="00BF4AF3"/>
    <w:rsid w:val="00BF4F5B"/>
    <w:rsid w:val="00BF5537"/>
    <w:rsid w:val="00BF55C7"/>
    <w:rsid w:val="00BF5C18"/>
    <w:rsid w:val="00BF6325"/>
    <w:rsid w:val="00BF64E0"/>
    <w:rsid w:val="00BF691B"/>
    <w:rsid w:val="00C001BC"/>
    <w:rsid w:val="00C0052D"/>
    <w:rsid w:val="00C01296"/>
    <w:rsid w:val="00C01681"/>
    <w:rsid w:val="00C016B3"/>
    <w:rsid w:val="00C0242F"/>
    <w:rsid w:val="00C02F15"/>
    <w:rsid w:val="00C034CB"/>
    <w:rsid w:val="00C0380F"/>
    <w:rsid w:val="00C05140"/>
    <w:rsid w:val="00C051A8"/>
    <w:rsid w:val="00C05360"/>
    <w:rsid w:val="00C054BC"/>
    <w:rsid w:val="00C0562E"/>
    <w:rsid w:val="00C05B13"/>
    <w:rsid w:val="00C063DA"/>
    <w:rsid w:val="00C067D9"/>
    <w:rsid w:val="00C068B4"/>
    <w:rsid w:val="00C06AD9"/>
    <w:rsid w:val="00C072D4"/>
    <w:rsid w:val="00C0737F"/>
    <w:rsid w:val="00C07B5B"/>
    <w:rsid w:val="00C07E62"/>
    <w:rsid w:val="00C104A6"/>
    <w:rsid w:val="00C10580"/>
    <w:rsid w:val="00C10AEA"/>
    <w:rsid w:val="00C11E28"/>
    <w:rsid w:val="00C12451"/>
    <w:rsid w:val="00C13329"/>
    <w:rsid w:val="00C13FF7"/>
    <w:rsid w:val="00C152DE"/>
    <w:rsid w:val="00C15AD7"/>
    <w:rsid w:val="00C15D4A"/>
    <w:rsid w:val="00C164EF"/>
    <w:rsid w:val="00C16E34"/>
    <w:rsid w:val="00C16EC7"/>
    <w:rsid w:val="00C16F07"/>
    <w:rsid w:val="00C17105"/>
    <w:rsid w:val="00C17185"/>
    <w:rsid w:val="00C17897"/>
    <w:rsid w:val="00C1799A"/>
    <w:rsid w:val="00C20575"/>
    <w:rsid w:val="00C20F02"/>
    <w:rsid w:val="00C21984"/>
    <w:rsid w:val="00C21D42"/>
    <w:rsid w:val="00C22623"/>
    <w:rsid w:val="00C22939"/>
    <w:rsid w:val="00C229A2"/>
    <w:rsid w:val="00C24409"/>
    <w:rsid w:val="00C248DA"/>
    <w:rsid w:val="00C25325"/>
    <w:rsid w:val="00C254DA"/>
    <w:rsid w:val="00C255BD"/>
    <w:rsid w:val="00C259B6"/>
    <w:rsid w:val="00C25EEE"/>
    <w:rsid w:val="00C260F1"/>
    <w:rsid w:val="00C279AB"/>
    <w:rsid w:val="00C27A7D"/>
    <w:rsid w:val="00C30416"/>
    <w:rsid w:val="00C30A4D"/>
    <w:rsid w:val="00C320BC"/>
    <w:rsid w:val="00C3242A"/>
    <w:rsid w:val="00C32462"/>
    <w:rsid w:val="00C328B9"/>
    <w:rsid w:val="00C32B9C"/>
    <w:rsid w:val="00C335F6"/>
    <w:rsid w:val="00C340A7"/>
    <w:rsid w:val="00C34945"/>
    <w:rsid w:val="00C34AB3"/>
    <w:rsid w:val="00C3532F"/>
    <w:rsid w:val="00C35531"/>
    <w:rsid w:val="00C35EAD"/>
    <w:rsid w:val="00C35FD7"/>
    <w:rsid w:val="00C36AC7"/>
    <w:rsid w:val="00C37827"/>
    <w:rsid w:val="00C37DCE"/>
    <w:rsid w:val="00C40098"/>
    <w:rsid w:val="00C409D5"/>
    <w:rsid w:val="00C40B22"/>
    <w:rsid w:val="00C419C4"/>
    <w:rsid w:val="00C41E3A"/>
    <w:rsid w:val="00C422B7"/>
    <w:rsid w:val="00C4348B"/>
    <w:rsid w:val="00C43538"/>
    <w:rsid w:val="00C435C3"/>
    <w:rsid w:val="00C43DEE"/>
    <w:rsid w:val="00C43E46"/>
    <w:rsid w:val="00C43FB3"/>
    <w:rsid w:val="00C445D0"/>
    <w:rsid w:val="00C454D2"/>
    <w:rsid w:val="00C4564A"/>
    <w:rsid w:val="00C4593E"/>
    <w:rsid w:val="00C45C07"/>
    <w:rsid w:val="00C45C1D"/>
    <w:rsid w:val="00C461F9"/>
    <w:rsid w:val="00C46D54"/>
    <w:rsid w:val="00C46D70"/>
    <w:rsid w:val="00C47123"/>
    <w:rsid w:val="00C4799E"/>
    <w:rsid w:val="00C47AAC"/>
    <w:rsid w:val="00C47E68"/>
    <w:rsid w:val="00C47EB1"/>
    <w:rsid w:val="00C503C9"/>
    <w:rsid w:val="00C504F0"/>
    <w:rsid w:val="00C505AE"/>
    <w:rsid w:val="00C50C61"/>
    <w:rsid w:val="00C50CB6"/>
    <w:rsid w:val="00C51339"/>
    <w:rsid w:val="00C51684"/>
    <w:rsid w:val="00C51C0F"/>
    <w:rsid w:val="00C51F22"/>
    <w:rsid w:val="00C521D6"/>
    <w:rsid w:val="00C52731"/>
    <w:rsid w:val="00C527C4"/>
    <w:rsid w:val="00C53ACA"/>
    <w:rsid w:val="00C53CD9"/>
    <w:rsid w:val="00C5513B"/>
    <w:rsid w:val="00C55A70"/>
    <w:rsid w:val="00C55BA4"/>
    <w:rsid w:val="00C56429"/>
    <w:rsid w:val="00C5651E"/>
    <w:rsid w:val="00C56625"/>
    <w:rsid w:val="00C5685E"/>
    <w:rsid w:val="00C57545"/>
    <w:rsid w:val="00C578BA"/>
    <w:rsid w:val="00C57F24"/>
    <w:rsid w:val="00C610E4"/>
    <w:rsid w:val="00C61528"/>
    <w:rsid w:val="00C618A3"/>
    <w:rsid w:val="00C61EFC"/>
    <w:rsid w:val="00C6234B"/>
    <w:rsid w:val="00C62896"/>
    <w:rsid w:val="00C62FA9"/>
    <w:rsid w:val="00C63295"/>
    <w:rsid w:val="00C63554"/>
    <w:rsid w:val="00C63D2B"/>
    <w:rsid w:val="00C63EAE"/>
    <w:rsid w:val="00C64B34"/>
    <w:rsid w:val="00C64EBD"/>
    <w:rsid w:val="00C6530D"/>
    <w:rsid w:val="00C65F90"/>
    <w:rsid w:val="00C66102"/>
    <w:rsid w:val="00C66288"/>
    <w:rsid w:val="00C66803"/>
    <w:rsid w:val="00C669A5"/>
    <w:rsid w:val="00C66EF2"/>
    <w:rsid w:val="00C67449"/>
    <w:rsid w:val="00C70CED"/>
    <w:rsid w:val="00C70DCE"/>
    <w:rsid w:val="00C71119"/>
    <w:rsid w:val="00C7177D"/>
    <w:rsid w:val="00C71CD7"/>
    <w:rsid w:val="00C722B7"/>
    <w:rsid w:val="00C738B6"/>
    <w:rsid w:val="00C73F70"/>
    <w:rsid w:val="00C73FE9"/>
    <w:rsid w:val="00C7445D"/>
    <w:rsid w:val="00C74A6C"/>
    <w:rsid w:val="00C74CCB"/>
    <w:rsid w:val="00C74CD6"/>
    <w:rsid w:val="00C752B7"/>
    <w:rsid w:val="00C756B3"/>
    <w:rsid w:val="00C75884"/>
    <w:rsid w:val="00C7593E"/>
    <w:rsid w:val="00C75964"/>
    <w:rsid w:val="00C75DB5"/>
    <w:rsid w:val="00C7629F"/>
    <w:rsid w:val="00C76C96"/>
    <w:rsid w:val="00C7702A"/>
    <w:rsid w:val="00C7740C"/>
    <w:rsid w:val="00C77E93"/>
    <w:rsid w:val="00C80696"/>
    <w:rsid w:val="00C80845"/>
    <w:rsid w:val="00C80EC1"/>
    <w:rsid w:val="00C812E4"/>
    <w:rsid w:val="00C81674"/>
    <w:rsid w:val="00C81A85"/>
    <w:rsid w:val="00C81E60"/>
    <w:rsid w:val="00C834FD"/>
    <w:rsid w:val="00C83648"/>
    <w:rsid w:val="00C83E38"/>
    <w:rsid w:val="00C84B6F"/>
    <w:rsid w:val="00C865D4"/>
    <w:rsid w:val="00C8661B"/>
    <w:rsid w:val="00C86A6F"/>
    <w:rsid w:val="00C86FCF"/>
    <w:rsid w:val="00C8734F"/>
    <w:rsid w:val="00C87698"/>
    <w:rsid w:val="00C87C0D"/>
    <w:rsid w:val="00C87C2A"/>
    <w:rsid w:val="00C911C3"/>
    <w:rsid w:val="00C91AD0"/>
    <w:rsid w:val="00C9275E"/>
    <w:rsid w:val="00C92948"/>
    <w:rsid w:val="00C92BC5"/>
    <w:rsid w:val="00C9410E"/>
    <w:rsid w:val="00C9430C"/>
    <w:rsid w:val="00C953A8"/>
    <w:rsid w:val="00C95B62"/>
    <w:rsid w:val="00C978F4"/>
    <w:rsid w:val="00CA01A4"/>
    <w:rsid w:val="00CA0A6E"/>
    <w:rsid w:val="00CA0C9B"/>
    <w:rsid w:val="00CA1286"/>
    <w:rsid w:val="00CA1334"/>
    <w:rsid w:val="00CA139A"/>
    <w:rsid w:val="00CA17F1"/>
    <w:rsid w:val="00CA1D72"/>
    <w:rsid w:val="00CA256C"/>
    <w:rsid w:val="00CA2899"/>
    <w:rsid w:val="00CA2C81"/>
    <w:rsid w:val="00CA3046"/>
    <w:rsid w:val="00CA30FF"/>
    <w:rsid w:val="00CA3782"/>
    <w:rsid w:val="00CA3A3D"/>
    <w:rsid w:val="00CA3CBA"/>
    <w:rsid w:val="00CA49F0"/>
    <w:rsid w:val="00CA4AD9"/>
    <w:rsid w:val="00CA52AD"/>
    <w:rsid w:val="00CA549C"/>
    <w:rsid w:val="00CA572E"/>
    <w:rsid w:val="00CA5807"/>
    <w:rsid w:val="00CA58B9"/>
    <w:rsid w:val="00CA5EF6"/>
    <w:rsid w:val="00CA65DA"/>
    <w:rsid w:val="00CA6FEA"/>
    <w:rsid w:val="00CA70C6"/>
    <w:rsid w:val="00CA7274"/>
    <w:rsid w:val="00CA77FB"/>
    <w:rsid w:val="00CB0726"/>
    <w:rsid w:val="00CB090E"/>
    <w:rsid w:val="00CB1150"/>
    <w:rsid w:val="00CB1869"/>
    <w:rsid w:val="00CB1903"/>
    <w:rsid w:val="00CB1FCC"/>
    <w:rsid w:val="00CB2566"/>
    <w:rsid w:val="00CB2692"/>
    <w:rsid w:val="00CB2BC5"/>
    <w:rsid w:val="00CB2BDB"/>
    <w:rsid w:val="00CB2C9C"/>
    <w:rsid w:val="00CB379B"/>
    <w:rsid w:val="00CB3EE2"/>
    <w:rsid w:val="00CB3F1C"/>
    <w:rsid w:val="00CB4243"/>
    <w:rsid w:val="00CB4632"/>
    <w:rsid w:val="00CB4DEA"/>
    <w:rsid w:val="00CB5DD0"/>
    <w:rsid w:val="00CB5F3B"/>
    <w:rsid w:val="00CB66D6"/>
    <w:rsid w:val="00CB680C"/>
    <w:rsid w:val="00CB6E0E"/>
    <w:rsid w:val="00CB74F9"/>
    <w:rsid w:val="00CC0027"/>
    <w:rsid w:val="00CC0FAA"/>
    <w:rsid w:val="00CC1256"/>
    <w:rsid w:val="00CC1CF9"/>
    <w:rsid w:val="00CC212B"/>
    <w:rsid w:val="00CC31F9"/>
    <w:rsid w:val="00CC373A"/>
    <w:rsid w:val="00CC378B"/>
    <w:rsid w:val="00CC457E"/>
    <w:rsid w:val="00CC497B"/>
    <w:rsid w:val="00CC51D4"/>
    <w:rsid w:val="00CC5275"/>
    <w:rsid w:val="00CC5834"/>
    <w:rsid w:val="00CC598E"/>
    <w:rsid w:val="00CC5FAC"/>
    <w:rsid w:val="00CC6296"/>
    <w:rsid w:val="00CC65DA"/>
    <w:rsid w:val="00CC688E"/>
    <w:rsid w:val="00CC6DF7"/>
    <w:rsid w:val="00CC735A"/>
    <w:rsid w:val="00CC7FA1"/>
    <w:rsid w:val="00CD0F38"/>
    <w:rsid w:val="00CD16F9"/>
    <w:rsid w:val="00CD17D5"/>
    <w:rsid w:val="00CD188C"/>
    <w:rsid w:val="00CD1B1B"/>
    <w:rsid w:val="00CD1C22"/>
    <w:rsid w:val="00CD1F4E"/>
    <w:rsid w:val="00CD237A"/>
    <w:rsid w:val="00CD32B1"/>
    <w:rsid w:val="00CD36CE"/>
    <w:rsid w:val="00CD3F6A"/>
    <w:rsid w:val="00CD403F"/>
    <w:rsid w:val="00CD51E4"/>
    <w:rsid w:val="00CD5508"/>
    <w:rsid w:val="00CD56FC"/>
    <w:rsid w:val="00CD5DB7"/>
    <w:rsid w:val="00CD5F81"/>
    <w:rsid w:val="00CD6729"/>
    <w:rsid w:val="00CD6E3D"/>
    <w:rsid w:val="00CD6F48"/>
    <w:rsid w:val="00CD7251"/>
    <w:rsid w:val="00CE069C"/>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8A8"/>
    <w:rsid w:val="00CE6AA8"/>
    <w:rsid w:val="00CE6E2C"/>
    <w:rsid w:val="00CE6EA8"/>
    <w:rsid w:val="00CE6FB0"/>
    <w:rsid w:val="00CE7538"/>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19"/>
    <w:rsid w:val="00CF524F"/>
    <w:rsid w:val="00CF6069"/>
    <w:rsid w:val="00CF64F0"/>
    <w:rsid w:val="00CF6BF9"/>
    <w:rsid w:val="00D0042C"/>
    <w:rsid w:val="00D00B94"/>
    <w:rsid w:val="00D0106E"/>
    <w:rsid w:val="00D01798"/>
    <w:rsid w:val="00D018F0"/>
    <w:rsid w:val="00D019B7"/>
    <w:rsid w:val="00D01BF2"/>
    <w:rsid w:val="00D033DD"/>
    <w:rsid w:val="00D03800"/>
    <w:rsid w:val="00D0404E"/>
    <w:rsid w:val="00D041E4"/>
    <w:rsid w:val="00D04807"/>
    <w:rsid w:val="00D04822"/>
    <w:rsid w:val="00D050C7"/>
    <w:rsid w:val="00D05607"/>
    <w:rsid w:val="00D06264"/>
    <w:rsid w:val="00D065D3"/>
    <w:rsid w:val="00D06DD6"/>
    <w:rsid w:val="00D075D7"/>
    <w:rsid w:val="00D076D6"/>
    <w:rsid w:val="00D10A6F"/>
    <w:rsid w:val="00D10E88"/>
    <w:rsid w:val="00D11BCD"/>
    <w:rsid w:val="00D135FB"/>
    <w:rsid w:val="00D13F0F"/>
    <w:rsid w:val="00D14775"/>
    <w:rsid w:val="00D14C94"/>
    <w:rsid w:val="00D150D8"/>
    <w:rsid w:val="00D157B5"/>
    <w:rsid w:val="00D15A13"/>
    <w:rsid w:val="00D15B8D"/>
    <w:rsid w:val="00D21151"/>
    <w:rsid w:val="00D21295"/>
    <w:rsid w:val="00D21AA4"/>
    <w:rsid w:val="00D224D3"/>
    <w:rsid w:val="00D2288E"/>
    <w:rsid w:val="00D2315D"/>
    <w:rsid w:val="00D23CEA"/>
    <w:rsid w:val="00D23D87"/>
    <w:rsid w:val="00D24A11"/>
    <w:rsid w:val="00D25453"/>
    <w:rsid w:val="00D25962"/>
    <w:rsid w:val="00D25D64"/>
    <w:rsid w:val="00D26388"/>
    <w:rsid w:val="00D2674B"/>
    <w:rsid w:val="00D26CBF"/>
    <w:rsid w:val="00D30136"/>
    <w:rsid w:val="00D30326"/>
    <w:rsid w:val="00D312DE"/>
    <w:rsid w:val="00D3132E"/>
    <w:rsid w:val="00D31ACF"/>
    <w:rsid w:val="00D31CDE"/>
    <w:rsid w:val="00D323AA"/>
    <w:rsid w:val="00D330CC"/>
    <w:rsid w:val="00D330DB"/>
    <w:rsid w:val="00D342A6"/>
    <w:rsid w:val="00D34465"/>
    <w:rsid w:val="00D34B67"/>
    <w:rsid w:val="00D352C5"/>
    <w:rsid w:val="00D36F17"/>
    <w:rsid w:val="00D372A4"/>
    <w:rsid w:val="00D3759C"/>
    <w:rsid w:val="00D37A2E"/>
    <w:rsid w:val="00D37CBB"/>
    <w:rsid w:val="00D40739"/>
    <w:rsid w:val="00D418EA"/>
    <w:rsid w:val="00D419E0"/>
    <w:rsid w:val="00D424D5"/>
    <w:rsid w:val="00D435DF"/>
    <w:rsid w:val="00D4363E"/>
    <w:rsid w:val="00D444EF"/>
    <w:rsid w:val="00D45361"/>
    <w:rsid w:val="00D4560F"/>
    <w:rsid w:val="00D45783"/>
    <w:rsid w:val="00D45C90"/>
    <w:rsid w:val="00D464BF"/>
    <w:rsid w:val="00D46F08"/>
    <w:rsid w:val="00D473D8"/>
    <w:rsid w:val="00D47B51"/>
    <w:rsid w:val="00D47F76"/>
    <w:rsid w:val="00D50184"/>
    <w:rsid w:val="00D50480"/>
    <w:rsid w:val="00D50999"/>
    <w:rsid w:val="00D51238"/>
    <w:rsid w:val="00D5176D"/>
    <w:rsid w:val="00D520CB"/>
    <w:rsid w:val="00D524A1"/>
    <w:rsid w:val="00D52C8C"/>
    <w:rsid w:val="00D531BE"/>
    <w:rsid w:val="00D538BA"/>
    <w:rsid w:val="00D53E26"/>
    <w:rsid w:val="00D54009"/>
    <w:rsid w:val="00D54DAE"/>
    <w:rsid w:val="00D54F80"/>
    <w:rsid w:val="00D551B8"/>
    <w:rsid w:val="00D5524B"/>
    <w:rsid w:val="00D56179"/>
    <w:rsid w:val="00D563AD"/>
    <w:rsid w:val="00D56880"/>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5AD"/>
    <w:rsid w:val="00D66AF7"/>
    <w:rsid w:val="00D66E2F"/>
    <w:rsid w:val="00D67482"/>
    <w:rsid w:val="00D674C4"/>
    <w:rsid w:val="00D67E4F"/>
    <w:rsid w:val="00D7076C"/>
    <w:rsid w:val="00D7178C"/>
    <w:rsid w:val="00D71A0F"/>
    <w:rsid w:val="00D71CD9"/>
    <w:rsid w:val="00D72F94"/>
    <w:rsid w:val="00D733CA"/>
    <w:rsid w:val="00D74A89"/>
    <w:rsid w:val="00D74CDB"/>
    <w:rsid w:val="00D76739"/>
    <w:rsid w:val="00D76FED"/>
    <w:rsid w:val="00D771CC"/>
    <w:rsid w:val="00D7739C"/>
    <w:rsid w:val="00D777B8"/>
    <w:rsid w:val="00D77923"/>
    <w:rsid w:val="00D77FA6"/>
    <w:rsid w:val="00D8105C"/>
    <w:rsid w:val="00D81DCB"/>
    <w:rsid w:val="00D82C30"/>
    <w:rsid w:val="00D82FE0"/>
    <w:rsid w:val="00D835FD"/>
    <w:rsid w:val="00D83EA2"/>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4249"/>
    <w:rsid w:val="00D94ADF"/>
    <w:rsid w:val="00D950FB"/>
    <w:rsid w:val="00D951B7"/>
    <w:rsid w:val="00D95533"/>
    <w:rsid w:val="00D969CA"/>
    <w:rsid w:val="00D9723C"/>
    <w:rsid w:val="00DA0241"/>
    <w:rsid w:val="00DA051D"/>
    <w:rsid w:val="00DA0C3F"/>
    <w:rsid w:val="00DA2C4C"/>
    <w:rsid w:val="00DA2FF4"/>
    <w:rsid w:val="00DA3295"/>
    <w:rsid w:val="00DA34BD"/>
    <w:rsid w:val="00DA380E"/>
    <w:rsid w:val="00DA3A60"/>
    <w:rsid w:val="00DA466C"/>
    <w:rsid w:val="00DA4A0E"/>
    <w:rsid w:val="00DA4CF8"/>
    <w:rsid w:val="00DA4DD7"/>
    <w:rsid w:val="00DA52BD"/>
    <w:rsid w:val="00DA565E"/>
    <w:rsid w:val="00DA5909"/>
    <w:rsid w:val="00DA6280"/>
    <w:rsid w:val="00DA6EB2"/>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4F"/>
    <w:rsid w:val="00DC20B0"/>
    <w:rsid w:val="00DC2181"/>
    <w:rsid w:val="00DC350B"/>
    <w:rsid w:val="00DC364A"/>
    <w:rsid w:val="00DC383C"/>
    <w:rsid w:val="00DC542E"/>
    <w:rsid w:val="00DC5AA6"/>
    <w:rsid w:val="00DC5C29"/>
    <w:rsid w:val="00DC6B5C"/>
    <w:rsid w:val="00DC6F2A"/>
    <w:rsid w:val="00DC720D"/>
    <w:rsid w:val="00DD01E5"/>
    <w:rsid w:val="00DD0B66"/>
    <w:rsid w:val="00DD10E4"/>
    <w:rsid w:val="00DD1471"/>
    <w:rsid w:val="00DD273A"/>
    <w:rsid w:val="00DD2C10"/>
    <w:rsid w:val="00DD2F13"/>
    <w:rsid w:val="00DD485D"/>
    <w:rsid w:val="00DD486D"/>
    <w:rsid w:val="00DD4BFF"/>
    <w:rsid w:val="00DD4C3C"/>
    <w:rsid w:val="00DD4CE3"/>
    <w:rsid w:val="00DD4F0E"/>
    <w:rsid w:val="00DD7A13"/>
    <w:rsid w:val="00DE0B40"/>
    <w:rsid w:val="00DE17E4"/>
    <w:rsid w:val="00DE3053"/>
    <w:rsid w:val="00DE3142"/>
    <w:rsid w:val="00DE4608"/>
    <w:rsid w:val="00DE47B1"/>
    <w:rsid w:val="00DE4CD8"/>
    <w:rsid w:val="00DE4E24"/>
    <w:rsid w:val="00DE56B8"/>
    <w:rsid w:val="00DE596A"/>
    <w:rsid w:val="00DE5D06"/>
    <w:rsid w:val="00DE65D5"/>
    <w:rsid w:val="00DE69F8"/>
    <w:rsid w:val="00DE7955"/>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78F"/>
    <w:rsid w:val="00DF39E6"/>
    <w:rsid w:val="00DF4535"/>
    <w:rsid w:val="00DF5684"/>
    <w:rsid w:val="00DF5859"/>
    <w:rsid w:val="00DF5A56"/>
    <w:rsid w:val="00DF5FAD"/>
    <w:rsid w:val="00DF69F5"/>
    <w:rsid w:val="00DF6EFF"/>
    <w:rsid w:val="00DF7511"/>
    <w:rsid w:val="00DF7AA8"/>
    <w:rsid w:val="00DF7E7A"/>
    <w:rsid w:val="00E002CC"/>
    <w:rsid w:val="00E0079F"/>
    <w:rsid w:val="00E00A9E"/>
    <w:rsid w:val="00E00C01"/>
    <w:rsid w:val="00E01249"/>
    <w:rsid w:val="00E01408"/>
    <w:rsid w:val="00E014EA"/>
    <w:rsid w:val="00E01F0B"/>
    <w:rsid w:val="00E02964"/>
    <w:rsid w:val="00E03227"/>
    <w:rsid w:val="00E034A7"/>
    <w:rsid w:val="00E03DB3"/>
    <w:rsid w:val="00E03F73"/>
    <w:rsid w:val="00E04BCC"/>
    <w:rsid w:val="00E054DF"/>
    <w:rsid w:val="00E0579F"/>
    <w:rsid w:val="00E05B53"/>
    <w:rsid w:val="00E05E0A"/>
    <w:rsid w:val="00E05FB4"/>
    <w:rsid w:val="00E0638D"/>
    <w:rsid w:val="00E0680F"/>
    <w:rsid w:val="00E101AA"/>
    <w:rsid w:val="00E10F4B"/>
    <w:rsid w:val="00E118CD"/>
    <w:rsid w:val="00E11A4F"/>
    <w:rsid w:val="00E11CE7"/>
    <w:rsid w:val="00E11F70"/>
    <w:rsid w:val="00E12083"/>
    <w:rsid w:val="00E13B60"/>
    <w:rsid w:val="00E13CB9"/>
    <w:rsid w:val="00E13F66"/>
    <w:rsid w:val="00E143C4"/>
    <w:rsid w:val="00E15277"/>
    <w:rsid w:val="00E15284"/>
    <w:rsid w:val="00E15628"/>
    <w:rsid w:val="00E156FE"/>
    <w:rsid w:val="00E15DAC"/>
    <w:rsid w:val="00E160B1"/>
    <w:rsid w:val="00E162A4"/>
    <w:rsid w:val="00E164E4"/>
    <w:rsid w:val="00E17502"/>
    <w:rsid w:val="00E17B31"/>
    <w:rsid w:val="00E17D4D"/>
    <w:rsid w:val="00E2018B"/>
    <w:rsid w:val="00E21D6A"/>
    <w:rsid w:val="00E21EBB"/>
    <w:rsid w:val="00E221A2"/>
    <w:rsid w:val="00E22328"/>
    <w:rsid w:val="00E22707"/>
    <w:rsid w:val="00E23419"/>
    <w:rsid w:val="00E23A82"/>
    <w:rsid w:val="00E24607"/>
    <w:rsid w:val="00E26F47"/>
    <w:rsid w:val="00E27AEE"/>
    <w:rsid w:val="00E27B1D"/>
    <w:rsid w:val="00E27F6E"/>
    <w:rsid w:val="00E306FA"/>
    <w:rsid w:val="00E3085D"/>
    <w:rsid w:val="00E31239"/>
    <w:rsid w:val="00E32E92"/>
    <w:rsid w:val="00E3357D"/>
    <w:rsid w:val="00E340DF"/>
    <w:rsid w:val="00E3437A"/>
    <w:rsid w:val="00E35D5A"/>
    <w:rsid w:val="00E36CBF"/>
    <w:rsid w:val="00E36F20"/>
    <w:rsid w:val="00E37499"/>
    <w:rsid w:val="00E37F7A"/>
    <w:rsid w:val="00E403BF"/>
    <w:rsid w:val="00E40696"/>
    <w:rsid w:val="00E406B0"/>
    <w:rsid w:val="00E40C86"/>
    <w:rsid w:val="00E40F00"/>
    <w:rsid w:val="00E41ADE"/>
    <w:rsid w:val="00E41C43"/>
    <w:rsid w:val="00E42680"/>
    <w:rsid w:val="00E42B55"/>
    <w:rsid w:val="00E42CB6"/>
    <w:rsid w:val="00E430C4"/>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EE"/>
    <w:rsid w:val="00E5335D"/>
    <w:rsid w:val="00E534CF"/>
    <w:rsid w:val="00E53B82"/>
    <w:rsid w:val="00E53C15"/>
    <w:rsid w:val="00E5407D"/>
    <w:rsid w:val="00E54B15"/>
    <w:rsid w:val="00E55041"/>
    <w:rsid w:val="00E55FE8"/>
    <w:rsid w:val="00E562AA"/>
    <w:rsid w:val="00E57393"/>
    <w:rsid w:val="00E604EE"/>
    <w:rsid w:val="00E60EBB"/>
    <w:rsid w:val="00E6127F"/>
    <w:rsid w:val="00E618AC"/>
    <w:rsid w:val="00E61CF9"/>
    <w:rsid w:val="00E6234C"/>
    <w:rsid w:val="00E62EE4"/>
    <w:rsid w:val="00E63061"/>
    <w:rsid w:val="00E631DA"/>
    <w:rsid w:val="00E632E0"/>
    <w:rsid w:val="00E635AC"/>
    <w:rsid w:val="00E637F6"/>
    <w:rsid w:val="00E63A17"/>
    <w:rsid w:val="00E64D91"/>
    <w:rsid w:val="00E66DD9"/>
    <w:rsid w:val="00E67019"/>
    <w:rsid w:val="00E678E3"/>
    <w:rsid w:val="00E70217"/>
    <w:rsid w:val="00E70312"/>
    <w:rsid w:val="00E70FAD"/>
    <w:rsid w:val="00E7111E"/>
    <w:rsid w:val="00E711DB"/>
    <w:rsid w:val="00E71EB4"/>
    <w:rsid w:val="00E71EFF"/>
    <w:rsid w:val="00E72537"/>
    <w:rsid w:val="00E7258C"/>
    <w:rsid w:val="00E72F46"/>
    <w:rsid w:val="00E73114"/>
    <w:rsid w:val="00E73633"/>
    <w:rsid w:val="00E7424A"/>
    <w:rsid w:val="00E74844"/>
    <w:rsid w:val="00E74D67"/>
    <w:rsid w:val="00E74E7D"/>
    <w:rsid w:val="00E7509E"/>
    <w:rsid w:val="00E75184"/>
    <w:rsid w:val="00E75220"/>
    <w:rsid w:val="00E75463"/>
    <w:rsid w:val="00E75484"/>
    <w:rsid w:val="00E75B01"/>
    <w:rsid w:val="00E764DD"/>
    <w:rsid w:val="00E76CDC"/>
    <w:rsid w:val="00E76ECB"/>
    <w:rsid w:val="00E77B66"/>
    <w:rsid w:val="00E8067A"/>
    <w:rsid w:val="00E80927"/>
    <w:rsid w:val="00E80DA7"/>
    <w:rsid w:val="00E812BF"/>
    <w:rsid w:val="00E817C3"/>
    <w:rsid w:val="00E81CB4"/>
    <w:rsid w:val="00E82A8B"/>
    <w:rsid w:val="00E83147"/>
    <w:rsid w:val="00E840E1"/>
    <w:rsid w:val="00E849BA"/>
    <w:rsid w:val="00E84FD2"/>
    <w:rsid w:val="00E851AD"/>
    <w:rsid w:val="00E85679"/>
    <w:rsid w:val="00E8585B"/>
    <w:rsid w:val="00E85CE0"/>
    <w:rsid w:val="00E85E59"/>
    <w:rsid w:val="00E8713A"/>
    <w:rsid w:val="00E87BC1"/>
    <w:rsid w:val="00E87F6A"/>
    <w:rsid w:val="00E9061E"/>
    <w:rsid w:val="00E90955"/>
    <w:rsid w:val="00E9264A"/>
    <w:rsid w:val="00E93C5E"/>
    <w:rsid w:val="00E93CCA"/>
    <w:rsid w:val="00E93EB3"/>
    <w:rsid w:val="00E93FB3"/>
    <w:rsid w:val="00E94BA9"/>
    <w:rsid w:val="00E9503E"/>
    <w:rsid w:val="00E9574D"/>
    <w:rsid w:val="00E96017"/>
    <w:rsid w:val="00E9650B"/>
    <w:rsid w:val="00E9684B"/>
    <w:rsid w:val="00E96874"/>
    <w:rsid w:val="00E97099"/>
    <w:rsid w:val="00E97CB0"/>
    <w:rsid w:val="00EA0849"/>
    <w:rsid w:val="00EA14C7"/>
    <w:rsid w:val="00EA202F"/>
    <w:rsid w:val="00EA28FF"/>
    <w:rsid w:val="00EA30EB"/>
    <w:rsid w:val="00EA372B"/>
    <w:rsid w:val="00EA3C94"/>
    <w:rsid w:val="00EA3F15"/>
    <w:rsid w:val="00EA3F81"/>
    <w:rsid w:val="00EA52EF"/>
    <w:rsid w:val="00EA59DF"/>
    <w:rsid w:val="00EA5FBC"/>
    <w:rsid w:val="00EA6384"/>
    <w:rsid w:val="00EA6385"/>
    <w:rsid w:val="00EA64F9"/>
    <w:rsid w:val="00EA7847"/>
    <w:rsid w:val="00EA7FB7"/>
    <w:rsid w:val="00EB005E"/>
    <w:rsid w:val="00EB0F2E"/>
    <w:rsid w:val="00EB0F69"/>
    <w:rsid w:val="00EB0F94"/>
    <w:rsid w:val="00EB180D"/>
    <w:rsid w:val="00EB1C8E"/>
    <w:rsid w:val="00EB2144"/>
    <w:rsid w:val="00EB2359"/>
    <w:rsid w:val="00EB2884"/>
    <w:rsid w:val="00EB290B"/>
    <w:rsid w:val="00EB298E"/>
    <w:rsid w:val="00EB2BFD"/>
    <w:rsid w:val="00EB2F1D"/>
    <w:rsid w:val="00EB382D"/>
    <w:rsid w:val="00EB449D"/>
    <w:rsid w:val="00EB463A"/>
    <w:rsid w:val="00EB512D"/>
    <w:rsid w:val="00EB5E91"/>
    <w:rsid w:val="00EB623F"/>
    <w:rsid w:val="00EB62D8"/>
    <w:rsid w:val="00EB6B3E"/>
    <w:rsid w:val="00EB6D3E"/>
    <w:rsid w:val="00EB6DC4"/>
    <w:rsid w:val="00EB6EC3"/>
    <w:rsid w:val="00EB7721"/>
    <w:rsid w:val="00EC0664"/>
    <w:rsid w:val="00EC081A"/>
    <w:rsid w:val="00EC0893"/>
    <w:rsid w:val="00EC090A"/>
    <w:rsid w:val="00EC0BD6"/>
    <w:rsid w:val="00EC0D1F"/>
    <w:rsid w:val="00EC0D38"/>
    <w:rsid w:val="00EC19F3"/>
    <w:rsid w:val="00EC1B4D"/>
    <w:rsid w:val="00EC1B50"/>
    <w:rsid w:val="00EC1D4D"/>
    <w:rsid w:val="00EC2796"/>
    <w:rsid w:val="00EC3714"/>
    <w:rsid w:val="00EC4B96"/>
    <w:rsid w:val="00EC564B"/>
    <w:rsid w:val="00EC62C4"/>
    <w:rsid w:val="00EC71E4"/>
    <w:rsid w:val="00EC7775"/>
    <w:rsid w:val="00ED0102"/>
    <w:rsid w:val="00ED0822"/>
    <w:rsid w:val="00ED0A4C"/>
    <w:rsid w:val="00ED0EE2"/>
    <w:rsid w:val="00ED1DFF"/>
    <w:rsid w:val="00ED28C9"/>
    <w:rsid w:val="00ED2A1C"/>
    <w:rsid w:val="00ED3EA2"/>
    <w:rsid w:val="00ED4147"/>
    <w:rsid w:val="00ED45AC"/>
    <w:rsid w:val="00ED4D14"/>
    <w:rsid w:val="00ED4EB3"/>
    <w:rsid w:val="00ED51A0"/>
    <w:rsid w:val="00ED54C8"/>
    <w:rsid w:val="00ED63A2"/>
    <w:rsid w:val="00ED7166"/>
    <w:rsid w:val="00ED7610"/>
    <w:rsid w:val="00EE014D"/>
    <w:rsid w:val="00EE058F"/>
    <w:rsid w:val="00EE0793"/>
    <w:rsid w:val="00EE0E6E"/>
    <w:rsid w:val="00EE1002"/>
    <w:rsid w:val="00EE11A5"/>
    <w:rsid w:val="00EE2E6D"/>
    <w:rsid w:val="00EE2E6E"/>
    <w:rsid w:val="00EE2F3A"/>
    <w:rsid w:val="00EE3106"/>
    <w:rsid w:val="00EE3A47"/>
    <w:rsid w:val="00EE3B42"/>
    <w:rsid w:val="00EE422D"/>
    <w:rsid w:val="00EE49E1"/>
    <w:rsid w:val="00EE4BDB"/>
    <w:rsid w:val="00EE5298"/>
    <w:rsid w:val="00EE594F"/>
    <w:rsid w:val="00EE59D3"/>
    <w:rsid w:val="00EE5CB9"/>
    <w:rsid w:val="00EE5F7D"/>
    <w:rsid w:val="00EE6C8A"/>
    <w:rsid w:val="00EE6E20"/>
    <w:rsid w:val="00EE71CE"/>
    <w:rsid w:val="00EE77C5"/>
    <w:rsid w:val="00EE7BF4"/>
    <w:rsid w:val="00EE7D8A"/>
    <w:rsid w:val="00EF0942"/>
    <w:rsid w:val="00EF0A19"/>
    <w:rsid w:val="00EF0C4F"/>
    <w:rsid w:val="00EF0E52"/>
    <w:rsid w:val="00EF10AD"/>
    <w:rsid w:val="00EF1B32"/>
    <w:rsid w:val="00EF2031"/>
    <w:rsid w:val="00EF297F"/>
    <w:rsid w:val="00EF2A9E"/>
    <w:rsid w:val="00EF2BFF"/>
    <w:rsid w:val="00EF32C0"/>
    <w:rsid w:val="00EF330F"/>
    <w:rsid w:val="00EF339E"/>
    <w:rsid w:val="00EF3921"/>
    <w:rsid w:val="00EF4B93"/>
    <w:rsid w:val="00EF63CE"/>
    <w:rsid w:val="00EF6591"/>
    <w:rsid w:val="00EF7019"/>
    <w:rsid w:val="00EF773E"/>
    <w:rsid w:val="00EF7B4F"/>
    <w:rsid w:val="00EF7F92"/>
    <w:rsid w:val="00F001F2"/>
    <w:rsid w:val="00F01068"/>
    <w:rsid w:val="00F011F8"/>
    <w:rsid w:val="00F01431"/>
    <w:rsid w:val="00F017CD"/>
    <w:rsid w:val="00F01806"/>
    <w:rsid w:val="00F01B61"/>
    <w:rsid w:val="00F01F7C"/>
    <w:rsid w:val="00F04455"/>
    <w:rsid w:val="00F044EB"/>
    <w:rsid w:val="00F0501D"/>
    <w:rsid w:val="00F05FD5"/>
    <w:rsid w:val="00F0631F"/>
    <w:rsid w:val="00F066E9"/>
    <w:rsid w:val="00F06BD0"/>
    <w:rsid w:val="00F0759E"/>
    <w:rsid w:val="00F075A1"/>
    <w:rsid w:val="00F07E4D"/>
    <w:rsid w:val="00F10203"/>
    <w:rsid w:val="00F10644"/>
    <w:rsid w:val="00F10E43"/>
    <w:rsid w:val="00F10F88"/>
    <w:rsid w:val="00F124AE"/>
    <w:rsid w:val="00F13554"/>
    <w:rsid w:val="00F13FC5"/>
    <w:rsid w:val="00F143DE"/>
    <w:rsid w:val="00F14C6D"/>
    <w:rsid w:val="00F15075"/>
    <w:rsid w:val="00F15208"/>
    <w:rsid w:val="00F158EE"/>
    <w:rsid w:val="00F158F4"/>
    <w:rsid w:val="00F16034"/>
    <w:rsid w:val="00F1649D"/>
    <w:rsid w:val="00F16C18"/>
    <w:rsid w:val="00F16E1A"/>
    <w:rsid w:val="00F170CC"/>
    <w:rsid w:val="00F171E1"/>
    <w:rsid w:val="00F1720B"/>
    <w:rsid w:val="00F1742C"/>
    <w:rsid w:val="00F17C1E"/>
    <w:rsid w:val="00F17D9D"/>
    <w:rsid w:val="00F210D7"/>
    <w:rsid w:val="00F2158F"/>
    <w:rsid w:val="00F22145"/>
    <w:rsid w:val="00F2233E"/>
    <w:rsid w:val="00F22540"/>
    <w:rsid w:val="00F2274A"/>
    <w:rsid w:val="00F229F4"/>
    <w:rsid w:val="00F22B5C"/>
    <w:rsid w:val="00F22B84"/>
    <w:rsid w:val="00F2329B"/>
    <w:rsid w:val="00F23351"/>
    <w:rsid w:val="00F23E17"/>
    <w:rsid w:val="00F2457C"/>
    <w:rsid w:val="00F24931"/>
    <w:rsid w:val="00F24FFB"/>
    <w:rsid w:val="00F25771"/>
    <w:rsid w:val="00F263F8"/>
    <w:rsid w:val="00F270AF"/>
    <w:rsid w:val="00F27665"/>
    <w:rsid w:val="00F27729"/>
    <w:rsid w:val="00F27F24"/>
    <w:rsid w:val="00F306A1"/>
    <w:rsid w:val="00F30B18"/>
    <w:rsid w:val="00F31266"/>
    <w:rsid w:val="00F31642"/>
    <w:rsid w:val="00F31679"/>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6953"/>
    <w:rsid w:val="00F37175"/>
    <w:rsid w:val="00F37B32"/>
    <w:rsid w:val="00F41373"/>
    <w:rsid w:val="00F42CBD"/>
    <w:rsid w:val="00F432E6"/>
    <w:rsid w:val="00F43858"/>
    <w:rsid w:val="00F43CA8"/>
    <w:rsid w:val="00F4514D"/>
    <w:rsid w:val="00F4540C"/>
    <w:rsid w:val="00F459E6"/>
    <w:rsid w:val="00F460A2"/>
    <w:rsid w:val="00F4627D"/>
    <w:rsid w:val="00F465C5"/>
    <w:rsid w:val="00F479D3"/>
    <w:rsid w:val="00F47F06"/>
    <w:rsid w:val="00F505B2"/>
    <w:rsid w:val="00F50683"/>
    <w:rsid w:val="00F50FAE"/>
    <w:rsid w:val="00F51347"/>
    <w:rsid w:val="00F513F0"/>
    <w:rsid w:val="00F51E2E"/>
    <w:rsid w:val="00F52C1D"/>
    <w:rsid w:val="00F52F1F"/>
    <w:rsid w:val="00F53D77"/>
    <w:rsid w:val="00F545FE"/>
    <w:rsid w:val="00F54E82"/>
    <w:rsid w:val="00F55D66"/>
    <w:rsid w:val="00F55DA9"/>
    <w:rsid w:val="00F55FD5"/>
    <w:rsid w:val="00F5619A"/>
    <w:rsid w:val="00F566AA"/>
    <w:rsid w:val="00F5678C"/>
    <w:rsid w:val="00F569FD"/>
    <w:rsid w:val="00F57245"/>
    <w:rsid w:val="00F572C5"/>
    <w:rsid w:val="00F578B6"/>
    <w:rsid w:val="00F61F7D"/>
    <w:rsid w:val="00F621DA"/>
    <w:rsid w:val="00F62312"/>
    <w:rsid w:val="00F62459"/>
    <w:rsid w:val="00F62791"/>
    <w:rsid w:val="00F62ECE"/>
    <w:rsid w:val="00F633BD"/>
    <w:rsid w:val="00F634AC"/>
    <w:rsid w:val="00F64113"/>
    <w:rsid w:val="00F645E4"/>
    <w:rsid w:val="00F64E17"/>
    <w:rsid w:val="00F650D7"/>
    <w:rsid w:val="00F651E9"/>
    <w:rsid w:val="00F652B9"/>
    <w:rsid w:val="00F66696"/>
    <w:rsid w:val="00F669AB"/>
    <w:rsid w:val="00F66A2C"/>
    <w:rsid w:val="00F66B49"/>
    <w:rsid w:val="00F66D76"/>
    <w:rsid w:val="00F66E9F"/>
    <w:rsid w:val="00F671ED"/>
    <w:rsid w:val="00F700DD"/>
    <w:rsid w:val="00F70252"/>
    <w:rsid w:val="00F707B3"/>
    <w:rsid w:val="00F70D52"/>
    <w:rsid w:val="00F712A7"/>
    <w:rsid w:val="00F7159B"/>
    <w:rsid w:val="00F718F3"/>
    <w:rsid w:val="00F719A8"/>
    <w:rsid w:val="00F71C6E"/>
    <w:rsid w:val="00F71CBA"/>
    <w:rsid w:val="00F71E33"/>
    <w:rsid w:val="00F72311"/>
    <w:rsid w:val="00F72719"/>
    <w:rsid w:val="00F72BA7"/>
    <w:rsid w:val="00F72C2E"/>
    <w:rsid w:val="00F736B6"/>
    <w:rsid w:val="00F742A8"/>
    <w:rsid w:val="00F752C1"/>
    <w:rsid w:val="00F7590A"/>
    <w:rsid w:val="00F75BC2"/>
    <w:rsid w:val="00F76456"/>
    <w:rsid w:val="00F7664E"/>
    <w:rsid w:val="00F76F67"/>
    <w:rsid w:val="00F778C7"/>
    <w:rsid w:val="00F779E7"/>
    <w:rsid w:val="00F77BED"/>
    <w:rsid w:val="00F80E5F"/>
    <w:rsid w:val="00F81167"/>
    <w:rsid w:val="00F8145D"/>
    <w:rsid w:val="00F81D35"/>
    <w:rsid w:val="00F81D80"/>
    <w:rsid w:val="00F82194"/>
    <w:rsid w:val="00F821A3"/>
    <w:rsid w:val="00F82FD1"/>
    <w:rsid w:val="00F830E9"/>
    <w:rsid w:val="00F84069"/>
    <w:rsid w:val="00F841B2"/>
    <w:rsid w:val="00F84267"/>
    <w:rsid w:val="00F84834"/>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46"/>
    <w:rsid w:val="00F9088F"/>
    <w:rsid w:val="00F913DF"/>
    <w:rsid w:val="00F9164E"/>
    <w:rsid w:val="00F92C12"/>
    <w:rsid w:val="00F9314A"/>
    <w:rsid w:val="00F935FB"/>
    <w:rsid w:val="00F9373E"/>
    <w:rsid w:val="00F94AAA"/>
    <w:rsid w:val="00F94BAD"/>
    <w:rsid w:val="00F950F2"/>
    <w:rsid w:val="00F955C3"/>
    <w:rsid w:val="00F957D8"/>
    <w:rsid w:val="00F95F39"/>
    <w:rsid w:val="00F96BB5"/>
    <w:rsid w:val="00F97F25"/>
    <w:rsid w:val="00FA0F9A"/>
    <w:rsid w:val="00FA1171"/>
    <w:rsid w:val="00FA136C"/>
    <w:rsid w:val="00FA15A0"/>
    <w:rsid w:val="00FA1A8B"/>
    <w:rsid w:val="00FA2188"/>
    <w:rsid w:val="00FA2D26"/>
    <w:rsid w:val="00FA2E4E"/>
    <w:rsid w:val="00FA310D"/>
    <w:rsid w:val="00FA31C4"/>
    <w:rsid w:val="00FA32F3"/>
    <w:rsid w:val="00FA34B4"/>
    <w:rsid w:val="00FA3594"/>
    <w:rsid w:val="00FA42C7"/>
    <w:rsid w:val="00FA5679"/>
    <w:rsid w:val="00FA6276"/>
    <w:rsid w:val="00FA7D90"/>
    <w:rsid w:val="00FB0085"/>
    <w:rsid w:val="00FB0C1A"/>
    <w:rsid w:val="00FB0EE9"/>
    <w:rsid w:val="00FB1146"/>
    <w:rsid w:val="00FB1299"/>
    <w:rsid w:val="00FB1437"/>
    <w:rsid w:val="00FB153A"/>
    <w:rsid w:val="00FB1546"/>
    <w:rsid w:val="00FB1F56"/>
    <w:rsid w:val="00FB2114"/>
    <w:rsid w:val="00FB2E67"/>
    <w:rsid w:val="00FB37B7"/>
    <w:rsid w:val="00FB47BD"/>
    <w:rsid w:val="00FB4B5A"/>
    <w:rsid w:val="00FB4BD0"/>
    <w:rsid w:val="00FB5666"/>
    <w:rsid w:val="00FB57F3"/>
    <w:rsid w:val="00FB5F17"/>
    <w:rsid w:val="00FB63CC"/>
    <w:rsid w:val="00FB643F"/>
    <w:rsid w:val="00FB6677"/>
    <w:rsid w:val="00FB7323"/>
    <w:rsid w:val="00FC00C1"/>
    <w:rsid w:val="00FC0120"/>
    <w:rsid w:val="00FC0171"/>
    <w:rsid w:val="00FC02FB"/>
    <w:rsid w:val="00FC0C9B"/>
    <w:rsid w:val="00FC14E0"/>
    <w:rsid w:val="00FC1531"/>
    <w:rsid w:val="00FC1AB3"/>
    <w:rsid w:val="00FC1D20"/>
    <w:rsid w:val="00FC1ED8"/>
    <w:rsid w:val="00FC213E"/>
    <w:rsid w:val="00FC2A06"/>
    <w:rsid w:val="00FC33A7"/>
    <w:rsid w:val="00FC3897"/>
    <w:rsid w:val="00FC45FF"/>
    <w:rsid w:val="00FC4840"/>
    <w:rsid w:val="00FC50E8"/>
    <w:rsid w:val="00FC58EF"/>
    <w:rsid w:val="00FC60B4"/>
    <w:rsid w:val="00FC614C"/>
    <w:rsid w:val="00FC6B86"/>
    <w:rsid w:val="00FC6CB9"/>
    <w:rsid w:val="00FC6FBD"/>
    <w:rsid w:val="00FC7069"/>
    <w:rsid w:val="00FC7356"/>
    <w:rsid w:val="00FC7F4F"/>
    <w:rsid w:val="00FD0468"/>
    <w:rsid w:val="00FD0766"/>
    <w:rsid w:val="00FD0C39"/>
    <w:rsid w:val="00FD1C22"/>
    <w:rsid w:val="00FD33DF"/>
    <w:rsid w:val="00FD392A"/>
    <w:rsid w:val="00FD4319"/>
    <w:rsid w:val="00FD43AF"/>
    <w:rsid w:val="00FD4523"/>
    <w:rsid w:val="00FD4BC8"/>
    <w:rsid w:val="00FD4BD4"/>
    <w:rsid w:val="00FD5191"/>
    <w:rsid w:val="00FD5B78"/>
    <w:rsid w:val="00FD68B0"/>
    <w:rsid w:val="00FD6FD5"/>
    <w:rsid w:val="00FD769D"/>
    <w:rsid w:val="00FD7A96"/>
    <w:rsid w:val="00FE00C6"/>
    <w:rsid w:val="00FE038E"/>
    <w:rsid w:val="00FE0DC5"/>
    <w:rsid w:val="00FE1C4C"/>
    <w:rsid w:val="00FE1FE5"/>
    <w:rsid w:val="00FE277E"/>
    <w:rsid w:val="00FE39D7"/>
    <w:rsid w:val="00FE3EA7"/>
    <w:rsid w:val="00FE43B3"/>
    <w:rsid w:val="00FE48A9"/>
    <w:rsid w:val="00FE5037"/>
    <w:rsid w:val="00FE59E2"/>
    <w:rsid w:val="00FE5D5D"/>
    <w:rsid w:val="00FE6E46"/>
    <w:rsid w:val="00FF03A0"/>
    <w:rsid w:val="00FF0AD3"/>
    <w:rsid w:val="00FF0B25"/>
    <w:rsid w:val="00FF158F"/>
    <w:rsid w:val="00FF19A3"/>
    <w:rsid w:val="00FF19B6"/>
    <w:rsid w:val="00FF26F4"/>
    <w:rsid w:val="00FF3285"/>
    <w:rsid w:val="00FF3651"/>
    <w:rsid w:val="00FF37D3"/>
    <w:rsid w:val="00FF3EAD"/>
    <w:rsid w:val="00FF4670"/>
    <w:rsid w:val="00FF46DF"/>
    <w:rsid w:val="00FF4F3F"/>
    <w:rsid w:val="00FF50A9"/>
    <w:rsid w:val="00FF6855"/>
    <w:rsid w:val="00FF6BE9"/>
    <w:rsid w:val="00FF7673"/>
    <w:rsid w:val="00FF795D"/>
    <w:rsid w:val="00FF7F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C4BA30FF-E9C4-4657-BE1A-9802D8D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uiPriority w:val="99"/>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paragraph" w:styleId="Sangra2detindependiente">
    <w:name w:val="Body Text Indent 2"/>
    <w:basedOn w:val="Normal"/>
    <w:link w:val="Sangra2detindependienteCar"/>
    <w:uiPriority w:val="99"/>
    <w:semiHidden/>
    <w:unhideWhenUsed/>
    <w:rsid w:val="006F451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F451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803038508">
      <w:bodyDiv w:val="1"/>
      <w:marLeft w:val="0"/>
      <w:marRight w:val="0"/>
      <w:marTop w:val="0"/>
      <w:marBottom w:val="0"/>
      <w:divBdr>
        <w:top w:val="none" w:sz="0" w:space="0" w:color="auto"/>
        <w:left w:val="none" w:sz="0" w:space="0" w:color="auto"/>
        <w:bottom w:val="none" w:sz="0" w:space="0" w:color="auto"/>
        <w:right w:val="none" w:sz="0" w:space="0" w:color="auto"/>
      </w:divBdr>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227D-AFC7-425A-AFB5-14A8DE5B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15</Pages>
  <Words>5091</Words>
  <Characters>28003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2016-09-01T14:46:00Z</cp:lastPrinted>
  <dcterms:created xsi:type="dcterms:W3CDTF">2016-09-13T15:34:00Z</dcterms:created>
  <dcterms:modified xsi:type="dcterms:W3CDTF">2016-09-13T15:34:00Z</dcterms:modified>
</cp:coreProperties>
</file>