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DBE9" w14:textId="24BF9D28" w:rsidR="00625DC6" w:rsidRPr="006B4647" w:rsidRDefault="00CE62A4" w:rsidP="00132D07">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1026" DrawAspect="Content" ObjectID="_1686732253"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74528ED"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120053C7"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RESOLUCIÓN No</w:t>
      </w:r>
      <w:r w:rsidR="00236F47">
        <w:rPr>
          <w:rFonts w:ascii="Bookman Old Style" w:hAnsi="Bookman Old Style"/>
          <w:sz w:val="24"/>
          <w:szCs w:val="24"/>
        </w:rPr>
        <w:t>.</w:t>
      </w:r>
      <w:r w:rsidRPr="00345B43">
        <w:rPr>
          <w:rFonts w:ascii="Bookman Old Style" w:hAnsi="Bookman Old Style"/>
          <w:sz w:val="24"/>
          <w:szCs w:val="24"/>
        </w:rPr>
        <w:t xml:space="preserve"> </w:t>
      </w:r>
      <w:r w:rsidR="00B13F96" w:rsidRPr="00B13F96">
        <w:rPr>
          <w:rFonts w:ascii="Bookman Old Style" w:hAnsi="Bookman Old Style"/>
          <w:sz w:val="32"/>
          <w:szCs w:val="32"/>
        </w:rPr>
        <w:t>058</w:t>
      </w:r>
      <w:r w:rsidRPr="00345B43">
        <w:rPr>
          <w:rFonts w:ascii="Bookman Old Style" w:hAnsi="Bookman Old Style"/>
          <w:sz w:val="24"/>
          <w:szCs w:val="24"/>
        </w:rPr>
        <w:t xml:space="preserve">    </w:t>
      </w:r>
      <w:r w:rsidRPr="006B4647">
        <w:rPr>
          <w:rFonts w:ascii="Bookman Old Style" w:hAnsi="Bookman Old Style"/>
          <w:sz w:val="24"/>
          <w:szCs w:val="24"/>
        </w:rPr>
        <w:t>DE 20</w:t>
      </w:r>
      <w:r>
        <w:rPr>
          <w:rFonts w:ascii="Bookman Old Style" w:hAnsi="Bookman Old Style"/>
          <w:sz w:val="24"/>
          <w:szCs w:val="24"/>
        </w:rPr>
        <w:t>2</w:t>
      </w:r>
      <w:r w:rsidR="00E10E08">
        <w:rPr>
          <w:rFonts w:ascii="Bookman Old Style" w:hAnsi="Bookman Old Style"/>
          <w:sz w:val="24"/>
          <w:szCs w:val="24"/>
        </w:rPr>
        <w:t>1</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7A727D92" w:rsidR="00B04D7B" w:rsidRPr="006B4647" w:rsidRDefault="00B04D7B" w:rsidP="00B04D7B">
      <w:pPr>
        <w:pStyle w:val="Ttulo3"/>
        <w:tabs>
          <w:tab w:val="left" w:pos="284"/>
          <w:tab w:val="right" w:pos="9356"/>
        </w:tabs>
        <w:ind w:left="0"/>
        <w:rPr>
          <w:rFonts w:ascii="Bookman Old Style" w:hAnsi="Bookman Old Style"/>
          <w:b w:val="0"/>
          <w:szCs w:val="24"/>
        </w:rPr>
      </w:pPr>
      <w:proofErr w:type="gramStart"/>
      <w:r w:rsidRPr="006B4647">
        <w:rPr>
          <w:rFonts w:ascii="Bookman Old Style" w:hAnsi="Bookman Old Style"/>
          <w:b w:val="0"/>
          <w:szCs w:val="24"/>
        </w:rPr>
        <w:t xml:space="preserve">( </w:t>
      </w:r>
      <w:r w:rsidR="00B13F96">
        <w:rPr>
          <w:rFonts w:ascii="Bookman Old Style" w:hAnsi="Bookman Old Style"/>
          <w:b w:val="0"/>
          <w:szCs w:val="24"/>
        </w:rPr>
        <w:t xml:space="preserve"> </w:t>
      </w:r>
      <w:r w:rsidR="00B13F96" w:rsidRPr="00B13F96">
        <w:rPr>
          <w:rFonts w:ascii="Bookman Old Style" w:hAnsi="Bookman Old Style"/>
          <w:bCs/>
          <w:sz w:val="32"/>
          <w:szCs w:val="32"/>
        </w:rPr>
        <w:t>05</w:t>
      </w:r>
      <w:proofErr w:type="gramEnd"/>
      <w:r w:rsidR="00B13F96" w:rsidRPr="00B13F96">
        <w:rPr>
          <w:rFonts w:ascii="Bookman Old Style" w:hAnsi="Bookman Old Style"/>
          <w:bCs/>
          <w:sz w:val="32"/>
          <w:szCs w:val="32"/>
        </w:rPr>
        <w:t xml:space="preserve"> MAY. 2021</w:t>
      </w:r>
      <w:r w:rsidRPr="006B4647">
        <w:rPr>
          <w:rFonts w:ascii="Bookman Old Style" w:hAnsi="Bookman Old Style"/>
          <w:b w:val="0"/>
          <w:szCs w:val="24"/>
        </w:rPr>
        <w:t xml:space="preserve">  )</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00F8930D" w14:textId="15142FA3" w:rsidR="00B04D7B" w:rsidRPr="00B13BC3" w:rsidRDefault="00B04D7B" w:rsidP="00B04D7B">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w:t>
      </w:r>
      <w:r>
        <w:rPr>
          <w:rFonts w:ascii="Bookman Old Style" w:hAnsi="Bookman Old Style" w:cs="Arial"/>
        </w:rPr>
        <w:t xml:space="preserve">gas </w:t>
      </w:r>
      <w:r w:rsidR="00722342">
        <w:rPr>
          <w:rFonts w:ascii="Bookman Old Style" w:hAnsi="Bookman Old Style" w:cs="Arial"/>
        </w:rPr>
        <w:t>natural</w:t>
      </w:r>
      <w:r>
        <w:rPr>
          <w:rFonts w:ascii="Bookman Old Style" w:hAnsi="Bookman Old Style" w:cs="Arial"/>
        </w:rPr>
        <w:t xml:space="preserve">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631863">
        <w:rPr>
          <w:rFonts w:ascii="Bookman Old Style" w:hAnsi="Bookman Old Style" w:cs="Arial"/>
        </w:rPr>
        <w:t xml:space="preserve">por </w:t>
      </w:r>
      <w:r w:rsidR="00A96418">
        <w:rPr>
          <w:rFonts w:ascii="Bookman Old Style" w:hAnsi="Bookman Old Style" w:cs="Arial"/>
        </w:rPr>
        <w:t xml:space="preserve">las veredas </w:t>
      </w:r>
      <w:proofErr w:type="spellStart"/>
      <w:r w:rsidR="00A96418">
        <w:rPr>
          <w:rFonts w:ascii="Bookman Old Style" w:hAnsi="Bookman Old Style" w:cs="Arial"/>
          <w:lang w:val="es-ES_tradnl"/>
        </w:rPr>
        <w:t>Concubita</w:t>
      </w:r>
      <w:proofErr w:type="spellEnd"/>
      <w:r w:rsidR="00A96418">
        <w:rPr>
          <w:rFonts w:ascii="Bookman Old Style" w:hAnsi="Bookman Old Style" w:cs="Arial"/>
          <w:lang w:val="es-ES_tradnl"/>
        </w:rPr>
        <w:t>, Novoa, Palacio, Peñas de Boquerón, Peñas de Cajón</w:t>
      </w:r>
      <w:r w:rsidR="00A66006">
        <w:rPr>
          <w:rFonts w:ascii="Bookman Old Style" w:hAnsi="Bookman Old Style" w:cs="Arial"/>
          <w:lang w:val="es-ES_tradnl"/>
        </w:rPr>
        <w:t xml:space="preserve"> y</w:t>
      </w:r>
      <w:r w:rsidR="00A96418">
        <w:rPr>
          <w:rFonts w:ascii="Bookman Old Style" w:hAnsi="Bookman Old Style" w:cs="Arial"/>
          <w:lang w:val="es-ES_tradnl"/>
        </w:rPr>
        <w:t xml:space="preserve"> Santa Bárbara en el Municipio de Sutatausa</w:t>
      </w:r>
      <w:r w:rsidR="00A66006">
        <w:rPr>
          <w:rFonts w:ascii="Bookman Old Style" w:hAnsi="Bookman Old Style" w:cs="Arial"/>
          <w:lang w:val="es-ES_tradnl"/>
        </w:rPr>
        <w:t>,</w:t>
      </w:r>
      <w:r w:rsidR="00A96418">
        <w:rPr>
          <w:rFonts w:ascii="Bookman Old Style" w:hAnsi="Bookman Old Style" w:cs="Arial"/>
          <w:lang w:val="es-ES_tradnl"/>
        </w:rPr>
        <w:t xml:space="preserve"> y la vereda Peñas en el </w:t>
      </w:r>
      <w:r w:rsidR="00574156">
        <w:rPr>
          <w:rFonts w:ascii="Bookman Old Style" w:hAnsi="Bookman Old Style" w:cs="Arial"/>
          <w:lang w:val="es-ES_tradnl"/>
        </w:rPr>
        <w:t>M</w:t>
      </w:r>
      <w:r w:rsidR="00A96418">
        <w:rPr>
          <w:rFonts w:ascii="Bookman Old Style" w:hAnsi="Bookman Old Style" w:cs="Arial"/>
          <w:lang w:val="es-ES_tradnl"/>
        </w:rPr>
        <w:t>unicipio de Cucunubá</w:t>
      </w:r>
      <w:r>
        <w:rPr>
          <w:rFonts w:ascii="Bookman Old Style" w:hAnsi="Bookman Old Style" w:cs="Arial"/>
        </w:rPr>
        <w:t xml:space="preserve">, </w:t>
      </w:r>
      <w:r w:rsidRPr="005A515B">
        <w:rPr>
          <w:rFonts w:ascii="Bookman Old Style" w:hAnsi="Bookman Old Style" w:cs="Arial"/>
        </w:rPr>
        <w:t xml:space="preserve">Departamento </w:t>
      </w:r>
      <w:r w:rsidR="00345B43">
        <w:rPr>
          <w:rFonts w:ascii="Bookman Old Style" w:hAnsi="Bookman Old Style" w:cs="Arial"/>
        </w:rPr>
        <w:t xml:space="preserve">de </w:t>
      </w:r>
      <w:r w:rsidR="00A96418">
        <w:rPr>
          <w:rFonts w:ascii="Bookman Old Style" w:hAnsi="Bookman Old Style" w:cs="Arial"/>
        </w:rPr>
        <w:t>Cundinamarca</w:t>
      </w:r>
      <w:r w:rsidRPr="005A515B">
        <w:rPr>
          <w:rFonts w:ascii="Bookman Old Style" w:hAnsi="Bookman Old Style" w:cs="Arial"/>
        </w:rPr>
        <w:t xml:space="preserve">, </w:t>
      </w:r>
      <w:r w:rsidRPr="00B13BC3">
        <w:rPr>
          <w:rFonts w:ascii="Bookman Old Style" w:hAnsi="Bookman Old Style" w:cs="Arial"/>
        </w:rPr>
        <w:t>según solicitud tarifaria presentada por</w:t>
      </w:r>
      <w:r>
        <w:rPr>
          <w:rFonts w:ascii="Bookman Old Style" w:hAnsi="Bookman Old Style" w:cs="Arial"/>
        </w:rPr>
        <w:t xml:space="preserve"> </w:t>
      </w:r>
      <w:r w:rsidR="00A96418">
        <w:rPr>
          <w:rFonts w:ascii="Bookman Old Style" w:hAnsi="Bookman Old Style" w:cs="Arial"/>
        </w:rPr>
        <w:t>ENERGY GAS</w:t>
      </w:r>
      <w:r w:rsidR="00165093" w:rsidRPr="005A515B">
        <w:rPr>
          <w:rFonts w:ascii="Bookman Old Style" w:hAnsi="Bookman Old Style" w:cs="Arial"/>
        </w:rPr>
        <w:t xml:space="preserve"> S.A.</w:t>
      </w:r>
      <w:r w:rsidR="00166212">
        <w:rPr>
          <w:rFonts w:ascii="Bookman Old Style" w:hAnsi="Bookman Old Style" w:cs="Arial"/>
        </w:rPr>
        <w:t>S.</w:t>
      </w:r>
      <w:r w:rsidR="00090EEF" w:rsidRPr="005A515B">
        <w:rPr>
          <w:rFonts w:ascii="Bookman Old Style" w:hAnsi="Bookman Old Style" w:cs="Arial"/>
        </w:rPr>
        <w:t xml:space="preserve"> E.S.P. </w:t>
      </w:r>
    </w:p>
    <w:p w14:paraId="5B2E0721" w14:textId="77777777" w:rsidR="00B04D7B" w:rsidRPr="00D03E47" w:rsidRDefault="00B04D7B" w:rsidP="00B04D7B">
      <w:pPr>
        <w:widowControl w:val="0"/>
        <w:adjustRightInd w:val="0"/>
        <w:ind w:left="0" w:right="20"/>
        <w:jc w:val="both"/>
        <w:rPr>
          <w:rFonts w:ascii="Bookman Old Style" w:hAnsi="Bookman Old Style" w:cs="Arial"/>
          <w:lang w:val="es-CO"/>
        </w:rPr>
      </w:pPr>
    </w:p>
    <w:p w14:paraId="0FD459AE" w14:textId="77777777" w:rsidR="00B04D7B" w:rsidRPr="006B4647" w:rsidRDefault="00B04D7B" w:rsidP="00B13F96">
      <w:pPr>
        <w:pStyle w:val="Ttulo7"/>
        <w:spacing w:before="0" w:after="0"/>
        <w:ind w:left="0"/>
        <w:jc w:val="center"/>
        <w:rPr>
          <w:rFonts w:ascii="Bookman Old Style" w:hAnsi="Bookman Old Style"/>
          <w:b/>
        </w:rPr>
      </w:pPr>
      <w:r w:rsidRPr="006B4647">
        <w:rPr>
          <w:rFonts w:ascii="Bookman Old Style" w:hAnsi="Bookman Old Style"/>
          <w:b/>
        </w:rPr>
        <w:t>LA COMISIÓN DE REGULACIÓN DE ENERGÍA Y GAS</w:t>
      </w:r>
    </w:p>
    <w:p w14:paraId="60811B3C" w14:textId="77777777" w:rsidR="00B04D7B" w:rsidRPr="006B4647" w:rsidRDefault="00B04D7B" w:rsidP="00B04D7B">
      <w:pPr>
        <w:ind w:left="0"/>
        <w:jc w:val="both"/>
        <w:rPr>
          <w:rFonts w:ascii="Bookman Old Style" w:hAnsi="Bookman Old Style" w:cs="Arial"/>
          <w:b/>
        </w:rPr>
      </w:pPr>
    </w:p>
    <w:p w14:paraId="53FEC162" w14:textId="77777777" w:rsidR="00B04D7B" w:rsidRDefault="00B04D7B" w:rsidP="00B04D7B">
      <w:pPr>
        <w:ind w:left="0"/>
        <w:jc w:val="both"/>
        <w:rPr>
          <w:rFonts w:ascii="Bookman Old Style" w:hAnsi="Bookman Old Style" w:cs="Arial"/>
        </w:rPr>
      </w:pPr>
    </w:p>
    <w:p w14:paraId="6F4DBEB7" w14:textId="77777777" w:rsidR="00B04D7B" w:rsidRPr="006B4647" w:rsidRDefault="00B04D7B" w:rsidP="00B04D7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149A64D3" w14:textId="77777777" w:rsidR="00B04D7B" w:rsidRDefault="00B04D7B" w:rsidP="00B04D7B">
      <w:pPr>
        <w:ind w:left="0"/>
        <w:jc w:val="both"/>
        <w:rPr>
          <w:rFonts w:ascii="Bookman Old Style" w:hAnsi="Bookman Old Style" w:cs="Arial"/>
        </w:rPr>
      </w:pPr>
    </w:p>
    <w:p w14:paraId="021AAD53" w14:textId="77777777" w:rsidR="00B04D7B" w:rsidRPr="006B4647" w:rsidRDefault="00B04D7B" w:rsidP="00B04D7B">
      <w:pPr>
        <w:ind w:left="0"/>
        <w:jc w:val="both"/>
        <w:rPr>
          <w:rFonts w:ascii="Bookman Old Style" w:hAnsi="Bookman Old Style" w:cs="Arial"/>
        </w:rPr>
      </w:pPr>
    </w:p>
    <w:p w14:paraId="5478053E" w14:textId="77777777" w:rsidR="00B04D7B" w:rsidRPr="006B4647" w:rsidRDefault="00B04D7B" w:rsidP="00B04D7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1B6E0F4B" w14:textId="77777777"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684D6CB6" w14:textId="42742E39"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00A66006">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61359DD4" w:rsidR="00B04D7B"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A66006">
        <w:rPr>
          <w:rFonts w:ascii="Bookman Old Style" w:hAnsi="Bookman Old Style" w:cs="Arial"/>
        </w:rPr>
        <w:t>,</w:t>
      </w:r>
      <w:r w:rsidRPr="00D03E47">
        <w:rPr>
          <w:rFonts w:ascii="Bookman Old Style" w:hAnsi="Bookman Old Style" w:cs="Arial"/>
        </w:rPr>
        <w:t xml:space="preserve"> vencido el período de vigencia de las fórmulas tarifarias</w:t>
      </w:r>
      <w:r w:rsidR="00A66006">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3ED94E9F" w14:textId="77777777"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“Artículo 23. METODOLOGÍA PARA EL CÁLCULO DEL CARGO MÁXIMO BASE DE COMERCIALIZACIÓN. El cargo máximo base de comercialización C0 se determinará </w:t>
      </w:r>
      <w:r w:rsidRPr="00E678A1">
        <w:rPr>
          <w:rFonts w:ascii="Bookman Old Style" w:hAnsi="Bookman Old Style" w:cs="Arial"/>
          <w:i/>
          <w:sz w:val="22"/>
          <w:szCs w:val="22"/>
        </w:rPr>
        <w:lastRenderedPageBreak/>
        <w:t>como el cociente de la suma de los componentes a) y b) descritos a continuación, sobre el número de facturas del año para el cual se tomaron los parámetros de cálculo de dichos componentes.</w:t>
      </w:r>
    </w:p>
    <w:p w14:paraId="6130E9F0"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E678A1">
        <w:rPr>
          <w:rFonts w:ascii="Bookman Old Style" w:hAnsi="Bookman Old Style" w:cs="Arial"/>
          <w:i/>
          <w:sz w:val="22"/>
          <w:szCs w:val="22"/>
        </w:rPr>
        <w:t>Mst</w:t>
      </w:r>
      <w:proofErr w:type="spellEnd"/>
      <w:r w:rsidRPr="00E678A1">
        <w:rPr>
          <w:rFonts w:ascii="Bookman Old Style" w:hAnsi="Bookman Old Style" w:cs="Arial"/>
          <w:i/>
          <w:sz w:val="22"/>
          <w:szCs w:val="22"/>
        </w:rPr>
        <w:t xml:space="preserve"> o del </w:t>
      </w:r>
      <w:proofErr w:type="spellStart"/>
      <w:r w:rsidRPr="00E678A1">
        <w:rPr>
          <w:rFonts w:ascii="Bookman Old Style" w:hAnsi="Bookman Old Style" w:cs="Arial"/>
          <w:i/>
          <w:sz w:val="22"/>
          <w:szCs w:val="22"/>
        </w:rPr>
        <w:t>Msm</w:t>
      </w:r>
      <w:proofErr w:type="spellEnd"/>
      <w:r w:rsidRPr="00E678A1">
        <w:rPr>
          <w:rFonts w:ascii="Bookman Old Style" w:hAnsi="Bookman Old Style" w:cs="Arial"/>
          <w:i/>
          <w:sz w:val="22"/>
          <w:szCs w:val="22"/>
        </w:rPr>
        <w:t>, según sea el caso.</w:t>
      </w:r>
    </w:p>
    <w:p w14:paraId="7D8958B8"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1DED7737" w14:textId="77777777" w:rsidR="00B04D7B" w:rsidRDefault="00B04D7B" w:rsidP="00B04D7B">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52F0681C" w14:textId="44E4C10E" w:rsidR="00722342" w:rsidRPr="00722342" w:rsidRDefault="00722342" w:rsidP="00B04D7B">
      <w:pPr>
        <w:adjustRightInd w:val="0"/>
        <w:spacing w:before="240" w:after="240"/>
        <w:ind w:left="0" w:right="20"/>
        <w:jc w:val="both"/>
        <w:rPr>
          <w:rFonts w:ascii="Bookman Old Style" w:hAnsi="Bookman Old Style" w:cs="Arial"/>
          <w:color w:val="FF0000"/>
        </w:rPr>
      </w:pPr>
      <w:r w:rsidRPr="008C2AC6">
        <w:rPr>
          <w:rFonts w:ascii="Bookman Old Style" w:hAnsi="Bookman Old Style" w:cs="Arial"/>
        </w:rPr>
        <w:t xml:space="preserve">La </w:t>
      </w:r>
      <w:r w:rsidRPr="006D6067">
        <w:rPr>
          <w:rFonts w:ascii="Bookman Old Style" w:hAnsi="Bookman Old Style" w:cs="Arial"/>
        </w:rPr>
        <w:t xml:space="preserve">empresa </w:t>
      </w:r>
      <w:r>
        <w:rPr>
          <w:rFonts w:ascii="Bookman Old Style" w:hAnsi="Bookman Old Style" w:cs="Arial"/>
        </w:rPr>
        <w:t>ENERGY GAS S.A.S. E.S.P.</w:t>
      </w:r>
      <w:r w:rsidRPr="006D6067">
        <w:rPr>
          <w:rFonts w:ascii="Bookman Old Style" w:hAnsi="Bookman Old Style" w:cs="Arial"/>
        </w:rPr>
        <w:t xml:space="preserve">, a través de la comunicación radicada en la CREG bajo el número </w:t>
      </w:r>
      <w:bookmarkStart w:id="0" w:name="_Hlk68453523"/>
      <w:r w:rsidRPr="00CD3375">
        <w:rPr>
          <w:rFonts w:ascii="Bookman Old Style" w:hAnsi="Bookman Old Style" w:cs="Arial"/>
        </w:rPr>
        <w:t>E-20</w:t>
      </w:r>
      <w:r>
        <w:rPr>
          <w:rFonts w:ascii="Bookman Old Style" w:hAnsi="Bookman Old Style" w:cs="Arial"/>
        </w:rPr>
        <w:t>20</w:t>
      </w:r>
      <w:r w:rsidRPr="00CD3375">
        <w:rPr>
          <w:rFonts w:ascii="Bookman Old Style" w:hAnsi="Bookman Old Style" w:cs="Arial"/>
        </w:rPr>
        <w:t>-0</w:t>
      </w:r>
      <w:r>
        <w:rPr>
          <w:rFonts w:ascii="Bookman Old Style" w:hAnsi="Bookman Old Style" w:cs="Arial"/>
        </w:rPr>
        <w:t>09532</w:t>
      </w:r>
      <w:r w:rsidRPr="00CD3375">
        <w:rPr>
          <w:rFonts w:ascii="Bookman Old Style" w:hAnsi="Bookman Old Style" w:cs="Arial"/>
        </w:rPr>
        <w:t xml:space="preserve"> de</w:t>
      </w:r>
      <w:r w:rsidR="00A66006">
        <w:rPr>
          <w:rFonts w:ascii="Bookman Old Style" w:hAnsi="Bookman Old Style" w:cs="Arial"/>
        </w:rPr>
        <w:t>l</w:t>
      </w:r>
      <w:r w:rsidRPr="00CD3375">
        <w:rPr>
          <w:rFonts w:ascii="Bookman Old Style" w:hAnsi="Bookman Old Style" w:cs="Arial"/>
        </w:rPr>
        <w:t xml:space="preserve"> </w:t>
      </w:r>
      <w:r>
        <w:rPr>
          <w:rFonts w:ascii="Bookman Old Style" w:hAnsi="Bookman Old Style" w:cs="Arial"/>
        </w:rPr>
        <w:t>12</w:t>
      </w:r>
      <w:r w:rsidRPr="00CD3375">
        <w:rPr>
          <w:rFonts w:ascii="Bookman Old Style" w:hAnsi="Bookman Old Style" w:cs="Arial"/>
        </w:rPr>
        <w:t xml:space="preserve"> de </w:t>
      </w:r>
      <w:r>
        <w:rPr>
          <w:rFonts w:ascii="Bookman Old Style" w:hAnsi="Bookman Old Style" w:cs="Arial"/>
        </w:rPr>
        <w:t>agosto</w:t>
      </w:r>
      <w:r w:rsidRPr="00CD3375">
        <w:rPr>
          <w:rFonts w:ascii="Bookman Old Style" w:hAnsi="Bookman Old Style" w:cs="Arial"/>
        </w:rPr>
        <w:t xml:space="preserve"> de 20</w:t>
      </w:r>
      <w:r>
        <w:rPr>
          <w:rFonts w:ascii="Bookman Old Style" w:hAnsi="Bookman Old Style" w:cs="Arial"/>
        </w:rPr>
        <w:t>20</w:t>
      </w:r>
      <w:bookmarkEnd w:id="0"/>
      <w:r w:rsidRPr="00B665FD">
        <w:rPr>
          <w:rFonts w:ascii="Bookman Old Style" w:hAnsi="Bookman Old Style" w:cs="Arial"/>
        </w:rPr>
        <w:t xml:space="preserve">, </w:t>
      </w:r>
      <w:r>
        <w:rPr>
          <w:rFonts w:ascii="Bookman Old Style" w:hAnsi="Bookman Old Style" w:cs="Arial"/>
        </w:rPr>
        <w:t xml:space="preserve">de conformidad con </w:t>
      </w:r>
      <w:r w:rsidRPr="008C2AC6">
        <w:rPr>
          <w:rFonts w:ascii="Bookman Old Style" w:hAnsi="Bookman Old Style" w:cs="Arial"/>
        </w:rPr>
        <w:t xml:space="preserve">lo establecido en </w:t>
      </w:r>
      <w:r>
        <w:rPr>
          <w:rFonts w:ascii="Bookman Old Style" w:hAnsi="Bookman Old Style" w:cs="Arial"/>
        </w:rPr>
        <w:t xml:space="preserve">el Numeral 5.3 de </w:t>
      </w:r>
      <w:r w:rsidRPr="008C2AC6">
        <w:rPr>
          <w:rFonts w:ascii="Bookman Old Style" w:hAnsi="Bookman Old Style" w:cs="Arial"/>
        </w:rPr>
        <w:t xml:space="preserve">la </w:t>
      </w:r>
      <w:r>
        <w:rPr>
          <w:rFonts w:ascii="Bookman Old Style" w:hAnsi="Bookman Old Style" w:cs="Arial"/>
        </w:rPr>
        <w:t>Resolución CREG 202 de 2013</w:t>
      </w:r>
      <w:r w:rsidRPr="00B665FD">
        <w:rPr>
          <w:rFonts w:ascii="Bookman Old Style" w:hAnsi="Bookman Old Style" w:cs="Arial"/>
        </w:rPr>
        <w:t xml:space="preserve">, solicitó aprobación de cargos de </w:t>
      </w:r>
      <w:r>
        <w:rPr>
          <w:rFonts w:ascii="Bookman Old Style" w:hAnsi="Bookman Old Style" w:cs="Arial"/>
        </w:rPr>
        <w:t>comercialización</w:t>
      </w:r>
      <w:r w:rsidRPr="00B665FD">
        <w:rPr>
          <w:rFonts w:ascii="Bookman Old Style" w:hAnsi="Bookman Old Style" w:cs="Arial"/>
        </w:rPr>
        <w:t xml:space="preserve"> de </w:t>
      </w:r>
      <w:r>
        <w:rPr>
          <w:rFonts w:ascii="Bookman Old Style" w:hAnsi="Bookman Old Style" w:cs="Arial"/>
        </w:rPr>
        <w:t xml:space="preserve">Gas Natural </w:t>
      </w:r>
      <w:r w:rsidRPr="00B665FD">
        <w:rPr>
          <w:rFonts w:ascii="Bookman Old Style" w:hAnsi="Bookman Old Style" w:cs="Arial"/>
        </w:rPr>
        <w:t xml:space="preserve">por redes </w:t>
      </w:r>
      <w:bookmarkStart w:id="1" w:name="_Hlk70185920"/>
      <w:r w:rsidRPr="00B665FD">
        <w:rPr>
          <w:rFonts w:ascii="Bookman Old Style" w:hAnsi="Bookman Old Style" w:cs="Arial"/>
        </w:rPr>
        <w:t xml:space="preserve">para el </w:t>
      </w:r>
      <w:r>
        <w:rPr>
          <w:rFonts w:ascii="Bookman Old Style" w:hAnsi="Bookman Old Style" w:cs="Arial"/>
        </w:rPr>
        <w:t>M</w:t>
      </w:r>
      <w:r w:rsidRPr="00B665FD">
        <w:rPr>
          <w:rFonts w:ascii="Bookman Old Style" w:hAnsi="Bookman Old Style" w:cs="Arial"/>
        </w:rPr>
        <w:t xml:space="preserve">ercado </w:t>
      </w:r>
      <w:r>
        <w:rPr>
          <w:rFonts w:ascii="Bookman Old Style" w:hAnsi="Bookman Old Style" w:cs="Arial"/>
        </w:rPr>
        <w:t>R</w:t>
      </w:r>
      <w:r w:rsidRPr="00B665FD">
        <w:rPr>
          <w:rFonts w:ascii="Bookman Old Style" w:hAnsi="Bookman Old Style" w:cs="Arial"/>
        </w:rPr>
        <w:t>elevante</w:t>
      </w:r>
      <w:r>
        <w:rPr>
          <w:rFonts w:ascii="Bookman Old Style" w:hAnsi="Bookman Old Style" w:cs="Arial"/>
        </w:rPr>
        <w:t xml:space="preserve"> </w:t>
      </w:r>
      <w:r w:rsidRPr="00B665FD">
        <w:rPr>
          <w:rFonts w:ascii="Bookman Old Style" w:hAnsi="Bookman Old Style" w:cs="Arial"/>
        </w:rPr>
        <w:t>conformado</w:t>
      </w:r>
      <w:r>
        <w:rPr>
          <w:rFonts w:ascii="Bookman Old Style" w:hAnsi="Bookman Old Style" w:cs="Arial"/>
        </w:rPr>
        <w:t xml:space="preserve"> por los centros poblados</w:t>
      </w:r>
      <w:r w:rsidRPr="00B665FD">
        <w:rPr>
          <w:rFonts w:ascii="Bookman Old Style" w:hAnsi="Bookman Old Style" w:cs="Arial"/>
        </w:rPr>
        <w:t xml:space="preserve"> </w:t>
      </w:r>
      <w:r w:rsidRPr="00E33A9C">
        <w:rPr>
          <w:rFonts w:ascii="Bookman Old Style" w:hAnsi="Bookman Old Style" w:cs="Arial"/>
        </w:rPr>
        <w:t xml:space="preserve">Peñas de Boquerón, Peñas de Cucunubá, Peñas de Cajón, El Palacio, </w:t>
      </w:r>
      <w:proofErr w:type="spellStart"/>
      <w:r w:rsidRPr="00E33A9C">
        <w:rPr>
          <w:rFonts w:ascii="Bookman Old Style" w:hAnsi="Bookman Old Style" w:cs="Arial"/>
        </w:rPr>
        <w:t>Concubita</w:t>
      </w:r>
      <w:proofErr w:type="spellEnd"/>
      <w:r w:rsidRPr="00E33A9C">
        <w:rPr>
          <w:rFonts w:ascii="Bookman Old Style" w:hAnsi="Bookman Old Style" w:cs="Arial"/>
        </w:rPr>
        <w:t>, Novoa, El Chircal y Las Quintas en el municipio de Sutatausa</w:t>
      </w:r>
      <w:r>
        <w:rPr>
          <w:rFonts w:ascii="Bookman Old Style" w:hAnsi="Bookman Old Style" w:cs="Arial"/>
        </w:rPr>
        <w:t>. No obstante, revisada la completitud de la solicitud</w:t>
      </w:r>
      <w:r w:rsidR="00A66006">
        <w:rPr>
          <w:rFonts w:ascii="Bookman Old Style" w:hAnsi="Bookman Old Style" w:cs="Arial"/>
        </w:rPr>
        <w:t>,</w:t>
      </w:r>
      <w:r>
        <w:rPr>
          <w:rFonts w:ascii="Bookman Old Style" w:hAnsi="Bookman Old Style" w:cs="Arial"/>
        </w:rPr>
        <w:t xml:space="preserve"> el mercado aprobado para la empresa ENERGY GAS S.A.S. E.S.P. es como sigue</w:t>
      </w:r>
      <w:bookmarkEnd w:id="1"/>
      <w:r w:rsidR="00680DB7">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6"/>
        <w:gridCol w:w="2336"/>
        <w:gridCol w:w="2337"/>
        <w:gridCol w:w="2337"/>
      </w:tblGrid>
      <w:tr w:rsidR="00602871" w:rsidRPr="008B65B8" w14:paraId="3303CB0A" w14:textId="77777777" w:rsidTr="00954838">
        <w:trPr>
          <w:trHeight w:val="510"/>
          <w:tblHeader/>
          <w:jc w:val="center"/>
        </w:trPr>
        <w:tc>
          <w:tcPr>
            <w:tcW w:w="1250" w:type="pct"/>
            <w:shd w:val="clear" w:color="000000" w:fill="BFBFBF"/>
            <w:noWrap/>
            <w:vAlign w:val="center"/>
            <w:hideMark/>
          </w:tcPr>
          <w:p w14:paraId="7BA9FBE2" w14:textId="77777777" w:rsidR="00602871" w:rsidRPr="000E7D3E" w:rsidRDefault="00602871" w:rsidP="00954838">
            <w:pPr>
              <w:ind w:left="0"/>
              <w:jc w:val="center"/>
              <w:rPr>
                <w:rFonts w:ascii="Bookman Old Style" w:hAnsi="Bookman Old Style" w:cs="Arial"/>
                <w:b/>
                <w:bCs/>
                <w:color w:val="000000"/>
                <w:sz w:val="22"/>
                <w:szCs w:val="22"/>
                <w:lang w:val="es-CO" w:eastAsia="es-CO"/>
              </w:rPr>
            </w:pPr>
            <w:r w:rsidRPr="000E7D3E">
              <w:rPr>
                <w:rFonts w:ascii="Bookman Old Style" w:hAnsi="Bookman Old Style" w:cs="Arial"/>
                <w:b/>
                <w:bCs/>
                <w:color w:val="000000"/>
                <w:sz w:val="22"/>
                <w:szCs w:val="22"/>
                <w:lang w:val="es-CO" w:eastAsia="es-CO"/>
              </w:rPr>
              <w:t>CÓDIGO DANE</w:t>
            </w:r>
          </w:p>
        </w:tc>
        <w:tc>
          <w:tcPr>
            <w:tcW w:w="1250" w:type="pct"/>
            <w:shd w:val="clear" w:color="000000" w:fill="BFBFBF"/>
            <w:vAlign w:val="center"/>
          </w:tcPr>
          <w:p w14:paraId="43310882" w14:textId="77777777" w:rsidR="00602871" w:rsidRPr="000E7D3E" w:rsidRDefault="00602871" w:rsidP="00954838">
            <w:pPr>
              <w:ind w:left="0"/>
              <w:jc w:val="center"/>
              <w:rPr>
                <w:rFonts w:ascii="Bookman Old Style" w:hAnsi="Bookman Old Style" w:cs="Arial"/>
                <w:b/>
                <w:bCs/>
                <w:color w:val="000000"/>
                <w:sz w:val="22"/>
                <w:szCs w:val="22"/>
                <w:lang w:val="es-CO" w:eastAsia="es-CO"/>
              </w:rPr>
            </w:pPr>
            <w:r w:rsidRPr="000E7D3E">
              <w:rPr>
                <w:rFonts w:ascii="Bookman Old Style" w:hAnsi="Bookman Old Style" w:cs="Arial"/>
                <w:b/>
                <w:bCs/>
                <w:color w:val="000000"/>
                <w:sz w:val="22"/>
                <w:szCs w:val="22"/>
                <w:lang w:val="es-CO" w:eastAsia="es-CO"/>
              </w:rPr>
              <w:t>VEREDAS</w:t>
            </w:r>
          </w:p>
        </w:tc>
        <w:tc>
          <w:tcPr>
            <w:tcW w:w="1250" w:type="pct"/>
            <w:shd w:val="clear" w:color="000000" w:fill="BFBFBF"/>
            <w:noWrap/>
            <w:vAlign w:val="center"/>
            <w:hideMark/>
          </w:tcPr>
          <w:p w14:paraId="4B20435C" w14:textId="77777777" w:rsidR="00602871" w:rsidRPr="000E7D3E" w:rsidRDefault="00602871" w:rsidP="00954838">
            <w:pPr>
              <w:ind w:left="-16"/>
              <w:jc w:val="center"/>
              <w:rPr>
                <w:rFonts w:ascii="Bookman Old Style" w:hAnsi="Bookman Old Style" w:cs="Arial"/>
                <w:b/>
                <w:bCs/>
                <w:color w:val="000000"/>
                <w:sz w:val="22"/>
                <w:szCs w:val="22"/>
                <w:lang w:val="es-CO" w:eastAsia="es-CO"/>
              </w:rPr>
            </w:pPr>
            <w:r w:rsidRPr="000E7D3E">
              <w:rPr>
                <w:rFonts w:ascii="Bookman Old Style" w:hAnsi="Bookman Old Style" w:cs="Arial"/>
                <w:b/>
                <w:bCs/>
                <w:color w:val="000000"/>
                <w:sz w:val="22"/>
                <w:szCs w:val="22"/>
                <w:lang w:val="es-CO" w:eastAsia="es-CO"/>
              </w:rPr>
              <w:t>MUNICIPIO</w:t>
            </w:r>
          </w:p>
        </w:tc>
        <w:tc>
          <w:tcPr>
            <w:tcW w:w="1250" w:type="pct"/>
            <w:shd w:val="clear" w:color="000000" w:fill="BFBFBF"/>
            <w:noWrap/>
            <w:vAlign w:val="center"/>
            <w:hideMark/>
          </w:tcPr>
          <w:p w14:paraId="2FC4FBFC" w14:textId="77777777" w:rsidR="00602871" w:rsidRPr="000E7D3E" w:rsidRDefault="00602871" w:rsidP="00954838">
            <w:pPr>
              <w:ind w:left="0"/>
              <w:jc w:val="center"/>
              <w:rPr>
                <w:rFonts w:ascii="Bookman Old Style" w:hAnsi="Bookman Old Style" w:cs="Arial"/>
                <w:b/>
                <w:bCs/>
                <w:color w:val="000000"/>
                <w:sz w:val="22"/>
                <w:szCs w:val="22"/>
                <w:lang w:val="es-CO" w:eastAsia="es-CO"/>
              </w:rPr>
            </w:pPr>
            <w:r w:rsidRPr="000E7D3E">
              <w:rPr>
                <w:rFonts w:ascii="Bookman Old Style" w:hAnsi="Bookman Old Style" w:cs="Arial"/>
                <w:b/>
                <w:bCs/>
                <w:color w:val="000000"/>
                <w:sz w:val="22"/>
                <w:szCs w:val="22"/>
                <w:lang w:val="es-CO" w:eastAsia="es-CO"/>
              </w:rPr>
              <w:t>DEPARTAMENTO</w:t>
            </w:r>
          </w:p>
        </w:tc>
      </w:tr>
      <w:tr w:rsidR="00602871" w:rsidRPr="008B65B8" w14:paraId="59122C57" w14:textId="77777777" w:rsidTr="00954838">
        <w:trPr>
          <w:trHeight w:val="300"/>
          <w:jc w:val="center"/>
        </w:trPr>
        <w:tc>
          <w:tcPr>
            <w:tcW w:w="1250" w:type="pct"/>
            <w:shd w:val="clear" w:color="auto" w:fill="auto"/>
            <w:noWrap/>
            <w:vAlign w:val="center"/>
          </w:tcPr>
          <w:p w14:paraId="339105F7" w14:textId="77777777" w:rsidR="00602871" w:rsidRPr="000E7D3E" w:rsidRDefault="00602871"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25781003</w:t>
            </w:r>
          </w:p>
        </w:tc>
        <w:tc>
          <w:tcPr>
            <w:tcW w:w="1250" w:type="pct"/>
            <w:vAlign w:val="center"/>
          </w:tcPr>
          <w:p w14:paraId="5D9EAB92" w14:textId="77777777" w:rsidR="00602871" w:rsidRPr="000E7D3E" w:rsidRDefault="00602871" w:rsidP="00954838">
            <w:pPr>
              <w:ind w:left="0"/>
              <w:jc w:val="center"/>
              <w:rPr>
                <w:rFonts w:ascii="Bookman Old Style" w:hAnsi="Bookman Old Style" w:cs="Arial"/>
                <w:color w:val="000000"/>
                <w:sz w:val="22"/>
                <w:szCs w:val="22"/>
                <w:lang w:val="es-CO" w:eastAsia="es-CO"/>
              </w:rPr>
            </w:pPr>
            <w:proofErr w:type="spellStart"/>
            <w:r w:rsidRPr="000E7D3E">
              <w:rPr>
                <w:rFonts w:ascii="Bookman Old Style" w:hAnsi="Bookman Old Style" w:cs="Arial"/>
                <w:color w:val="000000"/>
                <w:sz w:val="22"/>
                <w:szCs w:val="22"/>
                <w:lang w:val="es-CO" w:eastAsia="es-CO"/>
              </w:rPr>
              <w:t>Concubita</w:t>
            </w:r>
            <w:proofErr w:type="spellEnd"/>
          </w:p>
        </w:tc>
        <w:tc>
          <w:tcPr>
            <w:tcW w:w="1250" w:type="pct"/>
            <w:shd w:val="clear" w:color="auto" w:fill="auto"/>
            <w:noWrap/>
            <w:vAlign w:val="center"/>
          </w:tcPr>
          <w:p w14:paraId="2B28EDE3" w14:textId="77777777" w:rsidR="00602871" w:rsidRPr="000E7D3E" w:rsidRDefault="00602871" w:rsidP="00954838">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5C3ADBE1" w14:textId="77777777" w:rsidR="00602871" w:rsidRPr="000E7D3E" w:rsidRDefault="00602871"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602871" w:rsidRPr="008B65B8" w14:paraId="4262B634" w14:textId="77777777" w:rsidTr="00954838">
        <w:trPr>
          <w:trHeight w:val="300"/>
          <w:jc w:val="center"/>
        </w:trPr>
        <w:tc>
          <w:tcPr>
            <w:tcW w:w="1250" w:type="pct"/>
            <w:shd w:val="clear" w:color="auto" w:fill="auto"/>
            <w:noWrap/>
            <w:vAlign w:val="center"/>
          </w:tcPr>
          <w:p w14:paraId="293BEB23" w14:textId="77777777" w:rsidR="00602871" w:rsidRPr="000E7D3E" w:rsidRDefault="00602871"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25781007</w:t>
            </w:r>
          </w:p>
        </w:tc>
        <w:tc>
          <w:tcPr>
            <w:tcW w:w="1250" w:type="pct"/>
            <w:vAlign w:val="center"/>
          </w:tcPr>
          <w:p w14:paraId="7AB855E8" w14:textId="77777777" w:rsidR="00602871" w:rsidRPr="000E7D3E" w:rsidRDefault="00602871"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Novoa</w:t>
            </w:r>
          </w:p>
        </w:tc>
        <w:tc>
          <w:tcPr>
            <w:tcW w:w="1250" w:type="pct"/>
            <w:shd w:val="clear" w:color="auto" w:fill="auto"/>
            <w:noWrap/>
            <w:vAlign w:val="center"/>
          </w:tcPr>
          <w:p w14:paraId="0CC4AE54" w14:textId="77777777" w:rsidR="00602871" w:rsidRPr="000E7D3E" w:rsidRDefault="00602871" w:rsidP="00954838">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70608888" w14:textId="77777777" w:rsidR="00602871" w:rsidRPr="000E7D3E" w:rsidRDefault="00602871"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602871" w:rsidRPr="008B65B8" w14:paraId="437179A9" w14:textId="77777777" w:rsidTr="00954838">
        <w:trPr>
          <w:trHeight w:val="300"/>
          <w:jc w:val="center"/>
        </w:trPr>
        <w:tc>
          <w:tcPr>
            <w:tcW w:w="1250" w:type="pct"/>
            <w:shd w:val="clear" w:color="auto" w:fill="auto"/>
            <w:noWrap/>
            <w:vAlign w:val="center"/>
          </w:tcPr>
          <w:p w14:paraId="5FF4B8D6" w14:textId="77777777" w:rsidR="00602871" w:rsidRPr="000E7D3E" w:rsidRDefault="00602871"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25781008</w:t>
            </w:r>
          </w:p>
        </w:tc>
        <w:tc>
          <w:tcPr>
            <w:tcW w:w="1250" w:type="pct"/>
            <w:vAlign w:val="center"/>
          </w:tcPr>
          <w:p w14:paraId="4A63E2AD" w14:textId="77777777" w:rsidR="00602871" w:rsidRPr="000E7D3E" w:rsidRDefault="00602871"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Palacio</w:t>
            </w:r>
          </w:p>
        </w:tc>
        <w:tc>
          <w:tcPr>
            <w:tcW w:w="1250" w:type="pct"/>
            <w:shd w:val="clear" w:color="auto" w:fill="auto"/>
            <w:noWrap/>
            <w:vAlign w:val="center"/>
          </w:tcPr>
          <w:p w14:paraId="74FBE721" w14:textId="77777777" w:rsidR="00602871" w:rsidRPr="000E7D3E" w:rsidRDefault="00602871" w:rsidP="00954838">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7EDEC67C" w14:textId="77777777" w:rsidR="00602871" w:rsidRPr="000E7D3E" w:rsidRDefault="00602871"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602871" w:rsidRPr="008B65B8" w14:paraId="4F61AE61" w14:textId="77777777" w:rsidTr="00954838">
        <w:trPr>
          <w:trHeight w:val="300"/>
          <w:jc w:val="center"/>
        </w:trPr>
        <w:tc>
          <w:tcPr>
            <w:tcW w:w="1250" w:type="pct"/>
            <w:shd w:val="clear" w:color="auto" w:fill="auto"/>
            <w:noWrap/>
            <w:vAlign w:val="center"/>
          </w:tcPr>
          <w:p w14:paraId="7355108C" w14:textId="77777777" w:rsidR="00602871" w:rsidRPr="000E7D3E" w:rsidRDefault="00602871"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25781010</w:t>
            </w:r>
          </w:p>
        </w:tc>
        <w:tc>
          <w:tcPr>
            <w:tcW w:w="1250" w:type="pct"/>
            <w:vAlign w:val="center"/>
          </w:tcPr>
          <w:p w14:paraId="2168C7FE" w14:textId="77777777" w:rsidR="00602871" w:rsidRPr="000E7D3E" w:rsidRDefault="00602871"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Peñas de Boquerón</w:t>
            </w:r>
          </w:p>
        </w:tc>
        <w:tc>
          <w:tcPr>
            <w:tcW w:w="1250" w:type="pct"/>
            <w:shd w:val="clear" w:color="auto" w:fill="auto"/>
            <w:noWrap/>
            <w:vAlign w:val="center"/>
          </w:tcPr>
          <w:p w14:paraId="4BCD1BF0" w14:textId="77777777" w:rsidR="00602871" w:rsidRPr="000E7D3E" w:rsidRDefault="00602871" w:rsidP="00954838">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16B596AA" w14:textId="77777777" w:rsidR="00602871" w:rsidRPr="000E7D3E" w:rsidRDefault="00602871"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602871" w:rsidRPr="008B65B8" w14:paraId="025CEF84" w14:textId="77777777" w:rsidTr="00954838">
        <w:trPr>
          <w:trHeight w:val="300"/>
          <w:jc w:val="center"/>
        </w:trPr>
        <w:tc>
          <w:tcPr>
            <w:tcW w:w="1250" w:type="pct"/>
            <w:shd w:val="clear" w:color="auto" w:fill="auto"/>
            <w:noWrap/>
            <w:vAlign w:val="center"/>
          </w:tcPr>
          <w:p w14:paraId="716BA909" w14:textId="77777777" w:rsidR="00602871" w:rsidRPr="000E7D3E" w:rsidRDefault="00602871"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25781011</w:t>
            </w:r>
          </w:p>
        </w:tc>
        <w:tc>
          <w:tcPr>
            <w:tcW w:w="1250" w:type="pct"/>
            <w:vAlign w:val="center"/>
          </w:tcPr>
          <w:p w14:paraId="4A40AA64" w14:textId="77777777" w:rsidR="00602871" w:rsidRPr="000E7D3E" w:rsidRDefault="00602871"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Peñas de Cajón</w:t>
            </w:r>
          </w:p>
        </w:tc>
        <w:tc>
          <w:tcPr>
            <w:tcW w:w="1250" w:type="pct"/>
            <w:shd w:val="clear" w:color="auto" w:fill="auto"/>
            <w:noWrap/>
            <w:vAlign w:val="center"/>
          </w:tcPr>
          <w:p w14:paraId="2DD59C5D" w14:textId="77777777" w:rsidR="00602871" w:rsidRPr="000E7D3E" w:rsidRDefault="00602871" w:rsidP="00954838">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76DC740C" w14:textId="77777777" w:rsidR="00602871" w:rsidRPr="000E7D3E" w:rsidRDefault="00602871"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602871" w:rsidRPr="008B65B8" w14:paraId="2F6A956E" w14:textId="77777777" w:rsidTr="00954838">
        <w:trPr>
          <w:trHeight w:val="300"/>
          <w:jc w:val="center"/>
        </w:trPr>
        <w:tc>
          <w:tcPr>
            <w:tcW w:w="1250" w:type="pct"/>
            <w:shd w:val="clear" w:color="auto" w:fill="auto"/>
            <w:noWrap/>
            <w:vAlign w:val="center"/>
          </w:tcPr>
          <w:p w14:paraId="425D57DF" w14:textId="77777777" w:rsidR="00602871" w:rsidRPr="000E7D3E" w:rsidRDefault="00602871"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25781013</w:t>
            </w:r>
          </w:p>
        </w:tc>
        <w:tc>
          <w:tcPr>
            <w:tcW w:w="1250" w:type="pct"/>
            <w:vAlign w:val="center"/>
          </w:tcPr>
          <w:p w14:paraId="1200D358" w14:textId="77777777" w:rsidR="00602871" w:rsidRPr="000E7D3E" w:rsidRDefault="00602871"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Santa B</w:t>
            </w:r>
            <w:r>
              <w:rPr>
                <w:rFonts w:ascii="Bookman Old Style" w:hAnsi="Bookman Old Style" w:cs="Arial"/>
                <w:color w:val="000000"/>
                <w:sz w:val="22"/>
                <w:szCs w:val="22"/>
                <w:lang w:val="es-CO" w:eastAsia="es-CO"/>
              </w:rPr>
              <w:t>á</w:t>
            </w:r>
            <w:r w:rsidRPr="000E7D3E">
              <w:rPr>
                <w:rFonts w:ascii="Bookman Old Style" w:hAnsi="Bookman Old Style" w:cs="Arial"/>
                <w:color w:val="000000"/>
                <w:sz w:val="22"/>
                <w:szCs w:val="22"/>
                <w:lang w:val="es-CO" w:eastAsia="es-CO"/>
              </w:rPr>
              <w:t>rbara</w:t>
            </w:r>
          </w:p>
        </w:tc>
        <w:tc>
          <w:tcPr>
            <w:tcW w:w="1250" w:type="pct"/>
            <w:shd w:val="clear" w:color="auto" w:fill="auto"/>
            <w:noWrap/>
            <w:vAlign w:val="center"/>
          </w:tcPr>
          <w:p w14:paraId="44B88C78" w14:textId="77777777" w:rsidR="00602871" w:rsidRPr="000E7D3E" w:rsidRDefault="00602871" w:rsidP="00954838">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76F1A597" w14:textId="77777777" w:rsidR="00602871" w:rsidRPr="000E7D3E" w:rsidRDefault="00602871"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602871" w:rsidRPr="008B65B8" w14:paraId="5573F3AE" w14:textId="77777777" w:rsidTr="00954838">
        <w:trPr>
          <w:trHeight w:val="300"/>
          <w:jc w:val="center"/>
        </w:trPr>
        <w:tc>
          <w:tcPr>
            <w:tcW w:w="1250" w:type="pct"/>
            <w:shd w:val="clear" w:color="auto" w:fill="auto"/>
            <w:noWrap/>
            <w:vAlign w:val="center"/>
          </w:tcPr>
          <w:p w14:paraId="26F3754E" w14:textId="77777777" w:rsidR="00602871" w:rsidRPr="000E7D3E" w:rsidRDefault="00602871"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25224016</w:t>
            </w:r>
          </w:p>
        </w:tc>
        <w:tc>
          <w:tcPr>
            <w:tcW w:w="1250" w:type="pct"/>
            <w:vAlign w:val="center"/>
          </w:tcPr>
          <w:p w14:paraId="64E7EABB" w14:textId="77777777" w:rsidR="00602871" w:rsidRPr="000E7D3E" w:rsidRDefault="00602871"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Peñas</w:t>
            </w:r>
          </w:p>
        </w:tc>
        <w:tc>
          <w:tcPr>
            <w:tcW w:w="1250" w:type="pct"/>
            <w:shd w:val="clear" w:color="auto" w:fill="auto"/>
            <w:noWrap/>
            <w:vAlign w:val="center"/>
          </w:tcPr>
          <w:p w14:paraId="3024E705" w14:textId="77777777" w:rsidR="00602871" w:rsidRPr="000E7D3E" w:rsidRDefault="00602871" w:rsidP="00954838">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Cucunubá</w:t>
            </w:r>
          </w:p>
        </w:tc>
        <w:tc>
          <w:tcPr>
            <w:tcW w:w="1250" w:type="pct"/>
            <w:shd w:val="clear" w:color="auto" w:fill="auto"/>
            <w:noWrap/>
            <w:vAlign w:val="center"/>
          </w:tcPr>
          <w:p w14:paraId="12BF718D" w14:textId="77777777" w:rsidR="00602871" w:rsidRPr="000E7D3E" w:rsidRDefault="00602871"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bl>
    <w:p w14:paraId="42AB9B5D" w14:textId="4844F975" w:rsidR="00B04D7B" w:rsidRDefault="00B04D7B" w:rsidP="00B04D7B">
      <w:pPr>
        <w:adjustRightInd w:val="0"/>
        <w:spacing w:before="240" w:after="240"/>
        <w:ind w:left="0" w:right="20"/>
        <w:jc w:val="both"/>
        <w:rPr>
          <w:rFonts w:ascii="Bookman Old Style" w:hAnsi="Bookman Old Style" w:cs="Arial"/>
        </w:rPr>
      </w:pPr>
      <w:r w:rsidRPr="008430A0">
        <w:rPr>
          <w:rFonts w:ascii="Bookman Old Style" w:hAnsi="Bookman Old Style" w:cs="Arial"/>
        </w:rPr>
        <w:t xml:space="preserve">Mediante Auto </w:t>
      </w:r>
      <w:r w:rsidR="00CB3E73" w:rsidRPr="008430A0">
        <w:rPr>
          <w:rFonts w:ascii="Bookman Old Style" w:hAnsi="Bookman Old Style" w:cs="Arial"/>
        </w:rPr>
        <w:t>I-2020-004</w:t>
      </w:r>
      <w:r w:rsidR="00602871" w:rsidRPr="008430A0">
        <w:rPr>
          <w:rFonts w:ascii="Bookman Old Style" w:hAnsi="Bookman Old Style" w:cs="Arial"/>
        </w:rPr>
        <w:t>912</w:t>
      </w:r>
      <w:r w:rsidR="00CB3E73" w:rsidRPr="008430A0">
        <w:rPr>
          <w:rFonts w:ascii="Bookman Old Style" w:hAnsi="Bookman Old Style" w:cs="Arial"/>
        </w:rPr>
        <w:t xml:space="preserve"> </w:t>
      </w:r>
      <w:r w:rsidR="008430A0" w:rsidRPr="008430A0">
        <w:rPr>
          <w:rFonts w:ascii="Bookman Old Style" w:hAnsi="Bookman Old Style" w:cs="Arial"/>
        </w:rPr>
        <w:t>comunicado el 15 de enero</w:t>
      </w:r>
      <w:r w:rsidR="00CB3E73" w:rsidRPr="008430A0">
        <w:rPr>
          <w:rFonts w:ascii="Bookman Old Style" w:hAnsi="Bookman Old Style" w:cs="Arial"/>
        </w:rPr>
        <w:t xml:space="preserve"> de 202</w:t>
      </w:r>
      <w:r w:rsidR="008430A0" w:rsidRPr="008430A0">
        <w:rPr>
          <w:rFonts w:ascii="Bookman Old Style" w:hAnsi="Bookman Old Style" w:cs="Arial"/>
        </w:rPr>
        <w:t>1</w:t>
      </w:r>
      <w:r w:rsidRPr="008430A0">
        <w:rPr>
          <w:rFonts w:ascii="Bookman Old Style" w:hAnsi="Bookman Old Style" w:cs="Arial"/>
        </w:rPr>
        <w:t>, la Comisión de Regulación de Energía y Gas</w:t>
      </w:r>
      <w:r w:rsidR="00A13A87" w:rsidRPr="008430A0">
        <w:rPr>
          <w:rFonts w:ascii="Bookman Old Style" w:hAnsi="Bookman Old Style" w:cs="Arial"/>
        </w:rPr>
        <w:t xml:space="preserve">, </w:t>
      </w:r>
      <w:r w:rsidRPr="008430A0">
        <w:rPr>
          <w:rFonts w:ascii="Bookman Old Style" w:hAnsi="Bookman Old Style" w:cs="Arial"/>
        </w:rPr>
        <w:t>CREG</w:t>
      </w:r>
      <w:r w:rsidR="00A13A87" w:rsidRPr="008430A0">
        <w:rPr>
          <w:rFonts w:ascii="Bookman Old Style" w:hAnsi="Bookman Old Style" w:cs="Arial"/>
        </w:rPr>
        <w:t>,</w:t>
      </w:r>
      <w:r w:rsidRPr="008430A0">
        <w:rPr>
          <w:rFonts w:ascii="Bookman Old Style" w:hAnsi="Bookman Old Style" w:cs="Arial"/>
        </w:rPr>
        <w:t xml:space="preserve"> dispuso iniciar la respectiva actuación administrativa con fundamento en la solicitud presentada por la empresa </w:t>
      </w:r>
      <w:r w:rsidR="00A96418" w:rsidRPr="008430A0">
        <w:rPr>
          <w:rFonts w:ascii="Bookman Old Style" w:hAnsi="Bookman Old Style" w:cs="Arial"/>
          <w:lang w:val="es-CO"/>
        </w:rPr>
        <w:t>ENERGY GAS</w:t>
      </w:r>
      <w:r w:rsidR="00C17F33" w:rsidRPr="008430A0">
        <w:rPr>
          <w:rFonts w:ascii="Bookman Old Style" w:hAnsi="Bookman Old Style" w:cs="Arial"/>
          <w:lang w:val="es-CO"/>
        </w:rPr>
        <w:t xml:space="preserve"> S.A</w:t>
      </w:r>
      <w:r w:rsidR="00166212" w:rsidRPr="008430A0">
        <w:rPr>
          <w:rFonts w:ascii="Bookman Old Style" w:hAnsi="Bookman Old Style" w:cs="Arial"/>
          <w:lang w:val="es-CO"/>
        </w:rPr>
        <w:t>.S</w:t>
      </w:r>
      <w:r w:rsidR="00C17F33" w:rsidRPr="008430A0">
        <w:rPr>
          <w:rFonts w:ascii="Bookman Old Style" w:hAnsi="Bookman Old Style" w:cs="Arial"/>
          <w:lang w:val="es-CO"/>
        </w:rPr>
        <w:t>. E.S.P.</w:t>
      </w:r>
      <w:r w:rsidR="00C17F33" w:rsidRPr="00816033">
        <w:rPr>
          <w:rFonts w:ascii="Bookman Old Style" w:hAnsi="Bookman Old Style" w:cs="Arial"/>
          <w:lang w:val="es-CO"/>
        </w:rPr>
        <w:t xml:space="preserve"> </w:t>
      </w:r>
    </w:p>
    <w:p w14:paraId="4C740D4F" w14:textId="0EA18F4A" w:rsidR="00B04D7B" w:rsidRPr="00333CB4" w:rsidRDefault="00B04D7B" w:rsidP="00B04D7B">
      <w:pPr>
        <w:adjustRightInd w:val="0"/>
        <w:spacing w:before="240" w:after="240"/>
        <w:ind w:left="0" w:right="23"/>
        <w:jc w:val="both"/>
        <w:rPr>
          <w:rFonts w:ascii="Bookman Old Style" w:hAnsi="Bookman Old Style" w:cs="Arial"/>
        </w:rPr>
      </w:pPr>
      <w:r>
        <w:rPr>
          <w:rFonts w:ascii="Bookman Old Style" w:hAnsi="Bookman Old Style" w:cs="Arial"/>
          <w:szCs w:val="22"/>
        </w:rPr>
        <w:lastRenderedPageBreak/>
        <w:t xml:space="preserve">De acuerdo con lo establecido en el Auto de Inicio de </w:t>
      </w:r>
      <w:r w:rsidR="00A66006">
        <w:rPr>
          <w:rFonts w:ascii="Bookman Old Style" w:hAnsi="Bookman Old Style" w:cs="Arial"/>
          <w:szCs w:val="22"/>
        </w:rPr>
        <w:t xml:space="preserve">la </w:t>
      </w:r>
      <w:r>
        <w:rPr>
          <w:rFonts w:ascii="Bookman Old Style" w:hAnsi="Bookman Old Style" w:cs="Arial"/>
          <w:szCs w:val="22"/>
        </w:rPr>
        <w:t>Actuación Administrativa y, conforme 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el </w:t>
      </w:r>
      <w:r w:rsidRPr="004D24A1">
        <w:rPr>
          <w:rFonts w:ascii="Bookman Old Style" w:hAnsi="Bookman Old Style" w:cs="Arial"/>
          <w:i/>
          <w:szCs w:val="22"/>
        </w:rPr>
        <w:t>Diario Oficial</w:t>
      </w:r>
      <w:r w:rsidRPr="004D24A1">
        <w:rPr>
          <w:rFonts w:ascii="Bookman Old Style" w:hAnsi="Bookman Old Style" w:cs="Arial"/>
          <w:szCs w:val="22"/>
        </w:rPr>
        <w:t xml:space="preserve"> No.</w:t>
      </w:r>
      <w:r w:rsidR="00BA658A" w:rsidRPr="00BA658A">
        <w:rPr>
          <w:rFonts w:ascii="Bookman Old Style" w:hAnsi="Bookman Old Style" w:cs="Arial"/>
          <w:szCs w:val="22"/>
        </w:rPr>
        <w:t xml:space="preserve"> </w:t>
      </w:r>
      <w:r w:rsidR="00602871">
        <w:rPr>
          <w:rFonts w:ascii="Bookman Old Style" w:hAnsi="Bookman Old Style" w:cs="Arial"/>
          <w:szCs w:val="22"/>
        </w:rPr>
        <w:t xml:space="preserve">51.562 </w:t>
      </w:r>
      <w:r w:rsidR="00602871" w:rsidRPr="002C2B70">
        <w:rPr>
          <w:rFonts w:ascii="Bookman Old Style" w:hAnsi="Bookman Old Style" w:cs="Arial"/>
          <w:szCs w:val="22"/>
        </w:rPr>
        <w:t xml:space="preserve">del </w:t>
      </w:r>
      <w:r w:rsidR="00602871">
        <w:rPr>
          <w:rFonts w:ascii="Bookman Old Style" w:hAnsi="Bookman Old Style" w:cs="Arial"/>
          <w:szCs w:val="22"/>
        </w:rPr>
        <w:t>19</w:t>
      </w:r>
      <w:r w:rsidR="00602871" w:rsidRPr="002C2B70">
        <w:rPr>
          <w:rFonts w:ascii="Bookman Old Style" w:hAnsi="Bookman Old Style" w:cs="Arial"/>
          <w:szCs w:val="22"/>
        </w:rPr>
        <w:t xml:space="preserve"> de</w:t>
      </w:r>
      <w:r w:rsidR="00602871">
        <w:rPr>
          <w:rFonts w:ascii="Bookman Old Style" w:hAnsi="Bookman Old Style" w:cs="Arial"/>
          <w:szCs w:val="22"/>
        </w:rPr>
        <w:t xml:space="preserve"> enero</w:t>
      </w:r>
      <w:r w:rsidR="00602871" w:rsidRPr="002C2B70">
        <w:rPr>
          <w:rFonts w:ascii="Bookman Old Style" w:hAnsi="Bookman Old Style" w:cs="Arial"/>
          <w:szCs w:val="22"/>
        </w:rPr>
        <w:t xml:space="preserve"> de 202</w:t>
      </w:r>
      <w:r w:rsidR="00602871">
        <w:rPr>
          <w:rFonts w:ascii="Bookman Old Style" w:hAnsi="Bookman Old Style" w:cs="Arial"/>
          <w:szCs w:val="22"/>
        </w:rPr>
        <w:t>1</w:t>
      </w:r>
      <w:r w:rsidR="00602871" w:rsidRPr="002C2B70">
        <w:rPr>
          <w:rFonts w:ascii="Bookman Old Style" w:hAnsi="Bookman Old Style" w:cs="Arial"/>
          <w:szCs w:val="22"/>
        </w:rPr>
        <w:t xml:space="preserve"> el Aviso No. </w:t>
      </w:r>
      <w:r w:rsidR="00602871">
        <w:rPr>
          <w:rFonts w:ascii="Bookman Old Style" w:hAnsi="Bookman Old Style" w:cs="Arial"/>
          <w:szCs w:val="22"/>
        </w:rPr>
        <w:t>017</w:t>
      </w:r>
      <w:r w:rsidR="00602871" w:rsidRPr="002C2B70">
        <w:rPr>
          <w:rFonts w:ascii="Bookman Old Style" w:hAnsi="Bookman Old Style" w:cs="Arial"/>
          <w:szCs w:val="22"/>
        </w:rPr>
        <w:t xml:space="preserve"> de 202</w:t>
      </w:r>
      <w:r w:rsidR="00602871">
        <w:rPr>
          <w:rFonts w:ascii="Bookman Old Style" w:hAnsi="Bookman Old Style" w:cs="Arial"/>
          <w:szCs w:val="22"/>
        </w:rPr>
        <w:t>1</w:t>
      </w:r>
      <w:r w:rsidR="00A66006">
        <w:rPr>
          <w:rFonts w:ascii="Bookman Old Style" w:hAnsi="Bookman Old Style" w:cs="Arial"/>
          <w:szCs w:val="22"/>
        </w:rPr>
        <w:t>,</w:t>
      </w:r>
      <w:r w:rsidR="00602871">
        <w:rPr>
          <w:rFonts w:ascii="Bookman Old Style" w:hAnsi="Bookman Old Style" w:cs="Arial"/>
          <w:szCs w:val="22"/>
        </w:rPr>
        <w:t xml:space="preserve"> </w:t>
      </w:r>
      <w:r w:rsidRPr="00AB00C4">
        <w:rPr>
          <w:rFonts w:ascii="Bookman Old Style" w:hAnsi="Bookman Old Style" w:cs="Arial"/>
          <w:szCs w:val="22"/>
        </w:rPr>
        <w:t>en el cual hace sa</w:t>
      </w:r>
      <w:r w:rsidRPr="0069757F">
        <w:rPr>
          <w:rFonts w:ascii="Bookman Old Style" w:hAnsi="Bookman Old Style" w:cs="Arial"/>
          <w:szCs w:val="22"/>
        </w:rPr>
        <w:t xml:space="preserve">ber de la solicitud presentada por </w:t>
      </w:r>
      <w:r w:rsidR="00A96418">
        <w:rPr>
          <w:rFonts w:ascii="Bookman Old Style" w:hAnsi="Bookman Old Style" w:cs="Arial"/>
          <w:lang w:val="es-CO"/>
        </w:rPr>
        <w:t>ENERGY GAS</w:t>
      </w:r>
      <w:r w:rsidR="00C17F33" w:rsidRPr="00816033">
        <w:rPr>
          <w:rFonts w:ascii="Bookman Old Style" w:hAnsi="Bookman Old Style" w:cs="Arial"/>
          <w:lang w:val="es-CO"/>
        </w:rPr>
        <w:t xml:space="preserve"> S.A.S. E.S.P. </w:t>
      </w:r>
      <w:r>
        <w:rPr>
          <w:rFonts w:ascii="Bookman Old Style" w:hAnsi="Bookman Old Style" w:cs="Arial"/>
        </w:rPr>
        <w:t>y contiene el resumen de la misma</w:t>
      </w:r>
      <w:r w:rsidRPr="0069757F">
        <w:rPr>
          <w:rFonts w:ascii="Bookman Old Style" w:hAnsi="Bookman Old Style" w:cs="Arial"/>
          <w:szCs w:val="22"/>
        </w:rPr>
        <w:t>.</w:t>
      </w:r>
      <w:r w:rsidRPr="003C24AD">
        <w:rPr>
          <w:rFonts w:ascii="Bookman Old Style" w:hAnsi="Bookman Old Style" w:cs="Arial"/>
          <w:szCs w:val="22"/>
        </w:rPr>
        <w:t xml:space="preserve"> </w:t>
      </w:r>
    </w:p>
    <w:p w14:paraId="1B2F7754" w14:textId="1E20A098" w:rsidR="00B04D7B" w:rsidRPr="00D03E47" w:rsidRDefault="00804B66" w:rsidP="00B04D7B">
      <w:pPr>
        <w:adjustRightInd w:val="0"/>
        <w:spacing w:before="240" w:after="240"/>
        <w:ind w:left="0" w:right="20"/>
        <w:jc w:val="both"/>
        <w:rPr>
          <w:rFonts w:ascii="Bookman Old Style" w:hAnsi="Bookman Old Style" w:cs="Arial"/>
        </w:rPr>
      </w:pPr>
      <w:r>
        <w:rPr>
          <w:rFonts w:ascii="Bookman Old Style" w:hAnsi="Bookman Old Style" w:cs="Arial"/>
        </w:rPr>
        <w:t>C</w:t>
      </w:r>
      <w:r w:rsidRPr="00D03E47">
        <w:rPr>
          <w:rFonts w:ascii="Bookman Old Style" w:hAnsi="Bookman Old Style" w:cs="Arial"/>
        </w:rPr>
        <w:t xml:space="preserve">omo resultado del análisis de la información presentada a la Comisión por </w:t>
      </w:r>
      <w:r w:rsidR="00A96418">
        <w:rPr>
          <w:rFonts w:ascii="Bookman Old Style" w:hAnsi="Bookman Old Style" w:cs="Arial"/>
          <w:lang w:val="es-CO"/>
        </w:rPr>
        <w:t>ENERGY GAS</w:t>
      </w:r>
      <w:r w:rsidRPr="00816033">
        <w:rPr>
          <w:rFonts w:ascii="Bookman Old Style" w:hAnsi="Bookman Old Style" w:cs="Arial"/>
          <w:lang w:val="es-CO"/>
        </w:rPr>
        <w:t xml:space="preserve"> S.A.S. E.S.P. </w:t>
      </w:r>
      <w:r w:rsidR="00512620" w:rsidRPr="00BC2995">
        <w:rPr>
          <w:rFonts w:ascii="Bookman Old Style" w:hAnsi="Bookman Old Style" w:cs="Arial"/>
        </w:rPr>
        <w:t xml:space="preserve">mediante radicados </w:t>
      </w:r>
      <w:r w:rsidR="00602871" w:rsidRPr="00621151">
        <w:rPr>
          <w:rFonts w:ascii="Bookman Old Style" w:hAnsi="Bookman Old Style" w:cs="Arial"/>
        </w:rPr>
        <w:t>CREG</w:t>
      </w:r>
      <w:r w:rsidR="00602871" w:rsidRPr="00132D4F">
        <w:rPr>
          <w:rFonts w:ascii="Bookman Old Style" w:hAnsi="Bookman Old Style" w:cs="Arial"/>
        </w:rPr>
        <w:t xml:space="preserve"> </w:t>
      </w:r>
      <w:r w:rsidR="00602871" w:rsidRPr="00A67BD3">
        <w:rPr>
          <w:rFonts w:ascii="Bookman Old Style" w:hAnsi="Bookman Old Style" w:cs="Arial"/>
        </w:rPr>
        <w:t>E-2020-0</w:t>
      </w:r>
      <w:r w:rsidR="00602871">
        <w:rPr>
          <w:rFonts w:ascii="Bookman Old Style" w:hAnsi="Bookman Old Style" w:cs="Arial"/>
        </w:rPr>
        <w:t>11579, E</w:t>
      </w:r>
      <w:r w:rsidR="00A66006">
        <w:rPr>
          <w:rFonts w:ascii="Bookman Old Style" w:hAnsi="Bookman Old Style" w:cs="Arial"/>
        </w:rPr>
        <w:noBreakHyphen/>
      </w:r>
      <w:r w:rsidR="00602871">
        <w:rPr>
          <w:rFonts w:ascii="Bookman Old Style" w:hAnsi="Bookman Old Style" w:cs="Arial"/>
        </w:rPr>
        <w:t>2020</w:t>
      </w:r>
      <w:r w:rsidR="00A66006">
        <w:rPr>
          <w:rFonts w:ascii="Bookman Old Style" w:hAnsi="Bookman Old Style" w:cs="Arial"/>
        </w:rPr>
        <w:noBreakHyphen/>
      </w:r>
      <w:r w:rsidR="00602871">
        <w:rPr>
          <w:rFonts w:ascii="Bookman Old Style" w:hAnsi="Bookman Old Style" w:cs="Arial"/>
        </w:rPr>
        <w:t xml:space="preserve">011705 y </w:t>
      </w:r>
      <w:r w:rsidR="00602871" w:rsidRPr="00025A4C">
        <w:rPr>
          <w:rFonts w:ascii="Bookman Old Style" w:hAnsi="Bookman Old Style" w:cs="Arial"/>
          <w:color w:val="000000"/>
          <w:lang w:val="es-CO"/>
        </w:rPr>
        <w:t>E-2020-014108</w:t>
      </w:r>
      <w:r w:rsidR="009A5DBB">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máximo base de comercialización </w:t>
      </w:r>
      <w:r w:rsidRPr="00D03E47">
        <w:rPr>
          <w:rFonts w:ascii="Bookman Old Style" w:hAnsi="Bookman Old Style" w:cs="Arial"/>
        </w:rPr>
        <w:t xml:space="preserve">de que </w:t>
      </w:r>
      <w:r>
        <w:rPr>
          <w:rFonts w:ascii="Bookman Old Style" w:hAnsi="Bookman Old Style" w:cs="Arial"/>
        </w:rPr>
        <w:t>trata</w:t>
      </w:r>
      <w:r w:rsidRPr="00D03E47">
        <w:rPr>
          <w:rFonts w:ascii="Bookman Old Style" w:hAnsi="Bookman Old Style" w:cs="Arial"/>
        </w:rPr>
        <w:t xml:space="preserve"> </w:t>
      </w:r>
      <w:r>
        <w:rPr>
          <w:rFonts w:ascii="Bookman Old Style" w:hAnsi="Bookman Old Style" w:cs="Arial"/>
        </w:rPr>
        <w:t>el a</w:t>
      </w:r>
      <w:r w:rsidRPr="00D03E47">
        <w:rPr>
          <w:rFonts w:ascii="Bookman Old Style" w:hAnsi="Bookman Old Style" w:cs="Arial"/>
        </w:rPr>
        <w:t>rtículo 23 de la Resolución CREG 011 de 2003</w:t>
      </w:r>
      <w:r>
        <w:rPr>
          <w:rFonts w:ascii="Bookman Old Style" w:hAnsi="Bookman Old Style" w:cs="Arial"/>
        </w:rPr>
        <w:t>,</w:t>
      </w:r>
      <w:r w:rsidRPr="00D03E47">
        <w:rPr>
          <w:rFonts w:ascii="Bookman Old Style" w:hAnsi="Bookman Old Style" w:cs="Arial"/>
        </w:rPr>
        <w:t xml:space="preserve"> según se relacionan, con su respectivo sustento, en el documento soporte de la presente Resolución</w:t>
      </w:r>
      <w:r w:rsidR="00B04D7B" w:rsidRPr="00D03E47">
        <w:rPr>
          <w:rFonts w:ascii="Bookman Old Style" w:hAnsi="Bookman Old Style" w:cs="Arial"/>
        </w:rPr>
        <w:t>.</w:t>
      </w:r>
    </w:p>
    <w:p w14:paraId="07018D03" w14:textId="3A8AD6D9" w:rsidR="00B04D7B" w:rsidRPr="00C47153" w:rsidRDefault="00804B66" w:rsidP="00B04D7B">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conformado </w:t>
      </w:r>
      <w:r w:rsidRPr="005A515B">
        <w:rPr>
          <w:rFonts w:ascii="Bookman Old Style" w:hAnsi="Bookman Old Style" w:cs="Arial"/>
        </w:rPr>
        <w:t xml:space="preserve">por </w:t>
      </w:r>
      <w:r w:rsidR="00AC418F" w:rsidRPr="00AC418F">
        <w:rPr>
          <w:rFonts w:ascii="Bookman Old Style" w:hAnsi="Bookman Old Style" w:cs="Arial"/>
        </w:rPr>
        <w:t xml:space="preserve">las veredas </w:t>
      </w:r>
      <w:proofErr w:type="spellStart"/>
      <w:r w:rsidR="00AC418F" w:rsidRPr="00AC418F">
        <w:rPr>
          <w:rFonts w:ascii="Bookman Old Style" w:hAnsi="Bookman Old Style" w:cs="Arial"/>
        </w:rPr>
        <w:t>Concubita</w:t>
      </w:r>
      <w:proofErr w:type="spellEnd"/>
      <w:r w:rsidR="00AC418F" w:rsidRPr="00AC418F">
        <w:rPr>
          <w:rFonts w:ascii="Bookman Old Style" w:hAnsi="Bookman Old Style" w:cs="Arial"/>
        </w:rPr>
        <w:t>, Novoa, Palacio, Peñas de Boquerón, Peñas de Cajón</w:t>
      </w:r>
      <w:r w:rsidR="00A66006">
        <w:rPr>
          <w:rFonts w:ascii="Bookman Old Style" w:hAnsi="Bookman Old Style" w:cs="Arial"/>
        </w:rPr>
        <w:t xml:space="preserve"> y</w:t>
      </w:r>
      <w:r w:rsidR="00AC418F" w:rsidRPr="00AC418F">
        <w:rPr>
          <w:rFonts w:ascii="Bookman Old Style" w:hAnsi="Bookman Old Style" w:cs="Arial"/>
        </w:rPr>
        <w:t xml:space="preserve"> Santa Bárbara en el Municipio de Sutatausa</w:t>
      </w:r>
      <w:r w:rsidR="00A66006">
        <w:rPr>
          <w:rFonts w:ascii="Bookman Old Style" w:hAnsi="Bookman Old Style" w:cs="Arial"/>
        </w:rPr>
        <w:t>,</w:t>
      </w:r>
      <w:r w:rsidR="00AC418F" w:rsidRPr="00AC418F">
        <w:rPr>
          <w:rFonts w:ascii="Bookman Old Style" w:hAnsi="Bookman Old Style" w:cs="Arial"/>
        </w:rPr>
        <w:t xml:space="preserve"> y la vereda Peñas en el municipio de Cucunubá, Departamento de Cundinamarca</w:t>
      </w:r>
      <w:r>
        <w:rPr>
          <w:rFonts w:ascii="Bookman Old Style" w:hAnsi="Bookman Old Style" w:cs="Arial"/>
        </w:rPr>
        <w:t>,</w:t>
      </w:r>
      <w:r w:rsidRPr="00C47153">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w:t>
      </w:r>
      <w:r>
        <w:rPr>
          <w:rFonts w:ascii="Bookman Old Style" w:hAnsi="Bookman Old Style" w:cs="Arial"/>
        </w:rPr>
        <w:t>0</w:t>
      </w:r>
      <w:r w:rsidRPr="00C47153">
        <w:rPr>
          <w:rFonts w:ascii="Bookman Old Style" w:hAnsi="Bookman Old Style" w:cs="Arial"/>
        </w:rPr>
        <w:t>11 de 2003</w:t>
      </w:r>
      <w:r w:rsidR="00B04D7B" w:rsidRPr="00C47153">
        <w:rPr>
          <w:rFonts w:ascii="Bookman Old Style" w:hAnsi="Bookman Old Style" w:cs="Arial"/>
        </w:rPr>
        <w:t xml:space="preserve">. </w:t>
      </w:r>
    </w:p>
    <w:p w14:paraId="618B681B" w14:textId="1894C975" w:rsidR="00B04D7B" w:rsidRPr="00D03E47" w:rsidRDefault="00B04D7B" w:rsidP="00B04D7B">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B13F96">
        <w:rPr>
          <w:rFonts w:ascii="Bookman Old Style" w:hAnsi="Bookman Old Style" w:cs="Arial"/>
        </w:rPr>
        <w:t>Documento CREG-</w:t>
      </w:r>
      <w:r w:rsidR="00B13F96" w:rsidRPr="00B13F96">
        <w:rPr>
          <w:rFonts w:ascii="Bookman Old Style" w:hAnsi="Bookman Old Style" w:cs="Arial"/>
        </w:rPr>
        <w:t>046</w:t>
      </w:r>
      <w:r w:rsidRPr="00B13F96">
        <w:rPr>
          <w:rFonts w:ascii="Bookman Old Style" w:hAnsi="Bookman Old Style" w:cs="Arial"/>
        </w:rPr>
        <w:t xml:space="preserve"> de 202</w:t>
      </w:r>
      <w:r w:rsidR="00E35B18" w:rsidRPr="00B13F96">
        <w:rPr>
          <w:rFonts w:ascii="Bookman Old Style" w:hAnsi="Bookman Old Style" w:cs="Arial"/>
        </w:rPr>
        <w:t>1</w:t>
      </w:r>
      <w:r w:rsidRPr="00B13F96">
        <w:rPr>
          <w:rFonts w:ascii="Bookman Old Style" w:hAnsi="Bookman Old Style" w:cs="Arial"/>
        </w:rPr>
        <w:t>.</w:t>
      </w:r>
    </w:p>
    <w:p w14:paraId="3C25C09B" w14:textId="0586D53E" w:rsidR="00B04D7B" w:rsidRPr="001954E9" w:rsidRDefault="00B04D7B" w:rsidP="00B04D7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00A13A87">
        <w:rPr>
          <w:rFonts w:ascii="Bookman Old Style" w:hAnsi="Bookman Old Style" w:cs="Arial"/>
        </w:rPr>
        <w:t>,</w:t>
      </w:r>
      <w:r w:rsidRPr="009261B0">
        <w:rPr>
          <w:rFonts w:ascii="Bookman Old Style" w:hAnsi="Bookman Old Style" w:cs="Arial"/>
        </w:rPr>
        <w:t xml:space="preserve"> para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B13F96">
        <w:rPr>
          <w:rFonts w:ascii="Bookman Old Style" w:hAnsi="Bookman Old Style" w:cs="Arial"/>
        </w:rPr>
        <w:t xml:space="preserve">Documento CREG </w:t>
      </w:r>
      <w:r w:rsidR="00B13F96" w:rsidRPr="00B13F96">
        <w:rPr>
          <w:rFonts w:ascii="Bookman Old Style" w:hAnsi="Bookman Old Style" w:cs="Arial"/>
        </w:rPr>
        <w:t>046</w:t>
      </w:r>
      <w:r w:rsidRPr="00B13F96">
        <w:rPr>
          <w:rFonts w:ascii="Bookman Old Style" w:hAnsi="Bookman Old Style" w:cs="Arial"/>
        </w:rPr>
        <w:t xml:space="preserve"> de 202</w:t>
      </w:r>
      <w:r w:rsidR="00E35B18" w:rsidRPr="00B13F96">
        <w:rPr>
          <w:rFonts w:ascii="Bookman Old Style" w:hAnsi="Bookman Old Style" w:cs="Arial"/>
        </w:rPr>
        <w:t>1</w:t>
      </w:r>
      <w:r w:rsidRPr="00B13F96">
        <w:rPr>
          <w:rFonts w:ascii="Bookman Old Style" w:hAnsi="Bookman Old Style" w:cs="Arial"/>
        </w:rPr>
        <w:t>.</w:t>
      </w:r>
    </w:p>
    <w:p w14:paraId="0F5ACA43" w14:textId="77777777" w:rsidR="00B04D7B" w:rsidRPr="00D03E47" w:rsidRDefault="00B04D7B" w:rsidP="00B04D7B">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Pr>
          <w:rFonts w:ascii="Bookman Old Style" w:hAnsi="Bookman Old Style" w:cs="Arial"/>
        </w:rPr>
        <w:t>se expide en</w:t>
      </w:r>
      <w:r w:rsidRPr="00D03E47">
        <w:rPr>
          <w:rFonts w:ascii="Bookman Old Style" w:hAnsi="Bookman Old Style" w:cs="Arial"/>
        </w:rPr>
        <w:t xml:space="preserve">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 xml:space="preserve">rtículo 7 de la Ley 1340 de </w:t>
      </w:r>
      <w:r w:rsidRPr="00D03E47">
        <w:rPr>
          <w:rFonts w:ascii="Bookman Old Style" w:hAnsi="Bookman Old Style" w:cs="Arial"/>
        </w:rPr>
        <w:lastRenderedPageBreak/>
        <w:t>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290E188D" w14:textId="3ACF2B47" w:rsidR="00B04D7B" w:rsidRPr="00AB06F0" w:rsidRDefault="00B04D7B" w:rsidP="00AB06F0">
      <w:pPr>
        <w:adjustRightInd w:val="0"/>
        <w:spacing w:before="240" w:after="240"/>
        <w:ind w:left="0" w:right="20"/>
        <w:jc w:val="both"/>
        <w:rPr>
          <w:rFonts w:ascii="Bookman Old Style" w:hAnsi="Bookman Old Style" w:cs="Arial"/>
        </w:rPr>
      </w:pPr>
      <w:r>
        <w:rPr>
          <w:rFonts w:ascii="Bookman Old Style" w:hAnsi="Bookman Old Style" w:cs="Arial"/>
          <w:color w:val="000000"/>
        </w:rPr>
        <w:t xml:space="preserve">La Comisión de Regulación de Energía y Gas aprobó el presente acto administrativo en la sesión </w:t>
      </w:r>
      <w:r w:rsidRPr="00B13F96">
        <w:rPr>
          <w:rFonts w:ascii="Bookman Old Style" w:hAnsi="Bookman Old Style" w:cs="Arial"/>
          <w:color w:val="000000"/>
        </w:rPr>
        <w:t>No.</w:t>
      </w:r>
      <w:r w:rsidR="00AB06F0" w:rsidRPr="00B13F96">
        <w:rPr>
          <w:rFonts w:ascii="Bookman Old Style" w:hAnsi="Bookman Old Style" w:cs="Arial"/>
          <w:color w:val="000000"/>
          <w:spacing w:val="-3"/>
        </w:rPr>
        <w:t xml:space="preserve">1094 del </w:t>
      </w:r>
      <w:r w:rsidR="00B13F96">
        <w:rPr>
          <w:rFonts w:ascii="Bookman Old Style" w:hAnsi="Bookman Old Style" w:cs="Arial"/>
          <w:color w:val="000000"/>
          <w:spacing w:val="-3"/>
        </w:rPr>
        <w:t>5</w:t>
      </w:r>
      <w:r w:rsidR="00AB06F0">
        <w:rPr>
          <w:rFonts w:ascii="Bookman Old Style" w:hAnsi="Bookman Old Style" w:cs="Arial"/>
          <w:color w:val="000000"/>
          <w:spacing w:val="-3"/>
        </w:rPr>
        <w:t xml:space="preserve"> de mayo de 2021</w:t>
      </w:r>
      <w:r w:rsidRPr="006D0F3E">
        <w:rPr>
          <w:rFonts w:ascii="Bookman Old Style" w:hAnsi="Bookman Old Style" w:cs="Arial"/>
          <w:color w:val="000000"/>
        </w:rPr>
        <w:t>.</w:t>
      </w:r>
    </w:p>
    <w:p w14:paraId="1CD09325" w14:textId="77777777" w:rsidR="00B04D7B" w:rsidRPr="00945A3C" w:rsidRDefault="00B04D7B" w:rsidP="00B04D7B">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08A9B595" w14:textId="77777777" w:rsidR="00B04D7B" w:rsidRDefault="00B04D7B" w:rsidP="00B04D7B">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1A7BF0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4B57C489" w14:textId="5E1756D4" w:rsidR="00B04D7B" w:rsidRDefault="00B04D7B" w:rsidP="00B04D7B">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 Relevante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t>Comercialización</w:t>
      </w:r>
      <w:r w:rsidR="00A13A87">
        <w:rPr>
          <w:rFonts w:ascii="Bookman Old Style" w:hAnsi="Bookman Old Style" w:cs="Arial"/>
        </w:rPr>
        <w:t>,</w:t>
      </w:r>
      <w:r w:rsidRPr="00704312">
        <w:rPr>
          <w:rFonts w:ascii="Bookman Old Style" w:hAnsi="Bookman Old Style" w:cs="Arial"/>
        </w:rPr>
        <w:t xml:space="preserve"> el cual estará conformado </w:t>
      </w:r>
      <w:r w:rsidR="00AC418F">
        <w:rPr>
          <w:rFonts w:ascii="Bookman Old Style" w:hAnsi="Bookman Old Style"/>
        </w:rPr>
        <w:t>como sigue</w:t>
      </w:r>
      <w:r>
        <w:rPr>
          <w:rFonts w:ascii="Bookman Old Style" w:hAnsi="Bookman Old Styl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6"/>
        <w:gridCol w:w="2336"/>
        <w:gridCol w:w="2337"/>
        <w:gridCol w:w="2337"/>
      </w:tblGrid>
      <w:tr w:rsidR="00AC418F" w:rsidRPr="008B65B8" w14:paraId="01AC8E1D" w14:textId="77777777" w:rsidTr="00954838">
        <w:trPr>
          <w:trHeight w:val="510"/>
          <w:tblHeader/>
          <w:jc w:val="center"/>
        </w:trPr>
        <w:tc>
          <w:tcPr>
            <w:tcW w:w="1250" w:type="pct"/>
            <w:shd w:val="clear" w:color="000000" w:fill="BFBFBF"/>
            <w:noWrap/>
            <w:vAlign w:val="center"/>
            <w:hideMark/>
          </w:tcPr>
          <w:p w14:paraId="2655FDC5" w14:textId="77777777" w:rsidR="00AC418F" w:rsidRPr="000E7D3E" w:rsidRDefault="00AC418F" w:rsidP="00954838">
            <w:pPr>
              <w:ind w:left="0"/>
              <w:jc w:val="center"/>
              <w:rPr>
                <w:rFonts w:ascii="Bookman Old Style" w:hAnsi="Bookman Old Style" w:cs="Arial"/>
                <w:b/>
                <w:bCs/>
                <w:color w:val="000000"/>
                <w:sz w:val="22"/>
                <w:szCs w:val="22"/>
                <w:lang w:val="es-CO" w:eastAsia="es-CO"/>
              </w:rPr>
            </w:pPr>
            <w:bookmarkStart w:id="2" w:name="_Hlk68453498"/>
            <w:r w:rsidRPr="000E7D3E">
              <w:rPr>
                <w:rFonts w:ascii="Bookman Old Style" w:hAnsi="Bookman Old Style" w:cs="Arial"/>
                <w:b/>
                <w:bCs/>
                <w:color w:val="000000"/>
                <w:sz w:val="22"/>
                <w:szCs w:val="22"/>
                <w:lang w:val="es-CO" w:eastAsia="es-CO"/>
              </w:rPr>
              <w:t>CÓDIGO DANE</w:t>
            </w:r>
          </w:p>
        </w:tc>
        <w:tc>
          <w:tcPr>
            <w:tcW w:w="1250" w:type="pct"/>
            <w:shd w:val="clear" w:color="000000" w:fill="BFBFBF"/>
            <w:vAlign w:val="center"/>
          </w:tcPr>
          <w:p w14:paraId="4BF53FB7" w14:textId="77777777" w:rsidR="00AC418F" w:rsidRPr="000E7D3E" w:rsidRDefault="00AC418F" w:rsidP="00954838">
            <w:pPr>
              <w:ind w:left="0"/>
              <w:jc w:val="center"/>
              <w:rPr>
                <w:rFonts w:ascii="Bookman Old Style" w:hAnsi="Bookman Old Style" w:cs="Arial"/>
                <w:b/>
                <w:bCs/>
                <w:color w:val="000000"/>
                <w:sz w:val="22"/>
                <w:szCs w:val="22"/>
                <w:lang w:val="es-CO" w:eastAsia="es-CO"/>
              </w:rPr>
            </w:pPr>
            <w:r w:rsidRPr="000E7D3E">
              <w:rPr>
                <w:rFonts w:ascii="Bookman Old Style" w:hAnsi="Bookman Old Style" w:cs="Arial"/>
                <w:b/>
                <w:bCs/>
                <w:color w:val="000000"/>
                <w:sz w:val="22"/>
                <w:szCs w:val="22"/>
                <w:lang w:val="es-CO" w:eastAsia="es-CO"/>
              </w:rPr>
              <w:t>VEREDAS</w:t>
            </w:r>
          </w:p>
        </w:tc>
        <w:tc>
          <w:tcPr>
            <w:tcW w:w="1250" w:type="pct"/>
            <w:shd w:val="clear" w:color="000000" w:fill="BFBFBF"/>
            <w:noWrap/>
            <w:vAlign w:val="center"/>
            <w:hideMark/>
          </w:tcPr>
          <w:p w14:paraId="1A9A1E75" w14:textId="77777777" w:rsidR="00AC418F" w:rsidRPr="000E7D3E" w:rsidRDefault="00AC418F" w:rsidP="00954838">
            <w:pPr>
              <w:ind w:left="-16"/>
              <w:jc w:val="center"/>
              <w:rPr>
                <w:rFonts w:ascii="Bookman Old Style" w:hAnsi="Bookman Old Style" w:cs="Arial"/>
                <w:b/>
                <w:bCs/>
                <w:color w:val="000000"/>
                <w:sz w:val="22"/>
                <w:szCs w:val="22"/>
                <w:lang w:val="es-CO" w:eastAsia="es-CO"/>
              </w:rPr>
            </w:pPr>
            <w:r w:rsidRPr="000E7D3E">
              <w:rPr>
                <w:rFonts w:ascii="Bookman Old Style" w:hAnsi="Bookman Old Style" w:cs="Arial"/>
                <w:b/>
                <w:bCs/>
                <w:color w:val="000000"/>
                <w:sz w:val="22"/>
                <w:szCs w:val="22"/>
                <w:lang w:val="es-CO" w:eastAsia="es-CO"/>
              </w:rPr>
              <w:t>MUNICIPIO</w:t>
            </w:r>
          </w:p>
        </w:tc>
        <w:tc>
          <w:tcPr>
            <w:tcW w:w="1250" w:type="pct"/>
            <w:shd w:val="clear" w:color="000000" w:fill="BFBFBF"/>
            <w:noWrap/>
            <w:vAlign w:val="center"/>
            <w:hideMark/>
          </w:tcPr>
          <w:p w14:paraId="258F3337" w14:textId="77777777" w:rsidR="00AC418F" w:rsidRPr="000E7D3E" w:rsidRDefault="00AC418F" w:rsidP="00954838">
            <w:pPr>
              <w:ind w:left="0"/>
              <w:jc w:val="center"/>
              <w:rPr>
                <w:rFonts w:ascii="Bookman Old Style" w:hAnsi="Bookman Old Style" w:cs="Arial"/>
                <w:b/>
                <w:bCs/>
                <w:color w:val="000000"/>
                <w:sz w:val="22"/>
                <w:szCs w:val="22"/>
                <w:lang w:val="es-CO" w:eastAsia="es-CO"/>
              </w:rPr>
            </w:pPr>
            <w:r w:rsidRPr="000E7D3E">
              <w:rPr>
                <w:rFonts w:ascii="Bookman Old Style" w:hAnsi="Bookman Old Style" w:cs="Arial"/>
                <w:b/>
                <w:bCs/>
                <w:color w:val="000000"/>
                <w:sz w:val="22"/>
                <w:szCs w:val="22"/>
                <w:lang w:val="es-CO" w:eastAsia="es-CO"/>
              </w:rPr>
              <w:t>DEPARTAMENTO</w:t>
            </w:r>
          </w:p>
        </w:tc>
      </w:tr>
      <w:tr w:rsidR="00AC418F" w:rsidRPr="008B65B8" w14:paraId="20E5E9B8" w14:textId="77777777" w:rsidTr="00954838">
        <w:trPr>
          <w:trHeight w:val="300"/>
          <w:jc w:val="center"/>
        </w:trPr>
        <w:tc>
          <w:tcPr>
            <w:tcW w:w="1250" w:type="pct"/>
            <w:shd w:val="clear" w:color="auto" w:fill="auto"/>
            <w:noWrap/>
            <w:vAlign w:val="center"/>
          </w:tcPr>
          <w:p w14:paraId="53D4ACCD" w14:textId="77777777" w:rsidR="00AC418F" w:rsidRPr="000E7D3E" w:rsidRDefault="00AC418F"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25781003</w:t>
            </w:r>
          </w:p>
        </w:tc>
        <w:tc>
          <w:tcPr>
            <w:tcW w:w="1250" w:type="pct"/>
            <w:vAlign w:val="center"/>
          </w:tcPr>
          <w:p w14:paraId="20F60C25" w14:textId="77777777" w:rsidR="00AC418F" w:rsidRPr="000E7D3E" w:rsidRDefault="00AC418F" w:rsidP="00954838">
            <w:pPr>
              <w:ind w:left="0"/>
              <w:jc w:val="center"/>
              <w:rPr>
                <w:rFonts w:ascii="Bookman Old Style" w:hAnsi="Bookman Old Style" w:cs="Arial"/>
                <w:color w:val="000000"/>
                <w:sz w:val="22"/>
                <w:szCs w:val="22"/>
                <w:lang w:val="es-CO" w:eastAsia="es-CO"/>
              </w:rPr>
            </w:pPr>
            <w:proofErr w:type="spellStart"/>
            <w:r w:rsidRPr="000E7D3E">
              <w:rPr>
                <w:rFonts w:ascii="Bookman Old Style" w:hAnsi="Bookman Old Style" w:cs="Arial"/>
                <w:color w:val="000000"/>
                <w:sz w:val="22"/>
                <w:szCs w:val="22"/>
                <w:lang w:val="es-CO" w:eastAsia="es-CO"/>
              </w:rPr>
              <w:t>Concubita</w:t>
            </w:r>
            <w:proofErr w:type="spellEnd"/>
          </w:p>
        </w:tc>
        <w:tc>
          <w:tcPr>
            <w:tcW w:w="1250" w:type="pct"/>
            <w:shd w:val="clear" w:color="auto" w:fill="auto"/>
            <w:noWrap/>
            <w:vAlign w:val="center"/>
          </w:tcPr>
          <w:p w14:paraId="1A3C9F7E" w14:textId="77777777" w:rsidR="00AC418F" w:rsidRPr="000E7D3E" w:rsidRDefault="00AC418F" w:rsidP="00954838">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22BF5328" w14:textId="77777777" w:rsidR="00AC418F" w:rsidRPr="000E7D3E" w:rsidRDefault="00AC418F"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AC418F" w:rsidRPr="008B65B8" w14:paraId="2FF39BFE" w14:textId="77777777" w:rsidTr="00954838">
        <w:trPr>
          <w:trHeight w:val="300"/>
          <w:jc w:val="center"/>
        </w:trPr>
        <w:tc>
          <w:tcPr>
            <w:tcW w:w="1250" w:type="pct"/>
            <w:shd w:val="clear" w:color="auto" w:fill="auto"/>
            <w:noWrap/>
            <w:vAlign w:val="center"/>
          </w:tcPr>
          <w:p w14:paraId="2F43F68F" w14:textId="77777777" w:rsidR="00AC418F" w:rsidRPr="000E7D3E" w:rsidRDefault="00AC418F"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25781007</w:t>
            </w:r>
          </w:p>
        </w:tc>
        <w:tc>
          <w:tcPr>
            <w:tcW w:w="1250" w:type="pct"/>
            <w:vAlign w:val="center"/>
          </w:tcPr>
          <w:p w14:paraId="5D56A710" w14:textId="77777777" w:rsidR="00AC418F" w:rsidRPr="000E7D3E" w:rsidRDefault="00AC418F"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Novoa</w:t>
            </w:r>
          </w:p>
        </w:tc>
        <w:tc>
          <w:tcPr>
            <w:tcW w:w="1250" w:type="pct"/>
            <w:shd w:val="clear" w:color="auto" w:fill="auto"/>
            <w:noWrap/>
            <w:vAlign w:val="center"/>
          </w:tcPr>
          <w:p w14:paraId="6053E5DB" w14:textId="77777777" w:rsidR="00AC418F" w:rsidRPr="000E7D3E" w:rsidRDefault="00AC418F" w:rsidP="00954838">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0DA5E29F" w14:textId="77777777" w:rsidR="00AC418F" w:rsidRPr="000E7D3E" w:rsidRDefault="00AC418F"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AC418F" w:rsidRPr="008B65B8" w14:paraId="74D0BB19" w14:textId="77777777" w:rsidTr="00954838">
        <w:trPr>
          <w:trHeight w:val="300"/>
          <w:jc w:val="center"/>
        </w:trPr>
        <w:tc>
          <w:tcPr>
            <w:tcW w:w="1250" w:type="pct"/>
            <w:shd w:val="clear" w:color="auto" w:fill="auto"/>
            <w:noWrap/>
            <w:vAlign w:val="center"/>
          </w:tcPr>
          <w:p w14:paraId="2FB43BE3" w14:textId="77777777" w:rsidR="00AC418F" w:rsidRPr="000E7D3E" w:rsidRDefault="00AC418F"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25781008</w:t>
            </w:r>
          </w:p>
        </w:tc>
        <w:tc>
          <w:tcPr>
            <w:tcW w:w="1250" w:type="pct"/>
            <w:vAlign w:val="center"/>
          </w:tcPr>
          <w:p w14:paraId="306A3A6C" w14:textId="77777777" w:rsidR="00AC418F" w:rsidRPr="000E7D3E" w:rsidRDefault="00AC418F"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Palacio</w:t>
            </w:r>
          </w:p>
        </w:tc>
        <w:tc>
          <w:tcPr>
            <w:tcW w:w="1250" w:type="pct"/>
            <w:shd w:val="clear" w:color="auto" w:fill="auto"/>
            <w:noWrap/>
            <w:vAlign w:val="center"/>
          </w:tcPr>
          <w:p w14:paraId="76501B98" w14:textId="77777777" w:rsidR="00AC418F" w:rsidRPr="000E7D3E" w:rsidRDefault="00AC418F" w:rsidP="00954838">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7A3F98AA" w14:textId="77777777" w:rsidR="00AC418F" w:rsidRPr="000E7D3E" w:rsidRDefault="00AC418F"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AC418F" w:rsidRPr="008B65B8" w14:paraId="3B1E67E8" w14:textId="77777777" w:rsidTr="00954838">
        <w:trPr>
          <w:trHeight w:val="300"/>
          <w:jc w:val="center"/>
        </w:trPr>
        <w:tc>
          <w:tcPr>
            <w:tcW w:w="1250" w:type="pct"/>
            <w:shd w:val="clear" w:color="auto" w:fill="auto"/>
            <w:noWrap/>
            <w:vAlign w:val="center"/>
          </w:tcPr>
          <w:p w14:paraId="06A6AC57" w14:textId="77777777" w:rsidR="00AC418F" w:rsidRPr="000E7D3E" w:rsidRDefault="00AC418F"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25781010</w:t>
            </w:r>
          </w:p>
        </w:tc>
        <w:tc>
          <w:tcPr>
            <w:tcW w:w="1250" w:type="pct"/>
            <w:vAlign w:val="center"/>
          </w:tcPr>
          <w:p w14:paraId="432E3BA1" w14:textId="77777777" w:rsidR="00AC418F" w:rsidRPr="000E7D3E" w:rsidRDefault="00AC418F"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Peñas de Boquerón</w:t>
            </w:r>
          </w:p>
        </w:tc>
        <w:tc>
          <w:tcPr>
            <w:tcW w:w="1250" w:type="pct"/>
            <w:shd w:val="clear" w:color="auto" w:fill="auto"/>
            <w:noWrap/>
            <w:vAlign w:val="center"/>
          </w:tcPr>
          <w:p w14:paraId="5FB267E7" w14:textId="77777777" w:rsidR="00AC418F" w:rsidRPr="000E7D3E" w:rsidRDefault="00AC418F" w:rsidP="00954838">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5A48EFA5" w14:textId="77777777" w:rsidR="00AC418F" w:rsidRPr="000E7D3E" w:rsidRDefault="00AC418F"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AC418F" w:rsidRPr="008B65B8" w14:paraId="4DE9E7C2" w14:textId="77777777" w:rsidTr="00954838">
        <w:trPr>
          <w:trHeight w:val="300"/>
          <w:jc w:val="center"/>
        </w:trPr>
        <w:tc>
          <w:tcPr>
            <w:tcW w:w="1250" w:type="pct"/>
            <w:shd w:val="clear" w:color="auto" w:fill="auto"/>
            <w:noWrap/>
            <w:vAlign w:val="center"/>
          </w:tcPr>
          <w:p w14:paraId="1884F664" w14:textId="77777777" w:rsidR="00AC418F" w:rsidRPr="000E7D3E" w:rsidRDefault="00AC418F"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25781011</w:t>
            </w:r>
          </w:p>
        </w:tc>
        <w:tc>
          <w:tcPr>
            <w:tcW w:w="1250" w:type="pct"/>
            <w:vAlign w:val="center"/>
          </w:tcPr>
          <w:p w14:paraId="3FED1C44" w14:textId="77777777" w:rsidR="00AC418F" w:rsidRPr="000E7D3E" w:rsidRDefault="00AC418F"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Peñas de Cajón</w:t>
            </w:r>
          </w:p>
        </w:tc>
        <w:tc>
          <w:tcPr>
            <w:tcW w:w="1250" w:type="pct"/>
            <w:shd w:val="clear" w:color="auto" w:fill="auto"/>
            <w:noWrap/>
            <w:vAlign w:val="center"/>
          </w:tcPr>
          <w:p w14:paraId="0662308D" w14:textId="77777777" w:rsidR="00AC418F" w:rsidRPr="000E7D3E" w:rsidRDefault="00AC418F" w:rsidP="00954838">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7FED4E83" w14:textId="77777777" w:rsidR="00AC418F" w:rsidRPr="000E7D3E" w:rsidRDefault="00AC418F"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AC418F" w:rsidRPr="008B65B8" w14:paraId="490E5954" w14:textId="77777777" w:rsidTr="00954838">
        <w:trPr>
          <w:trHeight w:val="300"/>
          <w:jc w:val="center"/>
        </w:trPr>
        <w:tc>
          <w:tcPr>
            <w:tcW w:w="1250" w:type="pct"/>
            <w:shd w:val="clear" w:color="auto" w:fill="auto"/>
            <w:noWrap/>
            <w:vAlign w:val="center"/>
          </w:tcPr>
          <w:p w14:paraId="216CD42C" w14:textId="77777777" w:rsidR="00AC418F" w:rsidRPr="000E7D3E" w:rsidRDefault="00AC418F"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25781013</w:t>
            </w:r>
          </w:p>
        </w:tc>
        <w:tc>
          <w:tcPr>
            <w:tcW w:w="1250" w:type="pct"/>
            <w:vAlign w:val="center"/>
          </w:tcPr>
          <w:p w14:paraId="67145587" w14:textId="77777777" w:rsidR="00AC418F" w:rsidRPr="000E7D3E" w:rsidRDefault="00AC418F"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Santa B</w:t>
            </w:r>
            <w:r>
              <w:rPr>
                <w:rFonts w:ascii="Bookman Old Style" w:hAnsi="Bookman Old Style" w:cs="Arial"/>
                <w:color w:val="000000"/>
                <w:sz w:val="22"/>
                <w:szCs w:val="22"/>
                <w:lang w:val="es-CO" w:eastAsia="es-CO"/>
              </w:rPr>
              <w:t>á</w:t>
            </w:r>
            <w:r w:rsidRPr="000E7D3E">
              <w:rPr>
                <w:rFonts w:ascii="Bookman Old Style" w:hAnsi="Bookman Old Style" w:cs="Arial"/>
                <w:color w:val="000000"/>
                <w:sz w:val="22"/>
                <w:szCs w:val="22"/>
                <w:lang w:val="es-CO" w:eastAsia="es-CO"/>
              </w:rPr>
              <w:t>rbara</w:t>
            </w:r>
          </w:p>
        </w:tc>
        <w:tc>
          <w:tcPr>
            <w:tcW w:w="1250" w:type="pct"/>
            <w:shd w:val="clear" w:color="auto" w:fill="auto"/>
            <w:noWrap/>
            <w:vAlign w:val="center"/>
          </w:tcPr>
          <w:p w14:paraId="12220911" w14:textId="77777777" w:rsidR="00AC418F" w:rsidRPr="000E7D3E" w:rsidRDefault="00AC418F" w:rsidP="00954838">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3EC28FAB" w14:textId="77777777" w:rsidR="00AC418F" w:rsidRPr="000E7D3E" w:rsidRDefault="00AC418F"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AC418F" w:rsidRPr="008B65B8" w14:paraId="04470357" w14:textId="77777777" w:rsidTr="00954838">
        <w:trPr>
          <w:trHeight w:val="300"/>
          <w:jc w:val="center"/>
        </w:trPr>
        <w:tc>
          <w:tcPr>
            <w:tcW w:w="1250" w:type="pct"/>
            <w:shd w:val="clear" w:color="auto" w:fill="auto"/>
            <w:noWrap/>
            <w:vAlign w:val="center"/>
          </w:tcPr>
          <w:p w14:paraId="4685CCEC" w14:textId="77777777" w:rsidR="00AC418F" w:rsidRPr="000E7D3E" w:rsidRDefault="00AC418F"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25224016</w:t>
            </w:r>
          </w:p>
        </w:tc>
        <w:tc>
          <w:tcPr>
            <w:tcW w:w="1250" w:type="pct"/>
            <w:vAlign w:val="center"/>
          </w:tcPr>
          <w:p w14:paraId="161358AC" w14:textId="77777777" w:rsidR="00AC418F" w:rsidRPr="000E7D3E" w:rsidRDefault="00AC418F"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Peñas</w:t>
            </w:r>
          </w:p>
        </w:tc>
        <w:tc>
          <w:tcPr>
            <w:tcW w:w="1250" w:type="pct"/>
            <w:shd w:val="clear" w:color="auto" w:fill="auto"/>
            <w:noWrap/>
            <w:vAlign w:val="center"/>
          </w:tcPr>
          <w:p w14:paraId="7F3D7747" w14:textId="77777777" w:rsidR="00AC418F" w:rsidRPr="000E7D3E" w:rsidRDefault="00AC418F" w:rsidP="00954838">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Cucunubá</w:t>
            </w:r>
          </w:p>
        </w:tc>
        <w:tc>
          <w:tcPr>
            <w:tcW w:w="1250" w:type="pct"/>
            <w:shd w:val="clear" w:color="auto" w:fill="auto"/>
            <w:noWrap/>
            <w:vAlign w:val="center"/>
          </w:tcPr>
          <w:p w14:paraId="7415D2DB" w14:textId="77777777" w:rsidR="00AC418F" w:rsidRPr="000E7D3E" w:rsidRDefault="00AC418F" w:rsidP="00954838">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bl>
    <w:bookmarkEnd w:id="2"/>
    <w:p w14:paraId="23F5B0AD" w14:textId="3A325C69"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Style w:val="Tablaconcuadrcula"/>
        <w:tblW w:w="5000" w:type="pct"/>
        <w:jc w:val="center"/>
        <w:tblLook w:val="04A0" w:firstRow="1" w:lastRow="0" w:firstColumn="1" w:lastColumn="0" w:noHBand="0" w:noVBand="1"/>
      </w:tblPr>
      <w:tblGrid>
        <w:gridCol w:w="6595"/>
        <w:gridCol w:w="2751"/>
      </w:tblGrid>
      <w:tr w:rsidR="009C0166" w14:paraId="0359EF4D" w14:textId="77777777" w:rsidTr="00CB3E73">
        <w:trPr>
          <w:trHeight w:val="660"/>
          <w:jc w:val="center"/>
        </w:trPr>
        <w:tc>
          <w:tcPr>
            <w:tcW w:w="3528" w:type="pct"/>
            <w:shd w:val="clear" w:color="auto" w:fill="BFBFBF" w:themeFill="background1" w:themeFillShade="BF"/>
            <w:vAlign w:val="center"/>
          </w:tcPr>
          <w:p w14:paraId="0A280235" w14:textId="2680AA80" w:rsidR="009C0166" w:rsidRDefault="002058C0" w:rsidP="002058C0">
            <w:pPr>
              <w:widowControl w:val="0"/>
              <w:adjustRightInd w:val="0"/>
              <w:spacing w:before="240" w:after="240"/>
              <w:ind w:left="0" w:right="23"/>
              <w:jc w:val="center"/>
              <w:rPr>
                <w:rFonts w:ascii="Bookman Old Style" w:hAnsi="Bookman Old Style" w:cs="Arial"/>
              </w:rPr>
            </w:pPr>
            <w:r w:rsidRPr="00012034">
              <w:rPr>
                <w:rFonts w:ascii="Bookman Old Style" w:hAnsi="Bookman Old Style" w:cs="Arial"/>
                <w:b/>
                <w:sz w:val="22"/>
                <w:szCs w:val="22"/>
                <w:lang w:val="es-CO"/>
              </w:rPr>
              <w:t>Cargo de Comercialización ($/factura)</w:t>
            </w:r>
          </w:p>
        </w:tc>
        <w:tc>
          <w:tcPr>
            <w:tcW w:w="1472" w:type="pct"/>
            <w:vAlign w:val="center"/>
          </w:tcPr>
          <w:p w14:paraId="3BE961CE" w14:textId="0D326173" w:rsidR="009C0166" w:rsidRDefault="002058C0" w:rsidP="002058C0">
            <w:pPr>
              <w:widowControl w:val="0"/>
              <w:adjustRightInd w:val="0"/>
              <w:spacing w:before="240" w:after="240"/>
              <w:ind w:left="0" w:right="23"/>
              <w:jc w:val="center"/>
              <w:rPr>
                <w:rFonts w:ascii="Bookman Old Style" w:hAnsi="Bookman Old Style" w:cs="Arial"/>
              </w:rPr>
            </w:pPr>
            <w:r w:rsidRPr="00363C4E">
              <w:rPr>
                <w:rFonts w:ascii="Bookman Old Style" w:hAnsi="Bookman Old Style" w:cs="Arial"/>
                <w:sz w:val="22"/>
                <w:szCs w:val="22"/>
                <w:lang w:val="es-CO"/>
              </w:rPr>
              <w:t xml:space="preserve">$ </w:t>
            </w:r>
            <w:r w:rsidR="00363C4E" w:rsidRPr="00363C4E">
              <w:rPr>
                <w:rFonts w:ascii="Bookman Old Style" w:hAnsi="Bookman Old Style" w:cs="Arial"/>
                <w:sz w:val="22"/>
                <w:szCs w:val="22"/>
                <w:lang w:val="es-CO"/>
              </w:rPr>
              <w:t>5,4</w:t>
            </w:r>
            <w:r w:rsidR="005A7054">
              <w:rPr>
                <w:rFonts w:ascii="Bookman Old Style" w:hAnsi="Bookman Old Style" w:cs="Arial"/>
                <w:sz w:val="22"/>
                <w:szCs w:val="22"/>
                <w:lang w:val="es-CO"/>
              </w:rPr>
              <w:t>0</w:t>
            </w:r>
            <w:r w:rsidR="00363C4E" w:rsidRPr="00363C4E">
              <w:rPr>
                <w:rFonts w:ascii="Bookman Old Style" w:hAnsi="Bookman Old Style" w:cs="Arial"/>
                <w:sz w:val="22"/>
                <w:szCs w:val="22"/>
                <w:lang w:val="es-CO"/>
              </w:rPr>
              <w:t>9.</w:t>
            </w:r>
            <w:r w:rsidR="005A7054">
              <w:rPr>
                <w:rFonts w:ascii="Bookman Old Style" w:hAnsi="Bookman Old Style" w:cs="Arial"/>
                <w:sz w:val="22"/>
                <w:szCs w:val="22"/>
                <w:lang w:val="es-CO"/>
              </w:rPr>
              <w:t>63</w:t>
            </w:r>
          </w:p>
        </w:tc>
      </w:tr>
    </w:tbl>
    <w:p w14:paraId="4ECB84DA" w14:textId="73D4AAE5" w:rsidR="00B04D7B" w:rsidRPr="00D0649A" w:rsidRDefault="00B04D7B" w:rsidP="00B04D7B">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005A7054">
        <w:rPr>
          <w:rFonts w:ascii="Bookman Old Style" w:hAnsi="Bookman Old Style" w:cs="Arial"/>
          <w:sz w:val="16"/>
          <w:lang w:val="es-CO" w:eastAsia="x-none"/>
        </w:rPr>
        <w:t>19</w:t>
      </w:r>
    </w:p>
    <w:p w14:paraId="70B49056" w14:textId="77777777" w:rsidR="00B04D7B" w:rsidRPr="00772807"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011 de 2003.</w:t>
      </w:r>
    </w:p>
    <w:p w14:paraId="5A1217B8" w14:textId="397FABFB"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A13A87">
        <w:rPr>
          <w:rFonts w:ascii="Bookman Old Style" w:hAnsi="Bookman Old Style" w:cs="Arial"/>
        </w:rPr>
        <w:t>,</w:t>
      </w:r>
      <w:r w:rsidRPr="000B0E98">
        <w:rPr>
          <w:rFonts w:ascii="Bookman Old Style" w:hAnsi="Bookman Old Style" w:cs="Arial"/>
        </w:rPr>
        <w:t xml:space="preserve"> continuará rigiendo mientras la Comisión no fije </w:t>
      </w:r>
      <w:r w:rsidR="00A13A87">
        <w:rPr>
          <w:rFonts w:ascii="Bookman Old Style" w:hAnsi="Bookman Old Style" w:cs="Arial"/>
        </w:rPr>
        <w:t>uno nuevo</w:t>
      </w:r>
      <w:r w:rsidRPr="000B0E98">
        <w:rPr>
          <w:rFonts w:ascii="Bookman Old Style" w:hAnsi="Bookman Old Style" w:cs="Arial"/>
        </w:rPr>
        <w:t>, tal como está previsto en el artículo 126 de la Ley 142 de 1994.</w:t>
      </w:r>
    </w:p>
    <w:p w14:paraId="0324DE04"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lastRenderedPageBreak/>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3865EFB5"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39A9CBB2" w14:textId="77777777" w:rsidR="00B04D7B" w:rsidRPr="00956A84" w:rsidRDefault="00B04D7B" w:rsidP="00B04D7B">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41F84D72" w14:textId="5558FAA5" w:rsidR="00B04D7B" w:rsidRPr="00772807" w:rsidRDefault="00B04D7B" w:rsidP="00B13F96">
      <w:pPr>
        <w:widowControl w:val="0"/>
        <w:adjustRightInd w:val="0"/>
        <w:spacing w:before="240"/>
        <w:ind w:left="0" w:right="23"/>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A13A87">
        <w:rPr>
          <w:rFonts w:ascii="Bookman Old Style" w:hAnsi="Bookman Old Style" w:cs="Arial"/>
        </w:rPr>
        <w:t xml:space="preserve"> </w:t>
      </w:r>
      <w:r w:rsidRPr="00327FC7">
        <w:rPr>
          <w:rFonts w:ascii="Bookman Old Style" w:hAnsi="Bookman Old Style" w:cs="Arial"/>
        </w:rPr>
        <w:t>137 de 2013. Vencido este período</w:t>
      </w:r>
      <w:r w:rsidR="00A13A87">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Pr>
          <w:rFonts w:ascii="Bookman Old Style" w:hAnsi="Bookman Old Style" w:cs="Arial"/>
        </w:rPr>
        <w:t>un</w:t>
      </w:r>
      <w:r w:rsidR="00A13A87">
        <w:rPr>
          <w:rFonts w:ascii="Bookman Old Style" w:hAnsi="Bookman Old Style" w:cs="Arial"/>
        </w:rPr>
        <w:t>as</w:t>
      </w:r>
      <w:r>
        <w:rPr>
          <w:rFonts w:ascii="Bookman Old Style" w:hAnsi="Bookman Old Style" w:cs="Arial"/>
        </w:rPr>
        <w:t xml:space="preserve"> nuev</w:t>
      </w:r>
      <w:r w:rsidR="00A13A87">
        <w:rPr>
          <w:rFonts w:ascii="Bookman Old Style" w:hAnsi="Bookman Old Style" w:cs="Arial"/>
        </w:rPr>
        <w:t>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493F94B0"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2738011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2A8E0747" w14:textId="170B0375" w:rsidR="00B04D7B" w:rsidRPr="00772807" w:rsidRDefault="00B04D7B" w:rsidP="00B04D7B">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la empresa </w:t>
      </w:r>
      <w:r w:rsidR="00A96418">
        <w:rPr>
          <w:rFonts w:ascii="Bookman Old Style" w:hAnsi="Bookman Old Style" w:cs="Arial"/>
          <w:lang w:val="es-CO"/>
        </w:rPr>
        <w:t>ENERGY GAS</w:t>
      </w:r>
      <w:r w:rsidR="00C17F33" w:rsidRPr="00816033">
        <w:rPr>
          <w:rFonts w:ascii="Bookman Old Style" w:hAnsi="Bookman Old Style" w:cs="Arial"/>
          <w:lang w:val="es-CO"/>
        </w:rPr>
        <w:t xml:space="preserve"> S.A.S. E.S.P.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B61CEE">
        <w:rPr>
          <w:rFonts w:ascii="Bookman Old Style" w:hAnsi="Bookman Old Style" w:cs="Arial"/>
          <w:spacing w:val="-4"/>
        </w:rPr>
        <w:t>. C</w:t>
      </w:r>
      <w:r w:rsidRPr="00772807">
        <w:rPr>
          <w:rFonts w:ascii="Bookman Old Style" w:hAnsi="Bookman Old Style" w:cs="Arial"/>
          <w:spacing w:val="-4"/>
        </w:rPr>
        <w:t xml:space="preserve">ontra las disposiciones contenidas en esta Resolución procede el Recurso de Reposición, el cual podrá interponerse ante la Dirección Ejecutiva de la CREG dentro de los cinco (5) días hábiles siguientes a la fecha de su notificación. </w:t>
      </w:r>
    </w:p>
    <w:p w14:paraId="25B9EC50" w14:textId="77777777" w:rsidR="00B04D7B" w:rsidRDefault="00B04D7B" w:rsidP="00B04D7B">
      <w:pPr>
        <w:widowControl w:val="0"/>
        <w:adjustRightInd w:val="0"/>
        <w:ind w:left="0" w:right="20"/>
        <w:jc w:val="center"/>
        <w:rPr>
          <w:rFonts w:ascii="Bookman Old Style" w:hAnsi="Bookman Old Style" w:cs="Arial"/>
          <w:b/>
        </w:rPr>
      </w:pPr>
    </w:p>
    <w:p w14:paraId="68AB7168" w14:textId="77777777" w:rsidR="00B04D7B" w:rsidRPr="00772807" w:rsidRDefault="00B04D7B" w:rsidP="00B04D7B">
      <w:pPr>
        <w:widowControl w:val="0"/>
        <w:adjustRightInd w:val="0"/>
        <w:ind w:left="0" w:right="20"/>
        <w:jc w:val="center"/>
        <w:rPr>
          <w:rFonts w:ascii="Bookman Old Style" w:hAnsi="Bookman Old Style" w:cs="Arial"/>
          <w:b/>
        </w:rPr>
      </w:pPr>
    </w:p>
    <w:p w14:paraId="142A9367" w14:textId="77777777" w:rsidR="00B04D7B" w:rsidRPr="00772807" w:rsidRDefault="00B04D7B" w:rsidP="00B04D7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B04D7B">
      <w:pPr>
        <w:widowControl w:val="0"/>
        <w:adjustRightInd w:val="0"/>
        <w:ind w:left="0" w:right="20"/>
        <w:jc w:val="both"/>
        <w:rPr>
          <w:rFonts w:ascii="Bookman Old Style" w:hAnsi="Bookman Old Style" w:cs="Arial"/>
        </w:rPr>
      </w:pPr>
    </w:p>
    <w:p w14:paraId="1270877A" w14:textId="692289A6" w:rsidR="00B04D7B" w:rsidRDefault="00B04D7B" w:rsidP="00B04D7B">
      <w:pPr>
        <w:widowControl w:val="0"/>
        <w:adjustRightInd w:val="0"/>
        <w:ind w:left="0" w:right="20"/>
        <w:jc w:val="both"/>
        <w:rPr>
          <w:rFonts w:ascii="Bookman Old Style" w:hAnsi="Bookman Old Style" w:cs="Arial"/>
        </w:rPr>
      </w:pPr>
      <w:r w:rsidRPr="00772807">
        <w:rPr>
          <w:rFonts w:ascii="Bookman Old Style" w:hAnsi="Bookman Old Style" w:cs="Arial"/>
        </w:rPr>
        <w:t xml:space="preserve">Dada en Bogotá, D.C. </w:t>
      </w:r>
      <w:r w:rsidR="00B13F96" w:rsidRPr="00B13F96">
        <w:rPr>
          <w:rFonts w:ascii="Bookman Old Style" w:hAnsi="Bookman Old Style" w:cs="Arial"/>
          <w:b/>
          <w:bCs/>
        </w:rPr>
        <w:t>05 MAY. 2021</w:t>
      </w:r>
    </w:p>
    <w:p w14:paraId="020A205A" w14:textId="77777777" w:rsidR="00B04D7B" w:rsidRDefault="00B04D7B" w:rsidP="00B04D7B">
      <w:pPr>
        <w:widowControl w:val="0"/>
        <w:adjustRightInd w:val="0"/>
        <w:ind w:left="0" w:right="20"/>
        <w:jc w:val="both"/>
        <w:rPr>
          <w:rFonts w:ascii="Bookman Old Style" w:hAnsi="Bookman Old Style" w:cs="Arial"/>
        </w:rPr>
      </w:pPr>
    </w:p>
    <w:p w14:paraId="5987C5AE" w14:textId="427D0F16" w:rsidR="00B04D7B" w:rsidRDefault="00B04D7B" w:rsidP="00B04D7B">
      <w:pPr>
        <w:widowControl w:val="0"/>
        <w:adjustRightInd w:val="0"/>
        <w:ind w:left="0"/>
        <w:jc w:val="center"/>
        <w:rPr>
          <w:rFonts w:ascii="Bookman Old Style" w:hAnsi="Bookman Old Style" w:cs="Arial"/>
          <w:bCs/>
          <w:sz w:val="20"/>
        </w:rPr>
      </w:pPr>
    </w:p>
    <w:p w14:paraId="52B8A172" w14:textId="1016862E" w:rsidR="006D0F3E" w:rsidRDefault="006D0F3E" w:rsidP="00B04D7B">
      <w:pPr>
        <w:widowControl w:val="0"/>
        <w:adjustRightInd w:val="0"/>
        <w:ind w:left="0"/>
        <w:jc w:val="center"/>
        <w:rPr>
          <w:rFonts w:ascii="Bookman Old Style" w:hAnsi="Bookman Old Style" w:cs="Arial"/>
          <w:bCs/>
          <w:sz w:val="20"/>
        </w:rPr>
      </w:pPr>
    </w:p>
    <w:p w14:paraId="4B265E8A" w14:textId="37D51875" w:rsidR="006D0F3E" w:rsidRDefault="006D0F3E" w:rsidP="00B04D7B">
      <w:pPr>
        <w:widowControl w:val="0"/>
        <w:adjustRightInd w:val="0"/>
        <w:ind w:left="0"/>
        <w:jc w:val="center"/>
        <w:rPr>
          <w:rFonts w:ascii="Bookman Old Style" w:hAnsi="Bookman Old Style" w:cs="Arial"/>
          <w:bCs/>
          <w:sz w:val="20"/>
        </w:rPr>
      </w:pPr>
    </w:p>
    <w:p w14:paraId="0E8568E8" w14:textId="77777777" w:rsidR="002A2D93" w:rsidRPr="001954E9" w:rsidRDefault="002A2D93" w:rsidP="00B04D7B">
      <w:pPr>
        <w:widowControl w:val="0"/>
        <w:adjustRightInd w:val="0"/>
        <w:ind w:left="0"/>
        <w:jc w:val="center"/>
        <w:rPr>
          <w:rFonts w:ascii="Bookman Old Style" w:hAnsi="Bookman Old Style" w:cs="Arial"/>
          <w:bCs/>
          <w:sz w:val="20"/>
        </w:rPr>
      </w:pPr>
    </w:p>
    <w:p w14:paraId="48B78BC4" w14:textId="77777777" w:rsidR="00B04D7B" w:rsidRDefault="00B04D7B" w:rsidP="00B04D7B">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6"/>
      </w:tblGrid>
      <w:tr w:rsidR="002A2D93" w14:paraId="1344353D" w14:textId="77777777" w:rsidTr="00FB0601">
        <w:tc>
          <w:tcPr>
            <w:tcW w:w="4744" w:type="dxa"/>
          </w:tcPr>
          <w:p w14:paraId="6F1935EE"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3536D2DD"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2A2D93" w14:paraId="5345A359" w14:textId="77777777" w:rsidTr="00FB0601">
        <w:tc>
          <w:tcPr>
            <w:tcW w:w="4744" w:type="dxa"/>
          </w:tcPr>
          <w:p w14:paraId="3ABB2D8B" w14:textId="48E8185D"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B13F96">
              <w:rPr>
                <w:rFonts w:ascii="Bookman Old Style" w:hAnsi="Bookman Old Style"/>
              </w:rPr>
              <w:t xml:space="preserve">, </w:t>
            </w:r>
            <w:proofErr w:type="gramStart"/>
            <w:r w:rsidR="00B13F96">
              <w:rPr>
                <w:rFonts w:ascii="Bookman Old Style" w:hAnsi="Bookman Old Style"/>
              </w:rPr>
              <w:t>Delegado</w:t>
            </w:r>
            <w:proofErr w:type="gramEnd"/>
          </w:p>
        </w:tc>
        <w:tc>
          <w:tcPr>
            <w:tcW w:w="4744" w:type="dxa"/>
          </w:tcPr>
          <w:p w14:paraId="39CEF2CE"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2A2D93" w14:paraId="2BE662CE" w14:textId="77777777" w:rsidTr="00FB0601">
        <w:tc>
          <w:tcPr>
            <w:tcW w:w="4744" w:type="dxa"/>
          </w:tcPr>
          <w:p w14:paraId="3198775B" w14:textId="0AFB7677" w:rsidR="002A2D93" w:rsidRPr="00C23C35" w:rsidRDefault="002A2D93" w:rsidP="00FB0601">
            <w:pPr>
              <w:ind w:left="66"/>
              <w:jc w:val="center"/>
              <w:rPr>
                <w:rFonts w:ascii="Bookman Old Style" w:hAnsi="Bookman Old Style"/>
              </w:rPr>
            </w:pPr>
            <w:r w:rsidRPr="00C23C35">
              <w:rPr>
                <w:rFonts w:ascii="Bookman Old Style" w:hAnsi="Bookman Old Style"/>
              </w:rPr>
              <w:t xml:space="preserve">del </w:t>
            </w:r>
            <w:proofErr w:type="gramStart"/>
            <w:r w:rsidRPr="00C23C35">
              <w:rPr>
                <w:rFonts w:ascii="Bookman Old Style" w:hAnsi="Bookman Old Style"/>
              </w:rPr>
              <w:t>Ministro</w:t>
            </w:r>
            <w:proofErr w:type="gramEnd"/>
            <w:r w:rsidRPr="00C23C35">
              <w:rPr>
                <w:rFonts w:ascii="Bookman Old Style" w:hAnsi="Bookman Old Style"/>
              </w:rPr>
              <w:t xml:space="preserve"> de Minas y Energía</w:t>
            </w:r>
          </w:p>
        </w:tc>
        <w:tc>
          <w:tcPr>
            <w:tcW w:w="4744" w:type="dxa"/>
          </w:tcPr>
          <w:p w14:paraId="4127B8B9" w14:textId="77777777" w:rsidR="002A2D93" w:rsidRPr="00C23C35" w:rsidRDefault="002A2D93" w:rsidP="00FB0601">
            <w:pPr>
              <w:widowControl w:val="0"/>
              <w:adjustRightInd w:val="0"/>
              <w:ind w:left="0"/>
              <w:jc w:val="center"/>
              <w:rPr>
                <w:rFonts w:ascii="Bookman Old Style" w:hAnsi="Bookman Old Style" w:cs="Arial"/>
                <w:bCs/>
              </w:rPr>
            </w:pPr>
          </w:p>
        </w:tc>
      </w:tr>
      <w:tr w:rsidR="002A2D93" w14:paraId="15683C88" w14:textId="77777777" w:rsidTr="00FB0601">
        <w:tc>
          <w:tcPr>
            <w:tcW w:w="4744" w:type="dxa"/>
          </w:tcPr>
          <w:p w14:paraId="40694B42"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2278F553" w14:textId="77777777" w:rsidR="002A2D93" w:rsidRPr="00C23C35" w:rsidRDefault="002A2D93" w:rsidP="00FB0601">
            <w:pPr>
              <w:widowControl w:val="0"/>
              <w:adjustRightInd w:val="0"/>
              <w:ind w:left="0"/>
              <w:jc w:val="center"/>
              <w:rPr>
                <w:rFonts w:ascii="Bookman Old Style" w:hAnsi="Bookman Old Style" w:cs="Arial"/>
                <w:bCs/>
              </w:rPr>
            </w:pPr>
          </w:p>
        </w:tc>
      </w:tr>
    </w:tbl>
    <w:p w14:paraId="7A760F32" w14:textId="77777777" w:rsidR="00666168" w:rsidRDefault="00666168" w:rsidP="002A2D93">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6170E" w14:textId="77777777" w:rsidR="000358FA" w:rsidRDefault="000358FA">
      <w:r>
        <w:separator/>
      </w:r>
    </w:p>
  </w:endnote>
  <w:endnote w:type="continuationSeparator" w:id="0">
    <w:p w14:paraId="752CAD07" w14:textId="77777777" w:rsidR="000358FA" w:rsidRDefault="0003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45326" w14:textId="77777777" w:rsidR="000358FA" w:rsidRDefault="000358FA">
      <w:r>
        <w:separator/>
      </w:r>
    </w:p>
  </w:footnote>
  <w:footnote w:type="continuationSeparator" w:id="0">
    <w:p w14:paraId="2C401042" w14:textId="77777777" w:rsidR="000358FA" w:rsidRDefault="000358FA">
      <w:r>
        <w:continuationSeparator/>
      </w:r>
    </w:p>
  </w:footnote>
  <w:footnote w:id="1">
    <w:p w14:paraId="607AD02C" w14:textId="05681F08" w:rsidR="00B04D7B" w:rsidRPr="009353D2" w:rsidRDefault="00B04D7B" w:rsidP="00FE10B2">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00FE10B2">
        <w:rPr>
          <w:rFonts w:ascii="Bookman Old Style" w:hAnsi="Bookman Old Style"/>
          <w:sz w:val="16"/>
          <w:szCs w:val="16"/>
        </w:rPr>
        <w:tab/>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4C6A" w14:textId="223D0CDB" w:rsidR="00B72378" w:rsidRDefault="00B72378" w:rsidP="00951F79">
    <w:pPr>
      <w:pStyle w:val="Ttulo1"/>
      <w:ind w:right="6"/>
      <w:jc w:val="left"/>
      <w:rPr>
        <w:rFonts w:ascii="Bookman Old Style" w:hAnsi="Bookman Old Style" w:cs="Arial"/>
        <w:b w:val="0"/>
        <w:sz w:val="22"/>
        <w:szCs w:val="22"/>
      </w:rPr>
    </w:pPr>
  </w:p>
  <w:p w14:paraId="5294690F" w14:textId="023C806D"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Pr>
        <w:rFonts w:ascii="Bookman Old Style" w:hAnsi="Bookman Old Style" w:cs="Arial"/>
        <w:b w:val="0"/>
        <w:sz w:val="22"/>
        <w:szCs w:val="22"/>
      </w:rPr>
      <w:t xml:space="preserve">  </w:t>
    </w:r>
    <w:r w:rsidR="00B13F96" w:rsidRPr="00B13F96">
      <w:rPr>
        <w:rFonts w:ascii="Bookman Old Style" w:hAnsi="Bookman Old Style" w:cs="Arial"/>
        <w:bCs/>
        <w:szCs w:val="24"/>
        <w:u w:val="single"/>
      </w:rPr>
      <w:t>058</w:t>
    </w:r>
    <w:proofErr w:type="gramEnd"/>
    <w:r w:rsidR="00B13F96">
      <w:rPr>
        <w:rFonts w:ascii="Bookman Old Style" w:hAnsi="Bookman Old Style" w:cs="Arial"/>
        <w:b w:val="0"/>
        <w:sz w:val="22"/>
        <w:szCs w:val="22"/>
        <w:u w:val="single"/>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DE</w:t>
    </w:r>
    <w:r w:rsidR="00C50187">
      <w:rPr>
        <w:rFonts w:ascii="Bookman Old Style" w:hAnsi="Bookman Old Style" w:cs="Arial"/>
        <w:b w:val="0"/>
        <w:sz w:val="22"/>
        <w:szCs w:val="22"/>
      </w:rPr>
      <w:t xml:space="preserve"> </w:t>
    </w:r>
    <w:r w:rsidR="00C50187">
      <w:rPr>
        <w:rFonts w:ascii="Bookman Old Style" w:hAnsi="Bookman Old Style" w:cs="Arial"/>
        <w:b w:val="0"/>
        <w:sz w:val="22"/>
        <w:szCs w:val="22"/>
        <w:u w:val="single"/>
      </w:rPr>
      <w:t xml:space="preserve">  </w:t>
    </w:r>
    <w:r w:rsidR="00B13F96" w:rsidRPr="00B13F96">
      <w:rPr>
        <w:rFonts w:ascii="Bookman Old Style" w:hAnsi="Bookman Old Style" w:cs="Arial"/>
        <w:bCs/>
        <w:sz w:val="22"/>
        <w:szCs w:val="22"/>
        <w:u w:val="single"/>
      </w:rPr>
      <w:t xml:space="preserve">05 MAY. 2021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B06F0">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CE62A4">
      <w:fldChar w:fldCharType="begin"/>
    </w:r>
    <w:r w:rsidR="00CE62A4">
      <w:instrText xml:space="preserve"> NUMPAGES  \* MERGEFORMAT </w:instrText>
    </w:r>
    <w:r w:rsidR="00CE62A4">
      <w:fldChar w:fldCharType="separate"/>
    </w:r>
    <w:r w:rsidR="00AB06F0" w:rsidRPr="00AB06F0">
      <w:rPr>
        <w:rFonts w:ascii="Bookman Old Style" w:hAnsi="Bookman Old Style" w:cs="Arial"/>
        <w:b w:val="0"/>
        <w:noProof/>
        <w:sz w:val="22"/>
        <w:szCs w:val="22"/>
      </w:rPr>
      <w:t>5</w:t>
    </w:r>
    <w:r w:rsidR="00CE62A4">
      <w:rPr>
        <w:rFonts w:ascii="Bookman Old Style" w:hAnsi="Bookman Old Style" w:cs="Arial"/>
        <w:b w:val="0"/>
        <w:noProof/>
        <w:sz w:val="22"/>
        <w:szCs w:val="22"/>
      </w:rPr>
      <w:fldChar w:fldCharType="end"/>
    </w:r>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val="es-CO"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3415025B" w14:textId="68587C56" w:rsidR="00263C88" w:rsidRPr="00555779" w:rsidRDefault="00263C88" w:rsidP="00555779">
    <w:pPr>
      <w:widowControl w:val="0"/>
      <w:tabs>
        <w:tab w:val="left" w:pos="284"/>
      </w:tabs>
      <w:adjustRightInd w:val="0"/>
      <w:ind w:left="0" w:right="20"/>
      <w:jc w:val="both"/>
      <w:rPr>
        <w:rFonts w:ascii="Bookman Old Style" w:hAnsi="Bookman Old Style" w:cs="Arial"/>
        <w:sz w:val="22"/>
        <w:szCs w:val="22"/>
      </w:rPr>
    </w:pPr>
    <w:r w:rsidRPr="00555779">
      <w:rPr>
        <w:rFonts w:ascii="Bookman Old Style" w:hAnsi="Bookman Old Style" w:cs="Arial"/>
        <w:sz w:val="22"/>
        <w:szCs w:val="22"/>
      </w:rPr>
      <w:t xml:space="preserve">Por la cual se aprueba el cargo máximo base de comercialización de gas </w:t>
    </w:r>
    <w:r w:rsidR="00722342">
      <w:rPr>
        <w:rFonts w:ascii="Bookman Old Style" w:hAnsi="Bookman Old Style" w:cs="Arial"/>
        <w:sz w:val="22"/>
        <w:szCs w:val="22"/>
      </w:rPr>
      <w:t>natural</w:t>
    </w:r>
    <w:r w:rsidRPr="00555779">
      <w:rPr>
        <w:rFonts w:ascii="Bookman Old Style" w:hAnsi="Bookman Old Style" w:cs="Arial"/>
        <w:sz w:val="22"/>
        <w:szCs w:val="22"/>
      </w:rPr>
      <w:t xml:space="preserve"> por redes de tubería para el Mercado Relevante conformado </w:t>
    </w:r>
    <w:r w:rsidR="00CB3E73">
      <w:rPr>
        <w:rFonts w:ascii="Bookman Old Style" w:hAnsi="Bookman Old Style" w:cs="Arial"/>
        <w:sz w:val="22"/>
        <w:szCs w:val="22"/>
      </w:rPr>
      <w:t xml:space="preserve">por </w:t>
    </w:r>
    <w:r w:rsidR="00A96418" w:rsidRPr="00A96418">
      <w:rPr>
        <w:rFonts w:ascii="Bookman Old Style" w:hAnsi="Bookman Old Style" w:cs="Arial"/>
        <w:sz w:val="22"/>
        <w:szCs w:val="22"/>
      </w:rPr>
      <w:t xml:space="preserve">las veredas </w:t>
    </w:r>
    <w:proofErr w:type="spellStart"/>
    <w:r w:rsidR="00A96418" w:rsidRPr="00A96418">
      <w:rPr>
        <w:rFonts w:ascii="Bookman Old Style" w:hAnsi="Bookman Old Style" w:cs="Arial"/>
        <w:sz w:val="22"/>
        <w:szCs w:val="22"/>
      </w:rPr>
      <w:t>Concubita</w:t>
    </w:r>
    <w:proofErr w:type="spellEnd"/>
    <w:r w:rsidR="00A96418" w:rsidRPr="00A96418">
      <w:rPr>
        <w:rFonts w:ascii="Bookman Old Style" w:hAnsi="Bookman Old Style" w:cs="Arial"/>
        <w:sz w:val="22"/>
        <w:szCs w:val="22"/>
      </w:rPr>
      <w:t>, Novoa, Palacio, Peñas de Boquerón, Peñas de Cajón</w:t>
    </w:r>
    <w:r w:rsidR="00A66006">
      <w:rPr>
        <w:rFonts w:ascii="Bookman Old Style" w:hAnsi="Bookman Old Style" w:cs="Arial"/>
        <w:sz w:val="22"/>
        <w:szCs w:val="22"/>
      </w:rPr>
      <w:t xml:space="preserve"> y</w:t>
    </w:r>
    <w:r w:rsidR="00A96418" w:rsidRPr="00A96418">
      <w:rPr>
        <w:rFonts w:ascii="Bookman Old Style" w:hAnsi="Bookman Old Style" w:cs="Arial"/>
        <w:sz w:val="22"/>
        <w:szCs w:val="22"/>
      </w:rPr>
      <w:t xml:space="preserve"> Santa Bárbara en el Municipio de Sutatausa</w:t>
    </w:r>
    <w:r w:rsidR="00A66006">
      <w:rPr>
        <w:rFonts w:ascii="Bookman Old Style" w:hAnsi="Bookman Old Style" w:cs="Arial"/>
        <w:sz w:val="22"/>
        <w:szCs w:val="22"/>
      </w:rPr>
      <w:t>,</w:t>
    </w:r>
    <w:r w:rsidR="00A96418" w:rsidRPr="00A96418">
      <w:rPr>
        <w:rFonts w:ascii="Bookman Old Style" w:hAnsi="Bookman Old Style" w:cs="Arial"/>
        <w:sz w:val="22"/>
        <w:szCs w:val="22"/>
      </w:rPr>
      <w:t xml:space="preserve"> y la vereda Peñas en el </w:t>
    </w:r>
    <w:r w:rsidR="00574156">
      <w:rPr>
        <w:rFonts w:ascii="Bookman Old Style" w:hAnsi="Bookman Old Style" w:cs="Arial"/>
        <w:sz w:val="22"/>
        <w:szCs w:val="22"/>
      </w:rPr>
      <w:t>M</w:t>
    </w:r>
    <w:r w:rsidR="00A96418" w:rsidRPr="00A96418">
      <w:rPr>
        <w:rFonts w:ascii="Bookman Old Style" w:hAnsi="Bookman Old Style" w:cs="Arial"/>
        <w:sz w:val="22"/>
        <w:szCs w:val="22"/>
      </w:rPr>
      <w:t>unicipio de Cucunubá, Departamento de Cundinamarca</w:t>
    </w:r>
    <w:r w:rsidRPr="00F0203C">
      <w:rPr>
        <w:rFonts w:ascii="Bookman Old Style" w:hAnsi="Bookman Old Style" w:cs="Arial"/>
        <w:sz w:val="22"/>
        <w:szCs w:val="22"/>
      </w:rPr>
      <w:t xml:space="preserve">, </w:t>
    </w:r>
    <w:r w:rsidRPr="00555779">
      <w:rPr>
        <w:rFonts w:ascii="Bookman Old Style" w:hAnsi="Bookman Old Style" w:cs="Arial"/>
        <w:sz w:val="22"/>
        <w:szCs w:val="22"/>
      </w:rPr>
      <w:t xml:space="preserve">según solicitud tarifaria presentada por </w:t>
    </w:r>
    <w:r w:rsidR="00A96418">
      <w:rPr>
        <w:rFonts w:ascii="Bookman Old Style" w:hAnsi="Bookman Old Style" w:cs="Arial"/>
        <w:sz w:val="22"/>
        <w:szCs w:val="22"/>
      </w:rPr>
      <w:t>ENERGY GAS</w:t>
    </w:r>
    <w:r w:rsidR="00631863" w:rsidRPr="00F0203C">
      <w:rPr>
        <w:rFonts w:ascii="Bookman Old Style" w:hAnsi="Bookman Old Style" w:cs="Arial"/>
        <w:sz w:val="22"/>
        <w:szCs w:val="22"/>
      </w:rPr>
      <w:t xml:space="preserve"> S.A.</w:t>
    </w:r>
    <w:r w:rsidR="00166212">
      <w:rPr>
        <w:rFonts w:ascii="Bookman Old Style" w:hAnsi="Bookman Old Style" w:cs="Arial"/>
        <w:sz w:val="22"/>
        <w:szCs w:val="22"/>
      </w:rPr>
      <w:t>S.</w:t>
    </w:r>
    <w:r w:rsidR="00631863" w:rsidRPr="00F0203C">
      <w:rPr>
        <w:rFonts w:ascii="Bookman Old Style" w:hAnsi="Bookman Old Style" w:cs="Arial"/>
        <w:sz w:val="22"/>
        <w:szCs w:val="22"/>
      </w:rPr>
      <w:t xml:space="preserve"> </w:t>
    </w:r>
    <w:r w:rsidR="00090EEF" w:rsidRPr="00F0203C">
      <w:rPr>
        <w:rFonts w:ascii="Bookman Old Style" w:hAnsi="Bookman Old Style" w:cs="Arial"/>
        <w:sz w:val="22"/>
        <w:szCs w:val="22"/>
      </w:rPr>
      <w:t xml:space="preserve">E.S.P. </w:t>
    </w:r>
  </w:p>
  <w:p w14:paraId="61A4C0E1" w14:textId="77777777" w:rsidR="00B72378" w:rsidRPr="006150DE" w:rsidRDefault="00B72378" w:rsidP="00012034">
    <w:pPr>
      <w:pBdr>
        <w:bottom w:val="single" w:sz="4" w:space="1" w:color="auto"/>
      </w:pBdr>
      <w:spacing w:after="240"/>
      <w:ind w:left="142" w:right="147"/>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5383"/>
    <w:rsid w:val="000275B9"/>
    <w:rsid w:val="0003128C"/>
    <w:rsid w:val="00034816"/>
    <w:rsid w:val="000358FA"/>
    <w:rsid w:val="00035D47"/>
    <w:rsid w:val="00036F15"/>
    <w:rsid w:val="0004127A"/>
    <w:rsid w:val="00043199"/>
    <w:rsid w:val="0004655A"/>
    <w:rsid w:val="000537E8"/>
    <w:rsid w:val="00055B77"/>
    <w:rsid w:val="00060D57"/>
    <w:rsid w:val="0006151A"/>
    <w:rsid w:val="00063657"/>
    <w:rsid w:val="00075113"/>
    <w:rsid w:val="0007607C"/>
    <w:rsid w:val="00076680"/>
    <w:rsid w:val="00076A1D"/>
    <w:rsid w:val="0008073E"/>
    <w:rsid w:val="00080B34"/>
    <w:rsid w:val="00090EEF"/>
    <w:rsid w:val="00091611"/>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E01B8"/>
    <w:rsid w:val="000E2424"/>
    <w:rsid w:val="000F1132"/>
    <w:rsid w:val="000F3230"/>
    <w:rsid w:val="000F410B"/>
    <w:rsid w:val="000F5A28"/>
    <w:rsid w:val="000F7019"/>
    <w:rsid w:val="0010707E"/>
    <w:rsid w:val="00113128"/>
    <w:rsid w:val="0011341F"/>
    <w:rsid w:val="00116DA5"/>
    <w:rsid w:val="0012200E"/>
    <w:rsid w:val="00122CFB"/>
    <w:rsid w:val="001234A0"/>
    <w:rsid w:val="00131585"/>
    <w:rsid w:val="00132D07"/>
    <w:rsid w:val="00132F7F"/>
    <w:rsid w:val="0014017F"/>
    <w:rsid w:val="001405C6"/>
    <w:rsid w:val="00141013"/>
    <w:rsid w:val="0014243E"/>
    <w:rsid w:val="00142676"/>
    <w:rsid w:val="00154D61"/>
    <w:rsid w:val="001552B0"/>
    <w:rsid w:val="0015626D"/>
    <w:rsid w:val="00165093"/>
    <w:rsid w:val="00166212"/>
    <w:rsid w:val="001748A3"/>
    <w:rsid w:val="00176C85"/>
    <w:rsid w:val="0018547A"/>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6003"/>
    <w:rsid w:val="001B61EB"/>
    <w:rsid w:val="001C0325"/>
    <w:rsid w:val="001C1345"/>
    <w:rsid w:val="001C3380"/>
    <w:rsid w:val="001C4977"/>
    <w:rsid w:val="001C7B61"/>
    <w:rsid w:val="001D033A"/>
    <w:rsid w:val="001D0EAF"/>
    <w:rsid w:val="001D7832"/>
    <w:rsid w:val="001F3765"/>
    <w:rsid w:val="00201F9E"/>
    <w:rsid w:val="00202244"/>
    <w:rsid w:val="00204F46"/>
    <w:rsid w:val="002058C0"/>
    <w:rsid w:val="0021065A"/>
    <w:rsid w:val="00211D34"/>
    <w:rsid w:val="00213668"/>
    <w:rsid w:val="00214F04"/>
    <w:rsid w:val="00215B3E"/>
    <w:rsid w:val="00221F55"/>
    <w:rsid w:val="00231F80"/>
    <w:rsid w:val="00236799"/>
    <w:rsid w:val="00236F47"/>
    <w:rsid w:val="00237FDF"/>
    <w:rsid w:val="00240455"/>
    <w:rsid w:val="00241181"/>
    <w:rsid w:val="00241399"/>
    <w:rsid w:val="00246AA1"/>
    <w:rsid w:val="00246C1A"/>
    <w:rsid w:val="00250C29"/>
    <w:rsid w:val="00260569"/>
    <w:rsid w:val="002606F0"/>
    <w:rsid w:val="00263C88"/>
    <w:rsid w:val="00266CD6"/>
    <w:rsid w:val="00273C2C"/>
    <w:rsid w:val="00275DAB"/>
    <w:rsid w:val="00276923"/>
    <w:rsid w:val="002817D6"/>
    <w:rsid w:val="00281C19"/>
    <w:rsid w:val="002849F9"/>
    <w:rsid w:val="00285B1C"/>
    <w:rsid w:val="00285D62"/>
    <w:rsid w:val="002861B3"/>
    <w:rsid w:val="0028652B"/>
    <w:rsid w:val="00287932"/>
    <w:rsid w:val="00297A92"/>
    <w:rsid w:val="002A12EA"/>
    <w:rsid w:val="002A2D93"/>
    <w:rsid w:val="002A782A"/>
    <w:rsid w:val="002B0DA4"/>
    <w:rsid w:val="002B11E2"/>
    <w:rsid w:val="002B1B36"/>
    <w:rsid w:val="002B24B8"/>
    <w:rsid w:val="002B27AA"/>
    <w:rsid w:val="002B2B05"/>
    <w:rsid w:val="002C1D8B"/>
    <w:rsid w:val="002C301C"/>
    <w:rsid w:val="002C6C8D"/>
    <w:rsid w:val="002D0016"/>
    <w:rsid w:val="002D1901"/>
    <w:rsid w:val="002D2E79"/>
    <w:rsid w:val="002D3AE9"/>
    <w:rsid w:val="002D4510"/>
    <w:rsid w:val="002D6B88"/>
    <w:rsid w:val="002D747B"/>
    <w:rsid w:val="002E2990"/>
    <w:rsid w:val="002E4959"/>
    <w:rsid w:val="002E6989"/>
    <w:rsid w:val="002E741B"/>
    <w:rsid w:val="002F0734"/>
    <w:rsid w:val="002F0838"/>
    <w:rsid w:val="002F0CC9"/>
    <w:rsid w:val="002F46E7"/>
    <w:rsid w:val="00303C3C"/>
    <w:rsid w:val="003101DA"/>
    <w:rsid w:val="003106A1"/>
    <w:rsid w:val="00314757"/>
    <w:rsid w:val="003211CE"/>
    <w:rsid w:val="00321766"/>
    <w:rsid w:val="00321AA9"/>
    <w:rsid w:val="00324B77"/>
    <w:rsid w:val="0032669A"/>
    <w:rsid w:val="00327FC7"/>
    <w:rsid w:val="0033191F"/>
    <w:rsid w:val="0033622E"/>
    <w:rsid w:val="00341154"/>
    <w:rsid w:val="00344454"/>
    <w:rsid w:val="00345B43"/>
    <w:rsid w:val="00346E50"/>
    <w:rsid w:val="003518A4"/>
    <w:rsid w:val="00351C68"/>
    <w:rsid w:val="00352DAA"/>
    <w:rsid w:val="00353A8C"/>
    <w:rsid w:val="0035403A"/>
    <w:rsid w:val="0036394B"/>
    <w:rsid w:val="00363C4E"/>
    <w:rsid w:val="00364C46"/>
    <w:rsid w:val="0036751E"/>
    <w:rsid w:val="003700B5"/>
    <w:rsid w:val="003709B5"/>
    <w:rsid w:val="00373250"/>
    <w:rsid w:val="00373B6B"/>
    <w:rsid w:val="003759C2"/>
    <w:rsid w:val="00377FBD"/>
    <w:rsid w:val="003846C6"/>
    <w:rsid w:val="003943C4"/>
    <w:rsid w:val="00397365"/>
    <w:rsid w:val="003A0D0C"/>
    <w:rsid w:val="003A0D48"/>
    <w:rsid w:val="003A31F6"/>
    <w:rsid w:val="003B10B9"/>
    <w:rsid w:val="003B5F93"/>
    <w:rsid w:val="003B6A60"/>
    <w:rsid w:val="003B769B"/>
    <w:rsid w:val="003C01A6"/>
    <w:rsid w:val="003C24AD"/>
    <w:rsid w:val="003C2ECF"/>
    <w:rsid w:val="003C3447"/>
    <w:rsid w:val="003C6D5C"/>
    <w:rsid w:val="003D076C"/>
    <w:rsid w:val="003D21D5"/>
    <w:rsid w:val="003D3597"/>
    <w:rsid w:val="003D5E91"/>
    <w:rsid w:val="003D777C"/>
    <w:rsid w:val="003E0840"/>
    <w:rsid w:val="003E1390"/>
    <w:rsid w:val="003E2FE2"/>
    <w:rsid w:val="003E6770"/>
    <w:rsid w:val="003E78B5"/>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176B"/>
    <w:rsid w:val="0046397B"/>
    <w:rsid w:val="00463F18"/>
    <w:rsid w:val="004656CD"/>
    <w:rsid w:val="0047111B"/>
    <w:rsid w:val="0047122B"/>
    <w:rsid w:val="00473772"/>
    <w:rsid w:val="00473B7A"/>
    <w:rsid w:val="004756EF"/>
    <w:rsid w:val="00481CD4"/>
    <w:rsid w:val="0049072E"/>
    <w:rsid w:val="0049385F"/>
    <w:rsid w:val="00495A52"/>
    <w:rsid w:val="004960E9"/>
    <w:rsid w:val="00497DAF"/>
    <w:rsid w:val="004A2E88"/>
    <w:rsid w:val="004A5305"/>
    <w:rsid w:val="004A6280"/>
    <w:rsid w:val="004B706B"/>
    <w:rsid w:val="004C01BA"/>
    <w:rsid w:val="004C3AAC"/>
    <w:rsid w:val="004C4E22"/>
    <w:rsid w:val="004D19FA"/>
    <w:rsid w:val="004D2FD2"/>
    <w:rsid w:val="004D7634"/>
    <w:rsid w:val="004D77B5"/>
    <w:rsid w:val="004E1E32"/>
    <w:rsid w:val="004E2802"/>
    <w:rsid w:val="004E45FB"/>
    <w:rsid w:val="004E4931"/>
    <w:rsid w:val="004F2DA9"/>
    <w:rsid w:val="004F2DB4"/>
    <w:rsid w:val="0050015E"/>
    <w:rsid w:val="00505125"/>
    <w:rsid w:val="00505B33"/>
    <w:rsid w:val="0050714A"/>
    <w:rsid w:val="0051075C"/>
    <w:rsid w:val="00512620"/>
    <w:rsid w:val="00515932"/>
    <w:rsid w:val="0052141A"/>
    <w:rsid w:val="00524238"/>
    <w:rsid w:val="00527C4C"/>
    <w:rsid w:val="005300D3"/>
    <w:rsid w:val="00535B16"/>
    <w:rsid w:val="00536323"/>
    <w:rsid w:val="00536D82"/>
    <w:rsid w:val="00542B81"/>
    <w:rsid w:val="00544F82"/>
    <w:rsid w:val="00552FC1"/>
    <w:rsid w:val="00553E0E"/>
    <w:rsid w:val="00554468"/>
    <w:rsid w:val="005544E8"/>
    <w:rsid w:val="00554FFF"/>
    <w:rsid w:val="00555779"/>
    <w:rsid w:val="00561BB7"/>
    <w:rsid w:val="00562E64"/>
    <w:rsid w:val="00562FF9"/>
    <w:rsid w:val="005713EE"/>
    <w:rsid w:val="005734E1"/>
    <w:rsid w:val="00573FBB"/>
    <w:rsid w:val="00574156"/>
    <w:rsid w:val="00574CA5"/>
    <w:rsid w:val="00585773"/>
    <w:rsid w:val="00592E8C"/>
    <w:rsid w:val="00593C4F"/>
    <w:rsid w:val="005946A8"/>
    <w:rsid w:val="00596E2E"/>
    <w:rsid w:val="0059774E"/>
    <w:rsid w:val="005A3F3A"/>
    <w:rsid w:val="005A4407"/>
    <w:rsid w:val="005A515B"/>
    <w:rsid w:val="005A5185"/>
    <w:rsid w:val="005A59EF"/>
    <w:rsid w:val="005A60DF"/>
    <w:rsid w:val="005A7054"/>
    <w:rsid w:val="005A7D14"/>
    <w:rsid w:val="005B1832"/>
    <w:rsid w:val="005C0CFA"/>
    <w:rsid w:val="005C41AF"/>
    <w:rsid w:val="005C6868"/>
    <w:rsid w:val="005D7696"/>
    <w:rsid w:val="005D77A0"/>
    <w:rsid w:val="005E035F"/>
    <w:rsid w:val="005E260A"/>
    <w:rsid w:val="005E44A9"/>
    <w:rsid w:val="005E632F"/>
    <w:rsid w:val="005F3AA5"/>
    <w:rsid w:val="005F5238"/>
    <w:rsid w:val="005F5F07"/>
    <w:rsid w:val="005F6F41"/>
    <w:rsid w:val="005F7932"/>
    <w:rsid w:val="00600248"/>
    <w:rsid w:val="006005E4"/>
    <w:rsid w:val="00602871"/>
    <w:rsid w:val="00607DDC"/>
    <w:rsid w:val="0061175B"/>
    <w:rsid w:val="00612218"/>
    <w:rsid w:val="006150DE"/>
    <w:rsid w:val="0061682D"/>
    <w:rsid w:val="006173E6"/>
    <w:rsid w:val="00621590"/>
    <w:rsid w:val="00622B8D"/>
    <w:rsid w:val="00625DC6"/>
    <w:rsid w:val="00625DDC"/>
    <w:rsid w:val="00631439"/>
    <w:rsid w:val="00631863"/>
    <w:rsid w:val="00631E8F"/>
    <w:rsid w:val="00633C98"/>
    <w:rsid w:val="00637B74"/>
    <w:rsid w:val="0064391D"/>
    <w:rsid w:val="00643D49"/>
    <w:rsid w:val="0064486D"/>
    <w:rsid w:val="00651821"/>
    <w:rsid w:val="006531A4"/>
    <w:rsid w:val="00653AC6"/>
    <w:rsid w:val="00653BA6"/>
    <w:rsid w:val="00654384"/>
    <w:rsid w:val="00654A8D"/>
    <w:rsid w:val="00655B6A"/>
    <w:rsid w:val="00663D4F"/>
    <w:rsid w:val="00666168"/>
    <w:rsid w:val="0066646A"/>
    <w:rsid w:val="006672F7"/>
    <w:rsid w:val="006675CD"/>
    <w:rsid w:val="00670686"/>
    <w:rsid w:val="006729A6"/>
    <w:rsid w:val="00672B47"/>
    <w:rsid w:val="0067530D"/>
    <w:rsid w:val="0067736F"/>
    <w:rsid w:val="00680DB7"/>
    <w:rsid w:val="0068126C"/>
    <w:rsid w:val="00681877"/>
    <w:rsid w:val="00681AD8"/>
    <w:rsid w:val="00682CAB"/>
    <w:rsid w:val="00684C67"/>
    <w:rsid w:val="00684D9B"/>
    <w:rsid w:val="00686885"/>
    <w:rsid w:val="00686EC0"/>
    <w:rsid w:val="00692D59"/>
    <w:rsid w:val="00697556"/>
    <w:rsid w:val="0069757F"/>
    <w:rsid w:val="006A01FE"/>
    <w:rsid w:val="006B1C64"/>
    <w:rsid w:val="006B4647"/>
    <w:rsid w:val="006B4C2B"/>
    <w:rsid w:val="006B6D47"/>
    <w:rsid w:val="006C2F36"/>
    <w:rsid w:val="006C4A97"/>
    <w:rsid w:val="006C5AFE"/>
    <w:rsid w:val="006C709E"/>
    <w:rsid w:val="006D039F"/>
    <w:rsid w:val="006D0F3E"/>
    <w:rsid w:val="006E2B68"/>
    <w:rsid w:val="006F3BDC"/>
    <w:rsid w:val="006F6D95"/>
    <w:rsid w:val="006F7765"/>
    <w:rsid w:val="007009B9"/>
    <w:rsid w:val="0070294F"/>
    <w:rsid w:val="00702FC2"/>
    <w:rsid w:val="00704312"/>
    <w:rsid w:val="007043EE"/>
    <w:rsid w:val="00706F13"/>
    <w:rsid w:val="007072E8"/>
    <w:rsid w:val="00707D58"/>
    <w:rsid w:val="0071618D"/>
    <w:rsid w:val="00722342"/>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2C80"/>
    <w:rsid w:val="0078760A"/>
    <w:rsid w:val="007928E4"/>
    <w:rsid w:val="00795BFB"/>
    <w:rsid w:val="00797093"/>
    <w:rsid w:val="007B2760"/>
    <w:rsid w:val="007B3764"/>
    <w:rsid w:val="007B478C"/>
    <w:rsid w:val="007B6BB1"/>
    <w:rsid w:val="007C14A5"/>
    <w:rsid w:val="007C6336"/>
    <w:rsid w:val="007D1EE9"/>
    <w:rsid w:val="007D2326"/>
    <w:rsid w:val="007E1F80"/>
    <w:rsid w:val="007E5F3C"/>
    <w:rsid w:val="007F1A26"/>
    <w:rsid w:val="0080021C"/>
    <w:rsid w:val="00803186"/>
    <w:rsid w:val="008048A4"/>
    <w:rsid w:val="00804B66"/>
    <w:rsid w:val="00805F76"/>
    <w:rsid w:val="00806C01"/>
    <w:rsid w:val="008112E8"/>
    <w:rsid w:val="0081130B"/>
    <w:rsid w:val="008117AD"/>
    <w:rsid w:val="008122E0"/>
    <w:rsid w:val="008129F4"/>
    <w:rsid w:val="0081331D"/>
    <w:rsid w:val="008148CC"/>
    <w:rsid w:val="008211A4"/>
    <w:rsid w:val="00823A07"/>
    <w:rsid w:val="00824917"/>
    <w:rsid w:val="00827924"/>
    <w:rsid w:val="00831184"/>
    <w:rsid w:val="008321F1"/>
    <w:rsid w:val="008348CB"/>
    <w:rsid w:val="00837B9A"/>
    <w:rsid w:val="008430A0"/>
    <w:rsid w:val="00843288"/>
    <w:rsid w:val="00844D9E"/>
    <w:rsid w:val="00853587"/>
    <w:rsid w:val="008540A0"/>
    <w:rsid w:val="00854C37"/>
    <w:rsid w:val="008554C7"/>
    <w:rsid w:val="00855A1D"/>
    <w:rsid w:val="0085706C"/>
    <w:rsid w:val="008611E7"/>
    <w:rsid w:val="00864029"/>
    <w:rsid w:val="008712A7"/>
    <w:rsid w:val="0087140E"/>
    <w:rsid w:val="00871E57"/>
    <w:rsid w:val="00871FD6"/>
    <w:rsid w:val="00872D82"/>
    <w:rsid w:val="00873150"/>
    <w:rsid w:val="0087444C"/>
    <w:rsid w:val="00874EB8"/>
    <w:rsid w:val="0087657D"/>
    <w:rsid w:val="008807D5"/>
    <w:rsid w:val="00880832"/>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56B1"/>
    <w:rsid w:val="008E61CB"/>
    <w:rsid w:val="008E638E"/>
    <w:rsid w:val="008E6551"/>
    <w:rsid w:val="008E76AC"/>
    <w:rsid w:val="008F21F6"/>
    <w:rsid w:val="008F3972"/>
    <w:rsid w:val="00906DCA"/>
    <w:rsid w:val="00907AB9"/>
    <w:rsid w:val="009126BE"/>
    <w:rsid w:val="00913D26"/>
    <w:rsid w:val="00920416"/>
    <w:rsid w:val="00920C3D"/>
    <w:rsid w:val="00921B3A"/>
    <w:rsid w:val="0092279E"/>
    <w:rsid w:val="00923A12"/>
    <w:rsid w:val="0092593B"/>
    <w:rsid w:val="00926A64"/>
    <w:rsid w:val="00934FA6"/>
    <w:rsid w:val="00937565"/>
    <w:rsid w:val="00942618"/>
    <w:rsid w:val="009429E7"/>
    <w:rsid w:val="009444A5"/>
    <w:rsid w:val="00945A3C"/>
    <w:rsid w:val="00951F79"/>
    <w:rsid w:val="0095363B"/>
    <w:rsid w:val="00956A84"/>
    <w:rsid w:val="009623E0"/>
    <w:rsid w:val="009637C0"/>
    <w:rsid w:val="00967121"/>
    <w:rsid w:val="00967DCA"/>
    <w:rsid w:val="009714A1"/>
    <w:rsid w:val="00974AB5"/>
    <w:rsid w:val="009814D9"/>
    <w:rsid w:val="00984C9B"/>
    <w:rsid w:val="0098706D"/>
    <w:rsid w:val="009935FB"/>
    <w:rsid w:val="0099486C"/>
    <w:rsid w:val="00994981"/>
    <w:rsid w:val="009956CE"/>
    <w:rsid w:val="009A5DBB"/>
    <w:rsid w:val="009B2CA8"/>
    <w:rsid w:val="009B7F09"/>
    <w:rsid w:val="009C0166"/>
    <w:rsid w:val="009C20BA"/>
    <w:rsid w:val="009C2EEC"/>
    <w:rsid w:val="009C58C7"/>
    <w:rsid w:val="009C6488"/>
    <w:rsid w:val="009D138E"/>
    <w:rsid w:val="009D58E6"/>
    <w:rsid w:val="009E11C8"/>
    <w:rsid w:val="009E1365"/>
    <w:rsid w:val="009E2F5E"/>
    <w:rsid w:val="009E6C87"/>
    <w:rsid w:val="009F471E"/>
    <w:rsid w:val="009F4A54"/>
    <w:rsid w:val="009F4BEC"/>
    <w:rsid w:val="009F65AD"/>
    <w:rsid w:val="00A007C0"/>
    <w:rsid w:val="00A0161E"/>
    <w:rsid w:val="00A0795F"/>
    <w:rsid w:val="00A1004F"/>
    <w:rsid w:val="00A11391"/>
    <w:rsid w:val="00A13A87"/>
    <w:rsid w:val="00A14EB1"/>
    <w:rsid w:val="00A21A33"/>
    <w:rsid w:val="00A23A1B"/>
    <w:rsid w:val="00A25FD7"/>
    <w:rsid w:val="00A31776"/>
    <w:rsid w:val="00A35E3F"/>
    <w:rsid w:val="00A3618A"/>
    <w:rsid w:val="00A41C4D"/>
    <w:rsid w:val="00A42283"/>
    <w:rsid w:val="00A42A90"/>
    <w:rsid w:val="00A43AFF"/>
    <w:rsid w:val="00A44502"/>
    <w:rsid w:val="00A53402"/>
    <w:rsid w:val="00A62A33"/>
    <w:rsid w:val="00A66006"/>
    <w:rsid w:val="00A71CC8"/>
    <w:rsid w:val="00A72AE2"/>
    <w:rsid w:val="00A75877"/>
    <w:rsid w:val="00A759BA"/>
    <w:rsid w:val="00A76D31"/>
    <w:rsid w:val="00A7793A"/>
    <w:rsid w:val="00A8164B"/>
    <w:rsid w:val="00A95004"/>
    <w:rsid w:val="00A96418"/>
    <w:rsid w:val="00A972B1"/>
    <w:rsid w:val="00AA0DF5"/>
    <w:rsid w:val="00AA44A7"/>
    <w:rsid w:val="00AA4CC7"/>
    <w:rsid w:val="00AA5380"/>
    <w:rsid w:val="00AA5E8E"/>
    <w:rsid w:val="00AB00C4"/>
    <w:rsid w:val="00AB06F0"/>
    <w:rsid w:val="00AB1F86"/>
    <w:rsid w:val="00AB6CA7"/>
    <w:rsid w:val="00AB724B"/>
    <w:rsid w:val="00AC00EA"/>
    <w:rsid w:val="00AC418F"/>
    <w:rsid w:val="00AD01E4"/>
    <w:rsid w:val="00AD0858"/>
    <w:rsid w:val="00AD552E"/>
    <w:rsid w:val="00AD6DA6"/>
    <w:rsid w:val="00AE174A"/>
    <w:rsid w:val="00AE556C"/>
    <w:rsid w:val="00AE5B7B"/>
    <w:rsid w:val="00AE5C1B"/>
    <w:rsid w:val="00AE7206"/>
    <w:rsid w:val="00AE7340"/>
    <w:rsid w:val="00AF1BBD"/>
    <w:rsid w:val="00AF33B4"/>
    <w:rsid w:val="00AF76F9"/>
    <w:rsid w:val="00B003BA"/>
    <w:rsid w:val="00B04D7B"/>
    <w:rsid w:val="00B0787C"/>
    <w:rsid w:val="00B101D3"/>
    <w:rsid w:val="00B10207"/>
    <w:rsid w:val="00B13BC3"/>
    <w:rsid w:val="00B13F96"/>
    <w:rsid w:val="00B141E7"/>
    <w:rsid w:val="00B204E6"/>
    <w:rsid w:val="00B33934"/>
    <w:rsid w:val="00B351B4"/>
    <w:rsid w:val="00B41874"/>
    <w:rsid w:val="00B44E6A"/>
    <w:rsid w:val="00B45ABF"/>
    <w:rsid w:val="00B46BCA"/>
    <w:rsid w:val="00B51ECF"/>
    <w:rsid w:val="00B526A3"/>
    <w:rsid w:val="00B53DDD"/>
    <w:rsid w:val="00B540E0"/>
    <w:rsid w:val="00B56CAC"/>
    <w:rsid w:val="00B56F61"/>
    <w:rsid w:val="00B56FFD"/>
    <w:rsid w:val="00B60C8C"/>
    <w:rsid w:val="00B61CEE"/>
    <w:rsid w:val="00B62919"/>
    <w:rsid w:val="00B639AD"/>
    <w:rsid w:val="00B72378"/>
    <w:rsid w:val="00B7288A"/>
    <w:rsid w:val="00B74BA8"/>
    <w:rsid w:val="00B74F1F"/>
    <w:rsid w:val="00B75ED9"/>
    <w:rsid w:val="00B86656"/>
    <w:rsid w:val="00B87806"/>
    <w:rsid w:val="00B87EC9"/>
    <w:rsid w:val="00B90217"/>
    <w:rsid w:val="00B91123"/>
    <w:rsid w:val="00B92BC9"/>
    <w:rsid w:val="00B92EAC"/>
    <w:rsid w:val="00BA1BD2"/>
    <w:rsid w:val="00BA3B2F"/>
    <w:rsid w:val="00BA3D38"/>
    <w:rsid w:val="00BA658A"/>
    <w:rsid w:val="00BA72FD"/>
    <w:rsid w:val="00BC012F"/>
    <w:rsid w:val="00BC25AC"/>
    <w:rsid w:val="00BC38FD"/>
    <w:rsid w:val="00BD283C"/>
    <w:rsid w:val="00BD3267"/>
    <w:rsid w:val="00BD3E8F"/>
    <w:rsid w:val="00BD7F14"/>
    <w:rsid w:val="00BF2120"/>
    <w:rsid w:val="00BF35DB"/>
    <w:rsid w:val="00BF4008"/>
    <w:rsid w:val="00BF4099"/>
    <w:rsid w:val="00C034CB"/>
    <w:rsid w:val="00C051A8"/>
    <w:rsid w:val="00C054BC"/>
    <w:rsid w:val="00C06B4B"/>
    <w:rsid w:val="00C11B83"/>
    <w:rsid w:val="00C122C4"/>
    <w:rsid w:val="00C13FD7"/>
    <w:rsid w:val="00C14B82"/>
    <w:rsid w:val="00C17897"/>
    <w:rsid w:val="00C17F33"/>
    <w:rsid w:val="00C246BA"/>
    <w:rsid w:val="00C3020A"/>
    <w:rsid w:val="00C32B20"/>
    <w:rsid w:val="00C350E9"/>
    <w:rsid w:val="00C35B2B"/>
    <w:rsid w:val="00C374DC"/>
    <w:rsid w:val="00C4031F"/>
    <w:rsid w:val="00C409D5"/>
    <w:rsid w:val="00C4233B"/>
    <w:rsid w:val="00C424BA"/>
    <w:rsid w:val="00C435C3"/>
    <w:rsid w:val="00C455AD"/>
    <w:rsid w:val="00C45BB1"/>
    <w:rsid w:val="00C50187"/>
    <w:rsid w:val="00C507D0"/>
    <w:rsid w:val="00C6234B"/>
    <w:rsid w:val="00C63EAE"/>
    <w:rsid w:val="00C663AF"/>
    <w:rsid w:val="00C66E28"/>
    <w:rsid w:val="00C66FB9"/>
    <w:rsid w:val="00C67E09"/>
    <w:rsid w:val="00C72315"/>
    <w:rsid w:val="00C73667"/>
    <w:rsid w:val="00C74708"/>
    <w:rsid w:val="00C74BD1"/>
    <w:rsid w:val="00C7629F"/>
    <w:rsid w:val="00C769C8"/>
    <w:rsid w:val="00C8372E"/>
    <w:rsid w:val="00C8661B"/>
    <w:rsid w:val="00C86F73"/>
    <w:rsid w:val="00C87E42"/>
    <w:rsid w:val="00C93571"/>
    <w:rsid w:val="00C93824"/>
    <w:rsid w:val="00CA139A"/>
    <w:rsid w:val="00CA2899"/>
    <w:rsid w:val="00CA3563"/>
    <w:rsid w:val="00CA3A3D"/>
    <w:rsid w:val="00CA77FB"/>
    <w:rsid w:val="00CB379B"/>
    <w:rsid w:val="00CB3E73"/>
    <w:rsid w:val="00CB4ACB"/>
    <w:rsid w:val="00CB5DD0"/>
    <w:rsid w:val="00CC0B0B"/>
    <w:rsid w:val="00CC1401"/>
    <w:rsid w:val="00CC3604"/>
    <w:rsid w:val="00CC3F0D"/>
    <w:rsid w:val="00CC3F19"/>
    <w:rsid w:val="00CC51D4"/>
    <w:rsid w:val="00CC65DA"/>
    <w:rsid w:val="00CC6F6C"/>
    <w:rsid w:val="00CC75A1"/>
    <w:rsid w:val="00CD105E"/>
    <w:rsid w:val="00CD1833"/>
    <w:rsid w:val="00CD7339"/>
    <w:rsid w:val="00CD75E7"/>
    <w:rsid w:val="00CD7979"/>
    <w:rsid w:val="00CE21E3"/>
    <w:rsid w:val="00CE5A69"/>
    <w:rsid w:val="00CE62A4"/>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1E96"/>
    <w:rsid w:val="00D22763"/>
    <w:rsid w:val="00D228F8"/>
    <w:rsid w:val="00D258BF"/>
    <w:rsid w:val="00D26139"/>
    <w:rsid w:val="00D27114"/>
    <w:rsid w:val="00D313EC"/>
    <w:rsid w:val="00D31C76"/>
    <w:rsid w:val="00D342A6"/>
    <w:rsid w:val="00D359F1"/>
    <w:rsid w:val="00D36398"/>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313D"/>
    <w:rsid w:val="00DC332A"/>
    <w:rsid w:val="00DD0D40"/>
    <w:rsid w:val="00DD238F"/>
    <w:rsid w:val="00DD3CE8"/>
    <w:rsid w:val="00DD4011"/>
    <w:rsid w:val="00DD4F0E"/>
    <w:rsid w:val="00DE0B85"/>
    <w:rsid w:val="00DE4017"/>
    <w:rsid w:val="00DF05A3"/>
    <w:rsid w:val="00DF070D"/>
    <w:rsid w:val="00DF0BF0"/>
    <w:rsid w:val="00DF6C4C"/>
    <w:rsid w:val="00E0158D"/>
    <w:rsid w:val="00E05E0A"/>
    <w:rsid w:val="00E10E08"/>
    <w:rsid w:val="00E1118B"/>
    <w:rsid w:val="00E12D46"/>
    <w:rsid w:val="00E14D38"/>
    <w:rsid w:val="00E14F33"/>
    <w:rsid w:val="00E21BC1"/>
    <w:rsid w:val="00E2236D"/>
    <w:rsid w:val="00E233B4"/>
    <w:rsid w:val="00E2739A"/>
    <w:rsid w:val="00E32710"/>
    <w:rsid w:val="00E330DE"/>
    <w:rsid w:val="00E333F7"/>
    <w:rsid w:val="00E35B18"/>
    <w:rsid w:val="00E41DFD"/>
    <w:rsid w:val="00E420D7"/>
    <w:rsid w:val="00E436A8"/>
    <w:rsid w:val="00E43C80"/>
    <w:rsid w:val="00E47203"/>
    <w:rsid w:val="00E523CE"/>
    <w:rsid w:val="00E534CF"/>
    <w:rsid w:val="00E54215"/>
    <w:rsid w:val="00E56BFE"/>
    <w:rsid w:val="00E678A1"/>
    <w:rsid w:val="00E72C5E"/>
    <w:rsid w:val="00E75227"/>
    <w:rsid w:val="00E77820"/>
    <w:rsid w:val="00E81CB4"/>
    <w:rsid w:val="00E831C5"/>
    <w:rsid w:val="00E8585B"/>
    <w:rsid w:val="00E90534"/>
    <w:rsid w:val="00E944DF"/>
    <w:rsid w:val="00EA3452"/>
    <w:rsid w:val="00EA3F15"/>
    <w:rsid w:val="00EA636D"/>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203C"/>
    <w:rsid w:val="00F03154"/>
    <w:rsid w:val="00F0499E"/>
    <w:rsid w:val="00F04FA6"/>
    <w:rsid w:val="00F057E5"/>
    <w:rsid w:val="00F06BB2"/>
    <w:rsid w:val="00F0759E"/>
    <w:rsid w:val="00F141EA"/>
    <w:rsid w:val="00F16347"/>
    <w:rsid w:val="00F22F1E"/>
    <w:rsid w:val="00F35523"/>
    <w:rsid w:val="00F4350B"/>
    <w:rsid w:val="00F45E2A"/>
    <w:rsid w:val="00F5143E"/>
    <w:rsid w:val="00F724F8"/>
    <w:rsid w:val="00F76E11"/>
    <w:rsid w:val="00F821A3"/>
    <w:rsid w:val="00F849B2"/>
    <w:rsid w:val="00F9314A"/>
    <w:rsid w:val="00F9623D"/>
    <w:rsid w:val="00F969FC"/>
    <w:rsid w:val="00FB4372"/>
    <w:rsid w:val="00FC58EF"/>
    <w:rsid w:val="00FD33DF"/>
    <w:rsid w:val="00FD3E8B"/>
    <w:rsid w:val="00FD5239"/>
    <w:rsid w:val="00FD6206"/>
    <w:rsid w:val="00FE10B2"/>
    <w:rsid w:val="00FE2397"/>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79155302">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05533714">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012F0-537F-4897-BF4B-BD948676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1696</Words>
  <Characters>9019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2021-05-14T19:10:00Z</cp:lastPrinted>
  <dcterms:created xsi:type="dcterms:W3CDTF">2021-07-02T16:58:00Z</dcterms:created>
  <dcterms:modified xsi:type="dcterms:W3CDTF">2021-07-02T16:58:00Z</dcterms:modified>
</cp:coreProperties>
</file>