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0A" w:rsidRPr="00EB29EB" w:rsidRDefault="00D76348" w:rsidP="00E1590A">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9" o:title=""/>
          </v:shape>
          <o:OLEObject Type="Embed" ProgID="PBrush" ShapeID="_x0000_s1026" DrawAspect="Content" ObjectID="_1528552842" r:id="rId10"/>
        </w:pict>
      </w:r>
    </w:p>
    <w:p w:rsidR="00E1590A" w:rsidRPr="00EB29EB" w:rsidRDefault="00E1590A" w:rsidP="00E1590A">
      <w:pPr>
        <w:pStyle w:val="Encabezado"/>
        <w:tabs>
          <w:tab w:val="clear" w:pos="8504"/>
          <w:tab w:val="left" w:pos="0"/>
          <w:tab w:val="right" w:pos="9356"/>
        </w:tabs>
        <w:ind w:left="0"/>
        <w:jc w:val="both"/>
        <w:rPr>
          <w:rFonts w:ascii="Bookman Old Style" w:hAnsi="Bookman Old Style"/>
          <w:szCs w:val="24"/>
        </w:rPr>
      </w:pPr>
    </w:p>
    <w:p w:rsidR="00E1590A" w:rsidRPr="00EB29EB" w:rsidRDefault="00E1590A" w:rsidP="00E1590A">
      <w:pPr>
        <w:pStyle w:val="Ttulo4"/>
        <w:tabs>
          <w:tab w:val="left" w:pos="0"/>
          <w:tab w:val="right" w:pos="9356"/>
        </w:tabs>
        <w:ind w:left="0"/>
        <w:rPr>
          <w:rFonts w:ascii="Bookman Old Style" w:hAnsi="Bookman Old Style"/>
          <w:b w:val="0"/>
          <w:bCs/>
          <w:noProof/>
          <w:sz w:val="24"/>
          <w:szCs w:val="24"/>
          <w:lang w:val="es-ES"/>
        </w:rPr>
      </w:pPr>
      <w:r w:rsidRPr="00EB29EB">
        <w:rPr>
          <w:rFonts w:ascii="Bookman Old Style" w:hAnsi="Bookman Old Style"/>
          <w:b w:val="0"/>
          <w:bCs/>
          <w:sz w:val="24"/>
          <w:szCs w:val="24"/>
        </w:rPr>
        <w:t>Ministerio de Minas y Energía</w:t>
      </w:r>
    </w:p>
    <w:p w:rsidR="00E1590A" w:rsidRPr="00EB29EB" w:rsidRDefault="00E1590A" w:rsidP="00E1590A">
      <w:pPr>
        <w:pStyle w:val="Ttulo4"/>
        <w:tabs>
          <w:tab w:val="left" w:pos="0"/>
          <w:tab w:val="right" w:pos="9356"/>
        </w:tabs>
        <w:ind w:left="0"/>
        <w:rPr>
          <w:rFonts w:ascii="Bookman Old Style" w:hAnsi="Bookman Old Style"/>
          <w:b w:val="0"/>
          <w:bCs/>
          <w:sz w:val="24"/>
          <w:szCs w:val="24"/>
        </w:rPr>
      </w:pPr>
    </w:p>
    <w:p w:rsidR="00E1590A" w:rsidRPr="00EB29EB" w:rsidRDefault="00E1590A" w:rsidP="00E1590A">
      <w:pPr>
        <w:pStyle w:val="Ttulo3"/>
        <w:tabs>
          <w:tab w:val="left" w:pos="0"/>
          <w:tab w:val="right" w:pos="9356"/>
        </w:tabs>
        <w:ind w:left="0"/>
        <w:rPr>
          <w:rFonts w:ascii="Bookman Old Style" w:hAnsi="Bookman Old Style" w:cs="Arial"/>
          <w:spacing w:val="20"/>
          <w:szCs w:val="24"/>
        </w:rPr>
      </w:pPr>
      <w:r w:rsidRPr="00EB29EB">
        <w:rPr>
          <w:rFonts w:ascii="Bookman Old Style" w:hAnsi="Bookman Old Style" w:cs="Arial"/>
          <w:spacing w:val="20"/>
          <w:szCs w:val="24"/>
        </w:rPr>
        <w:t>COMISIÓN DE REGULACIÓN DE ENERGÍA Y GAS</w:t>
      </w:r>
    </w:p>
    <w:p w:rsidR="00E1590A" w:rsidRPr="00EB29EB" w:rsidRDefault="00E1590A" w:rsidP="00E1590A">
      <w:pPr>
        <w:pStyle w:val="Ttulo5"/>
        <w:tabs>
          <w:tab w:val="left" w:pos="0"/>
          <w:tab w:val="right" w:pos="9356"/>
        </w:tabs>
        <w:ind w:left="0"/>
        <w:rPr>
          <w:rFonts w:ascii="Bookman Old Style" w:hAnsi="Bookman Old Style"/>
          <w:sz w:val="24"/>
          <w:szCs w:val="24"/>
        </w:rPr>
      </w:pPr>
    </w:p>
    <w:p w:rsidR="00E1590A" w:rsidRPr="00EB29EB" w:rsidRDefault="00E1590A" w:rsidP="00E1590A">
      <w:pPr>
        <w:pStyle w:val="Ttulo5"/>
        <w:tabs>
          <w:tab w:val="left" w:pos="0"/>
          <w:tab w:val="right" w:pos="9356"/>
        </w:tabs>
        <w:ind w:left="0"/>
        <w:rPr>
          <w:rFonts w:ascii="Bookman Old Style" w:hAnsi="Bookman Old Style"/>
          <w:sz w:val="24"/>
          <w:szCs w:val="24"/>
        </w:rPr>
      </w:pPr>
    </w:p>
    <w:p w:rsidR="00E1590A" w:rsidRPr="00EB29EB" w:rsidRDefault="00E1590A" w:rsidP="00E1590A">
      <w:pPr>
        <w:pStyle w:val="Ttulo5"/>
        <w:tabs>
          <w:tab w:val="left" w:pos="0"/>
          <w:tab w:val="right" w:pos="9356"/>
        </w:tabs>
        <w:ind w:left="0"/>
        <w:rPr>
          <w:rFonts w:ascii="Bookman Old Style" w:hAnsi="Bookman Old Style"/>
          <w:sz w:val="24"/>
          <w:szCs w:val="24"/>
        </w:rPr>
      </w:pPr>
      <w:r w:rsidRPr="00EB29EB">
        <w:rPr>
          <w:rFonts w:ascii="Bookman Old Style" w:hAnsi="Bookman Old Style"/>
          <w:sz w:val="24"/>
          <w:szCs w:val="24"/>
        </w:rPr>
        <w:t>RESOLUCIÓN No.                   DE 201</w:t>
      </w:r>
      <w:r w:rsidR="00011499">
        <w:rPr>
          <w:rFonts w:ascii="Bookman Old Style" w:hAnsi="Bookman Old Style"/>
          <w:sz w:val="24"/>
          <w:szCs w:val="24"/>
        </w:rPr>
        <w:t>6</w:t>
      </w:r>
    </w:p>
    <w:p w:rsidR="00E1590A" w:rsidRPr="00EB29EB" w:rsidRDefault="00E1590A" w:rsidP="00E1590A">
      <w:pPr>
        <w:tabs>
          <w:tab w:val="left" w:pos="0"/>
          <w:tab w:val="right" w:pos="9356"/>
        </w:tabs>
        <w:ind w:left="0"/>
        <w:jc w:val="center"/>
        <w:rPr>
          <w:rFonts w:ascii="Bookman Old Style" w:hAnsi="Bookman Old Style" w:cs="Arial"/>
          <w:b/>
          <w:snapToGrid w:val="0"/>
          <w:color w:val="000000"/>
          <w:lang w:val="es-ES_tradnl"/>
        </w:rPr>
      </w:pPr>
    </w:p>
    <w:p w:rsidR="00E1590A" w:rsidRPr="00EB29EB" w:rsidRDefault="00E1590A" w:rsidP="00E1590A">
      <w:pPr>
        <w:pStyle w:val="Ttulo3"/>
        <w:tabs>
          <w:tab w:val="left" w:pos="0"/>
          <w:tab w:val="right" w:pos="9356"/>
        </w:tabs>
        <w:ind w:left="0"/>
        <w:rPr>
          <w:rFonts w:ascii="Bookman Old Style" w:hAnsi="Bookman Old Style"/>
          <w:b w:val="0"/>
          <w:szCs w:val="24"/>
        </w:rPr>
      </w:pPr>
      <w:r w:rsidRPr="00EB29EB">
        <w:rPr>
          <w:rFonts w:ascii="Bookman Old Style" w:hAnsi="Bookman Old Style"/>
          <w:b w:val="0"/>
          <w:szCs w:val="24"/>
        </w:rPr>
        <w:t>(                                  )</w:t>
      </w:r>
    </w:p>
    <w:p w:rsidR="00E1590A" w:rsidRPr="00EB29EB" w:rsidRDefault="00E1590A" w:rsidP="00E1590A">
      <w:pPr>
        <w:tabs>
          <w:tab w:val="left" w:pos="0"/>
          <w:tab w:val="right" w:pos="9356"/>
        </w:tabs>
        <w:ind w:left="0"/>
        <w:jc w:val="center"/>
        <w:rPr>
          <w:rFonts w:ascii="Bookman Old Style" w:hAnsi="Bookman Old Style"/>
          <w:lang w:val="es-ES_tradnl"/>
        </w:rPr>
      </w:pPr>
    </w:p>
    <w:p w:rsidR="00E1590A" w:rsidRDefault="00E1590A" w:rsidP="00E1590A">
      <w:pPr>
        <w:tabs>
          <w:tab w:val="left" w:pos="2835"/>
        </w:tabs>
        <w:ind w:left="0"/>
        <w:rPr>
          <w:rFonts w:ascii="Bookman Old Style" w:hAnsi="Bookman Old Style"/>
          <w:bCs/>
          <w:lang w:val="es-CO"/>
        </w:rPr>
      </w:pPr>
      <w:r>
        <w:rPr>
          <w:rFonts w:ascii="Bookman Old Style" w:hAnsi="Bookman Old Style"/>
          <w:bCs/>
          <w:lang w:val="es-CO"/>
        </w:rPr>
        <w:tab/>
      </w:r>
    </w:p>
    <w:p w:rsidR="00011499" w:rsidRDefault="00011499" w:rsidP="00E1590A">
      <w:pPr>
        <w:tabs>
          <w:tab w:val="left" w:pos="2835"/>
        </w:tabs>
        <w:ind w:left="0"/>
        <w:rPr>
          <w:rFonts w:ascii="Bookman Old Style" w:hAnsi="Bookman Old Style"/>
          <w:bCs/>
          <w:lang w:val="es-CO"/>
        </w:rPr>
      </w:pPr>
    </w:p>
    <w:p w:rsidR="00011499" w:rsidRPr="00EB29EB" w:rsidRDefault="00011499" w:rsidP="00E1590A">
      <w:pPr>
        <w:tabs>
          <w:tab w:val="left" w:pos="2835"/>
        </w:tabs>
        <w:ind w:left="0"/>
        <w:rPr>
          <w:rFonts w:ascii="Bookman Old Style" w:hAnsi="Bookman Old Style"/>
          <w:bCs/>
          <w:lang w:val="es-CO"/>
        </w:rPr>
      </w:pPr>
    </w:p>
    <w:p w:rsidR="00E1590A" w:rsidRDefault="00E1590A" w:rsidP="00E1590A">
      <w:pPr>
        <w:ind w:left="0"/>
        <w:jc w:val="center"/>
        <w:rPr>
          <w:rFonts w:ascii="Bookman Old Style" w:hAnsi="Bookman Old Style"/>
        </w:rPr>
      </w:pPr>
      <w:r w:rsidRPr="00315BA7">
        <w:rPr>
          <w:rFonts w:ascii="Bookman Old Style" w:hAnsi="Bookman Old Style"/>
        </w:rPr>
        <w:t xml:space="preserve"> </w:t>
      </w:r>
      <w:r w:rsidRPr="00EB29EB">
        <w:rPr>
          <w:rFonts w:ascii="Bookman Old Style" w:hAnsi="Bookman Old Style"/>
        </w:rPr>
        <w:t xml:space="preserve">Por </w:t>
      </w:r>
      <w:r w:rsidRPr="00272F8D">
        <w:rPr>
          <w:rFonts w:ascii="Bookman Old Style" w:hAnsi="Bookman Old Style"/>
        </w:rPr>
        <w:t xml:space="preserve">la cual </w:t>
      </w:r>
      <w:r>
        <w:rPr>
          <w:rFonts w:ascii="Bookman Old Style" w:hAnsi="Bookman Old Style"/>
        </w:rPr>
        <w:t xml:space="preserve">se adopta una medida transitoria para la  oferta de producto de la OPC </w:t>
      </w:r>
      <w:r w:rsidRPr="00886292">
        <w:rPr>
          <w:rFonts w:ascii="Bookman Old Style" w:hAnsi="Bookman Old Style"/>
        </w:rPr>
        <w:t>que cubra la demanda a part</w:t>
      </w:r>
      <w:r w:rsidRPr="00BD7733">
        <w:rPr>
          <w:rFonts w:ascii="Bookman Old Style" w:hAnsi="Bookman Old Style"/>
        </w:rPr>
        <w:t xml:space="preserve">ir del </w:t>
      </w:r>
      <w:r>
        <w:rPr>
          <w:rFonts w:ascii="Bookman Old Style" w:hAnsi="Bookman Old Style"/>
        </w:rPr>
        <w:t xml:space="preserve">primero (01) </w:t>
      </w:r>
      <w:r w:rsidRPr="00BD7733">
        <w:rPr>
          <w:rFonts w:ascii="Bookman Old Style" w:hAnsi="Bookman Old Style"/>
        </w:rPr>
        <w:t xml:space="preserve">de </w:t>
      </w:r>
      <w:r>
        <w:rPr>
          <w:rFonts w:ascii="Bookman Old Style" w:hAnsi="Bookman Old Style"/>
        </w:rPr>
        <w:t xml:space="preserve">julio de 2016 al treinta y uno (31) de diciembre de 2016. </w:t>
      </w:r>
    </w:p>
    <w:p w:rsidR="00E1590A" w:rsidRDefault="00E1590A" w:rsidP="00E1590A">
      <w:pPr>
        <w:ind w:left="0"/>
        <w:jc w:val="center"/>
        <w:rPr>
          <w:rFonts w:ascii="Bookman Old Style" w:hAnsi="Bookman Old Style"/>
        </w:rPr>
      </w:pPr>
    </w:p>
    <w:p w:rsidR="00E1590A" w:rsidRPr="00EB29EB" w:rsidRDefault="00E1590A" w:rsidP="00E1590A">
      <w:pPr>
        <w:ind w:left="0"/>
        <w:jc w:val="center"/>
        <w:rPr>
          <w:rFonts w:ascii="Bookman Old Style" w:hAnsi="Bookman Old Style"/>
        </w:rPr>
      </w:pPr>
    </w:p>
    <w:p w:rsidR="00E1590A" w:rsidRPr="00EB29EB" w:rsidRDefault="00E1590A" w:rsidP="00E1590A">
      <w:pPr>
        <w:ind w:left="0" w:right="51"/>
        <w:rPr>
          <w:rFonts w:ascii="Bookman Old Style" w:hAnsi="Bookman Old Style"/>
        </w:rPr>
      </w:pPr>
    </w:p>
    <w:p w:rsidR="00E1590A" w:rsidRPr="00EB29EB" w:rsidRDefault="00E1590A" w:rsidP="00E1590A">
      <w:pPr>
        <w:ind w:right="51"/>
        <w:jc w:val="center"/>
        <w:rPr>
          <w:rFonts w:ascii="Bookman Old Style" w:hAnsi="Bookman Old Style"/>
          <w:b/>
        </w:rPr>
      </w:pPr>
      <w:r w:rsidRPr="00EB29EB">
        <w:rPr>
          <w:rFonts w:ascii="Bookman Old Style" w:hAnsi="Bookman Old Style"/>
          <w:b/>
        </w:rPr>
        <w:t>LA COMISIÓN DE REGULACIÓN DE  ENERGÍA Y GAS</w:t>
      </w:r>
    </w:p>
    <w:p w:rsidR="00E1590A" w:rsidRPr="00EB29EB" w:rsidRDefault="00E1590A" w:rsidP="00E1590A">
      <w:pPr>
        <w:ind w:left="0" w:right="51"/>
        <w:rPr>
          <w:rFonts w:ascii="Bookman Old Style" w:hAnsi="Bookman Old Style"/>
        </w:rPr>
      </w:pPr>
    </w:p>
    <w:p w:rsidR="00E1590A" w:rsidRDefault="00E1590A" w:rsidP="00E1590A">
      <w:pPr>
        <w:ind w:left="0" w:right="51"/>
        <w:rPr>
          <w:rFonts w:ascii="Bookman Old Style" w:hAnsi="Bookman Old Style"/>
        </w:rPr>
      </w:pPr>
    </w:p>
    <w:p w:rsidR="00011499" w:rsidRPr="00EB29EB" w:rsidRDefault="00011499" w:rsidP="00E1590A">
      <w:pPr>
        <w:ind w:left="0" w:right="51"/>
        <w:rPr>
          <w:rFonts w:ascii="Bookman Old Style" w:hAnsi="Bookman Old Style"/>
        </w:rPr>
      </w:pPr>
    </w:p>
    <w:p w:rsidR="00E1590A" w:rsidRDefault="00E1590A" w:rsidP="00E1590A">
      <w:pPr>
        <w:ind w:left="0" w:right="51"/>
        <w:jc w:val="center"/>
        <w:rPr>
          <w:rFonts w:ascii="Bookman Old Style" w:hAnsi="Bookman Old Style" w:cs="Arial"/>
          <w:bCs/>
          <w:spacing w:val="-3"/>
        </w:rPr>
      </w:pPr>
      <w:r w:rsidRPr="00315BA7">
        <w:rPr>
          <w:rFonts w:ascii="Bookman Old Style" w:hAnsi="Bookman Old Style" w:cs="Arial"/>
          <w:bCs/>
          <w:spacing w:val="-3"/>
        </w:rPr>
        <w:t>En ejercicio de sus atribuciones legales, en especial las conferidas por las leyes 142 y 143 de 1994, y en desarrollo de los Decretos 15</w:t>
      </w:r>
      <w:r>
        <w:rPr>
          <w:rFonts w:ascii="Bookman Old Style" w:hAnsi="Bookman Old Style" w:cs="Arial"/>
          <w:bCs/>
          <w:spacing w:val="-3"/>
        </w:rPr>
        <w:t>24, 2253 de 1994 y 1260 de 2013</w:t>
      </w:r>
    </w:p>
    <w:p w:rsidR="00E1590A" w:rsidRPr="00315BA7" w:rsidRDefault="00E1590A" w:rsidP="00E1590A">
      <w:pPr>
        <w:ind w:left="0" w:right="51"/>
        <w:jc w:val="center"/>
        <w:rPr>
          <w:rFonts w:ascii="Bookman Old Style" w:hAnsi="Bookman Old Style" w:cs="Arial"/>
          <w:bCs/>
          <w:spacing w:val="-3"/>
        </w:rPr>
      </w:pPr>
    </w:p>
    <w:p w:rsidR="00E1590A" w:rsidRDefault="00E1590A" w:rsidP="00E1590A">
      <w:pPr>
        <w:ind w:left="0" w:right="51"/>
        <w:rPr>
          <w:rFonts w:ascii="Bookman Old Style" w:hAnsi="Bookman Old Style"/>
        </w:rPr>
      </w:pPr>
    </w:p>
    <w:p w:rsidR="00011499" w:rsidRPr="00EB29EB" w:rsidRDefault="00011499" w:rsidP="00E1590A">
      <w:pPr>
        <w:ind w:left="0" w:right="51"/>
        <w:rPr>
          <w:rFonts w:ascii="Bookman Old Style" w:hAnsi="Bookman Old Style"/>
        </w:rPr>
      </w:pPr>
    </w:p>
    <w:p w:rsidR="00E1590A" w:rsidRDefault="00E1590A" w:rsidP="00E1590A">
      <w:pPr>
        <w:ind w:left="0" w:right="51"/>
        <w:jc w:val="center"/>
        <w:rPr>
          <w:rFonts w:ascii="Bookman Old Style" w:hAnsi="Bookman Old Style"/>
          <w:b/>
        </w:rPr>
      </w:pPr>
      <w:r w:rsidRPr="00EB29EB">
        <w:rPr>
          <w:rFonts w:ascii="Bookman Old Style" w:hAnsi="Bookman Old Style"/>
          <w:b/>
        </w:rPr>
        <w:t>C O N S I D E R A N D O  Q U E:</w:t>
      </w:r>
    </w:p>
    <w:p w:rsidR="00E1590A" w:rsidRPr="00AE2B44" w:rsidRDefault="00E1590A" w:rsidP="00E1590A">
      <w:pPr>
        <w:ind w:left="0" w:right="51"/>
        <w:jc w:val="center"/>
        <w:rPr>
          <w:rFonts w:ascii="Bookman Old Style" w:hAnsi="Bookman Old Style"/>
          <w:b/>
        </w:rPr>
      </w:pPr>
    </w:p>
    <w:p w:rsidR="00E1590A" w:rsidRDefault="00E1590A" w:rsidP="00E1590A">
      <w:pPr>
        <w:ind w:left="0"/>
        <w:jc w:val="both"/>
        <w:rPr>
          <w:rFonts w:ascii="Bookman Old Style" w:hAnsi="Bookman Old Style"/>
        </w:rPr>
      </w:pPr>
    </w:p>
    <w:p w:rsidR="00E1590A" w:rsidRPr="00DB1524" w:rsidRDefault="00E1590A" w:rsidP="00E1590A">
      <w:pPr>
        <w:ind w:left="0"/>
        <w:jc w:val="both"/>
        <w:rPr>
          <w:rFonts w:ascii="Bookman Old Style" w:hAnsi="Bookman Old Style"/>
        </w:rPr>
      </w:pPr>
      <w:r w:rsidRPr="00DB1524">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rsidR="00E1590A" w:rsidRPr="00DB1524" w:rsidRDefault="00E1590A" w:rsidP="00E1590A">
      <w:pPr>
        <w:ind w:left="0"/>
        <w:jc w:val="both"/>
        <w:rPr>
          <w:rFonts w:ascii="Bookman Old Style" w:hAnsi="Bookman Old Style"/>
        </w:rPr>
      </w:pPr>
    </w:p>
    <w:p w:rsidR="00E1590A" w:rsidRPr="00DB1524" w:rsidRDefault="00E1590A" w:rsidP="00E1590A">
      <w:pPr>
        <w:ind w:left="0"/>
        <w:jc w:val="both"/>
        <w:rPr>
          <w:rFonts w:ascii="Bookman Old Style" w:hAnsi="Bookman Old Style"/>
        </w:rPr>
      </w:pPr>
      <w:r w:rsidRPr="00DB1524">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w:t>
      </w:r>
      <w:r>
        <w:rPr>
          <w:rFonts w:ascii="Bookman Old Style" w:hAnsi="Bookman Old Style"/>
        </w:rPr>
        <w:t>dos hacia la libre competencia".</w:t>
      </w:r>
    </w:p>
    <w:p w:rsidR="00E1590A" w:rsidRPr="00DB1524" w:rsidRDefault="00E1590A" w:rsidP="00E1590A">
      <w:pPr>
        <w:ind w:left="0"/>
        <w:jc w:val="both"/>
        <w:rPr>
          <w:rFonts w:ascii="Bookman Old Style" w:hAnsi="Bookman Old Style"/>
        </w:rPr>
      </w:pPr>
    </w:p>
    <w:p w:rsidR="00E1590A" w:rsidRPr="00DB1524" w:rsidRDefault="00E1590A" w:rsidP="00E1590A">
      <w:pPr>
        <w:ind w:left="0"/>
        <w:jc w:val="both"/>
        <w:rPr>
          <w:rFonts w:ascii="Bookman Old Style" w:hAnsi="Bookman Old Style"/>
        </w:rPr>
      </w:pPr>
      <w:r w:rsidRPr="00DB1524">
        <w:rPr>
          <w:rFonts w:ascii="Bookman Old Style" w:hAnsi="Bookman Old Style"/>
        </w:rPr>
        <w:t xml:space="preserve">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w:t>
      </w:r>
      <w:r w:rsidRPr="00DB1524">
        <w:rPr>
          <w:rFonts w:ascii="Bookman Old Style" w:hAnsi="Bookman Old Style"/>
        </w:rPr>
        <w:lastRenderedPageBreak/>
        <w:t>disposición final para asegurar el mejoramiento de la calidad de vida de los usuarios, así como su prestación continua, ininterrumpida y eficiente.</w:t>
      </w:r>
    </w:p>
    <w:p w:rsidR="00E1590A" w:rsidRPr="00DB1524" w:rsidRDefault="00E1590A" w:rsidP="00E1590A">
      <w:pPr>
        <w:ind w:left="0"/>
        <w:jc w:val="both"/>
        <w:rPr>
          <w:rFonts w:ascii="Bookman Old Style" w:hAnsi="Bookman Old Style"/>
        </w:rPr>
      </w:pPr>
    </w:p>
    <w:p w:rsidR="00E1590A" w:rsidRPr="00DB1524" w:rsidRDefault="00E1590A" w:rsidP="00E1590A">
      <w:pPr>
        <w:ind w:left="0"/>
        <w:jc w:val="both"/>
        <w:rPr>
          <w:rFonts w:ascii="Bookman Old Style" w:hAnsi="Bookman Old Style"/>
        </w:rPr>
      </w:pPr>
      <w:r w:rsidRPr="00DB1524">
        <w:rPr>
          <w:rFonts w:ascii="Bookman Old Style" w:hAnsi="Bookman Old Style"/>
        </w:rPr>
        <w:t>Mediante la Resolución CREG 053 de 2011, modificada por la</w:t>
      </w:r>
      <w:r>
        <w:rPr>
          <w:rFonts w:ascii="Bookman Old Style" w:hAnsi="Bookman Old Style"/>
        </w:rPr>
        <w:t>s resoluciones</w:t>
      </w:r>
      <w:r w:rsidRPr="00DB1524">
        <w:rPr>
          <w:rFonts w:ascii="Bookman Old Style" w:hAnsi="Bookman Old Style"/>
        </w:rPr>
        <w:t xml:space="preserve"> CREG 108 de</w:t>
      </w:r>
      <w:r>
        <w:rPr>
          <w:rFonts w:ascii="Bookman Old Style" w:hAnsi="Bookman Old Style"/>
        </w:rPr>
        <w:t xml:space="preserve"> 2011 y 154 de 2014</w:t>
      </w:r>
      <w:r w:rsidRPr="00DB1524">
        <w:rPr>
          <w:rFonts w:ascii="Bookman Old Style" w:hAnsi="Bookman Old Style"/>
        </w:rPr>
        <w:t xml:space="preserve">, la Comisión estableció el reglamento de comercialización mayorista de GLP, con el cual se definieron, entre otros, los mecanismos para la compra y venta del producto al por mayor y el acceso al producto por parte de los diferentes agentes de la cadena. </w:t>
      </w:r>
    </w:p>
    <w:p w:rsidR="00E1590A" w:rsidRPr="00DB1524" w:rsidRDefault="00E1590A" w:rsidP="00E1590A">
      <w:pPr>
        <w:ind w:left="0"/>
        <w:jc w:val="both"/>
        <w:rPr>
          <w:rFonts w:ascii="Bookman Old Style" w:hAnsi="Bookman Old Style"/>
        </w:rPr>
      </w:pPr>
    </w:p>
    <w:p w:rsidR="00E1590A" w:rsidRDefault="00E1590A" w:rsidP="00E1590A">
      <w:pPr>
        <w:ind w:left="0"/>
        <w:jc w:val="both"/>
        <w:rPr>
          <w:rFonts w:ascii="Bookman Old Style" w:hAnsi="Bookman Old Style"/>
        </w:rPr>
      </w:pPr>
      <w:r w:rsidRPr="00DB1524">
        <w:rPr>
          <w:rFonts w:ascii="Bookman Old Style" w:hAnsi="Bookman Old Style"/>
        </w:rPr>
        <w:t>En el mencionado reglamento se estableció que el acceso al producto que se encuentra con precio regulado se realizaría mediante ofertas públicas de cantidades, OPC, llevadas a cabo por el respectivo comercializador mayorista. Las OPC iniciaron su aplicación a partir de octubre de 2011.</w:t>
      </w:r>
    </w:p>
    <w:p w:rsidR="00E1590A" w:rsidRDefault="00E1590A" w:rsidP="00E1590A">
      <w:pPr>
        <w:ind w:left="0"/>
        <w:jc w:val="both"/>
        <w:rPr>
          <w:rFonts w:ascii="Bookman Old Style" w:hAnsi="Bookman Old Style"/>
        </w:rPr>
      </w:pPr>
    </w:p>
    <w:p w:rsidR="00E1590A" w:rsidRDefault="00E1590A" w:rsidP="00E1590A">
      <w:pPr>
        <w:ind w:left="0"/>
        <w:jc w:val="both"/>
        <w:rPr>
          <w:rFonts w:ascii="Bookman Old Style" w:hAnsi="Bookman Old Style"/>
        </w:rPr>
      </w:pPr>
      <w:r>
        <w:rPr>
          <w:rFonts w:ascii="Bookman Old Style" w:hAnsi="Bookman Old Style"/>
        </w:rPr>
        <w:t xml:space="preserve">Mediante la Resolución CREG 154 de 2014 </w:t>
      </w:r>
      <w:r w:rsidRPr="00C84430">
        <w:rPr>
          <w:rFonts w:ascii="Bookman Old Style" w:hAnsi="Bookman Old Style"/>
        </w:rPr>
        <w:t xml:space="preserve">se </w:t>
      </w:r>
      <w:r>
        <w:rPr>
          <w:rFonts w:ascii="Bookman Old Style" w:hAnsi="Bookman Old Style"/>
        </w:rPr>
        <w:t xml:space="preserve">estableció que </w:t>
      </w:r>
      <w:r w:rsidRPr="00EC13BC">
        <w:rPr>
          <w:rFonts w:ascii="Bookman Old Style" w:hAnsi="Bookman Old Style"/>
        </w:rPr>
        <w:t>las OPC debían cubrir periodos de entrega de 12 meses,</w:t>
      </w:r>
      <w:r>
        <w:rPr>
          <w:rFonts w:ascii="Bookman Old Style" w:hAnsi="Bookman Old Style"/>
        </w:rPr>
        <w:t xml:space="preserve"> razón por la cual se </w:t>
      </w:r>
      <w:r w:rsidRPr="00C84430">
        <w:rPr>
          <w:rFonts w:ascii="Bookman Old Style" w:hAnsi="Bookman Old Style"/>
        </w:rPr>
        <w:t>modificó el reglamento de comercialización mayorista de GLP</w:t>
      </w:r>
      <w:r w:rsidRPr="00EC13BC">
        <w:rPr>
          <w:rFonts w:ascii="Bookman Old Style" w:hAnsi="Bookman Old Style"/>
        </w:rPr>
        <w:t xml:space="preserve"> </w:t>
      </w:r>
      <w:r>
        <w:rPr>
          <w:rFonts w:ascii="Bookman Old Style" w:hAnsi="Bookman Old Style"/>
        </w:rPr>
        <w:t>previsto en</w:t>
      </w:r>
      <w:r w:rsidRPr="00503764">
        <w:rPr>
          <w:rFonts w:ascii="Bookman Old Style" w:hAnsi="Bookman Old Style"/>
        </w:rPr>
        <w:t xml:space="preserve"> la Resolución CREG 053 de 2011</w:t>
      </w:r>
      <w:r>
        <w:rPr>
          <w:rFonts w:ascii="Bookman Old Style" w:hAnsi="Bookman Old Style"/>
        </w:rPr>
        <w:t xml:space="preserve">, entre otros en el literal d) y </w:t>
      </w:r>
      <w:r w:rsidRPr="00503764">
        <w:rPr>
          <w:rFonts w:ascii="Bookman Old Style" w:hAnsi="Bookman Old Style"/>
        </w:rPr>
        <w:t>el parágrafo 1</w:t>
      </w:r>
      <w:r>
        <w:rPr>
          <w:rFonts w:ascii="Bookman Old Style" w:hAnsi="Bookman Old Style"/>
        </w:rPr>
        <w:t xml:space="preserve"> del artículo </w:t>
      </w:r>
      <w:r w:rsidRPr="00503764">
        <w:rPr>
          <w:rFonts w:ascii="Bookman Old Style" w:hAnsi="Bookman Old Style"/>
        </w:rPr>
        <w:t>13</w:t>
      </w:r>
      <w:r>
        <w:rPr>
          <w:rFonts w:ascii="Bookman Old Style" w:hAnsi="Bookman Old Style"/>
        </w:rPr>
        <w:t xml:space="preserve">, </w:t>
      </w:r>
      <w:r w:rsidRPr="00503764">
        <w:rPr>
          <w:rFonts w:ascii="Bookman Old Style" w:hAnsi="Bookman Old Style"/>
        </w:rPr>
        <w:t>los literales a) y h) artículo 14,</w:t>
      </w:r>
      <w:r>
        <w:rPr>
          <w:rFonts w:ascii="Bookman Old Style" w:hAnsi="Bookman Old Style"/>
        </w:rPr>
        <w:t xml:space="preserve"> de la misma forma que se adicionó</w:t>
      </w:r>
      <w:r w:rsidRPr="00503764">
        <w:rPr>
          <w:rFonts w:ascii="Bookman Old Style" w:hAnsi="Bookman Old Style"/>
        </w:rPr>
        <w:t xml:space="preserve"> </w:t>
      </w:r>
      <w:r>
        <w:rPr>
          <w:rFonts w:ascii="Bookman Old Style" w:hAnsi="Bookman Old Style"/>
        </w:rPr>
        <w:t xml:space="preserve">el </w:t>
      </w:r>
      <w:r w:rsidRPr="00503764">
        <w:rPr>
          <w:rFonts w:ascii="Bookman Old Style" w:hAnsi="Bookman Old Style"/>
        </w:rPr>
        <w:t>parágrafo 3 al artículo</w:t>
      </w:r>
      <w:r>
        <w:rPr>
          <w:rFonts w:ascii="Bookman Old Style" w:hAnsi="Bookman Old Style"/>
        </w:rPr>
        <w:t xml:space="preserve"> 13 y el parágrafo 5 a</w:t>
      </w:r>
      <w:r w:rsidRPr="00503764">
        <w:rPr>
          <w:rFonts w:ascii="Bookman Old Style" w:hAnsi="Bookman Old Style"/>
        </w:rPr>
        <w:t>l</w:t>
      </w:r>
      <w:r>
        <w:rPr>
          <w:rFonts w:ascii="Bookman Old Style" w:hAnsi="Bookman Old Style"/>
        </w:rPr>
        <w:t xml:space="preserve"> artículo 14 de dicha normativa regulatoria.</w:t>
      </w:r>
    </w:p>
    <w:p w:rsidR="00E1590A" w:rsidRDefault="00E1590A" w:rsidP="00E1590A">
      <w:pPr>
        <w:ind w:left="0"/>
        <w:jc w:val="both"/>
        <w:rPr>
          <w:rFonts w:ascii="Bookman Old Style" w:hAnsi="Bookman Old Style"/>
        </w:rPr>
      </w:pPr>
    </w:p>
    <w:p w:rsidR="00E1590A" w:rsidRDefault="00E1590A" w:rsidP="00E1590A">
      <w:pPr>
        <w:ind w:left="0"/>
        <w:jc w:val="both"/>
        <w:rPr>
          <w:rFonts w:ascii="Bookman Old Style" w:hAnsi="Bookman Old Style"/>
        </w:rPr>
      </w:pPr>
      <w:r>
        <w:rPr>
          <w:rFonts w:ascii="Bookman Old Style" w:hAnsi="Bookman Old Style"/>
        </w:rPr>
        <w:t>Mediante la Resolución CREG 064 de 2016 se estableció que la</w:t>
      </w:r>
      <w:r w:rsidRPr="00531EB1">
        <w:rPr>
          <w:rFonts w:ascii="Bookman Old Style" w:hAnsi="Bookman Old Style"/>
        </w:rPr>
        <w:t xml:space="preserve"> OPC debe cubrir un período de entregas de </w:t>
      </w:r>
      <w:r>
        <w:rPr>
          <w:rFonts w:ascii="Bookman Old Style" w:hAnsi="Bookman Old Style"/>
        </w:rPr>
        <w:t>seis</w:t>
      </w:r>
      <w:r w:rsidRPr="00531EB1">
        <w:rPr>
          <w:rFonts w:ascii="Bookman Old Style" w:hAnsi="Bookman Old Style"/>
        </w:rPr>
        <w:t xml:space="preserve"> meses, estableciendo las cantidades disponibles en cada punto de producción y, de considerarlo necesario, informando el detalle para cada mes que refleje las condiciones reales y previsibles de disponibilidad. </w:t>
      </w:r>
    </w:p>
    <w:p w:rsidR="00E1590A" w:rsidRPr="00C84430" w:rsidRDefault="00E1590A" w:rsidP="00E1590A">
      <w:pPr>
        <w:ind w:left="0"/>
        <w:jc w:val="both"/>
        <w:rPr>
          <w:rFonts w:ascii="Bookman Old Style" w:hAnsi="Bookman Old Style"/>
        </w:rPr>
      </w:pPr>
      <w:r>
        <w:rPr>
          <w:rFonts w:ascii="Bookman Old Style" w:hAnsi="Bookman Old Style"/>
        </w:rPr>
        <w:t xml:space="preserve"> </w:t>
      </w:r>
    </w:p>
    <w:p w:rsidR="00E1590A" w:rsidRDefault="00E1590A" w:rsidP="00E1590A">
      <w:pPr>
        <w:ind w:left="0"/>
        <w:jc w:val="both"/>
        <w:rPr>
          <w:rFonts w:ascii="Bookman Old Style" w:hAnsi="Bookman Old Style"/>
          <w:lang w:val="es-ES_tradnl"/>
        </w:rPr>
      </w:pPr>
      <w:r>
        <w:rPr>
          <w:rFonts w:ascii="Bookman Old Style" w:hAnsi="Bookman Old Style"/>
          <w:lang w:val="es-ES_tradnl"/>
        </w:rPr>
        <w:t>Mediante comunicación del Ministerio de Minas y Energía, de radicado CREG No. E-2016-007196, se informa a esta Comisión lo siguiente:</w:t>
      </w:r>
    </w:p>
    <w:p w:rsidR="00E1590A" w:rsidRDefault="00E1590A" w:rsidP="00E1590A">
      <w:pPr>
        <w:ind w:left="0"/>
        <w:jc w:val="both"/>
        <w:rPr>
          <w:rFonts w:ascii="Bookman Old Style" w:hAnsi="Bookman Old Style"/>
          <w:lang w:val="es-ES_tradnl"/>
        </w:rPr>
      </w:pPr>
    </w:p>
    <w:p w:rsidR="00E1590A" w:rsidRPr="004D6E15" w:rsidRDefault="00E1590A" w:rsidP="00E1590A">
      <w:pPr>
        <w:ind w:right="851"/>
        <w:jc w:val="both"/>
        <w:rPr>
          <w:rFonts w:ascii="Bookman Old Style" w:hAnsi="Bookman Old Style"/>
          <w:i/>
          <w:lang w:val="es-ES_tradnl"/>
        </w:rPr>
      </w:pPr>
      <w:r w:rsidRPr="004D6E15">
        <w:rPr>
          <w:rFonts w:ascii="Bookman Old Style" w:hAnsi="Bookman Old Style"/>
          <w:i/>
          <w:lang w:val="es-ES_tradnl"/>
        </w:rPr>
        <w:t>“Este Ministerio ha tenido conocimiento sobre el evento presentado el pasado 20 de mayo de 2016 en las facilidades de producción de GLP operadas por TY GAS S.A. E.S.P. en el corregimiento El Morro, en el municipio de Yopal; este evento dio lugar a su salida de producción, situación que se prevé no tendrá solución sino hasta el mes de octubre del año en curso conforme lo manifestó la empresa la empresa mediante radicado MinMinas 2016040775 del 20 de junio de 2016.</w:t>
      </w:r>
    </w:p>
    <w:p w:rsidR="00E1590A" w:rsidRPr="004D6E15" w:rsidRDefault="00E1590A" w:rsidP="00E1590A">
      <w:pPr>
        <w:ind w:right="851"/>
        <w:jc w:val="both"/>
        <w:rPr>
          <w:rFonts w:ascii="Bookman Old Style" w:hAnsi="Bookman Old Style"/>
          <w:i/>
          <w:lang w:val="es-ES_tradnl"/>
        </w:rPr>
      </w:pPr>
    </w:p>
    <w:p w:rsidR="00E1590A" w:rsidRPr="004D6E15" w:rsidRDefault="00E1590A" w:rsidP="00E1590A">
      <w:pPr>
        <w:ind w:right="851"/>
        <w:jc w:val="both"/>
        <w:rPr>
          <w:rFonts w:ascii="Bookman Old Style" w:hAnsi="Bookman Old Style"/>
          <w:i/>
          <w:lang w:val="es-ES_tradnl"/>
        </w:rPr>
      </w:pPr>
      <w:r w:rsidRPr="00203F8C">
        <w:rPr>
          <w:rFonts w:ascii="Bookman Old Style" w:hAnsi="Bookman Old Style"/>
          <w:i/>
          <w:u w:val="single"/>
          <w:lang w:val="es-ES_tradnl"/>
        </w:rPr>
        <w:t>Teniendo en cuenta que la indisponibilidad del campo operado por TY GAS S.A. E.S.P. podría generar un desabastecimiento de la demanda nacional de GLP cercana al 10%, este Ministerio ha requerido a los principales productores a evaluar la posibilidad de incrementar los volúmenes de GLP para cubrir dicho déficit</w:t>
      </w:r>
      <w:r w:rsidRPr="004D6E15">
        <w:rPr>
          <w:rFonts w:ascii="Bookman Old Style" w:hAnsi="Bookman Old Style"/>
          <w:i/>
          <w:lang w:val="es-ES_tradnl"/>
        </w:rPr>
        <w:t>.</w:t>
      </w:r>
    </w:p>
    <w:p w:rsidR="00E1590A" w:rsidRPr="004D6E15" w:rsidRDefault="00E1590A" w:rsidP="00E1590A">
      <w:pPr>
        <w:ind w:right="851"/>
        <w:jc w:val="both"/>
        <w:rPr>
          <w:rFonts w:ascii="Bookman Old Style" w:hAnsi="Bookman Old Style"/>
          <w:i/>
          <w:lang w:val="es-ES_tradnl"/>
        </w:rPr>
      </w:pPr>
    </w:p>
    <w:p w:rsidR="00E1590A" w:rsidRPr="00203F8C" w:rsidRDefault="00E1590A" w:rsidP="00E1590A">
      <w:pPr>
        <w:ind w:right="851"/>
        <w:jc w:val="both"/>
        <w:rPr>
          <w:rFonts w:ascii="Bookman Old Style" w:hAnsi="Bookman Old Style"/>
          <w:lang w:val="es-ES_tradnl"/>
        </w:rPr>
      </w:pPr>
      <w:r w:rsidRPr="004D6E15">
        <w:rPr>
          <w:rFonts w:ascii="Bookman Old Style" w:hAnsi="Bookman Old Style"/>
          <w:i/>
          <w:lang w:val="es-ES_tradnl"/>
        </w:rPr>
        <w:t xml:space="preserve">No obstante lo anterior y previo a contar con un pronunciamiento por parte de los productores, </w:t>
      </w:r>
      <w:r w:rsidRPr="00203F8C">
        <w:rPr>
          <w:rFonts w:ascii="Bookman Old Style" w:hAnsi="Bookman Old Style"/>
          <w:i/>
          <w:u w:val="single"/>
          <w:lang w:val="es-ES_tradnl"/>
        </w:rPr>
        <w:t>agradecemos a la Comisión realizar los ajustes necesarios para incorporar los posibles volúmenes adicionales en la presente Oferta Pública de Cantidades bajo las mismas condiciones de precio</w:t>
      </w:r>
      <w:r>
        <w:rPr>
          <w:rFonts w:ascii="Bookman Old Style" w:hAnsi="Bookman Old Style"/>
          <w:i/>
          <w:u w:val="single"/>
          <w:lang w:val="es-ES_tradnl"/>
        </w:rPr>
        <w:t>”</w:t>
      </w:r>
      <w:r w:rsidRPr="004D6E15">
        <w:rPr>
          <w:rFonts w:ascii="Bookman Old Style" w:hAnsi="Bookman Old Style"/>
          <w:i/>
          <w:lang w:val="es-ES_tradnl"/>
        </w:rPr>
        <w:t>.</w:t>
      </w:r>
      <w:r w:rsidRPr="00203F8C">
        <w:rPr>
          <w:rFonts w:ascii="Bookman Old Style" w:hAnsi="Bookman Old Style"/>
          <w:lang w:val="es-ES_tradnl"/>
        </w:rPr>
        <w:t xml:space="preserve"> (</w:t>
      </w:r>
      <w:r>
        <w:rPr>
          <w:rFonts w:ascii="Bookman Old Style" w:hAnsi="Bookman Old Style"/>
          <w:lang w:val="es-ES_tradnl"/>
        </w:rPr>
        <w:t>Subrayado</w:t>
      </w:r>
      <w:r w:rsidRPr="00203F8C">
        <w:rPr>
          <w:rFonts w:ascii="Bookman Old Style" w:hAnsi="Bookman Old Style"/>
          <w:lang w:val="es-ES_tradnl"/>
        </w:rPr>
        <w:t xml:space="preserve"> fuera de texto)</w:t>
      </w:r>
    </w:p>
    <w:p w:rsidR="00E1590A" w:rsidRDefault="00E1590A" w:rsidP="00E1590A">
      <w:pPr>
        <w:ind w:left="0"/>
        <w:jc w:val="both"/>
        <w:rPr>
          <w:rFonts w:ascii="Bookman Old Style" w:hAnsi="Bookman Old Style"/>
          <w:lang w:val="es-ES_tradnl"/>
        </w:rPr>
      </w:pPr>
    </w:p>
    <w:p w:rsidR="00011499" w:rsidRDefault="00011499" w:rsidP="00E1590A">
      <w:pPr>
        <w:ind w:left="0"/>
        <w:jc w:val="both"/>
        <w:rPr>
          <w:rFonts w:ascii="Bookman Old Style" w:hAnsi="Bookman Old Style"/>
          <w:lang w:val="es-ES_tradnl"/>
        </w:rPr>
      </w:pPr>
    </w:p>
    <w:p w:rsidR="00E1590A" w:rsidRDefault="00E1590A" w:rsidP="00E1590A">
      <w:pPr>
        <w:ind w:left="0"/>
        <w:jc w:val="both"/>
        <w:rPr>
          <w:rFonts w:ascii="Bookman Old Style" w:hAnsi="Bookman Old Style"/>
        </w:rPr>
      </w:pPr>
      <w:r>
        <w:rPr>
          <w:rFonts w:ascii="Bookman Old Style" w:hAnsi="Bookman Old Style"/>
          <w:lang w:val="es-ES_tradnl"/>
        </w:rPr>
        <w:t>S</w:t>
      </w:r>
      <w:r>
        <w:rPr>
          <w:rFonts w:ascii="Bookman Old Style" w:hAnsi="Bookman Old Style"/>
        </w:rPr>
        <w:t>e considera razonable y conveniente que para</w:t>
      </w:r>
      <w:r w:rsidRPr="00B340E1">
        <w:t xml:space="preserve"> </w:t>
      </w:r>
      <w:r w:rsidRPr="00B340E1">
        <w:rPr>
          <w:rFonts w:ascii="Bookman Old Style" w:hAnsi="Bookman Old Style"/>
        </w:rPr>
        <w:t xml:space="preserve">la OPC que cubra la demanda a partir del </w:t>
      </w:r>
      <w:r>
        <w:rPr>
          <w:rFonts w:ascii="Bookman Old Style" w:hAnsi="Bookman Old Style"/>
        </w:rPr>
        <w:t>primero (01) de julio de 2016 al treinta y uno (31) de  diciembre 2016, la oferta del producto se realice por lo menos  un (1) día antes de comenzar a ejecutarse los contratos de suministro resultantes y realizarse entre los días quinc</w:t>
      </w:r>
      <w:r w:rsidRPr="003412B5">
        <w:rPr>
          <w:rFonts w:ascii="Bookman Old Style" w:hAnsi="Bookman Old Style"/>
        </w:rPr>
        <w:t>e (15) y treinta (30) del mes</w:t>
      </w:r>
      <w:r>
        <w:rPr>
          <w:rFonts w:ascii="Bookman Old Style" w:hAnsi="Bookman Old Style"/>
        </w:rPr>
        <w:t xml:space="preserve">, </w:t>
      </w:r>
      <w:r w:rsidRPr="003412B5">
        <w:rPr>
          <w:rFonts w:ascii="Bookman Old Style" w:hAnsi="Bookman Old Style"/>
        </w:rPr>
        <w:t xml:space="preserve">con el fin de que los </w:t>
      </w:r>
      <w:r w:rsidRPr="003412B5">
        <w:rPr>
          <w:rFonts w:ascii="Bookman Old Style" w:hAnsi="Bookman Old Style"/>
          <w:lang w:val="es-ES_tradnl"/>
        </w:rPr>
        <w:t>productores que</w:t>
      </w:r>
      <w:r>
        <w:rPr>
          <w:rFonts w:ascii="Bookman Old Style" w:hAnsi="Bookman Old Style"/>
          <w:lang w:val="es-ES_tradnl"/>
        </w:rPr>
        <w:t xml:space="preserve"> </w:t>
      </w:r>
      <w:r w:rsidRPr="003412B5">
        <w:rPr>
          <w:rFonts w:ascii="Bookman Old Style" w:hAnsi="Bookman Old Style"/>
          <w:lang w:val="es-ES_tradnl"/>
        </w:rPr>
        <w:t>consideren viable incrementar los volúmenes de GLP puedan incorporarlos en la presente Oferta Pública de Cantidades</w:t>
      </w:r>
      <w:r>
        <w:rPr>
          <w:rFonts w:ascii="Bookman Old Style" w:hAnsi="Bookman Old Style"/>
          <w:lang w:val="es-ES_tradnl"/>
        </w:rPr>
        <w:t>,</w:t>
      </w:r>
      <w:r w:rsidRPr="003412B5">
        <w:rPr>
          <w:rFonts w:ascii="Bookman Old Style" w:hAnsi="Bookman Old Style"/>
          <w:lang w:val="es-ES_tradnl"/>
        </w:rPr>
        <w:t xml:space="preserve"> bajo las mismas condiciones de precio.</w:t>
      </w:r>
    </w:p>
    <w:p w:rsidR="00E1590A" w:rsidRDefault="00E1590A" w:rsidP="00E1590A">
      <w:pPr>
        <w:ind w:left="0"/>
        <w:jc w:val="both"/>
        <w:rPr>
          <w:rFonts w:ascii="Bookman Old Style" w:hAnsi="Bookman Old Style"/>
        </w:rPr>
      </w:pPr>
    </w:p>
    <w:p w:rsidR="00E1590A" w:rsidRPr="003412B5" w:rsidRDefault="00E1590A" w:rsidP="00E1590A">
      <w:pPr>
        <w:ind w:left="0"/>
        <w:jc w:val="both"/>
        <w:rPr>
          <w:rFonts w:ascii="Bookman Old Style" w:hAnsi="Bookman Old Style"/>
          <w:lang w:val="es-ES_tradnl"/>
        </w:rPr>
      </w:pPr>
      <w:r>
        <w:rPr>
          <w:rFonts w:ascii="Bookman Old Style" w:hAnsi="Bookman Old Style"/>
          <w:lang w:val="es-ES_tradnl"/>
        </w:rPr>
        <w:t>Con base en</w:t>
      </w:r>
      <w:r w:rsidRPr="00DF5572">
        <w:rPr>
          <w:rFonts w:ascii="Bookman Old Style" w:hAnsi="Bookman Old Style"/>
          <w:lang w:val="es-ES_tradnl"/>
        </w:rPr>
        <w:t xml:space="preserve"> lo establecido en el</w:t>
      </w:r>
      <w:r>
        <w:rPr>
          <w:rFonts w:ascii="Bookman Old Style" w:hAnsi="Bookman Old Style"/>
          <w:lang w:val="es-ES_tradnl"/>
        </w:rPr>
        <w:t xml:space="preserve"> numeral 1, literal b del</w:t>
      </w:r>
      <w:r w:rsidRPr="00DF5572">
        <w:rPr>
          <w:rFonts w:ascii="Bookman Old Style" w:hAnsi="Bookman Old Style"/>
          <w:lang w:val="es-ES_tradnl"/>
        </w:rPr>
        <w:t xml:space="preserve"> artículo 4 del Decreto 2897 de 2010, reglamentario de la Ley 1340 de 2009, no es necesario remitir el presente acto administrativo a la Superintendencia de Industria y Comercio,</w:t>
      </w:r>
      <w:r>
        <w:rPr>
          <w:rFonts w:ascii="Bookman Old Style" w:hAnsi="Bookman Old Style"/>
          <w:lang w:val="es-ES_tradnl"/>
        </w:rPr>
        <w:t xml:space="preserve"> ya que las disposiciones allí contenidas están encaminadas a </w:t>
      </w:r>
      <w:r w:rsidRPr="003412B5">
        <w:rPr>
          <w:rFonts w:ascii="Bookman Old Style" w:hAnsi="Bookman Old Style" w:cs="Arial"/>
          <w:color w:val="000000"/>
          <w:shd w:val="clear" w:color="auto" w:fill="FFFFFF"/>
        </w:rPr>
        <w:t>garantizar la seguridad en el suministro de un bien o servicio público esencia</w:t>
      </w:r>
      <w:r>
        <w:rPr>
          <w:rFonts w:ascii="Bookman Old Style" w:hAnsi="Bookman Old Style" w:cs="Arial"/>
          <w:color w:val="000000"/>
          <w:shd w:val="clear" w:color="auto" w:fill="FFFFFF"/>
        </w:rPr>
        <w:t>l, que para estos efectos es el GLP</w:t>
      </w:r>
      <w:r w:rsidRPr="003412B5">
        <w:rPr>
          <w:rFonts w:ascii="Bookman Old Style" w:hAnsi="Bookman Old Style"/>
          <w:lang w:val="es-ES_tradnl"/>
        </w:rPr>
        <w:t xml:space="preserve">. </w:t>
      </w:r>
    </w:p>
    <w:p w:rsidR="00E1590A" w:rsidRDefault="00E1590A" w:rsidP="00E1590A">
      <w:pPr>
        <w:ind w:left="0"/>
        <w:jc w:val="both"/>
        <w:rPr>
          <w:rFonts w:ascii="Bookman Old Style" w:hAnsi="Bookman Old Style"/>
        </w:rPr>
      </w:pPr>
    </w:p>
    <w:p w:rsidR="00E1590A" w:rsidRPr="00D10127" w:rsidRDefault="00E1590A" w:rsidP="00E1590A">
      <w:pPr>
        <w:ind w:left="0"/>
        <w:jc w:val="both"/>
        <w:rPr>
          <w:rFonts w:ascii="Bookman Old Style" w:hAnsi="Bookman Old Style" w:cs="Arial"/>
          <w:lang w:val="es-ES_tradnl"/>
        </w:rPr>
      </w:pPr>
      <w:r w:rsidRPr="00837ECA">
        <w:rPr>
          <w:rFonts w:ascii="Bookman Old Style" w:hAnsi="Bookman Old Style" w:cs="Arial"/>
          <w:lang w:val="es-ES_tradnl"/>
        </w:rPr>
        <w:t>De conformidad con lo establecido en el parágrafo del artículo 9 del Decreto 2696 de 2004</w:t>
      </w:r>
      <w:r w:rsidRPr="00837ECA">
        <w:rPr>
          <w:rFonts w:ascii="Bookman Old Style" w:hAnsi="Bookman Old Style" w:cs="Arial"/>
          <w:vertAlign w:val="superscript"/>
          <w:lang w:val="es-ES_tradnl"/>
        </w:rPr>
        <w:footnoteReference w:id="1"/>
      </w:r>
      <w:r w:rsidRPr="00837ECA">
        <w:rPr>
          <w:rFonts w:ascii="Bookman Old Style" w:hAnsi="Bookman Old Style" w:cs="Arial"/>
          <w:lang w:val="es-ES_tradnl"/>
        </w:rPr>
        <w:t xml:space="preserve"> y el numeral 4 del artículo 1 de la Resolución CREG 097 de 2004, la Comisión decidió por unanimidad no someter la presente resolución a las disposiciones sobre publicidad de proyectos de regulación previstas en el citado decreto, debido a la existencia de razones de orden económico, de conven</w:t>
      </w:r>
      <w:r>
        <w:rPr>
          <w:rFonts w:ascii="Bookman Old Style" w:hAnsi="Bookman Old Style" w:cs="Arial"/>
          <w:lang w:val="es-ES_tradnl"/>
        </w:rPr>
        <w:t>iencia general y de oportunidad. Lo anterior,</w:t>
      </w:r>
      <w:r w:rsidRPr="00837ECA">
        <w:rPr>
          <w:rFonts w:ascii="Bookman Old Style" w:hAnsi="Bookman Old Style" w:cs="Arial"/>
          <w:lang w:val="es-ES_tradnl"/>
        </w:rPr>
        <w:t xml:space="preserve"> teniendo en cue</w:t>
      </w:r>
      <w:r>
        <w:rPr>
          <w:rFonts w:ascii="Bookman Old Style" w:hAnsi="Bookman Old Style" w:cs="Arial"/>
          <w:lang w:val="es-ES_tradnl"/>
        </w:rPr>
        <w:t xml:space="preserve">nta que las medidas regulatorias que se adoptan </w:t>
      </w:r>
      <w:r>
        <w:rPr>
          <w:rFonts w:ascii="Bookman Old Style" w:hAnsi="Bookman Old Style"/>
        </w:rPr>
        <w:t>deben estar vigentes antes del cierre del proceso de</w:t>
      </w:r>
      <w:r w:rsidRPr="00E41A4A">
        <w:rPr>
          <w:rFonts w:ascii="Bookman Old Style" w:hAnsi="Bookman Old Style"/>
        </w:rPr>
        <w:t xml:space="preserve"> la </w:t>
      </w:r>
      <w:r>
        <w:rPr>
          <w:rFonts w:ascii="Bookman Old Style" w:hAnsi="Bookman Old Style"/>
        </w:rPr>
        <w:t>siguiente oferta pública de cantidades, todo esto dentro del marco de comercialización mayorista de GLP.</w:t>
      </w:r>
    </w:p>
    <w:p w:rsidR="00E1590A" w:rsidRDefault="00E1590A" w:rsidP="00E1590A">
      <w:pPr>
        <w:ind w:left="0"/>
        <w:jc w:val="both"/>
        <w:rPr>
          <w:rFonts w:ascii="Bookman Old Style" w:hAnsi="Bookman Old Style"/>
          <w:lang w:val="es-ES_tradnl"/>
        </w:rPr>
      </w:pPr>
    </w:p>
    <w:p w:rsidR="00E1590A" w:rsidRDefault="00E1590A" w:rsidP="00E1590A">
      <w:pPr>
        <w:ind w:left="0"/>
        <w:jc w:val="both"/>
        <w:rPr>
          <w:rFonts w:ascii="Bookman Old Style" w:hAnsi="Bookman Old Style"/>
          <w:lang w:val="es-ES_tradnl"/>
        </w:rPr>
      </w:pPr>
      <w:r w:rsidRPr="00872AC9">
        <w:rPr>
          <w:rFonts w:ascii="Bookman Old Style" w:hAnsi="Bookman Old Style"/>
          <w:lang w:val="es-ES_tradnl"/>
        </w:rPr>
        <w:t>La Comisión de Regulación de Energía y Gas aprobó el presente acto adm</w:t>
      </w:r>
      <w:r>
        <w:rPr>
          <w:rFonts w:ascii="Bookman Old Style" w:hAnsi="Bookman Old Style"/>
          <w:lang w:val="es-ES_tradnl"/>
        </w:rPr>
        <w:t>inistrativo en la sesión No</w:t>
      </w:r>
      <w:r w:rsidR="00011499">
        <w:rPr>
          <w:rFonts w:ascii="Bookman Old Style" w:hAnsi="Bookman Old Style"/>
          <w:lang w:val="es-ES_tradnl"/>
        </w:rPr>
        <w:t>. 723</w:t>
      </w:r>
      <w:r>
        <w:rPr>
          <w:rFonts w:ascii="Bookman Old Style" w:hAnsi="Bookman Old Style"/>
          <w:lang w:val="es-ES_tradnl"/>
        </w:rPr>
        <w:t xml:space="preserve"> de junio</w:t>
      </w:r>
      <w:r w:rsidR="00011499">
        <w:rPr>
          <w:rFonts w:ascii="Bookman Old Style" w:hAnsi="Bookman Old Style"/>
          <w:lang w:val="es-ES_tradnl"/>
        </w:rPr>
        <w:t xml:space="preserve"> 27</w:t>
      </w:r>
      <w:r>
        <w:rPr>
          <w:rFonts w:ascii="Bookman Old Style" w:hAnsi="Bookman Old Style"/>
          <w:lang w:val="es-ES_tradnl"/>
        </w:rPr>
        <w:t xml:space="preserve"> de 2016</w:t>
      </w:r>
      <w:r w:rsidRPr="00872AC9">
        <w:rPr>
          <w:rFonts w:ascii="Bookman Old Style" w:hAnsi="Bookman Old Style"/>
          <w:lang w:val="es-ES_tradnl"/>
        </w:rPr>
        <w:t>.</w:t>
      </w:r>
    </w:p>
    <w:p w:rsidR="00E1590A" w:rsidRDefault="00E1590A" w:rsidP="00E1590A">
      <w:pPr>
        <w:suppressAutoHyphens/>
        <w:ind w:left="0"/>
        <w:rPr>
          <w:rFonts w:ascii="Bookman Old Style" w:hAnsi="Bookman Old Style"/>
          <w:b/>
          <w:spacing w:val="-3"/>
          <w:lang w:val="es-ES_tradnl"/>
        </w:rPr>
      </w:pPr>
    </w:p>
    <w:p w:rsidR="00E1590A" w:rsidRDefault="00E1590A" w:rsidP="00E1590A">
      <w:pPr>
        <w:suppressAutoHyphens/>
        <w:ind w:left="0"/>
        <w:rPr>
          <w:rFonts w:ascii="Bookman Old Style" w:hAnsi="Bookman Old Style"/>
          <w:b/>
          <w:spacing w:val="-3"/>
          <w:lang w:val="es-ES_tradnl"/>
        </w:rPr>
      </w:pPr>
    </w:p>
    <w:p w:rsidR="00011499" w:rsidRPr="00872AC9" w:rsidRDefault="00011499" w:rsidP="00E1590A">
      <w:pPr>
        <w:suppressAutoHyphens/>
        <w:ind w:left="0"/>
        <w:rPr>
          <w:rFonts w:ascii="Bookman Old Style" w:hAnsi="Bookman Old Style"/>
          <w:b/>
          <w:spacing w:val="-3"/>
          <w:lang w:val="es-ES_tradnl"/>
        </w:rPr>
      </w:pPr>
    </w:p>
    <w:p w:rsidR="00E1590A" w:rsidRPr="00EB29EB" w:rsidRDefault="00E1590A" w:rsidP="00E1590A">
      <w:pPr>
        <w:suppressAutoHyphens/>
        <w:ind w:left="0"/>
        <w:jc w:val="center"/>
        <w:rPr>
          <w:rFonts w:ascii="Bookman Old Style" w:hAnsi="Bookman Old Style"/>
          <w:spacing w:val="-3"/>
        </w:rPr>
      </w:pPr>
      <w:r w:rsidRPr="00EB29EB">
        <w:rPr>
          <w:rFonts w:ascii="Bookman Old Style" w:hAnsi="Bookman Old Style"/>
          <w:b/>
          <w:spacing w:val="-3"/>
        </w:rPr>
        <w:t>R E S U E L V E:</w:t>
      </w:r>
    </w:p>
    <w:p w:rsidR="00E1590A" w:rsidRDefault="00E1590A" w:rsidP="00E1590A">
      <w:pPr>
        <w:ind w:left="0"/>
        <w:jc w:val="both"/>
        <w:rPr>
          <w:rFonts w:ascii="Bookman Old Style" w:hAnsi="Bookman Old Style"/>
        </w:rPr>
      </w:pPr>
    </w:p>
    <w:p w:rsidR="00011499" w:rsidRPr="00EB29EB" w:rsidRDefault="00011499" w:rsidP="00E1590A">
      <w:pPr>
        <w:ind w:left="0"/>
        <w:jc w:val="both"/>
        <w:rPr>
          <w:rFonts w:ascii="Bookman Old Style" w:hAnsi="Bookman Old Style"/>
        </w:rPr>
      </w:pPr>
    </w:p>
    <w:p w:rsidR="00E1590A" w:rsidRDefault="00E1590A" w:rsidP="00E1590A">
      <w:pPr>
        <w:ind w:left="0"/>
        <w:jc w:val="both"/>
        <w:rPr>
          <w:rFonts w:ascii="Bookman Old Style" w:hAnsi="Bookman Old Style"/>
        </w:rPr>
      </w:pPr>
      <w:r w:rsidRPr="00EB29EB">
        <w:rPr>
          <w:rFonts w:ascii="Bookman Old Style" w:hAnsi="Bookman Old Style"/>
          <w:b/>
        </w:rPr>
        <w:t xml:space="preserve">ARTÍCULO </w:t>
      </w:r>
      <w:r>
        <w:rPr>
          <w:rFonts w:ascii="Bookman Old Style" w:hAnsi="Bookman Old Style"/>
          <w:b/>
        </w:rPr>
        <w:t>1</w:t>
      </w:r>
      <w:r w:rsidRPr="00EB29EB">
        <w:rPr>
          <w:rFonts w:ascii="Bookman Old Style" w:hAnsi="Bookman Old Style"/>
          <w:b/>
        </w:rPr>
        <w:t>.</w:t>
      </w:r>
      <w:r>
        <w:rPr>
          <w:rFonts w:ascii="Bookman Old Style" w:hAnsi="Bookman Old Style"/>
          <w:i/>
        </w:rPr>
        <w:t xml:space="preserve"> </w:t>
      </w:r>
      <w:r>
        <w:rPr>
          <w:rFonts w:ascii="Bookman Old Style" w:hAnsi="Bookman Old Style"/>
        </w:rPr>
        <w:t>De manera excepcional y únicamente para</w:t>
      </w:r>
      <w:r w:rsidRPr="00886292">
        <w:rPr>
          <w:rFonts w:ascii="Bookman Old Style" w:hAnsi="Bookman Old Style"/>
        </w:rPr>
        <w:t xml:space="preserve"> la OPC que cubra la demanda a part</w:t>
      </w:r>
      <w:r w:rsidRPr="00BD7733">
        <w:rPr>
          <w:rFonts w:ascii="Bookman Old Style" w:hAnsi="Bookman Old Style"/>
        </w:rPr>
        <w:t>ir del primero</w:t>
      </w:r>
      <w:r>
        <w:rPr>
          <w:rFonts w:ascii="Bookman Old Style" w:hAnsi="Bookman Old Style"/>
        </w:rPr>
        <w:t xml:space="preserve"> (01)</w:t>
      </w:r>
      <w:r w:rsidRPr="00BD7733">
        <w:rPr>
          <w:rFonts w:ascii="Bookman Old Style" w:hAnsi="Bookman Old Style"/>
        </w:rPr>
        <w:t xml:space="preserve"> de </w:t>
      </w:r>
      <w:r>
        <w:rPr>
          <w:rFonts w:ascii="Bookman Old Style" w:hAnsi="Bookman Old Style"/>
        </w:rPr>
        <w:t>julio</w:t>
      </w:r>
      <w:r w:rsidRPr="00BD7733">
        <w:rPr>
          <w:rFonts w:ascii="Bookman Old Style" w:hAnsi="Bookman Old Style"/>
        </w:rPr>
        <w:t xml:space="preserve"> </w:t>
      </w:r>
      <w:r>
        <w:rPr>
          <w:rFonts w:ascii="Bookman Old Style" w:hAnsi="Bookman Old Style"/>
        </w:rPr>
        <w:t>de 2016 al treinta y  uno (31) de diciembre de 2016, el producto se deberá ofrecer por los menos un (1) día calendario antes de ejecutarse los contratos de suministro resultantes.</w:t>
      </w:r>
    </w:p>
    <w:p w:rsidR="00E1590A" w:rsidRPr="00011499" w:rsidRDefault="00E1590A" w:rsidP="00E1590A">
      <w:pPr>
        <w:ind w:left="0"/>
        <w:jc w:val="both"/>
        <w:rPr>
          <w:rFonts w:ascii="Bookman Old Style" w:hAnsi="Bookman Old Style"/>
          <w:sz w:val="32"/>
        </w:rPr>
      </w:pPr>
    </w:p>
    <w:p w:rsidR="00E1590A" w:rsidRPr="00374BEF" w:rsidRDefault="00E1590A" w:rsidP="00E1590A">
      <w:pPr>
        <w:ind w:left="0"/>
        <w:jc w:val="both"/>
        <w:rPr>
          <w:rFonts w:ascii="Bookman Old Style" w:hAnsi="Bookman Old Style"/>
        </w:rPr>
      </w:pPr>
      <w:r w:rsidRPr="00846864">
        <w:rPr>
          <w:rFonts w:ascii="Bookman Old Style" w:hAnsi="Bookman Old Style"/>
          <w:b/>
        </w:rPr>
        <w:t xml:space="preserve">Parágrafo. </w:t>
      </w:r>
      <w:r w:rsidRPr="00A4432B">
        <w:rPr>
          <w:rFonts w:ascii="Bookman Old Style" w:hAnsi="Bookman Old Style"/>
        </w:rPr>
        <w:t>Para</w:t>
      </w:r>
      <w:r>
        <w:rPr>
          <w:rFonts w:ascii="Bookman Old Style" w:hAnsi="Bookman Old Style"/>
          <w:b/>
        </w:rPr>
        <w:t xml:space="preserve"> </w:t>
      </w:r>
      <w:r>
        <w:rPr>
          <w:rFonts w:ascii="Bookman Old Style" w:hAnsi="Bookman Old Style"/>
        </w:rPr>
        <w:t>l</w:t>
      </w:r>
      <w:r w:rsidRPr="00374BEF">
        <w:rPr>
          <w:rFonts w:ascii="Bookman Old Style" w:hAnsi="Bookman Old Style"/>
        </w:rPr>
        <w:t xml:space="preserve">as OPC que cubran demanda diferente a la definida en este artículo </w:t>
      </w:r>
      <w:r>
        <w:rPr>
          <w:rFonts w:ascii="Bookman Old Style" w:hAnsi="Bookman Old Style"/>
        </w:rPr>
        <w:t xml:space="preserve">se seguirá aplicando lo previsto en la regulación vigente. </w:t>
      </w:r>
    </w:p>
    <w:p w:rsidR="00E1590A" w:rsidRPr="009C4E55" w:rsidRDefault="00E1590A" w:rsidP="00E1590A">
      <w:pPr>
        <w:ind w:left="0"/>
        <w:jc w:val="both"/>
        <w:rPr>
          <w:rFonts w:ascii="Bookman Old Style" w:hAnsi="Bookman Old Style"/>
          <w:b/>
        </w:rPr>
      </w:pPr>
    </w:p>
    <w:p w:rsidR="00E1590A" w:rsidRDefault="00E1590A" w:rsidP="00E1590A">
      <w:pPr>
        <w:ind w:left="0"/>
        <w:jc w:val="both"/>
        <w:rPr>
          <w:rFonts w:ascii="Bookman Old Style" w:hAnsi="Bookman Old Style"/>
          <w:b/>
        </w:rPr>
      </w:pPr>
    </w:p>
    <w:p w:rsidR="00011499" w:rsidRDefault="00011499" w:rsidP="00E1590A">
      <w:pPr>
        <w:ind w:left="0"/>
        <w:jc w:val="both"/>
        <w:rPr>
          <w:rFonts w:ascii="Bookman Old Style" w:hAnsi="Bookman Old Style"/>
          <w:b/>
        </w:rPr>
      </w:pPr>
    </w:p>
    <w:p w:rsidR="00011499" w:rsidRDefault="00011499" w:rsidP="00E1590A">
      <w:pPr>
        <w:ind w:left="0"/>
        <w:jc w:val="both"/>
        <w:rPr>
          <w:rFonts w:ascii="Bookman Old Style" w:hAnsi="Bookman Old Style"/>
          <w:b/>
        </w:rPr>
      </w:pPr>
    </w:p>
    <w:p w:rsidR="00011499" w:rsidRDefault="00011499" w:rsidP="00E1590A">
      <w:pPr>
        <w:ind w:left="0"/>
        <w:jc w:val="both"/>
        <w:rPr>
          <w:rFonts w:ascii="Bookman Old Style" w:hAnsi="Bookman Old Style"/>
          <w:b/>
        </w:rPr>
      </w:pPr>
    </w:p>
    <w:p w:rsidR="00011499" w:rsidRDefault="00011499" w:rsidP="00E1590A">
      <w:pPr>
        <w:ind w:left="0"/>
        <w:jc w:val="both"/>
        <w:rPr>
          <w:rFonts w:ascii="Bookman Old Style" w:hAnsi="Bookman Old Style"/>
          <w:b/>
        </w:rPr>
      </w:pPr>
    </w:p>
    <w:p w:rsidR="00E1590A" w:rsidRPr="00ED4CAB" w:rsidRDefault="00E1590A" w:rsidP="00E1590A">
      <w:pPr>
        <w:ind w:left="0"/>
        <w:jc w:val="both"/>
        <w:rPr>
          <w:rFonts w:ascii="Bookman Old Style" w:hAnsi="Bookman Old Style"/>
          <w:i/>
        </w:rPr>
      </w:pPr>
      <w:r>
        <w:rPr>
          <w:rFonts w:ascii="Bookman Old Style" w:hAnsi="Bookman Old Style"/>
          <w:b/>
        </w:rPr>
        <w:t xml:space="preserve">ARTÍCULO 2. VIGENCIA. </w:t>
      </w:r>
      <w:r w:rsidRPr="00E41A4A">
        <w:rPr>
          <w:rFonts w:ascii="Bookman Old Style" w:hAnsi="Bookman Old Style"/>
        </w:rPr>
        <w:t xml:space="preserve">Esta resolución rige a partir de su publicación en el </w:t>
      </w:r>
      <w:r w:rsidRPr="0028701A">
        <w:rPr>
          <w:rFonts w:ascii="Bookman Old Style" w:hAnsi="Bookman Old Style"/>
          <w:i/>
        </w:rPr>
        <w:t>Diario Oficial</w:t>
      </w:r>
      <w:r w:rsidRPr="00E41A4A">
        <w:rPr>
          <w:rFonts w:ascii="Bookman Old Style" w:hAnsi="Bookman Old Style"/>
        </w:rPr>
        <w:t xml:space="preserve"> y deroga las normas que le sean contrarias.</w:t>
      </w:r>
    </w:p>
    <w:p w:rsidR="00E1590A" w:rsidRPr="00EB29EB" w:rsidRDefault="00E1590A" w:rsidP="00E1590A">
      <w:pPr>
        <w:ind w:left="0"/>
        <w:jc w:val="both"/>
        <w:rPr>
          <w:rFonts w:ascii="Bookman Old Style" w:hAnsi="Bookman Old Style"/>
        </w:rPr>
      </w:pPr>
    </w:p>
    <w:p w:rsidR="00E1590A" w:rsidRPr="00EB29EB" w:rsidRDefault="00E1590A" w:rsidP="00E1590A">
      <w:pPr>
        <w:ind w:left="0"/>
        <w:rPr>
          <w:rFonts w:ascii="Bookman Old Style" w:hAnsi="Bookman Old Style"/>
        </w:rPr>
      </w:pPr>
    </w:p>
    <w:p w:rsidR="00E1590A" w:rsidRPr="00EB29EB" w:rsidRDefault="00E1590A" w:rsidP="00E1590A">
      <w:pPr>
        <w:jc w:val="center"/>
        <w:rPr>
          <w:rFonts w:ascii="Bookman Old Style" w:hAnsi="Bookman Old Style"/>
          <w:b/>
        </w:rPr>
      </w:pPr>
      <w:r w:rsidRPr="00EB29EB">
        <w:rPr>
          <w:rFonts w:ascii="Bookman Old Style" w:hAnsi="Bookman Old Style"/>
          <w:b/>
        </w:rPr>
        <w:t>PUBLÍQUESE Y CÚMPLASE</w:t>
      </w:r>
    </w:p>
    <w:p w:rsidR="00E1590A" w:rsidRPr="00EB29EB" w:rsidRDefault="00E1590A" w:rsidP="00E1590A">
      <w:pPr>
        <w:rPr>
          <w:rFonts w:ascii="Bookman Old Style" w:hAnsi="Bookman Old Style"/>
        </w:rPr>
      </w:pPr>
    </w:p>
    <w:p w:rsidR="00E1590A" w:rsidRDefault="00E1590A" w:rsidP="00E1590A">
      <w:pPr>
        <w:ind w:left="0"/>
        <w:rPr>
          <w:rFonts w:ascii="Bookman Old Style" w:hAnsi="Bookman Old Style"/>
        </w:rPr>
      </w:pPr>
      <w:r w:rsidRPr="00AE2B44">
        <w:rPr>
          <w:rFonts w:ascii="Bookman Old Style" w:hAnsi="Bookman Old Style"/>
        </w:rPr>
        <w:t>Dada en Bogotá, D.C.</w:t>
      </w:r>
    </w:p>
    <w:p w:rsidR="00E1590A" w:rsidRDefault="00E1590A" w:rsidP="00E1590A">
      <w:pPr>
        <w:ind w:left="0"/>
        <w:rPr>
          <w:rFonts w:ascii="Bookman Old Style" w:hAnsi="Bookman Old Style"/>
        </w:rPr>
      </w:pPr>
    </w:p>
    <w:p w:rsidR="00E1590A" w:rsidRDefault="00E1590A" w:rsidP="00E1590A">
      <w:pPr>
        <w:ind w:left="0"/>
        <w:rPr>
          <w:rFonts w:ascii="Bookman Old Style" w:hAnsi="Bookman Old Style" w:cs="Arial"/>
        </w:rPr>
      </w:pPr>
    </w:p>
    <w:p w:rsidR="00E1590A" w:rsidRDefault="00E1590A" w:rsidP="00E1590A">
      <w:pPr>
        <w:ind w:left="0"/>
        <w:rPr>
          <w:rFonts w:ascii="Bookman Old Style" w:hAnsi="Bookman Old Style" w:cs="Arial"/>
        </w:rPr>
      </w:pPr>
    </w:p>
    <w:p w:rsidR="00E1590A" w:rsidRDefault="00E1590A" w:rsidP="00E1590A">
      <w:pPr>
        <w:ind w:left="0"/>
        <w:rPr>
          <w:rFonts w:ascii="Bookman Old Style" w:hAnsi="Bookman Old Style" w:cs="Arial"/>
        </w:rPr>
      </w:pPr>
    </w:p>
    <w:p w:rsidR="00E1590A" w:rsidRPr="00315BA7" w:rsidRDefault="00E1590A" w:rsidP="00E1590A">
      <w:pPr>
        <w:widowControl w:val="0"/>
        <w:ind w:left="0"/>
        <w:rPr>
          <w:rFonts w:ascii="Bookman Old Style" w:hAnsi="Bookman Old Style"/>
        </w:rPr>
      </w:pPr>
    </w:p>
    <w:tbl>
      <w:tblPr>
        <w:tblW w:w="9676" w:type="dxa"/>
        <w:jc w:val="center"/>
        <w:tblInd w:w="-38" w:type="dxa"/>
        <w:tblLayout w:type="fixed"/>
        <w:tblLook w:val="04A0" w:firstRow="1" w:lastRow="0" w:firstColumn="1" w:lastColumn="0" w:noHBand="0" w:noVBand="1"/>
      </w:tblPr>
      <w:tblGrid>
        <w:gridCol w:w="4838"/>
        <w:gridCol w:w="4838"/>
      </w:tblGrid>
      <w:tr w:rsidR="00E1590A" w:rsidTr="00BC4BD1">
        <w:trPr>
          <w:jc w:val="center"/>
        </w:trPr>
        <w:tc>
          <w:tcPr>
            <w:tcW w:w="4838" w:type="dxa"/>
            <w:hideMark/>
          </w:tcPr>
          <w:p w:rsidR="00E1590A" w:rsidRDefault="00E1590A" w:rsidP="00BC4BD1">
            <w:pPr>
              <w:ind w:left="0" w:right="-288"/>
              <w:jc w:val="center"/>
              <w:rPr>
                <w:rFonts w:ascii="Bookman Old Style" w:hAnsi="Bookman Old Style"/>
                <w:b/>
              </w:rPr>
            </w:pPr>
            <w:r>
              <w:rPr>
                <w:rFonts w:ascii="Bookman Old Style" w:hAnsi="Bookman Old Style"/>
                <w:b/>
              </w:rPr>
              <w:t>GERMAN ARCE ZAPATA</w:t>
            </w:r>
          </w:p>
          <w:p w:rsidR="00E1590A" w:rsidRDefault="00E1590A" w:rsidP="00BC4BD1">
            <w:pPr>
              <w:ind w:left="-90" w:right="-160"/>
              <w:jc w:val="center"/>
              <w:rPr>
                <w:rFonts w:ascii="Bookman Old Style" w:hAnsi="Bookman Old Style"/>
                <w:bCs/>
                <w:lang w:val="es-CO"/>
              </w:rPr>
            </w:pPr>
            <w:r>
              <w:rPr>
                <w:rFonts w:ascii="Bookman Old Style" w:hAnsi="Bookman Old Style"/>
                <w:bCs/>
                <w:lang w:val="es-CO"/>
              </w:rPr>
              <w:t>Ministro de Minas y Energía</w:t>
            </w:r>
          </w:p>
          <w:p w:rsidR="00E1590A" w:rsidRDefault="00E1590A" w:rsidP="00BC4BD1">
            <w:pPr>
              <w:ind w:left="142"/>
              <w:jc w:val="center"/>
              <w:rPr>
                <w:rFonts w:ascii="Bookman Old Style" w:hAnsi="Bookman Old Style"/>
                <w:bCs/>
                <w:lang w:val="es-CO"/>
              </w:rPr>
            </w:pPr>
            <w:r>
              <w:rPr>
                <w:rFonts w:ascii="Bookman Old Style" w:hAnsi="Bookman Old Style"/>
                <w:bCs/>
                <w:lang w:val="es-CO"/>
              </w:rPr>
              <w:t>Presidente</w:t>
            </w:r>
          </w:p>
        </w:tc>
        <w:tc>
          <w:tcPr>
            <w:tcW w:w="4838" w:type="dxa"/>
            <w:hideMark/>
          </w:tcPr>
          <w:p w:rsidR="00E1590A" w:rsidRDefault="00E1590A" w:rsidP="00BC4BD1">
            <w:pPr>
              <w:ind w:left="0"/>
              <w:jc w:val="center"/>
              <w:rPr>
                <w:rFonts w:ascii="Bookman Old Style" w:hAnsi="Bookman Old Style"/>
                <w:b/>
              </w:rPr>
            </w:pPr>
            <w:r>
              <w:rPr>
                <w:rFonts w:ascii="Bookman Old Style" w:hAnsi="Bookman Old Style"/>
                <w:b/>
              </w:rPr>
              <w:t>JORGE PINTO NOLLA</w:t>
            </w:r>
          </w:p>
          <w:p w:rsidR="00E1590A" w:rsidRDefault="00E1590A" w:rsidP="00BC4BD1">
            <w:pPr>
              <w:ind w:left="0"/>
              <w:jc w:val="center"/>
              <w:rPr>
                <w:rFonts w:ascii="Bookman Old Style" w:hAnsi="Bookman Old Style"/>
              </w:rPr>
            </w:pPr>
            <w:r>
              <w:rPr>
                <w:rFonts w:ascii="Bookman Old Style" w:hAnsi="Bookman Old Style"/>
              </w:rPr>
              <w:t>Director Ejecutivo</w:t>
            </w:r>
          </w:p>
        </w:tc>
      </w:tr>
    </w:tbl>
    <w:p w:rsidR="00E1590A" w:rsidRPr="00EB29EB" w:rsidRDefault="00E1590A" w:rsidP="00E1590A">
      <w:pPr>
        <w:ind w:left="0"/>
        <w:rPr>
          <w:rFonts w:ascii="Bookman Old Style" w:hAnsi="Bookman Old Style" w:cs="Arial"/>
        </w:rPr>
      </w:pPr>
    </w:p>
    <w:p w:rsidR="008C1452" w:rsidRPr="0047290B" w:rsidRDefault="008C1452" w:rsidP="0047290B"/>
    <w:sectPr w:rsidR="008C1452" w:rsidRPr="0047290B"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668" w:rsidRDefault="00A25668">
      <w:r>
        <w:separator/>
      </w:r>
    </w:p>
  </w:endnote>
  <w:endnote w:type="continuationSeparator" w:id="0">
    <w:p w:rsidR="00A25668" w:rsidRDefault="00A2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668" w:rsidRDefault="00A25668">
      <w:r>
        <w:separator/>
      </w:r>
    </w:p>
  </w:footnote>
  <w:footnote w:type="continuationSeparator" w:id="0">
    <w:p w:rsidR="00A25668" w:rsidRDefault="00A25668">
      <w:r>
        <w:continuationSeparator/>
      </w:r>
    </w:p>
  </w:footnote>
  <w:footnote w:id="1">
    <w:p w:rsidR="00E1590A" w:rsidRDefault="00E1590A" w:rsidP="00E1590A">
      <w:pPr>
        <w:pStyle w:val="Textonotapie"/>
        <w:ind w:left="0"/>
        <w:jc w:val="both"/>
      </w:pPr>
      <w:r w:rsidRPr="00A42C0D">
        <w:rPr>
          <w:rFonts w:ascii="Bookman Old Style" w:hAnsi="Bookman Old Style" w:cs="Arial"/>
          <w:sz w:val="16"/>
          <w:szCs w:val="16"/>
        </w:rPr>
        <w:footnoteRef/>
      </w:r>
      <w:r w:rsidRPr="00A42C0D">
        <w:rPr>
          <w:rFonts w:ascii="Bookman Old Style" w:hAnsi="Bookman Old Style" w:cs="Arial"/>
          <w:sz w:val="16"/>
          <w:szCs w:val="16"/>
        </w:rPr>
        <w:t xml:space="preserve"> Se debe precisar que estas disposiciones se encuentran recogidas actua</w:t>
      </w:r>
      <w:r>
        <w:rPr>
          <w:rFonts w:ascii="Bookman Old Style" w:hAnsi="Bookman Old Style" w:cs="Arial"/>
          <w:sz w:val="16"/>
          <w:szCs w:val="16"/>
        </w:rPr>
        <w:t>lmente en los numerales 2.2.13.1 y siguientes del Decreto 1078</w:t>
      </w:r>
      <w:r w:rsidRPr="00A42C0D">
        <w:rPr>
          <w:rFonts w:ascii="Bookman Old Style" w:hAnsi="Bookman Old Style" w:cs="Arial"/>
          <w:sz w:val="16"/>
          <w:szCs w:val="16"/>
        </w:rPr>
        <w:t xml:space="preserve">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DD" w:rsidRDefault="00B62FDD" w:rsidP="00951F79">
    <w:pPr>
      <w:pStyle w:val="Ttulo1"/>
      <w:ind w:right="6"/>
      <w:jc w:val="left"/>
      <w:rPr>
        <w:rFonts w:ascii="Bookman Old Style" w:hAnsi="Bookman Old Style" w:cs="Arial"/>
        <w:b w:val="0"/>
        <w:sz w:val="22"/>
        <w:szCs w:val="22"/>
      </w:rPr>
    </w:pPr>
  </w:p>
  <w:p w:rsidR="00B62FDD" w:rsidRPr="00951F79" w:rsidRDefault="00B62FD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7634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76348">
      <w:fldChar w:fldCharType="begin"/>
    </w:r>
    <w:r w:rsidR="00D76348">
      <w:instrText xml:space="preserve"> NUMPAGES  \* MERGEFORMAT </w:instrText>
    </w:r>
    <w:r w:rsidR="00D76348">
      <w:fldChar w:fldCharType="separate"/>
    </w:r>
    <w:r w:rsidR="00D76348" w:rsidRPr="00D76348">
      <w:rPr>
        <w:rFonts w:ascii="Bookman Old Style" w:hAnsi="Bookman Old Style" w:cs="Arial"/>
        <w:b w:val="0"/>
        <w:noProof/>
        <w:sz w:val="22"/>
        <w:szCs w:val="22"/>
      </w:rPr>
      <w:t>4</w:t>
    </w:r>
    <w:r w:rsidR="00D76348">
      <w:rPr>
        <w:rFonts w:ascii="Bookman Old Style" w:hAnsi="Bookman Old Style" w:cs="Arial"/>
        <w:b w:val="0"/>
        <w:noProof/>
        <w:sz w:val="22"/>
        <w:szCs w:val="22"/>
      </w:rPr>
      <w:fldChar w:fldCharType="end"/>
    </w:r>
  </w:p>
  <w:p w:rsidR="00B62FDD" w:rsidRDefault="00B62FDD"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7216" behindDoc="0" locked="0" layoutInCell="1" allowOverlap="1" wp14:anchorId="6626A08B" wp14:editId="72E9DBD2">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11499" w:rsidRDefault="00011499" w:rsidP="00011499">
    <w:pPr>
      <w:ind w:left="0"/>
      <w:jc w:val="both"/>
      <w:rPr>
        <w:rFonts w:ascii="Bookman Old Style" w:hAnsi="Bookman Old Style"/>
      </w:rPr>
    </w:pPr>
    <w:r w:rsidRPr="00EB29EB">
      <w:rPr>
        <w:rFonts w:ascii="Bookman Old Style" w:hAnsi="Bookman Old Style"/>
      </w:rPr>
      <w:t xml:space="preserve">Por </w:t>
    </w:r>
    <w:r w:rsidRPr="00272F8D">
      <w:rPr>
        <w:rFonts w:ascii="Bookman Old Style" w:hAnsi="Bookman Old Style"/>
      </w:rPr>
      <w:t xml:space="preserve">la cual </w:t>
    </w:r>
    <w:r>
      <w:rPr>
        <w:rFonts w:ascii="Bookman Old Style" w:hAnsi="Bookman Old Style"/>
      </w:rPr>
      <w:t xml:space="preserve">se adopta una medida transitoria para la  oferta de producto de la OPC </w:t>
    </w:r>
    <w:r w:rsidRPr="00886292">
      <w:rPr>
        <w:rFonts w:ascii="Bookman Old Style" w:hAnsi="Bookman Old Style"/>
      </w:rPr>
      <w:t>que cubra la demanda a part</w:t>
    </w:r>
    <w:r w:rsidRPr="00BD7733">
      <w:rPr>
        <w:rFonts w:ascii="Bookman Old Style" w:hAnsi="Bookman Old Style"/>
      </w:rPr>
      <w:t xml:space="preserve">ir del </w:t>
    </w:r>
    <w:r>
      <w:rPr>
        <w:rFonts w:ascii="Bookman Old Style" w:hAnsi="Bookman Old Style"/>
      </w:rPr>
      <w:t xml:space="preserve">primero (01) </w:t>
    </w:r>
    <w:r w:rsidRPr="00BD7733">
      <w:rPr>
        <w:rFonts w:ascii="Bookman Old Style" w:hAnsi="Bookman Old Style"/>
      </w:rPr>
      <w:t xml:space="preserve">de </w:t>
    </w:r>
    <w:r>
      <w:rPr>
        <w:rFonts w:ascii="Bookman Old Style" w:hAnsi="Bookman Old Style"/>
      </w:rPr>
      <w:t xml:space="preserve">julio de 2016 al treinta y uno (31) de diciembre de 2016. </w:t>
    </w:r>
  </w:p>
  <w:p w:rsidR="00B62FDD" w:rsidRPr="00421700" w:rsidRDefault="00B62FDD" w:rsidP="00011499">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DD" w:rsidRDefault="00B62FD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B62FDD" w:rsidRDefault="00B62FDD">
    <w:pPr>
      <w:pStyle w:val="Encabezado"/>
      <w:jc w:val="center"/>
      <w:rPr>
        <w:rFonts w:ascii="Arial" w:hAnsi="Arial" w:cs="Arial"/>
        <w:spacing w:val="20"/>
        <w:sz w:val="20"/>
      </w:rPr>
    </w:pPr>
  </w:p>
  <w:p w:rsidR="00B62FDD" w:rsidRDefault="00B62FDD"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D94875F" wp14:editId="261A2E1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nsid w:val="31983FCD"/>
    <w:multiLevelType w:val="hybridMultilevel"/>
    <w:tmpl w:val="B9F20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17">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6">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6"/>
  </w:num>
  <w:num w:numId="4">
    <w:abstractNumId w:val="6"/>
  </w:num>
  <w:num w:numId="5">
    <w:abstractNumId w:val="18"/>
  </w:num>
  <w:num w:numId="6">
    <w:abstractNumId w:val="4"/>
  </w:num>
  <w:num w:numId="7">
    <w:abstractNumId w:val="3"/>
  </w:num>
  <w:num w:numId="8">
    <w:abstractNumId w:val="21"/>
  </w:num>
  <w:num w:numId="9">
    <w:abstractNumId w:val="20"/>
  </w:num>
  <w:num w:numId="10">
    <w:abstractNumId w:val="13"/>
  </w:num>
  <w:num w:numId="11">
    <w:abstractNumId w:val="27"/>
  </w:num>
  <w:num w:numId="12">
    <w:abstractNumId w:val="24"/>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23"/>
  </w:num>
  <w:num w:numId="20">
    <w:abstractNumId w:val="17"/>
  </w:num>
  <w:num w:numId="21">
    <w:abstractNumId w:val="7"/>
  </w:num>
  <w:num w:numId="22">
    <w:abstractNumId w:val="8"/>
  </w:num>
  <w:num w:numId="23">
    <w:abstractNumId w:val="25"/>
  </w:num>
  <w:num w:numId="24">
    <w:abstractNumId w:val="16"/>
  </w:num>
  <w:num w:numId="25">
    <w:abstractNumId w:val="22"/>
  </w:num>
  <w:num w:numId="26">
    <w:abstractNumId w:val="15"/>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03E"/>
    <w:rsid w:val="00006AE2"/>
    <w:rsid w:val="000071F6"/>
    <w:rsid w:val="000076A1"/>
    <w:rsid w:val="00011499"/>
    <w:rsid w:val="00012259"/>
    <w:rsid w:val="00013272"/>
    <w:rsid w:val="000160AD"/>
    <w:rsid w:val="000212FD"/>
    <w:rsid w:val="000231D5"/>
    <w:rsid w:val="00025152"/>
    <w:rsid w:val="00025383"/>
    <w:rsid w:val="0003070A"/>
    <w:rsid w:val="00042D02"/>
    <w:rsid w:val="00045D3D"/>
    <w:rsid w:val="00062C6F"/>
    <w:rsid w:val="00063657"/>
    <w:rsid w:val="000643E9"/>
    <w:rsid w:val="00070155"/>
    <w:rsid w:val="00070799"/>
    <w:rsid w:val="000711E4"/>
    <w:rsid w:val="000716FC"/>
    <w:rsid w:val="00076680"/>
    <w:rsid w:val="00076A1D"/>
    <w:rsid w:val="0008073E"/>
    <w:rsid w:val="00081739"/>
    <w:rsid w:val="000831E9"/>
    <w:rsid w:val="00083BD1"/>
    <w:rsid w:val="0009054B"/>
    <w:rsid w:val="00091CDB"/>
    <w:rsid w:val="0009364F"/>
    <w:rsid w:val="000946B1"/>
    <w:rsid w:val="000A19AC"/>
    <w:rsid w:val="000A2E74"/>
    <w:rsid w:val="000A5655"/>
    <w:rsid w:val="000B1F9B"/>
    <w:rsid w:val="000B2EC9"/>
    <w:rsid w:val="000B5BB2"/>
    <w:rsid w:val="000B6A56"/>
    <w:rsid w:val="000C137E"/>
    <w:rsid w:val="000C5161"/>
    <w:rsid w:val="000C5190"/>
    <w:rsid w:val="000C5738"/>
    <w:rsid w:val="000C7728"/>
    <w:rsid w:val="000D26F8"/>
    <w:rsid w:val="000D2D08"/>
    <w:rsid w:val="000E0E85"/>
    <w:rsid w:val="000F165C"/>
    <w:rsid w:val="000F5513"/>
    <w:rsid w:val="00106654"/>
    <w:rsid w:val="001151E1"/>
    <w:rsid w:val="00115313"/>
    <w:rsid w:val="00117256"/>
    <w:rsid w:val="00124F62"/>
    <w:rsid w:val="0013521E"/>
    <w:rsid w:val="0013526C"/>
    <w:rsid w:val="001405C6"/>
    <w:rsid w:val="00141013"/>
    <w:rsid w:val="00141CB4"/>
    <w:rsid w:val="00155A7B"/>
    <w:rsid w:val="00155DF3"/>
    <w:rsid w:val="001651AE"/>
    <w:rsid w:val="00170282"/>
    <w:rsid w:val="001737C5"/>
    <w:rsid w:val="00181A77"/>
    <w:rsid w:val="001828E3"/>
    <w:rsid w:val="001829CA"/>
    <w:rsid w:val="0018400C"/>
    <w:rsid w:val="00190ECF"/>
    <w:rsid w:val="00192CBF"/>
    <w:rsid w:val="00192FF1"/>
    <w:rsid w:val="0019374F"/>
    <w:rsid w:val="001A5F1B"/>
    <w:rsid w:val="001A79FB"/>
    <w:rsid w:val="001B1C22"/>
    <w:rsid w:val="001B316E"/>
    <w:rsid w:val="001B34C6"/>
    <w:rsid w:val="001B6907"/>
    <w:rsid w:val="001D631B"/>
    <w:rsid w:val="001D645A"/>
    <w:rsid w:val="001D7832"/>
    <w:rsid w:val="001E0A71"/>
    <w:rsid w:val="001E0ADC"/>
    <w:rsid w:val="001E1616"/>
    <w:rsid w:val="001E1D2D"/>
    <w:rsid w:val="001E25FF"/>
    <w:rsid w:val="001E3A15"/>
    <w:rsid w:val="001F01DF"/>
    <w:rsid w:val="001F336C"/>
    <w:rsid w:val="001F3F66"/>
    <w:rsid w:val="001F6046"/>
    <w:rsid w:val="00203510"/>
    <w:rsid w:val="002049E4"/>
    <w:rsid w:val="00210DC1"/>
    <w:rsid w:val="00211D34"/>
    <w:rsid w:val="00214F04"/>
    <w:rsid w:val="00220BAE"/>
    <w:rsid w:val="002255C7"/>
    <w:rsid w:val="00225C74"/>
    <w:rsid w:val="0023102B"/>
    <w:rsid w:val="002331A2"/>
    <w:rsid w:val="002352B9"/>
    <w:rsid w:val="00251EB7"/>
    <w:rsid w:val="00266CD6"/>
    <w:rsid w:val="002673AC"/>
    <w:rsid w:val="00267860"/>
    <w:rsid w:val="00272F8D"/>
    <w:rsid w:val="00275DAB"/>
    <w:rsid w:val="0028701A"/>
    <w:rsid w:val="002903C0"/>
    <w:rsid w:val="002927E2"/>
    <w:rsid w:val="002A23E6"/>
    <w:rsid w:val="002A2733"/>
    <w:rsid w:val="002A511E"/>
    <w:rsid w:val="002A5B32"/>
    <w:rsid w:val="002A782A"/>
    <w:rsid w:val="002A7E18"/>
    <w:rsid w:val="002B11E2"/>
    <w:rsid w:val="002B148D"/>
    <w:rsid w:val="002B1F56"/>
    <w:rsid w:val="002B24B8"/>
    <w:rsid w:val="002C1B57"/>
    <w:rsid w:val="002C7D29"/>
    <w:rsid w:val="002D17C0"/>
    <w:rsid w:val="002D3AE9"/>
    <w:rsid w:val="002D4510"/>
    <w:rsid w:val="002E71B2"/>
    <w:rsid w:val="002F0734"/>
    <w:rsid w:val="002F3B58"/>
    <w:rsid w:val="002F46E7"/>
    <w:rsid w:val="00300CDE"/>
    <w:rsid w:val="00304AE0"/>
    <w:rsid w:val="00306BD0"/>
    <w:rsid w:val="00307432"/>
    <w:rsid w:val="003101DA"/>
    <w:rsid w:val="003111C3"/>
    <w:rsid w:val="003142BA"/>
    <w:rsid w:val="00314757"/>
    <w:rsid w:val="00314DB7"/>
    <w:rsid w:val="00315BA7"/>
    <w:rsid w:val="003163BC"/>
    <w:rsid w:val="003208F5"/>
    <w:rsid w:val="003211CE"/>
    <w:rsid w:val="00323F4B"/>
    <w:rsid w:val="00335684"/>
    <w:rsid w:val="003454A1"/>
    <w:rsid w:val="00352CBF"/>
    <w:rsid w:val="0035403A"/>
    <w:rsid w:val="0035423F"/>
    <w:rsid w:val="00355AD7"/>
    <w:rsid w:val="00356C05"/>
    <w:rsid w:val="0036394B"/>
    <w:rsid w:val="00363C55"/>
    <w:rsid w:val="00366DB6"/>
    <w:rsid w:val="0036796E"/>
    <w:rsid w:val="003709B5"/>
    <w:rsid w:val="003759C2"/>
    <w:rsid w:val="00381CAD"/>
    <w:rsid w:val="0038316E"/>
    <w:rsid w:val="00384415"/>
    <w:rsid w:val="00385A60"/>
    <w:rsid w:val="00397365"/>
    <w:rsid w:val="003A31F6"/>
    <w:rsid w:val="003A65C9"/>
    <w:rsid w:val="003B1CCF"/>
    <w:rsid w:val="003B7EA4"/>
    <w:rsid w:val="003C1693"/>
    <w:rsid w:val="003C3447"/>
    <w:rsid w:val="003D076C"/>
    <w:rsid w:val="003D48F2"/>
    <w:rsid w:val="003E78B5"/>
    <w:rsid w:val="003F440C"/>
    <w:rsid w:val="003F5F1C"/>
    <w:rsid w:val="003F6B65"/>
    <w:rsid w:val="00403BC2"/>
    <w:rsid w:val="004079D4"/>
    <w:rsid w:val="00411398"/>
    <w:rsid w:val="00415BAB"/>
    <w:rsid w:val="00415ED2"/>
    <w:rsid w:val="0042068C"/>
    <w:rsid w:val="00421700"/>
    <w:rsid w:val="0042263B"/>
    <w:rsid w:val="00424C41"/>
    <w:rsid w:val="004315AA"/>
    <w:rsid w:val="00440E69"/>
    <w:rsid w:val="00442C06"/>
    <w:rsid w:val="0044318E"/>
    <w:rsid w:val="00443B35"/>
    <w:rsid w:val="004458F6"/>
    <w:rsid w:val="00445E36"/>
    <w:rsid w:val="00446649"/>
    <w:rsid w:val="004571A4"/>
    <w:rsid w:val="0047122B"/>
    <w:rsid w:val="0047290B"/>
    <w:rsid w:val="00472A4C"/>
    <w:rsid w:val="00473B7A"/>
    <w:rsid w:val="004857B2"/>
    <w:rsid w:val="00490832"/>
    <w:rsid w:val="004960E9"/>
    <w:rsid w:val="004A2E88"/>
    <w:rsid w:val="004A5182"/>
    <w:rsid w:val="004A52FE"/>
    <w:rsid w:val="004A5305"/>
    <w:rsid w:val="004C0288"/>
    <w:rsid w:val="004C4C34"/>
    <w:rsid w:val="004D4F78"/>
    <w:rsid w:val="004D7634"/>
    <w:rsid w:val="004D7696"/>
    <w:rsid w:val="004E0D42"/>
    <w:rsid w:val="004E37B4"/>
    <w:rsid w:val="004E410D"/>
    <w:rsid w:val="004E611A"/>
    <w:rsid w:val="004F1EB2"/>
    <w:rsid w:val="004F6460"/>
    <w:rsid w:val="00503764"/>
    <w:rsid w:val="00513775"/>
    <w:rsid w:val="005176E7"/>
    <w:rsid w:val="00523D2F"/>
    <w:rsid w:val="005300D3"/>
    <w:rsid w:val="00531A78"/>
    <w:rsid w:val="00542351"/>
    <w:rsid w:val="00542A10"/>
    <w:rsid w:val="00544F70"/>
    <w:rsid w:val="00544F82"/>
    <w:rsid w:val="00545590"/>
    <w:rsid w:val="005459C9"/>
    <w:rsid w:val="00547D77"/>
    <w:rsid w:val="005509D2"/>
    <w:rsid w:val="00564259"/>
    <w:rsid w:val="00565A32"/>
    <w:rsid w:val="00570E04"/>
    <w:rsid w:val="0057462B"/>
    <w:rsid w:val="00581DC0"/>
    <w:rsid w:val="00583700"/>
    <w:rsid w:val="0058608B"/>
    <w:rsid w:val="00593C4F"/>
    <w:rsid w:val="005946A8"/>
    <w:rsid w:val="005A03B9"/>
    <w:rsid w:val="005A0CE2"/>
    <w:rsid w:val="005A4407"/>
    <w:rsid w:val="005A59EF"/>
    <w:rsid w:val="005A70AD"/>
    <w:rsid w:val="005B1C7E"/>
    <w:rsid w:val="005B390F"/>
    <w:rsid w:val="005B4C18"/>
    <w:rsid w:val="005C6976"/>
    <w:rsid w:val="005C6C19"/>
    <w:rsid w:val="005C6E73"/>
    <w:rsid w:val="005D200B"/>
    <w:rsid w:val="005E0CFA"/>
    <w:rsid w:val="005E46BF"/>
    <w:rsid w:val="005F08C5"/>
    <w:rsid w:val="005F14D0"/>
    <w:rsid w:val="005F6E30"/>
    <w:rsid w:val="005F6F41"/>
    <w:rsid w:val="006048A1"/>
    <w:rsid w:val="00606756"/>
    <w:rsid w:val="006106FA"/>
    <w:rsid w:val="00611363"/>
    <w:rsid w:val="00625DC6"/>
    <w:rsid w:val="00627B63"/>
    <w:rsid w:val="00630022"/>
    <w:rsid w:val="006301B1"/>
    <w:rsid w:val="00630C79"/>
    <w:rsid w:val="0064273A"/>
    <w:rsid w:val="006428D2"/>
    <w:rsid w:val="0064391D"/>
    <w:rsid w:val="0064719D"/>
    <w:rsid w:val="00651821"/>
    <w:rsid w:val="00651CA1"/>
    <w:rsid w:val="006522CA"/>
    <w:rsid w:val="006525B3"/>
    <w:rsid w:val="00654384"/>
    <w:rsid w:val="00660DB0"/>
    <w:rsid w:val="00661DF3"/>
    <w:rsid w:val="006675CD"/>
    <w:rsid w:val="00676E8D"/>
    <w:rsid w:val="006818AB"/>
    <w:rsid w:val="006822BE"/>
    <w:rsid w:val="00683C2A"/>
    <w:rsid w:val="00683F16"/>
    <w:rsid w:val="00684D9B"/>
    <w:rsid w:val="0068510A"/>
    <w:rsid w:val="006875B4"/>
    <w:rsid w:val="006926D9"/>
    <w:rsid w:val="0069281E"/>
    <w:rsid w:val="006972FD"/>
    <w:rsid w:val="00697556"/>
    <w:rsid w:val="006A1FC0"/>
    <w:rsid w:val="006A5709"/>
    <w:rsid w:val="006B0E5F"/>
    <w:rsid w:val="006B0FF2"/>
    <w:rsid w:val="006B12FB"/>
    <w:rsid w:val="006B3D69"/>
    <w:rsid w:val="006B4114"/>
    <w:rsid w:val="006B4647"/>
    <w:rsid w:val="006B4C2B"/>
    <w:rsid w:val="006B6194"/>
    <w:rsid w:val="006B6D47"/>
    <w:rsid w:val="006C548A"/>
    <w:rsid w:val="006C5AFE"/>
    <w:rsid w:val="006D5B22"/>
    <w:rsid w:val="006E4C67"/>
    <w:rsid w:val="006E6CE7"/>
    <w:rsid w:val="006F0143"/>
    <w:rsid w:val="006F2EC8"/>
    <w:rsid w:val="006F4941"/>
    <w:rsid w:val="006F669D"/>
    <w:rsid w:val="006F6D95"/>
    <w:rsid w:val="006F6F53"/>
    <w:rsid w:val="007009F8"/>
    <w:rsid w:val="00704FA8"/>
    <w:rsid w:val="00706F13"/>
    <w:rsid w:val="007072E8"/>
    <w:rsid w:val="0071618D"/>
    <w:rsid w:val="00720721"/>
    <w:rsid w:val="0072440E"/>
    <w:rsid w:val="00725779"/>
    <w:rsid w:val="00725FA4"/>
    <w:rsid w:val="00730F03"/>
    <w:rsid w:val="00731266"/>
    <w:rsid w:val="0073688E"/>
    <w:rsid w:val="00740446"/>
    <w:rsid w:val="00741008"/>
    <w:rsid w:val="0074256A"/>
    <w:rsid w:val="007438A9"/>
    <w:rsid w:val="0074491E"/>
    <w:rsid w:val="00745568"/>
    <w:rsid w:val="00760CBC"/>
    <w:rsid w:val="00760FFF"/>
    <w:rsid w:val="0076247A"/>
    <w:rsid w:val="00762AEC"/>
    <w:rsid w:val="00766064"/>
    <w:rsid w:val="00766843"/>
    <w:rsid w:val="00775964"/>
    <w:rsid w:val="007765FE"/>
    <w:rsid w:val="007776CD"/>
    <w:rsid w:val="00780826"/>
    <w:rsid w:val="0078164B"/>
    <w:rsid w:val="00783769"/>
    <w:rsid w:val="00784EF6"/>
    <w:rsid w:val="00794BEE"/>
    <w:rsid w:val="00794E2E"/>
    <w:rsid w:val="00795BFB"/>
    <w:rsid w:val="007A0C27"/>
    <w:rsid w:val="007A19A9"/>
    <w:rsid w:val="007B09AC"/>
    <w:rsid w:val="007B2760"/>
    <w:rsid w:val="007B5838"/>
    <w:rsid w:val="007C29D5"/>
    <w:rsid w:val="007C7343"/>
    <w:rsid w:val="007D60EF"/>
    <w:rsid w:val="007E572C"/>
    <w:rsid w:val="007F0040"/>
    <w:rsid w:val="007F428A"/>
    <w:rsid w:val="007F4FC4"/>
    <w:rsid w:val="00806713"/>
    <w:rsid w:val="00806C01"/>
    <w:rsid w:val="00810B35"/>
    <w:rsid w:val="008148CC"/>
    <w:rsid w:val="00820408"/>
    <w:rsid w:val="008211A4"/>
    <w:rsid w:val="008238A7"/>
    <w:rsid w:val="00827041"/>
    <w:rsid w:val="0083410E"/>
    <w:rsid w:val="00837ECA"/>
    <w:rsid w:val="00843B8C"/>
    <w:rsid w:val="00844822"/>
    <w:rsid w:val="0084693A"/>
    <w:rsid w:val="00846C96"/>
    <w:rsid w:val="00851E26"/>
    <w:rsid w:val="00860FD3"/>
    <w:rsid w:val="00863E90"/>
    <w:rsid w:val="008706CA"/>
    <w:rsid w:val="00873150"/>
    <w:rsid w:val="0087657D"/>
    <w:rsid w:val="008807D5"/>
    <w:rsid w:val="00880832"/>
    <w:rsid w:val="008822F5"/>
    <w:rsid w:val="008823D8"/>
    <w:rsid w:val="00886EE1"/>
    <w:rsid w:val="0088727D"/>
    <w:rsid w:val="008874A7"/>
    <w:rsid w:val="008875B6"/>
    <w:rsid w:val="00890088"/>
    <w:rsid w:val="00897A7E"/>
    <w:rsid w:val="00897C75"/>
    <w:rsid w:val="008B7183"/>
    <w:rsid w:val="008C1130"/>
    <w:rsid w:val="008C1452"/>
    <w:rsid w:val="008C2771"/>
    <w:rsid w:val="008C2854"/>
    <w:rsid w:val="008D18E6"/>
    <w:rsid w:val="008D18ED"/>
    <w:rsid w:val="008D3D83"/>
    <w:rsid w:val="008D7A9B"/>
    <w:rsid w:val="008E0060"/>
    <w:rsid w:val="008E69D3"/>
    <w:rsid w:val="008E7091"/>
    <w:rsid w:val="008E76AC"/>
    <w:rsid w:val="008F21F6"/>
    <w:rsid w:val="00901B09"/>
    <w:rsid w:val="0091022A"/>
    <w:rsid w:val="009140FD"/>
    <w:rsid w:val="009242CC"/>
    <w:rsid w:val="009351FA"/>
    <w:rsid w:val="00947F40"/>
    <w:rsid w:val="00951F79"/>
    <w:rsid w:val="009538AC"/>
    <w:rsid w:val="00954306"/>
    <w:rsid w:val="00955B3F"/>
    <w:rsid w:val="00957328"/>
    <w:rsid w:val="00963AA9"/>
    <w:rsid w:val="00972BB7"/>
    <w:rsid w:val="00974AB5"/>
    <w:rsid w:val="0098706D"/>
    <w:rsid w:val="0099331D"/>
    <w:rsid w:val="009935FB"/>
    <w:rsid w:val="00994B98"/>
    <w:rsid w:val="00996123"/>
    <w:rsid w:val="009A07A3"/>
    <w:rsid w:val="009A0826"/>
    <w:rsid w:val="009A2320"/>
    <w:rsid w:val="009A7527"/>
    <w:rsid w:val="009B3F5D"/>
    <w:rsid w:val="009B5DAE"/>
    <w:rsid w:val="009C088B"/>
    <w:rsid w:val="009C4838"/>
    <w:rsid w:val="009C4E55"/>
    <w:rsid w:val="009D1053"/>
    <w:rsid w:val="009D6790"/>
    <w:rsid w:val="009F4A54"/>
    <w:rsid w:val="009F4BEC"/>
    <w:rsid w:val="009F5874"/>
    <w:rsid w:val="009F6992"/>
    <w:rsid w:val="00A00D24"/>
    <w:rsid w:val="00A03159"/>
    <w:rsid w:val="00A1378A"/>
    <w:rsid w:val="00A155E2"/>
    <w:rsid w:val="00A17DBC"/>
    <w:rsid w:val="00A25668"/>
    <w:rsid w:val="00A25FD7"/>
    <w:rsid w:val="00A42277"/>
    <w:rsid w:val="00A431B1"/>
    <w:rsid w:val="00A43AFF"/>
    <w:rsid w:val="00A44651"/>
    <w:rsid w:val="00A51EFB"/>
    <w:rsid w:val="00A541FE"/>
    <w:rsid w:val="00A548BC"/>
    <w:rsid w:val="00A54C10"/>
    <w:rsid w:val="00A57AC1"/>
    <w:rsid w:val="00A60D6B"/>
    <w:rsid w:val="00A62293"/>
    <w:rsid w:val="00A640EA"/>
    <w:rsid w:val="00A71269"/>
    <w:rsid w:val="00A7793A"/>
    <w:rsid w:val="00A96879"/>
    <w:rsid w:val="00AA4CC7"/>
    <w:rsid w:val="00AA5E8E"/>
    <w:rsid w:val="00AB29CB"/>
    <w:rsid w:val="00AB2BAD"/>
    <w:rsid w:val="00AB32B3"/>
    <w:rsid w:val="00AB454B"/>
    <w:rsid w:val="00AB5828"/>
    <w:rsid w:val="00AB6CA7"/>
    <w:rsid w:val="00AB757C"/>
    <w:rsid w:val="00AC0149"/>
    <w:rsid w:val="00AC18A8"/>
    <w:rsid w:val="00AC47A9"/>
    <w:rsid w:val="00AC78CC"/>
    <w:rsid w:val="00AD01E4"/>
    <w:rsid w:val="00AD0858"/>
    <w:rsid w:val="00AD39D5"/>
    <w:rsid w:val="00AD45EB"/>
    <w:rsid w:val="00AE02E3"/>
    <w:rsid w:val="00AE08B3"/>
    <w:rsid w:val="00AE7340"/>
    <w:rsid w:val="00AF1BBD"/>
    <w:rsid w:val="00AF1D2B"/>
    <w:rsid w:val="00AF3448"/>
    <w:rsid w:val="00AF66B3"/>
    <w:rsid w:val="00AF765E"/>
    <w:rsid w:val="00AF7A4A"/>
    <w:rsid w:val="00B0044D"/>
    <w:rsid w:val="00B10207"/>
    <w:rsid w:val="00B12860"/>
    <w:rsid w:val="00B141E7"/>
    <w:rsid w:val="00B351B4"/>
    <w:rsid w:val="00B37316"/>
    <w:rsid w:val="00B40C76"/>
    <w:rsid w:val="00B41391"/>
    <w:rsid w:val="00B426AE"/>
    <w:rsid w:val="00B46BCA"/>
    <w:rsid w:val="00B478AA"/>
    <w:rsid w:val="00B5168F"/>
    <w:rsid w:val="00B53899"/>
    <w:rsid w:val="00B555CC"/>
    <w:rsid w:val="00B576AE"/>
    <w:rsid w:val="00B613A9"/>
    <w:rsid w:val="00B62FDD"/>
    <w:rsid w:val="00B64016"/>
    <w:rsid w:val="00B67A6F"/>
    <w:rsid w:val="00B8124D"/>
    <w:rsid w:val="00B81932"/>
    <w:rsid w:val="00B8286D"/>
    <w:rsid w:val="00B87806"/>
    <w:rsid w:val="00B87EC9"/>
    <w:rsid w:val="00B91747"/>
    <w:rsid w:val="00BA0475"/>
    <w:rsid w:val="00BA223D"/>
    <w:rsid w:val="00BB5646"/>
    <w:rsid w:val="00BB73A6"/>
    <w:rsid w:val="00BC21D3"/>
    <w:rsid w:val="00BC3494"/>
    <w:rsid w:val="00BC3745"/>
    <w:rsid w:val="00BC38FD"/>
    <w:rsid w:val="00BD7733"/>
    <w:rsid w:val="00BE1AC3"/>
    <w:rsid w:val="00BE3D35"/>
    <w:rsid w:val="00BE6CDD"/>
    <w:rsid w:val="00C00C5C"/>
    <w:rsid w:val="00C01069"/>
    <w:rsid w:val="00C034CB"/>
    <w:rsid w:val="00C051A8"/>
    <w:rsid w:val="00C054BC"/>
    <w:rsid w:val="00C06E2A"/>
    <w:rsid w:val="00C07899"/>
    <w:rsid w:val="00C17897"/>
    <w:rsid w:val="00C27D36"/>
    <w:rsid w:val="00C313C6"/>
    <w:rsid w:val="00C35D2A"/>
    <w:rsid w:val="00C409D5"/>
    <w:rsid w:val="00C41343"/>
    <w:rsid w:val="00C42D39"/>
    <w:rsid w:val="00C43597"/>
    <w:rsid w:val="00C435C3"/>
    <w:rsid w:val="00C44E5F"/>
    <w:rsid w:val="00C51B7C"/>
    <w:rsid w:val="00C55F46"/>
    <w:rsid w:val="00C6234B"/>
    <w:rsid w:val="00C63EAE"/>
    <w:rsid w:val="00C64A32"/>
    <w:rsid w:val="00C73260"/>
    <w:rsid w:val="00C74602"/>
    <w:rsid w:val="00C75AB4"/>
    <w:rsid w:val="00C7629F"/>
    <w:rsid w:val="00C8169A"/>
    <w:rsid w:val="00C842F6"/>
    <w:rsid w:val="00C84430"/>
    <w:rsid w:val="00C8661B"/>
    <w:rsid w:val="00C878FA"/>
    <w:rsid w:val="00C91BC0"/>
    <w:rsid w:val="00C931EF"/>
    <w:rsid w:val="00C97D73"/>
    <w:rsid w:val="00CA03C8"/>
    <w:rsid w:val="00CA139A"/>
    <w:rsid w:val="00CA2899"/>
    <w:rsid w:val="00CA2D04"/>
    <w:rsid w:val="00CA3A3D"/>
    <w:rsid w:val="00CA3AA6"/>
    <w:rsid w:val="00CA77FB"/>
    <w:rsid w:val="00CB0582"/>
    <w:rsid w:val="00CB379B"/>
    <w:rsid w:val="00CB4B28"/>
    <w:rsid w:val="00CB5DD0"/>
    <w:rsid w:val="00CB768E"/>
    <w:rsid w:val="00CB7711"/>
    <w:rsid w:val="00CC05BF"/>
    <w:rsid w:val="00CC51D4"/>
    <w:rsid w:val="00CC65DA"/>
    <w:rsid w:val="00CD0DE2"/>
    <w:rsid w:val="00CD5428"/>
    <w:rsid w:val="00CE1FFF"/>
    <w:rsid w:val="00CE7B91"/>
    <w:rsid w:val="00CF1894"/>
    <w:rsid w:val="00CF21B9"/>
    <w:rsid w:val="00CF339C"/>
    <w:rsid w:val="00CF6BF9"/>
    <w:rsid w:val="00D03800"/>
    <w:rsid w:val="00D065D3"/>
    <w:rsid w:val="00D11513"/>
    <w:rsid w:val="00D14B7D"/>
    <w:rsid w:val="00D14C94"/>
    <w:rsid w:val="00D261A2"/>
    <w:rsid w:val="00D26339"/>
    <w:rsid w:val="00D26F83"/>
    <w:rsid w:val="00D27586"/>
    <w:rsid w:val="00D3390C"/>
    <w:rsid w:val="00D342A6"/>
    <w:rsid w:val="00D359AE"/>
    <w:rsid w:val="00D4012E"/>
    <w:rsid w:val="00D45CA6"/>
    <w:rsid w:val="00D464BF"/>
    <w:rsid w:val="00D51CE2"/>
    <w:rsid w:val="00D53E26"/>
    <w:rsid w:val="00D54E02"/>
    <w:rsid w:val="00D62D50"/>
    <w:rsid w:val="00D65A37"/>
    <w:rsid w:val="00D66628"/>
    <w:rsid w:val="00D76348"/>
    <w:rsid w:val="00D85FA9"/>
    <w:rsid w:val="00D875B7"/>
    <w:rsid w:val="00D945FA"/>
    <w:rsid w:val="00DA64E7"/>
    <w:rsid w:val="00DB1524"/>
    <w:rsid w:val="00DB182C"/>
    <w:rsid w:val="00DC2D7A"/>
    <w:rsid w:val="00DC3454"/>
    <w:rsid w:val="00DC47AC"/>
    <w:rsid w:val="00DD3999"/>
    <w:rsid w:val="00DD4F0E"/>
    <w:rsid w:val="00DD4FB1"/>
    <w:rsid w:val="00DE77C7"/>
    <w:rsid w:val="00DF0BF0"/>
    <w:rsid w:val="00DF3CA2"/>
    <w:rsid w:val="00DF5572"/>
    <w:rsid w:val="00DF62F6"/>
    <w:rsid w:val="00DF6C71"/>
    <w:rsid w:val="00DF753C"/>
    <w:rsid w:val="00E01463"/>
    <w:rsid w:val="00E033F2"/>
    <w:rsid w:val="00E036D8"/>
    <w:rsid w:val="00E05E0A"/>
    <w:rsid w:val="00E060BE"/>
    <w:rsid w:val="00E070DF"/>
    <w:rsid w:val="00E106CE"/>
    <w:rsid w:val="00E10B3E"/>
    <w:rsid w:val="00E1590A"/>
    <w:rsid w:val="00E22660"/>
    <w:rsid w:val="00E22FB3"/>
    <w:rsid w:val="00E2694A"/>
    <w:rsid w:val="00E27469"/>
    <w:rsid w:val="00E27D16"/>
    <w:rsid w:val="00E3059A"/>
    <w:rsid w:val="00E41A4A"/>
    <w:rsid w:val="00E41B40"/>
    <w:rsid w:val="00E4553D"/>
    <w:rsid w:val="00E50A35"/>
    <w:rsid w:val="00E534CF"/>
    <w:rsid w:val="00E53AB4"/>
    <w:rsid w:val="00E562A9"/>
    <w:rsid w:val="00E56772"/>
    <w:rsid w:val="00E71FA9"/>
    <w:rsid w:val="00E72CA9"/>
    <w:rsid w:val="00E81CB4"/>
    <w:rsid w:val="00E8585B"/>
    <w:rsid w:val="00E87E3A"/>
    <w:rsid w:val="00E87F41"/>
    <w:rsid w:val="00E91FD9"/>
    <w:rsid w:val="00EA3F15"/>
    <w:rsid w:val="00EA6CD0"/>
    <w:rsid w:val="00EA7847"/>
    <w:rsid w:val="00EB29EB"/>
    <w:rsid w:val="00EB4C2F"/>
    <w:rsid w:val="00EC12D6"/>
    <w:rsid w:val="00EC13BC"/>
    <w:rsid w:val="00EC3F9F"/>
    <w:rsid w:val="00ED4CAB"/>
    <w:rsid w:val="00ED72E3"/>
    <w:rsid w:val="00EE2CB5"/>
    <w:rsid w:val="00EE2E6E"/>
    <w:rsid w:val="00EE6A92"/>
    <w:rsid w:val="00EE75F0"/>
    <w:rsid w:val="00EF4206"/>
    <w:rsid w:val="00F0367E"/>
    <w:rsid w:val="00F04065"/>
    <w:rsid w:val="00F06208"/>
    <w:rsid w:val="00F0759E"/>
    <w:rsid w:val="00F10044"/>
    <w:rsid w:val="00F16A43"/>
    <w:rsid w:val="00F2495F"/>
    <w:rsid w:val="00F43FC4"/>
    <w:rsid w:val="00F46780"/>
    <w:rsid w:val="00F526B2"/>
    <w:rsid w:val="00F5275B"/>
    <w:rsid w:val="00F72D53"/>
    <w:rsid w:val="00F73B93"/>
    <w:rsid w:val="00F7538B"/>
    <w:rsid w:val="00F769CD"/>
    <w:rsid w:val="00F77159"/>
    <w:rsid w:val="00F77D2D"/>
    <w:rsid w:val="00F81605"/>
    <w:rsid w:val="00F821A3"/>
    <w:rsid w:val="00F83849"/>
    <w:rsid w:val="00F871A0"/>
    <w:rsid w:val="00F8760A"/>
    <w:rsid w:val="00F92F07"/>
    <w:rsid w:val="00F9314A"/>
    <w:rsid w:val="00F940AC"/>
    <w:rsid w:val="00F940B2"/>
    <w:rsid w:val="00F958F4"/>
    <w:rsid w:val="00FA61B6"/>
    <w:rsid w:val="00FB20FE"/>
    <w:rsid w:val="00FC58EF"/>
    <w:rsid w:val="00FC6EE1"/>
    <w:rsid w:val="00FD231B"/>
    <w:rsid w:val="00FD33DF"/>
    <w:rsid w:val="00FD554F"/>
    <w:rsid w:val="00FE39D7"/>
    <w:rsid w:val="00FE3C38"/>
    <w:rsid w:val="00FE5FA0"/>
    <w:rsid w:val="00FF3FA1"/>
    <w:rsid w:val="00FF47F9"/>
    <w:rsid w:val="00FF640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E0C7-3844-4E2E-AB3C-9F2A8968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1164</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Plaza</dc:creator>
  <cp:lastModifiedBy>Luz Stella Rojas Macias</cp:lastModifiedBy>
  <cp:revision>2</cp:revision>
  <cp:lastPrinted>2016-06-27T21:43:00Z</cp:lastPrinted>
  <dcterms:created xsi:type="dcterms:W3CDTF">2016-06-27T22:14:00Z</dcterms:created>
  <dcterms:modified xsi:type="dcterms:W3CDTF">2016-06-27T22:14:00Z</dcterms:modified>
</cp:coreProperties>
</file>