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5DC6" w:rsidRPr="00FD5CA5" w:rsidRDefault="00CE2D1F" w:rsidP="00E912C1">
      <w:pPr>
        <w:pStyle w:val="Encabezado"/>
        <w:tabs>
          <w:tab w:val="clear" w:pos="8504"/>
          <w:tab w:val="left" w:pos="0"/>
          <w:tab w:val="right" w:pos="9356"/>
        </w:tabs>
        <w:ind w:left="0"/>
        <w:jc w:val="both"/>
        <w:rPr>
          <w:rFonts w:ascii="Bookman Old Style" w:hAnsi="Bookman Old Style"/>
          <w:szCs w:val="24"/>
        </w:rPr>
      </w:pPr>
      <w:r>
        <w:rPr>
          <w:rFonts w:ascii="Bookman Old Style" w:hAnsi="Bookman Old Style"/>
          <w:noProof/>
          <w:szCs w:val="24"/>
        </w:rPr>
        <w:object w:dxaOrig="1440" w:dyaOrig="1440" w14:anchorId="63C254D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591620033" r:id="rId9"/>
        </w:object>
      </w:r>
    </w:p>
    <w:p w:rsidR="00625DC6" w:rsidRPr="00FD5CA5" w:rsidRDefault="00625DC6" w:rsidP="00E912C1">
      <w:pPr>
        <w:pStyle w:val="Encabezado"/>
        <w:tabs>
          <w:tab w:val="clear" w:pos="8504"/>
          <w:tab w:val="left" w:pos="0"/>
          <w:tab w:val="right" w:pos="9356"/>
        </w:tabs>
        <w:ind w:left="0"/>
        <w:jc w:val="both"/>
        <w:rPr>
          <w:rFonts w:ascii="Bookman Old Style" w:hAnsi="Bookman Old Style"/>
          <w:szCs w:val="24"/>
        </w:rPr>
      </w:pPr>
    </w:p>
    <w:p w:rsidR="00CA77FB" w:rsidRPr="00FD5CA5" w:rsidRDefault="00CA77FB" w:rsidP="00E912C1">
      <w:pPr>
        <w:pStyle w:val="Ttulo4"/>
        <w:tabs>
          <w:tab w:val="left" w:pos="0"/>
          <w:tab w:val="right" w:pos="9356"/>
        </w:tabs>
        <w:ind w:left="0"/>
        <w:rPr>
          <w:rFonts w:ascii="Bookman Old Style" w:hAnsi="Bookman Old Style"/>
          <w:b w:val="0"/>
          <w:bCs/>
          <w:noProof/>
          <w:sz w:val="24"/>
          <w:szCs w:val="24"/>
          <w:lang w:val="es-ES"/>
        </w:rPr>
      </w:pPr>
      <w:r w:rsidRPr="00FD5CA5">
        <w:rPr>
          <w:rFonts w:ascii="Bookman Old Style" w:hAnsi="Bookman Old Style"/>
          <w:b w:val="0"/>
          <w:bCs/>
          <w:sz w:val="24"/>
          <w:szCs w:val="24"/>
        </w:rPr>
        <w:t>Ministerio de Minas y Energía</w:t>
      </w:r>
    </w:p>
    <w:p w:rsidR="00CA77FB" w:rsidRPr="00FD5CA5" w:rsidRDefault="00CA77FB" w:rsidP="00E912C1">
      <w:pPr>
        <w:rPr>
          <w:rFonts w:ascii="Bookman Old Style" w:hAnsi="Bookman Old Style" w:cs="Arial"/>
        </w:rPr>
      </w:pPr>
    </w:p>
    <w:p w:rsidR="00CA77FB" w:rsidRPr="00FD5CA5" w:rsidRDefault="00CA77FB" w:rsidP="00E912C1">
      <w:pPr>
        <w:jc w:val="center"/>
        <w:rPr>
          <w:rFonts w:ascii="Bookman Old Style" w:hAnsi="Bookman Old Style"/>
          <w:b/>
          <w:spacing w:val="20"/>
        </w:rPr>
      </w:pPr>
      <w:r w:rsidRPr="00FD5CA5">
        <w:rPr>
          <w:rFonts w:ascii="Bookman Old Style" w:hAnsi="Bookman Old Style"/>
          <w:b/>
          <w:spacing w:val="20"/>
        </w:rPr>
        <w:t>COMISIÓN DE REGULACIÓN DE ENERGÍA Y GAS</w:t>
      </w:r>
    </w:p>
    <w:p w:rsidR="00CA77FB" w:rsidRPr="00FD5CA5" w:rsidRDefault="00CA77FB" w:rsidP="00E912C1">
      <w:pPr>
        <w:rPr>
          <w:rFonts w:ascii="Bookman Old Style" w:hAnsi="Bookman Old Style"/>
        </w:rPr>
      </w:pPr>
    </w:p>
    <w:p w:rsidR="00CA77FB" w:rsidRPr="00FD5CA5" w:rsidRDefault="00CA77FB" w:rsidP="00E912C1">
      <w:pPr>
        <w:rPr>
          <w:rFonts w:ascii="Bookman Old Style" w:hAnsi="Bookman Old Style"/>
        </w:rPr>
      </w:pPr>
    </w:p>
    <w:p w:rsidR="00CA77FB" w:rsidRPr="00FD5CA5" w:rsidRDefault="00CA77FB" w:rsidP="00E912C1">
      <w:pPr>
        <w:jc w:val="center"/>
        <w:rPr>
          <w:rFonts w:ascii="Bookman Old Style" w:hAnsi="Bookman Old Style"/>
          <w:b/>
          <w:spacing w:val="20"/>
        </w:rPr>
      </w:pPr>
      <w:r w:rsidRPr="00FD5CA5">
        <w:rPr>
          <w:rFonts w:ascii="Bookman Old Style" w:hAnsi="Bookman Old Style"/>
          <w:b/>
          <w:spacing w:val="20"/>
        </w:rPr>
        <w:t xml:space="preserve">RESOLUCIÓN No. </w:t>
      </w:r>
      <w:r w:rsidR="00795BFB" w:rsidRPr="00FD5CA5">
        <w:rPr>
          <w:rFonts w:ascii="Bookman Old Style" w:hAnsi="Bookman Old Style"/>
          <w:b/>
          <w:spacing w:val="20"/>
        </w:rPr>
        <w:t xml:space="preserve">                  </w:t>
      </w:r>
      <w:r w:rsidRPr="00FD5CA5">
        <w:rPr>
          <w:rFonts w:ascii="Bookman Old Style" w:hAnsi="Bookman Old Style"/>
          <w:b/>
          <w:spacing w:val="20"/>
        </w:rPr>
        <w:t>DE 20</w:t>
      </w:r>
      <w:r w:rsidR="00795BFB" w:rsidRPr="00FD5CA5">
        <w:rPr>
          <w:rFonts w:ascii="Bookman Old Style" w:hAnsi="Bookman Old Style"/>
          <w:b/>
          <w:spacing w:val="20"/>
        </w:rPr>
        <w:t>1</w:t>
      </w:r>
      <w:r w:rsidR="00203634" w:rsidRPr="00FD5CA5">
        <w:rPr>
          <w:rFonts w:ascii="Bookman Old Style" w:hAnsi="Bookman Old Style"/>
          <w:b/>
          <w:spacing w:val="20"/>
        </w:rPr>
        <w:t>8</w:t>
      </w:r>
    </w:p>
    <w:p w:rsidR="00CA77FB" w:rsidRPr="00FD5CA5" w:rsidRDefault="00CA77FB" w:rsidP="00E912C1">
      <w:pPr>
        <w:tabs>
          <w:tab w:val="left" w:pos="0"/>
          <w:tab w:val="right" w:pos="9356"/>
        </w:tabs>
        <w:ind w:left="0"/>
        <w:jc w:val="center"/>
        <w:rPr>
          <w:rFonts w:ascii="Bookman Old Style" w:hAnsi="Bookman Old Style" w:cs="Arial"/>
          <w:b/>
          <w:snapToGrid w:val="0"/>
          <w:color w:val="000000"/>
          <w:lang w:val="es-ES_tradnl"/>
        </w:rPr>
      </w:pPr>
    </w:p>
    <w:p w:rsidR="00CA77FB" w:rsidRPr="00FD5CA5" w:rsidRDefault="00CA77FB" w:rsidP="00E912C1">
      <w:pPr>
        <w:jc w:val="center"/>
        <w:rPr>
          <w:rFonts w:ascii="Bookman Old Style" w:hAnsi="Bookman Old Style"/>
        </w:rPr>
      </w:pPr>
      <w:r w:rsidRPr="00FD5CA5">
        <w:rPr>
          <w:rFonts w:ascii="Bookman Old Style" w:hAnsi="Bookman Old Style"/>
        </w:rPr>
        <w:t>(                                  )</w:t>
      </w:r>
    </w:p>
    <w:p w:rsidR="00CA77FB" w:rsidRPr="00FD5CA5" w:rsidRDefault="00CA77FB" w:rsidP="00E912C1">
      <w:pPr>
        <w:tabs>
          <w:tab w:val="left" w:pos="0"/>
          <w:tab w:val="right" w:pos="9356"/>
        </w:tabs>
        <w:ind w:left="0"/>
        <w:jc w:val="center"/>
        <w:rPr>
          <w:rFonts w:ascii="Bookman Old Style" w:hAnsi="Bookman Old Style"/>
          <w:lang w:val="es-ES_tradnl"/>
        </w:rPr>
      </w:pPr>
    </w:p>
    <w:p w:rsidR="00B351B4" w:rsidRPr="00FD5CA5" w:rsidRDefault="00B351B4" w:rsidP="00E912C1">
      <w:pPr>
        <w:ind w:left="0"/>
        <w:rPr>
          <w:rFonts w:ascii="Bookman Old Style" w:hAnsi="Bookman Old Style"/>
          <w:bCs/>
          <w:color w:val="FF0000"/>
          <w:lang w:val="es-CO"/>
        </w:rPr>
      </w:pPr>
    </w:p>
    <w:p w:rsidR="00771D1E" w:rsidRDefault="00771D1E" w:rsidP="00E912C1">
      <w:pPr>
        <w:ind w:left="0"/>
        <w:jc w:val="center"/>
        <w:rPr>
          <w:rFonts w:ascii="Bookman Old Style" w:hAnsi="Bookman Old Style"/>
        </w:rPr>
      </w:pPr>
      <w:r w:rsidRPr="00FD5CA5">
        <w:rPr>
          <w:rFonts w:ascii="Bookman Old Style" w:hAnsi="Bookman Old Style"/>
        </w:rPr>
        <w:t xml:space="preserve">Por la cual se ordena hacer público un proyecto de resolución “por la cual se ajustan disposiciones </w:t>
      </w:r>
      <w:r w:rsidR="00551C9F" w:rsidRPr="00FD5CA5">
        <w:rPr>
          <w:rFonts w:ascii="Bookman Old Style" w:hAnsi="Bookman Old Style"/>
        </w:rPr>
        <w:t>d</w:t>
      </w:r>
      <w:r w:rsidRPr="00FD5CA5">
        <w:rPr>
          <w:rFonts w:ascii="Bookman Old Style" w:hAnsi="Bookman Old Style"/>
        </w:rPr>
        <w:t xml:space="preserve">el mercado mayorista de gas natural contenidas en la Resolución CREG 114 de 2017” </w:t>
      </w:r>
    </w:p>
    <w:p w:rsidR="00147CBF" w:rsidRPr="00FD5CA5" w:rsidRDefault="00147CBF" w:rsidP="00E912C1">
      <w:pPr>
        <w:ind w:left="0"/>
        <w:jc w:val="center"/>
        <w:rPr>
          <w:rFonts w:ascii="Bookman Old Style" w:hAnsi="Bookman Old Style"/>
        </w:rPr>
      </w:pPr>
      <w:bookmarkStart w:id="0" w:name="_GoBack"/>
      <w:bookmarkEnd w:id="0"/>
    </w:p>
    <w:p w:rsidR="00045D3D" w:rsidRPr="00FD5CA5" w:rsidRDefault="00045D3D" w:rsidP="00E912C1">
      <w:pPr>
        <w:ind w:right="51"/>
        <w:rPr>
          <w:rFonts w:ascii="Bookman Old Style" w:hAnsi="Bookman Old Style"/>
        </w:rPr>
      </w:pPr>
    </w:p>
    <w:p w:rsidR="00045D3D" w:rsidRPr="00FD5CA5" w:rsidRDefault="00045D3D" w:rsidP="00E912C1">
      <w:pPr>
        <w:ind w:right="51"/>
        <w:jc w:val="center"/>
        <w:rPr>
          <w:rFonts w:ascii="Bookman Old Style" w:hAnsi="Bookman Old Style"/>
          <w:b/>
        </w:rPr>
      </w:pPr>
      <w:r w:rsidRPr="00FD5CA5">
        <w:rPr>
          <w:rFonts w:ascii="Bookman Old Style" w:hAnsi="Bookman Old Style"/>
          <w:b/>
        </w:rPr>
        <w:t>LA COMISIÓN DE REGULACIÓN DE ENERGÍA Y GAS</w:t>
      </w:r>
    </w:p>
    <w:p w:rsidR="00045D3D" w:rsidRPr="00FD5CA5" w:rsidRDefault="00045D3D" w:rsidP="00E912C1">
      <w:pPr>
        <w:ind w:left="0" w:right="51"/>
        <w:rPr>
          <w:rFonts w:ascii="Bookman Old Style" w:hAnsi="Bookman Old Style"/>
        </w:rPr>
      </w:pPr>
    </w:p>
    <w:p w:rsidR="00045D3D" w:rsidRPr="00FD5CA5" w:rsidRDefault="00045D3D" w:rsidP="00E912C1">
      <w:pPr>
        <w:ind w:left="0" w:right="51"/>
        <w:rPr>
          <w:rFonts w:ascii="Bookman Old Style" w:hAnsi="Bookman Old Style"/>
        </w:rPr>
      </w:pPr>
    </w:p>
    <w:p w:rsidR="00045D3D" w:rsidRPr="00FD5CA5" w:rsidRDefault="00045D3D" w:rsidP="00147CBF">
      <w:pPr>
        <w:ind w:left="0"/>
        <w:jc w:val="center"/>
        <w:rPr>
          <w:rFonts w:ascii="Bookman Old Style" w:hAnsi="Bookman Old Style"/>
        </w:rPr>
      </w:pPr>
      <w:r w:rsidRPr="00FD5CA5">
        <w:rPr>
          <w:rFonts w:ascii="Bookman Old Style" w:hAnsi="Bookman Old Style"/>
        </w:rPr>
        <w:t xml:space="preserve">En ejercicio de sus atribuciones constitucionales y legales, en especial las conferidas por las </w:t>
      </w:r>
      <w:r w:rsidR="002352B9" w:rsidRPr="00FD5CA5">
        <w:rPr>
          <w:rFonts w:ascii="Bookman Old Style" w:hAnsi="Bookman Old Style"/>
        </w:rPr>
        <w:t>l</w:t>
      </w:r>
      <w:r w:rsidRPr="00FD5CA5">
        <w:rPr>
          <w:rFonts w:ascii="Bookman Old Style" w:hAnsi="Bookman Old Style"/>
        </w:rPr>
        <w:t xml:space="preserve">eyes 142 y 143 de 1994, y en desarrollo de los </w:t>
      </w:r>
      <w:r w:rsidR="002352B9" w:rsidRPr="00FD5CA5">
        <w:rPr>
          <w:rFonts w:ascii="Bookman Old Style" w:hAnsi="Bookman Old Style"/>
        </w:rPr>
        <w:t>d</w:t>
      </w:r>
      <w:r w:rsidRPr="00FD5CA5">
        <w:rPr>
          <w:rFonts w:ascii="Bookman Old Style" w:hAnsi="Bookman Old Style"/>
        </w:rPr>
        <w:t>ecretos 1524 y 2253 de 1994.</w:t>
      </w:r>
    </w:p>
    <w:p w:rsidR="00045D3D" w:rsidRPr="00FD5CA5" w:rsidRDefault="00045D3D" w:rsidP="00E912C1">
      <w:pPr>
        <w:ind w:right="51"/>
        <w:rPr>
          <w:rFonts w:ascii="Bookman Old Style" w:hAnsi="Bookman Old Style"/>
        </w:rPr>
      </w:pPr>
    </w:p>
    <w:p w:rsidR="00045D3D" w:rsidRPr="00FD5CA5" w:rsidRDefault="00045D3D" w:rsidP="00E912C1">
      <w:pPr>
        <w:ind w:right="51"/>
        <w:rPr>
          <w:rFonts w:ascii="Bookman Old Style" w:hAnsi="Bookman Old Style"/>
        </w:rPr>
      </w:pPr>
    </w:p>
    <w:p w:rsidR="00771D1E" w:rsidRPr="00FD5CA5" w:rsidRDefault="00771D1E" w:rsidP="00E912C1">
      <w:pPr>
        <w:ind w:right="51"/>
        <w:jc w:val="center"/>
        <w:rPr>
          <w:rFonts w:ascii="Bookman Old Style" w:hAnsi="Bookman Old Style"/>
          <w:b/>
        </w:rPr>
      </w:pPr>
      <w:r w:rsidRPr="00FD5CA5">
        <w:rPr>
          <w:rFonts w:ascii="Bookman Old Style" w:hAnsi="Bookman Old Style"/>
          <w:b/>
        </w:rPr>
        <w:t>C O N S I D E R A N D O  Q U E:</w:t>
      </w:r>
    </w:p>
    <w:p w:rsidR="00771D1E" w:rsidRPr="00FD5CA5" w:rsidRDefault="00771D1E" w:rsidP="00E912C1">
      <w:pPr>
        <w:ind w:right="51"/>
        <w:jc w:val="center"/>
        <w:rPr>
          <w:rFonts w:ascii="Bookman Old Style" w:hAnsi="Bookman Old Style"/>
          <w:b/>
        </w:rPr>
      </w:pPr>
    </w:p>
    <w:p w:rsidR="00771D1E" w:rsidRPr="00FD5CA5" w:rsidRDefault="00771D1E" w:rsidP="00E912C1">
      <w:pPr>
        <w:ind w:right="51"/>
        <w:jc w:val="center"/>
        <w:rPr>
          <w:rFonts w:ascii="Bookman Old Style" w:hAnsi="Bookman Old Style"/>
          <w:b/>
        </w:rPr>
      </w:pPr>
    </w:p>
    <w:p w:rsidR="00771D1E" w:rsidRPr="00FD5CA5" w:rsidRDefault="00771D1E" w:rsidP="00E912C1">
      <w:pPr>
        <w:widowControl w:val="0"/>
        <w:tabs>
          <w:tab w:val="left" w:pos="0"/>
        </w:tabs>
        <w:ind w:left="0"/>
        <w:jc w:val="both"/>
        <w:rPr>
          <w:rFonts w:ascii="Bookman Old Style" w:hAnsi="Bookman Old Style" w:cs="Arial"/>
        </w:rPr>
      </w:pPr>
      <w:r w:rsidRPr="00FD5CA5">
        <w:rPr>
          <w:rFonts w:ascii="Bookman Old Style" w:hAnsi="Bookman Old Style" w:cs="Arial"/>
        </w:rPr>
        <w:t>Conforme a lo dispuesto por el artículo 8 del Código de Procedimiento Administrativo y de lo Contencioso Administrativo, así como d</w:t>
      </w:r>
      <w:r w:rsidR="00A36DE5" w:rsidRPr="00FD5CA5">
        <w:rPr>
          <w:rFonts w:ascii="Bookman Old Style" w:hAnsi="Bookman Old Style" w:cs="Arial"/>
        </w:rPr>
        <w:t>e acuerdo con lo establecido en</w:t>
      </w:r>
      <w:r w:rsidRPr="00FD5CA5">
        <w:rPr>
          <w:rFonts w:ascii="Bookman Old Style" w:hAnsi="Bookman Old Style" w:cs="Arial"/>
        </w:rPr>
        <w:t xml:space="preserve"> el Decreto 2696 de 2004, el cual ha sido compilado por el Decreto 1078 de 2015, la Comisión debe hacer público en su página web todos los proyectos de resolución de carácter general que pretenda adoptar.</w:t>
      </w:r>
    </w:p>
    <w:p w:rsidR="00771D1E" w:rsidRPr="00FD5CA5" w:rsidRDefault="00771D1E" w:rsidP="00E912C1">
      <w:pPr>
        <w:tabs>
          <w:tab w:val="left" w:pos="0"/>
        </w:tabs>
        <w:ind w:left="0"/>
        <w:jc w:val="both"/>
        <w:rPr>
          <w:rFonts w:ascii="Bookman Old Style" w:hAnsi="Bookman Old Style" w:cs="Arial"/>
        </w:rPr>
      </w:pPr>
    </w:p>
    <w:p w:rsidR="00771D1E" w:rsidRPr="00FD5CA5" w:rsidRDefault="00771D1E" w:rsidP="00E912C1">
      <w:pPr>
        <w:tabs>
          <w:tab w:val="left" w:pos="0"/>
        </w:tabs>
        <w:ind w:left="0"/>
        <w:jc w:val="both"/>
        <w:rPr>
          <w:rFonts w:ascii="Bookman Old Style" w:hAnsi="Bookman Old Style"/>
        </w:rPr>
      </w:pPr>
      <w:r w:rsidRPr="00FD5CA5">
        <w:rPr>
          <w:rFonts w:ascii="Bookman Old Style" w:hAnsi="Bookman Old Style"/>
        </w:rPr>
        <w:t xml:space="preserve">La </w:t>
      </w:r>
      <w:r w:rsidRPr="00FD5CA5">
        <w:rPr>
          <w:rFonts w:ascii="Bookman Old Style" w:hAnsi="Bookman Old Style" w:cs="Arial"/>
        </w:rPr>
        <w:t>Comisión</w:t>
      </w:r>
      <w:r w:rsidRPr="00FD5CA5">
        <w:rPr>
          <w:rFonts w:ascii="Bookman Old Style" w:hAnsi="Bookman Old Style"/>
        </w:rPr>
        <w:t xml:space="preserve"> de Regulación de Energía y Gas, en su sesión No. </w:t>
      </w:r>
      <w:r w:rsidR="00B30897" w:rsidRPr="00FD5CA5">
        <w:rPr>
          <w:rFonts w:ascii="Bookman Old Style" w:hAnsi="Bookman Old Style"/>
        </w:rPr>
        <w:t>858</w:t>
      </w:r>
      <w:r w:rsidRPr="00FD5CA5">
        <w:rPr>
          <w:rFonts w:ascii="Bookman Old Style" w:hAnsi="Bookman Old Style"/>
        </w:rPr>
        <w:t xml:space="preserve"> del </w:t>
      </w:r>
      <w:r w:rsidR="00B30897" w:rsidRPr="00FD5CA5">
        <w:rPr>
          <w:rFonts w:ascii="Bookman Old Style" w:hAnsi="Bookman Old Style"/>
        </w:rPr>
        <w:t>18 de junio de 2018</w:t>
      </w:r>
      <w:r w:rsidRPr="00FD5CA5">
        <w:rPr>
          <w:rFonts w:ascii="Bookman Old Style" w:hAnsi="Bookman Old Style"/>
        </w:rPr>
        <w:t>, aprobó hacer público el proyecto de resolución “</w:t>
      </w:r>
      <w:r w:rsidR="00551C9F" w:rsidRPr="00FD5CA5">
        <w:rPr>
          <w:rFonts w:ascii="Bookman Old Style" w:hAnsi="Bookman Old Style"/>
        </w:rPr>
        <w:t>por la cual se ajustan disposiciones del mercado mayorista de gas natural contenidas en la Resolución CREG 114 de 2017</w:t>
      </w:r>
      <w:r w:rsidRPr="00FD5CA5">
        <w:rPr>
          <w:rFonts w:ascii="Bookman Old Style" w:hAnsi="Bookman Old Style"/>
        </w:rPr>
        <w:t>”.</w:t>
      </w:r>
    </w:p>
    <w:p w:rsidR="00771D1E" w:rsidRPr="00FD5CA5" w:rsidRDefault="00771D1E" w:rsidP="00E912C1">
      <w:pPr>
        <w:pStyle w:val="Prrafodelista"/>
        <w:tabs>
          <w:tab w:val="left" w:pos="0"/>
        </w:tabs>
        <w:ind w:left="720"/>
        <w:jc w:val="both"/>
        <w:rPr>
          <w:rFonts w:ascii="Bookman Old Style" w:hAnsi="Bookman Old Style"/>
          <w:sz w:val="24"/>
          <w:szCs w:val="24"/>
          <w:lang w:val="es-ES"/>
        </w:rPr>
      </w:pPr>
    </w:p>
    <w:p w:rsidR="00771D1E" w:rsidRPr="00FD5CA5" w:rsidRDefault="00771D1E" w:rsidP="00E912C1">
      <w:pPr>
        <w:pStyle w:val="Prrafodelista"/>
        <w:tabs>
          <w:tab w:val="left" w:pos="0"/>
        </w:tabs>
        <w:ind w:left="720"/>
        <w:jc w:val="both"/>
        <w:rPr>
          <w:rFonts w:ascii="Bookman Old Style" w:hAnsi="Bookman Old Style"/>
          <w:sz w:val="24"/>
          <w:szCs w:val="24"/>
        </w:rPr>
      </w:pPr>
    </w:p>
    <w:p w:rsidR="00771D1E" w:rsidRPr="00FD5CA5" w:rsidRDefault="00771D1E" w:rsidP="00E912C1">
      <w:pPr>
        <w:suppressAutoHyphens/>
        <w:jc w:val="center"/>
        <w:rPr>
          <w:rFonts w:ascii="Bookman Old Style" w:hAnsi="Bookman Old Style"/>
          <w:spacing w:val="-3"/>
        </w:rPr>
      </w:pPr>
      <w:r w:rsidRPr="00FD5CA5">
        <w:rPr>
          <w:rFonts w:ascii="Bookman Old Style" w:hAnsi="Bookman Old Style"/>
          <w:b/>
          <w:spacing w:val="-3"/>
        </w:rPr>
        <w:t>R E S U E L V E:</w:t>
      </w:r>
    </w:p>
    <w:p w:rsidR="00771D1E" w:rsidRPr="00FD5CA5" w:rsidRDefault="00771D1E" w:rsidP="00E912C1">
      <w:pPr>
        <w:jc w:val="center"/>
        <w:rPr>
          <w:rFonts w:ascii="Bookman Old Style" w:hAnsi="Bookman Old Style"/>
        </w:rPr>
      </w:pPr>
    </w:p>
    <w:p w:rsidR="00771D1E" w:rsidRPr="00FD5CA5" w:rsidRDefault="00771D1E" w:rsidP="00E912C1">
      <w:pPr>
        <w:jc w:val="center"/>
        <w:rPr>
          <w:rFonts w:ascii="Bookman Old Style" w:hAnsi="Bookman Old Style"/>
        </w:rPr>
      </w:pPr>
    </w:p>
    <w:p w:rsidR="00771D1E" w:rsidRPr="00FD5CA5" w:rsidRDefault="00771D1E" w:rsidP="00E912C1">
      <w:pPr>
        <w:tabs>
          <w:tab w:val="left" w:pos="0"/>
        </w:tabs>
        <w:ind w:left="0"/>
        <w:jc w:val="both"/>
        <w:rPr>
          <w:rFonts w:ascii="Bookman Old Style" w:hAnsi="Bookman Old Style"/>
        </w:rPr>
      </w:pPr>
      <w:r w:rsidRPr="00FD5CA5">
        <w:rPr>
          <w:rFonts w:ascii="Bookman Old Style" w:hAnsi="Bookman Old Style" w:cs="Arial"/>
          <w:b/>
          <w:bCs/>
        </w:rPr>
        <w:t>ARTÍCULO 1</w:t>
      </w:r>
      <w:r w:rsidR="008234D5" w:rsidRPr="00FD5CA5">
        <w:rPr>
          <w:rFonts w:ascii="Bookman Old Style" w:hAnsi="Bookman Old Style" w:cs="Arial"/>
          <w:b/>
        </w:rPr>
        <w:t>.</w:t>
      </w:r>
      <w:r w:rsidR="008234D5" w:rsidRPr="00FD5CA5">
        <w:rPr>
          <w:rFonts w:ascii="Bookman Old Style" w:hAnsi="Bookman Old Style" w:cs="Arial"/>
        </w:rPr>
        <w:t xml:space="preserve"> Hágase público el </w:t>
      </w:r>
      <w:r w:rsidRPr="00FD5CA5">
        <w:rPr>
          <w:rFonts w:ascii="Bookman Old Style" w:hAnsi="Bookman Old Style" w:cs="Arial"/>
        </w:rPr>
        <w:t>proyecto de resolución</w:t>
      </w:r>
      <w:r w:rsidRPr="00FD5CA5">
        <w:rPr>
          <w:rFonts w:ascii="Bookman Old Style" w:hAnsi="Bookman Old Style"/>
        </w:rPr>
        <w:t xml:space="preserve"> “</w:t>
      </w:r>
      <w:r w:rsidR="00551C9F" w:rsidRPr="00FD5CA5">
        <w:rPr>
          <w:rFonts w:ascii="Bookman Old Style" w:hAnsi="Bookman Old Style"/>
        </w:rPr>
        <w:t>por la cual se ajustan disposiciones del mercado mayorista de gas natural contenidas en la Resolución CREG 114 de 2017</w:t>
      </w:r>
      <w:r w:rsidRPr="00FD5CA5">
        <w:rPr>
          <w:rFonts w:ascii="Bookman Old Style" w:hAnsi="Bookman Old Style"/>
        </w:rPr>
        <w:t xml:space="preserve">”. </w:t>
      </w:r>
    </w:p>
    <w:p w:rsidR="00771D1E" w:rsidRPr="00FD5CA5" w:rsidRDefault="00771D1E" w:rsidP="00E912C1">
      <w:pPr>
        <w:tabs>
          <w:tab w:val="left" w:pos="0"/>
        </w:tabs>
        <w:ind w:left="0"/>
        <w:jc w:val="both"/>
        <w:rPr>
          <w:rFonts w:ascii="Bookman Old Style" w:hAnsi="Bookman Old Style" w:cs="Arial"/>
          <w:i/>
        </w:rPr>
      </w:pPr>
    </w:p>
    <w:p w:rsidR="00771D1E" w:rsidRPr="00FD5CA5" w:rsidRDefault="00771D1E" w:rsidP="00E912C1">
      <w:pPr>
        <w:tabs>
          <w:tab w:val="left" w:pos="0"/>
        </w:tabs>
        <w:ind w:left="0" w:right="45"/>
        <w:jc w:val="both"/>
        <w:rPr>
          <w:rFonts w:ascii="Bookman Old Style" w:hAnsi="Bookman Old Style" w:cs="Arial"/>
        </w:rPr>
      </w:pPr>
      <w:r w:rsidRPr="00FD5CA5">
        <w:rPr>
          <w:rFonts w:ascii="Bookman Old Style" w:hAnsi="Bookman Old Style" w:cs="Arial"/>
          <w:b/>
          <w:bCs/>
        </w:rPr>
        <w:t>ARTÍCULO 2.</w:t>
      </w:r>
      <w:r w:rsidRPr="00FD5CA5">
        <w:rPr>
          <w:rFonts w:ascii="Bookman Old Style" w:hAnsi="Bookman Old Style" w:cs="Arial"/>
        </w:rPr>
        <w:t xml:space="preserve"> </w:t>
      </w:r>
      <w:r w:rsidRPr="00FD5CA5">
        <w:rPr>
          <w:rFonts w:ascii="Bookman Old Style" w:hAnsi="Bookman Old Style" w:cs="Arial"/>
          <w:lang w:val="es-CO" w:eastAsia="es-CO"/>
        </w:rPr>
        <w:t>Se invita a los agentes, usuarios, autoridades competentes, la Superintendencia de Servicios Públicos Domiciliarios y la Superintendencia de Industria y Comercio</w:t>
      </w:r>
      <w:r w:rsidR="00551C9F" w:rsidRPr="00FD5CA5">
        <w:rPr>
          <w:rFonts w:ascii="Bookman Old Style" w:hAnsi="Bookman Old Style" w:cs="Arial"/>
          <w:lang w:val="es-CO" w:eastAsia="es-CO"/>
        </w:rPr>
        <w:t>,</w:t>
      </w:r>
      <w:r w:rsidRPr="00FD5CA5">
        <w:rPr>
          <w:rFonts w:ascii="Bookman Old Style" w:hAnsi="Bookman Old Style" w:cs="Arial"/>
          <w:lang w:val="es-CO" w:eastAsia="es-CO"/>
        </w:rPr>
        <w:t xml:space="preserve"> </w:t>
      </w:r>
      <w:r w:rsidR="00E912C1" w:rsidRPr="00FD5CA5">
        <w:rPr>
          <w:rFonts w:ascii="Bookman Old Style" w:hAnsi="Bookman Old Style" w:cs="Arial"/>
          <w:lang w:val="es-CO" w:eastAsia="es-CO"/>
        </w:rPr>
        <w:t xml:space="preserve">para que dentro de los </w:t>
      </w:r>
      <w:r w:rsidR="00551C9F" w:rsidRPr="00FD5CA5">
        <w:rPr>
          <w:rFonts w:ascii="Bookman Old Style" w:hAnsi="Bookman Old Style" w:cs="Arial"/>
          <w:lang w:val="es-CO" w:eastAsia="es-CO"/>
        </w:rPr>
        <w:t>quince (</w:t>
      </w:r>
      <w:r w:rsidR="00E912C1" w:rsidRPr="00FD5CA5">
        <w:rPr>
          <w:rFonts w:ascii="Bookman Old Style" w:hAnsi="Bookman Old Style" w:cs="Arial"/>
          <w:lang w:val="es-CO" w:eastAsia="es-CO"/>
        </w:rPr>
        <w:t>15</w:t>
      </w:r>
      <w:r w:rsidR="00551C9F" w:rsidRPr="00FD5CA5">
        <w:rPr>
          <w:rFonts w:ascii="Bookman Old Style" w:hAnsi="Bookman Old Style" w:cs="Arial"/>
          <w:lang w:val="es-CO" w:eastAsia="es-CO"/>
        </w:rPr>
        <w:t>)</w:t>
      </w:r>
      <w:r w:rsidR="00E912C1" w:rsidRPr="00FD5CA5">
        <w:rPr>
          <w:rFonts w:ascii="Bookman Old Style" w:hAnsi="Bookman Old Style" w:cs="Arial"/>
          <w:lang w:val="es-CO" w:eastAsia="es-CO"/>
        </w:rPr>
        <w:t xml:space="preserve"> días calendario siguientes a la publicación de la presente resolución en la página </w:t>
      </w:r>
      <w:r w:rsidR="00E912C1" w:rsidRPr="00FD5CA5">
        <w:rPr>
          <w:rFonts w:ascii="Bookman Old Style" w:hAnsi="Bookman Old Style" w:cs="Arial"/>
          <w:i/>
          <w:lang w:val="es-CO" w:eastAsia="es-CO"/>
        </w:rPr>
        <w:t>web</w:t>
      </w:r>
      <w:r w:rsidR="00E912C1" w:rsidRPr="00FD5CA5">
        <w:rPr>
          <w:rFonts w:ascii="Bookman Old Style" w:hAnsi="Bookman Old Style" w:cs="Arial"/>
          <w:lang w:val="es-CO" w:eastAsia="es-CO"/>
        </w:rPr>
        <w:t xml:space="preserve"> de la </w:t>
      </w:r>
      <w:r w:rsidR="00E912C1" w:rsidRPr="00FD5CA5">
        <w:rPr>
          <w:rFonts w:ascii="Bookman Old Style" w:hAnsi="Bookman Old Style" w:cs="Arial"/>
          <w:lang w:val="es-CO" w:eastAsia="es-CO"/>
        </w:rPr>
        <w:lastRenderedPageBreak/>
        <w:t xml:space="preserve">Comisión de Regulación de Energía y Gas, remitan sus observaciones o sugerencias sobre </w:t>
      </w:r>
      <w:r w:rsidR="00551C9F" w:rsidRPr="00FD5CA5">
        <w:rPr>
          <w:rFonts w:ascii="Bookman Old Style" w:hAnsi="Bookman Old Style" w:cs="Arial"/>
          <w:lang w:val="es-CO" w:eastAsia="es-CO"/>
        </w:rPr>
        <w:t>el proyecto de resolución</w:t>
      </w:r>
      <w:r w:rsidRPr="00FD5CA5">
        <w:rPr>
          <w:rFonts w:ascii="Bookman Old Style" w:hAnsi="Bookman Old Style" w:cs="Arial"/>
          <w:lang w:val="es-CO" w:eastAsia="es-CO"/>
        </w:rPr>
        <w:t xml:space="preserve">. Lo anterior, de conformidad con lo dispuesto </w:t>
      </w:r>
      <w:r w:rsidRPr="00FD5CA5">
        <w:rPr>
          <w:rFonts w:ascii="Bookman Old Style" w:hAnsi="Bookman Old Style" w:cs="Arial"/>
        </w:rPr>
        <w:t>el Decreto 1078 de 2015.</w:t>
      </w:r>
    </w:p>
    <w:p w:rsidR="00771D1E" w:rsidRPr="00FD5CA5" w:rsidRDefault="00771D1E" w:rsidP="00E912C1">
      <w:pPr>
        <w:tabs>
          <w:tab w:val="left" w:pos="0"/>
        </w:tabs>
        <w:ind w:left="0" w:right="45"/>
        <w:jc w:val="both"/>
        <w:rPr>
          <w:rFonts w:ascii="Bookman Old Style" w:hAnsi="Bookman Old Style" w:cs="Arial"/>
        </w:rPr>
      </w:pPr>
    </w:p>
    <w:p w:rsidR="00E912C1" w:rsidRPr="00FD5CA5" w:rsidRDefault="00771D1E" w:rsidP="00E912C1">
      <w:pPr>
        <w:tabs>
          <w:tab w:val="left" w:pos="0"/>
        </w:tabs>
        <w:ind w:left="0" w:right="47"/>
        <w:jc w:val="both"/>
        <w:rPr>
          <w:rFonts w:ascii="Bookman Old Style" w:hAnsi="Bookman Old Style" w:cs="Arial"/>
        </w:rPr>
      </w:pPr>
      <w:r w:rsidRPr="00FD5CA5">
        <w:rPr>
          <w:rFonts w:ascii="Bookman Old Style" w:hAnsi="Bookman Old Style" w:cs="Arial"/>
          <w:b/>
          <w:bCs/>
        </w:rPr>
        <w:t>ARTÍCULO 3</w:t>
      </w:r>
      <w:r w:rsidRPr="00FD5CA5">
        <w:rPr>
          <w:rFonts w:ascii="Bookman Old Style" w:hAnsi="Bookman Old Style" w:cs="Arial"/>
          <w:b/>
        </w:rPr>
        <w:t>.</w:t>
      </w:r>
      <w:r w:rsidRPr="00FD5CA5">
        <w:rPr>
          <w:rFonts w:ascii="Bookman Old Style" w:hAnsi="Bookman Old Style" w:cs="Arial"/>
        </w:rPr>
        <w:t xml:space="preserve"> </w:t>
      </w:r>
      <w:r w:rsidR="00E912C1" w:rsidRPr="00FD5CA5">
        <w:rPr>
          <w:rFonts w:ascii="Bookman Old Style" w:hAnsi="Bookman Old Style" w:cs="Arial"/>
        </w:rPr>
        <w:t xml:space="preserve">Los interesados podrán dirigir al Director Ejecutivo de la </w:t>
      </w:r>
      <w:r w:rsidR="00E912C1" w:rsidRPr="00FD5CA5">
        <w:rPr>
          <w:rFonts w:ascii="Bookman Old Style" w:hAnsi="Bookman Old Style" w:cs="Arial"/>
          <w:lang w:val="es-CO" w:eastAsia="es-CO"/>
        </w:rPr>
        <w:t>Comisión de Regulación de Energía y Gas</w:t>
      </w:r>
      <w:r w:rsidR="00E912C1" w:rsidRPr="00FD5CA5">
        <w:rPr>
          <w:rFonts w:ascii="Bookman Old Style" w:hAnsi="Bookman Old Style" w:cs="Arial"/>
        </w:rPr>
        <w:t xml:space="preserve"> las observaciones y sugerencias a la siguiente dirección: Avenida calle 116 No. 7-15, Edificio Torre Cusezar, Interior 2, oficina 901 o al correo electrónico creg@creg.gov.co.</w:t>
      </w:r>
    </w:p>
    <w:p w:rsidR="00E912C1" w:rsidRPr="00FD5CA5" w:rsidRDefault="00E912C1" w:rsidP="00E912C1">
      <w:pPr>
        <w:tabs>
          <w:tab w:val="left" w:pos="0"/>
        </w:tabs>
        <w:ind w:left="0" w:right="47"/>
        <w:jc w:val="both"/>
        <w:rPr>
          <w:rFonts w:ascii="Bookman Old Style" w:hAnsi="Bookman Old Style" w:cs="Arial"/>
        </w:rPr>
      </w:pPr>
    </w:p>
    <w:p w:rsidR="00771D1E" w:rsidRPr="00FD5CA5" w:rsidRDefault="00E912C1" w:rsidP="00E912C1">
      <w:pPr>
        <w:tabs>
          <w:tab w:val="left" w:pos="0"/>
        </w:tabs>
        <w:ind w:left="0" w:right="47"/>
        <w:jc w:val="both"/>
        <w:rPr>
          <w:rFonts w:ascii="Bookman Old Style" w:hAnsi="Bookman Old Style" w:cs="Arial"/>
        </w:rPr>
      </w:pPr>
      <w:r w:rsidRPr="00FD5CA5">
        <w:rPr>
          <w:rFonts w:ascii="Bookman Old Style" w:hAnsi="Bookman Old Style" w:cs="Arial"/>
          <w:b/>
          <w:bCs/>
        </w:rPr>
        <w:t xml:space="preserve">ARTÍCULO 4. </w:t>
      </w:r>
      <w:r w:rsidR="00771D1E" w:rsidRPr="00FD5CA5">
        <w:rPr>
          <w:rFonts w:ascii="Bookman Old Style" w:hAnsi="Bookman Old Style" w:cs="Arial"/>
        </w:rPr>
        <w:t xml:space="preserve">La presente </w:t>
      </w:r>
      <w:r w:rsidRPr="00FD5CA5">
        <w:rPr>
          <w:rFonts w:ascii="Bookman Old Style" w:hAnsi="Bookman Old Style" w:cs="Arial"/>
        </w:rPr>
        <w:t>r</w:t>
      </w:r>
      <w:r w:rsidR="00771D1E" w:rsidRPr="00FD5CA5">
        <w:rPr>
          <w:rFonts w:ascii="Bookman Old Style" w:hAnsi="Bookman Old Style" w:cs="Arial"/>
        </w:rPr>
        <w:t>esolución no deroga</w:t>
      </w:r>
      <w:r w:rsidRPr="00FD5CA5">
        <w:rPr>
          <w:rFonts w:ascii="Bookman Old Style" w:hAnsi="Bookman Old Style" w:cs="Arial"/>
        </w:rPr>
        <w:t xml:space="preserve"> ni modifica</w:t>
      </w:r>
      <w:r w:rsidR="00771D1E" w:rsidRPr="00FD5CA5">
        <w:rPr>
          <w:rFonts w:ascii="Bookman Old Style" w:hAnsi="Bookman Old Style" w:cs="Arial"/>
        </w:rPr>
        <w:t xml:space="preserve"> disposiciones vigentes por tratarse de un acto de trámite.</w:t>
      </w:r>
    </w:p>
    <w:p w:rsidR="00E912C1" w:rsidRPr="00FD5CA5" w:rsidRDefault="00E912C1" w:rsidP="00E912C1">
      <w:pPr>
        <w:tabs>
          <w:tab w:val="left" w:pos="0"/>
        </w:tabs>
        <w:ind w:left="0" w:right="47"/>
        <w:jc w:val="both"/>
        <w:rPr>
          <w:rFonts w:ascii="Bookman Old Style" w:hAnsi="Bookman Old Style" w:cs="Arial"/>
        </w:rPr>
      </w:pPr>
    </w:p>
    <w:p w:rsidR="00E912C1" w:rsidRPr="00FD5CA5" w:rsidRDefault="00551C9F" w:rsidP="00E912C1">
      <w:pPr>
        <w:tabs>
          <w:tab w:val="left" w:pos="0"/>
        </w:tabs>
        <w:ind w:left="0" w:right="47"/>
        <w:jc w:val="both"/>
        <w:rPr>
          <w:rFonts w:ascii="Bookman Old Style" w:hAnsi="Bookman Old Style" w:cs="Arial"/>
        </w:rPr>
      </w:pPr>
      <w:r w:rsidRPr="00FD5CA5">
        <w:rPr>
          <w:rFonts w:ascii="Bookman Old Style" w:hAnsi="Bookman Old Style"/>
          <w:b/>
          <w:lang w:val="es-CO"/>
        </w:rPr>
        <w:t xml:space="preserve">ARTÍCULO </w:t>
      </w:r>
      <w:r w:rsidR="00E912C1" w:rsidRPr="00FD5CA5">
        <w:rPr>
          <w:rFonts w:ascii="Bookman Old Style" w:hAnsi="Bookman Old Style"/>
          <w:b/>
          <w:lang w:val="es-CO"/>
        </w:rPr>
        <w:t>5.</w:t>
      </w:r>
      <w:r w:rsidR="00E912C1" w:rsidRPr="00FD5CA5">
        <w:rPr>
          <w:rFonts w:ascii="Bookman Old Style" w:hAnsi="Bookman Old Style"/>
          <w:lang w:val="es-CO"/>
        </w:rPr>
        <w:t xml:space="preserve"> Contra la presente resolución no procede recurso alguno.</w:t>
      </w:r>
    </w:p>
    <w:p w:rsidR="00771D1E" w:rsidRPr="00FD5CA5" w:rsidRDefault="00771D1E" w:rsidP="00E912C1">
      <w:pPr>
        <w:rPr>
          <w:rFonts w:ascii="Bookman Old Style" w:hAnsi="Bookman Old Style"/>
        </w:rPr>
      </w:pPr>
    </w:p>
    <w:p w:rsidR="00771D1E" w:rsidRPr="00FD5CA5" w:rsidRDefault="00771D1E" w:rsidP="00E912C1">
      <w:pPr>
        <w:widowControl w:val="0"/>
        <w:adjustRightInd w:val="0"/>
        <w:ind w:left="0"/>
        <w:textAlignment w:val="baseline"/>
        <w:rPr>
          <w:rFonts w:ascii="Bookman Old Style" w:hAnsi="Bookman Old Style"/>
        </w:rPr>
      </w:pPr>
    </w:p>
    <w:p w:rsidR="00771D1E" w:rsidRPr="00FD5CA5" w:rsidRDefault="00771D1E" w:rsidP="00E912C1">
      <w:pPr>
        <w:jc w:val="center"/>
        <w:rPr>
          <w:rFonts w:ascii="Bookman Old Style" w:hAnsi="Bookman Old Style"/>
          <w:b/>
        </w:rPr>
      </w:pPr>
      <w:r w:rsidRPr="00FD5CA5">
        <w:rPr>
          <w:rFonts w:ascii="Bookman Old Style" w:hAnsi="Bookman Old Style"/>
          <w:b/>
        </w:rPr>
        <w:t>PUBLÍQUESE Y CÚMPLASE</w:t>
      </w:r>
    </w:p>
    <w:p w:rsidR="00771D1E" w:rsidRPr="00FD5CA5" w:rsidRDefault="00771D1E" w:rsidP="00E912C1">
      <w:pPr>
        <w:rPr>
          <w:rFonts w:ascii="Bookman Old Style" w:hAnsi="Bookman Old Style"/>
        </w:rPr>
      </w:pPr>
    </w:p>
    <w:p w:rsidR="00FD5CA5" w:rsidRPr="00FD5CA5" w:rsidRDefault="00FD5CA5" w:rsidP="00E912C1">
      <w:pPr>
        <w:rPr>
          <w:rFonts w:ascii="Bookman Old Style" w:hAnsi="Bookman Old Style"/>
        </w:rPr>
      </w:pPr>
    </w:p>
    <w:p w:rsidR="00771D1E" w:rsidRPr="00FD5CA5" w:rsidRDefault="00771D1E" w:rsidP="00E912C1">
      <w:pPr>
        <w:ind w:left="0"/>
        <w:rPr>
          <w:rFonts w:ascii="Bookman Old Style" w:hAnsi="Bookman Old Style"/>
        </w:rPr>
      </w:pPr>
      <w:r w:rsidRPr="00FD5CA5">
        <w:rPr>
          <w:rFonts w:ascii="Bookman Old Style" w:hAnsi="Bookman Old Style"/>
        </w:rPr>
        <w:t xml:space="preserve">Dada en Bogotá DC, a </w:t>
      </w:r>
    </w:p>
    <w:p w:rsidR="00771D1E" w:rsidRPr="00FD5CA5" w:rsidRDefault="00771D1E" w:rsidP="00E912C1">
      <w:pPr>
        <w:ind w:left="0"/>
        <w:rPr>
          <w:rFonts w:ascii="Bookman Old Style" w:hAnsi="Bookman Old Style"/>
        </w:rPr>
      </w:pPr>
    </w:p>
    <w:p w:rsidR="00771D1E" w:rsidRPr="00FD5CA5" w:rsidRDefault="00771D1E" w:rsidP="00E912C1">
      <w:pPr>
        <w:ind w:left="0"/>
        <w:rPr>
          <w:rFonts w:ascii="Bookman Old Style" w:hAnsi="Bookman Old Style"/>
        </w:rPr>
      </w:pPr>
    </w:p>
    <w:p w:rsidR="00771D1E" w:rsidRPr="00FD5CA5" w:rsidRDefault="00771D1E" w:rsidP="00E912C1">
      <w:pPr>
        <w:ind w:left="0"/>
        <w:rPr>
          <w:rFonts w:ascii="Bookman Old Style" w:hAnsi="Bookman Old Style"/>
        </w:rPr>
      </w:pPr>
    </w:p>
    <w:p w:rsidR="00771D1E" w:rsidRPr="00FD5CA5" w:rsidRDefault="00771D1E" w:rsidP="00E912C1">
      <w:pPr>
        <w:ind w:left="0"/>
        <w:rPr>
          <w:rFonts w:ascii="Bookman Old Style" w:hAnsi="Bookman Old Style"/>
        </w:rPr>
      </w:pPr>
    </w:p>
    <w:tbl>
      <w:tblPr>
        <w:tblW w:w="5000" w:type="pct"/>
        <w:jc w:val="center"/>
        <w:tblCellMar>
          <w:left w:w="70" w:type="dxa"/>
          <w:right w:w="70" w:type="dxa"/>
        </w:tblCellMar>
        <w:tblLook w:val="04A0" w:firstRow="1" w:lastRow="0" w:firstColumn="1" w:lastColumn="0" w:noHBand="0" w:noVBand="1"/>
      </w:tblPr>
      <w:tblGrid>
        <w:gridCol w:w="3916"/>
        <w:gridCol w:w="5440"/>
      </w:tblGrid>
      <w:tr w:rsidR="00771D1E" w:rsidRPr="00FD5CA5" w:rsidTr="00FD5CA5">
        <w:trPr>
          <w:trHeight w:val="302"/>
          <w:jc w:val="center"/>
        </w:trPr>
        <w:tc>
          <w:tcPr>
            <w:tcW w:w="2093" w:type="pct"/>
            <w:hideMark/>
          </w:tcPr>
          <w:p w:rsidR="00771D1E" w:rsidRPr="00FD5CA5" w:rsidRDefault="00771D1E" w:rsidP="00E912C1">
            <w:pPr>
              <w:ind w:left="0"/>
              <w:jc w:val="center"/>
              <w:rPr>
                <w:rFonts w:ascii="Bookman Old Style" w:hAnsi="Bookman Old Style" w:cs="Arial"/>
                <w:b/>
                <w:spacing w:val="-3"/>
                <w:lang w:val="es-ES_tradnl"/>
              </w:rPr>
            </w:pPr>
            <w:r w:rsidRPr="00FD5CA5">
              <w:rPr>
                <w:rFonts w:ascii="Bookman Old Style" w:hAnsi="Bookman Old Style" w:cs="Arial"/>
                <w:b/>
                <w:bCs/>
                <w:color w:val="000000" w:themeColor="text1"/>
              </w:rPr>
              <w:t>GERMÁN ARCE ZAPATA</w:t>
            </w:r>
          </w:p>
        </w:tc>
        <w:tc>
          <w:tcPr>
            <w:tcW w:w="2907" w:type="pct"/>
            <w:hideMark/>
          </w:tcPr>
          <w:p w:rsidR="00771D1E" w:rsidRPr="00FD5CA5" w:rsidRDefault="008234D5" w:rsidP="00E912C1">
            <w:pPr>
              <w:ind w:left="355" w:right="567"/>
              <w:jc w:val="center"/>
              <w:rPr>
                <w:rFonts w:ascii="Bookman Old Style" w:hAnsi="Bookman Old Style" w:cs="Arial"/>
                <w:b/>
                <w:spacing w:val="-3"/>
                <w:lang w:val="es-ES_tradnl"/>
              </w:rPr>
            </w:pPr>
            <w:r w:rsidRPr="00FD5CA5">
              <w:rPr>
                <w:rFonts w:ascii="Bookman Old Style" w:hAnsi="Bookman Old Style" w:cs="Arial"/>
                <w:b/>
                <w:spacing w:val="-3"/>
                <w:lang w:val="es-ES_tradnl"/>
              </w:rPr>
              <w:t>GERMÁN CASTRO FERREIRA</w:t>
            </w:r>
          </w:p>
        </w:tc>
      </w:tr>
      <w:tr w:rsidR="00771D1E" w:rsidRPr="00FD5CA5" w:rsidTr="00FD5CA5">
        <w:trPr>
          <w:trHeight w:val="572"/>
          <w:jc w:val="center"/>
        </w:trPr>
        <w:tc>
          <w:tcPr>
            <w:tcW w:w="2093" w:type="pct"/>
            <w:hideMark/>
          </w:tcPr>
          <w:p w:rsidR="00771D1E" w:rsidRPr="00FD5CA5" w:rsidRDefault="00771D1E" w:rsidP="00E912C1">
            <w:pPr>
              <w:ind w:left="0"/>
              <w:jc w:val="center"/>
              <w:rPr>
                <w:rFonts w:ascii="Bookman Old Style" w:hAnsi="Bookman Old Style" w:cs="Arial"/>
                <w:spacing w:val="-3"/>
              </w:rPr>
            </w:pPr>
            <w:r w:rsidRPr="00FD5CA5">
              <w:rPr>
                <w:rFonts w:ascii="Bookman Old Style" w:hAnsi="Bookman Old Style" w:cs="Arial"/>
                <w:spacing w:val="-3"/>
              </w:rPr>
              <w:t>Ministro de Minas y Energía</w:t>
            </w:r>
          </w:p>
          <w:p w:rsidR="00771D1E" w:rsidRPr="00FD5CA5" w:rsidRDefault="00771D1E" w:rsidP="00E912C1">
            <w:pPr>
              <w:ind w:left="0"/>
              <w:jc w:val="center"/>
              <w:rPr>
                <w:rFonts w:ascii="Bookman Old Style" w:hAnsi="Bookman Old Style" w:cs="Arial"/>
                <w:spacing w:val="-3"/>
                <w:lang w:val="es-ES_tradnl"/>
              </w:rPr>
            </w:pPr>
            <w:r w:rsidRPr="00FD5CA5">
              <w:rPr>
                <w:rFonts w:ascii="Bookman Old Style" w:hAnsi="Bookman Old Style" w:cs="Arial"/>
                <w:spacing w:val="-3"/>
              </w:rPr>
              <w:t>Presidente</w:t>
            </w:r>
          </w:p>
        </w:tc>
        <w:tc>
          <w:tcPr>
            <w:tcW w:w="2907" w:type="pct"/>
            <w:hideMark/>
          </w:tcPr>
          <w:p w:rsidR="00771D1E" w:rsidRPr="00FD5CA5" w:rsidRDefault="00771D1E" w:rsidP="00E912C1">
            <w:pPr>
              <w:ind w:left="355"/>
              <w:jc w:val="center"/>
              <w:rPr>
                <w:rFonts w:ascii="Bookman Old Style" w:hAnsi="Bookman Old Style" w:cs="Arial"/>
                <w:spacing w:val="-3"/>
                <w:lang w:val="es-ES_tradnl"/>
              </w:rPr>
            </w:pPr>
            <w:r w:rsidRPr="00FD5CA5">
              <w:rPr>
                <w:rFonts w:ascii="Bookman Old Style" w:hAnsi="Bookman Old Style" w:cs="Arial"/>
                <w:spacing w:val="-3"/>
                <w:lang w:val="es-ES_tradnl"/>
              </w:rPr>
              <w:t>Director Ejecutivo</w:t>
            </w:r>
          </w:p>
        </w:tc>
      </w:tr>
    </w:tbl>
    <w:p w:rsidR="00771D1E" w:rsidRDefault="00771D1E" w:rsidP="00E912C1">
      <w:pPr>
        <w:ind w:left="0"/>
        <w:rPr>
          <w:rFonts w:ascii="Bookman Old Style" w:hAnsi="Bookman Old Style"/>
          <w:b/>
        </w:rPr>
      </w:pPr>
      <w:r>
        <w:rPr>
          <w:rFonts w:ascii="Bookman Old Style" w:hAnsi="Bookman Old Style"/>
          <w:b/>
        </w:rPr>
        <w:br w:type="page"/>
      </w:r>
    </w:p>
    <w:p w:rsidR="00E912C1" w:rsidRDefault="00E912C1" w:rsidP="00E912C1">
      <w:pPr>
        <w:ind w:right="51"/>
        <w:jc w:val="center"/>
        <w:rPr>
          <w:rFonts w:ascii="Bookman Old Style" w:hAnsi="Bookman Old Style"/>
          <w:b/>
        </w:rPr>
      </w:pPr>
    </w:p>
    <w:p w:rsidR="00771D1E" w:rsidRDefault="00771D1E" w:rsidP="00E912C1">
      <w:pPr>
        <w:ind w:right="51"/>
        <w:jc w:val="center"/>
        <w:rPr>
          <w:rFonts w:ascii="Bookman Old Style" w:hAnsi="Bookman Old Style"/>
          <w:b/>
        </w:rPr>
      </w:pPr>
      <w:r>
        <w:rPr>
          <w:rFonts w:ascii="Bookman Old Style" w:hAnsi="Bookman Old Style"/>
          <w:b/>
        </w:rPr>
        <w:t>PROYECTO DE RESOLUCIÓN</w:t>
      </w:r>
    </w:p>
    <w:p w:rsidR="00771D1E" w:rsidRDefault="00771D1E" w:rsidP="00E912C1">
      <w:pPr>
        <w:ind w:right="51"/>
        <w:jc w:val="center"/>
        <w:rPr>
          <w:rFonts w:ascii="Bookman Old Style" w:hAnsi="Bookman Old Style"/>
          <w:b/>
        </w:rPr>
      </w:pPr>
    </w:p>
    <w:p w:rsidR="00771D1E" w:rsidRPr="00C435C3" w:rsidRDefault="00FD5CA5" w:rsidP="00E912C1">
      <w:pPr>
        <w:ind w:right="51"/>
        <w:jc w:val="center"/>
        <w:rPr>
          <w:rFonts w:ascii="Bookman Old Style" w:hAnsi="Bookman Old Style"/>
          <w:b/>
        </w:rPr>
      </w:pPr>
      <w:r>
        <w:rPr>
          <w:rFonts w:ascii="Bookman Old Style" w:hAnsi="Bookman Old Style"/>
        </w:rPr>
        <w:t>P</w:t>
      </w:r>
      <w:r w:rsidRPr="00FD5CA5">
        <w:rPr>
          <w:rFonts w:ascii="Bookman Old Style" w:hAnsi="Bookman Old Style"/>
        </w:rPr>
        <w:t>or la cual se ajustan disposiciones del mercado mayorista de gas natural contenidas en la Resolución CREG 114 de 2017</w:t>
      </w:r>
    </w:p>
    <w:p w:rsidR="00771D1E" w:rsidRDefault="00771D1E" w:rsidP="00E912C1">
      <w:pPr>
        <w:ind w:right="51"/>
        <w:jc w:val="center"/>
        <w:rPr>
          <w:rFonts w:ascii="Bookman Old Style" w:hAnsi="Bookman Old Style"/>
          <w:b/>
        </w:rPr>
      </w:pPr>
    </w:p>
    <w:p w:rsidR="00771D1E" w:rsidRDefault="00771D1E" w:rsidP="00E912C1">
      <w:pPr>
        <w:ind w:right="51"/>
        <w:jc w:val="center"/>
        <w:rPr>
          <w:rFonts w:ascii="Bookman Old Style" w:hAnsi="Bookman Old Style"/>
          <w:b/>
        </w:rPr>
      </w:pPr>
    </w:p>
    <w:p w:rsidR="00771D1E" w:rsidRPr="00C435C3" w:rsidRDefault="00771D1E" w:rsidP="00E912C1">
      <w:pPr>
        <w:ind w:right="51"/>
        <w:jc w:val="center"/>
        <w:rPr>
          <w:rFonts w:ascii="Bookman Old Style" w:hAnsi="Bookman Old Style"/>
          <w:b/>
        </w:rPr>
      </w:pPr>
      <w:r w:rsidRPr="00C435C3">
        <w:rPr>
          <w:rFonts w:ascii="Bookman Old Style" w:hAnsi="Bookman Old Style"/>
          <w:b/>
        </w:rPr>
        <w:t>LA COMISIÓN DE REGULACIÓN DE ENERGÍA Y GAS</w:t>
      </w:r>
    </w:p>
    <w:p w:rsidR="00771D1E" w:rsidRPr="00C435C3" w:rsidRDefault="00771D1E" w:rsidP="00E912C1">
      <w:pPr>
        <w:ind w:left="0" w:right="51"/>
        <w:rPr>
          <w:rFonts w:ascii="Bookman Old Style" w:hAnsi="Bookman Old Style"/>
        </w:rPr>
      </w:pPr>
    </w:p>
    <w:p w:rsidR="00771D1E" w:rsidRPr="00E31B35" w:rsidRDefault="00771D1E" w:rsidP="00E912C1">
      <w:pPr>
        <w:jc w:val="center"/>
        <w:rPr>
          <w:rFonts w:ascii="Bookman Old Style" w:hAnsi="Bookman Old Style"/>
        </w:rPr>
      </w:pPr>
      <w:r w:rsidRPr="00E31B35">
        <w:rPr>
          <w:rFonts w:ascii="Bookman Old Style" w:hAnsi="Bookman Old Style"/>
        </w:rPr>
        <w:t>En ejercicio de sus atribuciones constitucionales y legales, en especial las conferidas por las leyes 142 y 143 de 1994, y en desarrollo de los decretos 1524 y 2253 de 1994.</w:t>
      </w:r>
    </w:p>
    <w:p w:rsidR="00771D1E" w:rsidRDefault="00771D1E" w:rsidP="00E912C1">
      <w:pPr>
        <w:ind w:right="51"/>
        <w:rPr>
          <w:rFonts w:ascii="Bookman Old Style" w:hAnsi="Bookman Old Style"/>
        </w:rPr>
      </w:pPr>
    </w:p>
    <w:p w:rsidR="00771D1E" w:rsidRDefault="00771D1E" w:rsidP="00E912C1">
      <w:pPr>
        <w:ind w:right="51"/>
        <w:jc w:val="center"/>
        <w:rPr>
          <w:rFonts w:ascii="Bookman Old Style" w:hAnsi="Bookman Old Style"/>
          <w:b/>
        </w:rPr>
      </w:pPr>
    </w:p>
    <w:p w:rsidR="00045D3D" w:rsidRPr="00C435C3" w:rsidRDefault="00045D3D" w:rsidP="00E912C1">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rsidR="00045D3D" w:rsidRPr="00147CBF" w:rsidRDefault="00045D3D" w:rsidP="00E912C1">
      <w:pPr>
        <w:ind w:right="51"/>
        <w:jc w:val="center"/>
        <w:rPr>
          <w:rFonts w:ascii="Bookman Old Style" w:hAnsi="Bookman Old Style"/>
          <w:b/>
          <w:sz w:val="16"/>
        </w:rPr>
      </w:pPr>
    </w:p>
    <w:p w:rsidR="00045D3D" w:rsidRPr="00C435C3" w:rsidRDefault="00045D3D" w:rsidP="00E912C1">
      <w:pPr>
        <w:rPr>
          <w:rFonts w:ascii="Bookman Old Style" w:hAnsi="Bookman Old Style"/>
          <w:b/>
        </w:rPr>
      </w:pPr>
    </w:p>
    <w:p w:rsidR="001C235C" w:rsidRPr="001C235C" w:rsidRDefault="001C235C" w:rsidP="00E912C1">
      <w:pPr>
        <w:ind w:left="0"/>
        <w:jc w:val="both"/>
        <w:rPr>
          <w:rFonts w:ascii="Bookman Old Style" w:hAnsi="Bookman Old Style"/>
        </w:rPr>
      </w:pPr>
      <w:r w:rsidRPr="001C235C">
        <w:rPr>
          <w:rFonts w:ascii="Bookman Old Style" w:hAnsi="Bookman Old Style"/>
        </w:rPr>
        <w:t>El inciso tercero del artículo 333 de la Constitución Política establece que “(e)l Estado, por mandato de la ley, impedirá que se obstruya o se restrinja la libertad económica y evitará o controlará cualquier abuso que personas o empresas hagan de su posición dominante en el mercado nacional”.</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El artículo 365 de la Constitución Política establece, a su vez, que “(l)os servicios públicos son inherentes a la finalidad social del Estado. Es deber del Estado asegurar su prestación eficiente a todos los habitantes del territorio nacional”, que los mismos estarán sometidos al régimen jurídico que fije la ley, y que “(e)n todo caso, el Estado mantendrá la regulación, el control y la vigilancia de dichos servicios”.</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Los artículos 1, 2, 3 y 4 de la Ley 142 de 1994 establecen que los servicios públicos domiciliarios son esenciales y que la intervención del Estado está encaminada, entre otros fines, a conseguir su prestación eficiente, asegurar su calidad, ampliar su cobertura, permitir la libre competencia y evitar el abuso de la posición dominante. Esto mediante diversos instrumentos expresados, entre otros, en las funciones y atribuciones asignadas a las entidades, en especial las regulaciones de las comisiones, relativas a diferentes materias como la gestión y obtención de recursos para la prestación de servicios, la fijación de metas de eficiencia, cobertura, calidad y su evaluación, la definición del régimen tarifario, la organización de sistemas de información, la neutralidad de la prestación de los servicios, entre otras.</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El numeral 14.18 del artículo 14 y el artículo 69 ambos de la Ley 142 de 1994 prevén a cargo de las comisiones de regulación la atribución de regular el servicio público respectivo con sujeción a la ley y a los decretos reglamentarios como una función de intervención sobre la base de lo que las normas superiores dispongan para asegurar que quienes presten los servicios públicos se sujeten a sus mandatos. Dicha atribución consiste en la facultad de dictar normas de carácter general o particular en los términos de la Constitución y la ley, para someter la conducta de las personas que presten los servicios públicos domiciliarios y sus actividades complementarias a las reglas, normas, principios y deberes establecidos por la ley y los reglamentos.</w:t>
      </w:r>
    </w:p>
    <w:p w:rsidR="00147CBF" w:rsidRDefault="00147CBF"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El artículo 34 de la Ley 142 de 1994 dispone que “las empresas de servicios públicos, en todos sus actos y contratos, deben evitar privilegios y discriminaciones injustificadas, y abstenerse de toda práctica que tenga la capacidad, el propósito o el efecto de generar competencia desleal o de restringir en forma indebida la competencia”, estableciendo para el efecto, entre otras, qué prácticas son consideradas como restricción indebida a la competencia, dentro de las que se destaca la establecida en su numeral 34.6, que estipula como una de ellas, “el abuso de la posición dominante al que se refiere el artículo 133 de esta Ley, cualquiera que sea la otra parte contratante y en cualquier clase de contratos”.</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Según lo dispuesto en el artículo 73 de la Ley 142 de 1994, corresponde a las comisiones regular los monopolios en la prestación de los servicios públicos, cuando la competencia no sea, de hecho, posible y, en los demás casos, la de promover la competencia entre quienes prestan servicios públicos, para que las operaciones de los monopolistas o de los competidores sean económicamente eficientes, no impliquen abuso de posición dominante y produzcan servicios de calidad.</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De acuerdo con lo establecido en el literal a) del numeral  74.1 del artículo 74 de la Ley 142 de 1994, es función de la Comisión de Regulación de Energía y Gas, CREG, regular el ejercicio de las actividades de los sectores de energía y gas combustible para asegurar la disponibilidad de una oferta energética eficiente, propiciar la competencia en el sector de minas y energía, proponer la adopción de las medidas necesarias para impedir abusos de posición dominante y buscar la liberación gradual de los mercados hacia la libre competencia.</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El literal b) del numeral 74.1 del artículo 74 de la Ley 142 de 1994 determina que corresponde a la CREG expedir regulaciones específicas para el uso eficiente del gas combustible por parte de los consumidores.</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De acuerdo con lo establecido en el literal c) del numeral 74.1 del artículo 74 de la Ley 142 de 1994, es función de la CREG establecer el reglamento de operación para regular el funcionamiento del mercado mayorista de gas combustible.</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La potestad normativa atribuida a las comisiones de regulación es una manifestación de la intervención del Estado en la economía expresada en la regulación con la finalidad de corregir las fallas del mercado, delimitar la libertad de empresa, preservar la competencia económica, mejorar la prestación de los servicios públicos y proteger los derechos de los usuarios.</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La Ley 401 de 1997 dispuso en el parágrafo 2 de su artículo 11 que “las competencias previstas en la Ley 142 de 1994 en lo relacionado con el servicio público domiciliario, comercial e industrial de gas combustible, sólo se predicarán en los casos en que el gas se utilice efectivamente como combustible y no como materia prima de procesos industriales petroquímicos”.</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De acuerdo con lo establecido en el artículo 978 del Código de Comercio, cuando la prestación de un servicio público está regulada por el Gobierno, las condiciones de los contratos deberán sujetarse a los respectivos reglamentos.</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Mediante la Resolución CREG 071 de 1999, y otras que la han modificado y complementado, la CREG adoptó el reglamento único de transporte de gas natural, RUT.</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En el numeral 1.3 del RUT se establece que “(l)a iniciativa para la reforma del Reglamento también será de la Comisión si ésta estima que debe adecuarse a la evolución de la industria, que contraría las regulaciones generales sobre el servicio, que va en detrimento de mayor concurrencia entre oferentes y demandantes del suministro o del libre acceso y uso del servicio de transporte y otros servicios asociados”.</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En el RUT se prevé la existencia del mercado secundario de suministro y de transporte de gas, el cual se basa en los sistemas de información implementados por cada transportador a través de los boletines electrónicos de operaciones.</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El mercado secundario previsto en la regulación es físico, de tal forma que su desarrollo depende de las gestiones que realizan los propios participantes de mercado que cuentan con excedentes y aquellos que tienen desbalances en sus compras.</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De conformidad con lo dispuesto en el parágrafo 2 del artículo 5 del Decreto 2100 de 2011 compilado por el Decreto 1073 de 2015, corresponde a la CREG, siguiendo los lineamientos establecidos en el artículo 13 de dicho Decreto, definir los mecanismos que permitan a quienes atiendan la demanda esencial tener acceso a los contratos de suministro y/o transporte de gas natural a que se refiere dicho artículo.</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El Decreto 2100 de 2011 compilado por el Decreto 1073 de 2015, en su artículo 11, dispone que la CREG establecerá los mecanismos y procedimientos de comercialización de la producción total disponible para la venta, PTDV, y de las cantidades importadas disponibles para la venta, CIDV, conforme a los lineamientos establecidos en dicha norma.</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 xml:space="preserve">En el artículo 13 del Decreto 2100 de 2011 compilado por el Decreto 1073 de 2015 se establecen los lineamientos para la expedición de los mecanismos y procedimientos de comercialización, determinándose que la CREG “deberá promover la competencia, propiciar la formación de precios eficientes a través de procesos que reflejen el costo de oportunidad del recurso, considerando las diferentes variables que inciden en su formación, así como mitigar los efectos de la concentración del mercado y generar información oportuna y suficiente para los agentes”. </w:t>
      </w:r>
    </w:p>
    <w:p w:rsidR="001C235C" w:rsidRPr="001C235C" w:rsidRDefault="001C235C" w:rsidP="00E912C1">
      <w:pPr>
        <w:ind w:left="0"/>
        <w:jc w:val="both"/>
        <w:rPr>
          <w:rFonts w:ascii="Bookman Old Style" w:hAnsi="Bookman Old Style"/>
        </w:rPr>
      </w:pPr>
    </w:p>
    <w:p w:rsidR="001C235C" w:rsidRDefault="001C235C" w:rsidP="00E912C1">
      <w:pPr>
        <w:ind w:left="0"/>
        <w:jc w:val="both"/>
        <w:rPr>
          <w:rFonts w:ascii="Bookman Old Style" w:hAnsi="Bookman Old Style"/>
        </w:rPr>
      </w:pPr>
      <w:r w:rsidRPr="001C235C">
        <w:rPr>
          <w:rFonts w:ascii="Bookman Old Style" w:hAnsi="Bookman Old Style"/>
        </w:rPr>
        <w:t>El artículo 14 del Decreto 2100 de 2011 compilado por el Decreto 1073 de 2015 establece que “con el fin de propender por el equilibrio de las relaciones contractuales entre los Agentes Operacionales, la CREG establecerá los requisitos mínimos para cada una de las modalidades de contratos previstos en la regulación”. Así mismo, determina que los contratos de suministro y/o transporte, que a la fecha de expedición de dicho Decreto se encuentren en ejecución, no serán modificados por efectos de esta disposición, salvo que se prorrogue su vigencia, caso en el cual la prórroga deberá sujetarse a las condiciones mínimas que establezca la CREG.</w:t>
      </w:r>
    </w:p>
    <w:p w:rsidR="00147CBF" w:rsidRPr="001C235C" w:rsidRDefault="00147CBF"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El artículo 1 del Decreto 1710 de 2013 establece que al expedir el reglamento de operación del mercado mayorista de gas natural la CREG podrá “(e)stablecer los lineamientos y las condiciones de participación en el mercado mayorista, las modalidades y requisitos mínimos de ofertas y contratos, los procedimientos y los demás aspectos que requieran los mecanismos de comercialización de gas natural y de su transporte en el mercado mayorista” y “(s)eñalar la información que será declarada por los participantes del mercado y establecer los mecanismos y procedimientos para obtener, organizar, revisar y divulgar dicha información en forma oportuna para el funcionamiento del mercado mayorista de gas natural”.</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Con base en lo anterior la CREG adoptó la Resolución CREG 089 de 2013 “Por la cual se reglamentan aspectos comerciales del mercado mayorista de gas natural, que hacen parte del reglamento de operación de gas natural”</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 xml:space="preserve">En desarrollo de la ejecución de la Resolución CREG 089 de 2013, se efectuaron modificaciones a la misma, las cuales se adoptaron mediante las </w:t>
      </w:r>
      <w:r w:rsidR="004B77FC">
        <w:rPr>
          <w:rFonts w:ascii="Bookman Old Style" w:hAnsi="Bookman Old Style"/>
        </w:rPr>
        <w:t>r</w:t>
      </w:r>
      <w:r w:rsidRPr="001C235C">
        <w:rPr>
          <w:rFonts w:ascii="Bookman Old Style" w:hAnsi="Bookman Old Style"/>
        </w:rPr>
        <w:t xml:space="preserve">esoluciones CREG 124 de 2013, 151 de 2013, 204 de 2013, 089 de 2014, 122 de 2014, 159 de 2014, 022 de 2015, 032 de 2015, 088 de 2015, 105 de 2015, 139 de 2015, 140 de 2015, 143 de 2015, 213 de 2015, 218 de 2015, 070 de 2016, 137 de 2016, 168 de 2016, 001 de 2017, 060 de 2017 y 081 de 2017. </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Con posterioridad y mediante la expedición de la Resolución CREG 114 de 2017 se compiló y derogó la Resolución CREG 089 de 2013 y sus modificaciones con el fin de facilitar su aplicación y consulta por parte de todos los interesados que hacen parte del sector de gas natural en Colombia, toda vez que todas estas disposiciones se entienden incluidas en la presente resolución.</w:t>
      </w:r>
    </w:p>
    <w:p w:rsidR="001C235C" w:rsidRPr="001C235C" w:rsidRDefault="001C235C" w:rsidP="00E912C1">
      <w:pPr>
        <w:ind w:left="0"/>
        <w:jc w:val="both"/>
        <w:rPr>
          <w:rFonts w:ascii="Bookman Old Style" w:hAnsi="Bookman Old Style"/>
        </w:rPr>
      </w:pPr>
    </w:p>
    <w:p w:rsidR="001C235C" w:rsidRPr="001C235C" w:rsidRDefault="001C235C" w:rsidP="00E912C1">
      <w:pPr>
        <w:ind w:left="0"/>
        <w:jc w:val="both"/>
        <w:rPr>
          <w:rFonts w:ascii="Bookman Old Style" w:hAnsi="Bookman Old Style"/>
        </w:rPr>
      </w:pPr>
      <w:r w:rsidRPr="001C235C">
        <w:rPr>
          <w:rFonts w:ascii="Bookman Old Style" w:hAnsi="Bookman Old Style"/>
        </w:rPr>
        <w:t xml:space="preserve">Con base en lo anteriormente manifestado y de acuerdo con los análisis realizados, los cuales más adelante serán objeto de desarrollo detallado en el presente documento, se observa que existen unos problemas en el desempeño del mercado secundario relacionados con una presunta información incompleta de todo lo que en el mismo se ejecuta, así como, se dan unos altos costos en las transacciones, los cuales se originan en la rigidez de los contratos que en este momento se encuentran contemplados en la regulación. </w:t>
      </w:r>
    </w:p>
    <w:p w:rsidR="001C235C" w:rsidRPr="00147CBF" w:rsidRDefault="001C235C" w:rsidP="00E912C1">
      <w:pPr>
        <w:ind w:left="0"/>
        <w:jc w:val="both"/>
        <w:rPr>
          <w:rFonts w:ascii="Bookman Old Style" w:hAnsi="Bookman Old Style"/>
          <w:sz w:val="22"/>
        </w:rPr>
      </w:pPr>
    </w:p>
    <w:p w:rsidR="001C235C" w:rsidRPr="001C235C" w:rsidRDefault="001C235C" w:rsidP="00E912C1">
      <w:pPr>
        <w:ind w:left="0"/>
        <w:jc w:val="both"/>
        <w:rPr>
          <w:rFonts w:ascii="Bookman Old Style" w:hAnsi="Bookman Old Style"/>
        </w:rPr>
      </w:pPr>
      <w:r w:rsidRPr="001C235C">
        <w:rPr>
          <w:rFonts w:ascii="Bookman Old Style" w:hAnsi="Bookman Old Style"/>
        </w:rPr>
        <w:t xml:space="preserve">Como posibles causas de los problemas detectados, se encuentran la forma como se vienen gestionando los desbalances operativos de gas natural por parte de los agentes, el diseño del mercado secundario y el nuevo diseño del mercado primario (la forma en que operan los contratos C1 y C2) y como último está la imposibilidad de contrastar la información operativa vs la información comercial. </w:t>
      </w:r>
    </w:p>
    <w:p w:rsidR="001C235C" w:rsidRPr="00147CBF" w:rsidRDefault="001C235C" w:rsidP="00E912C1">
      <w:pPr>
        <w:ind w:left="0"/>
        <w:jc w:val="both"/>
        <w:rPr>
          <w:rFonts w:ascii="Bookman Old Style" w:hAnsi="Bookman Old Style"/>
          <w:sz w:val="22"/>
        </w:rPr>
      </w:pPr>
    </w:p>
    <w:p w:rsidR="001C235C" w:rsidRPr="001C235C" w:rsidRDefault="001C235C" w:rsidP="00E912C1">
      <w:pPr>
        <w:ind w:left="0"/>
        <w:jc w:val="both"/>
        <w:rPr>
          <w:rFonts w:ascii="Bookman Old Style" w:hAnsi="Bookman Old Style"/>
        </w:rPr>
      </w:pPr>
      <w:r w:rsidRPr="001C235C">
        <w:rPr>
          <w:rFonts w:ascii="Bookman Old Style" w:hAnsi="Bookman Old Style"/>
        </w:rPr>
        <w:t xml:space="preserve">En consecuencia, se observa la necesidad de ajustar el manejo de información referente al volumen de cantidades de excedentes y faltantes derivadas del mercado primario, evitar que los agentes no acudan al mercado secundario y de ésta forma contar con un mercado transparente, que refleje el estado de todas y cada una de las transacciones que en el mercado se realicen. </w:t>
      </w:r>
    </w:p>
    <w:p w:rsidR="00045D3D" w:rsidRDefault="00045D3D" w:rsidP="00E912C1">
      <w:pPr>
        <w:ind w:left="0"/>
        <w:jc w:val="both"/>
        <w:rPr>
          <w:rFonts w:ascii="Bookman Old Style" w:hAnsi="Bookman Old Style"/>
        </w:rPr>
      </w:pPr>
    </w:p>
    <w:p w:rsidR="00045D3D" w:rsidRDefault="00045D3D" w:rsidP="00E912C1">
      <w:pPr>
        <w:suppressAutoHyphens/>
        <w:jc w:val="center"/>
        <w:rPr>
          <w:rFonts w:ascii="Bookman Old Style" w:hAnsi="Bookman Old Style"/>
          <w:b/>
          <w:spacing w:val="-3"/>
        </w:rPr>
      </w:pPr>
      <w:r w:rsidRPr="00C435C3">
        <w:rPr>
          <w:rFonts w:ascii="Bookman Old Style" w:hAnsi="Bookman Old Style"/>
          <w:b/>
          <w:spacing w:val="-3"/>
        </w:rPr>
        <w:t>R E S U E L V E:</w:t>
      </w:r>
    </w:p>
    <w:p w:rsidR="00EC7B65" w:rsidRDefault="00EC7B65" w:rsidP="00E912C1">
      <w:pPr>
        <w:ind w:left="0"/>
        <w:jc w:val="both"/>
        <w:rPr>
          <w:rFonts w:ascii="Bookman Old Style" w:hAnsi="Bookman Old Style"/>
        </w:rPr>
      </w:pPr>
    </w:p>
    <w:p w:rsidR="00045D3D" w:rsidRDefault="00B30245" w:rsidP="00E912C1">
      <w:pPr>
        <w:pStyle w:val="ARTICULOS"/>
        <w:numPr>
          <w:ilvl w:val="0"/>
          <w:numId w:val="0"/>
        </w:numPr>
        <w:tabs>
          <w:tab w:val="clear" w:pos="1559"/>
        </w:tabs>
        <w:outlineLvl w:val="0"/>
        <w:rPr>
          <w:b/>
        </w:rPr>
      </w:pPr>
      <w:r w:rsidRPr="00B30245">
        <w:rPr>
          <w:rFonts w:cs="Arial"/>
          <w:b/>
          <w:color w:val="000000"/>
          <w:lang w:val="es-ES"/>
        </w:rPr>
        <w:t>ARTÍCULO</w:t>
      </w:r>
      <w:r w:rsidRPr="00B30245">
        <w:rPr>
          <w:b/>
        </w:rPr>
        <w:t xml:space="preserve"> </w:t>
      </w:r>
      <w:r w:rsidRPr="00B30245">
        <w:rPr>
          <w:b/>
        </w:rPr>
        <w:fldChar w:fldCharType="begin"/>
      </w:r>
      <w:r w:rsidRPr="00B30245">
        <w:rPr>
          <w:b/>
        </w:rPr>
        <w:instrText xml:space="preserve"> SEQ ARTÍCULO \* ARABIC </w:instrText>
      </w:r>
      <w:r w:rsidRPr="00B30245">
        <w:rPr>
          <w:b/>
        </w:rPr>
        <w:fldChar w:fldCharType="separate"/>
      </w:r>
      <w:r w:rsidR="003A5E28">
        <w:rPr>
          <w:b/>
          <w:noProof/>
        </w:rPr>
        <w:t>1</w:t>
      </w:r>
      <w:r w:rsidRPr="00B30245">
        <w:rPr>
          <w:b/>
        </w:rPr>
        <w:fldChar w:fldCharType="end"/>
      </w:r>
      <w:r>
        <w:rPr>
          <w:b/>
        </w:rPr>
        <w:t xml:space="preserve">. </w:t>
      </w:r>
      <w:r w:rsidR="00655ACE">
        <w:rPr>
          <w:lang w:val="es-419"/>
        </w:rPr>
        <w:t>Adiciónense los siguientes numerales</w:t>
      </w:r>
      <w:r w:rsidR="00655ACE">
        <w:t xml:space="preserve"> </w:t>
      </w:r>
      <w:r w:rsidR="00655ACE">
        <w:rPr>
          <w:lang w:val="es-419"/>
        </w:rPr>
        <w:t>a</w:t>
      </w:r>
      <w:r w:rsidR="00655ACE">
        <w:t xml:space="preserve">l </w:t>
      </w:r>
      <w:r w:rsidR="006241DC">
        <w:t>artículo 9 de la Resoluci</w:t>
      </w:r>
      <w:r w:rsidR="006241DC">
        <w:rPr>
          <w:lang w:val="es-CO"/>
        </w:rPr>
        <w:t xml:space="preserve">ón CREG 114 de 2017: </w:t>
      </w:r>
      <w:r w:rsidR="00045D3D" w:rsidRPr="002A782A">
        <w:rPr>
          <w:b/>
        </w:rPr>
        <w:t xml:space="preserve"> </w:t>
      </w:r>
    </w:p>
    <w:p w:rsidR="00045D3D" w:rsidRDefault="00045D3D" w:rsidP="00E912C1">
      <w:pPr>
        <w:ind w:left="708"/>
        <w:rPr>
          <w:rFonts w:ascii="Bookman Old Style" w:hAnsi="Bookman Old Style"/>
        </w:rPr>
      </w:pPr>
    </w:p>
    <w:p w:rsidR="00105573" w:rsidRDefault="00655ACE" w:rsidP="00607678">
      <w:pPr>
        <w:pStyle w:val="ARTICULOS"/>
        <w:numPr>
          <w:ilvl w:val="0"/>
          <w:numId w:val="0"/>
        </w:numPr>
        <w:tabs>
          <w:tab w:val="clear" w:pos="1559"/>
        </w:tabs>
        <w:ind w:left="1134" w:hanging="567"/>
        <w:rPr>
          <w:color w:val="000000"/>
          <w:lang w:val="es-ES"/>
        </w:rPr>
      </w:pPr>
      <w:bookmarkStart w:id="1" w:name="_Ref329182814"/>
      <w:bookmarkStart w:id="2" w:name="_Ref330309470"/>
      <w:r>
        <w:rPr>
          <w:lang w:val="es-419"/>
        </w:rPr>
        <w:t>11.</w:t>
      </w:r>
      <w:r>
        <w:rPr>
          <w:lang w:val="es-419"/>
        </w:rPr>
        <w:tab/>
      </w:r>
      <w:bookmarkEnd w:id="1"/>
      <w:bookmarkEnd w:id="2"/>
      <w:r w:rsidR="00105573">
        <w:rPr>
          <w:color w:val="000000"/>
          <w:lang w:val="es-ES"/>
        </w:rPr>
        <w:t>Contrato de suministro con firmeza condicionada.</w:t>
      </w:r>
    </w:p>
    <w:p w:rsidR="00105573" w:rsidRPr="00B56018" w:rsidRDefault="00105573" w:rsidP="003A5A17">
      <w:pPr>
        <w:pStyle w:val="ARTICULOS"/>
        <w:numPr>
          <w:ilvl w:val="0"/>
          <w:numId w:val="25"/>
        </w:numPr>
        <w:tabs>
          <w:tab w:val="clear" w:pos="1559"/>
        </w:tabs>
        <w:ind w:left="1134" w:hanging="567"/>
        <w:rPr>
          <w:color w:val="000000"/>
          <w:lang w:val="es-ES"/>
        </w:rPr>
      </w:pPr>
      <w:r>
        <w:rPr>
          <w:color w:val="000000"/>
          <w:lang w:val="es-ES"/>
        </w:rPr>
        <w:t>Contrato de opción de compra de gas.</w:t>
      </w:r>
    </w:p>
    <w:p w:rsidR="00332B6A" w:rsidRDefault="00332B6A" w:rsidP="00E912C1"/>
    <w:p w:rsidR="00332B6A" w:rsidRDefault="00332B6A" w:rsidP="00E912C1">
      <w:pPr>
        <w:pStyle w:val="ARTICULOS"/>
        <w:numPr>
          <w:ilvl w:val="0"/>
          <w:numId w:val="0"/>
        </w:numPr>
        <w:tabs>
          <w:tab w:val="clear" w:pos="1559"/>
          <w:tab w:val="left" w:pos="709"/>
        </w:tabs>
        <w:outlineLvl w:val="0"/>
        <w:rPr>
          <w:b/>
        </w:rPr>
      </w:pPr>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2</w:t>
      </w:r>
      <w:r w:rsidRPr="00B30245">
        <w:rPr>
          <w:b/>
        </w:rPr>
        <w:fldChar w:fldCharType="end"/>
      </w:r>
      <w:r>
        <w:rPr>
          <w:b/>
        </w:rPr>
        <w:t xml:space="preserve">. </w:t>
      </w:r>
      <w:r>
        <w:t>Modifíquese el artículo</w:t>
      </w:r>
      <w:r w:rsidR="008234D5">
        <w:rPr>
          <w:lang w:val="es-CO"/>
        </w:rPr>
        <w:t xml:space="preserve"> 13</w:t>
      </w:r>
      <w:r>
        <w:t xml:space="preserve"> de la Resoluci</w:t>
      </w:r>
      <w:r>
        <w:rPr>
          <w:lang w:val="es-CO"/>
        </w:rPr>
        <w:t xml:space="preserve">ón CREG 114 de 2017, el cual quedará así: </w:t>
      </w:r>
      <w:r w:rsidRPr="002A782A">
        <w:rPr>
          <w:b/>
        </w:rPr>
        <w:t xml:space="preserve"> </w:t>
      </w:r>
    </w:p>
    <w:p w:rsidR="00FC7B12" w:rsidRDefault="00FC7B12" w:rsidP="00E912C1">
      <w:pPr>
        <w:ind w:left="0"/>
        <w:rPr>
          <w:rFonts w:ascii="Bookman Old Style" w:hAnsi="Bookman Old Style"/>
        </w:rPr>
      </w:pPr>
    </w:p>
    <w:p w:rsidR="00332B6A" w:rsidRPr="00332B6A" w:rsidRDefault="00332B6A" w:rsidP="00607678">
      <w:pPr>
        <w:jc w:val="both"/>
        <w:rPr>
          <w:rFonts w:ascii="Bookman Old Style" w:hAnsi="Bookman Old Style"/>
        </w:rPr>
      </w:pPr>
      <w:r>
        <w:rPr>
          <w:rFonts w:ascii="Bookman Old Style" w:hAnsi="Bookman Old Style"/>
          <w:b/>
        </w:rPr>
        <w:t xml:space="preserve">Artículo 13. </w:t>
      </w:r>
      <w:r w:rsidRPr="00332B6A">
        <w:rPr>
          <w:rFonts w:ascii="Bookman Old Style" w:hAnsi="Bookman Old Style"/>
          <w:b/>
        </w:rPr>
        <w:t>Duración permisible para suspensiones del servicio</w:t>
      </w:r>
      <w:r w:rsidRPr="00332B6A">
        <w:rPr>
          <w:rFonts w:ascii="Bookman Old Style" w:hAnsi="Bookman Old Style"/>
        </w:rPr>
        <w:t xml:space="preserve">. La máxima duración de las suspensiones del servicio por labores programadas para reparaciones técnicas o mantenimientos periódicos </w:t>
      </w:r>
      <w:r w:rsidR="00A7375B">
        <w:rPr>
          <w:rFonts w:ascii="Bookman Old Style" w:hAnsi="Bookman Old Style"/>
        </w:rPr>
        <w:t>en las fuentes de suministro,</w:t>
      </w:r>
      <w:r>
        <w:rPr>
          <w:rFonts w:ascii="Bookman Old Style" w:hAnsi="Bookman Old Style"/>
        </w:rPr>
        <w:t xml:space="preserve"> en el </w:t>
      </w:r>
      <w:r w:rsidR="00A7375B">
        <w:rPr>
          <w:rFonts w:ascii="Bookman Old Style" w:hAnsi="Bookman Old Style"/>
        </w:rPr>
        <w:t>SNT o en sistemas de distribución</w:t>
      </w:r>
      <w:r>
        <w:rPr>
          <w:rFonts w:ascii="Bookman Old Style" w:hAnsi="Bookman Old Style"/>
        </w:rPr>
        <w:t xml:space="preserve">, </w:t>
      </w:r>
      <w:r w:rsidRPr="00332B6A">
        <w:rPr>
          <w:rFonts w:ascii="Bookman Old Style" w:hAnsi="Bookman Old Style"/>
        </w:rPr>
        <w:t>que se podrá pactar en los contratos a que se refiere el Artícu</w:t>
      </w:r>
      <w:r>
        <w:rPr>
          <w:rFonts w:ascii="Bookman Old Style" w:hAnsi="Bookman Old Style"/>
        </w:rPr>
        <w:t>lo 9 de la presente Resolución</w:t>
      </w:r>
      <w:r w:rsidR="008E70C7">
        <w:rPr>
          <w:rFonts w:ascii="Bookman Old Style" w:hAnsi="Bookman Old Style"/>
        </w:rPr>
        <w:t>, con excepción de lo</w:t>
      </w:r>
      <w:r w:rsidR="001E75DE">
        <w:rPr>
          <w:rFonts w:ascii="Bookman Old Style" w:hAnsi="Bookman Old Style"/>
        </w:rPr>
        <w:t>s contratos de contingencia y</w:t>
      </w:r>
      <w:r w:rsidR="008E70C7">
        <w:rPr>
          <w:rFonts w:ascii="Bookman Old Style" w:hAnsi="Bookman Old Style"/>
        </w:rPr>
        <w:t xml:space="preserve"> los contratos con interrupciones</w:t>
      </w:r>
      <w:r w:rsidRPr="00332B6A">
        <w:rPr>
          <w:rFonts w:ascii="Bookman Old Style" w:hAnsi="Bookman Old Style"/>
        </w:rPr>
        <w:t>, no podrá ser superior a:</w:t>
      </w:r>
    </w:p>
    <w:p w:rsidR="00332B6A" w:rsidRPr="00332B6A" w:rsidRDefault="00332B6A" w:rsidP="00E912C1">
      <w:pPr>
        <w:ind w:left="709"/>
        <w:jc w:val="both"/>
        <w:rPr>
          <w:rFonts w:ascii="Bookman Old Style" w:hAnsi="Bookman Old Style"/>
        </w:rPr>
      </w:pPr>
    </w:p>
    <w:p w:rsidR="00332B6A" w:rsidRPr="00332B6A" w:rsidRDefault="00332B6A" w:rsidP="00607678">
      <w:pPr>
        <w:ind w:left="1134" w:hanging="567"/>
        <w:jc w:val="both"/>
        <w:rPr>
          <w:rFonts w:ascii="Bookman Old Style" w:hAnsi="Bookman Old Style"/>
        </w:rPr>
      </w:pPr>
      <w:r w:rsidRPr="00332B6A">
        <w:rPr>
          <w:rFonts w:ascii="Bookman Old Style" w:hAnsi="Bookman Old Style"/>
        </w:rPr>
        <w:t>1.</w:t>
      </w:r>
      <w:r w:rsidRPr="00332B6A">
        <w:rPr>
          <w:rFonts w:ascii="Bookman Old Style" w:hAnsi="Bookman Old Style"/>
        </w:rPr>
        <w:tab/>
        <w:t>Cuatrocientas ochenta (480) horas continuas o discontinuas durante un año, en los contratos de suministro de gas natural.</w:t>
      </w:r>
    </w:p>
    <w:p w:rsidR="00332B6A" w:rsidRPr="00332B6A" w:rsidRDefault="00332B6A" w:rsidP="00607678">
      <w:pPr>
        <w:ind w:left="1134" w:hanging="567"/>
        <w:jc w:val="both"/>
        <w:rPr>
          <w:rFonts w:ascii="Bookman Old Style" w:hAnsi="Bookman Old Style"/>
        </w:rPr>
      </w:pPr>
    </w:p>
    <w:p w:rsidR="00332B6A" w:rsidRPr="00332B6A" w:rsidRDefault="00332B6A" w:rsidP="00607678">
      <w:pPr>
        <w:ind w:left="1134" w:hanging="567"/>
        <w:jc w:val="both"/>
        <w:rPr>
          <w:rFonts w:ascii="Bookman Old Style" w:hAnsi="Bookman Old Style"/>
        </w:rPr>
      </w:pPr>
      <w:r w:rsidRPr="00332B6A">
        <w:rPr>
          <w:rFonts w:ascii="Bookman Old Style" w:hAnsi="Bookman Old Style"/>
        </w:rPr>
        <w:t>2.</w:t>
      </w:r>
      <w:r w:rsidRPr="00332B6A">
        <w:rPr>
          <w:rFonts w:ascii="Bookman Old Style" w:hAnsi="Bookman Old Style"/>
        </w:rPr>
        <w:tab/>
        <w:t>Ciento veinte (120) horas continuas o discontinuas durante un año, en los contratos de transporte de gas natural.</w:t>
      </w:r>
    </w:p>
    <w:p w:rsidR="00332B6A" w:rsidRPr="00332B6A" w:rsidRDefault="00332B6A" w:rsidP="00E912C1">
      <w:pPr>
        <w:ind w:left="709"/>
        <w:jc w:val="both"/>
        <w:rPr>
          <w:rFonts w:ascii="Bookman Old Style" w:hAnsi="Bookman Old Style"/>
        </w:rPr>
      </w:pPr>
    </w:p>
    <w:p w:rsidR="00332B6A" w:rsidRPr="00332B6A" w:rsidRDefault="00332B6A" w:rsidP="00607678">
      <w:pPr>
        <w:jc w:val="both"/>
        <w:rPr>
          <w:rFonts w:ascii="Bookman Old Style" w:hAnsi="Bookman Old Style"/>
        </w:rPr>
      </w:pPr>
      <w:r>
        <w:rPr>
          <w:rFonts w:ascii="Bookman Old Style" w:hAnsi="Bookman Old Style"/>
          <w:b/>
        </w:rPr>
        <w:t xml:space="preserve">Parágrafo </w:t>
      </w:r>
      <w:r w:rsidRPr="00332B6A">
        <w:rPr>
          <w:rFonts w:ascii="Bookman Old Style" w:hAnsi="Bookman Old Style"/>
          <w:b/>
        </w:rPr>
        <w:t>1.</w:t>
      </w:r>
      <w:r>
        <w:rPr>
          <w:rFonts w:ascii="Bookman Old Style" w:hAnsi="Bookman Old Style"/>
        </w:rPr>
        <w:t xml:space="preserve"> </w:t>
      </w:r>
      <w:r w:rsidRPr="00332B6A">
        <w:rPr>
          <w:rFonts w:ascii="Bookman Old Style" w:hAnsi="Bookman Old Style"/>
        </w:rPr>
        <w:t>La CREG podrá reducir gradualmente las duraciones máximas señaladas en este artículo en la medida en que en el mercado mayorista haya las condiciones suficientes para reducir las duraciones permisibles para estas interrupciones y/o se viabilice la importación de gas natural. Dichas reducciones serán aplicables a los contratos que se suscriban con posterioridad a la adopción de esa medida.</w:t>
      </w:r>
    </w:p>
    <w:p w:rsidR="00332B6A" w:rsidRPr="00332B6A" w:rsidRDefault="00332B6A" w:rsidP="00607678">
      <w:pPr>
        <w:jc w:val="both"/>
        <w:rPr>
          <w:rFonts w:ascii="Bookman Old Style" w:hAnsi="Bookman Old Style"/>
        </w:rPr>
      </w:pPr>
    </w:p>
    <w:p w:rsidR="00332B6A" w:rsidRDefault="00332B6A" w:rsidP="00607678">
      <w:pPr>
        <w:jc w:val="both"/>
        <w:rPr>
          <w:rFonts w:ascii="Bookman Old Style" w:hAnsi="Bookman Old Style"/>
        </w:rPr>
      </w:pPr>
      <w:r w:rsidRPr="00332B6A">
        <w:rPr>
          <w:rFonts w:ascii="Bookman Old Style" w:hAnsi="Bookman Old Style"/>
          <w:b/>
        </w:rPr>
        <w:t>Parágrafo 2.</w:t>
      </w:r>
      <w:r w:rsidRPr="00332B6A">
        <w:rPr>
          <w:rFonts w:ascii="Bookman Old Style" w:hAnsi="Bookman Old Style"/>
        </w:rPr>
        <w:t xml:space="preserve"> No se considerará un evento eximente de responsabilidad la suspensión del servicio por labores programadas para reparaciones técnicas o mantenimientos </w:t>
      </w:r>
      <w:r w:rsidRPr="00771D1E">
        <w:rPr>
          <w:rFonts w:ascii="Bookman Old Style" w:hAnsi="Bookman Old Style"/>
        </w:rPr>
        <w:t xml:space="preserve">periódicos </w:t>
      </w:r>
      <w:r w:rsidR="00607678">
        <w:rPr>
          <w:rFonts w:ascii="Bookman Old Style" w:hAnsi="Bookman Old Style"/>
        </w:rPr>
        <w:t>en las fuentes de suministro, en el SNT o en sistemas de distribución</w:t>
      </w:r>
      <w:r w:rsidRPr="00771D1E">
        <w:rPr>
          <w:rFonts w:ascii="Bookman Old Style" w:hAnsi="Bookman Old Style"/>
        </w:rPr>
        <w:t>, que ex</w:t>
      </w:r>
      <w:r w:rsidRPr="00332B6A">
        <w:rPr>
          <w:rFonts w:ascii="Bookman Old Style" w:hAnsi="Bookman Old Style"/>
        </w:rPr>
        <w:t>cedan el menor tiempo entre aquel que adopte la CREG, de conformidad con el protocolo al que se hace referencia en el parágrafo 3 del Artículo 12 de la presente Resolución, y el establecido en el presente artículo. Lo anterior sin perjuicio de las demás normas que la CREG adopte en dicho protocolo.</w:t>
      </w:r>
    </w:p>
    <w:p w:rsidR="00332B6A" w:rsidRDefault="00332B6A" w:rsidP="00E912C1">
      <w:pPr>
        <w:ind w:left="0"/>
        <w:rPr>
          <w:rFonts w:ascii="Bookman Old Style" w:hAnsi="Bookman Old Style"/>
        </w:rPr>
      </w:pPr>
    </w:p>
    <w:p w:rsidR="00B30245" w:rsidRDefault="00B30245" w:rsidP="00E912C1">
      <w:pPr>
        <w:pStyle w:val="ARTICULOS"/>
        <w:numPr>
          <w:ilvl w:val="0"/>
          <w:numId w:val="0"/>
        </w:numPr>
        <w:outlineLvl w:val="0"/>
        <w:rPr>
          <w:b/>
        </w:rPr>
      </w:pPr>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3</w:t>
      </w:r>
      <w:r w:rsidRPr="00B30245">
        <w:rPr>
          <w:b/>
        </w:rPr>
        <w:fldChar w:fldCharType="end"/>
      </w:r>
      <w:r>
        <w:rPr>
          <w:b/>
        </w:rPr>
        <w:t xml:space="preserve">. </w:t>
      </w:r>
      <w:r w:rsidR="006241DC">
        <w:t>Modifíquese el artículo 25 de la Resoluci</w:t>
      </w:r>
      <w:r w:rsidR="006241DC">
        <w:rPr>
          <w:lang w:val="es-CO"/>
        </w:rPr>
        <w:t>ón CREG 114 de 2017</w:t>
      </w:r>
      <w:r w:rsidR="00655ACE">
        <w:rPr>
          <w:lang w:val="es-CO"/>
        </w:rPr>
        <w:t>, el cual quedará</w:t>
      </w:r>
      <w:r w:rsidR="006241DC">
        <w:rPr>
          <w:lang w:val="es-CO"/>
        </w:rPr>
        <w:t xml:space="preserve"> </w:t>
      </w:r>
      <w:r w:rsidR="00655ACE">
        <w:rPr>
          <w:lang w:val="es-CO"/>
        </w:rPr>
        <w:t>así</w:t>
      </w:r>
      <w:r w:rsidR="006241DC">
        <w:rPr>
          <w:lang w:val="es-CO"/>
        </w:rPr>
        <w:t xml:space="preserve">: </w:t>
      </w:r>
      <w:r w:rsidR="006241DC" w:rsidRPr="002A782A">
        <w:rPr>
          <w:b/>
        </w:rPr>
        <w:t xml:space="preserve"> </w:t>
      </w:r>
    </w:p>
    <w:p w:rsidR="00B30245" w:rsidRPr="00655ACE" w:rsidRDefault="00B30245" w:rsidP="00E912C1">
      <w:pPr>
        <w:ind w:left="0"/>
        <w:rPr>
          <w:rFonts w:ascii="Bookman Old Style" w:hAnsi="Bookman Old Style"/>
          <w:lang w:val="x-none"/>
        </w:rPr>
      </w:pPr>
    </w:p>
    <w:p w:rsidR="00FC7B12" w:rsidRDefault="00FC7B12" w:rsidP="00607678">
      <w:pPr>
        <w:jc w:val="both"/>
        <w:rPr>
          <w:rFonts w:ascii="Bookman Old Style" w:hAnsi="Bookman Old Style"/>
        </w:rPr>
      </w:pPr>
      <w:bookmarkStart w:id="3" w:name="_Ref448393277"/>
      <w:r w:rsidRPr="00B30245">
        <w:rPr>
          <w:rFonts w:ascii="Bookman Old Style" w:hAnsi="Bookman Old Style"/>
          <w:b/>
          <w:lang w:val="es-CO"/>
        </w:rPr>
        <w:t xml:space="preserve">Artículo 25. </w:t>
      </w:r>
      <w:r w:rsidRPr="00B30245">
        <w:rPr>
          <w:rFonts w:ascii="Bookman Old Style" w:hAnsi="Bookman Old Style"/>
          <w:b/>
        </w:rPr>
        <w:t>Negociación de contratos de largo plazo.</w:t>
      </w:r>
      <w:r w:rsidRPr="00B30245">
        <w:rPr>
          <w:rFonts w:ascii="Bookman Old Style" w:hAnsi="Bookman Old Style"/>
        </w:rPr>
        <w:t xml:space="preserve"> En los casos no previstos en el </w:t>
      </w:r>
      <w:r w:rsidRPr="00B30245">
        <w:rPr>
          <w:rFonts w:ascii="Bookman Old Style" w:hAnsi="Bookman Old Style"/>
          <w:lang w:val="es-CO"/>
        </w:rPr>
        <w:t>Artículo 22</w:t>
      </w:r>
      <w:r w:rsidRPr="00B30245">
        <w:rPr>
          <w:rFonts w:ascii="Bookman Old Style" w:hAnsi="Bookman Old Style"/>
        </w:rPr>
        <w:t xml:space="preserve"> de esta Resolución, los vendedores y los compradores a los que se hace referencia en los artículos </w:t>
      </w:r>
      <w:r w:rsidRPr="00B30245">
        <w:rPr>
          <w:rFonts w:ascii="Bookman Old Style" w:hAnsi="Bookman Old Style"/>
          <w:lang w:val="es-CO"/>
        </w:rPr>
        <w:t>17 y 18</w:t>
      </w:r>
      <w:r w:rsidR="00130459" w:rsidRPr="00B30245">
        <w:rPr>
          <w:rFonts w:ascii="Bookman Old Style" w:hAnsi="Bookman Old Style"/>
          <w:lang w:val="es-CO"/>
        </w:rPr>
        <w:t xml:space="preserve"> </w:t>
      </w:r>
      <w:r w:rsidRPr="00B30245">
        <w:rPr>
          <w:rFonts w:ascii="Bookman Old Style" w:hAnsi="Bookman Old Style"/>
        </w:rPr>
        <w:t xml:space="preserve">de esta Resolución podrán pactar directamente el suministro de gas natural, dentro del plazo que establezca la CREG, </w:t>
      </w:r>
      <w:r w:rsidRPr="00B56018">
        <w:rPr>
          <w:rFonts w:ascii="Bookman Old Style" w:hAnsi="Bookman Old Style"/>
        </w:rPr>
        <w:t>únicamente mediante contratos de suministro firme CF95</w:t>
      </w:r>
      <w:r w:rsidR="00B56018" w:rsidRPr="00B56018">
        <w:rPr>
          <w:rFonts w:ascii="Bookman Old Style" w:hAnsi="Bookman Old Style"/>
        </w:rPr>
        <w:t xml:space="preserve">, </w:t>
      </w:r>
      <w:r w:rsidR="00B56018" w:rsidRPr="00771D1E">
        <w:rPr>
          <w:rFonts w:ascii="Bookman Old Style" w:hAnsi="Bookman Old Style"/>
        </w:rPr>
        <w:t>firmeza condicionada y opción de compra</w:t>
      </w:r>
      <w:r w:rsidR="00643DDC">
        <w:rPr>
          <w:rFonts w:ascii="Bookman Old Style" w:hAnsi="Bookman Old Style"/>
        </w:rPr>
        <w:t>,</w:t>
      </w:r>
      <w:r w:rsidRPr="00B56018">
        <w:rPr>
          <w:rFonts w:ascii="Bookman Old Style" w:hAnsi="Bookman Old Style"/>
        </w:rPr>
        <w:t xml:space="preserve"> cuya duración sea de tres (3) o más años.</w:t>
      </w:r>
      <w:bookmarkEnd w:id="3"/>
    </w:p>
    <w:p w:rsidR="00FC7B12" w:rsidRPr="00F766A9" w:rsidRDefault="001F36C9" w:rsidP="00607678">
      <w:pPr>
        <w:jc w:val="both"/>
      </w:pPr>
      <w:r w:rsidRPr="00771D1E">
        <w:rPr>
          <w:rFonts w:ascii="Bookman Old Style" w:hAnsi="Bookman Old Style"/>
        </w:rPr>
        <w:t>Durante el primer semestre</w:t>
      </w:r>
      <w:r w:rsidR="00FC7B12" w:rsidRPr="00771D1E">
        <w:rPr>
          <w:rFonts w:ascii="Bookman Old Style" w:hAnsi="Bookman Old Style"/>
        </w:rPr>
        <w:t xml:space="preserve"> de cada año, la Dirección Ejecutiva de la CREG establecerá mediante circular el cronograma de toda la comercialización para el respectivo año</w:t>
      </w:r>
      <w:r w:rsidR="00FC7B12" w:rsidRPr="00771D1E">
        <w:t>.</w:t>
      </w:r>
      <w:r w:rsidR="00FC7B12" w:rsidRPr="00F766A9">
        <w:t xml:space="preserve"> </w:t>
      </w:r>
    </w:p>
    <w:p w:rsidR="00FC7B12" w:rsidRPr="00F766A9" w:rsidRDefault="00FC7B12" w:rsidP="00607678"/>
    <w:p w:rsidR="00FC7B12" w:rsidRPr="007E4CBF" w:rsidRDefault="00FC7B12" w:rsidP="00607678">
      <w:pPr>
        <w:jc w:val="both"/>
        <w:rPr>
          <w:rFonts w:ascii="Bookman Old Style" w:hAnsi="Bookman Old Style"/>
        </w:rPr>
      </w:pPr>
      <w:r w:rsidRPr="007E4CBF">
        <w:rPr>
          <w:rFonts w:ascii="Bookman Old Style" w:hAnsi="Bookman Old Style"/>
        </w:rPr>
        <w:t xml:space="preserve">El cronograma que se menciona en este </w:t>
      </w:r>
      <w:r w:rsidR="00272BD8">
        <w:rPr>
          <w:rFonts w:ascii="Bookman Old Style" w:hAnsi="Bookman Old Style"/>
        </w:rPr>
        <w:t>a</w:t>
      </w:r>
      <w:r w:rsidRPr="007E4CBF">
        <w:rPr>
          <w:rFonts w:ascii="Bookman Old Style" w:hAnsi="Bookman Old Style"/>
        </w:rPr>
        <w:t xml:space="preserve">rtículo deberá establecer la fecha en que los vendedores a los que se hace referencia en el Artículo 17 de esta Resolución deberán declarar al gestor del mercado la oferta de PTDVF u oferta de CIDVF, según sea el caso. </w:t>
      </w:r>
    </w:p>
    <w:p w:rsidR="00FC7B12" w:rsidRPr="00F766A9" w:rsidRDefault="00FC7B12" w:rsidP="00607678"/>
    <w:p w:rsidR="00FC7B12" w:rsidRPr="007E4CBF" w:rsidRDefault="00FC7B12" w:rsidP="00607678">
      <w:pPr>
        <w:jc w:val="both"/>
        <w:rPr>
          <w:rFonts w:ascii="Bookman Old Style" w:hAnsi="Bookman Old Style"/>
        </w:rPr>
      </w:pPr>
      <w:r w:rsidRPr="007E4CBF">
        <w:rPr>
          <w:rFonts w:ascii="Bookman Old Style" w:hAnsi="Bookman Old Style"/>
        </w:rPr>
        <w:t>La oferta de PTDVF o la oferta de CIDVF deberá ser igual o inferior al valor vigente de la PTDV o CIDV, según corresponda, aprobado por el Ministerio de Minas y Energía en cumplimiento del Decreto 2100 de 2011 o aquel que lo modifique o sustituya.</w:t>
      </w:r>
    </w:p>
    <w:p w:rsidR="00FC7B12" w:rsidRPr="00F766A9" w:rsidRDefault="00FC7B12" w:rsidP="00607678"/>
    <w:p w:rsidR="00FC7B12" w:rsidRPr="007E4CBF" w:rsidRDefault="00FC7B12" w:rsidP="00607678">
      <w:pPr>
        <w:jc w:val="both"/>
        <w:rPr>
          <w:rFonts w:ascii="Bookman Old Style" w:hAnsi="Bookman Old Style"/>
        </w:rPr>
      </w:pPr>
      <w:r w:rsidRPr="007E4CBF">
        <w:rPr>
          <w:rFonts w:ascii="Bookman Old Style" w:hAnsi="Bookman Old Style"/>
        </w:rPr>
        <w:t>El gestor del mercado hará pública esta información con el fin de poder realizar las negociaciones directas de contratos CF95</w:t>
      </w:r>
      <w:r w:rsidR="006C5113">
        <w:rPr>
          <w:rFonts w:ascii="Bookman Old Style" w:hAnsi="Bookman Old Style"/>
        </w:rPr>
        <w:t>, firmeza condicionada y opción de compra</w:t>
      </w:r>
      <w:r w:rsidRPr="007E4CBF">
        <w:rPr>
          <w:rFonts w:ascii="Bookman Old Style" w:hAnsi="Bookman Old Style"/>
        </w:rPr>
        <w:t xml:space="preserve"> de largo plazo, cuyas cantidades de energía negociadas no podrán ser superiores a las declaradas al gestor del mercado.</w:t>
      </w:r>
    </w:p>
    <w:p w:rsidR="00FC7B12" w:rsidRPr="007E4CBF" w:rsidRDefault="00FC7B12" w:rsidP="00607678"/>
    <w:p w:rsidR="00FC7B12" w:rsidRPr="007E4CBF" w:rsidRDefault="00FC7B12" w:rsidP="00607678">
      <w:pPr>
        <w:jc w:val="both"/>
        <w:rPr>
          <w:rFonts w:ascii="Bookman Old Style" w:hAnsi="Bookman Old Style"/>
        </w:rPr>
      </w:pPr>
      <w:r w:rsidRPr="00771D1E">
        <w:rPr>
          <w:rFonts w:ascii="Bookman Old Style" w:hAnsi="Bookman Old Style"/>
        </w:rPr>
        <w:t>En el mencionado c</w:t>
      </w:r>
      <w:r w:rsidR="00E10E66" w:rsidRPr="00771D1E">
        <w:rPr>
          <w:rFonts w:ascii="Bookman Old Style" w:hAnsi="Bookman Old Style"/>
        </w:rPr>
        <w:t>ronograma la CREG establecerá</w:t>
      </w:r>
      <w:r w:rsidRPr="00771D1E">
        <w:rPr>
          <w:rFonts w:ascii="Bookman Old Style" w:hAnsi="Bookman Old Style"/>
        </w:rPr>
        <w:t xml:space="preserve"> </w:t>
      </w:r>
      <w:r w:rsidR="00E10E66" w:rsidRPr="00771D1E">
        <w:rPr>
          <w:rFonts w:ascii="Bookman Old Style" w:hAnsi="Bookman Old Style"/>
        </w:rPr>
        <w:t>la ventana de fechas</w:t>
      </w:r>
      <w:r w:rsidRPr="00771D1E">
        <w:rPr>
          <w:rFonts w:ascii="Bookman Old Style" w:hAnsi="Bookman Old Style"/>
        </w:rPr>
        <w:t xml:space="preserve"> para registrar ante el gestor del mercado los contratos suscritos como resultado de las negociaciones directas. Después de esta fecha no se podrán </w:t>
      </w:r>
      <w:r w:rsidR="00E10E66" w:rsidRPr="00771D1E">
        <w:rPr>
          <w:rFonts w:ascii="Bookman Old Style" w:hAnsi="Bookman Old Style"/>
        </w:rPr>
        <w:t>registrar</w:t>
      </w:r>
      <w:r w:rsidRPr="00771D1E">
        <w:rPr>
          <w:rFonts w:ascii="Bookman Old Style" w:hAnsi="Bookman Old Style"/>
        </w:rPr>
        <w:t xml:space="preserve"> contratos bajo negociaciones directas.</w:t>
      </w:r>
      <w:r w:rsidRPr="007E4CBF">
        <w:rPr>
          <w:rFonts w:ascii="Bookman Old Style" w:hAnsi="Bookman Old Style"/>
        </w:rPr>
        <w:t xml:space="preserve"> </w:t>
      </w:r>
    </w:p>
    <w:p w:rsidR="00FC7B12" w:rsidRDefault="00FC7B12" w:rsidP="00607678"/>
    <w:p w:rsidR="009B6B1C" w:rsidRDefault="00FC7B12" w:rsidP="00607678">
      <w:pPr>
        <w:jc w:val="both"/>
        <w:rPr>
          <w:rFonts w:ascii="Bookman Old Style" w:hAnsi="Bookman Old Style"/>
        </w:rPr>
      </w:pPr>
      <w:r w:rsidRPr="007E4CBF">
        <w:rPr>
          <w:rFonts w:ascii="Bookman Old Style" w:hAnsi="Bookman Old Style"/>
        </w:rPr>
        <w:t>En las negociaciones a las que se hace r</w:t>
      </w:r>
      <w:r w:rsidR="00272BD8">
        <w:rPr>
          <w:rFonts w:ascii="Bookman Old Style" w:hAnsi="Bookman Old Style"/>
        </w:rPr>
        <w:t>eferencia en el presente a</w:t>
      </w:r>
      <w:r w:rsidRPr="007E4CBF">
        <w:rPr>
          <w:rFonts w:ascii="Bookman Old Style" w:hAnsi="Bookman Old Style"/>
        </w:rPr>
        <w:t>rtículo sólo se podrán suscribir contratos de suministro firme CF95</w:t>
      </w:r>
      <w:r w:rsidR="00B56018">
        <w:rPr>
          <w:rFonts w:ascii="Bookman Old Style" w:hAnsi="Bookman Old Style"/>
        </w:rPr>
        <w:t>, firmeza condicionada y opción de compra,</w:t>
      </w:r>
      <w:r w:rsidRPr="007E4CBF">
        <w:rPr>
          <w:rFonts w:ascii="Bookman Old Style" w:hAnsi="Bookman Old Style"/>
        </w:rPr>
        <w:t xml:space="preserve"> de que trata el numeral</w:t>
      </w:r>
      <w:r>
        <w:rPr>
          <w:rFonts w:ascii="Bookman Old Style" w:hAnsi="Bookman Old Style"/>
        </w:rPr>
        <w:t xml:space="preserve"> 1 </w:t>
      </w:r>
      <w:r w:rsidRPr="007E4CBF">
        <w:rPr>
          <w:rFonts w:ascii="Bookman Old Style" w:hAnsi="Bookman Old Style"/>
        </w:rPr>
        <w:t>del</w:t>
      </w:r>
      <w:r>
        <w:rPr>
          <w:rFonts w:ascii="Bookman Old Style" w:hAnsi="Bookman Old Style"/>
        </w:rPr>
        <w:t xml:space="preserve"> Artículo 9</w:t>
      </w:r>
      <w:r w:rsidRPr="007E4CBF">
        <w:rPr>
          <w:rFonts w:ascii="Bookman Old Style" w:hAnsi="Bookman Old Style"/>
        </w:rPr>
        <w:t xml:space="preserve">, los cuales se sujetarán a lo dispuesto en los capítulos I y II del título III de la presente Resolución. </w:t>
      </w:r>
    </w:p>
    <w:p w:rsidR="009B6B1C" w:rsidRDefault="009B6B1C" w:rsidP="00607678">
      <w:pPr>
        <w:jc w:val="both"/>
        <w:rPr>
          <w:rFonts w:ascii="Bookman Old Style" w:hAnsi="Bookman Old Style"/>
        </w:rPr>
      </w:pPr>
    </w:p>
    <w:p w:rsidR="009B6B1C" w:rsidRDefault="009B6B1C" w:rsidP="00607678">
      <w:pPr>
        <w:jc w:val="both"/>
        <w:rPr>
          <w:rFonts w:ascii="Bookman Old Style" w:hAnsi="Bookman Old Style"/>
        </w:rPr>
      </w:pPr>
      <w:r>
        <w:rPr>
          <w:rFonts w:ascii="Bookman Old Style" w:hAnsi="Bookman Old Style"/>
        </w:rPr>
        <w:t xml:space="preserve">Para la suscripción de los contratos de suministro se deberá tener en cuenta los siguientes aspectos: </w:t>
      </w:r>
    </w:p>
    <w:p w:rsidR="009B6B1C" w:rsidRDefault="009B6B1C" w:rsidP="00E912C1">
      <w:pPr>
        <w:ind w:left="708"/>
        <w:jc w:val="both"/>
        <w:rPr>
          <w:rFonts w:ascii="Bookman Old Style" w:hAnsi="Bookman Old Style"/>
        </w:rPr>
      </w:pPr>
    </w:p>
    <w:p w:rsidR="00FC7B12" w:rsidRPr="00D97E89" w:rsidRDefault="00FC7B12" w:rsidP="003A5A17">
      <w:pPr>
        <w:pStyle w:val="Prrafodelista"/>
        <w:numPr>
          <w:ilvl w:val="0"/>
          <w:numId w:val="15"/>
        </w:numPr>
        <w:ind w:left="1134" w:hanging="567"/>
        <w:jc w:val="both"/>
        <w:rPr>
          <w:rFonts w:ascii="Bookman Old Style" w:hAnsi="Bookman Old Style"/>
          <w:b/>
        </w:rPr>
      </w:pPr>
      <w:r w:rsidRPr="00D97E89">
        <w:rPr>
          <w:rFonts w:ascii="Bookman Old Style" w:hAnsi="Bookman Old Style"/>
          <w:sz w:val="24"/>
          <w:szCs w:val="24"/>
        </w:rPr>
        <w:t xml:space="preserve">Los contratos </w:t>
      </w:r>
      <w:r w:rsidR="009B6B1C" w:rsidRPr="00D97E89">
        <w:rPr>
          <w:rFonts w:ascii="Bookman Old Style" w:hAnsi="Bookman Old Style"/>
          <w:sz w:val="24"/>
          <w:szCs w:val="24"/>
        </w:rPr>
        <w:t xml:space="preserve">de suministro destinados a atender demanda regulada </w:t>
      </w:r>
      <w:r w:rsidRPr="00D97E89">
        <w:rPr>
          <w:rFonts w:ascii="Bookman Old Style" w:hAnsi="Bookman Old Style"/>
          <w:sz w:val="24"/>
          <w:szCs w:val="24"/>
        </w:rPr>
        <w:t>deberán tener como fecha de inicio del suministro alguna de las dos siguientes fechas: el 1 de diciembre del año en que se realice la negociación directa o el 1 de diciembre del año siguiente al del año de la negociación. Como fecha de terminación del suministro deberá corresponder al 30 de noviembre del año que corresponda.</w:t>
      </w:r>
      <w:r w:rsidRPr="00D97E89">
        <w:rPr>
          <w:rFonts w:ascii="Bookman Old Style" w:hAnsi="Bookman Old Style"/>
          <w:b/>
          <w:sz w:val="24"/>
          <w:szCs w:val="24"/>
        </w:rPr>
        <w:t xml:space="preserve"> </w:t>
      </w:r>
    </w:p>
    <w:p w:rsidR="009B6B1C" w:rsidRPr="009B6B1C" w:rsidRDefault="009B6B1C" w:rsidP="00607678">
      <w:pPr>
        <w:ind w:left="1134" w:hanging="567"/>
        <w:jc w:val="both"/>
        <w:rPr>
          <w:rFonts w:ascii="Bookman Old Style" w:hAnsi="Bookman Old Style"/>
        </w:rPr>
      </w:pPr>
    </w:p>
    <w:p w:rsidR="001C0B9B" w:rsidRPr="001C0B9B" w:rsidRDefault="009B6B1C" w:rsidP="003A5A17">
      <w:pPr>
        <w:pStyle w:val="Prrafodelista"/>
        <w:numPr>
          <w:ilvl w:val="0"/>
          <w:numId w:val="15"/>
        </w:numPr>
        <w:ind w:left="1134" w:hanging="567"/>
        <w:jc w:val="both"/>
        <w:rPr>
          <w:rFonts w:ascii="Bookman Old Style" w:hAnsi="Bookman Old Style" w:cs="Arial"/>
          <w:bCs/>
          <w:color w:val="000000"/>
        </w:rPr>
      </w:pPr>
      <w:r w:rsidRPr="00D97E89">
        <w:rPr>
          <w:rFonts w:ascii="Bookman Old Style" w:hAnsi="Bookman Old Style"/>
          <w:sz w:val="24"/>
          <w:szCs w:val="24"/>
        </w:rPr>
        <w:t>Los contratos de suministro destinados a</w:t>
      </w:r>
      <w:r w:rsidR="00C9783D">
        <w:rPr>
          <w:rFonts w:ascii="Bookman Old Style" w:hAnsi="Bookman Old Style"/>
          <w:sz w:val="24"/>
          <w:szCs w:val="24"/>
        </w:rPr>
        <w:t xml:space="preserve"> atender</w:t>
      </w:r>
      <w:r w:rsidRPr="00D97E89">
        <w:rPr>
          <w:rFonts w:ascii="Bookman Old Style" w:hAnsi="Bookman Old Style"/>
          <w:sz w:val="24"/>
          <w:szCs w:val="24"/>
        </w:rPr>
        <w:t xml:space="preserve"> demanda </w:t>
      </w:r>
      <w:r w:rsidRPr="00771D1E">
        <w:rPr>
          <w:rFonts w:ascii="Bookman Old Style" w:hAnsi="Bookman Old Style"/>
          <w:sz w:val="24"/>
          <w:szCs w:val="24"/>
        </w:rPr>
        <w:t>no regulada deberán tener como fecha de inicio del suministro alguna d</w:t>
      </w:r>
      <w:r w:rsidRPr="00D97E89">
        <w:rPr>
          <w:rFonts w:ascii="Bookman Old Style" w:hAnsi="Bookman Old Style"/>
          <w:sz w:val="24"/>
          <w:szCs w:val="24"/>
        </w:rPr>
        <w:t>e las dos siguientes fechas</w:t>
      </w:r>
      <w:r w:rsidRPr="001F36C9">
        <w:rPr>
          <w:rFonts w:ascii="Bookman Old Style" w:hAnsi="Bookman Old Style"/>
          <w:sz w:val="24"/>
          <w:szCs w:val="24"/>
        </w:rPr>
        <w:t xml:space="preserve">: i) cualquier momento del año comprendido entre el 1 de diciembre del año en que se realice la negociación directa y </w:t>
      </w:r>
      <w:r w:rsidR="00C86F3B" w:rsidRPr="001F36C9">
        <w:rPr>
          <w:rFonts w:ascii="Bookman Old Style" w:hAnsi="Bookman Old Style"/>
          <w:sz w:val="24"/>
          <w:szCs w:val="24"/>
        </w:rPr>
        <w:t xml:space="preserve">el </w:t>
      </w:r>
      <w:r w:rsidR="00375B7E">
        <w:rPr>
          <w:rFonts w:ascii="Bookman Old Style" w:hAnsi="Bookman Old Style"/>
          <w:sz w:val="24"/>
          <w:szCs w:val="24"/>
        </w:rPr>
        <w:t>30</w:t>
      </w:r>
      <w:r w:rsidR="00C86F3B" w:rsidRPr="001F36C9">
        <w:rPr>
          <w:rFonts w:ascii="Bookman Old Style" w:hAnsi="Bookman Old Style"/>
          <w:sz w:val="24"/>
          <w:szCs w:val="24"/>
        </w:rPr>
        <w:t xml:space="preserve"> de junio</w:t>
      </w:r>
      <w:r w:rsidRPr="001F36C9">
        <w:rPr>
          <w:rFonts w:ascii="Bookman Old Style" w:hAnsi="Bookman Old Style"/>
          <w:sz w:val="24"/>
          <w:szCs w:val="24"/>
        </w:rPr>
        <w:t xml:space="preserve"> </w:t>
      </w:r>
      <w:r w:rsidR="00C86F3B" w:rsidRPr="001F36C9">
        <w:rPr>
          <w:rFonts w:ascii="Bookman Old Style" w:hAnsi="Bookman Old Style"/>
          <w:sz w:val="24"/>
          <w:szCs w:val="24"/>
        </w:rPr>
        <w:t>del</w:t>
      </w:r>
      <w:r w:rsidRPr="001F36C9">
        <w:rPr>
          <w:rFonts w:ascii="Bookman Old Style" w:hAnsi="Bookman Old Style"/>
          <w:sz w:val="24"/>
          <w:szCs w:val="24"/>
        </w:rPr>
        <w:t xml:space="preserve"> año inmediatamente siguiente o</w:t>
      </w:r>
      <w:r w:rsidRPr="00D97E89">
        <w:rPr>
          <w:rFonts w:ascii="Bookman Old Style" w:hAnsi="Bookman Old Style"/>
          <w:sz w:val="24"/>
          <w:szCs w:val="24"/>
        </w:rPr>
        <w:t xml:space="preserve">; ii) el 1 de diciembre del año siguiente al del año de la negociación. </w:t>
      </w:r>
      <w:r w:rsidR="00C9783D">
        <w:rPr>
          <w:rFonts w:ascii="Bookman Old Style" w:hAnsi="Bookman Old Style"/>
          <w:sz w:val="24"/>
          <w:szCs w:val="24"/>
        </w:rPr>
        <w:t>La</w:t>
      </w:r>
      <w:r w:rsidRPr="00A37F9D">
        <w:rPr>
          <w:rFonts w:ascii="Bookman Old Style" w:hAnsi="Bookman Old Style"/>
          <w:sz w:val="24"/>
          <w:szCs w:val="24"/>
        </w:rPr>
        <w:t xml:space="preserve"> fecha de terminación del suministro deberá corresponder al 30 de noviembre del año </w:t>
      </w:r>
      <w:r w:rsidR="00C9783D">
        <w:rPr>
          <w:rFonts w:ascii="Bookman Old Style" w:hAnsi="Bookman Old Style"/>
          <w:sz w:val="24"/>
          <w:szCs w:val="24"/>
        </w:rPr>
        <w:t>en que se cumpla el plazo del contrato</w:t>
      </w:r>
      <w:r w:rsidRPr="00A37F9D">
        <w:rPr>
          <w:rFonts w:ascii="Bookman Old Style" w:hAnsi="Bookman Old Style"/>
          <w:sz w:val="24"/>
          <w:szCs w:val="24"/>
        </w:rPr>
        <w:t>.</w:t>
      </w:r>
    </w:p>
    <w:p w:rsidR="001C0B9B" w:rsidRPr="001C0B9B" w:rsidRDefault="001C0B9B" w:rsidP="00E912C1">
      <w:pPr>
        <w:pStyle w:val="Prrafodelista"/>
        <w:rPr>
          <w:rFonts w:ascii="Bookman Old Style" w:hAnsi="Bookman Old Style"/>
          <w:sz w:val="24"/>
          <w:szCs w:val="24"/>
        </w:rPr>
      </w:pPr>
    </w:p>
    <w:p w:rsidR="00147CBF" w:rsidRDefault="00147CBF" w:rsidP="00607678">
      <w:pPr>
        <w:pStyle w:val="Prrafodelista"/>
        <w:ind w:left="1134"/>
        <w:jc w:val="both"/>
        <w:rPr>
          <w:rFonts w:ascii="Bookman Old Style" w:hAnsi="Bookman Old Style"/>
          <w:sz w:val="24"/>
          <w:szCs w:val="24"/>
        </w:rPr>
      </w:pPr>
    </w:p>
    <w:p w:rsidR="009B6B1C" w:rsidRPr="00D97E89" w:rsidRDefault="001C0B9B" w:rsidP="00607678">
      <w:pPr>
        <w:pStyle w:val="Prrafodelista"/>
        <w:ind w:left="1134"/>
        <w:jc w:val="both"/>
        <w:rPr>
          <w:rFonts w:ascii="Bookman Old Style" w:hAnsi="Bookman Old Style" w:cs="Arial"/>
          <w:bCs/>
          <w:color w:val="000000"/>
        </w:rPr>
      </w:pPr>
      <w:r w:rsidRPr="001C0B9B">
        <w:rPr>
          <w:rFonts w:ascii="Bookman Old Style" w:hAnsi="Bookman Old Style"/>
          <w:sz w:val="24"/>
          <w:szCs w:val="24"/>
        </w:rPr>
        <w:t>En c</w:t>
      </w:r>
      <w:r>
        <w:rPr>
          <w:rFonts w:ascii="Bookman Old Style" w:hAnsi="Bookman Old Style"/>
          <w:sz w:val="24"/>
          <w:szCs w:val="24"/>
        </w:rPr>
        <w:t>ualquier caso, el precio</w:t>
      </w:r>
      <w:r w:rsidR="00DB2D97">
        <w:rPr>
          <w:rFonts w:ascii="Bookman Old Style" w:hAnsi="Bookman Old Style"/>
          <w:sz w:val="24"/>
          <w:szCs w:val="24"/>
        </w:rPr>
        <w:t xml:space="preserve"> del gas </w:t>
      </w:r>
      <w:r>
        <w:rPr>
          <w:rFonts w:ascii="Bookman Old Style" w:hAnsi="Bookman Old Style"/>
          <w:sz w:val="24"/>
          <w:szCs w:val="24"/>
        </w:rPr>
        <w:t xml:space="preserve">al momento </w:t>
      </w:r>
      <w:r w:rsidR="00DB2D97">
        <w:rPr>
          <w:rFonts w:ascii="Bookman Old Style" w:hAnsi="Bookman Old Style"/>
          <w:sz w:val="24"/>
          <w:szCs w:val="24"/>
        </w:rPr>
        <w:t>de iniciar el</w:t>
      </w:r>
      <w:r>
        <w:rPr>
          <w:rFonts w:ascii="Bookman Old Style" w:hAnsi="Bookman Old Style"/>
          <w:sz w:val="24"/>
          <w:szCs w:val="24"/>
        </w:rPr>
        <w:t xml:space="preserve"> suministro</w:t>
      </w:r>
      <w:r w:rsidR="00DB2D97">
        <w:rPr>
          <w:rFonts w:ascii="Bookman Old Style" w:hAnsi="Bookman Old Style"/>
          <w:sz w:val="24"/>
          <w:szCs w:val="24"/>
        </w:rPr>
        <w:t xml:space="preserve"> deberá</w:t>
      </w:r>
      <w:r>
        <w:rPr>
          <w:rFonts w:ascii="Bookman Old Style" w:hAnsi="Bookman Old Style"/>
          <w:sz w:val="24"/>
          <w:szCs w:val="24"/>
        </w:rPr>
        <w:t xml:space="preserve"> corresponder al precio pactado por las partes </w:t>
      </w:r>
      <w:r w:rsidR="00DB2D97">
        <w:rPr>
          <w:rFonts w:ascii="Bookman Old Style" w:hAnsi="Bookman Old Style"/>
          <w:sz w:val="24"/>
          <w:szCs w:val="24"/>
        </w:rPr>
        <w:t>al</w:t>
      </w:r>
      <w:r>
        <w:rPr>
          <w:rFonts w:ascii="Bookman Old Style" w:hAnsi="Bookman Old Style"/>
          <w:sz w:val="24"/>
          <w:szCs w:val="24"/>
        </w:rPr>
        <w:t xml:space="preserve"> momento de la suscripción del contrato.</w:t>
      </w:r>
      <w:r w:rsidR="009B6B1C" w:rsidRPr="00D97E89">
        <w:rPr>
          <w:rFonts w:ascii="Bookman Old Style" w:hAnsi="Bookman Old Style"/>
          <w:b/>
          <w:sz w:val="24"/>
          <w:szCs w:val="24"/>
        </w:rPr>
        <w:t xml:space="preserve"> </w:t>
      </w:r>
    </w:p>
    <w:p w:rsidR="00FC7B12" w:rsidRDefault="00FC7B12" w:rsidP="00E912C1">
      <w:pPr>
        <w:ind w:left="708"/>
        <w:rPr>
          <w:rFonts w:ascii="Bookman Old Style" w:hAnsi="Bookman Old Style"/>
        </w:rPr>
      </w:pPr>
    </w:p>
    <w:p w:rsidR="00B30245" w:rsidRDefault="00B30245" w:rsidP="00607678">
      <w:pPr>
        <w:pStyle w:val="ARTICULOS"/>
        <w:numPr>
          <w:ilvl w:val="0"/>
          <w:numId w:val="0"/>
        </w:numPr>
        <w:tabs>
          <w:tab w:val="clear" w:pos="1559"/>
        </w:tabs>
        <w:outlineLvl w:val="0"/>
        <w:rPr>
          <w:b/>
        </w:rPr>
      </w:pPr>
      <w:bookmarkStart w:id="4" w:name="_Ref329189777"/>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4</w:t>
      </w:r>
      <w:r w:rsidRPr="00B30245">
        <w:rPr>
          <w:b/>
        </w:rPr>
        <w:fldChar w:fldCharType="end"/>
      </w:r>
      <w:r>
        <w:rPr>
          <w:b/>
        </w:rPr>
        <w:t xml:space="preserve">. </w:t>
      </w:r>
      <w:r w:rsidR="006241DC">
        <w:t>Modifíquese el artículo 30 de la Resoluci</w:t>
      </w:r>
      <w:r w:rsidR="006241DC">
        <w:rPr>
          <w:lang w:val="es-CO"/>
        </w:rPr>
        <w:t xml:space="preserve">ón CREG 114 de 2017 de la siguiente forma: </w:t>
      </w:r>
      <w:r w:rsidR="006241DC" w:rsidRPr="002A782A">
        <w:rPr>
          <w:b/>
        </w:rPr>
        <w:t xml:space="preserve"> </w:t>
      </w:r>
    </w:p>
    <w:p w:rsidR="00B30245" w:rsidRPr="00B30245" w:rsidRDefault="00B30245" w:rsidP="00E912C1">
      <w:pPr>
        <w:rPr>
          <w:rFonts w:ascii="Bookman Old Style" w:hAnsi="Bookman Old Style"/>
        </w:rPr>
      </w:pPr>
    </w:p>
    <w:p w:rsidR="00203634" w:rsidRPr="00B30245" w:rsidRDefault="00203634" w:rsidP="00E912C1">
      <w:pPr>
        <w:jc w:val="both"/>
        <w:rPr>
          <w:rFonts w:ascii="Bookman Old Style" w:hAnsi="Bookman Old Style"/>
        </w:rPr>
      </w:pPr>
      <w:r w:rsidRPr="00B30245">
        <w:rPr>
          <w:rFonts w:ascii="Bookman Old Style" w:hAnsi="Bookman Old Style"/>
          <w:b/>
        </w:rPr>
        <w:t>Artículo 30. Modalidades de contratos permitidos.</w:t>
      </w:r>
      <w:r w:rsidRPr="00B30245">
        <w:rPr>
          <w:rFonts w:ascii="Bookman Old Style" w:hAnsi="Bookman Old Style"/>
        </w:rPr>
        <w:t xml:space="preserve"> En el mercado secundario sólo podrán pactarse las siguientes modalidades de contratos:</w:t>
      </w:r>
      <w:bookmarkEnd w:id="4"/>
    </w:p>
    <w:p w:rsidR="00203634" w:rsidRPr="00203634" w:rsidRDefault="00203634" w:rsidP="00E912C1">
      <w:pPr>
        <w:pStyle w:val="ARTICULOS"/>
        <w:numPr>
          <w:ilvl w:val="0"/>
          <w:numId w:val="0"/>
        </w:numPr>
        <w:ind w:left="708"/>
        <w:rPr>
          <w:rFonts w:cs="Arial"/>
          <w:color w:val="000000"/>
          <w:lang w:val="es-ES"/>
        </w:rPr>
      </w:pPr>
    </w:p>
    <w:p w:rsidR="00203634" w:rsidRPr="00203634" w:rsidRDefault="00203634" w:rsidP="003A5A17">
      <w:pPr>
        <w:pStyle w:val="ARTICULOS"/>
        <w:numPr>
          <w:ilvl w:val="1"/>
          <w:numId w:val="4"/>
        </w:numPr>
        <w:ind w:left="1134" w:hanging="567"/>
        <w:rPr>
          <w:color w:val="000000"/>
          <w:lang w:val="es-ES"/>
        </w:rPr>
      </w:pPr>
      <w:bookmarkStart w:id="5" w:name="_Ref334537212"/>
      <w:r w:rsidRPr="00203634">
        <w:rPr>
          <w:color w:val="000000"/>
          <w:lang w:val="es-ES"/>
        </w:rPr>
        <w:t>Contrato firme o que garantiza firmeza.</w:t>
      </w:r>
      <w:bookmarkEnd w:id="5"/>
    </w:p>
    <w:p w:rsidR="00203634" w:rsidRPr="00147CBF" w:rsidRDefault="00203634" w:rsidP="00607678">
      <w:pPr>
        <w:pStyle w:val="ARTICULOS"/>
        <w:numPr>
          <w:ilvl w:val="0"/>
          <w:numId w:val="0"/>
        </w:numPr>
        <w:ind w:left="1134"/>
        <w:rPr>
          <w:color w:val="000000"/>
          <w:sz w:val="18"/>
          <w:lang w:val="es-ES"/>
        </w:rPr>
      </w:pPr>
    </w:p>
    <w:p w:rsidR="00203634" w:rsidRDefault="00203634" w:rsidP="003A5A17">
      <w:pPr>
        <w:pStyle w:val="ARTICULOS"/>
        <w:numPr>
          <w:ilvl w:val="1"/>
          <w:numId w:val="4"/>
        </w:numPr>
        <w:ind w:left="1134" w:hanging="567"/>
        <w:rPr>
          <w:color w:val="000000"/>
          <w:lang w:val="es-ES"/>
        </w:rPr>
      </w:pPr>
      <w:bookmarkStart w:id="6" w:name="_Ref334537216"/>
      <w:r w:rsidRPr="00203634">
        <w:rPr>
          <w:color w:val="000000"/>
          <w:lang w:val="es-ES"/>
        </w:rPr>
        <w:t>Contrato de suministro con firmeza condicionada.</w:t>
      </w:r>
      <w:bookmarkEnd w:id="6"/>
    </w:p>
    <w:p w:rsidR="00203634" w:rsidRPr="00147CBF" w:rsidRDefault="00203634" w:rsidP="00607678">
      <w:pPr>
        <w:pStyle w:val="Prrafodelista"/>
        <w:ind w:left="1134"/>
        <w:rPr>
          <w:color w:val="000000"/>
          <w:sz w:val="16"/>
          <w:lang w:val="es-ES"/>
        </w:rPr>
      </w:pPr>
    </w:p>
    <w:p w:rsidR="00203634" w:rsidRPr="00203634" w:rsidRDefault="00203634" w:rsidP="003A5A17">
      <w:pPr>
        <w:pStyle w:val="ARTICULOS"/>
        <w:numPr>
          <w:ilvl w:val="1"/>
          <w:numId w:val="4"/>
        </w:numPr>
        <w:ind w:left="1134" w:hanging="567"/>
        <w:rPr>
          <w:color w:val="000000"/>
          <w:lang w:val="es-ES"/>
        </w:rPr>
      </w:pPr>
      <w:r>
        <w:rPr>
          <w:color w:val="000000"/>
          <w:lang w:val="es-ES"/>
        </w:rPr>
        <w:t xml:space="preserve">Contrato de transporte con firmeza condicionada. </w:t>
      </w:r>
    </w:p>
    <w:p w:rsidR="00203634" w:rsidRPr="00147CBF" w:rsidRDefault="00203634" w:rsidP="00607678">
      <w:pPr>
        <w:pStyle w:val="ARTICULOS"/>
        <w:numPr>
          <w:ilvl w:val="0"/>
          <w:numId w:val="0"/>
        </w:numPr>
        <w:ind w:left="1134"/>
        <w:rPr>
          <w:color w:val="000000"/>
          <w:sz w:val="20"/>
          <w:lang w:val="es-ES"/>
        </w:rPr>
      </w:pPr>
    </w:p>
    <w:p w:rsidR="00203634" w:rsidRPr="00203634" w:rsidRDefault="00203634" w:rsidP="003A5A17">
      <w:pPr>
        <w:pStyle w:val="ARTICULOS"/>
        <w:numPr>
          <w:ilvl w:val="1"/>
          <w:numId w:val="4"/>
        </w:numPr>
        <w:ind w:left="1134" w:hanging="567"/>
        <w:rPr>
          <w:color w:val="000000"/>
          <w:lang w:val="es-ES"/>
        </w:rPr>
      </w:pPr>
      <w:r w:rsidRPr="00203634">
        <w:rPr>
          <w:color w:val="000000"/>
          <w:lang w:val="es-ES"/>
        </w:rPr>
        <w:t>Contrato de opción de compra de gas.</w:t>
      </w:r>
    </w:p>
    <w:p w:rsidR="00203634" w:rsidRPr="00147CBF" w:rsidRDefault="00203634" w:rsidP="00607678">
      <w:pPr>
        <w:pStyle w:val="ARTICULOS"/>
        <w:numPr>
          <w:ilvl w:val="0"/>
          <w:numId w:val="0"/>
        </w:numPr>
        <w:ind w:left="1134"/>
        <w:rPr>
          <w:color w:val="000000"/>
          <w:sz w:val="20"/>
          <w:lang w:val="es-ES"/>
        </w:rPr>
      </w:pPr>
    </w:p>
    <w:p w:rsidR="00203634" w:rsidRPr="00203634" w:rsidRDefault="00203634" w:rsidP="003A5A17">
      <w:pPr>
        <w:pStyle w:val="ARTICULOS"/>
        <w:numPr>
          <w:ilvl w:val="1"/>
          <w:numId w:val="4"/>
        </w:numPr>
        <w:ind w:left="1134" w:hanging="567"/>
        <w:rPr>
          <w:color w:val="000000"/>
          <w:lang w:val="es-ES"/>
        </w:rPr>
      </w:pPr>
      <w:bookmarkStart w:id="7" w:name="_Ref334537222"/>
      <w:r w:rsidRPr="00203634">
        <w:rPr>
          <w:color w:val="000000"/>
          <w:lang w:val="es-ES"/>
        </w:rPr>
        <w:t>Contrato de opción de compra de gas contra exportaciones.</w:t>
      </w:r>
    </w:p>
    <w:p w:rsidR="00203634" w:rsidRPr="00147CBF" w:rsidRDefault="00203634" w:rsidP="00607678">
      <w:pPr>
        <w:pStyle w:val="ARTICULOS"/>
        <w:numPr>
          <w:ilvl w:val="0"/>
          <w:numId w:val="0"/>
        </w:numPr>
        <w:ind w:left="1134"/>
        <w:rPr>
          <w:color w:val="000000"/>
          <w:sz w:val="20"/>
          <w:lang w:val="es-ES"/>
        </w:rPr>
      </w:pPr>
    </w:p>
    <w:p w:rsidR="00203634" w:rsidRPr="00203634" w:rsidRDefault="00203634" w:rsidP="003A5A17">
      <w:pPr>
        <w:pStyle w:val="ARTICULOS"/>
        <w:numPr>
          <w:ilvl w:val="1"/>
          <w:numId w:val="4"/>
        </w:numPr>
        <w:ind w:left="1134" w:hanging="567"/>
        <w:rPr>
          <w:color w:val="000000"/>
          <w:lang w:val="es-ES"/>
        </w:rPr>
      </w:pPr>
      <w:r w:rsidRPr="00203634">
        <w:rPr>
          <w:color w:val="000000"/>
          <w:lang w:val="es-ES"/>
        </w:rPr>
        <w:t>Contrato de opción de compra de transporte.</w:t>
      </w:r>
      <w:bookmarkEnd w:id="7"/>
    </w:p>
    <w:p w:rsidR="00203634" w:rsidRPr="00147CBF" w:rsidRDefault="00203634" w:rsidP="00607678">
      <w:pPr>
        <w:pStyle w:val="ARTICULOS"/>
        <w:numPr>
          <w:ilvl w:val="0"/>
          <w:numId w:val="0"/>
        </w:numPr>
        <w:ind w:left="1134"/>
        <w:rPr>
          <w:color w:val="000000"/>
          <w:sz w:val="20"/>
          <w:lang w:val="es-ES"/>
        </w:rPr>
      </w:pPr>
    </w:p>
    <w:p w:rsidR="00203634" w:rsidRPr="00203634" w:rsidRDefault="00203634" w:rsidP="003A5A17">
      <w:pPr>
        <w:pStyle w:val="ARTICULOS"/>
        <w:numPr>
          <w:ilvl w:val="1"/>
          <w:numId w:val="4"/>
        </w:numPr>
        <w:ind w:left="1134" w:hanging="567"/>
        <w:rPr>
          <w:color w:val="000000"/>
          <w:lang w:val="es-ES"/>
        </w:rPr>
      </w:pPr>
      <w:r w:rsidRPr="00203634">
        <w:rPr>
          <w:color w:val="000000"/>
          <w:lang w:val="es-ES"/>
        </w:rPr>
        <w:t>Contrato de suministro de contingencia.</w:t>
      </w:r>
    </w:p>
    <w:p w:rsidR="00203634" w:rsidRPr="00147CBF" w:rsidRDefault="00203634" w:rsidP="00607678">
      <w:pPr>
        <w:pStyle w:val="ARTICULOS"/>
        <w:numPr>
          <w:ilvl w:val="0"/>
          <w:numId w:val="0"/>
        </w:numPr>
        <w:ind w:left="1134"/>
        <w:rPr>
          <w:color w:val="000000"/>
          <w:sz w:val="20"/>
          <w:lang w:val="es-ES"/>
        </w:rPr>
      </w:pPr>
    </w:p>
    <w:p w:rsidR="00203634" w:rsidRPr="00203634" w:rsidRDefault="00203634" w:rsidP="003A5A17">
      <w:pPr>
        <w:pStyle w:val="ARTICULOS"/>
        <w:numPr>
          <w:ilvl w:val="1"/>
          <w:numId w:val="4"/>
        </w:numPr>
        <w:ind w:left="1134" w:hanging="567"/>
        <w:rPr>
          <w:color w:val="000000"/>
          <w:lang w:val="es-ES"/>
        </w:rPr>
      </w:pPr>
      <w:r w:rsidRPr="00203634">
        <w:rPr>
          <w:color w:val="000000"/>
          <w:lang w:val="es-ES"/>
        </w:rPr>
        <w:t>Contrato de transporte de contingencia.</w:t>
      </w:r>
    </w:p>
    <w:p w:rsidR="00203634" w:rsidRPr="00203634" w:rsidRDefault="00203634" w:rsidP="00607678">
      <w:pPr>
        <w:pStyle w:val="ARTICULOS"/>
        <w:numPr>
          <w:ilvl w:val="0"/>
          <w:numId w:val="0"/>
        </w:numPr>
        <w:ind w:left="1134"/>
        <w:rPr>
          <w:color w:val="000000"/>
          <w:lang w:val="es-ES"/>
        </w:rPr>
      </w:pPr>
    </w:p>
    <w:p w:rsidR="00203634" w:rsidRPr="00203634" w:rsidRDefault="00203634" w:rsidP="003A5A17">
      <w:pPr>
        <w:pStyle w:val="ARTICULOS"/>
        <w:numPr>
          <w:ilvl w:val="1"/>
          <w:numId w:val="4"/>
        </w:numPr>
        <w:ind w:left="1134" w:hanging="567"/>
        <w:rPr>
          <w:color w:val="000000"/>
          <w:lang w:val="es-ES"/>
        </w:rPr>
      </w:pPr>
      <w:r w:rsidRPr="00203634">
        <w:rPr>
          <w:color w:val="000000"/>
          <w:lang w:val="es-ES"/>
        </w:rPr>
        <w:t>Contrato con interrupciones.</w:t>
      </w:r>
    </w:p>
    <w:p w:rsidR="00203634" w:rsidRPr="00147CBF" w:rsidRDefault="00203634" w:rsidP="00E912C1">
      <w:pPr>
        <w:pStyle w:val="ARTICULOS"/>
        <w:numPr>
          <w:ilvl w:val="0"/>
          <w:numId w:val="0"/>
        </w:numPr>
        <w:ind w:left="708"/>
        <w:rPr>
          <w:color w:val="000000"/>
          <w:sz w:val="20"/>
          <w:lang w:val="es-ES"/>
        </w:rPr>
      </w:pPr>
    </w:p>
    <w:p w:rsidR="00203634" w:rsidRPr="00203634" w:rsidRDefault="00203634" w:rsidP="00607678">
      <w:pPr>
        <w:pStyle w:val="ARTICULOS"/>
        <w:numPr>
          <w:ilvl w:val="0"/>
          <w:numId w:val="0"/>
        </w:numPr>
        <w:tabs>
          <w:tab w:val="clear" w:pos="1559"/>
        </w:tabs>
        <w:ind w:left="567"/>
        <w:rPr>
          <w:rFonts w:cs="Arial"/>
          <w:color w:val="000000"/>
          <w:lang w:val="es-ES"/>
        </w:rPr>
      </w:pPr>
      <w:r w:rsidRPr="00203634">
        <w:rPr>
          <w:rFonts w:cs="Arial"/>
          <w:color w:val="000000"/>
          <w:lang w:val="es-ES"/>
        </w:rPr>
        <w:t xml:space="preserve">Con excepción de los contratos con interrupciones, los contratos señalados en este artículo deberán cumplir las condiciones establecidas en los </w:t>
      </w:r>
      <w:r w:rsidRPr="00B93874">
        <w:rPr>
          <w:rFonts w:cs="Arial"/>
          <w:color w:val="000000"/>
          <w:lang w:val="es-ES"/>
        </w:rPr>
        <w:t xml:space="preserve">Artículos 11, </w:t>
      </w:r>
      <w:r w:rsidRPr="00F46F9E">
        <w:rPr>
          <w:rFonts w:cs="Arial"/>
          <w:color w:val="000000"/>
          <w:lang w:val="es-ES"/>
        </w:rPr>
        <w:t xml:space="preserve">12, 13, 14, 15, </w:t>
      </w:r>
      <w:r w:rsidRPr="00A96FD8">
        <w:rPr>
          <w:rFonts w:cs="Arial"/>
          <w:color w:val="000000"/>
          <w:lang w:val="es-ES"/>
        </w:rPr>
        <w:t>31 y 32</w:t>
      </w:r>
      <w:r>
        <w:rPr>
          <w:rFonts w:cs="Arial"/>
          <w:color w:val="000000"/>
          <w:lang w:val="es-ES"/>
        </w:rPr>
        <w:t xml:space="preserve"> </w:t>
      </w:r>
      <w:r w:rsidRPr="00203634">
        <w:rPr>
          <w:rFonts w:cs="Arial"/>
          <w:color w:val="000000"/>
          <w:lang w:val="es-ES"/>
        </w:rPr>
        <w:t>de esta Resolución.</w:t>
      </w:r>
    </w:p>
    <w:p w:rsidR="00203634" w:rsidRPr="00203634" w:rsidRDefault="00203634" w:rsidP="00607678">
      <w:pPr>
        <w:pStyle w:val="ARTICULOS"/>
        <w:numPr>
          <w:ilvl w:val="0"/>
          <w:numId w:val="0"/>
        </w:numPr>
        <w:tabs>
          <w:tab w:val="clear" w:pos="1559"/>
        </w:tabs>
        <w:ind w:left="567"/>
        <w:rPr>
          <w:rFonts w:cs="Arial"/>
          <w:color w:val="000000"/>
          <w:lang w:val="es-ES"/>
        </w:rPr>
      </w:pPr>
    </w:p>
    <w:p w:rsidR="00203634" w:rsidRPr="00203634" w:rsidRDefault="00203634" w:rsidP="00607678">
      <w:pPr>
        <w:pStyle w:val="ARTICULOS"/>
        <w:numPr>
          <w:ilvl w:val="0"/>
          <w:numId w:val="0"/>
        </w:numPr>
        <w:tabs>
          <w:tab w:val="clear" w:pos="1559"/>
        </w:tabs>
        <w:ind w:left="567"/>
        <w:rPr>
          <w:rFonts w:cs="Arial"/>
          <w:color w:val="000000"/>
          <w:lang w:val="es-ES"/>
        </w:rPr>
      </w:pPr>
      <w:r w:rsidRPr="00203634">
        <w:rPr>
          <w:rFonts w:cs="Arial"/>
          <w:b/>
          <w:color w:val="000000"/>
          <w:lang w:val="es-ES"/>
        </w:rPr>
        <w:t>Parágrafo 1.</w:t>
      </w:r>
      <w:r w:rsidRPr="00203634">
        <w:rPr>
          <w:rFonts w:cs="Arial"/>
          <w:color w:val="000000"/>
          <w:lang w:val="es-ES"/>
        </w:rPr>
        <w:t xml:space="preserve"> Los contratos del mercado secundario que estén en vigor a la entrada en vigencia de la presente Resolución, continuarán rigiendo hasta la fecha de terminación pactada en los mismos. Sin embargo, las partes no podrán prorrogar su vigencia.</w:t>
      </w:r>
    </w:p>
    <w:p w:rsidR="00203634" w:rsidRPr="00203634" w:rsidRDefault="00203634" w:rsidP="00607678">
      <w:pPr>
        <w:pStyle w:val="ARTICULOS"/>
        <w:numPr>
          <w:ilvl w:val="0"/>
          <w:numId w:val="0"/>
        </w:numPr>
        <w:tabs>
          <w:tab w:val="clear" w:pos="1559"/>
        </w:tabs>
        <w:ind w:left="567"/>
        <w:rPr>
          <w:rFonts w:cs="Arial"/>
          <w:color w:val="000000"/>
          <w:sz w:val="22"/>
          <w:lang w:val="es-ES"/>
        </w:rPr>
      </w:pPr>
    </w:p>
    <w:p w:rsidR="00203634" w:rsidRPr="00203634" w:rsidRDefault="00203634" w:rsidP="00607678">
      <w:pPr>
        <w:pStyle w:val="ARTICULOS"/>
        <w:numPr>
          <w:ilvl w:val="0"/>
          <w:numId w:val="0"/>
        </w:numPr>
        <w:tabs>
          <w:tab w:val="clear" w:pos="1559"/>
        </w:tabs>
        <w:ind w:left="567"/>
        <w:rPr>
          <w:rFonts w:cs="Arial"/>
          <w:color w:val="000000"/>
          <w:lang w:val="es-ES"/>
        </w:rPr>
      </w:pPr>
      <w:r w:rsidRPr="00203634">
        <w:rPr>
          <w:rFonts w:cs="Arial"/>
          <w:b/>
          <w:color w:val="000000"/>
          <w:lang w:val="es-ES"/>
        </w:rPr>
        <w:t xml:space="preserve">Parágrafo 2. </w:t>
      </w:r>
      <w:r w:rsidRPr="00203634">
        <w:rPr>
          <w:rFonts w:cs="Arial"/>
          <w:color w:val="000000"/>
          <w:lang w:val="es-ES"/>
        </w:rPr>
        <w:t xml:space="preserve">Todos los contratos del mercado secundario serán de entrega física. </w:t>
      </w:r>
    </w:p>
    <w:p w:rsidR="00203634" w:rsidRPr="00203634" w:rsidRDefault="00203634" w:rsidP="00607678">
      <w:pPr>
        <w:pStyle w:val="ARTICULOS"/>
        <w:numPr>
          <w:ilvl w:val="0"/>
          <w:numId w:val="0"/>
        </w:numPr>
        <w:tabs>
          <w:tab w:val="clear" w:pos="1559"/>
        </w:tabs>
        <w:ind w:left="567"/>
        <w:rPr>
          <w:rFonts w:cs="Arial"/>
          <w:b/>
          <w:color w:val="000000"/>
          <w:sz w:val="22"/>
          <w:lang w:val="es-ES"/>
        </w:rPr>
      </w:pPr>
    </w:p>
    <w:p w:rsidR="00203634" w:rsidRPr="00203634" w:rsidRDefault="00203634" w:rsidP="00607678">
      <w:pPr>
        <w:pStyle w:val="ARTICULOS"/>
        <w:numPr>
          <w:ilvl w:val="0"/>
          <w:numId w:val="0"/>
        </w:numPr>
        <w:tabs>
          <w:tab w:val="clear" w:pos="1559"/>
        </w:tabs>
        <w:ind w:left="567"/>
        <w:rPr>
          <w:rFonts w:cs="Arial"/>
          <w:color w:val="000000"/>
          <w:lang w:val="es-ES"/>
        </w:rPr>
      </w:pPr>
      <w:r w:rsidRPr="00203634">
        <w:rPr>
          <w:rFonts w:cs="Arial"/>
          <w:b/>
          <w:color w:val="000000"/>
          <w:lang w:val="es-ES"/>
        </w:rPr>
        <w:t xml:space="preserve">Parágrafo 3. </w:t>
      </w:r>
      <w:r w:rsidRPr="00203634">
        <w:rPr>
          <w:rFonts w:cs="Arial"/>
          <w:color w:val="000000"/>
          <w:lang w:val="es-ES"/>
        </w:rPr>
        <w:t xml:space="preserve">Cada contrato que se suscriba en el mercado secundario sólo podrá adoptar una de las modalidades contractuales establecidas en este artículo y no podrá contrariar, en forma alguna, la definición establecida en el </w:t>
      </w:r>
      <w:r w:rsidR="00A96FD8">
        <w:rPr>
          <w:rFonts w:cs="Arial"/>
          <w:color w:val="000000"/>
          <w:lang w:val="es-ES"/>
        </w:rPr>
        <w:t xml:space="preserve">Artículo 3 </w:t>
      </w:r>
      <w:r w:rsidRPr="00203634">
        <w:rPr>
          <w:rFonts w:cs="Arial"/>
          <w:color w:val="000000"/>
          <w:lang w:val="es-ES"/>
        </w:rPr>
        <w:t>de la presente Resolución para la respectiva modalidad contractual. Dicha definición deberá estar en el objeto del contrato, así como en sus cláusulas, según su modalidad.</w:t>
      </w:r>
    </w:p>
    <w:p w:rsidR="00203634" w:rsidRPr="00203634" w:rsidRDefault="00203634" w:rsidP="00607678">
      <w:pPr>
        <w:pStyle w:val="ARTICULOS"/>
        <w:numPr>
          <w:ilvl w:val="0"/>
          <w:numId w:val="0"/>
        </w:numPr>
        <w:tabs>
          <w:tab w:val="clear" w:pos="1559"/>
        </w:tabs>
        <w:ind w:left="567"/>
        <w:rPr>
          <w:rFonts w:cs="Arial"/>
          <w:color w:val="000000"/>
          <w:sz w:val="22"/>
          <w:lang w:val="es-ES"/>
        </w:rPr>
      </w:pPr>
    </w:p>
    <w:p w:rsidR="00203634" w:rsidRPr="00203634" w:rsidRDefault="00203634" w:rsidP="00607678">
      <w:pPr>
        <w:pStyle w:val="ARTICULOS"/>
        <w:numPr>
          <w:ilvl w:val="0"/>
          <w:numId w:val="0"/>
        </w:numPr>
        <w:tabs>
          <w:tab w:val="clear" w:pos="1559"/>
        </w:tabs>
        <w:ind w:left="567"/>
        <w:rPr>
          <w:rFonts w:cs="Arial"/>
          <w:color w:val="000000"/>
        </w:rPr>
      </w:pPr>
      <w:r w:rsidRPr="00203634">
        <w:rPr>
          <w:rFonts w:cs="Arial"/>
          <w:b/>
          <w:color w:val="000000"/>
          <w:lang w:val="es-ES"/>
        </w:rPr>
        <w:t>Parágrafo 4.</w:t>
      </w:r>
      <w:r w:rsidRPr="00203634">
        <w:rPr>
          <w:rFonts w:cs="Arial"/>
          <w:color w:val="000000"/>
          <w:lang w:val="es-ES"/>
        </w:rPr>
        <w:t xml:space="preserve"> </w:t>
      </w:r>
      <w:r w:rsidRPr="00203634">
        <w:rPr>
          <w:rFonts w:cs="Bookman Old Style"/>
          <w:bCs w:val="0"/>
          <w:color w:val="000000"/>
          <w:lang w:val="es-CO" w:eastAsia="es-CO"/>
        </w:rPr>
        <w:t>En las negociaciones de capacidad de transporte que se realicen en el mercado secundario, el remitente cesionario, el remitente secundario o el remitente de corto plazo, según corresponda, se acogerá al acuerdo de balance adoptado entre el remitente primario y el transportador.</w:t>
      </w:r>
    </w:p>
    <w:p w:rsidR="00203634" w:rsidRPr="00203634" w:rsidRDefault="00203634" w:rsidP="00607678">
      <w:pPr>
        <w:pStyle w:val="ARTICULOS"/>
        <w:numPr>
          <w:ilvl w:val="0"/>
          <w:numId w:val="0"/>
        </w:numPr>
        <w:tabs>
          <w:tab w:val="clear" w:pos="1559"/>
        </w:tabs>
        <w:ind w:left="567"/>
        <w:rPr>
          <w:rFonts w:cs="Arial"/>
          <w:color w:val="000000"/>
          <w:sz w:val="22"/>
        </w:rPr>
      </w:pPr>
    </w:p>
    <w:p w:rsidR="00203634" w:rsidRPr="00203634" w:rsidRDefault="00203634" w:rsidP="00607678">
      <w:pPr>
        <w:pStyle w:val="ARTICULOS"/>
        <w:numPr>
          <w:ilvl w:val="0"/>
          <w:numId w:val="0"/>
        </w:numPr>
        <w:tabs>
          <w:tab w:val="clear" w:pos="1559"/>
        </w:tabs>
        <w:ind w:left="567"/>
        <w:rPr>
          <w:rFonts w:cs="Arial"/>
          <w:color w:val="000000"/>
          <w:lang w:val="es-ES"/>
        </w:rPr>
      </w:pPr>
      <w:r w:rsidRPr="00B30245">
        <w:rPr>
          <w:rFonts w:cs="Arial"/>
          <w:b/>
          <w:color w:val="000000"/>
          <w:lang w:val="es-ES"/>
        </w:rPr>
        <w:t>Parágrafo 5.</w:t>
      </w:r>
      <w:r w:rsidRPr="00B30245">
        <w:rPr>
          <w:rFonts w:cs="Arial"/>
          <w:color w:val="000000"/>
          <w:lang w:val="es-ES"/>
        </w:rPr>
        <w:t xml:space="preserve"> Con excepción de los contratos con interrupciones, durante la vigencia de los contratos señalados en este artículo, las obligaciones de dichos contratos se considerarán permanentes y por el 100% del gas natural o de la capacidad contratada.</w:t>
      </w:r>
    </w:p>
    <w:p w:rsidR="00203634" w:rsidRPr="00203634" w:rsidRDefault="00203634" w:rsidP="00607678">
      <w:pPr>
        <w:pStyle w:val="ARTICULOS"/>
        <w:numPr>
          <w:ilvl w:val="0"/>
          <w:numId w:val="0"/>
        </w:numPr>
        <w:tabs>
          <w:tab w:val="clear" w:pos="1559"/>
        </w:tabs>
        <w:ind w:left="567"/>
        <w:rPr>
          <w:rFonts w:cs="Arial"/>
          <w:color w:val="000000"/>
          <w:sz w:val="22"/>
          <w:lang w:val="es-ES"/>
        </w:rPr>
      </w:pPr>
    </w:p>
    <w:p w:rsidR="00203634" w:rsidRPr="00203634" w:rsidRDefault="00203634" w:rsidP="00607678">
      <w:pPr>
        <w:pStyle w:val="ARTICULOS"/>
        <w:numPr>
          <w:ilvl w:val="0"/>
          <w:numId w:val="0"/>
        </w:numPr>
        <w:tabs>
          <w:tab w:val="clear" w:pos="1559"/>
        </w:tabs>
        <w:ind w:left="567"/>
        <w:rPr>
          <w:rFonts w:cs="Arial"/>
          <w:color w:val="000000"/>
          <w:lang w:val="es-ES"/>
        </w:rPr>
      </w:pPr>
      <w:r w:rsidRPr="00203634">
        <w:rPr>
          <w:rFonts w:cs="Arial"/>
          <w:b/>
          <w:color w:val="000000"/>
          <w:lang w:val="es-ES"/>
        </w:rPr>
        <w:t>Parágrafo 6.</w:t>
      </w:r>
      <w:r w:rsidRPr="00203634">
        <w:rPr>
          <w:rFonts w:cs="Arial"/>
          <w:color w:val="000000"/>
          <w:lang w:val="es-ES"/>
        </w:rPr>
        <w:t xml:space="preserve"> La duración permisible para suspensiones del servicio por labores programadas para reparaciones técnicas o mantenimientos periódicos serán las acordadas por las partes del contrato, sin que se superen las duraciones establecidas en </w:t>
      </w:r>
      <w:r w:rsidR="00A96FD8">
        <w:rPr>
          <w:rFonts w:cs="Arial"/>
          <w:color w:val="000000"/>
          <w:lang w:val="es-ES"/>
        </w:rPr>
        <w:t xml:space="preserve">Artículo 13 </w:t>
      </w:r>
      <w:r w:rsidRPr="00203634">
        <w:rPr>
          <w:rFonts w:cs="Arial"/>
          <w:color w:val="000000"/>
          <w:lang w:val="es-ES"/>
        </w:rPr>
        <w:t>de esta Resolución.</w:t>
      </w:r>
    </w:p>
    <w:p w:rsidR="00203634" w:rsidRDefault="00203634" w:rsidP="00E912C1">
      <w:pPr>
        <w:ind w:left="0"/>
        <w:rPr>
          <w:rFonts w:ascii="Bookman Old Style" w:hAnsi="Bookman Old Style"/>
        </w:rPr>
      </w:pPr>
    </w:p>
    <w:p w:rsidR="00B30245" w:rsidRDefault="00B30245" w:rsidP="00E912C1">
      <w:pPr>
        <w:pStyle w:val="ARTICULOS"/>
        <w:numPr>
          <w:ilvl w:val="0"/>
          <w:numId w:val="0"/>
        </w:numPr>
        <w:outlineLvl w:val="0"/>
        <w:rPr>
          <w:b/>
        </w:rPr>
      </w:pPr>
      <w:bookmarkStart w:id="8" w:name="_Ref327342457"/>
      <w:bookmarkStart w:id="9" w:name="_Ref329183053"/>
      <w:bookmarkStart w:id="10" w:name="_Ref330310537"/>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5</w:t>
      </w:r>
      <w:r w:rsidRPr="00B30245">
        <w:rPr>
          <w:b/>
        </w:rPr>
        <w:fldChar w:fldCharType="end"/>
      </w:r>
      <w:r>
        <w:rPr>
          <w:b/>
        </w:rPr>
        <w:t xml:space="preserve">. </w:t>
      </w:r>
      <w:r w:rsidR="006241DC">
        <w:t>Modifíquese el artículo 31 de la Resoluci</w:t>
      </w:r>
      <w:r w:rsidR="006241DC">
        <w:rPr>
          <w:lang w:val="es-CO"/>
        </w:rPr>
        <w:t xml:space="preserve">ón CREG 114 de 2017 de la siguiente forma: </w:t>
      </w:r>
      <w:r w:rsidR="006241DC" w:rsidRPr="002A782A">
        <w:rPr>
          <w:b/>
        </w:rPr>
        <w:t xml:space="preserve"> </w:t>
      </w:r>
    </w:p>
    <w:p w:rsidR="00B30245" w:rsidRPr="00B30245" w:rsidRDefault="00B30245" w:rsidP="00E912C1">
      <w:pPr>
        <w:jc w:val="both"/>
        <w:rPr>
          <w:rFonts w:ascii="Bookman Old Style" w:hAnsi="Bookman Old Style"/>
        </w:rPr>
      </w:pPr>
    </w:p>
    <w:p w:rsidR="00300BB9" w:rsidRDefault="00841F49" w:rsidP="00E912C1">
      <w:pPr>
        <w:jc w:val="both"/>
        <w:rPr>
          <w:rFonts w:ascii="Bookman Old Style" w:hAnsi="Bookman Old Style"/>
          <w:bCs/>
          <w:color w:val="000000"/>
          <w:lang w:eastAsia="x-none"/>
        </w:rPr>
      </w:pPr>
      <w:r w:rsidRPr="00B30245">
        <w:rPr>
          <w:rFonts w:ascii="Bookman Old Style" w:hAnsi="Bookman Old Style" w:cs="Arial"/>
          <w:b/>
          <w:color w:val="000000"/>
        </w:rPr>
        <w:t xml:space="preserve">Artículo 31. Duración </w:t>
      </w:r>
      <w:bookmarkEnd w:id="8"/>
      <w:r w:rsidRPr="00B30245">
        <w:rPr>
          <w:rFonts w:ascii="Bookman Old Style" w:hAnsi="Bookman Old Style" w:cs="Arial"/>
          <w:b/>
          <w:color w:val="000000"/>
        </w:rPr>
        <w:t>de los contratos</w:t>
      </w:r>
      <w:bookmarkEnd w:id="9"/>
      <w:r w:rsidRPr="00B30245">
        <w:rPr>
          <w:rFonts w:ascii="Bookman Old Style" w:hAnsi="Bookman Old Style" w:cs="Arial"/>
          <w:b/>
          <w:color w:val="000000"/>
        </w:rPr>
        <w:t>.</w:t>
      </w:r>
      <w:r w:rsidRPr="00B30245">
        <w:rPr>
          <w:rFonts w:ascii="Bookman Old Style" w:hAnsi="Bookman Old Style" w:cs="Arial"/>
          <w:color w:val="000000"/>
        </w:rPr>
        <w:t xml:space="preserve"> </w:t>
      </w:r>
      <w:r w:rsidRPr="0054237D">
        <w:rPr>
          <w:rFonts w:ascii="Bookman Old Style" w:hAnsi="Bookman Old Style"/>
          <w:bCs/>
          <w:color w:val="000000"/>
          <w:lang w:eastAsia="x-none"/>
        </w:rPr>
        <w:t xml:space="preserve">Los contratos que se pacten en el mercado secundario </w:t>
      </w:r>
      <w:r w:rsidR="00300BB9">
        <w:rPr>
          <w:rFonts w:ascii="Bookman Old Style" w:hAnsi="Bookman Old Style"/>
          <w:bCs/>
          <w:color w:val="000000"/>
          <w:lang w:eastAsia="x-none"/>
        </w:rPr>
        <w:t xml:space="preserve">podrán tener </w:t>
      </w:r>
      <w:r w:rsidR="002204A4">
        <w:rPr>
          <w:rFonts w:ascii="Bookman Old Style" w:hAnsi="Bookman Old Style"/>
          <w:bCs/>
          <w:color w:val="000000"/>
          <w:lang w:eastAsia="x-none"/>
        </w:rPr>
        <w:t>la duración que acuerden las partes</w:t>
      </w:r>
      <w:r w:rsidR="00300BB9">
        <w:rPr>
          <w:rFonts w:ascii="Bookman Old Style" w:hAnsi="Bookman Old Style"/>
          <w:bCs/>
          <w:color w:val="000000"/>
          <w:lang w:eastAsia="x-none"/>
        </w:rPr>
        <w:t xml:space="preserve"> siempre</w:t>
      </w:r>
      <w:r w:rsidR="002204A4">
        <w:rPr>
          <w:rFonts w:ascii="Bookman Old Style" w:hAnsi="Bookman Old Style"/>
          <w:bCs/>
          <w:color w:val="000000"/>
          <w:lang w:eastAsia="x-none"/>
        </w:rPr>
        <w:t xml:space="preserve"> y cuando la</w:t>
      </w:r>
      <w:r w:rsidR="002204A4" w:rsidRPr="002204A4">
        <w:rPr>
          <w:rFonts w:ascii="Bookman Old Style" w:hAnsi="Bookman Old Style"/>
          <w:bCs/>
          <w:color w:val="000000"/>
          <w:lang w:eastAsia="x-none"/>
        </w:rPr>
        <w:t xml:space="preserve"> fecha del suministro</w:t>
      </w:r>
      <w:r w:rsidR="002204A4">
        <w:rPr>
          <w:rFonts w:ascii="Bookman Old Style" w:hAnsi="Bookman Old Style"/>
          <w:bCs/>
          <w:color w:val="000000"/>
          <w:lang w:eastAsia="x-none"/>
        </w:rPr>
        <w:t xml:space="preserve"> inicie durante el año de gas en que se realizó </w:t>
      </w:r>
      <w:r w:rsidR="00771D1E">
        <w:rPr>
          <w:rFonts w:ascii="Bookman Old Style" w:hAnsi="Bookman Old Style"/>
          <w:bCs/>
          <w:color w:val="000000"/>
          <w:lang w:eastAsia="x-none"/>
        </w:rPr>
        <w:t>el registro del contrato</w:t>
      </w:r>
      <w:r w:rsidR="002204A4">
        <w:rPr>
          <w:rFonts w:ascii="Bookman Old Style" w:hAnsi="Bookman Old Style"/>
          <w:bCs/>
          <w:color w:val="000000"/>
          <w:lang w:eastAsia="x-none"/>
        </w:rPr>
        <w:t xml:space="preserve">. </w:t>
      </w:r>
    </w:p>
    <w:p w:rsidR="00300BB9" w:rsidRDefault="00300BB9" w:rsidP="00E912C1">
      <w:pPr>
        <w:jc w:val="both"/>
        <w:rPr>
          <w:rFonts w:ascii="Bookman Old Style" w:hAnsi="Bookman Old Style"/>
          <w:bCs/>
          <w:color w:val="000000"/>
          <w:lang w:eastAsia="x-none"/>
        </w:rPr>
      </w:pPr>
    </w:p>
    <w:bookmarkEnd w:id="10"/>
    <w:p w:rsidR="00841F49" w:rsidRPr="00841F49" w:rsidRDefault="00841F49" w:rsidP="00E912C1">
      <w:pPr>
        <w:jc w:val="both"/>
        <w:rPr>
          <w:rFonts w:ascii="Bookman Old Style" w:hAnsi="Bookman Old Style" w:cs="Arial"/>
          <w:color w:val="000000"/>
        </w:rPr>
      </w:pPr>
      <w:r w:rsidRPr="00841F49">
        <w:rPr>
          <w:rFonts w:ascii="Bookman Old Style" w:hAnsi="Bookman Old Style" w:cs="Arial"/>
          <w:b/>
          <w:color w:val="000000"/>
        </w:rPr>
        <w:t>Parágrafo.</w:t>
      </w:r>
      <w:r w:rsidRPr="00841F49">
        <w:rPr>
          <w:rFonts w:ascii="Bookman Old Style" w:hAnsi="Bookman Old Style" w:cs="Arial"/>
          <w:color w:val="000000"/>
        </w:rPr>
        <w:t xml:space="preserve"> Para efectos de la declaración de la información de que trata el numeral </w:t>
      </w:r>
      <w:r>
        <w:rPr>
          <w:rFonts w:ascii="Bookman Old Style" w:hAnsi="Bookman Old Style" w:cs="Arial"/>
          <w:color w:val="000000"/>
        </w:rPr>
        <w:t>2</w:t>
      </w:r>
      <w:r w:rsidRPr="00841F49">
        <w:rPr>
          <w:rFonts w:ascii="Bookman Old Style" w:hAnsi="Bookman Old Style" w:cs="Arial"/>
          <w:color w:val="000000"/>
        </w:rPr>
        <w:t xml:space="preserve"> del</w:t>
      </w:r>
      <w:r>
        <w:rPr>
          <w:rFonts w:ascii="Bookman Old Style" w:hAnsi="Bookman Old Style" w:cs="Arial"/>
          <w:color w:val="000000"/>
        </w:rPr>
        <w:t xml:space="preserve"> Anexo 2 </w:t>
      </w:r>
      <w:r w:rsidRPr="00841F49">
        <w:rPr>
          <w:rFonts w:ascii="Bookman Old Style" w:hAnsi="Bookman Old Style" w:cs="Arial"/>
          <w:color w:val="000000"/>
        </w:rPr>
        <w:t>de esta Resolución los vendedores y los compradores del mercado secundario deberán disponer de la evidencia escrita de los contratos a los que se hace referencia en este artículo.</w:t>
      </w:r>
    </w:p>
    <w:p w:rsidR="00841F49" w:rsidRPr="00841F49" w:rsidRDefault="00841F49" w:rsidP="00E912C1">
      <w:pPr>
        <w:ind w:left="0"/>
        <w:rPr>
          <w:rFonts w:ascii="Bookman Old Style" w:hAnsi="Bookman Old Style" w:cs="Arial"/>
          <w:color w:val="000000"/>
        </w:rPr>
      </w:pPr>
    </w:p>
    <w:p w:rsidR="0054237D" w:rsidRDefault="0054237D" w:rsidP="00E912C1">
      <w:pPr>
        <w:pStyle w:val="ARTICULOS"/>
        <w:numPr>
          <w:ilvl w:val="0"/>
          <w:numId w:val="0"/>
        </w:numPr>
        <w:outlineLvl w:val="0"/>
        <w:rPr>
          <w:b/>
        </w:rPr>
      </w:pPr>
      <w:bookmarkStart w:id="11" w:name="_Ref329189793"/>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6</w:t>
      </w:r>
      <w:r w:rsidRPr="00B30245">
        <w:rPr>
          <w:b/>
        </w:rPr>
        <w:fldChar w:fldCharType="end"/>
      </w:r>
      <w:r>
        <w:rPr>
          <w:b/>
        </w:rPr>
        <w:t xml:space="preserve">. </w:t>
      </w:r>
      <w:r w:rsidR="006241DC">
        <w:t>Modifíquese el artículo 32 de la Resoluci</w:t>
      </w:r>
      <w:r w:rsidR="006241DC">
        <w:rPr>
          <w:lang w:val="es-CO"/>
        </w:rPr>
        <w:t xml:space="preserve">ón CREG 114 de 2017 de la siguiente forma: </w:t>
      </w:r>
      <w:r w:rsidR="006241DC" w:rsidRPr="002A782A">
        <w:rPr>
          <w:b/>
        </w:rPr>
        <w:t xml:space="preserve"> </w:t>
      </w:r>
    </w:p>
    <w:p w:rsidR="0054237D" w:rsidRDefault="0054237D" w:rsidP="00E912C1"/>
    <w:p w:rsidR="00D5451F" w:rsidRDefault="00841F49" w:rsidP="00E912C1">
      <w:pPr>
        <w:jc w:val="both"/>
        <w:rPr>
          <w:rFonts w:ascii="Bookman Old Style" w:hAnsi="Bookman Old Style"/>
        </w:rPr>
      </w:pPr>
      <w:r w:rsidRPr="0054237D">
        <w:rPr>
          <w:rFonts w:ascii="Bookman Old Style" w:hAnsi="Bookman Old Style"/>
          <w:b/>
        </w:rPr>
        <w:t xml:space="preserve">Artículo 32. </w:t>
      </w:r>
      <w:r w:rsidR="00361DB2">
        <w:rPr>
          <w:rFonts w:ascii="Bookman Old Style" w:hAnsi="Bookman Old Style"/>
          <w:b/>
        </w:rPr>
        <w:t xml:space="preserve">Puntos </w:t>
      </w:r>
      <w:r w:rsidR="00361DB2" w:rsidRPr="0054237D">
        <w:rPr>
          <w:rFonts w:ascii="Bookman Old Style" w:hAnsi="Bookman Old Style"/>
          <w:b/>
        </w:rPr>
        <w:t>estándar de entrega</w:t>
      </w:r>
      <w:r w:rsidR="00361DB2">
        <w:rPr>
          <w:rFonts w:ascii="Bookman Old Style" w:hAnsi="Bookman Old Style"/>
          <w:b/>
        </w:rPr>
        <w:t xml:space="preserve"> y </w:t>
      </w:r>
      <w:r w:rsidR="00361DB2" w:rsidRPr="00D5451F">
        <w:rPr>
          <w:rFonts w:ascii="Bookman Old Style" w:hAnsi="Bookman Old Style"/>
          <w:b/>
        </w:rPr>
        <w:t>Puntos de formación de precios</w:t>
      </w:r>
      <w:r w:rsidR="00361DB2">
        <w:rPr>
          <w:rFonts w:ascii="Bookman Old Style" w:hAnsi="Bookman Old Style"/>
          <w:b/>
        </w:rPr>
        <w:t xml:space="preserve">. </w:t>
      </w:r>
    </w:p>
    <w:p w:rsidR="00361DB2" w:rsidRPr="00361DB2" w:rsidRDefault="00361DB2" w:rsidP="00E912C1">
      <w:pPr>
        <w:jc w:val="both"/>
        <w:rPr>
          <w:rFonts w:ascii="Bookman Old Style" w:hAnsi="Bookman Old Style"/>
        </w:rPr>
      </w:pPr>
    </w:p>
    <w:p w:rsidR="00145ED1" w:rsidRPr="00361DB2" w:rsidRDefault="00841F49" w:rsidP="003A5A17">
      <w:pPr>
        <w:pStyle w:val="Prrafodelista"/>
        <w:numPr>
          <w:ilvl w:val="0"/>
          <w:numId w:val="30"/>
        </w:numPr>
        <w:ind w:left="1134" w:hanging="567"/>
        <w:jc w:val="both"/>
        <w:rPr>
          <w:rFonts w:ascii="Bookman Old Style" w:hAnsi="Bookman Old Style"/>
          <w:sz w:val="24"/>
          <w:szCs w:val="24"/>
        </w:rPr>
      </w:pPr>
      <w:r w:rsidRPr="00361DB2">
        <w:rPr>
          <w:rFonts w:ascii="Bookman Old Style" w:hAnsi="Bookman Old Style"/>
          <w:b/>
          <w:sz w:val="24"/>
          <w:szCs w:val="24"/>
        </w:rPr>
        <w:t>Puntos estándar de entrega.</w:t>
      </w:r>
      <w:r w:rsidRPr="00361DB2">
        <w:rPr>
          <w:rFonts w:ascii="Bookman Old Style" w:hAnsi="Bookman Old Style"/>
          <w:sz w:val="24"/>
          <w:szCs w:val="24"/>
        </w:rPr>
        <w:t xml:space="preserve"> </w:t>
      </w:r>
      <w:r w:rsidR="00361DB2">
        <w:rPr>
          <w:rFonts w:ascii="Bookman Old Style" w:hAnsi="Bookman Old Style"/>
          <w:sz w:val="24"/>
          <w:szCs w:val="24"/>
        </w:rPr>
        <w:t>En l</w:t>
      </w:r>
      <w:r w:rsidRPr="00361DB2">
        <w:rPr>
          <w:rFonts w:ascii="Bookman Old Style" w:hAnsi="Bookman Old Style"/>
          <w:sz w:val="24"/>
          <w:szCs w:val="24"/>
        </w:rPr>
        <w:t xml:space="preserve">os contratos de suministro de gas natural </w:t>
      </w:r>
      <w:r w:rsidR="00361DB2">
        <w:rPr>
          <w:rFonts w:ascii="Bookman Old Style" w:hAnsi="Bookman Old Style"/>
          <w:sz w:val="24"/>
          <w:szCs w:val="24"/>
        </w:rPr>
        <w:t>que se suscriban</w:t>
      </w:r>
      <w:r w:rsidRPr="00361DB2">
        <w:rPr>
          <w:rFonts w:ascii="Bookman Old Style" w:hAnsi="Bookman Old Style"/>
          <w:sz w:val="24"/>
          <w:szCs w:val="24"/>
        </w:rPr>
        <w:t xml:space="preserve"> en el mercado secundario </w:t>
      </w:r>
      <w:r w:rsidR="00361DB2">
        <w:rPr>
          <w:rFonts w:ascii="Bookman Old Style" w:hAnsi="Bookman Old Style"/>
          <w:sz w:val="24"/>
          <w:szCs w:val="24"/>
        </w:rPr>
        <w:t>se deberá pactar el</w:t>
      </w:r>
      <w:r w:rsidR="00145ED1" w:rsidRPr="00361DB2">
        <w:rPr>
          <w:rFonts w:ascii="Bookman Old Style" w:hAnsi="Bookman Old Style"/>
          <w:sz w:val="24"/>
          <w:szCs w:val="24"/>
        </w:rPr>
        <w:t xml:space="preserve"> punto estándar de entrega</w:t>
      </w:r>
      <w:r w:rsidR="00361DB2">
        <w:rPr>
          <w:rFonts w:ascii="Bookman Old Style" w:hAnsi="Bookman Old Style"/>
          <w:sz w:val="24"/>
          <w:szCs w:val="24"/>
        </w:rPr>
        <w:t xml:space="preserve">, </w:t>
      </w:r>
      <w:r w:rsidR="00952EF2">
        <w:rPr>
          <w:rFonts w:ascii="Bookman Old Style" w:hAnsi="Bookman Old Style"/>
          <w:sz w:val="24"/>
          <w:szCs w:val="24"/>
        </w:rPr>
        <w:t>establecido</w:t>
      </w:r>
      <w:r w:rsidR="00361DB2">
        <w:rPr>
          <w:rFonts w:ascii="Bookman Old Style" w:hAnsi="Bookman Old Style"/>
          <w:sz w:val="24"/>
          <w:szCs w:val="24"/>
        </w:rPr>
        <w:t xml:space="preserve"> </w:t>
      </w:r>
      <w:r w:rsidR="00952EF2">
        <w:rPr>
          <w:rFonts w:ascii="Bookman Old Style" w:hAnsi="Bookman Old Style"/>
          <w:sz w:val="24"/>
          <w:szCs w:val="24"/>
        </w:rPr>
        <w:t>en</w:t>
      </w:r>
      <w:r w:rsidR="00361DB2">
        <w:rPr>
          <w:rFonts w:ascii="Bookman Old Style" w:hAnsi="Bookman Old Style"/>
          <w:sz w:val="24"/>
          <w:szCs w:val="24"/>
        </w:rPr>
        <w:t xml:space="preserve"> listado</w:t>
      </w:r>
      <w:r w:rsidR="00145ED1" w:rsidRPr="00361DB2">
        <w:rPr>
          <w:rFonts w:ascii="Bookman Old Style" w:hAnsi="Bookman Old Style"/>
          <w:sz w:val="24"/>
          <w:szCs w:val="24"/>
        </w:rPr>
        <w:t xml:space="preserve"> que </w:t>
      </w:r>
      <w:r w:rsidR="00952EF2">
        <w:rPr>
          <w:rFonts w:ascii="Bookman Old Style" w:hAnsi="Bookman Old Style"/>
          <w:sz w:val="24"/>
          <w:szCs w:val="24"/>
        </w:rPr>
        <w:t>adoptará</w:t>
      </w:r>
      <w:r w:rsidR="00C86F3B" w:rsidRPr="00361DB2">
        <w:rPr>
          <w:rFonts w:ascii="Bookman Old Style" w:hAnsi="Bookman Old Style"/>
          <w:sz w:val="24"/>
          <w:szCs w:val="24"/>
        </w:rPr>
        <w:t xml:space="preserve"> la CREG en circular a</w:t>
      </w:r>
      <w:r w:rsidR="00145ED1" w:rsidRPr="00361DB2">
        <w:rPr>
          <w:rFonts w:ascii="Bookman Old Style" w:hAnsi="Bookman Old Style"/>
          <w:sz w:val="24"/>
          <w:szCs w:val="24"/>
        </w:rPr>
        <w:t xml:space="preserve">parte. </w:t>
      </w:r>
    </w:p>
    <w:p w:rsidR="00145ED1" w:rsidRDefault="00145ED1" w:rsidP="00E912C1">
      <w:pPr>
        <w:jc w:val="both"/>
        <w:rPr>
          <w:rFonts w:ascii="Bookman Old Style" w:hAnsi="Bookman Old Style"/>
        </w:rPr>
      </w:pPr>
    </w:p>
    <w:p w:rsidR="00841F49" w:rsidRPr="0054237D" w:rsidRDefault="00145ED1" w:rsidP="00607678">
      <w:pPr>
        <w:ind w:left="1134"/>
        <w:jc w:val="both"/>
        <w:rPr>
          <w:rFonts w:ascii="Bookman Old Style" w:hAnsi="Bookman Old Style"/>
        </w:rPr>
      </w:pPr>
      <w:r>
        <w:rPr>
          <w:rFonts w:ascii="Bookman Old Style" w:hAnsi="Bookman Old Style"/>
        </w:rPr>
        <w:t>En todo caso, d</w:t>
      </w:r>
      <w:r w:rsidRPr="00145ED1">
        <w:rPr>
          <w:rFonts w:ascii="Bookman Old Style" w:hAnsi="Bookman Old Style"/>
        </w:rPr>
        <w:t>ichos puntos de entrega deben corresponder a:  i) un punto de transferencia de custodia entre el productor-comercializador, o el comercializador de gas importado, y el transportador cuando se trate de puntos de entrada al sistema de transporte; ii) un punto de transferencia de custodia entre el transportador y el vendedor del mercado secundario cuando se trate de puntos de salida del sistema de transporte; iii) un punto de transferencia entre transportadores; o iv) un punto de inicio o terminación del servicio de transporte.</w:t>
      </w:r>
      <w:bookmarkEnd w:id="11"/>
    </w:p>
    <w:p w:rsidR="00293CFB" w:rsidRDefault="00293CFB" w:rsidP="00E912C1">
      <w:pPr>
        <w:jc w:val="both"/>
        <w:rPr>
          <w:rFonts w:ascii="Bookman Old Style" w:hAnsi="Bookman Old Style"/>
        </w:rPr>
      </w:pPr>
    </w:p>
    <w:p w:rsidR="00952EF2" w:rsidRPr="00771D1E" w:rsidRDefault="00D5451F" w:rsidP="003A5A17">
      <w:pPr>
        <w:pStyle w:val="Prrafodelista"/>
        <w:numPr>
          <w:ilvl w:val="0"/>
          <w:numId w:val="30"/>
        </w:numPr>
        <w:ind w:left="1134" w:hanging="567"/>
        <w:jc w:val="both"/>
        <w:rPr>
          <w:rFonts w:ascii="Bookman Old Style" w:hAnsi="Bookman Old Style"/>
          <w:sz w:val="24"/>
          <w:szCs w:val="24"/>
        </w:rPr>
      </w:pPr>
      <w:r w:rsidRPr="00771D1E">
        <w:rPr>
          <w:rFonts w:ascii="Bookman Old Style" w:hAnsi="Bookman Old Style"/>
          <w:b/>
          <w:sz w:val="24"/>
          <w:szCs w:val="24"/>
        </w:rPr>
        <w:t xml:space="preserve">Puntos de formación de precios: </w:t>
      </w:r>
      <w:r w:rsidR="00952EF2" w:rsidRPr="00771D1E">
        <w:rPr>
          <w:rFonts w:ascii="Bookman Old Style" w:hAnsi="Bookman Old Style"/>
          <w:sz w:val="24"/>
          <w:szCs w:val="24"/>
        </w:rPr>
        <w:t xml:space="preserve">La CREG publicará en circular aparte los puntos de formación de precios y la forma en la que se calcularán. El gestor del mercado calculará y publicará, en el BEC, la estimación para cada punto de formación de precios a partir de los precios registrados en cada punto estándar de entrega. </w:t>
      </w:r>
    </w:p>
    <w:p w:rsidR="00952EF2" w:rsidRPr="00361DB2" w:rsidRDefault="00952EF2" w:rsidP="00E912C1">
      <w:pPr>
        <w:pStyle w:val="Prrafodelista"/>
        <w:ind w:left="927"/>
        <w:jc w:val="both"/>
        <w:rPr>
          <w:rFonts w:ascii="Bookman Old Style" w:hAnsi="Bookman Old Style"/>
          <w:sz w:val="24"/>
          <w:szCs w:val="24"/>
        </w:rPr>
      </w:pPr>
    </w:p>
    <w:p w:rsidR="00147CBF" w:rsidRDefault="00147CBF" w:rsidP="00607678">
      <w:pPr>
        <w:jc w:val="both"/>
        <w:rPr>
          <w:rFonts w:ascii="Bookman Old Style" w:hAnsi="Bookman Old Style"/>
          <w:b/>
        </w:rPr>
      </w:pPr>
    </w:p>
    <w:p w:rsidR="00147CBF" w:rsidRDefault="00147CBF" w:rsidP="00607678">
      <w:pPr>
        <w:jc w:val="both"/>
        <w:rPr>
          <w:rFonts w:ascii="Bookman Old Style" w:hAnsi="Bookman Old Style"/>
          <w:b/>
        </w:rPr>
      </w:pPr>
    </w:p>
    <w:p w:rsidR="00841F49" w:rsidRPr="0054237D" w:rsidRDefault="00841F49" w:rsidP="00607678">
      <w:pPr>
        <w:jc w:val="both"/>
        <w:rPr>
          <w:rFonts w:ascii="Bookman Old Style" w:hAnsi="Bookman Old Style"/>
        </w:rPr>
      </w:pPr>
      <w:r w:rsidRPr="0054237D">
        <w:rPr>
          <w:rFonts w:ascii="Bookman Old Style" w:hAnsi="Bookman Old Style"/>
          <w:b/>
        </w:rPr>
        <w:t>Parágrafo 1.</w:t>
      </w:r>
      <w:r w:rsidRPr="0054237D">
        <w:rPr>
          <w:rFonts w:ascii="Bookman Old Style" w:hAnsi="Bookman Old Style"/>
        </w:rPr>
        <w:t xml:space="preserve"> El vendedor deberá entregar el gas en el punto estándar de entrega donde lo ofreció y deberá asumir los costos para transportar el gas hasta ese punto.</w:t>
      </w:r>
    </w:p>
    <w:p w:rsidR="00841F49" w:rsidRPr="0054237D" w:rsidRDefault="00841F49" w:rsidP="00607678">
      <w:pPr>
        <w:jc w:val="both"/>
        <w:rPr>
          <w:rFonts w:ascii="Bookman Old Style" w:hAnsi="Bookman Old Style"/>
          <w:b/>
        </w:rPr>
      </w:pPr>
    </w:p>
    <w:p w:rsidR="00841F49" w:rsidRPr="0054237D" w:rsidRDefault="00841F49" w:rsidP="00607678">
      <w:pPr>
        <w:jc w:val="both"/>
        <w:rPr>
          <w:rFonts w:ascii="Bookman Old Style" w:hAnsi="Bookman Old Style"/>
        </w:rPr>
      </w:pPr>
      <w:r w:rsidRPr="0054237D">
        <w:rPr>
          <w:rFonts w:ascii="Bookman Old Style" w:hAnsi="Bookman Old Style"/>
          <w:b/>
        </w:rPr>
        <w:t xml:space="preserve">Parágrafo 2. </w:t>
      </w:r>
      <w:r w:rsidRPr="0054237D">
        <w:rPr>
          <w:rFonts w:ascii="Bookman Old Style" w:hAnsi="Bookman Old Style"/>
        </w:rPr>
        <w:t>Lo establecido en este artículo no cobijará a los contratos ofrecidos a través del proceso úselo o véndalo de corto plazo de que tratan los Artículos 44 y 45</w:t>
      </w:r>
      <w:r w:rsidRPr="0054237D">
        <w:rPr>
          <w:rFonts w:ascii="Bookman Old Style" w:hAnsi="Bookman Old Style"/>
          <w:b/>
          <w:lang w:val="es-CO"/>
        </w:rPr>
        <w:t xml:space="preserve"> </w:t>
      </w:r>
      <w:r w:rsidRPr="0054237D">
        <w:rPr>
          <w:rFonts w:ascii="Bookman Old Style" w:hAnsi="Bookman Old Style"/>
        </w:rPr>
        <w:t>de esta Resolución.</w:t>
      </w:r>
    </w:p>
    <w:p w:rsidR="00841F49" w:rsidRPr="0054237D" w:rsidRDefault="00841F49" w:rsidP="00607678">
      <w:pPr>
        <w:jc w:val="both"/>
        <w:rPr>
          <w:rFonts w:ascii="Bookman Old Style" w:hAnsi="Bookman Old Style"/>
        </w:rPr>
      </w:pPr>
    </w:p>
    <w:p w:rsidR="00841F49" w:rsidRPr="0054237D" w:rsidRDefault="003A3345" w:rsidP="00607678">
      <w:pPr>
        <w:jc w:val="both"/>
        <w:rPr>
          <w:rFonts w:ascii="Bookman Old Style" w:hAnsi="Bookman Old Style"/>
        </w:rPr>
      </w:pPr>
      <w:r>
        <w:rPr>
          <w:rFonts w:ascii="Bookman Old Style" w:hAnsi="Bookman Old Style"/>
          <w:b/>
        </w:rPr>
        <w:t>Parágrafo 3.</w:t>
      </w:r>
      <w:r w:rsidR="00841F49" w:rsidRPr="0054237D">
        <w:rPr>
          <w:rFonts w:ascii="Bookman Old Style" w:hAnsi="Bookman Old Style"/>
          <w:lang w:val="es-CO"/>
        </w:rPr>
        <w:t xml:space="preserve"> La transferencia de propiedad del gas entre el vendedor y el comprador del mercado secundario deberá corresponder a uno de los puntos estándar listados </w:t>
      </w:r>
      <w:r>
        <w:rPr>
          <w:rFonts w:ascii="Bookman Old Style" w:hAnsi="Bookman Old Style"/>
          <w:lang w:val="es-CO"/>
        </w:rPr>
        <w:t>en la circular que la CREG publique para estos efectos</w:t>
      </w:r>
      <w:r w:rsidR="00841F49" w:rsidRPr="0054237D">
        <w:rPr>
          <w:rFonts w:ascii="Bookman Old Style" w:hAnsi="Bookman Old Style"/>
        </w:rPr>
        <w:t>.</w:t>
      </w:r>
    </w:p>
    <w:p w:rsidR="00841F49" w:rsidRPr="0054237D" w:rsidRDefault="00841F49" w:rsidP="00607678">
      <w:pPr>
        <w:jc w:val="both"/>
        <w:rPr>
          <w:rFonts w:ascii="Bookman Old Style" w:hAnsi="Bookman Old Style"/>
        </w:rPr>
      </w:pPr>
    </w:p>
    <w:p w:rsidR="00130459" w:rsidRPr="0054237D" w:rsidRDefault="003A3345" w:rsidP="00607678">
      <w:pPr>
        <w:jc w:val="both"/>
        <w:rPr>
          <w:rFonts w:ascii="Bookman Old Style" w:hAnsi="Bookman Old Style"/>
        </w:rPr>
      </w:pPr>
      <w:r>
        <w:rPr>
          <w:rFonts w:ascii="Bookman Old Style" w:hAnsi="Bookman Old Style"/>
          <w:b/>
        </w:rPr>
        <w:t>Parágrafo 4</w:t>
      </w:r>
      <w:r w:rsidR="00841F49" w:rsidRPr="0054237D">
        <w:rPr>
          <w:rFonts w:ascii="Bookman Old Style" w:hAnsi="Bookman Old Style"/>
          <w:b/>
        </w:rPr>
        <w:t>.</w:t>
      </w:r>
      <w:r w:rsidR="00841F49" w:rsidRPr="0054237D">
        <w:rPr>
          <w:rFonts w:ascii="Bookman Old Style" w:hAnsi="Bookman Old Style"/>
        </w:rPr>
        <w:t xml:space="preserve"> </w:t>
      </w:r>
      <w:r w:rsidR="00841F49" w:rsidRPr="0054237D">
        <w:rPr>
          <w:rFonts w:ascii="Bookman Old Style" w:hAnsi="Bookman Old Style"/>
          <w:lang w:val="es-CO"/>
        </w:rPr>
        <w:t>En caso de que el gas no sea inyectado al SNT, se deberá reportar como punto estándar de entrega el código de la División Político-administrativa -Divipola vigente, publicado en la página web del Departamento Nacional de Estadística –DANE del centro poblado en el que el vendedor entregue el gas; si el vendedor entrega el gas en boca de pozo el punto estándar de entrega será el campo</w:t>
      </w:r>
      <w:r w:rsidR="00841F49" w:rsidRPr="0054237D">
        <w:rPr>
          <w:rFonts w:ascii="Bookman Old Style" w:hAnsi="Bookman Old Style"/>
        </w:rPr>
        <w:t>.</w:t>
      </w:r>
    </w:p>
    <w:p w:rsidR="00130459" w:rsidRDefault="00130459" w:rsidP="00E912C1">
      <w:pPr>
        <w:pStyle w:val="ARTICULOS"/>
        <w:numPr>
          <w:ilvl w:val="0"/>
          <w:numId w:val="0"/>
        </w:numPr>
        <w:rPr>
          <w:rFonts w:cs="Arial"/>
          <w:color w:val="000000"/>
          <w:lang w:val="es-ES"/>
        </w:rPr>
      </w:pPr>
    </w:p>
    <w:p w:rsidR="0054237D" w:rsidRPr="00D83D83" w:rsidRDefault="0054237D" w:rsidP="00E912C1">
      <w:pPr>
        <w:pStyle w:val="ARTICULOS"/>
        <w:numPr>
          <w:ilvl w:val="0"/>
          <w:numId w:val="0"/>
        </w:numPr>
        <w:tabs>
          <w:tab w:val="clear" w:pos="1559"/>
          <w:tab w:val="left" w:pos="1560"/>
        </w:tabs>
        <w:outlineLvl w:val="0"/>
        <w:rPr>
          <w:lang w:val="es-CO"/>
        </w:rPr>
      </w:pPr>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7</w:t>
      </w:r>
      <w:r w:rsidRPr="00B30245">
        <w:rPr>
          <w:b/>
        </w:rPr>
        <w:fldChar w:fldCharType="end"/>
      </w:r>
      <w:r>
        <w:rPr>
          <w:b/>
        </w:rPr>
        <w:t xml:space="preserve">. </w:t>
      </w:r>
      <w:r w:rsidR="006241DC">
        <w:t xml:space="preserve">Modifíquese el artículo </w:t>
      </w:r>
      <w:r w:rsidR="006241DC">
        <w:rPr>
          <w:lang w:val="es-CO"/>
        </w:rPr>
        <w:t>4</w:t>
      </w:r>
      <w:r w:rsidR="006241DC">
        <w:t>9 de la Resoluci</w:t>
      </w:r>
      <w:r w:rsidR="006241DC">
        <w:rPr>
          <w:lang w:val="es-CO"/>
        </w:rPr>
        <w:t xml:space="preserve">ón CREG 114 de 2017 de la siguiente forma: </w:t>
      </w:r>
      <w:r w:rsidR="006241DC" w:rsidRPr="002A782A">
        <w:rPr>
          <w:b/>
        </w:rPr>
        <w:t xml:space="preserve"> </w:t>
      </w:r>
    </w:p>
    <w:p w:rsidR="0054237D" w:rsidRDefault="0054237D" w:rsidP="00E912C1">
      <w:pPr>
        <w:pStyle w:val="ARTICULOS"/>
        <w:numPr>
          <w:ilvl w:val="0"/>
          <w:numId w:val="0"/>
        </w:numPr>
        <w:rPr>
          <w:rFonts w:cs="Arial"/>
          <w:color w:val="000000"/>
          <w:lang w:val="es-ES"/>
        </w:rPr>
      </w:pPr>
    </w:p>
    <w:p w:rsidR="00D83D83" w:rsidRDefault="00F46F9E" w:rsidP="00E912C1">
      <w:pPr>
        <w:jc w:val="both"/>
        <w:rPr>
          <w:rFonts w:ascii="Bookman Old Style" w:hAnsi="Bookman Old Style"/>
        </w:rPr>
      </w:pPr>
      <w:bookmarkStart w:id="12" w:name="_Ref358126070"/>
      <w:r w:rsidRPr="0054237D">
        <w:rPr>
          <w:rFonts w:ascii="Bookman Old Style" w:hAnsi="Bookman Old Style"/>
          <w:b/>
        </w:rPr>
        <w:t>Artículo 49. Negociación de contratos de suministro con interrupciones.</w:t>
      </w:r>
      <w:r w:rsidRPr="0054237D">
        <w:rPr>
          <w:rFonts w:ascii="Bookman Old Style" w:hAnsi="Bookman Old Style"/>
        </w:rPr>
        <w:t xml:space="preserve"> </w:t>
      </w:r>
      <w:r w:rsidR="00D83D83">
        <w:rPr>
          <w:rFonts w:ascii="Bookman Old Style" w:hAnsi="Bookman Old Style"/>
        </w:rPr>
        <w:t xml:space="preserve">Los contratos de suministro con interrupciones se negociarán </w:t>
      </w:r>
      <w:r w:rsidR="00131CED">
        <w:rPr>
          <w:rFonts w:ascii="Bookman Old Style" w:hAnsi="Bookman Old Style"/>
        </w:rPr>
        <w:t>mediante subastas o negociaciones directas así</w:t>
      </w:r>
      <w:r w:rsidR="00D83D83">
        <w:rPr>
          <w:rFonts w:ascii="Bookman Old Style" w:hAnsi="Bookman Old Style"/>
        </w:rPr>
        <w:t xml:space="preserve">:  </w:t>
      </w:r>
    </w:p>
    <w:p w:rsidR="00D83D83" w:rsidRPr="001A1567" w:rsidRDefault="00D83D83" w:rsidP="00E912C1">
      <w:pPr>
        <w:jc w:val="both"/>
        <w:rPr>
          <w:rFonts w:ascii="Bookman Old Style" w:hAnsi="Bookman Old Style"/>
        </w:rPr>
      </w:pPr>
    </w:p>
    <w:p w:rsidR="00F46F9E" w:rsidRPr="001A1567" w:rsidRDefault="00D83D83" w:rsidP="003A5A17">
      <w:pPr>
        <w:pStyle w:val="Prrafodelista"/>
        <w:numPr>
          <w:ilvl w:val="0"/>
          <w:numId w:val="16"/>
        </w:numPr>
        <w:ind w:left="1134" w:hanging="567"/>
        <w:jc w:val="both"/>
        <w:rPr>
          <w:rFonts w:ascii="Bookman Old Style" w:hAnsi="Bookman Old Style"/>
          <w:b/>
          <w:sz w:val="24"/>
          <w:szCs w:val="24"/>
        </w:rPr>
      </w:pPr>
      <w:r w:rsidRPr="001A1567">
        <w:rPr>
          <w:rFonts w:ascii="Bookman Old Style" w:hAnsi="Bookman Old Style"/>
          <w:b/>
          <w:sz w:val="24"/>
          <w:szCs w:val="24"/>
        </w:rPr>
        <w:t xml:space="preserve">Negociación de contratos con interrupciones mediante subastas: </w:t>
      </w:r>
      <w:r w:rsidR="00F46F9E" w:rsidRPr="001A1567">
        <w:rPr>
          <w:rFonts w:ascii="Bookman Old Style" w:hAnsi="Bookman Old Style"/>
          <w:sz w:val="24"/>
          <w:szCs w:val="24"/>
        </w:rPr>
        <w:t>Los vendedores y los compradores a los que se hace referencia en los Artículos 17, 33, 18 y 34 de esta Resolución sólo podrán negociar la compraventa de gas natural mediante la modalidad de contratos con interrupciones a través de subastas mensuales. Estas subastas se realizarán el penúltimo día hábil de cada mes para cada campo, punto de entrada al SNT o punto del SNT que corresponda al sitio de inicio o terminación de alguno de los tramos de gasoductos definidos para efectos tarifarios, y se regirán por el reglamento establecido en el anexo 9 de esta Resolución.</w:t>
      </w:r>
      <w:bookmarkEnd w:id="12"/>
    </w:p>
    <w:p w:rsidR="00F46F9E" w:rsidRPr="00147CBF" w:rsidRDefault="00F46F9E" w:rsidP="001A1567">
      <w:pPr>
        <w:ind w:left="1134"/>
        <w:jc w:val="both"/>
        <w:rPr>
          <w:rFonts w:ascii="Bookman Old Style" w:hAnsi="Bookman Old Style"/>
          <w:b/>
          <w:sz w:val="20"/>
        </w:rPr>
      </w:pPr>
    </w:p>
    <w:p w:rsidR="00D83D83" w:rsidRPr="001A1567" w:rsidRDefault="00D83D83" w:rsidP="003A5A17">
      <w:pPr>
        <w:pStyle w:val="Prrafodelista"/>
        <w:numPr>
          <w:ilvl w:val="0"/>
          <w:numId w:val="16"/>
        </w:numPr>
        <w:ind w:left="1134" w:hanging="567"/>
        <w:jc w:val="both"/>
        <w:rPr>
          <w:rFonts w:ascii="Bookman Old Style" w:hAnsi="Bookman Old Style"/>
          <w:sz w:val="24"/>
          <w:szCs w:val="24"/>
        </w:rPr>
      </w:pPr>
      <w:r w:rsidRPr="001A1567">
        <w:rPr>
          <w:rFonts w:ascii="Bookman Old Style" w:hAnsi="Bookman Old Style"/>
          <w:b/>
          <w:sz w:val="24"/>
          <w:szCs w:val="24"/>
        </w:rPr>
        <w:t>Negociación de contratos con interrupciones a través de negociaciones directas:</w:t>
      </w:r>
      <w:r w:rsidR="005018F8" w:rsidRPr="001A1567">
        <w:rPr>
          <w:rFonts w:ascii="Bookman Old Style" w:hAnsi="Bookman Old Style"/>
          <w:b/>
          <w:sz w:val="24"/>
          <w:szCs w:val="24"/>
        </w:rPr>
        <w:t xml:space="preserve"> </w:t>
      </w:r>
      <w:r w:rsidRPr="001A1567">
        <w:rPr>
          <w:rFonts w:ascii="Bookman Old Style" w:hAnsi="Bookman Old Style"/>
          <w:sz w:val="24"/>
          <w:szCs w:val="24"/>
        </w:rPr>
        <w:t>Con excepción de los usuarios no regulados</w:t>
      </w:r>
      <w:r w:rsidR="00131CED" w:rsidRPr="001A1567">
        <w:rPr>
          <w:rFonts w:ascii="Bookman Old Style" w:hAnsi="Bookman Old Style"/>
          <w:sz w:val="24"/>
          <w:szCs w:val="24"/>
        </w:rPr>
        <w:t>,</w:t>
      </w:r>
      <w:r w:rsidRPr="001A1567">
        <w:rPr>
          <w:rFonts w:ascii="Bookman Old Style" w:hAnsi="Bookman Old Style"/>
          <w:sz w:val="24"/>
          <w:szCs w:val="24"/>
        </w:rPr>
        <w:t xml:space="preserve"> </w:t>
      </w:r>
      <w:r w:rsidR="00131CED" w:rsidRPr="001A1567">
        <w:rPr>
          <w:rFonts w:ascii="Bookman Old Style" w:hAnsi="Bookman Old Style"/>
          <w:sz w:val="24"/>
          <w:szCs w:val="24"/>
        </w:rPr>
        <w:t>l</w:t>
      </w:r>
      <w:r w:rsidRPr="001A1567">
        <w:rPr>
          <w:rFonts w:ascii="Bookman Old Style" w:hAnsi="Bookman Old Style"/>
          <w:sz w:val="24"/>
          <w:szCs w:val="24"/>
        </w:rPr>
        <w:t xml:space="preserve">os vendedores y los compradores a los que hace referencia los Artículos 33 y 34 de esta Resolución podrán negociar directamente </w:t>
      </w:r>
      <w:r w:rsidR="00131CED" w:rsidRPr="001A1567">
        <w:rPr>
          <w:rFonts w:ascii="Bookman Old Style" w:hAnsi="Bookman Old Style"/>
          <w:sz w:val="24"/>
          <w:szCs w:val="24"/>
        </w:rPr>
        <w:t xml:space="preserve">contratos con interrupciones en cualquier momento del año mediante las siguientes reglas: </w:t>
      </w:r>
    </w:p>
    <w:p w:rsidR="00131CED" w:rsidRPr="001A1567" w:rsidRDefault="00131CED" w:rsidP="001A1567">
      <w:pPr>
        <w:pStyle w:val="Prrafodelista"/>
        <w:ind w:left="1134"/>
        <w:jc w:val="both"/>
        <w:rPr>
          <w:rFonts w:ascii="Bookman Old Style" w:hAnsi="Bookman Old Style"/>
          <w:sz w:val="24"/>
          <w:szCs w:val="24"/>
        </w:rPr>
      </w:pPr>
    </w:p>
    <w:p w:rsidR="00817EA6" w:rsidRPr="001A1567" w:rsidRDefault="00131CED" w:rsidP="003A5A17">
      <w:pPr>
        <w:pStyle w:val="Prrafodelista"/>
        <w:numPr>
          <w:ilvl w:val="0"/>
          <w:numId w:val="18"/>
        </w:numPr>
        <w:ind w:left="1701" w:hanging="567"/>
        <w:jc w:val="both"/>
        <w:rPr>
          <w:rFonts w:ascii="Bookman Old Style" w:hAnsi="Bookman Old Style"/>
          <w:sz w:val="24"/>
          <w:szCs w:val="24"/>
        </w:rPr>
      </w:pPr>
      <w:r w:rsidRPr="001A1567">
        <w:rPr>
          <w:rFonts w:ascii="Bookman Old Style" w:hAnsi="Bookman Old Style"/>
          <w:sz w:val="24"/>
          <w:szCs w:val="24"/>
        </w:rPr>
        <w:t>Duración: el contrato deberá tener una duración mínima de 1 mes y máxima de 12 meses. En cualquier caso</w:t>
      </w:r>
      <w:r w:rsidR="00592202" w:rsidRPr="001A1567">
        <w:rPr>
          <w:rFonts w:ascii="Bookman Old Style" w:hAnsi="Bookman Old Style"/>
          <w:sz w:val="24"/>
          <w:szCs w:val="24"/>
        </w:rPr>
        <w:t>,</w:t>
      </w:r>
      <w:r w:rsidRPr="001A1567">
        <w:rPr>
          <w:rFonts w:ascii="Bookman Old Style" w:hAnsi="Bookman Old Style"/>
          <w:sz w:val="24"/>
          <w:szCs w:val="24"/>
        </w:rPr>
        <w:t xml:space="preserve"> </w:t>
      </w:r>
      <w:r w:rsidR="00592202" w:rsidRPr="001A1567">
        <w:rPr>
          <w:rFonts w:ascii="Bookman Old Style" w:hAnsi="Bookman Old Style"/>
          <w:sz w:val="24"/>
          <w:szCs w:val="24"/>
        </w:rPr>
        <w:t>s</w:t>
      </w:r>
      <w:r w:rsidR="00817EA6" w:rsidRPr="001A1567">
        <w:rPr>
          <w:rFonts w:ascii="Bookman Old Style" w:hAnsi="Bookman Old Style"/>
          <w:sz w:val="24"/>
          <w:szCs w:val="24"/>
        </w:rPr>
        <w:t>u ejecución deberá iniciar antes de la finalización del año de gas</w:t>
      </w:r>
      <w:r w:rsidR="00592202" w:rsidRPr="001A1567">
        <w:rPr>
          <w:rFonts w:ascii="Bookman Old Style" w:hAnsi="Bookman Old Style"/>
          <w:sz w:val="24"/>
          <w:szCs w:val="24"/>
        </w:rPr>
        <w:t xml:space="preserve"> en que se realice </w:t>
      </w:r>
      <w:r w:rsidR="00AB1831" w:rsidRPr="001A1567">
        <w:rPr>
          <w:rFonts w:ascii="Bookman Old Style" w:hAnsi="Bookman Old Style"/>
          <w:sz w:val="24"/>
          <w:szCs w:val="24"/>
        </w:rPr>
        <w:t>el registro</w:t>
      </w:r>
      <w:r w:rsidR="00817EA6" w:rsidRPr="001A1567">
        <w:rPr>
          <w:rFonts w:ascii="Bookman Old Style" w:hAnsi="Bookman Old Style"/>
          <w:sz w:val="24"/>
          <w:szCs w:val="24"/>
        </w:rPr>
        <w:t>, comprendido entre el 1 de diciembre y el 30 de noviembre</w:t>
      </w:r>
      <w:r w:rsidR="00592202" w:rsidRPr="001A1567">
        <w:rPr>
          <w:rFonts w:ascii="Bookman Old Style" w:hAnsi="Bookman Old Style"/>
          <w:sz w:val="24"/>
          <w:szCs w:val="24"/>
        </w:rPr>
        <w:t xml:space="preserve"> del año calendario siguiente. </w:t>
      </w:r>
    </w:p>
    <w:p w:rsidR="00817EA6" w:rsidRPr="001A1567" w:rsidRDefault="00817EA6" w:rsidP="00E912C1">
      <w:pPr>
        <w:pStyle w:val="Prrafodelista"/>
        <w:ind w:left="1647"/>
        <w:jc w:val="both"/>
        <w:rPr>
          <w:rFonts w:ascii="Bookman Old Style" w:hAnsi="Bookman Old Style"/>
          <w:sz w:val="24"/>
          <w:szCs w:val="24"/>
        </w:rPr>
      </w:pPr>
    </w:p>
    <w:p w:rsidR="00131CED" w:rsidRDefault="00B5658C" w:rsidP="003A5A17">
      <w:pPr>
        <w:pStyle w:val="Prrafodelista"/>
        <w:numPr>
          <w:ilvl w:val="0"/>
          <w:numId w:val="18"/>
        </w:numPr>
        <w:ind w:left="1701" w:hanging="567"/>
        <w:jc w:val="both"/>
        <w:rPr>
          <w:rFonts w:ascii="Bookman Old Style" w:hAnsi="Bookman Old Style"/>
        </w:rPr>
      </w:pPr>
      <w:r>
        <w:rPr>
          <w:rFonts w:ascii="Bookman Old Style" w:hAnsi="Bookman Old Style"/>
          <w:sz w:val="24"/>
          <w:szCs w:val="24"/>
        </w:rPr>
        <w:t xml:space="preserve">Precio: las partes deberán pactar un precio máximo expresado en USD por MBTU. Este precio será único y no se actualizará durante el periodo de duración del contrato. </w:t>
      </w:r>
    </w:p>
    <w:p w:rsidR="00B5658C" w:rsidRPr="00D97E89" w:rsidRDefault="00B5658C" w:rsidP="001A1567">
      <w:pPr>
        <w:pStyle w:val="Prrafodelista"/>
        <w:ind w:left="1701" w:hanging="567"/>
        <w:rPr>
          <w:rFonts w:ascii="Bookman Old Style" w:hAnsi="Bookman Old Style"/>
          <w:sz w:val="24"/>
          <w:szCs w:val="24"/>
        </w:rPr>
      </w:pPr>
    </w:p>
    <w:p w:rsidR="00B5658C" w:rsidRPr="001945B4" w:rsidRDefault="00B5658C" w:rsidP="003A5A17">
      <w:pPr>
        <w:pStyle w:val="Prrafodelista"/>
        <w:numPr>
          <w:ilvl w:val="0"/>
          <w:numId w:val="18"/>
        </w:numPr>
        <w:ind w:left="1701" w:hanging="567"/>
        <w:jc w:val="both"/>
        <w:rPr>
          <w:rFonts w:ascii="Bookman Old Style" w:hAnsi="Bookman Old Style"/>
        </w:rPr>
      </w:pPr>
      <w:r>
        <w:rPr>
          <w:rFonts w:ascii="Bookman Old Style" w:hAnsi="Bookman Old Style"/>
          <w:sz w:val="24"/>
          <w:szCs w:val="24"/>
        </w:rPr>
        <w:t xml:space="preserve">Cantidades: </w:t>
      </w:r>
      <w:r w:rsidR="00B3781D">
        <w:rPr>
          <w:rFonts w:ascii="Bookman Old Style" w:hAnsi="Bookman Old Style"/>
          <w:sz w:val="24"/>
          <w:szCs w:val="24"/>
        </w:rPr>
        <w:t>las partes deberán acordar</w:t>
      </w:r>
      <w:r w:rsidR="00186B10">
        <w:rPr>
          <w:rFonts w:ascii="Bookman Old Style" w:hAnsi="Bookman Old Style"/>
          <w:sz w:val="24"/>
          <w:szCs w:val="24"/>
        </w:rPr>
        <w:t xml:space="preserve"> </w:t>
      </w:r>
      <w:r w:rsidR="003A4771">
        <w:rPr>
          <w:rFonts w:ascii="Bookman Old Style" w:hAnsi="Bookman Old Style"/>
          <w:sz w:val="24"/>
          <w:szCs w:val="24"/>
        </w:rPr>
        <w:t>las cantidades</w:t>
      </w:r>
      <w:r w:rsidR="00B3781D">
        <w:rPr>
          <w:rFonts w:ascii="Bookman Old Style" w:hAnsi="Bookman Old Style"/>
          <w:sz w:val="24"/>
          <w:szCs w:val="24"/>
        </w:rPr>
        <w:t xml:space="preserve"> máximas</w:t>
      </w:r>
      <w:r w:rsidR="003A4771">
        <w:rPr>
          <w:rFonts w:ascii="Bookman Old Style" w:hAnsi="Bookman Old Style"/>
          <w:sz w:val="24"/>
          <w:szCs w:val="24"/>
        </w:rPr>
        <w:t xml:space="preserve"> del contrato</w:t>
      </w:r>
      <w:r w:rsidR="007E30D2">
        <w:rPr>
          <w:rFonts w:ascii="Bookman Old Style" w:hAnsi="Bookman Old Style"/>
          <w:sz w:val="24"/>
          <w:szCs w:val="24"/>
        </w:rPr>
        <w:t xml:space="preserve"> en MBTUD</w:t>
      </w:r>
      <w:r w:rsidR="003A4771">
        <w:rPr>
          <w:rFonts w:ascii="Bookman Old Style" w:hAnsi="Bookman Old Style"/>
          <w:sz w:val="24"/>
          <w:szCs w:val="24"/>
        </w:rPr>
        <w:t xml:space="preserve">. </w:t>
      </w:r>
    </w:p>
    <w:p w:rsidR="001945B4" w:rsidRPr="001945B4" w:rsidRDefault="001945B4" w:rsidP="001A1567">
      <w:pPr>
        <w:pStyle w:val="Prrafodelista"/>
        <w:ind w:left="1701" w:hanging="567"/>
        <w:rPr>
          <w:rFonts w:ascii="Bookman Old Style" w:hAnsi="Bookman Old Style"/>
          <w:sz w:val="24"/>
          <w:szCs w:val="24"/>
        </w:rPr>
      </w:pPr>
    </w:p>
    <w:p w:rsidR="00A5264E" w:rsidRDefault="001945B4" w:rsidP="003A5A17">
      <w:pPr>
        <w:pStyle w:val="Prrafodelista"/>
        <w:numPr>
          <w:ilvl w:val="0"/>
          <w:numId w:val="18"/>
        </w:numPr>
        <w:ind w:left="1701" w:hanging="567"/>
        <w:jc w:val="both"/>
        <w:rPr>
          <w:rFonts w:ascii="Bookman Old Style" w:hAnsi="Bookman Old Style"/>
          <w:sz w:val="24"/>
          <w:szCs w:val="24"/>
        </w:rPr>
      </w:pPr>
      <w:r w:rsidRPr="00B3781D">
        <w:rPr>
          <w:rFonts w:ascii="Bookman Old Style" w:hAnsi="Bookman Old Style"/>
          <w:sz w:val="24"/>
          <w:szCs w:val="24"/>
        </w:rPr>
        <w:t>Ejecución:</w:t>
      </w:r>
      <w:r w:rsidRPr="001945B4">
        <w:rPr>
          <w:rFonts w:ascii="Bookman Old Style" w:hAnsi="Bookman Old Style"/>
          <w:sz w:val="24"/>
          <w:szCs w:val="24"/>
        </w:rPr>
        <w:t xml:space="preserve"> </w:t>
      </w:r>
    </w:p>
    <w:p w:rsidR="00A5264E" w:rsidRPr="00A5264E" w:rsidRDefault="00A5264E" w:rsidP="00E912C1">
      <w:pPr>
        <w:pStyle w:val="Prrafodelista"/>
        <w:rPr>
          <w:rFonts w:ascii="Bookman Old Style" w:hAnsi="Bookman Old Style"/>
          <w:sz w:val="24"/>
          <w:szCs w:val="24"/>
        </w:rPr>
      </w:pPr>
    </w:p>
    <w:p w:rsidR="001945B4" w:rsidRDefault="00A5264E" w:rsidP="003A5A17">
      <w:pPr>
        <w:pStyle w:val="Prrafodelista"/>
        <w:numPr>
          <w:ilvl w:val="1"/>
          <w:numId w:val="17"/>
        </w:numPr>
        <w:ind w:left="2268" w:hanging="567"/>
        <w:jc w:val="both"/>
        <w:rPr>
          <w:rFonts w:ascii="Bookman Old Style" w:hAnsi="Bookman Old Style"/>
          <w:sz w:val="24"/>
          <w:szCs w:val="24"/>
        </w:rPr>
      </w:pPr>
      <w:r>
        <w:rPr>
          <w:rFonts w:ascii="Bookman Old Style" w:hAnsi="Bookman Old Style"/>
          <w:sz w:val="24"/>
          <w:szCs w:val="24"/>
        </w:rPr>
        <w:t>E</w:t>
      </w:r>
      <w:r w:rsidR="00397C85">
        <w:rPr>
          <w:rFonts w:ascii="Bookman Old Style" w:hAnsi="Bookman Old Style"/>
          <w:sz w:val="24"/>
          <w:szCs w:val="24"/>
        </w:rPr>
        <w:t>n el día D-1</w:t>
      </w:r>
      <w:r w:rsidR="005515E3">
        <w:rPr>
          <w:rFonts w:ascii="Bookman Old Style" w:hAnsi="Bookman Old Style"/>
          <w:sz w:val="24"/>
          <w:szCs w:val="24"/>
        </w:rPr>
        <w:t>, antes del inicio del ciclo de nominación de suministro,</w:t>
      </w:r>
      <w:r w:rsidR="00397C85">
        <w:rPr>
          <w:rFonts w:ascii="Bookman Old Style" w:hAnsi="Bookman Old Style"/>
          <w:sz w:val="24"/>
          <w:szCs w:val="24"/>
        </w:rPr>
        <w:t xml:space="preserve"> las partes fijarán la cantidad de gas en MBTU a entregar por parte del vendedor durante el día de gas</w:t>
      </w:r>
      <w:r w:rsidR="00DA35BF">
        <w:rPr>
          <w:rFonts w:ascii="Bookman Old Style" w:hAnsi="Bookman Old Style"/>
          <w:sz w:val="24"/>
          <w:szCs w:val="24"/>
        </w:rPr>
        <w:t xml:space="preserve"> y los</w:t>
      </w:r>
      <w:r w:rsidR="00847868">
        <w:rPr>
          <w:rFonts w:ascii="Bookman Old Style" w:hAnsi="Bookman Old Style"/>
          <w:sz w:val="24"/>
          <w:szCs w:val="24"/>
        </w:rPr>
        <w:t xml:space="preserve"> punto</w:t>
      </w:r>
      <w:r w:rsidR="00DA35BF">
        <w:rPr>
          <w:rFonts w:ascii="Bookman Old Style" w:hAnsi="Bookman Old Style"/>
          <w:sz w:val="24"/>
          <w:szCs w:val="24"/>
        </w:rPr>
        <w:t>s</w:t>
      </w:r>
      <w:r w:rsidR="00847868">
        <w:rPr>
          <w:rFonts w:ascii="Bookman Old Style" w:hAnsi="Bookman Old Style"/>
          <w:sz w:val="24"/>
          <w:szCs w:val="24"/>
        </w:rPr>
        <w:t xml:space="preserve"> de entrega</w:t>
      </w:r>
      <w:r w:rsidR="005515E3">
        <w:rPr>
          <w:rFonts w:ascii="Bookman Old Style" w:hAnsi="Bookman Old Style"/>
          <w:sz w:val="24"/>
          <w:szCs w:val="24"/>
        </w:rPr>
        <w:t xml:space="preserve">. </w:t>
      </w:r>
      <w:r w:rsidR="004F792F">
        <w:rPr>
          <w:rFonts w:ascii="Bookman Old Style" w:hAnsi="Bookman Old Style"/>
          <w:sz w:val="24"/>
          <w:szCs w:val="24"/>
        </w:rPr>
        <w:t xml:space="preserve">El vendedor tendrá en cuenta esta </w:t>
      </w:r>
      <w:r w:rsidR="005515E3" w:rsidRPr="004F792F">
        <w:rPr>
          <w:rFonts w:ascii="Bookman Old Style" w:hAnsi="Bookman Old Style"/>
          <w:sz w:val="24"/>
          <w:szCs w:val="24"/>
        </w:rPr>
        <w:t xml:space="preserve">información </w:t>
      </w:r>
      <w:r w:rsidR="004F792F">
        <w:rPr>
          <w:rFonts w:ascii="Bookman Old Style" w:hAnsi="Bookman Old Style"/>
          <w:sz w:val="24"/>
          <w:szCs w:val="24"/>
        </w:rPr>
        <w:t>para</w:t>
      </w:r>
      <w:r w:rsidR="005515E3" w:rsidRPr="004F792F">
        <w:rPr>
          <w:rFonts w:ascii="Bookman Old Style" w:hAnsi="Bookman Old Style"/>
          <w:sz w:val="24"/>
          <w:szCs w:val="24"/>
        </w:rPr>
        <w:t xml:space="preserve"> realizar la nominación</w:t>
      </w:r>
      <w:r w:rsidR="004F792F">
        <w:rPr>
          <w:rFonts w:ascii="Bookman Old Style" w:hAnsi="Bookman Old Style"/>
          <w:sz w:val="24"/>
          <w:szCs w:val="24"/>
        </w:rPr>
        <w:t xml:space="preserve"> para el día de gas</w:t>
      </w:r>
      <w:r w:rsidR="005515E3" w:rsidRPr="004F792F">
        <w:rPr>
          <w:rFonts w:ascii="Bookman Old Style" w:hAnsi="Bookman Old Style"/>
          <w:sz w:val="24"/>
          <w:szCs w:val="24"/>
        </w:rPr>
        <w:t xml:space="preserve">. </w:t>
      </w:r>
      <w:r w:rsidR="001945B4" w:rsidRPr="004F792F">
        <w:rPr>
          <w:rFonts w:ascii="Bookman Old Style" w:hAnsi="Bookman Old Style"/>
          <w:sz w:val="24"/>
          <w:szCs w:val="24"/>
        </w:rPr>
        <w:t xml:space="preserve"> </w:t>
      </w:r>
    </w:p>
    <w:p w:rsidR="001A1567" w:rsidRDefault="001A1567" w:rsidP="001A1567">
      <w:pPr>
        <w:pStyle w:val="Prrafodelista"/>
        <w:ind w:left="2268"/>
        <w:jc w:val="both"/>
        <w:rPr>
          <w:rFonts w:ascii="Bookman Old Style" w:hAnsi="Bookman Old Style"/>
          <w:sz w:val="24"/>
          <w:szCs w:val="24"/>
        </w:rPr>
      </w:pPr>
    </w:p>
    <w:p w:rsidR="00A5264E" w:rsidRDefault="00A5264E" w:rsidP="003A5A17">
      <w:pPr>
        <w:pStyle w:val="Prrafodelista"/>
        <w:numPr>
          <w:ilvl w:val="1"/>
          <w:numId w:val="17"/>
        </w:numPr>
        <w:ind w:left="2268" w:hanging="567"/>
        <w:jc w:val="both"/>
        <w:rPr>
          <w:rFonts w:ascii="Bookman Old Style" w:hAnsi="Bookman Old Style"/>
          <w:sz w:val="24"/>
          <w:szCs w:val="24"/>
        </w:rPr>
      </w:pPr>
      <w:r>
        <w:rPr>
          <w:rFonts w:ascii="Bookman Old Style" w:hAnsi="Bookman Old Style"/>
          <w:sz w:val="24"/>
          <w:szCs w:val="24"/>
        </w:rPr>
        <w:t>Durante el día de gas las partes podrán acordar modificar las cantidades</w:t>
      </w:r>
      <w:r w:rsidR="00DA35BF">
        <w:rPr>
          <w:rFonts w:ascii="Bookman Old Style" w:hAnsi="Bookman Old Style"/>
          <w:sz w:val="24"/>
          <w:szCs w:val="24"/>
        </w:rPr>
        <w:t xml:space="preserve"> y los puntos de entrega</w:t>
      </w:r>
      <w:r>
        <w:rPr>
          <w:rFonts w:ascii="Bookman Old Style" w:hAnsi="Bookman Old Style"/>
          <w:sz w:val="24"/>
          <w:szCs w:val="24"/>
        </w:rPr>
        <w:t>, en todo caso sujeto al proceso de renominaciones.</w:t>
      </w:r>
    </w:p>
    <w:p w:rsidR="001A1567" w:rsidRDefault="001A1567" w:rsidP="001A1567">
      <w:pPr>
        <w:pStyle w:val="Prrafodelista"/>
        <w:ind w:left="2268"/>
        <w:jc w:val="both"/>
        <w:rPr>
          <w:rFonts w:ascii="Bookman Old Style" w:hAnsi="Bookman Old Style"/>
          <w:sz w:val="24"/>
          <w:szCs w:val="24"/>
        </w:rPr>
      </w:pPr>
    </w:p>
    <w:p w:rsidR="00BD285A" w:rsidRPr="0010551E" w:rsidRDefault="00BD285A" w:rsidP="003A5A17">
      <w:pPr>
        <w:pStyle w:val="Prrafodelista"/>
        <w:numPr>
          <w:ilvl w:val="1"/>
          <w:numId w:val="17"/>
        </w:numPr>
        <w:ind w:left="2268" w:hanging="567"/>
        <w:jc w:val="both"/>
        <w:rPr>
          <w:rFonts w:ascii="Bookman Old Style" w:hAnsi="Bookman Old Style"/>
          <w:sz w:val="24"/>
          <w:szCs w:val="24"/>
        </w:rPr>
      </w:pPr>
      <w:r>
        <w:rPr>
          <w:rFonts w:ascii="Bookman Old Style" w:hAnsi="Bookman Old Style"/>
          <w:sz w:val="24"/>
          <w:szCs w:val="24"/>
        </w:rPr>
        <w:t xml:space="preserve">Durante el </w:t>
      </w:r>
      <w:r w:rsidR="00596243">
        <w:rPr>
          <w:rFonts w:ascii="Bookman Old Style" w:hAnsi="Bookman Old Style"/>
          <w:sz w:val="24"/>
          <w:szCs w:val="24"/>
        </w:rPr>
        <w:t xml:space="preserve">día </w:t>
      </w:r>
      <w:r>
        <w:rPr>
          <w:rFonts w:ascii="Bookman Old Style" w:hAnsi="Bookman Old Style"/>
          <w:sz w:val="24"/>
          <w:szCs w:val="24"/>
        </w:rPr>
        <w:t xml:space="preserve">D+1 </w:t>
      </w:r>
      <w:r w:rsidR="00596243">
        <w:rPr>
          <w:rFonts w:ascii="Bookman Old Style" w:hAnsi="Bookman Old Style"/>
          <w:sz w:val="24"/>
          <w:szCs w:val="24"/>
        </w:rPr>
        <w:t xml:space="preserve">las partes </w:t>
      </w:r>
      <w:r w:rsidR="00946F3E">
        <w:rPr>
          <w:rFonts w:ascii="Bookman Old Style" w:hAnsi="Bookman Old Style"/>
          <w:sz w:val="24"/>
          <w:szCs w:val="24"/>
        </w:rPr>
        <w:t>determinarán las cantidades</w:t>
      </w:r>
      <w:r>
        <w:rPr>
          <w:rFonts w:ascii="Bookman Old Style" w:hAnsi="Bookman Old Style"/>
          <w:sz w:val="24"/>
          <w:szCs w:val="24"/>
        </w:rPr>
        <w:t xml:space="preserve"> de gas</w:t>
      </w:r>
      <w:r w:rsidR="00946F3E">
        <w:rPr>
          <w:rFonts w:ascii="Bookman Old Style" w:hAnsi="Bookman Old Style"/>
          <w:sz w:val="24"/>
          <w:szCs w:val="24"/>
        </w:rPr>
        <w:t xml:space="preserve"> en MBTU</w:t>
      </w:r>
      <w:r>
        <w:rPr>
          <w:rFonts w:ascii="Bookman Old Style" w:hAnsi="Bookman Old Style"/>
          <w:sz w:val="24"/>
          <w:szCs w:val="24"/>
        </w:rPr>
        <w:t xml:space="preserve"> </w:t>
      </w:r>
      <w:r w:rsidR="0010551E">
        <w:rPr>
          <w:rFonts w:ascii="Bookman Old Style" w:hAnsi="Bookman Old Style"/>
          <w:sz w:val="24"/>
          <w:szCs w:val="24"/>
        </w:rPr>
        <w:t>a</w:t>
      </w:r>
      <w:r w:rsidR="0010551E" w:rsidRPr="0010551E">
        <w:rPr>
          <w:rFonts w:ascii="Bookman Old Style" w:hAnsi="Bookman Old Style"/>
          <w:sz w:val="24"/>
          <w:szCs w:val="24"/>
        </w:rPr>
        <w:t>utorizadas</w:t>
      </w:r>
      <w:r w:rsidR="00946F3E">
        <w:rPr>
          <w:rFonts w:ascii="Bookman Old Style" w:hAnsi="Bookman Old Style"/>
          <w:sz w:val="24"/>
          <w:szCs w:val="24"/>
        </w:rPr>
        <w:t xml:space="preserve"> por el vendedor durante el día de gas</w:t>
      </w:r>
      <w:r>
        <w:rPr>
          <w:rFonts w:ascii="Bookman Old Style" w:hAnsi="Bookman Old Style"/>
          <w:sz w:val="24"/>
          <w:szCs w:val="24"/>
        </w:rPr>
        <w:t xml:space="preserve"> y</w:t>
      </w:r>
      <w:r w:rsidR="00946F3E">
        <w:rPr>
          <w:rFonts w:ascii="Bookman Old Style" w:hAnsi="Bookman Old Style"/>
          <w:sz w:val="24"/>
          <w:szCs w:val="24"/>
        </w:rPr>
        <w:t xml:space="preserve"> liquidarán el valor total </w:t>
      </w:r>
      <w:r w:rsidR="00596243">
        <w:rPr>
          <w:rFonts w:ascii="Bookman Old Style" w:hAnsi="Bookman Old Style"/>
          <w:sz w:val="24"/>
          <w:szCs w:val="24"/>
        </w:rPr>
        <w:t xml:space="preserve">por punto de entrega </w:t>
      </w:r>
      <w:r w:rsidR="00946F3E">
        <w:rPr>
          <w:rFonts w:ascii="Bookman Old Style" w:hAnsi="Bookman Old Style"/>
          <w:sz w:val="24"/>
          <w:szCs w:val="24"/>
        </w:rPr>
        <w:t xml:space="preserve">de esas </w:t>
      </w:r>
      <w:r w:rsidR="00946F3E" w:rsidRPr="0010551E">
        <w:rPr>
          <w:rFonts w:ascii="Bookman Old Style" w:hAnsi="Bookman Old Style"/>
          <w:sz w:val="24"/>
          <w:szCs w:val="24"/>
        </w:rPr>
        <w:t xml:space="preserve">cantidades en dólares americanos. </w:t>
      </w:r>
      <w:r w:rsidR="0010551E" w:rsidRPr="0010551E">
        <w:rPr>
          <w:rFonts w:ascii="Bookman Old Style" w:hAnsi="Bookman Old Style"/>
          <w:sz w:val="24"/>
          <w:szCs w:val="24"/>
        </w:rPr>
        <w:t>La cantidad autorizada es aquella sobre la cual se realiza la facturación por parte del vendedor al comprador.</w:t>
      </w:r>
    </w:p>
    <w:p w:rsidR="001945B4" w:rsidRPr="00D97E89" w:rsidRDefault="001945B4" w:rsidP="00E912C1">
      <w:pPr>
        <w:ind w:left="0"/>
        <w:rPr>
          <w:rFonts w:ascii="Bookman Old Style" w:hAnsi="Bookman Old Style"/>
        </w:rPr>
      </w:pPr>
    </w:p>
    <w:p w:rsidR="00186B10" w:rsidRPr="001945B4" w:rsidRDefault="00186B10" w:rsidP="003A5A17">
      <w:pPr>
        <w:pStyle w:val="Prrafodelista"/>
        <w:numPr>
          <w:ilvl w:val="0"/>
          <w:numId w:val="18"/>
        </w:numPr>
        <w:ind w:left="1701" w:hanging="567"/>
        <w:jc w:val="both"/>
        <w:rPr>
          <w:rFonts w:ascii="Bookman Old Style" w:hAnsi="Bookman Old Style"/>
        </w:rPr>
      </w:pPr>
      <w:r w:rsidRPr="001945B4">
        <w:rPr>
          <w:rFonts w:ascii="Bookman Old Style" w:hAnsi="Bookman Old Style"/>
          <w:sz w:val="24"/>
          <w:szCs w:val="24"/>
        </w:rPr>
        <w:t xml:space="preserve">Reporte de información </w:t>
      </w:r>
      <w:r w:rsidR="00525212" w:rsidRPr="001945B4">
        <w:rPr>
          <w:rFonts w:ascii="Bookman Old Style" w:hAnsi="Bookman Old Style"/>
          <w:sz w:val="24"/>
          <w:szCs w:val="24"/>
        </w:rPr>
        <w:t xml:space="preserve">al </w:t>
      </w:r>
      <w:r w:rsidRPr="001945B4">
        <w:rPr>
          <w:rFonts w:ascii="Bookman Old Style" w:hAnsi="Bookman Old Style"/>
          <w:sz w:val="24"/>
          <w:szCs w:val="24"/>
        </w:rPr>
        <w:t xml:space="preserve">gestor del mercado: </w:t>
      </w:r>
    </w:p>
    <w:p w:rsidR="00186B10" w:rsidRPr="00D97E89" w:rsidRDefault="00186B10" w:rsidP="00E912C1">
      <w:pPr>
        <w:ind w:left="0"/>
        <w:rPr>
          <w:rFonts w:ascii="Bookman Old Style" w:hAnsi="Bookman Old Style"/>
        </w:rPr>
      </w:pPr>
    </w:p>
    <w:p w:rsidR="008025A6" w:rsidRPr="008025A6" w:rsidRDefault="00AD55A9" w:rsidP="003A5A17">
      <w:pPr>
        <w:pStyle w:val="Prrafodelista"/>
        <w:numPr>
          <w:ilvl w:val="0"/>
          <w:numId w:val="19"/>
        </w:numPr>
        <w:ind w:left="2268" w:hanging="567"/>
        <w:jc w:val="both"/>
        <w:rPr>
          <w:rFonts w:ascii="Bookman Old Style" w:hAnsi="Bookman Old Style"/>
        </w:rPr>
      </w:pPr>
      <w:r>
        <w:rPr>
          <w:rFonts w:ascii="Bookman Old Style" w:hAnsi="Bookman Old Style"/>
          <w:sz w:val="24"/>
          <w:szCs w:val="24"/>
        </w:rPr>
        <w:t xml:space="preserve">Información del contrato: </w:t>
      </w:r>
      <w:r w:rsidR="008025A6">
        <w:rPr>
          <w:rFonts w:ascii="Bookman Old Style" w:hAnsi="Bookman Old Style"/>
          <w:sz w:val="24"/>
          <w:szCs w:val="24"/>
        </w:rPr>
        <w:t>l</w:t>
      </w:r>
      <w:r w:rsidR="00D24853">
        <w:rPr>
          <w:rFonts w:ascii="Bookman Old Style" w:hAnsi="Bookman Old Style"/>
          <w:sz w:val="24"/>
          <w:szCs w:val="24"/>
        </w:rPr>
        <w:t>as partes deberán reportar al gestor</w:t>
      </w:r>
      <w:r w:rsidR="002D1B0D">
        <w:rPr>
          <w:rFonts w:ascii="Bookman Old Style" w:hAnsi="Bookman Old Style"/>
          <w:sz w:val="24"/>
          <w:szCs w:val="24"/>
        </w:rPr>
        <w:t xml:space="preserve"> del mercado</w:t>
      </w:r>
      <w:r w:rsidR="00D24853">
        <w:rPr>
          <w:rFonts w:ascii="Bookman Old Style" w:hAnsi="Bookman Old Style"/>
          <w:sz w:val="24"/>
          <w:szCs w:val="24"/>
        </w:rPr>
        <w:t xml:space="preserve"> la información de los contratos según lo dispuesto en el Anexo 2 de la presente </w:t>
      </w:r>
      <w:r w:rsidR="008025A6">
        <w:rPr>
          <w:rFonts w:ascii="Bookman Old Style" w:hAnsi="Bookman Old Style"/>
          <w:sz w:val="24"/>
          <w:szCs w:val="24"/>
        </w:rPr>
        <w:t>Resolución. Este contrato debe</w:t>
      </w:r>
      <w:r w:rsidR="002D1B0D">
        <w:rPr>
          <w:rFonts w:ascii="Bookman Old Style" w:hAnsi="Bookman Old Style"/>
          <w:sz w:val="24"/>
          <w:szCs w:val="24"/>
        </w:rPr>
        <w:t>rá</w:t>
      </w:r>
      <w:r w:rsidR="008025A6">
        <w:rPr>
          <w:rFonts w:ascii="Bookman Old Style" w:hAnsi="Bookman Old Style"/>
          <w:sz w:val="24"/>
          <w:szCs w:val="24"/>
        </w:rPr>
        <w:t xml:space="preserve"> estar registrado ante el gestor del mercado</w:t>
      </w:r>
      <w:r w:rsidR="007E30D2">
        <w:rPr>
          <w:rFonts w:ascii="Bookman Old Style" w:hAnsi="Bookman Old Style"/>
          <w:sz w:val="24"/>
          <w:szCs w:val="24"/>
        </w:rPr>
        <w:t xml:space="preserve"> </w:t>
      </w:r>
      <w:r w:rsidR="007E30D2" w:rsidRPr="00FE0A4C">
        <w:rPr>
          <w:rFonts w:ascii="Bookman Old Style" w:hAnsi="Bookman Old Style"/>
          <w:sz w:val="24"/>
          <w:szCs w:val="24"/>
        </w:rPr>
        <w:t>7 días calendario</w:t>
      </w:r>
      <w:r w:rsidR="007E30D2">
        <w:rPr>
          <w:rFonts w:ascii="Bookman Old Style" w:hAnsi="Bookman Old Style"/>
          <w:sz w:val="24"/>
          <w:szCs w:val="24"/>
        </w:rPr>
        <w:t xml:space="preserve"> antes del día de inicio de</w:t>
      </w:r>
      <w:r w:rsidR="008025A6">
        <w:rPr>
          <w:rFonts w:ascii="Bookman Old Style" w:hAnsi="Bookman Old Style"/>
          <w:sz w:val="24"/>
          <w:szCs w:val="24"/>
        </w:rPr>
        <w:t xml:space="preserve"> ejecución. </w:t>
      </w:r>
    </w:p>
    <w:p w:rsidR="001A1567" w:rsidRDefault="001A1567" w:rsidP="001A1567">
      <w:pPr>
        <w:pStyle w:val="Prrafodelista"/>
        <w:ind w:left="2007"/>
        <w:jc w:val="both"/>
        <w:rPr>
          <w:rFonts w:ascii="Bookman Old Style" w:hAnsi="Bookman Old Style"/>
          <w:sz w:val="24"/>
          <w:szCs w:val="24"/>
        </w:rPr>
      </w:pPr>
    </w:p>
    <w:p w:rsidR="0010551E" w:rsidRPr="0010551E" w:rsidRDefault="00AD55A9" w:rsidP="003A5A17">
      <w:pPr>
        <w:pStyle w:val="Prrafodelista"/>
        <w:numPr>
          <w:ilvl w:val="0"/>
          <w:numId w:val="19"/>
        </w:numPr>
        <w:ind w:left="2268" w:hanging="567"/>
        <w:jc w:val="both"/>
        <w:rPr>
          <w:rFonts w:ascii="Bookman Old Style" w:hAnsi="Bookman Old Style"/>
          <w:sz w:val="24"/>
          <w:szCs w:val="24"/>
        </w:rPr>
      </w:pPr>
      <w:r w:rsidRPr="0010551E">
        <w:rPr>
          <w:rFonts w:ascii="Bookman Old Style" w:hAnsi="Bookman Old Style"/>
          <w:sz w:val="24"/>
          <w:szCs w:val="24"/>
        </w:rPr>
        <w:t xml:space="preserve">Información de ejecución del contrato: </w:t>
      </w:r>
      <w:r w:rsidR="002D1B0D" w:rsidRPr="0010551E">
        <w:rPr>
          <w:rFonts w:ascii="Bookman Old Style" w:hAnsi="Bookman Old Style"/>
          <w:sz w:val="24"/>
          <w:szCs w:val="24"/>
        </w:rPr>
        <w:t xml:space="preserve">a más tardar el </w:t>
      </w:r>
      <w:r w:rsidR="002D1B0D" w:rsidRPr="00FE0A4C">
        <w:rPr>
          <w:rFonts w:ascii="Bookman Old Style" w:hAnsi="Bookman Old Style"/>
          <w:sz w:val="24"/>
          <w:szCs w:val="24"/>
        </w:rPr>
        <w:t>día D+1</w:t>
      </w:r>
      <w:r w:rsidR="002D1B0D" w:rsidRPr="0010551E">
        <w:rPr>
          <w:rFonts w:ascii="Bookman Old Style" w:hAnsi="Bookman Old Style"/>
          <w:sz w:val="24"/>
          <w:szCs w:val="24"/>
        </w:rPr>
        <w:t xml:space="preserve"> las partes </w:t>
      </w:r>
      <w:r w:rsidR="001945B4" w:rsidRPr="0010551E">
        <w:rPr>
          <w:rFonts w:ascii="Bookman Old Style" w:hAnsi="Bookman Old Style"/>
          <w:sz w:val="24"/>
          <w:szCs w:val="24"/>
        </w:rPr>
        <w:t>deberá</w:t>
      </w:r>
      <w:r w:rsidR="002D1B0D" w:rsidRPr="0010551E">
        <w:rPr>
          <w:rFonts w:ascii="Bookman Old Style" w:hAnsi="Bookman Old Style"/>
          <w:sz w:val="24"/>
          <w:szCs w:val="24"/>
        </w:rPr>
        <w:t>n</w:t>
      </w:r>
      <w:r w:rsidR="001945B4" w:rsidRPr="0010551E">
        <w:rPr>
          <w:rFonts w:ascii="Bookman Old Style" w:hAnsi="Bookman Old Style"/>
          <w:sz w:val="24"/>
          <w:szCs w:val="24"/>
        </w:rPr>
        <w:t xml:space="preserve"> </w:t>
      </w:r>
      <w:r w:rsidR="002D1B0D" w:rsidRPr="0010551E">
        <w:rPr>
          <w:rFonts w:ascii="Bookman Old Style" w:hAnsi="Bookman Old Style"/>
          <w:sz w:val="24"/>
          <w:szCs w:val="24"/>
        </w:rPr>
        <w:t xml:space="preserve">declarar al </w:t>
      </w:r>
      <w:r w:rsidR="001945B4" w:rsidRPr="0010551E">
        <w:rPr>
          <w:rFonts w:ascii="Bookman Old Style" w:hAnsi="Bookman Old Style"/>
          <w:sz w:val="24"/>
          <w:szCs w:val="24"/>
        </w:rPr>
        <w:t>gestor del mercado</w:t>
      </w:r>
      <w:r w:rsidR="00143390" w:rsidRPr="0010551E">
        <w:rPr>
          <w:rFonts w:ascii="Bookman Old Style" w:hAnsi="Bookman Old Style"/>
          <w:sz w:val="24"/>
          <w:szCs w:val="24"/>
        </w:rPr>
        <w:t xml:space="preserve"> las cantidades en MBTU </w:t>
      </w:r>
      <w:r w:rsidR="0010551E" w:rsidRPr="0010551E">
        <w:rPr>
          <w:rFonts w:ascii="Bookman Old Style" w:hAnsi="Bookman Old Style"/>
          <w:sz w:val="24"/>
          <w:szCs w:val="24"/>
        </w:rPr>
        <w:t>autorizadas</w:t>
      </w:r>
      <w:r w:rsidR="00143390" w:rsidRPr="0010551E">
        <w:rPr>
          <w:rFonts w:ascii="Bookman Old Style" w:hAnsi="Bookman Old Style"/>
          <w:sz w:val="24"/>
          <w:szCs w:val="24"/>
        </w:rPr>
        <w:t xml:space="preserve"> por el vendedor, el punto de entrega, el precio unitario expresado en USD/MBTU determinado a partir de la información del literal c) del numeral 4 del literal B del presente art</w:t>
      </w:r>
      <w:r w:rsidR="00DA7488" w:rsidRPr="0010551E">
        <w:rPr>
          <w:rFonts w:ascii="Bookman Old Style" w:hAnsi="Bookman Old Style"/>
          <w:sz w:val="24"/>
          <w:szCs w:val="24"/>
        </w:rPr>
        <w:t>ículo</w:t>
      </w:r>
      <w:r w:rsidR="00143390" w:rsidRPr="0010551E">
        <w:rPr>
          <w:rFonts w:ascii="Bookman Old Style" w:hAnsi="Bookman Old Style"/>
          <w:sz w:val="24"/>
          <w:szCs w:val="24"/>
        </w:rPr>
        <w:t xml:space="preserve"> y </w:t>
      </w:r>
      <w:r w:rsidR="00DA7488" w:rsidRPr="0010551E">
        <w:rPr>
          <w:rFonts w:ascii="Bookman Old Style" w:hAnsi="Bookman Old Style"/>
          <w:sz w:val="24"/>
          <w:szCs w:val="24"/>
        </w:rPr>
        <w:t xml:space="preserve">el tipo de </w:t>
      </w:r>
      <w:r w:rsidR="00143390" w:rsidRPr="0010551E">
        <w:rPr>
          <w:rFonts w:ascii="Bookman Old Style" w:hAnsi="Bookman Old Style"/>
          <w:sz w:val="24"/>
          <w:szCs w:val="24"/>
        </w:rPr>
        <w:t xml:space="preserve">demanda </w:t>
      </w:r>
      <w:r w:rsidR="00DA7488" w:rsidRPr="0010551E">
        <w:rPr>
          <w:rFonts w:ascii="Bookman Old Style" w:hAnsi="Bookman Old Style"/>
          <w:sz w:val="24"/>
          <w:szCs w:val="24"/>
        </w:rPr>
        <w:t>atendida.</w:t>
      </w:r>
      <w:r w:rsidR="0010551E" w:rsidRPr="0010551E">
        <w:rPr>
          <w:rFonts w:ascii="Bookman Old Style" w:hAnsi="Bookman Old Style"/>
          <w:sz w:val="24"/>
          <w:szCs w:val="24"/>
        </w:rPr>
        <w:t xml:space="preserve"> La cantidad autorizada es aquella sobre la cual se realiza la facturación por parte del vendedor al comprador.</w:t>
      </w:r>
    </w:p>
    <w:p w:rsidR="00D83D83" w:rsidRPr="00147CBF" w:rsidRDefault="00D83D83" w:rsidP="00E912C1">
      <w:pPr>
        <w:ind w:left="0"/>
        <w:jc w:val="both"/>
        <w:rPr>
          <w:rFonts w:ascii="Bookman Old Style" w:hAnsi="Bookman Old Style"/>
          <w:b/>
          <w:sz w:val="20"/>
        </w:rPr>
      </w:pPr>
    </w:p>
    <w:p w:rsidR="00F46F9E" w:rsidRPr="0054237D" w:rsidRDefault="00F46F9E" w:rsidP="00E912C1">
      <w:pPr>
        <w:jc w:val="both"/>
        <w:rPr>
          <w:rFonts w:ascii="Bookman Old Style" w:hAnsi="Bookman Old Style"/>
        </w:rPr>
      </w:pPr>
      <w:r w:rsidRPr="0054237D">
        <w:rPr>
          <w:rFonts w:ascii="Bookman Old Style" w:hAnsi="Bookman Old Style"/>
          <w:b/>
        </w:rPr>
        <w:t>Parágrafo 1.</w:t>
      </w:r>
      <w:r w:rsidRPr="0054237D">
        <w:rPr>
          <w:rFonts w:ascii="Bookman Old Style" w:hAnsi="Bookman Old Style"/>
          <w:lang w:val="es-ES_tradnl"/>
        </w:rPr>
        <w:t xml:space="preserve"> </w:t>
      </w:r>
      <w:r w:rsidRPr="0054237D">
        <w:rPr>
          <w:rFonts w:ascii="Bookman Old Style" w:hAnsi="Bookman Old Style"/>
        </w:rPr>
        <w:t>De manera transitoria, los vendedores y los compradores a los que se hace referencia en los Artículos 17, 33, 18 y 34</w:t>
      </w:r>
      <w:r w:rsidRPr="0054237D">
        <w:rPr>
          <w:rFonts w:ascii="Bookman Old Style" w:hAnsi="Bookman Old Style"/>
          <w:lang w:val="es-CO"/>
        </w:rPr>
        <w:t xml:space="preserve"> </w:t>
      </w:r>
      <w:r w:rsidRPr="0054237D">
        <w:rPr>
          <w:rFonts w:ascii="Bookman Old Style" w:hAnsi="Bookman Old Style"/>
        </w:rPr>
        <w:t xml:space="preserve">de esta Resolución podrán negociar directamente la compraventa de gas natural mediante la modalidad de contratos con interrupciones con una vigencia </w:t>
      </w:r>
      <w:r w:rsidRPr="0054237D">
        <w:rPr>
          <w:rFonts w:ascii="Bookman Old Style" w:hAnsi="Bookman Old Style"/>
          <w:lang w:val="es-ES_tradnl"/>
        </w:rPr>
        <w:t>no mayor al último día del mes en que inicie el período de vigencia de la obligación de prestación de los servicios a cargo del gestor del mercado</w:t>
      </w:r>
      <w:r w:rsidRPr="0054237D">
        <w:rPr>
          <w:rFonts w:ascii="Bookman Old Style" w:hAnsi="Bookman Old Style"/>
        </w:rPr>
        <w:t>.</w:t>
      </w:r>
    </w:p>
    <w:p w:rsidR="00F46F9E" w:rsidRPr="0054237D" w:rsidRDefault="00F46F9E" w:rsidP="00E912C1">
      <w:pPr>
        <w:jc w:val="both"/>
        <w:rPr>
          <w:rFonts w:ascii="Bookman Old Style" w:hAnsi="Bookman Old Style"/>
        </w:rPr>
      </w:pPr>
    </w:p>
    <w:p w:rsidR="00F46F9E" w:rsidRPr="0054237D" w:rsidRDefault="00F46F9E" w:rsidP="00E912C1">
      <w:pPr>
        <w:jc w:val="both"/>
        <w:rPr>
          <w:rFonts w:ascii="Bookman Old Style" w:hAnsi="Bookman Old Style"/>
        </w:rPr>
      </w:pPr>
      <w:r w:rsidRPr="0054237D">
        <w:rPr>
          <w:rFonts w:ascii="Bookman Old Style" w:hAnsi="Bookman Old Style"/>
          <w:b/>
        </w:rPr>
        <w:t>Parágrafo 2.</w:t>
      </w:r>
      <w:r w:rsidRPr="0054237D">
        <w:rPr>
          <w:rFonts w:ascii="Bookman Old Style" w:hAnsi="Bookman Old Style"/>
        </w:rPr>
        <w:t xml:space="preserve"> De conformidad con lo establecido en el artículo 12 del Decreto 2100 de 2011</w:t>
      </w:r>
      <w:r w:rsidRPr="0054237D">
        <w:rPr>
          <w:rFonts w:ascii="Bookman Old Style" w:hAnsi="Bookman Old Style"/>
          <w:lang w:val="es-CO"/>
        </w:rPr>
        <w:t xml:space="preserve">, o aquel que lo modifique complemente o sustituya, los </w:t>
      </w:r>
      <w:r w:rsidRPr="0054237D">
        <w:rPr>
          <w:rFonts w:ascii="Bookman Old Style" w:hAnsi="Bookman Old Style"/>
        </w:rPr>
        <w:t>vendedores a los que se hace referencia en el</w:t>
      </w:r>
      <w:r w:rsidR="0054237D">
        <w:rPr>
          <w:rFonts w:ascii="Bookman Old Style" w:hAnsi="Bookman Old Style"/>
        </w:rPr>
        <w:t xml:space="preserve"> Artículo 17</w:t>
      </w:r>
      <w:r w:rsidRPr="0054237D">
        <w:rPr>
          <w:rFonts w:ascii="Bookman Old Style" w:hAnsi="Bookman Old Style"/>
        </w:rPr>
        <w:t xml:space="preserve"> de esta Resolución podrán negociar directamente el suministro d</w:t>
      </w:r>
      <w:r w:rsidRPr="0054237D">
        <w:rPr>
          <w:rFonts w:ascii="Bookman Old Style" w:hAnsi="Bookman Old Style"/>
          <w:lang w:val="es-CO"/>
        </w:rPr>
        <w:t xml:space="preserve">el gas natural que provenga de campos </w:t>
      </w:r>
      <w:r w:rsidRPr="0054237D">
        <w:rPr>
          <w:rFonts w:ascii="Bookman Old Style" w:hAnsi="Bookman Old Style"/>
        </w:rPr>
        <w:t>que se encuentren en pruebas extensas o sobre los cuales no se haya declarado su comercialidad, de campos menores o de yacimientos no convencionales mediante la modalidad de contratos con interrupciones, sin sujetarse a lo dispuesto en el</w:t>
      </w:r>
      <w:r w:rsidRPr="0054237D">
        <w:rPr>
          <w:rFonts w:ascii="Bookman Old Style" w:hAnsi="Bookman Old Style"/>
          <w:lang w:val="es-CO"/>
        </w:rPr>
        <w:t xml:space="preserve"> Anexo 9 </w:t>
      </w:r>
      <w:r w:rsidRPr="0054237D">
        <w:rPr>
          <w:rFonts w:ascii="Bookman Old Style" w:hAnsi="Bookman Old Style"/>
        </w:rPr>
        <w:t>de esta Resolución.</w:t>
      </w:r>
    </w:p>
    <w:p w:rsidR="00F46F9E" w:rsidRPr="0054237D" w:rsidRDefault="00F46F9E" w:rsidP="00E912C1">
      <w:pPr>
        <w:jc w:val="both"/>
        <w:rPr>
          <w:rFonts w:ascii="Bookman Old Style" w:hAnsi="Bookman Old Style"/>
        </w:rPr>
      </w:pPr>
    </w:p>
    <w:p w:rsidR="00F46F9E" w:rsidRDefault="00F46F9E" w:rsidP="00E912C1">
      <w:pPr>
        <w:jc w:val="both"/>
        <w:rPr>
          <w:rFonts w:ascii="Bookman Old Style" w:hAnsi="Bookman Old Style"/>
          <w:lang w:val="es-CO"/>
        </w:rPr>
      </w:pPr>
      <w:r w:rsidRPr="0054237D">
        <w:rPr>
          <w:rFonts w:ascii="Bookman Old Style" w:hAnsi="Bookman Old Style"/>
          <w:b/>
        </w:rPr>
        <w:t>Parágrafo 3.</w:t>
      </w:r>
      <w:r w:rsidRPr="0054237D">
        <w:rPr>
          <w:rFonts w:ascii="Bookman Old Style" w:hAnsi="Bookman Old Style"/>
          <w:lang w:val="es-CO"/>
        </w:rPr>
        <w:t xml:space="preserve"> Los </w:t>
      </w:r>
      <w:r w:rsidRPr="0054237D">
        <w:rPr>
          <w:rFonts w:ascii="Bookman Old Style" w:hAnsi="Bookman Old Style"/>
        </w:rPr>
        <w:t>comercializadores de gas natural importado podrán negociar directamente con los generadores térmicos el suministro d</w:t>
      </w:r>
      <w:r w:rsidRPr="0054237D">
        <w:rPr>
          <w:rFonts w:ascii="Bookman Old Style" w:hAnsi="Bookman Old Style"/>
          <w:lang w:val="es-CO"/>
        </w:rPr>
        <w:t xml:space="preserve">el gas natural, con </w:t>
      </w:r>
      <w:r w:rsidRPr="0054237D">
        <w:rPr>
          <w:rFonts w:ascii="Bookman Old Style" w:hAnsi="Bookman Old Style"/>
        </w:rPr>
        <w:t>destin</w:t>
      </w:r>
      <w:r w:rsidRPr="0054237D">
        <w:rPr>
          <w:rFonts w:ascii="Bookman Old Style" w:hAnsi="Bookman Old Style"/>
          <w:lang w:val="es-CO"/>
        </w:rPr>
        <w:t>o</w:t>
      </w:r>
      <w:r w:rsidRPr="0054237D">
        <w:rPr>
          <w:rFonts w:ascii="Bookman Old Style" w:hAnsi="Bookman Old Style"/>
        </w:rPr>
        <w:t xml:space="preserve"> a la atención de la demanda del sector térmico</w:t>
      </w:r>
      <w:r w:rsidRPr="0054237D">
        <w:rPr>
          <w:rFonts w:ascii="Bookman Old Style" w:hAnsi="Bookman Old Style"/>
          <w:lang w:val="es-CO"/>
        </w:rPr>
        <w:t>,</w:t>
      </w:r>
      <w:r w:rsidRPr="0054237D">
        <w:rPr>
          <w:rFonts w:ascii="Bookman Old Style" w:hAnsi="Bookman Old Style"/>
        </w:rPr>
        <w:t xml:space="preserve"> mediante la modalidad de contratos con interrupciones. Estos contratos tendrán duración mensual. Solamente en este caso los comercializadores de gas natural importado no estarán obligados a dar aplicación a lo dispuesto en el </w:t>
      </w:r>
      <w:r w:rsidRPr="0054237D">
        <w:rPr>
          <w:rFonts w:ascii="Bookman Old Style" w:hAnsi="Bookman Old Style"/>
          <w:lang w:val="es-CO"/>
        </w:rPr>
        <w:t xml:space="preserve">Anexo 9 </w:t>
      </w:r>
      <w:r w:rsidRPr="0054237D">
        <w:rPr>
          <w:rFonts w:ascii="Bookman Old Style" w:hAnsi="Bookman Old Style"/>
        </w:rPr>
        <w:t>de esta Resolución</w:t>
      </w:r>
      <w:r w:rsidRPr="0054237D">
        <w:rPr>
          <w:rFonts w:ascii="Bookman Old Style" w:hAnsi="Bookman Old Style"/>
          <w:lang w:val="es-CO"/>
        </w:rPr>
        <w:t>.</w:t>
      </w:r>
    </w:p>
    <w:p w:rsidR="003D0EA4" w:rsidRDefault="003D0EA4" w:rsidP="00E912C1">
      <w:pPr>
        <w:jc w:val="both"/>
        <w:rPr>
          <w:rFonts w:ascii="Bookman Old Style" w:hAnsi="Bookman Old Style"/>
          <w:lang w:val="es-CO"/>
        </w:rPr>
      </w:pPr>
    </w:p>
    <w:p w:rsidR="00D35785" w:rsidRDefault="003D0EA4" w:rsidP="00E912C1">
      <w:pPr>
        <w:jc w:val="both"/>
        <w:rPr>
          <w:rFonts w:ascii="Bookman Old Style" w:hAnsi="Bookman Old Style"/>
          <w:lang w:val="es-CO"/>
        </w:rPr>
      </w:pPr>
      <w:r w:rsidRPr="00FE0A4C">
        <w:rPr>
          <w:rFonts w:ascii="Bookman Old Style" w:hAnsi="Bookman Old Style"/>
          <w:b/>
          <w:lang w:val="es-CO"/>
        </w:rPr>
        <w:t>Parágrafo 4.</w:t>
      </w:r>
      <w:r w:rsidRPr="00FE0A4C">
        <w:rPr>
          <w:rFonts w:ascii="Bookman Old Style" w:hAnsi="Bookman Old Style"/>
          <w:lang w:val="es-CO"/>
        </w:rPr>
        <w:t xml:space="preserve"> Los contratos con interrupciones</w:t>
      </w:r>
      <w:r w:rsidR="00BA0BD8" w:rsidRPr="00FE0A4C">
        <w:rPr>
          <w:rFonts w:ascii="Bookman Old Style" w:hAnsi="Bookman Old Style"/>
          <w:lang w:val="es-CO"/>
        </w:rPr>
        <w:t xml:space="preserve"> </w:t>
      </w:r>
      <w:r w:rsidR="00D35785" w:rsidRPr="00FE0A4C">
        <w:rPr>
          <w:rFonts w:ascii="Bookman Old Style" w:hAnsi="Bookman Old Style"/>
          <w:lang w:val="es-CO"/>
        </w:rPr>
        <w:t xml:space="preserve">a los que se hace referencia en: </w:t>
      </w:r>
    </w:p>
    <w:p w:rsidR="001A1567" w:rsidRPr="00FE0A4C" w:rsidRDefault="001A1567" w:rsidP="00E912C1">
      <w:pPr>
        <w:jc w:val="both"/>
        <w:rPr>
          <w:rFonts w:ascii="Bookman Old Style" w:hAnsi="Bookman Old Style"/>
          <w:lang w:val="es-CO"/>
        </w:rPr>
      </w:pPr>
    </w:p>
    <w:p w:rsidR="00D35785" w:rsidRPr="00FE0A4C" w:rsidRDefault="00524783" w:rsidP="003A5A17">
      <w:pPr>
        <w:pStyle w:val="Prrafodelista"/>
        <w:numPr>
          <w:ilvl w:val="3"/>
          <w:numId w:val="19"/>
        </w:numPr>
        <w:ind w:left="1134" w:hanging="567"/>
        <w:jc w:val="both"/>
        <w:rPr>
          <w:rFonts w:ascii="Bookman Old Style" w:hAnsi="Bookman Old Style"/>
          <w:sz w:val="24"/>
          <w:szCs w:val="24"/>
        </w:rPr>
      </w:pPr>
      <w:r>
        <w:rPr>
          <w:rFonts w:ascii="Bookman Old Style" w:hAnsi="Bookman Old Style"/>
          <w:sz w:val="24"/>
          <w:szCs w:val="24"/>
        </w:rPr>
        <w:t>El p</w:t>
      </w:r>
      <w:r w:rsidR="00D35785" w:rsidRPr="00FE0A4C">
        <w:rPr>
          <w:rFonts w:ascii="Bookman Old Style" w:hAnsi="Bookman Old Style"/>
          <w:sz w:val="24"/>
          <w:szCs w:val="24"/>
        </w:rPr>
        <w:t>arágrafo 2 del artículo 7</w:t>
      </w:r>
      <w:r w:rsidR="00FE0A4C" w:rsidRPr="00FE0A4C">
        <w:rPr>
          <w:rFonts w:ascii="Bookman Old Style" w:hAnsi="Bookman Old Style"/>
          <w:sz w:val="24"/>
          <w:szCs w:val="24"/>
        </w:rPr>
        <w:t>, el parágrafo del artículo 10, el numeral 3 del artículo 13</w:t>
      </w:r>
      <w:r w:rsidR="00312D43">
        <w:rPr>
          <w:rFonts w:ascii="Bookman Old Style" w:hAnsi="Bookman Old Style"/>
          <w:sz w:val="24"/>
          <w:szCs w:val="24"/>
        </w:rPr>
        <w:t xml:space="preserve"> y el numeral 3 del artículo 14</w:t>
      </w:r>
      <w:r w:rsidR="00FE0A4C" w:rsidRPr="00FE0A4C">
        <w:rPr>
          <w:rFonts w:ascii="Bookman Old Style" w:hAnsi="Bookman Old Style"/>
          <w:sz w:val="24"/>
          <w:szCs w:val="24"/>
        </w:rPr>
        <w:t xml:space="preserve"> </w:t>
      </w:r>
      <w:r w:rsidR="00D35785" w:rsidRPr="00FE0A4C">
        <w:rPr>
          <w:rFonts w:ascii="Bookman Old Style" w:hAnsi="Bookman Old Style"/>
          <w:sz w:val="24"/>
          <w:szCs w:val="24"/>
        </w:rPr>
        <w:t>de la Resolución CREG 123 de 2017.</w:t>
      </w:r>
    </w:p>
    <w:p w:rsidR="001A1567" w:rsidRDefault="001A1567" w:rsidP="001A1567">
      <w:pPr>
        <w:pStyle w:val="Prrafodelista"/>
        <w:ind w:left="1134" w:hanging="567"/>
        <w:jc w:val="both"/>
        <w:rPr>
          <w:rFonts w:ascii="Bookman Old Style" w:hAnsi="Bookman Old Style"/>
          <w:sz w:val="24"/>
          <w:szCs w:val="24"/>
        </w:rPr>
      </w:pPr>
    </w:p>
    <w:p w:rsidR="00D35785" w:rsidRPr="00FE0A4C" w:rsidRDefault="00D35785" w:rsidP="003A5A17">
      <w:pPr>
        <w:pStyle w:val="Prrafodelista"/>
        <w:numPr>
          <w:ilvl w:val="3"/>
          <w:numId w:val="19"/>
        </w:numPr>
        <w:ind w:left="1134" w:hanging="567"/>
        <w:jc w:val="both"/>
        <w:rPr>
          <w:rFonts w:ascii="Bookman Old Style" w:hAnsi="Bookman Old Style"/>
          <w:sz w:val="24"/>
          <w:szCs w:val="24"/>
        </w:rPr>
      </w:pPr>
      <w:r w:rsidRPr="00FE0A4C">
        <w:rPr>
          <w:rFonts w:ascii="Bookman Old Style" w:hAnsi="Bookman Old Style"/>
          <w:sz w:val="24"/>
          <w:szCs w:val="24"/>
        </w:rPr>
        <w:t>Los contratos con interrupciones pactados entre el 15 de agosto de 2013 y la entrada en vigencia de la presente resolución.</w:t>
      </w:r>
    </w:p>
    <w:p w:rsidR="00D35785" w:rsidRPr="009E61AB" w:rsidRDefault="00D35785" w:rsidP="00E912C1">
      <w:pPr>
        <w:jc w:val="both"/>
        <w:rPr>
          <w:rFonts w:ascii="Bookman Old Style" w:hAnsi="Bookman Old Style"/>
          <w:lang w:val="es-CO"/>
        </w:rPr>
      </w:pPr>
    </w:p>
    <w:p w:rsidR="003D0EA4" w:rsidRPr="0054237D" w:rsidRDefault="00D35785" w:rsidP="00E912C1">
      <w:pPr>
        <w:jc w:val="both"/>
        <w:rPr>
          <w:rFonts w:ascii="Bookman Old Style" w:hAnsi="Bookman Old Style"/>
          <w:lang w:val="es-CO"/>
        </w:rPr>
      </w:pPr>
      <w:r w:rsidRPr="009E61AB">
        <w:rPr>
          <w:rFonts w:ascii="Bookman Old Style" w:hAnsi="Bookman Old Style"/>
          <w:lang w:val="es-CO"/>
        </w:rPr>
        <w:t>S</w:t>
      </w:r>
      <w:r w:rsidR="00BA0BD8" w:rsidRPr="009E61AB">
        <w:rPr>
          <w:rFonts w:ascii="Bookman Old Style" w:hAnsi="Bookman Old Style"/>
          <w:lang w:val="es-CO"/>
        </w:rPr>
        <w:t>e entenderán como contratos con interrupciones negociados mediante subastas</w:t>
      </w:r>
      <w:r w:rsidRPr="009E61AB">
        <w:rPr>
          <w:rFonts w:ascii="Bookman Old Style" w:hAnsi="Bookman Old Style"/>
          <w:lang w:val="es-CO"/>
        </w:rPr>
        <w:t>,</w:t>
      </w:r>
      <w:r>
        <w:rPr>
          <w:rFonts w:ascii="Bookman Old Style" w:hAnsi="Bookman Old Style"/>
          <w:lang w:val="es-CO"/>
        </w:rPr>
        <w:t xml:space="preserve"> a los que hace referencia el literal A </w:t>
      </w:r>
      <w:r w:rsidR="009E61AB">
        <w:rPr>
          <w:rFonts w:ascii="Bookman Old Style" w:hAnsi="Bookman Old Style"/>
          <w:lang w:val="es-CO"/>
        </w:rPr>
        <w:t>del presente artículo.</w:t>
      </w:r>
    </w:p>
    <w:p w:rsidR="00F46F9E" w:rsidRDefault="00F46F9E" w:rsidP="00E912C1">
      <w:pPr>
        <w:pStyle w:val="ARTICULOS"/>
        <w:numPr>
          <w:ilvl w:val="0"/>
          <w:numId w:val="0"/>
        </w:numPr>
        <w:rPr>
          <w:rFonts w:cs="Arial"/>
          <w:color w:val="000000"/>
          <w:lang w:val="es-ES"/>
        </w:rPr>
      </w:pPr>
    </w:p>
    <w:p w:rsidR="00373087" w:rsidRPr="00AB1831" w:rsidRDefault="00373087" w:rsidP="00E912C1">
      <w:pPr>
        <w:jc w:val="both"/>
        <w:rPr>
          <w:rFonts w:ascii="Bookman Old Style" w:hAnsi="Bookman Old Style"/>
          <w:b/>
          <w:lang w:val="es-CO"/>
        </w:rPr>
      </w:pPr>
      <w:r w:rsidRPr="00FE0A4C">
        <w:rPr>
          <w:rFonts w:ascii="Bookman Old Style" w:hAnsi="Bookman Old Style"/>
          <w:b/>
          <w:lang w:val="es-CO"/>
        </w:rPr>
        <w:t xml:space="preserve">Parágrafo 5. </w:t>
      </w:r>
      <w:r w:rsidR="00AB1831" w:rsidRPr="00FE0A4C">
        <w:rPr>
          <w:rFonts w:ascii="Bookman Old Style" w:hAnsi="Bookman Old Style"/>
          <w:lang w:val="es-CO"/>
        </w:rPr>
        <w:t xml:space="preserve">Para los contratos </w:t>
      </w:r>
      <w:r w:rsidR="00FE0A4C" w:rsidRPr="00FE0A4C">
        <w:rPr>
          <w:rFonts w:ascii="Bookman Old Style" w:hAnsi="Bookman Old Style"/>
          <w:lang w:val="es-CO"/>
        </w:rPr>
        <w:t xml:space="preserve">de negociaciones bilaterales </w:t>
      </w:r>
      <w:r w:rsidR="00AB1831" w:rsidRPr="00FE0A4C">
        <w:rPr>
          <w:rFonts w:ascii="Bookman Old Style" w:hAnsi="Bookman Old Style"/>
          <w:lang w:val="es-CO"/>
        </w:rPr>
        <w:t xml:space="preserve">que inicien </w:t>
      </w:r>
      <w:r w:rsidR="00FE0A4C" w:rsidRPr="00FE0A4C">
        <w:rPr>
          <w:rFonts w:ascii="Bookman Old Style" w:hAnsi="Bookman Old Style"/>
          <w:lang w:val="es-CO"/>
        </w:rPr>
        <w:t xml:space="preserve">el primero de diciembre del siguiente año de gas, se deberán registrar entre el 20 y 23 de noviembre del año de gas vigente. </w:t>
      </w:r>
      <w:r w:rsidRPr="00AB1831">
        <w:rPr>
          <w:rFonts w:ascii="Bookman Old Style" w:hAnsi="Bookman Old Style"/>
          <w:lang w:val="es-CO"/>
        </w:rPr>
        <w:t xml:space="preserve"> </w:t>
      </w:r>
    </w:p>
    <w:p w:rsidR="00373087" w:rsidRDefault="00373087" w:rsidP="00E912C1">
      <w:pPr>
        <w:pStyle w:val="ARTICULOS"/>
        <w:numPr>
          <w:ilvl w:val="0"/>
          <w:numId w:val="0"/>
        </w:numPr>
        <w:rPr>
          <w:rFonts w:cs="Arial"/>
          <w:color w:val="000000"/>
          <w:lang w:val="es-ES"/>
        </w:rPr>
      </w:pPr>
    </w:p>
    <w:p w:rsidR="0054237D" w:rsidRDefault="0054237D" w:rsidP="00E912C1">
      <w:pPr>
        <w:pStyle w:val="ARTICULOS"/>
        <w:numPr>
          <w:ilvl w:val="0"/>
          <w:numId w:val="0"/>
        </w:numPr>
        <w:tabs>
          <w:tab w:val="clear" w:pos="1559"/>
          <w:tab w:val="left" w:pos="1560"/>
        </w:tabs>
        <w:outlineLvl w:val="0"/>
      </w:pPr>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8</w:t>
      </w:r>
      <w:r w:rsidRPr="00B30245">
        <w:rPr>
          <w:b/>
        </w:rPr>
        <w:fldChar w:fldCharType="end"/>
      </w:r>
      <w:r>
        <w:rPr>
          <w:b/>
        </w:rPr>
        <w:t xml:space="preserve">. </w:t>
      </w:r>
      <w:r w:rsidR="006241DC">
        <w:t>Modifíquese el artículo 51 de la Resoluci</w:t>
      </w:r>
      <w:r w:rsidR="006241DC">
        <w:rPr>
          <w:lang w:val="es-CO"/>
        </w:rPr>
        <w:t xml:space="preserve">ón CREG 114 de 2017 de la siguiente forma: </w:t>
      </w:r>
      <w:r w:rsidR="006241DC" w:rsidRPr="002A782A">
        <w:rPr>
          <w:b/>
        </w:rPr>
        <w:t xml:space="preserve"> </w:t>
      </w:r>
    </w:p>
    <w:p w:rsidR="0054237D" w:rsidRDefault="0054237D" w:rsidP="00E912C1">
      <w:pPr>
        <w:pStyle w:val="ARTICULOS"/>
        <w:numPr>
          <w:ilvl w:val="0"/>
          <w:numId w:val="0"/>
        </w:numPr>
        <w:rPr>
          <w:rFonts w:cs="Arial"/>
          <w:color w:val="000000"/>
          <w:lang w:val="es-ES"/>
        </w:rPr>
      </w:pPr>
    </w:p>
    <w:p w:rsidR="00130459" w:rsidRPr="0054237D" w:rsidRDefault="00130459" w:rsidP="00E912C1">
      <w:pPr>
        <w:jc w:val="both"/>
        <w:rPr>
          <w:rFonts w:ascii="Bookman Old Style" w:hAnsi="Bookman Old Style"/>
        </w:rPr>
      </w:pPr>
      <w:r w:rsidRPr="0054237D">
        <w:rPr>
          <w:rFonts w:ascii="Bookman Old Style" w:hAnsi="Bookman Old Style"/>
          <w:b/>
        </w:rPr>
        <w:t>Artículo 51. Contratos con interrupciones.</w:t>
      </w:r>
      <w:r w:rsidRPr="0054237D">
        <w:rPr>
          <w:rFonts w:ascii="Bookman Old Style" w:hAnsi="Bookman Old Style"/>
        </w:rPr>
        <w:t xml:space="preserve"> Los contratos de suministro con interrupciones y los contratos de transporte con interrupciones que resulten de aplicar los mecanismos de comercialización establecidos </w:t>
      </w:r>
      <w:r w:rsidR="00FE02F1">
        <w:rPr>
          <w:rFonts w:ascii="Bookman Old Style" w:hAnsi="Bookman Old Style"/>
        </w:rPr>
        <w:t>en el literal A</w:t>
      </w:r>
      <w:r w:rsidR="00B00B75">
        <w:rPr>
          <w:rFonts w:ascii="Bookman Old Style" w:hAnsi="Bookman Old Style"/>
        </w:rPr>
        <w:t xml:space="preserve"> del Artículo</w:t>
      </w:r>
      <w:r w:rsidRPr="0054237D">
        <w:rPr>
          <w:rFonts w:ascii="Bookman Old Style" w:hAnsi="Bookman Old Style"/>
        </w:rPr>
        <w:t xml:space="preserve"> 49 y</w:t>
      </w:r>
      <w:r w:rsidR="00B00B75">
        <w:rPr>
          <w:rFonts w:ascii="Bookman Old Style" w:hAnsi="Bookman Old Style"/>
        </w:rPr>
        <w:t xml:space="preserve"> el Artículo</w:t>
      </w:r>
      <w:r w:rsidRPr="0054237D">
        <w:rPr>
          <w:rFonts w:ascii="Bookman Old Style" w:hAnsi="Bookman Old Style"/>
        </w:rPr>
        <w:t xml:space="preserve"> 50</w:t>
      </w:r>
      <w:r w:rsidRPr="0054237D">
        <w:rPr>
          <w:rFonts w:ascii="Bookman Old Style" w:hAnsi="Bookman Old Style"/>
          <w:b/>
          <w:lang w:val="es-CO"/>
        </w:rPr>
        <w:t xml:space="preserve"> </w:t>
      </w:r>
      <w:r w:rsidRPr="0054237D">
        <w:rPr>
          <w:rFonts w:ascii="Bookman Old Style" w:hAnsi="Bookman Old Style"/>
        </w:rPr>
        <w:t xml:space="preserve">de esta Resolución deberán </w:t>
      </w:r>
      <w:r w:rsidRPr="00B00B75">
        <w:rPr>
          <w:rFonts w:ascii="Bookman Old Style" w:hAnsi="Bookman Old Style"/>
        </w:rPr>
        <w:t>tener duración mensual,</w:t>
      </w:r>
      <w:r w:rsidRPr="0054237D">
        <w:rPr>
          <w:rFonts w:ascii="Bookman Old Style" w:hAnsi="Bookman Old Style"/>
        </w:rPr>
        <w:t xml:space="preserve"> con vigencia desde las 00:00 horas del primer día calendario del mes hasta las 24:00 horas del último día calendario del mismo mes</w:t>
      </w:r>
      <w:r w:rsidRPr="0054237D">
        <w:rPr>
          <w:rFonts w:ascii="Bookman Old Style" w:hAnsi="Bookman Old Style"/>
          <w:lang w:val="es-CO"/>
        </w:rPr>
        <w:t>.</w:t>
      </w:r>
    </w:p>
    <w:p w:rsidR="00130459" w:rsidRPr="0054237D" w:rsidRDefault="00130459" w:rsidP="00E912C1">
      <w:pPr>
        <w:jc w:val="both"/>
        <w:rPr>
          <w:rFonts w:ascii="Bookman Old Style" w:hAnsi="Bookman Old Style"/>
          <w:b/>
        </w:rPr>
      </w:pPr>
    </w:p>
    <w:p w:rsidR="00130459" w:rsidRPr="003F3FFC" w:rsidRDefault="00130459" w:rsidP="00E912C1">
      <w:pPr>
        <w:jc w:val="both"/>
        <w:rPr>
          <w:rFonts w:ascii="Bookman Old Style" w:hAnsi="Bookman Old Style"/>
        </w:rPr>
      </w:pPr>
      <w:r w:rsidRPr="0054237D">
        <w:rPr>
          <w:rFonts w:ascii="Bookman Old Style" w:hAnsi="Bookman Old Style"/>
          <w:b/>
        </w:rPr>
        <w:t>Parágrafo.</w:t>
      </w:r>
      <w:r w:rsidRPr="0054237D">
        <w:rPr>
          <w:rFonts w:ascii="Bookman Old Style" w:hAnsi="Bookman Old Style"/>
        </w:rPr>
        <w:t xml:space="preserve"> </w:t>
      </w:r>
      <w:r w:rsidRPr="0054237D">
        <w:rPr>
          <w:rFonts w:ascii="Bookman Old Style" w:hAnsi="Bookman Old Style"/>
          <w:lang w:val="es-CO"/>
        </w:rPr>
        <w:t xml:space="preserve">De esta medida se exceptúan los contratos de suministro con interrupciones del gas natural que provenga de campos </w:t>
      </w:r>
      <w:r w:rsidRPr="0054237D">
        <w:rPr>
          <w:rFonts w:ascii="Bookman Old Style" w:hAnsi="Bookman Old Style"/>
        </w:rPr>
        <w:t>que se encuentren en pruebas extensas o sobre los cuales no se haya declarado su comercialidad, de campos menores o de yacimient</w:t>
      </w:r>
      <w:r w:rsidR="003F3FFC">
        <w:rPr>
          <w:rFonts w:ascii="Bookman Old Style" w:hAnsi="Bookman Old Style"/>
        </w:rPr>
        <w:t>os no convencionales.</w:t>
      </w:r>
    </w:p>
    <w:p w:rsidR="00841F49" w:rsidRDefault="00841F49" w:rsidP="00E912C1">
      <w:pPr>
        <w:pStyle w:val="ARTICULOS"/>
        <w:numPr>
          <w:ilvl w:val="0"/>
          <w:numId w:val="0"/>
        </w:numPr>
        <w:rPr>
          <w:rFonts w:cs="Arial"/>
          <w:color w:val="000000"/>
          <w:lang w:val="es-ES"/>
        </w:rPr>
      </w:pPr>
    </w:p>
    <w:p w:rsidR="00524783" w:rsidRPr="00841F49" w:rsidRDefault="00524783" w:rsidP="00E912C1">
      <w:pPr>
        <w:pStyle w:val="ARTICULOS"/>
        <w:numPr>
          <w:ilvl w:val="0"/>
          <w:numId w:val="0"/>
        </w:numPr>
        <w:rPr>
          <w:rFonts w:cs="Arial"/>
          <w:color w:val="000000"/>
          <w:lang w:val="es-ES"/>
        </w:rPr>
      </w:pPr>
    </w:p>
    <w:p w:rsidR="006241DC" w:rsidRPr="00D97E89" w:rsidRDefault="009448F4" w:rsidP="00E912C1">
      <w:pPr>
        <w:pStyle w:val="ARTICULOS"/>
        <w:numPr>
          <w:ilvl w:val="0"/>
          <w:numId w:val="0"/>
        </w:numPr>
        <w:outlineLvl w:val="0"/>
        <w:rPr>
          <w:lang w:val="es-CO"/>
        </w:rPr>
      </w:pPr>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9</w:t>
      </w:r>
      <w:r w:rsidRPr="00B30245">
        <w:rPr>
          <w:b/>
        </w:rPr>
        <w:fldChar w:fldCharType="end"/>
      </w:r>
      <w:r>
        <w:rPr>
          <w:b/>
        </w:rPr>
        <w:t xml:space="preserve">. </w:t>
      </w:r>
      <w:r w:rsidR="00D97E89" w:rsidRPr="00D97E89">
        <w:rPr>
          <w:lang w:val="es-CO"/>
        </w:rPr>
        <w:t xml:space="preserve">Modifíquese </w:t>
      </w:r>
      <w:r w:rsidR="00D97E89" w:rsidRPr="00AF3513">
        <w:rPr>
          <w:lang w:val="es-CO"/>
        </w:rPr>
        <w:t xml:space="preserve">el </w:t>
      </w:r>
      <w:r w:rsidR="00AF3513" w:rsidRPr="00AF3513">
        <w:rPr>
          <w:lang w:val="es-CO"/>
        </w:rPr>
        <w:t>numeral v del literal</w:t>
      </w:r>
      <w:r w:rsidR="00AF3513">
        <w:rPr>
          <w:lang w:val="es-CO"/>
        </w:rPr>
        <w:t xml:space="preserve"> a del numeral 1.1 del anexo 2 de la Resolución CREG 114 de 2017 de la siguiente forma:</w:t>
      </w:r>
    </w:p>
    <w:p w:rsidR="006241DC" w:rsidRDefault="006241DC" w:rsidP="00E912C1"/>
    <w:p w:rsidR="00841F49" w:rsidRPr="00841F49" w:rsidRDefault="00524783" w:rsidP="00524783">
      <w:pPr>
        <w:pStyle w:val="ARTICULOS"/>
        <w:numPr>
          <w:ilvl w:val="0"/>
          <w:numId w:val="0"/>
        </w:numPr>
        <w:tabs>
          <w:tab w:val="clear" w:pos="1559"/>
        </w:tabs>
        <w:ind w:left="1134" w:hanging="567"/>
        <w:rPr>
          <w:rFonts w:cs="Arial"/>
          <w:color w:val="000000"/>
          <w:lang w:val="es-ES"/>
        </w:rPr>
      </w:pPr>
      <w:r>
        <w:rPr>
          <w:rFonts w:cs="Arial"/>
          <w:color w:val="000000"/>
          <w:lang w:val="es-ES"/>
        </w:rPr>
        <w:t>v.</w:t>
      </w:r>
      <w:r>
        <w:rPr>
          <w:rFonts w:cs="Arial"/>
          <w:color w:val="000000"/>
          <w:lang w:val="es-ES"/>
        </w:rPr>
        <w:tab/>
      </w:r>
      <w:r w:rsidR="00AF3513" w:rsidRPr="00AF3513">
        <w:rPr>
          <w:rFonts w:cs="Arial"/>
          <w:color w:val="000000"/>
          <w:lang w:val="es-ES"/>
        </w:rPr>
        <w:t>Punto de entrega de la energía al comprador. Se entenderá por punto de entrega el campo, punto de entrada al SNT o punto del SNT que corresponda al sitio de inicio o terminación de alguno de los tramos de gasoductos definidos para efectos tarifarios. Se deberá indicar el nombre de la fuente de suministro de la cual se contrató la cantidad de energía pactada en el contrato.</w:t>
      </w:r>
    </w:p>
    <w:p w:rsidR="00045D3D" w:rsidRDefault="00045D3D" w:rsidP="00E912C1">
      <w:pPr>
        <w:ind w:left="0"/>
        <w:rPr>
          <w:rFonts w:ascii="Bookman Old Style" w:hAnsi="Bookman Old Style"/>
        </w:rPr>
      </w:pPr>
    </w:p>
    <w:p w:rsidR="00D97E89" w:rsidRDefault="00D97E89" w:rsidP="00E912C1">
      <w:pPr>
        <w:pStyle w:val="ARTICULOS"/>
        <w:numPr>
          <w:ilvl w:val="0"/>
          <w:numId w:val="0"/>
        </w:numPr>
        <w:outlineLvl w:val="0"/>
        <w:rPr>
          <w:lang w:val="es-CO"/>
        </w:rPr>
      </w:pPr>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10</w:t>
      </w:r>
      <w:r w:rsidRPr="00B30245">
        <w:rPr>
          <w:b/>
        </w:rPr>
        <w:fldChar w:fldCharType="end"/>
      </w:r>
      <w:r>
        <w:rPr>
          <w:b/>
        </w:rPr>
        <w:t xml:space="preserve">. </w:t>
      </w:r>
      <w:r w:rsidR="00AF3513" w:rsidRPr="00D97E89">
        <w:rPr>
          <w:lang w:val="es-CO"/>
        </w:rPr>
        <w:t xml:space="preserve">Modifíquese </w:t>
      </w:r>
      <w:r w:rsidR="00AF3513" w:rsidRPr="003F3FFC">
        <w:rPr>
          <w:lang w:val="es-CO"/>
        </w:rPr>
        <w:t>el numeral 2.1</w:t>
      </w:r>
      <w:r w:rsidR="00AF3513">
        <w:rPr>
          <w:lang w:val="es-CO"/>
        </w:rPr>
        <w:t xml:space="preserve"> del anexo 2 de la Resolución CREG 114 de 2017</w:t>
      </w:r>
      <w:r w:rsidR="00524783">
        <w:rPr>
          <w:lang w:val="es-CO"/>
        </w:rPr>
        <w:t>, el cual quedará</w:t>
      </w:r>
      <w:r w:rsidR="00AF3513">
        <w:rPr>
          <w:lang w:val="es-CO"/>
        </w:rPr>
        <w:t xml:space="preserve"> de la siguiente forma</w:t>
      </w:r>
    </w:p>
    <w:p w:rsidR="00D97E89" w:rsidRDefault="00D97E89" w:rsidP="00E912C1">
      <w:pPr>
        <w:rPr>
          <w:lang w:val="es-CO"/>
        </w:rPr>
      </w:pPr>
    </w:p>
    <w:p w:rsidR="00AF3513" w:rsidRPr="00203634" w:rsidRDefault="00AF3513" w:rsidP="003A5A17">
      <w:pPr>
        <w:pStyle w:val="ARTICULOS"/>
        <w:numPr>
          <w:ilvl w:val="1"/>
          <w:numId w:val="5"/>
        </w:numPr>
        <w:tabs>
          <w:tab w:val="clear" w:pos="1559"/>
        </w:tabs>
        <w:ind w:left="1134" w:hanging="567"/>
        <w:rPr>
          <w:color w:val="000000"/>
          <w:lang w:val="es-ES"/>
        </w:rPr>
      </w:pPr>
      <w:r w:rsidRPr="00203634">
        <w:rPr>
          <w:color w:val="000000"/>
          <w:lang w:val="es-ES"/>
        </w:rPr>
        <w:t>Recopilación de información sobre el suministro de gas natural en el mercado secundario</w:t>
      </w:r>
    </w:p>
    <w:p w:rsidR="00AF3513" w:rsidRDefault="00AF3513" w:rsidP="00E912C1">
      <w:pPr>
        <w:pStyle w:val="ARTICULOS"/>
        <w:numPr>
          <w:ilvl w:val="0"/>
          <w:numId w:val="0"/>
        </w:numPr>
        <w:rPr>
          <w:color w:val="000000"/>
          <w:lang w:val="es-ES"/>
        </w:rPr>
      </w:pPr>
    </w:p>
    <w:p w:rsidR="00AF3513" w:rsidRPr="00D37455" w:rsidRDefault="00AF3513" w:rsidP="00524783">
      <w:pPr>
        <w:autoSpaceDE w:val="0"/>
        <w:autoSpaceDN w:val="0"/>
        <w:adjustRightInd w:val="0"/>
        <w:ind w:left="1134"/>
        <w:jc w:val="both"/>
        <w:rPr>
          <w:rFonts w:ascii="Bookman Old Style" w:hAnsi="Bookman Old Style"/>
          <w:color w:val="000000"/>
        </w:rPr>
      </w:pPr>
      <w:r w:rsidRPr="00D37455">
        <w:rPr>
          <w:rFonts w:ascii="Bookman Old Style" w:hAnsi="Bookman Old Style"/>
          <w:color w:val="000000"/>
        </w:rPr>
        <w:t>El gestor del mercado llevará un registro de los contratos de suministro de gas natural que se suscriban en el mercado secundario.</w:t>
      </w:r>
    </w:p>
    <w:p w:rsidR="00AF3513" w:rsidRPr="00D37455" w:rsidRDefault="00AF3513" w:rsidP="00524783">
      <w:pPr>
        <w:autoSpaceDE w:val="0"/>
        <w:autoSpaceDN w:val="0"/>
        <w:adjustRightInd w:val="0"/>
        <w:ind w:left="1134"/>
        <w:jc w:val="both"/>
        <w:rPr>
          <w:rFonts w:ascii="Bookman Old Style" w:hAnsi="Bookman Old Style"/>
          <w:color w:val="000000"/>
        </w:rPr>
      </w:pPr>
    </w:p>
    <w:p w:rsidR="00AF3513" w:rsidRPr="00D37455" w:rsidRDefault="00AF3513" w:rsidP="00524783">
      <w:pPr>
        <w:autoSpaceDE w:val="0"/>
        <w:autoSpaceDN w:val="0"/>
        <w:adjustRightInd w:val="0"/>
        <w:ind w:left="1134"/>
        <w:jc w:val="both"/>
        <w:rPr>
          <w:rFonts w:ascii="Bookman Old Style" w:hAnsi="Bookman Old Style"/>
          <w:color w:val="000000"/>
        </w:rPr>
      </w:pPr>
      <w:r w:rsidRPr="00D37455">
        <w:rPr>
          <w:rFonts w:ascii="Bookman Old Style" w:hAnsi="Bookman Old Style"/>
          <w:color w:val="000000"/>
        </w:rPr>
        <w:t>Los vendedores y los compradores de gas natural a los que se hace referencia en los Artículos 33 y 34 de esta Resolución deberán registrar ante el gestor del mercado los contratos de suministro de gas natural que suscriban en el mercado secundario. Para estos efectos, cada vendedor y cada comprador deberá declarar al gestor del mercado la siguiente información de cada uno de sus contratos:</w:t>
      </w:r>
    </w:p>
    <w:p w:rsidR="00AF3513" w:rsidRPr="00D37455" w:rsidRDefault="00AF3513" w:rsidP="00E912C1">
      <w:pPr>
        <w:pStyle w:val="ARTICULOS"/>
        <w:numPr>
          <w:ilvl w:val="0"/>
          <w:numId w:val="0"/>
        </w:numPr>
        <w:rPr>
          <w:color w:val="000000"/>
          <w:lang w:val="es-ES"/>
        </w:rPr>
      </w:pPr>
    </w:p>
    <w:p w:rsidR="00AF3513" w:rsidRDefault="00AF3513" w:rsidP="003A5A17">
      <w:pPr>
        <w:numPr>
          <w:ilvl w:val="0"/>
          <w:numId w:val="12"/>
        </w:numPr>
        <w:autoSpaceDE w:val="0"/>
        <w:autoSpaceDN w:val="0"/>
        <w:adjustRightInd w:val="0"/>
        <w:ind w:left="1701" w:hanging="567"/>
        <w:jc w:val="both"/>
        <w:rPr>
          <w:rFonts w:ascii="Bookman Old Style" w:hAnsi="Bookman Old Style" w:cs="Arial"/>
          <w:color w:val="000000"/>
        </w:rPr>
      </w:pPr>
      <w:r w:rsidRPr="00D37455">
        <w:rPr>
          <w:rFonts w:ascii="Bookman Old Style" w:hAnsi="Bookman Old Style" w:cs="Arial"/>
          <w:color w:val="000000"/>
        </w:rPr>
        <w:t>Información por recopilar para todas las modalidades señaladas en el artículo 30 de la presente Resolución</w:t>
      </w:r>
      <w:r w:rsidRPr="00FE0A4C">
        <w:rPr>
          <w:rFonts w:ascii="Bookman Old Style" w:hAnsi="Bookman Old Style" w:cs="Arial"/>
          <w:color w:val="000000"/>
        </w:rPr>
        <w:t>. De esta disposición se exceptúan los contratos con interrupciones a través de negociaciones directas.</w:t>
      </w:r>
    </w:p>
    <w:p w:rsidR="00AF3513" w:rsidRPr="00D37455" w:rsidRDefault="00AF3513" w:rsidP="00E912C1">
      <w:pPr>
        <w:autoSpaceDE w:val="0"/>
        <w:autoSpaceDN w:val="0"/>
        <w:adjustRightInd w:val="0"/>
        <w:ind w:left="1416"/>
        <w:jc w:val="both"/>
        <w:rPr>
          <w:rFonts w:ascii="Bookman Old Style" w:hAnsi="Bookman Old Style"/>
          <w:color w:val="000000"/>
        </w:rPr>
      </w:pPr>
    </w:p>
    <w:p w:rsidR="00AF3513" w:rsidRPr="00D37455" w:rsidRDefault="00AF3513" w:rsidP="003A5A17">
      <w:pPr>
        <w:pStyle w:val="Prrafodelista"/>
        <w:numPr>
          <w:ilvl w:val="0"/>
          <w:numId w:val="6"/>
        </w:numPr>
        <w:ind w:left="2268" w:hanging="567"/>
        <w:jc w:val="both"/>
        <w:rPr>
          <w:rFonts w:ascii="Bookman Old Style" w:hAnsi="Bookman Old Style" w:cs="Arial"/>
          <w:color w:val="000000"/>
          <w:sz w:val="24"/>
          <w:szCs w:val="24"/>
          <w:lang w:val="es-ES"/>
        </w:rPr>
      </w:pPr>
      <w:r w:rsidRPr="00D37455">
        <w:rPr>
          <w:rFonts w:ascii="Bookman Old Style" w:hAnsi="Bookman Old Style" w:cs="Arial"/>
          <w:color w:val="000000"/>
          <w:sz w:val="24"/>
          <w:szCs w:val="24"/>
          <w:lang w:val="es-ES"/>
        </w:rPr>
        <w:t>Número del contrato.</w:t>
      </w:r>
    </w:p>
    <w:p w:rsidR="00AF3513" w:rsidRPr="00D37455" w:rsidRDefault="00AF3513" w:rsidP="00524783">
      <w:pPr>
        <w:pStyle w:val="Prrafodelista"/>
        <w:ind w:left="2268" w:hanging="567"/>
        <w:jc w:val="both"/>
        <w:rPr>
          <w:rFonts w:ascii="Bookman Old Style" w:hAnsi="Bookman Old Style" w:cs="Arial"/>
          <w:color w:val="000000"/>
          <w:sz w:val="24"/>
          <w:szCs w:val="24"/>
          <w:lang w:val="es-ES"/>
        </w:rPr>
      </w:pPr>
    </w:p>
    <w:p w:rsidR="00AF3513" w:rsidRPr="00D37455" w:rsidRDefault="00AF3513" w:rsidP="003A5A17">
      <w:pPr>
        <w:pStyle w:val="Prrafodelista"/>
        <w:numPr>
          <w:ilvl w:val="0"/>
          <w:numId w:val="6"/>
        </w:numPr>
        <w:ind w:left="2268" w:hanging="567"/>
        <w:jc w:val="both"/>
        <w:rPr>
          <w:rFonts w:ascii="Bookman Old Style" w:hAnsi="Bookman Old Style" w:cs="Arial"/>
          <w:color w:val="000000"/>
          <w:sz w:val="24"/>
          <w:szCs w:val="24"/>
          <w:lang w:val="es-ES"/>
        </w:rPr>
      </w:pPr>
      <w:r w:rsidRPr="00D37455">
        <w:rPr>
          <w:rFonts w:ascii="Bookman Old Style" w:hAnsi="Bookman Old Style" w:cs="Arial"/>
          <w:color w:val="000000"/>
          <w:sz w:val="24"/>
          <w:szCs w:val="24"/>
          <w:lang w:val="es-ES"/>
        </w:rPr>
        <w:t>Fecha de suscripción del contrato.</w:t>
      </w:r>
    </w:p>
    <w:p w:rsidR="00AF3513" w:rsidRPr="00D37455" w:rsidRDefault="00AF3513" w:rsidP="00524783">
      <w:pPr>
        <w:pStyle w:val="Prrafodelista"/>
        <w:ind w:left="2268" w:hanging="567"/>
        <w:jc w:val="both"/>
        <w:rPr>
          <w:rFonts w:ascii="Bookman Old Style" w:hAnsi="Bookman Old Style" w:cs="Arial"/>
          <w:color w:val="000000"/>
          <w:sz w:val="24"/>
          <w:szCs w:val="24"/>
          <w:lang w:val="es-ES"/>
        </w:rPr>
      </w:pPr>
    </w:p>
    <w:p w:rsidR="00AF3513" w:rsidRPr="00D37455" w:rsidRDefault="00AF3513" w:rsidP="003A5A17">
      <w:pPr>
        <w:pStyle w:val="Prrafodelista"/>
        <w:numPr>
          <w:ilvl w:val="0"/>
          <w:numId w:val="6"/>
        </w:numPr>
        <w:ind w:left="2268" w:hanging="567"/>
        <w:jc w:val="both"/>
        <w:rPr>
          <w:rFonts w:ascii="Bookman Old Style" w:hAnsi="Bookman Old Style" w:cs="Arial"/>
          <w:color w:val="000000"/>
          <w:sz w:val="24"/>
          <w:szCs w:val="24"/>
          <w:lang w:val="es-ES"/>
        </w:rPr>
      </w:pPr>
      <w:r w:rsidRPr="00D37455">
        <w:rPr>
          <w:rFonts w:ascii="Bookman Old Style" w:hAnsi="Bookman Old Style" w:cs="Arial"/>
          <w:color w:val="000000"/>
          <w:sz w:val="24"/>
          <w:szCs w:val="24"/>
          <w:lang w:val="es-ES"/>
        </w:rPr>
        <w:t>Nombre de cada una de las partes.</w:t>
      </w:r>
    </w:p>
    <w:p w:rsidR="00AF3513" w:rsidRPr="00D37455" w:rsidRDefault="00AF3513" w:rsidP="00524783">
      <w:pPr>
        <w:pStyle w:val="Prrafodelista"/>
        <w:ind w:left="2268" w:hanging="567"/>
        <w:jc w:val="both"/>
        <w:rPr>
          <w:rFonts w:ascii="Bookman Old Style" w:hAnsi="Bookman Old Style" w:cs="Arial"/>
          <w:color w:val="000000"/>
          <w:sz w:val="24"/>
          <w:szCs w:val="24"/>
          <w:lang w:val="es-ES"/>
        </w:rPr>
      </w:pPr>
    </w:p>
    <w:p w:rsidR="00AF3513" w:rsidRPr="00D37455" w:rsidRDefault="00AF3513" w:rsidP="003A5A17">
      <w:pPr>
        <w:pStyle w:val="Prrafodelista"/>
        <w:numPr>
          <w:ilvl w:val="0"/>
          <w:numId w:val="6"/>
        </w:numPr>
        <w:ind w:left="2268" w:hanging="567"/>
        <w:jc w:val="both"/>
        <w:rPr>
          <w:rFonts w:ascii="Bookman Old Style" w:hAnsi="Bookman Old Style" w:cs="Arial"/>
          <w:color w:val="000000"/>
          <w:sz w:val="24"/>
          <w:szCs w:val="24"/>
          <w:lang w:val="es-ES"/>
        </w:rPr>
      </w:pPr>
      <w:r w:rsidRPr="00D37455">
        <w:rPr>
          <w:rFonts w:ascii="Bookman Old Style" w:hAnsi="Bookman Old Style" w:cs="Arial"/>
          <w:color w:val="000000"/>
          <w:sz w:val="24"/>
          <w:szCs w:val="24"/>
          <w:lang w:val="es-ES"/>
        </w:rPr>
        <w:t>Modalidad de contrato, según lo dispuesto en el Artículo 30 de esta Resolución.</w:t>
      </w:r>
    </w:p>
    <w:p w:rsidR="00AF3513" w:rsidRPr="00D37455" w:rsidRDefault="00AF3513" w:rsidP="00524783">
      <w:pPr>
        <w:pStyle w:val="Prrafodelista"/>
        <w:ind w:left="2268"/>
        <w:jc w:val="both"/>
        <w:rPr>
          <w:rFonts w:ascii="Bookman Old Style" w:hAnsi="Bookman Old Style" w:cs="Arial"/>
          <w:color w:val="000000"/>
          <w:sz w:val="24"/>
          <w:szCs w:val="24"/>
          <w:lang w:val="es-ES"/>
        </w:rPr>
      </w:pPr>
    </w:p>
    <w:p w:rsidR="00AF3513" w:rsidRPr="00D37455" w:rsidRDefault="00AF3513" w:rsidP="003A5A17">
      <w:pPr>
        <w:pStyle w:val="Prrafodelista"/>
        <w:numPr>
          <w:ilvl w:val="0"/>
          <w:numId w:val="6"/>
        </w:numPr>
        <w:ind w:left="2268" w:hanging="567"/>
        <w:jc w:val="both"/>
        <w:rPr>
          <w:rFonts w:ascii="Bookman Old Style" w:hAnsi="Bookman Old Style" w:cs="Arial"/>
          <w:color w:val="000000"/>
          <w:sz w:val="24"/>
          <w:szCs w:val="24"/>
          <w:lang w:val="es-ES"/>
        </w:rPr>
      </w:pPr>
      <w:r w:rsidRPr="00D37455">
        <w:rPr>
          <w:rFonts w:ascii="Bookman Old Style" w:hAnsi="Bookman Old Style" w:cs="Arial"/>
          <w:color w:val="000000"/>
          <w:sz w:val="24"/>
          <w:szCs w:val="24"/>
          <w:lang w:val="es-ES"/>
        </w:rPr>
        <w:t>Punto de entrega. Corresponderá a un punto estándar de entrega. En el caso de los contratos con interrupciones se entenderá por punto de entrega el campo, punto de entrada al SNT o punto del SNT que corresponda al sitio de inicio o terminación de alguno de los tramos de gasoductos definidos para efectos tarifarios.</w:t>
      </w:r>
    </w:p>
    <w:p w:rsidR="00AF3513" w:rsidRPr="00D37455" w:rsidRDefault="00AF3513" w:rsidP="00524783">
      <w:pPr>
        <w:pStyle w:val="Prrafodelista"/>
        <w:ind w:left="2268" w:hanging="567"/>
        <w:jc w:val="both"/>
        <w:rPr>
          <w:rFonts w:ascii="Bookman Old Style" w:hAnsi="Bookman Old Style" w:cs="Arial"/>
          <w:color w:val="000000"/>
          <w:sz w:val="24"/>
          <w:szCs w:val="24"/>
          <w:lang w:val="es-ES"/>
        </w:rPr>
      </w:pPr>
    </w:p>
    <w:p w:rsidR="00AF3513" w:rsidRPr="00D37455" w:rsidRDefault="00AF3513" w:rsidP="003A5A17">
      <w:pPr>
        <w:pStyle w:val="Prrafodelista"/>
        <w:numPr>
          <w:ilvl w:val="0"/>
          <w:numId w:val="6"/>
        </w:numPr>
        <w:ind w:left="2268" w:hanging="567"/>
        <w:jc w:val="both"/>
        <w:rPr>
          <w:rFonts w:ascii="Bookman Old Style" w:hAnsi="Bookman Old Style" w:cs="Arial"/>
          <w:color w:val="000000"/>
          <w:sz w:val="24"/>
          <w:szCs w:val="24"/>
          <w:lang w:val="es-ES"/>
        </w:rPr>
      </w:pPr>
      <w:r w:rsidRPr="00D37455">
        <w:rPr>
          <w:rFonts w:ascii="Bookman Old Style" w:hAnsi="Bookman Old Style" w:cs="Arial"/>
          <w:color w:val="000000"/>
          <w:sz w:val="24"/>
          <w:szCs w:val="24"/>
          <w:lang w:val="es-ES"/>
        </w:rPr>
        <w:t>Cantidad de energía contratada, expresada en MBTUD.</w:t>
      </w:r>
    </w:p>
    <w:p w:rsidR="00AF3513" w:rsidRPr="00D37455" w:rsidRDefault="00AF3513" w:rsidP="00524783">
      <w:pPr>
        <w:pStyle w:val="Prrafodelista"/>
        <w:ind w:left="2268" w:hanging="567"/>
        <w:jc w:val="both"/>
        <w:rPr>
          <w:rFonts w:ascii="Bookman Old Style" w:hAnsi="Bookman Old Style" w:cs="Arial"/>
          <w:color w:val="000000"/>
          <w:sz w:val="24"/>
          <w:szCs w:val="24"/>
          <w:lang w:val="es-ES"/>
        </w:rPr>
      </w:pPr>
    </w:p>
    <w:p w:rsidR="00AF3513" w:rsidRPr="00D37455" w:rsidRDefault="00AF3513" w:rsidP="003A5A17">
      <w:pPr>
        <w:pStyle w:val="Prrafodelista"/>
        <w:numPr>
          <w:ilvl w:val="0"/>
          <w:numId w:val="6"/>
        </w:numPr>
        <w:ind w:left="2268" w:hanging="567"/>
        <w:jc w:val="both"/>
        <w:rPr>
          <w:rFonts w:ascii="Bookman Old Style" w:hAnsi="Bookman Old Style" w:cs="Arial"/>
          <w:color w:val="000000"/>
          <w:sz w:val="24"/>
          <w:szCs w:val="24"/>
          <w:lang w:val="es-ES"/>
        </w:rPr>
      </w:pPr>
      <w:r w:rsidRPr="00D37455">
        <w:rPr>
          <w:rFonts w:ascii="Bookman Old Style" w:hAnsi="Bookman Old Style" w:cs="Arial"/>
          <w:color w:val="000000"/>
          <w:sz w:val="24"/>
          <w:szCs w:val="24"/>
          <w:lang w:val="es-ES"/>
        </w:rPr>
        <w:t>Precio a la fecha de suscripción del contrato, expresado en dólares de los Estados Unidos de América por MBTU.</w:t>
      </w:r>
    </w:p>
    <w:p w:rsidR="00AF3513" w:rsidRPr="00D37455" w:rsidRDefault="00AF3513" w:rsidP="00524783">
      <w:pPr>
        <w:pStyle w:val="Prrafodelista"/>
        <w:ind w:left="2268" w:hanging="567"/>
        <w:jc w:val="both"/>
        <w:rPr>
          <w:rFonts w:ascii="Bookman Old Style" w:hAnsi="Bookman Old Style" w:cs="Arial"/>
          <w:color w:val="000000"/>
          <w:sz w:val="24"/>
          <w:szCs w:val="24"/>
          <w:lang w:val="es-ES"/>
        </w:rPr>
      </w:pPr>
    </w:p>
    <w:p w:rsidR="00AF3513" w:rsidRPr="00D37455" w:rsidRDefault="00AF3513" w:rsidP="003A5A17">
      <w:pPr>
        <w:pStyle w:val="Prrafodelista"/>
        <w:numPr>
          <w:ilvl w:val="0"/>
          <w:numId w:val="6"/>
        </w:numPr>
        <w:ind w:left="2268" w:hanging="567"/>
        <w:jc w:val="both"/>
        <w:rPr>
          <w:rFonts w:ascii="Bookman Old Style" w:hAnsi="Bookman Old Style" w:cs="Arial"/>
          <w:color w:val="000000"/>
          <w:sz w:val="24"/>
          <w:szCs w:val="24"/>
          <w:lang w:val="es-ES"/>
        </w:rPr>
      </w:pPr>
      <w:r w:rsidRPr="00D37455">
        <w:rPr>
          <w:rFonts w:ascii="Bookman Old Style" w:hAnsi="Bookman Old Style" w:cs="Arial"/>
          <w:color w:val="000000"/>
          <w:sz w:val="24"/>
          <w:szCs w:val="24"/>
          <w:lang w:val="es-ES"/>
        </w:rPr>
        <w:t>Fecha de inicio de la obligación de entrega (día/mes/año). En el caso de los contratos intradiarios también se deberá declarar la hora de inicio.</w:t>
      </w:r>
    </w:p>
    <w:p w:rsidR="00AF3513" w:rsidRPr="00D37455" w:rsidRDefault="00AF3513" w:rsidP="00524783">
      <w:pPr>
        <w:pStyle w:val="Prrafodelista"/>
        <w:ind w:left="2268" w:hanging="567"/>
        <w:jc w:val="both"/>
        <w:rPr>
          <w:rFonts w:ascii="Bookman Old Style" w:hAnsi="Bookman Old Style" w:cs="Arial"/>
          <w:color w:val="000000"/>
          <w:sz w:val="24"/>
          <w:szCs w:val="24"/>
          <w:lang w:val="es-ES"/>
        </w:rPr>
      </w:pPr>
    </w:p>
    <w:p w:rsidR="00AF3513" w:rsidRPr="00D37455" w:rsidRDefault="00AF3513" w:rsidP="003A5A17">
      <w:pPr>
        <w:pStyle w:val="Prrafodelista"/>
        <w:numPr>
          <w:ilvl w:val="0"/>
          <w:numId w:val="6"/>
        </w:numPr>
        <w:ind w:left="2268" w:hanging="567"/>
        <w:jc w:val="both"/>
        <w:rPr>
          <w:rFonts w:ascii="Bookman Old Style" w:hAnsi="Bookman Old Style" w:cs="Arial"/>
          <w:color w:val="000000"/>
          <w:sz w:val="24"/>
          <w:szCs w:val="24"/>
          <w:lang w:val="es-ES"/>
        </w:rPr>
      </w:pPr>
      <w:r w:rsidRPr="00D37455">
        <w:rPr>
          <w:rFonts w:ascii="Bookman Old Style" w:hAnsi="Bookman Old Style" w:cs="Arial"/>
          <w:color w:val="000000"/>
          <w:sz w:val="24"/>
          <w:szCs w:val="24"/>
          <w:lang w:val="es-ES"/>
        </w:rPr>
        <w:t>Fecha de terminación de la obligación de entrega (día/mes/año). En el caso de los contratos intradiarios también se deberá declarar la hora de terminación.</w:t>
      </w:r>
    </w:p>
    <w:p w:rsidR="00AF3513" w:rsidRPr="00D37455" w:rsidRDefault="00AF3513" w:rsidP="00524783">
      <w:pPr>
        <w:pStyle w:val="Prrafodelista"/>
        <w:ind w:left="2268" w:hanging="567"/>
        <w:jc w:val="both"/>
        <w:rPr>
          <w:rFonts w:ascii="Bookman Old Style" w:hAnsi="Bookman Old Style" w:cs="Arial"/>
          <w:color w:val="000000"/>
          <w:sz w:val="24"/>
          <w:szCs w:val="24"/>
          <w:lang w:val="es-ES"/>
        </w:rPr>
      </w:pPr>
    </w:p>
    <w:p w:rsidR="00AF3513" w:rsidRPr="00D37455" w:rsidRDefault="00AF3513" w:rsidP="003A5A17">
      <w:pPr>
        <w:pStyle w:val="Prrafodelista"/>
        <w:numPr>
          <w:ilvl w:val="0"/>
          <w:numId w:val="6"/>
        </w:numPr>
        <w:ind w:left="2268" w:hanging="567"/>
        <w:jc w:val="both"/>
        <w:rPr>
          <w:rFonts w:ascii="Bookman Old Style" w:hAnsi="Bookman Old Style" w:cs="Arial"/>
          <w:color w:val="000000"/>
          <w:sz w:val="24"/>
          <w:szCs w:val="24"/>
          <w:lang w:val="es-ES"/>
        </w:rPr>
      </w:pPr>
      <w:r w:rsidRPr="00D37455">
        <w:rPr>
          <w:rFonts w:ascii="Bookman Old Style" w:hAnsi="Bookman Old Style" w:cs="Arial"/>
          <w:color w:val="000000"/>
          <w:sz w:val="24"/>
          <w:szCs w:val="24"/>
          <w:lang w:val="es-ES"/>
        </w:rPr>
        <w:t>La demás información que determine la CREG.</w:t>
      </w:r>
    </w:p>
    <w:p w:rsidR="00AF3513" w:rsidRPr="00D37455" w:rsidRDefault="00AF3513" w:rsidP="00E912C1">
      <w:pPr>
        <w:autoSpaceDE w:val="0"/>
        <w:autoSpaceDN w:val="0"/>
        <w:adjustRightInd w:val="0"/>
        <w:ind w:left="1134"/>
        <w:jc w:val="both"/>
        <w:rPr>
          <w:rFonts w:ascii="Bookman Old Style" w:hAnsi="Bookman Old Style"/>
          <w:color w:val="000000"/>
        </w:rPr>
      </w:pPr>
    </w:p>
    <w:p w:rsidR="00AF3513" w:rsidRPr="00D37455" w:rsidRDefault="00AF3513" w:rsidP="00524783">
      <w:pPr>
        <w:autoSpaceDE w:val="0"/>
        <w:autoSpaceDN w:val="0"/>
        <w:adjustRightInd w:val="0"/>
        <w:ind w:left="1701"/>
        <w:jc w:val="both"/>
        <w:rPr>
          <w:rFonts w:ascii="Bookman Old Style" w:hAnsi="Bookman Old Style" w:cs="Arial"/>
          <w:color w:val="000000"/>
        </w:rPr>
      </w:pPr>
      <w:r w:rsidRPr="00D37455">
        <w:rPr>
          <w:rFonts w:ascii="Bookman Old Style" w:hAnsi="Bookman Old Style"/>
          <w:color w:val="000000"/>
        </w:rPr>
        <w:t xml:space="preserve">Adicionalmente, cada comprador deberá declarar al gestor del mercado el </w:t>
      </w:r>
      <w:r w:rsidRPr="00D37455">
        <w:rPr>
          <w:rFonts w:ascii="Bookman Old Style" w:hAnsi="Bookman Old Style" w:cs="Arial"/>
          <w:color w:val="000000"/>
        </w:rPr>
        <w:t>tipo de demanda a atender con el contrato. Esto es, regulado o no regulado, desagregado en residencial, comercial, industrial, gas para transportadores, petroquímica, refinería, gas natural vehicular comprimido, generación térmica, exportaciones u otros. Los compradores que entreguen a usuario final no regulado deberán declarar el nombre del usuario, la ubicación y/o punto de salida del usuario en el SNT y la cantidad contratada con cada usuario. Cuando el comprador entregue a usuarios regulados deberá especificar la cantidad a entregar, el mercado relevante en el que se consumirá esa cantidad y los correspondientes puntos de salida.</w:t>
      </w:r>
    </w:p>
    <w:p w:rsidR="00AF3513" w:rsidRPr="00D37455" w:rsidRDefault="00AF3513" w:rsidP="00E912C1">
      <w:pPr>
        <w:autoSpaceDE w:val="0"/>
        <w:autoSpaceDN w:val="0"/>
        <w:adjustRightInd w:val="0"/>
        <w:ind w:left="1134"/>
        <w:jc w:val="both"/>
        <w:rPr>
          <w:rFonts w:ascii="Bookman Old Style" w:hAnsi="Bookman Old Style"/>
          <w:color w:val="000000"/>
        </w:rPr>
      </w:pPr>
    </w:p>
    <w:p w:rsidR="00AF3513" w:rsidRPr="00D37455" w:rsidRDefault="00AF3513" w:rsidP="00524783">
      <w:pPr>
        <w:autoSpaceDE w:val="0"/>
        <w:autoSpaceDN w:val="0"/>
        <w:adjustRightInd w:val="0"/>
        <w:ind w:left="1701"/>
        <w:jc w:val="both"/>
        <w:rPr>
          <w:rFonts w:ascii="Bookman Old Style" w:hAnsi="Bookman Old Style"/>
          <w:color w:val="000000"/>
        </w:rPr>
      </w:pPr>
      <w:r w:rsidRPr="00D37455">
        <w:rPr>
          <w:rFonts w:ascii="Bookman Old Style" w:hAnsi="Bookman Old Style"/>
          <w:color w:val="000000"/>
        </w:rPr>
        <w:t>La declaración de la información para el registro de los contratos se realizará a través del medio y del formato que defina el gestor del mercado.</w:t>
      </w:r>
    </w:p>
    <w:p w:rsidR="00AF3513" w:rsidRPr="00D37455" w:rsidRDefault="00AF3513" w:rsidP="00524783">
      <w:pPr>
        <w:autoSpaceDE w:val="0"/>
        <w:autoSpaceDN w:val="0"/>
        <w:adjustRightInd w:val="0"/>
        <w:ind w:left="1701"/>
        <w:jc w:val="both"/>
        <w:rPr>
          <w:rFonts w:ascii="Bookman Old Style" w:hAnsi="Bookman Old Style"/>
          <w:color w:val="000000"/>
        </w:rPr>
      </w:pPr>
    </w:p>
    <w:p w:rsidR="00AF3513" w:rsidRPr="00D37455" w:rsidRDefault="00AF3513" w:rsidP="00524783">
      <w:pPr>
        <w:autoSpaceDE w:val="0"/>
        <w:autoSpaceDN w:val="0"/>
        <w:adjustRightInd w:val="0"/>
        <w:ind w:left="1701"/>
        <w:jc w:val="both"/>
        <w:rPr>
          <w:rFonts w:ascii="Bookman Old Style" w:hAnsi="Bookman Old Style"/>
          <w:color w:val="000000"/>
        </w:rPr>
      </w:pPr>
      <w:r w:rsidRPr="00D37455">
        <w:rPr>
          <w:rFonts w:ascii="Bookman Old Style" w:hAnsi="Bookman Old Style"/>
          <w:color w:val="000000"/>
        </w:rPr>
        <w:t>Los vendedores y los compradores a los que se hace referencia en los Artículos 33 y 34 de esta Resolución deberán actualizar el registro ante el gestor del mercado, en los eventos en que exista cesión, terminación anticipada o modificación del contrato de suministro de gas natural. Para estos efectos los vendedores y los compradores deberán declarar al gestor del mercado la información previamente señalada, debidamente actualizada.</w:t>
      </w:r>
    </w:p>
    <w:p w:rsidR="00AF3513" w:rsidRPr="00D37455" w:rsidRDefault="00AF3513" w:rsidP="00524783">
      <w:pPr>
        <w:autoSpaceDE w:val="0"/>
        <w:autoSpaceDN w:val="0"/>
        <w:adjustRightInd w:val="0"/>
        <w:ind w:left="1701"/>
        <w:jc w:val="both"/>
        <w:rPr>
          <w:rFonts w:ascii="Bookman Old Style" w:hAnsi="Bookman Old Style"/>
          <w:color w:val="000000"/>
        </w:rPr>
      </w:pPr>
    </w:p>
    <w:p w:rsidR="00AF3513" w:rsidRPr="00D37455" w:rsidRDefault="00AF3513" w:rsidP="00524783">
      <w:pPr>
        <w:autoSpaceDE w:val="0"/>
        <w:autoSpaceDN w:val="0"/>
        <w:adjustRightInd w:val="0"/>
        <w:ind w:left="1701"/>
        <w:jc w:val="both"/>
        <w:rPr>
          <w:rFonts w:ascii="Bookman Old Style" w:hAnsi="Bookman Old Style"/>
          <w:color w:val="000000"/>
        </w:rPr>
      </w:pPr>
      <w:r w:rsidRPr="00D37455">
        <w:rPr>
          <w:rFonts w:ascii="Bookman Old Style" w:hAnsi="Bookman Old Style"/>
          <w:color w:val="000000"/>
        </w:rPr>
        <w:t>El gestor del mercado podrá solicitar copia de los contratos referidos, caso en el cual los vendedores y los compradores a los que se hace referencia en los Artículos 33 y 34 de esta Resolución estarán en la obligación de entregar tales copias al gestor del mercado.</w:t>
      </w:r>
    </w:p>
    <w:p w:rsidR="00AF3513" w:rsidRPr="00D37455" w:rsidRDefault="00AF3513" w:rsidP="00524783">
      <w:pPr>
        <w:autoSpaceDE w:val="0"/>
        <w:autoSpaceDN w:val="0"/>
        <w:adjustRightInd w:val="0"/>
        <w:ind w:left="1701"/>
        <w:jc w:val="both"/>
        <w:rPr>
          <w:rFonts w:ascii="Bookman Old Style" w:hAnsi="Bookman Old Style"/>
          <w:color w:val="000000"/>
        </w:rPr>
      </w:pPr>
    </w:p>
    <w:p w:rsidR="00AF3513" w:rsidRPr="00203634" w:rsidRDefault="00AF3513" w:rsidP="00524783">
      <w:pPr>
        <w:autoSpaceDE w:val="0"/>
        <w:autoSpaceDN w:val="0"/>
        <w:adjustRightInd w:val="0"/>
        <w:ind w:left="1701"/>
        <w:jc w:val="both"/>
        <w:rPr>
          <w:rFonts w:ascii="Bookman Old Style" w:hAnsi="Bookman Old Style"/>
          <w:color w:val="000000"/>
        </w:rPr>
      </w:pPr>
      <w:r w:rsidRPr="00D37455">
        <w:rPr>
          <w:rFonts w:ascii="Bookman Old Style" w:hAnsi="Bookman Old Style"/>
          <w:color w:val="000000"/>
        </w:rPr>
        <w:t>La no declaración de la información aquí señalada podrá ser considerada por la autoridad competente como una práctica contraria a la libre competencia. Igual consideración se podrá dar a la declaración reiterada de información inconsistente.</w:t>
      </w:r>
    </w:p>
    <w:p w:rsidR="00AF3513" w:rsidRDefault="00AF3513" w:rsidP="00E912C1">
      <w:pPr>
        <w:autoSpaceDE w:val="0"/>
        <w:autoSpaceDN w:val="0"/>
        <w:adjustRightInd w:val="0"/>
        <w:ind w:left="1134"/>
        <w:jc w:val="both"/>
        <w:rPr>
          <w:rFonts w:ascii="Bookman Old Style" w:hAnsi="Bookman Old Style"/>
          <w:color w:val="000000"/>
        </w:rPr>
      </w:pPr>
    </w:p>
    <w:p w:rsidR="00AF3513" w:rsidRPr="00203634" w:rsidRDefault="00AF3513" w:rsidP="003A5A17">
      <w:pPr>
        <w:numPr>
          <w:ilvl w:val="0"/>
          <w:numId w:val="12"/>
        </w:numPr>
        <w:autoSpaceDE w:val="0"/>
        <w:autoSpaceDN w:val="0"/>
        <w:adjustRightInd w:val="0"/>
        <w:ind w:left="1701" w:hanging="567"/>
        <w:jc w:val="both"/>
        <w:rPr>
          <w:rFonts w:ascii="Bookman Old Style" w:hAnsi="Bookman Old Style" w:cs="Arial"/>
          <w:color w:val="000000"/>
        </w:rPr>
      </w:pPr>
      <w:r w:rsidRPr="006C33A6">
        <w:rPr>
          <w:rFonts w:ascii="Bookman Old Style" w:hAnsi="Bookman Old Style" w:cs="Arial"/>
          <w:color w:val="000000"/>
        </w:rPr>
        <w:t>Información por recopilar de los contratos con interrupciones a través</w:t>
      </w:r>
      <w:r w:rsidRPr="00643DDC">
        <w:rPr>
          <w:rFonts w:ascii="Bookman Old Style" w:hAnsi="Bookman Old Style" w:cs="Arial"/>
          <w:color w:val="000000"/>
        </w:rPr>
        <w:t xml:space="preserve"> de negociaciones directas</w:t>
      </w:r>
    </w:p>
    <w:p w:rsidR="00AF3513" w:rsidRDefault="00AF3513" w:rsidP="00E912C1">
      <w:pPr>
        <w:autoSpaceDE w:val="0"/>
        <w:autoSpaceDN w:val="0"/>
        <w:adjustRightInd w:val="0"/>
        <w:ind w:left="1134"/>
        <w:jc w:val="both"/>
        <w:rPr>
          <w:rFonts w:ascii="Bookman Old Style" w:hAnsi="Bookman Old Style"/>
          <w:color w:val="000000"/>
        </w:rPr>
      </w:pPr>
    </w:p>
    <w:p w:rsidR="00AF3513" w:rsidRPr="006D4807" w:rsidRDefault="00AF3513" w:rsidP="00524783">
      <w:pPr>
        <w:autoSpaceDE w:val="0"/>
        <w:autoSpaceDN w:val="0"/>
        <w:adjustRightInd w:val="0"/>
        <w:ind w:left="1701"/>
        <w:jc w:val="both"/>
        <w:rPr>
          <w:rFonts w:ascii="Bookman Old Style" w:hAnsi="Bookman Old Style"/>
          <w:b/>
          <w:color w:val="000000"/>
        </w:rPr>
      </w:pPr>
      <w:r w:rsidRPr="006D4807">
        <w:rPr>
          <w:rFonts w:ascii="Bookman Old Style" w:hAnsi="Bookman Old Style"/>
          <w:b/>
          <w:color w:val="000000"/>
        </w:rPr>
        <w:t>Información contractual</w:t>
      </w:r>
      <w:r>
        <w:rPr>
          <w:rFonts w:ascii="Bookman Old Style" w:hAnsi="Bookman Old Style"/>
          <w:b/>
          <w:color w:val="000000"/>
        </w:rPr>
        <w:t>:</w:t>
      </w:r>
    </w:p>
    <w:p w:rsidR="00AF3513" w:rsidRDefault="00AF3513" w:rsidP="00524783">
      <w:pPr>
        <w:autoSpaceDE w:val="0"/>
        <w:autoSpaceDN w:val="0"/>
        <w:adjustRightInd w:val="0"/>
        <w:ind w:left="1701"/>
        <w:jc w:val="both"/>
        <w:rPr>
          <w:rFonts w:ascii="Bookman Old Style" w:hAnsi="Bookman Old Style"/>
          <w:color w:val="000000"/>
        </w:rPr>
      </w:pPr>
      <w:r w:rsidRPr="00C851D7">
        <w:rPr>
          <w:rFonts w:ascii="Bookman Old Style" w:hAnsi="Bookman Old Style"/>
          <w:bCs/>
          <w:color w:val="000000"/>
        </w:rPr>
        <w:t xml:space="preserve">A más tardar </w:t>
      </w:r>
      <w:r w:rsidR="00E94BC7" w:rsidRPr="00C851D7">
        <w:rPr>
          <w:rFonts w:ascii="Bookman Old Style" w:hAnsi="Bookman Old Style"/>
          <w:bCs/>
          <w:color w:val="000000"/>
        </w:rPr>
        <w:t>7 días hábiles antes del inicio de la ejecución,</w:t>
      </w:r>
      <w:r w:rsidRPr="00FE0A4C">
        <w:rPr>
          <w:rFonts w:ascii="Bookman Old Style" w:hAnsi="Bookman Old Style"/>
          <w:bCs/>
          <w:color w:val="000000"/>
        </w:rPr>
        <w:t xml:space="preserve"> los compradores y vendedores deberán declarar al gestor del mercado la siguiente información relacionada con el contrato</w:t>
      </w:r>
      <w:r w:rsidRPr="00FE0A4C">
        <w:rPr>
          <w:rFonts w:ascii="Bookman Old Style" w:hAnsi="Bookman Old Style"/>
          <w:bCs/>
          <w:color w:val="000000"/>
          <w:lang w:eastAsia="x-none"/>
        </w:rPr>
        <w:t>:</w:t>
      </w:r>
    </w:p>
    <w:p w:rsidR="00AF3513" w:rsidRPr="00203634" w:rsidRDefault="00AF3513" w:rsidP="00E912C1">
      <w:pPr>
        <w:autoSpaceDE w:val="0"/>
        <w:autoSpaceDN w:val="0"/>
        <w:adjustRightInd w:val="0"/>
        <w:ind w:left="1134"/>
        <w:jc w:val="both"/>
        <w:rPr>
          <w:rFonts w:ascii="Bookman Old Style" w:hAnsi="Bookman Old Style"/>
          <w:color w:val="000000"/>
        </w:rPr>
      </w:pPr>
    </w:p>
    <w:p w:rsidR="00AF3513" w:rsidRPr="00203634" w:rsidRDefault="00AF3513" w:rsidP="003A5A17">
      <w:pPr>
        <w:pStyle w:val="Prrafodelista"/>
        <w:numPr>
          <w:ilvl w:val="0"/>
          <w:numId w:val="20"/>
        </w:numPr>
        <w:ind w:left="2268" w:hanging="579"/>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Número del contrato.</w:t>
      </w:r>
    </w:p>
    <w:p w:rsidR="00AF3513" w:rsidRPr="00203634" w:rsidRDefault="00AF3513" w:rsidP="00524783">
      <w:pPr>
        <w:pStyle w:val="Prrafodelista"/>
        <w:ind w:left="2268" w:hanging="567"/>
        <w:jc w:val="both"/>
        <w:rPr>
          <w:rFonts w:ascii="Bookman Old Style" w:hAnsi="Bookman Old Style" w:cs="Arial"/>
          <w:color w:val="000000"/>
          <w:sz w:val="24"/>
          <w:szCs w:val="24"/>
          <w:lang w:val="es-ES"/>
        </w:rPr>
      </w:pPr>
    </w:p>
    <w:p w:rsidR="00AF3513" w:rsidRPr="00203634" w:rsidRDefault="00AF3513" w:rsidP="003A5A17">
      <w:pPr>
        <w:pStyle w:val="Prrafodelista"/>
        <w:numPr>
          <w:ilvl w:val="0"/>
          <w:numId w:val="20"/>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Fecha de suscripción del contrato.</w:t>
      </w:r>
    </w:p>
    <w:p w:rsidR="00AF3513" w:rsidRPr="00203634" w:rsidRDefault="00AF3513" w:rsidP="00524783">
      <w:pPr>
        <w:pStyle w:val="Prrafodelista"/>
        <w:ind w:left="2268" w:hanging="567"/>
        <w:jc w:val="both"/>
        <w:rPr>
          <w:rFonts w:ascii="Bookman Old Style" w:hAnsi="Bookman Old Style" w:cs="Arial"/>
          <w:color w:val="000000"/>
          <w:sz w:val="24"/>
          <w:szCs w:val="24"/>
          <w:lang w:val="es-ES"/>
        </w:rPr>
      </w:pPr>
    </w:p>
    <w:p w:rsidR="00AF3513" w:rsidRPr="00203634" w:rsidRDefault="00AF3513" w:rsidP="003A5A17">
      <w:pPr>
        <w:pStyle w:val="Prrafodelista"/>
        <w:numPr>
          <w:ilvl w:val="0"/>
          <w:numId w:val="20"/>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Nombre de cada una de las partes.</w:t>
      </w:r>
    </w:p>
    <w:p w:rsidR="00AF3513" w:rsidRPr="00203634" w:rsidRDefault="00AF3513" w:rsidP="00524783">
      <w:pPr>
        <w:pStyle w:val="Prrafodelista"/>
        <w:ind w:left="2268" w:hanging="567"/>
        <w:jc w:val="both"/>
        <w:rPr>
          <w:rFonts w:ascii="Bookman Old Style" w:hAnsi="Bookman Old Style" w:cs="Arial"/>
          <w:color w:val="000000"/>
          <w:sz w:val="24"/>
          <w:szCs w:val="24"/>
          <w:lang w:val="es-ES"/>
        </w:rPr>
      </w:pPr>
    </w:p>
    <w:p w:rsidR="00AF3513" w:rsidRPr="00203634" w:rsidRDefault="00AF3513" w:rsidP="003A5A17">
      <w:pPr>
        <w:pStyle w:val="Prrafodelista"/>
        <w:numPr>
          <w:ilvl w:val="0"/>
          <w:numId w:val="20"/>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 xml:space="preserve">Modalidad de contrato, según lo dispuesto en el </w:t>
      </w:r>
      <w:r>
        <w:rPr>
          <w:rFonts w:ascii="Bookman Old Style" w:hAnsi="Bookman Old Style" w:cs="Arial"/>
          <w:color w:val="000000"/>
          <w:sz w:val="24"/>
          <w:szCs w:val="24"/>
          <w:lang w:val="es-ES"/>
        </w:rPr>
        <w:t xml:space="preserve">Artículo 30 </w:t>
      </w:r>
      <w:r w:rsidRPr="00203634">
        <w:rPr>
          <w:rFonts w:ascii="Bookman Old Style" w:hAnsi="Bookman Old Style" w:cs="Arial"/>
          <w:color w:val="000000"/>
          <w:sz w:val="24"/>
          <w:szCs w:val="24"/>
          <w:lang w:val="es-ES"/>
        </w:rPr>
        <w:t>de esta Resolución.</w:t>
      </w:r>
    </w:p>
    <w:p w:rsidR="00AF3513" w:rsidRPr="00AF3513" w:rsidRDefault="00AF3513" w:rsidP="00524783">
      <w:pPr>
        <w:ind w:left="2268"/>
        <w:jc w:val="both"/>
        <w:rPr>
          <w:rFonts w:ascii="Bookman Old Style" w:hAnsi="Bookman Old Style" w:cs="Arial"/>
          <w:color w:val="000000"/>
        </w:rPr>
      </w:pPr>
    </w:p>
    <w:p w:rsidR="00AF3513" w:rsidRDefault="00AF3513" w:rsidP="003A5A17">
      <w:pPr>
        <w:pStyle w:val="Prrafodelista"/>
        <w:numPr>
          <w:ilvl w:val="0"/>
          <w:numId w:val="21"/>
        </w:numPr>
        <w:ind w:left="2268" w:hanging="501"/>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Precio</w:t>
      </w:r>
      <w:r>
        <w:rPr>
          <w:rFonts w:ascii="Bookman Old Style" w:hAnsi="Bookman Old Style" w:cs="Arial"/>
          <w:color w:val="000000"/>
          <w:sz w:val="24"/>
          <w:szCs w:val="24"/>
          <w:lang w:val="es-ES"/>
        </w:rPr>
        <w:t xml:space="preserve"> máximo</w:t>
      </w:r>
      <w:r w:rsidRPr="00203634">
        <w:rPr>
          <w:rFonts w:ascii="Bookman Old Style" w:hAnsi="Bookman Old Style" w:cs="Arial"/>
          <w:color w:val="000000"/>
          <w:sz w:val="24"/>
          <w:szCs w:val="24"/>
          <w:lang w:val="es-ES"/>
        </w:rPr>
        <w:t xml:space="preserve"> </w:t>
      </w:r>
      <w:r>
        <w:rPr>
          <w:rFonts w:ascii="Bookman Old Style" w:hAnsi="Bookman Old Style" w:cs="Arial"/>
          <w:color w:val="000000"/>
          <w:sz w:val="24"/>
          <w:szCs w:val="24"/>
          <w:lang w:val="es-ES"/>
        </w:rPr>
        <w:t xml:space="preserve">pactado en </w:t>
      </w:r>
      <w:r w:rsidRPr="00203634">
        <w:rPr>
          <w:rFonts w:ascii="Bookman Old Style" w:hAnsi="Bookman Old Style" w:cs="Arial"/>
          <w:color w:val="000000"/>
          <w:sz w:val="24"/>
          <w:szCs w:val="24"/>
          <w:lang w:val="es-ES"/>
        </w:rPr>
        <w:t xml:space="preserve">el contrato, expresado en dólares de los </w:t>
      </w:r>
      <w:r w:rsidRPr="006C33A6">
        <w:rPr>
          <w:rFonts w:ascii="Bookman Old Style" w:hAnsi="Bookman Old Style" w:cs="Arial"/>
          <w:color w:val="000000"/>
          <w:sz w:val="24"/>
          <w:szCs w:val="24"/>
          <w:lang w:val="es-ES"/>
        </w:rPr>
        <w:t>Estados Unidos de América por MBTU, como se establece en el numeral 2 del literal B del artículo 49 de la presente Resolución.</w:t>
      </w:r>
    </w:p>
    <w:p w:rsidR="00223D38" w:rsidRDefault="00223D38" w:rsidP="00524783">
      <w:pPr>
        <w:pStyle w:val="Prrafodelista"/>
        <w:ind w:left="2268"/>
        <w:jc w:val="both"/>
        <w:rPr>
          <w:rFonts w:ascii="Bookman Old Style" w:hAnsi="Bookman Old Style" w:cs="Arial"/>
          <w:color w:val="000000"/>
          <w:sz w:val="24"/>
          <w:szCs w:val="24"/>
          <w:lang w:val="es-ES"/>
        </w:rPr>
      </w:pPr>
    </w:p>
    <w:p w:rsidR="00AF3513" w:rsidRPr="00223D38" w:rsidRDefault="00223D38" w:rsidP="003A5A17">
      <w:pPr>
        <w:pStyle w:val="Prrafodelista"/>
        <w:numPr>
          <w:ilvl w:val="0"/>
          <w:numId w:val="21"/>
        </w:numPr>
        <w:ind w:left="2268" w:hanging="579"/>
        <w:jc w:val="both"/>
        <w:rPr>
          <w:rFonts w:ascii="Bookman Old Style" w:hAnsi="Bookman Old Style"/>
        </w:rPr>
      </w:pPr>
      <w:r>
        <w:rPr>
          <w:rFonts w:ascii="Bookman Old Style" w:hAnsi="Bookman Old Style"/>
          <w:sz w:val="24"/>
          <w:szCs w:val="24"/>
        </w:rPr>
        <w:t>Cantidad máxima pactada en el contrato</w:t>
      </w:r>
      <w:r w:rsidR="007F0D5E">
        <w:rPr>
          <w:rFonts w:ascii="Bookman Old Style" w:hAnsi="Bookman Old Style"/>
          <w:sz w:val="24"/>
          <w:szCs w:val="24"/>
        </w:rPr>
        <w:t xml:space="preserve"> </w:t>
      </w:r>
      <w:r>
        <w:rPr>
          <w:rFonts w:ascii="Bookman Old Style" w:hAnsi="Bookman Old Style"/>
          <w:sz w:val="24"/>
          <w:szCs w:val="24"/>
        </w:rPr>
        <w:t>expresada en MBTUD, como se establece en el numeral 2 del literal B del artículo 49 de la presente resolución</w:t>
      </w:r>
      <w:r w:rsidR="007F0D5E">
        <w:rPr>
          <w:rFonts w:ascii="Bookman Old Style" w:hAnsi="Bookman Old Style"/>
          <w:sz w:val="24"/>
          <w:szCs w:val="24"/>
        </w:rPr>
        <w:t xml:space="preserve">. </w:t>
      </w:r>
    </w:p>
    <w:p w:rsidR="00223D38" w:rsidRPr="00223D38" w:rsidRDefault="00223D38" w:rsidP="00524783">
      <w:pPr>
        <w:pStyle w:val="Prrafodelista"/>
        <w:ind w:left="2268"/>
        <w:rPr>
          <w:rFonts w:ascii="Bookman Old Style" w:hAnsi="Bookman Old Style"/>
        </w:rPr>
      </w:pPr>
    </w:p>
    <w:p w:rsidR="00223D38" w:rsidRPr="00223D38" w:rsidRDefault="00223D38" w:rsidP="00524783">
      <w:pPr>
        <w:pStyle w:val="Prrafodelista"/>
        <w:ind w:left="2268"/>
        <w:jc w:val="both"/>
        <w:rPr>
          <w:rFonts w:ascii="Bookman Old Style" w:hAnsi="Bookman Old Style"/>
        </w:rPr>
      </w:pPr>
    </w:p>
    <w:p w:rsidR="00AF3513" w:rsidRPr="00203634" w:rsidRDefault="00AF3513" w:rsidP="003A5A17">
      <w:pPr>
        <w:pStyle w:val="Prrafodelista"/>
        <w:numPr>
          <w:ilvl w:val="0"/>
          <w:numId w:val="21"/>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 xml:space="preserve">Fecha de inicio </w:t>
      </w:r>
      <w:r>
        <w:rPr>
          <w:rFonts w:ascii="Bookman Old Style" w:hAnsi="Bookman Old Style" w:cs="Arial"/>
          <w:color w:val="000000"/>
          <w:sz w:val="24"/>
          <w:szCs w:val="24"/>
          <w:lang w:val="es-ES"/>
        </w:rPr>
        <w:t>del contrato</w:t>
      </w:r>
      <w:r w:rsidRPr="00203634">
        <w:rPr>
          <w:rFonts w:ascii="Bookman Old Style" w:hAnsi="Bookman Old Style" w:cs="Arial"/>
          <w:color w:val="000000"/>
          <w:sz w:val="24"/>
          <w:szCs w:val="24"/>
          <w:lang w:val="es-ES"/>
        </w:rPr>
        <w:t xml:space="preserve"> (día/mes/año). </w:t>
      </w:r>
    </w:p>
    <w:p w:rsidR="00AF3513" w:rsidRPr="00203634" w:rsidRDefault="00AF3513" w:rsidP="00524783">
      <w:pPr>
        <w:pStyle w:val="Prrafodelista"/>
        <w:ind w:left="2268" w:hanging="567"/>
        <w:jc w:val="both"/>
        <w:rPr>
          <w:rFonts w:ascii="Bookman Old Style" w:hAnsi="Bookman Old Style" w:cs="Arial"/>
          <w:color w:val="000000"/>
          <w:sz w:val="24"/>
          <w:szCs w:val="24"/>
          <w:lang w:val="es-ES"/>
        </w:rPr>
      </w:pPr>
    </w:p>
    <w:p w:rsidR="00AF3513" w:rsidRPr="00203634" w:rsidRDefault="00AF3513" w:rsidP="003A5A17">
      <w:pPr>
        <w:pStyle w:val="Prrafodelista"/>
        <w:numPr>
          <w:ilvl w:val="0"/>
          <w:numId w:val="21"/>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 xml:space="preserve">Fecha de terminación </w:t>
      </w:r>
      <w:r>
        <w:rPr>
          <w:rFonts w:ascii="Bookman Old Style" w:hAnsi="Bookman Old Style" w:cs="Arial"/>
          <w:color w:val="000000"/>
          <w:sz w:val="24"/>
          <w:szCs w:val="24"/>
          <w:lang w:val="es-ES"/>
        </w:rPr>
        <w:t>del contrato (día/mes/año).</w:t>
      </w:r>
    </w:p>
    <w:p w:rsidR="00AF3513" w:rsidRPr="00203634" w:rsidRDefault="00AF3513" w:rsidP="00524783">
      <w:pPr>
        <w:pStyle w:val="Prrafodelista"/>
        <w:ind w:left="2268" w:hanging="567"/>
        <w:jc w:val="both"/>
        <w:rPr>
          <w:rFonts w:ascii="Bookman Old Style" w:hAnsi="Bookman Old Style" w:cs="Arial"/>
          <w:color w:val="000000"/>
          <w:sz w:val="24"/>
          <w:szCs w:val="24"/>
          <w:lang w:val="es-ES"/>
        </w:rPr>
      </w:pPr>
    </w:p>
    <w:p w:rsidR="00AF3513" w:rsidRPr="00203634" w:rsidRDefault="00AF3513" w:rsidP="003A5A17">
      <w:pPr>
        <w:pStyle w:val="Prrafodelista"/>
        <w:numPr>
          <w:ilvl w:val="0"/>
          <w:numId w:val="21"/>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La demás información que determine la CREG.</w:t>
      </w:r>
    </w:p>
    <w:p w:rsidR="00AF3513" w:rsidRDefault="00AF3513" w:rsidP="00E912C1">
      <w:pPr>
        <w:autoSpaceDE w:val="0"/>
        <w:autoSpaceDN w:val="0"/>
        <w:adjustRightInd w:val="0"/>
        <w:ind w:left="1134"/>
        <w:jc w:val="both"/>
        <w:rPr>
          <w:rFonts w:ascii="Bookman Old Style" w:hAnsi="Bookman Old Style"/>
          <w:color w:val="000000"/>
        </w:rPr>
      </w:pPr>
    </w:p>
    <w:p w:rsidR="00AF3513" w:rsidRPr="00203634" w:rsidRDefault="00AF3513" w:rsidP="00524783">
      <w:pPr>
        <w:autoSpaceDE w:val="0"/>
        <w:autoSpaceDN w:val="0"/>
        <w:adjustRightInd w:val="0"/>
        <w:ind w:left="1701"/>
        <w:jc w:val="both"/>
        <w:rPr>
          <w:rFonts w:ascii="Bookman Old Style" w:hAnsi="Bookman Old Style"/>
          <w:color w:val="000000"/>
        </w:rPr>
      </w:pPr>
      <w:r w:rsidRPr="00203634">
        <w:rPr>
          <w:rFonts w:ascii="Bookman Old Style" w:hAnsi="Bookman Old Style"/>
          <w:color w:val="000000"/>
        </w:rPr>
        <w:t>La declaración de la información para el registro de los contratos se realizará a través del medio y del formato que defina el gestor del mercado.</w:t>
      </w:r>
    </w:p>
    <w:p w:rsidR="00AF3513" w:rsidRPr="00203634" w:rsidRDefault="00AF3513" w:rsidP="00524783">
      <w:pPr>
        <w:autoSpaceDE w:val="0"/>
        <w:autoSpaceDN w:val="0"/>
        <w:adjustRightInd w:val="0"/>
        <w:ind w:left="1701"/>
        <w:jc w:val="both"/>
        <w:rPr>
          <w:rFonts w:ascii="Bookman Old Style" w:hAnsi="Bookman Old Style"/>
          <w:color w:val="000000"/>
        </w:rPr>
      </w:pPr>
    </w:p>
    <w:p w:rsidR="00AF3513" w:rsidRPr="00203634" w:rsidRDefault="00AF3513" w:rsidP="00524783">
      <w:pPr>
        <w:autoSpaceDE w:val="0"/>
        <w:autoSpaceDN w:val="0"/>
        <w:adjustRightInd w:val="0"/>
        <w:ind w:left="1701"/>
        <w:jc w:val="both"/>
        <w:rPr>
          <w:rFonts w:ascii="Bookman Old Style" w:hAnsi="Bookman Old Style"/>
          <w:color w:val="000000"/>
        </w:rPr>
      </w:pPr>
      <w:r w:rsidRPr="00203634">
        <w:rPr>
          <w:rFonts w:ascii="Bookman Old Style" w:hAnsi="Bookman Old Style"/>
          <w:color w:val="000000"/>
        </w:rPr>
        <w:t>Los vendedores y los compradores deberán actualizar el registro ante el gestor del mercado, en los eventos en que exista cesión, terminación anticipada o modificación del contrato de suministro de gas natural. Para estos efectos los vendedores y los compradores deberán declarar al gestor del mercado la información previamente señalada, debidamente actualizada.</w:t>
      </w:r>
    </w:p>
    <w:p w:rsidR="00AF3513" w:rsidRPr="00203634" w:rsidRDefault="00AF3513" w:rsidP="00E912C1">
      <w:pPr>
        <w:autoSpaceDE w:val="0"/>
        <w:autoSpaceDN w:val="0"/>
        <w:adjustRightInd w:val="0"/>
        <w:ind w:left="1134"/>
        <w:jc w:val="both"/>
        <w:rPr>
          <w:rFonts w:ascii="Bookman Old Style" w:hAnsi="Bookman Old Style"/>
          <w:color w:val="000000"/>
        </w:rPr>
      </w:pPr>
    </w:p>
    <w:p w:rsidR="00AF3513" w:rsidRPr="00203634" w:rsidRDefault="00AF3513" w:rsidP="00524783">
      <w:pPr>
        <w:autoSpaceDE w:val="0"/>
        <w:autoSpaceDN w:val="0"/>
        <w:adjustRightInd w:val="0"/>
        <w:ind w:left="1701"/>
        <w:jc w:val="both"/>
        <w:rPr>
          <w:rFonts w:ascii="Bookman Old Style" w:hAnsi="Bookman Old Style"/>
          <w:color w:val="000000"/>
        </w:rPr>
      </w:pPr>
      <w:r w:rsidRPr="00203634">
        <w:rPr>
          <w:rFonts w:ascii="Bookman Old Style" w:hAnsi="Bookman Old Style"/>
          <w:color w:val="000000"/>
        </w:rPr>
        <w:t>El gestor del mercado podrá solicitar copia de los contratos referidos, caso en el cual los vendedores y los compradores a los que se hace referencia en los Artículos</w:t>
      </w:r>
      <w:r>
        <w:rPr>
          <w:rFonts w:ascii="Bookman Old Style" w:hAnsi="Bookman Old Style"/>
          <w:color w:val="000000"/>
        </w:rPr>
        <w:t xml:space="preserve"> 33 y 34 </w:t>
      </w:r>
      <w:r w:rsidRPr="00203634">
        <w:rPr>
          <w:rFonts w:ascii="Bookman Old Style" w:hAnsi="Bookman Old Style"/>
          <w:color w:val="000000"/>
        </w:rPr>
        <w:t>de esta Resolución estarán en la obligación de entregar tales copias al gestor del mercado.</w:t>
      </w:r>
    </w:p>
    <w:p w:rsidR="00AF3513" w:rsidRDefault="00AF3513" w:rsidP="00E912C1">
      <w:pPr>
        <w:autoSpaceDE w:val="0"/>
        <w:autoSpaceDN w:val="0"/>
        <w:adjustRightInd w:val="0"/>
        <w:ind w:left="0"/>
        <w:jc w:val="both"/>
        <w:rPr>
          <w:rFonts w:ascii="Bookman Old Style" w:hAnsi="Bookman Old Style"/>
          <w:color w:val="000000"/>
        </w:rPr>
      </w:pPr>
    </w:p>
    <w:p w:rsidR="00AF3513" w:rsidRPr="006D4807" w:rsidRDefault="00AF3513" w:rsidP="00524783">
      <w:pPr>
        <w:autoSpaceDE w:val="0"/>
        <w:autoSpaceDN w:val="0"/>
        <w:adjustRightInd w:val="0"/>
        <w:ind w:left="1701"/>
        <w:jc w:val="both"/>
        <w:rPr>
          <w:rFonts w:ascii="Bookman Old Style" w:hAnsi="Bookman Old Style"/>
          <w:b/>
          <w:color w:val="000000"/>
        </w:rPr>
      </w:pPr>
      <w:r w:rsidRPr="006D4807">
        <w:rPr>
          <w:rFonts w:ascii="Bookman Old Style" w:hAnsi="Bookman Old Style"/>
          <w:b/>
          <w:color w:val="000000"/>
        </w:rPr>
        <w:t xml:space="preserve">Información </w:t>
      </w:r>
      <w:r>
        <w:rPr>
          <w:rFonts w:ascii="Bookman Old Style" w:hAnsi="Bookman Old Style"/>
          <w:b/>
          <w:color w:val="000000"/>
        </w:rPr>
        <w:t>sobre la ejecución del contrato:</w:t>
      </w:r>
    </w:p>
    <w:p w:rsidR="00AF3513" w:rsidRDefault="00AF3513" w:rsidP="00524783">
      <w:pPr>
        <w:autoSpaceDE w:val="0"/>
        <w:autoSpaceDN w:val="0"/>
        <w:adjustRightInd w:val="0"/>
        <w:ind w:left="1701"/>
        <w:jc w:val="both"/>
        <w:rPr>
          <w:rFonts w:ascii="Bookman Old Style" w:hAnsi="Bookman Old Style"/>
          <w:color w:val="000000"/>
        </w:rPr>
      </w:pPr>
    </w:p>
    <w:p w:rsidR="00147CBF" w:rsidRDefault="00147CBF" w:rsidP="00524783">
      <w:pPr>
        <w:autoSpaceDE w:val="0"/>
        <w:autoSpaceDN w:val="0"/>
        <w:adjustRightInd w:val="0"/>
        <w:ind w:left="1701"/>
        <w:jc w:val="both"/>
        <w:rPr>
          <w:rFonts w:ascii="Bookman Old Style" w:hAnsi="Bookman Old Style"/>
          <w:bCs/>
          <w:color w:val="000000"/>
        </w:rPr>
      </w:pPr>
    </w:p>
    <w:p w:rsidR="00147CBF" w:rsidRDefault="00147CBF" w:rsidP="00524783">
      <w:pPr>
        <w:autoSpaceDE w:val="0"/>
        <w:autoSpaceDN w:val="0"/>
        <w:adjustRightInd w:val="0"/>
        <w:ind w:left="1701"/>
        <w:jc w:val="both"/>
        <w:rPr>
          <w:rFonts w:ascii="Bookman Old Style" w:hAnsi="Bookman Old Style"/>
          <w:bCs/>
          <w:color w:val="000000"/>
        </w:rPr>
      </w:pPr>
    </w:p>
    <w:p w:rsidR="00AF3513" w:rsidRPr="00203634" w:rsidRDefault="00AF3513" w:rsidP="00524783">
      <w:pPr>
        <w:autoSpaceDE w:val="0"/>
        <w:autoSpaceDN w:val="0"/>
        <w:adjustRightInd w:val="0"/>
        <w:ind w:left="1701"/>
        <w:jc w:val="both"/>
        <w:rPr>
          <w:rFonts w:ascii="Bookman Old Style" w:hAnsi="Bookman Old Style"/>
          <w:bCs/>
          <w:color w:val="000000"/>
          <w:lang w:eastAsia="x-none"/>
        </w:rPr>
      </w:pPr>
      <w:r>
        <w:rPr>
          <w:rFonts w:ascii="Bookman Old Style" w:hAnsi="Bookman Old Style"/>
          <w:bCs/>
          <w:color w:val="000000"/>
        </w:rPr>
        <w:t>A más tardar a las 24</w:t>
      </w:r>
      <w:r w:rsidRPr="00203634">
        <w:rPr>
          <w:rFonts w:ascii="Bookman Old Style" w:hAnsi="Bookman Old Style"/>
          <w:bCs/>
          <w:color w:val="000000"/>
        </w:rPr>
        <w:t xml:space="preserve">:00 horas del </w:t>
      </w:r>
      <w:r w:rsidRPr="00FE0A4C">
        <w:rPr>
          <w:rFonts w:ascii="Bookman Old Style" w:hAnsi="Bookman Old Style"/>
          <w:bCs/>
          <w:color w:val="000000"/>
        </w:rPr>
        <w:t>día D+</w:t>
      </w:r>
      <w:r w:rsidR="00FE0A4C" w:rsidRPr="00FE0A4C">
        <w:rPr>
          <w:rFonts w:ascii="Bookman Old Style" w:hAnsi="Bookman Old Style"/>
          <w:bCs/>
          <w:color w:val="000000"/>
        </w:rPr>
        <w:t>1</w:t>
      </w:r>
      <w:r w:rsidRPr="00FE0A4C">
        <w:rPr>
          <w:rFonts w:ascii="Bookman Old Style" w:hAnsi="Bookman Old Style"/>
          <w:bCs/>
          <w:color w:val="000000"/>
        </w:rPr>
        <w:t>,</w:t>
      </w:r>
      <w:r w:rsidRPr="00203634">
        <w:rPr>
          <w:rFonts w:ascii="Bookman Old Style" w:hAnsi="Bookman Old Style"/>
          <w:bCs/>
          <w:color w:val="000000"/>
        </w:rPr>
        <w:t xml:space="preserve"> los </w:t>
      </w:r>
      <w:r>
        <w:rPr>
          <w:rFonts w:ascii="Bookman Old Style" w:hAnsi="Bookman Old Style"/>
          <w:bCs/>
          <w:color w:val="000000"/>
        </w:rPr>
        <w:t xml:space="preserve">compradores y vendedores </w:t>
      </w:r>
      <w:r w:rsidRPr="00203634">
        <w:rPr>
          <w:rFonts w:ascii="Bookman Old Style" w:hAnsi="Bookman Old Style"/>
          <w:bCs/>
          <w:color w:val="000000"/>
        </w:rPr>
        <w:t xml:space="preserve">deberán declarar al gestor del mercado la siguiente información </w:t>
      </w:r>
      <w:r>
        <w:rPr>
          <w:rFonts w:ascii="Bookman Old Style" w:hAnsi="Bookman Old Style"/>
          <w:bCs/>
          <w:color w:val="000000"/>
        </w:rPr>
        <w:t>sobre la ejecución del contrato, por cada punto de entrega</w:t>
      </w:r>
      <w:r w:rsidRPr="00203634">
        <w:rPr>
          <w:rFonts w:ascii="Bookman Old Style" w:hAnsi="Bookman Old Style"/>
          <w:bCs/>
          <w:color w:val="000000"/>
          <w:lang w:eastAsia="x-none"/>
        </w:rPr>
        <w:t>:</w:t>
      </w:r>
    </w:p>
    <w:p w:rsidR="00AF3513" w:rsidRDefault="00AF3513" w:rsidP="00E912C1">
      <w:pPr>
        <w:autoSpaceDE w:val="0"/>
        <w:autoSpaceDN w:val="0"/>
        <w:adjustRightInd w:val="0"/>
        <w:ind w:left="0"/>
        <w:jc w:val="both"/>
        <w:rPr>
          <w:rFonts w:ascii="Bookman Old Style" w:hAnsi="Bookman Old Style"/>
          <w:color w:val="000000"/>
        </w:rPr>
      </w:pPr>
    </w:p>
    <w:p w:rsidR="00AF3513" w:rsidRDefault="00AF3513" w:rsidP="003A5A17">
      <w:pPr>
        <w:pStyle w:val="Prrafodelista"/>
        <w:numPr>
          <w:ilvl w:val="0"/>
          <w:numId w:val="22"/>
        </w:numPr>
        <w:ind w:left="2268" w:hanging="567"/>
        <w:jc w:val="both"/>
        <w:rPr>
          <w:rFonts w:ascii="Bookman Old Style" w:hAnsi="Bookman Old Style" w:cs="Arial"/>
          <w:color w:val="000000"/>
          <w:sz w:val="24"/>
          <w:szCs w:val="24"/>
          <w:lang w:val="es-ES"/>
        </w:rPr>
      </w:pPr>
      <w:r>
        <w:rPr>
          <w:rFonts w:ascii="Bookman Old Style" w:hAnsi="Bookman Old Style" w:cs="Arial"/>
          <w:color w:val="000000"/>
          <w:sz w:val="24"/>
          <w:szCs w:val="24"/>
          <w:lang w:val="es-ES"/>
        </w:rPr>
        <w:t>Número de contrato en ejecución.</w:t>
      </w:r>
    </w:p>
    <w:p w:rsidR="00AF3513" w:rsidRDefault="00AF3513" w:rsidP="00524783">
      <w:pPr>
        <w:pStyle w:val="Prrafodelista"/>
        <w:ind w:left="2268" w:hanging="567"/>
        <w:jc w:val="both"/>
        <w:rPr>
          <w:rFonts w:ascii="Bookman Old Style" w:hAnsi="Bookman Old Style" w:cs="Arial"/>
          <w:color w:val="000000"/>
          <w:sz w:val="24"/>
          <w:szCs w:val="24"/>
          <w:lang w:val="es-ES"/>
        </w:rPr>
      </w:pPr>
    </w:p>
    <w:p w:rsidR="00AF3513" w:rsidRPr="006A0E0F" w:rsidRDefault="00AF3513" w:rsidP="003A5A17">
      <w:pPr>
        <w:pStyle w:val="Prrafodelista"/>
        <w:numPr>
          <w:ilvl w:val="0"/>
          <w:numId w:val="22"/>
        </w:numPr>
        <w:ind w:left="2268" w:hanging="567"/>
        <w:jc w:val="both"/>
        <w:rPr>
          <w:rFonts w:ascii="Bookman Old Style" w:hAnsi="Bookman Old Style" w:cs="Arial"/>
          <w:color w:val="000000"/>
          <w:sz w:val="24"/>
          <w:szCs w:val="24"/>
          <w:lang w:val="es-ES"/>
        </w:rPr>
      </w:pPr>
      <w:r>
        <w:rPr>
          <w:rFonts w:ascii="Bookman Old Style" w:hAnsi="Bookman Old Style" w:cs="Arial"/>
          <w:color w:val="000000"/>
          <w:sz w:val="24"/>
          <w:szCs w:val="24"/>
          <w:lang w:val="es-ES"/>
        </w:rPr>
        <w:t>C</w:t>
      </w:r>
      <w:r w:rsidRPr="00F0593B">
        <w:rPr>
          <w:rFonts w:ascii="Bookman Old Style" w:hAnsi="Bookman Old Style" w:cs="Arial"/>
          <w:color w:val="000000"/>
          <w:sz w:val="24"/>
          <w:szCs w:val="24"/>
          <w:lang w:val="es-ES"/>
        </w:rPr>
        <w:t>antidad</w:t>
      </w:r>
      <w:r>
        <w:rPr>
          <w:rFonts w:ascii="Bookman Old Style" w:hAnsi="Bookman Old Style" w:cs="Arial"/>
          <w:color w:val="000000"/>
          <w:sz w:val="24"/>
          <w:szCs w:val="24"/>
          <w:lang w:val="es-ES"/>
        </w:rPr>
        <w:t xml:space="preserve"> total de</w:t>
      </w:r>
      <w:r w:rsidRPr="00F0593B">
        <w:rPr>
          <w:rFonts w:ascii="Bookman Old Style" w:hAnsi="Bookman Old Style" w:cs="Arial"/>
          <w:color w:val="000000"/>
          <w:sz w:val="24"/>
          <w:szCs w:val="24"/>
          <w:lang w:val="es-ES"/>
        </w:rPr>
        <w:t xml:space="preserve"> gas en MBTU </w:t>
      </w:r>
      <w:r>
        <w:rPr>
          <w:rFonts w:ascii="Bookman Old Style" w:hAnsi="Bookman Old Style" w:cs="Arial"/>
          <w:color w:val="000000"/>
          <w:sz w:val="24"/>
          <w:szCs w:val="24"/>
          <w:lang w:val="es-ES"/>
        </w:rPr>
        <w:t xml:space="preserve">autorizada por el vendedor al comprador para el día de gas. </w:t>
      </w:r>
      <w:r w:rsidRPr="006A0E0F">
        <w:rPr>
          <w:rFonts w:ascii="Bookman Old Style" w:hAnsi="Bookman Old Style" w:cs="Arial"/>
          <w:color w:val="000000"/>
          <w:sz w:val="24"/>
          <w:szCs w:val="24"/>
          <w:lang w:val="es-ES"/>
        </w:rPr>
        <w:t xml:space="preserve">La cantidad autorizada es aquella sobre la cual se realiza la facturación por parte del vendedor al comprador. </w:t>
      </w:r>
    </w:p>
    <w:p w:rsidR="00AF3513" w:rsidRPr="00F43D58" w:rsidRDefault="00AF3513" w:rsidP="00524783">
      <w:pPr>
        <w:ind w:left="2268" w:hanging="567"/>
        <w:jc w:val="both"/>
        <w:rPr>
          <w:rFonts w:ascii="Bookman Old Style" w:hAnsi="Bookman Old Style" w:cs="Arial"/>
          <w:color w:val="000000"/>
        </w:rPr>
      </w:pPr>
      <w:r w:rsidRPr="006A0E0F">
        <w:rPr>
          <w:rFonts w:ascii="Bookman Old Style" w:hAnsi="Bookman Old Style" w:cs="Arial"/>
          <w:color w:val="000000"/>
        </w:rPr>
        <w:t xml:space="preserve"> </w:t>
      </w:r>
    </w:p>
    <w:p w:rsidR="00AF3513" w:rsidRPr="006D4807" w:rsidRDefault="00AF3513" w:rsidP="003A5A17">
      <w:pPr>
        <w:pStyle w:val="Prrafodelista"/>
        <w:numPr>
          <w:ilvl w:val="0"/>
          <w:numId w:val="22"/>
        </w:numPr>
        <w:ind w:left="2268" w:hanging="567"/>
        <w:jc w:val="both"/>
        <w:rPr>
          <w:rFonts w:ascii="Bookman Old Style" w:hAnsi="Bookman Old Style" w:cs="Arial"/>
          <w:color w:val="000000"/>
          <w:sz w:val="24"/>
          <w:szCs w:val="24"/>
          <w:lang w:val="es-ES"/>
        </w:rPr>
      </w:pPr>
      <w:r>
        <w:rPr>
          <w:rFonts w:ascii="Bookman Old Style" w:hAnsi="Bookman Old Style" w:cs="Arial"/>
          <w:color w:val="000000"/>
          <w:sz w:val="24"/>
          <w:szCs w:val="24"/>
          <w:lang w:val="es-ES"/>
        </w:rPr>
        <w:t>Valor facturado por la cantidad total de gas autorizada para el día de gas,</w:t>
      </w:r>
      <w:r w:rsidRPr="00203634">
        <w:rPr>
          <w:rFonts w:ascii="Bookman Old Style" w:hAnsi="Bookman Old Style" w:cs="Arial"/>
          <w:color w:val="000000"/>
          <w:sz w:val="24"/>
          <w:szCs w:val="24"/>
          <w:lang w:val="es-ES"/>
        </w:rPr>
        <w:t xml:space="preserve"> expresado en dólares de los Est</w:t>
      </w:r>
      <w:r>
        <w:rPr>
          <w:rFonts w:ascii="Bookman Old Style" w:hAnsi="Bookman Old Style" w:cs="Arial"/>
          <w:color w:val="000000"/>
          <w:sz w:val="24"/>
          <w:szCs w:val="24"/>
          <w:lang w:val="es-ES"/>
        </w:rPr>
        <w:t xml:space="preserve">ados Unidos de América. En ningún momento el precio unitario acordado para el día de gas, </w:t>
      </w:r>
      <w:r w:rsidRPr="006C33A6">
        <w:rPr>
          <w:rFonts w:ascii="Bookman Old Style" w:hAnsi="Bookman Old Style" w:cs="Arial"/>
          <w:color w:val="000000"/>
          <w:sz w:val="24"/>
          <w:szCs w:val="24"/>
          <w:lang w:val="es-ES"/>
        </w:rPr>
        <w:t>podrá superar el precio máximo al que hace referencia el numeral 2 del literal B del artículo 49 de la presente Resolución</w:t>
      </w:r>
    </w:p>
    <w:p w:rsidR="00AF3513" w:rsidRDefault="00AF3513" w:rsidP="00524783">
      <w:pPr>
        <w:autoSpaceDE w:val="0"/>
        <w:autoSpaceDN w:val="0"/>
        <w:adjustRightInd w:val="0"/>
        <w:ind w:left="2268" w:hanging="567"/>
        <w:jc w:val="both"/>
        <w:rPr>
          <w:rFonts w:ascii="Bookman Old Style" w:hAnsi="Bookman Old Style"/>
          <w:color w:val="000000"/>
        </w:rPr>
      </w:pPr>
    </w:p>
    <w:p w:rsidR="00AF3513" w:rsidRDefault="00AF3513" w:rsidP="003A5A17">
      <w:pPr>
        <w:pStyle w:val="Prrafodelista"/>
        <w:numPr>
          <w:ilvl w:val="0"/>
          <w:numId w:val="22"/>
        </w:numPr>
        <w:ind w:left="2268" w:hanging="567"/>
        <w:jc w:val="both"/>
        <w:rPr>
          <w:rFonts w:ascii="Bookman Old Style" w:hAnsi="Bookman Old Style" w:cs="Arial"/>
          <w:color w:val="000000"/>
          <w:sz w:val="24"/>
          <w:szCs w:val="24"/>
          <w:lang w:val="es-ES"/>
        </w:rPr>
      </w:pPr>
      <w:r>
        <w:rPr>
          <w:rFonts w:ascii="Bookman Old Style" w:hAnsi="Bookman Old Style" w:cs="Arial"/>
          <w:color w:val="000000"/>
          <w:sz w:val="24"/>
          <w:szCs w:val="24"/>
          <w:lang w:val="es-ES"/>
        </w:rPr>
        <w:t xml:space="preserve">Punto de entrega de las cantidades de gas autorizadas por el vendedor. </w:t>
      </w:r>
    </w:p>
    <w:p w:rsidR="00AF3513" w:rsidRPr="005D36A8" w:rsidRDefault="00AF3513" w:rsidP="00E912C1">
      <w:pPr>
        <w:pStyle w:val="Prrafodelista"/>
        <w:rPr>
          <w:rFonts w:ascii="Bookman Old Style" w:hAnsi="Bookman Old Style" w:cs="Arial"/>
          <w:color w:val="000000"/>
          <w:sz w:val="24"/>
          <w:szCs w:val="24"/>
          <w:lang w:val="es-ES"/>
        </w:rPr>
      </w:pPr>
    </w:p>
    <w:p w:rsidR="00AF3513" w:rsidRPr="00203634" w:rsidRDefault="00AF3513" w:rsidP="00524783">
      <w:pPr>
        <w:autoSpaceDE w:val="0"/>
        <w:autoSpaceDN w:val="0"/>
        <w:adjustRightInd w:val="0"/>
        <w:ind w:left="1701"/>
        <w:jc w:val="both"/>
        <w:rPr>
          <w:rFonts w:ascii="Bookman Old Style" w:hAnsi="Bookman Old Style" w:cs="Arial"/>
          <w:color w:val="000000"/>
        </w:rPr>
      </w:pPr>
      <w:r w:rsidRPr="00203634">
        <w:rPr>
          <w:rFonts w:ascii="Bookman Old Style" w:hAnsi="Bookman Old Style"/>
          <w:color w:val="000000"/>
        </w:rPr>
        <w:t xml:space="preserve">Adicionalmente, cada comprador deberá declarar al gestor del mercado el </w:t>
      </w:r>
      <w:r w:rsidRPr="00203634">
        <w:rPr>
          <w:rFonts w:ascii="Bookman Old Style" w:hAnsi="Bookman Old Style" w:cs="Arial"/>
          <w:color w:val="000000"/>
        </w:rPr>
        <w:t>tipo de demanda a atender con</w:t>
      </w:r>
      <w:r>
        <w:rPr>
          <w:rFonts w:ascii="Bookman Old Style" w:hAnsi="Bookman Old Style" w:cs="Arial"/>
          <w:color w:val="000000"/>
        </w:rPr>
        <w:t xml:space="preserve"> la ejecución</w:t>
      </w:r>
      <w:r w:rsidRPr="00203634">
        <w:rPr>
          <w:rFonts w:ascii="Bookman Old Style" w:hAnsi="Bookman Old Style" w:cs="Arial"/>
          <w:color w:val="000000"/>
        </w:rPr>
        <w:t xml:space="preserve"> </w:t>
      </w:r>
      <w:r>
        <w:rPr>
          <w:rFonts w:ascii="Bookman Old Style" w:hAnsi="Bookman Old Style" w:cs="Arial"/>
          <w:color w:val="000000"/>
        </w:rPr>
        <w:t>d</w:t>
      </w:r>
      <w:r w:rsidRPr="00203634">
        <w:rPr>
          <w:rFonts w:ascii="Bookman Old Style" w:hAnsi="Bookman Old Style" w:cs="Arial"/>
          <w:color w:val="000000"/>
        </w:rPr>
        <w:t>el contrato. Esto es, regulado o no regulado, desagregado en residencial, comercial, industrial, gas para transportadores, petroquímica, refinería, gas natural vehicular comprimido, generación térmica, exportaciones u otros. Los compradores que entreguen a usuario final no regulado deberán declarar el nombre del usuario, la ubicación y/o punto de salida del usuario en el SNT y la cantidad contratada con cada usuario. Cuando el comprador entregue a usuarios regulados deberá especificar la cantidad a entregar, el mercado relevante en el que se consumirá esa cantidad y los correspondientes puntos de salida.</w:t>
      </w:r>
    </w:p>
    <w:p w:rsidR="00AF3513" w:rsidRDefault="00AF3513" w:rsidP="00E912C1">
      <w:pPr>
        <w:autoSpaceDE w:val="0"/>
        <w:autoSpaceDN w:val="0"/>
        <w:adjustRightInd w:val="0"/>
        <w:ind w:left="1134"/>
        <w:jc w:val="both"/>
        <w:rPr>
          <w:rFonts w:ascii="Bookman Old Style" w:hAnsi="Bookman Old Style"/>
          <w:color w:val="000000"/>
        </w:rPr>
      </w:pPr>
    </w:p>
    <w:p w:rsidR="00AF3513" w:rsidRPr="00203634" w:rsidRDefault="00AF3513" w:rsidP="00524783">
      <w:pPr>
        <w:autoSpaceDE w:val="0"/>
        <w:autoSpaceDN w:val="0"/>
        <w:adjustRightInd w:val="0"/>
        <w:ind w:left="1701"/>
        <w:jc w:val="both"/>
        <w:rPr>
          <w:rFonts w:ascii="Bookman Old Style" w:hAnsi="Bookman Old Style"/>
          <w:bCs/>
          <w:color w:val="000000"/>
          <w:lang w:eastAsia="x-none"/>
        </w:rPr>
      </w:pPr>
      <w:r w:rsidRPr="00203634">
        <w:rPr>
          <w:rFonts w:ascii="Bookman Old Style" w:hAnsi="Bookman Old Style"/>
          <w:bCs/>
          <w:color w:val="000000"/>
          <w:lang w:eastAsia="x-none"/>
        </w:rPr>
        <w:t xml:space="preserve">La declaración de la información señalada en el presente </w:t>
      </w:r>
      <w:r>
        <w:rPr>
          <w:rFonts w:ascii="Bookman Old Style" w:hAnsi="Bookman Old Style"/>
          <w:bCs/>
          <w:color w:val="000000"/>
          <w:lang w:eastAsia="x-none"/>
        </w:rPr>
        <w:t>literal</w:t>
      </w:r>
      <w:r w:rsidRPr="00203634">
        <w:rPr>
          <w:rFonts w:ascii="Bookman Old Style" w:hAnsi="Bookman Old Style"/>
          <w:bCs/>
          <w:color w:val="000000"/>
          <w:lang w:eastAsia="x-none"/>
        </w:rPr>
        <w:t xml:space="preserve"> se deberá realizar a través del medio y del formato que defina el gestor del mercado. Dicha declaración se hará a partir de la fecha en que el gestor del mercado inicie la prestación de sus servicios.</w:t>
      </w:r>
    </w:p>
    <w:p w:rsidR="00AF3513" w:rsidRPr="00203634" w:rsidRDefault="00AF3513" w:rsidP="00524783">
      <w:pPr>
        <w:autoSpaceDE w:val="0"/>
        <w:autoSpaceDN w:val="0"/>
        <w:adjustRightInd w:val="0"/>
        <w:ind w:left="1701"/>
        <w:jc w:val="both"/>
        <w:rPr>
          <w:rFonts w:ascii="Bookman Old Style" w:hAnsi="Bookman Old Style"/>
          <w:bCs/>
          <w:color w:val="000000"/>
          <w:lang w:eastAsia="x-none"/>
        </w:rPr>
      </w:pPr>
    </w:p>
    <w:p w:rsidR="00AF3513" w:rsidRPr="00203634" w:rsidRDefault="00AF3513" w:rsidP="00524783">
      <w:pPr>
        <w:pStyle w:val="ARTICULOS"/>
        <w:numPr>
          <w:ilvl w:val="0"/>
          <w:numId w:val="0"/>
        </w:numPr>
        <w:ind w:left="1701"/>
        <w:rPr>
          <w:color w:val="000000"/>
          <w:lang w:val="es-ES"/>
        </w:rPr>
      </w:pPr>
      <w:r w:rsidRPr="00203634">
        <w:rPr>
          <w:bCs w:val="0"/>
          <w:color w:val="000000"/>
        </w:rPr>
        <w:t xml:space="preserve">La no declaración de la información aquí señalada </w:t>
      </w:r>
      <w:r w:rsidRPr="008234D5">
        <w:rPr>
          <w:bCs w:val="0"/>
          <w:color w:val="000000"/>
        </w:rPr>
        <w:t>podrá ser considerada por la autoridad competente como una práctica contraria a la libre competencia. Igual consideración se podrá dar a la declaración reiterada de información inconsistente</w:t>
      </w:r>
      <w:r w:rsidRPr="00203634">
        <w:rPr>
          <w:bCs w:val="0"/>
          <w:color w:val="000000"/>
        </w:rPr>
        <w:t>.</w:t>
      </w:r>
    </w:p>
    <w:p w:rsidR="00AF3513" w:rsidRPr="00D97E89" w:rsidRDefault="00AF3513" w:rsidP="00E912C1">
      <w:pPr>
        <w:rPr>
          <w:lang w:val="es-CO"/>
        </w:rPr>
      </w:pPr>
    </w:p>
    <w:p w:rsidR="00D97E89" w:rsidRDefault="00D97E89" w:rsidP="00E912C1">
      <w:pPr>
        <w:pStyle w:val="ARTICULOS"/>
        <w:numPr>
          <w:ilvl w:val="0"/>
          <w:numId w:val="0"/>
        </w:numPr>
        <w:outlineLvl w:val="0"/>
        <w:rPr>
          <w:lang w:val="es-CO"/>
        </w:rPr>
      </w:pPr>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11</w:t>
      </w:r>
      <w:r w:rsidRPr="00B30245">
        <w:rPr>
          <w:b/>
        </w:rPr>
        <w:fldChar w:fldCharType="end"/>
      </w:r>
      <w:r>
        <w:rPr>
          <w:b/>
        </w:rPr>
        <w:t xml:space="preserve">. </w:t>
      </w:r>
      <w:r w:rsidR="00AF3513" w:rsidRPr="00D97E89">
        <w:rPr>
          <w:lang w:val="es-CO"/>
        </w:rPr>
        <w:t xml:space="preserve">Modifíquese el </w:t>
      </w:r>
      <w:r w:rsidR="00F5245B">
        <w:rPr>
          <w:lang w:val="es-CO"/>
        </w:rPr>
        <w:t>numeral 4.1</w:t>
      </w:r>
      <w:r w:rsidR="00AF3513">
        <w:rPr>
          <w:lang w:val="es-CO"/>
        </w:rPr>
        <w:t xml:space="preserve"> del anexo 2 de la Resolución CREG 114 de 2017</w:t>
      </w:r>
      <w:r w:rsidR="00524783">
        <w:rPr>
          <w:lang w:val="es-CO"/>
        </w:rPr>
        <w:t>, el cual quedará</w:t>
      </w:r>
      <w:r w:rsidR="00AF3513">
        <w:rPr>
          <w:lang w:val="es-CO"/>
        </w:rPr>
        <w:t xml:space="preserve"> de la siguiente forma</w:t>
      </w:r>
      <w:r w:rsidR="00F5245B">
        <w:rPr>
          <w:lang w:val="es-CO"/>
        </w:rPr>
        <w:t>:</w:t>
      </w:r>
    </w:p>
    <w:p w:rsidR="00AF3513" w:rsidRDefault="00AF3513" w:rsidP="00E912C1">
      <w:pPr>
        <w:rPr>
          <w:lang w:val="es-CO"/>
        </w:rPr>
      </w:pPr>
    </w:p>
    <w:p w:rsidR="00F5245B" w:rsidRPr="00203634" w:rsidRDefault="00F5245B" w:rsidP="003A5A17">
      <w:pPr>
        <w:pStyle w:val="ARTICULOS"/>
        <w:numPr>
          <w:ilvl w:val="1"/>
          <w:numId w:val="7"/>
        </w:numPr>
        <w:ind w:left="1134" w:hanging="567"/>
        <w:rPr>
          <w:color w:val="000000"/>
          <w:lang w:val="es-ES"/>
        </w:rPr>
      </w:pPr>
      <w:bookmarkStart w:id="13" w:name="_Ref357071240"/>
      <w:bookmarkStart w:id="14" w:name="_Ref334804759"/>
      <w:r w:rsidRPr="00203634">
        <w:rPr>
          <w:color w:val="000000"/>
          <w:lang w:val="es-ES"/>
        </w:rPr>
        <w:t>Recopilación de información operativa</w:t>
      </w:r>
      <w:bookmarkEnd w:id="13"/>
    </w:p>
    <w:p w:rsidR="00F5245B" w:rsidRPr="00203634" w:rsidRDefault="00F5245B" w:rsidP="00E912C1">
      <w:pPr>
        <w:pStyle w:val="ARTICULOS"/>
        <w:numPr>
          <w:ilvl w:val="0"/>
          <w:numId w:val="0"/>
        </w:numPr>
        <w:rPr>
          <w:color w:val="000000"/>
          <w:lang w:val="es-ES"/>
        </w:rPr>
      </w:pPr>
    </w:p>
    <w:p w:rsidR="00147CBF" w:rsidRDefault="00147CBF" w:rsidP="00524783">
      <w:pPr>
        <w:autoSpaceDE w:val="0"/>
        <w:autoSpaceDN w:val="0"/>
        <w:adjustRightInd w:val="0"/>
        <w:ind w:left="1134"/>
        <w:jc w:val="both"/>
        <w:rPr>
          <w:rFonts w:ascii="Bookman Old Style" w:hAnsi="Bookman Old Style"/>
          <w:bCs/>
          <w:color w:val="000000"/>
          <w:lang w:eastAsia="x-none"/>
        </w:rPr>
      </w:pPr>
    </w:p>
    <w:p w:rsidR="00F5245B" w:rsidRPr="00203634" w:rsidRDefault="00F5245B" w:rsidP="00524783">
      <w:pPr>
        <w:autoSpaceDE w:val="0"/>
        <w:autoSpaceDN w:val="0"/>
        <w:adjustRightInd w:val="0"/>
        <w:ind w:left="1134"/>
        <w:jc w:val="both"/>
        <w:rPr>
          <w:rFonts w:ascii="Bookman Old Style" w:hAnsi="Bookman Old Style"/>
          <w:bCs/>
          <w:color w:val="000000"/>
          <w:lang w:eastAsia="x-none"/>
        </w:rPr>
      </w:pPr>
      <w:r w:rsidRPr="00203634">
        <w:rPr>
          <w:rFonts w:ascii="Bookman Old Style" w:hAnsi="Bookman Old Style"/>
          <w:bCs/>
          <w:color w:val="000000"/>
          <w:lang w:eastAsia="x-none"/>
        </w:rPr>
        <w:t>La declaración de la información señalada en el presente numeral se deberá realizar a través del medio y del formato que defina el gestor del mercado. Dicha declaración se hará a partir de la fecha en que el gestor del mercado inicie la prestación de sus servicios.</w:t>
      </w:r>
    </w:p>
    <w:p w:rsidR="00F5245B" w:rsidRPr="00203634" w:rsidRDefault="00F5245B" w:rsidP="00E912C1">
      <w:pPr>
        <w:autoSpaceDE w:val="0"/>
        <w:autoSpaceDN w:val="0"/>
        <w:adjustRightInd w:val="0"/>
        <w:ind w:left="0"/>
        <w:jc w:val="both"/>
        <w:rPr>
          <w:rFonts w:ascii="Bookman Old Style" w:hAnsi="Bookman Old Style"/>
          <w:bCs/>
          <w:color w:val="000000"/>
          <w:lang w:eastAsia="x-none"/>
        </w:rPr>
      </w:pPr>
    </w:p>
    <w:p w:rsidR="00F5245B" w:rsidRPr="00203634" w:rsidRDefault="00F5245B" w:rsidP="00524783">
      <w:pPr>
        <w:pStyle w:val="ARTICULOS"/>
        <w:numPr>
          <w:ilvl w:val="0"/>
          <w:numId w:val="0"/>
        </w:numPr>
        <w:ind w:left="1134"/>
        <w:rPr>
          <w:color w:val="000000"/>
          <w:lang w:val="es-ES"/>
        </w:rPr>
      </w:pPr>
      <w:r w:rsidRPr="00203634">
        <w:rPr>
          <w:bCs w:val="0"/>
          <w:color w:val="000000"/>
        </w:rPr>
        <w:t>La no declaración de la información aquí señalada podrá ser considerada por la autoridad competente como una práctica contraria a la libre competencia. Igual consideración se podrá dar a la declaración reiterada de información inconsistente.</w:t>
      </w:r>
    </w:p>
    <w:p w:rsidR="00F5245B" w:rsidRPr="00203634" w:rsidRDefault="00F5245B" w:rsidP="00E912C1">
      <w:pPr>
        <w:pStyle w:val="ARTICULOS"/>
        <w:numPr>
          <w:ilvl w:val="0"/>
          <w:numId w:val="0"/>
        </w:numPr>
        <w:rPr>
          <w:color w:val="000000"/>
          <w:lang w:val="es-ES"/>
        </w:rPr>
      </w:pPr>
    </w:p>
    <w:p w:rsidR="00F5245B" w:rsidRPr="00203634" w:rsidRDefault="00F5245B" w:rsidP="003A5A17">
      <w:pPr>
        <w:numPr>
          <w:ilvl w:val="0"/>
          <w:numId w:val="13"/>
        </w:numPr>
        <w:autoSpaceDE w:val="0"/>
        <w:autoSpaceDN w:val="0"/>
        <w:adjustRightInd w:val="0"/>
        <w:ind w:left="1701" w:hanging="567"/>
        <w:jc w:val="both"/>
        <w:rPr>
          <w:rFonts w:ascii="Bookman Old Style" w:hAnsi="Bookman Old Style" w:cs="Arial"/>
          <w:color w:val="000000"/>
        </w:rPr>
      </w:pPr>
      <w:r w:rsidRPr="00203634">
        <w:rPr>
          <w:rFonts w:ascii="Bookman Old Style" w:hAnsi="Bookman Old Style" w:cs="Arial"/>
          <w:color w:val="000000"/>
        </w:rPr>
        <w:t>Suministro</w:t>
      </w:r>
      <w:bookmarkEnd w:id="14"/>
    </w:p>
    <w:p w:rsidR="00F5245B" w:rsidRPr="00203634" w:rsidRDefault="00F5245B" w:rsidP="00E912C1">
      <w:pPr>
        <w:autoSpaceDE w:val="0"/>
        <w:autoSpaceDN w:val="0"/>
        <w:adjustRightInd w:val="0"/>
        <w:ind w:left="1134"/>
        <w:jc w:val="both"/>
        <w:rPr>
          <w:rFonts w:ascii="Bookman Old Style" w:hAnsi="Bookman Old Style"/>
          <w:bCs/>
          <w:color w:val="000000"/>
          <w:lang w:eastAsia="x-none"/>
        </w:rPr>
      </w:pPr>
    </w:p>
    <w:p w:rsidR="00F5245B" w:rsidRPr="00203634" w:rsidRDefault="00F5245B" w:rsidP="00524783">
      <w:pPr>
        <w:autoSpaceDE w:val="0"/>
        <w:autoSpaceDN w:val="0"/>
        <w:adjustRightInd w:val="0"/>
        <w:ind w:left="1701"/>
        <w:jc w:val="both"/>
        <w:rPr>
          <w:rFonts w:ascii="Bookman Old Style" w:hAnsi="Bookman Old Style"/>
          <w:bCs/>
          <w:color w:val="000000"/>
          <w:lang w:eastAsia="x-none"/>
        </w:rPr>
      </w:pPr>
      <w:r w:rsidRPr="00203634">
        <w:rPr>
          <w:rFonts w:ascii="Bookman Old Style" w:hAnsi="Bookman Old Style"/>
          <w:bCs/>
          <w:color w:val="000000"/>
        </w:rPr>
        <w:t>A más tardar a las 12:00 horas del día calendario siguiente al día de gas, los productores-comercializadores que operen campos de producción y los comercializadores de gas importado deberán declarar al gestor del mercado la siguiente información operativa del día de gas</w:t>
      </w:r>
      <w:r w:rsidRPr="00203634">
        <w:rPr>
          <w:rFonts w:ascii="Bookman Old Style" w:hAnsi="Bookman Old Style"/>
          <w:bCs/>
          <w:color w:val="000000"/>
          <w:lang w:eastAsia="x-none"/>
        </w:rPr>
        <w:t>:</w:t>
      </w:r>
    </w:p>
    <w:p w:rsidR="00F5245B" w:rsidRPr="00203634" w:rsidRDefault="00F5245B" w:rsidP="00E912C1">
      <w:pPr>
        <w:autoSpaceDE w:val="0"/>
        <w:autoSpaceDN w:val="0"/>
        <w:adjustRightInd w:val="0"/>
        <w:ind w:left="1134"/>
        <w:jc w:val="both"/>
        <w:rPr>
          <w:rFonts w:ascii="Bookman Old Style" w:hAnsi="Bookman Old Style"/>
          <w:bCs/>
          <w:color w:val="000000"/>
          <w:lang w:eastAsia="x-none"/>
        </w:rPr>
      </w:pPr>
    </w:p>
    <w:p w:rsidR="00F5245B" w:rsidRPr="00203634" w:rsidRDefault="00F5245B" w:rsidP="003A5A17">
      <w:pPr>
        <w:pStyle w:val="Prrafodelista"/>
        <w:numPr>
          <w:ilvl w:val="0"/>
          <w:numId w:val="8"/>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 xml:space="preserve">Cantidad total de energía inyectada en cada punto de entrada al </w:t>
      </w:r>
      <w:r w:rsidRPr="00F5245B">
        <w:rPr>
          <w:rFonts w:ascii="Bookman Old Style" w:hAnsi="Bookman Old Style" w:cs="Arial"/>
          <w:color w:val="000000"/>
          <w:sz w:val="24"/>
          <w:szCs w:val="24"/>
          <w:lang w:val="es-ES"/>
        </w:rPr>
        <w:t xml:space="preserve">SNT </w:t>
      </w:r>
      <w:r w:rsidRPr="00F5245B">
        <w:rPr>
          <w:rFonts w:ascii="Bookman Old Style" w:hAnsi="Bookman Old Style" w:cs="Arial"/>
          <w:color w:val="000000" w:themeColor="text1"/>
          <w:sz w:val="24"/>
          <w:szCs w:val="24"/>
          <w:lang w:val="es-ES"/>
        </w:rPr>
        <w:t>y la cantidad total entregada a través de otros medios de transporte como gasoductos dedicados y gas natural comprimido</w:t>
      </w:r>
      <w:r w:rsidRPr="00F5245B">
        <w:rPr>
          <w:rFonts w:ascii="Bookman Old Style" w:hAnsi="Bookman Old Style" w:cs="Arial"/>
          <w:color w:val="000000"/>
          <w:sz w:val="24"/>
          <w:szCs w:val="24"/>
          <w:lang w:val="es-ES"/>
        </w:rPr>
        <w:t>,</w:t>
      </w:r>
      <w:r w:rsidRPr="00203634">
        <w:rPr>
          <w:rFonts w:ascii="Bookman Old Style" w:hAnsi="Bookman Old Style" w:cs="Arial"/>
          <w:color w:val="000000"/>
          <w:sz w:val="24"/>
          <w:szCs w:val="24"/>
          <w:lang w:val="es-ES"/>
        </w:rPr>
        <w:t xml:space="preserve"> expresada en MBTU. Los comercializadores de gas importado y los productores-comercializadores de campos aislados también deberán declarar al gestor del mercado aquella cantidad total de energía que es consumida en el territorio nacional y no pasa por el SNT, expresada en MBTU.</w:t>
      </w:r>
    </w:p>
    <w:p w:rsidR="00F5245B" w:rsidRPr="00203634" w:rsidRDefault="00F5245B" w:rsidP="00E912C1">
      <w:pPr>
        <w:pStyle w:val="Prrafodelista"/>
        <w:ind w:left="1701" w:hanging="567"/>
        <w:jc w:val="both"/>
        <w:rPr>
          <w:rFonts w:ascii="Bookman Old Style" w:hAnsi="Bookman Old Style" w:cs="Arial"/>
          <w:color w:val="000000"/>
          <w:sz w:val="24"/>
          <w:szCs w:val="24"/>
          <w:lang w:val="es-ES"/>
        </w:rPr>
      </w:pPr>
    </w:p>
    <w:p w:rsidR="00F5245B" w:rsidRPr="00F5245B" w:rsidRDefault="00F5245B" w:rsidP="003A5A17">
      <w:pPr>
        <w:pStyle w:val="Prrafodelista"/>
        <w:numPr>
          <w:ilvl w:val="0"/>
          <w:numId w:val="8"/>
        </w:numPr>
        <w:ind w:left="2268" w:hanging="567"/>
        <w:jc w:val="both"/>
        <w:rPr>
          <w:rFonts w:ascii="Bookman Old Style" w:hAnsi="Bookman Old Style" w:cs="Arial"/>
          <w:color w:val="000000"/>
          <w:sz w:val="24"/>
          <w:szCs w:val="24"/>
          <w:lang w:val="es-ES"/>
        </w:rPr>
      </w:pPr>
      <w:r w:rsidRPr="00F5245B">
        <w:rPr>
          <w:rFonts w:ascii="Bookman Old Style" w:hAnsi="Bookman Old Style" w:cs="Arial"/>
          <w:color w:val="000000"/>
          <w:sz w:val="24"/>
          <w:szCs w:val="24"/>
          <w:lang w:val="es-ES"/>
        </w:rPr>
        <w:t>Cantidad de energía a suministrar en cada punto de entrada al SNT, expresada en MBTU, de acuerdo con la nominación realizada para el día de gas.</w:t>
      </w:r>
    </w:p>
    <w:p w:rsidR="00F5245B" w:rsidRPr="00203634" w:rsidRDefault="00F5245B" w:rsidP="00524783">
      <w:pPr>
        <w:pStyle w:val="Prrafodelista"/>
        <w:ind w:left="2268" w:hanging="567"/>
        <w:jc w:val="both"/>
        <w:rPr>
          <w:rFonts w:ascii="Bookman Old Style" w:hAnsi="Bookman Old Style" w:cs="Arial"/>
          <w:color w:val="000000"/>
          <w:sz w:val="24"/>
          <w:szCs w:val="24"/>
          <w:lang w:val="es-ES"/>
        </w:rPr>
      </w:pPr>
    </w:p>
    <w:p w:rsidR="00F5245B" w:rsidRPr="00203634" w:rsidRDefault="00F5245B" w:rsidP="003A5A17">
      <w:pPr>
        <w:pStyle w:val="Prrafodelista"/>
        <w:numPr>
          <w:ilvl w:val="0"/>
          <w:numId w:val="8"/>
        </w:numPr>
        <w:ind w:left="2268" w:hanging="579"/>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Cantidad de energía exportada, expresada en MBTU, con sujeción a las medidas que el Ministerio de Minas y Energía adopte sobre la materia.</w:t>
      </w:r>
    </w:p>
    <w:p w:rsidR="00F5245B" w:rsidRPr="00203634" w:rsidRDefault="00F5245B" w:rsidP="00524783">
      <w:pPr>
        <w:pStyle w:val="Prrafodelista"/>
        <w:ind w:left="2268" w:hanging="567"/>
        <w:jc w:val="both"/>
        <w:rPr>
          <w:rFonts w:ascii="Bookman Old Style" w:hAnsi="Bookman Old Style" w:cs="Arial"/>
          <w:color w:val="000000"/>
          <w:sz w:val="24"/>
          <w:szCs w:val="24"/>
          <w:lang w:val="es-ES"/>
        </w:rPr>
      </w:pPr>
    </w:p>
    <w:p w:rsidR="00F5245B" w:rsidRPr="00203634" w:rsidRDefault="00F5245B" w:rsidP="003A5A17">
      <w:pPr>
        <w:pStyle w:val="Prrafodelista"/>
        <w:numPr>
          <w:ilvl w:val="0"/>
          <w:numId w:val="8"/>
        </w:numPr>
        <w:ind w:left="2268" w:hanging="579"/>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La demás información que determine la CREG.</w:t>
      </w:r>
    </w:p>
    <w:p w:rsidR="00F5245B" w:rsidRPr="00203634" w:rsidRDefault="00F5245B" w:rsidP="00E912C1">
      <w:pPr>
        <w:ind w:left="360"/>
        <w:jc w:val="both"/>
        <w:rPr>
          <w:rFonts w:ascii="Bookman Old Style" w:hAnsi="Bookman Old Style"/>
          <w:bCs/>
          <w:color w:val="000000"/>
          <w:lang w:eastAsia="x-none"/>
        </w:rPr>
      </w:pPr>
    </w:p>
    <w:p w:rsidR="00F5245B" w:rsidRPr="00203634" w:rsidRDefault="00F5245B" w:rsidP="003A5A17">
      <w:pPr>
        <w:numPr>
          <w:ilvl w:val="0"/>
          <w:numId w:val="13"/>
        </w:numPr>
        <w:autoSpaceDE w:val="0"/>
        <w:autoSpaceDN w:val="0"/>
        <w:adjustRightInd w:val="0"/>
        <w:ind w:left="1701" w:hanging="567"/>
        <w:jc w:val="both"/>
        <w:rPr>
          <w:rFonts w:ascii="Bookman Old Style" w:hAnsi="Bookman Old Style" w:cs="Arial"/>
          <w:color w:val="000000"/>
        </w:rPr>
      </w:pPr>
      <w:bookmarkStart w:id="15" w:name="_Ref334804760"/>
      <w:r w:rsidRPr="00203634">
        <w:rPr>
          <w:rFonts w:ascii="Bookman Old Style" w:hAnsi="Bookman Old Style" w:cs="Arial"/>
          <w:color w:val="000000"/>
        </w:rPr>
        <w:t>Transporte</w:t>
      </w:r>
      <w:bookmarkEnd w:id="15"/>
    </w:p>
    <w:p w:rsidR="00F5245B" w:rsidRPr="00203634" w:rsidRDefault="00F5245B" w:rsidP="00E912C1">
      <w:pPr>
        <w:pStyle w:val="ARTICULOS"/>
        <w:numPr>
          <w:ilvl w:val="0"/>
          <w:numId w:val="0"/>
        </w:numPr>
        <w:ind w:left="1134"/>
        <w:rPr>
          <w:bCs w:val="0"/>
          <w:color w:val="000000"/>
          <w:lang w:val="es-ES"/>
        </w:rPr>
      </w:pPr>
    </w:p>
    <w:p w:rsidR="00F5245B" w:rsidRPr="00203634" w:rsidRDefault="00F5245B" w:rsidP="00524783">
      <w:pPr>
        <w:autoSpaceDE w:val="0"/>
        <w:autoSpaceDN w:val="0"/>
        <w:adjustRightInd w:val="0"/>
        <w:ind w:left="1701"/>
        <w:jc w:val="both"/>
        <w:rPr>
          <w:rFonts w:ascii="Bookman Old Style" w:hAnsi="Bookman Old Style"/>
          <w:bCs/>
          <w:color w:val="000000"/>
          <w:lang w:eastAsia="x-none"/>
        </w:rPr>
      </w:pPr>
      <w:r w:rsidRPr="00203634">
        <w:rPr>
          <w:rFonts w:ascii="Bookman Old Style" w:hAnsi="Bookman Old Style"/>
          <w:bCs/>
          <w:color w:val="000000"/>
        </w:rPr>
        <w:t>A más tardar a las 12:00 horas del día calendario siguiente al día de gas, los transportadores deberán declarar al gestor del mercado la siguiente información operativa del día de gas</w:t>
      </w:r>
      <w:r w:rsidRPr="00203634">
        <w:rPr>
          <w:rFonts w:ascii="Bookman Old Style" w:hAnsi="Bookman Old Style"/>
          <w:bCs/>
          <w:color w:val="000000"/>
          <w:lang w:eastAsia="x-none"/>
        </w:rPr>
        <w:t>:</w:t>
      </w:r>
    </w:p>
    <w:p w:rsidR="00F5245B" w:rsidRPr="00203634" w:rsidRDefault="00F5245B" w:rsidP="00E912C1">
      <w:pPr>
        <w:ind w:left="1134"/>
        <w:jc w:val="both"/>
        <w:rPr>
          <w:rFonts w:ascii="Bookman Old Style" w:hAnsi="Bookman Old Style"/>
          <w:bCs/>
          <w:color w:val="000000"/>
          <w:lang w:eastAsia="x-none"/>
        </w:rPr>
      </w:pPr>
    </w:p>
    <w:p w:rsidR="00F5245B" w:rsidRPr="00F5245B" w:rsidRDefault="00F5245B" w:rsidP="003A5A17">
      <w:pPr>
        <w:pStyle w:val="Prrafodelista"/>
        <w:numPr>
          <w:ilvl w:val="0"/>
          <w:numId w:val="9"/>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Cantidad de energía recibida en cada punto de entrada o de transferencia del SNT</w:t>
      </w:r>
      <w:r w:rsidRPr="00F5245B">
        <w:rPr>
          <w:rFonts w:ascii="Bookman Old Style" w:hAnsi="Bookman Old Style" w:cs="Arial"/>
          <w:color w:val="000000"/>
          <w:sz w:val="24"/>
          <w:szCs w:val="24"/>
          <w:lang w:val="es-ES"/>
        </w:rPr>
        <w:t xml:space="preserve">, </w:t>
      </w:r>
      <w:r w:rsidRPr="00F5245B">
        <w:rPr>
          <w:rFonts w:ascii="Bookman Old Style" w:hAnsi="Bookman Old Style" w:cs="Arial"/>
          <w:color w:val="000000" w:themeColor="text1"/>
          <w:sz w:val="24"/>
          <w:szCs w:val="24"/>
          <w:lang w:val="es-ES"/>
        </w:rPr>
        <w:t>y cantidad de energía en gas consumida por estaciones de compresión operadas con gas natural y cantidad de energía eléctrica consumida por estaciones de compresión operadas con electricidad en cada uno de los tramos de gasoductos definidos por la CREG en las resoluciones de cargos,</w:t>
      </w:r>
      <w:r w:rsidRPr="00F5245B">
        <w:rPr>
          <w:rFonts w:ascii="Bookman Old Style" w:hAnsi="Bookman Old Style" w:cs="Arial"/>
          <w:color w:val="000000"/>
          <w:sz w:val="24"/>
          <w:szCs w:val="24"/>
          <w:lang w:val="es-ES"/>
        </w:rPr>
        <w:t xml:space="preserve"> expresada en MBTU.</w:t>
      </w:r>
    </w:p>
    <w:p w:rsidR="00F5245B" w:rsidRPr="00F5245B" w:rsidRDefault="00F5245B" w:rsidP="00524783">
      <w:pPr>
        <w:pStyle w:val="Prrafodelista"/>
        <w:ind w:left="2268" w:hanging="567"/>
        <w:jc w:val="both"/>
        <w:rPr>
          <w:rFonts w:ascii="Bookman Old Style" w:hAnsi="Bookman Old Style" w:cs="Arial"/>
          <w:color w:val="000000"/>
          <w:sz w:val="24"/>
          <w:szCs w:val="24"/>
          <w:lang w:val="es-ES"/>
        </w:rPr>
      </w:pPr>
    </w:p>
    <w:p w:rsidR="00F5245B" w:rsidRPr="00F5245B" w:rsidRDefault="00F5245B" w:rsidP="003A5A17">
      <w:pPr>
        <w:pStyle w:val="Prrafodelista"/>
        <w:numPr>
          <w:ilvl w:val="0"/>
          <w:numId w:val="9"/>
        </w:numPr>
        <w:ind w:left="2268" w:hanging="567"/>
        <w:jc w:val="both"/>
        <w:rPr>
          <w:rFonts w:ascii="Bookman Old Style" w:hAnsi="Bookman Old Style" w:cs="Arial"/>
          <w:color w:val="000000"/>
          <w:sz w:val="24"/>
          <w:szCs w:val="24"/>
          <w:lang w:val="es-ES"/>
        </w:rPr>
      </w:pPr>
      <w:r w:rsidRPr="00F5245B">
        <w:rPr>
          <w:rFonts w:ascii="Bookman Old Style" w:hAnsi="Bookman Old Style" w:cs="Arial"/>
          <w:color w:val="000000"/>
          <w:sz w:val="24"/>
          <w:szCs w:val="24"/>
          <w:lang w:val="es-ES"/>
        </w:rPr>
        <w:t xml:space="preserve">Cantidad de energía tomada en cada punto de salida del respectivo sistema de transporte, expresada en MBTU. Adicionalmente, el transportador declarará el número del contrato bajo el cual el remitente tomó dicha energía en el respectivo punto de salida. En los puntos de transferencia entre transportadores se deberá declarar la cantidad total transferida al siguiente transportador, expresada en MBTU. </w:t>
      </w:r>
      <w:r w:rsidRPr="00F5245B">
        <w:rPr>
          <w:rFonts w:ascii="Bookman Old Style" w:hAnsi="Bookman Old Style" w:cs="Arial"/>
          <w:color w:val="000000" w:themeColor="text1"/>
          <w:sz w:val="24"/>
          <w:szCs w:val="24"/>
          <w:lang w:val="es-ES"/>
        </w:rPr>
        <w:t>Para cada punto de salida y de transferencia entre transportadores el transportador indicará si la cantidad declarada corresponde a medición directa (i.e. punto con telemetría) o indirecta (i.e. punto sin telemetría). En caso de medición indirecta, la información reportada estará sujeta a verificación por parte del transportador durante los siguientes 30 días calendario.</w:t>
      </w:r>
    </w:p>
    <w:p w:rsidR="00F5245B" w:rsidRPr="00F5245B" w:rsidRDefault="00F5245B" w:rsidP="00524783">
      <w:pPr>
        <w:pStyle w:val="Prrafodelista"/>
        <w:ind w:left="2268" w:hanging="567"/>
        <w:jc w:val="both"/>
        <w:rPr>
          <w:rFonts w:ascii="Bookman Old Style" w:hAnsi="Bookman Old Style" w:cs="Arial"/>
          <w:color w:val="000000"/>
          <w:sz w:val="24"/>
          <w:szCs w:val="24"/>
          <w:lang w:val="es-ES"/>
        </w:rPr>
      </w:pPr>
    </w:p>
    <w:p w:rsidR="00F5245B" w:rsidRPr="002862C1" w:rsidRDefault="00F5245B" w:rsidP="00524783">
      <w:pPr>
        <w:pStyle w:val="Prrafodelista"/>
        <w:ind w:left="2268" w:hanging="567"/>
        <w:jc w:val="both"/>
        <w:rPr>
          <w:rFonts w:ascii="Bookman Old Style" w:hAnsi="Bookman Old Style" w:cs="Arial"/>
          <w:strike/>
          <w:color w:val="000000"/>
          <w:sz w:val="24"/>
          <w:szCs w:val="24"/>
          <w:lang w:val="es-ES"/>
        </w:rPr>
      </w:pPr>
      <w:r w:rsidRPr="00F5245B">
        <w:rPr>
          <w:rFonts w:ascii="Bookman Old Style" w:hAnsi="Bookman Old Style" w:cs="Arial"/>
          <w:color w:val="000000" w:themeColor="text1"/>
          <w:sz w:val="24"/>
          <w:szCs w:val="24"/>
          <w:lang w:val="es-ES"/>
        </w:rPr>
        <w:t xml:space="preserve">En el punto de salida donde haya más de un contrato el transportador declarará al gestor la medición real y los contratos con sus respectivos remitentes, asociados al punto de salida. </w:t>
      </w:r>
    </w:p>
    <w:p w:rsidR="00F5245B" w:rsidRPr="00203634" w:rsidRDefault="00F5245B" w:rsidP="00524783">
      <w:pPr>
        <w:pStyle w:val="Prrafodelista"/>
        <w:ind w:left="2268" w:hanging="567"/>
        <w:jc w:val="both"/>
        <w:rPr>
          <w:rFonts w:ascii="Bookman Old Style" w:hAnsi="Bookman Old Style" w:cs="Arial"/>
          <w:color w:val="000000"/>
          <w:sz w:val="24"/>
          <w:szCs w:val="24"/>
          <w:lang w:val="es-ES"/>
        </w:rPr>
      </w:pPr>
    </w:p>
    <w:p w:rsidR="00F5245B" w:rsidRPr="00203634" w:rsidRDefault="00F5245B" w:rsidP="003A5A17">
      <w:pPr>
        <w:pStyle w:val="Prrafodelista"/>
        <w:numPr>
          <w:ilvl w:val="0"/>
          <w:numId w:val="9"/>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Cantidad de energía que cada remitente tomó en el punto de salida del respectivo sistema de transporte correspondiente a contratos de parqueo, expresada en MBTU.</w:t>
      </w:r>
    </w:p>
    <w:p w:rsidR="00F5245B" w:rsidRPr="00203634" w:rsidRDefault="00F5245B" w:rsidP="00524783">
      <w:pPr>
        <w:pStyle w:val="Prrafodelista"/>
        <w:ind w:left="2268" w:hanging="567"/>
        <w:jc w:val="both"/>
        <w:rPr>
          <w:rFonts w:ascii="Bookman Old Style" w:hAnsi="Bookman Old Style" w:cs="Arial"/>
          <w:color w:val="000000"/>
          <w:sz w:val="24"/>
          <w:szCs w:val="24"/>
          <w:lang w:val="es-ES"/>
        </w:rPr>
      </w:pPr>
    </w:p>
    <w:p w:rsidR="00F5245B" w:rsidRPr="00203634" w:rsidRDefault="00F5245B" w:rsidP="003A5A17">
      <w:pPr>
        <w:pStyle w:val="Prrafodelista"/>
        <w:numPr>
          <w:ilvl w:val="0"/>
          <w:numId w:val="9"/>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Cantidad de energía que el transportador autorizó transportar en su sistema, expresada en MBTU, de acuerdo con la nominación realizada para el día de gas.</w:t>
      </w:r>
    </w:p>
    <w:p w:rsidR="00F5245B" w:rsidRPr="00203634" w:rsidRDefault="00F5245B" w:rsidP="00524783">
      <w:pPr>
        <w:pStyle w:val="Prrafodelista"/>
        <w:ind w:left="2268" w:hanging="567"/>
        <w:jc w:val="both"/>
        <w:rPr>
          <w:rFonts w:ascii="Bookman Old Style" w:hAnsi="Bookman Old Style" w:cs="Arial"/>
          <w:color w:val="000000"/>
          <w:sz w:val="24"/>
          <w:szCs w:val="24"/>
          <w:lang w:val="es-ES"/>
        </w:rPr>
      </w:pPr>
    </w:p>
    <w:p w:rsidR="00F5245B" w:rsidRPr="00203634" w:rsidRDefault="00F5245B" w:rsidP="003A5A17">
      <w:pPr>
        <w:pStyle w:val="Prrafodelista"/>
        <w:numPr>
          <w:ilvl w:val="0"/>
          <w:numId w:val="9"/>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La demás información que determine la CREG.</w:t>
      </w:r>
    </w:p>
    <w:p w:rsidR="00F5245B" w:rsidRPr="00203634" w:rsidRDefault="00F5245B" w:rsidP="00E912C1">
      <w:pPr>
        <w:autoSpaceDE w:val="0"/>
        <w:autoSpaceDN w:val="0"/>
        <w:adjustRightInd w:val="0"/>
        <w:ind w:left="1134"/>
        <w:jc w:val="both"/>
        <w:rPr>
          <w:rFonts w:ascii="Bookman Old Style" w:hAnsi="Bookman Old Style"/>
          <w:bCs/>
          <w:color w:val="000000"/>
          <w:sz w:val="28"/>
          <w:lang w:eastAsia="x-none"/>
        </w:rPr>
      </w:pPr>
    </w:p>
    <w:p w:rsidR="00F5245B" w:rsidRPr="00203634" w:rsidRDefault="00F5245B" w:rsidP="00524783">
      <w:pPr>
        <w:autoSpaceDE w:val="0"/>
        <w:autoSpaceDN w:val="0"/>
        <w:adjustRightInd w:val="0"/>
        <w:ind w:left="1701"/>
        <w:jc w:val="both"/>
        <w:rPr>
          <w:rFonts w:ascii="Bookman Old Style" w:hAnsi="Bookman Old Style"/>
          <w:bCs/>
          <w:color w:val="000000"/>
        </w:rPr>
      </w:pPr>
      <w:r w:rsidRPr="00203634">
        <w:rPr>
          <w:rFonts w:ascii="Bookman Old Style" w:hAnsi="Bookman Old Style"/>
          <w:bCs/>
          <w:color w:val="000000"/>
        </w:rPr>
        <w:t>El transportador le declarará al gestor del mercado el nombre del tramo de gasoducto definido para efectos tarifarios al cual se asocia cada punto de salida del SNT.</w:t>
      </w:r>
    </w:p>
    <w:p w:rsidR="00F5245B" w:rsidRPr="00203634" w:rsidRDefault="00F5245B" w:rsidP="00524783">
      <w:pPr>
        <w:autoSpaceDE w:val="0"/>
        <w:autoSpaceDN w:val="0"/>
        <w:adjustRightInd w:val="0"/>
        <w:ind w:left="1701"/>
        <w:jc w:val="both"/>
        <w:rPr>
          <w:rFonts w:ascii="Bookman Old Style" w:hAnsi="Bookman Old Style"/>
          <w:bCs/>
          <w:color w:val="000000"/>
        </w:rPr>
      </w:pPr>
    </w:p>
    <w:p w:rsidR="00F5245B" w:rsidRPr="00203634" w:rsidRDefault="00F5245B" w:rsidP="00524783">
      <w:pPr>
        <w:autoSpaceDE w:val="0"/>
        <w:autoSpaceDN w:val="0"/>
        <w:adjustRightInd w:val="0"/>
        <w:ind w:left="1701"/>
        <w:jc w:val="both"/>
        <w:rPr>
          <w:rFonts w:ascii="Bookman Old Style" w:hAnsi="Bookman Old Style"/>
          <w:bCs/>
          <w:color w:val="000000"/>
          <w:lang w:eastAsia="x-none"/>
        </w:rPr>
      </w:pPr>
      <w:r w:rsidRPr="00203634">
        <w:rPr>
          <w:rFonts w:ascii="Bookman Old Style" w:hAnsi="Bookman Old Style"/>
          <w:bCs/>
          <w:color w:val="000000"/>
        </w:rPr>
        <w:t>Para el caso de puntos de salida que tienen asociadas estaciones de medición sin telemetría, la información diaria a declarar al gestor del mercado la estimará el transportador como el promedio diario del antepasado mes calendario. Una vez se disponga de la información real, el transportador ajustará y enviará dicha información al gestor del mercado</w:t>
      </w:r>
      <w:r w:rsidRPr="00203634">
        <w:rPr>
          <w:rFonts w:ascii="Bookman Old Style" w:hAnsi="Bookman Old Style"/>
          <w:bCs/>
          <w:color w:val="000000"/>
          <w:lang w:eastAsia="x-none"/>
        </w:rPr>
        <w:t>.</w:t>
      </w:r>
    </w:p>
    <w:p w:rsidR="00F5245B" w:rsidRPr="00203634" w:rsidRDefault="00F5245B" w:rsidP="00E912C1">
      <w:pPr>
        <w:autoSpaceDE w:val="0"/>
        <w:autoSpaceDN w:val="0"/>
        <w:adjustRightInd w:val="0"/>
        <w:ind w:left="1134"/>
        <w:jc w:val="both"/>
        <w:rPr>
          <w:rFonts w:ascii="Bookman Old Style" w:hAnsi="Bookman Old Style"/>
          <w:bCs/>
          <w:color w:val="000000"/>
          <w:sz w:val="28"/>
          <w:lang w:eastAsia="x-none"/>
        </w:rPr>
      </w:pPr>
    </w:p>
    <w:p w:rsidR="00F5245B" w:rsidRPr="00203634" w:rsidRDefault="00F5245B" w:rsidP="003A5A17">
      <w:pPr>
        <w:numPr>
          <w:ilvl w:val="0"/>
          <w:numId w:val="13"/>
        </w:numPr>
        <w:autoSpaceDE w:val="0"/>
        <w:autoSpaceDN w:val="0"/>
        <w:adjustRightInd w:val="0"/>
        <w:ind w:left="1701" w:hanging="567"/>
        <w:jc w:val="both"/>
        <w:rPr>
          <w:rFonts w:ascii="Bookman Old Style" w:hAnsi="Bookman Old Style" w:cs="Arial"/>
          <w:color w:val="000000"/>
        </w:rPr>
      </w:pPr>
      <w:bookmarkStart w:id="16" w:name="_Ref487118915"/>
      <w:r w:rsidRPr="00203634">
        <w:rPr>
          <w:rFonts w:ascii="Bookman Old Style" w:hAnsi="Bookman Old Style" w:cs="Arial"/>
          <w:color w:val="000000"/>
        </w:rPr>
        <w:t>Entregas a usuarios finales</w:t>
      </w:r>
      <w:bookmarkEnd w:id="16"/>
    </w:p>
    <w:p w:rsidR="00F5245B" w:rsidRPr="00203634" w:rsidRDefault="00F5245B" w:rsidP="00E912C1">
      <w:pPr>
        <w:pStyle w:val="ARTICULOS"/>
        <w:numPr>
          <w:ilvl w:val="0"/>
          <w:numId w:val="0"/>
        </w:numPr>
        <w:ind w:left="1134"/>
        <w:rPr>
          <w:bCs w:val="0"/>
          <w:color w:val="000000"/>
          <w:sz w:val="28"/>
          <w:lang w:val="es-ES"/>
        </w:rPr>
      </w:pPr>
    </w:p>
    <w:p w:rsidR="00F5245B" w:rsidRPr="00203634" w:rsidRDefault="00F5245B" w:rsidP="00524783">
      <w:pPr>
        <w:autoSpaceDE w:val="0"/>
        <w:autoSpaceDN w:val="0"/>
        <w:adjustRightInd w:val="0"/>
        <w:ind w:left="1701"/>
        <w:jc w:val="both"/>
        <w:rPr>
          <w:rFonts w:ascii="Bookman Old Style" w:hAnsi="Bookman Old Style"/>
          <w:bCs/>
          <w:color w:val="000000"/>
          <w:lang w:eastAsia="x-none"/>
        </w:rPr>
      </w:pPr>
      <w:r w:rsidRPr="00203634">
        <w:rPr>
          <w:rFonts w:ascii="Bookman Old Style" w:hAnsi="Bookman Old Style"/>
          <w:bCs/>
          <w:color w:val="000000"/>
        </w:rPr>
        <w:t>A más tardar a las 12:00 horas del día calendario siguiente al día de gas, los comercializadores y los distribuidores deberán declarar al gestor del mercado la siguiente información operativa del día de gas</w:t>
      </w:r>
      <w:r w:rsidRPr="00203634">
        <w:rPr>
          <w:rFonts w:ascii="Bookman Old Style" w:hAnsi="Bookman Old Style"/>
          <w:bCs/>
          <w:color w:val="000000"/>
          <w:lang w:eastAsia="x-none"/>
        </w:rPr>
        <w:t>:</w:t>
      </w:r>
    </w:p>
    <w:p w:rsidR="00F5245B" w:rsidRPr="00203634" w:rsidRDefault="00F5245B" w:rsidP="00E912C1">
      <w:pPr>
        <w:pStyle w:val="ARTICULOS"/>
        <w:numPr>
          <w:ilvl w:val="0"/>
          <w:numId w:val="0"/>
        </w:numPr>
        <w:ind w:left="1134"/>
        <w:rPr>
          <w:bCs w:val="0"/>
          <w:color w:val="000000"/>
          <w:sz w:val="28"/>
          <w:lang w:val="es-ES"/>
        </w:rPr>
      </w:pPr>
    </w:p>
    <w:p w:rsidR="00F5245B" w:rsidRDefault="00F5245B" w:rsidP="003A5A17">
      <w:pPr>
        <w:pStyle w:val="Prrafodelista"/>
        <w:numPr>
          <w:ilvl w:val="0"/>
          <w:numId w:val="10"/>
        </w:numPr>
        <w:ind w:left="2268" w:hanging="567"/>
        <w:jc w:val="both"/>
        <w:rPr>
          <w:rFonts w:ascii="Bookman Old Style" w:hAnsi="Bookman Old Style" w:cs="Arial"/>
          <w:color w:val="000000"/>
          <w:sz w:val="24"/>
          <w:szCs w:val="24"/>
          <w:lang w:val="es-ES"/>
        </w:rPr>
      </w:pPr>
      <w:bookmarkStart w:id="17" w:name="_Ref487118921"/>
      <w:r w:rsidRPr="00203634">
        <w:rPr>
          <w:rFonts w:ascii="Bookman Old Style" w:hAnsi="Bookman Old Style" w:cs="Arial"/>
          <w:color w:val="000000"/>
          <w:sz w:val="24"/>
          <w:szCs w:val="24"/>
          <w:lang w:val="es-ES"/>
        </w:rPr>
        <w:t>Cantidad total de energía tomada en el punto de salida del SNT para ser entregada a usuarios finales, desagregada por tipo de demanda regulada y no regulada. El distribuidor será el responsable de declarar esta información cuando el punto de salida del SNT corresponda a una estación de puerta de ciudad. En los demás casos el responsable será el comercializador o el usuario no regulado, según corresponda.</w:t>
      </w:r>
      <w:bookmarkEnd w:id="17"/>
    </w:p>
    <w:p w:rsidR="00F5245B" w:rsidRDefault="00F5245B" w:rsidP="00524783">
      <w:pPr>
        <w:ind w:left="2268"/>
        <w:jc w:val="both"/>
        <w:rPr>
          <w:rFonts w:ascii="Bookman Old Style" w:hAnsi="Bookman Old Style" w:cs="Arial"/>
          <w:color w:val="000000"/>
        </w:rPr>
      </w:pPr>
    </w:p>
    <w:p w:rsidR="00F5245B" w:rsidRPr="00F939D1" w:rsidRDefault="00F5245B" w:rsidP="00524783">
      <w:pPr>
        <w:ind w:left="2268"/>
        <w:jc w:val="both"/>
        <w:rPr>
          <w:rFonts w:ascii="Bookman Old Style" w:hAnsi="Bookman Old Style" w:cs="Arial"/>
          <w:color w:val="000000"/>
        </w:rPr>
      </w:pPr>
      <w:r>
        <w:rPr>
          <w:rFonts w:ascii="Bookman Old Style" w:hAnsi="Bookman Old Style" w:cs="Arial"/>
          <w:color w:val="000000"/>
        </w:rPr>
        <w:t>En los casos señalados en el parágrafo 9 del artículo 53 de la presente resolución, el responsable de la cuenta de balance deberá reportar al gestor las cantidades tomadas en el punto de salida por cada remitente, de conformidad con la asignación de medición acordada.</w:t>
      </w:r>
    </w:p>
    <w:p w:rsidR="00F5245B" w:rsidRPr="00203634" w:rsidRDefault="00F5245B" w:rsidP="00524783">
      <w:pPr>
        <w:pStyle w:val="Prrafodelista"/>
        <w:ind w:left="2268"/>
        <w:jc w:val="both"/>
        <w:rPr>
          <w:rFonts w:ascii="Bookman Old Style" w:hAnsi="Bookman Old Style" w:cs="Arial"/>
          <w:color w:val="000000"/>
          <w:sz w:val="28"/>
          <w:szCs w:val="24"/>
          <w:lang w:val="es-ES"/>
        </w:rPr>
      </w:pPr>
    </w:p>
    <w:p w:rsidR="00F5245B" w:rsidRPr="00203634" w:rsidRDefault="00F5245B" w:rsidP="00524783">
      <w:pPr>
        <w:pStyle w:val="Prrafodelista"/>
        <w:ind w:left="2268"/>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A partir de la medición real del día de gas la demanda no regulada se deberá desagregar en comercial, industrial, gas para transportadores, petroquímica, refinería, gas natural vehicular comprimido, plantas térmicas u otros, expresada en MBTU. Con base en mediciones históricas la demanda regulada se deberá desagregar en residencial, comercial, industrial, gas para transportadores, petroquímica, refinería, gas natural vehicular comprimido, plantas térmicas u otros, expresada en MBTU.</w:t>
      </w:r>
    </w:p>
    <w:p w:rsidR="00F5245B" w:rsidRPr="00203634" w:rsidRDefault="00F5245B" w:rsidP="00524783">
      <w:pPr>
        <w:pStyle w:val="Prrafodelista"/>
        <w:ind w:left="2268"/>
        <w:jc w:val="both"/>
        <w:rPr>
          <w:rFonts w:ascii="Bookman Old Style" w:hAnsi="Bookman Old Style" w:cs="Arial"/>
          <w:color w:val="000000"/>
          <w:sz w:val="28"/>
          <w:szCs w:val="24"/>
          <w:lang w:val="es-ES"/>
        </w:rPr>
      </w:pPr>
    </w:p>
    <w:p w:rsidR="00F5245B" w:rsidRPr="00203634" w:rsidRDefault="00F5245B" w:rsidP="00524783">
      <w:pPr>
        <w:pStyle w:val="Prrafodelista"/>
        <w:ind w:left="2268"/>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El distribuidor, el comercializador o el usuario no regulado, según corresponda, declarará el número del contrato bajo el cual se transportó dicho gas.</w:t>
      </w:r>
    </w:p>
    <w:p w:rsidR="00F5245B" w:rsidRPr="00203634" w:rsidRDefault="00F5245B" w:rsidP="00524783">
      <w:pPr>
        <w:pStyle w:val="Prrafodelista"/>
        <w:ind w:left="2268"/>
        <w:jc w:val="both"/>
        <w:rPr>
          <w:rFonts w:ascii="Bookman Old Style" w:hAnsi="Bookman Old Style" w:cs="Arial"/>
          <w:color w:val="000000"/>
          <w:sz w:val="28"/>
          <w:szCs w:val="24"/>
          <w:lang w:val="es-ES"/>
        </w:rPr>
      </w:pPr>
    </w:p>
    <w:p w:rsidR="00F5245B" w:rsidRPr="00203634" w:rsidRDefault="00F5245B" w:rsidP="003A5A17">
      <w:pPr>
        <w:pStyle w:val="Prrafodelista"/>
        <w:numPr>
          <w:ilvl w:val="0"/>
          <w:numId w:val="10"/>
        </w:numPr>
        <w:ind w:left="2268" w:hanging="567"/>
        <w:jc w:val="both"/>
        <w:rPr>
          <w:rFonts w:ascii="Bookman Old Style" w:hAnsi="Bookman Old Style" w:cs="Arial"/>
          <w:color w:val="000000"/>
          <w:sz w:val="24"/>
          <w:szCs w:val="24"/>
          <w:lang w:val="es-ES"/>
        </w:rPr>
      </w:pPr>
      <w:r w:rsidRPr="00203634">
        <w:rPr>
          <w:rFonts w:ascii="Bookman Old Style" w:hAnsi="Bookman Old Style" w:cs="Arial"/>
          <w:color w:val="000000"/>
          <w:sz w:val="24"/>
          <w:szCs w:val="24"/>
          <w:lang w:val="es-ES"/>
        </w:rPr>
        <w:t>La demás información que determine la CREG.</w:t>
      </w:r>
    </w:p>
    <w:p w:rsidR="00F5245B" w:rsidRPr="00203634" w:rsidRDefault="00F5245B" w:rsidP="00E912C1">
      <w:pPr>
        <w:pStyle w:val="Prrafodelista"/>
        <w:ind w:left="1701"/>
        <w:jc w:val="both"/>
        <w:rPr>
          <w:rFonts w:ascii="Bookman Old Style" w:hAnsi="Bookman Old Style" w:cs="Arial"/>
          <w:color w:val="000000"/>
          <w:sz w:val="28"/>
          <w:szCs w:val="24"/>
          <w:lang w:val="es-ES"/>
        </w:rPr>
      </w:pPr>
    </w:p>
    <w:p w:rsidR="00F5245B" w:rsidRPr="00203634" w:rsidRDefault="00F5245B" w:rsidP="00524783">
      <w:pPr>
        <w:autoSpaceDE w:val="0"/>
        <w:autoSpaceDN w:val="0"/>
        <w:adjustRightInd w:val="0"/>
        <w:ind w:left="2268"/>
        <w:jc w:val="both"/>
        <w:rPr>
          <w:rFonts w:ascii="Bookman Old Style" w:hAnsi="Bookman Old Style"/>
          <w:bCs/>
          <w:color w:val="000000"/>
          <w:lang w:eastAsia="x-none"/>
        </w:rPr>
      </w:pPr>
      <w:r w:rsidRPr="00203634">
        <w:rPr>
          <w:rFonts w:ascii="Bookman Old Style" w:hAnsi="Bookman Old Style" w:cs="Arial"/>
          <w:color w:val="000000"/>
        </w:rPr>
        <w:t>Los usuarios no regulados que participen como compradores en el mercado primario deberán declarar mensualmente al gestor del mercado, a través del medio y del formato que éste defina, la información señalada en este literal</w:t>
      </w:r>
      <w:r w:rsidRPr="00203634">
        <w:rPr>
          <w:rFonts w:ascii="Bookman Old Style" w:hAnsi="Bookman Old Style"/>
          <w:bCs/>
          <w:color w:val="000000"/>
          <w:lang w:eastAsia="x-none"/>
        </w:rPr>
        <w:t>.</w:t>
      </w:r>
    </w:p>
    <w:p w:rsidR="00F5245B" w:rsidRDefault="00F5245B" w:rsidP="00E912C1">
      <w:pPr>
        <w:autoSpaceDE w:val="0"/>
        <w:autoSpaceDN w:val="0"/>
        <w:adjustRightInd w:val="0"/>
        <w:ind w:left="0"/>
        <w:jc w:val="both"/>
        <w:rPr>
          <w:rFonts w:ascii="Bookman Old Style" w:hAnsi="Bookman Old Style"/>
          <w:bCs/>
          <w:color w:val="000000"/>
          <w:sz w:val="28"/>
          <w:lang w:eastAsia="x-none"/>
        </w:rPr>
      </w:pPr>
    </w:p>
    <w:p w:rsidR="00F5245B" w:rsidRPr="00396F14" w:rsidRDefault="00F5245B" w:rsidP="003A5A17">
      <w:pPr>
        <w:numPr>
          <w:ilvl w:val="0"/>
          <w:numId w:val="13"/>
        </w:numPr>
        <w:autoSpaceDE w:val="0"/>
        <w:autoSpaceDN w:val="0"/>
        <w:adjustRightInd w:val="0"/>
        <w:ind w:left="1701" w:hanging="567"/>
        <w:jc w:val="both"/>
        <w:rPr>
          <w:rFonts w:ascii="Bookman Old Style" w:hAnsi="Bookman Old Style" w:cs="Arial"/>
          <w:color w:val="000000"/>
        </w:rPr>
      </w:pPr>
      <w:r w:rsidRPr="00396F14">
        <w:rPr>
          <w:rFonts w:ascii="Bookman Old Style" w:hAnsi="Bookman Old Style" w:cs="Arial"/>
          <w:color w:val="000000"/>
        </w:rPr>
        <w:t>Información sobre nominaciones de suministro de gas</w:t>
      </w:r>
    </w:p>
    <w:p w:rsidR="00F5245B" w:rsidRPr="00660970" w:rsidRDefault="00F5245B" w:rsidP="00E912C1">
      <w:pPr>
        <w:autoSpaceDE w:val="0"/>
        <w:autoSpaceDN w:val="0"/>
        <w:adjustRightInd w:val="0"/>
        <w:ind w:left="1701"/>
        <w:jc w:val="both"/>
        <w:rPr>
          <w:rFonts w:ascii="Bookman Old Style" w:hAnsi="Bookman Old Style"/>
          <w:bCs/>
        </w:rPr>
      </w:pPr>
    </w:p>
    <w:p w:rsidR="00F5245B" w:rsidRPr="00660970" w:rsidRDefault="00F5245B" w:rsidP="003A5A17">
      <w:pPr>
        <w:pStyle w:val="Prrafodelista"/>
        <w:numPr>
          <w:ilvl w:val="0"/>
          <w:numId w:val="23"/>
        </w:numPr>
        <w:autoSpaceDE w:val="0"/>
        <w:autoSpaceDN w:val="0"/>
        <w:adjustRightInd w:val="0"/>
        <w:ind w:left="2268" w:hanging="567"/>
        <w:jc w:val="both"/>
        <w:rPr>
          <w:rFonts w:ascii="Bookman Old Style" w:hAnsi="Bookman Old Style"/>
          <w:bCs/>
          <w:color w:val="000000" w:themeColor="text1"/>
          <w:sz w:val="24"/>
          <w:szCs w:val="24"/>
        </w:rPr>
      </w:pPr>
      <w:r w:rsidRPr="00660970">
        <w:rPr>
          <w:rFonts w:ascii="Bookman Old Style" w:hAnsi="Bookman Old Style"/>
          <w:bCs/>
          <w:sz w:val="24"/>
          <w:szCs w:val="24"/>
        </w:rPr>
        <w:t xml:space="preserve">Los productores-comercializadores </w:t>
      </w:r>
      <w:r w:rsidRPr="00660970">
        <w:rPr>
          <w:rFonts w:ascii="Bookman Old Style" w:hAnsi="Bookman Old Style"/>
          <w:bCs/>
          <w:color w:val="000000" w:themeColor="text1"/>
          <w:sz w:val="24"/>
          <w:szCs w:val="24"/>
        </w:rPr>
        <w:t xml:space="preserve">y los comercializadores de gas importado </w:t>
      </w:r>
      <w:r w:rsidRPr="00660970">
        <w:rPr>
          <w:rFonts w:ascii="Bookman Old Style" w:hAnsi="Bookman Old Style"/>
          <w:bCs/>
          <w:sz w:val="24"/>
          <w:szCs w:val="24"/>
        </w:rPr>
        <w:t>deberán declarar al gestor del mercado la siguiente información de nominación para el día de gas</w:t>
      </w:r>
      <w:r>
        <w:rPr>
          <w:rFonts w:ascii="Bookman Old Style" w:hAnsi="Bookman Old Style"/>
          <w:bCs/>
          <w:sz w:val="24"/>
          <w:szCs w:val="24"/>
        </w:rPr>
        <w:t xml:space="preserve"> realizada en el día D-1</w:t>
      </w:r>
      <w:r w:rsidRPr="00660970">
        <w:rPr>
          <w:rFonts w:ascii="Bookman Old Style" w:hAnsi="Bookman Old Style"/>
          <w:bCs/>
          <w:sz w:val="24"/>
          <w:szCs w:val="24"/>
        </w:rPr>
        <w:t xml:space="preserve">, antes de las 12:00 horas del día de gas, por </w:t>
      </w:r>
      <w:r w:rsidRPr="00660970">
        <w:rPr>
          <w:rFonts w:ascii="Bookman Old Style" w:hAnsi="Bookman Old Style"/>
          <w:bCs/>
          <w:color w:val="000000" w:themeColor="text1"/>
          <w:sz w:val="24"/>
          <w:szCs w:val="24"/>
        </w:rPr>
        <w:t>cada fuente de suministro y para cada una de sus contrapartes:</w:t>
      </w:r>
    </w:p>
    <w:p w:rsidR="00F5245B" w:rsidRPr="00660970" w:rsidRDefault="00F5245B" w:rsidP="00E912C1">
      <w:pPr>
        <w:pStyle w:val="Prrafodelista"/>
        <w:autoSpaceDE w:val="0"/>
        <w:autoSpaceDN w:val="0"/>
        <w:adjustRightInd w:val="0"/>
        <w:ind w:left="1287"/>
        <w:jc w:val="both"/>
        <w:rPr>
          <w:rFonts w:ascii="Bookman Old Style" w:hAnsi="Bookman Old Style"/>
          <w:bCs/>
          <w:color w:val="000000" w:themeColor="text1"/>
          <w:sz w:val="24"/>
          <w:szCs w:val="24"/>
        </w:rPr>
      </w:pP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Código contraparte</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Número de operación asignado por el gestor</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Nombre de los puntos de entrada donde se inyecta la energía al SNT. Estos puntos de entrada deberán corresponder a los puntos de entrada con código asignado por el gestor del mercado.</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Destino del gas contratado: Costa, interior, zona aislada en costa o interior</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 xml:space="preserve">Cantidad de energía a suministrar incluida en el programa de suministro de gas definitivo expresada en MBTU, </w:t>
      </w:r>
      <w:r w:rsidRPr="00660970">
        <w:rPr>
          <w:rFonts w:ascii="Bookman Old Style" w:hAnsi="Bookman Old Style"/>
          <w:bCs/>
          <w:sz w:val="24"/>
          <w:szCs w:val="24"/>
        </w:rPr>
        <w:t>determinada por tipo de demanda no regulada la cual deberá ser desagregada en comercial, industrial, gas para transportadores, petroquímica, refinería, gas natural vehicular comprimido, plantas de generación térmica u otros y demanda regulada la cual deberá ser desagregada en residencial, comercial, industrial, gas para transportadores, petroquímica, gas natural vehicular comprimido u otros.</w:t>
      </w:r>
    </w:p>
    <w:p w:rsidR="00F5245B" w:rsidRPr="00660970" w:rsidRDefault="00F5245B" w:rsidP="00E912C1">
      <w:pPr>
        <w:pStyle w:val="Prrafodelista"/>
        <w:autoSpaceDE w:val="0"/>
        <w:autoSpaceDN w:val="0"/>
        <w:adjustRightInd w:val="0"/>
        <w:ind w:left="1287"/>
        <w:jc w:val="both"/>
        <w:rPr>
          <w:rFonts w:ascii="Bookman Old Style" w:hAnsi="Bookman Old Style"/>
          <w:bCs/>
          <w:color w:val="000000" w:themeColor="text1"/>
          <w:sz w:val="24"/>
          <w:szCs w:val="24"/>
        </w:rPr>
      </w:pPr>
    </w:p>
    <w:p w:rsidR="00F5245B" w:rsidRPr="00660970" w:rsidRDefault="00F5245B" w:rsidP="003A5A17">
      <w:pPr>
        <w:pStyle w:val="Prrafodelista"/>
        <w:numPr>
          <w:ilvl w:val="0"/>
          <w:numId w:val="23"/>
        </w:numPr>
        <w:autoSpaceDE w:val="0"/>
        <w:autoSpaceDN w:val="0"/>
        <w:adjustRightInd w:val="0"/>
        <w:ind w:left="2268" w:hanging="567"/>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 xml:space="preserve">Los productores-comercializadores y los comercializadores de gas importado deberán declarar al gestor del mercado la siguiente información de cada renominación </w:t>
      </w:r>
      <w:r w:rsidRPr="00660970">
        <w:rPr>
          <w:rFonts w:ascii="Bookman Old Style" w:hAnsi="Bookman Old Style"/>
          <w:bCs/>
          <w:sz w:val="24"/>
          <w:szCs w:val="24"/>
        </w:rPr>
        <w:t>ocurrida durante el día de gas</w:t>
      </w:r>
      <w:r>
        <w:rPr>
          <w:rFonts w:ascii="Bookman Old Style" w:hAnsi="Bookman Old Style"/>
          <w:bCs/>
          <w:sz w:val="24"/>
          <w:szCs w:val="24"/>
        </w:rPr>
        <w:t xml:space="preserve"> realizada en el día de gas</w:t>
      </w:r>
      <w:r w:rsidRPr="00660970">
        <w:rPr>
          <w:rFonts w:ascii="Bookman Old Style" w:hAnsi="Bookman Old Style"/>
          <w:bCs/>
          <w:sz w:val="24"/>
          <w:szCs w:val="24"/>
        </w:rPr>
        <w:t xml:space="preserve">, antes de las 12:00 horas del día D+1, </w:t>
      </w:r>
      <w:r w:rsidRPr="00660970">
        <w:rPr>
          <w:rFonts w:ascii="Bookman Old Style" w:hAnsi="Bookman Old Style"/>
          <w:bCs/>
          <w:color w:val="000000" w:themeColor="text1"/>
          <w:sz w:val="24"/>
          <w:szCs w:val="24"/>
        </w:rPr>
        <w:t>por cada campo de producción y para cada una de sus contrapartes:</w:t>
      </w:r>
    </w:p>
    <w:p w:rsidR="00F5245B" w:rsidRPr="00660970" w:rsidRDefault="00F5245B" w:rsidP="00E912C1">
      <w:pPr>
        <w:pStyle w:val="Prrafodelista"/>
        <w:autoSpaceDE w:val="0"/>
        <w:autoSpaceDN w:val="0"/>
        <w:adjustRightInd w:val="0"/>
        <w:ind w:left="1287"/>
        <w:jc w:val="both"/>
        <w:rPr>
          <w:rFonts w:ascii="Bookman Old Style" w:hAnsi="Bookman Old Style"/>
          <w:bCs/>
          <w:color w:val="000000" w:themeColor="text1"/>
          <w:sz w:val="24"/>
          <w:szCs w:val="24"/>
        </w:rPr>
      </w:pP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Código contraparte.</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sz w:val="24"/>
          <w:szCs w:val="24"/>
        </w:rPr>
      </w:pPr>
      <w:r w:rsidRPr="00660970">
        <w:rPr>
          <w:rFonts w:ascii="Bookman Old Style" w:hAnsi="Bookman Old Style"/>
          <w:bCs/>
          <w:sz w:val="24"/>
          <w:szCs w:val="24"/>
        </w:rPr>
        <w:t xml:space="preserve">Número </w:t>
      </w:r>
      <w:r w:rsidRPr="00660970">
        <w:rPr>
          <w:rFonts w:ascii="Bookman Old Style" w:hAnsi="Bookman Old Style"/>
          <w:bCs/>
          <w:color w:val="000000" w:themeColor="text1"/>
          <w:sz w:val="24"/>
          <w:szCs w:val="24"/>
        </w:rPr>
        <w:t xml:space="preserve">de operación asignado por el gestor. </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Nombre de los puntos de entrada donde se inyecta la energía al SNT. Estos puntos de entrada deberán corresponder a los puntos de entrada con código asignado por el gestor del mercado.</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Hora en la cual el productor-comercializador o el comercializador de gas importado recibió la renominación.</w:t>
      </w:r>
    </w:p>
    <w:p w:rsidR="00F5245B" w:rsidRPr="00660970" w:rsidRDefault="00F5245B" w:rsidP="003A5A17">
      <w:pPr>
        <w:pStyle w:val="Prrafodelista"/>
        <w:numPr>
          <w:ilvl w:val="0"/>
          <w:numId w:val="24"/>
        </w:numPr>
        <w:autoSpaceDE w:val="0"/>
        <w:autoSpaceDN w:val="0"/>
        <w:adjustRightInd w:val="0"/>
        <w:ind w:left="2552" w:hanging="284"/>
        <w:jc w:val="both"/>
        <w:rPr>
          <w:rFonts w:cs="Arial"/>
          <w:color w:val="000000" w:themeColor="text1"/>
        </w:rPr>
      </w:pPr>
      <w:r w:rsidRPr="00660970">
        <w:rPr>
          <w:rFonts w:ascii="Bookman Old Style" w:hAnsi="Bookman Old Style"/>
          <w:bCs/>
          <w:color w:val="000000" w:themeColor="text1"/>
          <w:sz w:val="24"/>
          <w:szCs w:val="24"/>
        </w:rPr>
        <w:t>Destino del gas contratado: Costa, interior, zona aislada en costa o interior.</w:t>
      </w:r>
    </w:p>
    <w:p w:rsidR="00F5245B" w:rsidRPr="00660970" w:rsidRDefault="00F5245B" w:rsidP="003A5A17">
      <w:pPr>
        <w:pStyle w:val="Prrafodelista"/>
        <w:numPr>
          <w:ilvl w:val="0"/>
          <w:numId w:val="24"/>
        </w:numPr>
        <w:autoSpaceDE w:val="0"/>
        <w:autoSpaceDN w:val="0"/>
        <w:adjustRightInd w:val="0"/>
        <w:ind w:left="2552" w:hanging="284"/>
        <w:jc w:val="both"/>
        <w:rPr>
          <w:rFonts w:cs="Arial"/>
          <w:color w:val="000000" w:themeColor="text1"/>
        </w:rPr>
      </w:pPr>
      <w:r w:rsidRPr="00660970">
        <w:rPr>
          <w:rFonts w:ascii="Bookman Old Style" w:hAnsi="Bookman Old Style"/>
          <w:bCs/>
          <w:color w:val="000000" w:themeColor="text1"/>
          <w:sz w:val="24"/>
          <w:szCs w:val="24"/>
        </w:rPr>
        <w:t xml:space="preserve">Cantidad de energía a suministrar incluida en el programa de suministro de gas definitivo (dato final después de la renominaciones) para el día de gas expresada en MBTU, </w:t>
      </w:r>
      <w:r w:rsidRPr="00660970">
        <w:rPr>
          <w:rFonts w:ascii="Bookman Old Style" w:hAnsi="Bookman Old Style"/>
          <w:bCs/>
          <w:sz w:val="24"/>
          <w:szCs w:val="24"/>
        </w:rPr>
        <w:t xml:space="preserve">determinada por tipo de demanda no regulada la cual deberá ser desagregada en comercial, industrial, gas para transportadores, petroquímica, refinería, gas natural vehicular comprimido, plantas de generación térmica u otros y demanda regulada la cual deberá ser desagregada en residencial, comercial, industrial, gas para transportadores, petroquímica, gas natural vehicular comprimido u otros. </w:t>
      </w:r>
    </w:p>
    <w:p w:rsidR="00F5245B" w:rsidRPr="00660970" w:rsidRDefault="00F5245B" w:rsidP="00E912C1">
      <w:pPr>
        <w:pStyle w:val="ARTICULOS"/>
        <w:numPr>
          <w:ilvl w:val="0"/>
          <w:numId w:val="0"/>
        </w:numPr>
        <w:rPr>
          <w:lang w:val="es-CO"/>
        </w:rPr>
      </w:pPr>
    </w:p>
    <w:p w:rsidR="00F5245B" w:rsidRPr="00660970" w:rsidRDefault="00F5245B" w:rsidP="00396F14">
      <w:pPr>
        <w:pStyle w:val="ARTICULOS"/>
        <w:numPr>
          <w:ilvl w:val="0"/>
          <w:numId w:val="0"/>
        </w:numPr>
        <w:tabs>
          <w:tab w:val="clear" w:pos="1559"/>
        </w:tabs>
        <w:ind w:left="1701"/>
        <w:rPr>
          <w:lang w:val="es-CO"/>
        </w:rPr>
      </w:pPr>
      <w:r w:rsidRPr="00660970">
        <w:rPr>
          <w:lang w:val="es-CO"/>
        </w:rPr>
        <w:t>Cuando el productor-comercializador o el comercializador de gas importado no dispongan de la información para declarar al gestor la energía por sectores, estos participantes del mercado podrán exigir que en la nominación el comprador les presente una estimación de la desagregación por sectores de consumo de la energía nominada.</w:t>
      </w:r>
    </w:p>
    <w:p w:rsidR="00F5245B" w:rsidRPr="00660970" w:rsidRDefault="00F5245B" w:rsidP="00396F14">
      <w:pPr>
        <w:pStyle w:val="ARTICULOS"/>
        <w:numPr>
          <w:ilvl w:val="0"/>
          <w:numId w:val="0"/>
        </w:numPr>
        <w:tabs>
          <w:tab w:val="clear" w:pos="1559"/>
        </w:tabs>
        <w:ind w:left="1701"/>
        <w:rPr>
          <w:rFonts w:cs="Arial"/>
          <w:color w:val="000000" w:themeColor="text1"/>
          <w:lang w:val="es-CO"/>
        </w:rPr>
      </w:pPr>
    </w:p>
    <w:p w:rsidR="00147CBF" w:rsidRDefault="00147CBF" w:rsidP="00396F14">
      <w:pPr>
        <w:pStyle w:val="ARTICULOS"/>
        <w:numPr>
          <w:ilvl w:val="0"/>
          <w:numId w:val="0"/>
        </w:numPr>
        <w:tabs>
          <w:tab w:val="clear" w:pos="1559"/>
        </w:tabs>
        <w:ind w:left="1701"/>
        <w:rPr>
          <w:rFonts w:cs="Arial"/>
          <w:color w:val="000000" w:themeColor="text1"/>
          <w:lang w:val="es-ES"/>
        </w:rPr>
      </w:pPr>
    </w:p>
    <w:p w:rsidR="00F5245B" w:rsidRDefault="00F5245B" w:rsidP="00396F14">
      <w:pPr>
        <w:pStyle w:val="ARTICULOS"/>
        <w:numPr>
          <w:ilvl w:val="0"/>
          <w:numId w:val="0"/>
        </w:numPr>
        <w:tabs>
          <w:tab w:val="clear" w:pos="1559"/>
        </w:tabs>
        <w:ind w:left="1701"/>
        <w:rPr>
          <w:rFonts w:cs="Arial"/>
          <w:color w:val="000000" w:themeColor="text1"/>
          <w:lang w:val="es-ES"/>
        </w:rPr>
      </w:pPr>
      <w:r w:rsidRPr="00660970">
        <w:rPr>
          <w:rFonts w:cs="Arial"/>
          <w:color w:val="000000" w:themeColor="text1"/>
          <w:lang w:val="es-ES"/>
        </w:rPr>
        <w:t>El gestor del mercado definirá el medio y los formatos para la declaración de la información señalada en este literal.</w:t>
      </w:r>
    </w:p>
    <w:p w:rsidR="00396F14" w:rsidRPr="00787AE7" w:rsidRDefault="00396F14" w:rsidP="00396F14">
      <w:pPr>
        <w:pStyle w:val="ARTICULOS"/>
        <w:numPr>
          <w:ilvl w:val="0"/>
          <w:numId w:val="0"/>
        </w:numPr>
        <w:tabs>
          <w:tab w:val="clear" w:pos="1559"/>
          <w:tab w:val="left" w:pos="1560"/>
        </w:tabs>
        <w:ind w:left="1134"/>
        <w:rPr>
          <w:rFonts w:cs="Arial"/>
          <w:color w:val="000000" w:themeColor="text1"/>
          <w:lang w:val="es-CO"/>
        </w:rPr>
      </w:pPr>
    </w:p>
    <w:p w:rsidR="00F5245B" w:rsidRPr="00396F14" w:rsidRDefault="00F5245B" w:rsidP="003A5A17">
      <w:pPr>
        <w:numPr>
          <w:ilvl w:val="0"/>
          <w:numId w:val="13"/>
        </w:numPr>
        <w:autoSpaceDE w:val="0"/>
        <w:autoSpaceDN w:val="0"/>
        <w:adjustRightInd w:val="0"/>
        <w:ind w:left="1701" w:hanging="567"/>
        <w:jc w:val="both"/>
        <w:rPr>
          <w:rFonts w:ascii="Bookman Old Style" w:hAnsi="Bookman Old Style" w:cs="Arial"/>
          <w:color w:val="000000"/>
        </w:rPr>
      </w:pPr>
      <w:r w:rsidRPr="00396F14">
        <w:rPr>
          <w:rFonts w:ascii="Bookman Old Style" w:hAnsi="Bookman Old Style" w:cs="Arial"/>
          <w:color w:val="000000"/>
        </w:rPr>
        <w:t>Información sobre nominaciones de capacidad de transporte de gas</w:t>
      </w:r>
    </w:p>
    <w:p w:rsidR="00F5245B" w:rsidRPr="00660970" w:rsidRDefault="00F5245B" w:rsidP="00E912C1">
      <w:pPr>
        <w:pStyle w:val="ARTICULOS"/>
        <w:numPr>
          <w:ilvl w:val="0"/>
          <w:numId w:val="0"/>
        </w:numPr>
        <w:ind w:left="1134"/>
        <w:rPr>
          <w:bCs w:val="0"/>
          <w:color w:val="000000" w:themeColor="text1"/>
        </w:rPr>
      </w:pPr>
    </w:p>
    <w:p w:rsidR="00F5245B" w:rsidRPr="00660970" w:rsidRDefault="00F5245B" w:rsidP="003A5A17">
      <w:pPr>
        <w:pStyle w:val="Prrafodelista"/>
        <w:numPr>
          <w:ilvl w:val="0"/>
          <w:numId w:val="26"/>
        </w:numPr>
        <w:autoSpaceDE w:val="0"/>
        <w:autoSpaceDN w:val="0"/>
        <w:adjustRightInd w:val="0"/>
        <w:ind w:left="2268" w:hanging="567"/>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Los transportadores deberán declarar al gestor del mercado la siguiente información de nominación para el día D+1, antes de las 12:00 horas del día D+1, la cual debe corresponder al nombre y código que el gestor asignó al punto de inicio y de terminación del servicio de transporte en el SNT, para cada una de sus contrapartes:</w:t>
      </w:r>
    </w:p>
    <w:p w:rsidR="00F5245B" w:rsidRPr="00660970" w:rsidRDefault="00F5245B" w:rsidP="00E912C1">
      <w:pPr>
        <w:pStyle w:val="Prrafodelista"/>
        <w:autoSpaceDE w:val="0"/>
        <w:autoSpaceDN w:val="0"/>
        <w:adjustRightInd w:val="0"/>
        <w:ind w:left="1287"/>
        <w:jc w:val="both"/>
        <w:rPr>
          <w:rFonts w:ascii="Bookman Old Style" w:hAnsi="Bookman Old Style"/>
          <w:bCs/>
          <w:color w:val="000000" w:themeColor="text1"/>
          <w:sz w:val="24"/>
          <w:szCs w:val="24"/>
        </w:rPr>
      </w:pP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Código contraparte.</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 xml:space="preserve">Número de operación asignado por el gestor. </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 xml:space="preserve">Nombre del punto de entrada o de transferencia entre transportadores donde el transportador recibe el gas. </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 xml:space="preserve">Nombre del punto de salida o de transferencia entre transportadores donde el transportador entrega el gas. </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Destino del gas contratado: Costa, interior, zona aislada en costa o interior.</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 xml:space="preserve">Cantidad de energía  autorizada por el transportador al remitente incluida en el programa de transporte de gas definitivo por punto de entrada, de salida o de transferencia, expresada en MBTU y su equivalente en KPC, </w:t>
      </w:r>
      <w:r w:rsidRPr="00660970">
        <w:rPr>
          <w:rFonts w:ascii="Bookman Old Style" w:hAnsi="Bookman Old Style"/>
          <w:bCs/>
          <w:sz w:val="24"/>
          <w:szCs w:val="24"/>
        </w:rPr>
        <w:t>determinada por tipo de demanda no regulada la cual deberá ser desagregada en comercial, industrial, gas para transportadores, petroquímica, refinería, gas natural vehicular comprimido, plantas de generación térmica u otros y demanda regulada la cual deberá ser desagregada en residencial, comercial, industrial, gas para transportadores, petroquímica, gas natural vehicular comprimido u otros</w:t>
      </w:r>
      <w:r w:rsidRPr="00660970">
        <w:rPr>
          <w:rFonts w:ascii="Bookman Old Style" w:hAnsi="Bookman Old Style"/>
          <w:bCs/>
          <w:color w:val="000000" w:themeColor="text1"/>
          <w:sz w:val="24"/>
          <w:szCs w:val="24"/>
        </w:rPr>
        <w:t xml:space="preserve">.  </w:t>
      </w:r>
    </w:p>
    <w:p w:rsidR="00F5245B" w:rsidRPr="00660970" w:rsidRDefault="00F5245B" w:rsidP="00E912C1">
      <w:pPr>
        <w:autoSpaceDE w:val="0"/>
        <w:autoSpaceDN w:val="0"/>
        <w:adjustRightInd w:val="0"/>
        <w:jc w:val="both"/>
        <w:rPr>
          <w:rFonts w:ascii="Bookman Old Style" w:hAnsi="Bookman Old Style"/>
          <w:bCs/>
          <w:color w:val="000000" w:themeColor="text1"/>
        </w:rPr>
      </w:pPr>
    </w:p>
    <w:p w:rsidR="00F5245B" w:rsidRPr="00660970" w:rsidRDefault="00F5245B" w:rsidP="003A5A17">
      <w:pPr>
        <w:pStyle w:val="Prrafodelista"/>
        <w:numPr>
          <w:ilvl w:val="0"/>
          <w:numId w:val="26"/>
        </w:numPr>
        <w:autoSpaceDE w:val="0"/>
        <w:autoSpaceDN w:val="0"/>
        <w:adjustRightInd w:val="0"/>
        <w:ind w:left="2268" w:hanging="567"/>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Los transportadores deberán declarar al gestor del mercado la siguiente información de cada renominación ocurrida durante el día de gas, antes de las 12:00 horas del día D+1, la cual debe corresponder al nombre y código que el gestor asignó al punto de inicio y de terminación del servicio de transporte en el SNT, para cada una de sus contrapartes:</w:t>
      </w:r>
    </w:p>
    <w:p w:rsidR="00F5245B" w:rsidRPr="00660970" w:rsidRDefault="00F5245B" w:rsidP="00E912C1">
      <w:pPr>
        <w:pStyle w:val="Prrafodelista"/>
        <w:autoSpaceDE w:val="0"/>
        <w:autoSpaceDN w:val="0"/>
        <w:adjustRightInd w:val="0"/>
        <w:ind w:left="1287"/>
        <w:jc w:val="both"/>
        <w:rPr>
          <w:rFonts w:ascii="Bookman Old Style" w:hAnsi="Bookman Old Style"/>
          <w:bCs/>
          <w:color w:val="000000" w:themeColor="text1"/>
          <w:sz w:val="24"/>
          <w:szCs w:val="24"/>
        </w:rPr>
      </w:pP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Código contraparte.</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 xml:space="preserve">Número de operación asignado por el gestor. </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 xml:space="preserve">Nombre del punto de entrada o de transferencia entre transportadores donde el transportador recibe el gas. </w:t>
      </w:r>
    </w:p>
    <w:p w:rsidR="00F5245B" w:rsidRPr="00660970" w:rsidRDefault="00F5245B" w:rsidP="003A5A17">
      <w:pPr>
        <w:pStyle w:val="Prrafodelista"/>
        <w:numPr>
          <w:ilvl w:val="0"/>
          <w:numId w:val="24"/>
        </w:numPr>
        <w:autoSpaceDE w:val="0"/>
        <w:autoSpaceDN w:val="0"/>
        <w:adjustRightInd w:val="0"/>
        <w:ind w:left="2552" w:hanging="284"/>
        <w:jc w:val="both"/>
        <w:rPr>
          <w:rFonts w:ascii="Bookman Old Style" w:hAnsi="Bookman Old Style"/>
          <w:bCs/>
          <w:color w:val="000000" w:themeColor="text1"/>
          <w:sz w:val="24"/>
          <w:szCs w:val="24"/>
        </w:rPr>
      </w:pPr>
      <w:r w:rsidRPr="00660970">
        <w:rPr>
          <w:rFonts w:ascii="Bookman Old Style" w:hAnsi="Bookman Old Style"/>
          <w:bCs/>
          <w:color w:val="000000" w:themeColor="text1"/>
          <w:sz w:val="24"/>
          <w:szCs w:val="24"/>
        </w:rPr>
        <w:t xml:space="preserve">Nombre del punto de salida o de transferencia entre transportadores donde el transportador entrega el gas. </w:t>
      </w:r>
    </w:p>
    <w:p w:rsidR="00F5245B" w:rsidRPr="00660970" w:rsidRDefault="00F5245B" w:rsidP="003A5A17">
      <w:pPr>
        <w:pStyle w:val="Prrafodelista"/>
        <w:numPr>
          <w:ilvl w:val="0"/>
          <w:numId w:val="24"/>
        </w:numPr>
        <w:autoSpaceDE w:val="0"/>
        <w:autoSpaceDN w:val="0"/>
        <w:adjustRightInd w:val="0"/>
        <w:ind w:left="2552" w:hanging="284"/>
        <w:jc w:val="both"/>
        <w:rPr>
          <w:rFonts w:cs="Arial"/>
          <w:color w:val="000000" w:themeColor="text1"/>
        </w:rPr>
      </w:pPr>
      <w:r w:rsidRPr="00660970">
        <w:rPr>
          <w:rFonts w:ascii="Bookman Old Style" w:hAnsi="Bookman Old Style"/>
          <w:bCs/>
          <w:color w:val="000000" w:themeColor="text1"/>
          <w:sz w:val="24"/>
          <w:szCs w:val="24"/>
        </w:rPr>
        <w:t>Destino del gas contratado: Costa, interior, zona aislada en costa o interior.</w:t>
      </w:r>
    </w:p>
    <w:p w:rsidR="00F5245B" w:rsidRPr="00660970" w:rsidRDefault="00F5245B" w:rsidP="003A5A17">
      <w:pPr>
        <w:pStyle w:val="Prrafodelista"/>
        <w:numPr>
          <w:ilvl w:val="0"/>
          <w:numId w:val="24"/>
        </w:numPr>
        <w:autoSpaceDE w:val="0"/>
        <w:autoSpaceDN w:val="0"/>
        <w:adjustRightInd w:val="0"/>
        <w:ind w:left="2552" w:hanging="284"/>
        <w:jc w:val="both"/>
        <w:rPr>
          <w:rFonts w:cs="Arial"/>
          <w:color w:val="000000" w:themeColor="text1"/>
        </w:rPr>
      </w:pPr>
      <w:r w:rsidRPr="00660970">
        <w:rPr>
          <w:rFonts w:ascii="Bookman Old Style" w:hAnsi="Bookman Old Style"/>
          <w:bCs/>
          <w:color w:val="000000" w:themeColor="text1"/>
          <w:sz w:val="24"/>
          <w:szCs w:val="24"/>
        </w:rPr>
        <w:t>Hora en la cual el transportador recibió la renominación.</w:t>
      </w:r>
    </w:p>
    <w:p w:rsidR="00F5245B" w:rsidRPr="00660970" w:rsidRDefault="00F5245B" w:rsidP="003A5A17">
      <w:pPr>
        <w:pStyle w:val="Prrafodelista"/>
        <w:numPr>
          <w:ilvl w:val="0"/>
          <w:numId w:val="24"/>
        </w:numPr>
        <w:autoSpaceDE w:val="0"/>
        <w:autoSpaceDN w:val="0"/>
        <w:adjustRightInd w:val="0"/>
        <w:ind w:left="2552" w:hanging="284"/>
        <w:jc w:val="both"/>
        <w:rPr>
          <w:rFonts w:cs="Arial"/>
          <w:color w:val="000000" w:themeColor="text1"/>
        </w:rPr>
      </w:pPr>
      <w:r w:rsidRPr="00660970">
        <w:rPr>
          <w:rFonts w:ascii="Bookman Old Style" w:hAnsi="Bookman Old Style"/>
          <w:bCs/>
          <w:color w:val="000000" w:themeColor="text1"/>
          <w:sz w:val="24"/>
          <w:szCs w:val="24"/>
        </w:rPr>
        <w:t xml:space="preserve">Cantidad de energía autorizada por el transportador al remitente incluida en el programa de transporte de gas definitivo (dato final después de la renominación) para el día de gas por punto de entrada, de salida o de transferencia, expresada en MBTU y su equivalente en KPC, </w:t>
      </w:r>
      <w:r w:rsidRPr="00660970">
        <w:rPr>
          <w:rFonts w:ascii="Bookman Old Style" w:hAnsi="Bookman Old Style"/>
          <w:bCs/>
          <w:sz w:val="24"/>
          <w:szCs w:val="24"/>
        </w:rPr>
        <w:t>determinada por tipo de demanda no regulada la cual deberá ser desagregada en comercial, industrial, gas para transportadores, petroquímica, refinería, gas natural vehicular comprimido, plantas de generación térmica u otros y demanda regulada la cual deberá ser desagregada en residencial, comercial, industrial, gas para transportadores, petroquímica, gas natural vehicular comprimido u otros</w:t>
      </w:r>
      <w:r w:rsidRPr="00660970">
        <w:rPr>
          <w:rFonts w:ascii="Bookman Old Style" w:hAnsi="Bookman Old Style"/>
          <w:bCs/>
          <w:color w:val="000000" w:themeColor="text1"/>
          <w:sz w:val="24"/>
          <w:szCs w:val="24"/>
        </w:rPr>
        <w:t xml:space="preserve">. </w:t>
      </w:r>
    </w:p>
    <w:p w:rsidR="00F5245B" w:rsidRPr="00660970" w:rsidRDefault="00F5245B" w:rsidP="00E912C1">
      <w:pPr>
        <w:pStyle w:val="ARTICULOS"/>
        <w:numPr>
          <w:ilvl w:val="0"/>
          <w:numId w:val="0"/>
        </w:numPr>
        <w:tabs>
          <w:tab w:val="clear" w:pos="1559"/>
          <w:tab w:val="left" w:pos="1560"/>
        </w:tabs>
        <w:rPr>
          <w:rFonts w:cs="Arial"/>
          <w:color w:val="000000" w:themeColor="text1"/>
          <w:lang w:val="es-CO"/>
        </w:rPr>
      </w:pPr>
    </w:p>
    <w:p w:rsidR="00F5245B" w:rsidRPr="00660970" w:rsidRDefault="00F5245B" w:rsidP="00396F14">
      <w:pPr>
        <w:pStyle w:val="Prrafodelista"/>
        <w:autoSpaceDE w:val="0"/>
        <w:autoSpaceDN w:val="0"/>
        <w:adjustRightInd w:val="0"/>
        <w:ind w:left="2552"/>
        <w:jc w:val="both"/>
        <w:rPr>
          <w:rFonts w:cs="Arial"/>
          <w:color w:val="000000" w:themeColor="text1"/>
          <w:lang w:val="es-ES"/>
        </w:rPr>
      </w:pPr>
      <w:r w:rsidRPr="00660970">
        <w:rPr>
          <w:rFonts w:ascii="Bookman Old Style" w:hAnsi="Bookman Old Style"/>
          <w:bCs/>
          <w:sz w:val="24"/>
          <w:szCs w:val="24"/>
        </w:rPr>
        <w:t>Esta</w:t>
      </w:r>
      <w:r w:rsidRPr="00660970">
        <w:rPr>
          <w:rFonts w:ascii="Bookman Old Style" w:hAnsi="Bookman Old Style" w:cs="Arial"/>
          <w:color w:val="000000" w:themeColor="text1"/>
          <w:sz w:val="24"/>
          <w:szCs w:val="24"/>
        </w:rPr>
        <w:t xml:space="preserve"> información se declarará únicamente cuando haya renominaciones.</w:t>
      </w:r>
    </w:p>
    <w:p w:rsidR="00F5245B" w:rsidRPr="00660970" w:rsidRDefault="00F5245B" w:rsidP="00E912C1">
      <w:pPr>
        <w:pStyle w:val="ARTICULOS"/>
        <w:numPr>
          <w:ilvl w:val="0"/>
          <w:numId w:val="0"/>
        </w:numPr>
        <w:tabs>
          <w:tab w:val="clear" w:pos="1559"/>
          <w:tab w:val="left" w:pos="1560"/>
        </w:tabs>
        <w:rPr>
          <w:rFonts w:cs="Arial"/>
          <w:color w:val="000000" w:themeColor="text1"/>
          <w:lang w:val="es-ES"/>
        </w:rPr>
      </w:pPr>
    </w:p>
    <w:p w:rsidR="00F5245B" w:rsidRPr="00660970" w:rsidRDefault="00F5245B" w:rsidP="00396F14">
      <w:pPr>
        <w:autoSpaceDE w:val="0"/>
        <w:autoSpaceDN w:val="0"/>
        <w:adjustRightInd w:val="0"/>
        <w:ind w:left="1701"/>
        <w:jc w:val="both"/>
        <w:rPr>
          <w:rFonts w:ascii="Bookman Old Style" w:hAnsi="Bookman Old Style"/>
          <w:bCs/>
          <w:color w:val="000000" w:themeColor="text1"/>
        </w:rPr>
      </w:pPr>
      <w:r w:rsidRPr="00660970">
        <w:rPr>
          <w:rFonts w:ascii="Bookman Old Style" w:hAnsi="Bookman Old Style"/>
          <w:bCs/>
        </w:rPr>
        <w:t>Cuando el transportador no disponga de la información para declarar al gestor la energía por sectores, este podrá exigir que en la nominación el remitente le presente una estimación de la desagregación por sectores de consumo de la energía nominada.</w:t>
      </w:r>
    </w:p>
    <w:p w:rsidR="00F5245B" w:rsidRPr="00660970" w:rsidRDefault="00F5245B" w:rsidP="00E912C1">
      <w:pPr>
        <w:pStyle w:val="ARTICULOS"/>
        <w:numPr>
          <w:ilvl w:val="0"/>
          <w:numId w:val="0"/>
        </w:numPr>
        <w:tabs>
          <w:tab w:val="clear" w:pos="1559"/>
          <w:tab w:val="left" w:pos="1560"/>
        </w:tabs>
        <w:ind w:left="709"/>
        <w:rPr>
          <w:rFonts w:cs="Arial"/>
          <w:color w:val="000000" w:themeColor="text1"/>
          <w:lang w:val="es-ES"/>
        </w:rPr>
      </w:pPr>
    </w:p>
    <w:p w:rsidR="00F5245B" w:rsidRPr="00ED2BC2" w:rsidRDefault="00F5245B" w:rsidP="00396F14">
      <w:pPr>
        <w:autoSpaceDE w:val="0"/>
        <w:autoSpaceDN w:val="0"/>
        <w:adjustRightInd w:val="0"/>
        <w:ind w:left="1701"/>
        <w:jc w:val="both"/>
        <w:rPr>
          <w:rFonts w:ascii="Bookman Old Style" w:hAnsi="Bookman Old Style"/>
          <w:bCs/>
          <w:color w:val="000000"/>
          <w:sz w:val="28"/>
          <w:lang w:val="es-CO" w:eastAsia="x-none"/>
        </w:rPr>
      </w:pPr>
      <w:r w:rsidRPr="00660970">
        <w:rPr>
          <w:rFonts w:ascii="Bookman Old Style" w:hAnsi="Bookman Old Style" w:cs="Arial"/>
          <w:color w:val="000000" w:themeColor="text1"/>
        </w:rPr>
        <w:t>El gestor del mercado definirá el medio y los formatos para la declaración de la información señalada en este literal</w:t>
      </w:r>
    </w:p>
    <w:p w:rsidR="00F5245B" w:rsidRDefault="00F5245B" w:rsidP="00E912C1">
      <w:pPr>
        <w:autoSpaceDE w:val="0"/>
        <w:autoSpaceDN w:val="0"/>
        <w:adjustRightInd w:val="0"/>
        <w:ind w:left="0"/>
        <w:jc w:val="both"/>
        <w:rPr>
          <w:rFonts w:ascii="Bookman Old Style" w:hAnsi="Bookman Old Style"/>
          <w:bCs/>
          <w:color w:val="000000"/>
          <w:sz w:val="28"/>
          <w:lang w:val="es-CO" w:eastAsia="x-none"/>
        </w:rPr>
      </w:pPr>
    </w:p>
    <w:p w:rsidR="00F5245B" w:rsidRPr="00396F14" w:rsidRDefault="00F5245B" w:rsidP="003A5A17">
      <w:pPr>
        <w:numPr>
          <w:ilvl w:val="0"/>
          <w:numId w:val="13"/>
        </w:numPr>
        <w:autoSpaceDE w:val="0"/>
        <w:autoSpaceDN w:val="0"/>
        <w:adjustRightInd w:val="0"/>
        <w:ind w:left="1701" w:hanging="567"/>
        <w:jc w:val="both"/>
        <w:rPr>
          <w:rFonts w:ascii="Bookman Old Style" w:hAnsi="Bookman Old Style" w:cs="Arial"/>
          <w:color w:val="000000"/>
        </w:rPr>
      </w:pPr>
      <w:r w:rsidRPr="00396F14">
        <w:rPr>
          <w:rFonts w:ascii="Bookman Old Style" w:hAnsi="Bookman Old Style" w:cs="Arial"/>
          <w:color w:val="000000"/>
        </w:rPr>
        <w:t>Otra información operativa</w:t>
      </w:r>
    </w:p>
    <w:p w:rsidR="00F5245B" w:rsidRDefault="00F5245B" w:rsidP="00E912C1">
      <w:pPr>
        <w:autoSpaceDE w:val="0"/>
        <w:autoSpaceDN w:val="0"/>
        <w:adjustRightInd w:val="0"/>
        <w:jc w:val="both"/>
        <w:rPr>
          <w:rFonts w:ascii="Bookman Old Style" w:hAnsi="Bookman Old Style"/>
          <w:bCs/>
          <w:color w:val="000000"/>
          <w:sz w:val="28"/>
          <w:lang w:eastAsia="x-none"/>
        </w:rPr>
      </w:pPr>
    </w:p>
    <w:p w:rsidR="00F5245B" w:rsidRPr="000E2D9C" w:rsidRDefault="00F5245B" w:rsidP="00396F14">
      <w:pPr>
        <w:pStyle w:val="Prrafodelista"/>
        <w:autoSpaceDE w:val="0"/>
        <w:autoSpaceDN w:val="0"/>
        <w:adjustRightInd w:val="0"/>
        <w:ind w:left="1701"/>
        <w:jc w:val="both"/>
        <w:rPr>
          <w:rFonts w:ascii="Bookman Old Style" w:hAnsi="Bookman Old Style"/>
          <w:bCs/>
          <w:color w:val="000000" w:themeColor="text1"/>
          <w:sz w:val="24"/>
          <w:szCs w:val="24"/>
        </w:rPr>
      </w:pPr>
      <w:r w:rsidRPr="000E2D9C">
        <w:rPr>
          <w:rFonts w:ascii="Bookman Old Style" w:hAnsi="Bookman Old Style"/>
          <w:bCs/>
          <w:color w:val="000000" w:themeColor="text1"/>
          <w:sz w:val="24"/>
          <w:szCs w:val="24"/>
        </w:rPr>
        <w:t>Los productores-comercializadores y los comercializadores de gas importado deberán declarar al gestor del mercado la siguiente información, cada vez que sea necesario para mantenerla actualizada, por cada fuente de suministro que debe corresponder al código que el gestor asignó al punto de entrada donde el productor inyecta el gas al SNT:</w:t>
      </w:r>
    </w:p>
    <w:p w:rsidR="00F5245B" w:rsidRPr="000E2D9C" w:rsidRDefault="00F5245B" w:rsidP="00E912C1">
      <w:pPr>
        <w:autoSpaceDE w:val="0"/>
        <w:autoSpaceDN w:val="0"/>
        <w:adjustRightInd w:val="0"/>
        <w:jc w:val="both"/>
        <w:rPr>
          <w:rFonts w:ascii="Bookman Old Style" w:hAnsi="Bookman Old Style"/>
          <w:bCs/>
          <w:color w:val="000000" w:themeColor="text1"/>
        </w:rPr>
      </w:pPr>
    </w:p>
    <w:p w:rsidR="00F5245B" w:rsidRPr="000E2D9C" w:rsidRDefault="00F5245B" w:rsidP="003A5A17">
      <w:pPr>
        <w:pStyle w:val="Prrafodelista"/>
        <w:numPr>
          <w:ilvl w:val="0"/>
          <w:numId w:val="27"/>
        </w:numPr>
        <w:autoSpaceDE w:val="0"/>
        <w:autoSpaceDN w:val="0"/>
        <w:adjustRightInd w:val="0"/>
        <w:ind w:left="1985" w:hanging="284"/>
        <w:jc w:val="both"/>
        <w:rPr>
          <w:rFonts w:ascii="Bookman Old Style" w:hAnsi="Bookman Old Style"/>
          <w:bCs/>
          <w:color w:val="000000" w:themeColor="text1"/>
          <w:sz w:val="24"/>
          <w:szCs w:val="24"/>
        </w:rPr>
      </w:pPr>
      <w:r w:rsidRPr="000E2D9C">
        <w:rPr>
          <w:rFonts w:ascii="Bookman Old Style" w:hAnsi="Bookman Old Style"/>
          <w:bCs/>
          <w:color w:val="000000" w:themeColor="text1"/>
          <w:sz w:val="24"/>
          <w:szCs w:val="24"/>
        </w:rPr>
        <w:t xml:space="preserve">Tipo de fuente de suministro: planta de importación de gas, campo de producción (menor, aislado, pruebas extensas, yacimiento no convencional, nuevo campo y </w:t>
      </w:r>
      <w:r w:rsidRPr="000E2D9C">
        <w:rPr>
          <w:rFonts w:ascii="Bookman Old Style" w:hAnsi="Bookman Old Style"/>
          <w:bCs/>
          <w:sz w:val="24"/>
          <w:szCs w:val="24"/>
        </w:rPr>
        <w:t>otros)</w:t>
      </w:r>
      <w:r w:rsidRPr="000E2D9C">
        <w:rPr>
          <w:rFonts w:ascii="Bookman Old Style" w:hAnsi="Bookman Old Style"/>
          <w:bCs/>
          <w:color w:val="000000" w:themeColor="text1"/>
          <w:sz w:val="24"/>
          <w:szCs w:val="24"/>
        </w:rPr>
        <w:t>.</w:t>
      </w:r>
    </w:p>
    <w:p w:rsidR="00F5245B" w:rsidRPr="000E2D9C" w:rsidRDefault="00F5245B" w:rsidP="003A5A17">
      <w:pPr>
        <w:pStyle w:val="Prrafodelista"/>
        <w:numPr>
          <w:ilvl w:val="0"/>
          <w:numId w:val="27"/>
        </w:numPr>
        <w:autoSpaceDE w:val="0"/>
        <w:autoSpaceDN w:val="0"/>
        <w:adjustRightInd w:val="0"/>
        <w:ind w:left="1985" w:hanging="284"/>
        <w:jc w:val="both"/>
        <w:rPr>
          <w:rFonts w:ascii="Bookman Old Style" w:hAnsi="Bookman Old Style"/>
          <w:bCs/>
          <w:sz w:val="24"/>
          <w:szCs w:val="24"/>
        </w:rPr>
      </w:pPr>
      <w:r w:rsidRPr="000E2D9C">
        <w:rPr>
          <w:rFonts w:ascii="Bookman Old Style" w:hAnsi="Bookman Old Style"/>
          <w:bCs/>
          <w:sz w:val="24"/>
          <w:szCs w:val="24"/>
        </w:rPr>
        <w:t>Nombre del punto de entrada: punto de entrada donde se inyecta el gas al SNT que corresponda al nombre y código asignado por el gestor del mercado. En caso de que el punto de entrada esté sobre un sistema de distribución se deberá indicar el nombre del mercado relevante y del municipio donde está ubicado el punto de entrada. Si se trata de una fuente que no tiene conexión al SNT o a un sistema de distribución (e.g. porque entrega gas a sistemas de transporte de gas natural comprimido) el nombre del punto de entrada será igual al nombre de la fuente.</w:t>
      </w:r>
    </w:p>
    <w:p w:rsidR="00D97E89" w:rsidRPr="00C435C3" w:rsidRDefault="00D97E89" w:rsidP="00E912C1">
      <w:pPr>
        <w:ind w:left="0"/>
        <w:rPr>
          <w:rFonts w:ascii="Bookman Old Style" w:hAnsi="Bookman Old Style"/>
        </w:rPr>
      </w:pPr>
    </w:p>
    <w:p w:rsidR="00AF3513" w:rsidRDefault="00AF3513" w:rsidP="00E912C1">
      <w:pPr>
        <w:pStyle w:val="ARTICULOS"/>
        <w:numPr>
          <w:ilvl w:val="0"/>
          <w:numId w:val="0"/>
        </w:numPr>
        <w:outlineLvl w:val="0"/>
        <w:rPr>
          <w:lang w:val="es-CO"/>
        </w:rPr>
      </w:pPr>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12</w:t>
      </w:r>
      <w:r w:rsidRPr="00B30245">
        <w:rPr>
          <w:b/>
        </w:rPr>
        <w:fldChar w:fldCharType="end"/>
      </w:r>
      <w:r>
        <w:rPr>
          <w:b/>
        </w:rPr>
        <w:t xml:space="preserve">. </w:t>
      </w:r>
      <w:r w:rsidR="00A37F9D">
        <w:rPr>
          <w:lang w:val="es-419"/>
        </w:rPr>
        <w:t xml:space="preserve">Adiciónense los numerales 8 y 9 al anexo 2 </w:t>
      </w:r>
      <w:r w:rsidR="00A37F9D">
        <w:t>de la Resoluci</w:t>
      </w:r>
      <w:r w:rsidR="00A37F9D">
        <w:rPr>
          <w:lang w:val="es-CO"/>
        </w:rPr>
        <w:t>ón CREG 114 de 2017:</w:t>
      </w:r>
    </w:p>
    <w:p w:rsidR="00A37F9D" w:rsidRDefault="00A37F9D" w:rsidP="00E912C1">
      <w:pPr>
        <w:rPr>
          <w:lang w:val="es-CO"/>
        </w:rPr>
      </w:pPr>
    </w:p>
    <w:p w:rsidR="00A37F9D" w:rsidRPr="00A37F9D" w:rsidRDefault="00A37F9D" w:rsidP="003A5A17">
      <w:pPr>
        <w:pStyle w:val="ARTICULOS"/>
        <w:keepNext/>
        <w:numPr>
          <w:ilvl w:val="1"/>
          <w:numId w:val="11"/>
        </w:numPr>
        <w:tabs>
          <w:tab w:val="clear" w:pos="1559"/>
        </w:tabs>
        <w:ind w:left="1134" w:hanging="567"/>
        <w:rPr>
          <w:b/>
          <w:color w:val="000000"/>
          <w:lang w:val="es-ES"/>
        </w:rPr>
      </w:pPr>
      <w:r w:rsidRPr="00A37F9D">
        <w:rPr>
          <w:b/>
          <w:color w:val="000000"/>
          <w:lang w:val="es-ES"/>
        </w:rPr>
        <w:t>Indicadores del mercado secundario (MS)</w:t>
      </w:r>
    </w:p>
    <w:p w:rsidR="00A37F9D" w:rsidRDefault="00A37F9D" w:rsidP="00E912C1">
      <w:pPr>
        <w:autoSpaceDE w:val="0"/>
        <w:autoSpaceDN w:val="0"/>
        <w:adjustRightInd w:val="0"/>
        <w:ind w:left="0"/>
        <w:jc w:val="both"/>
        <w:rPr>
          <w:rFonts w:ascii="Bookman Old Style" w:hAnsi="Bookman Old Style"/>
          <w:color w:val="000000"/>
        </w:rPr>
      </w:pPr>
    </w:p>
    <w:tbl>
      <w:tblPr>
        <w:tblStyle w:val="Tablaconcuadrcula"/>
        <w:tblW w:w="9186" w:type="dxa"/>
        <w:jc w:val="center"/>
        <w:tblLook w:val="04A0" w:firstRow="1" w:lastRow="0" w:firstColumn="1" w:lastColumn="0" w:noHBand="0" w:noVBand="1"/>
      </w:tblPr>
      <w:tblGrid>
        <w:gridCol w:w="746"/>
        <w:gridCol w:w="2368"/>
        <w:gridCol w:w="3544"/>
        <w:gridCol w:w="2528"/>
      </w:tblGrid>
      <w:tr w:rsidR="00A37F9D" w:rsidRPr="007D0878" w:rsidTr="003F3FFC">
        <w:trPr>
          <w:tblHeader/>
          <w:jc w:val="center"/>
        </w:trPr>
        <w:tc>
          <w:tcPr>
            <w:tcW w:w="746" w:type="dxa"/>
          </w:tcPr>
          <w:p w:rsidR="00A37F9D" w:rsidRPr="007D0878" w:rsidRDefault="00A37F9D" w:rsidP="00E912C1">
            <w:pPr>
              <w:autoSpaceDE w:val="0"/>
              <w:autoSpaceDN w:val="0"/>
              <w:adjustRightInd w:val="0"/>
              <w:ind w:left="0"/>
              <w:jc w:val="center"/>
              <w:rPr>
                <w:rFonts w:ascii="Bookman Old Style" w:hAnsi="Bookman Old Style"/>
                <w:b/>
                <w:color w:val="000000"/>
                <w:sz w:val="21"/>
                <w:szCs w:val="21"/>
              </w:rPr>
            </w:pPr>
            <w:r w:rsidRPr="007D0878">
              <w:rPr>
                <w:rFonts w:ascii="Bookman Old Style" w:hAnsi="Bookman Old Style"/>
                <w:b/>
                <w:color w:val="000000"/>
                <w:sz w:val="21"/>
                <w:szCs w:val="21"/>
              </w:rPr>
              <w:t>No.</w:t>
            </w:r>
          </w:p>
        </w:tc>
        <w:tc>
          <w:tcPr>
            <w:tcW w:w="2368" w:type="dxa"/>
          </w:tcPr>
          <w:p w:rsidR="00A37F9D" w:rsidRPr="007D0878" w:rsidRDefault="00A37F9D" w:rsidP="00E912C1">
            <w:pPr>
              <w:autoSpaceDE w:val="0"/>
              <w:autoSpaceDN w:val="0"/>
              <w:adjustRightInd w:val="0"/>
              <w:ind w:left="0"/>
              <w:jc w:val="center"/>
              <w:rPr>
                <w:rFonts w:ascii="Bookman Old Style" w:hAnsi="Bookman Old Style"/>
                <w:b/>
                <w:color w:val="000000"/>
                <w:sz w:val="21"/>
                <w:szCs w:val="21"/>
              </w:rPr>
            </w:pPr>
            <w:r w:rsidRPr="007D0878">
              <w:rPr>
                <w:rFonts w:ascii="Bookman Old Style" w:hAnsi="Bookman Old Style"/>
                <w:b/>
                <w:color w:val="000000"/>
                <w:sz w:val="21"/>
                <w:szCs w:val="21"/>
              </w:rPr>
              <w:t>Indicador</w:t>
            </w:r>
          </w:p>
        </w:tc>
        <w:tc>
          <w:tcPr>
            <w:tcW w:w="3544" w:type="dxa"/>
          </w:tcPr>
          <w:p w:rsidR="00A37F9D" w:rsidRPr="007D0878" w:rsidRDefault="00A37F9D" w:rsidP="00E912C1">
            <w:pPr>
              <w:autoSpaceDE w:val="0"/>
              <w:autoSpaceDN w:val="0"/>
              <w:adjustRightInd w:val="0"/>
              <w:ind w:left="0"/>
              <w:jc w:val="center"/>
              <w:rPr>
                <w:rFonts w:ascii="Bookman Old Style" w:hAnsi="Bookman Old Style"/>
                <w:b/>
                <w:color w:val="000000"/>
                <w:sz w:val="21"/>
                <w:szCs w:val="21"/>
              </w:rPr>
            </w:pPr>
            <w:r w:rsidRPr="007D0878">
              <w:rPr>
                <w:rFonts w:ascii="Bookman Old Style" w:hAnsi="Bookman Old Style"/>
                <w:b/>
                <w:color w:val="000000"/>
                <w:sz w:val="21"/>
                <w:szCs w:val="21"/>
              </w:rPr>
              <w:t>Qué mide</w:t>
            </w:r>
          </w:p>
        </w:tc>
        <w:tc>
          <w:tcPr>
            <w:tcW w:w="2528" w:type="dxa"/>
          </w:tcPr>
          <w:p w:rsidR="00A37F9D" w:rsidRPr="007D0878" w:rsidRDefault="00A37F9D" w:rsidP="00E912C1">
            <w:pPr>
              <w:autoSpaceDE w:val="0"/>
              <w:autoSpaceDN w:val="0"/>
              <w:adjustRightInd w:val="0"/>
              <w:ind w:left="0"/>
              <w:jc w:val="center"/>
              <w:rPr>
                <w:rFonts w:ascii="Bookman Old Style" w:hAnsi="Bookman Old Style"/>
                <w:b/>
                <w:color w:val="000000"/>
                <w:sz w:val="21"/>
                <w:szCs w:val="21"/>
              </w:rPr>
            </w:pPr>
            <w:r w:rsidRPr="007D0878">
              <w:rPr>
                <w:rFonts w:ascii="Bookman Old Style" w:hAnsi="Bookman Old Style"/>
                <w:b/>
                <w:color w:val="000000"/>
                <w:sz w:val="21"/>
                <w:szCs w:val="21"/>
              </w:rPr>
              <w:t>Visible para</w:t>
            </w:r>
          </w:p>
        </w:tc>
      </w:tr>
      <w:tr w:rsidR="00A37F9D" w:rsidRPr="007D0878" w:rsidTr="003F3FFC">
        <w:trPr>
          <w:jc w:val="center"/>
        </w:trPr>
        <w:tc>
          <w:tcPr>
            <w:tcW w:w="746"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MS1</w:t>
            </w:r>
          </w:p>
        </w:tc>
        <w:tc>
          <w:tcPr>
            <w:tcW w:w="2368" w:type="dxa"/>
            <w:vAlign w:val="center"/>
          </w:tcPr>
          <w:p w:rsidR="00A37F9D" w:rsidRPr="007D0878" w:rsidRDefault="00CE2D1F" w:rsidP="00E912C1">
            <w:pPr>
              <w:autoSpaceDE w:val="0"/>
              <w:autoSpaceDN w:val="0"/>
              <w:adjustRightInd w:val="0"/>
              <w:ind w:left="0"/>
              <w:jc w:val="both"/>
              <w:rPr>
                <w:rFonts w:ascii="Bookman Old Style" w:hAnsi="Bookman Old Style"/>
                <w:color w:val="000000"/>
                <w:sz w:val="21"/>
                <w:szCs w:val="21"/>
              </w:rPr>
            </w:pPr>
            <m:oMathPara>
              <m:oMath>
                <m:f>
                  <m:fPr>
                    <m:ctrlPr>
                      <w:rPr>
                        <w:rFonts w:ascii="Cambria Math" w:hAnsi="Cambria Math"/>
                        <w:i/>
                        <w:color w:val="000000"/>
                        <w:sz w:val="21"/>
                        <w:szCs w:val="21"/>
                      </w:rPr>
                    </m:ctrlPr>
                  </m:fPr>
                  <m:num>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oG</m:t>
                        </m:r>
                      </m:e>
                      <m:sub>
                        <m:r>
                          <w:rPr>
                            <w:rFonts w:ascii="Cambria Math" w:hAnsi="Cambria Math"/>
                            <w:color w:val="000000"/>
                            <w:sz w:val="21"/>
                            <w:szCs w:val="21"/>
                          </w:rPr>
                          <m:t>D</m:t>
                        </m:r>
                      </m:sub>
                    </m:sSub>
                  </m:num>
                  <m:den>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oG</m:t>
                        </m:r>
                      </m:e>
                      <m:sub>
                        <m:r>
                          <w:rPr>
                            <w:rFonts w:ascii="Cambria Math" w:hAnsi="Cambria Math"/>
                            <w:color w:val="000000"/>
                            <w:sz w:val="21"/>
                            <w:szCs w:val="21"/>
                          </w:rPr>
                          <m:t>D-1</m:t>
                        </m:r>
                      </m:sub>
                    </m:sSub>
                  </m:den>
                </m:f>
              </m:oMath>
            </m:oMathPara>
          </w:p>
        </w:tc>
        <w:tc>
          <w:tcPr>
            <w:tcW w:w="3544"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m:oMath>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o</m:t>
                  </m:r>
                </m:e>
                <m:sub>
                  <m:r>
                    <w:rPr>
                      <w:rFonts w:ascii="Cambria Math" w:hAnsi="Cambria Math"/>
                      <w:color w:val="000000"/>
                      <w:sz w:val="21"/>
                      <w:szCs w:val="21"/>
                    </w:rPr>
                    <m:t>D</m:t>
                  </m:r>
                </m:sub>
              </m:sSub>
            </m:oMath>
            <w:r w:rsidRPr="007D0878">
              <w:rPr>
                <w:rFonts w:ascii="Bookman Old Style" w:hAnsi="Bookman Old Style"/>
                <w:color w:val="000000"/>
                <w:sz w:val="21"/>
                <w:szCs w:val="21"/>
              </w:rPr>
              <w:t>: Cantidad de energía autorizada (MBTU) durante el</w:t>
            </w:r>
            <w:r w:rsidRPr="0070410C">
              <w:rPr>
                <w:rFonts w:ascii="Bookman Old Style" w:hAnsi="Bookman Old Style"/>
                <w:color w:val="000000" w:themeColor="text1"/>
                <w:sz w:val="21"/>
                <w:szCs w:val="21"/>
              </w:rPr>
              <w:t xml:space="preserve"> día </w:t>
            </w:r>
            <w:r>
              <w:rPr>
                <w:rFonts w:ascii="Bookman Old Style" w:hAnsi="Bookman Old Style"/>
                <w:color w:val="000000" w:themeColor="text1"/>
                <w:sz w:val="21"/>
                <w:szCs w:val="21"/>
              </w:rPr>
              <w:t>de gas</w:t>
            </w:r>
            <w:r w:rsidRPr="0070410C">
              <w:rPr>
                <w:rFonts w:ascii="Bookman Old Style" w:hAnsi="Bookman Old Style"/>
                <w:color w:val="000000" w:themeColor="text1"/>
                <w:sz w:val="21"/>
                <w:szCs w:val="21"/>
              </w:rPr>
              <w:t xml:space="preserve"> </w:t>
            </w:r>
            <w:r w:rsidRPr="007D0878">
              <w:rPr>
                <w:rFonts w:ascii="Bookman Old Style" w:hAnsi="Bookman Old Style"/>
                <w:color w:val="000000"/>
                <w:sz w:val="21"/>
                <w:szCs w:val="21"/>
              </w:rPr>
              <w:t xml:space="preserve">para cada remitente por fuente, de acuerdo </w:t>
            </w:r>
            <w:r w:rsidRPr="0070410C">
              <w:rPr>
                <w:rFonts w:ascii="Bookman Old Style" w:hAnsi="Bookman Old Style"/>
                <w:color w:val="000000"/>
                <w:sz w:val="21"/>
                <w:szCs w:val="21"/>
              </w:rPr>
              <w:t>con lo establecido en el numeral ii del literal d, del numeral</w:t>
            </w:r>
            <w:r w:rsidRPr="007D0878">
              <w:rPr>
                <w:rFonts w:ascii="Bookman Old Style" w:hAnsi="Bookman Old Style"/>
                <w:color w:val="000000"/>
                <w:sz w:val="21"/>
                <w:szCs w:val="21"/>
              </w:rPr>
              <w:t xml:space="preserve"> 4.1, del anexo 2 de la presente resolución</w:t>
            </w:r>
            <w:r>
              <w:rPr>
                <w:rFonts w:ascii="Bookman Old Style" w:hAnsi="Bookman Old Style"/>
                <w:color w:val="000000"/>
                <w:sz w:val="21"/>
                <w:szCs w:val="21"/>
              </w:rPr>
              <w:t>.</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m:oMath>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o</m:t>
                  </m:r>
                </m:e>
                <m:sub>
                  <m:r>
                    <w:rPr>
                      <w:rFonts w:ascii="Cambria Math" w:hAnsi="Cambria Math"/>
                      <w:color w:val="000000"/>
                      <w:sz w:val="21"/>
                      <w:szCs w:val="21"/>
                    </w:rPr>
                    <m:t>D-1</m:t>
                  </m:r>
                </m:sub>
              </m:sSub>
            </m:oMath>
            <w:r w:rsidRPr="007D0878">
              <w:rPr>
                <w:rFonts w:ascii="Bookman Old Style" w:hAnsi="Bookman Old Style"/>
                <w:color w:val="000000"/>
                <w:sz w:val="21"/>
                <w:szCs w:val="21"/>
              </w:rPr>
              <w:t>: Cantidad de energía autorizada (MBTU) durante el dí</w:t>
            </w:r>
            <w:r w:rsidRPr="0070410C">
              <w:rPr>
                <w:rFonts w:ascii="Bookman Old Style" w:hAnsi="Bookman Old Style"/>
                <w:color w:val="000000" w:themeColor="text1"/>
                <w:sz w:val="21"/>
                <w:szCs w:val="21"/>
              </w:rPr>
              <w:t xml:space="preserve">a D-1 </w:t>
            </w:r>
            <w:r w:rsidRPr="007D0878">
              <w:rPr>
                <w:rFonts w:ascii="Bookman Old Style" w:hAnsi="Bookman Old Style"/>
                <w:color w:val="000000"/>
                <w:sz w:val="21"/>
                <w:szCs w:val="21"/>
              </w:rPr>
              <w:t xml:space="preserve">para cada remitente por fuente. </w:t>
            </w:r>
            <w:r w:rsidRPr="0070410C">
              <w:rPr>
                <w:rFonts w:ascii="Bookman Old Style" w:hAnsi="Bookman Old Style"/>
                <w:color w:val="000000"/>
                <w:sz w:val="21"/>
                <w:szCs w:val="21"/>
              </w:rPr>
              <w:t>lo establecido en el numeral i del literal d, del numeral</w:t>
            </w:r>
            <w:r w:rsidRPr="007D0878">
              <w:rPr>
                <w:rFonts w:ascii="Bookman Old Style" w:hAnsi="Bookman Old Style"/>
                <w:color w:val="000000"/>
                <w:sz w:val="21"/>
                <w:szCs w:val="21"/>
              </w:rPr>
              <w:t xml:space="preserve"> 4.1, del anexo 2 de la presente resolución. </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 xml:space="preserve">  </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Este indicador debe calcularse por fuente y remitente.</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b/>
                <w:color w:val="000000"/>
                <w:sz w:val="21"/>
                <w:szCs w:val="21"/>
              </w:rPr>
              <w:t>Periodicidad de cálculo:</w:t>
            </w:r>
            <w:r w:rsidRPr="007D0878">
              <w:rPr>
                <w:rFonts w:ascii="Bookman Old Style" w:hAnsi="Bookman Old Style"/>
                <w:color w:val="000000"/>
                <w:sz w:val="21"/>
                <w:szCs w:val="21"/>
              </w:rPr>
              <w:t xml:space="preserve"> diario, en el día D+1.</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tc>
        <w:tc>
          <w:tcPr>
            <w:tcW w:w="2528"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Los indicadores  por fuente para el público general y los indicadores por remitente para la SSPD, SIC y CREG</w:t>
            </w:r>
          </w:p>
        </w:tc>
      </w:tr>
      <w:tr w:rsidR="00A37F9D" w:rsidRPr="007D0878" w:rsidTr="003F3FFC">
        <w:trPr>
          <w:jc w:val="center"/>
        </w:trPr>
        <w:tc>
          <w:tcPr>
            <w:tcW w:w="746"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MS2</w:t>
            </w:r>
          </w:p>
        </w:tc>
        <w:tc>
          <w:tcPr>
            <w:tcW w:w="2368" w:type="dxa"/>
            <w:vAlign w:val="center"/>
          </w:tcPr>
          <w:p w:rsidR="00A37F9D" w:rsidRPr="007D0878" w:rsidRDefault="00CE2D1F" w:rsidP="00E912C1">
            <w:pPr>
              <w:autoSpaceDE w:val="0"/>
              <w:autoSpaceDN w:val="0"/>
              <w:adjustRightInd w:val="0"/>
              <w:ind w:left="0"/>
              <w:jc w:val="both"/>
              <w:rPr>
                <w:rFonts w:ascii="Bookman Old Style" w:hAnsi="Bookman Old Style"/>
                <w:color w:val="000000"/>
                <w:sz w:val="21"/>
                <w:szCs w:val="21"/>
              </w:rPr>
            </w:pPr>
            <m:oMathPara>
              <m:oMath>
                <m:f>
                  <m:fPr>
                    <m:ctrlPr>
                      <w:rPr>
                        <w:rFonts w:ascii="Cambria Math" w:hAnsi="Cambria Math"/>
                        <w:i/>
                        <w:color w:val="000000"/>
                        <w:sz w:val="21"/>
                        <w:szCs w:val="21"/>
                      </w:rPr>
                    </m:ctrlPr>
                  </m:fPr>
                  <m:num>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aG</m:t>
                        </m:r>
                      </m:e>
                      <m:sub>
                        <m:r>
                          <w:rPr>
                            <w:rFonts w:ascii="Cambria Math" w:hAnsi="Cambria Math"/>
                            <w:color w:val="000000"/>
                            <w:sz w:val="21"/>
                            <w:szCs w:val="21"/>
                          </w:rPr>
                          <m:t>D</m:t>
                        </m:r>
                      </m:sub>
                    </m:sSub>
                  </m:num>
                  <m:den>
                    <m:r>
                      <w:rPr>
                        <w:rFonts w:ascii="Cambria Math" w:hAnsi="Cambria Math"/>
                        <w:color w:val="000000"/>
                        <w:sz w:val="21"/>
                        <w:szCs w:val="21"/>
                      </w:rPr>
                      <m:t>Contratad</m:t>
                    </m:r>
                    <m:sSub>
                      <m:sSubPr>
                        <m:ctrlPr>
                          <w:rPr>
                            <w:rFonts w:ascii="Cambria Math" w:hAnsi="Cambria Math"/>
                            <w:i/>
                            <w:color w:val="000000"/>
                            <w:sz w:val="21"/>
                            <w:szCs w:val="21"/>
                          </w:rPr>
                        </m:ctrlPr>
                      </m:sSubPr>
                      <m:e>
                        <m:r>
                          <w:rPr>
                            <w:rFonts w:ascii="Cambria Math" w:hAnsi="Cambria Math"/>
                            <w:color w:val="000000"/>
                            <w:sz w:val="21"/>
                            <w:szCs w:val="21"/>
                          </w:rPr>
                          <m:t>aG</m:t>
                        </m:r>
                      </m:e>
                      <m:sub>
                        <m:r>
                          <w:rPr>
                            <w:rFonts w:ascii="Cambria Math" w:hAnsi="Cambria Math"/>
                            <w:color w:val="000000"/>
                            <w:sz w:val="21"/>
                            <w:szCs w:val="21"/>
                          </w:rPr>
                          <m:t>D</m:t>
                        </m:r>
                      </m:sub>
                    </m:sSub>
                  </m:den>
                </m:f>
              </m:oMath>
            </m:oMathPara>
          </w:p>
        </w:tc>
        <w:tc>
          <w:tcPr>
            <w:tcW w:w="3544"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m:oMath>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a</m:t>
                  </m:r>
                </m:e>
                <m:sub>
                  <m:r>
                    <w:rPr>
                      <w:rFonts w:ascii="Cambria Math" w:hAnsi="Cambria Math"/>
                      <w:color w:val="000000"/>
                      <w:sz w:val="21"/>
                      <w:szCs w:val="21"/>
                    </w:rPr>
                    <m:t>D</m:t>
                  </m:r>
                </m:sub>
              </m:sSub>
            </m:oMath>
            <w:r w:rsidRPr="007D0878">
              <w:rPr>
                <w:rFonts w:ascii="Bookman Old Style" w:hAnsi="Bookman Old Style"/>
                <w:color w:val="000000"/>
                <w:sz w:val="21"/>
                <w:szCs w:val="21"/>
              </w:rPr>
              <w:t xml:space="preserve">: Cantidad de energía autorizada (MBTU) durante el día D para cada productor por fuente, de acuerdo </w:t>
            </w:r>
            <w:r w:rsidRPr="0070410C">
              <w:rPr>
                <w:rFonts w:ascii="Bookman Old Style" w:hAnsi="Bookman Old Style"/>
                <w:color w:val="000000"/>
                <w:sz w:val="21"/>
                <w:szCs w:val="21"/>
              </w:rPr>
              <w:t>con lo establecido en el numeral ii del literal d, del numeral 4.1, del</w:t>
            </w:r>
            <w:r w:rsidRPr="007D0878">
              <w:rPr>
                <w:rFonts w:ascii="Bookman Old Style" w:hAnsi="Bookman Old Style"/>
                <w:color w:val="000000"/>
                <w:sz w:val="21"/>
                <w:szCs w:val="21"/>
              </w:rPr>
              <w:t xml:space="preserve"> anexo 2 de la presente resolución</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 xml:space="preserve"> </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m:oMath>
              <m:r>
                <w:rPr>
                  <w:rFonts w:ascii="Cambria Math" w:hAnsi="Cambria Math"/>
                  <w:color w:val="000000"/>
                  <w:sz w:val="21"/>
                  <w:szCs w:val="21"/>
                </w:rPr>
                <m:t>Contratad</m:t>
              </m:r>
              <m:sSub>
                <m:sSubPr>
                  <m:ctrlPr>
                    <w:rPr>
                      <w:rFonts w:ascii="Cambria Math" w:hAnsi="Cambria Math"/>
                      <w:i/>
                      <w:color w:val="000000"/>
                      <w:sz w:val="21"/>
                      <w:szCs w:val="21"/>
                    </w:rPr>
                  </m:ctrlPr>
                </m:sSubPr>
                <m:e>
                  <m:r>
                    <w:rPr>
                      <w:rFonts w:ascii="Cambria Math" w:hAnsi="Cambria Math"/>
                      <w:color w:val="000000"/>
                      <w:sz w:val="21"/>
                      <w:szCs w:val="21"/>
                    </w:rPr>
                    <m:t>a</m:t>
                  </m:r>
                </m:e>
                <m:sub>
                  <m:r>
                    <w:rPr>
                      <w:rFonts w:ascii="Cambria Math" w:hAnsi="Cambria Math"/>
                      <w:color w:val="000000"/>
                      <w:sz w:val="21"/>
                      <w:szCs w:val="21"/>
                    </w:rPr>
                    <m:t>D</m:t>
                  </m:r>
                </m:sub>
              </m:sSub>
            </m:oMath>
            <w:r w:rsidRPr="0070410C">
              <w:rPr>
                <w:rFonts w:ascii="Bookman Old Style" w:hAnsi="Bookman Old Style"/>
                <w:color w:val="000000"/>
                <w:sz w:val="21"/>
                <w:szCs w:val="21"/>
              </w:rPr>
              <w:t>:</w:t>
            </w:r>
            <w:r w:rsidRPr="007D0878">
              <w:rPr>
                <w:rFonts w:ascii="Bookman Old Style" w:hAnsi="Bookman Old Style"/>
                <w:color w:val="000000"/>
                <w:sz w:val="21"/>
                <w:szCs w:val="21"/>
              </w:rPr>
              <w:t xml:space="preserve"> Cantidad total de energía contratada en contratos que garanticen firmeza (MBTU) durante el día D para cada productor por fuente, de acuerdo con lo establecido en el literal a, del numeral 1.1 del anexo 2 de la presente resolución.</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Este indicador debe calcularse por fuente y productor.</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b/>
                <w:color w:val="000000"/>
                <w:sz w:val="21"/>
                <w:szCs w:val="21"/>
              </w:rPr>
              <w:t>Periodicidad de cálculo:</w:t>
            </w:r>
            <w:r w:rsidRPr="007D0878">
              <w:rPr>
                <w:rFonts w:ascii="Bookman Old Style" w:hAnsi="Bookman Old Style"/>
                <w:color w:val="000000"/>
                <w:sz w:val="21"/>
                <w:szCs w:val="21"/>
              </w:rPr>
              <w:t xml:space="preserve"> diario, en el día D+1.</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tc>
        <w:tc>
          <w:tcPr>
            <w:tcW w:w="2528"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Los indicadores  por fuente para el público general y los indicadores por productor para la SSPD, SIC y CREG</w:t>
            </w:r>
          </w:p>
        </w:tc>
      </w:tr>
      <w:tr w:rsidR="00A37F9D" w:rsidRPr="007D0878" w:rsidTr="003F3FFC">
        <w:trPr>
          <w:jc w:val="center"/>
        </w:trPr>
        <w:tc>
          <w:tcPr>
            <w:tcW w:w="746"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MS3</w:t>
            </w:r>
          </w:p>
        </w:tc>
        <w:tc>
          <w:tcPr>
            <w:tcW w:w="2368" w:type="dxa"/>
            <w:vAlign w:val="center"/>
          </w:tcPr>
          <w:p w:rsidR="00A37F9D" w:rsidRPr="007D0878" w:rsidRDefault="00CE2D1F" w:rsidP="00E912C1">
            <w:pPr>
              <w:autoSpaceDE w:val="0"/>
              <w:autoSpaceDN w:val="0"/>
              <w:adjustRightInd w:val="0"/>
              <w:ind w:left="0"/>
              <w:jc w:val="both"/>
              <w:rPr>
                <w:rFonts w:ascii="Bookman Old Style" w:hAnsi="Bookman Old Style"/>
                <w:color w:val="000000"/>
                <w:sz w:val="21"/>
                <w:szCs w:val="21"/>
              </w:rPr>
            </w:pPr>
            <m:oMathPara>
              <m:oMath>
                <m:f>
                  <m:fPr>
                    <m:ctrlPr>
                      <w:rPr>
                        <w:rFonts w:ascii="Cambria Math" w:hAnsi="Cambria Math"/>
                        <w:i/>
                        <w:color w:val="000000"/>
                        <w:sz w:val="21"/>
                        <w:szCs w:val="21"/>
                      </w:rPr>
                    </m:ctrlPr>
                  </m:fPr>
                  <m:num>
                    <m:d>
                      <m:dPr>
                        <m:ctrlPr>
                          <w:rPr>
                            <w:rFonts w:ascii="Cambria Math" w:hAnsi="Cambria Math"/>
                            <w:i/>
                            <w:color w:val="000000"/>
                            <w:sz w:val="21"/>
                            <w:szCs w:val="21"/>
                          </w:rPr>
                        </m:ctrlPr>
                      </m:dPr>
                      <m:e>
                        <m:f>
                          <m:fPr>
                            <m:ctrlPr>
                              <w:rPr>
                                <w:rFonts w:ascii="Cambria Math" w:hAnsi="Cambria Math"/>
                                <w:i/>
                                <w:color w:val="000000"/>
                                <w:sz w:val="21"/>
                                <w:szCs w:val="21"/>
                              </w:rPr>
                            </m:ctrlPr>
                          </m:fPr>
                          <m:num>
                            <m:r>
                              <w:rPr>
                                <w:rFonts w:ascii="Cambria Math" w:hAnsi="Cambria Math"/>
                                <w:color w:val="000000"/>
                                <w:sz w:val="21"/>
                                <w:szCs w:val="21"/>
                              </w:rPr>
                              <m:t>Valor facturado</m:t>
                            </m:r>
                          </m:num>
                          <m:den>
                            <m:sSub>
                              <m:sSubPr>
                                <m:ctrlPr>
                                  <w:rPr>
                                    <w:rFonts w:ascii="Cambria Math" w:hAnsi="Cambria Math"/>
                                    <w:i/>
                                    <w:color w:val="000000"/>
                                    <w:sz w:val="21"/>
                                    <w:szCs w:val="21"/>
                                  </w:rPr>
                                </m:ctrlPr>
                              </m:sSubPr>
                              <m:e>
                                <m:r>
                                  <w:rPr>
                                    <w:rFonts w:ascii="Cambria Math" w:hAnsi="Cambria Math"/>
                                    <w:color w:val="000000"/>
                                    <w:sz w:val="21"/>
                                    <w:szCs w:val="21"/>
                                  </w:rPr>
                                  <m:t>Q</m:t>
                                </m:r>
                              </m:e>
                              <m:sub>
                                <m:r>
                                  <w:rPr>
                                    <w:rFonts w:ascii="Cambria Math" w:hAnsi="Cambria Math"/>
                                    <w:color w:val="000000"/>
                                    <w:sz w:val="21"/>
                                    <w:szCs w:val="21"/>
                                  </w:rPr>
                                  <m:t>ejecución</m:t>
                                </m:r>
                              </m:sub>
                            </m:sSub>
                          </m:den>
                        </m:f>
                      </m:e>
                    </m:d>
                  </m:num>
                  <m:den>
                    <m:sSub>
                      <m:sSubPr>
                        <m:ctrlPr>
                          <w:rPr>
                            <w:rFonts w:ascii="Cambria Math" w:hAnsi="Cambria Math"/>
                            <w:i/>
                            <w:color w:val="000000"/>
                            <w:sz w:val="21"/>
                            <w:szCs w:val="21"/>
                          </w:rPr>
                        </m:ctrlPr>
                      </m:sSubPr>
                      <m:e>
                        <m:r>
                          <w:rPr>
                            <w:rFonts w:ascii="Cambria Math" w:hAnsi="Cambria Math"/>
                            <w:color w:val="000000"/>
                            <w:sz w:val="21"/>
                            <w:szCs w:val="21"/>
                          </w:rPr>
                          <m:t>P</m:t>
                        </m:r>
                      </m:e>
                      <m:sub>
                        <m:r>
                          <w:rPr>
                            <w:rFonts w:ascii="Cambria Math" w:hAnsi="Cambria Math"/>
                            <w:color w:val="000000"/>
                            <w:sz w:val="21"/>
                            <w:szCs w:val="21"/>
                          </w:rPr>
                          <m:t>max</m:t>
                        </m:r>
                      </m:sub>
                    </m:sSub>
                  </m:den>
                </m:f>
              </m:oMath>
            </m:oMathPara>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tc>
        <w:tc>
          <w:tcPr>
            <w:tcW w:w="3544"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m:oMath>
              <m:r>
                <w:rPr>
                  <w:rFonts w:ascii="Cambria Math" w:hAnsi="Cambria Math"/>
                  <w:color w:val="000000"/>
                  <w:sz w:val="21"/>
                  <w:szCs w:val="21"/>
                </w:rPr>
                <m:t>Valor facturado</m:t>
              </m:r>
            </m:oMath>
            <w:r>
              <w:rPr>
                <w:rFonts w:ascii="Bookman Old Style" w:hAnsi="Bookman Old Style"/>
                <w:color w:val="000000"/>
                <w:sz w:val="21"/>
                <w:szCs w:val="21"/>
              </w:rPr>
              <w:t xml:space="preserve">: valor mensual facturado por la cantidad autorizada durante el mes correspondiente, </w:t>
            </w:r>
            <w:r w:rsidRPr="007D0878">
              <w:rPr>
                <w:rFonts w:ascii="Bookman Old Style" w:hAnsi="Bookman Old Style"/>
                <w:color w:val="000000"/>
                <w:sz w:val="21"/>
                <w:szCs w:val="21"/>
              </w:rPr>
              <w:t xml:space="preserve">de acuerdo con lo establecido en el literal </w:t>
            </w:r>
            <w:r>
              <w:rPr>
                <w:rFonts w:ascii="Bookman Old Style" w:hAnsi="Bookman Old Style"/>
                <w:color w:val="000000"/>
                <w:sz w:val="21"/>
                <w:szCs w:val="21"/>
              </w:rPr>
              <w:t>b</w:t>
            </w:r>
            <w:r w:rsidRPr="007D0878">
              <w:rPr>
                <w:rFonts w:ascii="Bookman Old Style" w:hAnsi="Bookman Old Style"/>
                <w:color w:val="000000"/>
                <w:sz w:val="21"/>
                <w:szCs w:val="21"/>
              </w:rPr>
              <w:t xml:space="preserve">, del numeral </w:t>
            </w:r>
            <w:r>
              <w:rPr>
                <w:rFonts w:ascii="Bookman Old Style" w:hAnsi="Bookman Old Style"/>
                <w:color w:val="000000"/>
                <w:sz w:val="21"/>
                <w:szCs w:val="21"/>
              </w:rPr>
              <w:t>2</w:t>
            </w:r>
            <w:r w:rsidRPr="007D0878">
              <w:rPr>
                <w:rFonts w:ascii="Bookman Old Style" w:hAnsi="Bookman Old Style"/>
                <w:color w:val="000000"/>
                <w:sz w:val="21"/>
                <w:szCs w:val="21"/>
              </w:rPr>
              <w:t>.1 del anexo 2 de la presente resolución.</w:t>
            </w:r>
          </w:p>
          <w:p w:rsidR="00A37F9D" w:rsidRDefault="00A37F9D" w:rsidP="00E912C1">
            <w:pPr>
              <w:autoSpaceDE w:val="0"/>
              <w:autoSpaceDN w:val="0"/>
              <w:adjustRightInd w:val="0"/>
              <w:ind w:left="0"/>
              <w:rPr>
                <w:rFonts w:ascii="Bookman Old Style" w:hAnsi="Bookman Old Style"/>
                <w:color w:val="000000"/>
                <w:sz w:val="21"/>
                <w:szCs w:val="21"/>
              </w:rPr>
            </w:pPr>
          </w:p>
          <w:p w:rsidR="00A37F9D" w:rsidRPr="007D0878" w:rsidRDefault="00CE2D1F" w:rsidP="00E912C1">
            <w:pPr>
              <w:autoSpaceDE w:val="0"/>
              <w:autoSpaceDN w:val="0"/>
              <w:adjustRightInd w:val="0"/>
              <w:ind w:left="0"/>
              <w:jc w:val="both"/>
              <w:rPr>
                <w:rFonts w:ascii="Bookman Old Style" w:hAnsi="Bookman Old Style"/>
                <w:color w:val="000000"/>
                <w:sz w:val="21"/>
                <w:szCs w:val="21"/>
              </w:rPr>
            </w:pPr>
            <m:oMath>
              <m:sSub>
                <m:sSubPr>
                  <m:ctrlPr>
                    <w:rPr>
                      <w:rFonts w:ascii="Cambria Math" w:hAnsi="Cambria Math"/>
                      <w:i/>
                      <w:color w:val="000000"/>
                      <w:sz w:val="21"/>
                      <w:szCs w:val="21"/>
                    </w:rPr>
                  </m:ctrlPr>
                </m:sSubPr>
                <m:e>
                  <m:r>
                    <w:rPr>
                      <w:rFonts w:ascii="Cambria Math" w:hAnsi="Cambria Math"/>
                      <w:color w:val="000000"/>
                      <w:sz w:val="21"/>
                      <w:szCs w:val="21"/>
                    </w:rPr>
                    <m:t>Q</m:t>
                  </m:r>
                </m:e>
                <m:sub>
                  <m:r>
                    <w:rPr>
                      <w:rFonts w:ascii="Cambria Math" w:hAnsi="Cambria Math"/>
                      <w:color w:val="000000"/>
                      <w:sz w:val="21"/>
                      <w:szCs w:val="21"/>
                    </w:rPr>
                    <m:t>ejecución</m:t>
                  </m:r>
                </m:sub>
              </m:sSub>
            </m:oMath>
            <w:r w:rsidR="00A37F9D" w:rsidRPr="007D0878">
              <w:rPr>
                <w:rFonts w:ascii="Bookman Old Style" w:hAnsi="Bookman Old Style"/>
                <w:color w:val="000000"/>
                <w:sz w:val="21"/>
                <w:szCs w:val="21"/>
              </w:rPr>
              <w:t xml:space="preserve">: cantidad de energía (MBTU) de ejecución </w:t>
            </w:r>
            <w:r w:rsidR="00A37F9D">
              <w:rPr>
                <w:rFonts w:ascii="Bookman Old Style" w:hAnsi="Bookman Old Style"/>
                <w:color w:val="000000"/>
                <w:sz w:val="21"/>
                <w:szCs w:val="21"/>
              </w:rPr>
              <w:t>mensual</w:t>
            </w:r>
            <w:r w:rsidR="00A37F9D" w:rsidRPr="007D0878">
              <w:rPr>
                <w:rFonts w:ascii="Bookman Old Style" w:hAnsi="Bookman Old Style"/>
                <w:color w:val="000000"/>
                <w:sz w:val="21"/>
                <w:szCs w:val="21"/>
              </w:rPr>
              <w:t xml:space="preserve"> del contrato con interrupciones a través de negociaciones directas, de acuerdo con </w:t>
            </w:r>
            <w:r w:rsidR="00A37F9D" w:rsidRPr="0070410C">
              <w:rPr>
                <w:rFonts w:ascii="Bookman Old Style" w:hAnsi="Bookman Old Style"/>
                <w:color w:val="000000"/>
                <w:sz w:val="21"/>
                <w:szCs w:val="21"/>
              </w:rPr>
              <w:t>lo establecido en el literal</w:t>
            </w:r>
            <w:r w:rsidR="00A37F9D" w:rsidRPr="007D0878">
              <w:rPr>
                <w:rFonts w:ascii="Bookman Old Style" w:hAnsi="Bookman Old Style"/>
                <w:color w:val="000000"/>
                <w:sz w:val="21"/>
                <w:szCs w:val="21"/>
              </w:rPr>
              <w:t xml:space="preserve"> b, del numeral 2.1 del anexo 2</w:t>
            </w:r>
            <w:r w:rsidR="00A37F9D">
              <w:rPr>
                <w:rFonts w:ascii="Bookman Old Style" w:hAnsi="Bookman Old Style"/>
                <w:color w:val="000000"/>
                <w:sz w:val="21"/>
                <w:szCs w:val="21"/>
              </w:rPr>
              <w:t xml:space="preserve"> de la presente resolución</w:t>
            </w:r>
            <w:r w:rsidR="00A37F9D" w:rsidRPr="007D0878">
              <w:rPr>
                <w:rFonts w:ascii="Bookman Old Style" w:hAnsi="Bookman Old Style"/>
                <w:color w:val="000000"/>
                <w:sz w:val="21"/>
                <w:szCs w:val="21"/>
              </w:rPr>
              <w:t>.</w:t>
            </w:r>
          </w:p>
          <w:p w:rsidR="00A37F9D" w:rsidRPr="007D0878" w:rsidRDefault="00A37F9D" w:rsidP="00E912C1">
            <w:pPr>
              <w:autoSpaceDE w:val="0"/>
              <w:autoSpaceDN w:val="0"/>
              <w:adjustRightInd w:val="0"/>
              <w:ind w:left="0"/>
              <w:rPr>
                <w:rFonts w:ascii="Bookman Old Style" w:hAnsi="Bookman Old Style"/>
                <w:color w:val="000000"/>
                <w:sz w:val="21"/>
                <w:szCs w:val="21"/>
              </w:rPr>
            </w:pPr>
          </w:p>
          <w:p w:rsidR="00A37F9D" w:rsidRPr="007D0878" w:rsidRDefault="00CE2D1F" w:rsidP="00E912C1">
            <w:pPr>
              <w:autoSpaceDE w:val="0"/>
              <w:autoSpaceDN w:val="0"/>
              <w:adjustRightInd w:val="0"/>
              <w:ind w:left="0"/>
              <w:rPr>
                <w:rFonts w:ascii="Bookman Old Style" w:hAnsi="Bookman Old Style"/>
                <w:color w:val="000000"/>
                <w:sz w:val="21"/>
                <w:szCs w:val="21"/>
              </w:rPr>
            </w:pPr>
            <m:oMath>
              <m:sSub>
                <m:sSubPr>
                  <m:ctrlPr>
                    <w:rPr>
                      <w:rFonts w:ascii="Cambria Math" w:hAnsi="Cambria Math"/>
                      <w:i/>
                      <w:color w:val="000000"/>
                      <w:sz w:val="21"/>
                      <w:szCs w:val="21"/>
                    </w:rPr>
                  </m:ctrlPr>
                </m:sSubPr>
                <m:e>
                  <m:r>
                    <w:rPr>
                      <w:rFonts w:ascii="Cambria Math" w:hAnsi="Cambria Math"/>
                      <w:color w:val="000000"/>
                      <w:sz w:val="21"/>
                      <w:szCs w:val="21"/>
                    </w:rPr>
                    <m:t>P</m:t>
                  </m:r>
                </m:e>
                <m:sub>
                  <m:r>
                    <w:rPr>
                      <w:rFonts w:ascii="Cambria Math" w:hAnsi="Cambria Math"/>
                      <w:color w:val="000000"/>
                      <w:sz w:val="21"/>
                      <w:szCs w:val="21"/>
                    </w:rPr>
                    <m:t>max</m:t>
                  </m:r>
                </m:sub>
              </m:sSub>
            </m:oMath>
            <w:r w:rsidR="00A37F9D" w:rsidRPr="007D0878">
              <w:rPr>
                <w:rFonts w:ascii="Bookman Old Style" w:hAnsi="Bookman Old Style"/>
                <w:color w:val="000000"/>
                <w:sz w:val="21"/>
                <w:szCs w:val="21"/>
              </w:rPr>
              <w:t>: Precio máximo pactado en el contrato con interrupciones a través de negociacio</w:t>
            </w:r>
            <w:r w:rsidR="00A37F9D">
              <w:rPr>
                <w:rFonts w:ascii="Bookman Old Style" w:hAnsi="Bookman Old Style"/>
                <w:color w:val="000000"/>
                <w:sz w:val="21"/>
                <w:szCs w:val="21"/>
              </w:rPr>
              <w:t xml:space="preserve">nes </w:t>
            </w:r>
            <w:r w:rsidR="00A37F9D" w:rsidRPr="007D0878">
              <w:rPr>
                <w:rFonts w:ascii="Bookman Old Style" w:hAnsi="Bookman Old Style"/>
                <w:color w:val="000000"/>
                <w:sz w:val="21"/>
                <w:szCs w:val="21"/>
              </w:rPr>
              <w:t xml:space="preserve">directas de acuerdo </w:t>
            </w:r>
            <w:r w:rsidR="00A37F9D" w:rsidRPr="0070410C">
              <w:rPr>
                <w:rFonts w:ascii="Bookman Old Style" w:hAnsi="Bookman Old Style"/>
                <w:color w:val="000000"/>
                <w:sz w:val="21"/>
                <w:szCs w:val="21"/>
              </w:rPr>
              <w:t xml:space="preserve">con </w:t>
            </w:r>
            <w:r w:rsidR="00A37F9D">
              <w:rPr>
                <w:rFonts w:ascii="Bookman Old Style" w:hAnsi="Bookman Old Style"/>
                <w:color w:val="000000"/>
                <w:sz w:val="21"/>
                <w:szCs w:val="21"/>
              </w:rPr>
              <w:t>lo establecido en</w:t>
            </w:r>
            <w:r w:rsidR="00A37F9D" w:rsidRPr="0070410C">
              <w:rPr>
                <w:rFonts w:ascii="Bookman Old Style" w:hAnsi="Bookman Old Style"/>
                <w:color w:val="000000"/>
                <w:sz w:val="21"/>
                <w:szCs w:val="21"/>
              </w:rPr>
              <w:t xml:space="preserve"> el literal</w:t>
            </w:r>
            <w:r w:rsidR="00A37F9D" w:rsidRPr="007D0878">
              <w:rPr>
                <w:rFonts w:ascii="Bookman Old Style" w:hAnsi="Bookman Old Style"/>
                <w:color w:val="000000"/>
                <w:sz w:val="21"/>
                <w:szCs w:val="21"/>
              </w:rPr>
              <w:t xml:space="preserve"> b, del numeral 2.1 del anexo 2</w:t>
            </w:r>
            <w:r w:rsidR="00A37F9D">
              <w:rPr>
                <w:rFonts w:ascii="Bookman Old Style" w:hAnsi="Bookman Old Style"/>
                <w:color w:val="000000"/>
                <w:sz w:val="21"/>
                <w:szCs w:val="21"/>
              </w:rPr>
              <w:t xml:space="preserve"> de la presente resolución. </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b/>
                <w:color w:val="000000"/>
                <w:sz w:val="21"/>
                <w:szCs w:val="21"/>
              </w:rPr>
              <w:t>Periodicidad de cálculo:</w:t>
            </w:r>
            <w:r w:rsidRPr="007D0878">
              <w:rPr>
                <w:rFonts w:ascii="Bookman Old Style" w:hAnsi="Bookman Old Style"/>
                <w:color w:val="000000"/>
                <w:sz w:val="21"/>
                <w:szCs w:val="21"/>
              </w:rPr>
              <w:t xml:space="preserve"> </w:t>
            </w:r>
            <w:r>
              <w:rPr>
                <w:rFonts w:ascii="Bookman Old Style" w:hAnsi="Bookman Old Style"/>
                <w:color w:val="000000"/>
                <w:sz w:val="21"/>
                <w:szCs w:val="21"/>
              </w:rPr>
              <w:t>Todos los meses.</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tc>
        <w:tc>
          <w:tcPr>
            <w:tcW w:w="2528"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Solo será visible para la SSPD, SIC y CREG</w:t>
            </w:r>
          </w:p>
        </w:tc>
      </w:tr>
      <w:tr w:rsidR="00A37F9D" w:rsidRPr="007D0878" w:rsidTr="003F3FFC">
        <w:trPr>
          <w:jc w:val="center"/>
        </w:trPr>
        <w:tc>
          <w:tcPr>
            <w:tcW w:w="746"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MS4</w:t>
            </w:r>
          </w:p>
        </w:tc>
        <w:tc>
          <w:tcPr>
            <w:tcW w:w="2368" w:type="dxa"/>
            <w:vAlign w:val="center"/>
          </w:tcPr>
          <w:p w:rsidR="00A37F9D" w:rsidRPr="007D0878" w:rsidRDefault="00CE2D1F" w:rsidP="00E912C1">
            <w:pPr>
              <w:autoSpaceDE w:val="0"/>
              <w:autoSpaceDN w:val="0"/>
              <w:adjustRightInd w:val="0"/>
              <w:ind w:left="0"/>
              <w:jc w:val="both"/>
              <w:rPr>
                <w:rFonts w:ascii="Bookman Old Style" w:hAnsi="Bookman Old Style"/>
                <w:color w:val="000000"/>
                <w:sz w:val="21"/>
                <w:szCs w:val="21"/>
              </w:rPr>
            </w:pPr>
            <m:oMathPara>
              <m:oMath>
                <m:f>
                  <m:fPr>
                    <m:ctrlPr>
                      <w:rPr>
                        <w:rFonts w:ascii="Cambria Math" w:hAnsi="Cambria Math"/>
                        <w:i/>
                        <w:color w:val="000000"/>
                        <w:sz w:val="21"/>
                        <w:szCs w:val="21"/>
                      </w:rPr>
                    </m:ctrlPr>
                  </m:fPr>
                  <m:num>
                    <m:sSub>
                      <m:sSubPr>
                        <m:ctrlPr>
                          <w:rPr>
                            <w:rFonts w:ascii="Cambria Math" w:hAnsi="Cambria Math"/>
                            <w:i/>
                            <w:color w:val="000000"/>
                            <w:sz w:val="21"/>
                            <w:szCs w:val="21"/>
                          </w:rPr>
                        </m:ctrlPr>
                      </m:sSubPr>
                      <m:e>
                        <m:r>
                          <w:rPr>
                            <w:rFonts w:ascii="Cambria Math" w:hAnsi="Cambria Math"/>
                            <w:color w:val="000000"/>
                            <w:sz w:val="21"/>
                            <w:szCs w:val="21"/>
                          </w:rPr>
                          <m:t>Q</m:t>
                        </m:r>
                      </m:e>
                      <m:sub>
                        <m:r>
                          <w:rPr>
                            <w:rFonts w:ascii="Cambria Math" w:hAnsi="Cambria Math"/>
                            <w:color w:val="000000"/>
                            <w:sz w:val="21"/>
                            <w:szCs w:val="21"/>
                          </w:rPr>
                          <m:t>ejecución</m:t>
                        </m:r>
                      </m:sub>
                    </m:sSub>
                  </m:num>
                  <m:den>
                    <m:sSub>
                      <m:sSubPr>
                        <m:ctrlPr>
                          <w:rPr>
                            <w:rFonts w:ascii="Cambria Math" w:hAnsi="Cambria Math"/>
                            <w:i/>
                            <w:color w:val="000000"/>
                            <w:sz w:val="21"/>
                            <w:szCs w:val="21"/>
                          </w:rPr>
                        </m:ctrlPr>
                      </m:sSubPr>
                      <m:e>
                        <m:r>
                          <w:rPr>
                            <w:rFonts w:ascii="Cambria Math" w:hAnsi="Cambria Math"/>
                            <w:color w:val="000000"/>
                            <w:sz w:val="21"/>
                            <w:szCs w:val="21"/>
                          </w:rPr>
                          <m:t>Q</m:t>
                        </m:r>
                      </m:e>
                      <m:sub>
                        <m:r>
                          <w:rPr>
                            <w:rFonts w:ascii="Cambria Math" w:hAnsi="Cambria Math"/>
                            <w:color w:val="000000"/>
                            <w:sz w:val="21"/>
                            <w:szCs w:val="21"/>
                          </w:rPr>
                          <m:t>max</m:t>
                        </m:r>
                      </m:sub>
                    </m:sSub>
                  </m:den>
                </m:f>
              </m:oMath>
            </m:oMathPara>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tc>
        <w:tc>
          <w:tcPr>
            <w:tcW w:w="3544" w:type="dxa"/>
            <w:vAlign w:val="center"/>
          </w:tcPr>
          <w:p w:rsidR="00A37F9D" w:rsidRPr="007D0878" w:rsidRDefault="00CE2D1F" w:rsidP="00E912C1">
            <w:pPr>
              <w:autoSpaceDE w:val="0"/>
              <w:autoSpaceDN w:val="0"/>
              <w:adjustRightInd w:val="0"/>
              <w:ind w:left="0"/>
              <w:jc w:val="both"/>
              <w:rPr>
                <w:rFonts w:ascii="Bookman Old Style" w:hAnsi="Bookman Old Style"/>
                <w:color w:val="000000"/>
                <w:sz w:val="21"/>
                <w:szCs w:val="21"/>
              </w:rPr>
            </w:pPr>
            <m:oMath>
              <m:sSub>
                <m:sSubPr>
                  <m:ctrlPr>
                    <w:rPr>
                      <w:rFonts w:ascii="Cambria Math" w:hAnsi="Cambria Math"/>
                      <w:i/>
                      <w:color w:val="000000"/>
                      <w:sz w:val="21"/>
                      <w:szCs w:val="21"/>
                    </w:rPr>
                  </m:ctrlPr>
                </m:sSubPr>
                <m:e>
                  <m:r>
                    <w:rPr>
                      <w:rFonts w:ascii="Cambria Math" w:hAnsi="Cambria Math"/>
                      <w:color w:val="000000"/>
                      <w:sz w:val="21"/>
                      <w:szCs w:val="21"/>
                    </w:rPr>
                    <m:t>Q</m:t>
                  </m:r>
                </m:e>
                <m:sub>
                  <m:r>
                    <w:rPr>
                      <w:rFonts w:ascii="Cambria Math" w:hAnsi="Cambria Math"/>
                      <w:color w:val="000000"/>
                      <w:sz w:val="21"/>
                      <w:szCs w:val="21"/>
                    </w:rPr>
                    <m:t>ejecución</m:t>
                  </m:r>
                </m:sub>
              </m:sSub>
            </m:oMath>
            <w:r w:rsidR="00A37F9D" w:rsidRPr="007D0878">
              <w:rPr>
                <w:rFonts w:ascii="Bookman Old Style" w:hAnsi="Bookman Old Style"/>
                <w:color w:val="000000"/>
                <w:sz w:val="21"/>
                <w:szCs w:val="21"/>
              </w:rPr>
              <w:t xml:space="preserve">: cantidad de energía (MBTU) de ejecución </w:t>
            </w:r>
            <w:r w:rsidR="00A37F9D">
              <w:rPr>
                <w:rFonts w:ascii="Bookman Old Style" w:hAnsi="Bookman Old Style"/>
                <w:color w:val="000000"/>
                <w:sz w:val="21"/>
                <w:szCs w:val="21"/>
              </w:rPr>
              <w:t>mensual</w:t>
            </w:r>
            <w:r w:rsidR="00A37F9D" w:rsidRPr="007D0878">
              <w:rPr>
                <w:rFonts w:ascii="Bookman Old Style" w:hAnsi="Bookman Old Style"/>
                <w:color w:val="000000"/>
                <w:sz w:val="21"/>
                <w:szCs w:val="21"/>
              </w:rPr>
              <w:t xml:space="preserve"> del contrato con interrupciones a través de negociaciones directas, de acuerdo con </w:t>
            </w:r>
            <w:r w:rsidR="00A37F9D">
              <w:rPr>
                <w:rFonts w:ascii="Bookman Old Style" w:hAnsi="Bookman Old Style"/>
                <w:color w:val="000000"/>
                <w:sz w:val="21"/>
                <w:szCs w:val="21"/>
              </w:rPr>
              <w:t>lo establecido en</w:t>
            </w:r>
            <w:r w:rsidR="00A37F9D" w:rsidRPr="003C2B63">
              <w:rPr>
                <w:rFonts w:ascii="Bookman Old Style" w:hAnsi="Bookman Old Style"/>
                <w:color w:val="000000"/>
                <w:sz w:val="21"/>
                <w:szCs w:val="21"/>
              </w:rPr>
              <w:t xml:space="preserve"> el literal b,</w:t>
            </w:r>
            <w:r w:rsidR="00A37F9D" w:rsidRPr="007D0878">
              <w:rPr>
                <w:rFonts w:ascii="Bookman Old Style" w:hAnsi="Bookman Old Style"/>
                <w:color w:val="000000"/>
                <w:sz w:val="21"/>
                <w:szCs w:val="21"/>
              </w:rPr>
              <w:t xml:space="preserve"> del numeral 2.1 del anexo 2</w:t>
            </w:r>
            <w:r w:rsidR="00A37F9D">
              <w:rPr>
                <w:rFonts w:ascii="Bookman Old Style" w:hAnsi="Bookman Old Style"/>
                <w:color w:val="000000"/>
                <w:sz w:val="21"/>
                <w:szCs w:val="21"/>
              </w:rPr>
              <w:t xml:space="preserve"> de la presente resolución</w:t>
            </w:r>
            <w:r w:rsidR="00A37F9D" w:rsidRPr="007D0878">
              <w:rPr>
                <w:rFonts w:ascii="Bookman Old Style" w:hAnsi="Bookman Old Style"/>
                <w:color w:val="000000"/>
                <w:sz w:val="21"/>
                <w:szCs w:val="21"/>
              </w:rPr>
              <w:t>.</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CE2D1F" w:rsidP="00E912C1">
            <w:pPr>
              <w:autoSpaceDE w:val="0"/>
              <w:autoSpaceDN w:val="0"/>
              <w:adjustRightInd w:val="0"/>
              <w:ind w:left="0"/>
              <w:rPr>
                <w:rFonts w:ascii="Bookman Old Style" w:hAnsi="Bookman Old Style"/>
                <w:color w:val="000000"/>
                <w:sz w:val="21"/>
                <w:szCs w:val="21"/>
              </w:rPr>
            </w:pPr>
            <m:oMath>
              <m:sSub>
                <m:sSubPr>
                  <m:ctrlPr>
                    <w:rPr>
                      <w:rFonts w:ascii="Cambria Math" w:hAnsi="Cambria Math"/>
                      <w:i/>
                      <w:color w:val="000000"/>
                      <w:sz w:val="21"/>
                      <w:szCs w:val="21"/>
                    </w:rPr>
                  </m:ctrlPr>
                </m:sSubPr>
                <m:e>
                  <m:r>
                    <w:rPr>
                      <w:rFonts w:ascii="Cambria Math" w:hAnsi="Cambria Math"/>
                      <w:color w:val="000000"/>
                      <w:sz w:val="21"/>
                      <w:szCs w:val="21"/>
                    </w:rPr>
                    <m:t>Q</m:t>
                  </m:r>
                </m:e>
                <m:sub>
                  <m:r>
                    <w:rPr>
                      <w:rFonts w:ascii="Cambria Math" w:hAnsi="Cambria Math"/>
                      <w:color w:val="000000"/>
                      <w:sz w:val="21"/>
                      <w:szCs w:val="21"/>
                    </w:rPr>
                    <m:t>max</m:t>
                  </m:r>
                </m:sub>
              </m:sSub>
            </m:oMath>
            <w:r w:rsidR="00A37F9D" w:rsidRPr="007D0878">
              <w:rPr>
                <w:rFonts w:ascii="Bookman Old Style" w:hAnsi="Bookman Old Style"/>
                <w:color w:val="000000"/>
                <w:sz w:val="21"/>
                <w:szCs w:val="21"/>
              </w:rPr>
              <w:t xml:space="preserve">: cantidad de energía (MBTU) máxima </w:t>
            </w:r>
            <w:r w:rsidR="00A37F9D">
              <w:rPr>
                <w:rFonts w:ascii="Bookman Old Style" w:hAnsi="Bookman Old Style"/>
                <w:color w:val="000000"/>
                <w:sz w:val="21"/>
                <w:szCs w:val="21"/>
              </w:rPr>
              <w:t xml:space="preserve">pactada en el </w:t>
            </w:r>
            <w:r w:rsidR="00A37F9D" w:rsidRPr="007D0878">
              <w:rPr>
                <w:rFonts w:ascii="Bookman Old Style" w:hAnsi="Bookman Old Style"/>
                <w:color w:val="000000"/>
                <w:sz w:val="21"/>
                <w:szCs w:val="21"/>
              </w:rPr>
              <w:t>contrato con interrupciones</w:t>
            </w:r>
            <w:r w:rsidR="00A37F9D">
              <w:rPr>
                <w:rFonts w:ascii="Bookman Old Style" w:hAnsi="Bookman Old Style"/>
                <w:color w:val="000000"/>
                <w:sz w:val="21"/>
                <w:szCs w:val="21"/>
              </w:rPr>
              <w:t xml:space="preserve"> </w:t>
            </w:r>
            <w:r w:rsidR="00A37F9D" w:rsidRPr="007D0878">
              <w:rPr>
                <w:rFonts w:ascii="Bookman Old Style" w:hAnsi="Bookman Old Style"/>
                <w:color w:val="000000"/>
                <w:sz w:val="21"/>
                <w:szCs w:val="21"/>
              </w:rPr>
              <w:t>a través de negociaciones directas</w:t>
            </w:r>
            <w:r w:rsidR="00A37F9D">
              <w:rPr>
                <w:rFonts w:ascii="Bookman Old Style" w:hAnsi="Bookman Old Style"/>
                <w:color w:val="000000"/>
                <w:sz w:val="21"/>
                <w:szCs w:val="21"/>
              </w:rPr>
              <w:t>,</w:t>
            </w:r>
            <w:r w:rsidR="00A37F9D" w:rsidRPr="007D0878">
              <w:rPr>
                <w:rFonts w:ascii="Bookman Old Style" w:hAnsi="Bookman Old Style"/>
                <w:color w:val="000000"/>
                <w:sz w:val="21"/>
                <w:szCs w:val="21"/>
              </w:rPr>
              <w:t xml:space="preserve"> de acuerdo con </w:t>
            </w:r>
            <w:r w:rsidR="00A37F9D" w:rsidRPr="003C2B63">
              <w:rPr>
                <w:rFonts w:ascii="Bookman Old Style" w:hAnsi="Bookman Old Style"/>
                <w:color w:val="000000"/>
                <w:sz w:val="21"/>
                <w:szCs w:val="21"/>
              </w:rPr>
              <w:t>lo establecido en el literal b, del numeral 2.1 del anexo 2</w:t>
            </w:r>
            <w:r w:rsidR="00A37F9D">
              <w:rPr>
                <w:rFonts w:ascii="Bookman Old Style" w:hAnsi="Bookman Old Style"/>
                <w:color w:val="000000"/>
                <w:sz w:val="21"/>
                <w:szCs w:val="21"/>
              </w:rPr>
              <w:t xml:space="preserve"> de la presente resolución</w:t>
            </w:r>
            <w:r w:rsidR="00A37F9D" w:rsidRPr="007D0878">
              <w:rPr>
                <w:rFonts w:ascii="Bookman Old Style" w:hAnsi="Bookman Old Style"/>
                <w:color w:val="000000"/>
                <w:sz w:val="21"/>
                <w:szCs w:val="21"/>
              </w:rPr>
              <w:t>.</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b/>
                <w:color w:val="000000"/>
                <w:sz w:val="21"/>
                <w:szCs w:val="21"/>
              </w:rPr>
              <w:t>Periodicidad de cálculo:</w:t>
            </w:r>
            <w:r w:rsidRPr="007D0878">
              <w:rPr>
                <w:rFonts w:ascii="Bookman Old Style" w:hAnsi="Bookman Old Style"/>
                <w:color w:val="000000"/>
                <w:sz w:val="21"/>
                <w:szCs w:val="21"/>
              </w:rPr>
              <w:t xml:space="preserve"> </w:t>
            </w:r>
            <w:r>
              <w:rPr>
                <w:rFonts w:ascii="Bookman Old Style" w:hAnsi="Bookman Old Style"/>
                <w:color w:val="000000"/>
                <w:sz w:val="21"/>
                <w:szCs w:val="21"/>
              </w:rPr>
              <w:t>Todos los meses.</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tc>
        <w:tc>
          <w:tcPr>
            <w:tcW w:w="2528"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Solo será visible para la SSPD, SIC y CREG</w:t>
            </w:r>
          </w:p>
        </w:tc>
      </w:tr>
      <w:tr w:rsidR="00A37F9D" w:rsidRPr="007D0878" w:rsidTr="003F3FFC">
        <w:trPr>
          <w:jc w:val="center"/>
        </w:trPr>
        <w:tc>
          <w:tcPr>
            <w:tcW w:w="746"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MS5</w:t>
            </w:r>
          </w:p>
        </w:tc>
        <w:tc>
          <w:tcPr>
            <w:tcW w:w="2368" w:type="dxa"/>
            <w:vAlign w:val="center"/>
          </w:tcPr>
          <w:p w:rsidR="00A37F9D" w:rsidRPr="007D0878" w:rsidRDefault="00CE2D1F" w:rsidP="00E912C1">
            <w:pPr>
              <w:autoSpaceDE w:val="0"/>
              <w:autoSpaceDN w:val="0"/>
              <w:adjustRightInd w:val="0"/>
              <w:ind w:left="0"/>
              <w:jc w:val="both"/>
              <w:rPr>
                <w:rFonts w:ascii="Bookman Old Style" w:hAnsi="Bookman Old Style"/>
                <w:color w:val="000000"/>
                <w:sz w:val="21"/>
                <w:szCs w:val="21"/>
              </w:rPr>
            </w:pPr>
            <m:oMathPara>
              <m:oMath>
                <m:f>
                  <m:fPr>
                    <m:ctrlPr>
                      <w:rPr>
                        <w:rFonts w:ascii="Cambria Math" w:hAnsi="Cambria Math"/>
                        <w:i/>
                        <w:color w:val="000000"/>
                        <w:sz w:val="21"/>
                        <w:szCs w:val="21"/>
                      </w:rPr>
                    </m:ctrlPr>
                  </m:fPr>
                  <m:num>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oT</m:t>
                        </m:r>
                      </m:e>
                      <m:sub>
                        <m:r>
                          <w:rPr>
                            <w:rFonts w:ascii="Cambria Math" w:hAnsi="Cambria Math"/>
                            <w:color w:val="000000"/>
                            <w:sz w:val="21"/>
                            <w:szCs w:val="21"/>
                          </w:rPr>
                          <m:t>D</m:t>
                        </m:r>
                      </m:sub>
                    </m:sSub>
                  </m:num>
                  <m:den>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oT</m:t>
                        </m:r>
                      </m:e>
                      <m:sub>
                        <m:r>
                          <w:rPr>
                            <w:rFonts w:ascii="Cambria Math" w:hAnsi="Cambria Math"/>
                            <w:color w:val="000000"/>
                            <w:sz w:val="21"/>
                            <w:szCs w:val="21"/>
                          </w:rPr>
                          <m:t>D-1</m:t>
                        </m:r>
                      </m:sub>
                    </m:sSub>
                  </m:den>
                </m:f>
              </m:oMath>
            </m:oMathPara>
          </w:p>
        </w:tc>
        <w:tc>
          <w:tcPr>
            <w:tcW w:w="3544"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m:oMath>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oT</m:t>
                  </m:r>
                </m:e>
                <m:sub>
                  <m:r>
                    <w:rPr>
                      <w:rFonts w:ascii="Cambria Math" w:hAnsi="Cambria Math"/>
                      <w:color w:val="000000"/>
                      <w:sz w:val="21"/>
                      <w:szCs w:val="21"/>
                    </w:rPr>
                    <m:t>D</m:t>
                  </m:r>
                </m:sub>
              </m:sSub>
            </m:oMath>
            <w:r w:rsidRPr="007D0878">
              <w:rPr>
                <w:rFonts w:ascii="Bookman Old Style" w:hAnsi="Bookman Old Style"/>
                <w:color w:val="000000"/>
                <w:sz w:val="21"/>
                <w:szCs w:val="21"/>
              </w:rPr>
              <w:t>: Cantidad de energía autorizada (MBTU) durante el día D para cada tramo regulatorio de transporte por remitente</w:t>
            </w:r>
            <w:r>
              <w:rPr>
                <w:rFonts w:ascii="Bookman Old Style" w:hAnsi="Bookman Old Style"/>
                <w:color w:val="000000"/>
                <w:sz w:val="21"/>
                <w:szCs w:val="21"/>
              </w:rPr>
              <w:t>,</w:t>
            </w:r>
            <w:r w:rsidRPr="007D0878">
              <w:rPr>
                <w:rFonts w:ascii="Bookman Old Style" w:hAnsi="Bookman Old Style"/>
                <w:color w:val="000000"/>
                <w:sz w:val="21"/>
                <w:szCs w:val="21"/>
              </w:rPr>
              <w:t xml:space="preserve"> de acuerdo </w:t>
            </w:r>
            <w:r w:rsidRPr="009A2E35">
              <w:rPr>
                <w:rFonts w:ascii="Bookman Old Style" w:hAnsi="Bookman Old Style"/>
                <w:color w:val="000000"/>
                <w:sz w:val="21"/>
                <w:szCs w:val="21"/>
              </w:rPr>
              <w:t>con lo establecido en el numeral ii del literal e, del numeral 4.1,</w:t>
            </w:r>
            <w:r w:rsidRPr="007D0878">
              <w:rPr>
                <w:rFonts w:ascii="Bookman Old Style" w:hAnsi="Bookman Old Style"/>
                <w:color w:val="000000"/>
                <w:sz w:val="21"/>
                <w:szCs w:val="21"/>
              </w:rPr>
              <w:t xml:space="preserve"> del anexo 2 de la presente resolución</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Default="00A37F9D" w:rsidP="00E912C1">
            <w:pPr>
              <w:autoSpaceDE w:val="0"/>
              <w:autoSpaceDN w:val="0"/>
              <w:adjustRightInd w:val="0"/>
              <w:ind w:left="0"/>
              <w:jc w:val="both"/>
              <w:rPr>
                <w:rFonts w:ascii="Bookman Old Style" w:hAnsi="Bookman Old Style"/>
                <w:color w:val="000000"/>
                <w:sz w:val="21"/>
                <w:szCs w:val="21"/>
              </w:rPr>
            </w:pPr>
            <m:oMath>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oT</m:t>
                  </m:r>
                </m:e>
                <m:sub>
                  <m:r>
                    <w:rPr>
                      <w:rFonts w:ascii="Cambria Math" w:hAnsi="Cambria Math"/>
                      <w:color w:val="000000"/>
                      <w:sz w:val="21"/>
                      <w:szCs w:val="21"/>
                    </w:rPr>
                    <m:t>D-1</m:t>
                  </m:r>
                </m:sub>
              </m:sSub>
            </m:oMath>
            <w:r w:rsidRPr="007D0878">
              <w:rPr>
                <w:rFonts w:ascii="Bookman Old Style" w:hAnsi="Bookman Old Style"/>
                <w:color w:val="000000"/>
                <w:sz w:val="21"/>
                <w:szCs w:val="21"/>
              </w:rPr>
              <w:t>: Cantidad de energía autorizada (MBTU) durante el día D-1 para cada tramo regulatorio de transporte por remitente</w:t>
            </w:r>
            <w:r>
              <w:rPr>
                <w:rFonts w:ascii="Bookman Old Style" w:hAnsi="Bookman Old Style"/>
                <w:color w:val="000000"/>
                <w:sz w:val="21"/>
                <w:szCs w:val="21"/>
              </w:rPr>
              <w:t>,</w:t>
            </w:r>
            <w:r w:rsidRPr="007D0878">
              <w:rPr>
                <w:rFonts w:ascii="Bookman Old Style" w:hAnsi="Bookman Old Style"/>
                <w:color w:val="000000"/>
                <w:sz w:val="21"/>
                <w:szCs w:val="21"/>
              </w:rPr>
              <w:t xml:space="preserve"> de acuerdo con </w:t>
            </w:r>
            <w:r w:rsidRPr="009A2E35">
              <w:rPr>
                <w:rFonts w:ascii="Bookman Old Style" w:hAnsi="Bookman Old Style"/>
                <w:color w:val="000000"/>
                <w:sz w:val="21"/>
                <w:szCs w:val="21"/>
              </w:rPr>
              <w:t>lo establecido en el numeral i del literal e, del n</w:t>
            </w:r>
            <w:r w:rsidRPr="007D0878">
              <w:rPr>
                <w:rFonts w:ascii="Bookman Old Style" w:hAnsi="Bookman Old Style"/>
                <w:color w:val="000000"/>
                <w:sz w:val="21"/>
                <w:szCs w:val="21"/>
              </w:rPr>
              <w:t>umeral 4.1, del anexo 2 de la presente resolución</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Este indicador debe calcularse por fuente y remitente.</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b/>
                <w:color w:val="000000"/>
                <w:sz w:val="21"/>
                <w:szCs w:val="21"/>
              </w:rPr>
              <w:t>Periodicidad de cálculo:</w:t>
            </w:r>
            <w:r w:rsidRPr="007D0878">
              <w:rPr>
                <w:rFonts w:ascii="Bookman Old Style" w:hAnsi="Bookman Old Style"/>
                <w:color w:val="000000"/>
                <w:sz w:val="21"/>
                <w:szCs w:val="21"/>
              </w:rPr>
              <w:t xml:space="preserve"> diario, en el día D+1.</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tc>
        <w:tc>
          <w:tcPr>
            <w:tcW w:w="2528"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Los indicadores  por tramo regulatorio para el público general y los indicadores por remitente para la SSPD, SIC y CREG</w:t>
            </w:r>
          </w:p>
        </w:tc>
      </w:tr>
      <w:tr w:rsidR="00A37F9D" w:rsidRPr="007D0878" w:rsidTr="003F3FFC">
        <w:trPr>
          <w:jc w:val="center"/>
        </w:trPr>
        <w:tc>
          <w:tcPr>
            <w:tcW w:w="746"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MS6</w:t>
            </w:r>
          </w:p>
        </w:tc>
        <w:tc>
          <w:tcPr>
            <w:tcW w:w="2368" w:type="dxa"/>
            <w:vAlign w:val="center"/>
          </w:tcPr>
          <w:p w:rsidR="00A37F9D" w:rsidRPr="007D0878" w:rsidRDefault="00CE2D1F" w:rsidP="00E912C1">
            <w:pPr>
              <w:autoSpaceDE w:val="0"/>
              <w:autoSpaceDN w:val="0"/>
              <w:adjustRightInd w:val="0"/>
              <w:ind w:left="0"/>
              <w:jc w:val="both"/>
              <w:rPr>
                <w:rFonts w:ascii="Bookman Old Style" w:hAnsi="Bookman Old Style"/>
                <w:color w:val="000000"/>
                <w:sz w:val="21"/>
                <w:szCs w:val="21"/>
              </w:rPr>
            </w:pPr>
            <m:oMathPara>
              <m:oMath>
                <m:f>
                  <m:fPr>
                    <m:ctrlPr>
                      <w:rPr>
                        <w:rFonts w:ascii="Cambria Math" w:hAnsi="Cambria Math"/>
                        <w:i/>
                        <w:color w:val="000000"/>
                        <w:sz w:val="21"/>
                        <w:szCs w:val="21"/>
                      </w:rPr>
                    </m:ctrlPr>
                  </m:fPr>
                  <m:num>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aT</m:t>
                        </m:r>
                      </m:e>
                      <m:sub>
                        <m:r>
                          <w:rPr>
                            <w:rFonts w:ascii="Cambria Math" w:hAnsi="Cambria Math"/>
                            <w:color w:val="000000"/>
                            <w:sz w:val="21"/>
                            <w:szCs w:val="21"/>
                          </w:rPr>
                          <m:t>D</m:t>
                        </m:r>
                      </m:sub>
                    </m:sSub>
                  </m:num>
                  <m:den>
                    <m:r>
                      <w:rPr>
                        <w:rFonts w:ascii="Cambria Math" w:hAnsi="Cambria Math"/>
                        <w:color w:val="000000"/>
                        <w:sz w:val="21"/>
                        <w:szCs w:val="21"/>
                      </w:rPr>
                      <m:t>Contratad</m:t>
                    </m:r>
                    <m:sSub>
                      <m:sSubPr>
                        <m:ctrlPr>
                          <w:rPr>
                            <w:rFonts w:ascii="Cambria Math" w:hAnsi="Cambria Math"/>
                            <w:i/>
                            <w:color w:val="000000"/>
                            <w:sz w:val="21"/>
                            <w:szCs w:val="21"/>
                          </w:rPr>
                        </m:ctrlPr>
                      </m:sSubPr>
                      <m:e>
                        <m:r>
                          <w:rPr>
                            <w:rFonts w:ascii="Cambria Math" w:hAnsi="Cambria Math"/>
                            <w:color w:val="000000"/>
                            <w:sz w:val="21"/>
                            <w:szCs w:val="21"/>
                          </w:rPr>
                          <m:t>aT</m:t>
                        </m:r>
                      </m:e>
                      <m:sub>
                        <m:r>
                          <w:rPr>
                            <w:rFonts w:ascii="Cambria Math" w:hAnsi="Cambria Math"/>
                            <w:color w:val="000000"/>
                            <w:sz w:val="21"/>
                            <w:szCs w:val="21"/>
                          </w:rPr>
                          <m:t>D</m:t>
                        </m:r>
                      </m:sub>
                    </m:sSub>
                  </m:den>
                </m:f>
              </m:oMath>
            </m:oMathPara>
          </w:p>
        </w:tc>
        <w:tc>
          <w:tcPr>
            <w:tcW w:w="3544"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m:oMath>
              <m:r>
                <w:rPr>
                  <w:rFonts w:ascii="Cambria Math" w:hAnsi="Cambria Math"/>
                  <w:color w:val="000000"/>
                  <w:sz w:val="21"/>
                  <w:szCs w:val="21"/>
                </w:rPr>
                <m:t>Autorizad</m:t>
              </m:r>
              <m:sSub>
                <m:sSubPr>
                  <m:ctrlPr>
                    <w:rPr>
                      <w:rFonts w:ascii="Cambria Math" w:hAnsi="Cambria Math"/>
                      <w:i/>
                      <w:color w:val="000000"/>
                      <w:sz w:val="21"/>
                      <w:szCs w:val="21"/>
                    </w:rPr>
                  </m:ctrlPr>
                </m:sSubPr>
                <m:e>
                  <m:r>
                    <w:rPr>
                      <w:rFonts w:ascii="Cambria Math" w:hAnsi="Cambria Math"/>
                      <w:color w:val="000000"/>
                      <w:sz w:val="21"/>
                      <w:szCs w:val="21"/>
                    </w:rPr>
                    <m:t>oT</m:t>
                  </m:r>
                </m:e>
                <m:sub>
                  <m:r>
                    <w:rPr>
                      <w:rFonts w:ascii="Cambria Math" w:hAnsi="Cambria Math"/>
                      <w:color w:val="000000"/>
                      <w:sz w:val="21"/>
                      <w:szCs w:val="21"/>
                    </w:rPr>
                    <m:t>D</m:t>
                  </m:r>
                </m:sub>
              </m:sSub>
            </m:oMath>
            <w:r w:rsidRPr="007D0878">
              <w:rPr>
                <w:rFonts w:ascii="Bookman Old Style" w:hAnsi="Bookman Old Style"/>
                <w:color w:val="000000"/>
                <w:sz w:val="21"/>
                <w:szCs w:val="21"/>
              </w:rPr>
              <w:t>: Cantidad de energía autorizada (MBTU) durante el día D para cada tramo regulatorio de transporte por remitent</w:t>
            </w:r>
            <w:r w:rsidRPr="00D32FC6">
              <w:rPr>
                <w:rFonts w:ascii="Bookman Old Style" w:hAnsi="Bookman Old Style"/>
                <w:color w:val="000000"/>
                <w:sz w:val="21"/>
                <w:szCs w:val="21"/>
              </w:rPr>
              <w:t>e, de acuerdo con lo establecido en el numeral ii del literal e, del numeral</w:t>
            </w:r>
            <w:r w:rsidRPr="007D0878">
              <w:rPr>
                <w:rFonts w:ascii="Bookman Old Style" w:hAnsi="Bookman Old Style"/>
                <w:color w:val="000000"/>
                <w:sz w:val="21"/>
                <w:szCs w:val="21"/>
              </w:rPr>
              <w:t xml:space="preserve"> 4.1, del anexo 2 de la presente resolución</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Default="00A37F9D" w:rsidP="00E912C1">
            <w:pPr>
              <w:autoSpaceDE w:val="0"/>
              <w:autoSpaceDN w:val="0"/>
              <w:adjustRightInd w:val="0"/>
              <w:ind w:left="0"/>
              <w:jc w:val="both"/>
              <w:rPr>
                <w:rFonts w:ascii="Bookman Old Style" w:hAnsi="Bookman Old Style"/>
                <w:color w:val="000000"/>
                <w:sz w:val="21"/>
                <w:szCs w:val="21"/>
              </w:rPr>
            </w:pPr>
            <m:oMath>
              <m:r>
                <w:rPr>
                  <w:rFonts w:ascii="Cambria Math" w:hAnsi="Cambria Math"/>
                  <w:color w:val="000000"/>
                  <w:sz w:val="21"/>
                  <w:szCs w:val="21"/>
                </w:rPr>
                <m:t>Contratad</m:t>
              </m:r>
              <m:sSub>
                <m:sSubPr>
                  <m:ctrlPr>
                    <w:rPr>
                      <w:rFonts w:ascii="Cambria Math" w:hAnsi="Cambria Math"/>
                      <w:i/>
                      <w:color w:val="000000"/>
                      <w:sz w:val="21"/>
                      <w:szCs w:val="21"/>
                    </w:rPr>
                  </m:ctrlPr>
                </m:sSubPr>
                <m:e>
                  <m:r>
                    <w:rPr>
                      <w:rFonts w:ascii="Cambria Math" w:hAnsi="Cambria Math"/>
                      <w:color w:val="000000"/>
                      <w:sz w:val="21"/>
                      <w:szCs w:val="21"/>
                    </w:rPr>
                    <m:t>aT</m:t>
                  </m:r>
                </m:e>
                <m:sub>
                  <m:r>
                    <w:rPr>
                      <w:rFonts w:ascii="Cambria Math" w:hAnsi="Cambria Math"/>
                      <w:color w:val="000000"/>
                      <w:sz w:val="21"/>
                      <w:szCs w:val="21"/>
                    </w:rPr>
                    <m:t>D</m:t>
                  </m:r>
                </m:sub>
              </m:sSub>
            </m:oMath>
            <w:r w:rsidRPr="007D0878">
              <w:rPr>
                <w:rFonts w:ascii="Bookman Old Style" w:hAnsi="Bookman Old Style"/>
                <w:color w:val="000000"/>
                <w:sz w:val="21"/>
                <w:szCs w:val="21"/>
              </w:rPr>
              <w:t>: Capacidad contratada, expresada en su equivalente en energía (MBTUD) para el día D y para cada tramo regulatorio de transporte por remitente</w:t>
            </w:r>
            <w:r>
              <w:rPr>
                <w:rFonts w:ascii="Bookman Old Style" w:hAnsi="Bookman Old Style"/>
                <w:color w:val="000000"/>
                <w:sz w:val="21"/>
                <w:szCs w:val="21"/>
              </w:rPr>
              <w:t>,</w:t>
            </w:r>
            <w:r w:rsidRPr="007D0878">
              <w:rPr>
                <w:rFonts w:ascii="Bookman Old Style" w:hAnsi="Bookman Old Style"/>
                <w:color w:val="000000"/>
                <w:sz w:val="21"/>
                <w:szCs w:val="21"/>
              </w:rPr>
              <w:t xml:space="preserve"> de </w:t>
            </w:r>
            <w:r w:rsidRPr="00D32FC6">
              <w:rPr>
                <w:rFonts w:ascii="Bookman Old Style" w:hAnsi="Bookman Old Style"/>
                <w:color w:val="000000"/>
                <w:sz w:val="21"/>
                <w:szCs w:val="21"/>
              </w:rPr>
              <w:t>acuerdo con lo establecido en el literal</w:t>
            </w:r>
            <w:r>
              <w:rPr>
                <w:rFonts w:ascii="Bookman Old Style" w:hAnsi="Bookman Old Style"/>
                <w:color w:val="000000"/>
                <w:sz w:val="21"/>
                <w:szCs w:val="21"/>
              </w:rPr>
              <w:t xml:space="preserve"> a, del numeral 1.2 del anexo 2 de la presente resolución. </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Pr>
                <w:rFonts w:ascii="Bookman Old Style" w:hAnsi="Bookman Old Style"/>
                <w:color w:val="000000"/>
                <w:sz w:val="21"/>
                <w:szCs w:val="21"/>
              </w:rPr>
              <w:t xml:space="preserve"> </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Este indicador debe calcularse por tramo y remitente.</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b/>
                <w:color w:val="000000"/>
                <w:sz w:val="21"/>
                <w:szCs w:val="21"/>
              </w:rPr>
              <w:t>Periodicidad de cálculo:</w:t>
            </w:r>
            <w:r w:rsidRPr="007D0878">
              <w:rPr>
                <w:rFonts w:ascii="Bookman Old Style" w:hAnsi="Bookman Old Style"/>
                <w:color w:val="000000"/>
                <w:sz w:val="21"/>
                <w:szCs w:val="21"/>
              </w:rPr>
              <w:t xml:space="preserve"> diario, en el día D+1.</w:t>
            </w:r>
          </w:p>
          <w:p w:rsidR="00A37F9D" w:rsidRPr="007D0878" w:rsidRDefault="00A37F9D" w:rsidP="00E912C1">
            <w:pPr>
              <w:autoSpaceDE w:val="0"/>
              <w:autoSpaceDN w:val="0"/>
              <w:adjustRightInd w:val="0"/>
              <w:ind w:left="0"/>
              <w:jc w:val="both"/>
              <w:rPr>
                <w:rFonts w:ascii="Bookman Old Style" w:hAnsi="Bookman Old Style"/>
                <w:color w:val="000000"/>
                <w:sz w:val="21"/>
                <w:szCs w:val="21"/>
              </w:rPr>
            </w:pPr>
          </w:p>
        </w:tc>
        <w:tc>
          <w:tcPr>
            <w:tcW w:w="2528" w:type="dxa"/>
            <w:vAlign w:val="center"/>
          </w:tcPr>
          <w:p w:rsidR="00A37F9D" w:rsidRPr="007D0878" w:rsidRDefault="00A37F9D" w:rsidP="00E912C1">
            <w:pPr>
              <w:autoSpaceDE w:val="0"/>
              <w:autoSpaceDN w:val="0"/>
              <w:adjustRightInd w:val="0"/>
              <w:ind w:left="0"/>
              <w:jc w:val="both"/>
              <w:rPr>
                <w:rFonts w:ascii="Bookman Old Style" w:hAnsi="Bookman Old Style"/>
                <w:color w:val="000000"/>
                <w:sz w:val="21"/>
                <w:szCs w:val="21"/>
              </w:rPr>
            </w:pPr>
            <w:r w:rsidRPr="007D0878">
              <w:rPr>
                <w:rFonts w:ascii="Bookman Old Style" w:hAnsi="Bookman Old Style"/>
                <w:color w:val="000000"/>
                <w:sz w:val="21"/>
                <w:szCs w:val="21"/>
              </w:rPr>
              <w:t>Los indicadores  por tramo regulatorio para el público general y los indicadores por remitente para la SSPD, SIC y CREG</w:t>
            </w:r>
          </w:p>
        </w:tc>
      </w:tr>
    </w:tbl>
    <w:p w:rsidR="00A37F9D" w:rsidRPr="00A37F9D" w:rsidRDefault="00A37F9D" w:rsidP="00E912C1">
      <w:pPr>
        <w:pStyle w:val="ARTICULOS"/>
        <w:keepNext/>
        <w:numPr>
          <w:ilvl w:val="0"/>
          <w:numId w:val="0"/>
        </w:numPr>
        <w:ind w:left="567"/>
        <w:rPr>
          <w:b/>
          <w:color w:val="000000"/>
          <w:lang w:val="es-ES"/>
        </w:rPr>
      </w:pPr>
    </w:p>
    <w:p w:rsidR="00A37F9D" w:rsidRPr="00A37F9D" w:rsidRDefault="00902196" w:rsidP="003A5A17">
      <w:pPr>
        <w:pStyle w:val="ARTICULOS"/>
        <w:keepNext/>
        <w:numPr>
          <w:ilvl w:val="1"/>
          <w:numId w:val="11"/>
        </w:numPr>
        <w:tabs>
          <w:tab w:val="clear" w:pos="1559"/>
        </w:tabs>
        <w:ind w:left="1134" w:hanging="567"/>
        <w:rPr>
          <w:b/>
          <w:color w:val="000000"/>
          <w:lang w:val="es-ES"/>
        </w:rPr>
      </w:pPr>
      <w:r>
        <w:rPr>
          <w:b/>
          <w:color w:val="000000"/>
          <w:lang w:val="es-ES"/>
        </w:rPr>
        <w:t xml:space="preserve">Codificación de </w:t>
      </w:r>
      <w:r w:rsidR="003F3FFC">
        <w:rPr>
          <w:b/>
          <w:color w:val="000000"/>
          <w:lang w:val="es-ES"/>
        </w:rPr>
        <w:t>p</w:t>
      </w:r>
      <w:r w:rsidR="00A37F9D" w:rsidRPr="00A37F9D">
        <w:rPr>
          <w:b/>
          <w:color w:val="000000"/>
          <w:lang w:val="es-ES"/>
        </w:rPr>
        <w:t xml:space="preserve">untos </w:t>
      </w:r>
      <w:r w:rsidR="003F3FFC">
        <w:rPr>
          <w:b/>
          <w:color w:val="000000"/>
          <w:lang w:val="es-ES"/>
        </w:rPr>
        <w:t>en el</w:t>
      </w:r>
      <w:r w:rsidR="00A37F9D" w:rsidRPr="00A37F9D">
        <w:rPr>
          <w:b/>
          <w:color w:val="000000"/>
          <w:lang w:val="es-ES"/>
        </w:rPr>
        <w:t xml:space="preserve"> SNT</w:t>
      </w:r>
    </w:p>
    <w:p w:rsidR="00A37F9D" w:rsidRDefault="00A37F9D" w:rsidP="00E912C1">
      <w:pPr>
        <w:autoSpaceDE w:val="0"/>
        <w:autoSpaceDN w:val="0"/>
        <w:adjustRightInd w:val="0"/>
        <w:ind w:left="0"/>
        <w:jc w:val="both"/>
        <w:rPr>
          <w:rFonts w:ascii="Bookman Old Style" w:hAnsi="Bookman Old Style"/>
          <w:color w:val="000000"/>
          <w:highlight w:val="green"/>
        </w:rPr>
      </w:pPr>
    </w:p>
    <w:p w:rsidR="00A37F9D" w:rsidRDefault="00902196" w:rsidP="00396F14">
      <w:pPr>
        <w:autoSpaceDE w:val="0"/>
        <w:autoSpaceDN w:val="0"/>
        <w:adjustRightInd w:val="0"/>
        <w:ind w:left="1134"/>
        <w:jc w:val="both"/>
        <w:rPr>
          <w:rFonts w:ascii="Bookman Old Style" w:hAnsi="Bookman Old Style"/>
          <w:color w:val="000000"/>
        </w:rPr>
      </w:pPr>
      <w:r>
        <w:rPr>
          <w:rFonts w:ascii="Bookman Old Style" w:hAnsi="Bookman Old Style"/>
          <w:color w:val="000000"/>
        </w:rPr>
        <w:t xml:space="preserve">Los puntos sobre el SNT en los que se pueda generar información relevante para el mercado, se deberán codificar teniendo en cuenta los siguientes aspectos: </w:t>
      </w:r>
    </w:p>
    <w:p w:rsidR="00A37F9D" w:rsidRDefault="00A37F9D" w:rsidP="00E912C1">
      <w:pPr>
        <w:autoSpaceDE w:val="0"/>
        <w:autoSpaceDN w:val="0"/>
        <w:adjustRightInd w:val="0"/>
        <w:ind w:left="0"/>
        <w:jc w:val="both"/>
        <w:rPr>
          <w:rFonts w:ascii="Bookman Old Style" w:hAnsi="Bookman Old Style"/>
          <w:color w:val="000000"/>
        </w:rPr>
      </w:pPr>
    </w:p>
    <w:p w:rsidR="00A37F9D" w:rsidRDefault="00A37F9D" w:rsidP="003A5A17">
      <w:pPr>
        <w:pStyle w:val="Prrafodelista"/>
        <w:numPr>
          <w:ilvl w:val="0"/>
          <w:numId w:val="28"/>
        </w:numPr>
        <w:autoSpaceDE w:val="0"/>
        <w:autoSpaceDN w:val="0"/>
        <w:adjustRightInd w:val="0"/>
        <w:ind w:left="1701" w:hanging="567"/>
        <w:jc w:val="both"/>
        <w:rPr>
          <w:rFonts w:ascii="Bookman Old Style" w:hAnsi="Bookman Old Style"/>
          <w:bCs/>
          <w:color w:val="000000" w:themeColor="text1"/>
          <w:sz w:val="24"/>
          <w:szCs w:val="24"/>
        </w:rPr>
      </w:pPr>
      <w:r>
        <w:rPr>
          <w:rFonts w:ascii="Bookman Old Style" w:hAnsi="Bookman Old Style"/>
          <w:bCs/>
          <w:color w:val="000000" w:themeColor="text1"/>
          <w:sz w:val="24"/>
          <w:szCs w:val="24"/>
        </w:rPr>
        <w:t>Información que debe reportar el transportador:</w:t>
      </w:r>
    </w:p>
    <w:p w:rsidR="00A37F9D" w:rsidRDefault="00A37F9D" w:rsidP="00E912C1">
      <w:pPr>
        <w:autoSpaceDE w:val="0"/>
        <w:autoSpaceDN w:val="0"/>
        <w:adjustRightInd w:val="0"/>
        <w:jc w:val="both"/>
        <w:rPr>
          <w:rFonts w:ascii="Bookman Old Style" w:hAnsi="Bookman Old Style"/>
          <w:bCs/>
          <w:color w:val="000000" w:themeColor="text1"/>
        </w:rPr>
      </w:pPr>
    </w:p>
    <w:p w:rsidR="00A37F9D" w:rsidRPr="00C438DF" w:rsidRDefault="00A37F9D" w:rsidP="003A5A17">
      <w:pPr>
        <w:pStyle w:val="Prrafodelista"/>
        <w:numPr>
          <w:ilvl w:val="0"/>
          <w:numId w:val="29"/>
        </w:numPr>
        <w:ind w:left="2268" w:hanging="567"/>
        <w:jc w:val="both"/>
        <w:rPr>
          <w:rFonts w:ascii="Bookman Old Style" w:hAnsi="Bookman Old Style"/>
          <w:bCs/>
          <w:color w:val="000000" w:themeColor="text1"/>
          <w:sz w:val="24"/>
          <w:szCs w:val="24"/>
        </w:rPr>
      </w:pPr>
      <w:r w:rsidRPr="00C438DF">
        <w:rPr>
          <w:rFonts w:ascii="Bookman Old Style" w:hAnsi="Bookman Old Style"/>
          <w:bCs/>
          <w:color w:val="000000" w:themeColor="text1"/>
          <w:sz w:val="24"/>
          <w:szCs w:val="24"/>
        </w:rPr>
        <w:t xml:space="preserve">Para cada punto de entrada y de salida del sistema de transporte, </w:t>
      </w:r>
      <w:r>
        <w:rPr>
          <w:rFonts w:ascii="Bookman Old Style" w:hAnsi="Bookman Old Style"/>
          <w:bCs/>
          <w:color w:val="000000" w:themeColor="text1"/>
          <w:sz w:val="24"/>
          <w:szCs w:val="24"/>
        </w:rPr>
        <w:t>l</w:t>
      </w:r>
      <w:r w:rsidRPr="00C438DF">
        <w:rPr>
          <w:rFonts w:ascii="Bookman Old Style" w:hAnsi="Bookman Old Style"/>
          <w:bCs/>
          <w:color w:val="000000" w:themeColor="text1"/>
          <w:sz w:val="24"/>
          <w:szCs w:val="24"/>
        </w:rPr>
        <w:t>os transportadores deberán declarar al gestor del mercado, y cada vez que exista una modificación o actualización, la siguiente información para todos los tramos del SNT que corresponda:</w:t>
      </w:r>
    </w:p>
    <w:p w:rsidR="00A37F9D" w:rsidRPr="00354FAC" w:rsidRDefault="00A37F9D" w:rsidP="00E912C1">
      <w:pPr>
        <w:ind w:left="0"/>
      </w:pPr>
    </w:p>
    <w:p w:rsidR="00A37F9D" w:rsidRPr="00354FAC" w:rsidRDefault="00A37F9D" w:rsidP="003A5A17">
      <w:pPr>
        <w:pStyle w:val="Prrafodelista"/>
        <w:numPr>
          <w:ilvl w:val="0"/>
          <w:numId w:val="31"/>
        </w:numPr>
        <w:autoSpaceDE w:val="0"/>
        <w:autoSpaceDN w:val="0"/>
        <w:adjustRightInd w:val="0"/>
        <w:ind w:left="2552" w:hanging="283"/>
        <w:jc w:val="both"/>
        <w:rPr>
          <w:rFonts w:ascii="Bookman Old Style" w:hAnsi="Bookman Old Style"/>
          <w:bCs/>
          <w:color w:val="000000" w:themeColor="text1"/>
          <w:sz w:val="24"/>
          <w:szCs w:val="24"/>
        </w:rPr>
      </w:pPr>
      <w:r w:rsidRPr="00354FAC">
        <w:rPr>
          <w:rFonts w:ascii="Bookman Old Style" w:hAnsi="Bookman Old Style"/>
          <w:bCs/>
          <w:color w:val="000000" w:themeColor="text1"/>
          <w:sz w:val="24"/>
          <w:szCs w:val="24"/>
        </w:rPr>
        <w:t xml:space="preserve">Nombre </w:t>
      </w:r>
    </w:p>
    <w:p w:rsidR="00A37F9D" w:rsidRPr="00354FAC" w:rsidRDefault="00A37F9D" w:rsidP="003A5A17">
      <w:pPr>
        <w:pStyle w:val="Prrafodelista"/>
        <w:numPr>
          <w:ilvl w:val="0"/>
          <w:numId w:val="31"/>
        </w:numPr>
        <w:autoSpaceDE w:val="0"/>
        <w:autoSpaceDN w:val="0"/>
        <w:adjustRightInd w:val="0"/>
        <w:ind w:left="2552" w:hanging="283"/>
        <w:jc w:val="both"/>
        <w:rPr>
          <w:rFonts w:ascii="Bookman Old Style" w:hAnsi="Bookman Old Style"/>
          <w:bCs/>
          <w:color w:val="000000" w:themeColor="text1"/>
          <w:sz w:val="24"/>
          <w:szCs w:val="24"/>
        </w:rPr>
      </w:pPr>
      <w:r w:rsidRPr="00354FAC">
        <w:rPr>
          <w:rFonts w:ascii="Bookman Old Style" w:hAnsi="Bookman Old Style"/>
          <w:bCs/>
          <w:color w:val="000000" w:themeColor="text1"/>
          <w:sz w:val="24"/>
          <w:szCs w:val="24"/>
        </w:rPr>
        <w:t>Ubicación, indicando el código de la División Político-administrativa -Divipola vigente, publicado en la página web del Departamento Nacional de Estadística –DANE del centro poblado.</w:t>
      </w:r>
    </w:p>
    <w:p w:rsidR="00A37F9D" w:rsidRDefault="00A37F9D" w:rsidP="003A5A17">
      <w:pPr>
        <w:pStyle w:val="Prrafodelista"/>
        <w:numPr>
          <w:ilvl w:val="0"/>
          <w:numId w:val="31"/>
        </w:numPr>
        <w:autoSpaceDE w:val="0"/>
        <w:autoSpaceDN w:val="0"/>
        <w:adjustRightInd w:val="0"/>
        <w:ind w:left="2552" w:hanging="283"/>
        <w:jc w:val="both"/>
        <w:rPr>
          <w:rFonts w:ascii="Bookman Old Style" w:hAnsi="Bookman Old Style"/>
          <w:bCs/>
          <w:color w:val="000000" w:themeColor="text1"/>
          <w:sz w:val="24"/>
          <w:szCs w:val="24"/>
        </w:rPr>
      </w:pPr>
      <w:r w:rsidRPr="00354FAC">
        <w:rPr>
          <w:rFonts w:ascii="Bookman Old Style" w:hAnsi="Bookman Old Style"/>
          <w:bCs/>
          <w:color w:val="000000" w:themeColor="text1"/>
          <w:sz w:val="24"/>
          <w:szCs w:val="24"/>
        </w:rPr>
        <w:t>Tramo o grupo de gasoductos asociado, de acuerdo con aquellos definidos en las resoluciones de cargos regulados aprobados por la CREG.</w:t>
      </w:r>
    </w:p>
    <w:p w:rsidR="00A37F9D" w:rsidRPr="00086FB3" w:rsidRDefault="00A37F9D" w:rsidP="003A5A17">
      <w:pPr>
        <w:pStyle w:val="Prrafodelista"/>
        <w:numPr>
          <w:ilvl w:val="0"/>
          <w:numId w:val="31"/>
        </w:numPr>
        <w:autoSpaceDE w:val="0"/>
        <w:autoSpaceDN w:val="0"/>
        <w:adjustRightInd w:val="0"/>
        <w:ind w:left="2552" w:hanging="283"/>
        <w:jc w:val="both"/>
        <w:rPr>
          <w:rFonts w:ascii="Bookman Old Style" w:hAnsi="Bookman Old Style"/>
          <w:bCs/>
          <w:color w:val="000000" w:themeColor="text1"/>
          <w:sz w:val="24"/>
          <w:szCs w:val="24"/>
        </w:rPr>
      </w:pPr>
      <w:r w:rsidRPr="00086FB3">
        <w:rPr>
          <w:rFonts w:ascii="Bookman Old Style" w:hAnsi="Bookman Old Style"/>
          <w:bCs/>
          <w:color w:val="000000" w:themeColor="text1"/>
          <w:sz w:val="24"/>
          <w:szCs w:val="24"/>
        </w:rPr>
        <w:t>Un diagrama donde se relacione la información anterior.</w:t>
      </w:r>
    </w:p>
    <w:p w:rsidR="00A37F9D" w:rsidRDefault="00A37F9D" w:rsidP="00E912C1">
      <w:pPr>
        <w:ind w:left="0"/>
        <w:rPr>
          <w:highlight w:val="lightGray"/>
        </w:rPr>
      </w:pPr>
    </w:p>
    <w:p w:rsidR="00A37F9D" w:rsidRPr="00354FAC" w:rsidRDefault="00A37F9D" w:rsidP="003A5A17">
      <w:pPr>
        <w:pStyle w:val="Prrafodelista"/>
        <w:numPr>
          <w:ilvl w:val="0"/>
          <w:numId w:val="29"/>
        </w:numPr>
        <w:ind w:left="2268" w:hanging="567"/>
        <w:jc w:val="both"/>
        <w:rPr>
          <w:rFonts w:ascii="Bookman Old Style" w:hAnsi="Bookman Old Style"/>
          <w:bCs/>
          <w:color w:val="000000"/>
          <w:sz w:val="28"/>
          <w:lang w:eastAsia="x-none"/>
        </w:rPr>
      </w:pPr>
      <w:r w:rsidRPr="00354FAC">
        <w:rPr>
          <w:rFonts w:ascii="Bookman Old Style" w:hAnsi="Bookman Old Style"/>
          <w:bCs/>
          <w:color w:val="000000" w:themeColor="text1"/>
          <w:sz w:val="24"/>
          <w:szCs w:val="24"/>
        </w:rPr>
        <w:t>Para cada (i) punto sobre el troncal o gasoducto principal del que se desprende un gasoducto ramal; (ii) punto sobre el sistema de transporte donde termina un tramo de gasoducto, definido en las resoluciones de cargos regulados aprobados por la CREG, e inicia el siguiente tramo; (iii) punto sobre sistema donde se ubica una estación de compresión; (iv) punto donde se presenta transferencia de custodia entre transportadores; el transportador declarará la siguiente información:</w:t>
      </w:r>
    </w:p>
    <w:p w:rsidR="00A37F9D" w:rsidRPr="00354FAC" w:rsidRDefault="00A37F9D" w:rsidP="00E912C1">
      <w:pPr>
        <w:pStyle w:val="Prrafodelista"/>
        <w:autoSpaceDE w:val="0"/>
        <w:autoSpaceDN w:val="0"/>
        <w:adjustRightInd w:val="0"/>
        <w:ind w:left="1134"/>
        <w:jc w:val="both"/>
        <w:rPr>
          <w:rFonts w:ascii="Bookman Old Style" w:hAnsi="Bookman Old Style"/>
          <w:bCs/>
          <w:color w:val="000000"/>
          <w:sz w:val="28"/>
          <w:lang w:eastAsia="x-none"/>
        </w:rPr>
      </w:pPr>
    </w:p>
    <w:p w:rsidR="00A37F9D" w:rsidRPr="00354FAC" w:rsidRDefault="00A37F9D" w:rsidP="003A5A17">
      <w:pPr>
        <w:pStyle w:val="Prrafodelista"/>
        <w:numPr>
          <w:ilvl w:val="0"/>
          <w:numId w:val="31"/>
        </w:numPr>
        <w:autoSpaceDE w:val="0"/>
        <w:autoSpaceDN w:val="0"/>
        <w:adjustRightInd w:val="0"/>
        <w:ind w:left="2552" w:hanging="283"/>
        <w:jc w:val="both"/>
        <w:rPr>
          <w:rFonts w:ascii="Bookman Old Style" w:hAnsi="Bookman Old Style"/>
          <w:bCs/>
          <w:color w:val="000000" w:themeColor="text1"/>
          <w:sz w:val="24"/>
          <w:szCs w:val="24"/>
        </w:rPr>
      </w:pPr>
      <w:r w:rsidRPr="00354FAC">
        <w:rPr>
          <w:rFonts w:ascii="Bookman Old Style" w:hAnsi="Bookman Old Style"/>
          <w:bCs/>
          <w:color w:val="000000" w:themeColor="text1"/>
          <w:sz w:val="24"/>
          <w:szCs w:val="24"/>
        </w:rPr>
        <w:t xml:space="preserve">Nombre </w:t>
      </w:r>
    </w:p>
    <w:p w:rsidR="00A37F9D" w:rsidRPr="00354FAC" w:rsidRDefault="00A37F9D" w:rsidP="003A5A17">
      <w:pPr>
        <w:pStyle w:val="Prrafodelista"/>
        <w:numPr>
          <w:ilvl w:val="0"/>
          <w:numId w:val="31"/>
        </w:numPr>
        <w:autoSpaceDE w:val="0"/>
        <w:autoSpaceDN w:val="0"/>
        <w:adjustRightInd w:val="0"/>
        <w:ind w:left="2552" w:hanging="283"/>
        <w:jc w:val="both"/>
        <w:rPr>
          <w:rFonts w:ascii="Bookman Old Style" w:hAnsi="Bookman Old Style"/>
          <w:bCs/>
          <w:color w:val="000000" w:themeColor="text1"/>
          <w:sz w:val="24"/>
          <w:szCs w:val="24"/>
        </w:rPr>
      </w:pPr>
      <w:r w:rsidRPr="00354FAC">
        <w:rPr>
          <w:rFonts w:ascii="Bookman Old Style" w:hAnsi="Bookman Old Style"/>
          <w:bCs/>
          <w:color w:val="000000" w:themeColor="text1"/>
          <w:sz w:val="24"/>
          <w:szCs w:val="24"/>
        </w:rPr>
        <w:t>Ubicación, indicando el código de la División Político-administrativa -Divipola vigente, publicado en la página web del Departamento Nacional de Estadística –DANE del centro poblado.Tramo o grupo de gasoductos asociado, de acuerdo con aquellos definidos en las resoluciones de cargos regulados aprobados por la CREG.</w:t>
      </w:r>
    </w:p>
    <w:p w:rsidR="00A37F9D" w:rsidRDefault="00A37F9D" w:rsidP="003A5A17">
      <w:pPr>
        <w:pStyle w:val="Prrafodelista"/>
        <w:numPr>
          <w:ilvl w:val="0"/>
          <w:numId w:val="31"/>
        </w:numPr>
        <w:autoSpaceDE w:val="0"/>
        <w:autoSpaceDN w:val="0"/>
        <w:adjustRightInd w:val="0"/>
        <w:ind w:left="2552" w:hanging="283"/>
        <w:jc w:val="both"/>
        <w:rPr>
          <w:rFonts w:ascii="Bookman Old Style" w:hAnsi="Bookman Old Style"/>
          <w:bCs/>
          <w:color w:val="000000" w:themeColor="text1"/>
          <w:sz w:val="24"/>
          <w:szCs w:val="24"/>
        </w:rPr>
      </w:pPr>
      <w:r w:rsidRPr="00354FAC">
        <w:rPr>
          <w:rFonts w:ascii="Bookman Old Style" w:hAnsi="Bookman Old Style"/>
          <w:bCs/>
          <w:color w:val="000000" w:themeColor="text1"/>
          <w:sz w:val="24"/>
          <w:szCs w:val="24"/>
        </w:rPr>
        <w:t>En el caso de puntos de transferencia de custodia, se deberá declarar el nombre del transportador a quien le transfiere la custodia del gas en ese punto</w:t>
      </w:r>
    </w:p>
    <w:p w:rsidR="00A37F9D" w:rsidRPr="00086FB3" w:rsidRDefault="00A37F9D" w:rsidP="003A5A17">
      <w:pPr>
        <w:pStyle w:val="Prrafodelista"/>
        <w:numPr>
          <w:ilvl w:val="0"/>
          <w:numId w:val="31"/>
        </w:numPr>
        <w:autoSpaceDE w:val="0"/>
        <w:autoSpaceDN w:val="0"/>
        <w:adjustRightInd w:val="0"/>
        <w:ind w:left="2552" w:hanging="283"/>
        <w:jc w:val="both"/>
        <w:rPr>
          <w:rFonts w:ascii="Bookman Old Style" w:hAnsi="Bookman Old Style"/>
          <w:bCs/>
          <w:color w:val="000000" w:themeColor="text1"/>
          <w:sz w:val="24"/>
          <w:szCs w:val="24"/>
        </w:rPr>
      </w:pPr>
      <w:r w:rsidRPr="00086FB3">
        <w:rPr>
          <w:rFonts w:ascii="Bookman Old Style" w:hAnsi="Bookman Old Style"/>
          <w:bCs/>
          <w:color w:val="000000" w:themeColor="text1"/>
          <w:sz w:val="24"/>
          <w:szCs w:val="24"/>
        </w:rPr>
        <w:t>Un diagrama donde se relacione la información anterior.</w:t>
      </w:r>
    </w:p>
    <w:p w:rsidR="00A37F9D" w:rsidRPr="00354FAC" w:rsidRDefault="00A37F9D" w:rsidP="00E912C1">
      <w:pPr>
        <w:pStyle w:val="Prrafodelista"/>
        <w:autoSpaceDE w:val="0"/>
        <w:autoSpaceDN w:val="0"/>
        <w:adjustRightInd w:val="0"/>
        <w:ind w:left="2367"/>
        <w:jc w:val="both"/>
        <w:rPr>
          <w:rFonts w:ascii="Bookman Old Style" w:hAnsi="Bookman Old Style"/>
          <w:bCs/>
          <w:color w:val="000000" w:themeColor="text1"/>
          <w:sz w:val="24"/>
          <w:szCs w:val="24"/>
        </w:rPr>
      </w:pPr>
    </w:p>
    <w:p w:rsidR="00A37F9D" w:rsidRPr="002A2813" w:rsidRDefault="00A37F9D" w:rsidP="00396F14">
      <w:pPr>
        <w:autoSpaceDE w:val="0"/>
        <w:autoSpaceDN w:val="0"/>
        <w:adjustRightInd w:val="0"/>
        <w:ind w:left="1701"/>
        <w:jc w:val="both"/>
        <w:rPr>
          <w:rFonts w:ascii="Bookman Old Style" w:hAnsi="Bookman Old Style"/>
          <w:bCs/>
          <w:color w:val="000000"/>
          <w:lang w:val="es-CO" w:eastAsia="x-none"/>
        </w:rPr>
      </w:pPr>
      <w:r>
        <w:rPr>
          <w:rFonts w:ascii="Bookman Old Style" w:hAnsi="Bookman Old Style"/>
          <w:bCs/>
          <w:color w:val="000000"/>
          <w:lang w:val="es-CO" w:eastAsia="x-none"/>
        </w:rPr>
        <w:t>La anterior</w:t>
      </w:r>
      <w:r w:rsidRPr="002A2813">
        <w:rPr>
          <w:rFonts w:ascii="Bookman Old Style" w:hAnsi="Bookman Old Style"/>
          <w:bCs/>
          <w:color w:val="000000"/>
          <w:lang w:val="es-CO" w:eastAsia="x-none"/>
        </w:rPr>
        <w:t xml:space="preserve"> información deberá ser declarada de manera completa, ordenada y exhaustiva, de acuerdo con los formatos que establezca el gestor del mercado.</w:t>
      </w:r>
    </w:p>
    <w:p w:rsidR="00A37F9D" w:rsidRPr="00B36F02" w:rsidRDefault="00A37F9D" w:rsidP="00E912C1">
      <w:pPr>
        <w:autoSpaceDE w:val="0"/>
        <w:autoSpaceDN w:val="0"/>
        <w:adjustRightInd w:val="0"/>
        <w:ind w:left="0"/>
        <w:jc w:val="both"/>
        <w:rPr>
          <w:rFonts w:ascii="Bookman Old Style" w:hAnsi="Bookman Old Style"/>
          <w:color w:val="000000"/>
          <w:lang w:val="es-CO"/>
        </w:rPr>
      </w:pPr>
    </w:p>
    <w:p w:rsidR="00A37F9D" w:rsidRDefault="00A37F9D" w:rsidP="00E912C1">
      <w:pPr>
        <w:autoSpaceDE w:val="0"/>
        <w:autoSpaceDN w:val="0"/>
        <w:adjustRightInd w:val="0"/>
        <w:ind w:left="0"/>
        <w:jc w:val="both"/>
        <w:rPr>
          <w:rFonts w:ascii="Bookman Old Style" w:hAnsi="Bookman Old Style"/>
          <w:color w:val="000000"/>
        </w:rPr>
      </w:pPr>
    </w:p>
    <w:p w:rsidR="00A37F9D" w:rsidRPr="009F75E4" w:rsidRDefault="00A37F9D" w:rsidP="003A5A17">
      <w:pPr>
        <w:pStyle w:val="Prrafodelista"/>
        <w:numPr>
          <w:ilvl w:val="0"/>
          <w:numId w:val="28"/>
        </w:numPr>
        <w:autoSpaceDE w:val="0"/>
        <w:autoSpaceDN w:val="0"/>
        <w:adjustRightInd w:val="0"/>
        <w:ind w:left="1701" w:hanging="567"/>
        <w:jc w:val="both"/>
        <w:rPr>
          <w:rFonts w:ascii="Bookman Old Style" w:hAnsi="Bookman Old Style"/>
          <w:color w:val="000000"/>
          <w:sz w:val="24"/>
          <w:szCs w:val="24"/>
        </w:rPr>
      </w:pPr>
      <w:r w:rsidRPr="009F75E4">
        <w:rPr>
          <w:rFonts w:ascii="Bookman Old Style" w:hAnsi="Bookman Old Style"/>
          <w:color w:val="000000"/>
          <w:sz w:val="24"/>
          <w:szCs w:val="24"/>
        </w:rPr>
        <w:t>Unificación de puntos de entrada y de salida del SNT</w:t>
      </w:r>
    </w:p>
    <w:p w:rsidR="00A37F9D" w:rsidRDefault="00A37F9D" w:rsidP="00E912C1">
      <w:pPr>
        <w:autoSpaceDE w:val="0"/>
        <w:autoSpaceDN w:val="0"/>
        <w:adjustRightInd w:val="0"/>
        <w:jc w:val="both"/>
        <w:rPr>
          <w:rFonts w:ascii="Bookman Old Style" w:hAnsi="Bookman Old Style"/>
          <w:color w:val="000000"/>
        </w:rPr>
      </w:pPr>
    </w:p>
    <w:p w:rsidR="00A37F9D" w:rsidRDefault="00A37F9D" w:rsidP="00396F14">
      <w:pPr>
        <w:autoSpaceDE w:val="0"/>
        <w:autoSpaceDN w:val="0"/>
        <w:adjustRightInd w:val="0"/>
        <w:ind w:left="1701"/>
        <w:jc w:val="both"/>
        <w:rPr>
          <w:rFonts w:ascii="Bookman Old Style" w:hAnsi="Bookman Old Style"/>
          <w:color w:val="000000"/>
        </w:rPr>
      </w:pPr>
      <w:r>
        <w:rPr>
          <w:rFonts w:ascii="Bookman Old Style" w:hAnsi="Bookman Old Style"/>
          <w:color w:val="000000"/>
        </w:rPr>
        <w:t xml:space="preserve">El gestor del mercado deberá unificar la información sobre puntos de entrada, puntos de salida, </w:t>
      </w:r>
      <w:r w:rsidRPr="00C438DF">
        <w:rPr>
          <w:rFonts w:ascii="Bookman Old Style" w:hAnsi="Bookman Old Style"/>
          <w:color w:val="000000"/>
        </w:rPr>
        <w:t>punto sobre el troncal o gasoducto principal del que se desprende un gasoducto ramal</w:t>
      </w:r>
      <w:r>
        <w:rPr>
          <w:rFonts w:ascii="Bookman Old Style" w:hAnsi="Bookman Old Style"/>
          <w:color w:val="000000"/>
        </w:rPr>
        <w:t xml:space="preserve">, </w:t>
      </w:r>
      <w:r w:rsidRPr="00C438DF">
        <w:rPr>
          <w:rFonts w:ascii="Bookman Old Style" w:hAnsi="Bookman Old Style"/>
          <w:color w:val="000000"/>
        </w:rPr>
        <w:t>punto sobre el sistema de transporte donde termina un tramo de gasoducto</w:t>
      </w:r>
      <w:r>
        <w:rPr>
          <w:rFonts w:ascii="Bookman Old Style" w:hAnsi="Bookman Old Style"/>
          <w:color w:val="000000"/>
        </w:rPr>
        <w:t xml:space="preserve">, </w:t>
      </w:r>
      <w:r w:rsidRPr="00C438DF">
        <w:rPr>
          <w:rFonts w:ascii="Bookman Old Style" w:hAnsi="Bookman Old Style"/>
          <w:color w:val="000000"/>
        </w:rPr>
        <w:t>punto sobre sistema donde se ubica una estación de compresión</w:t>
      </w:r>
      <w:r>
        <w:rPr>
          <w:rFonts w:ascii="Bookman Old Style" w:hAnsi="Bookman Old Style"/>
          <w:color w:val="000000"/>
        </w:rPr>
        <w:t xml:space="preserve"> y </w:t>
      </w:r>
      <w:r w:rsidRPr="00354FAC">
        <w:rPr>
          <w:rFonts w:ascii="Bookman Old Style" w:hAnsi="Bookman Old Style"/>
          <w:bCs/>
          <w:color w:val="000000" w:themeColor="text1"/>
        </w:rPr>
        <w:t>punto donde se presenta transferencia de custodia entre transportadores</w:t>
      </w:r>
      <w:r>
        <w:rPr>
          <w:rFonts w:ascii="Bookman Old Style" w:hAnsi="Bookman Old Style"/>
          <w:color w:val="000000"/>
        </w:rPr>
        <w:t xml:space="preserve"> del SNT reportada por los transportadores, de tal modo que sean únicos y fácilmente identificables.</w:t>
      </w:r>
    </w:p>
    <w:p w:rsidR="00A37F9D" w:rsidRDefault="00A37F9D" w:rsidP="00396F14">
      <w:pPr>
        <w:autoSpaceDE w:val="0"/>
        <w:autoSpaceDN w:val="0"/>
        <w:adjustRightInd w:val="0"/>
        <w:ind w:left="1701"/>
        <w:jc w:val="both"/>
        <w:rPr>
          <w:rFonts w:ascii="Bookman Old Style" w:hAnsi="Bookman Old Style"/>
          <w:color w:val="000000"/>
        </w:rPr>
      </w:pPr>
      <w:r>
        <w:rPr>
          <w:rFonts w:ascii="Bookman Old Style" w:hAnsi="Bookman Old Style"/>
          <w:color w:val="000000"/>
        </w:rPr>
        <w:t xml:space="preserve">Esta codificación seguirá una numeración secuencial, y deberá ser publicada en el BEC. </w:t>
      </w:r>
    </w:p>
    <w:p w:rsidR="003F3FFC" w:rsidRDefault="003F3FFC" w:rsidP="00E912C1">
      <w:pPr>
        <w:autoSpaceDE w:val="0"/>
        <w:autoSpaceDN w:val="0"/>
        <w:adjustRightInd w:val="0"/>
        <w:ind w:left="851"/>
        <w:jc w:val="both"/>
        <w:rPr>
          <w:rFonts w:ascii="Bookman Old Style" w:hAnsi="Bookman Old Style"/>
          <w:color w:val="000000"/>
        </w:rPr>
      </w:pPr>
    </w:p>
    <w:p w:rsidR="003F3FFC" w:rsidRDefault="001912B8" w:rsidP="003A5A17">
      <w:pPr>
        <w:pStyle w:val="Prrafodelista"/>
        <w:numPr>
          <w:ilvl w:val="0"/>
          <w:numId w:val="28"/>
        </w:numPr>
        <w:autoSpaceDE w:val="0"/>
        <w:autoSpaceDN w:val="0"/>
        <w:adjustRightInd w:val="0"/>
        <w:ind w:left="1701" w:hanging="567"/>
        <w:jc w:val="both"/>
        <w:rPr>
          <w:rFonts w:ascii="Bookman Old Style" w:hAnsi="Bookman Old Style"/>
          <w:color w:val="000000"/>
          <w:sz w:val="24"/>
          <w:szCs w:val="24"/>
        </w:rPr>
      </w:pPr>
      <w:r>
        <w:rPr>
          <w:rFonts w:ascii="Bookman Old Style" w:hAnsi="Bookman Old Style"/>
          <w:color w:val="000000"/>
          <w:sz w:val="24"/>
          <w:szCs w:val="24"/>
        </w:rPr>
        <w:t>Una vez el gesto</w:t>
      </w:r>
      <w:r w:rsidR="003F3FFC">
        <w:rPr>
          <w:rFonts w:ascii="Bookman Old Style" w:hAnsi="Bookman Old Style"/>
          <w:color w:val="000000"/>
          <w:sz w:val="24"/>
          <w:szCs w:val="24"/>
        </w:rPr>
        <w:t xml:space="preserve">r del mercado publique la codificación </w:t>
      </w:r>
      <w:r>
        <w:rPr>
          <w:rFonts w:ascii="Bookman Old Style" w:hAnsi="Bookman Old Style"/>
          <w:color w:val="000000"/>
          <w:sz w:val="24"/>
          <w:szCs w:val="24"/>
        </w:rPr>
        <w:t>en el BEC, la misma deberá ser utilizada en el registro de informaci</w:t>
      </w:r>
      <w:r w:rsidR="001C235C">
        <w:rPr>
          <w:rFonts w:ascii="Bookman Old Style" w:hAnsi="Bookman Old Style"/>
          <w:color w:val="000000"/>
          <w:sz w:val="24"/>
          <w:szCs w:val="24"/>
        </w:rPr>
        <w:t>ón de que trata el A</w:t>
      </w:r>
      <w:r>
        <w:rPr>
          <w:rFonts w:ascii="Bookman Old Style" w:hAnsi="Bookman Old Style"/>
          <w:color w:val="000000"/>
          <w:sz w:val="24"/>
          <w:szCs w:val="24"/>
        </w:rPr>
        <w:t xml:space="preserve">nexo 2 de la presente resolución. </w:t>
      </w:r>
    </w:p>
    <w:p w:rsidR="009448F4" w:rsidRPr="00A37F9D" w:rsidRDefault="009448F4" w:rsidP="00E912C1">
      <w:pPr>
        <w:ind w:left="0"/>
      </w:pPr>
      <w:bookmarkStart w:id="18" w:name="_Ref442867687"/>
    </w:p>
    <w:bookmarkEnd w:id="18"/>
    <w:p w:rsidR="00C44DC4" w:rsidRDefault="00C44DC4" w:rsidP="00E912C1">
      <w:pPr>
        <w:pStyle w:val="ARTICULOS"/>
        <w:numPr>
          <w:ilvl w:val="0"/>
          <w:numId w:val="0"/>
        </w:numPr>
        <w:outlineLvl w:val="0"/>
        <w:rPr>
          <w:lang w:val="es-CO"/>
        </w:rPr>
      </w:pPr>
      <w:r w:rsidRPr="00B30245">
        <w:rPr>
          <w:b/>
        </w:rPr>
        <w:t xml:space="preserve">ARTÍCULO </w:t>
      </w:r>
      <w:r w:rsidRPr="00B30245">
        <w:rPr>
          <w:b/>
        </w:rPr>
        <w:fldChar w:fldCharType="begin"/>
      </w:r>
      <w:r w:rsidRPr="00B30245">
        <w:rPr>
          <w:b/>
        </w:rPr>
        <w:instrText xml:space="preserve"> SEQ ARTÍCULO \* ARABIC </w:instrText>
      </w:r>
      <w:r w:rsidRPr="00B30245">
        <w:rPr>
          <w:b/>
        </w:rPr>
        <w:fldChar w:fldCharType="separate"/>
      </w:r>
      <w:r w:rsidR="003A5E28">
        <w:rPr>
          <w:b/>
          <w:noProof/>
        </w:rPr>
        <w:t>13</w:t>
      </w:r>
      <w:r w:rsidRPr="00B30245">
        <w:rPr>
          <w:b/>
        </w:rPr>
        <w:fldChar w:fldCharType="end"/>
      </w:r>
      <w:r>
        <w:rPr>
          <w:b/>
        </w:rPr>
        <w:t xml:space="preserve">. </w:t>
      </w:r>
      <w:r>
        <w:rPr>
          <w:lang w:val="es-CO"/>
        </w:rPr>
        <w:t xml:space="preserve">La presente resolución rige a partir de la fecha de su publicación en el </w:t>
      </w:r>
      <w:r w:rsidRPr="00C44DC4">
        <w:rPr>
          <w:i/>
          <w:lang w:val="es-CO"/>
        </w:rPr>
        <w:t>Diario Oficial.</w:t>
      </w:r>
    </w:p>
    <w:p w:rsidR="00B36F02" w:rsidRDefault="00B36F02" w:rsidP="00E912C1">
      <w:pPr>
        <w:autoSpaceDE w:val="0"/>
        <w:autoSpaceDN w:val="0"/>
        <w:adjustRightInd w:val="0"/>
        <w:ind w:left="0"/>
        <w:jc w:val="both"/>
        <w:rPr>
          <w:rFonts w:ascii="Bookman Old Style" w:hAnsi="Bookman Old Style"/>
          <w:color w:val="000000"/>
        </w:rPr>
      </w:pPr>
    </w:p>
    <w:p w:rsidR="003A5E28" w:rsidRPr="00FD5CA5" w:rsidRDefault="003A5E28" w:rsidP="003A5E28">
      <w:pPr>
        <w:jc w:val="center"/>
        <w:rPr>
          <w:rFonts w:ascii="Bookman Old Style" w:hAnsi="Bookman Old Style"/>
          <w:b/>
        </w:rPr>
      </w:pPr>
      <w:r w:rsidRPr="00FD5CA5">
        <w:rPr>
          <w:rFonts w:ascii="Bookman Old Style" w:hAnsi="Bookman Old Style"/>
          <w:b/>
        </w:rPr>
        <w:t>PUBLÍQUESE Y CÚMPLASE</w:t>
      </w:r>
    </w:p>
    <w:p w:rsidR="00B36F02" w:rsidRDefault="00B36F02" w:rsidP="00E912C1">
      <w:pPr>
        <w:autoSpaceDE w:val="0"/>
        <w:autoSpaceDN w:val="0"/>
        <w:adjustRightInd w:val="0"/>
        <w:ind w:left="0"/>
        <w:jc w:val="both"/>
        <w:rPr>
          <w:rFonts w:ascii="Bookman Old Style" w:hAnsi="Bookman Old Style"/>
          <w:color w:val="000000"/>
        </w:rPr>
      </w:pPr>
    </w:p>
    <w:p w:rsidR="00396F14" w:rsidRDefault="003A5E28" w:rsidP="00E912C1">
      <w:pPr>
        <w:autoSpaceDE w:val="0"/>
        <w:autoSpaceDN w:val="0"/>
        <w:adjustRightInd w:val="0"/>
        <w:ind w:left="0"/>
        <w:jc w:val="both"/>
        <w:rPr>
          <w:rFonts w:ascii="Bookman Old Style" w:hAnsi="Bookman Old Style"/>
          <w:color w:val="000000"/>
        </w:rPr>
      </w:pPr>
      <w:r>
        <w:rPr>
          <w:rFonts w:ascii="Bookman Old Style" w:hAnsi="Bookman Old Style"/>
          <w:color w:val="000000"/>
        </w:rPr>
        <w:t>Firma del proyecto,</w:t>
      </w:r>
    </w:p>
    <w:p w:rsidR="003A5E28" w:rsidRDefault="003A5E28" w:rsidP="00E912C1">
      <w:pPr>
        <w:autoSpaceDE w:val="0"/>
        <w:autoSpaceDN w:val="0"/>
        <w:adjustRightInd w:val="0"/>
        <w:ind w:left="0"/>
        <w:jc w:val="both"/>
        <w:rPr>
          <w:rFonts w:ascii="Bookman Old Style" w:hAnsi="Bookman Old Style"/>
          <w:color w:val="000000"/>
        </w:rPr>
      </w:pPr>
    </w:p>
    <w:p w:rsidR="003A5E28" w:rsidRDefault="003A5E28" w:rsidP="00E912C1">
      <w:pPr>
        <w:autoSpaceDE w:val="0"/>
        <w:autoSpaceDN w:val="0"/>
        <w:adjustRightInd w:val="0"/>
        <w:ind w:left="0"/>
        <w:jc w:val="both"/>
        <w:rPr>
          <w:rFonts w:ascii="Bookman Old Style" w:hAnsi="Bookman Old Style"/>
          <w:color w:val="000000"/>
        </w:rPr>
      </w:pPr>
    </w:p>
    <w:p w:rsidR="00B36F02" w:rsidRPr="00203634" w:rsidRDefault="00B36F02" w:rsidP="00E912C1">
      <w:pPr>
        <w:autoSpaceDE w:val="0"/>
        <w:autoSpaceDN w:val="0"/>
        <w:adjustRightInd w:val="0"/>
        <w:ind w:left="0"/>
        <w:jc w:val="both"/>
        <w:rPr>
          <w:rFonts w:ascii="Bookman Old Style" w:hAnsi="Bookman Old Style"/>
          <w:color w:val="000000"/>
        </w:rPr>
      </w:pPr>
    </w:p>
    <w:tbl>
      <w:tblPr>
        <w:tblW w:w="5000" w:type="pct"/>
        <w:tblCellMar>
          <w:left w:w="70" w:type="dxa"/>
          <w:right w:w="70" w:type="dxa"/>
        </w:tblCellMar>
        <w:tblLook w:val="04A0" w:firstRow="1" w:lastRow="0" w:firstColumn="1" w:lastColumn="0" w:noHBand="0" w:noVBand="1"/>
      </w:tblPr>
      <w:tblGrid>
        <w:gridCol w:w="4553"/>
        <w:gridCol w:w="4803"/>
      </w:tblGrid>
      <w:tr w:rsidR="00203634" w:rsidRPr="00F766A9" w:rsidTr="00396F14">
        <w:trPr>
          <w:trHeight w:val="302"/>
        </w:trPr>
        <w:tc>
          <w:tcPr>
            <w:tcW w:w="2433" w:type="pct"/>
            <w:hideMark/>
          </w:tcPr>
          <w:p w:rsidR="00203634" w:rsidRPr="00E806AF" w:rsidRDefault="00203634" w:rsidP="00E912C1">
            <w:pPr>
              <w:ind w:left="204"/>
              <w:jc w:val="center"/>
              <w:rPr>
                <w:rFonts w:ascii="Bookman Old Style" w:hAnsi="Bookman Old Style" w:cs="Arial"/>
                <w:b/>
                <w:spacing w:val="-3"/>
                <w:lang w:val="es-ES_tradnl"/>
              </w:rPr>
            </w:pPr>
            <w:r w:rsidRPr="00E806AF">
              <w:rPr>
                <w:rFonts w:ascii="Bookman Old Style" w:hAnsi="Bookman Old Style" w:cs="Arial"/>
                <w:b/>
                <w:spacing w:val="-3"/>
              </w:rPr>
              <w:t>GERMÁN ARCE ZAPATA</w:t>
            </w:r>
          </w:p>
        </w:tc>
        <w:tc>
          <w:tcPr>
            <w:tcW w:w="2567" w:type="pct"/>
            <w:hideMark/>
          </w:tcPr>
          <w:p w:rsidR="00203634" w:rsidRPr="00F766A9" w:rsidRDefault="00203634" w:rsidP="00396F14">
            <w:pPr>
              <w:ind w:left="58" w:right="71"/>
              <w:jc w:val="center"/>
              <w:rPr>
                <w:rFonts w:ascii="Bookman Old Style" w:hAnsi="Bookman Old Style" w:cs="Arial"/>
                <w:b/>
                <w:spacing w:val="-3"/>
                <w:lang w:val="es-ES_tradnl"/>
              </w:rPr>
            </w:pPr>
            <w:r w:rsidRPr="00F766A9">
              <w:rPr>
                <w:rFonts w:ascii="Bookman Old Style" w:hAnsi="Bookman Old Style" w:cs="Arial"/>
                <w:b/>
                <w:spacing w:val="-3"/>
                <w:lang w:val="es-ES_tradnl"/>
              </w:rPr>
              <w:t>GERM</w:t>
            </w:r>
            <w:r>
              <w:rPr>
                <w:rFonts w:ascii="Bookman Old Style" w:hAnsi="Bookman Old Style" w:cs="Arial"/>
                <w:b/>
                <w:spacing w:val="-3"/>
                <w:lang w:val="es-ES_tradnl"/>
              </w:rPr>
              <w:t>Á</w:t>
            </w:r>
            <w:r w:rsidRPr="00F766A9">
              <w:rPr>
                <w:rFonts w:ascii="Bookman Old Style" w:hAnsi="Bookman Old Style" w:cs="Arial"/>
                <w:b/>
                <w:spacing w:val="-3"/>
                <w:lang w:val="es-ES_tradnl"/>
              </w:rPr>
              <w:t>N CASTRO FERREIRA</w:t>
            </w:r>
          </w:p>
        </w:tc>
      </w:tr>
      <w:tr w:rsidR="00203634" w:rsidRPr="00F766A9" w:rsidTr="00396F14">
        <w:trPr>
          <w:trHeight w:val="572"/>
        </w:trPr>
        <w:tc>
          <w:tcPr>
            <w:tcW w:w="2433" w:type="pct"/>
            <w:hideMark/>
          </w:tcPr>
          <w:p w:rsidR="00203634" w:rsidRPr="00E806AF" w:rsidRDefault="00203634" w:rsidP="00E912C1">
            <w:pPr>
              <w:ind w:left="0"/>
              <w:jc w:val="center"/>
              <w:rPr>
                <w:rFonts w:ascii="Bookman Old Style" w:hAnsi="Bookman Old Style" w:cs="Arial"/>
                <w:spacing w:val="-3"/>
              </w:rPr>
            </w:pPr>
            <w:r w:rsidRPr="00E806AF">
              <w:rPr>
                <w:rFonts w:ascii="Bookman Old Style" w:hAnsi="Bookman Old Style" w:cs="Arial"/>
                <w:spacing w:val="-3"/>
              </w:rPr>
              <w:t>Ministro de Minas y Energía</w:t>
            </w:r>
          </w:p>
          <w:p w:rsidR="00203634" w:rsidRPr="00E806AF" w:rsidRDefault="00203634" w:rsidP="00E912C1">
            <w:pPr>
              <w:ind w:left="0"/>
              <w:jc w:val="center"/>
              <w:rPr>
                <w:rFonts w:ascii="Bookman Old Style" w:hAnsi="Bookman Old Style" w:cs="Arial"/>
                <w:spacing w:val="-3"/>
                <w:lang w:val="es-ES_tradnl"/>
              </w:rPr>
            </w:pPr>
            <w:r w:rsidRPr="00E806AF">
              <w:rPr>
                <w:rFonts w:ascii="Bookman Old Style" w:hAnsi="Bookman Old Style" w:cs="Arial"/>
                <w:spacing w:val="-3"/>
              </w:rPr>
              <w:t>Presidente</w:t>
            </w:r>
          </w:p>
        </w:tc>
        <w:tc>
          <w:tcPr>
            <w:tcW w:w="2567" w:type="pct"/>
            <w:hideMark/>
          </w:tcPr>
          <w:p w:rsidR="00203634" w:rsidRPr="00F766A9" w:rsidRDefault="00203634" w:rsidP="00396F14">
            <w:pPr>
              <w:ind w:left="58"/>
              <w:jc w:val="center"/>
              <w:rPr>
                <w:rFonts w:ascii="Bookman Old Style" w:hAnsi="Bookman Old Style" w:cs="Arial"/>
                <w:spacing w:val="-3"/>
                <w:lang w:val="es-ES_tradnl"/>
              </w:rPr>
            </w:pPr>
            <w:r w:rsidRPr="00F766A9">
              <w:rPr>
                <w:rFonts w:ascii="Bookman Old Style" w:hAnsi="Bookman Old Style" w:cs="Arial"/>
                <w:spacing w:val="-3"/>
                <w:lang w:val="es-ES_tradnl"/>
              </w:rPr>
              <w:t>Director Ejecutivo</w:t>
            </w:r>
          </w:p>
        </w:tc>
      </w:tr>
    </w:tbl>
    <w:p w:rsidR="00BC54D3" w:rsidRDefault="00BC54D3" w:rsidP="00E912C1">
      <w:pPr>
        <w:ind w:left="0"/>
        <w:rPr>
          <w:rFonts w:ascii="Bookman Old Style" w:hAnsi="Bookman Old Style" w:cs="Arial"/>
        </w:rPr>
      </w:pPr>
    </w:p>
    <w:p w:rsidR="00E31B35" w:rsidRPr="001C235C" w:rsidRDefault="00E31B35" w:rsidP="00E912C1">
      <w:pPr>
        <w:pStyle w:val="Ttulo1"/>
        <w:ind w:left="0"/>
        <w:jc w:val="left"/>
        <w:rPr>
          <w:rFonts w:ascii="Bookman Old Style" w:hAnsi="Bookman Old Style" w:cs="Arial"/>
        </w:rPr>
      </w:pPr>
    </w:p>
    <w:sectPr w:rsidR="00E31B35" w:rsidRPr="001C235C" w:rsidSect="005A59EF">
      <w:headerReference w:type="default" r:id="rId10"/>
      <w:headerReference w:type="first" r:id="rId11"/>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6516" w:rsidRDefault="00936516">
      <w:r>
        <w:separator/>
      </w:r>
    </w:p>
  </w:endnote>
  <w:endnote w:type="continuationSeparator" w:id="0">
    <w:p w:rsidR="00936516" w:rsidRDefault="009365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6516" w:rsidRDefault="00936516">
      <w:r>
        <w:separator/>
      </w:r>
    </w:p>
  </w:footnote>
  <w:footnote w:type="continuationSeparator" w:id="0">
    <w:p w:rsidR="00936516" w:rsidRDefault="0093651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7678" w:rsidRDefault="00607678" w:rsidP="00951F79">
    <w:pPr>
      <w:pStyle w:val="Ttulo1"/>
      <w:ind w:right="6"/>
      <w:jc w:val="left"/>
      <w:rPr>
        <w:rFonts w:ascii="Bookman Old Style" w:hAnsi="Bookman Old Style" w:cs="Arial"/>
        <w:b w:val="0"/>
        <w:sz w:val="22"/>
        <w:szCs w:val="22"/>
      </w:rPr>
    </w:pPr>
  </w:p>
  <w:p w:rsidR="00607678" w:rsidRPr="00951F79" w:rsidRDefault="00607678"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CE2D1F">
      <w:rPr>
        <w:rFonts w:ascii="Bookman Old Style" w:hAnsi="Bookman Old Style" w:cs="Arial"/>
        <w:b w:val="0"/>
        <w:noProof/>
        <w:sz w:val="22"/>
        <w:szCs w:val="22"/>
      </w:rPr>
      <w:t>3</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CE2D1F" w:rsidRPr="00CE2D1F">
        <w:rPr>
          <w:rFonts w:ascii="Bookman Old Style" w:hAnsi="Bookman Old Style" w:cs="Arial"/>
          <w:b w:val="0"/>
          <w:noProof/>
          <w:sz w:val="22"/>
          <w:szCs w:val="22"/>
        </w:rPr>
        <w:t>4</w:t>
      </w:r>
    </w:fldSimple>
  </w:p>
  <w:p w:rsidR="00607678" w:rsidRDefault="00607678" w:rsidP="00AD01E4">
    <w:pPr>
      <w:ind w:left="142" w:right="148"/>
      <w:rPr>
        <w:rFonts w:ascii="Bookman Old Style" w:hAnsi="Bookman Old Style" w:cs="Arial"/>
      </w:rPr>
    </w:pPr>
    <w:r w:rsidRPr="0042068C">
      <w:rPr>
        <w:noProof/>
        <w:lang w:val="es-CO" w:eastAsia="es-CO"/>
      </w:rPr>
      <mc:AlternateContent>
        <mc:Choice Requires="wps">
          <w:drawing>
            <wp:anchor distT="0" distB="0" distL="114300" distR="114300" simplePos="0" relativeHeight="251657216" behindDoc="0" locked="0" layoutInCell="1" allowOverlap="1" wp14:anchorId="6E93C1A8" wp14:editId="5AFA80B3">
              <wp:simplePos x="0" y="0"/>
              <wp:positionH relativeFrom="column">
                <wp:posOffset>-184785</wp:posOffset>
              </wp:positionH>
              <wp:positionV relativeFrom="paragraph">
                <wp:posOffset>88899</wp:posOffset>
              </wp:positionV>
              <wp:extent cx="6267450" cy="9910445"/>
              <wp:effectExtent l="0" t="0" r="19050" b="1460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1044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D9525E" id="Rectangle 1" o:spid="_x0000_s1026" style="position:absolute;margin-left:-14.55pt;margin-top:7pt;width:493.5pt;height:780.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" filled="f" strokeweight="1.5pt"/>
          </w:pict>
        </mc:Fallback>
      </mc:AlternateContent>
    </w:r>
  </w:p>
  <w:p w:rsidR="00607678" w:rsidRPr="00045D3D" w:rsidRDefault="00607678" w:rsidP="00045D3D">
    <w:pPr>
      <w:ind w:left="0"/>
      <w:jc w:val="both"/>
      <w:rPr>
        <w:rFonts w:ascii="Bookman Old Style" w:hAnsi="Bookman Old Style"/>
        <w:sz w:val="22"/>
        <w:szCs w:val="22"/>
      </w:rPr>
    </w:pPr>
    <w:r w:rsidRPr="00771D1E">
      <w:rPr>
        <w:rFonts w:ascii="Bookman Old Style" w:hAnsi="Bookman Old Style"/>
        <w:sz w:val="22"/>
        <w:szCs w:val="22"/>
      </w:rPr>
      <w:t xml:space="preserve">Por la cual se ordena hacer público un proyecto de resolución “por la cual se ajustan disposiciones </w:t>
    </w:r>
    <w:r>
      <w:rPr>
        <w:rFonts w:ascii="Bookman Old Style" w:hAnsi="Bookman Old Style"/>
        <w:sz w:val="22"/>
        <w:szCs w:val="22"/>
      </w:rPr>
      <w:t>d</w:t>
    </w:r>
    <w:r w:rsidRPr="00771D1E">
      <w:rPr>
        <w:rFonts w:ascii="Bookman Old Style" w:hAnsi="Bookman Old Style"/>
        <w:sz w:val="22"/>
        <w:szCs w:val="22"/>
      </w:rPr>
      <w:t xml:space="preserve">el mercado mayorista de gas natural contenidas en la Resolución CREG 114 de 2017” </w:t>
    </w:r>
  </w:p>
  <w:p w:rsidR="00607678" w:rsidRPr="00045D3D" w:rsidRDefault="00607678" w:rsidP="00AD01E4">
    <w:pPr>
      <w:pBdr>
        <w:bottom w:val="single" w:sz="4" w:space="1" w:color="auto"/>
      </w:pBdr>
      <w:ind w:left="142" w:right="148"/>
      <w:rPr>
        <w:b/>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7678" w:rsidRDefault="00607678"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607678" w:rsidRDefault="00607678">
    <w:pPr>
      <w:pStyle w:val="Encabezado"/>
      <w:jc w:val="center"/>
      <w:rPr>
        <w:rFonts w:ascii="Arial" w:hAnsi="Arial" w:cs="Arial"/>
        <w:spacing w:val="20"/>
        <w:sz w:val="20"/>
      </w:rPr>
    </w:pPr>
  </w:p>
  <w:p w:rsidR="00607678" w:rsidRDefault="00607678"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3579449D" wp14:editId="45533BA1">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BCB15D"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1721C3B"/>
    <w:multiLevelType w:val="hybridMultilevel"/>
    <w:tmpl w:val="F63AD2C0"/>
    <w:lvl w:ilvl="0" w:tplc="376C9D24">
      <w:numFmt w:val="bullet"/>
      <w:lvlText w:val="-"/>
      <w:lvlJc w:val="left"/>
      <w:pPr>
        <w:ind w:left="1647" w:hanging="360"/>
      </w:pPr>
      <w:rPr>
        <w:rFonts w:ascii="Bookman Old Style" w:eastAsia="Times New Roman" w:hAnsi="Bookman Old Style" w:cs="Times New Roman" w:hint="default"/>
      </w:rPr>
    </w:lvl>
    <w:lvl w:ilvl="1" w:tplc="240A0003" w:tentative="1">
      <w:start w:val="1"/>
      <w:numFmt w:val="bullet"/>
      <w:lvlText w:val="o"/>
      <w:lvlJc w:val="left"/>
      <w:pPr>
        <w:ind w:left="2367" w:hanging="360"/>
      </w:pPr>
      <w:rPr>
        <w:rFonts w:ascii="Courier New" w:hAnsi="Courier New" w:cs="Courier New" w:hint="default"/>
      </w:rPr>
    </w:lvl>
    <w:lvl w:ilvl="2" w:tplc="240A0005" w:tentative="1">
      <w:start w:val="1"/>
      <w:numFmt w:val="bullet"/>
      <w:lvlText w:val=""/>
      <w:lvlJc w:val="left"/>
      <w:pPr>
        <w:ind w:left="3087" w:hanging="360"/>
      </w:pPr>
      <w:rPr>
        <w:rFonts w:ascii="Wingdings" w:hAnsi="Wingdings" w:hint="default"/>
      </w:rPr>
    </w:lvl>
    <w:lvl w:ilvl="3" w:tplc="240A0001" w:tentative="1">
      <w:start w:val="1"/>
      <w:numFmt w:val="bullet"/>
      <w:lvlText w:val=""/>
      <w:lvlJc w:val="left"/>
      <w:pPr>
        <w:ind w:left="3807" w:hanging="360"/>
      </w:pPr>
      <w:rPr>
        <w:rFonts w:ascii="Symbol" w:hAnsi="Symbol" w:hint="default"/>
      </w:rPr>
    </w:lvl>
    <w:lvl w:ilvl="4" w:tplc="240A0003" w:tentative="1">
      <w:start w:val="1"/>
      <w:numFmt w:val="bullet"/>
      <w:lvlText w:val="o"/>
      <w:lvlJc w:val="left"/>
      <w:pPr>
        <w:ind w:left="4527" w:hanging="360"/>
      </w:pPr>
      <w:rPr>
        <w:rFonts w:ascii="Courier New" w:hAnsi="Courier New" w:cs="Courier New" w:hint="default"/>
      </w:rPr>
    </w:lvl>
    <w:lvl w:ilvl="5" w:tplc="240A0005" w:tentative="1">
      <w:start w:val="1"/>
      <w:numFmt w:val="bullet"/>
      <w:lvlText w:val=""/>
      <w:lvlJc w:val="left"/>
      <w:pPr>
        <w:ind w:left="5247" w:hanging="360"/>
      </w:pPr>
      <w:rPr>
        <w:rFonts w:ascii="Wingdings" w:hAnsi="Wingdings" w:hint="default"/>
      </w:rPr>
    </w:lvl>
    <w:lvl w:ilvl="6" w:tplc="240A0001" w:tentative="1">
      <w:start w:val="1"/>
      <w:numFmt w:val="bullet"/>
      <w:lvlText w:val=""/>
      <w:lvlJc w:val="left"/>
      <w:pPr>
        <w:ind w:left="5967" w:hanging="360"/>
      </w:pPr>
      <w:rPr>
        <w:rFonts w:ascii="Symbol" w:hAnsi="Symbol" w:hint="default"/>
      </w:rPr>
    </w:lvl>
    <w:lvl w:ilvl="7" w:tplc="240A0003" w:tentative="1">
      <w:start w:val="1"/>
      <w:numFmt w:val="bullet"/>
      <w:lvlText w:val="o"/>
      <w:lvlJc w:val="left"/>
      <w:pPr>
        <w:ind w:left="6687" w:hanging="360"/>
      </w:pPr>
      <w:rPr>
        <w:rFonts w:ascii="Courier New" w:hAnsi="Courier New" w:cs="Courier New" w:hint="default"/>
      </w:rPr>
    </w:lvl>
    <w:lvl w:ilvl="8" w:tplc="240A0005" w:tentative="1">
      <w:start w:val="1"/>
      <w:numFmt w:val="bullet"/>
      <w:lvlText w:val=""/>
      <w:lvlJc w:val="left"/>
      <w:pPr>
        <w:ind w:left="7407" w:hanging="360"/>
      </w:pPr>
      <w:rPr>
        <w:rFonts w:ascii="Wingdings" w:hAnsi="Wingdings" w:hint="default"/>
      </w:rPr>
    </w:lvl>
  </w:abstractNum>
  <w:abstractNum w:abstractNumId="3" w15:restartNumberingAfterBreak="0">
    <w:nsid w:val="0CC765B5"/>
    <w:multiLevelType w:val="hybridMultilevel"/>
    <w:tmpl w:val="339AF4D2"/>
    <w:lvl w:ilvl="0" w:tplc="DD687C5A">
      <w:start w:val="1"/>
      <w:numFmt w:val="lowerRoman"/>
      <w:lvlText w:val="%1."/>
      <w:lvlJc w:val="left"/>
      <w:pPr>
        <w:ind w:left="2277" w:hanging="360"/>
      </w:pPr>
      <w:rPr>
        <w:rFonts w:hint="default"/>
      </w:rPr>
    </w:lvl>
    <w:lvl w:ilvl="1" w:tplc="580A0019" w:tentative="1">
      <w:start w:val="1"/>
      <w:numFmt w:val="lowerLetter"/>
      <w:lvlText w:val="%2."/>
      <w:lvlJc w:val="left"/>
      <w:pPr>
        <w:ind w:left="2004" w:hanging="360"/>
      </w:pPr>
    </w:lvl>
    <w:lvl w:ilvl="2" w:tplc="580A001B" w:tentative="1">
      <w:start w:val="1"/>
      <w:numFmt w:val="lowerRoman"/>
      <w:lvlText w:val="%3."/>
      <w:lvlJc w:val="right"/>
      <w:pPr>
        <w:ind w:left="2724" w:hanging="180"/>
      </w:pPr>
    </w:lvl>
    <w:lvl w:ilvl="3" w:tplc="580A000F" w:tentative="1">
      <w:start w:val="1"/>
      <w:numFmt w:val="decimal"/>
      <w:lvlText w:val="%4."/>
      <w:lvlJc w:val="left"/>
      <w:pPr>
        <w:ind w:left="3444" w:hanging="360"/>
      </w:pPr>
    </w:lvl>
    <w:lvl w:ilvl="4" w:tplc="580A0019" w:tentative="1">
      <w:start w:val="1"/>
      <w:numFmt w:val="lowerLetter"/>
      <w:lvlText w:val="%5."/>
      <w:lvlJc w:val="left"/>
      <w:pPr>
        <w:ind w:left="4164" w:hanging="360"/>
      </w:pPr>
    </w:lvl>
    <w:lvl w:ilvl="5" w:tplc="580A001B" w:tentative="1">
      <w:start w:val="1"/>
      <w:numFmt w:val="lowerRoman"/>
      <w:lvlText w:val="%6."/>
      <w:lvlJc w:val="right"/>
      <w:pPr>
        <w:ind w:left="4884" w:hanging="180"/>
      </w:pPr>
    </w:lvl>
    <w:lvl w:ilvl="6" w:tplc="580A000F" w:tentative="1">
      <w:start w:val="1"/>
      <w:numFmt w:val="decimal"/>
      <w:lvlText w:val="%7."/>
      <w:lvlJc w:val="left"/>
      <w:pPr>
        <w:ind w:left="5604" w:hanging="360"/>
      </w:pPr>
    </w:lvl>
    <w:lvl w:ilvl="7" w:tplc="580A0019" w:tentative="1">
      <w:start w:val="1"/>
      <w:numFmt w:val="lowerLetter"/>
      <w:lvlText w:val="%8."/>
      <w:lvlJc w:val="left"/>
      <w:pPr>
        <w:ind w:left="6324" w:hanging="360"/>
      </w:pPr>
    </w:lvl>
    <w:lvl w:ilvl="8" w:tplc="580A001B" w:tentative="1">
      <w:start w:val="1"/>
      <w:numFmt w:val="lowerRoman"/>
      <w:lvlText w:val="%9."/>
      <w:lvlJc w:val="right"/>
      <w:pPr>
        <w:ind w:left="7044" w:hanging="180"/>
      </w:pPr>
    </w:lvl>
  </w:abstractNum>
  <w:abstractNum w:abstractNumId="4" w15:restartNumberingAfterBreak="0">
    <w:nsid w:val="1DA4483B"/>
    <w:multiLevelType w:val="hybridMultilevel"/>
    <w:tmpl w:val="AB661868"/>
    <w:lvl w:ilvl="0" w:tplc="376C9D24">
      <w:numFmt w:val="bullet"/>
      <w:lvlText w:val="-"/>
      <w:lvlJc w:val="left"/>
      <w:pPr>
        <w:ind w:left="2367" w:hanging="360"/>
      </w:pPr>
      <w:rPr>
        <w:rFonts w:ascii="Bookman Old Style" w:eastAsia="Times New Roman" w:hAnsi="Bookman Old Style" w:cs="Times New Roman" w:hint="default"/>
      </w:rPr>
    </w:lvl>
    <w:lvl w:ilvl="1" w:tplc="580A0003" w:tentative="1">
      <w:start w:val="1"/>
      <w:numFmt w:val="bullet"/>
      <w:lvlText w:val="o"/>
      <w:lvlJc w:val="left"/>
      <w:pPr>
        <w:ind w:left="3087" w:hanging="360"/>
      </w:pPr>
      <w:rPr>
        <w:rFonts w:ascii="Courier New" w:hAnsi="Courier New" w:cs="Courier New" w:hint="default"/>
      </w:rPr>
    </w:lvl>
    <w:lvl w:ilvl="2" w:tplc="580A0005" w:tentative="1">
      <w:start w:val="1"/>
      <w:numFmt w:val="bullet"/>
      <w:lvlText w:val=""/>
      <w:lvlJc w:val="left"/>
      <w:pPr>
        <w:ind w:left="3807" w:hanging="360"/>
      </w:pPr>
      <w:rPr>
        <w:rFonts w:ascii="Wingdings" w:hAnsi="Wingdings" w:hint="default"/>
      </w:rPr>
    </w:lvl>
    <w:lvl w:ilvl="3" w:tplc="580A0001" w:tentative="1">
      <w:start w:val="1"/>
      <w:numFmt w:val="bullet"/>
      <w:lvlText w:val=""/>
      <w:lvlJc w:val="left"/>
      <w:pPr>
        <w:ind w:left="4527" w:hanging="360"/>
      </w:pPr>
      <w:rPr>
        <w:rFonts w:ascii="Symbol" w:hAnsi="Symbol" w:hint="default"/>
      </w:rPr>
    </w:lvl>
    <w:lvl w:ilvl="4" w:tplc="580A0003" w:tentative="1">
      <w:start w:val="1"/>
      <w:numFmt w:val="bullet"/>
      <w:lvlText w:val="o"/>
      <w:lvlJc w:val="left"/>
      <w:pPr>
        <w:ind w:left="5247" w:hanging="360"/>
      </w:pPr>
      <w:rPr>
        <w:rFonts w:ascii="Courier New" w:hAnsi="Courier New" w:cs="Courier New" w:hint="default"/>
      </w:rPr>
    </w:lvl>
    <w:lvl w:ilvl="5" w:tplc="580A0005" w:tentative="1">
      <w:start w:val="1"/>
      <w:numFmt w:val="bullet"/>
      <w:lvlText w:val=""/>
      <w:lvlJc w:val="left"/>
      <w:pPr>
        <w:ind w:left="5967" w:hanging="360"/>
      </w:pPr>
      <w:rPr>
        <w:rFonts w:ascii="Wingdings" w:hAnsi="Wingdings" w:hint="default"/>
      </w:rPr>
    </w:lvl>
    <w:lvl w:ilvl="6" w:tplc="580A0001" w:tentative="1">
      <w:start w:val="1"/>
      <w:numFmt w:val="bullet"/>
      <w:lvlText w:val=""/>
      <w:lvlJc w:val="left"/>
      <w:pPr>
        <w:ind w:left="6687" w:hanging="360"/>
      </w:pPr>
      <w:rPr>
        <w:rFonts w:ascii="Symbol" w:hAnsi="Symbol" w:hint="default"/>
      </w:rPr>
    </w:lvl>
    <w:lvl w:ilvl="7" w:tplc="580A0003" w:tentative="1">
      <w:start w:val="1"/>
      <w:numFmt w:val="bullet"/>
      <w:lvlText w:val="o"/>
      <w:lvlJc w:val="left"/>
      <w:pPr>
        <w:ind w:left="7407" w:hanging="360"/>
      </w:pPr>
      <w:rPr>
        <w:rFonts w:ascii="Courier New" w:hAnsi="Courier New" w:cs="Courier New" w:hint="default"/>
      </w:rPr>
    </w:lvl>
    <w:lvl w:ilvl="8" w:tplc="580A0005" w:tentative="1">
      <w:start w:val="1"/>
      <w:numFmt w:val="bullet"/>
      <w:lvlText w:val=""/>
      <w:lvlJc w:val="left"/>
      <w:pPr>
        <w:ind w:left="8127" w:hanging="360"/>
      </w:pPr>
      <w:rPr>
        <w:rFonts w:ascii="Wingdings" w:hAnsi="Wingdings" w:hint="default"/>
      </w:rPr>
    </w:lvl>
  </w:abstractNum>
  <w:abstractNum w:abstractNumId="5" w15:restartNumberingAfterBreak="0">
    <w:nsid w:val="20192802"/>
    <w:multiLevelType w:val="multilevel"/>
    <w:tmpl w:val="D32E077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strike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6" w15:restartNumberingAfterBreak="0">
    <w:nsid w:val="24C41E32"/>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7" w15:restartNumberingAfterBreak="0">
    <w:nsid w:val="25E32C1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8" w15:restartNumberingAfterBreak="0">
    <w:nsid w:val="2B342449"/>
    <w:multiLevelType w:val="hybridMultilevel"/>
    <w:tmpl w:val="693C9506"/>
    <w:lvl w:ilvl="0" w:tplc="088054F8">
      <w:start w:val="1"/>
      <w:numFmt w:val="lowerLetter"/>
      <w:lvlText w:val="%1)"/>
      <w:lvlJc w:val="left"/>
      <w:pPr>
        <w:ind w:left="2007" w:hanging="360"/>
      </w:pPr>
      <w:rPr>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86A138">
      <w:start w:val="1"/>
      <w:numFmt w:val="lowerRoman"/>
      <w:lvlText w:val="%4."/>
      <w:lvlJc w:val="left"/>
      <w:pPr>
        <w:ind w:left="2880" w:hanging="360"/>
      </w:pPr>
      <w:rPr>
        <w:rFonts w:hint="default"/>
      </w:r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BC259BB"/>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0" w15:restartNumberingAfterBreak="0">
    <w:nsid w:val="2DD91FD1"/>
    <w:multiLevelType w:val="hybridMultilevel"/>
    <w:tmpl w:val="4E464F5E"/>
    <w:lvl w:ilvl="0" w:tplc="B390538E">
      <w:start w:val="1"/>
      <w:numFmt w:val="lowerRoman"/>
      <w:lvlText w:val="%1)"/>
      <w:lvlJc w:val="left"/>
      <w:pPr>
        <w:ind w:left="1647" w:hanging="720"/>
      </w:pPr>
      <w:rPr>
        <w:rFonts w:hint="default"/>
      </w:rPr>
    </w:lvl>
    <w:lvl w:ilvl="1" w:tplc="088054F8">
      <w:start w:val="1"/>
      <w:numFmt w:val="lowerLetter"/>
      <w:lvlText w:val="%2)"/>
      <w:lvlJc w:val="left"/>
      <w:pPr>
        <w:ind w:left="2007" w:hanging="360"/>
      </w:pPr>
      <w:rPr>
        <w:sz w:val="24"/>
        <w:szCs w:val="24"/>
      </w:rPr>
    </w:lvl>
    <w:lvl w:ilvl="2" w:tplc="B90C9BD2">
      <w:start w:val="1"/>
      <w:numFmt w:val="lowerRoman"/>
      <w:lvlText w:val="%3."/>
      <w:lvlJc w:val="left"/>
      <w:pPr>
        <w:ind w:left="3267" w:hanging="720"/>
      </w:pPr>
      <w:rPr>
        <w:rFonts w:hint="default"/>
      </w:rPr>
    </w:lvl>
    <w:lvl w:ilvl="3" w:tplc="2EB4F888">
      <w:start w:val="1"/>
      <w:numFmt w:val="decimal"/>
      <w:lvlText w:val="%4."/>
      <w:lvlJc w:val="left"/>
      <w:pPr>
        <w:ind w:left="3447" w:hanging="360"/>
      </w:pPr>
      <w:rPr>
        <w:rFonts w:hint="default"/>
        <w:b w:val="0"/>
      </w:r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1" w15:restartNumberingAfterBreak="0">
    <w:nsid w:val="31402B18"/>
    <w:multiLevelType w:val="hybridMultilevel"/>
    <w:tmpl w:val="06C03630"/>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 w15:restartNumberingAfterBreak="0">
    <w:nsid w:val="31E97757"/>
    <w:multiLevelType w:val="hybridMultilevel"/>
    <w:tmpl w:val="E9A4000A"/>
    <w:lvl w:ilvl="0" w:tplc="2E6E8402">
      <w:start w:val="1"/>
      <w:numFmt w:val="lowerLetter"/>
      <w:lvlText w:val="%1)"/>
      <w:lvlJc w:val="left"/>
      <w:pPr>
        <w:ind w:left="1287" w:hanging="360"/>
      </w:pPr>
      <w:rPr>
        <w:rFonts w:ascii="Bookman Old Style" w:eastAsia="Times New Roman" w:hAnsi="Bookman Old Style" w:cs="Times New Roman" w:hint="default"/>
        <w:sz w:val="24"/>
        <w:szCs w:val="24"/>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3" w15:restartNumberingAfterBreak="0">
    <w:nsid w:val="3427768B"/>
    <w:multiLevelType w:val="hybridMultilevel"/>
    <w:tmpl w:val="D8DAA9F6"/>
    <w:lvl w:ilvl="0" w:tplc="EEBE6D8A">
      <w:start w:val="12"/>
      <w:numFmt w:val="decimal"/>
      <w:lvlText w:val="%1."/>
      <w:lvlJc w:val="left"/>
      <w:pPr>
        <w:ind w:left="1650" w:hanging="375"/>
      </w:pPr>
      <w:rPr>
        <w:rFonts w:hint="default"/>
      </w:rPr>
    </w:lvl>
    <w:lvl w:ilvl="1" w:tplc="580A0019" w:tentative="1">
      <w:start w:val="1"/>
      <w:numFmt w:val="lowerLetter"/>
      <w:lvlText w:val="%2."/>
      <w:lvlJc w:val="left"/>
      <w:pPr>
        <w:ind w:left="2355" w:hanging="360"/>
      </w:pPr>
    </w:lvl>
    <w:lvl w:ilvl="2" w:tplc="580A001B" w:tentative="1">
      <w:start w:val="1"/>
      <w:numFmt w:val="lowerRoman"/>
      <w:lvlText w:val="%3."/>
      <w:lvlJc w:val="right"/>
      <w:pPr>
        <w:ind w:left="3075" w:hanging="180"/>
      </w:pPr>
    </w:lvl>
    <w:lvl w:ilvl="3" w:tplc="580A000F" w:tentative="1">
      <w:start w:val="1"/>
      <w:numFmt w:val="decimal"/>
      <w:lvlText w:val="%4."/>
      <w:lvlJc w:val="left"/>
      <w:pPr>
        <w:ind w:left="3795" w:hanging="360"/>
      </w:pPr>
    </w:lvl>
    <w:lvl w:ilvl="4" w:tplc="580A0019" w:tentative="1">
      <w:start w:val="1"/>
      <w:numFmt w:val="lowerLetter"/>
      <w:lvlText w:val="%5."/>
      <w:lvlJc w:val="left"/>
      <w:pPr>
        <w:ind w:left="4515" w:hanging="360"/>
      </w:pPr>
    </w:lvl>
    <w:lvl w:ilvl="5" w:tplc="580A001B" w:tentative="1">
      <w:start w:val="1"/>
      <w:numFmt w:val="lowerRoman"/>
      <w:lvlText w:val="%6."/>
      <w:lvlJc w:val="right"/>
      <w:pPr>
        <w:ind w:left="5235" w:hanging="180"/>
      </w:pPr>
    </w:lvl>
    <w:lvl w:ilvl="6" w:tplc="580A000F" w:tentative="1">
      <w:start w:val="1"/>
      <w:numFmt w:val="decimal"/>
      <w:lvlText w:val="%7."/>
      <w:lvlJc w:val="left"/>
      <w:pPr>
        <w:ind w:left="5955" w:hanging="360"/>
      </w:pPr>
    </w:lvl>
    <w:lvl w:ilvl="7" w:tplc="580A0019" w:tentative="1">
      <w:start w:val="1"/>
      <w:numFmt w:val="lowerLetter"/>
      <w:lvlText w:val="%8."/>
      <w:lvlJc w:val="left"/>
      <w:pPr>
        <w:ind w:left="6675" w:hanging="360"/>
      </w:pPr>
    </w:lvl>
    <w:lvl w:ilvl="8" w:tplc="580A001B" w:tentative="1">
      <w:start w:val="1"/>
      <w:numFmt w:val="lowerRoman"/>
      <w:lvlText w:val="%9."/>
      <w:lvlJc w:val="right"/>
      <w:pPr>
        <w:ind w:left="7395" w:hanging="180"/>
      </w:pPr>
    </w:lvl>
  </w:abstractNum>
  <w:abstractNum w:abstractNumId="14" w15:restartNumberingAfterBreak="0">
    <w:nsid w:val="3C10696D"/>
    <w:multiLevelType w:val="multilevel"/>
    <w:tmpl w:val="B726B85E"/>
    <w:lvl w:ilvl="0">
      <w:start w:val="4"/>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5" w15:restartNumberingAfterBreak="0">
    <w:nsid w:val="3D940474"/>
    <w:multiLevelType w:val="hybridMultilevel"/>
    <w:tmpl w:val="7ECA7946"/>
    <w:lvl w:ilvl="0" w:tplc="AF62DC72">
      <w:start w:val="1"/>
      <w:numFmt w:val="lowerRoman"/>
      <w:lvlText w:val="%1."/>
      <w:lvlJc w:val="lef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6" w15:restartNumberingAfterBreak="0">
    <w:nsid w:val="3DC032D9"/>
    <w:multiLevelType w:val="multilevel"/>
    <w:tmpl w:val="C25CD41C"/>
    <w:lvl w:ilvl="0">
      <w:start w:val="2"/>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7" w15:restartNumberingAfterBreak="0">
    <w:nsid w:val="420D2BD4"/>
    <w:multiLevelType w:val="hybridMultilevel"/>
    <w:tmpl w:val="A470C7C6"/>
    <w:lvl w:ilvl="0" w:tplc="9CB433C0">
      <w:start w:val="1"/>
      <w:numFmt w:val="decimal"/>
      <w:lvlText w:val="%1."/>
      <w:lvlJc w:val="left"/>
      <w:pPr>
        <w:ind w:left="1647" w:hanging="720"/>
      </w:pPr>
      <w:rPr>
        <w:rFonts w:hint="default"/>
        <w:sz w:val="24"/>
        <w:szCs w:val="24"/>
      </w:rPr>
    </w:lvl>
    <w:lvl w:ilvl="1" w:tplc="240A0011">
      <w:start w:val="1"/>
      <w:numFmt w:val="decimal"/>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8" w15:restartNumberingAfterBreak="0">
    <w:nsid w:val="4634740C"/>
    <w:multiLevelType w:val="hybridMultilevel"/>
    <w:tmpl w:val="8C02B230"/>
    <w:lvl w:ilvl="0" w:tplc="7926194A">
      <w:start w:val="5"/>
      <w:numFmt w:val="lowerRoman"/>
      <w:lvlText w:val="%1."/>
      <w:lvlJc w:val="left"/>
      <w:pPr>
        <w:ind w:left="1713" w:hanging="360"/>
      </w:pPr>
      <w:rPr>
        <w:rFonts w:hint="default"/>
        <w:sz w:val="24"/>
        <w:szCs w:val="24"/>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19" w15:restartNumberingAfterBreak="0">
    <w:nsid w:val="4B29355D"/>
    <w:multiLevelType w:val="hybridMultilevel"/>
    <w:tmpl w:val="E1DAF4DE"/>
    <w:lvl w:ilvl="0" w:tplc="9DA0ACAC">
      <w:start w:val="1"/>
      <w:numFmt w:val="upperLetter"/>
      <w:lvlText w:val="%1."/>
      <w:lvlJc w:val="left"/>
      <w:pPr>
        <w:ind w:left="927" w:hanging="360"/>
      </w:pPr>
      <w:rPr>
        <w:rFonts w:hint="default"/>
        <w:b/>
        <w:sz w:val="24"/>
        <w:szCs w:val="24"/>
        <w:lang w:val="es-ES"/>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0" w15:restartNumberingAfterBreak="0">
    <w:nsid w:val="4CCE4D90"/>
    <w:multiLevelType w:val="hybridMultilevel"/>
    <w:tmpl w:val="3D7C084C"/>
    <w:lvl w:ilvl="0" w:tplc="F93AC168">
      <w:start w:val="1"/>
      <w:numFmt w:val="lowerRoman"/>
      <w:lvlText w:val="%1."/>
      <w:lvlJc w:val="lef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1" w15:restartNumberingAfterBreak="0">
    <w:nsid w:val="5CD239EB"/>
    <w:multiLevelType w:val="multilevel"/>
    <w:tmpl w:val="9DFA29EC"/>
    <w:lvl w:ilvl="0">
      <w:start w:val="4"/>
      <w:numFmt w:val="decimal"/>
      <w:lvlText w:val="%1."/>
      <w:lvlJc w:val="left"/>
      <w:pPr>
        <w:ind w:left="480" w:hanging="480"/>
      </w:pPr>
      <w:rPr>
        <w:rFonts w:hint="default"/>
        <w:b/>
      </w:rPr>
    </w:lvl>
    <w:lvl w:ilvl="1">
      <w:start w:val="8"/>
      <w:numFmt w:val="decimal"/>
      <w:lvlText w:val="%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2" w15:restartNumberingAfterBreak="0">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15:restartNumberingAfterBreak="0">
    <w:nsid w:val="62676687"/>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4" w15:restartNumberingAfterBreak="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25" w15:restartNumberingAfterBreak="0">
    <w:nsid w:val="6D1F1C4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6" w15:restartNumberingAfterBreak="0">
    <w:nsid w:val="6F1702BD"/>
    <w:multiLevelType w:val="hybridMultilevel"/>
    <w:tmpl w:val="84E0019C"/>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7" w15:restartNumberingAfterBreak="0">
    <w:nsid w:val="73432BD8"/>
    <w:multiLevelType w:val="hybridMultilevel"/>
    <w:tmpl w:val="CD8859D2"/>
    <w:lvl w:ilvl="0" w:tplc="3E349DFC">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CO"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939" w:hanging="360"/>
      </w:pPr>
    </w:lvl>
    <w:lvl w:ilvl="2" w:tplc="240A000F">
      <w:start w:val="1"/>
      <w:numFmt w:val="decimal"/>
      <w:lvlText w:val="%3."/>
      <w:lvlJc w:val="left"/>
      <w:pPr>
        <w:ind w:left="1659" w:hanging="180"/>
      </w:pPr>
    </w:lvl>
    <w:lvl w:ilvl="3" w:tplc="94AE6346">
      <w:start w:val="1"/>
      <w:numFmt w:val="upperLetter"/>
      <w:lvlText w:val="%4."/>
      <w:lvlJc w:val="left"/>
      <w:pPr>
        <w:ind w:left="2379" w:hanging="360"/>
      </w:pPr>
      <w:rPr>
        <w:rFonts w:hint="default"/>
      </w:rPr>
    </w:lvl>
    <w:lvl w:ilvl="4" w:tplc="240A0019" w:tentative="1">
      <w:start w:val="1"/>
      <w:numFmt w:val="lowerLetter"/>
      <w:lvlText w:val="%5."/>
      <w:lvlJc w:val="left"/>
      <w:pPr>
        <w:ind w:left="3099" w:hanging="360"/>
      </w:pPr>
    </w:lvl>
    <w:lvl w:ilvl="5" w:tplc="240A001B" w:tentative="1">
      <w:start w:val="1"/>
      <w:numFmt w:val="lowerRoman"/>
      <w:lvlText w:val="%6."/>
      <w:lvlJc w:val="right"/>
      <w:pPr>
        <w:ind w:left="3819" w:hanging="180"/>
      </w:pPr>
    </w:lvl>
    <w:lvl w:ilvl="6" w:tplc="240A000F" w:tentative="1">
      <w:start w:val="1"/>
      <w:numFmt w:val="decimal"/>
      <w:lvlText w:val="%7."/>
      <w:lvlJc w:val="left"/>
      <w:pPr>
        <w:ind w:left="4539" w:hanging="360"/>
      </w:pPr>
    </w:lvl>
    <w:lvl w:ilvl="7" w:tplc="240A0019" w:tentative="1">
      <w:start w:val="1"/>
      <w:numFmt w:val="lowerLetter"/>
      <w:lvlText w:val="%8."/>
      <w:lvlJc w:val="left"/>
      <w:pPr>
        <w:ind w:left="5259" w:hanging="360"/>
      </w:pPr>
    </w:lvl>
    <w:lvl w:ilvl="8" w:tplc="240A001B" w:tentative="1">
      <w:start w:val="1"/>
      <w:numFmt w:val="lowerRoman"/>
      <w:lvlText w:val="%9."/>
      <w:lvlJc w:val="right"/>
      <w:pPr>
        <w:ind w:left="5979" w:hanging="180"/>
      </w:pPr>
    </w:lvl>
  </w:abstractNum>
  <w:abstractNum w:abstractNumId="28" w15:restartNumberingAfterBreak="0">
    <w:nsid w:val="751874D5"/>
    <w:multiLevelType w:val="hybridMultilevel"/>
    <w:tmpl w:val="CC9C2D38"/>
    <w:lvl w:ilvl="0" w:tplc="376C9D24">
      <w:numFmt w:val="bullet"/>
      <w:lvlText w:val="-"/>
      <w:lvlJc w:val="left"/>
      <w:pPr>
        <w:ind w:left="2007" w:hanging="360"/>
      </w:pPr>
      <w:rPr>
        <w:rFonts w:ascii="Bookman Old Style" w:eastAsia="Times New Roman" w:hAnsi="Bookman Old Style" w:cs="Times New Roman" w:hint="default"/>
      </w:rPr>
    </w:lvl>
    <w:lvl w:ilvl="1" w:tplc="240A0003" w:tentative="1">
      <w:start w:val="1"/>
      <w:numFmt w:val="bullet"/>
      <w:lvlText w:val="o"/>
      <w:lvlJc w:val="left"/>
      <w:pPr>
        <w:ind w:left="2727" w:hanging="360"/>
      </w:pPr>
      <w:rPr>
        <w:rFonts w:ascii="Courier New" w:hAnsi="Courier New" w:cs="Courier New" w:hint="default"/>
      </w:rPr>
    </w:lvl>
    <w:lvl w:ilvl="2" w:tplc="240A0005" w:tentative="1">
      <w:start w:val="1"/>
      <w:numFmt w:val="bullet"/>
      <w:lvlText w:val=""/>
      <w:lvlJc w:val="left"/>
      <w:pPr>
        <w:ind w:left="3447" w:hanging="360"/>
      </w:pPr>
      <w:rPr>
        <w:rFonts w:ascii="Wingdings" w:hAnsi="Wingdings" w:hint="default"/>
      </w:rPr>
    </w:lvl>
    <w:lvl w:ilvl="3" w:tplc="240A0001" w:tentative="1">
      <w:start w:val="1"/>
      <w:numFmt w:val="bullet"/>
      <w:lvlText w:val=""/>
      <w:lvlJc w:val="left"/>
      <w:pPr>
        <w:ind w:left="4167" w:hanging="360"/>
      </w:pPr>
      <w:rPr>
        <w:rFonts w:ascii="Symbol" w:hAnsi="Symbol" w:hint="default"/>
      </w:rPr>
    </w:lvl>
    <w:lvl w:ilvl="4" w:tplc="240A0003" w:tentative="1">
      <w:start w:val="1"/>
      <w:numFmt w:val="bullet"/>
      <w:lvlText w:val="o"/>
      <w:lvlJc w:val="left"/>
      <w:pPr>
        <w:ind w:left="4887" w:hanging="360"/>
      </w:pPr>
      <w:rPr>
        <w:rFonts w:ascii="Courier New" w:hAnsi="Courier New" w:cs="Courier New" w:hint="default"/>
      </w:rPr>
    </w:lvl>
    <w:lvl w:ilvl="5" w:tplc="240A0005" w:tentative="1">
      <w:start w:val="1"/>
      <w:numFmt w:val="bullet"/>
      <w:lvlText w:val=""/>
      <w:lvlJc w:val="left"/>
      <w:pPr>
        <w:ind w:left="5607" w:hanging="360"/>
      </w:pPr>
      <w:rPr>
        <w:rFonts w:ascii="Wingdings" w:hAnsi="Wingdings" w:hint="default"/>
      </w:rPr>
    </w:lvl>
    <w:lvl w:ilvl="6" w:tplc="240A0001" w:tentative="1">
      <w:start w:val="1"/>
      <w:numFmt w:val="bullet"/>
      <w:lvlText w:val=""/>
      <w:lvlJc w:val="left"/>
      <w:pPr>
        <w:ind w:left="6327" w:hanging="360"/>
      </w:pPr>
      <w:rPr>
        <w:rFonts w:ascii="Symbol" w:hAnsi="Symbol" w:hint="default"/>
      </w:rPr>
    </w:lvl>
    <w:lvl w:ilvl="7" w:tplc="240A0003" w:tentative="1">
      <w:start w:val="1"/>
      <w:numFmt w:val="bullet"/>
      <w:lvlText w:val="o"/>
      <w:lvlJc w:val="left"/>
      <w:pPr>
        <w:ind w:left="7047" w:hanging="360"/>
      </w:pPr>
      <w:rPr>
        <w:rFonts w:ascii="Courier New" w:hAnsi="Courier New" w:cs="Courier New" w:hint="default"/>
      </w:rPr>
    </w:lvl>
    <w:lvl w:ilvl="8" w:tplc="240A0005" w:tentative="1">
      <w:start w:val="1"/>
      <w:numFmt w:val="bullet"/>
      <w:lvlText w:val=""/>
      <w:lvlJc w:val="left"/>
      <w:pPr>
        <w:ind w:left="7767" w:hanging="360"/>
      </w:pPr>
      <w:rPr>
        <w:rFonts w:ascii="Wingdings" w:hAnsi="Wingdings" w:hint="default"/>
      </w:rPr>
    </w:lvl>
  </w:abstractNum>
  <w:abstractNum w:abstractNumId="29" w15:restartNumberingAfterBreak="0">
    <w:nsid w:val="76420269"/>
    <w:multiLevelType w:val="hybridMultilevel"/>
    <w:tmpl w:val="B81450C8"/>
    <w:lvl w:ilvl="0" w:tplc="70887966">
      <w:start w:val="1"/>
      <w:numFmt w:val="upperLetter"/>
      <w:lvlText w:val="%1."/>
      <w:lvlJc w:val="left"/>
      <w:pPr>
        <w:ind w:left="927" w:hanging="360"/>
      </w:pPr>
      <w:rPr>
        <w:rFonts w:hint="default"/>
        <w:b/>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0" w15:restartNumberingAfterBreak="0">
    <w:nsid w:val="7EE977B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31" w15:restartNumberingAfterBreak="0">
    <w:nsid w:val="7FAD5E43"/>
    <w:multiLevelType w:val="hybridMultilevel"/>
    <w:tmpl w:val="5C84B200"/>
    <w:lvl w:ilvl="0" w:tplc="24AEA0C2">
      <w:start w:val="1"/>
      <w:numFmt w:val="lowerLetter"/>
      <w:lvlText w:val="%1)"/>
      <w:lvlJc w:val="left"/>
      <w:pPr>
        <w:ind w:left="1571" w:hanging="360"/>
      </w:pPr>
      <w:rPr>
        <w:b w:val="0"/>
        <w:sz w:val="24"/>
        <w:szCs w:val="24"/>
      </w:rPr>
    </w:lvl>
    <w:lvl w:ilvl="1" w:tplc="240A0019" w:tentative="1">
      <w:start w:val="1"/>
      <w:numFmt w:val="lowerLetter"/>
      <w:lvlText w:val="%2."/>
      <w:lvlJc w:val="left"/>
      <w:pPr>
        <w:ind w:left="2291" w:hanging="360"/>
      </w:pPr>
    </w:lvl>
    <w:lvl w:ilvl="2" w:tplc="240A001B" w:tentative="1">
      <w:start w:val="1"/>
      <w:numFmt w:val="lowerRoman"/>
      <w:lvlText w:val="%3."/>
      <w:lvlJc w:val="right"/>
      <w:pPr>
        <w:ind w:left="3011" w:hanging="180"/>
      </w:pPr>
    </w:lvl>
    <w:lvl w:ilvl="3" w:tplc="240A000F" w:tentative="1">
      <w:start w:val="1"/>
      <w:numFmt w:val="decimal"/>
      <w:lvlText w:val="%4."/>
      <w:lvlJc w:val="left"/>
      <w:pPr>
        <w:ind w:left="3731" w:hanging="360"/>
      </w:pPr>
    </w:lvl>
    <w:lvl w:ilvl="4" w:tplc="240A0019" w:tentative="1">
      <w:start w:val="1"/>
      <w:numFmt w:val="lowerLetter"/>
      <w:lvlText w:val="%5."/>
      <w:lvlJc w:val="left"/>
      <w:pPr>
        <w:ind w:left="4451" w:hanging="360"/>
      </w:pPr>
    </w:lvl>
    <w:lvl w:ilvl="5" w:tplc="240A001B" w:tentative="1">
      <w:start w:val="1"/>
      <w:numFmt w:val="lowerRoman"/>
      <w:lvlText w:val="%6."/>
      <w:lvlJc w:val="right"/>
      <w:pPr>
        <w:ind w:left="5171" w:hanging="180"/>
      </w:pPr>
    </w:lvl>
    <w:lvl w:ilvl="6" w:tplc="240A000F" w:tentative="1">
      <w:start w:val="1"/>
      <w:numFmt w:val="decimal"/>
      <w:lvlText w:val="%7."/>
      <w:lvlJc w:val="left"/>
      <w:pPr>
        <w:ind w:left="5891" w:hanging="360"/>
      </w:pPr>
    </w:lvl>
    <w:lvl w:ilvl="7" w:tplc="240A0019" w:tentative="1">
      <w:start w:val="1"/>
      <w:numFmt w:val="lowerLetter"/>
      <w:lvlText w:val="%8."/>
      <w:lvlJc w:val="left"/>
      <w:pPr>
        <w:ind w:left="6611" w:hanging="360"/>
      </w:pPr>
    </w:lvl>
    <w:lvl w:ilvl="8" w:tplc="240A001B" w:tentative="1">
      <w:start w:val="1"/>
      <w:numFmt w:val="lowerRoman"/>
      <w:lvlText w:val="%9."/>
      <w:lvlJc w:val="right"/>
      <w:pPr>
        <w:ind w:left="7331" w:hanging="180"/>
      </w:pPr>
    </w:lvl>
  </w:abstractNum>
  <w:num w:numId="1">
    <w:abstractNumId w:val="1"/>
  </w:num>
  <w:num w:numId="2">
    <w:abstractNumId w:val="27"/>
  </w:num>
  <w:num w:numId="3">
    <w:abstractNumId w:val="22"/>
  </w:num>
  <w:num w:numId="4">
    <w:abstractNumId w:val="5"/>
  </w:num>
  <w:num w:numId="5">
    <w:abstractNumId w:val="16"/>
  </w:num>
  <w:num w:numId="6">
    <w:abstractNumId w:val="7"/>
  </w:num>
  <w:num w:numId="7">
    <w:abstractNumId w:val="14"/>
  </w:num>
  <w:num w:numId="8">
    <w:abstractNumId w:val="26"/>
  </w:num>
  <w:num w:numId="9">
    <w:abstractNumId w:val="25"/>
  </w:num>
  <w:num w:numId="10">
    <w:abstractNumId w:val="6"/>
  </w:num>
  <w:num w:numId="11">
    <w:abstractNumId w:val="21"/>
  </w:num>
  <w:num w:numId="12">
    <w:abstractNumId w:val="23"/>
  </w:num>
  <w:num w:numId="13">
    <w:abstractNumId w:val="11"/>
  </w:num>
  <w:num w:numId="14">
    <w:abstractNumId w:val="24"/>
  </w:num>
  <w:num w:numId="15">
    <w:abstractNumId w:val="31"/>
  </w:num>
  <w:num w:numId="16">
    <w:abstractNumId w:val="19"/>
  </w:num>
  <w:num w:numId="17">
    <w:abstractNumId w:val="10"/>
  </w:num>
  <w:num w:numId="18">
    <w:abstractNumId w:val="17"/>
  </w:num>
  <w:num w:numId="19">
    <w:abstractNumId w:val="8"/>
  </w:num>
  <w:num w:numId="20">
    <w:abstractNumId w:val="30"/>
  </w:num>
  <w:num w:numId="21">
    <w:abstractNumId w:val="18"/>
  </w:num>
  <w:num w:numId="22">
    <w:abstractNumId w:val="3"/>
  </w:num>
  <w:num w:numId="23">
    <w:abstractNumId w:val="20"/>
  </w:num>
  <w:num w:numId="24">
    <w:abstractNumId w:val="28"/>
  </w:num>
  <w:num w:numId="25">
    <w:abstractNumId w:val="13"/>
  </w:num>
  <w:num w:numId="26">
    <w:abstractNumId w:val="15"/>
  </w:num>
  <w:num w:numId="27">
    <w:abstractNumId w:val="2"/>
  </w:num>
  <w:num w:numId="28">
    <w:abstractNumId w:val="12"/>
  </w:num>
  <w:num w:numId="29">
    <w:abstractNumId w:val="9"/>
  </w:num>
  <w:num w:numId="30">
    <w:abstractNumId w:val="29"/>
  </w:num>
  <w:num w:numId="31">
    <w:abstractNumId w:val="4"/>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oNotTrackFormatting/>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48CF"/>
    <w:rsid w:val="00006AE2"/>
    <w:rsid w:val="000076A1"/>
    <w:rsid w:val="00012259"/>
    <w:rsid w:val="0001308F"/>
    <w:rsid w:val="00025383"/>
    <w:rsid w:val="00037BA8"/>
    <w:rsid w:val="00045D3D"/>
    <w:rsid w:val="0005731D"/>
    <w:rsid w:val="00063657"/>
    <w:rsid w:val="00064EB3"/>
    <w:rsid w:val="00076680"/>
    <w:rsid w:val="00076A1D"/>
    <w:rsid w:val="0008073E"/>
    <w:rsid w:val="00080BF2"/>
    <w:rsid w:val="00086FB3"/>
    <w:rsid w:val="00091351"/>
    <w:rsid w:val="00091CDB"/>
    <w:rsid w:val="000A19AC"/>
    <w:rsid w:val="000A2D06"/>
    <w:rsid w:val="000B2EC9"/>
    <w:rsid w:val="000B4520"/>
    <w:rsid w:val="000B5008"/>
    <w:rsid w:val="000C74A5"/>
    <w:rsid w:val="000D20E0"/>
    <w:rsid w:val="000D26F8"/>
    <w:rsid w:val="000E6A42"/>
    <w:rsid w:val="0010551E"/>
    <w:rsid w:val="00105573"/>
    <w:rsid w:val="00106654"/>
    <w:rsid w:val="00112EE0"/>
    <w:rsid w:val="00130459"/>
    <w:rsid w:val="00131CED"/>
    <w:rsid w:val="00133A3E"/>
    <w:rsid w:val="0013526C"/>
    <w:rsid w:val="001405C6"/>
    <w:rsid w:val="00141013"/>
    <w:rsid w:val="00143390"/>
    <w:rsid w:val="00143FCA"/>
    <w:rsid w:val="00145ED1"/>
    <w:rsid w:val="00147CBF"/>
    <w:rsid w:val="00183498"/>
    <w:rsid w:val="00184352"/>
    <w:rsid w:val="00186B10"/>
    <w:rsid w:val="001912B8"/>
    <w:rsid w:val="00192CBF"/>
    <w:rsid w:val="00192FF1"/>
    <w:rsid w:val="001945B4"/>
    <w:rsid w:val="001A1567"/>
    <w:rsid w:val="001A581F"/>
    <w:rsid w:val="001A5F1B"/>
    <w:rsid w:val="001B0793"/>
    <w:rsid w:val="001B1C22"/>
    <w:rsid w:val="001B34C6"/>
    <w:rsid w:val="001B412E"/>
    <w:rsid w:val="001B433C"/>
    <w:rsid w:val="001B6DEF"/>
    <w:rsid w:val="001C0B9B"/>
    <w:rsid w:val="001C235C"/>
    <w:rsid w:val="001C7DE4"/>
    <w:rsid w:val="001D7832"/>
    <w:rsid w:val="001E75DE"/>
    <w:rsid w:val="001F36C9"/>
    <w:rsid w:val="00203634"/>
    <w:rsid w:val="00210DC1"/>
    <w:rsid w:val="00211D34"/>
    <w:rsid w:val="00214F04"/>
    <w:rsid w:val="002204A4"/>
    <w:rsid w:val="00221574"/>
    <w:rsid w:val="00221E41"/>
    <w:rsid w:val="00223D38"/>
    <w:rsid w:val="002352B9"/>
    <w:rsid w:val="002504A4"/>
    <w:rsid w:val="00263230"/>
    <w:rsid w:val="00266CD6"/>
    <w:rsid w:val="002673AC"/>
    <w:rsid w:val="00272BD8"/>
    <w:rsid w:val="00275DAB"/>
    <w:rsid w:val="002763F5"/>
    <w:rsid w:val="002800CC"/>
    <w:rsid w:val="002862C1"/>
    <w:rsid w:val="002903C0"/>
    <w:rsid w:val="00293CFB"/>
    <w:rsid w:val="002A2813"/>
    <w:rsid w:val="002A782A"/>
    <w:rsid w:val="002B11E2"/>
    <w:rsid w:val="002B24B8"/>
    <w:rsid w:val="002B546F"/>
    <w:rsid w:val="002C137E"/>
    <w:rsid w:val="002D1B0D"/>
    <w:rsid w:val="002D3AE9"/>
    <w:rsid w:val="002D4510"/>
    <w:rsid w:val="002F0734"/>
    <w:rsid w:val="002F3D0A"/>
    <w:rsid w:val="002F46E7"/>
    <w:rsid w:val="00300BB9"/>
    <w:rsid w:val="00305AF1"/>
    <w:rsid w:val="003101DA"/>
    <w:rsid w:val="003111C3"/>
    <w:rsid w:val="00312D43"/>
    <w:rsid w:val="00314757"/>
    <w:rsid w:val="003163BC"/>
    <w:rsid w:val="003211CE"/>
    <w:rsid w:val="0032644A"/>
    <w:rsid w:val="00326C2D"/>
    <w:rsid w:val="00332B6A"/>
    <w:rsid w:val="00344AB6"/>
    <w:rsid w:val="0035403A"/>
    <w:rsid w:val="00354FAC"/>
    <w:rsid w:val="00361DB2"/>
    <w:rsid w:val="0036394B"/>
    <w:rsid w:val="00366DB6"/>
    <w:rsid w:val="003709B5"/>
    <w:rsid w:val="00373087"/>
    <w:rsid w:val="003759C2"/>
    <w:rsid w:val="00375B7E"/>
    <w:rsid w:val="00396F14"/>
    <w:rsid w:val="00397365"/>
    <w:rsid w:val="00397C85"/>
    <w:rsid w:val="003A31F6"/>
    <w:rsid w:val="003A3345"/>
    <w:rsid w:val="003A4771"/>
    <w:rsid w:val="003A5A17"/>
    <w:rsid w:val="003A5E28"/>
    <w:rsid w:val="003C2B63"/>
    <w:rsid w:val="003C31A8"/>
    <w:rsid w:val="003C3447"/>
    <w:rsid w:val="003D076C"/>
    <w:rsid w:val="003D07DC"/>
    <w:rsid w:val="003D0EA4"/>
    <w:rsid w:val="003E12AA"/>
    <w:rsid w:val="003E75CA"/>
    <w:rsid w:val="003E78B5"/>
    <w:rsid w:val="003F3FFC"/>
    <w:rsid w:val="00415BAB"/>
    <w:rsid w:val="00415ED2"/>
    <w:rsid w:val="0042068C"/>
    <w:rsid w:val="0044318E"/>
    <w:rsid w:val="00443784"/>
    <w:rsid w:val="00443B35"/>
    <w:rsid w:val="00461D30"/>
    <w:rsid w:val="00466E77"/>
    <w:rsid w:val="00470C43"/>
    <w:rsid w:val="0047122B"/>
    <w:rsid w:val="00473B7A"/>
    <w:rsid w:val="004750D6"/>
    <w:rsid w:val="00486986"/>
    <w:rsid w:val="004960E9"/>
    <w:rsid w:val="0049712C"/>
    <w:rsid w:val="00497C5F"/>
    <w:rsid w:val="004A212A"/>
    <w:rsid w:val="004A2E88"/>
    <w:rsid w:val="004A5305"/>
    <w:rsid w:val="004B3A46"/>
    <w:rsid w:val="004B77FC"/>
    <w:rsid w:val="004C5510"/>
    <w:rsid w:val="004D5B32"/>
    <w:rsid w:val="004D7634"/>
    <w:rsid w:val="004E611A"/>
    <w:rsid w:val="004F6460"/>
    <w:rsid w:val="004F792F"/>
    <w:rsid w:val="005018F8"/>
    <w:rsid w:val="005102EF"/>
    <w:rsid w:val="005204AA"/>
    <w:rsid w:val="00521DC9"/>
    <w:rsid w:val="00524783"/>
    <w:rsid w:val="00524C90"/>
    <w:rsid w:val="00525212"/>
    <w:rsid w:val="00527258"/>
    <w:rsid w:val="005300D3"/>
    <w:rsid w:val="0054237D"/>
    <w:rsid w:val="00542A10"/>
    <w:rsid w:val="00542E84"/>
    <w:rsid w:val="00544F82"/>
    <w:rsid w:val="005509D2"/>
    <w:rsid w:val="005515E3"/>
    <w:rsid w:val="00551C9F"/>
    <w:rsid w:val="00571051"/>
    <w:rsid w:val="005757EC"/>
    <w:rsid w:val="00580784"/>
    <w:rsid w:val="005816D8"/>
    <w:rsid w:val="00592202"/>
    <w:rsid w:val="00593C4F"/>
    <w:rsid w:val="005946A8"/>
    <w:rsid w:val="00596243"/>
    <w:rsid w:val="005A4407"/>
    <w:rsid w:val="005A5879"/>
    <w:rsid w:val="005A59EF"/>
    <w:rsid w:val="005B1C7E"/>
    <w:rsid w:val="005C6976"/>
    <w:rsid w:val="005D36A8"/>
    <w:rsid w:val="005F02F0"/>
    <w:rsid w:val="005F61AC"/>
    <w:rsid w:val="005F6F41"/>
    <w:rsid w:val="00601B78"/>
    <w:rsid w:val="00607678"/>
    <w:rsid w:val="006241DC"/>
    <w:rsid w:val="00625DC6"/>
    <w:rsid w:val="00637A2E"/>
    <w:rsid w:val="0064391D"/>
    <w:rsid w:val="00643DDC"/>
    <w:rsid w:val="00651334"/>
    <w:rsid w:val="00651821"/>
    <w:rsid w:val="00652C39"/>
    <w:rsid w:val="00654384"/>
    <w:rsid w:val="00655ACE"/>
    <w:rsid w:val="00660970"/>
    <w:rsid w:val="00662F8F"/>
    <w:rsid w:val="006675CD"/>
    <w:rsid w:val="00684D9B"/>
    <w:rsid w:val="0068510A"/>
    <w:rsid w:val="00691B18"/>
    <w:rsid w:val="00694648"/>
    <w:rsid w:val="00697556"/>
    <w:rsid w:val="006A0E0F"/>
    <w:rsid w:val="006B18B9"/>
    <w:rsid w:val="006B4647"/>
    <w:rsid w:val="006B4C2B"/>
    <w:rsid w:val="006B6194"/>
    <w:rsid w:val="006B6D47"/>
    <w:rsid w:val="006C33A6"/>
    <w:rsid w:val="006C5113"/>
    <w:rsid w:val="006C5AFE"/>
    <w:rsid w:val="006C6ADE"/>
    <w:rsid w:val="006D4807"/>
    <w:rsid w:val="006D60AB"/>
    <w:rsid w:val="006F2EC8"/>
    <w:rsid w:val="006F3819"/>
    <w:rsid w:val="006F6D95"/>
    <w:rsid w:val="0070410C"/>
    <w:rsid w:val="00706F13"/>
    <w:rsid w:val="007072E8"/>
    <w:rsid w:val="0071618D"/>
    <w:rsid w:val="00725FA4"/>
    <w:rsid w:val="00726AB4"/>
    <w:rsid w:val="00740446"/>
    <w:rsid w:val="00740EE9"/>
    <w:rsid w:val="007438A9"/>
    <w:rsid w:val="0074491E"/>
    <w:rsid w:val="00752836"/>
    <w:rsid w:val="0076247A"/>
    <w:rsid w:val="00765FD6"/>
    <w:rsid w:val="00771D1E"/>
    <w:rsid w:val="00774EC6"/>
    <w:rsid w:val="00775964"/>
    <w:rsid w:val="007765FE"/>
    <w:rsid w:val="00785A05"/>
    <w:rsid w:val="00785B77"/>
    <w:rsid w:val="007903DC"/>
    <w:rsid w:val="00794E2E"/>
    <w:rsid w:val="00795BFB"/>
    <w:rsid w:val="007A1AC5"/>
    <w:rsid w:val="007A2A20"/>
    <w:rsid w:val="007B2760"/>
    <w:rsid w:val="007B51D6"/>
    <w:rsid w:val="007C007F"/>
    <w:rsid w:val="007C16C8"/>
    <w:rsid w:val="007D0878"/>
    <w:rsid w:val="007E30D2"/>
    <w:rsid w:val="007F0D5E"/>
    <w:rsid w:val="008025A6"/>
    <w:rsid w:val="00805D48"/>
    <w:rsid w:val="00806C01"/>
    <w:rsid w:val="008139CF"/>
    <w:rsid w:val="008148CC"/>
    <w:rsid w:val="00817EA6"/>
    <w:rsid w:val="008211A4"/>
    <w:rsid w:val="008234D5"/>
    <w:rsid w:val="00830EE1"/>
    <w:rsid w:val="00841F49"/>
    <w:rsid w:val="0084693A"/>
    <w:rsid w:val="00847868"/>
    <w:rsid w:val="00873150"/>
    <w:rsid w:val="0087657D"/>
    <w:rsid w:val="008807D5"/>
    <w:rsid w:val="00880832"/>
    <w:rsid w:val="008866F1"/>
    <w:rsid w:val="00886EE1"/>
    <w:rsid w:val="0088727D"/>
    <w:rsid w:val="00897C75"/>
    <w:rsid w:val="008A666A"/>
    <w:rsid w:val="008C1130"/>
    <w:rsid w:val="008D18E6"/>
    <w:rsid w:val="008D7A9B"/>
    <w:rsid w:val="008E0060"/>
    <w:rsid w:val="008E57EC"/>
    <w:rsid w:val="008E6F10"/>
    <w:rsid w:val="008E7091"/>
    <w:rsid w:val="008E70C7"/>
    <w:rsid w:val="008E76AC"/>
    <w:rsid w:val="008F21F6"/>
    <w:rsid w:val="00902196"/>
    <w:rsid w:val="0093302B"/>
    <w:rsid w:val="00936516"/>
    <w:rsid w:val="009448F4"/>
    <w:rsid w:val="00946190"/>
    <w:rsid w:val="009462E2"/>
    <w:rsid w:val="00946F3E"/>
    <w:rsid w:val="00950B26"/>
    <w:rsid w:val="00951F79"/>
    <w:rsid w:val="00952EF2"/>
    <w:rsid w:val="00974AB5"/>
    <w:rsid w:val="0098706D"/>
    <w:rsid w:val="009935FB"/>
    <w:rsid w:val="009A2E35"/>
    <w:rsid w:val="009A5674"/>
    <w:rsid w:val="009B314A"/>
    <w:rsid w:val="009B6B1C"/>
    <w:rsid w:val="009E5F17"/>
    <w:rsid w:val="009E61AB"/>
    <w:rsid w:val="009F4A54"/>
    <w:rsid w:val="009F4BEC"/>
    <w:rsid w:val="009F5874"/>
    <w:rsid w:val="009F75E4"/>
    <w:rsid w:val="00A03059"/>
    <w:rsid w:val="00A1246A"/>
    <w:rsid w:val="00A12A97"/>
    <w:rsid w:val="00A25FD7"/>
    <w:rsid w:val="00A31570"/>
    <w:rsid w:val="00A34653"/>
    <w:rsid w:val="00A36DE5"/>
    <w:rsid w:val="00A37F9D"/>
    <w:rsid w:val="00A43AFF"/>
    <w:rsid w:val="00A5264E"/>
    <w:rsid w:val="00A53619"/>
    <w:rsid w:val="00A64136"/>
    <w:rsid w:val="00A7375B"/>
    <w:rsid w:val="00A77888"/>
    <w:rsid w:val="00A7793A"/>
    <w:rsid w:val="00A905F6"/>
    <w:rsid w:val="00A96FD8"/>
    <w:rsid w:val="00AA4CC7"/>
    <w:rsid w:val="00AA5E8E"/>
    <w:rsid w:val="00AB1831"/>
    <w:rsid w:val="00AB2BAD"/>
    <w:rsid w:val="00AB6CA7"/>
    <w:rsid w:val="00AC6A41"/>
    <w:rsid w:val="00AD01E4"/>
    <w:rsid w:val="00AD0858"/>
    <w:rsid w:val="00AD55A9"/>
    <w:rsid w:val="00AE02E3"/>
    <w:rsid w:val="00AE7340"/>
    <w:rsid w:val="00AF1BBD"/>
    <w:rsid w:val="00AF3513"/>
    <w:rsid w:val="00B004C5"/>
    <w:rsid w:val="00B00B75"/>
    <w:rsid w:val="00B011AF"/>
    <w:rsid w:val="00B01931"/>
    <w:rsid w:val="00B07287"/>
    <w:rsid w:val="00B10207"/>
    <w:rsid w:val="00B141E7"/>
    <w:rsid w:val="00B21E13"/>
    <w:rsid w:val="00B23A09"/>
    <w:rsid w:val="00B30245"/>
    <w:rsid w:val="00B30897"/>
    <w:rsid w:val="00B351B4"/>
    <w:rsid w:val="00B36F02"/>
    <w:rsid w:val="00B3781D"/>
    <w:rsid w:val="00B46BCA"/>
    <w:rsid w:val="00B478AA"/>
    <w:rsid w:val="00B56018"/>
    <w:rsid w:val="00B5658C"/>
    <w:rsid w:val="00B73501"/>
    <w:rsid w:val="00B87806"/>
    <w:rsid w:val="00B87EC9"/>
    <w:rsid w:val="00B93874"/>
    <w:rsid w:val="00BA0BD8"/>
    <w:rsid w:val="00BB00CF"/>
    <w:rsid w:val="00BB4880"/>
    <w:rsid w:val="00BB60CF"/>
    <w:rsid w:val="00BC38FD"/>
    <w:rsid w:val="00BC54D3"/>
    <w:rsid w:val="00BD285A"/>
    <w:rsid w:val="00C034CB"/>
    <w:rsid w:val="00C051A8"/>
    <w:rsid w:val="00C054BC"/>
    <w:rsid w:val="00C06680"/>
    <w:rsid w:val="00C17897"/>
    <w:rsid w:val="00C23DB6"/>
    <w:rsid w:val="00C246BB"/>
    <w:rsid w:val="00C409D5"/>
    <w:rsid w:val="00C435C3"/>
    <w:rsid w:val="00C438DF"/>
    <w:rsid w:val="00C44DC4"/>
    <w:rsid w:val="00C44E5F"/>
    <w:rsid w:val="00C45E34"/>
    <w:rsid w:val="00C51B7C"/>
    <w:rsid w:val="00C57AF6"/>
    <w:rsid w:val="00C6234B"/>
    <w:rsid w:val="00C63EAE"/>
    <w:rsid w:val="00C73260"/>
    <w:rsid w:val="00C7629F"/>
    <w:rsid w:val="00C851D7"/>
    <w:rsid w:val="00C8661B"/>
    <w:rsid w:val="00C86F3B"/>
    <w:rsid w:val="00C91306"/>
    <w:rsid w:val="00C9783D"/>
    <w:rsid w:val="00CA03C8"/>
    <w:rsid w:val="00CA139A"/>
    <w:rsid w:val="00CA2899"/>
    <w:rsid w:val="00CA3698"/>
    <w:rsid w:val="00CA38E7"/>
    <w:rsid w:val="00CA3A3D"/>
    <w:rsid w:val="00CA3AA6"/>
    <w:rsid w:val="00CA77FB"/>
    <w:rsid w:val="00CB1D8B"/>
    <w:rsid w:val="00CB379B"/>
    <w:rsid w:val="00CB5DD0"/>
    <w:rsid w:val="00CC51D4"/>
    <w:rsid w:val="00CC65DA"/>
    <w:rsid w:val="00CE2D1F"/>
    <w:rsid w:val="00CF21B9"/>
    <w:rsid w:val="00CF6BF9"/>
    <w:rsid w:val="00D03800"/>
    <w:rsid w:val="00D065D3"/>
    <w:rsid w:val="00D14C94"/>
    <w:rsid w:val="00D24853"/>
    <w:rsid w:val="00D267E4"/>
    <w:rsid w:val="00D32FC6"/>
    <w:rsid w:val="00D342A6"/>
    <w:rsid w:val="00D35785"/>
    <w:rsid w:val="00D37455"/>
    <w:rsid w:val="00D427A2"/>
    <w:rsid w:val="00D45CA6"/>
    <w:rsid w:val="00D464BF"/>
    <w:rsid w:val="00D53E26"/>
    <w:rsid w:val="00D5451F"/>
    <w:rsid w:val="00D6282E"/>
    <w:rsid w:val="00D628F7"/>
    <w:rsid w:val="00D6348E"/>
    <w:rsid w:val="00D71049"/>
    <w:rsid w:val="00D83D83"/>
    <w:rsid w:val="00D97E89"/>
    <w:rsid w:val="00DA35BF"/>
    <w:rsid w:val="00DA57F0"/>
    <w:rsid w:val="00DA7488"/>
    <w:rsid w:val="00DB182C"/>
    <w:rsid w:val="00DB2D97"/>
    <w:rsid w:val="00DB560A"/>
    <w:rsid w:val="00DD25B1"/>
    <w:rsid w:val="00DD4F0E"/>
    <w:rsid w:val="00DF0BF0"/>
    <w:rsid w:val="00DF2889"/>
    <w:rsid w:val="00DF3CA2"/>
    <w:rsid w:val="00DF5F2F"/>
    <w:rsid w:val="00E01463"/>
    <w:rsid w:val="00E05E0A"/>
    <w:rsid w:val="00E060BE"/>
    <w:rsid w:val="00E10E66"/>
    <w:rsid w:val="00E249CF"/>
    <w:rsid w:val="00E31B35"/>
    <w:rsid w:val="00E534CF"/>
    <w:rsid w:val="00E81CB4"/>
    <w:rsid w:val="00E8585B"/>
    <w:rsid w:val="00E87F41"/>
    <w:rsid w:val="00E912C1"/>
    <w:rsid w:val="00E9221A"/>
    <w:rsid w:val="00E94BC7"/>
    <w:rsid w:val="00E97758"/>
    <w:rsid w:val="00EA3F15"/>
    <w:rsid w:val="00EA7847"/>
    <w:rsid w:val="00EB4C2F"/>
    <w:rsid w:val="00EC09D1"/>
    <w:rsid w:val="00EC644F"/>
    <w:rsid w:val="00EC7B65"/>
    <w:rsid w:val="00ED2BC2"/>
    <w:rsid w:val="00EE2E6E"/>
    <w:rsid w:val="00EF2272"/>
    <w:rsid w:val="00F00649"/>
    <w:rsid w:val="00F0593B"/>
    <w:rsid w:val="00F0759E"/>
    <w:rsid w:val="00F13C3C"/>
    <w:rsid w:val="00F16A43"/>
    <w:rsid w:val="00F40B25"/>
    <w:rsid w:val="00F4262C"/>
    <w:rsid w:val="00F42634"/>
    <w:rsid w:val="00F43D58"/>
    <w:rsid w:val="00F46780"/>
    <w:rsid w:val="00F46F9E"/>
    <w:rsid w:val="00F51ACB"/>
    <w:rsid w:val="00F5245B"/>
    <w:rsid w:val="00F64F29"/>
    <w:rsid w:val="00F77D2D"/>
    <w:rsid w:val="00F821A3"/>
    <w:rsid w:val="00F83EA8"/>
    <w:rsid w:val="00F86F63"/>
    <w:rsid w:val="00F9314A"/>
    <w:rsid w:val="00F939D1"/>
    <w:rsid w:val="00F940B2"/>
    <w:rsid w:val="00FB0A1B"/>
    <w:rsid w:val="00FB26C1"/>
    <w:rsid w:val="00FC58EF"/>
    <w:rsid w:val="00FC7B12"/>
    <w:rsid w:val="00FD33DF"/>
    <w:rsid w:val="00FD5CA5"/>
    <w:rsid w:val="00FE02F1"/>
    <w:rsid w:val="00FE0A4C"/>
    <w:rsid w:val="00FE39D7"/>
    <w:rsid w:val="00FF78B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BC9CB497-F047-496B-81D6-D5279A628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semiHidden/>
    <w:unhideWhenUsed/>
    <w:qFormat/>
    <w:rsid w:val="00203634"/>
    <w:pPr>
      <w:keepNext/>
      <w:keepLines/>
      <w:spacing w:before="40"/>
      <w:outlineLvl w:val="1"/>
    </w:pPr>
    <w:rPr>
      <w:rFonts w:ascii="Cambria" w:eastAsia="MS Gothic" w:hAnsi="Cambria"/>
      <w:color w:val="365F91"/>
      <w:sz w:val="26"/>
      <w:szCs w:val="26"/>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aliases w:val="TBG Heading 4,o"/>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uiPriority w:val="34"/>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customStyle="1" w:styleId="Epgrafe">
    <w:name w:val="Epígrafe"/>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ARTICULOS">
    <w:name w:val="ARTICULOS"/>
    <w:basedOn w:val="Normal"/>
    <w:link w:val="ARTICULOSCar"/>
    <w:qFormat/>
    <w:rsid w:val="00FC7B12"/>
    <w:pPr>
      <w:widowControl w:val="0"/>
      <w:numPr>
        <w:numId w:val="2"/>
      </w:numPr>
      <w:tabs>
        <w:tab w:val="left" w:pos="1559"/>
      </w:tabs>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FC7B12"/>
    <w:rPr>
      <w:rFonts w:ascii="Bookman Old Style" w:hAnsi="Bookman Old Style"/>
      <w:bCs/>
      <w:sz w:val="24"/>
      <w:szCs w:val="24"/>
      <w:lang w:val="x-none" w:eastAsia="x-none"/>
    </w:rPr>
  </w:style>
  <w:style w:type="character" w:customStyle="1" w:styleId="Ttulo2Car">
    <w:name w:val="Título 2 Car"/>
    <w:basedOn w:val="Fuentedeprrafopredeter"/>
    <w:link w:val="Ttulo2"/>
    <w:uiPriority w:val="9"/>
    <w:semiHidden/>
    <w:rsid w:val="00203634"/>
    <w:rPr>
      <w:rFonts w:ascii="Cambria" w:eastAsia="MS Gothic" w:hAnsi="Cambria"/>
      <w:color w:val="365F91"/>
      <w:sz w:val="26"/>
      <w:szCs w:val="26"/>
      <w:lang w:val="es-ES" w:eastAsia="es-ES"/>
    </w:rPr>
  </w:style>
  <w:style w:type="character" w:customStyle="1" w:styleId="PiedepginaCar">
    <w:name w:val="Pie de página Car"/>
    <w:link w:val="Piedepgina"/>
    <w:uiPriority w:val="99"/>
    <w:rsid w:val="00203634"/>
    <w:rPr>
      <w:sz w:val="24"/>
      <w:szCs w:val="24"/>
      <w:lang w:val="es-ES" w:eastAsia="es-ES"/>
    </w:rPr>
  </w:style>
  <w:style w:type="character" w:styleId="Refdecomentario">
    <w:name w:val="annotation reference"/>
    <w:uiPriority w:val="99"/>
    <w:semiHidden/>
    <w:rsid w:val="00203634"/>
    <w:rPr>
      <w:sz w:val="16"/>
      <w:szCs w:val="16"/>
    </w:rPr>
  </w:style>
  <w:style w:type="paragraph" w:styleId="Textocomentario">
    <w:name w:val="annotation text"/>
    <w:basedOn w:val="Normal"/>
    <w:link w:val="TextocomentarioCar"/>
    <w:uiPriority w:val="99"/>
    <w:rsid w:val="00203634"/>
    <w:pPr>
      <w:widowControl w:val="0"/>
      <w:adjustRightInd w:val="0"/>
      <w:spacing w:line="360" w:lineRule="atLeast"/>
      <w:ind w:left="0"/>
      <w:jc w:val="both"/>
      <w:textAlignment w:val="baseline"/>
    </w:pPr>
    <w:rPr>
      <w:sz w:val="20"/>
      <w:szCs w:val="20"/>
    </w:rPr>
  </w:style>
  <w:style w:type="character" w:customStyle="1" w:styleId="TextocomentarioCar">
    <w:name w:val="Texto comentario Car"/>
    <w:basedOn w:val="Fuentedeprrafopredeter"/>
    <w:link w:val="Textocomentario"/>
    <w:uiPriority w:val="99"/>
    <w:rsid w:val="00203634"/>
    <w:rPr>
      <w:lang w:val="es-ES" w:eastAsia="es-ES"/>
    </w:rPr>
  </w:style>
  <w:style w:type="paragraph" w:customStyle="1" w:styleId="Default">
    <w:name w:val="Default"/>
    <w:rsid w:val="00203634"/>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203634"/>
    <w:pPr>
      <w:spacing w:line="240" w:lineRule="auto"/>
    </w:pPr>
    <w:rPr>
      <w:b/>
      <w:bCs/>
    </w:rPr>
  </w:style>
  <w:style w:type="character" w:customStyle="1" w:styleId="AsuntodelcomentarioCar">
    <w:name w:val="Asunto del comentario Car"/>
    <w:basedOn w:val="TextocomentarioCar"/>
    <w:link w:val="Asuntodelcomentario"/>
    <w:uiPriority w:val="99"/>
    <w:semiHidden/>
    <w:rsid w:val="00203634"/>
    <w:rPr>
      <w:b/>
      <w:bCs/>
      <w:lang w:val="es-ES" w:eastAsia="es-ES"/>
    </w:rPr>
  </w:style>
  <w:style w:type="paragraph" w:styleId="TDC3">
    <w:name w:val="toc 3"/>
    <w:basedOn w:val="Normal"/>
    <w:next w:val="Normal"/>
    <w:autoRedefine/>
    <w:semiHidden/>
    <w:rsid w:val="00203634"/>
    <w:pPr>
      <w:ind w:left="480"/>
    </w:pPr>
  </w:style>
  <w:style w:type="paragraph" w:customStyle="1" w:styleId="xl28">
    <w:name w:val="xl28"/>
    <w:basedOn w:val="Normal"/>
    <w:rsid w:val="00203634"/>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203634"/>
    <w:pPr>
      <w:pBdr>
        <w:left w:val="single" w:sz="4" w:space="0" w:color="auto"/>
        <w:right w:val="single" w:sz="4" w:space="0" w:color="auto"/>
      </w:pBdr>
      <w:spacing w:before="100" w:after="100"/>
      <w:ind w:left="0"/>
      <w:jc w:val="center"/>
    </w:pPr>
    <w:rPr>
      <w:rFonts w:ascii="Arial" w:hAnsi="Arial"/>
      <w:sz w:val="22"/>
      <w:szCs w:val="20"/>
      <w:lang w:eastAsia="es-MX"/>
    </w:rPr>
  </w:style>
  <w:style w:type="character" w:styleId="Textodelmarcadordeposicin">
    <w:name w:val="Placeholder Text"/>
    <w:uiPriority w:val="99"/>
    <w:semiHidden/>
    <w:rsid w:val="00203634"/>
    <w:rPr>
      <w:color w:val="808080"/>
    </w:rPr>
  </w:style>
  <w:style w:type="paragraph" w:styleId="Revisin">
    <w:name w:val="Revision"/>
    <w:hidden/>
    <w:uiPriority w:val="99"/>
    <w:semiHidden/>
    <w:rsid w:val="00203634"/>
    <w:rPr>
      <w:sz w:val="24"/>
      <w:szCs w:val="24"/>
      <w:lang w:val="es-ES" w:eastAsia="es-ES"/>
    </w:rPr>
  </w:style>
  <w:style w:type="paragraph" w:customStyle="1" w:styleId="Comentarios">
    <w:name w:val="Comentarios"/>
    <w:basedOn w:val="Textoindependiente"/>
    <w:rsid w:val="00203634"/>
    <w:pPr>
      <w:numPr>
        <w:numId w:val="3"/>
      </w:numPr>
      <w:jc w:val="both"/>
    </w:pPr>
    <w:rPr>
      <w:rFonts w:cs="Times New Roman"/>
      <w:b w:val="0"/>
      <w:bCs w:val="0"/>
      <w:sz w:val="22"/>
      <w:szCs w:val="20"/>
      <w:lang w:val="x-none" w:eastAsia="x-none"/>
    </w:rPr>
  </w:style>
  <w:style w:type="paragraph" w:styleId="Textonotaalfinal">
    <w:name w:val="endnote text"/>
    <w:basedOn w:val="Normal"/>
    <w:link w:val="TextonotaalfinalCar"/>
    <w:uiPriority w:val="99"/>
    <w:semiHidden/>
    <w:unhideWhenUsed/>
    <w:rsid w:val="00203634"/>
    <w:pPr>
      <w:widowControl w:val="0"/>
      <w:adjustRightInd w:val="0"/>
      <w:ind w:left="0"/>
      <w:jc w:val="both"/>
      <w:textAlignment w:val="baseline"/>
    </w:pPr>
    <w:rPr>
      <w:sz w:val="20"/>
      <w:szCs w:val="20"/>
    </w:rPr>
  </w:style>
  <w:style w:type="character" w:customStyle="1" w:styleId="TextonotaalfinalCar">
    <w:name w:val="Texto nota al final Car"/>
    <w:basedOn w:val="Fuentedeprrafopredeter"/>
    <w:link w:val="Textonotaalfinal"/>
    <w:uiPriority w:val="99"/>
    <w:semiHidden/>
    <w:rsid w:val="00203634"/>
    <w:rPr>
      <w:lang w:val="es-ES" w:eastAsia="es-ES"/>
    </w:rPr>
  </w:style>
  <w:style w:type="character" w:styleId="Refdenotaalfinal">
    <w:name w:val="endnote reference"/>
    <w:uiPriority w:val="99"/>
    <w:semiHidden/>
    <w:unhideWhenUsed/>
    <w:rsid w:val="00203634"/>
    <w:rPr>
      <w:vertAlign w:val="superscript"/>
    </w:rPr>
  </w:style>
  <w:style w:type="paragraph" w:styleId="Textonotapie">
    <w:name w:val="footnote text"/>
    <w:aliases w:val="fn,footnote text"/>
    <w:basedOn w:val="Normal"/>
    <w:link w:val="TextonotapieCar"/>
    <w:uiPriority w:val="99"/>
    <w:rsid w:val="00203634"/>
    <w:pPr>
      <w:ind w:left="0"/>
      <w:jc w:val="both"/>
    </w:pPr>
    <w:rPr>
      <w:rFonts w:ascii="Arial" w:hAnsi="Arial"/>
      <w:sz w:val="20"/>
      <w:szCs w:val="20"/>
      <w:lang w:val="es-ES_tradnl" w:eastAsia="x-none"/>
    </w:rPr>
  </w:style>
  <w:style w:type="character" w:customStyle="1" w:styleId="TextonotapieCar">
    <w:name w:val="Texto nota pie Car"/>
    <w:aliases w:val="fn Car,footnote text Car"/>
    <w:basedOn w:val="Fuentedeprrafopredeter"/>
    <w:link w:val="Textonotapie"/>
    <w:uiPriority w:val="99"/>
    <w:rsid w:val="00203634"/>
    <w:rPr>
      <w:rFonts w:ascii="Arial" w:hAnsi="Arial"/>
      <w:lang w:val="es-ES_tradnl" w:eastAsia="x-none"/>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203634"/>
    <w:rPr>
      <w:vertAlign w:val="superscript"/>
    </w:rPr>
  </w:style>
  <w:style w:type="character" w:styleId="Hipervnculo">
    <w:name w:val="Hyperlink"/>
    <w:uiPriority w:val="99"/>
    <w:unhideWhenUsed/>
    <w:rsid w:val="00203634"/>
    <w:rPr>
      <w:color w:val="0000FF"/>
      <w:u w:val="single"/>
    </w:rPr>
  </w:style>
  <w:style w:type="character" w:styleId="Hipervnculovisitado">
    <w:name w:val="FollowedHyperlink"/>
    <w:uiPriority w:val="99"/>
    <w:semiHidden/>
    <w:unhideWhenUsed/>
    <w:rsid w:val="00203634"/>
    <w:rPr>
      <w:color w:val="800080"/>
      <w:u w:val="single"/>
    </w:rPr>
  </w:style>
  <w:style w:type="paragraph" w:customStyle="1" w:styleId="Textoindependiente21">
    <w:name w:val="Texto independiente 21"/>
    <w:basedOn w:val="Normal"/>
    <w:rsid w:val="00203634"/>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203634"/>
    <w:pPr>
      <w:keepNext/>
      <w:widowControl w:val="0"/>
      <w:shd w:val="clear" w:color="auto" w:fill="auto"/>
      <w:tabs>
        <w:tab w:val="num" w:pos="5126"/>
      </w:tabs>
      <w:adjustRightInd w:val="0"/>
      <w:ind w:left="3686"/>
      <w:jc w:val="both"/>
      <w:textAlignment w:val="baseline"/>
      <w:outlineLvl w:val="0"/>
    </w:pPr>
    <w:rPr>
      <w:rFonts w:ascii="Bookman Old Style" w:hAnsi="Bookman Old Style"/>
      <w:b/>
      <w:bCs/>
      <w:color w:val="auto"/>
      <w:sz w:val="24"/>
      <w:szCs w:val="24"/>
      <w:lang w:eastAsia="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Estilo2Car">
    <w:name w:val="Estilo2 Car"/>
    <w:link w:val="Estilo2"/>
    <w:rsid w:val="00203634"/>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203634"/>
    <w:rPr>
      <w:rFonts w:ascii="Tahoma" w:hAnsi="Tahoma"/>
      <w:sz w:val="16"/>
      <w:szCs w:val="16"/>
    </w:rPr>
  </w:style>
  <w:style w:type="character" w:customStyle="1" w:styleId="MapadeldocumentoCar">
    <w:name w:val="Mapa del documento Car"/>
    <w:basedOn w:val="Fuentedeprrafopredeter"/>
    <w:link w:val="Mapadeldocumento"/>
    <w:uiPriority w:val="99"/>
    <w:semiHidden/>
    <w:rsid w:val="00203634"/>
    <w:rPr>
      <w:rFonts w:ascii="Tahoma" w:hAnsi="Tahoma"/>
      <w:sz w:val="16"/>
      <w:szCs w:val="16"/>
      <w:lang w:val="es-ES" w:eastAsia="es-ES"/>
    </w:rPr>
  </w:style>
  <w:style w:type="character" w:customStyle="1" w:styleId="TextocomentarioCar1">
    <w:name w:val="Texto comentario Car1"/>
    <w:uiPriority w:val="99"/>
    <w:semiHidden/>
    <w:rsid w:val="00203634"/>
    <w:rPr>
      <w:rFonts w:ascii="Arial" w:hAnsi="Arial"/>
      <w:lang w:val="es-ES_tradnl"/>
    </w:rPr>
  </w:style>
  <w:style w:type="character" w:customStyle="1" w:styleId="Ttulo1Car">
    <w:name w:val="Título 1 Car"/>
    <w:link w:val="Ttulo1"/>
    <w:rsid w:val="00203634"/>
    <w:rPr>
      <w:rFonts w:ascii="CG Times" w:hAnsi="CG Times"/>
      <w:b/>
      <w:sz w:val="24"/>
      <w:lang w:eastAsia="es-ES"/>
    </w:rPr>
  </w:style>
  <w:style w:type="paragraph" w:customStyle="1" w:styleId="CM29">
    <w:name w:val="CM29"/>
    <w:basedOn w:val="Default"/>
    <w:next w:val="Default"/>
    <w:uiPriority w:val="99"/>
    <w:rsid w:val="00203634"/>
    <w:rPr>
      <w:rFonts w:ascii="Arial" w:eastAsia="Times New Roman" w:hAnsi="Arial" w:cs="Arial"/>
      <w:color w:val="auto"/>
      <w:lang w:eastAsia="es-CO"/>
    </w:rPr>
  </w:style>
  <w:style w:type="character" w:customStyle="1" w:styleId="textonavy1">
    <w:name w:val="texto_navy1"/>
    <w:rsid w:val="00203634"/>
    <w:rPr>
      <w:color w:val="000080"/>
    </w:rPr>
  </w:style>
  <w:style w:type="paragraph" w:customStyle="1" w:styleId="Estilo5">
    <w:name w:val="Estilo5"/>
    <w:basedOn w:val="Estilo1"/>
    <w:qFormat/>
    <w:rsid w:val="00203634"/>
    <w:pPr>
      <w:keepNext/>
      <w:numPr>
        <w:numId w:val="14"/>
      </w:numPr>
      <w:shd w:val="clear" w:color="auto" w:fill="auto"/>
      <w:spacing w:before="240"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styleId="Textosinformato">
    <w:name w:val="Plain Text"/>
    <w:basedOn w:val="Normal"/>
    <w:link w:val="TextosinformatoCar"/>
    <w:rsid w:val="00203634"/>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203634"/>
    <w:rPr>
      <w:rFonts w:ascii="Courier New" w:hAnsi="Courier New" w:cs="Courier New"/>
      <w:lang w:val="es-ES" w:eastAsia="es-ES"/>
    </w:rPr>
  </w:style>
  <w:style w:type="paragraph" w:styleId="NormalWeb">
    <w:name w:val="Normal (Web)"/>
    <w:basedOn w:val="Normal"/>
    <w:uiPriority w:val="99"/>
    <w:semiHidden/>
    <w:unhideWhenUsed/>
    <w:rsid w:val="00203634"/>
    <w:pPr>
      <w:spacing w:before="100" w:beforeAutospacing="1" w:after="100" w:afterAutospacing="1"/>
      <w:ind w:left="0"/>
    </w:pPr>
    <w:rPr>
      <w:lang w:val="es-CO" w:eastAsia="es-CO"/>
    </w:rPr>
  </w:style>
  <w:style w:type="paragraph" w:customStyle="1" w:styleId="CM9">
    <w:name w:val="CM9"/>
    <w:basedOn w:val="Default"/>
    <w:next w:val="Default"/>
    <w:uiPriority w:val="99"/>
    <w:rsid w:val="00203634"/>
    <w:rPr>
      <w:rFonts w:ascii="Arial" w:eastAsia="Times New Roman" w:hAnsi="Arial" w:cs="Arial"/>
      <w:color w:val="auto"/>
      <w:lang w:eastAsia="es-CO"/>
    </w:rPr>
  </w:style>
  <w:style w:type="paragraph" w:styleId="Descripcin">
    <w:name w:val="caption"/>
    <w:basedOn w:val="Normal"/>
    <w:next w:val="Normal"/>
    <w:unhideWhenUsed/>
    <w:qFormat/>
    <w:rsid w:val="00B30245"/>
    <w:pPr>
      <w:spacing w:after="200"/>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4253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19BA53-183F-4516-BECD-B95A16F223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4</Pages>
  <Words>9404</Words>
  <Characters>51722</Characters>
  <Application>Microsoft Office Word</Application>
  <DocSecurity>0</DocSecurity>
  <Lines>431</Lines>
  <Paragraphs>122</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61004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Luz Stella Rojas Macias</cp:lastModifiedBy>
  <cp:revision>2</cp:revision>
  <cp:lastPrinted>2018-06-20T20:38:00Z</cp:lastPrinted>
  <dcterms:created xsi:type="dcterms:W3CDTF">2018-06-27T20:54:00Z</dcterms:created>
  <dcterms:modified xsi:type="dcterms:W3CDTF">2018-06-27T20:54:00Z</dcterms:modified>
</cp:coreProperties>
</file>