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D34" w:rsidRDefault="00957B8E" w:rsidP="008F6530">
      <w:bookmarkStart w:id="0" w:name="_GoBack"/>
      <w:bookmarkEnd w:i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8" o:title=""/>
          </v:shape>
          <o:OLEObject Type="Embed" ProgID="PBrush" ShapeID="_x0000_s1026" DrawAspect="Content" ObjectID="_1612181038" r:id="rId9"/>
        </w:object>
      </w:r>
    </w:p>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86762E">
        <w:rPr>
          <w:b/>
          <w:spacing w:val="20"/>
        </w:rPr>
        <w:t>9</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sidR="0086762E">
        <w:rPr>
          <w:rFonts w:cs="Arial"/>
          <w:color w:val="000000"/>
        </w:rPr>
        <w:t xml:space="preserve">Central Hidroeléctrica de Caldas </w:t>
      </w:r>
      <w:r w:rsidRPr="003A7B6B">
        <w:rPr>
          <w:rFonts w:cs="Arial"/>
          <w:color w:val="000000"/>
        </w:rPr>
        <w:t>S.A. E.S.P. en el Sistema de Transmisión Regional</w:t>
      </w:r>
      <w:r w:rsidR="009C16AE">
        <w:rPr>
          <w:rFonts w:cs="Arial"/>
          <w:color w:val="000000"/>
        </w:rPr>
        <w:t>,</w:t>
      </w:r>
      <w:r w:rsidRPr="003A7B6B">
        <w:rPr>
          <w:rFonts w:cs="Arial"/>
          <w:color w:val="000000"/>
        </w:rPr>
        <w:t xml:space="preserve">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A84DE3" w:rsidP="00CA6945">
      <w:pPr>
        <w:jc w:val="center"/>
        <w:rPr>
          <w:rFonts w:cs="Arial"/>
          <w:color w:val="000000"/>
        </w:rPr>
      </w:pPr>
      <w:r w:rsidRPr="00DE53B8">
        <w:rPr>
          <w:rFonts w:cs="Arial"/>
          <w:color w:val="000000"/>
        </w:rPr>
        <w:t xml:space="preserve">En ejercicio de sus facultades legales, en especial de las conferidas </w:t>
      </w:r>
      <w:r w:rsidRPr="00C435C3">
        <w:t xml:space="preserve">por las </w:t>
      </w:r>
      <w:r>
        <w:t>l</w:t>
      </w:r>
      <w:r w:rsidRPr="00C435C3">
        <w:t xml:space="preserve">eyes 142 y 143 de 1994, y en desarrollo de los </w:t>
      </w:r>
      <w:r>
        <w:t>d</w:t>
      </w:r>
      <w:r w:rsidRPr="00C435C3">
        <w:t>ecretos 1524</w:t>
      </w:r>
      <w:r>
        <w:t xml:space="preserve"> y</w:t>
      </w:r>
      <w:r w:rsidRPr="00C435C3">
        <w:t xml:space="preserve"> 2253 de 1994</w:t>
      </w:r>
      <w:r>
        <w:t xml:space="preserve"> y 1260 de 2013</w:t>
      </w:r>
      <w:r w:rsidRPr="00DE53B8">
        <w:rPr>
          <w:rFonts w:cs="Arial"/>
          <w:color w:val="000000"/>
        </w:rPr>
        <w:t>,</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9275A2" w:rsidRDefault="009275A2" w:rsidP="0086762E">
      <w:pPr>
        <w:spacing w:before="240"/>
        <w:rPr>
          <w:rFonts w:cs="Arial"/>
          <w:color w:val="000000"/>
        </w:rPr>
      </w:pPr>
    </w:p>
    <w:p w:rsidR="00D160BD" w:rsidRPr="003A7B6B" w:rsidRDefault="00D160BD" w:rsidP="009275A2">
      <w:pPr>
        <w:rPr>
          <w:rFonts w:cs="Arial"/>
          <w:color w:val="000000"/>
        </w:rPr>
      </w:pPr>
      <w:r>
        <w:rPr>
          <w:rFonts w:cs="Arial"/>
          <w:color w:val="000000"/>
        </w:rPr>
        <w:t>D</w:t>
      </w:r>
      <w:r w:rsidRPr="003A7B6B">
        <w:rPr>
          <w:rFonts w:cs="Arial"/>
          <w:color w:val="000000"/>
        </w:rPr>
        <w:t>e acuerdo con lo previsto en el literal d)</w:t>
      </w:r>
      <w:r>
        <w:rPr>
          <w:rFonts w:cs="Arial"/>
          <w:color w:val="000000"/>
        </w:rPr>
        <w:t xml:space="preserve"> del </w:t>
      </w:r>
      <w:r w:rsidR="009C16AE">
        <w:rPr>
          <w:rFonts w:cs="Arial"/>
          <w:color w:val="000000"/>
        </w:rPr>
        <w:t>a</w:t>
      </w:r>
      <w:r w:rsidRPr="003A7B6B">
        <w:rPr>
          <w:rFonts w:cs="Arial"/>
          <w:color w:val="000000"/>
        </w:rPr>
        <w:t>rtículo 23</w:t>
      </w:r>
      <w:r>
        <w:rPr>
          <w:rFonts w:cs="Arial"/>
          <w:color w:val="000000"/>
        </w:rPr>
        <w:t xml:space="preserve"> y en el </w:t>
      </w:r>
      <w:r w:rsidR="009C16AE">
        <w:rPr>
          <w:rFonts w:cs="Arial"/>
          <w:color w:val="000000"/>
        </w:rPr>
        <w:t>a</w:t>
      </w:r>
      <w:r>
        <w:rPr>
          <w:rFonts w:cs="Arial"/>
          <w:color w:val="000000"/>
        </w:rPr>
        <w:t xml:space="preserve">rtículo </w:t>
      </w:r>
      <w:r w:rsidRPr="003A7B6B">
        <w:rPr>
          <w:rFonts w:cs="Arial"/>
          <w:color w:val="000000"/>
        </w:rPr>
        <w:t>41 de la Ley 143 de 1994, es función de la Comisión de Regulación de Energía y Gas</w:t>
      </w:r>
      <w:r w:rsidR="009C16AE">
        <w:rPr>
          <w:rFonts w:cs="Arial"/>
          <w:color w:val="000000"/>
        </w:rPr>
        <w:t xml:space="preserve">, </w:t>
      </w:r>
      <w:r>
        <w:rPr>
          <w:rFonts w:cs="Arial"/>
          <w:color w:val="000000"/>
        </w:rPr>
        <w:t>CREG</w:t>
      </w:r>
      <w:r w:rsidR="009C16AE">
        <w:rPr>
          <w:rFonts w:cs="Arial"/>
          <w:color w:val="000000"/>
        </w:rPr>
        <w:t>,</w:t>
      </w:r>
      <w:r>
        <w:rPr>
          <w:rFonts w:cs="Arial"/>
          <w:color w:val="000000"/>
        </w:rPr>
        <w:t xml:space="preserve"> </w:t>
      </w:r>
      <w:r w:rsidRPr="003A7B6B">
        <w:rPr>
          <w:rFonts w:cs="Arial"/>
          <w:color w:val="000000"/>
        </w:rPr>
        <w:t>fijar las tarifas por el acceso y uso de las red</w:t>
      </w:r>
      <w:r>
        <w:rPr>
          <w:rFonts w:cs="Arial"/>
          <w:color w:val="000000"/>
        </w:rPr>
        <w:t>es eléctricas.</w:t>
      </w:r>
    </w:p>
    <w:p w:rsidR="00D160BD" w:rsidRPr="003A7B6B" w:rsidRDefault="00D160BD" w:rsidP="0086762E">
      <w:pPr>
        <w:spacing w:before="240"/>
        <w:rPr>
          <w:rFonts w:cs="Arial"/>
          <w:color w:val="000000"/>
        </w:rPr>
      </w:pPr>
      <w:r>
        <w:rPr>
          <w:rFonts w:cs="Arial"/>
          <w:color w:val="000000"/>
        </w:rPr>
        <w:t>M</w:t>
      </w:r>
      <w:r w:rsidRPr="003A7B6B">
        <w:rPr>
          <w:rFonts w:cs="Arial"/>
          <w:color w:val="000000"/>
        </w:rPr>
        <w:t>ediante la Resolución CREG 097 de 2008</w:t>
      </w:r>
      <w:r>
        <w:rPr>
          <w:rFonts w:cs="Arial"/>
          <w:color w:val="000000"/>
        </w:rPr>
        <w:t>,</w:t>
      </w:r>
      <w:r w:rsidRPr="003A7B6B">
        <w:rPr>
          <w:rFonts w:cs="Arial"/>
          <w:color w:val="000000"/>
        </w:rPr>
        <w:t xml:space="preserve"> modificada por las </w:t>
      </w:r>
      <w:r>
        <w:rPr>
          <w:rFonts w:cs="Arial"/>
          <w:color w:val="000000"/>
        </w:rPr>
        <w:t>r</w:t>
      </w:r>
      <w:r w:rsidRPr="003A7B6B">
        <w:rPr>
          <w:rFonts w:cs="Arial"/>
          <w:color w:val="000000"/>
        </w:rPr>
        <w:t xml:space="preserve">esoluciones CREG 133, 135 y 166 de 2008, la Comisión aprobó los principios generales y la metodología para el establecimiento de los </w:t>
      </w:r>
      <w:r w:rsidR="00076B88" w:rsidRPr="003A7B6B">
        <w:rPr>
          <w:rFonts w:cs="Arial"/>
          <w:color w:val="000000"/>
        </w:rPr>
        <w:t xml:space="preserve">cargos por uso </w:t>
      </w:r>
      <w:r w:rsidRPr="003A7B6B">
        <w:rPr>
          <w:rFonts w:cs="Arial"/>
          <w:color w:val="000000"/>
        </w:rPr>
        <w:t>del Sistema de Transmisión Regional</w:t>
      </w:r>
      <w:r w:rsidR="009C16AE">
        <w:rPr>
          <w:rFonts w:cs="Arial"/>
          <w:color w:val="000000"/>
        </w:rPr>
        <w:t>,</w:t>
      </w:r>
      <w:r w:rsidRPr="003A7B6B">
        <w:rPr>
          <w:rFonts w:cs="Arial"/>
          <w:color w:val="000000"/>
        </w:rPr>
        <w:t xml:space="preserve"> STR</w:t>
      </w:r>
      <w:r w:rsidR="009C16AE">
        <w:rPr>
          <w:rFonts w:cs="Arial"/>
          <w:color w:val="000000"/>
        </w:rPr>
        <w:t>,</w:t>
      </w:r>
      <w:r w:rsidRPr="003A7B6B">
        <w:rPr>
          <w:rFonts w:cs="Arial"/>
          <w:color w:val="000000"/>
        </w:rPr>
        <w:t xml:space="preserve"> y de</w:t>
      </w:r>
      <w:r w:rsidR="009C16AE">
        <w:rPr>
          <w:rFonts w:cs="Arial"/>
          <w:color w:val="000000"/>
        </w:rPr>
        <w:t>l Sistema de</w:t>
      </w:r>
      <w:r w:rsidRPr="003A7B6B">
        <w:rPr>
          <w:rFonts w:cs="Arial"/>
          <w:color w:val="000000"/>
        </w:rPr>
        <w:t xml:space="preserve"> Distribución Local</w:t>
      </w:r>
      <w:r w:rsidR="009C16AE">
        <w:rPr>
          <w:rFonts w:cs="Arial"/>
          <w:color w:val="000000"/>
        </w:rPr>
        <w:t>,</w:t>
      </w:r>
      <w:r w:rsidRPr="003A7B6B">
        <w:rPr>
          <w:rFonts w:cs="Arial"/>
          <w:color w:val="000000"/>
        </w:rPr>
        <w:t xml:space="preserve"> SDL</w:t>
      </w:r>
      <w:r>
        <w:rPr>
          <w:rFonts w:cs="Arial"/>
          <w:color w:val="000000"/>
        </w:rPr>
        <w:t>.</w:t>
      </w:r>
    </w:p>
    <w:p w:rsidR="0086762E" w:rsidRPr="0086762E" w:rsidRDefault="0086762E" w:rsidP="0086762E">
      <w:pPr>
        <w:spacing w:before="240"/>
        <w:rPr>
          <w:rFonts w:cs="Arial"/>
          <w:color w:val="000000"/>
        </w:rPr>
      </w:pPr>
      <w:r w:rsidRPr="0086762E">
        <w:rPr>
          <w:rFonts w:cs="Arial"/>
          <w:color w:val="000000"/>
        </w:rPr>
        <w:t>La Comisión de Regulación de Energía y Gas, expidió la Resolución CREG 109 de 2009, en la cual aprobó el costo anual por el uso de los activos del nivel de tensión 4 y los cargos máximos de los niveles de tensión 3, 2 y 1 de la Central Hidroeléctrica de Caldas S.A. E.S.P., CHEC, en el STR y SDL.</w:t>
      </w:r>
    </w:p>
    <w:p w:rsidR="000F559D" w:rsidRPr="0086762E" w:rsidRDefault="000F559D" w:rsidP="000F559D">
      <w:pPr>
        <w:spacing w:before="240"/>
        <w:rPr>
          <w:rFonts w:cs="Arial"/>
          <w:color w:val="000000"/>
        </w:rPr>
      </w:pPr>
      <w:r w:rsidRPr="0086762E">
        <w:rPr>
          <w:rFonts w:cs="Arial"/>
          <w:color w:val="000000"/>
        </w:rPr>
        <w:t>Mediante las resoluciones CREG 170 de 2009</w:t>
      </w:r>
      <w:r>
        <w:rPr>
          <w:rFonts w:cs="Arial"/>
          <w:color w:val="000000"/>
        </w:rPr>
        <w:t>,</w:t>
      </w:r>
      <w:r w:rsidRPr="0086762E">
        <w:rPr>
          <w:rFonts w:cs="Arial"/>
          <w:color w:val="000000"/>
        </w:rPr>
        <w:t xml:space="preserve"> 035 de 2011 </w:t>
      </w:r>
      <w:r>
        <w:rPr>
          <w:rFonts w:cs="Arial"/>
          <w:color w:val="000000"/>
        </w:rPr>
        <w:t xml:space="preserve">y 101 de 2015 </w:t>
      </w:r>
      <w:r w:rsidRPr="0086762E">
        <w:rPr>
          <w:rFonts w:cs="Arial"/>
          <w:color w:val="000000"/>
        </w:rPr>
        <w:t>se ajustó y actualizó el costo anual por el uso de los activos del nivel de tensión 4 y los cargos máximos de los niveles de tensión 3, 2 y 1 de la CHEC.</w:t>
      </w:r>
    </w:p>
    <w:p w:rsidR="00964641" w:rsidRDefault="00964641" w:rsidP="0086762E">
      <w:pPr>
        <w:spacing w:before="240"/>
      </w:pPr>
      <w:r>
        <w:rPr>
          <w:rFonts w:cs="Arial"/>
          <w:color w:val="000000"/>
        </w:rPr>
        <w:t xml:space="preserve">La Comisión expidió la Resolución CREG 015 de 2018, por la cual </w:t>
      </w:r>
      <w:r w:rsidR="00220464" w:rsidRPr="004E6CFC">
        <w:t>se establec</w:t>
      </w:r>
      <w:r w:rsidR="00220464">
        <w:t>ió</w:t>
      </w:r>
      <w:r w:rsidR="00220464" w:rsidRPr="004E6CFC">
        <w:t xml:space="preserve"> la metodología para la remuneración de la actividad de distribución de energía eléctrica en el Sistema Interconectado Nacional</w:t>
      </w:r>
      <w:r w:rsidR="00220464">
        <w:t>.</w:t>
      </w:r>
    </w:p>
    <w:p w:rsidR="00220464" w:rsidRDefault="00220464" w:rsidP="0086762E">
      <w:pPr>
        <w:spacing w:before="240"/>
        <w:rPr>
          <w:rFonts w:cs="Arial"/>
          <w:color w:val="000000"/>
        </w:rPr>
      </w:pPr>
      <w:r>
        <w:t xml:space="preserve">Si bien esta </w:t>
      </w:r>
      <w:r w:rsidR="000F559D">
        <w:t xml:space="preserve">última </w:t>
      </w:r>
      <w:r>
        <w:t xml:space="preserve">resolución está en vigencia, los ingresos con los cuales se remunera la actividad de distribución de energía eléctrica que actualmente </w:t>
      </w:r>
      <w:r>
        <w:lastRenderedPageBreak/>
        <w:t xml:space="preserve">desarrolla la CHEC fueron aprobados de acuerdo con lo previsto en la </w:t>
      </w:r>
      <w:r w:rsidRPr="003A7B6B">
        <w:rPr>
          <w:rFonts w:cs="Arial"/>
          <w:color w:val="000000"/>
        </w:rPr>
        <w:t>Resolución CREG 097 de 2008</w:t>
      </w:r>
      <w:r>
        <w:rPr>
          <w:rFonts w:cs="Arial"/>
          <w:color w:val="000000"/>
        </w:rPr>
        <w:t>, y seguirán vigentes hasta que se aprueben los nuevos ingresos con la metodología de la Resolución CREG 015 de 2018</w:t>
      </w:r>
      <w:r w:rsidR="000F559D">
        <w:rPr>
          <w:rFonts w:cs="Arial"/>
          <w:color w:val="000000"/>
        </w:rPr>
        <w:t>.</w:t>
      </w:r>
    </w:p>
    <w:p w:rsidR="009C1F8B" w:rsidRPr="00366546" w:rsidRDefault="0098183F" w:rsidP="009C1F8B">
      <w:pPr>
        <w:spacing w:before="240"/>
      </w:pPr>
      <w:r>
        <w:t>La empresa Intercolombia S.A. E.S.P., m</w:t>
      </w:r>
      <w:r w:rsidR="0086762E">
        <w:rPr>
          <w:rFonts w:cs="Arial"/>
          <w:color w:val="000000"/>
        </w:rPr>
        <w:t>ediante comunicación con radicado CREG E-2018-</w:t>
      </w:r>
      <w:r w:rsidR="009C1F8B" w:rsidRPr="00366546">
        <w:t>010495, solicitó a la Comisión la actualización del ingreso anual de la actividad de transmisión, por la puesta en operación del segundo circuito Esmeralda - La Hermosa, 230 kV</w:t>
      </w:r>
      <w:r>
        <w:t xml:space="preserve"> y</w:t>
      </w:r>
      <w:r w:rsidR="009C1F8B" w:rsidRPr="00366546">
        <w:t xml:space="preserve"> las respectivas bahías en las subestaciones mencionadas.</w:t>
      </w:r>
    </w:p>
    <w:p w:rsidR="009C1F8B" w:rsidRPr="00366546" w:rsidRDefault="00926981" w:rsidP="009C1F8B">
      <w:pPr>
        <w:spacing w:before="240"/>
      </w:pPr>
      <w:r>
        <w:t>La línea Esmeralda - La Hermosa solicita</w:t>
      </w:r>
      <w:r w:rsidR="00CF2FFE">
        <w:t xml:space="preserve">da por </w:t>
      </w:r>
      <w:r>
        <w:t xml:space="preserve">Intercolombia actualmente está reconocida como una </w:t>
      </w:r>
      <w:r w:rsidR="009C1F8B" w:rsidRPr="00366546">
        <w:t xml:space="preserve">línea de 115 kV </w:t>
      </w:r>
      <w:r>
        <w:t xml:space="preserve">y </w:t>
      </w:r>
      <w:r w:rsidR="009C1F8B" w:rsidRPr="00366546">
        <w:t>se está remunerando en la actividad de distribución, como parte del Sistema de Transmisión Regional, STR, que opera la CHEC.</w:t>
      </w:r>
    </w:p>
    <w:p w:rsidR="00F55138" w:rsidRPr="00BE43AD" w:rsidRDefault="009C1F8B" w:rsidP="00F55138">
      <w:pPr>
        <w:spacing w:before="240"/>
        <w:rPr>
          <w:rFonts w:cs="Arial"/>
          <w:color w:val="000000"/>
        </w:rPr>
      </w:pPr>
      <w:r>
        <w:t>M</w:t>
      </w:r>
      <w:r w:rsidRPr="00A8635E">
        <w:t xml:space="preserve">ediante auto del </w:t>
      </w:r>
      <w:r>
        <w:t xml:space="preserve">31 de octubre </w:t>
      </w:r>
      <w:r w:rsidRPr="00A8635E">
        <w:t>de 20</w:t>
      </w:r>
      <w:r>
        <w:t>18</w:t>
      </w:r>
      <w:r w:rsidRPr="00A8635E">
        <w:t xml:space="preserve">, la Comisión dio inicio a la actuación administrativa tendiente a </w:t>
      </w:r>
      <w:r>
        <w:t xml:space="preserve">actualizar el ingreso anual de la actividad de transmisión </w:t>
      </w:r>
      <w:r w:rsidRPr="00A8635E">
        <w:t xml:space="preserve">de </w:t>
      </w:r>
      <w:r>
        <w:t xml:space="preserve">Intercolombia </w:t>
      </w:r>
      <w:r w:rsidRPr="00A8635E">
        <w:t>S.A. E.S.P., y ordenó la apertura del respectivo expediente que fue distinguido con el número 20</w:t>
      </w:r>
      <w:r>
        <w:t>18-0249</w:t>
      </w:r>
      <w:r w:rsidRPr="00A8635E">
        <w:t>.</w:t>
      </w:r>
      <w:r>
        <w:t xml:space="preserve"> Teniendo en cuenta lo mencionado arriba, en el citado auto se decidió “hacer parte de esta actuación a la </w:t>
      </w:r>
      <w:r w:rsidRPr="00366546">
        <w:t>Central Hidroeléctrica de Caldas S.A. E.S.P.”</w:t>
      </w:r>
      <w:r w:rsidRPr="00A8635E">
        <w:t xml:space="preserve"> </w:t>
      </w:r>
      <w:r w:rsidR="00F55138">
        <w:rPr>
          <w:rFonts w:cs="Arial"/>
          <w:color w:val="000000"/>
        </w:rPr>
        <w:t>L</w:t>
      </w:r>
      <w:r w:rsidR="00F55138" w:rsidRPr="0086762E">
        <w:rPr>
          <w:rFonts w:cs="Arial"/>
          <w:color w:val="000000"/>
        </w:rPr>
        <w:t xml:space="preserve">o </w:t>
      </w:r>
      <w:r w:rsidR="00F55138">
        <w:rPr>
          <w:rFonts w:cs="Arial"/>
          <w:color w:val="000000"/>
        </w:rPr>
        <w:t xml:space="preserve">anterior </w:t>
      </w:r>
      <w:r w:rsidR="00F55138" w:rsidRPr="0086762E">
        <w:rPr>
          <w:rFonts w:cs="Arial"/>
          <w:color w:val="000000"/>
        </w:rPr>
        <w:t xml:space="preserve">fue informado a la </w:t>
      </w:r>
      <w:r w:rsidR="000F559D">
        <w:rPr>
          <w:rFonts w:cs="Arial"/>
          <w:color w:val="000000"/>
        </w:rPr>
        <w:t>CHEC</w:t>
      </w:r>
      <w:r w:rsidR="00F55138" w:rsidRPr="0086762E">
        <w:rPr>
          <w:rFonts w:cs="Arial"/>
          <w:color w:val="000000"/>
        </w:rPr>
        <w:t xml:space="preserve"> mediante comunicación CREG S-201</w:t>
      </w:r>
      <w:r w:rsidR="00F55138">
        <w:rPr>
          <w:rFonts w:cs="Arial"/>
          <w:color w:val="000000"/>
        </w:rPr>
        <w:t>8</w:t>
      </w:r>
      <w:r w:rsidR="00F55138" w:rsidRPr="0086762E">
        <w:rPr>
          <w:rFonts w:cs="Arial"/>
          <w:color w:val="000000"/>
        </w:rPr>
        <w:t>-00</w:t>
      </w:r>
      <w:r w:rsidR="00F55138">
        <w:rPr>
          <w:rFonts w:cs="Arial"/>
          <w:color w:val="000000"/>
        </w:rPr>
        <w:t>5533.</w:t>
      </w:r>
    </w:p>
    <w:p w:rsidR="00CF2FFE" w:rsidRDefault="00CF2FFE" w:rsidP="00CF2FFE">
      <w:pPr>
        <w:spacing w:before="240"/>
      </w:pPr>
      <w:r>
        <w:t>E</w:t>
      </w:r>
      <w:r w:rsidRPr="002D5A61">
        <w:t xml:space="preserve">l </w:t>
      </w:r>
      <w:r>
        <w:t xml:space="preserve">7 de noviembre </w:t>
      </w:r>
      <w:r w:rsidRPr="002D5A61">
        <w:t>de 201</w:t>
      </w:r>
      <w:r>
        <w:t>8</w:t>
      </w:r>
      <w:r w:rsidRPr="002D5A61">
        <w:t xml:space="preserve"> la CREG publicó en el </w:t>
      </w:r>
      <w:r w:rsidRPr="00366546">
        <w:t>Diario Oficial</w:t>
      </w:r>
      <w:r w:rsidRPr="002D5A61">
        <w:t xml:space="preserve"> un resumen de la solicitud, con el fin de que los terceros interesados pudieran intervenir en la actuación administrativa.</w:t>
      </w:r>
    </w:p>
    <w:p w:rsidR="00CF2FFE" w:rsidRDefault="00CF2FFE" w:rsidP="00CF2FFE">
      <w:pPr>
        <w:spacing w:before="240"/>
      </w:pPr>
      <w:r>
        <w:t xml:space="preserve">Dentro de la actuación administrativa se procederá a hacer los ajustes </w:t>
      </w:r>
      <w:r w:rsidR="00F650F7">
        <w:t xml:space="preserve">necesarios </w:t>
      </w:r>
      <w:r>
        <w:t xml:space="preserve">para iniciar el reconocimiento de la línea Esmeralda - La Hermosa, 230 kV, dentro de la actividad de trasmisión que realiza Intercolombia. Por lo tanto, y con el propósito de no duplicar la remuneración del circuito, es necesario excluirlo del inventario reconocido a la </w:t>
      </w:r>
      <w:r w:rsidRPr="00366546">
        <w:t>Central Hidroeléctrica de Caldas</w:t>
      </w:r>
      <w:r>
        <w:t xml:space="preserve"> y hacer los ajustes al ingreso reconocido a esta última.</w:t>
      </w:r>
    </w:p>
    <w:p w:rsidR="00CF2FFE" w:rsidRDefault="00E928DD" w:rsidP="009C1F8B">
      <w:pPr>
        <w:spacing w:before="240"/>
      </w:pPr>
      <w:r>
        <w:t>Mediante comunicación con radicado CREG S-2018-006030, la Comisión le solicitó a la CHEC</w:t>
      </w:r>
      <w:r w:rsidR="00F55138">
        <w:t xml:space="preserve"> informar las unidades constructivas que salen de operación por el cambio del nivel de tensión, de 115 kV a 230 kV, del circuito Esmeralda - La Hermosa. En respuesta a esta solicitud la </w:t>
      </w:r>
      <w:r w:rsidR="00F650F7">
        <w:t>empresa</w:t>
      </w:r>
      <w:r w:rsidR="00F55138">
        <w:t xml:space="preserve"> contestó mediante la comunicación E-2019-000975.</w:t>
      </w:r>
    </w:p>
    <w:p w:rsidR="00F55138" w:rsidRDefault="00F55138" w:rsidP="009C1F8B">
      <w:pPr>
        <w:spacing w:before="240"/>
      </w:pPr>
      <w:r>
        <w:t>Con base en l</w:t>
      </w:r>
      <w:r w:rsidR="00F650F7">
        <w:t xml:space="preserve">a información entregada por la CHEC, </w:t>
      </w:r>
      <w:r>
        <w:t>se excluir</w:t>
      </w:r>
      <w:r w:rsidR="001F44B4">
        <w:t>á</w:t>
      </w:r>
      <w:r>
        <w:t xml:space="preserve"> del inventario reconocido a </w:t>
      </w:r>
      <w:r w:rsidR="00F650F7">
        <w:t>esta empresa</w:t>
      </w:r>
      <w:r>
        <w:t xml:space="preserve"> los siguientes activos:</w:t>
      </w:r>
    </w:p>
    <w:p w:rsidR="00E00FEA" w:rsidRDefault="00F55138" w:rsidP="00E00FEA">
      <w:pPr>
        <w:pStyle w:val="Prrafodelista"/>
        <w:numPr>
          <w:ilvl w:val="0"/>
          <w:numId w:val="39"/>
        </w:numPr>
        <w:spacing w:before="240"/>
        <w:rPr>
          <w:sz w:val="24"/>
        </w:rPr>
      </w:pPr>
      <w:r w:rsidRPr="00E00FEA">
        <w:rPr>
          <w:sz w:val="24"/>
        </w:rPr>
        <w:t>Unidades constructivas de subestación</w:t>
      </w:r>
    </w:p>
    <w:p w:rsidR="00E00FEA" w:rsidRPr="00E00FEA" w:rsidRDefault="00E00FEA" w:rsidP="00E00FEA"/>
    <w:tbl>
      <w:tblPr>
        <w:tblStyle w:val="Tablaconcuadrcula"/>
        <w:tblW w:w="9634" w:type="dxa"/>
        <w:jc w:val="center"/>
        <w:tblLayout w:type="fixed"/>
        <w:tblLook w:val="04A0" w:firstRow="1" w:lastRow="0" w:firstColumn="1" w:lastColumn="0" w:noHBand="0" w:noVBand="1"/>
      </w:tblPr>
      <w:tblGrid>
        <w:gridCol w:w="1555"/>
        <w:gridCol w:w="850"/>
        <w:gridCol w:w="4536"/>
        <w:gridCol w:w="1276"/>
        <w:gridCol w:w="1417"/>
      </w:tblGrid>
      <w:tr w:rsidR="00E371BE" w:rsidRPr="00703AB4" w:rsidTr="00703AB4">
        <w:trPr>
          <w:tblHeader/>
          <w:jc w:val="center"/>
        </w:trPr>
        <w:tc>
          <w:tcPr>
            <w:tcW w:w="1555" w:type="dxa"/>
            <w:vAlign w:val="center"/>
          </w:tcPr>
          <w:p w:rsidR="00E371BE" w:rsidRPr="00703AB4" w:rsidRDefault="00E371BE" w:rsidP="00A83B0B">
            <w:pPr>
              <w:keepNext/>
              <w:jc w:val="center"/>
              <w:rPr>
                <w:rFonts w:cs="Arial"/>
                <w:b/>
                <w:color w:val="000000"/>
                <w:sz w:val="20"/>
                <w:szCs w:val="20"/>
              </w:rPr>
            </w:pPr>
            <w:r w:rsidRPr="00703AB4">
              <w:rPr>
                <w:rFonts w:cs="Arial"/>
                <w:b/>
                <w:color w:val="000000"/>
                <w:sz w:val="20"/>
                <w:szCs w:val="20"/>
              </w:rPr>
              <w:t>Subestación</w:t>
            </w:r>
          </w:p>
        </w:tc>
        <w:tc>
          <w:tcPr>
            <w:tcW w:w="850" w:type="dxa"/>
            <w:vAlign w:val="center"/>
          </w:tcPr>
          <w:p w:rsidR="00E371BE" w:rsidRPr="00703AB4" w:rsidRDefault="00E371BE" w:rsidP="00A83B0B">
            <w:pPr>
              <w:keepNext/>
              <w:jc w:val="center"/>
              <w:rPr>
                <w:rFonts w:cs="Arial"/>
                <w:b/>
                <w:color w:val="000000"/>
                <w:sz w:val="20"/>
                <w:szCs w:val="20"/>
              </w:rPr>
            </w:pPr>
            <w:r w:rsidRPr="00703AB4">
              <w:rPr>
                <w:rFonts w:cs="Arial"/>
                <w:b/>
                <w:color w:val="000000"/>
                <w:sz w:val="20"/>
                <w:szCs w:val="20"/>
              </w:rPr>
              <w:t>UC</w:t>
            </w:r>
          </w:p>
        </w:tc>
        <w:tc>
          <w:tcPr>
            <w:tcW w:w="4536" w:type="dxa"/>
            <w:vAlign w:val="center"/>
          </w:tcPr>
          <w:p w:rsidR="00E371BE" w:rsidRPr="00703AB4" w:rsidRDefault="00E371BE" w:rsidP="00A83B0B">
            <w:pPr>
              <w:keepNext/>
              <w:jc w:val="center"/>
              <w:rPr>
                <w:rFonts w:cs="Arial"/>
                <w:b/>
                <w:color w:val="000000"/>
                <w:sz w:val="20"/>
                <w:szCs w:val="20"/>
              </w:rPr>
            </w:pPr>
            <w:r w:rsidRPr="00703AB4">
              <w:rPr>
                <w:rFonts w:cs="Arial"/>
                <w:b/>
                <w:color w:val="000000"/>
                <w:sz w:val="20"/>
                <w:szCs w:val="20"/>
              </w:rPr>
              <w:t>Descripción</w:t>
            </w:r>
          </w:p>
        </w:tc>
        <w:tc>
          <w:tcPr>
            <w:tcW w:w="1276" w:type="dxa"/>
            <w:vAlign w:val="center"/>
          </w:tcPr>
          <w:p w:rsidR="00E371BE" w:rsidRPr="00703AB4" w:rsidRDefault="00E371BE" w:rsidP="00A83B0B">
            <w:pPr>
              <w:keepNext/>
              <w:jc w:val="center"/>
              <w:rPr>
                <w:rFonts w:cs="Arial"/>
                <w:b/>
                <w:color w:val="000000"/>
                <w:sz w:val="20"/>
                <w:szCs w:val="20"/>
              </w:rPr>
            </w:pPr>
            <w:r w:rsidRPr="00703AB4">
              <w:rPr>
                <w:rFonts w:cs="Arial"/>
                <w:b/>
                <w:color w:val="000000"/>
                <w:sz w:val="20"/>
                <w:szCs w:val="20"/>
              </w:rPr>
              <w:t>Cantidad</w:t>
            </w:r>
          </w:p>
        </w:tc>
        <w:tc>
          <w:tcPr>
            <w:tcW w:w="1417" w:type="dxa"/>
            <w:vAlign w:val="center"/>
          </w:tcPr>
          <w:p w:rsidR="00E371BE" w:rsidRPr="00703AB4" w:rsidRDefault="00E371BE" w:rsidP="00A83B0B">
            <w:pPr>
              <w:keepNext/>
              <w:jc w:val="center"/>
              <w:rPr>
                <w:rFonts w:cs="Arial"/>
                <w:b/>
                <w:color w:val="000000"/>
                <w:sz w:val="20"/>
                <w:szCs w:val="20"/>
              </w:rPr>
            </w:pPr>
            <w:r w:rsidRPr="00703AB4">
              <w:rPr>
                <w:rFonts w:cs="Arial"/>
                <w:b/>
                <w:color w:val="000000"/>
                <w:sz w:val="20"/>
                <w:szCs w:val="20"/>
              </w:rPr>
              <w:t>Porcentaje de Uso</w:t>
            </w:r>
          </w:p>
        </w:tc>
      </w:tr>
      <w:tr w:rsidR="00E371BE" w:rsidRPr="00703AB4" w:rsidTr="00703AB4">
        <w:trPr>
          <w:jc w:val="center"/>
        </w:trPr>
        <w:tc>
          <w:tcPr>
            <w:tcW w:w="1555" w:type="dxa"/>
            <w:vAlign w:val="center"/>
          </w:tcPr>
          <w:p w:rsidR="00E371BE" w:rsidRPr="00703AB4" w:rsidRDefault="00E371BE" w:rsidP="00703AB4">
            <w:pPr>
              <w:jc w:val="center"/>
              <w:rPr>
                <w:rFonts w:cs="Arial"/>
                <w:sz w:val="20"/>
                <w:szCs w:val="20"/>
              </w:rPr>
            </w:pPr>
            <w:r w:rsidRPr="00703AB4">
              <w:rPr>
                <w:rFonts w:cs="Arial"/>
                <w:sz w:val="20"/>
                <w:szCs w:val="20"/>
              </w:rPr>
              <w:t>Esmeralda</w:t>
            </w:r>
          </w:p>
        </w:tc>
        <w:tc>
          <w:tcPr>
            <w:tcW w:w="850" w:type="dxa"/>
            <w:vAlign w:val="center"/>
          </w:tcPr>
          <w:p w:rsidR="00E371BE" w:rsidRPr="00703AB4" w:rsidRDefault="00E371BE" w:rsidP="00703AB4">
            <w:pPr>
              <w:jc w:val="center"/>
              <w:rPr>
                <w:rFonts w:cs="Arial"/>
                <w:sz w:val="20"/>
                <w:szCs w:val="20"/>
              </w:rPr>
            </w:pPr>
            <w:r w:rsidRPr="00703AB4">
              <w:rPr>
                <w:rFonts w:cs="Arial"/>
                <w:sz w:val="20"/>
                <w:szCs w:val="20"/>
              </w:rPr>
              <w:t>N4</w:t>
            </w:r>
            <w:r w:rsidR="00703AB4" w:rsidRPr="00703AB4">
              <w:rPr>
                <w:rFonts w:cs="Arial"/>
                <w:sz w:val="20"/>
                <w:szCs w:val="20"/>
              </w:rPr>
              <w:t>S7</w:t>
            </w:r>
          </w:p>
        </w:tc>
        <w:tc>
          <w:tcPr>
            <w:tcW w:w="4536" w:type="dxa"/>
            <w:vAlign w:val="center"/>
          </w:tcPr>
          <w:p w:rsidR="00E371BE" w:rsidRPr="00703AB4" w:rsidRDefault="00703AB4" w:rsidP="006D0D30">
            <w:pPr>
              <w:jc w:val="left"/>
              <w:rPr>
                <w:rFonts w:cs="Arial"/>
                <w:sz w:val="20"/>
                <w:szCs w:val="20"/>
              </w:rPr>
            </w:pPr>
            <w:r>
              <w:rPr>
                <w:rFonts w:cs="Arial"/>
                <w:sz w:val="20"/>
                <w:szCs w:val="20"/>
              </w:rPr>
              <w:t>B</w:t>
            </w:r>
            <w:r w:rsidRPr="00703AB4">
              <w:rPr>
                <w:rFonts w:cs="Arial"/>
                <w:sz w:val="20"/>
                <w:szCs w:val="20"/>
              </w:rPr>
              <w:t>ahía de línea - configuración barra principal y transferencia - tipo convencional</w:t>
            </w:r>
          </w:p>
        </w:tc>
        <w:tc>
          <w:tcPr>
            <w:tcW w:w="1276" w:type="dxa"/>
            <w:vAlign w:val="center"/>
          </w:tcPr>
          <w:p w:rsidR="00E371BE" w:rsidRPr="00703AB4" w:rsidRDefault="00E371BE" w:rsidP="006D0D30">
            <w:pPr>
              <w:jc w:val="center"/>
              <w:rPr>
                <w:rFonts w:cs="Arial"/>
                <w:sz w:val="20"/>
                <w:szCs w:val="20"/>
              </w:rPr>
            </w:pPr>
            <w:r w:rsidRPr="00703AB4">
              <w:rPr>
                <w:rFonts w:cs="Arial"/>
                <w:sz w:val="20"/>
                <w:szCs w:val="20"/>
              </w:rPr>
              <w:t>1</w:t>
            </w:r>
          </w:p>
        </w:tc>
        <w:tc>
          <w:tcPr>
            <w:tcW w:w="1417" w:type="dxa"/>
            <w:vAlign w:val="center"/>
          </w:tcPr>
          <w:p w:rsidR="00E371BE" w:rsidRPr="00703AB4" w:rsidRDefault="00E371BE" w:rsidP="006D0D30">
            <w:pPr>
              <w:jc w:val="center"/>
              <w:rPr>
                <w:rFonts w:cs="Arial"/>
                <w:color w:val="000000"/>
                <w:sz w:val="20"/>
                <w:szCs w:val="20"/>
              </w:rPr>
            </w:pPr>
            <w:r w:rsidRPr="00703AB4">
              <w:rPr>
                <w:rFonts w:cs="Arial"/>
                <w:color w:val="000000"/>
                <w:sz w:val="20"/>
                <w:szCs w:val="20"/>
              </w:rPr>
              <w:t>100%</w:t>
            </w:r>
          </w:p>
        </w:tc>
      </w:tr>
      <w:tr w:rsidR="00703AB4" w:rsidRPr="00703AB4" w:rsidTr="00703AB4">
        <w:trPr>
          <w:jc w:val="center"/>
        </w:trPr>
        <w:tc>
          <w:tcPr>
            <w:tcW w:w="1555" w:type="dxa"/>
            <w:vAlign w:val="center"/>
          </w:tcPr>
          <w:p w:rsidR="00703AB4" w:rsidRPr="00703AB4" w:rsidRDefault="00703AB4" w:rsidP="00703AB4">
            <w:pPr>
              <w:jc w:val="center"/>
              <w:rPr>
                <w:rFonts w:cs="Arial"/>
                <w:sz w:val="20"/>
                <w:szCs w:val="20"/>
              </w:rPr>
            </w:pPr>
            <w:r w:rsidRPr="00703AB4">
              <w:rPr>
                <w:rFonts w:cs="Arial"/>
                <w:sz w:val="20"/>
                <w:szCs w:val="20"/>
              </w:rPr>
              <w:t>La Hermosa</w:t>
            </w:r>
          </w:p>
        </w:tc>
        <w:tc>
          <w:tcPr>
            <w:tcW w:w="850" w:type="dxa"/>
            <w:vAlign w:val="center"/>
          </w:tcPr>
          <w:p w:rsidR="00703AB4" w:rsidRPr="00703AB4" w:rsidRDefault="00703AB4" w:rsidP="00703AB4">
            <w:pPr>
              <w:jc w:val="center"/>
              <w:rPr>
                <w:rFonts w:cs="Arial"/>
                <w:sz w:val="20"/>
                <w:szCs w:val="20"/>
              </w:rPr>
            </w:pPr>
            <w:r w:rsidRPr="00703AB4">
              <w:rPr>
                <w:rFonts w:cs="Arial"/>
                <w:sz w:val="20"/>
                <w:szCs w:val="20"/>
              </w:rPr>
              <w:t>N4S7</w:t>
            </w:r>
          </w:p>
        </w:tc>
        <w:tc>
          <w:tcPr>
            <w:tcW w:w="4536" w:type="dxa"/>
            <w:vAlign w:val="center"/>
          </w:tcPr>
          <w:p w:rsidR="00703AB4" w:rsidRPr="00703AB4" w:rsidRDefault="00703AB4" w:rsidP="00703AB4">
            <w:pPr>
              <w:jc w:val="left"/>
              <w:rPr>
                <w:rFonts w:cs="Arial"/>
                <w:sz w:val="20"/>
                <w:szCs w:val="20"/>
              </w:rPr>
            </w:pPr>
            <w:r>
              <w:rPr>
                <w:rFonts w:cs="Arial"/>
                <w:sz w:val="20"/>
                <w:szCs w:val="20"/>
              </w:rPr>
              <w:t>B</w:t>
            </w:r>
            <w:r w:rsidRPr="00703AB4">
              <w:rPr>
                <w:rFonts w:cs="Arial"/>
                <w:sz w:val="20"/>
                <w:szCs w:val="20"/>
              </w:rPr>
              <w:t>ahía de línea - configuración barra principal y transferencia - tipo convencional</w:t>
            </w:r>
          </w:p>
        </w:tc>
        <w:tc>
          <w:tcPr>
            <w:tcW w:w="1276" w:type="dxa"/>
            <w:vAlign w:val="center"/>
          </w:tcPr>
          <w:p w:rsidR="00703AB4" w:rsidRPr="00703AB4" w:rsidRDefault="00703AB4" w:rsidP="00703AB4">
            <w:pPr>
              <w:jc w:val="center"/>
              <w:rPr>
                <w:rFonts w:cs="Arial"/>
                <w:sz w:val="20"/>
                <w:szCs w:val="20"/>
              </w:rPr>
            </w:pPr>
            <w:r w:rsidRPr="00703AB4">
              <w:rPr>
                <w:rFonts w:cs="Arial"/>
                <w:sz w:val="20"/>
                <w:szCs w:val="20"/>
              </w:rPr>
              <w:t>1</w:t>
            </w:r>
          </w:p>
        </w:tc>
        <w:tc>
          <w:tcPr>
            <w:tcW w:w="1417" w:type="dxa"/>
            <w:vAlign w:val="center"/>
          </w:tcPr>
          <w:p w:rsidR="00703AB4" w:rsidRPr="00703AB4" w:rsidRDefault="00703AB4" w:rsidP="00703AB4">
            <w:pPr>
              <w:jc w:val="center"/>
              <w:rPr>
                <w:rFonts w:cs="Arial"/>
                <w:color w:val="000000"/>
                <w:sz w:val="20"/>
                <w:szCs w:val="20"/>
              </w:rPr>
            </w:pPr>
            <w:r w:rsidRPr="00703AB4">
              <w:rPr>
                <w:rFonts w:cs="Arial"/>
                <w:color w:val="000000"/>
                <w:sz w:val="20"/>
                <w:szCs w:val="20"/>
              </w:rPr>
              <w:t>100%</w:t>
            </w:r>
          </w:p>
        </w:tc>
      </w:tr>
    </w:tbl>
    <w:p w:rsidR="009275A2" w:rsidRDefault="009275A2" w:rsidP="009275A2">
      <w:pPr>
        <w:pStyle w:val="Prrafodelista"/>
        <w:numPr>
          <w:ilvl w:val="0"/>
          <w:numId w:val="0"/>
        </w:numPr>
        <w:spacing w:before="240"/>
        <w:ind w:left="720"/>
        <w:rPr>
          <w:sz w:val="24"/>
        </w:rPr>
      </w:pPr>
    </w:p>
    <w:p w:rsidR="00E00FEA" w:rsidRDefault="00E00FEA" w:rsidP="00E00FEA">
      <w:pPr>
        <w:pStyle w:val="Prrafodelista"/>
        <w:numPr>
          <w:ilvl w:val="0"/>
          <w:numId w:val="39"/>
        </w:numPr>
        <w:spacing w:before="240"/>
        <w:rPr>
          <w:sz w:val="24"/>
        </w:rPr>
      </w:pPr>
      <w:r w:rsidRPr="00E00FEA">
        <w:rPr>
          <w:sz w:val="24"/>
        </w:rPr>
        <w:lastRenderedPageBreak/>
        <w:t>Uni</w:t>
      </w:r>
      <w:r>
        <w:rPr>
          <w:sz w:val="24"/>
        </w:rPr>
        <w:t>dades constructivas de la línea Esmeralda - La Hermosa, 115 kV</w:t>
      </w:r>
    </w:p>
    <w:p w:rsidR="00E00FEA" w:rsidRPr="00E00FEA" w:rsidRDefault="00E00FEA" w:rsidP="00E00FEA"/>
    <w:tbl>
      <w:tblPr>
        <w:tblStyle w:val="Tablaconcuadrcula"/>
        <w:tblW w:w="0" w:type="auto"/>
        <w:jc w:val="center"/>
        <w:tblLayout w:type="fixed"/>
        <w:tblLook w:val="04A0" w:firstRow="1" w:lastRow="0" w:firstColumn="1" w:lastColumn="0" w:noHBand="0" w:noVBand="1"/>
      </w:tblPr>
      <w:tblGrid>
        <w:gridCol w:w="1242"/>
        <w:gridCol w:w="4678"/>
        <w:gridCol w:w="1276"/>
        <w:gridCol w:w="1588"/>
      </w:tblGrid>
      <w:tr w:rsidR="00E371BE" w:rsidRPr="00A83B0B" w:rsidTr="00A83B0B">
        <w:trPr>
          <w:tblHeader/>
          <w:jc w:val="center"/>
        </w:trPr>
        <w:tc>
          <w:tcPr>
            <w:tcW w:w="1242" w:type="dxa"/>
            <w:vAlign w:val="center"/>
          </w:tcPr>
          <w:p w:rsidR="00E371BE" w:rsidRPr="00A83B0B" w:rsidRDefault="00E371BE" w:rsidP="00A83B0B">
            <w:pPr>
              <w:keepNext/>
              <w:jc w:val="center"/>
              <w:rPr>
                <w:rFonts w:cs="Arial"/>
                <w:b/>
                <w:color w:val="000000"/>
                <w:sz w:val="20"/>
                <w:szCs w:val="20"/>
              </w:rPr>
            </w:pPr>
            <w:r w:rsidRPr="00A83B0B">
              <w:rPr>
                <w:rFonts w:cs="Arial"/>
                <w:b/>
                <w:color w:val="000000"/>
                <w:sz w:val="20"/>
                <w:szCs w:val="20"/>
              </w:rPr>
              <w:t>UC</w:t>
            </w:r>
          </w:p>
        </w:tc>
        <w:tc>
          <w:tcPr>
            <w:tcW w:w="4678" w:type="dxa"/>
            <w:vAlign w:val="center"/>
          </w:tcPr>
          <w:p w:rsidR="00E371BE" w:rsidRPr="00A83B0B" w:rsidRDefault="00E371BE" w:rsidP="00A83B0B">
            <w:pPr>
              <w:keepNext/>
              <w:jc w:val="center"/>
              <w:rPr>
                <w:rFonts w:cs="Arial"/>
                <w:b/>
                <w:color w:val="000000"/>
                <w:sz w:val="20"/>
                <w:szCs w:val="20"/>
              </w:rPr>
            </w:pPr>
            <w:r w:rsidRPr="00A83B0B">
              <w:rPr>
                <w:rFonts w:cs="Arial"/>
                <w:b/>
                <w:color w:val="000000"/>
                <w:sz w:val="20"/>
                <w:szCs w:val="20"/>
              </w:rPr>
              <w:t>Descripción</w:t>
            </w:r>
          </w:p>
        </w:tc>
        <w:tc>
          <w:tcPr>
            <w:tcW w:w="1276" w:type="dxa"/>
            <w:vAlign w:val="center"/>
          </w:tcPr>
          <w:p w:rsidR="00E371BE" w:rsidRPr="00A83B0B" w:rsidRDefault="00E371BE" w:rsidP="00A83B0B">
            <w:pPr>
              <w:keepNext/>
              <w:jc w:val="center"/>
              <w:rPr>
                <w:rFonts w:cs="Arial"/>
                <w:b/>
                <w:color w:val="000000"/>
                <w:sz w:val="20"/>
                <w:szCs w:val="20"/>
              </w:rPr>
            </w:pPr>
            <w:r w:rsidRPr="00A83B0B">
              <w:rPr>
                <w:rFonts w:cs="Arial"/>
                <w:b/>
                <w:color w:val="000000"/>
                <w:sz w:val="20"/>
                <w:szCs w:val="20"/>
              </w:rPr>
              <w:t>Cantidad</w:t>
            </w:r>
          </w:p>
        </w:tc>
        <w:tc>
          <w:tcPr>
            <w:tcW w:w="1588" w:type="dxa"/>
            <w:vAlign w:val="center"/>
          </w:tcPr>
          <w:p w:rsidR="00E371BE" w:rsidRPr="00A83B0B" w:rsidRDefault="00E371BE" w:rsidP="00A83B0B">
            <w:pPr>
              <w:keepNext/>
              <w:jc w:val="center"/>
              <w:rPr>
                <w:rFonts w:cs="Arial"/>
                <w:b/>
                <w:color w:val="000000"/>
                <w:sz w:val="20"/>
                <w:szCs w:val="20"/>
              </w:rPr>
            </w:pPr>
            <w:r w:rsidRPr="00A83B0B">
              <w:rPr>
                <w:rFonts w:cs="Arial"/>
                <w:b/>
                <w:color w:val="000000"/>
                <w:sz w:val="20"/>
                <w:szCs w:val="20"/>
              </w:rPr>
              <w:t>Sobrepuesto</w:t>
            </w:r>
          </w:p>
        </w:tc>
      </w:tr>
      <w:tr w:rsidR="00A83B0B" w:rsidRPr="00A83B0B" w:rsidTr="006D0D30">
        <w:trPr>
          <w:jc w:val="center"/>
        </w:trPr>
        <w:tc>
          <w:tcPr>
            <w:tcW w:w="1242" w:type="dxa"/>
            <w:vAlign w:val="center"/>
          </w:tcPr>
          <w:p w:rsidR="00A83B0B" w:rsidRPr="00A83B0B" w:rsidRDefault="00A83B0B" w:rsidP="006D0D30">
            <w:pPr>
              <w:jc w:val="center"/>
              <w:rPr>
                <w:rFonts w:cs="Arial"/>
                <w:sz w:val="20"/>
                <w:szCs w:val="20"/>
              </w:rPr>
            </w:pPr>
            <w:r w:rsidRPr="00A83B0B">
              <w:rPr>
                <w:rFonts w:cs="Arial"/>
                <w:sz w:val="20"/>
                <w:szCs w:val="20"/>
              </w:rPr>
              <w:t>N4L22</w:t>
            </w:r>
          </w:p>
        </w:tc>
        <w:tc>
          <w:tcPr>
            <w:tcW w:w="4678" w:type="dxa"/>
            <w:vAlign w:val="center"/>
          </w:tcPr>
          <w:p w:rsidR="00A83B0B" w:rsidRPr="00A83B0B" w:rsidRDefault="00A83B0B" w:rsidP="00A83B0B">
            <w:pPr>
              <w:jc w:val="left"/>
              <w:rPr>
                <w:rFonts w:cs="Arial"/>
                <w:sz w:val="20"/>
                <w:szCs w:val="20"/>
              </w:rPr>
            </w:pPr>
            <w:r w:rsidRPr="00A83B0B">
              <w:rPr>
                <w:rFonts w:cs="Arial"/>
                <w:sz w:val="20"/>
                <w:szCs w:val="20"/>
              </w:rPr>
              <w:t xml:space="preserve">km línea rural - circuito sencillo  - poste metálico - conductor </w:t>
            </w:r>
            <w:r>
              <w:rPr>
                <w:rFonts w:cs="Arial"/>
                <w:sz w:val="20"/>
                <w:szCs w:val="20"/>
              </w:rPr>
              <w:t>D</w:t>
            </w:r>
            <w:r w:rsidRPr="00A83B0B">
              <w:rPr>
                <w:rFonts w:cs="Arial"/>
                <w:sz w:val="20"/>
                <w:szCs w:val="20"/>
              </w:rPr>
              <w:t>-</w:t>
            </w:r>
            <w:r>
              <w:rPr>
                <w:rFonts w:cs="Arial"/>
                <w:sz w:val="20"/>
                <w:szCs w:val="20"/>
              </w:rPr>
              <w:t>N</w:t>
            </w:r>
            <w:r w:rsidRPr="00A83B0B">
              <w:rPr>
                <w:rFonts w:cs="Arial"/>
                <w:sz w:val="20"/>
                <w:szCs w:val="20"/>
              </w:rPr>
              <w:t>4-2</w:t>
            </w:r>
          </w:p>
        </w:tc>
        <w:tc>
          <w:tcPr>
            <w:tcW w:w="1276" w:type="dxa"/>
            <w:vAlign w:val="center"/>
          </w:tcPr>
          <w:p w:rsidR="00A83B0B" w:rsidRPr="00A83B0B" w:rsidRDefault="00A83B0B" w:rsidP="006D0D30">
            <w:pPr>
              <w:jc w:val="center"/>
              <w:rPr>
                <w:rFonts w:cs="Arial"/>
                <w:sz w:val="20"/>
                <w:szCs w:val="20"/>
              </w:rPr>
            </w:pPr>
            <w:r w:rsidRPr="00A83B0B">
              <w:rPr>
                <w:rFonts w:cs="Arial"/>
                <w:sz w:val="20"/>
                <w:szCs w:val="20"/>
              </w:rPr>
              <w:t>1</w:t>
            </w:r>
            <w:r>
              <w:rPr>
                <w:rFonts w:cs="Arial"/>
                <w:sz w:val="20"/>
                <w:szCs w:val="20"/>
              </w:rPr>
              <w:t>,4095</w:t>
            </w:r>
          </w:p>
        </w:tc>
        <w:tc>
          <w:tcPr>
            <w:tcW w:w="1588" w:type="dxa"/>
            <w:vAlign w:val="center"/>
          </w:tcPr>
          <w:p w:rsidR="00A83B0B" w:rsidRPr="00A83B0B" w:rsidRDefault="00A83B0B" w:rsidP="006D0D30">
            <w:pPr>
              <w:jc w:val="center"/>
              <w:rPr>
                <w:rFonts w:cs="Arial"/>
                <w:color w:val="000000"/>
                <w:sz w:val="20"/>
                <w:szCs w:val="20"/>
              </w:rPr>
            </w:pPr>
            <w:r>
              <w:rPr>
                <w:rFonts w:cs="Arial"/>
                <w:color w:val="000000"/>
                <w:sz w:val="20"/>
                <w:szCs w:val="20"/>
              </w:rPr>
              <w:t>N</w:t>
            </w:r>
          </w:p>
        </w:tc>
      </w:tr>
      <w:tr w:rsidR="00E371BE" w:rsidRPr="00A83B0B" w:rsidTr="00A83B0B">
        <w:trPr>
          <w:jc w:val="center"/>
        </w:trPr>
        <w:tc>
          <w:tcPr>
            <w:tcW w:w="1242" w:type="dxa"/>
            <w:vAlign w:val="center"/>
          </w:tcPr>
          <w:p w:rsidR="00E371BE" w:rsidRPr="00A83B0B" w:rsidRDefault="00E371BE" w:rsidP="00A83B0B">
            <w:pPr>
              <w:jc w:val="center"/>
              <w:rPr>
                <w:rFonts w:cs="Arial"/>
                <w:sz w:val="20"/>
                <w:szCs w:val="20"/>
              </w:rPr>
            </w:pPr>
            <w:r w:rsidRPr="00A83B0B">
              <w:rPr>
                <w:rFonts w:cs="Arial"/>
                <w:sz w:val="20"/>
                <w:szCs w:val="20"/>
              </w:rPr>
              <w:t>N4</w:t>
            </w:r>
            <w:r w:rsidR="00E00FEA" w:rsidRPr="00A83B0B">
              <w:rPr>
                <w:rFonts w:cs="Arial"/>
                <w:sz w:val="20"/>
                <w:szCs w:val="20"/>
              </w:rPr>
              <w:t>L</w:t>
            </w:r>
            <w:r w:rsidR="00A83B0B">
              <w:rPr>
                <w:rFonts w:cs="Arial"/>
                <w:sz w:val="20"/>
                <w:szCs w:val="20"/>
              </w:rPr>
              <w:t>40</w:t>
            </w:r>
          </w:p>
        </w:tc>
        <w:tc>
          <w:tcPr>
            <w:tcW w:w="4678" w:type="dxa"/>
            <w:vAlign w:val="center"/>
          </w:tcPr>
          <w:p w:rsidR="00E371BE" w:rsidRPr="00A83B0B" w:rsidRDefault="00A83B0B" w:rsidP="00A83B0B">
            <w:pPr>
              <w:jc w:val="left"/>
              <w:rPr>
                <w:rFonts w:cs="Arial"/>
                <w:sz w:val="20"/>
                <w:szCs w:val="20"/>
              </w:rPr>
            </w:pPr>
            <w:r w:rsidRPr="00A83B0B">
              <w:rPr>
                <w:rFonts w:cs="Arial"/>
                <w:sz w:val="20"/>
                <w:szCs w:val="20"/>
              </w:rPr>
              <w:t xml:space="preserve">km línea rural - circuito sencillo  - torre metálica - conductor </w:t>
            </w:r>
            <w:r>
              <w:rPr>
                <w:rFonts w:cs="Arial"/>
                <w:sz w:val="20"/>
                <w:szCs w:val="20"/>
              </w:rPr>
              <w:t>D</w:t>
            </w:r>
            <w:r w:rsidRPr="00A83B0B">
              <w:rPr>
                <w:rFonts w:cs="Arial"/>
                <w:sz w:val="20"/>
                <w:szCs w:val="20"/>
              </w:rPr>
              <w:t>-</w:t>
            </w:r>
            <w:r>
              <w:rPr>
                <w:rFonts w:cs="Arial"/>
                <w:sz w:val="20"/>
                <w:szCs w:val="20"/>
              </w:rPr>
              <w:t>N</w:t>
            </w:r>
            <w:r w:rsidRPr="00A83B0B">
              <w:rPr>
                <w:rFonts w:cs="Arial"/>
                <w:sz w:val="20"/>
                <w:szCs w:val="20"/>
              </w:rPr>
              <w:t>4-4</w:t>
            </w:r>
          </w:p>
        </w:tc>
        <w:tc>
          <w:tcPr>
            <w:tcW w:w="1276" w:type="dxa"/>
            <w:vAlign w:val="center"/>
          </w:tcPr>
          <w:p w:rsidR="00E371BE" w:rsidRPr="00A83B0B" w:rsidRDefault="00A83B0B" w:rsidP="00A83B0B">
            <w:pPr>
              <w:jc w:val="center"/>
              <w:rPr>
                <w:rFonts w:cs="Arial"/>
                <w:sz w:val="20"/>
                <w:szCs w:val="20"/>
              </w:rPr>
            </w:pPr>
            <w:r>
              <w:rPr>
                <w:rFonts w:cs="Arial"/>
                <w:sz w:val="20"/>
                <w:szCs w:val="20"/>
              </w:rPr>
              <w:t>23</w:t>
            </w:r>
            <w:r w:rsidR="00E371BE" w:rsidRPr="00A83B0B">
              <w:rPr>
                <w:rFonts w:cs="Arial"/>
                <w:sz w:val="20"/>
                <w:szCs w:val="20"/>
              </w:rPr>
              <w:t>,</w:t>
            </w:r>
            <w:r>
              <w:rPr>
                <w:rFonts w:cs="Arial"/>
                <w:sz w:val="20"/>
                <w:szCs w:val="20"/>
              </w:rPr>
              <w:t>3333</w:t>
            </w:r>
          </w:p>
        </w:tc>
        <w:tc>
          <w:tcPr>
            <w:tcW w:w="1588" w:type="dxa"/>
            <w:vAlign w:val="center"/>
          </w:tcPr>
          <w:p w:rsidR="00E371BE" w:rsidRPr="00A83B0B" w:rsidRDefault="00A83B0B" w:rsidP="006D0D30">
            <w:pPr>
              <w:jc w:val="center"/>
              <w:rPr>
                <w:rFonts w:cs="Arial"/>
                <w:color w:val="000000"/>
                <w:sz w:val="20"/>
                <w:szCs w:val="20"/>
              </w:rPr>
            </w:pPr>
            <w:r>
              <w:rPr>
                <w:rFonts w:cs="Arial"/>
                <w:color w:val="000000"/>
                <w:sz w:val="20"/>
                <w:szCs w:val="20"/>
              </w:rPr>
              <w:t>S</w:t>
            </w:r>
          </w:p>
        </w:tc>
      </w:tr>
    </w:tbl>
    <w:p w:rsidR="00A83B0B" w:rsidRDefault="00A83B0B" w:rsidP="00A83B0B">
      <w:pPr>
        <w:pStyle w:val="Prrafodelista"/>
        <w:numPr>
          <w:ilvl w:val="0"/>
          <w:numId w:val="39"/>
        </w:numPr>
        <w:spacing w:before="240"/>
        <w:rPr>
          <w:sz w:val="24"/>
        </w:rPr>
      </w:pPr>
      <w:r w:rsidRPr="00E00FEA">
        <w:rPr>
          <w:sz w:val="24"/>
        </w:rPr>
        <w:t xml:space="preserve">Unidades constructivas de </w:t>
      </w:r>
      <w:r>
        <w:rPr>
          <w:sz w:val="24"/>
        </w:rPr>
        <w:t xml:space="preserve">equipos de </w:t>
      </w:r>
      <w:r w:rsidRPr="00E00FEA">
        <w:rPr>
          <w:sz w:val="24"/>
        </w:rPr>
        <w:t>subestación</w:t>
      </w:r>
    </w:p>
    <w:p w:rsidR="00A83B0B" w:rsidRPr="00E00FEA" w:rsidRDefault="00A83B0B" w:rsidP="00A83B0B"/>
    <w:tbl>
      <w:tblPr>
        <w:tblStyle w:val="Tablaconcuadrcula"/>
        <w:tblW w:w="9067" w:type="dxa"/>
        <w:jc w:val="center"/>
        <w:tblLayout w:type="fixed"/>
        <w:tblLook w:val="04A0" w:firstRow="1" w:lastRow="0" w:firstColumn="1" w:lastColumn="0" w:noHBand="0" w:noVBand="1"/>
      </w:tblPr>
      <w:tblGrid>
        <w:gridCol w:w="1555"/>
        <w:gridCol w:w="1134"/>
        <w:gridCol w:w="3685"/>
        <w:gridCol w:w="1276"/>
        <w:gridCol w:w="1417"/>
      </w:tblGrid>
      <w:tr w:rsidR="00A83B0B" w:rsidRPr="00703AB4" w:rsidTr="00A83B0B">
        <w:trPr>
          <w:tblHeader/>
          <w:jc w:val="center"/>
        </w:trPr>
        <w:tc>
          <w:tcPr>
            <w:tcW w:w="1555" w:type="dxa"/>
            <w:vAlign w:val="center"/>
          </w:tcPr>
          <w:p w:rsidR="00A83B0B" w:rsidRPr="00703AB4" w:rsidRDefault="00A83B0B" w:rsidP="006D0D30">
            <w:pPr>
              <w:keepNext/>
              <w:jc w:val="center"/>
              <w:rPr>
                <w:rFonts w:cs="Arial"/>
                <w:b/>
                <w:color w:val="000000"/>
                <w:sz w:val="20"/>
                <w:szCs w:val="20"/>
              </w:rPr>
            </w:pPr>
            <w:r w:rsidRPr="00703AB4">
              <w:rPr>
                <w:rFonts w:cs="Arial"/>
                <w:b/>
                <w:color w:val="000000"/>
                <w:sz w:val="20"/>
                <w:szCs w:val="20"/>
              </w:rPr>
              <w:t>Subestación</w:t>
            </w:r>
          </w:p>
        </w:tc>
        <w:tc>
          <w:tcPr>
            <w:tcW w:w="1134" w:type="dxa"/>
            <w:vAlign w:val="center"/>
          </w:tcPr>
          <w:p w:rsidR="00A83B0B" w:rsidRPr="00703AB4" w:rsidRDefault="00A83B0B" w:rsidP="006D0D30">
            <w:pPr>
              <w:keepNext/>
              <w:jc w:val="center"/>
              <w:rPr>
                <w:rFonts w:cs="Arial"/>
                <w:b/>
                <w:color w:val="000000"/>
                <w:sz w:val="20"/>
                <w:szCs w:val="20"/>
              </w:rPr>
            </w:pPr>
            <w:r w:rsidRPr="00703AB4">
              <w:rPr>
                <w:rFonts w:cs="Arial"/>
                <w:b/>
                <w:color w:val="000000"/>
                <w:sz w:val="20"/>
                <w:szCs w:val="20"/>
              </w:rPr>
              <w:t>UC</w:t>
            </w:r>
          </w:p>
        </w:tc>
        <w:tc>
          <w:tcPr>
            <w:tcW w:w="3685" w:type="dxa"/>
            <w:vAlign w:val="center"/>
          </w:tcPr>
          <w:p w:rsidR="00A83B0B" w:rsidRPr="00703AB4" w:rsidRDefault="00A83B0B" w:rsidP="006D0D30">
            <w:pPr>
              <w:keepNext/>
              <w:jc w:val="center"/>
              <w:rPr>
                <w:rFonts w:cs="Arial"/>
                <w:b/>
                <w:color w:val="000000"/>
                <w:sz w:val="20"/>
                <w:szCs w:val="20"/>
              </w:rPr>
            </w:pPr>
            <w:r w:rsidRPr="00703AB4">
              <w:rPr>
                <w:rFonts w:cs="Arial"/>
                <w:b/>
                <w:color w:val="000000"/>
                <w:sz w:val="20"/>
                <w:szCs w:val="20"/>
              </w:rPr>
              <w:t>Descripción</w:t>
            </w:r>
          </w:p>
        </w:tc>
        <w:tc>
          <w:tcPr>
            <w:tcW w:w="1276" w:type="dxa"/>
            <w:vAlign w:val="center"/>
          </w:tcPr>
          <w:p w:rsidR="00A83B0B" w:rsidRPr="00703AB4" w:rsidRDefault="00A83B0B" w:rsidP="006D0D30">
            <w:pPr>
              <w:keepNext/>
              <w:jc w:val="center"/>
              <w:rPr>
                <w:rFonts w:cs="Arial"/>
                <w:b/>
                <w:color w:val="000000"/>
                <w:sz w:val="20"/>
                <w:szCs w:val="20"/>
              </w:rPr>
            </w:pPr>
            <w:r w:rsidRPr="00703AB4">
              <w:rPr>
                <w:rFonts w:cs="Arial"/>
                <w:b/>
                <w:color w:val="000000"/>
                <w:sz w:val="20"/>
                <w:szCs w:val="20"/>
              </w:rPr>
              <w:t>Cantidad</w:t>
            </w:r>
          </w:p>
        </w:tc>
        <w:tc>
          <w:tcPr>
            <w:tcW w:w="1417" w:type="dxa"/>
            <w:vAlign w:val="center"/>
          </w:tcPr>
          <w:p w:rsidR="00A83B0B" w:rsidRPr="00703AB4" w:rsidRDefault="00A83B0B" w:rsidP="006D0D30">
            <w:pPr>
              <w:keepNext/>
              <w:jc w:val="center"/>
              <w:rPr>
                <w:rFonts w:cs="Arial"/>
                <w:b/>
                <w:color w:val="000000"/>
                <w:sz w:val="20"/>
                <w:szCs w:val="20"/>
              </w:rPr>
            </w:pPr>
            <w:r w:rsidRPr="00703AB4">
              <w:rPr>
                <w:rFonts w:cs="Arial"/>
                <w:b/>
                <w:color w:val="000000"/>
                <w:sz w:val="20"/>
                <w:szCs w:val="20"/>
              </w:rPr>
              <w:t>Porcentaje de Uso</w:t>
            </w:r>
          </w:p>
        </w:tc>
      </w:tr>
      <w:tr w:rsidR="00A83B0B" w:rsidRPr="00703AB4" w:rsidTr="0098183F">
        <w:trPr>
          <w:trHeight w:val="371"/>
          <w:jc w:val="center"/>
        </w:trPr>
        <w:tc>
          <w:tcPr>
            <w:tcW w:w="1555" w:type="dxa"/>
            <w:vAlign w:val="center"/>
          </w:tcPr>
          <w:p w:rsidR="00A83B0B" w:rsidRPr="00703AB4" w:rsidRDefault="00A83B0B" w:rsidP="006D0D30">
            <w:pPr>
              <w:jc w:val="center"/>
              <w:rPr>
                <w:rFonts w:cs="Arial"/>
                <w:sz w:val="20"/>
                <w:szCs w:val="20"/>
              </w:rPr>
            </w:pPr>
            <w:r w:rsidRPr="00703AB4">
              <w:rPr>
                <w:rFonts w:cs="Arial"/>
                <w:sz w:val="20"/>
                <w:szCs w:val="20"/>
              </w:rPr>
              <w:t>Esmeralda</w:t>
            </w:r>
          </w:p>
        </w:tc>
        <w:tc>
          <w:tcPr>
            <w:tcW w:w="1134" w:type="dxa"/>
            <w:vAlign w:val="center"/>
          </w:tcPr>
          <w:p w:rsidR="00A83B0B" w:rsidRPr="00703AB4" w:rsidRDefault="00A83B0B" w:rsidP="00A83B0B">
            <w:pPr>
              <w:jc w:val="center"/>
              <w:rPr>
                <w:rFonts w:cs="Arial"/>
                <w:sz w:val="20"/>
                <w:szCs w:val="20"/>
              </w:rPr>
            </w:pPr>
            <w:r w:rsidRPr="00703AB4">
              <w:rPr>
                <w:rFonts w:cs="Arial"/>
                <w:sz w:val="20"/>
                <w:szCs w:val="20"/>
              </w:rPr>
              <w:t>N4</w:t>
            </w:r>
            <w:r>
              <w:rPr>
                <w:rFonts w:cs="Arial"/>
                <w:sz w:val="20"/>
                <w:szCs w:val="20"/>
              </w:rPr>
              <w:t>EQ2</w:t>
            </w:r>
          </w:p>
        </w:tc>
        <w:tc>
          <w:tcPr>
            <w:tcW w:w="3685" w:type="dxa"/>
            <w:vAlign w:val="center"/>
          </w:tcPr>
          <w:p w:rsidR="00A83B0B" w:rsidRPr="00A83B0B" w:rsidRDefault="00A83B0B" w:rsidP="006D0D30">
            <w:pPr>
              <w:jc w:val="left"/>
              <w:rPr>
                <w:rFonts w:cs="Arial"/>
                <w:sz w:val="16"/>
                <w:szCs w:val="16"/>
              </w:rPr>
            </w:pPr>
            <w:r w:rsidRPr="00A83B0B">
              <w:rPr>
                <w:rFonts w:cs="Arial"/>
                <w:sz w:val="20"/>
                <w:szCs w:val="16"/>
              </w:rPr>
              <w:t>Transformador de tensión nivel 4</w:t>
            </w:r>
          </w:p>
        </w:tc>
        <w:tc>
          <w:tcPr>
            <w:tcW w:w="1276" w:type="dxa"/>
            <w:vAlign w:val="center"/>
          </w:tcPr>
          <w:p w:rsidR="00A83B0B" w:rsidRPr="00703AB4" w:rsidRDefault="00A83B0B" w:rsidP="006D0D30">
            <w:pPr>
              <w:jc w:val="center"/>
              <w:rPr>
                <w:rFonts w:cs="Arial"/>
                <w:sz w:val="20"/>
                <w:szCs w:val="20"/>
              </w:rPr>
            </w:pPr>
            <w:r>
              <w:rPr>
                <w:rFonts w:cs="Arial"/>
                <w:sz w:val="20"/>
                <w:szCs w:val="20"/>
              </w:rPr>
              <w:t>3</w:t>
            </w:r>
          </w:p>
        </w:tc>
        <w:tc>
          <w:tcPr>
            <w:tcW w:w="1417" w:type="dxa"/>
            <w:vAlign w:val="center"/>
          </w:tcPr>
          <w:p w:rsidR="00A83B0B" w:rsidRPr="00703AB4" w:rsidRDefault="00A83B0B" w:rsidP="006D0D30">
            <w:pPr>
              <w:jc w:val="center"/>
              <w:rPr>
                <w:rFonts w:cs="Arial"/>
                <w:color w:val="000000"/>
                <w:sz w:val="20"/>
                <w:szCs w:val="20"/>
              </w:rPr>
            </w:pPr>
            <w:r w:rsidRPr="00703AB4">
              <w:rPr>
                <w:rFonts w:cs="Arial"/>
                <w:color w:val="000000"/>
                <w:sz w:val="20"/>
                <w:szCs w:val="20"/>
              </w:rPr>
              <w:t>100%</w:t>
            </w:r>
          </w:p>
        </w:tc>
      </w:tr>
      <w:tr w:rsidR="00A83B0B" w:rsidRPr="00703AB4" w:rsidTr="0098183F">
        <w:trPr>
          <w:trHeight w:val="419"/>
          <w:jc w:val="center"/>
        </w:trPr>
        <w:tc>
          <w:tcPr>
            <w:tcW w:w="1555" w:type="dxa"/>
            <w:vAlign w:val="center"/>
          </w:tcPr>
          <w:p w:rsidR="00A83B0B" w:rsidRPr="00703AB4" w:rsidRDefault="00A83B0B" w:rsidP="00A83B0B">
            <w:pPr>
              <w:jc w:val="center"/>
              <w:rPr>
                <w:rFonts w:cs="Arial"/>
                <w:sz w:val="20"/>
                <w:szCs w:val="20"/>
              </w:rPr>
            </w:pPr>
            <w:r w:rsidRPr="00703AB4">
              <w:rPr>
                <w:rFonts w:cs="Arial"/>
                <w:sz w:val="20"/>
                <w:szCs w:val="20"/>
              </w:rPr>
              <w:t>La Hermosa</w:t>
            </w:r>
          </w:p>
        </w:tc>
        <w:tc>
          <w:tcPr>
            <w:tcW w:w="1134" w:type="dxa"/>
            <w:vAlign w:val="center"/>
          </w:tcPr>
          <w:p w:rsidR="00A83B0B" w:rsidRPr="00703AB4" w:rsidRDefault="00A83B0B" w:rsidP="00A83B0B">
            <w:pPr>
              <w:jc w:val="center"/>
              <w:rPr>
                <w:rFonts w:cs="Arial"/>
                <w:sz w:val="20"/>
                <w:szCs w:val="20"/>
              </w:rPr>
            </w:pPr>
            <w:r w:rsidRPr="00703AB4">
              <w:rPr>
                <w:rFonts w:cs="Arial"/>
                <w:sz w:val="20"/>
                <w:szCs w:val="20"/>
              </w:rPr>
              <w:t>N4</w:t>
            </w:r>
            <w:r>
              <w:rPr>
                <w:rFonts w:cs="Arial"/>
                <w:sz w:val="20"/>
                <w:szCs w:val="20"/>
              </w:rPr>
              <w:t>EQ2</w:t>
            </w:r>
          </w:p>
        </w:tc>
        <w:tc>
          <w:tcPr>
            <w:tcW w:w="3685" w:type="dxa"/>
            <w:vAlign w:val="center"/>
          </w:tcPr>
          <w:p w:rsidR="00A83B0B" w:rsidRPr="00A83B0B" w:rsidRDefault="00A83B0B" w:rsidP="00A83B0B">
            <w:pPr>
              <w:jc w:val="left"/>
              <w:rPr>
                <w:rFonts w:cs="Arial"/>
                <w:sz w:val="16"/>
                <w:szCs w:val="16"/>
              </w:rPr>
            </w:pPr>
            <w:r w:rsidRPr="00A83B0B">
              <w:rPr>
                <w:rFonts w:cs="Arial"/>
                <w:sz w:val="20"/>
                <w:szCs w:val="16"/>
              </w:rPr>
              <w:t>Transformador de tensión nivel 4</w:t>
            </w:r>
          </w:p>
        </w:tc>
        <w:tc>
          <w:tcPr>
            <w:tcW w:w="1276" w:type="dxa"/>
            <w:vAlign w:val="center"/>
          </w:tcPr>
          <w:p w:rsidR="00A83B0B" w:rsidRPr="00703AB4" w:rsidRDefault="00A83B0B" w:rsidP="00A83B0B">
            <w:pPr>
              <w:jc w:val="center"/>
              <w:rPr>
                <w:rFonts w:cs="Arial"/>
                <w:sz w:val="20"/>
                <w:szCs w:val="20"/>
              </w:rPr>
            </w:pPr>
            <w:r>
              <w:rPr>
                <w:rFonts w:cs="Arial"/>
                <w:sz w:val="20"/>
                <w:szCs w:val="20"/>
              </w:rPr>
              <w:t>3</w:t>
            </w:r>
          </w:p>
        </w:tc>
        <w:tc>
          <w:tcPr>
            <w:tcW w:w="1417" w:type="dxa"/>
            <w:vAlign w:val="center"/>
          </w:tcPr>
          <w:p w:rsidR="00A83B0B" w:rsidRPr="00703AB4" w:rsidRDefault="00A83B0B" w:rsidP="00A83B0B">
            <w:pPr>
              <w:jc w:val="center"/>
              <w:rPr>
                <w:rFonts w:cs="Arial"/>
                <w:color w:val="000000"/>
                <w:sz w:val="20"/>
                <w:szCs w:val="20"/>
              </w:rPr>
            </w:pPr>
            <w:r w:rsidRPr="00703AB4">
              <w:rPr>
                <w:rFonts w:cs="Arial"/>
                <w:color w:val="000000"/>
                <w:sz w:val="20"/>
                <w:szCs w:val="20"/>
              </w:rPr>
              <w:t>100%</w:t>
            </w:r>
          </w:p>
        </w:tc>
      </w:tr>
    </w:tbl>
    <w:p w:rsidR="001F44B4" w:rsidRDefault="001F44B4" w:rsidP="00D160BD">
      <w:pPr>
        <w:rPr>
          <w:rFonts w:cs="Arial"/>
          <w:color w:val="000000"/>
        </w:rPr>
      </w:pPr>
    </w:p>
    <w:p w:rsidR="00D160BD" w:rsidRPr="00FE2727" w:rsidRDefault="00D160BD" w:rsidP="00D160BD">
      <w:pPr>
        <w:rPr>
          <w:rFonts w:cs="Arial"/>
          <w:color w:val="000000"/>
        </w:rPr>
      </w:pPr>
      <w:r w:rsidRPr="00FE2727">
        <w:rPr>
          <w:rFonts w:cs="Arial"/>
          <w:color w:val="000000"/>
        </w:rPr>
        <w:t>Con base en lo anterior, se modificará el Costo Anual por el Uso de los Activos de Nivel de Tensión 4 y el Costo de Reposición de la Inversión del Nivel de Tensión 4, como se muestra en la parte resolutiva de este acto.</w:t>
      </w:r>
    </w:p>
    <w:p w:rsidR="00D160BD" w:rsidRPr="00FE2727" w:rsidRDefault="00D160BD" w:rsidP="00D160BD">
      <w:pPr>
        <w:rPr>
          <w:rFonts w:cs="Arial"/>
          <w:color w:val="000000"/>
        </w:rPr>
      </w:pPr>
    </w:p>
    <w:p w:rsidR="00D160BD" w:rsidRDefault="00D160BD" w:rsidP="00D160BD">
      <w:pPr>
        <w:rPr>
          <w:rFonts w:cs="Arial"/>
          <w:color w:val="000000"/>
        </w:rPr>
      </w:pPr>
      <w:r w:rsidRPr="00224B55">
        <w:rPr>
          <w:rFonts w:cs="Arial"/>
          <w:color w:val="000000"/>
        </w:rPr>
        <w:t xml:space="preserve">La Comisión, en </w:t>
      </w:r>
      <w:r w:rsidR="00CC6485" w:rsidRPr="00224B55">
        <w:rPr>
          <w:rFonts w:cs="Arial"/>
          <w:color w:val="000000"/>
        </w:rPr>
        <w:t>la s</w:t>
      </w:r>
      <w:r w:rsidRPr="00224B55">
        <w:rPr>
          <w:rFonts w:cs="Arial"/>
          <w:color w:val="000000"/>
        </w:rPr>
        <w:t xml:space="preserve">esión </w:t>
      </w:r>
      <w:r w:rsidR="0098183F">
        <w:rPr>
          <w:rFonts w:cs="Arial"/>
          <w:color w:val="000000"/>
        </w:rPr>
        <w:t>9</w:t>
      </w:r>
      <w:r w:rsidR="009275A2">
        <w:rPr>
          <w:rFonts w:cs="Arial"/>
          <w:color w:val="000000"/>
        </w:rPr>
        <w:t>04</w:t>
      </w:r>
      <w:r w:rsidRPr="00224B55">
        <w:rPr>
          <w:rFonts w:cs="Arial"/>
        </w:rPr>
        <w:t xml:space="preserve"> del día</w:t>
      </w:r>
      <w:r w:rsidRPr="006C57E4">
        <w:rPr>
          <w:rFonts w:cs="Arial"/>
        </w:rPr>
        <w:t xml:space="preserve"> </w:t>
      </w:r>
      <w:r w:rsidR="009275A2">
        <w:rPr>
          <w:rFonts w:cs="Arial"/>
        </w:rPr>
        <w:t>15</w:t>
      </w:r>
      <w:r w:rsidRPr="006C57E4">
        <w:rPr>
          <w:rFonts w:cs="Arial"/>
        </w:rPr>
        <w:t xml:space="preserve"> de </w:t>
      </w:r>
      <w:r w:rsidR="0098183F">
        <w:rPr>
          <w:rFonts w:cs="Arial"/>
        </w:rPr>
        <w:t>febrero</w:t>
      </w:r>
      <w:r w:rsidR="00890B7F">
        <w:rPr>
          <w:rFonts w:cs="Arial"/>
        </w:rPr>
        <w:t xml:space="preserve"> </w:t>
      </w:r>
      <w:r w:rsidRPr="006C57E4">
        <w:rPr>
          <w:rFonts w:cs="Arial"/>
        </w:rPr>
        <w:t>de 201</w:t>
      </w:r>
      <w:r w:rsidR="0098183F">
        <w:rPr>
          <w:rFonts w:cs="Arial"/>
        </w:rPr>
        <w:t>9</w:t>
      </w:r>
      <w:r w:rsidRPr="00DA225C">
        <w:rPr>
          <w:rFonts w:cs="Arial"/>
          <w:color w:val="000000"/>
        </w:rPr>
        <w:t>, acordó</w:t>
      </w:r>
      <w:r>
        <w:rPr>
          <w:rFonts w:cs="Arial"/>
          <w:color w:val="000000"/>
        </w:rPr>
        <w:t xml:space="preserve"> expedir la presente </w:t>
      </w:r>
      <w:r w:rsidR="0098183F">
        <w:rPr>
          <w:rFonts w:cs="Arial"/>
          <w:color w:val="000000"/>
        </w:rPr>
        <w:t>r</w:t>
      </w:r>
      <w:r>
        <w:rPr>
          <w:rFonts w:cs="Arial"/>
          <w:color w:val="000000"/>
        </w:rPr>
        <w:t>esolución.</w:t>
      </w:r>
    </w:p>
    <w:p w:rsidR="00D160BD" w:rsidRPr="00DE53B8" w:rsidRDefault="00D160BD" w:rsidP="00D160BD">
      <w:pPr>
        <w:rPr>
          <w:rFonts w:cs="Arial"/>
          <w:color w:val="000000"/>
        </w:rPr>
      </w:pPr>
    </w:p>
    <w:p w:rsidR="00D160BD" w:rsidRPr="00DE53B8" w:rsidRDefault="00D160BD" w:rsidP="00D160BD">
      <w:pPr>
        <w:rPr>
          <w:rFonts w:cs="Arial"/>
          <w:color w:val="000000"/>
        </w:rPr>
      </w:pPr>
    </w:p>
    <w:p w:rsidR="00D160BD" w:rsidRPr="00DE53B8" w:rsidRDefault="00D160BD" w:rsidP="00D160BD">
      <w:pPr>
        <w:jc w:val="center"/>
        <w:rPr>
          <w:rFonts w:cs="Arial"/>
        </w:rPr>
      </w:pPr>
      <w:r w:rsidRPr="00DE53B8">
        <w:rPr>
          <w:rFonts w:cs="Arial"/>
          <w:b/>
          <w:spacing w:val="80"/>
        </w:rPr>
        <w:t>RESUELVE</w:t>
      </w:r>
      <w:r w:rsidRPr="00DE53B8">
        <w:rPr>
          <w:rFonts w:cs="Arial"/>
        </w:rPr>
        <w:t>:</w:t>
      </w:r>
    </w:p>
    <w:p w:rsidR="00D160BD" w:rsidRDefault="00D160BD" w:rsidP="00D160BD">
      <w:pPr>
        <w:jc w:val="left"/>
        <w:rPr>
          <w:bCs/>
          <w:lang w:val="es-CO"/>
        </w:rPr>
      </w:pPr>
    </w:p>
    <w:p w:rsidR="00224B55" w:rsidRDefault="00224B55" w:rsidP="00D160BD">
      <w:pPr>
        <w:jc w:val="left"/>
        <w:rPr>
          <w:bCs/>
          <w:lang w:val="es-CO"/>
        </w:rPr>
      </w:pPr>
    </w:p>
    <w:p w:rsidR="00D160BD" w:rsidRPr="00DE53B8" w:rsidRDefault="00D160BD" w:rsidP="00D160BD">
      <w:pPr>
        <w:pStyle w:val="Artculo"/>
        <w:ind w:left="0" w:firstLine="0"/>
        <w:rPr>
          <w:b w:val="0"/>
        </w:rPr>
      </w:pPr>
      <w:r w:rsidRPr="001115BB">
        <w:rPr>
          <w:b w:val="0"/>
        </w:rPr>
        <w:t xml:space="preserve">Modificar el </w:t>
      </w:r>
      <w:r w:rsidR="002B4263">
        <w:rPr>
          <w:b w:val="0"/>
        </w:rPr>
        <w:t>a</w:t>
      </w:r>
      <w:r w:rsidRPr="001115BB">
        <w:rPr>
          <w:b w:val="0"/>
        </w:rPr>
        <w:t>rtículo 1 de la Resolución CREG 1</w:t>
      </w:r>
      <w:r w:rsidR="0098183F">
        <w:rPr>
          <w:b w:val="0"/>
        </w:rPr>
        <w:t>09</w:t>
      </w:r>
      <w:r w:rsidRPr="001115BB">
        <w:rPr>
          <w:b w:val="0"/>
        </w:rPr>
        <w:t xml:space="preserve"> de 2009</w:t>
      </w:r>
      <w:r w:rsidRPr="008B0EA9">
        <w:rPr>
          <w:b w:val="0"/>
        </w:rPr>
        <w:t>, el</w:t>
      </w:r>
      <w:r w:rsidRPr="001115BB">
        <w:rPr>
          <w:b w:val="0"/>
        </w:rPr>
        <w:t xml:space="preserve"> cual queda así:</w:t>
      </w:r>
    </w:p>
    <w:p w:rsidR="00D160BD" w:rsidRPr="004549AD" w:rsidRDefault="00D160BD" w:rsidP="00D160BD">
      <w:pPr>
        <w:rPr>
          <w:rFonts w:cs="Arial"/>
          <w:spacing w:val="-3"/>
        </w:rPr>
      </w:pPr>
    </w:p>
    <w:p w:rsidR="00D160BD" w:rsidRPr="00CC6485" w:rsidRDefault="00D160BD" w:rsidP="00D160BD">
      <w:pPr>
        <w:ind w:left="284" w:right="193"/>
        <w:rPr>
          <w:i/>
        </w:rPr>
      </w:pPr>
      <w:r w:rsidRPr="00CC6485">
        <w:rPr>
          <w:b/>
          <w:i/>
          <w:spacing w:val="-3"/>
        </w:rPr>
        <w:t>Artículo 1.</w:t>
      </w:r>
      <w:r w:rsidRPr="00CC6485">
        <w:rPr>
          <w:b/>
          <w:i/>
          <w:spacing w:val="-3"/>
        </w:rPr>
        <w:tab/>
      </w:r>
      <w:r w:rsidRPr="00CC6485">
        <w:rPr>
          <w:b/>
          <w:i/>
        </w:rPr>
        <w:t>Costo Anual por el uso de los activos del Nivel de Tensión 4.</w:t>
      </w:r>
      <w:r w:rsidRPr="00CC6485">
        <w:rPr>
          <w:i/>
        </w:rPr>
        <w:t xml:space="preserve"> El Costo Anual por el Uso de los Activos del Nivel de Tensión 4 operados por la </w:t>
      </w:r>
      <w:r w:rsidR="0086762E">
        <w:rPr>
          <w:rFonts w:cs="Arial"/>
          <w:i/>
          <w:color w:val="000000"/>
        </w:rPr>
        <w:t xml:space="preserve">Central Hidroeléctrica de Caldas </w:t>
      </w:r>
      <w:r w:rsidRPr="00CC6485">
        <w:rPr>
          <w:rFonts w:cs="Arial"/>
          <w:i/>
          <w:color w:val="000000"/>
        </w:rPr>
        <w:t>S.A. E.S.P.</w:t>
      </w:r>
      <w:r w:rsidRPr="00CC6485">
        <w:rPr>
          <w:i/>
        </w:rPr>
        <w:t>, calculado en la forma establecida en la Resolución CREG 097 de 2008, es el siguiente:</w:t>
      </w:r>
    </w:p>
    <w:p w:rsidR="00D160BD" w:rsidRPr="00CC6485" w:rsidRDefault="00D160BD" w:rsidP="00D160BD">
      <w:pPr>
        <w:rPr>
          <w:i/>
        </w:rPr>
      </w:pPr>
    </w:p>
    <w:p w:rsidR="00D160BD" w:rsidRPr="00CC6485" w:rsidRDefault="001F44B4" w:rsidP="00D160BD">
      <w:pPr>
        <w:jc w:val="center"/>
        <w:rPr>
          <w:i/>
        </w:rPr>
      </w:pPr>
      <w:r w:rsidRPr="009253F4">
        <w:rPr>
          <w:noProof/>
          <w:lang w:val="es-CO" w:eastAsia="es-CO"/>
        </w:rPr>
        <w:drawing>
          <wp:inline distT="0" distB="0" distL="0" distR="0" wp14:anchorId="6D5D216F" wp14:editId="28D885E7">
            <wp:extent cx="3738245" cy="59245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8245" cy="592455"/>
                    </a:xfrm>
                    <a:prstGeom prst="rect">
                      <a:avLst/>
                    </a:prstGeom>
                    <a:noFill/>
                    <a:ln>
                      <a:noFill/>
                    </a:ln>
                  </pic:spPr>
                </pic:pic>
              </a:graphicData>
            </a:graphic>
          </wp:inline>
        </w:drawing>
      </w:r>
    </w:p>
    <w:p w:rsidR="008B0EA9" w:rsidRDefault="008B0EA9" w:rsidP="00D160BD">
      <w:pPr>
        <w:jc w:val="center"/>
      </w:pPr>
    </w:p>
    <w:p w:rsidR="00224B55" w:rsidRDefault="00224B55" w:rsidP="00D160BD">
      <w:pPr>
        <w:jc w:val="center"/>
      </w:pPr>
    </w:p>
    <w:p w:rsidR="00D160BD" w:rsidRDefault="002B4263" w:rsidP="00D160BD">
      <w:pPr>
        <w:pStyle w:val="Artculo"/>
        <w:ind w:left="0" w:firstLine="0"/>
        <w:rPr>
          <w:b w:val="0"/>
        </w:rPr>
      </w:pPr>
      <w:r>
        <w:rPr>
          <w:b w:val="0"/>
        </w:rPr>
        <w:t>Modificar el a</w:t>
      </w:r>
      <w:r w:rsidR="00D160BD" w:rsidRPr="001115BB">
        <w:rPr>
          <w:b w:val="0"/>
        </w:rPr>
        <w:t xml:space="preserve">rtículo 5 de la </w:t>
      </w:r>
      <w:r w:rsidR="00D160BD" w:rsidRPr="00B97A0A">
        <w:rPr>
          <w:b w:val="0"/>
        </w:rPr>
        <w:t>Resolución CREG 1</w:t>
      </w:r>
      <w:r w:rsidR="0098183F">
        <w:rPr>
          <w:b w:val="0"/>
        </w:rPr>
        <w:t>09</w:t>
      </w:r>
      <w:r w:rsidR="00D160BD" w:rsidRPr="00B97A0A">
        <w:rPr>
          <w:b w:val="0"/>
        </w:rPr>
        <w:t xml:space="preserve"> de 2009, </w:t>
      </w:r>
      <w:r w:rsidR="00D160BD" w:rsidRPr="001115BB">
        <w:rPr>
          <w:b w:val="0"/>
        </w:rPr>
        <w:t>el cual queda así</w:t>
      </w:r>
      <w:r w:rsidR="00D160BD">
        <w:rPr>
          <w:b w:val="0"/>
        </w:rPr>
        <w:t>:</w:t>
      </w:r>
    </w:p>
    <w:p w:rsidR="00D160BD" w:rsidRPr="00CC6485" w:rsidRDefault="00D160BD" w:rsidP="00D160BD">
      <w:pPr>
        <w:spacing w:before="240"/>
        <w:ind w:left="284" w:right="193"/>
        <w:rPr>
          <w:i/>
        </w:rPr>
      </w:pPr>
      <w:r w:rsidRPr="00CC6485">
        <w:rPr>
          <w:b/>
          <w:i/>
        </w:rPr>
        <w:t xml:space="preserve">Artículo 5. Costos de reposición de la inversión. </w:t>
      </w:r>
      <w:r w:rsidRPr="00CC6485">
        <w:rPr>
          <w:i/>
        </w:rPr>
        <w:t xml:space="preserve">Los costos de reposición de la inversión de la </w:t>
      </w:r>
      <w:r w:rsidR="0086762E">
        <w:rPr>
          <w:rFonts w:cs="Arial"/>
          <w:i/>
          <w:color w:val="000000"/>
        </w:rPr>
        <w:t xml:space="preserve">Central Hidroeléctrica de Caldas </w:t>
      </w:r>
      <w:r w:rsidRPr="00CC6485">
        <w:rPr>
          <w:rFonts w:cs="Arial"/>
          <w:i/>
          <w:color w:val="000000"/>
        </w:rPr>
        <w:t xml:space="preserve">S.A. E.S.P. </w:t>
      </w:r>
      <w:r w:rsidRPr="00CC6485">
        <w:rPr>
          <w:i/>
        </w:rPr>
        <w:t>para cada nivel de tensión, calculados en la forma establecida en la Resolución CREG 097 de 2008, son los siguientes:</w:t>
      </w:r>
    </w:p>
    <w:p w:rsidR="00D160BD" w:rsidRDefault="001F44B4" w:rsidP="00D160BD">
      <w:pPr>
        <w:pStyle w:val="Artculo"/>
        <w:numPr>
          <w:ilvl w:val="0"/>
          <w:numId w:val="0"/>
        </w:numPr>
        <w:ind w:left="360" w:hanging="360"/>
        <w:jc w:val="center"/>
        <w:rPr>
          <w:b w:val="0"/>
        </w:rPr>
      </w:pPr>
      <w:r w:rsidRPr="0055188D">
        <w:rPr>
          <w:noProof/>
          <w:lang w:val="es-CO" w:eastAsia="es-CO"/>
        </w:rPr>
        <w:lastRenderedPageBreak/>
        <w:drawing>
          <wp:inline distT="0" distB="0" distL="0" distR="0" wp14:anchorId="1595BC06" wp14:editId="2C5AE223">
            <wp:extent cx="4293870" cy="1236345"/>
            <wp:effectExtent l="0" t="0" r="0" b="190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3870" cy="1236345"/>
                    </a:xfrm>
                    <a:prstGeom prst="rect">
                      <a:avLst/>
                    </a:prstGeom>
                    <a:noFill/>
                    <a:ln>
                      <a:noFill/>
                    </a:ln>
                  </pic:spPr>
                </pic:pic>
              </a:graphicData>
            </a:graphic>
          </wp:inline>
        </w:drawing>
      </w:r>
    </w:p>
    <w:p w:rsidR="00D160BD" w:rsidRDefault="00D160BD" w:rsidP="00D160BD">
      <w:pPr>
        <w:pStyle w:val="Artculo"/>
        <w:numPr>
          <w:ilvl w:val="0"/>
          <w:numId w:val="0"/>
        </w:numPr>
        <w:rPr>
          <w:b w:val="0"/>
        </w:rPr>
      </w:pPr>
    </w:p>
    <w:p w:rsidR="00224B55" w:rsidRPr="00DE53B8" w:rsidRDefault="00224B55" w:rsidP="00D160BD">
      <w:pPr>
        <w:pStyle w:val="Artculo"/>
        <w:numPr>
          <w:ilvl w:val="0"/>
          <w:numId w:val="0"/>
        </w:numPr>
        <w:rPr>
          <w:b w:val="0"/>
        </w:rPr>
      </w:pPr>
    </w:p>
    <w:p w:rsidR="00622D5A" w:rsidRPr="00DE53B8" w:rsidRDefault="00622D5A" w:rsidP="00622D5A">
      <w:pPr>
        <w:pStyle w:val="Artculo"/>
        <w:ind w:left="0" w:firstLine="0"/>
        <w:rPr>
          <w:b w:val="0"/>
        </w:rPr>
      </w:pPr>
      <w:r w:rsidRPr="00622D5A">
        <w:rPr>
          <w:b w:val="0"/>
        </w:rPr>
        <w:t>Para la aplicación de esta resolución se requiere que estén en firme la presente resolución y la resolución que modifica el in</w:t>
      </w:r>
      <w:r>
        <w:rPr>
          <w:b w:val="0"/>
        </w:rPr>
        <w:t xml:space="preserve">greso anual de </w:t>
      </w:r>
      <w:r>
        <w:rPr>
          <w:b w:val="0"/>
          <w:color w:val="000000"/>
        </w:rPr>
        <w:t>Intercolombia</w:t>
      </w:r>
      <w:r w:rsidRPr="00622D5A">
        <w:rPr>
          <w:b w:val="0"/>
        </w:rPr>
        <w:t xml:space="preserve"> S.A. E.S.P., por el cambio del nivel tensión de la línea Esmeralda - La Hermosa de 115 kV a 230 kV.</w:t>
      </w:r>
    </w:p>
    <w:p w:rsidR="00622D5A" w:rsidRPr="00DE53B8" w:rsidRDefault="00622D5A" w:rsidP="00622D5A"/>
    <w:p w:rsidR="00622D5A" w:rsidRPr="00DE53B8" w:rsidRDefault="00622D5A" w:rsidP="00622D5A">
      <w:pPr>
        <w:pStyle w:val="Artculo"/>
        <w:ind w:left="0" w:firstLine="0"/>
        <w:rPr>
          <w:b w:val="0"/>
        </w:rPr>
      </w:pPr>
      <w:r w:rsidRPr="004B1D3E">
        <w:t>Recursos.</w:t>
      </w:r>
      <w:r>
        <w:rPr>
          <w:b w:val="0"/>
        </w:rPr>
        <w:t xml:space="preserve"> </w:t>
      </w:r>
      <w:r w:rsidRPr="00B97A0A">
        <w:rPr>
          <w:b w:val="0"/>
        </w:rPr>
        <w:t xml:space="preserve">La presente Resolución deberá notificarse a la </w:t>
      </w:r>
      <w:r>
        <w:rPr>
          <w:b w:val="0"/>
          <w:color w:val="000000"/>
        </w:rPr>
        <w:t xml:space="preserve">Central Hidroeléctrica de Caldas </w:t>
      </w:r>
      <w:r w:rsidRPr="00B97A0A">
        <w:rPr>
          <w:b w:val="0"/>
          <w:color w:val="000000"/>
        </w:rPr>
        <w:t>S.A. E.S.P.</w:t>
      </w:r>
      <w:r>
        <w:rPr>
          <w:b w:val="0"/>
          <w:color w:val="000000"/>
        </w:rPr>
        <w:t xml:space="preserve"> y a Intercolombia S.A. E.S.P.</w:t>
      </w:r>
      <w:r w:rsidRPr="00B97A0A">
        <w:rPr>
          <w:b w:val="0"/>
          <w:color w:val="000000"/>
        </w:rPr>
        <w:t xml:space="preserve"> </w:t>
      </w:r>
      <w:r w:rsidRPr="00B97A0A">
        <w:rPr>
          <w:b w:val="0"/>
        </w:rPr>
        <w:t>Contra lo dispuesto en este acto procede el recurso de reposición, el cual se podrá interponer ante la Dirección Ejecutiva de la CREG dentro de los cinco (5) días hábiles siguientes a la fecha de su notificación.</w:t>
      </w:r>
    </w:p>
    <w:p w:rsidR="00622D5A" w:rsidRPr="00DE53B8" w:rsidRDefault="00622D5A" w:rsidP="00622D5A"/>
    <w:p w:rsidR="00D160BD" w:rsidRPr="00DE53B8" w:rsidRDefault="00D160BD" w:rsidP="00D160BD">
      <w:pPr>
        <w:pStyle w:val="Artculo"/>
        <w:numPr>
          <w:ilvl w:val="0"/>
          <w:numId w:val="0"/>
        </w:numPr>
        <w:ind w:left="360" w:hanging="360"/>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622D5A" w:rsidRPr="00B84711" w:rsidRDefault="00622D5A" w:rsidP="00622D5A">
      <w:pPr>
        <w:rPr>
          <w:rFonts w:cs="Arial"/>
          <w:spacing w:val="-3"/>
        </w:rPr>
      </w:pPr>
      <w:r w:rsidRPr="00B84711">
        <w:rPr>
          <w:rFonts w:cs="Arial"/>
          <w:spacing w:val="-3"/>
        </w:rPr>
        <w:t xml:space="preserve">Dada en Bogotá, D.C. </w:t>
      </w:r>
    </w:p>
    <w:p w:rsidR="00622D5A" w:rsidRPr="00B84711" w:rsidRDefault="00622D5A" w:rsidP="00622D5A">
      <w:pPr>
        <w:rPr>
          <w:rFonts w:cs="Arial"/>
        </w:rPr>
      </w:pPr>
      <w:r w:rsidRPr="00B84711">
        <w:rPr>
          <w:rFonts w:cs="Arial"/>
        </w:rPr>
        <w:br/>
      </w:r>
    </w:p>
    <w:tbl>
      <w:tblPr>
        <w:tblW w:w="9498" w:type="dxa"/>
        <w:jc w:val="center"/>
        <w:tblCellSpacing w:w="0" w:type="dxa"/>
        <w:tblCellMar>
          <w:left w:w="0" w:type="dxa"/>
          <w:right w:w="0" w:type="dxa"/>
        </w:tblCellMar>
        <w:tblLook w:val="04A0" w:firstRow="1" w:lastRow="0" w:firstColumn="1" w:lastColumn="0" w:noHBand="0" w:noVBand="1"/>
      </w:tblPr>
      <w:tblGrid>
        <w:gridCol w:w="5033"/>
        <w:gridCol w:w="4465"/>
      </w:tblGrid>
      <w:tr w:rsidR="009275A2" w:rsidTr="009275A2">
        <w:trPr>
          <w:tblCellSpacing w:w="0" w:type="dxa"/>
          <w:jc w:val="center"/>
        </w:trPr>
        <w:tc>
          <w:tcPr>
            <w:tcW w:w="5033" w:type="dxa"/>
          </w:tcPr>
          <w:p w:rsidR="009275A2" w:rsidRDefault="009275A2">
            <w:pPr>
              <w:rPr>
                <w:rFonts w:cs="Arial"/>
                <w:b/>
                <w:spacing w:val="-3"/>
              </w:rPr>
            </w:pPr>
          </w:p>
          <w:p w:rsidR="009275A2" w:rsidRDefault="009275A2">
            <w:pPr>
              <w:rPr>
                <w:rFonts w:cs="Arial"/>
                <w:b/>
                <w:spacing w:val="-3"/>
              </w:rPr>
            </w:pPr>
          </w:p>
          <w:p w:rsidR="009275A2" w:rsidRDefault="009275A2">
            <w:pPr>
              <w:rPr>
                <w:rFonts w:cs="Arial"/>
                <w:b/>
                <w:spacing w:val="-3"/>
              </w:rPr>
            </w:pPr>
          </w:p>
          <w:p w:rsidR="009275A2" w:rsidRDefault="009275A2">
            <w:pPr>
              <w:ind w:left="66"/>
              <w:jc w:val="center"/>
              <w:rPr>
                <w:rFonts w:cs="Arial"/>
                <w:b/>
                <w:spacing w:val="-3"/>
              </w:rPr>
            </w:pPr>
          </w:p>
          <w:p w:rsidR="009275A2" w:rsidRDefault="009275A2">
            <w:pPr>
              <w:ind w:left="66"/>
              <w:jc w:val="center"/>
              <w:rPr>
                <w:rFonts w:cs="Arial"/>
                <w:b/>
                <w:spacing w:val="-3"/>
              </w:rPr>
            </w:pPr>
            <w:r>
              <w:rPr>
                <w:rFonts w:cs="Arial"/>
                <w:b/>
              </w:rPr>
              <w:t>DIEGO MESA PUYO</w:t>
            </w:r>
          </w:p>
        </w:tc>
        <w:tc>
          <w:tcPr>
            <w:tcW w:w="4465" w:type="dxa"/>
          </w:tcPr>
          <w:p w:rsidR="009275A2" w:rsidRDefault="009275A2">
            <w:pPr>
              <w:ind w:left="89"/>
              <w:jc w:val="center"/>
              <w:rPr>
                <w:rFonts w:cs="Arial"/>
                <w:b/>
                <w:spacing w:val="-3"/>
              </w:rPr>
            </w:pPr>
          </w:p>
          <w:p w:rsidR="009275A2" w:rsidRDefault="009275A2">
            <w:pPr>
              <w:ind w:left="89"/>
              <w:jc w:val="center"/>
              <w:rPr>
                <w:rFonts w:cs="Arial"/>
                <w:b/>
                <w:spacing w:val="-3"/>
              </w:rPr>
            </w:pPr>
          </w:p>
          <w:p w:rsidR="009275A2" w:rsidRDefault="009275A2">
            <w:pPr>
              <w:ind w:left="89"/>
              <w:jc w:val="center"/>
              <w:rPr>
                <w:rFonts w:cs="Arial"/>
                <w:b/>
                <w:spacing w:val="-3"/>
              </w:rPr>
            </w:pPr>
          </w:p>
          <w:p w:rsidR="009275A2" w:rsidRDefault="009275A2">
            <w:pPr>
              <w:ind w:left="89"/>
              <w:jc w:val="center"/>
              <w:rPr>
                <w:rFonts w:cs="Arial"/>
                <w:b/>
                <w:spacing w:val="-3"/>
              </w:rPr>
            </w:pPr>
          </w:p>
          <w:p w:rsidR="009275A2" w:rsidRDefault="009275A2">
            <w:pPr>
              <w:ind w:left="89"/>
              <w:jc w:val="center"/>
              <w:rPr>
                <w:rFonts w:cs="Arial"/>
                <w:b/>
                <w:spacing w:val="-3"/>
              </w:rPr>
            </w:pPr>
            <w:r>
              <w:rPr>
                <w:rFonts w:cs="Arial"/>
                <w:b/>
                <w:spacing w:val="-3"/>
              </w:rPr>
              <w:t>CHRISTIAN JARAMILLO HERRERA</w:t>
            </w:r>
          </w:p>
        </w:tc>
      </w:tr>
      <w:tr w:rsidR="009275A2" w:rsidTr="009275A2">
        <w:trPr>
          <w:tblCellSpacing w:w="0" w:type="dxa"/>
          <w:jc w:val="center"/>
        </w:trPr>
        <w:tc>
          <w:tcPr>
            <w:tcW w:w="5033" w:type="dxa"/>
            <w:hideMark/>
          </w:tcPr>
          <w:p w:rsidR="009275A2" w:rsidRDefault="009275A2">
            <w:pPr>
              <w:ind w:left="66"/>
              <w:jc w:val="center"/>
              <w:rPr>
                <w:rFonts w:cs="Arial"/>
                <w:spacing w:val="-3"/>
              </w:rPr>
            </w:pPr>
            <w:r>
              <w:rPr>
                <w:rFonts w:cs="Arial"/>
                <w:spacing w:val="-3"/>
              </w:rPr>
              <w:t>Viceministro de Energía</w:t>
            </w:r>
          </w:p>
          <w:p w:rsidR="009275A2" w:rsidRDefault="009275A2">
            <w:pPr>
              <w:ind w:left="66"/>
              <w:jc w:val="center"/>
              <w:rPr>
                <w:rFonts w:eastAsia="Arial Unicode MS" w:cs="Arial"/>
                <w:color w:val="000000"/>
              </w:rPr>
            </w:pPr>
            <w:r>
              <w:rPr>
                <w:rFonts w:cs="Arial"/>
                <w:spacing w:val="-3"/>
              </w:rPr>
              <w:t>Delegado de la Ministra de Minas y Energía</w:t>
            </w:r>
          </w:p>
        </w:tc>
        <w:tc>
          <w:tcPr>
            <w:tcW w:w="4465" w:type="dxa"/>
            <w:hideMark/>
          </w:tcPr>
          <w:p w:rsidR="009275A2" w:rsidRDefault="009275A2">
            <w:pPr>
              <w:jc w:val="center"/>
              <w:rPr>
                <w:rFonts w:eastAsia="Arial Unicode MS" w:cs="Arial"/>
                <w:color w:val="000000"/>
              </w:rPr>
            </w:pPr>
            <w:r>
              <w:rPr>
                <w:rFonts w:cs="Arial"/>
                <w:spacing w:val="-3"/>
              </w:rPr>
              <w:t>Director Ejecutivo</w:t>
            </w:r>
          </w:p>
        </w:tc>
      </w:tr>
      <w:tr w:rsidR="009275A2" w:rsidTr="009275A2">
        <w:trPr>
          <w:tblCellSpacing w:w="0" w:type="dxa"/>
          <w:jc w:val="center"/>
        </w:trPr>
        <w:tc>
          <w:tcPr>
            <w:tcW w:w="5033" w:type="dxa"/>
            <w:hideMark/>
          </w:tcPr>
          <w:p w:rsidR="009275A2" w:rsidRDefault="009275A2">
            <w:pPr>
              <w:ind w:left="66"/>
              <w:jc w:val="center"/>
              <w:rPr>
                <w:rFonts w:eastAsia="Arial Unicode MS" w:cs="Arial"/>
                <w:color w:val="000000"/>
              </w:rPr>
            </w:pPr>
            <w:r>
              <w:rPr>
                <w:rFonts w:cs="Arial"/>
                <w:spacing w:val="-3"/>
              </w:rPr>
              <w:t>Presidente</w:t>
            </w:r>
          </w:p>
        </w:tc>
        <w:tc>
          <w:tcPr>
            <w:tcW w:w="4465" w:type="dxa"/>
          </w:tcPr>
          <w:p w:rsidR="009275A2" w:rsidRDefault="009275A2">
            <w:pPr>
              <w:jc w:val="center"/>
              <w:rPr>
                <w:rFonts w:eastAsia="Arial Unicode MS" w:cs="Arial"/>
                <w:color w:val="000000"/>
                <w:sz w:val="22"/>
              </w:rPr>
            </w:pPr>
          </w:p>
        </w:tc>
      </w:tr>
    </w:tbl>
    <w:p w:rsidR="00622D5A" w:rsidRDefault="00622D5A" w:rsidP="00622D5A"/>
    <w:p w:rsidR="00622D5A" w:rsidRPr="00091102" w:rsidRDefault="00622D5A" w:rsidP="00622D5A">
      <w:pPr>
        <w:jc w:val="center"/>
        <w:rPr>
          <w:b/>
        </w:rPr>
      </w:pPr>
    </w:p>
    <w:p w:rsidR="00622D5A" w:rsidRPr="00C06ED6" w:rsidRDefault="00622D5A" w:rsidP="00622D5A">
      <w:pPr>
        <w:tabs>
          <w:tab w:val="center" w:pos="4512"/>
          <w:tab w:val="left" w:pos="7088"/>
        </w:tabs>
        <w:suppressAutoHyphens/>
        <w:ind w:right="51"/>
        <w:rPr>
          <w:rFonts w:cs="Arial"/>
          <w:b/>
          <w:color w:val="000000"/>
        </w:rPr>
      </w:pPr>
    </w:p>
    <w:p w:rsidR="00EC7BBA" w:rsidRDefault="00EC7BBA" w:rsidP="00D160BD">
      <w:pPr>
        <w:rPr>
          <w:bCs/>
          <w:lang w:val="es-CO"/>
        </w:rPr>
      </w:pPr>
    </w:p>
    <w:sectPr w:rsidR="00EC7BBA" w:rsidSect="005A59EF">
      <w:headerReference w:type="default" r:id="rId12"/>
      <w:headerReference w:type="first" r:id="rId13"/>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115" w:rsidRDefault="00CC3115">
      <w:r>
        <w:separator/>
      </w:r>
    </w:p>
  </w:endnote>
  <w:endnote w:type="continuationSeparator" w:id="0">
    <w:p w:rsidR="00CC3115" w:rsidRDefault="00CC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115" w:rsidRDefault="00CC3115">
      <w:r>
        <w:separator/>
      </w:r>
    </w:p>
  </w:footnote>
  <w:footnote w:type="continuationSeparator" w:id="0">
    <w:p w:rsidR="00CC3115" w:rsidRDefault="00CC31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957B8E">
      <w:rPr>
        <w:noProof/>
      </w:rPr>
      <w:t>4</w:t>
    </w:r>
    <w:r w:rsidR="002C6A9B">
      <w:rPr>
        <w:noProof/>
      </w:rPr>
      <w:fldChar w:fldCharType="end"/>
    </w:r>
    <w:r w:rsidRPr="00654384">
      <w:t>/</w:t>
    </w:r>
    <w:r w:rsidR="00957B8E">
      <w:fldChar w:fldCharType="begin"/>
    </w:r>
    <w:r w:rsidR="00957B8E">
      <w:instrText xml:space="preserve"> NUMPAGES  \* MERGEFORMAT </w:instrText>
    </w:r>
    <w:r w:rsidR="00957B8E">
      <w:fldChar w:fldCharType="separate"/>
    </w:r>
    <w:r w:rsidR="00957B8E">
      <w:rPr>
        <w:noProof/>
      </w:rPr>
      <w:t>4</w:t>
    </w:r>
    <w:r w:rsidR="00957B8E">
      <w:rPr>
        <w:noProof/>
      </w:rPr>
      <w:fldChar w:fldCharType="end"/>
    </w:r>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4D500731" wp14:editId="1230C496">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5F5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1A605E" w:rsidRDefault="00032C0F" w:rsidP="0088415F">
    <w:pPr>
      <w:pBdr>
        <w:bottom w:val="single" w:sz="4" w:space="1" w:color="auto"/>
      </w:pBdr>
      <w:tabs>
        <w:tab w:val="left" w:pos="-851"/>
        <w:tab w:val="left" w:pos="-720"/>
        <w:tab w:val="left" w:pos="-567"/>
      </w:tabs>
      <w:rPr>
        <w:rFonts w:cs="Arial"/>
        <w:spacing w:val="-3"/>
        <w:sz w:val="22"/>
        <w:szCs w:val="22"/>
      </w:rPr>
    </w:pPr>
    <w:r w:rsidRPr="00112C91">
      <w:rPr>
        <w:rFonts w:cs="Arial"/>
        <w:spacing w:val="-3"/>
        <w:sz w:val="22"/>
        <w:szCs w:val="22"/>
      </w:rPr>
      <w:t xml:space="preserve">Por la cual se actualiza el Costo Anual por el uso de los Activos del Nivel de Tensión 4 operados por la </w:t>
    </w:r>
    <w:r w:rsidR="0086762E">
      <w:rPr>
        <w:rFonts w:cs="Arial"/>
        <w:spacing w:val="-3"/>
        <w:sz w:val="22"/>
        <w:szCs w:val="22"/>
      </w:rPr>
      <w:t xml:space="preserve">Central Hidroeléctrica de Caldas </w:t>
    </w:r>
    <w:r w:rsidRPr="00112C91">
      <w:rPr>
        <w:rFonts w:cs="Arial"/>
        <w:spacing w:val="-3"/>
        <w:sz w:val="22"/>
        <w:szCs w:val="22"/>
      </w:rPr>
      <w:t>S.A. E.S.P. en el Sistema de Transmisión Regional (STR)</w:t>
    </w:r>
    <w:r w:rsidRPr="001A605E">
      <w:rPr>
        <w:rFonts w:cs="Arial"/>
        <w:spacing w:val="-3"/>
        <w:sz w:val="22"/>
        <w:szCs w:val="22"/>
      </w:rPr>
      <w:t>.</w:t>
    </w:r>
  </w:p>
  <w:p w:rsidR="00032C0F" w:rsidRPr="00CC6485" w:rsidRDefault="00032C0F" w:rsidP="00934E08">
    <w:pPr>
      <w:tabs>
        <w:tab w:val="left" w:pos="-851"/>
        <w:tab w:val="left" w:pos="-720"/>
        <w:tab w:val="left" w:pos="-567"/>
      </w:tabs>
      <w:rPr>
        <w:rFonts w:cs="Arial"/>
        <w:spacing w:val="-3"/>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F26C5"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15:restartNumberingAfterBreak="0">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15:restartNumberingAfterBreak="0">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15:restartNumberingAfterBreak="0">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15:restartNumberingAfterBreak="0">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15:restartNumberingAfterBreak="0">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15:restartNumberingAfterBreak="0">
    <w:nsid w:val="280035FE"/>
    <w:multiLevelType w:val="hybridMultilevel"/>
    <w:tmpl w:val="FCF6EE22"/>
    <w:lvl w:ilvl="0" w:tplc="83780B96">
      <w:numFmt w:val="bullet"/>
      <w:lvlText w:val="-"/>
      <w:lvlJc w:val="left"/>
      <w:pPr>
        <w:ind w:left="720" w:hanging="360"/>
      </w:pPr>
      <w:rPr>
        <w:rFonts w:ascii="Bookman Old Style" w:eastAsia="Times New Roman"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15:restartNumberingAfterBreak="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15:restartNumberingAfterBreak="0">
    <w:nsid w:val="3B0E581B"/>
    <w:multiLevelType w:val="hybridMultilevel"/>
    <w:tmpl w:val="461AB8B2"/>
    <w:lvl w:ilvl="0" w:tplc="7EB2F396">
      <w:start w:val="5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8" w15:restartNumberingAfterBreak="0">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9" w15:restartNumberingAfterBreak="0">
    <w:nsid w:val="4C5346C4"/>
    <w:multiLevelType w:val="hybridMultilevel"/>
    <w:tmpl w:val="1F0EBC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1" w15:restartNumberingAfterBreak="0">
    <w:nsid w:val="56FC4AEF"/>
    <w:multiLevelType w:val="hybridMultilevel"/>
    <w:tmpl w:val="FBF216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23" w15:restartNumberingAfterBreak="0">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4"/>
  </w:num>
  <w:num w:numId="3">
    <w:abstractNumId w:val="1"/>
  </w:num>
  <w:num w:numId="4">
    <w:abstractNumId w:val="15"/>
  </w:num>
  <w:num w:numId="5">
    <w:abstractNumId w:val="3"/>
  </w:num>
  <w:num w:numId="6">
    <w:abstractNumId w:val="6"/>
  </w:num>
  <w:num w:numId="7">
    <w:abstractNumId w:val="20"/>
  </w:num>
  <w:num w:numId="8">
    <w:abstractNumId w:val="14"/>
  </w:num>
  <w:num w:numId="9">
    <w:abstractNumId w:val="22"/>
  </w:num>
  <w:num w:numId="10">
    <w:abstractNumId w:val="23"/>
  </w:num>
  <w:num w:numId="11">
    <w:abstractNumId w:val="16"/>
  </w:num>
  <w:num w:numId="12">
    <w:abstractNumId w:val="3"/>
  </w:num>
  <w:num w:numId="13">
    <w:abstractNumId w:val="11"/>
  </w:num>
  <w:num w:numId="14">
    <w:abstractNumId w:val="17"/>
  </w:num>
  <w:num w:numId="15">
    <w:abstractNumId w:val="3"/>
  </w:num>
  <w:num w:numId="16">
    <w:abstractNumId w:val="3"/>
  </w:num>
  <w:num w:numId="17">
    <w:abstractNumId w:val="6"/>
  </w:num>
  <w:num w:numId="18">
    <w:abstractNumId w:val="3"/>
  </w:num>
  <w:num w:numId="19">
    <w:abstractNumId w:val="3"/>
  </w:num>
  <w:num w:numId="20">
    <w:abstractNumId w:val="3"/>
  </w:num>
  <w:num w:numId="21">
    <w:abstractNumId w:val="20"/>
    <w:lvlOverride w:ilvl="0">
      <w:startOverride w:val="1"/>
    </w:lvlOverride>
  </w:num>
  <w:num w:numId="22">
    <w:abstractNumId w:val="2"/>
  </w:num>
  <w:num w:numId="23">
    <w:abstractNumId w:val="26"/>
  </w:num>
  <w:num w:numId="24">
    <w:abstractNumId w:val="5"/>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20"/>
  </w:num>
  <w:num w:numId="29">
    <w:abstractNumId w:val="10"/>
  </w:num>
  <w:num w:numId="30">
    <w:abstractNumId w:val="10"/>
  </w:num>
  <w:num w:numId="31">
    <w:abstractNumId w:val="10"/>
  </w:num>
  <w:num w:numId="32">
    <w:abstractNumId w:val="10"/>
  </w:num>
  <w:num w:numId="33">
    <w:abstractNumId w:val="10"/>
  </w:num>
  <w:num w:numId="34">
    <w:abstractNumId w:val="0"/>
  </w:num>
  <w:num w:numId="35">
    <w:abstractNumId w:val="25"/>
  </w:num>
  <w:num w:numId="36">
    <w:abstractNumId w:val="21"/>
  </w:num>
  <w:num w:numId="37">
    <w:abstractNumId w:val="19"/>
  </w:num>
  <w:num w:numId="38">
    <w:abstractNumId w:val="13"/>
  </w:num>
  <w:num w:numId="39">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2DB3"/>
    <w:rsid w:val="00063657"/>
    <w:rsid w:val="0006438C"/>
    <w:rsid w:val="00070CA9"/>
    <w:rsid w:val="00076680"/>
    <w:rsid w:val="00076B88"/>
    <w:rsid w:val="00077C46"/>
    <w:rsid w:val="000802AD"/>
    <w:rsid w:val="0008073E"/>
    <w:rsid w:val="000813E1"/>
    <w:rsid w:val="00091CDB"/>
    <w:rsid w:val="0009527B"/>
    <w:rsid w:val="00096A9C"/>
    <w:rsid w:val="000A19AC"/>
    <w:rsid w:val="000A3D48"/>
    <w:rsid w:val="000A532F"/>
    <w:rsid w:val="000A75B4"/>
    <w:rsid w:val="000B74D6"/>
    <w:rsid w:val="000B762B"/>
    <w:rsid w:val="000C0CB5"/>
    <w:rsid w:val="000C42BA"/>
    <w:rsid w:val="000C4938"/>
    <w:rsid w:val="000C74AB"/>
    <w:rsid w:val="000D26F8"/>
    <w:rsid w:val="000D4468"/>
    <w:rsid w:val="000D5E0D"/>
    <w:rsid w:val="000E0B2A"/>
    <w:rsid w:val="000E1218"/>
    <w:rsid w:val="000E5356"/>
    <w:rsid w:val="000E651D"/>
    <w:rsid w:val="000F195B"/>
    <w:rsid w:val="000F2B5F"/>
    <w:rsid w:val="000F491A"/>
    <w:rsid w:val="000F559D"/>
    <w:rsid w:val="00103B01"/>
    <w:rsid w:val="001041F0"/>
    <w:rsid w:val="00110B5C"/>
    <w:rsid w:val="001115BB"/>
    <w:rsid w:val="00112C91"/>
    <w:rsid w:val="00113281"/>
    <w:rsid w:val="0012332D"/>
    <w:rsid w:val="001264D6"/>
    <w:rsid w:val="0013272E"/>
    <w:rsid w:val="001405C6"/>
    <w:rsid w:val="00140B61"/>
    <w:rsid w:val="00141013"/>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44B4"/>
    <w:rsid w:val="001F57D8"/>
    <w:rsid w:val="00201132"/>
    <w:rsid w:val="0020370D"/>
    <w:rsid w:val="0020511E"/>
    <w:rsid w:val="0020667C"/>
    <w:rsid w:val="00211D34"/>
    <w:rsid w:val="002145F1"/>
    <w:rsid w:val="00214F04"/>
    <w:rsid w:val="0021539F"/>
    <w:rsid w:val="0021658E"/>
    <w:rsid w:val="002167BE"/>
    <w:rsid w:val="00220464"/>
    <w:rsid w:val="00221675"/>
    <w:rsid w:val="00224B55"/>
    <w:rsid w:val="00224F0F"/>
    <w:rsid w:val="00233B70"/>
    <w:rsid w:val="002439AE"/>
    <w:rsid w:val="002500B3"/>
    <w:rsid w:val="00266BBA"/>
    <w:rsid w:val="00266CD6"/>
    <w:rsid w:val="00282A18"/>
    <w:rsid w:val="00294352"/>
    <w:rsid w:val="00294B39"/>
    <w:rsid w:val="002A0346"/>
    <w:rsid w:val="002A77CA"/>
    <w:rsid w:val="002B11E2"/>
    <w:rsid w:val="002B24B8"/>
    <w:rsid w:val="002B4263"/>
    <w:rsid w:val="002B54AB"/>
    <w:rsid w:val="002C2EF2"/>
    <w:rsid w:val="002C2FC7"/>
    <w:rsid w:val="002C6A9B"/>
    <w:rsid w:val="002C6D5B"/>
    <w:rsid w:val="002D26E5"/>
    <w:rsid w:val="002D3AE9"/>
    <w:rsid w:val="002D6FA0"/>
    <w:rsid w:val="002D732C"/>
    <w:rsid w:val="002E2E97"/>
    <w:rsid w:val="002E48FE"/>
    <w:rsid w:val="002E7458"/>
    <w:rsid w:val="002E7AF8"/>
    <w:rsid w:val="002F0734"/>
    <w:rsid w:val="002F41E0"/>
    <w:rsid w:val="002F46E7"/>
    <w:rsid w:val="002F5392"/>
    <w:rsid w:val="002F5FEA"/>
    <w:rsid w:val="002F6AD5"/>
    <w:rsid w:val="003101DA"/>
    <w:rsid w:val="00313967"/>
    <w:rsid w:val="00314757"/>
    <w:rsid w:val="003211CE"/>
    <w:rsid w:val="00321AD1"/>
    <w:rsid w:val="0033004D"/>
    <w:rsid w:val="003309AB"/>
    <w:rsid w:val="00334E54"/>
    <w:rsid w:val="00336526"/>
    <w:rsid w:val="00341540"/>
    <w:rsid w:val="00343A7B"/>
    <w:rsid w:val="0035403A"/>
    <w:rsid w:val="003542CD"/>
    <w:rsid w:val="00355B6F"/>
    <w:rsid w:val="003565E6"/>
    <w:rsid w:val="0036394B"/>
    <w:rsid w:val="003709B5"/>
    <w:rsid w:val="003759C2"/>
    <w:rsid w:val="003826FA"/>
    <w:rsid w:val="00382D23"/>
    <w:rsid w:val="003840CF"/>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A27"/>
    <w:rsid w:val="00437CC7"/>
    <w:rsid w:val="00446E84"/>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B353B"/>
    <w:rsid w:val="004B5020"/>
    <w:rsid w:val="004C68AC"/>
    <w:rsid w:val="004D7634"/>
    <w:rsid w:val="004E1FCC"/>
    <w:rsid w:val="004E2ED7"/>
    <w:rsid w:val="004E7FF7"/>
    <w:rsid w:val="004F6D80"/>
    <w:rsid w:val="00501938"/>
    <w:rsid w:val="0051468A"/>
    <w:rsid w:val="00515AAC"/>
    <w:rsid w:val="005300D3"/>
    <w:rsid w:val="00544F82"/>
    <w:rsid w:val="0054530F"/>
    <w:rsid w:val="00546974"/>
    <w:rsid w:val="00550373"/>
    <w:rsid w:val="00551CE8"/>
    <w:rsid w:val="00553553"/>
    <w:rsid w:val="00554F31"/>
    <w:rsid w:val="00555064"/>
    <w:rsid w:val="00557D04"/>
    <w:rsid w:val="00567238"/>
    <w:rsid w:val="00571925"/>
    <w:rsid w:val="005773BB"/>
    <w:rsid w:val="00580984"/>
    <w:rsid w:val="00580D9E"/>
    <w:rsid w:val="00586B4D"/>
    <w:rsid w:val="00593C4F"/>
    <w:rsid w:val="005946A8"/>
    <w:rsid w:val="005A0C10"/>
    <w:rsid w:val="005A4407"/>
    <w:rsid w:val="005A59EF"/>
    <w:rsid w:val="005A6A35"/>
    <w:rsid w:val="005A7083"/>
    <w:rsid w:val="005C068A"/>
    <w:rsid w:val="005C0F38"/>
    <w:rsid w:val="005C19CC"/>
    <w:rsid w:val="005C5DFC"/>
    <w:rsid w:val="00621E73"/>
    <w:rsid w:val="00622D5A"/>
    <w:rsid w:val="00624E18"/>
    <w:rsid w:val="00625DC6"/>
    <w:rsid w:val="00632500"/>
    <w:rsid w:val="00651821"/>
    <w:rsid w:val="00654384"/>
    <w:rsid w:val="00660F3C"/>
    <w:rsid w:val="00664E94"/>
    <w:rsid w:val="00666270"/>
    <w:rsid w:val="006675CD"/>
    <w:rsid w:val="0067166D"/>
    <w:rsid w:val="00674CDC"/>
    <w:rsid w:val="00684D9B"/>
    <w:rsid w:val="006873BD"/>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32C9"/>
    <w:rsid w:val="006E56AD"/>
    <w:rsid w:val="006F1BBE"/>
    <w:rsid w:val="006F6D95"/>
    <w:rsid w:val="00701ACB"/>
    <w:rsid w:val="00703AB4"/>
    <w:rsid w:val="007062D3"/>
    <w:rsid w:val="00706F13"/>
    <w:rsid w:val="007072E8"/>
    <w:rsid w:val="007113F1"/>
    <w:rsid w:val="00713159"/>
    <w:rsid w:val="0071448C"/>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6257"/>
    <w:rsid w:val="00776376"/>
    <w:rsid w:val="00780870"/>
    <w:rsid w:val="0078136C"/>
    <w:rsid w:val="007918F6"/>
    <w:rsid w:val="00795BFB"/>
    <w:rsid w:val="007A7D34"/>
    <w:rsid w:val="007B2760"/>
    <w:rsid w:val="007B4F8C"/>
    <w:rsid w:val="007B7B7A"/>
    <w:rsid w:val="007B7D36"/>
    <w:rsid w:val="007C0224"/>
    <w:rsid w:val="007C38DD"/>
    <w:rsid w:val="007E0CAD"/>
    <w:rsid w:val="007E6E52"/>
    <w:rsid w:val="007F202D"/>
    <w:rsid w:val="007F3525"/>
    <w:rsid w:val="007F4339"/>
    <w:rsid w:val="007F5241"/>
    <w:rsid w:val="008002A1"/>
    <w:rsid w:val="00806C01"/>
    <w:rsid w:val="00810E7B"/>
    <w:rsid w:val="00811667"/>
    <w:rsid w:val="0081199F"/>
    <w:rsid w:val="008148CC"/>
    <w:rsid w:val="008153F2"/>
    <w:rsid w:val="00816A9A"/>
    <w:rsid w:val="008207F3"/>
    <w:rsid w:val="008211A4"/>
    <w:rsid w:val="00821C68"/>
    <w:rsid w:val="00832864"/>
    <w:rsid w:val="008337DA"/>
    <w:rsid w:val="008349EB"/>
    <w:rsid w:val="00840272"/>
    <w:rsid w:val="00841BF0"/>
    <w:rsid w:val="00847FF6"/>
    <w:rsid w:val="0085270D"/>
    <w:rsid w:val="00856CFB"/>
    <w:rsid w:val="00863487"/>
    <w:rsid w:val="0086762E"/>
    <w:rsid w:val="00873150"/>
    <w:rsid w:val="00875E17"/>
    <w:rsid w:val="0087657D"/>
    <w:rsid w:val="008803A1"/>
    <w:rsid w:val="008807D5"/>
    <w:rsid w:val="00880832"/>
    <w:rsid w:val="0088415F"/>
    <w:rsid w:val="00886EE1"/>
    <w:rsid w:val="0088727D"/>
    <w:rsid w:val="00890B7F"/>
    <w:rsid w:val="00891130"/>
    <w:rsid w:val="00892684"/>
    <w:rsid w:val="00897C75"/>
    <w:rsid w:val="008A59CB"/>
    <w:rsid w:val="008A5CED"/>
    <w:rsid w:val="008A7457"/>
    <w:rsid w:val="008B0EA9"/>
    <w:rsid w:val="008C1130"/>
    <w:rsid w:val="008C1CFA"/>
    <w:rsid w:val="008D0A20"/>
    <w:rsid w:val="008D18E6"/>
    <w:rsid w:val="008D7A9B"/>
    <w:rsid w:val="008E76AC"/>
    <w:rsid w:val="008F1C9F"/>
    <w:rsid w:val="008F21F6"/>
    <w:rsid w:val="008F6530"/>
    <w:rsid w:val="00900465"/>
    <w:rsid w:val="009040F6"/>
    <w:rsid w:val="009065D7"/>
    <w:rsid w:val="0090780F"/>
    <w:rsid w:val="009115EA"/>
    <w:rsid w:val="00911BEF"/>
    <w:rsid w:val="00911FBC"/>
    <w:rsid w:val="009137C4"/>
    <w:rsid w:val="009206BF"/>
    <w:rsid w:val="009209CD"/>
    <w:rsid w:val="00922C35"/>
    <w:rsid w:val="00926981"/>
    <w:rsid w:val="009275A2"/>
    <w:rsid w:val="00930376"/>
    <w:rsid w:val="00934E08"/>
    <w:rsid w:val="00951890"/>
    <w:rsid w:val="00951F79"/>
    <w:rsid w:val="0095358A"/>
    <w:rsid w:val="00953B91"/>
    <w:rsid w:val="00957B8E"/>
    <w:rsid w:val="00964641"/>
    <w:rsid w:val="00967F2C"/>
    <w:rsid w:val="00972B23"/>
    <w:rsid w:val="009732BE"/>
    <w:rsid w:val="00974AB5"/>
    <w:rsid w:val="00976F2C"/>
    <w:rsid w:val="0098150B"/>
    <w:rsid w:val="0098183F"/>
    <w:rsid w:val="0098565E"/>
    <w:rsid w:val="0098706D"/>
    <w:rsid w:val="009914BC"/>
    <w:rsid w:val="00991C16"/>
    <w:rsid w:val="00992685"/>
    <w:rsid w:val="009935FB"/>
    <w:rsid w:val="00994F25"/>
    <w:rsid w:val="009A0C26"/>
    <w:rsid w:val="009A1782"/>
    <w:rsid w:val="009C16AE"/>
    <w:rsid w:val="009C1F8B"/>
    <w:rsid w:val="009D4900"/>
    <w:rsid w:val="009D507F"/>
    <w:rsid w:val="009E3EB5"/>
    <w:rsid w:val="009E480B"/>
    <w:rsid w:val="009E4AF3"/>
    <w:rsid w:val="009E4D64"/>
    <w:rsid w:val="009E6CF7"/>
    <w:rsid w:val="009F4A54"/>
    <w:rsid w:val="009F4BEC"/>
    <w:rsid w:val="009F5BFE"/>
    <w:rsid w:val="009F5D1F"/>
    <w:rsid w:val="00A02A71"/>
    <w:rsid w:val="00A04597"/>
    <w:rsid w:val="00A1262A"/>
    <w:rsid w:val="00A12BAF"/>
    <w:rsid w:val="00A23E68"/>
    <w:rsid w:val="00A25B4A"/>
    <w:rsid w:val="00A25FD7"/>
    <w:rsid w:val="00A3276B"/>
    <w:rsid w:val="00A36E12"/>
    <w:rsid w:val="00A40A79"/>
    <w:rsid w:val="00A43AFF"/>
    <w:rsid w:val="00A441E9"/>
    <w:rsid w:val="00A466BC"/>
    <w:rsid w:val="00A47C0F"/>
    <w:rsid w:val="00A55A9E"/>
    <w:rsid w:val="00A606AA"/>
    <w:rsid w:val="00A70F06"/>
    <w:rsid w:val="00A7793A"/>
    <w:rsid w:val="00A80287"/>
    <w:rsid w:val="00A818AC"/>
    <w:rsid w:val="00A81CF4"/>
    <w:rsid w:val="00A83B0B"/>
    <w:rsid w:val="00A84DE3"/>
    <w:rsid w:val="00A8650D"/>
    <w:rsid w:val="00A908AC"/>
    <w:rsid w:val="00A93F75"/>
    <w:rsid w:val="00A94C83"/>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5D5"/>
    <w:rsid w:val="00B4672B"/>
    <w:rsid w:val="00B46BCA"/>
    <w:rsid w:val="00B51749"/>
    <w:rsid w:val="00B53926"/>
    <w:rsid w:val="00B6051B"/>
    <w:rsid w:val="00B60AC6"/>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C38FD"/>
    <w:rsid w:val="00BC709E"/>
    <w:rsid w:val="00BC7B63"/>
    <w:rsid w:val="00BE43AD"/>
    <w:rsid w:val="00BF2AEA"/>
    <w:rsid w:val="00C034CB"/>
    <w:rsid w:val="00C039B8"/>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478EC"/>
    <w:rsid w:val="00C5380E"/>
    <w:rsid w:val="00C54013"/>
    <w:rsid w:val="00C6234B"/>
    <w:rsid w:val="00C63EAE"/>
    <w:rsid w:val="00C7090C"/>
    <w:rsid w:val="00C7096A"/>
    <w:rsid w:val="00C73BD5"/>
    <w:rsid w:val="00C7629F"/>
    <w:rsid w:val="00C825B7"/>
    <w:rsid w:val="00C8661B"/>
    <w:rsid w:val="00CA139A"/>
    <w:rsid w:val="00CA2899"/>
    <w:rsid w:val="00CA3910"/>
    <w:rsid w:val="00CA50AC"/>
    <w:rsid w:val="00CA6945"/>
    <w:rsid w:val="00CA77FB"/>
    <w:rsid w:val="00CB149F"/>
    <w:rsid w:val="00CB379B"/>
    <w:rsid w:val="00CB4B5E"/>
    <w:rsid w:val="00CB5DD0"/>
    <w:rsid w:val="00CC031B"/>
    <w:rsid w:val="00CC3115"/>
    <w:rsid w:val="00CC51D4"/>
    <w:rsid w:val="00CC5AFD"/>
    <w:rsid w:val="00CC6485"/>
    <w:rsid w:val="00CC65DA"/>
    <w:rsid w:val="00CD002C"/>
    <w:rsid w:val="00CD3068"/>
    <w:rsid w:val="00CE4C66"/>
    <w:rsid w:val="00CE742A"/>
    <w:rsid w:val="00CF21B9"/>
    <w:rsid w:val="00CF2FFE"/>
    <w:rsid w:val="00CF4B84"/>
    <w:rsid w:val="00CF6BF9"/>
    <w:rsid w:val="00D01388"/>
    <w:rsid w:val="00D02CA4"/>
    <w:rsid w:val="00D03800"/>
    <w:rsid w:val="00D065D3"/>
    <w:rsid w:val="00D14C94"/>
    <w:rsid w:val="00D160BD"/>
    <w:rsid w:val="00D21071"/>
    <w:rsid w:val="00D2342A"/>
    <w:rsid w:val="00D342A6"/>
    <w:rsid w:val="00D45184"/>
    <w:rsid w:val="00D464BF"/>
    <w:rsid w:val="00D53E26"/>
    <w:rsid w:val="00D56930"/>
    <w:rsid w:val="00D749EF"/>
    <w:rsid w:val="00D77097"/>
    <w:rsid w:val="00D77F9F"/>
    <w:rsid w:val="00DA225C"/>
    <w:rsid w:val="00DA294E"/>
    <w:rsid w:val="00DB4FE2"/>
    <w:rsid w:val="00DC0AF2"/>
    <w:rsid w:val="00DC7BD4"/>
    <w:rsid w:val="00DD0849"/>
    <w:rsid w:val="00DD4F0E"/>
    <w:rsid w:val="00DD6645"/>
    <w:rsid w:val="00DE3F7C"/>
    <w:rsid w:val="00DE53B8"/>
    <w:rsid w:val="00DE62E3"/>
    <w:rsid w:val="00DF11ED"/>
    <w:rsid w:val="00DF24F7"/>
    <w:rsid w:val="00DF40E1"/>
    <w:rsid w:val="00DF40E2"/>
    <w:rsid w:val="00DF78E8"/>
    <w:rsid w:val="00E00FEA"/>
    <w:rsid w:val="00E02D66"/>
    <w:rsid w:val="00E05E0A"/>
    <w:rsid w:val="00E16FA0"/>
    <w:rsid w:val="00E213CE"/>
    <w:rsid w:val="00E26585"/>
    <w:rsid w:val="00E32726"/>
    <w:rsid w:val="00E371BE"/>
    <w:rsid w:val="00E41E7D"/>
    <w:rsid w:val="00E42045"/>
    <w:rsid w:val="00E46D0D"/>
    <w:rsid w:val="00E5184F"/>
    <w:rsid w:val="00E534CF"/>
    <w:rsid w:val="00E5689C"/>
    <w:rsid w:val="00E638DD"/>
    <w:rsid w:val="00E6564C"/>
    <w:rsid w:val="00E7418C"/>
    <w:rsid w:val="00E81CB4"/>
    <w:rsid w:val="00E8585B"/>
    <w:rsid w:val="00E928DD"/>
    <w:rsid w:val="00EA30B5"/>
    <w:rsid w:val="00EA3F15"/>
    <w:rsid w:val="00EA460D"/>
    <w:rsid w:val="00EA493F"/>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5187"/>
    <w:rsid w:val="00F379EF"/>
    <w:rsid w:val="00F50B3D"/>
    <w:rsid w:val="00F55138"/>
    <w:rsid w:val="00F64922"/>
    <w:rsid w:val="00F650F7"/>
    <w:rsid w:val="00F665DA"/>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0A55A90-7AC3-4FCF-A5E1-57A44BF9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Descripcin">
    <w:name w:val="caption"/>
    <w:basedOn w:val="Normal"/>
    <w:next w:val="Normal"/>
    <w:link w:val="Descripcin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DescripcinCar">
    <w:name w:val="Descripción Car"/>
    <w:basedOn w:val="Fuentedeprrafopredeter"/>
    <w:link w:val="Descripcin"/>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Descripcin"/>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Descripcin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4870">
      <w:bodyDiv w:val="1"/>
      <w:marLeft w:val="0"/>
      <w:marRight w:val="0"/>
      <w:marTop w:val="0"/>
      <w:marBottom w:val="0"/>
      <w:divBdr>
        <w:top w:val="none" w:sz="0" w:space="0" w:color="auto"/>
        <w:left w:val="none" w:sz="0" w:space="0" w:color="auto"/>
        <w:bottom w:val="none" w:sz="0" w:space="0" w:color="auto"/>
        <w:right w:val="none" w:sz="0" w:space="0" w:color="auto"/>
      </w:divBdr>
    </w:div>
    <w:div w:id="161435775">
      <w:bodyDiv w:val="1"/>
      <w:marLeft w:val="0"/>
      <w:marRight w:val="0"/>
      <w:marTop w:val="0"/>
      <w:marBottom w:val="0"/>
      <w:divBdr>
        <w:top w:val="none" w:sz="0" w:space="0" w:color="auto"/>
        <w:left w:val="none" w:sz="0" w:space="0" w:color="auto"/>
        <w:bottom w:val="none" w:sz="0" w:space="0" w:color="auto"/>
        <w:right w:val="none" w:sz="0" w:space="0" w:color="auto"/>
      </w:divBdr>
    </w:div>
    <w:div w:id="354815581">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87460512">
      <w:bodyDiv w:val="1"/>
      <w:marLeft w:val="0"/>
      <w:marRight w:val="0"/>
      <w:marTop w:val="0"/>
      <w:marBottom w:val="0"/>
      <w:divBdr>
        <w:top w:val="none" w:sz="0" w:space="0" w:color="auto"/>
        <w:left w:val="none" w:sz="0" w:space="0" w:color="auto"/>
        <w:bottom w:val="none" w:sz="0" w:space="0" w:color="auto"/>
        <w:right w:val="none" w:sz="0" w:space="0" w:color="auto"/>
      </w:divBdr>
    </w:div>
    <w:div w:id="388235415">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20222180">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11532383">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594822014">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848836032">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1003777978">
      <w:bodyDiv w:val="1"/>
      <w:marLeft w:val="0"/>
      <w:marRight w:val="0"/>
      <w:marTop w:val="0"/>
      <w:marBottom w:val="0"/>
      <w:divBdr>
        <w:top w:val="none" w:sz="0" w:space="0" w:color="auto"/>
        <w:left w:val="none" w:sz="0" w:space="0" w:color="auto"/>
        <w:bottom w:val="none" w:sz="0" w:space="0" w:color="auto"/>
        <w:right w:val="none" w:sz="0" w:space="0" w:color="auto"/>
      </w:divBdr>
    </w:div>
    <w:div w:id="1016881115">
      <w:bodyDiv w:val="1"/>
      <w:marLeft w:val="0"/>
      <w:marRight w:val="0"/>
      <w:marTop w:val="0"/>
      <w:marBottom w:val="0"/>
      <w:divBdr>
        <w:top w:val="none" w:sz="0" w:space="0" w:color="auto"/>
        <w:left w:val="none" w:sz="0" w:space="0" w:color="auto"/>
        <w:bottom w:val="none" w:sz="0" w:space="0" w:color="auto"/>
        <w:right w:val="none" w:sz="0" w:space="0" w:color="auto"/>
      </w:divBdr>
    </w:div>
    <w:div w:id="1059354912">
      <w:bodyDiv w:val="1"/>
      <w:marLeft w:val="0"/>
      <w:marRight w:val="0"/>
      <w:marTop w:val="0"/>
      <w:marBottom w:val="0"/>
      <w:divBdr>
        <w:top w:val="none" w:sz="0" w:space="0" w:color="auto"/>
        <w:left w:val="none" w:sz="0" w:space="0" w:color="auto"/>
        <w:bottom w:val="none" w:sz="0" w:space="0" w:color="auto"/>
        <w:right w:val="none" w:sz="0" w:space="0" w:color="auto"/>
      </w:divBdr>
    </w:div>
    <w:div w:id="1068310749">
      <w:bodyDiv w:val="1"/>
      <w:marLeft w:val="0"/>
      <w:marRight w:val="0"/>
      <w:marTop w:val="0"/>
      <w:marBottom w:val="0"/>
      <w:divBdr>
        <w:top w:val="none" w:sz="0" w:space="0" w:color="auto"/>
        <w:left w:val="none" w:sz="0" w:space="0" w:color="auto"/>
        <w:bottom w:val="none" w:sz="0" w:space="0" w:color="auto"/>
        <w:right w:val="none" w:sz="0" w:space="0" w:color="auto"/>
      </w:divBdr>
    </w:div>
    <w:div w:id="1084759627">
      <w:bodyDiv w:val="1"/>
      <w:marLeft w:val="0"/>
      <w:marRight w:val="0"/>
      <w:marTop w:val="0"/>
      <w:marBottom w:val="0"/>
      <w:divBdr>
        <w:top w:val="none" w:sz="0" w:space="0" w:color="auto"/>
        <w:left w:val="none" w:sz="0" w:space="0" w:color="auto"/>
        <w:bottom w:val="none" w:sz="0" w:space="0" w:color="auto"/>
        <w:right w:val="none" w:sz="0" w:space="0" w:color="auto"/>
      </w:divBdr>
    </w:div>
    <w:div w:id="1094204457">
      <w:bodyDiv w:val="1"/>
      <w:marLeft w:val="0"/>
      <w:marRight w:val="0"/>
      <w:marTop w:val="0"/>
      <w:marBottom w:val="0"/>
      <w:divBdr>
        <w:top w:val="none" w:sz="0" w:space="0" w:color="auto"/>
        <w:left w:val="none" w:sz="0" w:space="0" w:color="auto"/>
        <w:bottom w:val="none" w:sz="0" w:space="0" w:color="auto"/>
        <w:right w:val="none" w:sz="0" w:space="0" w:color="auto"/>
      </w:divBdr>
    </w:div>
    <w:div w:id="1123501629">
      <w:bodyDiv w:val="1"/>
      <w:marLeft w:val="0"/>
      <w:marRight w:val="0"/>
      <w:marTop w:val="0"/>
      <w:marBottom w:val="0"/>
      <w:divBdr>
        <w:top w:val="none" w:sz="0" w:space="0" w:color="auto"/>
        <w:left w:val="none" w:sz="0" w:space="0" w:color="auto"/>
        <w:bottom w:val="none" w:sz="0" w:space="0" w:color="auto"/>
        <w:right w:val="none" w:sz="0" w:space="0" w:color="auto"/>
      </w:divBdr>
    </w:div>
    <w:div w:id="1207184487">
      <w:bodyDiv w:val="1"/>
      <w:marLeft w:val="0"/>
      <w:marRight w:val="0"/>
      <w:marTop w:val="0"/>
      <w:marBottom w:val="0"/>
      <w:divBdr>
        <w:top w:val="none" w:sz="0" w:space="0" w:color="auto"/>
        <w:left w:val="none" w:sz="0" w:space="0" w:color="auto"/>
        <w:bottom w:val="none" w:sz="0" w:space="0" w:color="auto"/>
        <w:right w:val="none" w:sz="0" w:space="0" w:color="auto"/>
      </w:divBdr>
    </w:div>
    <w:div w:id="1422334684">
      <w:bodyDiv w:val="1"/>
      <w:marLeft w:val="0"/>
      <w:marRight w:val="0"/>
      <w:marTop w:val="0"/>
      <w:marBottom w:val="0"/>
      <w:divBdr>
        <w:top w:val="none" w:sz="0" w:space="0" w:color="auto"/>
        <w:left w:val="none" w:sz="0" w:space="0" w:color="auto"/>
        <w:bottom w:val="none" w:sz="0" w:space="0" w:color="auto"/>
        <w:right w:val="none" w:sz="0" w:space="0" w:color="auto"/>
      </w:divBdr>
    </w:div>
    <w:div w:id="1580018495">
      <w:bodyDiv w:val="1"/>
      <w:marLeft w:val="0"/>
      <w:marRight w:val="0"/>
      <w:marTop w:val="0"/>
      <w:marBottom w:val="0"/>
      <w:divBdr>
        <w:top w:val="none" w:sz="0" w:space="0" w:color="auto"/>
        <w:left w:val="none" w:sz="0" w:space="0" w:color="auto"/>
        <w:bottom w:val="none" w:sz="0" w:space="0" w:color="auto"/>
        <w:right w:val="none" w:sz="0" w:space="0" w:color="auto"/>
      </w:divBdr>
    </w:div>
    <w:div w:id="1621298988">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48824419">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56668980">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60930710">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93076-C9E6-4EED-BD05-0C08472B8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4</Pages>
  <Words>1185</Words>
  <Characters>5868</Characters>
  <Application>Microsoft Office Word</Application>
  <DocSecurity>0</DocSecurity>
  <Lines>48</Lines>
  <Paragraphs>14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2011-06-03T20:41:00Z</cp:lastPrinted>
  <dcterms:created xsi:type="dcterms:W3CDTF">2019-02-20T20:18:00Z</dcterms:created>
  <dcterms:modified xsi:type="dcterms:W3CDTF">2019-02-20T20:18:00Z</dcterms:modified>
</cp:coreProperties>
</file>