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1F8" w:rsidRPr="00557744" w:rsidRDefault="00E84B0C" w:rsidP="00DD11F8">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6.9pt;margin-top:-53.35pt;width:52.5pt;height:48.75pt;z-index:251659264" fillcolor="#0c9">
            <v:imagedata r:id="rId9" o:title=""/>
          </v:shape>
          <o:OLEObject Type="Embed" ProgID="PBrush" ShapeID="_x0000_s1027" DrawAspect="Content" ObjectID="_1516202267" r:id="rId10"/>
        </w:pict>
      </w:r>
    </w:p>
    <w:p w:rsidR="00557744" w:rsidRPr="00557744" w:rsidRDefault="00557744" w:rsidP="00557744">
      <w:pPr>
        <w:pStyle w:val="Encabezado"/>
        <w:tabs>
          <w:tab w:val="clear" w:pos="8504"/>
          <w:tab w:val="left" w:pos="0"/>
          <w:tab w:val="right" w:pos="9356"/>
        </w:tabs>
        <w:ind w:left="0"/>
        <w:jc w:val="both"/>
        <w:rPr>
          <w:rFonts w:ascii="Bookman Old Style" w:hAnsi="Bookman Old Style"/>
          <w:szCs w:val="24"/>
        </w:rPr>
      </w:pPr>
    </w:p>
    <w:p w:rsidR="00557744" w:rsidRPr="00D92A01" w:rsidRDefault="00557744" w:rsidP="00557744">
      <w:pPr>
        <w:pStyle w:val="Ttulo4"/>
        <w:tabs>
          <w:tab w:val="left" w:pos="0"/>
          <w:tab w:val="right" w:pos="9356"/>
        </w:tabs>
        <w:ind w:left="0"/>
        <w:rPr>
          <w:rFonts w:ascii="Bookman Old Style" w:hAnsi="Bookman Old Style"/>
          <w:b w:val="0"/>
          <w:bCs/>
          <w:noProof/>
          <w:sz w:val="24"/>
          <w:szCs w:val="24"/>
          <w:lang w:val="es-ES"/>
        </w:rPr>
      </w:pPr>
      <w:r w:rsidRPr="00100514">
        <w:rPr>
          <w:rFonts w:ascii="Bookman Old Style" w:hAnsi="Bookman Old Style"/>
          <w:b w:val="0"/>
          <w:bCs/>
          <w:sz w:val="24"/>
          <w:szCs w:val="24"/>
        </w:rPr>
        <w:t>Ministerio de Minas y Energía</w:t>
      </w:r>
    </w:p>
    <w:p w:rsidR="00557744" w:rsidRPr="00D92A01" w:rsidRDefault="00557744" w:rsidP="00557744">
      <w:pPr>
        <w:pStyle w:val="Ttulo4"/>
        <w:tabs>
          <w:tab w:val="left" w:pos="0"/>
          <w:tab w:val="right" w:pos="9356"/>
        </w:tabs>
        <w:ind w:left="0"/>
        <w:rPr>
          <w:rFonts w:ascii="Bookman Old Style" w:hAnsi="Bookman Old Style"/>
          <w:b w:val="0"/>
          <w:bCs/>
          <w:sz w:val="24"/>
          <w:szCs w:val="24"/>
        </w:rPr>
      </w:pPr>
    </w:p>
    <w:p w:rsidR="00557744" w:rsidRPr="00ED631E" w:rsidRDefault="00557744" w:rsidP="00557744">
      <w:pPr>
        <w:pStyle w:val="Ttulo3"/>
        <w:tabs>
          <w:tab w:val="left" w:pos="0"/>
          <w:tab w:val="right" w:pos="9356"/>
        </w:tabs>
        <w:ind w:left="0"/>
        <w:rPr>
          <w:rFonts w:ascii="Bookman Old Style" w:hAnsi="Bookman Old Style" w:cs="Arial"/>
          <w:spacing w:val="20"/>
          <w:szCs w:val="24"/>
        </w:rPr>
      </w:pPr>
      <w:r w:rsidRPr="00ED631E">
        <w:rPr>
          <w:rFonts w:ascii="Bookman Old Style" w:hAnsi="Bookman Old Style" w:cs="Arial"/>
          <w:spacing w:val="20"/>
          <w:szCs w:val="24"/>
        </w:rPr>
        <w:t>COMISIÓN DE REGULACIÓN DE ENERGÍA Y GAS</w:t>
      </w:r>
    </w:p>
    <w:p w:rsidR="00557744" w:rsidRPr="00557744" w:rsidRDefault="00557744" w:rsidP="00557744">
      <w:pPr>
        <w:pStyle w:val="Ttulo5"/>
        <w:tabs>
          <w:tab w:val="left" w:pos="0"/>
          <w:tab w:val="right" w:pos="9356"/>
        </w:tabs>
        <w:ind w:left="0"/>
        <w:rPr>
          <w:rFonts w:ascii="Bookman Old Style" w:hAnsi="Bookman Old Style"/>
          <w:sz w:val="24"/>
          <w:szCs w:val="24"/>
        </w:rPr>
      </w:pPr>
    </w:p>
    <w:p w:rsidR="00557744" w:rsidRPr="00557744" w:rsidRDefault="00557744" w:rsidP="00557744">
      <w:pPr>
        <w:pStyle w:val="Ttulo5"/>
        <w:tabs>
          <w:tab w:val="left" w:pos="0"/>
          <w:tab w:val="right" w:pos="9356"/>
        </w:tabs>
        <w:ind w:left="0"/>
        <w:rPr>
          <w:rFonts w:ascii="Bookman Old Style" w:hAnsi="Bookman Old Style"/>
          <w:sz w:val="24"/>
          <w:szCs w:val="24"/>
        </w:rPr>
      </w:pPr>
    </w:p>
    <w:p w:rsidR="00557744" w:rsidRPr="00557744" w:rsidRDefault="00557744" w:rsidP="00557744">
      <w:pPr>
        <w:pStyle w:val="Ttulo5"/>
        <w:tabs>
          <w:tab w:val="left" w:pos="0"/>
          <w:tab w:val="right" w:pos="9356"/>
        </w:tabs>
        <w:ind w:left="0"/>
        <w:rPr>
          <w:rFonts w:ascii="Bookman Old Style" w:hAnsi="Bookman Old Style"/>
          <w:sz w:val="24"/>
          <w:szCs w:val="24"/>
        </w:rPr>
      </w:pPr>
      <w:r w:rsidRPr="00557744">
        <w:rPr>
          <w:rFonts w:ascii="Bookman Old Style" w:hAnsi="Bookman Old Style"/>
          <w:sz w:val="24"/>
          <w:szCs w:val="24"/>
        </w:rPr>
        <w:t>RESOLUCIÓN No.                   DE 201</w:t>
      </w:r>
      <w:r w:rsidR="00642AFB">
        <w:rPr>
          <w:rFonts w:ascii="Bookman Old Style" w:hAnsi="Bookman Old Style"/>
          <w:sz w:val="24"/>
          <w:szCs w:val="24"/>
        </w:rPr>
        <w:t>5</w:t>
      </w:r>
    </w:p>
    <w:p w:rsidR="00557744" w:rsidRPr="00557744" w:rsidRDefault="00557744" w:rsidP="00557744">
      <w:pPr>
        <w:tabs>
          <w:tab w:val="left" w:pos="0"/>
          <w:tab w:val="right" w:pos="9356"/>
        </w:tabs>
        <w:ind w:left="0"/>
        <w:jc w:val="center"/>
        <w:rPr>
          <w:rFonts w:ascii="Bookman Old Style" w:hAnsi="Bookman Old Style" w:cs="Arial"/>
          <w:b/>
          <w:snapToGrid w:val="0"/>
          <w:color w:val="000000"/>
          <w:lang w:val="es-ES_tradnl"/>
        </w:rPr>
      </w:pPr>
    </w:p>
    <w:p w:rsidR="00557744" w:rsidRPr="00557744" w:rsidRDefault="00557744" w:rsidP="00557744">
      <w:pPr>
        <w:pStyle w:val="Ttulo3"/>
        <w:tabs>
          <w:tab w:val="left" w:pos="0"/>
          <w:tab w:val="right" w:pos="9356"/>
        </w:tabs>
        <w:ind w:left="0"/>
        <w:rPr>
          <w:rFonts w:ascii="Bookman Old Style" w:hAnsi="Bookman Old Style"/>
          <w:b w:val="0"/>
          <w:szCs w:val="24"/>
        </w:rPr>
      </w:pPr>
      <w:r w:rsidRPr="00557744">
        <w:rPr>
          <w:rFonts w:ascii="Bookman Old Style" w:hAnsi="Bookman Old Style"/>
          <w:b w:val="0"/>
          <w:szCs w:val="24"/>
        </w:rPr>
        <w:t>(                                  )</w:t>
      </w:r>
    </w:p>
    <w:p w:rsidR="00557744" w:rsidRPr="00557744" w:rsidRDefault="00557744" w:rsidP="00557744">
      <w:pPr>
        <w:tabs>
          <w:tab w:val="left" w:pos="0"/>
          <w:tab w:val="right" w:pos="9356"/>
        </w:tabs>
        <w:ind w:left="0"/>
        <w:jc w:val="center"/>
        <w:rPr>
          <w:rFonts w:ascii="Bookman Old Style" w:hAnsi="Bookman Old Style"/>
          <w:lang w:val="es-ES_tradnl"/>
        </w:rPr>
      </w:pPr>
    </w:p>
    <w:p w:rsidR="00557744" w:rsidRPr="00557744" w:rsidRDefault="00557744" w:rsidP="00557744">
      <w:pPr>
        <w:ind w:left="0"/>
        <w:rPr>
          <w:rFonts w:ascii="Bookman Old Style" w:hAnsi="Bookman Old Style"/>
          <w:bCs/>
          <w:lang w:val="es-CO"/>
        </w:rPr>
      </w:pPr>
    </w:p>
    <w:p w:rsidR="00557744" w:rsidRPr="00557744" w:rsidRDefault="00557744" w:rsidP="00042175">
      <w:pPr>
        <w:ind w:left="0"/>
        <w:jc w:val="center"/>
        <w:rPr>
          <w:rFonts w:ascii="Bookman Old Style" w:hAnsi="Bookman Old Style" w:cs="Arial"/>
          <w:color w:val="000000"/>
        </w:rPr>
      </w:pPr>
      <w:r w:rsidRPr="00042175">
        <w:rPr>
          <w:rFonts w:ascii="Bookman Old Style" w:hAnsi="Bookman Old Style"/>
        </w:rPr>
        <w:t>Por la cual se ordena hacer público un proyecto de resolución de carácter</w:t>
      </w:r>
      <w:r w:rsidR="00DA761E">
        <w:rPr>
          <w:rFonts w:ascii="Bookman Old Style" w:hAnsi="Bookman Old Style"/>
        </w:rPr>
        <w:t xml:space="preserve"> </w:t>
      </w:r>
      <w:r w:rsidRPr="00042175">
        <w:rPr>
          <w:rFonts w:ascii="Bookman Old Style" w:hAnsi="Bookman Old Style"/>
        </w:rPr>
        <w:t xml:space="preserve">general, </w:t>
      </w:r>
      <w:r w:rsidRPr="00042175">
        <w:rPr>
          <w:rFonts w:ascii="Bookman Old Style" w:hAnsi="Bookman Old Style" w:cs="Arial"/>
          <w:color w:val="000000" w:themeColor="text1"/>
          <w:lang w:eastAsia="es-CO"/>
        </w:rPr>
        <w:t>“</w:t>
      </w:r>
      <w:r w:rsidRPr="00557744">
        <w:rPr>
          <w:rFonts w:ascii="Bookman Old Style" w:hAnsi="Bookman Old Style" w:cs="Arial"/>
          <w:color w:val="000000"/>
        </w:rPr>
        <w:t xml:space="preserve">Por la cual se </w:t>
      </w:r>
      <w:r w:rsidR="00DA761E">
        <w:rPr>
          <w:rFonts w:ascii="Bookman Old Style" w:hAnsi="Bookman Old Style" w:cs="Arial"/>
          <w:color w:val="000000"/>
        </w:rPr>
        <w:t xml:space="preserve">adiciona un parágrafo al </w:t>
      </w:r>
      <w:r w:rsidR="00042175">
        <w:rPr>
          <w:rFonts w:ascii="Bookman Old Style" w:hAnsi="Bookman Old Style" w:cs="Arial"/>
          <w:color w:val="000000"/>
        </w:rPr>
        <w:t>a</w:t>
      </w:r>
      <w:r>
        <w:rPr>
          <w:rFonts w:ascii="Bookman Old Style" w:hAnsi="Bookman Old Style" w:cs="Arial"/>
          <w:color w:val="000000"/>
        </w:rPr>
        <w:t>rtículo 44 de la Resolución CREG 089 de 2013</w:t>
      </w:r>
      <w:r w:rsidRPr="00557744">
        <w:rPr>
          <w:rFonts w:ascii="Bookman Old Style" w:hAnsi="Bookman Old Style" w:cs="Arial"/>
          <w:color w:val="000000"/>
        </w:rPr>
        <w:t>”</w:t>
      </w:r>
    </w:p>
    <w:p w:rsidR="00557744" w:rsidRPr="00100514" w:rsidRDefault="00557744" w:rsidP="00557744">
      <w:pPr>
        <w:rPr>
          <w:rFonts w:ascii="Bookman Old Style" w:hAnsi="Bookman Old Style" w:cs="Arial"/>
          <w:color w:val="000000"/>
        </w:rPr>
      </w:pPr>
    </w:p>
    <w:p w:rsidR="00557744" w:rsidRPr="00D92A01" w:rsidRDefault="00557744" w:rsidP="00557744">
      <w:pPr>
        <w:rPr>
          <w:rFonts w:ascii="Bookman Old Style" w:hAnsi="Bookman Old Style" w:cs="Arial"/>
          <w:color w:val="000000"/>
        </w:rPr>
      </w:pPr>
    </w:p>
    <w:p w:rsidR="00557744" w:rsidRPr="00ED631E" w:rsidRDefault="00557744" w:rsidP="00557744">
      <w:pPr>
        <w:jc w:val="center"/>
        <w:rPr>
          <w:rFonts w:ascii="Bookman Old Style" w:hAnsi="Bookman Old Style" w:cs="Arial"/>
          <w:b/>
          <w:color w:val="000000"/>
        </w:rPr>
      </w:pPr>
      <w:r w:rsidRPr="00D92A01">
        <w:rPr>
          <w:rFonts w:ascii="Bookman Old Style" w:hAnsi="Bookman Old Style" w:cs="Arial"/>
          <w:b/>
          <w:color w:val="000000"/>
        </w:rPr>
        <w:t>LA COMISIÓN DE REGULACIÓN DE ENERGÍA Y GAS</w:t>
      </w:r>
    </w:p>
    <w:p w:rsidR="00557744" w:rsidRPr="00ED631E" w:rsidRDefault="00557744" w:rsidP="00557744">
      <w:pPr>
        <w:rPr>
          <w:rFonts w:ascii="Bookman Old Style" w:hAnsi="Bookman Old Style" w:cs="Arial"/>
          <w:color w:val="000000"/>
        </w:rPr>
      </w:pPr>
    </w:p>
    <w:p w:rsidR="00557744" w:rsidRPr="00557744" w:rsidRDefault="00557744" w:rsidP="00557744">
      <w:pPr>
        <w:rPr>
          <w:rFonts w:ascii="Bookman Old Style" w:hAnsi="Bookman Old Style" w:cs="Arial"/>
          <w:color w:val="000000"/>
        </w:rPr>
      </w:pPr>
    </w:p>
    <w:p w:rsidR="00355580" w:rsidRPr="00B348C8" w:rsidRDefault="00557744" w:rsidP="00355580">
      <w:pPr>
        <w:widowControl w:val="0"/>
        <w:tabs>
          <w:tab w:val="left" w:pos="0"/>
        </w:tabs>
        <w:ind w:left="0"/>
        <w:contextualSpacing/>
        <w:jc w:val="center"/>
        <w:rPr>
          <w:rFonts w:ascii="Bookman Old Style" w:hAnsi="Bookman Old Style"/>
        </w:rPr>
      </w:pPr>
      <w:r w:rsidRPr="00042175">
        <w:rPr>
          <w:rFonts w:ascii="Bookman Old Style" w:hAnsi="Bookman Old Style" w:cs="Arial"/>
          <w:color w:val="000000"/>
        </w:rPr>
        <w:t xml:space="preserve">En ejercicio de sus atribuciones legales, en especial las conferidas por la Ley 142 de 1994, y en desarrollo de los </w:t>
      </w:r>
      <w:r w:rsidR="00355580">
        <w:rPr>
          <w:rFonts w:ascii="Bookman Old Style" w:hAnsi="Bookman Old Style" w:cs="Arial"/>
          <w:color w:val="000000"/>
        </w:rPr>
        <w:t xml:space="preserve"> </w:t>
      </w:r>
      <w:r w:rsidR="00355580" w:rsidRPr="00B348C8">
        <w:rPr>
          <w:rFonts w:ascii="Bookman Old Style" w:hAnsi="Bookman Old Style"/>
        </w:rPr>
        <w:t>Decretos 1523, 2253 de 1994</w:t>
      </w:r>
      <w:r w:rsidR="00355580" w:rsidRPr="00835F87">
        <w:rPr>
          <w:rFonts w:ascii="Bookman Old Style" w:hAnsi="Bookman Old Style"/>
        </w:rPr>
        <w:t>, 2100 de 2011</w:t>
      </w:r>
      <w:r w:rsidR="00355580" w:rsidRPr="00B348C8">
        <w:rPr>
          <w:rFonts w:ascii="Bookman Old Style" w:hAnsi="Bookman Old Style"/>
        </w:rPr>
        <w:t xml:space="preserve"> y 1260 de 2013</w:t>
      </w:r>
    </w:p>
    <w:p w:rsidR="00557744" w:rsidRPr="00042175" w:rsidRDefault="00557744" w:rsidP="00042175">
      <w:pPr>
        <w:ind w:left="0"/>
        <w:rPr>
          <w:rFonts w:ascii="Bookman Old Style" w:hAnsi="Bookman Old Style" w:cs="Arial"/>
          <w:color w:val="000000"/>
        </w:rPr>
      </w:pPr>
    </w:p>
    <w:p w:rsidR="00557744" w:rsidRPr="00042175" w:rsidRDefault="00557744" w:rsidP="00557744">
      <w:pPr>
        <w:ind w:left="0"/>
        <w:jc w:val="center"/>
        <w:rPr>
          <w:rFonts w:ascii="Bookman Old Style" w:hAnsi="Bookman Old Style" w:cs="Arial"/>
          <w:color w:val="000000"/>
        </w:rPr>
      </w:pPr>
    </w:p>
    <w:p w:rsidR="00557744" w:rsidRPr="00042175" w:rsidRDefault="00557744" w:rsidP="00557744">
      <w:pPr>
        <w:ind w:left="0"/>
        <w:jc w:val="center"/>
        <w:rPr>
          <w:rFonts w:ascii="Bookman Old Style" w:hAnsi="Bookman Old Style"/>
          <w:b/>
        </w:rPr>
      </w:pPr>
      <w:r w:rsidRPr="00042175">
        <w:rPr>
          <w:rFonts w:ascii="Bookman Old Style" w:hAnsi="Bookman Old Style"/>
          <w:b/>
        </w:rPr>
        <w:t>C O N S I D E R A N D O  Q U E:</w:t>
      </w:r>
    </w:p>
    <w:p w:rsidR="00557744" w:rsidRPr="00042175" w:rsidRDefault="00557744" w:rsidP="00557744">
      <w:pPr>
        <w:ind w:left="0"/>
        <w:rPr>
          <w:rFonts w:ascii="Bookman Old Style" w:hAnsi="Bookman Old Style" w:cs="Arial"/>
          <w:color w:val="000000"/>
        </w:rPr>
      </w:pPr>
    </w:p>
    <w:p w:rsidR="00557744" w:rsidRDefault="00557744" w:rsidP="00557744">
      <w:pPr>
        <w:ind w:left="0"/>
        <w:jc w:val="both"/>
        <w:rPr>
          <w:rFonts w:ascii="Bookman Old Style" w:hAnsi="Bookman Old Style" w:cs="Arial"/>
        </w:rPr>
      </w:pPr>
    </w:p>
    <w:p w:rsidR="0084624D" w:rsidRPr="00FD4113" w:rsidRDefault="0084624D" w:rsidP="0084624D">
      <w:pPr>
        <w:widowControl w:val="0"/>
        <w:tabs>
          <w:tab w:val="left" w:pos="0"/>
        </w:tabs>
        <w:ind w:left="0"/>
        <w:contextualSpacing/>
        <w:jc w:val="both"/>
        <w:rPr>
          <w:rFonts w:ascii="Bookman Old Style" w:hAnsi="Bookman Old Style" w:cs="Arial"/>
        </w:rPr>
      </w:pPr>
      <w:r w:rsidRPr="00FD4113">
        <w:rPr>
          <w:rFonts w:ascii="Bookman Old Style" w:hAnsi="Bookman Old Style" w:cs="Arial"/>
        </w:rPr>
        <w:t xml:space="preserve">Conforme a lo dispuesto por el artículo 8 del Código de Procedimiento Administrativo y de lo Contencioso Administrativo, </w:t>
      </w:r>
      <w:r>
        <w:rPr>
          <w:rFonts w:ascii="Bookman Old Style" w:hAnsi="Bookman Old Style" w:cs="Arial"/>
        </w:rPr>
        <w:t xml:space="preserve">así como de acuerdo con lo establecido en  el Decreto 2696 de 2004, el cual ha sido compilado </w:t>
      </w:r>
      <w:r w:rsidRPr="001D4A97">
        <w:rPr>
          <w:rFonts w:ascii="Bookman Old Style" w:hAnsi="Bookman Old Style" w:cs="Arial"/>
        </w:rPr>
        <w:t>en los numerales 2.2.13.1 y sigu</w:t>
      </w:r>
      <w:r>
        <w:rPr>
          <w:rFonts w:ascii="Bookman Old Style" w:hAnsi="Bookman Old Style" w:cs="Arial"/>
        </w:rPr>
        <w:t xml:space="preserve">ientes del Decreto 1078 de 2015, </w:t>
      </w:r>
      <w:r w:rsidRPr="00FD4113">
        <w:rPr>
          <w:rFonts w:ascii="Bookman Old Style" w:hAnsi="Bookman Old Style" w:cs="Arial"/>
        </w:rPr>
        <w:t>la Comisión debe hacer público en su página web todos los proyectos de resolución de carácter general que pretenda adoptar.</w:t>
      </w:r>
    </w:p>
    <w:p w:rsidR="0084624D" w:rsidRPr="00042175" w:rsidRDefault="0084624D" w:rsidP="00557744">
      <w:pPr>
        <w:ind w:left="0"/>
        <w:jc w:val="both"/>
        <w:rPr>
          <w:rFonts w:ascii="Bookman Old Style" w:hAnsi="Bookman Old Style" w:cs="Arial"/>
        </w:rPr>
      </w:pPr>
    </w:p>
    <w:p w:rsidR="00557744" w:rsidRPr="00042175" w:rsidRDefault="00557744" w:rsidP="00557744">
      <w:pPr>
        <w:ind w:left="0"/>
        <w:jc w:val="both"/>
        <w:rPr>
          <w:rFonts w:ascii="Bookman Old Style" w:hAnsi="Bookman Old Style" w:cs="Arial"/>
          <w:b/>
          <w:bCs/>
          <w:color w:val="000000" w:themeColor="text1"/>
          <w:lang w:eastAsia="es-CO"/>
        </w:rPr>
      </w:pPr>
      <w:r w:rsidRPr="00042175">
        <w:rPr>
          <w:rFonts w:ascii="Bookman Old Style" w:hAnsi="Bookman Old Style"/>
        </w:rPr>
        <w:t xml:space="preserve">La Comisión de Regulación de Energía y Gas, en su sesión No. </w:t>
      </w:r>
      <w:r w:rsidR="0041270A">
        <w:rPr>
          <w:rFonts w:ascii="Bookman Old Style" w:hAnsi="Bookman Old Style"/>
        </w:rPr>
        <w:t>69</w:t>
      </w:r>
      <w:r w:rsidR="00B84305">
        <w:rPr>
          <w:rFonts w:ascii="Bookman Old Style" w:hAnsi="Bookman Old Style"/>
        </w:rPr>
        <w:t>4</w:t>
      </w:r>
      <w:r w:rsidRPr="00042175">
        <w:rPr>
          <w:rFonts w:ascii="Bookman Old Style" w:hAnsi="Bookman Old Style"/>
        </w:rPr>
        <w:t xml:space="preserve"> del </w:t>
      </w:r>
      <w:r w:rsidR="009D1BB1">
        <w:rPr>
          <w:rFonts w:ascii="Bookman Old Style" w:hAnsi="Bookman Old Style"/>
        </w:rPr>
        <w:t>1</w:t>
      </w:r>
      <w:r w:rsidR="00B84305">
        <w:rPr>
          <w:rFonts w:ascii="Bookman Old Style" w:hAnsi="Bookman Old Style"/>
        </w:rPr>
        <w:t>8</w:t>
      </w:r>
      <w:r w:rsidRPr="00042175">
        <w:rPr>
          <w:rFonts w:ascii="Bookman Old Style" w:hAnsi="Bookman Old Style"/>
        </w:rPr>
        <w:t xml:space="preserve"> de diciembre de 2015, aprobó hacer público el proyecto de resolución por la cual se ordena hacer público un proyecto de resolución de carácter general “</w:t>
      </w:r>
      <w:r w:rsidRPr="00557744">
        <w:rPr>
          <w:rFonts w:ascii="Bookman Old Style" w:hAnsi="Bookman Old Style" w:cs="Arial"/>
          <w:color w:val="000000"/>
        </w:rPr>
        <w:t xml:space="preserve">Por la cual se </w:t>
      </w:r>
      <w:r w:rsidR="00124625">
        <w:rPr>
          <w:rFonts w:ascii="Bookman Old Style" w:hAnsi="Bookman Old Style" w:cs="Arial"/>
          <w:color w:val="000000"/>
        </w:rPr>
        <w:t>adiciona un parágrafo al</w:t>
      </w:r>
      <w:r>
        <w:rPr>
          <w:rFonts w:ascii="Bookman Old Style" w:hAnsi="Bookman Old Style" w:cs="Arial"/>
          <w:color w:val="000000"/>
        </w:rPr>
        <w:t xml:space="preserve"> Artículo 44 de la Resolución CREG 089 de 2013</w:t>
      </w:r>
      <w:r w:rsidRPr="00042175">
        <w:rPr>
          <w:rFonts w:ascii="Bookman Old Style" w:hAnsi="Bookman Old Style" w:cs="Arial"/>
          <w:color w:val="000000" w:themeColor="text1"/>
          <w:lang w:eastAsia="es-CO"/>
        </w:rPr>
        <w:t>”.</w:t>
      </w:r>
    </w:p>
    <w:p w:rsidR="00557744" w:rsidRDefault="00557744" w:rsidP="00042175">
      <w:pPr>
        <w:suppressAutoHyphens/>
        <w:ind w:left="0"/>
        <w:rPr>
          <w:rFonts w:ascii="Bookman Old Style" w:hAnsi="Bookman Old Style"/>
        </w:rPr>
      </w:pPr>
    </w:p>
    <w:p w:rsidR="00042175" w:rsidRPr="00042175" w:rsidRDefault="00042175" w:rsidP="00042175">
      <w:pPr>
        <w:suppressAutoHyphens/>
        <w:ind w:left="0"/>
        <w:rPr>
          <w:rFonts w:ascii="Bookman Old Style" w:hAnsi="Bookman Old Style"/>
          <w:b/>
          <w:spacing w:val="-3"/>
        </w:rPr>
      </w:pPr>
    </w:p>
    <w:p w:rsidR="00557744" w:rsidRPr="00042175" w:rsidRDefault="00557744" w:rsidP="00557744">
      <w:pPr>
        <w:suppressAutoHyphens/>
        <w:ind w:left="0"/>
        <w:jc w:val="center"/>
        <w:rPr>
          <w:rFonts w:ascii="Bookman Old Style" w:hAnsi="Bookman Old Style"/>
          <w:spacing w:val="-3"/>
        </w:rPr>
      </w:pPr>
      <w:r w:rsidRPr="00042175">
        <w:rPr>
          <w:rFonts w:ascii="Bookman Old Style" w:hAnsi="Bookman Old Style"/>
          <w:b/>
          <w:spacing w:val="-3"/>
        </w:rPr>
        <w:t>R E S U E L V E:</w:t>
      </w:r>
    </w:p>
    <w:p w:rsidR="00557744" w:rsidRPr="00042175" w:rsidRDefault="00557744" w:rsidP="00557744">
      <w:pPr>
        <w:ind w:left="0"/>
        <w:jc w:val="center"/>
        <w:rPr>
          <w:rFonts w:ascii="Bookman Old Style" w:hAnsi="Bookman Old Style"/>
        </w:rPr>
      </w:pPr>
    </w:p>
    <w:p w:rsidR="00557744" w:rsidRPr="00042175" w:rsidRDefault="00557744" w:rsidP="00557744">
      <w:pPr>
        <w:ind w:left="0"/>
        <w:jc w:val="center"/>
        <w:rPr>
          <w:rFonts w:ascii="Bookman Old Style" w:hAnsi="Bookman Old Style"/>
        </w:rPr>
      </w:pPr>
    </w:p>
    <w:p w:rsidR="00557744" w:rsidRPr="00042175" w:rsidRDefault="00557744" w:rsidP="00557744">
      <w:pPr>
        <w:ind w:left="0"/>
        <w:jc w:val="both"/>
        <w:rPr>
          <w:rFonts w:ascii="Bookman Old Style" w:hAnsi="Bookman Old Style" w:cs="Arial"/>
          <w:b/>
          <w:bCs/>
          <w:color w:val="000000" w:themeColor="text1"/>
          <w:lang w:eastAsia="es-CO"/>
        </w:rPr>
      </w:pPr>
      <w:r w:rsidRPr="00042175">
        <w:rPr>
          <w:rFonts w:ascii="Bookman Old Style" w:hAnsi="Bookman Old Style"/>
          <w:b/>
        </w:rPr>
        <w:t>Artículo 1.</w:t>
      </w:r>
      <w:r w:rsidRPr="00042175">
        <w:rPr>
          <w:rFonts w:ascii="Bookman Old Style" w:hAnsi="Bookman Old Style"/>
        </w:rPr>
        <w:t xml:space="preserve"> </w:t>
      </w:r>
      <w:r w:rsidRPr="00042175">
        <w:rPr>
          <w:rFonts w:ascii="Bookman Old Style" w:hAnsi="Bookman Old Style" w:cs="Arial"/>
        </w:rPr>
        <w:t>Hágase público el proyecto de resolución p</w:t>
      </w:r>
      <w:r w:rsidRPr="00042175">
        <w:rPr>
          <w:rFonts w:ascii="Bookman Old Style" w:hAnsi="Bookman Old Style"/>
        </w:rPr>
        <w:t>or la cual se ordena hacer público un proyecto de resolución de carácter general, “</w:t>
      </w:r>
      <w:r w:rsidR="004B4BEE" w:rsidRPr="001D4A97">
        <w:rPr>
          <w:rFonts w:ascii="Bookman Old Style" w:hAnsi="Bookman Old Style"/>
        </w:rPr>
        <w:t xml:space="preserve">Por la cual se adiciona un parágrafo </w:t>
      </w:r>
      <w:r w:rsidR="004B4BEE">
        <w:rPr>
          <w:rFonts w:ascii="Bookman Old Style" w:hAnsi="Bookman Old Style"/>
        </w:rPr>
        <w:t xml:space="preserve">al artículo </w:t>
      </w:r>
      <w:r w:rsidR="004B4BEE" w:rsidRPr="001D4A97">
        <w:rPr>
          <w:rFonts w:ascii="Bookman Old Style" w:hAnsi="Bookman Old Style"/>
        </w:rPr>
        <w:t>44 de la  Resolución CREG 089 de 2013</w:t>
      </w:r>
      <w:r w:rsidRPr="00042175">
        <w:rPr>
          <w:rFonts w:ascii="Bookman Old Style" w:hAnsi="Bookman Old Style" w:cs="Arial"/>
          <w:color w:val="000000" w:themeColor="text1"/>
          <w:lang w:eastAsia="es-CO"/>
        </w:rPr>
        <w:t>”.</w:t>
      </w:r>
    </w:p>
    <w:p w:rsidR="00557744" w:rsidRPr="00042175" w:rsidRDefault="00557744" w:rsidP="00557744">
      <w:pPr>
        <w:tabs>
          <w:tab w:val="left" w:pos="0"/>
        </w:tabs>
        <w:ind w:left="0"/>
        <w:jc w:val="both"/>
        <w:rPr>
          <w:rFonts w:ascii="Bookman Old Style" w:hAnsi="Bookman Old Style"/>
        </w:rPr>
      </w:pPr>
    </w:p>
    <w:p w:rsidR="00557744" w:rsidRPr="00042175" w:rsidRDefault="00557744" w:rsidP="00557744">
      <w:pPr>
        <w:ind w:left="0"/>
        <w:jc w:val="both"/>
        <w:rPr>
          <w:rFonts w:ascii="Bookman Old Style" w:hAnsi="Bookman Old Style" w:cs="Arial"/>
          <w:lang w:val="es-CO" w:eastAsia="es-CO"/>
        </w:rPr>
      </w:pPr>
      <w:r w:rsidRPr="00042175">
        <w:rPr>
          <w:rFonts w:ascii="Bookman Old Style" w:hAnsi="Bookman Old Style"/>
          <w:b/>
        </w:rPr>
        <w:t>Artículo 2.</w:t>
      </w:r>
      <w:r w:rsidRPr="00042175">
        <w:rPr>
          <w:rFonts w:ascii="Bookman Old Style" w:hAnsi="Bookman Old Style" w:cs="Arial"/>
          <w:lang w:val="es-CO" w:eastAsia="es-CO"/>
        </w:rPr>
        <w:t xml:space="preserve"> Se invita a los agentes, a los usuarios, a las autoridades locales municipales y departamentales competentes, a la Superintendencia de </w:t>
      </w:r>
      <w:r w:rsidRPr="00042175">
        <w:rPr>
          <w:rFonts w:ascii="Bookman Old Style" w:hAnsi="Bookman Old Style" w:cs="Arial"/>
          <w:lang w:val="es-CO" w:eastAsia="es-CO"/>
        </w:rPr>
        <w:lastRenderedPageBreak/>
        <w:t xml:space="preserve">Servicios Públicos Domiciliarios y a la Superintendencia de Industria y Comercio, para </w:t>
      </w:r>
      <w:r w:rsidRPr="00557744">
        <w:rPr>
          <w:rFonts w:ascii="Bookman Old Style" w:hAnsi="Bookman Old Style" w:cs="Arial"/>
          <w:lang w:val="es-CO" w:eastAsia="es-CO"/>
        </w:rPr>
        <w:t xml:space="preserve">que remitan sus observaciones o sugerencias sobre la </w:t>
      </w:r>
      <w:r w:rsidRPr="00042175">
        <w:rPr>
          <w:rFonts w:ascii="Bookman Old Style" w:hAnsi="Bookman Old Style" w:cs="Arial"/>
          <w:lang w:val="es-CO" w:eastAsia="es-CO"/>
        </w:rPr>
        <w:t>propuesta contenida en el proyecto de resolución adjunto</w:t>
      </w:r>
      <w:r>
        <w:rPr>
          <w:rFonts w:ascii="Bookman Old Style" w:hAnsi="Bookman Old Style" w:cs="Arial"/>
          <w:lang w:val="es-CO" w:eastAsia="es-CO"/>
        </w:rPr>
        <w:t xml:space="preserve">. </w:t>
      </w:r>
    </w:p>
    <w:p w:rsidR="00557744" w:rsidRPr="00042175" w:rsidRDefault="00557744" w:rsidP="00557744">
      <w:pPr>
        <w:ind w:left="0"/>
        <w:jc w:val="both"/>
        <w:rPr>
          <w:rFonts w:ascii="Bookman Old Style" w:hAnsi="Bookman Old Style"/>
        </w:rPr>
      </w:pPr>
    </w:p>
    <w:p w:rsidR="00557744" w:rsidRPr="00042175" w:rsidRDefault="00557744" w:rsidP="00557744">
      <w:pPr>
        <w:tabs>
          <w:tab w:val="left" w:pos="0"/>
        </w:tabs>
        <w:ind w:left="0"/>
        <w:jc w:val="both"/>
        <w:rPr>
          <w:rFonts w:ascii="Bookman Old Style" w:hAnsi="Bookman Old Style" w:cs="Arial"/>
        </w:rPr>
      </w:pPr>
      <w:r w:rsidRPr="00042175">
        <w:rPr>
          <w:rFonts w:ascii="Bookman Old Style" w:hAnsi="Bookman Old Style" w:cs="Arial"/>
          <w:b/>
          <w:bCs/>
        </w:rPr>
        <w:t>Artículo 3</w:t>
      </w:r>
      <w:r w:rsidRPr="00042175">
        <w:rPr>
          <w:rFonts w:ascii="Bookman Old Style" w:hAnsi="Bookman Old Style" w:cs="Arial"/>
          <w:b/>
        </w:rPr>
        <w:t>.</w:t>
      </w:r>
      <w:r w:rsidRPr="00042175">
        <w:rPr>
          <w:rFonts w:ascii="Bookman Old Style" w:hAnsi="Bookman Old Style" w:cs="Arial"/>
        </w:rPr>
        <w:t xml:space="preserve"> Las observaciones y sugerencias sobre el proyecto deberán dirigirse en formato ‘</w:t>
      </w:r>
      <w:proofErr w:type="spellStart"/>
      <w:r w:rsidRPr="00042175">
        <w:rPr>
          <w:rFonts w:ascii="Bookman Old Style" w:hAnsi="Bookman Old Style" w:cs="Arial"/>
          <w:i/>
        </w:rPr>
        <w:t>word</w:t>
      </w:r>
      <w:proofErr w:type="spellEnd"/>
      <w:r w:rsidRPr="00042175">
        <w:rPr>
          <w:rFonts w:ascii="Bookman Old Style" w:hAnsi="Bookman Old Style" w:cs="Arial"/>
        </w:rPr>
        <w:t>’ a Jorge Pinto Nolla, Director Ejecutivo de la Comisión, a la siguiente dirección: Avenida Calle 116 No. 7-15, Edificio Torre Cusezar, Interior 2, Oficina 901 o al correo electrónico creg@creg.gov.co.</w:t>
      </w:r>
    </w:p>
    <w:p w:rsidR="00557744" w:rsidRPr="00042175" w:rsidRDefault="00557744" w:rsidP="00557744">
      <w:pPr>
        <w:ind w:left="0"/>
        <w:rPr>
          <w:rFonts w:ascii="Bookman Old Style" w:hAnsi="Bookman Old Style"/>
        </w:rPr>
      </w:pPr>
    </w:p>
    <w:p w:rsidR="00557744" w:rsidRPr="00042175" w:rsidRDefault="00557744" w:rsidP="00557744">
      <w:pPr>
        <w:tabs>
          <w:tab w:val="left" w:pos="0"/>
        </w:tabs>
        <w:ind w:left="0"/>
        <w:jc w:val="both"/>
        <w:rPr>
          <w:rFonts w:ascii="Bookman Old Style" w:hAnsi="Bookman Old Style" w:cs="Arial"/>
        </w:rPr>
      </w:pPr>
      <w:r w:rsidRPr="00042175">
        <w:rPr>
          <w:rFonts w:ascii="Bookman Old Style" w:hAnsi="Bookman Old Style" w:cs="Arial"/>
          <w:b/>
          <w:bCs/>
        </w:rPr>
        <w:t>Artículo 4</w:t>
      </w:r>
      <w:r w:rsidRPr="00042175">
        <w:rPr>
          <w:rFonts w:ascii="Bookman Old Style" w:hAnsi="Bookman Old Style" w:cs="Arial"/>
        </w:rPr>
        <w:t>. La presente Resolución no deroga disposiciones vigentes por tratarse de un acto de trámite.</w:t>
      </w:r>
    </w:p>
    <w:p w:rsidR="00557744" w:rsidRPr="00042175" w:rsidRDefault="00557744" w:rsidP="00557744">
      <w:pPr>
        <w:ind w:left="0"/>
        <w:rPr>
          <w:rFonts w:ascii="Bookman Old Style" w:hAnsi="Bookman Old Style"/>
        </w:rPr>
      </w:pPr>
    </w:p>
    <w:p w:rsidR="00557744" w:rsidRPr="00042175" w:rsidRDefault="00557744" w:rsidP="00557744">
      <w:pPr>
        <w:ind w:left="0"/>
        <w:rPr>
          <w:rFonts w:ascii="Bookman Old Style" w:hAnsi="Bookman Old Style"/>
        </w:rPr>
      </w:pPr>
    </w:p>
    <w:p w:rsidR="00557744" w:rsidRPr="00042175" w:rsidRDefault="00557744" w:rsidP="00557744">
      <w:pPr>
        <w:ind w:left="0"/>
        <w:jc w:val="center"/>
        <w:rPr>
          <w:rFonts w:ascii="Bookman Old Style" w:hAnsi="Bookman Old Style"/>
          <w:b/>
        </w:rPr>
      </w:pPr>
      <w:r w:rsidRPr="00042175">
        <w:rPr>
          <w:rFonts w:ascii="Bookman Old Style" w:hAnsi="Bookman Old Style"/>
          <w:b/>
        </w:rPr>
        <w:t>PUBLÍQUESE Y CÚMPLASE</w:t>
      </w:r>
    </w:p>
    <w:p w:rsidR="00557744" w:rsidRPr="00042175" w:rsidRDefault="00557744" w:rsidP="00557744">
      <w:pPr>
        <w:ind w:left="0"/>
        <w:rPr>
          <w:rFonts w:ascii="Bookman Old Style" w:hAnsi="Bookman Old Style"/>
        </w:rPr>
      </w:pPr>
    </w:p>
    <w:p w:rsidR="00557744" w:rsidRPr="00042175" w:rsidRDefault="00557744" w:rsidP="00557744">
      <w:pPr>
        <w:ind w:left="0"/>
        <w:rPr>
          <w:rFonts w:ascii="Bookman Old Style" w:hAnsi="Bookman Old Style"/>
        </w:rPr>
      </w:pPr>
    </w:p>
    <w:p w:rsidR="00557744" w:rsidRPr="00042175" w:rsidRDefault="00557744" w:rsidP="00557744">
      <w:pPr>
        <w:ind w:left="0"/>
        <w:rPr>
          <w:rFonts w:ascii="Bookman Old Style" w:hAnsi="Bookman Old Style"/>
        </w:rPr>
      </w:pPr>
      <w:r w:rsidRPr="00042175">
        <w:rPr>
          <w:rFonts w:ascii="Bookman Old Style" w:hAnsi="Bookman Old Style"/>
        </w:rPr>
        <w:t>Dada en Bogotá, D.C.</w:t>
      </w:r>
    </w:p>
    <w:p w:rsidR="00557744" w:rsidRPr="00042175" w:rsidRDefault="00557744" w:rsidP="00557744">
      <w:pPr>
        <w:ind w:left="0"/>
        <w:rPr>
          <w:rFonts w:ascii="Bookman Old Style" w:hAnsi="Bookman Old Style"/>
        </w:rPr>
      </w:pPr>
    </w:p>
    <w:p w:rsidR="00557744" w:rsidRPr="00042175" w:rsidRDefault="00557744" w:rsidP="00557744">
      <w:pPr>
        <w:ind w:left="0"/>
        <w:rPr>
          <w:rFonts w:ascii="Bookman Old Style" w:hAnsi="Bookman Old Style"/>
        </w:rPr>
      </w:pPr>
    </w:p>
    <w:p w:rsidR="00557744" w:rsidRPr="00042175" w:rsidRDefault="00557744" w:rsidP="00557744">
      <w:pPr>
        <w:ind w:left="0"/>
        <w:rPr>
          <w:rFonts w:ascii="Bookman Old Style" w:hAnsi="Bookman Old Style"/>
        </w:rPr>
      </w:pPr>
    </w:p>
    <w:p w:rsidR="00557744" w:rsidRPr="00042175" w:rsidRDefault="00557744" w:rsidP="00557744">
      <w:pPr>
        <w:ind w:left="0"/>
        <w:rPr>
          <w:rFonts w:ascii="Bookman Old Style" w:hAnsi="Bookman Old Style"/>
        </w:rPr>
      </w:pPr>
    </w:p>
    <w:p w:rsidR="00557744" w:rsidRPr="00042175" w:rsidRDefault="00557744" w:rsidP="00557744">
      <w:pPr>
        <w:ind w:left="0"/>
        <w:rPr>
          <w:rFonts w:ascii="Bookman Old Style" w:hAnsi="Bookman Old Style"/>
        </w:rPr>
      </w:pPr>
    </w:p>
    <w:tbl>
      <w:tblPr>
        <w:tblW w:w="0" w:type="auto"/>
        <w:tblInd w:w="-142" w:type="dxa"/>
        <w:tblLayout w:type="fixed"/>
        <w:tblCellMar>
          <w:left w:w="0" w:type="dxa"/>
          <w:right w:w="0" w:type="dxa"/>
        </w:tblCellMar>
        <w:tblLook w:val="04A0" w:firstRow="1" w:lastRow="0" w:firstColumn="1" w:lastColumn="0" w:noHBand="0" w:noVBand="1"/>
      </w:tblPr>
      <w:tblGrid>
        <w:gridCol w:w="4962"/>
        <w:gridCol w:w="4536"/>
      </w:tblGrid>
      <w:tr w:rsidR="00557744" w:rsidRPr="00557744" w:rsidTr="004F6D09">
        <w:tc>
          <w:tcPr>
            <w:tcW w:w="4962" w:type="dxa"/>
            <w:hideMark/>
          </w:tcPr>
          <w:p w:rsidR="00557744" w:rsidRPr="00042175" w:rsidRDefault="0041270A" w:rsidP="008201B4">
            <w:pPr>
              <w:snapToGrid w:val="0"/>
              <w:ind w:left="0"/>
              <w:jc w:val="center"/>
              <w:rPr>
                <w:rFonts w:ascii="Bookman Old Style" w:hAnsi="Bookman Old Style" w:cs="Arial"/>
                <w:b/>
                <w:bCs/>
              </w:rPr>
            </w:pPr>
            <w:r>
              <w:rPr>
                <w:rFonts w:ascii="Bookman Old Style" w:hAnsi="Bookman Old Style" w:cs="Arial"/>
                <w:b/>
                <w:bCs/>
              </w:rPr>
              <w:t>CARLOS FERNANDO ERASO CALERO</w:t>
            </w:r>
          </w:p>
          <w:p w:rsidR="00557744" w:rsidRDefault="0041270A" w:rsidP="008201B4">
            <w:pPr>
              <w:snapToGrid w:val="0"/>
              <w:ind w:left="0"/>
              <w:jc w:val="center"/>
              <w:rPr>
                <w:rFonts w:ascii="Bookman Old Style" w:hAnsi="Bookman Old Style" w:cs="Arial"/>
              </w:rPr>
            </w:pPr>
            <w:r>
              <w:rPr>
                <w:rFonts w:ascii="Bookman Old Style" w:hAnsi="Bookman Old Style" w:cs="Arial"/>
              </w:rPr>
              <w:t>Viceministro de</w:t>
            </w:r>
            <w:r w:rsidR="00557744" w:rsidRPr="00042175">
              <w:rPr>
                <w:rFonts w:ascii="Bookman Old Style" w:hAnsi="Bookman Old Style" w:cs="Arial"/>
              </w:rPr>
              <w:t xml:space="preserve"> Energía</w:t>
            </w:r>
          </w:p>
          <w:p w:rsidR="0041270A" w:rsidRPr="00042175" w:rsidRDefault="0041270A" w:rsidP="008201B4">
            <w:pPr>
              <w:snapToGrid w:val="0"/>
              <w:ind w:left="0"/>
              <w:jc w:val="center"/>
              <w:rPr>
                <w:rFonts w:ascii="Bookman Old Style" w:hAnsi="Bookman Old Style" w:cs="Arial"/>
                <w:b/>
                <w:bCs/>
              </w:rPr>
            </w:pPr>
            <w:r>
              <w:rPr>
                <w:rFonts w:ascii="Bookman Old Style" w:hAnsi="Bookman Old Style" w:cs="Arial"/>
              </w:rPr>
              <w:t>Delegado del Ministro de Minas y Energía</w:t>
            </w:r>
          </w:p>
        </w:tc>
        <w:tc>
          <w:tcPr>
            <w:tcW w:w="4536" w:type="dxa"/>
            <w:hideMark/>
          </w:tcPr>
          <w:p w:rsidR="00557744" w:rsidRPr="00042175" w:rsidRDefault="00557744" w:rsidP="004F6D09">
            <w:pPr>
              <w:snapToGrid w:val="0"/>
              <w:ind w:left="0"/>
              <w:jc w:val="center"/>
              <w:rPr>
                <w:rFonts w:ascii="Bookman Old Style" w:hAnsi="Bookman Old Style" w:cs="Arial"/>
                <w:b/>
                <w:bCs/>
              </w:rPr>
            </w:pPr>
            <w:r w:rsidRPr="00042175">
              <w:rPr>
                <w:rFonts w:ascii="Bookman Old Style" w:hAnsi="Bookman Old Style" w:cs="Arial"/>
                <w:b/>
                <w:bCs/>
              </w:rPr>
              <w:t>JORGE PINTO NOLLA</w:t>
            </w:r>
          </w:p>
          <w:p w:rsidR="00557744" w:rsidRPr="00042175" w:rsidRDefault="00557744" w:rsidP="004F6D09">
            <w:pPr>
              <w:snapToGrid w:val="0"/>
              <w:ind w:left="0"/>
              <w:jc w:val="center"/>
              <w:rPr>
                <w:rFonts w:ascii="Bookman Old Style" w:hAnsi="Bookman Old Style" w:cs="Arial"/>
                <w:b/>
                <w:bCs/>
              </w:rPr>
            </w:pPr>
            <w:r w:rsidRPr="00042175">
              <w:rPr>
                <w:rFonts w:ascii="Bookman Old Style" w:hAnsi="Bookman Old Style" w:cs="Arial"/>
              </w:rPr>
              <w:t>Director Ejecutivo</w:t>
            </w:r>
          </w:p>
        </w:tc>
      </w:tr>
      <w:tr w:rsidR="00557744" w:rsidRPr="00557744" w:rsidTr="004F6D09">
        <w:tc>
          <w:tcPr>
            <w:tcW w:w="4962" w:type="dxa"/>
            <w:hideMark/>
          </w:tcPr>
          <w:p w:rsidR="00557744" w:rsidRPr="00557744" w:rsidRDefault="008201B4" w:rsidP="008201B4">
            <w:pPr>
              <w:snapToGrid w:val="0"/>
              <w:rPr>
                <w:rFonts w:ascii="Bookman Old Style" w:hAnsi="Bookman Old Style" w:cs="Arial"/>
              </w:rPr>
            </w:pPr>
            <w:r>
              <w:rPr>
                <w:rFonts w:ascii="Bookman Old Style" w:hAnsi="Bookman Old Style" w:cs="Arial"/>
              </w:rPr>
              <w:t xml:space="preserve">                  </w:t>
            </w:r>
            <w:r w:rsidR="00557744" w:rsidRPr="00042175">
              <w:rPr>
                <w:rFonts w:ascii="Bookman Old Style" w:hAnsi="Bookman Old Style" w:cs="Arial"/>
              </w:rPr>
              <w:t>Presidente</w:t>
            </w:r>
          </w:p>
        </w:tc>
        <w:tc>
          <w:tcPr>
            <w:tcW w:w="4536" w:type="dxa"/>
            <w:hideMark/>
          </w:tcPr>
          <w:p w:rsidR="00557744" w:rsidRPr="00D904DC" w:rsidRDefault="00557744" w:rsidP="004F6D09">
            <w:pPr>
              <w:snapToGrid w:val="0"/>
              <w:jc w:val="both"/>
              <w:rPr>
                <w:rFonts w:ascii="Bookman Old Style" w:hAnsi="Bookman Old Style" w:cs="Arial"/>
              </w:rPr>
            </w:pPr>
            <w:r w:rsidRPr="00100514">
              <w:rPr>
                <w:rFonts w:ascii="Bookman Old Style" w:hAnsi="Bookman Old Style" w:cs="Arial"/>
              </w:rPr>
              <w:t xml:space="preserve">          </w:t>
            </w:r>
          </w:p>
        </w:tc>
      </w:tr>
      <w:tr w:rsidR="00557744" w:rsidRPr="00557744" w:rsidTr="004F6D09">
        <w:tc>
          <w:tcPr>
            <w:tcW w:w="4962" w:type="dxa"/>
          </w:tcPr>
          <w:p w:rsidR="00557744" w:rsidRPr="00557744" w:rsidRDefault="00557744" w:rsidP="004F6D09">
            <w:pPr>
              <w:snapToGrid w:val="0"/>
              <w:jc w:val="center"/>
              <w:rPr>
                <w:rFonts w:ascii="Bookman Old Style" w:hAnsi="Bookman Old Style" w:cs="Arial"/>
              </w:rPr>
            </w:pPr>
          </w:p>
        </w:tc>
        <w:tc>
          <w:tcPr>
            <w:tcW w:w="4536" w:type="dxa"/>
          </w:tcPr>
          <w:p w:rsidR="00557744" w:rsidRPr="00557744" w:rsidRDefault="00557744" w:rsidP="004F6D09">
            <w:pPr>
              <w:snapToGrid w:val="0"/>
              <w:jc w:val="both"/>
              <w:rPr>
                <w:rFonts w:ascii="Bookman Old Style" w:hAnsi="Bookman Old Style" w:cs="Arial"/>
              </w:rPr>
            </w:pPr>
          </w:p>
        </w:tc>
      </w:tr>
    </w:tbl>
    <w:p w:rsidR="00557744" w:rsidRPr="00557744" w:rsidRDefault="00557744" w:rsidP="00557744">
      <w:pPr>
        <w:ind w:left="0"/>
        <w:rPr>
          <w:rFonts w:ascii="Bookman Old Style" w:hAnsi="Bookman Old Style" w:cs="Arial"/>
          <w:color w:val="000000"/>
        </w:rPr>
      </w:pPr>
    </w:p>
    <w:p w:rsidR="00557744" w:rsidRPr="00557744" w:rsidRDefault="00557744" w:rsidP="00557744">
      <w:pPr>
        <w:ind w:left="0"/>
        <w:rPr>
          <w:rFonts w:ascii="Bookman Old Style" w:hAnsi="Bookman Old Style" w:cs="Arial"/>
          <w:color w:val="000000"/>
        </w:rPr>
      </w:pPr>
    </w:p>
    <w:p w:rsidR="00557744" w:rsidRPr="00557744" w:rsidRDefault="00557744" w:rsidP="00557744">
      <w:pPr>
        <w:ind w:left="0"/>
        <w:rPr>
          <w:rFonts w:ascii="Bookman Old Style" w:hAnsi="Bookman Old Style" w:cs="Arial"/>
          <w:color w:val="000000"/>
        </w:rPr>
      </w:pPr>
    </w:p>
    <w:p w:rsidR="00557744" w:rsidRPr="00557744" w:rsidRDefault="00557744" w:rsidP="00557744">
      <w:pPr>
        <w:ind w:left="0"/>
        <w:rPr>
          <w:rFonts w:ascii="Bookman Old Style" w:hAnsi="Bookman Old Style" w:cs="Arial"/>
          <w:color w:val="000000"/>
        </w:rPr>
      </w:pPr>
    </w:p>
    <w:p w:rsidR="00557744" w:rsidRPr="00557744" w:rsidRDefault="00557744" w:rsidP="00557744">
      <w:pPr>
        <w:ind w:left="0"/>
        <w:rPr>
          <w:rFonts w:ascii="Bookman Old Style" w:hAnsi="Bookman Old Style" w:cs="Arial"/>
          <w:color w:val="000000"/>
        </w:rPr>
      </w:pPr>
    </w:p>
    <w:p w:rsidR="00557744" w:rsidRPr="00557744" w:rsidRDefault="00557744" w:rsidP="00557744">
      <w:pPr>
        <w:ind w:left="0"/>
        <w:rPr>
          <w:rFonts w:ascii="Bookman Old Style" w:hAnsi="Bookman Old Style" w:cs="Arial"/>
          <w:color w:val="000000"/>
        </w:rPr>
      </w:pPr>
      <w:r w:rsidRPr="00557744">
        <w:rPr>
          <w:rFonts w:ascii="Bookman Old Style" w:hAnsi="Bookman Old Style" w:cs="Arial"/>
          <w:color w:val="000000"/>
        </w:rPr>
        <w:br w:type="page"/>
      </w:r>
    </w:p>
    <w:p w:rsidR="00557744" w:rsidRPr="00557744" w:rsidRDefault="00557744" w:rsidP="00557744">
      <w:pPr>
        <w:ind w:left="0"/>
        <w:rPr>
          <w:rFonts w:ascii="Bookman Old Style" w:hAnsi="Bookman Old Style" w:cs="Arial"/>
          <w:color w:val="000000"/>
        </w:rPr>
      </w:pPr>
    </w:p>
    <w:p w:rsidR="00557744" w:rsidRPr="00557744" w:rsidRDefault="00557744" w:rsidP="00042175">
      <w:pPr>
        <w:pStyle w:val="Encabezado"/>
        <w:tabs>
          <w:tab w:val="clear" w:pos="8504"/>
          <w:tab w:val="left" w:pos="0"/>
          <w:tab w:val="right" w:pos="9356"/>
        </w:tabs>
        <w:ind w:left="0"/>
        <w:jc w:val="center"/>
        <w:rPr>
          <w:rFonts w:ascii="Bookman Old Style" w:hAnsi="Bookman Old Style"/>
          <w:szCs w:val="24"/>
        </w:rPr>
      </w:pPr>
      <w:r w:rsidRPr="00042175">
        <w:rPr>
          <w:rFonts w:ascii="Bookman Old Style" w:hAnsi="Bookman Old Style" w:cs="Arial"/>
          <w:b/>
          <w:color w:val="000000" w:themeColor="text1"/>
          <w:lang w:eastAsia="es-CO"/>
        </w:rPr>
        <w:t>PROYECTO DE RESOLUCIÓN</w:t>
      </w:r>
    </w:p>
    <w:p w:rsidR="00557744" w:rsidRPr="00557744" w:rsidRDefault="00557744" w:rsidP="00DD11F8">
      <w:pPr>
        <w:pStyle w:val="Encabezado"/>
        <w:tabs>
          <w:tab w:val="clear" w:pos="8504"/>
          <w:tab w:val="left" w:pos="0"/>
          <w:tab w:val="right" w:pos="9356"/>
        </w:tabs>
        <w:ind w:left="0"/>
        <w:jc w:val="both"/>
        <w:rPr>
          <w:rFonts w:ascii="Bookman Old Style" w:hAnsi="Bookman Old Style"/>
          <w:szCs w:val="24"/>
        </w:rPr>
      </w:pPr>
    </w:p>
    <w:p w:rsidR="00557744" w:rsidRPr="00100514" w:rsidRDefault="00557744" w:rsidP="00DD11F8">
      <w:pPr>
        <w:pStyle w:val="Encabezado"/>
        <w:tabs>
          <w:tab w:val="clear" w:pos="8504"/>
          <w:tab w:val="left" w:pos="0"/>
          <w:tab w:val="right" w:pos="9356"/>
        </w:tabs>
        <w:ind w:left="0"/>
        <w:jc w:val="both"/>
        <w:rPr>
          <w:rFonts w:ascii="Bookman Old Style" w:hAnsi="Bookman Old Style"/>
          <w:szCs w:val="24"/>
        </w:rPr>
      </w:pPr>
    </w:p>
    <w:p w:rsidR="00DD11F8" w:rsidRPr="00100514" w:rsidRDefault="00BA1DB7" w:rsidP="00042175">
      <w:pPr>
        <w:ind w:left="0" w:right="51"/>
        <w:jc w:val="center"/>
        <w:rPr>
          <w:rFonts w:ascii="Bookman Old Style" w:hAnsi="Bookman Old Style"/>
          <w:b/>
        </w:rPr>
      </w:pPr>
      <w:r w:rsidRPr="001D4A97">
        <w:rPr>
          <w:rFonts w:ascii="Bookman Old Style" w:hAnsi="Bookman Old Style"/>
        </w:rPr>
        <w:t xml:space="preserve">Por la cual se adiciona un parágrafo </w:t>
      </w:r>
      <w:r>
        <w:rPr>
          <w:rFonts w:ascii="Bookman Old Style" w:hAnsi="Bookman Old Style"/>
        </w:rPr>
        <w:t xml:space="preserve">al artículo </w:t>
      </w:r>
      <w:r w:rsidRPr="001D4A97">
        <w:rPr>
          <w:rFonts w:ascii="Bookman Old Style" w:hAnsi="Bookman Old Style"/>
        </w:rPr>
        <w:t>44 de la  Resolución CREG 089 de 2013</w:t>
      </w:r>
    </w:p>
    <w:p w:rsidR="00DD11F8" w:rsidRPr="00D92A01" w:rsidRDefault="00DD11F8" w:rsidP="00DD11F8">
      <w:pPr>
        <w:ind w:right="51"/>
        <w:jc w:val="center"/>
        <w:rPr>
          <w:rFonts w:ascii="Bookman Old Style" w:hAnsi="Bookman Old Style"/>
          <w:b/>
        </w:rPr>
      </w:pPr>
    </w:p>
    <w:p w:rsidR="00DD11F8" w:rsidRPr="00D92A01" w:rsidRDefault="00DD11F8" w:rsidP="00DD11F8">
      <w:pPr>
        <w:ind w:right="51"/>
        <w:jc w:val="center"/>
        <w:rPr>
          <w:rFonts w:ascii="Bookman Old Style" w:hAnsi="Bookman Old Style"/>
          <w:b/>
        </w:rPr>
      </w:pPr>
    </w:p>
    <w:p w:rsidR="00DD11F8" w:rsidRPr="00ED631E" w:rsidRDefault="00DD11F8" w:rsidP="00DD11F8">
      <w:pPr>
        <w:ind w:right="51"/>
        <w:jc w:val="center"/>
        <w:rPr>
          <w:rFonts w:ascii="Bookman Old Style" w:hAnsi="Bookman Old Style"/>
          <w:b/>
        </w:rPr>
      </w:pPr>
      <w:r w:rsidRPr="00ED631E">
        <w:rPr>
          <w:rFonts w:ascii="Bookman Old Style" w:hAnsi="Bookman Old Style"/>
          <w:b/>
        </w:rPr>
        <w:t>LA COMISIÓN DE REGULACIÓN DE  ENERGÍA Y GAS</w:t>
      </w:r>
    </w:p>
    <w:p w:rsidR="00DD11F8" w:rsidRPr="00557744" w:rsidRDefault="00DD11F8" w:rsidP="00DD11F8">
      <w:pPr>
        <w:ind w:left="0" w:right="51"/>
        <w:rPr>
          <w:rFonts w:ascii="Bookman Old Style" w:hAnsi="Bookman Old Style"/>
        </w:rPr>
      </w:pPr>
    </w:p>
    <w:p w:rsidR="00DD11F8" w:rsidRPr="00557744" w:rsidRDefault="00DD11F8" w:rsidP="00DD11F8">
      <w:pPr>
        <w:ind w:left="0" w:right="51"/>
        <w:rPr>
          <w:rFonts w:ascii="Bookman Old Style" w:hAnsi="Bookman Old Style"/>
        </w:rPr>
      </w:pPr>
    </w:p>
    <w:p w:rsidR="006C3783" w:rsidRDefault="006C3783" w:rsidP="00100514">
      <w:pPr>
        <w:pStyle w:val="Textoindependiente3"/>
        <w:ind w:left="0"/>
        <w:rPr>
          <w:rFonts w:ascii="Bookman Old Style" w:hAnsi="Bookman Old Style"/>
          <w:b w:val="0"/>
        </w:rPr>
      </w:pPr>
      <w:r w:rsidRPr="00835F87">
        <w:rPr>
          <w:rFonts w:ascii="Bookman Old Style" w:hAnsi="Bookman Old Style"/>
          <w:b w:val="0"/>
        </w:rPr>
        <w:t>En ejercicio de sus atribuciones constitucionales y legales, en especial las conferidas por las Leyes 142 y 143 de 1994, y en desarrollo de los Decretos 1523, 2253 de 1994, 2100 de 2011 y 1260 de 2013</w:t>
      </w:r>
    </w:p>
    <w:p w:rsidR="00500330" w:rsidRDefault="00500330" w:rsidP="00DD11F8">
      <w:pPr>
        <w:ind w:right="51"/>
        <w:rPr>
          <w:rFonts w:ascii="Bookman Old Style" w:hAnsi="Bookman Old Style"/>
        </w:rPr>
      </w:pPr>
    </w:p>
    <w:p w:rsidR="00042175" w:rsidRPr="00ED631E" w:rsidRDefault="00042175" w:rsidP="00DD11F8">
      <w:pPr>
        <w:ind w:right="51"/>
        <w:rPr>
          <w:rFonts w:ascii="Bookman Old Style" w:hAnsi="Bookman Old Style"/>
        </w:rPr>
      </w:pPr>
    </w:p>
    <w:p w:rsidR="00DD11F8" w:rsidRPr="00557744" w:rsidRDefault="00DD11F8" w:rsidP="00DD11F8">
      <w:pPr>
        <w:ind w:right="51"/>
        <w:jc w:val="center"/>
        <w:rPr>
          <w:rFonts w:ascii="Bookman Old Style" w:hAnsi="Bookman Old Style"/>
          <w:b/>
        </w:rPr>
      </w:pPr>
      <w:r w:rsidRPr="00ED631E">
        <w:rPr>
          <w:rFonts w:ascii="Bookman Old Style" w:hAnsi="Bookman Old Style"/>
          <w:b/>
        </w:rPr>
        <w:t>C O N S I D E R A N D O  Q U E</w:t>
      </w:r>
      <w:r w:rsidRPr="00306F0E">
        <w:rPr>
          <w:rFonts w:ascii="Bookman Old Style" w:hAnsi="Bookman Old Style"/>
          <w:b/>
        </w:rPr>
        <w:t>:</w:t>
      </w:r>
    </w:p>
    <w:p w:rsidR="00DD11F8" w:rsidRPr="00557744" w:rsidRDefault="00DD11F8" w:rsidP="00DD11F8">
      <w:pPr>
        <w:jc w:val="both"/>
        <w:rPr>
          <w:rFonts w:ascii="Bookman Old Style" w:hAnsi="Bookman Old Style" w:cs="Arial"/>
        </w:rPr>
      </w:pPr>
    </w:p>
    <w:p w:rsidR="00D904DC" w:rsidRPr="00042175" w:rsidRDefault="00D904DC" w:rsidP="00D904DC">
      <w:pPr>
        <w:ind w:left="0"/>
        <w:jc w:val="both"/>
        <w:rPr>
          <w:rFonts w:ascii="Bookman Old Style" w:hAnsi="Bookman Old Style" w:cs="Arial"/>
          <w:color w:val="000000"/>
        </w:rPr>
      </w:pPr>
      <w:r w:rsidRPr="00042175">
        <w:rPr>
          <w:rFonts w:ascii="Bookman Old Style" w:hAnsi="Bookman Old Style" w:cs="Arial"/>
          <w:color w:val="000000"/>
        </w:rPr>
        <w:t>El inciso tercero del artículo 333 de la Const</w:t>
      </w:r>
      <w:r w:rsidR="00042175">
        <w:rPr>
          <w:rFonts w:ascii="Bookman Old Style" w:hAnsi="Bookman Old Style" w:cs="Arial"/>
          <w:color w:val="000000"/>
        </w:rPr>
        <w:t>itución Política establece que e</w:t>
      </w:r>
      <w:r w:rsidRPr="00042175">
        <w:rPr>
          <w:rFonts w:ascii="Bookman Old Style" w:hAnsi="Bookman Old Style" w:cs="Arial"/>
          <w:color w:val="000000"/>
        </w:rPr>
        <w:t>l Estado, por mandato de la ley, impedirá que se obstruya o se restrinja la libertad económica y evitará o controlará cualquier abuso que personas o empresas hagan de su posición d</w:t>
      </w:r>
      <w:r w:rsidR="00042175">
        <w:rPr>
          <w:rFonts w:ascii="Bookman Old Style" w:hAnsi="Bookman Old Style" w:cs="Arial"/>
          <w:color w:val="000000"/>
        </w:rPr>
        <w:t>ominante en el mercado nacional</w:t>
      </w:r>
      <w:r w:rsidRPr="00042175">
        <w:rPr>
          <w:rFonts w:ascii="Bookman Old Style" w:hAnsi="Bookman Old Style" w:cs="Arial"/>
          <w:color w:val="000000"/>
        </w:rPr>
        <w:t>.</w:t>
      </w:r>
    </w:p>
    <w:p w:rsidR="00042175" w:rsidRDefault="00042175" w:rsidP="00D904DC">
      <w:pPr>
        <w:ind w:left="0"/>
        <w:jc w:val="both"/>
        <w:rPr>
          <w:rFonts w:ascii="Bookman Old Style" w:hAnsi="Bookman Old Style" w:cs="Arial"/>
          <w:color w:val="000000"/>
        </w:rPr>
      </w:pPr>
    </w:p>
    <w:p w:rsidR="00D904DC" w:rsidRPr="00483BFD" w:rsidRDefault="00D904DC" w:rsidP="00D904DC">
      <w:pPr>
        <w:ind w:left="0"/>
        <w:jc w:val="both"/>
        <w:rPr>
          <w:rFonts w:ascii="Bookman Old Style" w:hAnsi="Bookman Old Style" w:cs="Arial"/>
          <w:color w:val="000000" w:themeColor="text1"/>
          <w:lang w:val="es-ES_tradnl"/>
        </w:rPr>
      </w:pPr>
      <w:r w:rsidRPr="00483BFD">
        <w:rPr>
          <w:rFonts w:ascii="Bookman Old Style" w:hAnsi="Bookman Old Style" w:cs="Arial"/>
          <w:color w:val="000000" w:themeColor="text1"/>
          <w:lang w:val="es-ES_tradnl"/>
        </w:rPr>
        <w:t xml:space="preserve">El artículo 365 de la Constitución Política establece, a su vez, que </w:t>
      </w:r>
      <w:r w:rsidR="00042175">
        <w:rPr>
          <w:rFonts w:ascii="Bookman Old Style" w:hAnsi="Bookman Old Style" w:cs="Arial"/>
          <w:color w:val="000000" w:themeColor="text1"/>
          <w:lang w:val="es-ES_tradnl"/>
        </w:rPr>
        <w:t>l</w:t>
      </w:r>
      <w:r w:rsidRPr="00483BFD">
        <w:rPr>
          <w:rFonts w:ascii="Bookman Old Style" w:hAnsi="Bookman Old Style" w:cs="Arial"/>
          <w:color w:val="000000" w:themeColor="text1"/>
          <w:lang w:val="es-ES_tradnl"/>
        </w:rPr>
        <w:t>os servicios públicos son inherentes a la finalidad social del Estado. Es deber del Estado asegurar su prestación eficiente a todos los hab</w:t>
      </w:r>
      <w:r w:rsidR="00042175">
        <w:rPr>
          <w:rFonts w:ascii="Bookman Old Style" w:hAnsi="Bookman Old Style" w:cs="Arial"/>
          <w:color w:val="000000" w:themeColor="text1"/>
          <w:lang w:val="es-ES_tradnl"/>
        </w:rPr>
        <w:t>itantes del territorio nacional</w:t>
      </w:r>
      <w:r w:rsidRPr="00483BFD">
        <w:rPr>
          <w:rFonts w:ascii="Bookman Old Style" w:hAnsi="Bookman Old Style" w:cs="Arial"/>
          <w:color w:val="000000" w:themeColor="text1"/>
          <w:lang w:val="es-ES_tradnl"/>
        </w:rPr>
        <w:t>, que los mismos estarán sometidos al régimen ju</w:t>
      </w:r>
      <w:r w:rsidR="00042175">
        <w:rPr>
          <w:rFonts w:ascii="Bookman Old Style" w:hAnsi="Bookman Old Style" w:cs="Arial"/>
          <w:color w:val="000000" w:themeColor="text1"/>
          <w:lang w:val="es-ES_tradnl"/>
        </w:rPr>
        <w:t>rídico que fije la ley, y que e</w:t>
      </w:r>
      <w:r w:rsidRPr="00483BFD">
        <w:rPr>
          <w:rFonts w:ascii="Bookman Old Style" w:hAnsi="Bookman Old Style" w:cs="Arial"/>
          <w:color w:val="000000" w:themeColor="text1"/>
          <w:lang w:val="es-ES_tradnl"/>
        </w:rPr>
        <w:t>n todo caso, el Estado mantendrá la regulación, el control y la</w:t>
      </w:r>
      <w:r w:rsidR="00042175">
        <w:rPr>
          <w:rFonts w:ascii="Bookman Old Style" w:hAnsi="Bookman Old Style" w:cs="Arial"/>
          <w:color w:val="000000" w:themeColor="text1"/>
          <w:lang w:val="es-ES_tradnl"/>
        </w:rPr>
        <w:t xml:space="preserve"> vigilancia de dichos servicios</w:t>
      </w:r>
      <w:r w:rsidRPr="00483BFD">
        <w:rPr>
          <w:rFonts w:ascii="Bookman Old Style" w:hAnsi="Bookman Old Style" w:cs="Arial"/>
          <w:color w:val="000000" w:themeColor="text1"/>
          <w:lang w:val="es-ES_tradnl"/>
        </w:rPr>
        <w:t>.</w:t>
      </w:r>
    </w:p>
    <w:p w:rsidR="00D904DC" w:rsidRDefault="00D904DC" w:rsidP="00042175">
      <w:pPr>
        <w:ind w:left="0"/>
        <w:jc w:val="both"/>
        <w:rPr>
          <w:rFonts w:ascii="Bookman Old Style" w:hAnsi="Bookman Old Style" w:cs="Arial"/>
          <w:color w:val="000000"/>
        </w:rPr>
      </w:pPr>
    </w:p>
    <w:p w:rsidR="00D904DC" w:rsidRDefault="00D904DC" w:rsidP="00042175">
      <w:pPr>
        <w:ind w:left="0"/>
        <w:jc w:val="both"/>
        <w:rPr>
          <w:rFonts w:ascii="Bookman Old Style" w:hAnsi="Bookman Old Style" w:cs="Arial"/>
          <w:color w:val="000000"/>
        </w:rPr>
      </w:pPr>
      <w:r w:rsidRPr="00483BFD">
        <w:rPr>
          <w:rFonts w:ascii="Bookman Old Style" w:hAnsi="Bookman Old Style" w:cs="Arial"/>
          <w:color w:val="000000" w:themeColor="text1"/>
        </w:rPr>
        <w:t>Según lo dispuesto en el artículo 73 de la Ley 142 de 1994, corresponde a las comisiones regular los monopolios en la prestación de los servicios públicos, cuando la competencia no sea, de hecho, posible y, en los demás casos, la de promover la competencia entre quienes prestan servicios públicos, para que las operaciones de los monopolistas o de los competidores sean económicamente eficientes, no impliquen abuso de posición dominante y produzcan servicios de calidad.</w:t>
      </w:r>
    </w:p>
    <w:p w:rsidR="00D904DC" w:rsidRDefault="00D904DC" w:rsidP="00042175">
      <w:pPr>
        <w:ind w:left="0"/>
        <w:jc w:val="both"/>
        <w:rPr>
          <w:rFonts w:ascii="Bookman Old Style" w:hAnsi="Bookman Old Style" w:cs="Arial"/>
          <w:color w:val="000000"/>
        </w:rPr>
      </w:pPr>
    </w:p>
    <w:p w:rsidR="00D904DC" w:rsidRDefault="00D904DC" w:rsidP="00042175">
      <w:pPr>
        <w:ind w:left="0"/>
        <w:jc w:val="both"/>
        <w:rPr>
          <w:rFonts w:ascii="Bookman Old Style" w:hAnsi="Bookman Old Style" w:cs="Arial"/>
          <w:color w:val="000000"/>
        </w:rPr>
      </w:pPr>
      <w:r w:rsidRPr="007741CF">
        <w:rPr>
          <w:rFonts w:ascii="Bookman Old Style" w:hAnsi="Bookman Old Style" w:cs="Arial"/>
          <w:color w:val="000000"/>
        </w:rPr>
        <w:t xml:space="preserve">De acuerdo con lo establecido en el literal c) del </w:t>
      </w:r>
      <w:r>
        <w:rPr>
          <w:rFonts w:ascii="Bookman Old Style" w:hAnsi="Bookman Old Style" w:cs="Arial"/>
          <w:color w:val="000000"/>
        </w:rPr>
        <w:t xml:space="preserve">numeral 74.1 del </w:t>
      </w:r>
      <w:r w:rsidRPr="007741CF">
        <w:rPr>
          <w:rFonts w:ascii="Bookman Old Style" w:hAnsi="Bookman Old Style" w:cs="Arial"/>
          <w:color w:val="000000"/>
        </w:rPr>
        <w:t>artículo 74 de la Ley 142 de 1994, es función de la CREG establecer el reglamento de operación para regular el funcionamiento del mercado mayorista de gas combustible.</w:t>
      </w:r>
    </w:p>
    <w:p w:rsidR="00D904DC" w:rsidRDefault="00D904DC" w:rsidP="00042175">
      <w:pPr>
        <w:ind w:left="0"/>
        <w:jc w:val="both"/>
        <w:rPr>
          <w:rFonts w:ascii="Bookman Old Style" w:hAnsi="Bookman Old Style" w:cs="Arial"/>
          <w:color w:val="000000"/>
        </w:rPr>
      </w:pPr>
    </w:p>
    <w:p w:rsidR="00D904DC" w:rsidRDefault="00D904DC" w:rsidP="00042175">
      <w:pPr>
        <w:ind w:left="0"/>
        <w:jc w:val="both"/>
        <w:rPr>
          <w:rFonts w:ascii="Bookman Old Style" w:hAnsi="Bookman Old Style" w:cs="Arial"/>
          <w:color w:val="000000"/>
        </w:rPr>
      </w:pPr>
      <w:r w:rsidRPr="00F6673E">
        <w:rPr>
          <w:rFonts w:ascii="Bookman Old Style" w:hAnsi="Bookman Old Style" w:cs="Arial"/>
          <w:color w:val="000000"/>
        </w:rPr>
        <w:t>Mediante la Resolución CREG 089 de 2013 la CREG expidió disposiciones relacionadas con los aspectos comerciales del mercado mayorista de gas natural, que hacen parte del reglamento de operación de gas natural. La resolución mencionada contiene el conjunto de disposiciones aplicables a las negociaciones del suministro y del transporte del gas natural utilizado efectivamente como combustible que se realicen en el mercado primario y en el mercado secundario.</w:t>
      </w:r>
    </w:p>
    <w:p w:rsidR="00D904DC" w:rsidRDefault="00D904DC" w:rsidP="00042175">
      <w:pPr>
        <w:ind w:left="0"/>
        <w:jc w:val="both"/>
        <w:rPr>
          <w:rFonts w:ascii="Bookman Old Style" w:hAnsi="Bookman Old Style" w:cs="Arial"/>
          <w:color w:val="000000"/>
        </w:rPr>
      </w:pPr>
    </w:p>
    <w:p w:rsidR="008201B4" w:rsidRDefault="008201B4" w:rsidP="00501DA3">
      <w:pPr>
        <w:ind w:left="0"/>
        <w:jc w:val="both"/>
        <w:rPr>
          <w:rFonts w:ascii="Bookman Old Style" w:hAnsi="Bookman Old Style" w:cs="Arial"/>
          <w:color w:val="000000"/>
        </w:rPr>
      </w:pPr>
    </w:p>
    <w:p w:rsidR="00501DA3" w:rsidRDefault="00042175" w:rsidP="00501DA3">
      <w:pPr>
        <w:ind w:left="0"/>
        <w:jc w:val="both"/>
        <w:rPr>
          <w:rFonts w:ascii="Bookman Old Style" w:hAnsi="Bookman Old Style" w:cs="Arial"/>
          <w:color w:val="000000"/>
        </w:rPr>
      </w:pPr>
      <w:r>
        <w:rPr>
          <w:rFonts w:ascii="Bookman Old Style" w:hAnsi="Bookman Old Style" w:cs="Arial"/>
          <w:color w:val="000000"/>
        </w:rPr>
        <w:t>En el a</w:t>
      </w:r>
      <w:r w:rsidR="00501DA3">
        <w:rPr>
          <w:rFonts w:ascii="Bookman Old Style" w:hAnsi="Bookman Old Style" w:cs="Arial"/>
          <w:color w:val="000000"/>
        </w:rPr>
        <w:t>rtículo 44 de la Resolución CREG 089 de 2013 se establecen las reglas aplicables al p</w:t>
      </w:r>
      <w:r w:rsidR="00501DA3" w:rsidRPr="00501DA3">
        <w:rPr>
          <w:rFonts w:ascii="Bookman Old Style" w:hAnsi="Bookman Old Style" w:cs="Arial"/>
          <w:color w:val="000000"/>
        </w:rPr>
        <w:t xml:space="preserve">roceso úselo o véndalo de largo plazo para capacidad de transporte. </w:t>
      </w:r>
      <w:r w:rsidR="00501DA3">
        <w:rPr>
          <w:rFonts w:ascii="Bookman Old Style" w:hAnsi="Bookman Old Style" w:cs="Arial"/>
          <w:color w:val="000000"/>
        </w:rPr>
        <w:t>Mediante este proceso l</w:t>
      </w:r>
      <w:r w:rsidR="00501DA3" w:rsidRPr="00501DA3">
        <w:rPr>
          <w:rFonts w:ascii="Bookman Old Style" w:hAnsi="Bookman Old Style" w:cs="Arial"/>
          <w:color w:val="000000"/>
        </w:rPr>
        <w:t xml:space="preserve">os compradores que hayan contratado capacidad de transporte y no dispongan de cantidades de gas suficientes para hacer uso de esa capacidad de transporte deberán acogerse al </w:t>
      </w:r>
      <w:r w:rsidR="00501DA3">
        <w:rPr>
          <w:rFonts w:ascii="Bookman Old Style" w:hAnsi="Bookman Old Style" w:cs="Arial"/>
          <w:color w:val="000000"/>
        </w:rPr>
        <w:t>proceso úselo o véndalo de largo plazo p</w:t>
      </w:r>
      <w:r w:rsidR="00501DA3" w:rsidRPr="00501DA3">
        <w:rPr>
          <w:rFonts w:ascii="Bookman Old Style" w:hAnsi="Bookman Old Style" w:cs="Arial"/>
          <w:color w:val="000000"/>
        </w:rPr>
        <w:t>ara ofrecer su exceso de capacidad de transporte</w:t>
      </w:r>
      <w:r w:rsidR="00D92A01">
        <w:rPr>
          <w:rFonts w:ascii="Bookman Old Style" w:hAnsi="Bookman Old Style" w:cs="Arial"/>
          <w:color w:val="000000"/>
        </w:rPr>
        <w:t>, o capacidad excedentaria,</w:t>
      </w:r>
      <w:r w:rsidR="00501DA3" w:rsidRPr="00501DA3">
        <w:rPr>
          <w:rFonts w:ascii="Bookman Old Style" w:hAnsi="Bookman Old Style" w:cs="Arial"/>
          <w:color w:val="000000"/>
        </w:rPr>
        <w:t xml:space="preserve"> a quienes la requieran para transportar cantidades de gas contratadas a través de los mecanismos de comercialización definidos en el </w:t>
      </w:r>
      <w:r>
        <w:rPr>
          <w:rFonts w:ascii="Bookman Old Style" w:hAnsi="Bookman Old Style" w:cs="Arial"/>
          <w:color w:val="000000"/>
        </w:rPr>
        <w:t>a</w:t>
      </w:r>
      <w:r w:rsidR="00501DA3">
        <w:rPr>
          <w:rFonts w:ascii="Bookman Old Style" w:hAnsi="Bookman Old Style" w:cs="Arial"/>
          <w:color w:val="000000"/>
        </w:rPr>
        <w:t xml:space="preserve">rtículo 21 de </w:t>
      </w:r>
      <w:r w:rsidR="00501DA3" w:rsidRPr="00501DA3">
        <w:rPr>
          <w:rFonts w:ascii="Bookman Old Style" w:hAnsi="Bookman Old Style" w:cs="Arial"/>
          <w:color w:val="000000"/>
        </w:rPr>
        <w:t>la Resolución</w:t>
      </w:r>
      <w:r w:rsidR="00501DA3">
        <w:rPr>
          <w:rFonts w:ascii="Bookman Old Style" w:hAnsi="Bookman Old Style" w:cs="Arial"/>
          <w:color w:val="000000"/>
        </w:rPr>
        <w:t xml:space="preserve"> CREG 089 de 2013.</w:t>
      </w:r>
    </w:p>
    <w:p w:rsidR="00D904DC" w:rsidRDefault="00D904DC" w:rsidP="00501DA3">
      <w:pPr>
        <w:ind w:left="0"/>
        <w:jc w:val="both"/>
        <w:rPr>
          <w:rFonts w:ascii="Bookman Old Style" w:hAnsi="Bookman Old Style" w:cs="Arial"/>
          <w:color w:val="000000"/>
        </w:rPr>
      </w:pPr>
    </w:p>
    <w:p w:rsidR="00D92A01" w:rsidRPr="00D92A01" w:rsidRDefault="00D92A01" w:rsidP="00D92A01">
      <w:pPr>
        <w:ind w:left="0"/>
        <w:jc w:val="both"/>
        <w:rPr>
          <w:rFonts w:ascii="Bookman Old Style" w:hAnsi="Bookman Old Style" w:cs="Arial"/>
          <w:color w:val="000000"/>
        </w:rPr>
      </w:pPr>
      <w:r>
        <w:rPr>
          <w:rFonts w:ascii="Bookman Old Style" w:hAnsi="Bookman Old Style" w:cs="Arial"/>
          <w:color w:val="000000"/>
        </w:rPr>
        <w:t>En el parágrafo 2 del Artículo 44 de la Resolución CREG</w:t>
      </w:r>
      <w:r w:rsidR="00042175">
        <w:rPr>
          <w:rFonts w:ascii="Bookman Old Style" w:hAnsi="Bookman Old Style" w:cs="Arial"/>
          <w:color w:val="000000"/>
        </w:rPr>
        <w:t xml:space="preserve"> 089 de 2013 se establece que “a</w:t>
      </w:r>
      <w:r w:rsidRPr="00D92A01">
        <w:rPr>
          <w:rFonts w:ascii="Bookman Old Style" w:hAnsi="Bookman Old Style" w:cs="Arial"/>
          <w:color w:val="000000"/>
        </w:rPr>
        <w:t>ntes de que el gestor del mercado inicie la prestación de sus servicios la negociación de la capacidad excedentaria</w:t>
      </w:r>
      <w:r w:rsidRPr="00D92A01" w:rsidDel="00A66F82">
        <w:rPr>
          <w:rFonts w:ascii="Bookman Old Style" w:hAnsi="Bookman Old Style" w:cs="Arial"/>
          <w:color w:val="000000"/>
        </w:rPr>
        <w:t xml:space="preserve"> </w:t>
      </w:r>
      <w:r w:rsidRPr="00D92A01">
        <w:rPr>
          <w:rFonts w:ascii="Bookman Old Style" w:hAnsi="Bookman Old Style" w:cs="Arial"/>
          <w:color w:val="000000"/>
        </w:rPr>
        <w:t>se realizará de acuerdo con el mecanismo de transición establecido en el Anexo 7 de la presente Resolución</w:t>
      </w:r>
      <w:r>
        <w:rPr>
          <w:rFonts w:ascii="Bookman Old Style" w:hAnsi="Bookman Old Style" w:cs="Arial"/>
          <w:color w:val="000000"/>
        </w:rPr>
        <w:t>”</w:t>
      </w:r>
      <w:r w:rsidRPr="00D92A01">
        <w:rPr>
          <w:rFonts w:ascii="Bookman Old Style" w:hAnsi="Bookman Old Style" w:cs="Arial"/>
          <w:color w:val="000000"/>
        </w:rPr>
        <w:t>.</w:t>
      </w:r>
      <w:r w:rsidR="00690AC9">
        <w:rPr>
          <w:rFonts w:ascii="Bookman Old Style" w:hAnsi="Bookman Old Style" w:cs="Arial"/>
          <w:color w:val="000000"/>
        </w:rPr>
        <w:t xml:space="preserve"> Este período comprendido entre la entrada en vigencia de la Resolución CREG 089 de 2013 y el inicio de prestación de los servicios del gestor del mercado se denominó período de transición.</w:t>
      </w:r>
    </w:p>
    <w:p w:rsidR="00D92A01" w:rsidRDefault="00D92A01" w:rsidP="00D92A01">
      <w:pPr>
        <w:ind w:left="0"/>
        <w:jc w:val="both"/>
        <w:rPr>
          <w:rFonts w:ascii="Bookman Old Style" w:hAnsi="Bookman Old Style" w:cs="Arial"/>
          <w:color w:val="000000"/>
        </w:rPr>
      </w:pPr>
    </w:p>
    <w:p w:rsidR="00AB202B" w:rsidRDefault="00AB202B" w:rsidP="00AB202B">
      <w:pPr>
        <w:tabs>
          <w:tab w:val="left" w:pos="0"/>
        </w:tabs>
        <w:ind w:left="0"/>
        <w:jc w:val="both"/>
        <w:rPr>
          <w:rFonts w:ascii="Bookman Old Style" w:hAnsi="Bookman Old Style" w:cs="Arial"/>
          <w:color w:val="000000"/>
        </w:rPr>
      </w:pPr>
      <w:r w:rsidRPr="00D92A01">
        <w:rPr>
          <w:rFonts w:ascii="Bookman Old Style" w:hAnsi="Bookman Old Style" w:cs="Arial"/>
          <w:color w:val="000000"/>
        </w:rPr>
        <w:t xml:space="preserve">En el literal </w:t>
      </w:r>
      <w:r>
        <w:rPr>
          <w:rFonts w:ascii="Bookman Old Style" w:hAnsi="Bookman Old Style" w:cs="Arial"/>
          <w:color w:val="000000"/>
        </w:rPr>
        <w:t>c) del numeral 3 del Anexo 7 de la Resolución CREG 089 de 2013 se establece</w:t>
      </w:r>
      <w:r w:rsidR="00042175">
        <w:rPr>
          <w:rFonts w:ascii="Bookman Old Style" w:hAnsi="Bookman Old Style" w:cs="Arial"/>
          <w:color w:val="000000"/>
        </w:rPr>
        <w:t xml:space="preserve"> que</w:t>
      </w:r>
      <w:r>
        <w:rPr>
          <w:rFonts w:ascii="Bookman Old Style" w:hAnsi="Bookman Old Style" w:cs="Arial"/>
          <w:color w:val="000000"/>
        </w:rPr>
        <w:t xml:space="preserve">: </w:t>
      </w:r>
    </w:p>
    <w:p w:rsidR="00AB202B" w:rsidRDefault="00AB202B" w:rsidP="00D92A01">
      <w:pPr>
        <w:ind w:left="0"/>
        <w:jc w:val="both"/>
        <w:rPr>
          <w:rFonts w:ascii="Bookman Old Style" w:hAnsi="Bookman Old Style" w:cs="Arial"/>
          <w:color w:val="000000"/>
        </w:rPr>
      </w:pPr>
    </w:p>
    <w:p w:rsidR="00AB202B" w:rsidRPr="00AB202B" w:rsidRDefault="00AB202B" w:rsidP="00AB202B">
      <w:pPr>
        <w:tabs>
          <w:tab w:val="left" w:pos="284"/>
        </w:tabs>
        <w:ind w:left="284" w:right="284"/>
        <w:jc w:val="both"/>
        <w:rPr>
          <w:rFonts w:ascii="Bookman Old Style" w:hAnsi="Bookman Old Style" w:cs="Arial"/>
          <w:color w:val="000000"/>
          <w:sz w:val="20"/>
          <w:szCs w:val="20"/>
        </w:rPr>
      </w:pPr>
      <w:r>
        <w:rPr>
          <w:rFonts w:ascii="Bookman Old Style" w:hAnsi="Bookman Old Style" w:cs="Arial"/>
          <w:color w:val="000000"/>
          <w:sz w:val="20"/>
          <w:szCs w:val="20"/>
        </w:rPr>
        <w:t>“</w:t>
      </w:r>
      <w:r w:rsidRPr="00AB202B">
        <w:rPr>
          <w:rFonts w:ascii="Bookman Old Style" w:hAnsi="Bookman Old Style" w:cs="Arial"/>
          <w:color w:val="000000"/>
          <w:sz w:val="20"/>
          <w:szCs w:val="20"/>
        </w:rPr>
        <w:t>Como contraprestación por las gestiones que realicen los titulares de capacidad contratada con capacidad excedentaria, los titulares de derechos de suministro a los que se les asignó capacidad excedentaria pagarán el 1,67% sobre el valor resultante de aplicar, a la capacidad de transporte y al volumen transportado, los cargos fijos y variables que remuneran la inversión y el cargo fijo que remunera los gastos de AOM de los respectivos tramos de gasoductos, y que hayan sido pactados entre los titulares de capacidad contratada con capacidad excedentaria y el transportador</w:t>
      </w:r>
      <w:r>
        <w:rPr>
          <w:rFonts w:ascii="Bookman Old Style" w:hAnsi="Bookman Old Style" w:cs="Arial"/>
          <w:color w:val="000000"/>
          <w:sz w:val="20"/>
          <w:szCs w:val="20"/>
        </w:rPr>
        <w:t>”</w:t>
      </w:r>
      <w:r w:rsidRPr="00AB202B">
        <w:rPr>
          <w:rFonts w:ascii="Bookman Old Style" w:hAnsi="Bookman Old Style" w:cs="Arial"/>
          <w:color w:val="000000"/>
          <w:sz w:val="20"/>
          <w:szCs w:val="20"/>
        </w:rPr>
        <w:t>.</w:t>
      </w:r>
    </w:p>
    <w:p w:rsidR="00AB202B" w:rsidRDefault="00AB202B" w:rsidP="00D92A01">
      <w:pPr>
        <w:tabs>
          <w:tab w:val="left" w:pos="0"/>
        </w:tabs>
        <w:ind w:left="0"/>
        <w:jc w:val="both"/>
        <w:rPr>
          <w:rFonts w:ascii="Bookman Old Style" w:hAnsi="Bookman Old Style" w:cs="Arial"/>
          <w:color w:val="000000"/>
        </w:rPr>
      </w:pPr>
    </w:p>
    <w:p w:rsidR="00D92A01" w:rsidRDefault="00D92A01" w:rsidP="00D92A01">
      <w:pPr>
        <w:tabs>
          <w:tab w:val="left" w:pos="0"/>
        </w:tabs>
        <w:ind w:left="0"/>
        <w:jc w:val="both"/>
        <w:rPr>
          <w:rFonts w:ascii="Bookman Old Style" w:hAnsi="Bookman Old Style" w:cs="Arial"/>
          <w:color w:val="000000"/>
        </w:rPr>
      </w:pPr>
      <w:r w:rsidRPr="00D92A01">
        <w:rPr>
          <w:rFonts w:ascii="Bookman Old Style" w:hAnsi="Bookman Old Style" w:cs="Arial"/>
          <w:color w:val="000000"/>
        </w:rPr>
        <w:t xml:space="preserve">En el literal </w:t>
      </w:r>
      <w:r>
        <w:rPr>
          <w:rFonts w:ascii="Bookman Old Style" w:hAnsi="Bookman Old Style" w:cs="Arial"/>
          <w:color w:val="000000"/>
        </w:rPr>
        <w:t xml:space="preserve">f) del numeral 3 del Anexo 7 de la Resolución CREG 089 de 2013 se establece lo siguiente: </w:t>
      </w:r>
    </w:p>
    <w:p w:rsidR="00D92A01" w:rsidRDefault="00D92A01" w:rsidP="00D92A01">
      <w:pPr>
        <w:tabs>
          <w:tab w:val="left" w:pos="0"/>
        </w:tabs>
        <w:ind w:left="0"/>
        <w:jc w:val="both"/>
        <w:rPr>
          <w:rFonts w:ascii="Bookman Old Style" w:hAnsi="Bookman Old Style" w:cs="Arial"/>
          <w:color w:val="000000"/>
        </w:rPr>
      </w:pPr>
    </w:p>
    <w:p w:rsidR="00D92A01" w:rsidRPr="00AB202B" w:rsidRDefault="00D92A01" w:rsidP="00D92A01">
      <w:pPr>
        <w:tabs>
          <w:tab w:val="left" w:pos="284"/>
        </w:tabs>
        <w:ind w:left="284" w:right="284"/>
        <w:jc w:val="both"/>
        <w:rPr>
          <w:rFonts w:ascii="Bookman Old Style" w:hAnsi="Bookman Old Style" w:cs="Arial"/>
          <w:color w:val="000000"/>
          <w:sz w:val="20"/>
          <w:szCs w:val="20"/>
        </w:rPr>
      </w:pPr>
      <w:r>
        <w:rPr>
          <w:rFonts w:ascii="Bookman Old Style" w:hAnsi="Bookman Old Style" w:cs="Arial"/>
          <w:color w:val="000000"/>
          <w:sz w:val="20"/>
          <w:szCs w:val="20"/>
        </w:rPr>
        <w:t>“</w:t>
      </w:r>
      <w:r w:rsidRPr="00AB202B">
        <w:rPr>
          <w:rFonts w:ascii="Bookman Old Style" w:hAnsi="Bookman Old Style" w:cs="Arial"/>
          <w:color w:val="000000"/>
          <w:sz w:val="20"/>
          <w:szCs w:val="20"/>
        </w:rPr>
        <w:t>Las disposiciones contenidas en este anexo también aplicarán en aquellos casos donde haya: i) usuarios no regulados que se encuentren embebidos en un sistema de distribución y que a la entrada en vigencia de la presente Resolución</w:t>
      </w:r>
      <w:r w:rsidRPr="00AB202B" w:rsidDel="00CE4141">
        <w:rPr>
          <w:rFonts w:ascii="Bookman Old Style" w:hAnsi="Bookman Old Style" w:cs="Arial"/>
          <w:color w:val="000000"/>
          <w:sz w:val="20"/>
          <w:szCs w:val="20"/>
        </w:rPr>
        <w:t xml:space="preserve"> </w:t>
      </w:r>
      <w:r w:rsidRPr="00AB202B">
        <w:rPr>
          <w:rFonts w:ascii="Bookman Old Style" w:hAnsi="Bookman Old Style" w:cs="Arial"/>
          <w:color w:val="000000"/>
          <w:sz w:val="20"/>
          <w:szCs w:val="20"/>
        </w:rPr>
        <w:t>estén siendo atendidos por un comercializador distinto al distribuidor-comercializador de dicho sistema; y ii) usuarios no regulados que estén conectados directamente a un sistema de transporte de gas y que a la entrada en vigencia de la presente resolución adquieran el suministro de gas a través de un comercializador que tenga contratada la capacidad de transporte.</w:t>
      </w:r>
    </w:p>
    <w:p w:rsidR="00D92A01" w:rsidRPr="00AB202B" w:rsidRDefault="00D92A01" w:rsidP="00D92A01">
      <w:pPr>
        <w:pStyle w:val="Prrafodelista"/>
        <w:tabs>
          <w:tab w:val="left" w:pos="284"/>
        </w:tabs>
        <w:ind w:left="284" w:right="284"/>
        <w:jc w:val="both"/>
        <w:rPr>
          <w:rFonts w:ascii="Bookman Old Style" w:hAnsi="Bookman Old Style" w:cs="Arial"/>
          <w:iCs/>
          <w:color w:val="000000" w:themeColor="text1"/>
          <w:lang w:val="es-ES"/>
        </w:rPr>
      </w:pPr>
    </w:p>
    <w:p w:rsidR="00D92A01" w:rsidRDefault="00D92A01" w:rsidP="00D92A01">
      <w:pPr>
        <w:tabs>
          <w:tab w:val="left" w:pos="284"/>
        </w:tabs>
        <w:ind w:left="284" w:right="284"/>
        <w:jc w:val="both"/>
        <w:rPr>
          <w:rFonts w:ascii="Bookman Old Style" w:hAnsi="Bookman Old Style" w:cs="Arial"/>
          <w:color w:val="000000"/>
        </w:rPr>
      </w:pPr>
      <w:r w:rsidRPr="00042175">
        <w:rPr>
          <w:rFonts w:ascii="Bookman Old Style" w:hAnsi="Bookman Old Style" w:cs="Arial"/>
          <w:color w:val="000000"/>
          <w:sz w:val="20"/>
          <w:szCs w:val="20"/>
        </w:rPr>
        <w:t>Los distribuidores-comercializadores o comercializadores que tienen contratada la capacidad de transporte no podrán permitir el uso de esa capacidad a otros usuarios en detrimento de los usuarios</w:t>
      </w:r>
      <w:r w:rsidRPr="00AB202B">
        <w:rPr>
          <w:rFonts w:ascii="Bookman Old Style" w:hAnsi="Bookman Old Style" w:cs="Arial"/>
          <w:iCs/>
          <w:color w:val="000000" w:themeColor="text1"/>
          <w:sz w:val="20"/>
          <w:szCs w:val="20"/>
        </w:rPr>
        <w:t xml:space="preserve"> no regulados que ya estaban atendiendo a la entrada en vigencia de la presente resolución</w:t>
      </w:r>
      <w:r>
        <w:rPr>
          <w:rFonts w:ascii="Bookman Old Style" w:hAnsi="Bookman Old Style" w:cs="Arial"/>
          <w:iCs/>
          <w:color w:val="000000" w:themeColor="text1"/>
          <w:sz w:val="20"/>
          <w:szCs w:val="20"/>
        </w:rPr>
        <w:t>”</w:t>
      </w:r>
      <w:r w:rsidRPr="00042175">
        <w:rPr>
          <w:rFonts w:ascii="Bookman Old Style" w:hAnsi="Bookman Old Style" w:cs="Arial"/>
          <w:iCs/>
          <w:color w:val="000000" w:themeColor="text1"/>
          <w:sz w:val="20"/>
          <w:szCs w:val="20"/>
        </w:rPr>
        <w:t>.</w:t>
      </w:r>
    </w:p>
    <w:p w:rsidR="005A4ED1" w:rsidRDefault="005A4ED1" w:rsidP="00501DA3">
      <w:pPr>
        <w:ind w:left="0"/>
        <w:jc w:val="both"/>
        <w:rPr>
          <w:rFonts w:ascii="Bookman Old Style" w:hAnsi="Bookman Old Style" w:cs="Arial"/>
          <w:color w:val="000000"/>
        </w:rPr>
      </w:pPr>
    </w:p>
    <w:p w:rsidR="00B116AE" w:rsidRDefault="00D92A01" w:rsidP="00501DA3">
      <w:pPr>
        <w:ind w:left="0"/>
        <w:jc w:val="both"/>
        <w:rPr>
          <w:rFonts w:ascii="Bookman Old Style" w:hAnsi="Bookman Old Style" w:cs="Arial"/>
          <w:color w:val="000000"/>
        </w:rPr>
      </w:pPr>
      <w:r>
        <w:rPr>
          <w:rFonts w:ascii="Bookman Old Style" w:hAnsi="Bookman Old Style" w:cs="Arial"/>
          <w:color w:val="000000"/>
        </w:rPr>
        <w:t>Mediante el concepto CREG S-2014-000</w:t>
      </w:r>
      <w:r w:rsidR="00B116AE">
        <w:rPr>
          <w:rFonts w:ascii="Bookman Old Style" w:hAnsi="Bookman Old Style" w:cs="Arial"/>
          <w:color w:val="000000"/>
        </w:rPr>
        <w:t xml:space="preserve">004 del 8 de enero de 2014 </w:t>
      </w:r>
      <w:r>
        <w:rPr>
          <w:rFonts w:ascii="Bookman Old Style" w:hAnsi="Bookman Old Style" w:cs="Arial"/>
          <w:color w:val="000000"/>
        </w:rPr>
        <w:t xml:space="preserve">la Comisión </w:t>
      </w:r>
      <w:r w:rsidR="00B116AE">
        <w:rPr>
          <w:rFonts w:ascii="Bookman Old Style" w:hAnsi="Bookman Old Style" w:cs="Arial"/>
          <w:color w:val="000000"/>
        </w:rPr>
        <w:t xml:space="preserve">manifestó, entre otros aspectos, lo siguiente: </w:t>
      </w:r>
    </w:p>
    <w:p w:rsidR="00B116AE" w:rsidRDefault="00B116AE" w:rsidP="00501DA3">
      <w:pPr>
        <w:ind w:left="0"/>
        <w:jc w:val="both"/>
        <w:rPr>
          <w:rFonts w:ascii="Bookman Old Style" w:hAnsi="Bookman Old Style" w:cs="Arial"/>
          <w:color w:val="000000"/>
        </w:rPr>
      </w:pPr>
    </w:p>
    <w:p w:rsidR="00B116AE" w:rsidRPr="00B116AE" w:rsidRDefault="00B116AE" w:rsidP="00B116AE">
      <w:pPr>
        <w:tabs>
          <w:tab w:val="left" w:pos="284"/>
        </w:tabs>
        <w:ind w:left="284" w:right="284"/>
        <w:jc w:val="both"/>
        <w:rPr>
          <w:rFonts w:ascii="Bookman Old Style" w:hAnsi="Bookman Old Style" w:cs="Arial"/>
          <w:color w:val="000000"/>
          <w:sz w:val="20"/>
          <w:szCs w:val="20"/>
        </w:rPr>
      </w:pPr>
      <w:r w:rsidRPr="00B116AE">
        <w:rPr>
          <w:rFonts w:ascii="Bookman Old Style" w:hAnsi="Bookman Old Style" w:cs="Arial"/>
          <w:color w:val="000000"/>
          <w:sz w:val="20"/>
          <w:szCs w:val="20"/>
        </w:rPr>
        <w:t xml:space="preserve">“… entendemos que a partir del primero de enero de 2014 los distribuidores-comercializadores o los comercializadores que tienen contratada capacidad de transporte deben permitir el uso de esa capacidad a los usuarios no regulados que estaban atendiendo al momento de entrar en vigencia la Resolución CREG 0089 de 2013. También entendemos que los distribuidores-comercializadores o los comercializadores deben tener en cuenta esta situación para efectos de estimar la capacidad excedentaria </w:t>
      </w:r>
      <w:r w:rsidRPr="00B116AE">
        <w:rPr>
          <w:rFonts w:ascii="Bookman Old Style" w:hAnsi="Bookman Old Style" w:cs="Arial"/>
          <w:color w:val="000000"/>
          <w:sz w:val="20"/>
          <w:szCs w:val="20"/>
        </w:rPr>
        <w:lastRenderedPageBreak/>
        <w:t>definida en el anexo 6 de la Resolución CREG 089 de 2013. Es decir, para efectos de calcular la capacidad excedentaria la demanda de estos usuarios no regulados hará para te de la energía que será demandada por los distribuidores-comercializadores o los comercializadores”.</w:t>
      </w:r>
    </w:p>
    <w:p w:rsidR="00B116AE" w:rsidRDefault="00B116AE" w:rsidP="00501DA3">
      <w:pPr>
        <w:ind w:left="0"/>
        <w:jc w:val="both"/>
        <w:rPr>
          <w:rFonts w:ascii="Bookman Old Style" w:hAnsi="Bookman Old Style" w:cs="Arial"/>
          <w:color w:val="000000"/>
        </w:rPr>
      </w:pPr>
    </w:p>
    <w:p w:rsidR="00D92A01" w:rsidRDefault="00690AC9" w:rsidP="00501DA3">
      <w:pPr>
        <w:ind w:left="0"/>
        <w:jc w:val="both"/>
        <w:rPr>
          <w:rFonts w:ascii="Bookman Old Style" w:hAnsi="Bookman Old Style" w:cs="Arial"/>
          <w:color w:val="000000"/>
        </w:rPr>
      </w:pPr>
      <w:r>
        <w:rPr>
          <w:rFonts w:ascii="Bookman Old Style" w:hAnsi="Bookman Old Style" w:cs="Arial"/>
          <w:color w:val="000000"/>
        </w:rPr>
        <w:t>Mediante el concepto CREG S-2015-000237 del 3 de febrero de 2015 la Comisión manifestó, entre otros aspectos, lo siguiente:</w:t>
      </w:r>
      <w:r w:rsidR="00D92A01">
        <w:rPr>
          <w:rFonts w:ascii="Bookman Old Style" w:hAnsi="Bookman Old Style" w:cs="Arial"/>
          <w:color w:val="000000"/>
        </w:rPr>
        <w:t xml:space="preserve"> </w:t>
      </w:r>
    </w:p>
    <w:p w:rsidR="00D92A01" w:rsidRDefault="00D92A01" w:rsidP="00501DA3">
      <w:pPr>
        <w:ind w:left="0"/>
        <w:jc w:val="both"/>
        <w:rPr>
          <w:rFonts w:ascii="Bookman Old Style" w:hAnsi="Bookman Old Style" w:cs="Arial"/>
          <w:color w:val="000000"/>
        </w:rPr>
      </w:pPr>
    </w:p>
    <w:p w:rsidR="00690AC9" w:rsidRPr="00E35CFE" w:rsidRDefault="00690AC9" w:rsidP="00E35CFE">
      <w:pPr>
        <w:tabs>
          <w:tab w:val="left" w:pos="284"/>
        </w:tabs>
        <w:ind w:left="284" w:right="284"/>
        <w:jc w:val="both"/>
        <w:rPr>
          <w:rFonts w:ascii="Bookman Old Style" w:hAnsi="Bookman Old Style" w:cs="Arial"/>
          <w:color w:val="000000"/>
          <w:sz w:val="20"/>
          <w:szCs w:val="20"/>
        </w:rPr>
      </w:pPr>
      <w:r w:rsidRPr="00E35CFE">
        <w:rPr>
          <w:rFonts w:ascii="Bookman Old Style" w:hAnsi="Bookman Old Style" w:cs="Arial"/>
          <w:color w:val="000000"/>
          <w:sz w:val="20"/>
          <w:szCs w:val="20"/>
        </w:rPr>
        <w:t xml:space="preserve">“… durante el período de transición el distribuidor-comercializador está obligado a permitir el uso de la capacidad contratada a los usuarios no regulados que estaban haciendo uso de dicha capacidad. </w:t>
      </w:r>
    </w:p>
    <w:p w:rsidR="00690AC9" w:rsidRPr="00E35CFE" w:rsidRDefault="00690AC9" w:rsidP="00E35CFE">
      <w:pPr>
        <w:tabs>
          <w:tab w:val="left" w:pos="284"/>
        </w:tabs>
        <w:ind w:left="284" w:right="284"/>
        <w:jc w:val="both"/>
        <w:rPr>
          <w:rFonts w:ascii="Bookman Old Style" w:hAnsi="Bookman Old Style" w:cs="Arial"/>
          <w:color w:val="000000"/>
          <w:sz w:val="20"/>
          <w:szCs w:val="20"/>
        </w:rPr>
      </w:pPr>
    </w:p>
    <w:p w:rsidR="00690AC9" w:rsidRPr="00E35CFE" w:rsidRDefault="00690AC9" w:rsidP="00E35CFE">
      <w:pPr>
        <w:tabs>
          <w:tab w:val="left" w:pos="284"/>
        </w:tabs>
        <w:ind w:left="284" w:right="284"/>
        <w:jc w:val="both"/>
        <w:rPr>
          <w:rFonts w:ascii="Bookman Old Style" w:hAnsi="Bookman Old Style" w:cs="Arial"/>
          <w:color w:val="000000"/>
          <w:sz w:val="20"/>
          <w:szCs w:val="20"/>
        </w:rPr>
      </w:pPr>
      <w:r w:rsidRPr="00E35CFE">
        <w:rPr>
          <w:rFonts w:ascii="Bookman Old Style" w:hAnsi="Bookman Old Style" w:cs="Arial"/>
          <w:color w:val="000000"/>
          <w:sz w:val="20"/>
          <w:szCs w:val="20"/>
        </w:rPr>
        <w:t xml:space="preserve">Si la situación es que el distribuidor-comercializador ya no tenía capacidad de transporte contratada para el agente no regulado, X, cuando éste cambió de comercializador, se entiende que el agente no regulado, X, debe hacer la gestión respectiva con el objeto de poder acceder a la capacidad de transporte  que requiere. En esta situación el distribuidor-comercializador no tiene obligación con el usuario no regulado, X, en materia de capacidad de transporte. </w:t>
      </w:r>
    </w:p>
    <w:p w:rsidR="00690AC9" w:rsidRPr="00E35CFE" w:rsidRDefault="00690AC9" w:rsidP="00E35CFE">
      <w:pPr>
        <w:tabs>
          <w:tab w:val="left" w:pos="284"/>
        </w:tabs>
        <w:ind w:left="284" w:right="284"/>
        <w:jc w:val="both"/>
        <w:rPr>
          <w:rFonts w:ascii="Bookman Old Style" w:hAnsi="Bookman Old Style" w:cs="Arial"/>
          <w:color w:val="000000"/>
          <w:sz w:val="20"/>
          <w:szCs w:val="20"/>
        </w:rPr>
      </w:pPr>
    </w:p>
    <w:p w:rsidR="00690AC9" w:rsidRDefault="00690AC9" w:rsidP="00E35CFE">
      <w:pPr>
        <w:tabs>
          <w:tab w:val="left" w:pos="284"/>
        </w:tabs>
        <w:ind w:left="284" w:right="284"/>
        <w:jc w:val="both"/>
        <w:rPr>
          <w:rFonts w:ascii="Bookman Old Style" w:hAnsi="Bookman Old Style" w:cs="Arial"/>
          <w:color w:val="000000"/>
        </w:rPr>
      </w:pPr>
      <w:r w:rsidRPr="00E35CFE">
        <w:rPr>
          <w:rFonts w:ascii="Bookman Old Style" w:hAnsi="Bookman Old Style" w:cs="Arial"/>
          <w:color w:val="000000"/>
          <w:sz w:val="20"/>
          <w:szCs w:val="20"/>
        </w:rPr>
        <w:t xml:space="preserve">Expuesto lo anterior, también es conveniente precisar que para el período posterior al período de transición, el usuario no regulado, X, puede acceder a capacidad de transporte en el mercado secundario o, de conformidad con lo dispuesto en el Anexo 6 de la Resolución CREG 089 de 2013, en la subasta de capacidad de transporte en el proceso úselo o véndalo de largo plazo, a cargo del gestor del mercado de gas natural”. </w:t>
      </w:r>
    </w:p>
    <w:p w:rsidR="00500330" w:rsidRDefault="00500330" w:rsidP="000F477F">
      <w:pPr>
        <w:ind w:left="0"/>
        <w:jc w:val="both"/>
        <w:rPr>
          <w:rFonts w:ascii="Bookman Old Style" w:hAnsi="Bookman Old Style" w:cs="Arial"/>
          <w:color w:val="000000" w:themeColor="text1"/>
          <w:shd w:val="clear" w:color="auto" w:fill="FFFFFF"/>
        </w:rPr>
      </w:pPr>
    </w:p>
    <w:p w:rsidR="0001402A" w:rsidRDefault="00E35CFE" w:rsidP="000F477F">
      <w:pPr>
        <w:ind w:left="0"/>
        <w:jc w:val="both"/>
        <w:rPr>
          <w:rFonts w:ascii="Bookman Old Style" w:hAnsi="Bookman Old Style" w:cs="Arial"/>
          <w:color w:val="000000" w:themeColor="text1"/>
          <w:shd w:val="clear" w:color="auto" w:fill="FFFFFF"/>
        </w:rPr>
      </w:pPr>
      <w:r>
        <w:rPr>
          <w:rFonts w:ascii="Bookman Old Style" w:hAnsi="Bookman Old Style" w:cs="Arial"/>
          <w:color w:val="000000" w:themeColor="text1"/>
          <w:shd w:val="clear" w:color="auto" w:fill="FFFFFF"/>
        </w:rPr>
        <w:t>En este sentido, se ha evidenciado</w:t>
      </w:r>
      <w:r w:rsidR="001867DA">
        <w:rPr>
          <w:rFonts w:ascii="Bookman Old Style" w:hAnsi="Bookman Old Style" w:cs="Arial"/>
          <w:color w:val="000000" w:themeColor="text1"/>
          <w:shd w:val="clear" w:color="auto" w:fill="FFFFFF"/>
        </w:rPr>
        <w:t xml:space="preserve"> </w:t>
      </w:r>
      <w:r>
        <w:rPr>
          <w:rFonts w:ascii="Bookman Old Style" w:hAnsi="Bookman Old Style" w:cs="Arial"/>
          <w:color w:val="000000" w:themeColor="text1"/>
          <w:shd w:val="clear" w:color="auto" w:fill="FFFFFF"/>
        </w:rPr>
        <w:t>l</w:t>
      </w:r>
      <w:r w:rsidR="006E1AE9">
        <w:rPr>
          <w:rFonts w:ascii="Bookman Old Style" w:hAnsi="Bookman Old Style" w:cs="Arial"/>
          <w:color w:val="000000" w:themeColor="text1"/>
          <w:shd w:val="clear" w:color="auto" w:fill="FFFFFF"/>
        </w:rPr>
        <w:t>a existencia de eventos que</w:t>
      </w:r>
      <w:r w:rsidR="001867DA">
        <w:rPr>
          <w:rFonts w:ascii="Bookman Old Style" w:hAnsi="Bookman Old Style" w:cs="Arial"/>
          <w:color w:val="000000" w:themeColor="text1"/>
          <w:shd w:val="clear" w:color="auto" w:fill="FFFFFF"/>
        </w:rPr>
        <w:t xml:space="preserve"> </w:t>
      </w:r>
      <w:r w:rsidR="004C3483">
        <w:rPr>
          <w:rFonts w:ascii="Bookman Old Style" w:hAnsi="Bookman Old Style" w:cs="Arial"/>
          <w:color w:val="000000" w:themeColor="text1"/>
          <w:shd w:val="clear" w:color="auto" w:fill="FFFFFF"/>
        </w:rPr>
        <w:t>generan</w:t>
      </w:r>
      <w:r w:rsidR="001867DA">
        <w:rPr>
          <w:rFonts w:ascii="Bookman Old Style" w:hAnsi="Bookman Old Style" w:cs="Arial"/>
          <w:color w:val="000000" w:themeColor="text1"/>
          <w:shd w:val="clear" w:color="auto" w:fill="FFFFFF"/>
        </w:rPr>
        <w:t xml:space="preserve"> limitaciones de garantías </w:t>
      </w:r>
      <w:r w:rsidR="000005FD">
        <w:rPr>
          <w:rFonts w:ascii="Bookman Old Style" w:hAnsi="Bookman Old Style" w:cs="Arial"/>
          <w:color w:val="000000" w:themeColor="text1"/>
          <w:shd w:val="clear" w:color="auto" w:fill="FFFFFF"/>
        </w:rPr>
        <w:t xml:space="preserve">comerciales </w:t>
      </w:r>
      <w:r w:rsidR="001867DA">
        <w:rPr>
          <w:rFonts w:ascii="Bookman Old Style" w:hAnsi="Bookman Old Style" w:cs="Arial"/>
          <w:color w:val="000000" w:themeColor="text1"/>
          <w:shd w:val="clear" w:color="auto" w:fill="FFFFFF"/>
        </w:rPr>
        <w:t>al usuario no regulado (UNR) para su libre elección del proveedor de suministro de gas (Comercializador)</w:t>
      </w:r>
      <w:r w:rsidR="00AC5421">
        <w:rPr>
          <w:rFonts w:ascii="Bookman Old Style" w:hAnsi="Bookman Old Style" w:cs="Arial"/>
          <w:color w:val="000000" w:themeColor="text1"/>
          <w:shd w:val="clear" w:color="auto" w:fill="FFFFFF"/>
        </w:rPr>
        <w:t>. Lo anterior debido a la finalización de su compromiso contractual con el titular del derecho de capacidad</w:t>
      </w:r>
      <w:r w:rsidR="00DC3D97">
        <w:rPr>
          <w:rFonts w:ascii="Bookman Old Style" w:hAnsi="Bookman Old Style" w:cs="Arial"/>
          <w:color w:val="000000" w:themeColor="text1"/>
          <w:shd w:val="clear" w:color="auto" w:fill="FFFFFF"/>
        </w:rPr>
        <w:t xml:space="preserve"> de transporte de gas, lo que </w:t>
      </w:r>
      <w:r w:rsidR="006E32F1">
        <w:rPr>
          <w:rFonts w:ascii="Bookman Old Style" w:hAnsi="Bookman Old Style" w:cs="Arial"/>
          <w:color w:val="000000" w:themeColor="text1"/>
          <w:shd w:val="clear" w:color="auto" w:fill="FFFFFF"/>
        </w:rPr>
        <w:t>ha provocado</w:t>
      </w:r>
      <w:r w:rsidR="00DC3D97">
        <w:rPr>
          <w:rFonts w:ascii="Bookman Old Style" w:hAnsi="Bookman Old Style" w:cs="Arial"/>
          <w:color w:val="000000" w:themeColor="text1"/>
          <w:shd w:val="clear" w:color="auto" w:fill="FFFFFF"/>
        </w:rPr>
        <w:t xml:space="preserve"> la finalización de su garantía comercial adquirida de continuar con la capacidad de transporte de gas contratada anteriormente.</w:t>
      </w:r>
    </w:p>
    <w:p w:rsidR="0001402A" w:rsidRPr="00690AC9" w:rsidRDefault="0001402A" w:rsidP="000F477F">
      <w:pPr>
        <w:ind w:left="0"/>
        <w:jc w:val="both"/>
        <w:rPr>
          <w:rFonts w:ascii="Bookman Old Style" w:hAnsi="Bookman Old Style" w:cs="Arial"/>
          <w:color w:val="000000" w:themeColor="text1"/>
          <w:shd w:val="clear" w:color="auto" w:fill="FFFFFF"/>
        </w:rPr>
      </w:pPr>
    </w:p>
    <w:p w:rsidR="000F477F" w:rsidRPr="00E35CFE" w:rsidRDefault="004C3483" w:rsidP="000F477F">
      <w:pPr>
        <w:ind w:left="0"/>
        <w:jc w:val="both"/>
        <w:rPr>
          <w:rFonts w:ascii="Bookman Old Style" w:hAnsi="Bookman Old Style" w:cs="Arial"/>
          <w:color w:val="000000" w:themeColor="text1"/>
          <w:shd w:val="clear" w:color="auto" w:fill="FFFFFF"/>
        </w:rPr>
      </w:pPr>
      <w:r>
        <w:rPr>
          <w:rFonts w:ascii="Bookman Old Style" w:hAnsi="Bookman Old Style" w:cs="Arial"/>
          <w:color w:val="000000" w:themeColor="text1"/>
          <w:shd w:val="clear" w:color="auto" w:fill="FFFFFF"/>
        </w:rPr>
        <w:t>En este sentido, se debe garantizar medidas a efectos de que l</w:t>
      </w:r>
      <w:r w:rsidR="00100514">
        <w:rPr>
          <w:rFonts w:ascii="Bookman Old Style" w:hAnsi="Bookman Old Style" w:cs="Arial"/>
          <w:color w:val="000000" w:themeColor="text1"/>
          <w:shd w:val="clear" w:color="auto" w:fill="FFFFFF"/>
        </w:rPr>
        <w:t xml:space="preserve">os </w:t>
      </w:r>
      <w:r w:rsidR="003973BB" w:rsidRPr="00100514">
        <w:rPr>
          <w:rFonts w:ascii="Bookman Old Style" w:hAnsi="Bookman Old Style" w:cs="Arial"/>
          <w:color w:val="000000" w:themeColor="text1"/>
          <w:shd w:val="clear" w:color="auto" w:fill="FFFFFF"/>
        </w:rPr>
        <w:t>usuarios no regulados</w:t>
      </w:r>
      <w:r w:rsidR="00100514">
        <w:rPr>
          <w:rFonts w:ascii="Bookman Old Style" w:hAnsi="Bookman Old Style" w:cs="Arial"/>
          <w:color w:val="000000" w:themeColor="text1"/>
          <w:shd w:val="clear" w:color="auto" w:fill="FFFFFF"/>
        </w:rPr>
        <w:t>,</w:t>
      </w:r>
      <w:r w:rsidR="003973BB" w:rsidRPr="00100514">
        <w:rPr>
          <w:rFonts w:ascii="Bookman Old Style" w:hAnsi="Bookman Old Style" w:cs="Arial"/>
          <w:color w:val="000000" w:themeColor="text1"/>
          <w:shd w:val="clear" w:color="auto" w:fill="FFFFFF"/>
        </w:rPr>
        <w:t xml:space="preserve"> </w:t>
      </w:r>
      <w:r w:rsidR="00391C94" w:rsidRPr="00100514">
        <w:rPr>
          <w:rFonts w:ascii="Bookman Old Style" w:hAnsi="Bookman Old Style" w:cs="Arial"/>
          <w:color w:val="000000" w:themeColor="text1"/>
          <w:shd w:val="clear" w:color="auto" w:fill="FFFFFF"/>
        </w:rPr>
        <w:t xml:space="preserve">en aplicación de la libre </w:t>
      </w:r>
      <w:r>
        <w:rPr>
          <w:rFonts w:ascii="Bookman Old Style" w:hAnsi="Bookman Old Style" w:cs="Arial"/>
          <w:color w:val="000000" w:themeColor="text1"/>
          <w:shd w:val="clear" w:color="auto" w:fill="FFFFFF"/>
        </w:rPr>
        <w:t>escogencia del prestador del servicio</w:t>
      </w:r>
      <w:r w:rsidR="00605029" w:rsidRPr="00100514">
        <w:rPr>
          <w:rFonts w:ascii="Bookman Old Style" w:hAnsi="Bookman Old Style" w:cs="Arial"/>
          <w:color w:val="000000" w:themeColor="text1"/>
          <w:shd w:val="clear" w:color="auto" w:fill="FFFFFF"/>
        </w:rPr>
        <w:t>,</w:t>
      </w:r>
      <w:r w:rsidR="00391C94" w:rsidRPr="00100514">
        <w:rPr>
          <w:rFonts w:ascii="Bookman Old Style" w:hAnsi="Bookman Old Style" w:cs="Arial"/>
          <w:color w:val="000000" w:themeColor="text1"/>
          <w:shd w:val="clear" w:color="auto" w:fill="FFFFFF"/>
        </w:rPr>
        <w:t xml:space="preserve"> </w:t>
      </w:r>
      <w:r>
        <w:rPr>
          <w:rFonts w:ascii="Bookman Old Style" w:hAnsi="Bookman Old Style" w:cs="Arial"/>
          <w:color w:val="000000" w:themeColor="text1"/>
          <w:shd w:val="clear" w:color="auto" w:fill="FFFFFF"/>
        </w:rPr>
        <w:t>pueda</w:t>
      </w:r>
      <w:r w:rsidR="00100514">
        <w:rPr>
          <w:rFonts w:ascii="Bookman Old Style" w:hAnsi="Bookman Old Style" w:cs="Arial"/>
          <w:color w:val="000000" w:themeColor="text1"/>
          <w:shd w:val="clear" w:color="auto" w:fill="FFFFFF"/>
        </w:rPr>
        <w:t xml:space="preserve">n </w:t>
      </w:r>
      <w:r w:rsidR="00391C94" w:rsidRPr="00100514">
        <w:rPr>
          <w:rFonts w:ascii="Bookman Old Style" w:hAnsi="Bookman Old Style" w:cs="Arial"/>
          <w:color w:val="000000" w:themeColor="text1"/>
          <w:shd w:val="clear" w:color="auto" w:fill="FFFFFF"/>
        </w:rPr>
        <w:t>ejer</w:t>
      </w:r>
      <w:r w:rsidR="00100514">
        <w:rPr>
          <w:rFonts w:ascii="Bookman Old Style" w:hAnsi="Bookman Old Style" w:cs="Arial"/>
          <w:color w:val="000000" w:themeColor="text1"/>
          <w:shd w:val="clear" w:color="auto" w:fill="FFFFFF"/>
        </w:rPr>
        <w:t>cer</w:t>
      </w:r>
      <w:r w:rsidR="00391C94" w:rsidRPr="00100514">
        <w:rPr>
          <w:rFonts w:ascii="Bookman Old Style" w:hAnsi="Bookman Old Style" w:cs="Arial"/>
          <w:color w:val="000000" w:themeColor="text1"/>
          <w:shd w:val="clear" w:color="auto" w:fill="FFFFFF"/>
        </w:rPr>
        <w:t xml:space="preserve"> la posibilidad de elegir c</w:t>
      </w:r>
      <w:r w:rsidR="00656B47" w:rsidRPr="00100514">
        <w:rPr>
          <w:rFonts w:ascii="Bookman Old Style" w:hAnsi="Bookman Old Style" w:cs="Arial"/>
          <w:color w:val="000000" w:themeColor="text1"/>
          <w:shd w:val="clear" w:color="auto" w:fill="FFFFFF"/>
        </w:rPr>
        <w:t>ualquier comercializador</w:t>
      </w:r>
      <w:r w:rsidR="00391C94" w:rsidRPr="00100514">
        <w:rPr>
          <w:rFonts w:ascii="Bookman Old Style" w:hAnsi="Bookman Old Style" w:cs="Arial"/>
          <w:color w:val="000000" w:themeColor="text1"/>
          <w:shd w:val="clear" w:color="auto" w:fill="FFFFFF"/>
        </w:rPr>
        <w:t xml:space="preserve"> </w:t>
      </w:r>
      <w:r w:rsidR="003973BB" w:rsidRPr="00100514">
        <w:rPr>
          <w:rFonts w:ascii="Bookman Old Style" w:hAnsi="Bookman Old Style" w:cs="Arial"/>
          <w:color w:val="000000" w:themeColor="text1"/>
          <w:shd w:val="clear" w:color="auto" w:fill="FFFFFF"/>
        </w:rPr>
        <w:t>titular de derechos de suministro</w:t>
      </w:r>
      <w:r w:rsidR="00796321" w:rsidRPr="00100514">
        <w:rPr>
          <w:rFonts w:ascii="Bookman Old Style" w:hAnsi="Bookman Old Style" w:cs="Arial"/>
          <w:color w:val="000000" w:themeColor="text1"/>
          <w:shd w:val="clear" w:color="auto" w:fill="FFFFFF"/>
        </w:rPr>
        <w:t xml:space="preserve"> de gas natural</w:t>
      </w:r>
      <w:r w:rsidR="00383BD9">
        <w:rPr>
          <w:rFonts w:ascii="Bookman Old Style" w:hAnsi="Bookman Old Style" w:cs="Arial"/>
          <w:color w:val="000000" w:themeColor="text1"/>
          <w:shd w:val="clear" w:color="auto" w:fill="FFFFFF"/>
        </w:rPr>
        <w:t>,</w:t>
      </w:r>
      <w:r w:rsidR="00383BD9" w:rsidRPr="00383BD9">
        <w:rPr>
          <w:rFonts w:ascii="Bookman Old Style" w:hAnsi="Bookman Old Style" w:cs="Arial"/>
          <w:color w:val="000000" w:themeColor="text1"/>
          <w:shd w:val="clear" w:color="auto" w:fill="FFFFFF"/>
        </w:rPr>
        <w:t xml:space="preserve"> </w:t>
      </w:r>
      <w:r w:rsidR="00383BD9">
        <w:rPr>
          <w:rFonts w:ascii="Bookman Old Style" w:hAnsi="Bookman Old Style" w:cs="Arial"/>
          <w:color w:val="000000" w:themeColor="text1"/>
          <w:shd w:val="clear" w:color="auto" w:fill="FFFFFF"/>
        </w:rPr>
        <w:t>en aplicación de lo dispuesto en el numeral 2 del artículo 9 de la Ley 142 de 1994</w:t>
      </w:r>
      <w:r w:rsidR="00E35CFE">
        <w:rPr>
          <w:rFonts w:ascii="Bookman Old Style" w:hAnsi="Bookman Old Style" w:cs="Arial"/>
          <w:color w:val="000000" w:themeColor="text1"/>
          <w:shd w:val="clear" w:color="auto" w:fill="FFFFFF"/>
        </w:rPr>
        <w:t>.</w:t>
      </w:r>
      <w:r w:rsidR="009064A4">
        <w:rPr>
          <w:rStyle w:val="Refdenotaalpie"/>
          <w:rFonts w:ascii="Bookman Old Style" w:hAnsi="Bookman Old Style" w:cs="Arial"/>
          <w:color w:val="000000" w:themeColor="text1"/>
          <w:shd w:val="clear" w:color="auto" w:fill="FFFFFF"/>
        </w:rPr>
        <w:footnoteReference w:id="1"/>
      </w:r>
      <w:r w:rsidR="000F477F">
        <w:rPr>
          <w:rFonts w:ascii="Bookman Old Style" w:hAnsi="Bookman Old Style" w:cs="Arial"/>
          <w:color w:val="000000" w:themeColor="text1"/>
          <w:shd w:val="clear" w:color="auto" w:fill="FFFFFF"/>
        </w:rPr>
        <w:t xml:space="preserve"> </w:t>
      </w:r>
      <w:r w:rsidR="00E35CFE">
        <w:rPr>
          <w:rFonts w:ascii="Bookman Old Style" w:hAnsi="Bookman Old Style" w:cs="Arial"/>
          <w:color w:val="000000" w:themeColor="text1"/>
          <w:shd w:val="clear" w:color="auto" w:fill="FFFFFF"/>
        </w:rPr>
        <w:t xml:space="preserve">En este sentido y afectos de dar cumplimiento a los fines y objetivos en materia regulatoria previstos en los artículos 73 y 74 de la Ley 142 de 1994, así como </w:t>
      </w:r>
      <w:r w:rsidR="00E35CFE">
        <w:rPr>
          <w:rFonts w:ascii="Bookman Old Style" w:hAnsi="Bookman Old Style" w:cs="Arial"/>
          <w:color w:val="000000"/>
        </w:rPr>
        <w:t>a fin de</w:t>
      </w:r>
      <w:r w:rsidR="00151D7D">
        <w:rPr>
          <w:rFonts w:ascii="Bookman Old Style" w:hAnsi="Bookman Old Style" w:cs="Arial"/>
          <w:color w:val="000000"/>
        </w:rPr>
        <w:t xml:space="preserve"> promover la competencia en la actividad de comercialización se considera </w:t>
      </w:r>
      <w:r w:rsidR="00E35CFE">
        <w:rPr>
          <w:rFonts w:ascii="Bookman Old Style" w:hAnsi="Bookman Old Style" w:cs="Arial"/>
          <w:color w:val="000000"/>
        </w:rPr>
        <w:t>necesario y razonable adoptar</w:t>
      </w:r>
      <w:r w:rsidR="00151D7D">
        <w:rPr>
          <w:rFonts w:ascii="Bookman Old Style" w:hAnsi="Bookman Old Style" w:cs="Arial"/>
          <w:color w:val="000000"/>
        </w:rPr>
        <w:t xml:space="preserve"> de manera permanente el mecanismo previsto durante el período de transición</w:t>
      </w:r>
      <w:r w:rsidR="003C5E10">
        <w:rPr>
          <w:rFonts w:ascii="Bookman Old Style" w:hAnsi="Bookman Old Style" w:cs="Arial"/>
          <w:color w:val="000000"/>
        </w:rPr>
        <w:t xml:space="preserve"> mediante el cual </w:t>
      </w:r>
      <w:r w:rsidR="003C5E10" w:rsidRPr="003C5E10">
        <w:rPr>
          <w:rFonts w:ascii="Bookman Old Style" w:hAnsi="Bookman Old Style" w:cs="Arial"/>
          <w:color w:val="000000"/>
        </w:rPr>
        <w:t>el distribuidor-comercializador está obligado a permitir el uso de la capacidad contratada a los usuarios no regulados que estaban haciendo uso de dicha capacidad</w:t>
      </w:r>
      <w:r w:rsidR="003C5E10">
        <w:rPr>
          <w:rFonts w:ascii="Bookman Old Style" w:hAnsi="Bookman Old Style" w:cs="Arial"/>
          <w:color w:val="000000"/>
        </w:rPr>
        <w:t>.</w:t>
      </w:r>
    </w:p>
    <w:p w:rsidR="000F477F" w:rsidRPr="000F477F" w:rsidRDefault="000F477F" w:rsidP="000F477F">
      <w:pPr>
        <w:ind w:left="0"/>
        <w:jc w:val="both"/>
        <w:rPr>
          <w:rFonts w:ascii="Bookman Old Style" w:hAnsi="Bookman Old Style" w:cs="Arial"/>
          <w:color w:val="000000"/>
        </w:rPr>
      </w:pPr>
    </w:p>
    <w:p w:rsidR="00DD11F8" w:rsidRPr="00557744" w:rsidRDefault="00DD11F8" w:rsidP="00DD11F8">
      <w:pPr>
        <w:suppressAutoHyphens/>
        <w:jc w:val="center"/>
        <w:rPr>
          <w:rFonts w:ascii="Bookman Old Style" w:hAnsi="Bookman Old Style"/>
          <w:spacing w:val="-3"/>
        </w:rPr>
      </w:pPr>
      <w:r w:rsidRPr="00557744">
        <w:rPr>
          <w:rFonts w:ascii="Bookman Old Style" w:hAnsi="Bookman Old Style"/>
          <w:b/>
          <w:spacing w:val="-3"/>
        </w:rPr>
        <w:t>R E S U E L V E:</w:t>
      </w:r>
    </w:p>
    <w:p w:rsidR="00DD11F8" w:rsidRPr="00557744" w:rsidRDefault="00DD11F8" w:rsidP="00DD11F8">
      <w:pPr>
        <w:tabs>
          <w:tab w:val="center" w:pos="4512"/>
          <w:tab w:val="left" w:pos="7088"/>
        </w:tabs>
        <w:suppressAutoHyphens/>
        <w:ind w:left="0" w:right="51"/>
        <w:jc w:val="both"/>
        <w:rPr>
          <w:rFonts w:ascii="Bookman Old Style" w:hAnsi="Bookman Old Style" w:cs="Arial"/>
          <w:b/>
          <w:color w:val="000000"/>
        </w:rPr>
      </w:pPr>
    </w:p>
    <w:p w:rsidR="00DF6E9F" w:rsidRDefault="00DD11F8" w:rsidP="00E56A73">
      <w:pPr>
        <w:tabs>
          <w:tab w:val="center" w:pos="4512"/>
          <w:tab w:val="left" w:pos="7088"/>
        </w:tabs>
        <w:suppressAutoHyphens/>
        <w:ind w:left="0" w:right="51"/>
        <w:jc w:val="both"/>
        <w:rPr>
          <w:rFonts w:ascii="Bookman Old Style" w:hAnsi="Bookman Old Style" w:cs="Arial"/>
          <w:color w:val="000000"/>
        </w:rPr>
      </w:pPr>
      <w:r w:rsidRPr="00557744">
        <w:rPr>
          <w:rFonts w:ascii="Bookman Old Style" w:hAnsi="Bookman Old Style" w:cs="Arial"/>
          <w:b/>
          <w:color w:val="000000"/>
        </w:rPr>
        <w:t xml:space="preserve">Artículo 1. </w:t>
      </w:r>
      <w:r w:rsidR="00ED631E" w:rsidRPr="00ED631E">
        <w:rPr>
          <w:rFonts w:ascii="Bookman Old Style" w:hAnsi="Bookman Old Style" w:cs="Arial"/>
          <w:color w:val="000000"/>
        </w:rPr>
        <w:t xml:space="preserve">Modificación del artículo </w:t>
      </w:r>
      <w:r w:rsidR="00ED631E">
        <w:rPr>
          <w:rFonts w:ascii="Bookman Old Style" w:hAnsi="Bookman Old Style" w:cs="Arial"/>
          <w:color w:val="000000"/>
        </w:rPr>
        <w:t>44</w:t>
      </w:r>
      <w:r w:rsidR="00ED631E" w:rsidRPr="00ED631E">
        <w:rPr>
          <w:rFonts w:ascii="Bookman Old Style" w:hAnsi="Bookman Old Style" w:cs="Arial"/>
          <w:color w:val="000000"/>
        </w:rPr>
        <w:t xml:space="preserve"> de la Resolución CREG 089 de 2013. Adiciónese el siguiente parágrafo al artículo </w:t>
      </w:r>
      <w:r w:rsidR="00ED631E">
        <w:rPr>
          <w:rFonts w:ascii="Bookman Old Style" w:hAnsi="Bookman Old Style" w:cs="Arial"/>
          <w:color w:val="000000"/>
        </w:rPr>
        <w:t>44</w:t>
      </w:r>
      <w:r w:rsidR="00ED631E" w:rsidRPr="00ED631E">
        <w:rPr>
          <w:rFonts w:ascii="Bookman Old Style" w:hAnsi="Bookman Old Style" w:cs="Arial"/>
          <w:color w:val="000000"/>
        </w:rPr>
        <w:t xml:space="preserve"> de la Resolución CREG 089 de 2013:</w:t>
      </w:r>
    </w:p>
    <w:p w:rsidR="009B0EE3" w:rsidRDefault="009B0EE3" w:rsidP="00E56A73">
      <w:pPr>
        <w:tabs>
          <w:tab w:val="center" w:pos="4512"/>
          <w:tab w:val="left" w:pos="7088"/>
        </w:tabs>
        <w:suppressAutoHyphens/>
        <w:ind w:left="0" w:right="51"/>
        <w:jc w:val="both"/>
        <w:rPr>
          <w:rFonts w:ascii="Bookman Old Style" w:hAnsi="Bookman Old Style" w:cs="Arial"/>
          <w:color w:val="000000"/>
        </w:rPr>
      </w:pPr>
    </w:p>
    <w:p w:rsidR="00ED631E" w:rsidRDefault="00ED631E" w:rsidP="0068746B">
      <w:pPr>
        <w:tabs>
          <w:tab w:val="left" w:pos="284"/>
        </w:tabs>
        <w:ind w:left="284" w:right="284"/>
        <w:jc w:val="both"/>
        <w:rPr>
          <w:rFonts w:ascii="Bookman Old Style" w:hAnsi="Bookman Old Style" w:cs="Arial"/>
          <w:color w:val="000000"/>
        </w:rPr>
      </w:pPr>
      <w:r w:rsidRPr="00E35CFE">
        <w:rPr>
          <w:rFonts w:ascii="Bookman Old Style" w:hAnsi="Bookman Old Style" w:cs="Arial"/>
          <w:b/>
          <w:color w:val="000000"/>
        </w:rPr>
        <w:t>Parágrafo 3</w:t>
      </w:r>
      <w:r w:rsidRPr="00ED631E">
        <w:rPr>
          <w:rFonts w:ascii="Bookman Old Style" w:hAnsi="Bookman Old Style" w:cs="Arial"/>
          <w:color w:val="000000"/>
        </w:rPr>
        <w:t xml:space="preserve">. </w:t>
      </w:r>
      <w:r w:rsidR="0068746B" w:rsidRPr="00AD0EBF">
        <w:rPr>
          <w:rFonts w:ascii="Bookman Old Style" w:hAnsi="Bookman Old Style" w:cs="Arial"/>
          <w:iCs/>
          <w:color w:val="000000" w:themeColor="text1"/>
        </w:rPr>
        <w:t xml:space="preserve">Los distribuidores-comercializadores o comercializadores que </w:t>
      </w:r>
      <w:r w:rsidR="00E35CFE">
        <w:rPr>
          <w:rFonts w:ascii="Bookman Old Style" w:hAnsi="Bookman Old Style" w:cs="Arial"/>
          <w:iCs/>
          <w:color w:val="000000" w:themeColor="text1"/>
        </w:rPr>
        <w:t xml:space="preserve">a la entrada en vigencia de la resolución que adiciona el presente parágrafo </w:t>
      </w:r>
      <w:r w:rsidR="00E35CFE" w:rsidRPr="00AD0EBF">
        <w:rPr>
          <w:rFonts w:ascii="Bookman Old Style" w:hAnsi="Bookman Old Style" w:cs="Arial"/>
          <w:iCs/>
          <w:color w:val="000000" w:themeColor="text1"/>
        </w:rPr>
        <w:t>tienen contratada  capacidad de transporte</w:t>
      </w:r>
      <w:r w:rsidR="00E35CFE">
        <w:rPr>
          <w:rFonts w:ascii="Bookman Old Style" w:hAnsi="Bookman Old Style" w:cs="Arial"/>
          <w:iCs/>
          <w:color w:val="000000" w:themeColor="text1"/>
        </w:rPr>
        <w:t>,</w:t>
      </w:r>
      <w:r w:rsidR="00E35CFE" w:rsidRPr="00AD0EBF">
        <w:rPr>
          <w:rFonts w:ascii="Bookman Old Style" w:hAnsi="Bookman Old Style" w:cs="Arial"/>
          <w:iCs/>
          <w:color w:val="000000" w:themeColor="text1"/>
        </w:rPr>
        <w:t xml:space="preserve"> </w:t>
      </w:r>
      <w:r w:rsidR="0068746B">
        <w:rPr>
          <w:rFonts w:ascii="Bookman Old Style" w:hAnsi="Bookman Old Style" w:cs="Arial"/>
          <w:iCs/>
          <w:color w:val="000000" w:themeColor="text1"/>
        </w:rPr>
        <w:t xml:space="preserve">deberán </w:t>
      </w:r>
      <w:r w:rsidR="0068746B" w:rsidRPr="00AD0EBF">
        <w:rPr>
          <w:rFonts w:ascii="Bookman Old Style" w:hAnsi="Bookman Old Style" w:cs="Arial"/>
          <w:iCs/>
          <w:color w:val="000000" w:themeColor="text1"/>
        </w:rPr>
        <w:t xml:space="preserve">permitir el uso de esa capacidad a los usuarios no regulados que ya estaban atendiendo </w:t>
      </w:r>
      <w:r w:rsidR="0068746B">
        <w:rPr>
          <w:rFonts w:ascii="Bookman Old Style" w:hAnsi="Bookman Old Style" w:cs="Arial"/>
          <w:iCs/>
          <w:color w:val="000000" w:themeColor="text1"/>
        </w:rPr>
        <w:t xml:space="preserve">con dicha capacidad </w:t>
      </w:r>
      <w:r w:rsidR="0068746B" w:rsidRPr="00AD0EBF">
        <w:rPr>
          <w:rFonts w:ascii="Bookman Old Style" w:hAnsi="Bookman Old Style" w:cs="Arial"/>
          <w:iCs/>
          <w:color w:val="000000" w:themeColor="text1"/>
        </w:rPr>
        <w:t xml:space="preserve">a la entrada en vigencia de </w:t>
      </w:r>
      <w:r w:rsidR="0068746B">
        <w:rPr>
          <w:rFonts w:ascii="Bookman Old Style" w:hAnsi="Bookman Old Style" w:cs="Arial"/>
          <w:iCs/>
          <w:color w:val="000000" w:themeColor="text1"/>
        </w:rPr>
        <w:t xml:space="preserve">esta </w:t>
      </w:r>
      <w:r w:rsidR="00523BC4">
        <w:rPr>
          <w:rFonts w:ascii="Bookman Old Style" w:hAnsi="Bookman Old Style" w:cs="Arial"/>
          <w:iCs/>
          <w:color w:val="000000" w:themeColor="text1"/>
        </w:rPr>
        <w:t>r</w:t>
      </w:r>
      <w:r w:rsidR="0068746B" w:rsidRPr="00AD0EBF">
        <w:rPr>
          <w:rFonts w:ascii="Bookman Old Style" w:hAnsi="Bookman Old Style" w:cs="Arial"/>
          <w:iCs/>
          <w:color w:val="000000" w:themeColor="text1"/>
        </w:rPr>
        <w:t>esolución</w:t>
      </w:r>
      <w:r w:rsidR="0068746B" w:rsidRPr="00483BFD">
        <w:rPr>
          <w:rFonts w:ascii="Bookman Old Style" w:hAnsi="Bookman Old Style" w:cs="Arial"/>
          <w:iCs/>
          <w:color w:val="000000" w:themeColor="text1"/>
        </w:rPr>
        <w:t>.</w:t>
      </w:r>
      <w:r w:rsidR="0068746B">
        <w:rPr>
          <w:rFonts w:ascii="Bookman Old Style" w:hAnsi="Bookman Old Style" w:cs="Arial"/>
          <w:iCs/>
          <w:color w:val="000000" w:themeColor="text1"/>
        </w:rPr>
        <w:t xml:space="preserve"> Estos usuarios corresponderán a aquellos que</w:t>
      </w:r>
      <w:r w:rsidRPr="00E35CFE">
        <w:rPr>
          <w:rFonts w:ascii="Bookman Old Style" w:hAnsi="Bookman Old Style" w:cs="Arial"/>
          <w:color w:val="000000"/>
        </w:rPr>
        <w:t xml:space="preserve"> estén </w:t>
      </w:r>
      <w:r w:rsidR="0068746B">
        <w:rPr>
          <w:rFonts w:ascii="Bookman Old Style" w:hAnsi="Bookman Old Style" w:cs="Arial"/>
          <w:color w:val="000000"/>
        </w:rPr>
        <w:t xml:space="preserve">embebidos en el sistema de distribución del respectivo distribuidor-comercializador o a aquellos  </w:t>
      </w:r>
      <w:r w:rsidRPr="00E35CFE">
        <w:rPr>
          <w:rFonts w:ascii="Bookman Old Style" w:hAnsi="Bookman Old Style" w:cs="Arial"/>
          <w:color w:val="000000"/>
        </w:rPr>
        <w:t>conectados directamente a un sistema de transporte de gas</w:t>
      </w:r>
      <w:r w:rsidR="0068746B">
        <w:rPr>
          <w:rFonts w:ascii="Bookman Old Style" w:hAnsi="Bookman Old Style" w:cs="Arial"/>
          <w:color w:val="000000"/>
        </w:rPr>
        <w:t xml:space="preserve">. </w:t>
      </w:r>
      <w:r w:rsidR="00A22954">
        <w:rPr>
          <w:rFonts w:ascii="Bookman Old Style" w:hAnsi="Bookman Old Style" w:cs="Arial"/>
          <w:color w:val="000000"/>
        </w:rPr>
        <w:t xml:space="preserve">La obligación de los </w:t>
      </w:r>
      <w:r w:rsidR="00A22954" w:rsidRPr="00AD0EBF">
        <w:rPr>
          <w:rFonts w:ascii="Bookman Old Style" w:hAnsi="Bookman Old Style" w:cs="Arial"/>
          <w:iCs/>
          <w:color w:val="000000" w:themeColor="text1"/>
        </w:rPr>
        <w:t>distribuidores-comercializadores o comercializadores</w:t>
      </w:r>
      <w:r w:rsidR="00A22954">
        <w:rPr>
          <w:rFonts w:ascii="Bookman Old Style" w:hAnsi="Bookman Old Style" w:cs="Arial"/>
          <w:iCs/>
          <w:color w:val="000000" w:themeColor="text1"/>
        </w:rPr>
        <w:t xml:space="preserve"> será hasta la terminación del contrato de transporte.</w:t>
      </w:r>
    </w:p>
    <w:p w:rsidR="00306F0E" w:rsidRDefault="00306F0E" w:rsidP="0068746B">
      <w:pPr>
        <w:tabs>
          <w:tab w:val="left" w:pos="284"/>
        </w:tabs>
        <w:ind w:left="284" w:right="284"/>
        <w:jc w:val="both"/>
        <w:rPr>
          <w:rFonts w:ascii="Bookman Old Style" w:hAnsi="Bookman Old Style" w:cs="Arial"/>
          <w:color w:val="000000"/>
        </w:rPr>
      </w:pPr>
    </w:p>
    <w:p w:rsidR="00306F0E" w:rsidRPr="00ED631E" w:rsidRDefault="00306F0E" w:rsidP="0068746B">
      <w:pPr>
        <w:tabs>
          <w:tab w:val="left" w:pos="284"/>
        </w:tabs>
        <w:ind w:left="284" w:right="284"/>
        <w:jc w:val="both"/>
        <w:rPr>
          <w:rFonts w:ascii="Bookman Old Style" w:hAnsi="Bookman Old Style" w:cs="Arial"/>
          <w:color w:val="000000"/>
        </w:rPr>
      </w:pPr>
      <w:r w:rsidRPr="00E35CFE">
        <w:rPr>
          <w:rFonts w:ascii="Bookman Old Style" w:hAnsi="Bookman Old Style" w:cs="Arial"/>
          <w:color w:val="000000"/>
        </w:rPr>
        <w:t xml:space="preserve">Como contraprestación por las gestiones que realicen los </w:t>
      </w:r>
      <w:r>
        <w:rPr>
          <w:rFonts w:ascii="Bookman Old Style" w:hAnsi="Bookman Old Style" w:cs="Arial"/>
          <w:color w:val="000000"/>
        </w:rPr>
        <w:t xml:space="preserve">distribuidores-comercializadores </w:t>
      </w:r>
      <w:r w:rsidR="00A22954">
        <w:rPr>
          <w:rFonts w:ascii="Bookman Old Style" w:hAnsi="Bookman Old Style" w:cs="Arial"/>
          <w:color w:val="000000"/>
        </w:rPr>
        <w:t xml:space="preserve">para contratar </w:t>
      </w:r>
      <w:r>
        <w:rPr>
          <w:rFonts w:ascii="Bookman Old Style" w:hAnsi="Bookman Old Style" w:cs="Arial"/>
          <w:color w:val="000000"/>
        </w:rPr>
        <w:t xml:space="preserve">la </w:t>
      </w:r>
      <w:r w:rsidRPr="00E35CFE">
        <w:rPr>
          <w:rFonts w:ascii="Bookman Old Style" w:hAnsi="Bookman Old Style" w:cs="Arial"/>
          <w:color w:val="000000"/>
        </w:rPr>
        <w:t>capacidad,</w:t>
      </w:r>
      <w:r w:rsidR="00DD121C">
        <w:rPr>
          <w:rFonts w:ascii="Bookman Old Style" w:hAnsi="Bookman Old Style" w:cs="Arial"/>
          <w:color w:val="000000"/>
        </w:rPr>
        <w:t xml:space="preserve"> </w:t>
      </w:r>
      <w:r w:rsidRPr="00E35CFE">
        <w:rPr>
          <w:rFonts w:ascii="Bookman Old Style" w:hAnsi="Bookman Old Style" w:cs="Arial"/>
          <w:color w:val="000000"/>
        </w:rPr>
        <w:t xml:space="preserve">los </w:t>
      </w:r>
      <w:r w:rsidR="00A22954">
        <w:rPr>
          <w:rFonts w:ascii="Bookman Old Style" w:hAnsi="Bookman Old Style" w:cs="Arial"/>
          <w:color w:val="000000"/>
        </w:rPr>
        <w:t xml:space="preserve">usuarios no regulados que hagan uso de esta capacidad </w:t>
      </w:r>
      <w:r w:rsidRPr="00E35CFE">
        <w:rPr>
          <w:rFonts w:ascii="Bookman Old Style" w:hAnsi="Bookman Old Style" w:cs="Arial"/>
          <w:color w:val="000000"/>
        </w:rPr>
        <w:t xml:space="preserve">pagarán el 1,67% sobre el valor resultante de aplicar, a la capacidad de transporte y al volumen transportado, los cargos fijos y variables que remuneran la inversión y el cargo fijo que remunera los gastos de AOM de los respectivos tramos de gasoductos, y que hayan sido pactados entre </w:t>
      </w:r>
      <w:r w:rsidR="00A22954">
        <w:rPr>
          <w:rFonts w:ascii="Bookman Old Style" w:hAnsi="Bookman Old Style" w:cs="Arial"/>
          <w:color w:val="000000"/>
        </w:rPr>
        <w:t xml:space="preserve">en distribuidor-comercializador </w:t>
      </w:r>
      <w:r w:rsidRPr="00E35CFE">
        <w:rPr>
          <w:rFonts w:ascii="Bookman Old Style" w:hAnsi="Bookman Old Style" w:cs="Arial"/>
          <w:color w:val="000000"/>
        </w:rPr>
        <w:t xml:space="preserve">y el </w:t>
      </w:r>
      <w:r w:rsidR="00A22954">
        <w:rPr>
          <w:rFonts w:ascii="Bookman Old Style" w:hAnsi="Bookman Old Style" w:cs="Arial"/>
          <w:color w:val="000000"/>
        </w:rPr>
        <w:t xml:space="preserve">vendedor de la capacidad de transporte. </w:t>
      </w:r>
    </w:p>
    <w:p w:rsidR="003B3C29" w:rsidRDefault="003B3C29" w:rsidP="00A3453E">
      <w:pPr>
        <w:tabs>
          <w:tab w:val="center" w:pos="709"/>
        </w:tabs>
        <w:suppressAutoHyphens/>
        <w:ind w:left="0" w:right="51"/>
        <w:jc w:val="both"/>
        <w:rPr>
          <w:rFonts w:ascii="Bookman Old Style" w:hAnsi="Bookman Old Style" w:cs="Arial"/>
          <w:b/>
          <w:color w:val="000000"/>
          <w:lang w:val="es-CO"/>
        </w:rPr>
      </w:pPr>
    </w:p>
    <w:p w:rsidR="00A3453E" w:rsidRPr="00557744" w:rsidRDefault="004C3483" w:rsidP="00A3453E">
      <w:pPr>
        <w:tabs>
          <w:tab w:val="center" w:pos="709"/>
        </w:tabs>
        <w:suppressAutoHyphens/>
        <w:ind w:left="0" w:right="51"/>
        <w:jc w:val="both"/>
        <w:rPr>
          <w:rFonts w:ascii="Bookman Old Style" w:hAnsi="Bookman Old Style" w:cs="Arial"/>
          <w:color w:val="000000"/>
          <w:lang w:val="es-CO"/>
        </w:rPr>
      </w:pPr>
      <w:r>
        <w:rPr>
          <w:rFonts w:ascii="Bookman Old Style" w:hAnsi="Bookman Old Style" w:cs="Arial"/>
          <w:b/>
          <w:color w:val="000000"/>
          <w:lang w:val="es-CO"/>
        </w:rPr>
        <w:t>Artículo 2</w:t>
      </w:r>
      <w:r w:rsidR="00452AA0" w:rsidRPr="00557744">
        <w:rPr>
          <w:rFonts w:ascii="Bookman Old Style" w:hAnsi="Bookman Old Style" w:cs="Arial"/>
          <w:b/>
          <w:color w:val="000000"/>
          <w:lang w:val="es-CO"/>
        </w:rPr>
        <w:t>.</w:t>
      </w:r>
      <w:r w:rsidR="00DD11F8" w:rsidRPr="00557744">
        <w:rPr>
          <w:rFonts w:ascii="Bookman Old Style" w:hAnsi="Bookman Old Style" w:cs="Arial"/>
          <w:b/>
          <w:color w:val="000000"/>
          <w:lang w:val="es-CO"/>
        </w:rPr>
        <w:t xml:space="preserve"> Vigencia.</w:t>
      </w:r>
      <w:r w:rsidR="00DD11F8" w:rsidRPr="00557744">
        <w:rPr>
          <w:rFonts w:ascii="Bookman Old Style" w:hAnsi="Bookman Old Style" w:cs="Arial"/>
          <w:color w:val="000000"/>
          <w:lang w:val="es-CO"/>
        </w:rPr>
        <w:t xml:space="preserve"> Esta </w:t>
      </w:r>
      <w:r w:rsidR="00523BC4">
        <w:rPr>
          <w:rFonts w:ascii="Bookman Old Style" w:hAnsi="Bookman Old Style" w:cs="Arial"/>
          <w:color w:val="000000"/>
          <w:lang w:val="es-CO"/>
        </w:rPr>
        <w:t>r</w:t>
      </w:r>
      <w:r w:rsidR="00DD11F8" w:rsidRPr="00557744">
        <w:rPr>
          <w:rFonts w:ascii="Bookman Old Style" w:hAnsi="Bookman Old Style" w:cs="Arial"/>
          <w:color w:val="000000"/>
          <w:lang w:val="es-CO"/>
        </w:rPr>
        <w:t xml:space="preserve">esolución empezará a regir a partir de su publicación en el </w:t>
      </w:r>
      <w:r w:rsidR="00DD11F8" w:rsidRPr="00E35CFE">
        <w:rPr>
          <w:rFonts w:ascii="Bookman Old Style" w:hAnsi="Bookman Old Style" w:cs="Arial"/>
          <w:i/>
          <w:color w:val="000000"/>
          <w:lang w:val="es-CO"/>
        </w:rPr>
        <w:t>Diario Oficial</w:t>
      </w:r>
      <w:r w:rsidR="00E35CFE">
        <w:rPr>
          <w:rFonts w:ascii="Bookman Old Style" w:hAnsi="Bookman Old Style" w:cs="Arial"/>
          <w:i/>
          <w:color w:val="000000"/>
          <w:lang w:val="es-CO"/>
        </w:rPr>
        <w:t xml:space="preserve"> </w:t>
      </w:r>
      <w:r w:rsidR="00E35CFE">
        <w:rPr>
          <w:rFonts w:ascii="Bookman Old Style" w:hAnsi="Bookman Old Style" w:cs="Arial"/>
          <w:color w:val="000000"/>
          <w:lang w:val="es-CO"/>
        </w:rPr>
        <w:t>y deroga aquellas disposiciones que le sean contrarias</w:t>
      </w:r>
      <w:r w:rsidR="00640E2F" w:rsidRPr="00557744">
        <w:rPr>
          <w:rFonts w:ascii="Bookman Old Style" w:hAnsi="Bookman Old Style" w:cs="Arial"/>
          <w:color w:val="000000"/>
          <w:lang w:val="es-CO"/>
        </w:rPr>
        <w:t>.</w:t>
      </w:r>
      <w:r w:rsidR="00A3453E" w:rsidRPr="00557744">
        <w:rPr>
          <w:rFonts w:ascii="Bookman Old Style" w:hAnsi="Bookman Old Style" w:cs="Arial"/>
          <w:color w:val="000000"/>
          <w:lang w:val="es-CO"/>
        </w:rPr>
        <w:t xml:space="preserve"> </w:t>
      </w:r>
    </w:p>
    <w:p w:rsidR="00DD11F8" w:rsidRPr="00557744" w:rsidRDefault="00DD11F8" w:rsidP="00E35CFE">
      <w:pPr>
        <w:tabs>
          <w:tab w:val="center" w:pos="709"/>
        </w:tabs>
        <w:suppressAutoHyphens/>
        <w:ind w:left="0" w:right="51"/>
        <w:jc w:val="both"/>
        <w:rPr>
          <w:rFonts w:ascii="Bookman Old Style" w:hAnsi="Bookman Old Style" w:cs="Arial"/>
          <w:i/>
          <w:color w:val="000000"/>
          <w:lang w:val="es-CO"/>
        </w:rPr>
      </w:pPr>
    </w:p>
    <w:p w:rsidR="00DD11F8" w:rsidRPr="00557744" w:rsidRDefault="00DD11F8" w:rsidP="00DD11F8">
      <w:pPr>
        <w:jc w:val="center"/>
        <w:rPr>
          <w:rFonts w:ascii="Bookman Old Style" w:hAnsi="Bookman Old Style"/>
          <w:b/>
        </w:rPr>
      </w:pPr>
      <w:r w:rsidRPr="00557744">
        <w:rPr>
          <w:rFonts w:ascii="Bookman Old Style" w:hAnsi="Bookman Old Style"/>
          <w:b/>
        </w:rPr>
        <w:t>PUBLÍQUESE Y CÚMPLASE</w:t>
      </w:r>
    </w:p>
    <w:p w:rsidR="00030FF1" w:rsidRPr="00557744" w:rsidRDefault="00030FF1" w:rsidP="00861186">
      <w:pPr>
        <w:ind w:left="0"/>
        <w:rPr>
          <w:rFonts w:ascii="Bookman Old Style" w:hAnsi="Bookman Old Style"/>
        </w:rPr>
      </w:pPr>
    </w:p>
    <w:p w:rsidR="00DD11F8" w:rsidRPr="00557744" w:rsidRDefault="008201B4" w:rsidP="00861186">
      <w:pPr>
        <w:ind w:left="0"/>
        <w:rPr>
          <w:rFonts w:ascii="Bookman Old Style" w:hAnsi="Bookman Old Style"/>
        </w:rPr>
      </w:pPr>
      <w:r>
        <w:rPr>
          <w:rFonts w:ascii="Bookman Old Style" w:hAnsi="Bookman Old Style"/>
        </w:rPr>
        <w:t>Firmas del proyecto,</w:t>
      </w:r>
    </w:p>
    <w:p w:rsidR="00E75ECF" w:rsidRPr="00557744" w:rsidRDefault="00E75ECF" w:rsidP="00861186">
      <w:pPr>
        <w:ind w:left="0"/>
        <w:rPr>
          <w:rFonts w:ascii="Bookman Old Style" w:hAnsi="Bookman Old Style"/>
        </w:rPr>
      </w:pPr>
    </w:p>
    <w:p w:rsidR="00E75ECF" w:rsidRPr="00557744" w:rsidRDefault="00E75ECF" w:rsidP="00861186">
      <w:pPr>
        <w:ind w:left="0"/>
        <w:rPr>
          <w:rFonts w:ascii="Bookman Old Style" w:hAnsi="Bookman Old Style"/>
        </w:rPr>
      </w:pPr>
    </w:p>
    <w:p w:rsidR="00E75ECF" w:rsidRPr="00557744" w:rsidRDefault="00E75ECF" w:rsidP="00861186">
      <w:pPr>
        <w:ind w:left="0"/>
        <w:rPr>
          <w:rFonts w:ascii="Bookman Old Style" w:hAnsi="Bookman Old Style"/>
        </w:rPr>
      </w:pPr>
    </w:p>
    <w:p w:rsidR="00E75ECF" w:rsidRPr="00557744" w:rsidRDefault="00E75ECF" w:rsidP="00861186">
      <w:pPr>
        <w:ind w:left="0"/>
        <w:rPr>
          <w:rFonts w:ascii="Bookman Old Style" w:hAnsi="Bookman Old Style"/>
        </w:rPr>
      </w:pPr>
    </w:p>
    <w:p w:rsidR="00861186" w:rsidRPr="00557744" w:rsidRDefault="00861186" w:rsidP="00DD11F8">
      <w:pPr>
        <w:rPr>
          <w:rFonts w:ascii="Bookman Old Style" w:hAnsi="Bookman Old Style"/>
        </w:rPr>
      </w:pPr>
    </w:p>
    <w:tbl>
      <w:tblPr>
        <w:tblW w:w="9782" w:type="dxa"/>
        <w:jc w:val="center"/>
        <w:tblCellSpacing w:w="0" w:type="dxa"/>
        <w:tblInd w:w="-284" w:type="dxa"/>
        <w:tblCellMar>
          <w:left w:w="0" w:type="dxa"/>
          <w:right w:w="0" w:type="dxa"/>
        </w:tblCellMar>
        <w:tblLook w:val="0000" w:firstRow="0" w:lastRow="0" w:firstColumn="0" w:lastColumn="0" w:noHBand="0" w:noVBand="0"/>
      </w:tblPr>
      <w:tblGrid>
        <w:gridCol w:w="5104"/>
        <w:gridCol w:w="4678"/>
      </w:tblGrid>
      <w:tr w:rsidR="00E75ECF" w:rsidRPr="00557744" w:rsidTr="000E69C5">
        <w:trPr>
          <w:tblCellSpacing w:w="0" w:type="dxa"/>
          <w:jc w:val="center"/>
        </w:trPr>
        <w:tc>
          <w:tcPr>
            <w:tcW w:w="5104" w:type="dxa"/>
          </w:tcPr>
          <w:p w:rsidR="00E75ECF" w:rsidRPr="00557744" w:rsidRDefault="009D1BB1" w:rsidP="000E69C5">
            <w:pPr>
              <w:ind w:left="89"/>
              <w:jc w:val="center"/>
              <w:rPr>
                <w:rFonts w:ascii="Bookman Old Style" w:hAnsi="Bookman Old Style" w:cs="Arial"/>
                <w:b/>
                <w:spacing w:val="-3"/>
              </w:rPr>
            </w:pPr>
            <w:r>
              <w:rPr>
                <w:rFonts w:ascii="Bookman Old Style" w:hAnsi="Bookman Old Style" w:cs="Arial"/>
                <w:b/>
                <w:spacing w:val="-3"/>
              </w:rPr>
              <w:t>CARLOS FERNANDO ERASO CALERO</w:t>
            </w:r>
          </w:p>
          <w:p w:rsidR="00E75ECF" w:rsidRDefault="009D1BB1" w:rsidP="009D1BB1">
            <w:pPr>
              <w:ind w:left="66"/>
              <w:jc w:val="center"/>
              <w:rPr>
                <w:rFonts w:ascii="Bookman Old Style" w:hAnsi="Bookman Old Style" w:cs="Arial"/>
                <w:spacing w:val="-3"/>
              </w:rPr>
            </w:pPr>
            <w:r>
              <w:rPr>
                <w:rFonts w:ascii="Bookman Old Style" w:hAnsi="Bookman Old Style" w:cs="Arial"/>
                <w:spacing w:val="-3"/>
              </w:rPr>
              <w:t>Viceministro de Energía</w:t>
            </w:r>
          </w:p>
          <w:p w:rsidR="009D1BB1" w:rsidRPr="00557744" w:rsidRDefault="009D1BB1" w:rsidP="009D1BB1">
            <w:pPr>
              <w:ind w:left="66"/>
              <w:jc w:val="center"/>
              <w:rPr>
                <w:rFonts w:ascii="Bookman Old Style" w:hAnsi="Bookman Old Style" w:cs="Arial"/>
                <w:spacing w:val="-3"/>
              </w:rPr>
            </w:pPr>
            <w:r>
              <w:rPr>
                <w:rFonts w:ascii="Bookman Old Style" w:hAnsi="Bookman Old Style" w:cs="Arial"/>
                <w:spacing w:val="-3"/>
              </w:rPr>
              <w:t>Delegado del Ministro de Minas y Energía</w:t>
            </w:r>
          </w:p>
        </w:tc>
        <w:tc>
          <w:tcPr>
            <w:tcW w:w="4678" w:type="dxa"/>
          </w:tcPr>
          <w:p w:rsidR="00E75ECF" w:rsidRPr="00557744" w:rsidRDefault="00E75ECF" w:rsidP="000E69C5">
            <w:pPr>
              <w:ind w:left="89"/>
              <w:jc w:val="center"/>
              <w:rPr>
                <w:rFonts w:ascii="Bookman Old Style" w:hAnsi="Bookman Old Style" w:cs="Arial"/>
                <w:b/>
                <w:spacing w:val="-3"/>
              </w:rPr>
            </w:pPr>
            <w:r w:rsidRPr="00557744">
              <w:rPr>
                <w:rFonts w:ascii="Bookman Old Style" w:hAnsi="Bookman Old Style" w:cs="Arial"/>
                <w:b/>
                <w:spacing w:val="-3"/>
              </w:rPr>
              <w:t>JORGE PINTO NOLLA</w:t>
            </w:r>
          </w:p>
          <w:p w:rsidR="00E75ECF" w:rsidRPr="00557744" w:rsidRDefault="00E75ECF" w:rsidP="000E69C5">
            <w:pPr>
              <w:ind w:left="89"/>
              <w:jc w:val="center"/>
              <w:rPr>
                <w:rFonts w:ascii="Bookman Old Style" w:eastAsia="Arial Unicode MS" w:hAnsi="Bookman Old Style" w:cs="Arial"/>
                <w:bCs/>
              </w:rPr>
            </w:pPr>
            <w:r w:rsidRPr="00557744">
              <w:rPr>
                <w:rFonts w:ascii="Bookman Old Style" w:hAnsi="Bookman Old Style" w:cs="Arial"/>
                <w:spacing w:val="-3"/>
              </w:rPr>
              <w:t>Director Ejecutivo</w:t>
            </w:r>
          </w:p>
        </w:tc>
      </w:tr>
      <w:tr w:rsidR="00E75ECF" w:rsidRPr="00EE5AC7" w:rsidTr="000E69C5">
        <w:trPr>
          <w:tblCellSpacing w:w="0" w:type="dxa"/>
          <w:jc w:val="center"/>
        </w:trPr>
        <w:tc>
          <w:tcPr>
            <w:tcW w:w="5104" w:type="dxa"/>
          </w:tcPr>
          <w:p w:rsidR="00E75ECF" w:rsidRPr="00EE5AC7" w:rsidRDefault="00E75ECF" w:rsidP="000E69C5">
            <w:pPr>
              <w:ind w:left="66"/>
              <w:jc w:val="center"/>
              <w:rPr>
                <w:rFonts w:ascii="Bookman Old Style" w:eastAsia="Arial Unicode MS" w:hAnsi="Bookman Old Style" w:cs="Arial"/>
                <w:color w:val="000000"/>
              </w:rPr>
            </w:pPr>
            <w:r w:rsidRPr="00557744">
              <w:rPr>
                <w:rFonts w:ascii="Bookman Old Style" w:hAnsi="Bookman Old Style" w:cs="Arial"/>
                <w:spacing w:val="-3"/>
              </w:rPr>
              <w:t>Presidente</w:t>
            </w:r>
          </w:p>
        </w:tc>
        <w:tc>
          <w:tcPr>
            <w:tcW w:w="4678" w:type="dxa"/>
          </w:tcPr>
          <w:p w:rsidR="00E75ECF" w:rsidRPr="00EE5AC7" w:rsidRDefault="00E75ECF" w:rsidP="000E69C5">
            <w:pPr>
              <w:jc w:val="center"/>
              <w:rPr>
                <w:rFonts w:ascii="Bookman Old Style" w:eastAsia="Arial Unicode MS" w:hAnsi="Bookman Old Style" w:cs="Arial"/>
                <w:color w:val="000000"/>
              </w:rPr>
            </w:pPr>
          </w:p>
        </w:tc>
      </w:tr>
    </w:tbl>
    <w:p w:rsidR="00E75ECF" w:rsidRPr="007F428A" w:rsidRDefault="00E75ECF" w:rsidP="00E75ECF">
      <w:pPr>
        <w:tabs>
          <w:tab w:val="left" w:pos="0"/>
          <w:tab w:val="center" w:pos="4252"/>
          <w:tab w:val="right" w:pos="9356"/>
        </w:tabs>
        <w:ind w:left="0"/>
        <w:contextualSpacing/>
        <w:jc w:val="both"/>
        <w:rPr>
          <w:rFonts w:ascii="Bookman Old Style" w:hAnsi="Bookman Old Style"/>
          <w:lang w:val="es-CO"/>
        </w:rPr>
      </w:pPr>
    </w:p>
    <w:p w:rsidR="00861186" w:rsidRPr="00C435C3" w:rsidRDefault="00861186" w:rsidP="00DD11F8">
      <w:pPr>
        <w:rPr>
          <w:rFonts w:ascii="Bookman Old Style" w:hAnsi="Bookman Old Style"/>
        </w:rPr>
      </w:pPr>
    </w:p>
    <w:p w:rsidR="00DD11F8" w:rsidRDefault="00DD11F8" w:rsidP="00DD11F8">
      <w:pPr>
        <w:ind w:left="0"/>
        <w:rPr>
          <w:rFonts w:ascii="Bookman Old Style" w:hAnsi="Bookman Old Style"/>
        </w:rPr>
      </w:pPr>
    </w:p>
    <w:sectPr w:rsidR="00DD11F8"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FFC" w:rsidRDefault="00294FFC">
      <w:r>
        <w:separator/>
      </w:r>
    </w:p>
  </w:endnote>
  <w:endnote w:type="continuationSeparator" w:id="0">
    <w:p w:rsidR="00294FFC" w:rsidRDefault="0029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FFC" w:rsidRDefault="00294FFC">
      <w:r>
        <w:separator/>
      </w:r>
    </w:p>
  </w:footnote>
  <w:footnote w:type="continuationSeparator" w:id="0">
    <w:p w:rsidR="00294FFC" w:rsidRDefault="00294FFC">
      <w:r>
        <w:continuationSeparator/>
      </w:r>
    </w:p>
  </w:footnote>
  <w:footnote w:id="1">
    <w:p w:rsidR="009064A4" w:rsidRPr="00E35CFE" w:rsidRDefault="009064A4" w:rsidP="00E35CFE">
      <w:pPr>
        <w:pStyle w:val="Textonotapie"/>
        <w:ind w:left="0"/>
        <w:jc w:val="both"/>
        <w:rPr>
          <w:lang w:val="es-CO"/>
        </w:rPr>
      </w:pPr>
      <w:r>
        <w:rPr>
          <w:rStyle w:val="Refdenotaalpie"/>
        </w:rPr>
        <w:footnoteRef/>
      </w:r>
      <w:r>
        <w:t xml:space="preserve"> </w:t>
      </w:r>
      <w:r>
        <w:rPr>
          <w:rFonts w:ascii="Bookman Old Style" w:hAnsi="Bookman Old Style"/>
        </w:rPr>
        <w:t xml:space="preserve">Ley 142 de 1994. Artículo 9. </w:t>
      </w:r>
      <w:r w:rsidRPr="0045499F">
        <w:rPr>
          <w:rFonts w:ascii="Bookman Old Style" w:hAnsi="Bookman Old Style"/>
        </w:rPr>
        <w:t>Derecho de los usuarios. Los usuarios de los servicios públicos tienen derecho, además de los consagrados en el Estatuto Nacional del Usuario y demás normas que consagren derechos a su favor, siempre que no contradigan esta ley, a:</w:t>
      </w:r>
      <w:r>
        <w:rPr>
          <w:rFonts w:ascii="Bookman Old Style" w:hAnsi="Bookman Old Styl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F07" w:rsidRDefault="00CD5F07" w:rsidP="00951F79">
    <w:pPr>
      <w:pStyle w:val="Ttulo1"/>
      <w:ind w:right="6"/>
      <w:jc w:val="left"/>
      <w:rPr>
        <w:rFonts w:ascii="Bookman Old Style" w:hAnsi="Bookman Old Style" w:cs="Arial"/>
        <w:b w:val="0"/>
        <w:sz w:val="22"/>
        <w:szCs w:val="22"/>
      </w:rPr>
    </w:pPr>
  </w:p>
  <w:p w:rsidR="00CD5F07" w:rsidRPr="00951F79" w:rsidRDefault="00CD5F07"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E84B0C">
      <w:rPr>
        <w:rFonts w:ascii="Bookman Old Style" w:hAnsi="Bookman Old Style" w:cs="Arial"/>
        <w:b w:val="0"/>
        <w:noProof/>
        <w:sz w:val="22"/>
        <w:szCs w:val="22"/>
      </w:rPr>
      <w:t>6</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E84B0C">
      <w:fldChar w:fldCharType="begin"/>
    </w:r>
    <w:r w:rsidR="00E84B0C">
      <w:instrText xml:space="preserve"> NUMPAGES  \* MERGEFORMAT </w:instrText>
    </w:r>
    <w:r w:rsidR="00E84B0C">
      <w:fldChar w:fldCharType="separate"/>
    </w:r>
    <w:r w:rsidR="00E84B0C" w:rsidRPr="00E84B0C">
      <w:rPr>
        <w:rFonts w:ascii="Bookman Old Style" w:hAnsi="Bookman Old Style" w:cs="Arial"/>
        <w:b w:val="0"/>
        <w:noProof/>
        <w:sz w:val="22"/>
        <w:szCs w:val="22"/>
      </w:rPr>
      <w:t>6</w:t>
    </w:r>
    <w:r w:rsidR="00E84B0C">
      <w:rPr>
        <w:rFonts w:ascii="Bookman Old Style" w:hAnsi="Bookman Old Style" w:cs="Arial"/>
        <w:b w:val="0"/>
        <w:noProof/>
        <w:sz w:val="22"/>
        <w:szCs w:val="22"/>
      </w:rPr>
      <w:fldChar w:fldCharType="end"/>
    </w:r>
  </w:p>
  <w:p w:rsidR="00CD5F07" w:rsidRDefault="00CD5F07"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16B894CC" wp14:editId="4231247C">
              <wp:simplePos x="0" y="0"/>
              <wp:positionH relativeFrom="column">
                <wp:posOffset>-175260</wp:posOffset>
              </wp:positionH>
              <wp:positionV relativeFrom="paragraph">
                <wp:posOffset>139065</wp:posOffset>
              </wp:positionV>
              <wp:extent cx="6267450" cy="99009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CD5F07" w:rsidRPr="00045D3D" w:rsidRDefault="00557744" w:rsidP="00042175">
    <w:pPr>
      <w:pBdr>
        <w:bottom w:val="single" w:sz="4" w:space="1" w:color="auto"/>
      </w:pBdr>
      <w:ind w:left="142" w:right="148"/>
      <w:jc w:val="both"/>
      <w:rPr>
        <w:b/>
      </w:rPr>
    </w:pPr>
    <w:r w:rsidRPr="004F6D09">
      <w:rPr>
        <w:rFonts w:ascii="Bookman Old Style" w:hAnsi="Bookman Old Style"/>
      </w:rPr>
      <w:t xml:space="preserve">Por la cual se ordena hacer público un proyecto de resolución de carácter general, </w:t>
    </w:r>
    <w:r w:rsidR="009C6A3D">
      <w:rPr>
        <w:rFonts w:ascii="Bookman Old Style" w:hAnsi="Bookman Old Style" w:cs="Arial"/>
        <w:color w:val="000000"/>
      </w:rPr>
      <w:t xml:space="preserve">  “</w:t>
    </w:r>
    <w:r w:rsidR="009C6A3D" w:rsidRPr="001D4A97">
      <w:rPr>
        <w:rFonts w:ascii="Bookman Old Style" w:hAnsi="Bookman Old Style"/>
      </w:rPr>
      <w:t xml:space="preserve">Por la cual se adiciona un parágrafo </w:t>
    </w:r>
    <w:r w:rsidR="009C6A3D">
      <w:rPr>
        <w:rFonts w:ascii="Bookman Old Style" w:hAnsi="Bookman Old Style"/>
      </w:rPr>
      <w:t xml:space="preserve">al artículo </w:t>
    </w:r>
    <w:r w:rsidR="009C6A3D" w:rsidRPr="001D4A97">
      <w:rPr>
        <w:rFonts w:ascii="Bookman Old Style" w:hAnsi="Bookman Old Style"/>
      </w:rPr>
      <w:t>44 de la  Resolución CREG 089 de 2013</w:t>
    </w:r>
    <w:r w:rsidR="00381E22">
      <w:rPr>
        <w:rFonts w:ascii="Bookman Old Style" w:hAnsi="Bookman Old Style" w:cs="Arial"/>
        <w:color w:val="00000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F07" w:rsidRDefault="00CD5F07"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CD5F07" w:rsidRDefault="00CD5F07">
    <w:pPr>
      <w:pStyle w:val="Encabezado"/>
      <w:jc w:val="center"/>
      <w:rPr>
        <w:rFonts w:ascii="Arial" w:hAnsi="Arial" w:cs="Arial"/>
        <w:spacing w:val="20"/>
        <w:sz w:val="20"/>
      </w:rPr>
    </w:pPr>
  </w:p>
  <w:p w:rsidR="00CD5F07" w:rsidRDefault="00CD5F07"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14B23FBE" wp14:editId="1544150C">
              <wp:simplePos x="0" y="0"/>
              <wp:positionH relativeFrom="column">
                <wp:posOffset>-213360</wp:posOffset>
              </wp:positionH>
              <wp:positionV relativeFrom="paragraph">
                <wp:posOffset>377190</wp:posOffset>
              </wp:positionV>
              <wp:extent cx="6343650" cy="98393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240A000F"/>
    <w:lvl w:ilvl="0">
      <w:start w:val="1"/>
      <w:numFmt w:val="decimal"/>
      <w:lvlText w:val="%1."/>
      <w:lvlJc w:val="left"/>
      <w:pPr>
        <w:ind w:left="360" w:hanging="360"/>
      </w:pPr>
    </w:lvl>
  </w:abstractNum>
  <w:abstractNum w:abstractNumId="1">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0EB67EB"/>
    <w:multiLevelType w:val="hybridMultilevel"/>
    <w:tmpl w:val="E7BA616C"/>
    <w:lvl w:ilvl="0" w:tplc="240A001B">
      <w:start w:val="1"/>
      <w:numFmt w:val="lowerRoman"/>
      <w:lvlText w:val="%1."/>
      <w:lvlJc w:val="right"/>
      <w:pPr>
        <w:ind w:left="795" w:hanging="360"/>
      </w:pPr>
    </w:lvl>
    <w:lvl w:ilvl="1" w:tplc="240A0019" w:tentative="1">
      <w:start w:val="1"/>
      <w:numFmt w:val="lowerLetter"/>
      <w:lvlText w:val="%2."/>
      <w:lvlJc w:val="left"/>
      <w:pPr>
        <w:ind w:left="1515" w:hanging="360"/>
      </w:pPr>
    </w:lvl>
    <w:lvl w:ilvl="2" w:tplc="240A001B" w:tentative="1">
      <w:start w:val="1"/>
      <w:numFmt w:val="lowerRoman"/>
      <w:lvlText w:val="%3."/>
      <w:lvlJc w:val="right"/>
      <w:pPr>
        <w:ind w:left="2235" w:hanging="180"/>
      </w:pPr>
    </w:lvl>
    <w:lvl w:ilvl="3" w:tplc="240A000F" w:tentative="1">
      <w:start w:val="1"/>
      <w:numFmt w:val="decimal"/>
      <w:lvlText w:val="%4."/>
      <w:lvlJc w:val="left"/>
      <w:pPr>
        <w:ind w:left="2955" w:hanging="360"/>
      </w:pPr>
    </w:lvl>
    <w:lvl w:ilvl="4" w:tplc="240A0019" w:tentative="1">
      <w:start w:val="1"/>
      <w:numFmt w:val="lowerLetter"/>
      <w:lvlText w:val="%5."/>
      <w:lvlJc w:val="left"/>
      <w:pPr>
        <w:ind w:left="3675" w:hanging="360"/>
      </w:pPr>
    </w:lvl>
    <w:lvl w:ilvl="5" w:tplc="240A001B" w:tentative="1">
      <w:start w:val="1"/>
      <w:numFmt w:val="lowerRoman"/>
      <w:lvlText w:val="%6."/>
      <w:lvlJc w:val="right"/>
      <w:pPr>
        <w:ind w:left="4395" w:hanging="180"/>
      </w:pPr>
    </w:lvl>
    <w:lvl w:ilvl="6" w:tplc="240A000F" w:tentative="1">
      <w:start w:val="1"/>
      <w:numFmt w:val="decimal"/>
      <w:lvlText w:val="%7."/>
      <w:lvlJc w:val="left"/>
      <w:pPr>
        <w:ind w:left="5115" w:hanging="360"/>
      </w:pPr>
    </w:lvl>
    <w:lvl w:ilvl="7" w:tplc="240A0019" w:tentative="1">
      <w:start w:val="1"/>
      <w:numFmt w:val="lowerLetter"/>
      <w:lvlText w:val="%8."/>
      <w:lvlJc w:val="left"/>
      <w:pPr>
        <w:ind w:left="5835" w:hanging="360"/>
      </w:pPr>
    </w:lvl>
    <w:lvl w:ilvl="8" w:tplc="240A001B" w:tentative="1">
      <w:start w:val="1"/>
      <w:numFmt w:val="lowerRoman"/>
      <w:lvlText w:val="%9."/>
      <w:lvlJc w:val="right"/>
      <w:pPr>
        <w:ind w:left="6555" w:hanging="180"/>
      </w:pPr>
    </w:lvl>
  </w:abstractNum>
  <w:abstractNum w:abstractNumId="3">
    <w:nsid w:val="04AB3AA4"/>
    <w:multiLevelType w:val="hybridMultilevel"/>
    <w:tmpl w:val="B74EAE22"/>
    <w:lvl w:ilvl="0" w:tplc="DFDCBF14">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A050C49"/>
    <w:multiLevelType w:val="hybridMultilevel"/>
    <w:tmpl w:val="2B582504"/>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nsid w:val="0D0A6709"/>
    <w:multiLevelType w:val="hybridMultilevel"/>
    <w:tmpl w:val="A37ECB4A"/>
    <w:lvl w:ilvl="0" w:tplc="240A001B">
      <w:start w:val="1"/>
      <w:numFmt w:val="lowerRoman"/>
      <w:lvlText w:val="%1."/>
      <w:lvlJc w:val="right"/>
      <w:pPr>
        <w:ind w:left="720" w:hanging="360"/>
      </w:pPr>
    </w:lvl>
    <w:lvl w:ilvl="1" w:tplc="240A0019">
      <w:start w:val="1"/>
      <w:numFmt w:val="lowerLetter"/>
      <w:lvlText w:val="%2."/>
      <w:lvlJc w:val="left"/>
      <w:pPr>
        <w:ind w:left="1440" w:hanging="360"/>
      </w:pPr>
    </w:lvl>
    <w:lvl w:ilvl="2" w:tplc="6E088022">
      <w:start w:val="1"/>
      <w:numFmt w:val="lowerLetter"/>
      <w:lvlText w:val="%3)"/>
      <w:lvlJc w:val="left"/>
      <w:pPr>
        <w:ind w:left="2688" w:hanging="708"/>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1017452"/>
    <w:multiLevelType w:val="hybridMultilevel"/>
    <w:tmpl w:val="80909A14"/>
    <w:lvl w:ilvl="0" w:tplc="EFC62378">
      <w:start w:val="4"/>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4A36E7D"/>
    <w:multiLevelType w:val="hybridMultilevel"/>
    <w:tmpl w:val="2488E722"/>
    <w:lvl w:ilvl="0" w:tplc="240A001B">
      <w:start w:val="1"/>
      <w:numFmt w:val="lowerRoman"/>
      <w:lvlText w:val="%1."/>
      <w:lvlJc w:val="righ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8DD0672"/>
    <w:multiLevelType w:val="hybridMultilevel"/>
    <w:tmpl w:val="3A9E1FAA"/>
    <w:lvl w:ilvl="0" w:tplc="2B20B50C">
      <w:start w:val="8"/>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A0A3314"/>
    <w:multiLevelType w:val="hybridMultilevel"/>
    <w:tmpl w:val="68E45E3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1B7C13C5"/>
    <w:multiLevelType w:val="hybridMultilevel"/>
    <w:tmpl w:val="58DC41FA"/>
    <w:lvl w:ilvl="0" w:tplc="952E9F34">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206C0A92"/>
    <w:multiLevelType w:val="hybridMultilevel"/>
    <w:tmpl w:val="4110539C"/>
    <w:lvl w:ilvl="0" w:tplc="240A0019">
      <w:start w:val="1"/>
      <w:numFmt w:val="lowerLetter"/>
      <w:lvlText w:val="%1."/>
      <w:lvlJc w:val="left"/>
      <w:pPr>
        <w:tabs>
          <w:tab w:val="num" w:pos="540"/>
        </w:tabs>
        <w:ind w:left="540" w:hanging="540"/>
      </w:pPr>
      <w:rPr>
        <w:rFonts w:hint="default"/>
      </w:rPr>
    </w:lvl>
    <w:lvl w:ilvl="1" w:tplc="240A001B"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12">
    <w:nsid w:val="207E435C"/>
    <w:multiLevelType w:val="hybridMultilevel"/>
    <w:tmpl w:val="C7FCC67E"/>
    <w:lvl w:ilvl="0" w:tplc="443AB2AA">
      <w:start w:val="6"/>
      <w:numFmt w:val="lowerLetter"/>
      <w:lvlText w:val="%1)"/>
      <w:lvlJc w:val="left"/>
      <w:pPr>
        <w:ind w:left="1419" w:hanging="360"/>
      </w:pPr>
      <w:rPr>
        <w:rFonts w:hint="default"/>
        <w:b w:val="0"/>
      </w:rPr>
    </w:lvl>
    <w:lvl w:ilvl="1" w:tplc="240A0019" w:tentative="1">
      <w:start w:val="1"/>
      <w:numFmt w:val="lowerLetter"/>
      <w:lvlText w:val="%2."/>
      <w:lvlJc w:val="left"/>
      <w:pPr>
        <w:ind w:left="2705" w:hanging="360"/>
      </w:pPr>
    </w:lvl>
    <w:lvl w:ilvl="2" w:tplc="240A001B" w:tentative="1">
      <w:start w:val="1"/>
      <w:numFmt w:val="lowerRoman"/>
      <w:lvlText w:val="%3."/>
      <w:lvlJc w:val="right"/>
      <w:pPr>
        <w:ind w:left="3425" w:hanging="180"/>
      </w:pPr>
    </w:lvl>
    <w:lvl w:ilvl="3" w:tplc="240A000F" w:tentative="1">
      <w:start w:val="1"/>
      <w:numFmt w:val="decimal"/>
      <w:lvlText w:val="%4."/>
      <w:lvlJc w:val="left"/>
      <w:pPr>
        <w:ind w:left="4145" w:hanging="360"/>
      </w:pPr>
    </w:lvl>
    <w:lvl w:ilvl="4" w:tplc="240A0019" w:tentative="1">
      <w:start w:val="1"/>
      <w:numFmt w:val="lowerLetter"/>
      <w:lvlText w:val="%5."/>
      <w:lvlJc w:val="left"/>
      <w:pPr>
        <w:ind w:left="4865" w:hanging="360"/>
      </w:pPr>
    </w:lvl>
    <w:lvl w:ilvl="5" w:tplc="240A001B" w:tentative="1">
      <w:start w:val="1"/>
      <w:numFmt w:val="lowerRoman"/>
      <w:lvlText w:val="%6."/>
      <w:lvlJc w:val="right"/>
      <w:pPr>
        <w:ind w:left="5585" w:hanging="180"/>
      </w:pPr>
    </w:lvl>
    <w:lvl w:ilvl="6" w:tplc="240A000F" w:tentative="1">
      <w:start w:val="1"/>
      <w:numFmt w:val="decimal"/>
      <w:lvlText w:val="%7."/>
      <w:lvlJc w:val="left"/>
      <w:pPr>
        <w:ind w:left="6305" w:hanging="360"/>
      </w:pPr>
    </w:lvl>
    <w:lvl w:ilvl="7" w:tplc="240A0019" w:tentative="1">
      <w:start w:val="1"/>
      <w:numFmt w:val="lowerLetter"/>
      <w:lvlText w:val="%8."/>
      <w:lvlJc w:val="left"/>
      <w:pPr>
        <w:ind w:left="7025" w:hanging="360"/>
      </w:pPr>
    </w:lvl>
    <w:lvl w:ilvl="8" w:tplc="240A001B" w:tentative="1">
      <w:start w:val="1"/>
      <w:numFmt w:val="lowerRoman"/>
      <w:lvlText w:val="%9."/>
      <w:lvlJc w:val="right"/>
      <w:pPr>
        <w:ind w:left="7745" w:hanging="180"/>
      </w:pPr>
    </w:lvl>
  </w:abstractNum>
  <w:abstractNum w:abstractNumId="13">
    <w:nsid w:val="24981B75"/>
    <w:multiLevelType w:val="hybridMultilevel"/>
    <w:tmpl w:val="FC26D358"/>
    <w:lvl w:ilvl="0" w:tplc="2F2C3B4C">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264138B1"/>
    <w:multiLevelType w:val="hybridMultilevel"/>
    <w:tmpl w:val="0EA29D4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292931E4"/>
    <w:multiLevelType w:val="multilevel"/>
    <w:tmpl w:val="64EC2BA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2C2A7ABB"/>
    <w:multiLevelType w:val="hybridMultilevel"/>
    <w:tmpl w:val="6148705C"/>
    <w:lvl w:ilvl="0" w:tplc="9C108C4A">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2C421E0B"/>
    <w:multiLevelType w:val="hybridMultilevel"/>
    <w:tmpl w:val="8ADC8D4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nsid w:val="2DA13F37"/>
    <w:multiLevelType w:val="hybridMultilevel"/>
    <w:tmpl w:val="DABA9F78"/>
    <w:lvl w:ilvl="0" w:tplc="7E54C4EE">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35C341BF"/>
    <w:multiLevelType w:val="hybridMultilevel"/>
    <w:tmpl w:val="16A4D9A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395F2D30"/>
    <w:multiLevelType w:val="hybridMultilevel"/>
    <w:tmpl w:val="89C6DBC0"/>
    <w:lvl w:ilvl="0" w:tplc="240A0019">
      <w:start w:val="1"/>
      <w:numFmt w:val="lowerLetter"/>
      <w:lvlText w:val="%1."/>
      <w:lvlJc w:val="left"/>
      <w:pPr>
        <w:ind w:left="1776" w:hanging="360"/>
      </w:p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21">
    <w:nsid w:val="3A8F4CE5"/>
    <w:multiLevelType w:val="hybridMultilevel"/>
    <w:tmpl w:val="485C71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480944F9"/>
    <w:multiLevelType w:val="hybridMultilevel"/>
    <w:tmpl w:val="79BA72EA"/>
    <w:lvl w:ilvl="0" w:tplc="240A001B">
      <w:start w:val="1"/>
      <w:numFmt w:val="lowerRoman"/>
      <w:lvlText w:val="%1."/>
      <w:lvlJc w:val="right"/>
      <w:pPr>
        <w:ind w:left="720" w:hanging="360"/>
      </w:pPr>
      <w:rPr>
        <w:b/>
      </w:rPr>
    </w:lvl>
    <w:lvl w:ilvl="1" w:tplc="B630F2DC">
      <w:start w:val="1"/>
      <w:numFmt w:val="lowerLetter"/>
      <w:lvlText w:val="%2."/>
      <w:lvlJc w:val="left"/>
      <w:pPr>
        <w:ind w:left="1440" w:hanging="360"/>
      </w:pPr>
      <w:rPr>
        <w:rFonts w:hint="default"/>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4DCE2795"/>
    <w:multiLevelType w:val="hybridMultilevel"/>
    <w:tmpl w:val="0F8233BC"/>
    <w:lvl w:ilvl="0" w:tplc="17927ACA">
      <w:start w:val="8"/>
      <w:numFmt w:val="lowerRoman"/>
      <w:lvlText w:val="%1."/>
      <w:lvlJc w:val="left"/>
      <w:pPr>
        <w:ind w:left="2421" w:hanging="720"/>
      </w:pPr>
      <w:rPr>
        <w:rFonts w:hint="default"/>
        <w:color w:val="FF0000"/>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24">
    <w:nsid w:val="521821C3"/>
    <w:multiLevelType w:val="hybridMultilevel"/>
    <w:tmpl w:val="D480E740"/>
    <w:lvl w:ilvl="0" w:tplc="5A4C74E2">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52B52B59"/>
    <w:multiLevelType w:val="hybridMultilevel"/>
    <w:tmpl w:val="6AE42044"/>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nsid w:val="62784F5E"/>
    <w:multiLevelType w:val="hybridMultilevel"/>
    <w:tmpl w:val="127A4170"/>
    <w:lvl w:ilvl="0" w:tplc="D2F8F01A">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67A02633"/>
    <w:multiLevelType w:val="hybridMultilevel"/>
    <w:tmpl w:val="4EC41BDE"/>
    <w:lvl w:ilvl="0" w:tplc="C0CCEA12">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nsid w:val="686376C1"/>
    <w:multiLevelType w:val="hybridMultilevel"/>
    <w:tmpl w:val="BF606EBA"/>
    <w:lvl w:ilvl="0" w:tplc="240A000F">
      <w:start w:val="1"/>
      <w:numFmt w:val="decimal"/>
      <w:lvlText w:val="%1."/>
      <w:lvlJc w:val="left"/>
      <w:pPr>
        <w:ind w:left="1065" w:hanging="705"/>
      </w:pPr>
      <w:rPr>
        <w:rFonts w:hint="default"/>
        <w:lang w:val="es-CO"/>
      </w:rPr>
    </w:lvl>
    <w:lvl w:ilvl="1" w:tplc="240A001B">
      <w:start w:val="1"/>
      <w:numFmt w:val="lowerRoman"/>
      <w:lvlText w:val="%2."/>
      <w:lvlJc w:val="right"/>
      <w:pPr>
        <w:ind w:left="1440" w:hanging="360"/>
      </w:pPr>
      <w:rPr>
        <w:rFont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68EF546C"/>
    <w:multiLevelType w:val="hybridMultilevel"/>
    <w:tmpl w:val="DB90D272"/>
    <w:lvl w:ilvl="0" w:tplc="BEE02D62">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nsid w:val="6A187318"/>
    <w:multiLevelType w:val="hybridMultilevel"/>
    <w:tmpl w:val="5554FEBC"/>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nsid w:val="6CDC0E7D"/>
    <w:multiLevelType w:val="hybridMultilevel"/>
    <w:tmpl w:val="34DC6078"/>
    <w:lvl w:ilvl="0" w:tplc="240A001B">
      <w:start w:val="1"/>
      <w:numFmt w:val="lowerRoman"/>
      <w:lvlText w:val="%1."/>
      <w:lvlJc w:val="righ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6E075CA2"/>
    <w:multiLevelType w:val="hybridMultilevel"/>
    <w:tmpl w:val="68EEEF5E"/>
    <w:lvl w:ilvl="0" w:tplc="240A001B">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713B2917"/>
    <w:multiLevelType w:val="hybridMultilevel"/>
    <w:tmpl w:val="79BA6FE8"/>
    <w:lvl w:ilvl="0" w:tplc="104EFEAA">
      <w:start w:val="1"/>
      <w:numFmt w:val="lowerRoman"/>
      <w:lvlText w:val="%1."/>
      <w:lvlJc w:val="left"/>
      <w:pPr>
        <w:ind w:left="435" w:hanging="360"/>
      </w:pPr>
      <w:rPr>
        <w:rFonts w:hint="default"/>
      </w:rPr>
    </w:lvl>
    <w:lvl w:ilvl="1" w:tplc="240A0019" w:tentative="1">
      <w:start w:val="1"/>
      <w:numFmt w:val="lowerLetter"/>
      <w:lvlText w:val="%2."/>
      <w:lvlJc w:val="left"/>
      <w:pPr>
        <w:ind w:left="1155" w:hanging="360"/>
      </w:pPr>
    </w:lvl>
    <w:lvl w:ilvl="2" w:tplc="240A001B" w:tentative="1">
      <w:start w:val="1"/>
      <w:numFmt w:val="lowerRoman"/>
      <w:lvlText w:val="%3."/>
      <w:lvlJc w:val="right"/>
      <w:pPr>
        <w:ind w:left="1875" w:hanging="180"/>
      </w:pPr>
    </w:lvl>
    <w:lvl w:ilvl="3" w:tplc="240A000F" w:tentative="1">
      <w:start w:val="1"/>
      <w:numFmt w:val="decimal"/>
      <w:lvlText w:val="%4."/>
      <w:lvlJc w:val="left"/>
      <w:pPr>
        <w:ind w:left="2595" w:hanging="360"/>
      </w:pPr>
    </w:lvl>
    <w:lvl w:ilvl="4" w:tplc="240A0019" w:tentative="1">
      <w:start w:val="1"/>
      <w:numFmt w:val="lowerLetter"/>
      <w:lvlText w:val="%5."/>
      <w:lvlJc w:val="left"/>
      <w:pPr>
        <w:ind w:left="3315" w:hanging="360"/>
      </w:pPr>
    </w:lvl>
    <w:lvl w:ilvl="5" w:tplc="240A001B" w:tentative="1">
      <w:start w:val="1"/>
      <w:numFmt w:val="lowerRoman"/>
      <w:lvlText w:val="%6."/>
      <w:lvlJc w:val="right"/>
      <w:pPr>
        <w:ind w:left="4035" w:hanging="180"/>
      </w:pPr>
    </w:lvl>
    <w:lvl w:ilvl="6" w:tplc="240A000F" w:tentative="1">
      <w:start w:val="1"/>
      <w:numFmt w:val="decimal"/>
      <w:lvlText w:val="%7."/>
      <w:lvlJc w:val="left"/>
      <w:pPr>
        <w:ind w:left="4755" w:hanging="360"/>
      </w:pPr>
    </w:lvl>
    <w:lvl w:ilvl="7" w:tplc="240A0019" w:tentative="1">
      <w:start w:val="1"/>
      <w:numFmt w:val="lowerLetter"/>
      <w:lvlText w:val="%8."/>
      <w:lvlJc w:val="left"/>
      <w:pPr>
        <w:ind w:left="5475" w:hanging="360"/>
      </w:pPr>
    </w:lvl>
    <w:lvl w:ilvl="8" w:tplc="240A001B" w:tentative="1">
      <w:start w:val="1"/>
      <w:numFmt w:val="lowerRoman"/>
      <w:lvlText w:val="%9."/>
      <w:lvlJc w:val="right"/>
      <w:pPr>
        <w:ind w:left="6195" w:hanging="180"/>
      </w:pPr>
    </w:lvl>
  </w:abstractNum>
  <w:abstractNum w:abstractNumId="34">
    <w:nsid w:val="73432BD8"/>
    <w:multiLevelType w:val="hybridMultilevel"/>
    <w:tmpl w:val="DB607420"/>
    <w:lvl w:ilvl="0" w:tplc="8EE8F796">
      <w:start w:val="1"/>
      <w:numFmt w:val="decimal"/>
      <w:pStyle w:val="ARTICULOS"/>
      <w:lvlText w:val="Artículo %1."/>
      <w:lvlJc w:val="left"/>
      <w:pPr>
        <w:ind w:left="1637"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abstractNum w:abstractNumId="35">
    <w:nsid w:val="74484591"/>
    <w:multiLevelType w:val="hybridMultilevel"/>
    <w:tmpl w:val="1AB4CB5A"/>
    <w:lvl w:ilvl="0" w:tplc="BD50335E">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7637649C"/>
    <w:multiLevelType w:val="hybridMultilevel"/>
    <w:tmpl w:val="067E6CC4"/>
    <w:lvl w:ilvl="0" w:tplc="4836D334">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nsid w:val="797D030D"/>
    <w:multiLevelType w:val="hybridMultilevel"/>
    <w:tmpl w:val="5F2C7678"/>
    <w:lvl w:ilvl="0" w:tplc="8446F664">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nsid w:val="7E7655B3"/>
    <w:multiLevelType w:val="hybridMultilevel"/>
    <w:tmpl w:val="BDB202E0"/>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9">
    <w:nsid w:val="7EC938E4"/>
    <w:multiLevelType w:val="hybridMultilevel"/>
    <w:tmpl w:val="01D20E90"/>
    <w:lvl w:ilvl="0" w:tplc="E6ECAEBC">
      <w:start w:val="8"/>
      <w:numFmt w:val="lowerRoman"/>
      <w:lvlText w:val="%1."/>
      <w:lvlJc w:val="left"/>
      <w:pPr>
        <w:ind w:left="795" w:hanging="720"/>
      </w:pPr>
      <w:rPr>
        <w:rFonts w:hint="default"/>
        <w:color w:val="FF0000"/>
      </w:rPr>
    </w:lvl>
    <w:lvl w:ilvl="1" w:tplc="240A0019" w:tentative="1">
      <w:start w:val="1"/>
      <w:numFmt w:val="lowerLetter"/>
      <w:lvlText w:val="%2."/>
      <w:lvlJc w:val="left"/>
      <w:pPr>
        <w:ind w:left="1155" w:hanging="360"/>
      </w:pPr>
    </w:lvl>
    <w:lvl w:ilvl="2" w:tplc="240A001B" w:tentative="1">
      <w:start w:val="1"/>
      <w:numFmt w:val="lowerRoman"/>
      <w:lvlText w:val="%3."/>
      <w:lvlJc w:val="right"/>
      <w:pPr>
        <w:ind w:left="1875" w:hanging="180"/>
      </w:pPr>
    </w:lvl>
    <w:lvl w:ilvl="3" w:tplc="240A000F" w:tentative="1">
      <w:start w:val="1"/>
      <w:numFmt w:val="decimal"/>
      <w:lvlText w:val="%4."/>
      <w:lvlJc w:val="left"/>
      <w:pPr>
        <w:ind w:left="2595" w:hanging="360"/>
      </w:pPr>
    </w:lvl>
    <w:lvl w:ilvl="4" w:tplc="240A0019" w:tentative="1">
      <w:start w:val="1"/>
      <w:numFmt w:val="lowerLetter"/>
      <w:lvlText w:val="%5."/>
      <w:lvlJc w:val="left"/>
      <w:pPr>
        <w:ind w:left="3315" w:hanging="360"/>
      </w:pPr>
    </w:lvl>
    <w:lvl w:ilvl="5" w:tplc="240A001B" w:tentative="1">
      <w:start w:val="1"/>
      <w:numFmt w:val="lowerRoman"/>
      <w:lvlText w:val="%6."/>
      <w:lvlJc w:val="right"/>
      <w:pPr>
        <w:ind w:left="4035" w:hanging="180"/>
      </w:pPr>
    </w:lvl>
    <w:lvl w:ilvl="6" w:tplc="240A000F" w:tentative="1">
      <w:start w:val="1"/>
      <w:numFmt w:val="decimal"/>
      <w:lvlText w:val="%7."/>
      <w:lvlJc w:val="left"/>
      <w:pPr>
        <w:ind w:left="4755" w:hanging="360"/>
      </w:pPr>
    </w:lvl>
    <w:lvl w:ilvl="7" w:tplc="240A0019" w:tentative="1">
      <w:start w:val="1"/>
      <w:numFmt w:val="lowerLetter"/>
      <w:lvlText w:val="%8."/>
      <w:lvlJc w:val="left"/>
      <w:pPr>
        <w:ind w:left="5475" w:hanging="360"/>
      </w:pPr>
    </w:lvl>
    <w:lvl w:ilvl="8" w:tplc="240A001B" w:tentative="1">
      <w:start w:val="1"/>
      <w:numFmt w:val="lowerRoman"/>
      <w:lvlText w:val="%9."/>
      <w:lvlJc w:val="right"/>
      <w:pPr>
        <w:ind w:left="6195" w:hanging="180"/>
      </w:pPr>
    </w:lvl>
  </w:abstractNum>
  <w:num w:numId="1">
    <w:abstractNumId w:val="1"/>
  </w:num>
  <w:num w:numId="2">
    <w:abstractNumId w:val="0"/>
  </w:num>
  <w:num w:numId="3">
    <w:abstractNumId w:val="32"/>
  </w:num>
  <w:num w:numId="4">
    <w:abstractNumId w:val="31"/>
  </w:num>
  <w:num w:numId="5">
    <w:abstractNumId w:val="38"/>
  </w:num>
  <w:num w:numId="6">
    <w:abstractNumId w:val="5"/>
  </w:num>
  <w:num w:numId="7">
    <w:abstractNumId w:val="14"/>
  </w:num>
  <w:num w:numId="8">
    <w:abstractNumId w:val="15"/>
  </w:num>
  <w:num w:numId="9">
    <w:abstractNumId w:val="35"/>
  </w:num>
  <w:num w:numId="10">
    <w:abstractNumId w:val="11"/>
  </w:num>
  <w:num w:numId="11">
    <w:abstractNumId w:val="17"/>
  </w:num>
  <w:num w:numId="12">
    <w:abstractNumId w:val="30"/>
  </w:num>
  <w:num w:numId="13">
    <w:abstractNumId w:val="27"/>
  </w:num>
  <w:num w:numId="14">
    <w:abstractNumId w:val="6"/>
  </w:num>
  <w:num w:numId="15">
    <w:abstractNumId w:val="24"/>
  </w:num>
  <w:num w:numId="16">
    <w:abstractNumId w:val="4"/>
  </w:num>
  <w:num w:numId="17">
    <w:abstractNumId w:val="9"/>
  </w:num>
  <w:num w:numId="18">
    <w:abstractNumId w:val="26"/>
  </w:num>
  <w:num w:numId="19">
    <w:abstractNumId w:val="20"/>
  </w:num>
  <w:num w:numId="20">
    <w:abstractNumId w:val="36"/>
  </w:num>
  <w:num w:numId="21">
    <w:abstractNumId w:val="18"/>
  </w:num>
  <w:num w:numId="22">
    <w:abstractNumId w:val="10"/>
  </w:num>
  <w:num w:numId="23">
    <w:abstractNumId w:val="22"/>
  </w:num>
  <w:num w:numId="24">
    <w:abstractNumId w:val="37"/>
  </w:num>
  <w:num w:numId="25">
    <w:abstractNumId w:val="13"/>
  </w:num>
  <w:num w:numId="26">
    <w:abstractNumId w:val="25"/>
  </w:num>
  <w:num w:numId="27">
    <w:abstractNumId w:val="16"/>
  </w:num>
  <w:num w:numId="28">
    <w:abstractNumId w:val="29"/>
  </w:num>
  <w:num w:numId="29">
    <w:abstractNumId w:val="2"/>
  </w:num>
  <w:num w:numId="30">
    <w:abstractNumId w:val="19"/>
  </w:num>
  <w:num w:numId="31">
    <w:abstractNumId w:val="3"/>
  </w:num>
  <w:num w:numId="32">
    <w:abstractNumId w:val="21"/>
  </w:num>
  <w:num w:numId="33">
    <w:abstractNumId w:val="7"/>
  </w:num>
  <w:num w:numId="34">
    <w:abstractNumId w:val="12"/>
  </w:num>
  <w:num w:numId="35">
    <w:abstractNumId w:val="33"/>
  </w:num>
  <w:num w:numId="36">
    <w:abstractNumId w:val="23"/>
  </w:num>
  <w:num w:numId="37">
    <w:abstractNumId w:val="34"/>
  </w:num>
  <w:num w:numId="38">
    <w:abstractNumId w:val="28"/>
  </w:num>
  <w:num w:numId="39">
    <w:abstractNumId w:val="39"/>
  </w:num>
  <w:num w:numId="40">
    <w:abstractNumId w:val="34"/>
  </w:num>
  <w:num w:numId="41">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05FD"/>
    <w:rsid w:val="00000B37"/>
    <w:rsid w:val="000015FE"/>
    <w:rsid w:val="000025F1"/>
    <w:rsid w:val="00006AE2"/>
    <w:rsid w:val="00007261"/>
    <w:rsid w:val="000076A1"/>
    <w:rsid w:val="000078E0"/>
    <w:rsid w:val="0001134F"/>
    <w:rsid w:val="00012259"/>
    <w:rsid w:val="000131B5"/>
    <w:rsid w:val="0001402A"/>
    <w:rsid w:val="00021A70"/>
    <w:rsid w:val="0002357E"/>
    <w:rsid w:val="00023B78"/>
    <w:rsid w:val="00024697"/>
    <w:rsid w:val="00025383"/>
    <w:rsid w:val="00030FF1"/>
    <w:rsid w:val="000313A0"/>
    <w:rsid w:val="00031B7E"/>
    <w:rsid w:val="00033DC6"/>
    <w:rsid w:val="000357DA"/>
    <w:rsid w:val="00035ECB"/>
    <w:rsid w:val="00042175"/>
    <w:rsid w:val="00045D3D"/>
    <w:rsid w:val="00053B50"/>
    <w:rsid w:val="00055D3E"/>
    <w:rsid w:val="00056D36"/>
    <w:rsid w:val="000575A6"/>
    <w:rsid w:val="000577EC"/>
    <w:rsid w:val="00057B80"/>
    <w:rsid w:val="00060CB0"/>
    <w:rsid w:val="00063657"/>
    <w:rsid w:val="0006410B"/>
    <w:rsid w:val="00067F64"/>
    <w:rsid w:val="000706E3"/>
    <w:rsid w:val="00073DB5"/>
    <w:rsid w:val="000741B7"/>
    <w:rsid w:val="00076680"/>
    <w:rsid w:val="00076A1D"/>
    <w:rsid w:val="0008073E"/>
    <w:rsid w:val="00087C09"/>
    <w:rsid w:val="0009093A"/>
    <w:rsid w:val="00091CDB"/>
    <w:rsid w:val="000931F8"/>
    <w:rsid w:val="00094C28"/>
    <w:rsid w:val="00096FE2"/>
    <w:rsid w:val="00097331"/>
    <w:rsid w:val="000A0268"/>
    <w:rsid w:val="000A0B7F"/>
    <w:rsid w:val="000A19AC"/>
    <w:rsid w:val="000A5DC5"/>
    <w:rsid w:val="000B0FF1"/>
    <w:rsid w:val="000B2EC9"/>
    <w:rsid w:val="000B3D44"/>
    <w:rsid w:val="000B4486"/>
    <w:rsid w:val="000B4F8A"/>
    <w:rsid w:val="000B6074"/>
    <w:rsid w:val="000C1CA5"/>
    <w:rsid w:val="000C7FE5"/>
    <w:rsid w:val="000D0827"/>
    <w:rsid w:val="000D26F8"/>
    <w:rsid w:val="000D3F4B"/>
    <w:rsid w:val="000D7755"/>
    <w:rsid w:val="000D7CEC"/>
    <w:rsid w:val="000D7E5E"/>
    <w:rsid w:val="000E4151"/>
    <w:rsid w:val="000E52BB"/>
    <w:rsid w:val="000F0C8A"/>
    <w:rsid w:val="000F3D98"/>
    <w:rsid w:val="000F477F"/>
    <w:rsid w:val="000F487C"/>
    <w:rsid w:val="00100514"/>
    <w:rsid w:val="0010144E"/>
    <w:rsid w:val="00106C3C"/>
    <w:rsid w:val="0011058F"/>
    <w:rsid w:val="00112A91"/>
    <w:rsid w:val="00124625"/>
    <w:rsid w:val="00125C5D"/>
    <w:rsid w:val="001317DA"/>
    <w:rsid w:val="0013526C"/>
    <w:rsid w:val="001405C6"/>
    <w:rsid w:val="00141013"/>
    <w:rsid w:val="0014618C"/>
    <w:rsid w:val="00151D7D"/>
    <w:rsid w:val="00152AB8"/>
    <w:rsid w:val="00154529"/>
    <w:rsid w:val="00161866"/>
    <w:rsid w:val="00162E66"/>
    <w:rsid w:val="001640E6"/>
    <w:rsid w:val="00164BCE"/>
    <w:rsid w:val="0016549D"/>
    <w:rsid w:val="00174A24"/>
    <w:rsid w:val="00182A27"/>
    <w:rsid w:val="00185A78"/>
    <w:rsid w:val="001866F9"/>
    <w:rsid w:val="001867DA"/>
    <w:rsid w:val="00191AD7"/>
    <w:rsid w:val="00192CBF"/>
    <w:rsid w:val="00192FF1"/>
    <w:rsid w:val="00195EB8"/>
    <w:rsid w:val="001A5671"/>
    <w:rsid w:val="001A5F1B"/>
    <w:rsid w:val="001B1433"/>
    <w:rsid w:val="001B1C22"/>
    <w:rsid w:val="001B1D58"/>
    <w:rsid w:val="001B34C6"/>
    <w:rsid w:val="001B42E3"/>
    <w:rsid w:val="001B53A4"/>
    <w:rsid w:val="001B5904"/>
    <w:rsid w:val="001B7105"/>
    <w:rsid w:val="001C1F60"/>
    <w:rsid w:val="001C6406"/>
    <w:rsid w:val="001C6D96"/>
    <w:rsid w:val="001C7514"/>
    <w:rsid w:val="001D097B"/>
    <w:rsid w:val="001D0A0E"/>
    <w:rsid w:val="001D7832"/>
    <w:rsid w:val="001E05E9"/>
    <w:rsid w:val="001E2518"/>
    <w:rsid w:val="001E53FD"/>
    <w:rsid w:val="001E5C5F"/>
    <w:rsid w:val="001E6BF8"/>
    <w:rsid w:val="001E7781"/>
    <w:rsid w:val="001F1BA7"/>
    <w:rsid w:val="001F5192"/>
    <w:rsid w:val="001F59DC"/>
    <w:rsid w:val="001F6B5F"/>
    <w:rsid w:val="00202498"/>
    <w:rsid w:val="00203559"/>
    <w:rsid w:val="002043B4"/>
    <w:rsid w:val="00205DDC"/>
    <w:rsid w:val="00205EC3"/>
    <w:rsid w:val="002064D8"/>
    <w:rsid w:val="00207B62"/>
    <w:rsid w:val="00210DC1"/>
    <w:rsid w:val="00211D34"/>
    <w:rsid w:val="00213721"/>
    <w:rsid w:val="00214F04"/>
    <w:rsid w:val="00217898"/>
    <w:rsid w:val="002202E5"/>
    <w:rsid w:val="00220366"/>
    <w:rsid w:val="0022170F"/>
    <w:rsid w:val="00226BE9"/>
    <w:rsid w:val="002301FE"/>
    <w:rsid w:val="0023044C"/>
    <w:rsid w:val="00230FBA"/>
    <w:rsid w:val="0023174B"/>
    <w:rsid w:val="00231BFA"/>
    <w:rsid w:val="00240E51"/>
    <w:rsid w:val="0024138E"/>
    <w:rsid w:val="00244E04"/>
    <w:rsid w:val="00251033"/>
    <w:rsid w:val="002556A6"/>
    <w:rsid w:val="00262413"/>
    <w:rsid w:val="00264F30"/>
    <w:rsid w:val="00266CD6"/>
    <w:rsid w:val="00272F3D"/>
    <w:rsid w:val="00275DAB"/>
    <w:rsid w:val="00283C59"/>
    <w:rsid w:val="002941B7"/>
    <w:rsid w:val="00294482"/>
    <w:rsid w:val="00294FFC"/>
    <w:rsid w:val="002A22B6"/>
    <w:rsid w:val="002A2AB3"/>
    <w:rsid w:val="002A326B"/>
    <w:rsid w:val="002A3CD9"/>
    <w:rsid w:val="002A622C"/>
    <w:rsid w:val="002A6428"/>
    <w:rsid w:val="002A782A"/>
    <w:rsid w:val="002A7E68"/>
    <w:rsid w:val="002B11E2"/>
    <w:rsid w:val="002B24B8"/>
    <w:rsid w:val="002B5912"/>
    <w:rsid w:val="002C0354"/>
    <w:rsid w:val="002C30E0"/>
    <w:rsid w:val="002C31A9"/>
    <w:rsid w:val="002C6239"/>
    <w:rsid w:val="002D3A8E"/>
    <w:rsid w:val="002D3AE9"/>
    <w:rsid w:val="002D4510"/>
    <w:rsid w:val="002D6BD5"/>
    <w:rsid w:val="002D723C"/>
    <w:rsid w:val="002E0C73"/>
    <w:rsid w:val="002E5A6A"/>
    <w:rsid w:val="002F0734"/>
    <w:rsid w:val="002F1D14"/>
    <w:rsid w:val="002F46E7"/>
    <w:rsid w:val="002F471C"/>
    <w:rsid w:val="002F6CF1"/>
    <w:rsid w:val="00301E31"/>
    <w:rsid w:val="00302176"/>
    <w:rsid w:val="003057F3"/>
    <w:rsid w:val="00306523"/>
    <w:rsid w:val="00306F0E"/>
    <w:rsid w:val="003101DA"/>
    <w:rsid w:val="00314757"/>
    <w:rsid w:val="00314837"/>
    <w:rsid w:val="003163BC"/>
    <w:rsid w:val="00317E66"/>
    <w:rsid w:val="003211CE"/>
    <w:rsid w:val="00321659"/>
    <w:rsid w:val="00324F63"/>
    <w:rsid w:val="00327845"/>
    <w:rsid w:val="0032789E"/>
    <w:rsid w:val="00327CF8"/>
    <w:rsid w:val="00330A28"/>
    <w:rsid w:val="00331C7F"/>
    <w:rsid w:val="0034073A"/>
    <w:rsid w:val="00344373"/>
    <w:rsid w:val="00345679"/>
    <w:rsid w:val="00351057"/>
    <w:rsid w:val="0035403A"/>
    <w:rsid w:val="00355580"/>
    <w:rsid w:val="0036394B"/>
    <w:rsid w:val="003642AC"/>
    <w:rsid w:val="00366894"/>
    <w:rsid w:val="00366DB6"/>
    <w:rsid w:val="0036749E"/>
    <w:rsid w:val="003709B5"/>
    <w:rsid w:val="00371162"/>
    <w:rsid w:val="00371889"/>
    <w:rsid w:val="003759C2"/>
    <w:rsid w:val="00381E22"/>
    <w:rsid w:val="00383BD9"/>
    <w:rsid w:val="00391C94"/>
    <w:rsid w:val="0039319D"/>
    <w:rsid w:val="00397365"/>
    <w:rsid w:val="003973BB"/>
    <w:rsid w:val="003A250F"/>
    <w:rsid w:val="003A31F6"/>
    <w:rsid w:val="003B3C29"/>
    <w:rsid w:val="003B6640"/>
    <w:rsid w:val="003B752B"/>
    <w:rsid w:val="003C3447"/>
    <w:rsid w:val="003C389E"/>
    <w:rsid w:val="003C3E73"/>
    <w:rsid w:val="003C4403"/>
    <w:rsid w:val="003C4C80"/>
    <w:rsid w:val="003C5D92"/>
    <w:rsid w:val="003C5E10"/>
    <w:rsid w:val="003C7D23"/>
    <w:rsid w:val="003D0673"/>
    <w:rsid w:val="003D076C"/>
    <w:rsid w:val="003D2014"/>
    <w:rsid w:val="003D3E22"/>
    <w:rsid w:val="003D4C53"/>
    <w:rsid w:val="003D709F"/>
    <w:rsid w:val="003E3079"/>
    <w:rsid w:val="003E439A"/>
    <w:rsid w:val="003E4E07"/>
    <w:rsid w:val="003E78B5"/>
    <w:rsid w:val="003F055B"/>
    <w:rsid w:val="003F6F00"/>
    <w:rsid w:val="003F786C"/>
    <w:rsid w:val="0040059C"/>
    <w:rsid w:val="00401668"/>
    <w:rsid w:val="00405267"/>
    <w:rsid w:val="004126E8"/>
    <w:rsid w:val="0041270A"/>
    <w:rsid w:val="00412BC0"/>
    <w:rsid w:val="004140B9"/>
    <w:rsid w:val="0041473D"/>
    <w:rsid w:val="00415BAB"/>
    <w:rsid w:val="00415ED2"/>
    <w:rsid w:val="0042068C"/>
    <w:rsid w:val="00422314"/>
    <w:rsid w:val="00423B5E"/>
    <w:rsid w:val="00424BF4"/>
    <w:rsid w:val="00425617"/>
    <w:rsid w:val="00433002"/>
    <w:rsid w:val="00433CCA"/>
    <w:rsid w:val="00441102"/>
    <w:rsid w:val="004412D3"/>
    <w:rsid w:val="004430BB"/>
    <w:rsid w:val="0044318E"/>
    <w:rsid w:val="00443B35"/>
    <w:rsid w:val="00445369"/>
    <w:rsid w:val="00447509"/>
    <w:rsid w:val="00452AA0"/>
    <w:rsid w:val="004642CC"/>
    <w:rsid w:val="00471070"/>
    <w:rsid w:val="0047122B"/>
    <w:rsid w:val="00473B7A"/>
    <w:rsid w:val="004756AE"/>
    <w:rsid w:val="00477D5A"/>
    <w:rsid w:val="00491D93"/>
    <w:rsid w:val="00495466"/>
    <w:rsid w:val="00495D61"/>
    <w:rsid w:val="004960E9"/>
    <w:rsid w:val="004968BF"/>
    <w:rsid w:val="00497047"/>
    <w:rsid w:val="004A2E88"/>
    <w:rsid w:val="004A5305"/>
    <w:rsid w:val="004A7930"/>
    <w:rsid w:val="004A7ABA"/>
    <w:rsid w:val="004B082F"/>
    <w:rsid w:val="004B1081"/>
    <w:rsid w:val="004B2A6F"/>
    <w:rsid w:val="004B4BEE"/>
    <w:rsid w:val="004B517C"/>
    <w:rsid w:val="004B67F7"/>
    <w:rsid w:val="004C1248"/>
    <w:rsid w:val="004C1DE8"/>
    <w:rsid w:val="004C33BE"/>
    <w:rsid w:val="004C3483"/>
    <w:rsid w:val="004C3733"/>
    <w:rsid w:val="004D0342"/>
    <w:rsid w:val="004D0711"/>
    <w:rsid w:val="004D759F"/>
    <w:rsid w:val="004D7634"/>
    <w:rsid w:val="004D7AAC"/>
    <w:rsid w:val="004E22D9"/>
    <w:rsid w:val="004E2386"/>
    <w:rsid w:val="004E361F"/>
    <w:rsid w:val="004E4630"/>
    <w:rsid w:val="004E5334"/>
    <w:rsid w:val="004E611A"/>
    <w:rsid w:val="004F1673"/>
    <w:rsid w:val="004F3640"/>
    <w:rsid w:val="004F39AF"/>
    <w:rsid w:val="004F64C3"/>
    <w:rsid w:val="00500330"/>
    <w:rsid w:val="00501DA3"/>
    <w:rsid w:val="005029F7"/>
    <w:rsid w:val="00502BA6"/>
    <w:rsid w:val="00504ADC"/>
    <w:rsid w:val="00506327"/>
    <w:rsid w:val="00507134"/>
    <w:rsid w:val="00511C52"/>
    <w:rsid w:val="00513674"/>
    <w:rsid w:val="0051695A"/>
    <w:rsid w:val="00517D94"/>
    <w:rsid w:val="00522C8E"/>
    <w:rsid w:val="00523BC4"/>
    <w:rsid w:val="00524932"/>
    <w:rsid w:val="00524F2E"/>
    <w:rsid w:val="00525579"/>
    <w:rsid w:val="005300D3"/>
    <w:rsid w:val="00535967"/>
    <w:rsid w:val="005369A9"/>
    <w:rsid w:val="00537E6C"/>
    <w:rsid w:val="00541254"/>
    <w:rsid w:val="00541B3A"/>
    <w:rsid w:val="00543CB7"/>
    <w:rsid w:val="00544F82"/>
    <w:rsid w:val="00546A11"/>
    <w:rsid w:val="005509D2"/>
    <w:rsid w:val="0055152C"/>
    <w:rsid w:val="00551CA0"/>
    <w:rsid w:val="005576BC"/>
    <w:rsid w:val="00557744"/>
    <w:rsid w:val="005701E8"/>
    <w:rsid w:val="00577A2E"/>
    <w:rsid w:val="00580016"/>
    <w:rsid w:val="00580106"/>
    <w:rsid w:val="00582F38"/>
    <w:rsid w:val="00586025"/>
    <w:rsid w:val="005920DF"/>
    <w:rsid w:val="00593190"/>
    <w:rsid w:val="00593C4F"/>
    <w:rsid w:val="005946A8"/>
    <w:rsid w:val="005A25C9"/>
    <w:rsid w:val="005A2B4D"/>
    <w:rsid w:val="005A3BDF"/>
    <w:rsid w:val="005A4407"/>
    <w:rsid w:val="005A4ED1"/>
    <w:rsid w:val="005A59EF"/>
    <w:rsid w:val="005A7814"/>
    <w:rsid w:val="005A7FBC"/>
    <w:rsid w:val="005B1C7E"/>
    <w:rsid w:val="005C30E8"/>
    <w:rsid w:val="005C3F2A"/>
    <w:rsid w:val="005C5B63"/>
    <w:rsid w:val="005C680B"/>
    <w:rsid w:val="005C6976"/>
    <w:rsid w:val="005C6EAC"/>
    <w:rsid w:val="005D0ADA"/>
    <w:rsid w:val="005E17F4"/>
    <w:rsid w:val="005E2A46"/>
    <w:rsid w:val="005F3D59"/>
    <w:rsid w:val="005F6121"/>
    <w:rsid w:val="005F6F41"/>
    <w:rsid w:val="00605029"/>
    <w:rsid w:val="006062AF"/>
    <w:rsid w:val="00607275"/>
    <w:rsid w:val="00607296"/>
    <w:rsid w:val="00611A0B"/>
    <w:rsid w:val="006141A4"/>
    <w:rsid w:val="00614D01"/>
    <w:rsid w:val="00625DC6"/>
    <w:rsid w:val="00633E7A"/>
    <w:rsid w:val="00636B5E"/>
    <w:rsid w:val="00640382"/>
    <w:rsid w:val="00640E2F"/>
    <w:rsid w:val="00642AFB"/>
    <w:rsid w:val="0064391D"/>
    <w:rsid w:val="00651821"/>
    <w:rsid w:val="00654384"/>
    <w:rsid w:val="00656B47"/>
    <w:rsid w:val="00661E64"/>
    <w:rsid w:val="0066441D"/>
    <w:rsid w:val="0066698F"/>
    <w:rsid w:val="006675CD"/>
    <w:rsid w:val="0066789E"/>
    <w:rsid w:val="0067206E"/>
    <w:rsid w:val="00675009"/>
    <w:rsid w:val="00676709"/>
    <w:rsid w:val="00680722"/>
    <w:rsid w:val="00682947"/>
    <w:rsid w:val="00684D9B"/>
    <w:rsid w:val="0068510A"/>
    <w:rsid w:val="0068746B"/>
    <w:rsid w:val="00687E9A"/>
    <w:rsid w:val="00690AC9"/>
    <w:rsid w:val="006940C6"/>
    <w:rsid w:val="00694D7C"/>
    <w:rsid w:val="00695449"/>
    <w:rsid w:val="00696155"/>
    <w:rsid w:val="00696608"/>
    <w:rsid w:val="00697556"/>
    <w:rsid w:val="0069756D"/>
    <w:rsid w:val="006978D7"/>
    <w:rsid w:val="006A57CA"/>
    <w:rsid w:val="006A629B"/>
    <w:rsid w:val="006B4647"/>
    <w:rsid w:val="006B4C2B"/>
    <w:rsid w:val="006B50AF"/>
    <w:rsid w:val="006B5F53"/>
    <w:rsid w:val="006B6194"/>
    <w:rsid w:val="006B6D47"/>
    <w:rsid w:val="006C145F"/>
    <w:rsid w:val="006C1EDD"/>
    <w:rsid w:val="006C3783"/>
    <w:rsid w:val="006C5AFE"/>
    <w:rsid w:val="006C6C91"/>
    <w:rsid w:val="006C76B0"/>
    <w:rsid w:val="006D33A1"/>
    <w:rsid w:val="006D3475"/>
    <w:rsid w:val="006E1564"/>
    <w:rsid w:val="006E1AE9"/>
    <w:rsid w:val="006E320F"/>
    <w:rsid w:val="006E32F1"/>
    <w:rsid w:val="006E4859"/>
    <w:rsid w:val="006E6274"/>
    <w:rsid w:val="006F05C5"/>
    <w:rsid w:val="006F22B5"/>
    <w:rsid w:val="006F6D95"/>
    <w:rsid w:val="0070362C"/>
    <w:rsid w:val="00704093"/>
    <w:rsid w:val="0070527B"/>
    <w:rsid w:val="00706F13"/>
    <w:rsid w:val="007072E8"/>
    <w:rsid w:val="0071210F"/>
    <w:rsid w:val="007124F3"/>
    <w:rsid w:val="00713D6C"/>
    <w:rsid w:val="007142E0"/>
    <w:rsid w:val="0071618D"/>
    <w:rsid w:val="00725FA4"/>
    <w:rsid w:val="007343EA"/>
    <w:rsid w:val="0073555D"/>
    <w:rsid w:val="0073712A"/>
    <w:rsid w:val="00737EE1"/>
    <w:rsid w:val="00737F10"/>
    <w:rsid w:val="00740446"/>
    <w:rsid w:val="00741AC1"/>
    <w:rsid w:val="00742503"/>
    <w:rsid w:val="00742B65"/>
    <w:rsid w:val="007438A9"/>
    <w:rsid w:val="0074491E"/>
    <w:rsid w:val="00747121"/>
    <w:rsid w:val="00750E4E"/>
    <w:rsid w:val="00757AB1"/>
    <w:rsid w:val="0076247A"/>
    <w:rsid w:val="00765AF4"/>
    <w:rsid w:val="0076768F"/>
    <w:rsid w:val="00767E19"/>
    <w:rsid w:val="00771817"/>
    <w:rsid w:val="00775964"/>
    <w:rsid w:val="007765FE"/>
    <w:rsid w:val="00776DAD"/>
    <w:rsid w:val="00777516"/>
    <w:rsid w:val="00785DCD"/>
    <w:rsid w:val="00792978"/>
    <w:rsid w:val="00794E2E"/>
    <w:rsid w:val="00795BFB"/>
    <w:rsid w:val="0079603D"/>
    <w:rsid w:val="00796321"/>
    <w:rsid w:val="007A009C"/>
    <w:rsid w:val="007B2756"/>
    <w:rsid w:val="007B2760"/>
    <w:rsid w:val="007B5922"/>
    <w:rsid w:val="007B616A"/>
    <w:rsid w:val="007C1157"/>
    <w:rsid w:val="007C5EE2"/>
    <w:rsid w:val="007C652E"/>
    <w:rsid w:val="007C6982"/>
    <w:rsid w:val="007D0057"/>
    <w:rsid w:val="007E1530"/>
    <w:rsid w:val="007E1F12"/>
    <w:rsid w:val="007E5749"/>
    <w:rsid w:val="007E60EC"/>
    <w:rsid w:val="007F0A17"/>
    <w:rsid w:val="007F7175"/>
    <w:rsid w:val="00800CC4"/>
    <w:rsid w:val="0080102B"/>
    <w:rsid w:val="00801BF8"/>
    <w:rsid w:val="00805E3F"/>
    <w:rsid w:val="008066F0"/>
    <w:rsid w:val="00806C01"/>
    <w:rsid w:val="00812DCC"/>
    <w:rsid w:val="008148CC"/>
    <w:rsid w:val="0081575C"/>
    <w:rsid w:val="008201B4"/>
    <w:rsid w:val="00820DD5"/>
    <w:rsid w:val="008211A4"/>
    <w:rsid w:val="00822D8E"/>
    <w:rsid w:val="008277AE"/>
    <w:rsid w:val="00833E79"/>
    <w:rsid w:val="00834DC9"/>
    <w:rsid w:val="00840AD5"/>
    <w:rsid w:val="00840F2C"/>
    <w:rsid w:val="00845EFB"/>
    <w:rsid w:val="0084624D"/>
    <w:rsid w:val="00854351"/>
    <w:rsid w:val="00855F3F"/>
    <w:rsid w:val="00861186"/>
    <w:rsid w:val="00872A77"/>
    <w:rsid w:val="00873150"/>
    <w:rsid w:val="00875920"/>
    <w:rsid w:val="0087657D"/>
    <w:rsid w:val="00876CA9"/>
    <w:rsid w:val="00877975"/>
    <w:rsid w:val="008807D5"/>
    <w:rsid w:val="00880832"/>
    <w:rsid w:val="0088328A"/>
    <w:rsid w:val="00883AFD"/>
    <w:rsid w:val="00886EE1"/>
    <w:rsid w:val="0088727D"/>
    <w:rsid w:val="008925C9"/>
    <w:rsid w:val="008954C9"/>
    <w:rsid w:val="00897C75"/>
    <w:rsid w:val="008A645A"/>
    <w:rsid w:val="008A64E3"/>
    <w:rsid w:val="008A6CC8"/>
    <w:rsid w:val="008B00E6"/>
    <w:rsid w:val="008B194E"/>
    <w:rsid w:val="008B3C90"/>
    <w:rsid w:val="008B573C"/>
    <w:rsid w:val="008C0345"/>
    <w:rsid w:val="008C1130"/>
    <w:rsid w:val="008C2C5A"/>
    <w:rsid w:val="008C33D8"/>
    <w:rsid w:val="008C56A2"/>
    <w:rsid w:val="008D0E4E"/>
    <w:rsid w:val="008D10B7"/>
    <w:rsid w:val="008D18E6"/>
    <w:rsid w:val="008D2D17"/>
    <w:rsid w:val="008D2FF2"/>
    <w:rsid w:val="008D502B"/>
    <w:rsid w:val="008D7A9B"/>
    <w:rsid w:val="008E0060"/>
    <w:rsid w:val="008E3EFF"/>
    <w:rsid w:val="008E7091"/>
    <w:rsid w:val="008E76AC"/>
    <w:rsid w:val="008F21F6"/>
    <w:rsid w:val="008F2B56"/>
    <w:rsid w:val="008F6FC7"/>
    <w:rsid w:val="0090238B"/>
    <w:rsid w:val="00902CFA"/>
    <w:rsid w:val="00904856"/>
    <w:rsid w:val="00905646"/>
    <w:rsid w:val="00905CA9"/>
    <w:rsid w:val="00905CFA"/>
    <w:rsid w:val="00906440"/>
    <w:rsid w:val="009064A4"/>
    <w:rsid w:val="00910476"/>
    <w:rsid w:val="00910DEB"/>
    <w:rsid w:val="00913ADF"/>
    <w:rsid w:val="00913DC8"/>
    <w:rsid w:val="00917E2D"/>
    <w:rsid w:val="00922962"/>
    <w:rsid w:val="0092528D"/>
    <w:rsid w:val="00927FD7"/>
    <w:rsid w:val="00927FE2"/>
    <w:rsid w:val="00935660"/>
    <w:rsid w:val="00943E59"/>
    <w:rsid w:val="00946544"/>
    <w:rsid w:val="00946A97"/>
    <w:rsid w:val="009503E6"/>
    <w:rsid w:val="0095126F"/>
    <w:rsid w:val="00951F79"/>
    <w:rsid w:val="00952614"/>
    <w:rsid w:val="009625F2"/>
    <w:rsid w:val="00963DA8"/>
    <w:rsid w:val="00964F16"/>
    <w:rsid w:val="00974AB5"/>
    <w:rsid w:val="00975314"/>
    <w:rsid w:val="0097632B"/>
    <w:rsid w:val="009763E9"/>
    <w:rsid w:val="00980FED"/>
    <w:rsid w:val="00981C84"/>
    <w:rsid w:val="00982465"/>
    <w:rsid w:val="009841D5"/>
    <w:rsid w:val="0098706D"/>
    <w:rsid w:val="009906D7"/>
    <w:rsid w:val="00992A19"/>
    <w:rsid w:val="009935FB"/>
    <w:rsid w:val="0099453E"/>
    <w:rsid w:val="00995A1B"/>
    <w:rsid w:val="009A2368"/>
    <w:rsid w:val="009A7B7F"/>
    <w:rsid w:val="009B09AF"/>
    <w:rsid w:val="009B0EE3"/>
    <w:rsid w:val="009B27A6"/>
    <w:rsid w:val="009B6691"/>
    <w:rsid w:val="009C3BEE"/>
    <w:rsid w:val="009C6A3D"/>
    <w:rsid w:val="009C7DB3"/>
    <w:rsid w:val="009D1BB1"/>
    <w:rsid w:val="009D2BC7"/>
    <w:rsid w:val="009D5264"/>
    <w:rsid w:val="009E7022"/>
    <w:rsid w:val="009F0C99"/>
    <w:rsid w:val="009F1672"/>
    <w:rsid w:val="009F2FD4"/>
    <w:rsid w:val="009F4A54"/>
    <w:rsid w:val="009F4BEC"/>
    <w:rsid w:val="009F5874"/>
    <w:rsid w:val="009F6F54"/>
    <w:rsid w:val="00A00382"/>
    <w:rsid w:val="00A11A7A"/>
    <w:rsid w:val="00A165DC"/>
    <w:rsid w:val="00A21E85"/>
    <w:rsid w:val="00A22954"/>
    <w:rsid w:val="00A25FD7"/>
    <w:rsid w:val="00A26CC4"/>
    <w:rsid w:val="00A278E9"/>
    <w:rsid w:val="00A310EC"/>
    <w:rsid w:val="00A3453E"/>
    <w:rsid w:val="00A41EF9"/>
    <w:rsid w:val="00A43AFF"/>
    <w:rsid w:val="00A43CA4"/>
    <w:rsid w:val="00A44B63"/>
    <w:rsid w:val="00A46AC7"/>
    <w:rsid w:val="00A60C08"/>
    <w:rsid w:val="00A755E7"/>
    <w:rsid w:val="00A75B79"/>
    <w:rsid w:val="00A7793A"/>
    <w:rsid w:val="00A918E9"/>
    <w:rsid w:val="00A923AA"/>
    <w:rsid w:val="00A93BB1"/>
    <w:rsid w:val="00AA34DE"/>
    <w:rsid w:val="00AA4CC7"/>
    <w:rsid w:val="00AA5E8E"/>
    <w:rsid w:val="00AA63BE"/>
    <w:rsid w:val="00AB202B"/>
    <w:rsid w:val="00AB2C5F"/>
    <w:rsid w:val="00AB6CA7"/>
    <w:rsid w:val="00AC1A6B"/>
    <w:rsid w:val="00AC3213"/>
    <w:rsid w:val="00AC5421"/>
    <w:rsid w:val="00AD01E4"/>
    <w:rsid w:val="00AD0858"/>
    <w:rsid w:val="00AD0BD2"/>
    <w:rsid w:val="00AD2C46"/>
    <w:rsid w:val="00AD4B14"/>
    <w:rsid w:val="00AE1881"/>
    <w:rsid w:val="00AE2BC9"/>
    <w:rsid w:val="00AE7340"/>
    <w:rsid w:val="00AF0BCC"/>
    <w:rsid w:val="00AF12EA"/>
    <w:rsid w:val="00AF1BBD"/>
    <w:rsid w:val="00AF221E"/>
    <w:rsid w:val="00AF2491"/>
    <w:rsid w:val="00AF2EDE"/>
    <w:rsid w:val="00AF4880"/>
    <w:rsid w:val="00B004BE"/>
    <w:rsid w:val="00B01240"/>
    <w:rsid w:val="00B01CD6"/>
    <w:rsid w:val="00B10207"/>
    <w:rsid w:val="00B116AE"/>
    <w:rsid w:val="00B1360B"/>
    <w:rsid w:val="00B141E7"/>
    <w:rsid w:val="00B1534C"/>
    <w:rsid w:val="00B153A4"/>
    <w:rsid w:val="00B15D06"/>
    <w:rsid w:val="00B179B2"/>
    <w:rsid w:val="00B26CA0"/>
    <w:rsid w:val="00B311C3"/>
    <w:rsid w:val="00B351B4"/>
    <w:rsid w:val="00B353B4"/>
    <w:rsid w:val="00B37993"/>
    <w:rsid w:val="00B40971"/>
    <w:rsid w:val="00B447E5"/>
    <w:rsid w:val="00B468CA"/>
    <w:rsid w:val="00B46BCA"/>
    <w:rsid w:val="00B478AA"/>
    <w:rsid w:val="00B53A10"/>
    <w:rsid w:val="00B634EA"/>
    <w:rsid w:val="00B642EA"/>
    <w:rsid w:val="00B65873"/>
    <w:rsid w:val="00B65E78"/>
    <w:rsid w:val="00B66EBC"/>
    <w:rsid w:val="00B70245"/>
    <w:rsid w:val="00B70679"/>
    <w:rsid w:val="00B70AB3"/>
    <w:rsid w:val="00B71BE8"/>
    <w:rsid w:val="00B75E93"/>
    <w:rsid w:val="00B7644C"/>
    <w:rsid w:val="00B77653"/>
    <w:rsid w:val="00B8290B"/>
    <w:rsid w:val="00B82BAB"/>
    <w:rsid w:val="00B84305"/>
    <w:rsid w:val="00B84776"/>
    <w:rsid w:val="00B87806"/>
    <w:rsid w:val="00B87EC9"/>
    <w:rsid w:val="00B91B77"/>
    <w:rsid w:val="00BA1DB7"/>
    <w:rsid w:val="00BA25F6"/>
    <w:rsid w:val="00BA2F9D"/>
    <w:rsid w:val="00BA3CCB"/>
    <w:rsid w:val="00BA7C4B"/>
    <w:rsid w:val="00BB02A5"/>
    <w:rsid w:val="00BB08A8"/>
    <w:rsid w:val="00BB0A82"/>
    <w:rsid w:val="00BB1822"/>
    <w:rsid w:val="00BB6211"/>
    <w:rsid w:val="00BC38FD"/>
    <w:rsid w:val="00BC4506"/>
    <w:rsid w:val="00BC4C75"/>
    <w:rsid w:val="00BC5C7E"/>
    <w:rsid w:val="00BC7A94"/>
    <w:rsid w:val="00BC7E5B"/>
    <w:rsid w:val="00BE4720"/>
    <w:rsid w:val="00BF316D"/>
    <w:rsid w:val="00BF5B71"/>
    <w:rsid w:val="00C01E61"/>
    <w:rsid w:val="00C034CB"/>
    <w:rsid w:val="00C050A4"/>
    <w:rsid w:val="00C051A8"/>
    <w:rsid w:val="00C054BC"/>
    <w:rsid w:val="00C0581F"/>
    <w:rsid w:val="00C100E9"/>
    <w:rsid w:val="00C10BF5"/>
    <w:rsid w:val="00C14A4F"/>
    <w:rsid w:val="00C165F2"/>
    <w:rsid w:val="00C1677E"/>
    <w:rsid w:val="00C16EF4"/>
    <w:rsid w:val="00C17897"/>
    <w:rsid w:val="00C2797E"/>
    <w:rsid w:val="00C409D5"/>
    <w:rsid w:val="00C4282F"/>
    <w:rsid w:val="00C429E2"/>
    <w:rsid w:val="00C435C3"/>
    <w:rsid w:val="00C45836"/>
    <w:rsid w:val="00C462FD"/>
    <w:rsid w:val="00C502C0"/>
    <w:rsid w:val="00C5095A"/>
    <w:rsid w:val="00C51B82"/>
    <w:rsid w:val="00C527FD"/>
    <w:rsid w:val="00C54A65"/>
    <w:rsid w:val="00C6234B"/>
    <w:rsid w:val="00C63BBF"/>
    <w:rsid w:val="00C63EAE"/>
    <w:rsid w:val="00C73260"/>
    <w:rsid w:val="00C7629F"/>
    <w:rsid w:val="00C8049D"/>
    <w:rsid w:val="00C81C75"/>
    <w:rsid w:val="00C8661B"/>
    <w:rsid w:val="00C87143"/>
    <w:rsid w:val="00C9105E"/>
    <w:rsid w:val="00C91212"/>
    <w:rsid w:val="00C91F76"/>
    <w:rsid w:val="00C9746F"/>
    <w:rsid w:val="00CA0786"/>
    <w:rsid w:val="00CA139A"/>
    <w:rsid w:val="00CA1FFC"/>
    <w:rsid w:val="00CA2899"/>
    <w:rsid w:val="00CA3A3D"/>
    <w:rsid w:val="00CA642F"/>
    <w:rsid w:val="00CA7617"/>
    <w:rsid w:val="00CA77FB"/>
    <w:rsid w:val="00CB16DA"/>
    <w:rsid w:val="00CB379B"/>
    <w:rsid w:val="00CB5DD0"/>
    <w:rsid w:val="00CB6598"/>
    <w:rsid w:val="00CC0D34"/>
    <w:rsid w:val="00CC16B6"/>
    <w:rsid w:val="00CC239F"/>
    <w:rsid w:val="00CC36C0"/>
    <w:rsid w:val="00CC4ED2"/>
    <w:rsid w:val="00CC51D4"/>
    <w:rsid w:val="00CC5F73"/>
    <w:rsid w:val="00CC65DA"/>
    <w:rsid w:val="00CC67F3"/>
    <w:rsid w:val="00CD2B14"/>
    <w:rsid w:val="00CD5E2B"/>
    <w:rsid w:val="00CD5F07"/>
    <w:rsid w:val="00CD713C"/>
    <w:rsid w:val="00CD7676"/>
    <w:rsid w:val="00CE00F2"/>
    <w:rsid w:val="00CE2A5F"/>
    <w:rsid w:val="00CE58B1"/>
    <w:rsid w:val="00CF0D18"/>
    <w:rsid w:val="00CF21B9"/>
    <w:rsid w:val="00CF39E4"/>
    <w:rsid w:val="00CF5F5B"/>
    <w:rsid w:val="00CF61A5"/>
    <w:rsid w:val="00CF6BF9"/>
    <w:rsid w:val="00D03800"/>
    <w:rsid w:val="00D065D3"/>
    <w:rsid w:val="00D14C94"/>
    <w:rsid w:val="00D22290"/>
    <w:rsid w:val="00D22776"/>
    <w:rsid w:val="00D23890"/>
    <w:rsid w:val="00D24EA0"/>
    <w:rsid w:val="00D275D7"/>
    <w:rsid w:val="00D3164A"/>
    <w:rsid w:val="00D318DC"/>
    <w:rsid w:val="00D321BF"/>
    <w:rsid w:val="00D32F58"/>
    <w:rsid w:val="00D33A43"/>
    <w:rsid w:val="00D342A6"/>
    <w:rsid w:val="00D3463A"/>
    <w:rsid w:val="00D35E58"/>
    <w:rsid w:val="00D365E8"/>
    <w:rsid w:val="00D36D1A"/>
    <w:rsid w:val="00D37032"/>
    <w:rsid w:val="00D40BEF"/>
    <w:rsid w:val="00D44A7B"/>
    <w:rsid w:val="00D45CA6"/>
    <w:rsid w:val="00D45DF6"/>
    <w:rsid w:val="00D464BF"/>
    <w:rsid w:val="00D4687D"/>
    <w:rsid w:val="00D53201"/>
    <w:rsid w:val="00D53E26"/>
    <w:rsid w:val="00D56709"/>
    <w:rsid w:val="00D60BE4"/>
    <w:rsid w:val="00D66E45"/>
    <w:rsid w:val="00D72F80"/>
    <w:rsid w:val="00D73248"/>
    <w:rsid w:val="00D73472"/>
    <w:rsid w:val="00D73BCE"/>
    <w:rsid w:val="00D80DDD"/>
    <w:rsid w:val="00D82A14"/>
    <w:rsid w:val="00D8712E"/>
    <w:rsid w:val="00D904DC"/>
    <w:rsid w:val="00D92A01"/>
    <w:rsid w:val="00D94E04"/>
    <w:rsid w:val="00D967A6"/>
    <w:rsid w:val="00DA3E0B"/>
    <w:rsid w:val="00DA3F77"/>
    <w:rsid w:val="00DA761E"/>
    <w:rsid w:val="00DB41CD"/>
    <w:rsid w:val="00DB44E6"/>
    <w:rsid w:val="00DB587A"/>
    <w:rsid w:val="00DC2DC9"/>
    <w:rsid w:val="00DC3D97"/>
    <w:rsid w:val="00DC4F83"/>
    <w:rsid w:val="00DC54DC"/>
    <w:rsid w:val="00DC5BAA"/>
    <w:rsid w:val="00DD11F8"/>
    <w:rsid w:val="00DD121C"/>
    <w:rsid w:val="00DD3A79"/>
    <w:rsid w:val="00DD4F0E"/>
    <w:rsid w:val="00DE37BD"/>
    <w:rsid w:val="00DE515A"/>
    <w:rsid w:val="00DE65E0"/>
    <w:rsid w:val="00DE7D5B"/>
    <w:rsid w:val="00DF0BF0"/>
    <w:rsid w:val="00DF3CA2"/>
    <w:rsid w:val="00DF3E56"/>
    <w:rsid w:val="00DF3EE6"/>
    <w:rsid w:val="00DF6D85"/>
    <w:rsid w:val="00DF6E9F"/>
    <w:rsid w:val="00E01463"/>
    <w:rsid w:val="00E0316A"/>
    <w:rsid w:val="00E03C38"/>
    <w:rsid w:val="00E05E0A"/>
    <w:rsid w:val="00E060BE"/>
    <w:rsid w:val="00E06AEF"/>
    <w:rsid w:val="00E10794"/>
    <w:rsid w:val="00E107AF"/>
    <w:rsid w:val="00E130FE"/>
    <w:rsid w:val="00E159AB"/>
    <w:rsid w:val="00E15B9C"/>
    <w:rsid w:val="00E23B97"/>
    <w:rsid w:val="00E26E1B"/>
    <w:rsid w:val="00E35C0C"/>
    <w:rsid w:val="00E35CFE"/>
    <w:rsid w:val="00E449B9"/>
    <w:rsid w:val="00E46432"/>
    <w:rsid w:val="00E46BB3"/>
    <w:rsid w:val="00E52189"/>
    <w:rsid w:val="00E52279"/>
    <w:rsid w:val="00E534CF"/>
    <w:rsid w:val="00E53D0C"/>
    <w:rsid w:val="00E56A73"/>
    <w:rsid w:val="00E60C09"/>
    <w:rsid w:val="00E61367"/>
    <w:rsid w:val="00E61576"/>
    <w:rsid w:val="00E63388"/>
    <w:rsid w:val="00E75ECF"/>
    <w:rsid w:val="00E76D75"/>
    <w:rsid w:val="00E81CB4"/>
    <w:rsid w:val="00E847BF"/>
    <w:rsid w:val="00E84B0C"/>
    <w:rsid w:val="00E8585B"/>
    <w:rsid w:val="00E85F95"/>
    <w:rsid w:val="00E86F6A"/>
    <w:rsid w:val="00E920F7"/>
    <w:rsid w:val="00E93137"/>
    <w:rsid w:val="00E943AE"/>
    <w:rsid w:val="00E95942"/>
    <w:rsid w:val="00E971C6"/>
    <w:rsid w:val="00E97940"/>
    <w:rsid w:val="00EA142B"/>
    <w:rsid w:val="00EA24A6"/>
    <w:rsid w:val="00EA3F15"/>
    <w:rsid w:val="00EA472E"/>
    <w:rsid w:val="00EA67AE"/>
    <w:rsid w:val="00EA7847"/>
    <w:rsid w:val="00EB1590"/>
    <w:rsid w:val="00EB4C2F"/>
    <w:rsid w:val="00EB72BA"/>
    <w:rsid w:val="00EC5AAB"/>
    <w:rsid w:val="00ED0E88"/>
    <w:rsid w:val="00ED631E"/>
    <w:rsid w:val="00EE1C58"/>
    <w:rsid w:val="00EE2E6E"/>
    <w:rsid w:val="00EE4346"/>
    <w:rsid w:val="00EE463E"/>
    <w:rsid w:val="00EE534C"/>
    <w:rsid w:val="00EF0AFF"/>
    <w:rsid w:val="00EF0F59"/>
    <w:rsid w:val="00F0055F"/>
    <w:rsid w:val="00F026F9"/>
    <w:rsid w:val="00F03DF9"/>
    <w:rsid w:val="00F061BE"/>
    <w:rsid w:val="00F0759E"/>
    <w:rsid w:val="00F13E8E"/>
    <w:rsid w:val="00F153FC"/>
    <w:rsid w:val="00F16A43"/>
    <w:rsid w:val="00F16BFC"/>
    <w:rsid w:val="00F16EC7"/>
    <w:rsid w:val="00F22ACC"/>
    <w:rsid w:val="00F27297"/>
    <w:rsid w:val="00F31B8B"/>
    <w:rsid w:val="00F33387"/>
    <w:rsid w:val="00F34756"/>
    <w:rsid w:val="00F4236B"/>
    <w:rsid w:val="00F430A1"/>
    <w:rsid w:val="00F44040"/>
    <w:rsid w:val="00F45114"/>
    <w:rsid w:val="00F45541"/>
    <w:rsid w:val="00F46780"/>
    <w:rsid w:val="00F505A9"/>
    <w:rsid w:val="00F52DA3"/>
    <w:rsid w:val="00F616A3"/>
    <w:rsid w:val="00F6430F"/>
    <w:rsid w:val="00F67D3A"/>
    <w:rsid w:val="00F71CDA"/>
    <w:rsid w:val="00F7694F"/>
    <w:rsid w:val="00F76A7C"/>
    <w:rsid w:val="00F77FDF"/>
    <w:rsid w:val="00F80FD4"/>
    <w:rsid w:val="00F821A3"/>
    <w:rsid w:val="00F83667"/>
    <w:rsid w:val="00F83B9D"/>
    <w:rsid w:val="00F90E62"/>
    <w:rsid w:val="00F9314A"/>
    <w:rsid w:val="00F93D24"/>
    <w:rsid w:val="00F940B2"/>
    <w:rsid w:val="00F94704"/>
    <w:rsid w:val="00F9478C"/>
    <w:rsid w:val="00FA0E30"/>
    <w:rsid w:val="00FA1BB9"/>
    <w:rsid w:val="00FA1C49"/>
    <w:rsid w:val="00FA211C"/>
    <w:rsid w:val="00FA28B4"/>
    <w:rsid w:val="00FA2B45"/>
    <w:rsid w:val="00FA4E1D"/>
    <w:rsid w:val="00FB4010"/>
    <w:rsid w:val="00FC4907"/>
    <w:rsid w:val="00FC58EF"/>
    <w:rsid w:val="00FC7584"/>
    <w:rsid w:val="00FD2694"/>
    <w:rsid w:val="00FD2EE5"/>
    <w:rsid w:val="00FD33DF"/>
    <w:rsid w:val="00FD6D4D"/>
    <w:rsid w:val="00FE1B4B"/>
    <w:rsid w:val="00FE39D7"/>
    <w:rsid w:val="00FE4607"/>
    <w:rsid w:val="00FF3D49"/>
    <w:rsid w:val="00FF5D55"/>
    <w:rsid w:val="00FF6A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Lista">
    <w:name w:val="List"/>
    <w:basedOn w:val="Textoindependiente"/>
    <w:semiHidden/>
    <w:rsid w:val="00F76A7C"/>
    <w:pPr>
      <w:suppressAutoHyphens/>
      <w:spacing w:after="120"/>
      <w:ind w:left="0"/>
      <w:jc w:val="both"/>
    </w:pPr>
    <w:rPr>
      <w:rFonts w:cs="Tahoma"/>
      <w:b w:val="0"/>
      <w:bCs w:val="0"/>
      <w:sz w:val="22"/>
      <w:lang w:eastAsia="ar-SA"/>
    </w:rPr>
  </w:style>
  <w:style w:type="paragraph" w:styleId="Sangra3detindependiente">
    <w:name w:val="Body Text Indent 3"/>
    <w:basedOn w:val="Normal"/>
    <w:link w:val="Sangra3detindependienteCar"/>
    <w:uiPriority w:val="99"/>
    <w:semiHidden/>
    <w:unhideWhenUsed/>
    <w:rsid w:val="00B91B77"/>
    <w:pPr>
      <w:spacing w:after="120"/>
      <w:ind w:left="283"/>
    </w:pPr>
    <w:rPr>
      <w:sz w:val="16"/>
      <w:szCs w:val="16"/>
    </w:rPr>
  </w:style>
  <w:style w:type="character" w:customStyle="1" w:styleId="Sangra3detindependienteCar">
    <w:name w:val="Sangría 3 de t. independiente Car"/>
    <w:link w:val="Sangra3detindependiente"/>
    <w:uiPriority w:val="99"/>
    <w:semiHidden/>
    <w:rsid w:val="00B91B77"/>
    <w:rPr>
      <w:sz w:val="16"/>
      <w:szCs w:val="16"/>
      <w:lang w:val="es-ES" w:eastAsia="es-ES"/>
    </w:rPr>
  </w:style>
  <w:style w:type="paragraph" w:styleId="NormalWeb">
    <w:name w:val="Normal (Web)"/>
    <w:basedOn w:val="Normal"/>
    <w:uiPriority w:val="99"/>
    <w:semiHidden/>
    <w:rsid w:val="00B91B77"/>
    <w:pPr>
      <w:spacing w:before="100" w:beforeAutospacing="1" w:after="100" w:afterAutospacing="1"/>
      <w:ind w:left="0"/>
    </w:pPr>
    <w:rPr>
      <w:rFonts w:ascii="Arial Unicode MS" w:eastAsia="Arial Unicode MS" w:hAnsi="Arial Unicode MS" w:cs="Arial Unicode MS"/>
      <w:color w:val="000000"/>
    </w:rPr>
  </w:style>
  <w:style w:type="paragraph" w:customStyle="1" w:styleId="Textoindependiente21">
    <w:name w:val="Texto independiente 21"/>
    <w:basedOn w:val="Normal"/>
    <w:rsid w:val="00B91B77"/>
    <w:pPr>
      <w:ind w:left="0"/>
      <w:jc w:val="both"/>
    </w:pPr>
    <w:rPr>
      <w:rFonts w:ascii="Arial" w:hAnsi="Arial"/>
      <w:sz w:val="22"/>
      <w:szCs w:val="20"/>
      <w:lang w:val="es-CO"/>
    </w:rPr>
  </w:style>
  <w:style w:type="character" w:styleId="Refdecomentario">
    <w:name w:val="annotation reference"/>
    <w:unhideWhenUsed/>
    <w:rsid w:val="00471070"/>
    <w:rPr>
      <w:sz w:val="16"/>
      <w:szCs w:val="16"/>
    </w:rPr>
  </w:style>
  <w:style w:type="paragraph" w:styleId="Textocomentario">
    <w:name w:val="annotation text"/>
    <w:basedOn w:val="Normal"/>
    <w:link w:val="TextocomentarioCar"/>
    <w:unhideWhenUsed/>
    <w:rsid w:val="00471070"/>
    <w:rPr>
      <w:sz w:val="20"/>
      <w:szCs w:val="20"/>
    </w:rPr>
  </w:style>
  <w:style w:type="character" w:customStyle="1" w:styleId="TextocomentarioCar">
    <w:name w:val="Texto comentario Car"/>
    <w:link w:val="Textocomentario"/>
    <w:rsid w:val="00471070"/>
    <w:rPr>
      <w:lang w:val="es-ES" w:eastAsia="es-ES"/>
    </w:rPr>
  </w:style>
  <w:style w:type="paragraph" w:styleId="Asuntodelcomentario">
    <w:name w:val="annotation subject"/>
    <w:basedOn w:val="Textocomentario"/>
    <w:next w:val="Textocomentario"/>
    <w:link w:val="AsuntodelcomentarioCar"/>
    <w:uiPriority w:val="99"/>
    <w:semiHidden/>
    <w:unhideWhenUsed/>
    <w:rsid w:val="00471070"/>
    <w:rPr>
      <w:b/>
      <w:bCs/>
    </w:rPr>
  </w:style>
  <w:style w:type="character" w:customStyle="1" w:styleId="AsuntodelcomentarioCar">
    <w:name w:val="Asunto del comentario Car"/>
    <w:link w:val="Asuntodelcomentario"/>
    <w:uiPriority w:val="99"/>
    <w:semiHidden/>
    <w:rsid w:val="00471070"/>
    <w:rPr>
      <w:b/>
      <w:bCs/>
      <w:lang w:val="es-ES" w:eastAsia="es-ES"/>
    </w:rPr>
  </w:style>
  <w:style w:type="paragraph" w:styleId="Mapadeldocumento">
    <w:name w:val="Document Map"/>
    <w:basedOn w:val="Normal"/>
    <w:link w:val="MapadeldocumentoCar"/>
    <w:uiPriority w:val="99"/>
    <w:semiHidden/>
    <w:unhideWhenUsed/>
    <w:rsid w:val="006A629B"/>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6A629B"/>
    <w:rPr>
      <w:rFonts w:ascii="Tahoma" w:hAnsi="Tahoma" w:cs="Tahoma"/>
      <w:sz w:val="16"/>
      <w:szCs w:val="16"/>
      <w:lang w:val="es-ES" w:eastAsia="es-ES"/>
    </w:rPr>
  </w:style>
  <w:style w:type="character" w:styleId="Textodelmarcadordeposicin">
    <w:name w:val="Placeholder Text"/>
    <w:basedOn w:val="Fuentedeprrafopredeter"/>
    <w:uiPriority w:val="99"/>
    <w:semiHidden/>
    <w:rsid w:val="0066789E"/>
    <w:rPr>
      <w:color w:val="808080"/>
    </w:rPr>
  </w:style>
  <w:style w:type="paragraph" w:customStyle="1" w:styleId="ARTICULOS">
    <w:name w:val="ARTICULOS"/>
    <w:basedOn w:val="Normal"/>
    <w:link w:val="ARTICULOSCar"/>
    <w:qFormat/>
    <w:rsid w:val="009B0EE3"/>
    <w:pPr>
      <w:widowControl w:val="0"/>
      <w:numPr>
        <w:numId w:val="37"/>
      </w:numPr>
      <w:adjustRightInd w:val="0"/>
      <w:jc w:val="both"/>
      <w:textAlignment w:val="baseline"/>
    </w:pPr>
    <w:rPr>
      <w:rFonts w:ascii="Bookman Old Style" w:hAnsi="Bookman Old Style"/>
      <w:bCs/>
      <w:lang w:val="x-none" w:eastAsia="x-none"/>
    </w:rPr>
  </w:style>
  <w:style w:type="character" w:customStyle="1" w:styleId="ARTICULOSCar">
    <w:name w:val="ARTICULOS Car"/>
    <w:link w:val="ARTICULOS"/>
    <w:rsid w:val="009B0EE3"/>
    <w:rPr>
      <w:rFonts w:ascii="Bookman Old Style" w:hAnsi="Bookman Old Style"/>
      <w:bCs/>
      <w:sz w:val="24"/>
      <w:szCs w:val="24"/>
      <w:lang w:val="x-none" w:eastAsia="x-none"/>
    </w:rPr>
  </w:style>
  <w:style w:type="character" w:customStyle="1" w:styleId="Ttulo1Car">
    <w:name w:val="Título 1 Car"/>
    <w:basedOn w:val="Fuentedeprrafopredeter"/>
    <w:link w:val="Ttulo1"/>
    <w:rsid w:val="00557744"/>
    <w:rPr>
      <w:rFonts w:ascii="CG Times" w:hAnsi="CG Times"/>
      <w:b/>
      <w:sz w:val="24"/>
      <w:lang w:eastAsia="es-ES"/>
    </w:rPr>
  </w:style>
  <w:style w:type="paragraph" w:styleId="Textonotaalfinal">
    <w:name w:val="endnote text"/>
    <w:basedOn w:val="Normal"/>
    <w:link w:val="TextonotaalfinalCar"/>
    <w:uiPriority w:val="99"/>
    <w:semiHidden/>
    <w:unhideWhenUsed/>
    <w:rsid w:val="009064A4"/>
    <w:rPr>
      <w:sz w:val="20"/>
      <w:szCs w:val="20"/>
    </w:rPr>
  </w:style>
  <w:style w:type="character" w:customStyle="1" w:styleId="TextonotaalfinalCar">
    <w:name w:val="Texto nota al final Car"/>
    <w:basedOn w:val="Fuentedeprrafopredeter"/>
    <w:link w:val="Textonotaalfinal"/>
    <w:uiPriority w:val="99"/>
    <w:semiHidden/>
    <w:rsid w:val="009064A4"/>
    <w:rPr>
      <w:lang w:val="es-ES" w:eastAsia="es-ES"/>
    </w:rPr>
  </w:style>
  <w:style w:type="character" w:styleId="Refdenotaalfinal">
    <w:name w:val="endnote reference"/>
    <w:basedOn w:val="Fuentedeprrafopredeter"/>
    <w:uiPriority w:val="99"/>
    <w:semiHidden/>
    <w:unhideWhenUsed/>
    <w:rsid w:val="009064A4"/>
    <w:rPr>
      <w:vertAlign w:val="superscript"/>
    </w:rPr>
  </w:style>
  <w:style w:type="paragraph" w:styleId="Textonotapie">
    <w:name w:val="footnote text"/>
    <w:basedOn w:val="Normal"/>
    <w:link w:val="TextonotapieCar"/>
    <w:uiPriority w:val="99"/>
    <w:semiHidden/>
    <w:unhideWhenUsed/>
    <w:rsid w:val="009064A4"/>
    <w:rPr>
      <w:sz w:val="20"/>
      <w:szCs w:val="20"/>
    </w:rPr>
  </w:style>
  <w:style w:type="character" w:customStyle="1" w:styleId="TextonotapieCar">
    <w:name w:val="Texto nota pie Car"/>
    <w:basedOn w:val="Fuentedeprrafopredeter"/>
    <w:link w:val="Textonotapie"/>
    <w:uiPriority w:val="99"/>
    <w:semiHidden/>
    <w:rsid w:val="009064A4"/>
    <w:rPr>
      <w:lang w:val="es-ES" w:eastAsia="es-ES"/>
    </w:rPr>
  </w:style>
  <w:style w:type="character" w:styleId="Refdenotaalpie">
    <w:name w:val="footnote reference"/>
    <w:basedOn w:val="Fuentedeprrafopredeter"/>
    <w:uiPriority w:val="99"/>
    <w:semiHidden/>
    <w:unhideWhenUsed/>
    <w:rsid w:val="009064A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Lista">
    <w:name w:val="List"/>
    <w:basedOn w:val="Textoindependiente"/>
    <w:semiHidden/>
    <w:rsid w:val="00F76A7C"/>
    <w:pPr>
      <w:suppressAutoHyphens/>
      <w:spacing w:after="120"/>
      <w:ind w:left="0"/>
      <w:jc w:val="both"/>
    </w:pPr>
    <w:rPr>
      <w:rFonts w:cs="Tahoma"/>
      <w:b w:val="0"/>
      <w:bCs w:val="0"/>
      <w:sz w:val="22"/>
      <w:lang w:eastAsia="ar-SA"/>
    </w:rPr>
  </w:style>
  <w:style w:type="paragraph" w:styleId="Sangra3detindependiente">
    <w:name w:val="Body Text Indent 3"/>
    <w:basedOn w:val="Normal"/>
    <w:link w:val="Sangra3detindependienteCar"/>
    <w:uiPriority w:val="99"/>
    <w:semiHidden/>
    <w:unhideWhenUsed/>
    <w:rsid w:val="00B91B77"/>
    <w:pPr>
      <w:spacing w:after="120"/>
      <w:ind w:left="283"/>
    </w:pPr>
    <w:rPr>
      <w:sz w:val="16"/>
      <w:szCs w:val="16"/>
    </w:rPr>
  </w:style>
  <w:style w:type="character" w:customStyle="1" w:styleId="Sangra3detindependienteCar">
    <w:name w:val="Sangría 3 de t. independiente Car"/>
    <w:link w:val="Sangra3detindependiente"/>
    <w:uiPriority w:val="99"/>
    <w:semiHidden/>
    <w:rsid w:val="00B91B77"/>
    <w:rPr>
      <w:sz w:val="16"/>
      <w:szCs w:val="16"/>
      <w:lang w:val="es-ES" w:eastAsia="es-ES"/>
    </w:rPr>
  </w:style>
  <w:style w:type="paragraph" w:styleId="NormalWeb">
    <w:name w:val="Normal (Web)"/>
    <w:basedOn w:val="Normal"/>
    <w:uiPriority w:val="99"/>
    <w:semiHidden/>
    <w:rsid w:val="00B91B77"/>
    <w:pPr>
      <w:spacing w:before="100" w:beforeAutospacing="1" w:after="100" w:afterAutospacing="1"/>
      <w:ind w:left="0"/>
    </w:pPr>
    <w:rPr>
      <w:rFonts w:ascii="Arial Unicode MS" w:eastAsia="Arial Unicode MS" w:hAnsi="Arial Unicode MS" w:cs="Arial Unicode MS"/>
      <w:color w:val="000000"/>
    </w:rPr>
  </w:style>
  <w:style w:type="paragraph" w:customStyle="1" w:styleId="Textoindependiente21">
    <w:name w:val="Texto independiente 21"/>
    <w:basedOn w:val="Normal"/>
    <w:rsid w:val="00B91B77"/>
    <w:pPr>
      <w:ind w:left="0"/>
      <w:jc w:val="both"/>
    </w:pPr>
    <w:rPr>
      <w:rFonts w:ascii="Arial" w:hAnsi="Arial"/>
      <w:sz w:val="22"/>
      <w:szCs w:val="20"/>
      <w:lang w:val="es-CO"/>
    </w:rPr>
  </w:style>
  <w:style w:type="character" w:styleId="Refdecomentario">
    <w:name w:val="annotation reference"/>
    <w:unhideWhenUsed/>
    <w:rsid w:val="00471070"/>
    <w:rPr>
      <w:sz w:val="16"/>
      <w:szCs w:val="16"/>
    </w:rPr>
  </w:style>
  <w:style w:type="paragraph" w:styleId="Textocomentario">
    <w:name w:val="annotation text"/>
    <w:basedOn w:val="Normal"/>
    <w:link w:val="TextocomentarioCar"/>
    <w:unhideWhenUsed/>
    <w:rsid w:val="00471070"/>
    <w:rPr>
      <w:sz w:val="20"/>
      <w:szCs w:val="20"/>
    </w:rPr>
  </w:style>
  <w:style w:type="character" w:customStyle="1" w:styleId="TextocomentarioCar">
    <w:name w:val="Texto comentario Car"/>
    <w:link w:val="Textocomentario"/>
    <w:rsid w:val="00471070"/>
    <w:rPr>
      <w:lang w:val="es-ES" w:eastAsia="es-ES"/>
    </w:rPr>
  </w:style>
  <w:style w:type="paragraph" w:styleId="Asuntodelcomentario">
    <w:name w:val="annotation subject"/>
    <w:basedOn w:val="Textocomentario"/>
    <w:next w:val="Textocomentario"/>
    <w:link w:val="AsuntodelcomentarioCar"/>
    <w:uiPriority w:val="99"/>
    <w:semiHidden/>
    <w:unhideWhenUsed/>
    <w:rsid w:val="00471070"/>
    <w:rPr>
      <w:b/>
      <w:bCs/>
    </w:rPr>
  </w:style>
  <w:style w:type="character" w:customStyle="1" w:styleId="AsuntodelcomentarioCar">
    <w:name w:val="Asunto del comentario Car"/>
    <w:link w:val="Asuntodelcomentario"/>
    <w:uiPriority w:val="99"/>
    <w:semiHidden/>
    <w:rsid w:val="00471070"/>
    <w:rPr>
      <w:b/>
      <w:bCs/>
      <w:lang w:val="es-ES" w:eastAsia="es-ES"/>
    </w:rPr>
  </w:style>
  <w:style w:type="paragraph" w:styleId="Mapadeldocumento">
    <w:name w:val="Document Map"/>
    <w:basedOn w:val="Normal"/>
    <w:link w:val="MapadeldocumentoCar"/>
    <w:uiPriority w:val="99"/>
    <w:semiHidden/>
    <w:unhideWhenUsed/>
    <w:rsid w:val="006A629B"/>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6A629B"/>
    <w:rPr>
      <w:rFonts w:ascii="Tahoma" w:hAnsi="Tahoma" w:cs="Tahoma"/>
      <w:sz w:val="16"/>
      <w:szCs w:val="16"/>
      <w:lang w:val="es-ES" w:eastAsia="es-ES"/>
    </w:rPr>
  </w:style>
  <w:style w:type="character" w:styleId="Textodelmarcadordeposicin">
    <w:name w:val="Placeholder Text"/>
    <w:basedOn w:val="Fuentedeprrafopredeter"/>
    <w:uiPriority w:val="99"/>
    <w:semiHidden/>
    <w:rsid w:val="0066789E"/>
    <w:rPr>
      <w:color w:val="808080"/>
    </w:rPr>
  </w:style>
  <w:style w:type="paragraph" w:customStyle="1" w:styleId="ARTICULOS">
    <w:name w:val="ARTICULOS"/>
    <w:basedOn w:val="Normal"/>
    <w:link w:val="ARTICULOSCar"/>
    <w:qFormat/>
    <w:rsid w:val="009B0EE3"/>
    <w:pPr>
      <w:widowControl w:val="0"/>
      <w:numPr>
        <w:numId w:val="37"/>
      </w:numPr>
      <w:adjustRightInd w:val="0"/>
      <w:jc w:val="both"/>
      <w:textAlignment w:val="baseline"/>
    </w:pPr>
    <w:rPr>
      <w:rFonts w:ascii="Bookman Old Style" w:hAnsi="Bookman Old Style"/>
      <w:bCs/>
      <w:lang w:val="x-none" w:eastAsia="x-none"/>
    </w:rPr>
  </w:style>
  <w:style w:type="character" w:customStyle="1" w:styleId="ARTICULOSCar">
    <w:name w:val="ARTICULOS Car"/>
    <w:link w:val="ARTICULOS"/>
    <w:rsid w:val="009B0EE3"/>
    <w:rPr>
      <w:rFonts w:ascii="Bookman Old Style" w:hAnsi="Bookman Old Style"/>
      <w:bCs/>
      <w:sz w:val="24"/>
      <w:szCs w:val="24"/>
      <w:lang w:val="x-none" w:eastAsia="x-none"/>
    </w:rPr>
  </w:style>
  <w:style w:type="character" w:customStyle="1" w:styleId="Ttulo1Car">
    <w:name w:val="Título 1 Car"/>
    <w:basedOn w:val="Fuentedeprrafopredeter"/>
    <w:link w:val="Ttulo1"/>
    <w:rsid w:val="00557744"/>
    <w:rPr>
      <w:rFonts w:ascii="CG Times" w:hAnsi="CG Times"/>
      <w:b/>
      <w:sz w:val="24"/>
      <w:lang w:eastAsia="es-ES"/>
    </w:rPr>
  </w:style>
  <w:style w:type="paragraph" w:styleId="Textonotaalfinal">
    <w:name w:val="endnote text"/>
    <w:basedOn w:val="Normal"/>
    <w:link w:val="TextonotaalfinalCar"/>
    <w:uiPriority w:val="99"/>
    <w:semiHidden/>
    <w:unhideWhenUsed/>
    <w:rsid w:val="009064A4"/>
    <w:rPr>
      <w:sz w:val="20"/>
      <w:szCs w:val="20"/>
    </w:rPr>
  </w:style>
  <w:style w:type="character" w:customStyle="1" w:styleId="TextonotaalfinalCar">
    <w:name w:val="Texto nota al final Car"/>
    <w:basedOn w:val="Fuentedeprrafopredeter"/>
    <w:link w:val="Textonotaalfinal"/>
    <w:uiPriority w:val="99"/>
    <w:semiHidden/>
    <w:rsid w:val="009064A4"/>
    <w:rPr>
      <w:lang w:val="es-ES" w:eastAsia="es-ES"/>
    </w:rPr>
  </w:style>
  <w:style w:type="character" w:styleId="Refdenotaalfinal">
    <w:name w:val="endnote reference"/>
    <w:basedOn w:val="Fuentedeprrafopredeter"/>
    <w:uiPriority w:val="99"/>
    <w:semiHidden/>
    <w:unhideWhenUsed/>
    <w:rsid w:val="009064A4"/>
    <w:rPr>
      <w:vertAlign w:val="superscript"/>
    </w:rPr>
  </w:style>
  <w:style w:type="paragraph" w:styleId="Textonotapie">
    <w:name w:val="footnote text"/>
    <w:basedOn w:val="Normal"/>
    <w:link w:val="TextonotapieCar"/>
    <w:uiPriority w:val="99"/>
    <w:semiHidden/>
    <w:unhideWhenUsed/>
    <w:rsid w:val="009064A4"/>
    <w:rPr>
      <w:sz w:val="20"/>
      <w:szCs w:val="20"/>
    </w:rPr>
  </w:style>
  <w:style w:type="character" w:customStyle="1" w:styleId="TextonotapieCar">
    <w:name w:val="Texto nota pie Car"/>
    <w:basedOn w:val="Fuentedeprrafopredeter"/>
    <w:link w:val="Textonotapie"/>
    <w:uiPriority w:val="99"/>
    <w:semiHidden/>
    <w:rsid w:val="009064A4"/>
    <w:rPr>
      <w:lang w:val="es-ES" w:eastAsia="es-ES"/>
    </w:rPr>
  </w:style>
  <w:style w:type="character" w:styleId="Refdenotaalpie">
    <w:name w:val="footnote reference"/>
    <w:basedOn w:val="Fuentedeprrafopredeter"/>
    <w:uiPriority w:val="99"/>
    <w:semiHidden/>
    <w:unhideWhenUsed/>
    <w:rsid w:val="009064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3334">
      <w:bodyDiv w:val="1"/>
      <w:marLeft w:val="0"/>
      <w:marRight w:val="0"/>
      <w:marTop w:val="0"/>
      <w:marBottom w:val="0"/>
      <w:divBdr>
        <w:top w:val="none" w:sz="0" w:space="0" w:color="auto"/>
        <w:left w:val="none" w:sz="0" w:space="0" w:color="auto"/>
        <w:bottom w:val="none" w:sz="0" w:space="0" w:color="auto"/>
        <w:right w:val="none" w:sz="0" w:space="0" w:color="auto"/>
      </w:divBdr>
    </w:div>
    <w:div w:id="442923938">
      <w:bodyDiv w:val="1"/>
      <w:marLeft w:val="0"/>
      <w:marRight w:val="0"/>
      <w:marTop w:val="0"/>
      <w:marBottom w:val="0"/>
      <w:divBdr>
        <w:top w:val="none" w:sz="0" w:space="0" w:color="auto"/>
        <w:left w:val="none" w:sz="0" w:space="0" w:color="auto"/>
        <w:bottom w:val="none" w:sz="0" w:space="0" w:color="auto"/>
        <w:right w:val="none" w:sz="0" w:space="0" w:color="auto"/>
      </w:divBdr>
    </w:div>
    <w:div w:id="1204320033">
      <w:bodyDiv w:val="1"/>
      <w:marLeft w:val="0"/>
      <w:marRight w:val="0"/>
      <w:marTop w:val="0"/>
      <w:marBottom w:val="0"/>
      <w:divBdr>
        <w:top w:val="none" w:sz="0" w:space="0" w:color="auto"/>
        <w:left w:val="none" w:sz="0" w:space="0" w:color="auto"/>
        <w:bottom w:val="none" w:sz="0" w:space="0" w:color="auto"/>
        <w:right w:val="none" w:sz="0" w:space="0" w:color="auto"/>
      </w:divBdr>
    </w:div>
    <w:div w:id="1263417099">
      <w:bodyDiv w:val="1"/>
      <w:marLeft w:val="0"/>
      <w:marRight w:val="0"/>
      <w:marTop w:val="0"/>
      <w:marBottom w:val="0"/>
      <w:divBdr>
        <w:top w:val="none" w:sz="0" w:space="0" w:color="auto"/>
        <w:left w:val="none" w:sz="0" w:space="0" w:color="auto"/>
        <w:bottom w:val="none" w:sz="0" w:space="0" w:color="auto"/>
        <w:right w:val="none" w:sz="0" w:space="0" w:color="auto"/>
      </w:divBdr>
    </w:div>
    <w:div w:id="1330475220">
      <w:bodyDiv w:val="1"/>
      <w:marLeft w:val="0"/>
      <w:marRight w:val="0"/>
      <w:marTop w:val="0"/>
      <w:marBottom w:val="0"/>
      <w:divBdr>
        <w:top w:val="none" w:sz="0" w:space="0" w:color="auto"/>
        <w:left w:val="none" w:sz="0" w:space="0" w:color="auto"/>
        <w:bottom w:val="none" w:sz="0" w:space="0" w:color="auto"/>
        <w:right w:val="none" w:sz="0" w:space="0" w:color="auto"/>
      </w:divBdr>
    </w:div>
    <w:div w:id="1581984772">
      <w:bodyDiv w:val="1"/>
      <w:marLeft w:val="0"/>
      <w:marRight w:val="0"/>
      <w:marTop w:val="0"/>
      <w:marBottom w:val="0"/>
      <w:divBdr>
        <w:top w:val="none" w:sz="0" w:space="0" w:color="auto"/>
        <w:left w:val="none" w:sz="0" w:space="0" w:color="auto"/>
        <w:bottom w:val="none" w:sz="0" w:space="0" w:color="auto"/>
        <w:right w:val="none" w:sz="0" w:space="0" w:color="auto"/>
      </w:divBdr>
    </w:div>
    <w:div w:id="2069954635">
      <w:bodyDiv w:val="1"/>
      <w:marLeft w:val="0"/>
      <w:marRight w:val="0"/>
      <w:marTop w:val="0"/>
      <w:marBottom w:val="0"/>
      <w:divBdr>
        <w:top w:val="none" w:sz="0" w:space="0" w:color="auto"/>
        <w:left w:val="none" w:sz="0" w:space="0" w:color="auto"/>
        <w:bottom w:val="none" w:sz="0" w:space="0" w:color="auto"/>
        <w:right w:val="none" w:sz="0" w:space="0" w:color="auto"/>
      </w:divBdr>
    </w:div>
    <w:div w:id="213066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7E8C8-DFBC-4F99-9DE7-F21BBF0A6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6</Pages>
  <Words>1984</Words>
  <Characters>10913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2016-02-05T23:24:00Z</cp:lastPrinted>
  <dcterms:created xsi:type="dcterms:W3CDTF">2016-02-05T23:31:00Z</dcterms:created>
  <dcterms:modified xsi:type="dcterms:W3CDTF">2016-02-05T23:31:00Z</dcterms:modified>
</cp:coreProperties>
</file>