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63DE" w14:textId="77777777" w:rsidR="00AD4068" w:rsidRPr="00482AB3" w:rsidRDefault="00627B88" w:rsidP="00AD4068">
      <w:pPr>
        <w:pStyle w:val="Encabezado"/>
        <w:ind w:left="142"/>
        <w:jc w:val="center"/>
        <w:rPr>
          <w:rFonts w:ascii="Bookman Old Style" w:hAnsi="Bookman Old Style"/>
          <w:szCs w:val="24"/>
        </w:rPr>
      </w:pPr>
      <w:bookmarkStart w:id="0" w:name="_GoBack"/>
      <w:bookmarkEnd w:id="0"/>
      <w:r>
        <w:rPr>
          <w:rFonts w:ascii="Bookman Old Style" w:hAnsi="Bookman Old Style"/>
          <w:noProof/>
          <w:szCs w:val="24"/>
        </w:rPr>
        <w:object w:dxaOrig="1440" w:dyaOrig="1440" w14:anchorId="14F8F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21.9pt;margin-top:-33.85pt;width:52.5pt;height:48.75pt;z-index:251661312" fillcolor="#0c9">
            <v:imagedata r:id="rId8" o:title=""/>
          </v:shape>
          <o:OLEObject Type="Embed" ProgID="PBrush" ShapeID="_x0000_s1035" DrawAspect="Content" ObjectID="_1543145303" r:id="rId9"/>
        </w:object>
      </w:r>
    </w:p>
    <w:p w14:paraId="6A7030AF" w14:textId="77777777" w:rsidR="00AD4068" w:rsidRPr="00482AB3" w:rsidRDefault="00AD4068" w:rsidP="00AD4068">
      <w:pPr>
        <w:pStyle w:val="Encabezado"/>
        <w:ind w:left="142"/>
        <w:jc w:val="center"/>
        <w:rPr>
          <w:rFonts w:ascii="Bookman Old Style" w:hAnsi="Bookman Old Style"/>
          <w:szCs w:val="24"/>
        </w:rPr>
      </w:pPr>
    </w:p>
    <w:p w14:paraId="6D089F22" w14:textId="77777777" w:rsidR="00AD4068" w:rsidRPr="00482AB3" w:rsidRDefault="00AD4068" w:rsidP="00AD4068">
      <w:pPr>
        <w:pStyle w:val="Encabezado"/>
        <w:ind w:left="142"/>
        <w:jc w:val="center"/>
        <w:rPr>
          <w:rFonts w:ascii="Bookman Old Style" w:hAnsi="Bookman Old Style"/>
          <w:szCs w:val="24"/>
        </w:rPr>
      </w:pPr>
    </w:p>
    <w:p w14:paraId="7ECDDB53" w14:textId="77777777" w:rsidR="00AD4068" w:rsidRPr="00482AB3" w:rsidRDefault="00AD4068" w:rsidP="00AD4068">
      <w:pPr>
        <w:pStyle w:val="Ttulo4"/>
        <w:ind w:left="142"/>
        <w:rPr>
          <w:rFonts w:ascii="Bookman Old Style" w:hAnsi="Bookman Old Style"/>
          <w:b w:val="0"/>
          <w:bCs/>
          <w:noProof/>
          <w:sz w:val="24"/>
          <w:szCs w:val="24"/>
          <w:lang w:val="es-ES"/>
        </w:rPr>
      </w:pPr>
      <w:r w:rsidRPr="00482AB3">
        <w:rPr>
          <w:rFonts w:ascii="Bookman Old Style" w:hAnsi="Bookman Old Style"/>
          <w:b w:val="0"/>
          <w:bCs/>
          <w:sz w:val="24"/>
          <w:szCs w:val="24"/>
        </w:rPr>
        <w:t>Ministerio de Minas y Energía</w:t>
      </w:r>
    </w:p>
    <w:p w14:paraId="3A6408A5" w14:textId="77777777" w:rsidR="00AD4068" w:rsidRPr="00482AB3" w:rsidRDefault="00AD4068" w:rsidP="00AD4068">
      <w:pPr>
        <w:pStyle w:val="Ttulo4"/>
        <w:ind w:left="142"/>
        <w:rPr>
          <w:rFonts w:ascii="Bookman Old Style" w:hAnsi="Bookman Old Style"/>
          <w:b w:val="0"/>
          <w:bCs/>
          <w:sz w:val="24"/>
          <w:szCs w:val="24"/>
        </w:rPr>
      </w:pPr>
    </w:p>
    <w:p w14:paraId="2AAC87C5" w14:textId="77777777" w:rsidR="00AD4068" w:rsidRPr="00482AB3" w:rsidRDefault="00AD4068" w:rsidP="00AD4068">
      <w:pPr>
        <w:pStyle w:val="Ttulo3"/>
        <w:ind w:left="142"/>
        <w:rPr>
          <w:rFonts w:ascii="Bookman Old Style" w:hAnsi="Bookman Old Style" w:cs="Arial"/>
          <w:spacing w:val="20"/>
          <w:szCs w:val="24"/>
        </w:rPr>
      </w:pPr>
      <w:r w:rsidRPr="00482AB3">
        <w:rPr>
          <w:rFonts w:ascii="Bookman Old Style" w:hAnsi="Bookman Old Style" w:cs="Arial"/>
          <w:spacing w:val="20"/>
          <w:szCs w:val="24"/>
        </w:rPr>
        <w:t>COMISIÓN DE REGULACIÓN DE ENERGÍA Y GAS</w:t>
      </w:r>
    </w:p>
    <w:p w14:paraId="37E164A3" w14:textId="77777777" w:rsidR="00AD4068" w:rsidRPr="00482AB3" w:rsidRDefault="00AD4068" w:rsidP="00AD4068">
      <w:pPr>
        <w:pStyle w:val="Ttulo5"/>
        <w:ind w:left="142"/>
        <w:rPr>
          <w:rFonts w:ascii="Bookman Old Style" w:hAnsi="Bookman Old Style"/>
          <w:sz w:val="24"/>
          <w:szCs w:val="24"/>
        </w:rPr>
      </w:pPr>
    </w:p>
    <w:p w14:paraId="5CDE9369" w14:textId="77777777" w:rsidR="00AD4068" w:rsidRPr="00482AB3" w:rsidRDefault="00AD4068" w:rsidP="00AD4068">
      <w:pPr>
        <w:pStyle w:val="Ttulo5"/>
        <w:ind w:left="142"/>
        <w:rPr>
          <w:rFonts w:ascii="Bookman Old Style" w:hAnsi="Bookman Old Style"/>
          <w:sz w:val="24"/>
          <w:szCs w:val="24"/>
        </w:rPr>
      </w:pPr>
    </w:p>
    <w:p w14:paraId="61CA06F3" w14:textId="255F6726" w:rsidR="00AD4068" w:rsidRPr="00482AB3" w:rsidRDefault="00AD4068" w:rsidP="00AD4068">
      <w:pPr>
        <w:pStyle w:val="Ttulo5"/>
        <w:ind w:left="142"/>
        <w:rPr>
          <w:rFonts w:ascii="Bookman Old Style" w:hAnsi="Bookman Old Style"/>
          <w:sz w:val="24"/>
          <w:szCs w:val="24"/>
        </w:rPr>
      </w:pPr>
      <w:r w:rsidRPr="00482AB3">
        <w:rPr>
          <w:rFonts w:ascii="Bookman Old Style" w:hAnsi="Bookman Old Style"/>
          <w:sz w:val="24"/>
          <w:szCs w:val="24"/>
        </w:rPr>
        <w:t>RESOLUCIÓN No.                   DE 201</w:t>
      </w:r>
      <w:r w:rsidR="003221A2">
        <w:rPr>
          <w:rFonts w:ascii="Bookman Old Style" w:hAnsi="Bookman Old Style"/>
          <w:sz w:val="24"/>
          <w:szCs w:val="24"/>
        </w:rPr>
        <w:t>6</w:t>
      </w:r>
    </w:p>
    <w:p w14:paraId="1E797005" w14:textId="77777777" w:rsidR="00AD4068" w:rsidRPr="00482AB3" w:rsidRDefault="00AD4068" w:rsidP="00AD4068">
      <w:pPr>
        <w:ind w:left="142"/>
        <w:jc w:val="center"/>
        <w:rPr>
          <w:rFonts w:ascii="Bookman Old Style" w:hAnsi="Bookman Old Style" w:cs="Arial"/>
          <w:b/>
          <w:snapToGrid w:val="0"/>
          <w:color w:val="000000"/>
          <w:lang w:val="es-ES_tradnl"/>
        </w:rPr>
      </w:pPr>
    </w:p>
    <w:p w14:paraId="33CB3E31" w14:textId="77777777" w:rsidR="00AD4068" w:rsidRPr="00482AB3" w:rsidRDefault="00AD4068" w:rsidP="00AD4068">
      <w:pPr>
        <w:pStyle w:val="Ttulo3"/>
        <w:ind w:left="142"/>
        <w:rPr>
          <w:rFonts w:ascii="Bookman Old Style" w:hAnsi="Bookman Old Style"/>
          <w:b w:val="0"/>
          <w:szCs w:val="24"/>
        </w:rPr>
      </w:pPr>
      <w:r w:rsidRPr="00482AB3">
        <w:rPr>
          <w:rFonts w:ascii="Bookman Old Style" w:hAnsi="Bookman Old Style"/>
          <w:b w:val="0"/>
          <w:szCs w:val="24"/>
        </w:rPr>
        <w:t>(                                  )</w:t>
      </w:r>
    </w:p>
    <w:p w14:paraId="171DB77E" w14:textId="77777777" w:rsidR="00AD4068" w:rsidRPr="00482AB3" w:rsidRDefault="00AD4068" w:rsidP="00AD4068">
      <w:pPr>
        <w:ind w:left="142"/>
        <w:jc w:val="center"/>
        <w:rPr>
          <w:rFonts w:ascii="Bookman Old Style" w:hAnsi="Bookman Old Style"/>
          <w:lang w:val="es-ES_tradnl"/>
        </w:rPr>
      </w:pPr>
    </w:p>
    <w:p w14:paraId="6A152082" w14:textId="77777777" w:rsidR="00AD4068" w:rsidRDefault="00AD4068" w:rsidP="00AD4068">
      <w:pPr>
        <w:jc w:val="center"/>
        <w:rPr>
          <w:rFonts w:ascii="Bookman Old Style" w:hAnsi="Bookman Old Style" w:cs="Arial"/>
          <w:lang w:val="es-CO" w:eastAsia="es-CO"/>
        </w:rPr>
      </w:pPr>
    </w:p>
    <w:p w14:paraId="478CFCDC" w14:textId="77777777" w:rsidR="00AD4068" w:rsidRPr="00482AB3" w:rsidRDefault="00AD4068" w:rsidP="00AD4068">
      <w:pPr>
        <w:jc w:val="center"/>
        <w:rPr>
          <w:rFonts w:ascii="Bookman Old Style" w:hAnsi="Bookman Old Style" w:cs="Arial"/>
          <w:lang w:val="es-CO" w:eastAsia="es-CO"/>
        </w:rPr>
      </w:pPr>
      <w:r w:rsidRPr="00560C3A">
        <w:rPr>
          <w:rFonts w:ascii="Bookman Old Style" w:hAnsi="Bookman Old Style" w:cs="Arial"/>
          <w:lang w:val="es-CO" w:eastAsia="es-CO"/>
        </w:rPr>
        <w:t xml:space="preserve">Costos y cargos unificados de distribución y comercialización para el STR y SDL resultante de la integración de los sistemas anteriormente operados por </w:t>
      </w:r>
      <w:proofErr w:type="spellStart"/>
      <w:r w:rsidRPr="00560C3A">
        <w:rPr>
          <w:rFonts w:ascii="Bookman Old Style" w:hAnsi="Bookman Old Style" w:cs="Arial"/>
          <w:lang w:val="es-CO" w:eastAsia="es-CO"/>
        </w:rPr>
        <w:t>Codensa</w:t>
      </w:r>
      <w:proofErr w:type="spellEnd"/>
      <w:r w:rsidRPr="00560C3A">
        <w:rPr>
          <w:rFonts w:ascii="Bookman Old Style" w:hAnsi="Bookman Old Style" w:cs="Arial"/>
          <w:lang w:val="es-CO" w:eastAsia="es-CO"/>
        </w:rPr>
        <w:t xml:space="preserve"> S.A. E.S.P. y Empresa de Energía de Cundinamarca S.A. E.S.P.</w:t>
      </w:r>
    </w:p>
    <w:p w14:paraId="06CD5167" w14:textId="77777777" w:rsidR="00AD4068" w:rsidRPr="00482AB3" w:rsidRDefault="00AD4068" w:rsidP="00AD4068">
      <w:pPr>
        <w:spacing w:after="240"/>
        <w:ind w:left="142"/>
        <w:jc w:val="both"/>
        <w:rPr>
          <w:rFonts w:ascii="Bookman Old Style" w:hAnsi="Bookman Old Style" w:cs="Arial"/>
          <w:lang w:val="es-CO" w:eastAsia="es-CO"/>
        </w:rPr>
      </w:pPr>
    </w:p>
    <w:p w14:paraId="0DB888DB" w14:textId="77777777" w:rsidR="00AD4068" w:rsidRPr="00482AB3" w:rsidRDefault="00AD4068" w:rsidP="00AD4068">
      <w:pPr>
        <w:ind w:left="142"/>
        <w:jc w:val="center"/>
        <w:rPr>
          <w:rFonts w:ascii="Bookman Old Style" w:hAnsi="Bookman Old Style" w:cs="Arial"/>
          <w:lang w:val="es-CO" w:eastAsia="es-CO"/>
        </w:rPr>
      </w:pPr>
      <w:r w:rsidRPr="00482AB3">
        <w:rPr>
          <w:rFonts w:ascii="Bookman Old Style" w:hAnsi="Bookman Old Style" w:cs="Arial"/>
          <w:b/>
          <w:bCs/>
          <w:lang w:val="es-CO" w:eastAsia="es-CO"/>
        </w:rPr>
        <w:t>LA COMISIÓN DE REGULACIÓN DE ENERGÍA Y GAS</w:t>
      </w:r>
    </w:p>
    <w:p w14:paraId="7B66E204" w14:textId="77777777" w:rsidR="00AD4068" w:rsidRPr="00482AB3" w:rsidRDefault="00AD4068" w:rsidP="00AD4068">
      <w:pPr>
        <w:ind w:left="142"/>
        <w:jc w:val="both"/>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t xml:space="preserve">En ejercicio de sus facultades legales, en especial de las conferidas por las Leyes 142 y 143 de 1994 y en desarrollo de los </w:t>
      </w:r>
      <w:r>
        <w:rPr>
          <w:rFonts w:ascii="Bookman Old Style" w:hAnsi="Bookman Old Style" w:cs="Arial"/>
          <w:lang w:val="es-CO" w:eastAsia="es-CO"/>
        </w:rPr>
        <w:t>d</w:t>
      </w:r>
      <w:r w:rsidRPr="00482AB3">
        <w:rPr>
          <w:rFonts w:ascii="Bookman Old Style" w:hAnsi="Bookman Old Style" w:cs="Arial"/>
          <w:lang w:val="es-CO" w:eastAsia="es-CO"/>
        </w:rPr>
        <w:t xml:space="preserve">ecretos 1524 y 2253 de 1994, y </w:t>
      </w:r>
    </w:p>
    <w:p w14:paraId="34F9B6F4" w14:textId="77777777" w:rsidR="00AD4068" w:rsidRPr="00482AB3" w:rsidRDefault="00AD4068" w:rsidP="00AD4068">
      <w:pPr>
        <w:ind w:left="142"/>
        <w:jc w:val="center"/>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r>
      <w:r w:rsidRPr="00482AB3">
        <w:rPr>
          <w:rFonts w:ascii="Bookman Old Style" w:hAnsi="Bookman Old Style" w:cs="Arial"/>
          <w:b/>
          <w:bCs/>
          <w:lang w:val="es-CO" w:eastAsia="es-CO"/>
        </w:rPr>
        <w:t>CONSIDERANDO QUE:</w:t>
      </w:r>
    </w:p>
    <w:p w14:paraId="6AEC8016" w14:textId="77777777" w:rsidR="00AD4068" w:rsidRDefault="00AD4068" w:rsidP="00AD4068">
      <w:pPr>
        <w:autoSpaceDE w:val="0"/>
        <w:autoSpaceDN w:val="0"/>
        <w:adjustRightInd w:val="0"/>
        <w:ind w:left="142"/>
        <w:jc w:val="both"/>
        <w:rPr>
          <w:rFonts w:ascii="Bookman Old Style" w:hAnsi="Bookman Old Style" w:cs="Arial"/>
          <w:lang w:val="es-CO" w:eastAsia="es-CO"/>
        </w:rPr>
      </w:pPr>
    </w:p>
    <w:p w14:paraId="0DFAB6D8" w14:textId="77777777" w:rsidR="00AD4068" w:rsidRDefault="00AD4068" w:rsidP="00AD4068">
      <w:pPr>
        <w:autoSpaceDE w:val="0"/>
        <w:autoSpaceDN w:val="0"/>
        <w:adjustRightInd w:val="0"/>
        <w:ind w:left="142"/>
        <w:jc w:val="both"/>
        <w:rPr>
          <w:rFonts w:ascii="Bookman Old Style" w:hAnsi="Bookman Old Style" w:cs="Arial"/>
        </w:rPr>
      </w:pPr>
      <w:r w:rsidRPr="00482AB3">
        <w:rPr>
          <w:rFonts w:ascii="Bookman Old Style" w:hAnsi="Bookman Old Style" w:cs="Arial"/>
          <w:lang w:val="es-CO" w:eastAsia="es-CO"/>
        </w:rPr>
        <w:br/>
      </w:r>
      <w:r>
        <w:rPr>
          <w:rFonts w:ascii="Bookman Old Style" w:hAnsi="Bookman Old Style" w:cs="Arial"/>
        </w:rPr>
        <w:t>De</w:t>
      </w:r>
      <w:r w:rsidRPr="00070D55">
        <w:rPr>
          <w:rFonts w:ascii="Bookman Old Style" w:hAnsi="Bookman Old Style" w:cs="Arial"/>
        </w:rPr>
        <w:t xml:space="preserve"> acuerdo con lo previsto en el Artículo 23, literal d), y 41 de la Ley 143 de 1994, es función de la Comisión de Regulación de Energía y Gas fijar las tarifas por el acceso y uso de las redes eléctricas;</w:t>
      </w:r>
    </w:p>
    <w:p w14:paraId="664530D7" w14:textId="77777777" w:rsidR="00AD4068" w:rsidRDefault="00AD4068" w:rsidP="00AD4068">
      <w:pPr>
        <w:autoSpaceDE w:val="0"/>
        <w:autoSpaceDN w:val="0"/>
        <w:adjustRightInd w:val="0"/>
        <w:ind w:left="142"/>
        <w:jc w:val="both"/>
        <w:rPr>
          <w:rFonts w:ascii="Bookman Old Style" w:hAnsi="Bookman Old Style" w:cs="Arial"/>
        </w:rPr>
      </w:pPr>
    </w:p>
    <w:p w14:paraId="076FA70A" w14:textId="77777777"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M</w:t>
      </w:r>
      <w:r w:rsidRPr="00070D55">
        <w:rPr>
          <w:rFonts w:ascii="Bookman Old Style" w:hAnsi="Bookman Old Style" w:cs="Arial"/>
        </w:rPr>
        <w:t xml:space="preserve">ediante la Resolución CREG </w:t>
      </w:r>
      <w:r>
        <w:rPr>
          <w:rFonts w:ascii="Bookman Old Style" w:hAnsi="Bookman Old Style" w:cs="Arial"/>
        </w:rPr>
        <w:t xml:space="preserve">068 de 1998 se establecieron </w:t>
      </w:r>
      <w:r w:rsidRPr="007A50FC">
        <w:rPr>
          <w:rFonts w:ascii="Bookman Old Style" w:hAnsi="Bookman Old Style" w:cs="Arial"/>
        </w:rPr>
        <w:t>disposiciones relativas a la integración de mercados de comercialización y distribución de electricidad</w:t>
      </w:r>
      <w:r>
        <w:rPr>
          <w:rFonts w:ascii="Bookman Old Style" w:hAnsi="Bookman Old Style" w:cs="Arial"/>
        </w:rPr>
        <w:t>;</w:t>
      </w:r>
    </w:p>
    <w:p w14:paraId="6167D291" w14:textId="77777777" w:rsidR="00AD4068" w:rsidRDefault="00AD4068" w:rsidP="00AD4068">
      <w:pPr>
        <w:autoSpaceDE w:val="0"/>
        <w:autoSpaceDN w:val="0"/>
        <w:adjustRightInd w:val="0"/>
        <w:ind w:left="142"/>
        <w:jc w:val="both"/>
        <w:rPr>
          <w:rFonts w:ascii="Bookman Old Style" w:hAnsi="Bookman Old Style" w:cs="Arial"/>
        </w:rPr>
      </w:pPr>
    </w:p>
    <w:p w14:paraId="6705FDC2" w14:textId="77777777" w:rsidR="00AD4068" w:rsidRPr="00070D55"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 xml:space="preserve">Mediante la Resolución CREG </w:t>
      </w:r>
      <w:r w:rsidRPr="00070D55">
        <w:rPr>
          <w:rFonts w:ascii="Bookman Old Style" w:hAnsi="Bookman Old Style" w:cs="Arial"/>
        </w:rPr>
        <w:t>097 de 2008</w:t>
      </w:r>
      <w:r>
        <w:rPr>
          <w:rFonts w:ascii="Bookman Old Style" w:hAnsi="Bookman Old Style" w:cs="Arial"/>
        </w:rPr>
        <w:t>,</w:t>
      </w:r>
      <w:r w:rsidRPr="00070D55">
        <w:rPr>
          <w:rFonts w:ascii="Bookman Old Style" w:hAnsi="Bookman Old Style" w:cs="Arial"/>
        </w:rPr>
        <w:t xml:space="preserve"> modificada por las resoluciones CREG 133, 135 y 166 de 2008</w:t>
      </w:r>
      <w:r>
        <w:rPr>
          <w:rFonts w:ascii="Bookman Old Style" w:hAnsi="Bookman Old Style" w:cs="Arial"/>
        </w:rPr>
        <w:t>;</w:t>
      </w:r>
      <w:r w:rsidRPr="00070D55">
        <w:rPr>
          <w:rFonts w:ascii="Bookman Old Style" w:hAnsi="Bookman Old Style" w:cs="Arial"/>
        </w:rPr>
        <w:t xml:space="preserve"> la Comisión aprobó los principios generales y la metodología para el establecimiento de los cargos por uso de los sistemas de transmisión regional (STR) y de distribución local (SDL)</w:t>
      </w:r>
      <w:r>
        <w:rPr>
          <w:rFonts w:ascii="Bookman Old Style" w:hAnsi="Bookman Old Style" w:cs="Arial"/>
        </w:rPr>
        <w:t>, incluyendo normas relativas a la fusión de mercados de energía eléctrica</w:t>
      </w:r>
      <w:r w:rsidRPr="00070D55">
        <w:rPr>
          <w:rFonts w:ascii="Bookman Old Style" w:hAnsi="Bookman Old Style" w:cs="Arial"/>
        </w:rPr>
        <w:t>;</w:t>
      </w:r>
    </w:p>
    <w:p w14:paraId="6BE4E9B2" w14:textId="77777777" w:rsidR="00AD4068" w:rsidRPr="00070D55" w:rsidRDefault="00AD4068" w:rsidP="00AD4068">
      <w:pPr>
        <w:autoSpaceDE w:val="0"/>
        <w:autoSpaceDN w:val="0"/>
        <w:adjustRightInd w:val="0"/>
        <w:ind w:left="142"/>
        <w:jc w:val="both"/>
        <w:rPr>
          <w:rFonts w:ascii="Bookman Old Style" w:hAnsi="Bookman Old Style" w:cs="Arial"/>
        </w:rPr>
      </w:pPr>
    </w:p>
    <w:p w14:paraId="47E632EC" w14:textId="77777777" w:rsidR="00AD4068" w:rsidRPr="00070D55"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Mediante la Resolución CREG 180</w:t>
      </w:r>
      <w:r w:rsidRPr="00070D55">
        <w:rPr>
          <w:rFonts w:ascii="Bookman Old Style" w:hAnsi="Bookman Old Style" w:cs="Arial"/>
        </w:rPr>
        <w:t xml:space="preserve"> de 20</w:t>
      </w:r>
      <w:r>
        <w:rPr>
          <w:rFonts w:ascii="Bookman Old Style" w:hAnsi="Bookman Old Style" w:cs="Arial"/>
        </w:rPr>
        <w:t xml:space="preserve">14 </w:t>
      </w:r>
      <w:r w:rsidRPr="00070D55">
        <w:rPr>
          <w:rFonts w:ascii="Bookman Old Style" w:hAnsi="Bookman Old Style" w:cs="Arial"/>
        </w:rPr>
        <w:t xml:space="preserve">la Comisión aprobó los </w:t>
      </w:r>
      <w:r w:rsidRPr="00076E7B">
        <w:rPr>
          <w:rFonts w:ascii="Bookman Old Style" w:hAnsi="Bookman Old Style" w:cs="Arial"/>
        </w:rPr>
        <w:t>criterios generales para determinar la remuneración de la actividad de comercialización de energía eléctrica a usuarios regulados en el Sistema Interconectado Nacional</w:t>
      </w:r>
      <w:r>
        <w:rPr>
          <w:rFonts w:ascii="Bookman Old Style" w:hAnsi="Bookman Old Style" w:cs="Arial"/>
        </w:rPr>
        <w:t>, incluyendo normas relativas a la fusión de mercados de energía eléctrica</w:t>
      </w:r>
      <w:r w:rsidRPr="00070D55">
        <w:rPr>
          <w:rFonts w:ascii="Bookman Old Style" w:hAnsi="Bookman Old Style" w:cs="Arial"/>
        </w:rPr>
        <w:t>;</w:t>
      </w:r>
    </w:p>
    <w:p w14:paraId="653C58E1" w14:textId="77777777" w:rsidR="00AD4068" w:rsidRDefault="00AD4068" w:rsidP="00AD4068">
      <w:pPr>
        <w:autoSpaceDE w:val="0"/>
        <w:autoSpaceDN w:val="0"/>
        <w:adjustRightInd w:val="0"/>
        <w:ind w:left="142"/>
        <w:jc w:val="both"/>
        <w:rPr>
          <w:rFonts w:ascii="Bookman Old Style" w:hAnsi="Bookman Old Style" w:cs="Arial"/>
        </w:rPr>
      </w:pPr>
    </w:p>
    <w:p w14:paraId="572AA513" w14:textId="77777777" w:rsidR="00AD4068" w:rsidRPr="00070D55"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 Resolución CREG 100 de 2009, </w:t>
      </w:r>
      <w:r>
        <w:rPr>
          <w:rFonts w:ascii="Bookman Old Style" w:hAnsi="Bookman Old Style" w:cs="Arial"/>
        </w:rPr>
        <w:t>modificada, entre otras, por las</w:t>
      </w:r>
      <w:r w:rsidRPr="00070D55">
        <w:rPr>
          <w:rFonts w:ascii="Bookman Old Style" w:hAnsi="Bookman Old Style" w:cs="Arial"/>
        </w:rPr>
        <w:t xml:space="preserve"> </w:t>
      </w:r>
      <w:r>
        <w:rPr>
          <w:rFonts w:ascii="Bookman Old Style" w:hAnsi="Bookman Old Style" w:cs="Arial"/>
        </w:rPr>
        <w:t>r</w:t>
      </w:r>
      <w:r w:rsidRPr="00070D55">
        <w:rPr>
          <w:rFonts w:ascii="Bookman Old Style" w:hAnsi="Bookman Old Style" w:cs="Arial"/>
        </w:rPr>
        <w:t>esoluci</w:t>
      </w:r>
      <w:r>
        <w:rPr>
          <w:rFonts w:ascii="Bookman Old Style" w:hAnsi="Bookman Old Style" w:cs="Arial"/>
        </w:rPr>
        <w:t>ones</w:t>
      </w:r>
      <w:r w:rsidRPr="00070D55">
        <w:rPr>
          <w:rFonts w:ascii="Bookman Old Style" w:hAnsi="Bookman Old Style" w:cs="Arial"/>
        </w:rPr>
        <w:t xml:space="preserve"> CREG </w:t>
      </w:r>
      <w:r>
        <w:rPr>
          <w:rFonts w:ascii="Bookman Old Style" w:hAnsi="Bookman Old Style" w:cs="Arial"/>
        </w:rPr>
        <w:t xml:space="preserve">111 de 2012 y </w:t>
      </w:r>
      <w:r w:rsidRPr="00070D55">
        <w:rPr>
          <w:rFonts w:ascii="Bookman Old Style" w:hAnsi="Bookman Old Style" w:cs="Arial"/>
        </w:rPr>
        <w:t>0</w:t>
      </w:r>
      <w:r>
        <w:rPr>
          <w:rFonts w:ascii="Bookman Old Style" w:hAnsi="Bookman Old Style" w:cs="Arial"/>
        </w:rPr>
        <w:t>9</w:t>
      </w:r>
      <w:r w:rsidRPr="00070D55">
        <w:rPr>
          <w:rFonts w:ascii="Bookman Old Style" w:hAnsi="Bookman Old Style" w:cs="Arial"/>
        </w:rPr>
        <w:t>1 de 201</w:t>
      </w:r>
      <w:r>
        <w:rPr>
          <w:rFonts w:ascii="Bookman Old Style" w:hAnsi="Bookman Old Style" w:cs="Arial"/>
        </w:rPr>
        <w:t xml:space="preserve">6, </w:t>
      </w:r>
      <w:r w:rsidRPr="00070D55">
        <w:rPr>
          <w:rFonts w:ascii="Bookman Old Style" w:hAnsi="Bookman Old Style" w:cs="Arial"/>
        </w:rPr>
        <w:t xml:space="preserve">la Comisión aprobó el costo anual por el uso de los activos del nivel de tensión 4 y los cargos máximos de los niveles de tensión 3, 2 y 1 de los activos operados por </w:t>
      </w:r>
      <w:proofErr w:type="spellStart"/>
      <w:r w:rsidRPr="00070D55">
        <w:rPr>
          <w:rFonts w:ascii="Bookman Old Style" w:hAnsi="Bookman Old Style" w:cs="Arial"/>
        </w:rPr>
        <w:t>Codensa</w:t>
      </w:r>
      <w:proofErr w:type="spellEnd"/>
      <w:r w:rsidRPr="00070D55">
        <w:rPr>
          <w:rFonts w:ascii="Bookman Old Style" w:hAnsi="Bookman Old Style" w:cs="Arial"/>
        </w:rPr>
        <w:t xml:space="preserve"> </w:t>
      </w:r>
      <w:r>
        <w:rPr>
          <w:rFonts w:ascii="Bookman Old Style" w:hAnsi="Bookman Old Style" w:cs="Arial"/>
        </w:rPr>
        <w:t>S.A. E.S.P.</w:t>
      </w:r>
      <w:r w:rsidRPr="00070D55">
        <w:rPr>
          <w:rFonts w:ascii="Bookman Old Style" w:hAnsi="Bookman Old Style" w:cs="Arial"/>
        </w:rPr>
        <w:t xml:space="preserve"> en el sistema de transmisión regional (STR) y en el sistema de distribución local (SDL);</w:t>
      </w:r>
    </w:p>
    <w:p w14:paraId="1A0BB4FA" w14:textId="77777777" w:rsidR="00AD4068" w:rsidRPr="00070D55" w:rsidRDefault="00AD4068" w:rsidP="00AD4068">
      <w:pPr>
        <w:autoSpaceDE w:val="0"/>
        <w:autoSpaceDN w:val="0"/>
        <w:adjustRightInd w:val="0"/>
        <w:ind w:left="142"/>
        <w:jc w:val="both"/>
        <w:rPr>
          <w:rFonts w:ascii="Bookman Old Style" w:hAnsi="Bookman Old Style" w:cs="Arial"/>
        </w:rPr>
      </w:pPr>
    </w:p>
    <w:p w14:paraId="6CA7466E" w14:textId="77777777" w:rsidR="003221A2" w:rsidRDefault="003221A2" w:rsidP="00AD4068">
      <w:pPr>
        <w:autoSpaceDE w:val="0"/>
        <w:autoSpaceDN w:val="0"/>
        <w:adjustRightInd w:val="0"/>
        <w:ind w:left="142"/>
        <w:jc w:val="both"/>
        <w:rPr>
          <w:rFonts w:ascii="Bookman Old Style" w:hAnsi="Bookman Old Style" w:cs="Arial"/>
        </w:rPr>
      </w:pPr>
    </w:p>
    <w:p w14:paraId="6845DBC6" w14:textId="77777777" w:rsidR="003221A2" w:rsidRDefault="003221A2" w:rsidP="00AD4068">
      <w:pPr>
        <w:autoSpaceDE w:val="0"/>
        <w:autoSpaceDN w:val="0"/>
        <w:adjustRightInd w:val="0"/>
        <w:ind w:left="142"/>
        <w:jc w:val="both"/>
        <w:rPr>
          <w:rFonts w:ascii="Bookman Old Style" w:hAnsi="Bookman Old Style" w:cs="Arial"/>
        </w:rPr>
      </w:pPr>
    </w:p>
    <w:p w14:paraId="4E2AA3F3" w14:textId="77777777" w:rsidR="00AD4068" w:rsidRPr="00070D55"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 Resolución CREG 10</w:t>
      </w:r>
      <w:r>
        <w:rPr>
          <w:rFonts w:ascii="Bookman Old Style" w:hAnsi="Bookman Old Style" w:cs="Arial"/>
        </w:rPr>
        <w:t>1</w:t>
      </w:r>
      <w:r w:rsidRPr="00070D55">
        <w:rPr>
          <w:rFonts w:ascii="Bookman Old Style" w:hAnsi="Bookman Old Style" w:cs="Arial"/>
        </w:rPr>
        <w:t xml:space="preserve"> de 2009, </w:t>
      </w:r>
      <w:r>
        <w:rPr>
          <w:rFonts w:ascii="Bookman Old Style" w:hAnsi="Bookman Old Style" w:cs="Arial"/>
        </w:rPr>
        <w:t xml:space="preserve">modificada por </w:t>
      </w:r>
      <w:r w:rsidRPr="00070D55">
        <w:rPr>
          <w:rFonts w:ascii="Bookman Old Style" w:hAnsi="Bookman Old Style" w:cs="Arial"/>
        </w:rPr>
        <w:t>la Resolución CREG 0</w:t>
      </w:r>
      <w:r>
        <w:rPr>
          <w:rFonts w:ascii="Bookman Old Style" w:hAnsi="Bookman Old Style" w:cs="Arial"/>
        </w:rPr>
        <w:t>82</w:t>
      </w:r>
      <w:r w:rsidRPr="00070D55">
        <w:rPr>
          <w:rFonts w:ascii="Bookman Old Style" w:hAnsi="Bookman Old Style" w:cs="Arial"/>
        </w:rPr>
        <w:t xml:space="preserve"> de 201</w:t>
      </w:r>
      <w:r>
        <w:rPr>
          <w:rFonts w:ascii="Bookman Old Style" w:hAnsi="Bookman Old Style" w:cs="Arial"/>
        </w:rPr>
        <w:t xml:space="preserve">0, </w:t>
      </w:r>
      <w:r w:rsidRPr="00070D55">
        <w:rPr>
          <w:rFonts w:ascii="Bookman Old Style" w:hAnsi="Bookman Old Style" w:cs="Arial"/>
        </w:rPr>
        <w:t xml:space="preserve">la Comisión aprobó el costo anual por el uso de los activos del nivel de tensión 4 y los cargos máximos de los niveles de tensión 3, 2 y 1 de los activos operados por </w:t>
      </w:r>
      <w:r w:rsidRPr="004F6052">
        <w:rPr>
          <w:rFonts w:ascii="Bookman Old Style" w:hAnsi="Bookman Old Style" w:cs="Arial"/>
        </w:rPr>
        <w:t xml:space="preserve">Empresa </w:t>
      </w:r>
      <w:r>
        <w:rPr>
          <w:rFonts w:ascii="Bookman Old Style" w:hAnsi="Bookman Old Style" w:cs="Arial"/>
        </w:rPr>
        <w:t>d</w:t>
      </w:r>
      <w:r w:rsidRPr="004F6052">
        <w:rPr>
          <w:rFonts w:ascii="Bookman Old Style" w:hAnsi="Bookman Old Style" w:cs="Arial"/>
        </w:rPr>
        <w:t xml:space="preserve">e Energía </w:t>
      </w:r>
      <w:r>
        <w:rPr>
          <w:rFonts w:ascii="Bookman Old Style" w:hAnsi="Bookman Old Style" w:cs="Arial"/>
        </w:rPr>
        <w:t>d</w:t>
      </w:r>
      <w:r w:rsidRPr="004F6052">
        <w:rPr>
          <w:rFonts w:ascii="Bookman Old Style" w:hAnsi="Bookman Old Style" w:cs="Arial"/>
        </w:rPr>
        <w:t>e Cundinamarca</w:t>
      </w:r>
      <w:r w:rsidRPr="00070D55">
        <w:rPr>
          <w:rFonts w:ascii="Bookman Old Style" w:hAnsi="Bookman Old Style" w:cs="Arial"/>
        </w:rPr>
        <w:t xml:space="preserve"> </w:t>
      </w:r>
      <w:r>
        <w:rPr>
          <w:rFonts w:ascii="Bookman Old Style" w:hAnsi="Bookman Old Style" w:cs="Arial"/>
        </w:rPr>
        <w:t>S.A. E.S.P., en adelante EEC,</w:t>
      </w:r>
      <w:r w:rsidRPr="00070D55">
        <w:rPr>
          <w:rFonts w:ascii="Bookman Old Style" w:hAnsi="Bookman Old Style" w:cs="Arial"/>
        </w:rPr>
        <w:t xml:space="preserve"> en el sistema de transmisión regional (STR) y en el sistema de distribución local (SDL);</w:t>
      </w:r>
    </w:p>
    <w:p w14:paraId="54E085E8" w14:textId="77777777" w:rsidR="00AD4068" w:rsidRDefault="00AD4068" w:rsidP="00AD4068">
      <w:pPr>
        <w:autoSpaceDE w:val="0"/>
        <w:autoSpaceDN w:val="0"/>
        <w:adjustRightInd w:val="0"/>
        <w:ind w:left="142"/>
        <w:jc w:val="both"/>
        <w:rPr>
          <w:rFonts w:ascii="Bookman Old Style" w:hAnsi="Bookman Old Style" w:cs="Arial"/>
        </w:rPr>
      </w:pPr>
    </w:p>
    <w:p w14:paraId="447DECF3" w14:textId="77777777"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w:t>
      </w:r>
      <w:r>
        <w:rPr>
          <w:rFonts w:ascii="Bookman Old Style" w:hAnsi="Bookman Old Style" w:cs="Arial"/>
        </w:rPr>
        <w:t>s</w:t>
      </w:r>
      <w:r w:rsidRPr="00070D55">
        <w:rPr>
          <w:rFonts w:ascii="Bookman Old Style" w:hAnsi="Bookman Old Style" w:cs="Arial"/>
        </w:rPr>
        <w:t xml:space="preserve"> </w:t>
      </w:r>
      <w:r>
        <w:rPr>
          <w:rFonts w:ascii="Bookman Old Style" w:hAnsi="Bookman Old Style" w:cs="Arial"/>
        </w:rPr>
        <w:t>r</w:t>
      </w:r>
      <w:r w:rsidRPr="00070D55">
        <w:rPr>
          <w:rFonts w:ascii="Bookman Old Style" w:hAnsi="Bookman Old Style" w:cs="Arial"/>
        </w:rPr>
        <w:t>esoluci</w:t>
      </w:r>
      <w:r>
        <w:rPr>
          <w:rFonts w:ascii="Bookman Old Style" w:hAnsi="Bookman Old Style" w:cs="Arial"/>
        </w:rPr>
        <w:t>ones</w:t>
      </w:r>
      <w:r w:rsidRPr="00070D55">
        <w:rPr>
          <w:rFonts w:ascii="Bookman Old Style" w:hAnsi="Bookman Old Style" w:cs="Arial"/>
        </w:rPr>
        <w:t xml:space="preserve"> CREG 1</w:t>
      </w:r>
      <w:r>
        <w:rPr>
          <w:rFonts w:ascii="Bookman Old Style" w:hAnsi="Bookman Old Style" w:cs="Arial"/>
        </w:rPr>
        <w:t>19</w:t>
      </w:r>
      <w:r w:rsidRPr="00070D55">
        <w:rPr>
          <w:rFonts w:ascii="Bookman Old Style" w:hAnsi="Bookman Old Style" w:cs="Arial"/>
        </w:rPr>
        <w:t xml:space="preserve"> de 20</w:t>
      </w:r>
      <w:r>
        <w:rPr>
          <w:rFonts w:ascii="Bookman Old Style" w:hAnsi="Bookman Old Style" w:cs="Arial"/>
        </w:rPr>
        <w:t xml:space="preserve">10 y 018 de 2011 </w:t>
      </w:r>
      <w:r w:rsidRPr="00070D55">
        <w:rPr>
          <w:rFonts w:ascii="Bookman Old Style" w:hAnsi="Bookman Old Style" w:cs="Arial"/>
        </w:rPr>
        <w:t xml:space="preserve">la Comisión </w:t>
      </w:r>
      <w:r w:rsidRPr="004F6052">
        <w:rPr>
          <w:rFonts w:ascii="Bookman Old Style" w:hAnsi="Bookman Old Style" w:cs="Arial"/>
        </w:rPr>
        <w:t>establec</w:t>
      </w:r>
      <w:r>
        <w:rPr>
          <w:rFonts w:ascii="Bookman Old Style" w:hAnsi="Bookman Old Style" w:cs="Arial"/>
        </w:rPr>
        <w:t>ió</w:t>
      </w:r>
      <w:r w:rsidRPr="004F6052">
        <w:rPr>
          <w:rFonts w:ascii="Bookman Old Style" w:hAnsi="Bookman Old Style" w:cs="Arial"/>
        </w:rPr>
        <w:t xml:space="preserve"> los Índices de Referencia de la Discontinuidad de la</w:t>
      </w:r>
      <w:r>
        <w:rPr>
          <w:rFonts w:ascii="Bookman Old Style" w:hAnsi="Bookman Old Style" w:cs="Arial"/>
        </w:rPr>
        <w:t>s</w:t>
      </w:r>
      <w:r w:rsidRPr="004F6052">
        <w:rPr>
          <w:rFonts w:ascii="Bookman Old Style" w:hAnsi="Bookman Old Style" w:cs="Arial"/>
        </w:rPr>
        <w:t xml:space="preserve"> empresa</w:t>
      </w:r>
      <w:r>
        <w:rPr>
          <w:rFonts w:ascii="Bookman Old Style" w:hAnsi="Bookman Old Style" w:cs="Arial"/>
        </w:rPr>
        <w:t>s</w:t>
      </w:r>
      <w:r w:rsidRPr="004F6052">
        <w:rPr>
          <w:rFonts w:ascii="Bookman Old Style" w:hAnsi="Bookman Old Style" w:cs="Arial"/>
        </w:rPr>
        <w:t xml:space="preserve"> </w:t>
      </w:r>
      <w:proofErr w:type="spellStart"/>
      <w:r w:rsidRPr="004F6052">
        <w:rPr>
          <w:rFonts w:ascii="Bookman Old Style" w:hAnsi="Bookman Old Style" w:cs="Arial"/>
        </w:rPr>
        <w:t>Codensa</w:t>
      </w:r>
      <w:proofErr w:type="spellEnd"/>
      <w:r w:rsidRPr="004F6052">
        <w:rPr>
          <w:rFonts w:ascii="Bookman Old Style" w:hAnsi="Bookman Old Style" w:cs="Arial"/>
        </w:rPr>
        <w:t xml:space="preserve"> S.A. E.S.P.</w:t>
      </w:r>
      <w:r>
        <w:rPr>
          <w:rFonts w:ascii="Bookman Old Style" w:hAnsi="Bookman Old Style" w:cs="Arial"/>
        </w:rPr>
        <w:t xml:space="preserve"> y EEC</w:t>
      </w:r>
      <w:r w:rsidRPr="004F6052">
        <w:rPr>
          <w:rFonts w:ascii="Bookman Old Style" w:hAnsi="Bookman Old Style" w:cs="Arial"/>
        </w:rPr>
        <w:t xml:space="preserve"> S.A. E.S.P.</w:t>
      </w:r>
      <w:r>
        <w:rPr>
          <w:rFonts w:ascii="Bookman Old Style" w:hAnsi="Bookman Old Style" w:cs="Arial"/>
        </w:rPr>
        <w:t xml:space="preserve"> respectivamente;</w:t>
      </w:r>
    </w:p>
    <w:p w14:paraId="2DF7EDAF" w14:textId="77777777" w:rsidR="00AD4068" w:rsidRDefault="00AD4068" w:rsidP="00AD4068">
      <w:pPr>
        <w:autoSpaceDE w:val="0"/>
        <w:autoSpaceDN w:val="0"/>
        <w:adjustRightInd w:val="0"/>
        <w:ind w:left="142"/>
        <w:jc w:val="both"/>
        <w:rPr>
          <w:rFonts w:ascii="Bookman Old Style" w:hAnsi="Bookman Old Style" w:cs="Arial"/>
        </w:rPr>
      </w:pPr>
    </w:p>
    <w:p w14:paraId="1B663063" w14:textId="77777777"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w:t>
      </w:r>
      <w:r>
        <w:rPr>
          <w:rFonts w:ascii="Bookman Old Style" w:hAnsi="Bookman Old Style" w:cs="Arial"/>
        </w:rPr>
        <w:t>s</w:t>
      </w:r>
      <w:r w:rsidRPr="00070D55">
        <w:rPr>
          <w:rFonts w:ascii="Bookman Old Style" w:hAnsi="Bookman Old Style" w:cs="Arial"/>
        </w:rPr>
        <w:t xml:space="preserve"> </w:t>
      </w:r>
      <w:r>
        <w:rPr>
          <w:rFonts w:ascii="Bookman Old Style" w:hAnsi="Bookman Old Style" w:cs="Arial"/>
        </w:rPr>
        <w:t>r</w:t>
      </w:r>
      <w:r w:rsidRPr="00070D55">
        <w:rPr>
          <w:rFonts w:ascii="Bookman Old Style" w:hAnsi="Bookman Old Style" w:cs="Arial"/>
        </w:rPr>
        <w:t>esoluci</w:t>
      </w:r>
      <w:r>
        <w:rPr>
          <w:rFonts w:ascii="Bookman Old Style" w:hAnsi="Bookman Old Style" w:cs="Arial"/>
        </w:rPr>
        <w:t>ones</w:t>
      </w:r>
      <w:r w:rsidRPr="00070D55">
        <w:rPr>
          <w:rFonts w:ascii="Bookman Old Style" w:hAnsi="Bookman Old Style" w:cs="Arial"/>
        </w:rPr>
        <w:t xml:space="preserve"> CREG 1</w:t>
      </w:r>
      <w:r>
        <w:rPr>
          <w:rFonts w:ascii="Bookman Old Style" w:hAnsi="Bookman Old Style" w:cs="Arial"/>
        </w:rPr>
        <w:t>20</w:t>
      </w:r>
      <w:r w:rsidRPr="00070D55">
        <w:rPr>
          <w:rFonts w:ascii="Bookman Old Style" w:hAnsi="Bookman Old Style" w:cs="Arial"/>
        </w:rPr>
        <w:t xml:space="preserve"> </w:t>
      </w:r>
      <w:r>
        <w:rPr>
          <w:rFonts w:ascii="Bookman Old Style" w:hAnsi="Bookman Old Style" w:cs="Arial"/>
        </w:rPr>
        <w:t xml:space="preserve">y 186 de 2015 </w:t>
      </w:r>
      <w:r w:rsidRPr="00070D55">
        <w:rPr>
          <w:rFonts w:ascii="Bookman Old Style" w:hAnsi="Bookman Old Style" w:cs="Arial"/>
        </w:rPr>
        <w:t xml:space="preserve">la Comisión </w:t>
      </w:r>
      <w:r>
        <w:rPr>
          <w:rFonts w:ascii="Bookman Old Style" w:hAnsi="Bookman Old Style" w:cs="Arial"/>
        </w:rPr>
        <w:t xml:space="preserve">aprobó </w:t>
      </w:r>
      <w:r w:rsidRPr="004F6052">
        <w:rPr>
          <w:rFonts w:ascii="Bookman Old Style" w:hAnsi="Bookman Old Style" w:cs="Arial"/>
        </w:rPr>
        <w:t xml:space="preserve">los </w:t>
      </w:r>
      <w:r w:rsidRPr="00C61EFF">
        <w:rPr>
          <w:rFonts w:ascii="Bookman Old Style" w:hAnsi="Bookman Old Style" w:cs="Arial"/>
        </w:rPr>
        <w:t>costo</w:t>
      </w:r>
      <w:r>
        <w:rPr>
          <w:rFonts w:ascii="Bookman Old Style" w:hAnsi="Bookman Old Style" w:cs="Arial"/>
        </w:rPr>
        <w:t>s</w:t>
      </w:r>
      <w:r w:rsidRPr="00C61EFF">
        <w:rPr>
          <w:rFonts w:ascii="Bookman Old Style" w:hAnsi="Bookman Old Style" w:cs="Arial"/>
        </w:rPr>
        <w:t xml:space="preserve"> base de comercialización, el riesgo de cartera para usuarios tradicionales y para usuarios en áreas especiales de</w:t>
      </w:r>
      <w:r>
        <w:rPr>
          <w:rFonts w:ascii="Bookman Old Style" w:hAnsi="Bookman Old Style" w:cs="Arial"/>
        </w:rPr>
        <w:t xml:space="preserve"> </w:t>
      </w:r>
      <w:r w:rsidRPr="00C61EFF">
        <w:rPr>
          <w:rFonts w:ascii="Bookman Old Style" w:hAnsi="Bookman Old Style" w:cs="Arial"/>
        </w:rPr>
        <w:t>l</w:t>
      </w:r>
      <w:r>
        <w:rPr>
          <w:rFonts w:ascii="Bookman Old Style" w:hAnsi="Bookman Old Style" w:cs="Arial"/>
        </w:rPr>
        <w:t>os</w:t>
      </w:r>
      <w:r w:rsidRPr="00C61EFF">
        <w:rPr>
          <w:rFonts w:ascii="Bookman Old Style" w:hAnsi="Bookman Old Style" w:cs="Arial"/>
        </w:rPr>
        <w:t xml:space="preserve"> mercado</w:t>
      </w:r>
      <w:r>
        <w:rPr>
          <w:rFonts w:ascii="Bookman Old Style" w:hAnsi="Bookman Old Style" w:cs="Arial"/>
        </w:rPr>
        <w:t>s</w:t>
      </w:r>
      <w:r w:rsidRPr="00C61EFF">
        <w:rPr>
          <w:rFonts w:ascii="Bookman Old Style" w:hAnsi="Bookman Old Style" w:cs="Arial"/>
        </w:rPr>
        <w:t xml:space="preserve"> de comercialización atendido</w:t>
      </w:r>
      <w:r>
        <w:rPr>
          <w:rFonts w:ascii="Bookman Old Style" w:hAnsi="Bookman Old Style" w:cs="Arial"/>
        </w:rPr>
        <w:t>s</w:t>
      </w:r>
      <w:r w:rsidRPr="00C61EFF">
        <w:rPr>
          <w:rFonts w:ascii="Bookman Old Style" w:hAnsi="Bookman Old Style" w:cs="Arial"/>
        </w:rPr>
        <w:t xml:space="preserve"> por </w:t>
      </w:r>
      <w:proofErr w:type="spellStart"/>
      <w:r>
        <w:rPr>
          <w:rFonts w:ascii="Bookman Old Style" w:hAnsi="Bookman Old Style" w:cs="Arial"/>
        </w:rPr>
        <w:t>Codensa</w:t>
      </w:r>
      <w:proofErr w:type="spellEnd"/>
      <w:r>
        <w:rPr>
          <w:rFonts w:ascii="Bookman Old Style" w:hAnsi="Bookman Old Style" w:cs="Arial"/>
        </w:rPr>
        <w:t xml:space="preserve"> S.A. E.S.P. y </w:t>
      </w:r>
      <w:r w:rsidRPr="00C61EFF">
        <w:rPr>
          <w:rFonts w:ascii="Bookman Old Style" w:hAnsi="Bookman Old Style" w:cs="Arial"/>
        </w:rPr>
        <w:t xml:space="preserve">la </w:t>
      </w:r>
      <w:r>
        <w:rPr>
          <w:rFonts w:ascii="Bookman Old Style" w:hAnsi="Bookman Old Style" w:cs="Arial"/>
        </w:rPr>
        <w:t>EEC</w:t>
      </w:r>
      <w:r w:rsidRPr="00C61EFF">
        <w:rPr>
          <w:rFonts w:ascii="Bookman Old Style" w:hAnsi="Bookman Old Style" w:cs="Arial"/>
        </w:rPr>
        <w:t xml:space="preserve"> S.A. E.S.P.</w:t>
      </w:r>
      <w:r>
        <w:rPr>
          <w:rFonts w:ascii="Bookman Old Style" w:hAnsi="Bookman Old Style" w:cs="Arial"/>
        </w:rPr>
        <w:t xml:space="preserve"> respectivamente;</w:t>
      </w:r>
    </w:p>
    <w:p w14:paraId="3A5B0953" w14:textId="77777777" w:rsidR="00AD4068" w:rsidRPr="00413B9F" w:rsidRDefault="00AD4068" w:rsidP="00AD4068">
      <w:pPr>
        <w:autoSpaceDE w:val="0"/>
        <w:autoSpaceDN w:val="0"/>
        <w:adjustRightInd w:val="0"/>
        <w:ind w:left="142"/>
        <w:jc w:val="both"/>
        <w:rPr>
          <w:rFonts w:ascii="Bookman Old Style" w:hAnsi="Bookman Old Style" w:cs="Arial"/>
        </w:rPr>
      </w:pPr>
    </w:p>
    <w:p w14:paraId="51819A4E" w14:textId="77777777" w:rsidR="00AD4068" w:rsidRPr="00413B9F" w:rsidRDefault="00AD4068" w:rsidP="00AD4068">
      <w:pPr>
        <w:autoSpaceDE w:val="0"/>
        <w:autoSpaceDN w:val="0"/>
        <w:adjustRightInd w:val="0"/>
        <w:ind w:left="142"/>
        <w:jc w:val="both"/>
        <w:rPr>
          <w:rFonts w:ascii="Bookman Old Style" w:hAnsi="Bookman Old Style" w:cs="Arial"/>
        </w:rPr>
      </w:pPr>
      <w:r w:rsidRPr="00413B9F">
        <w:rPr>
          <w:rFonts w:ascii="Bookman Old Style" w:hAnsi="Bookman Old Style" w:cs="Arial"/>
        </w:rPr>
        <w:t>El artículo 4º de la Resolución CREG 128 de 1996, modificado por la Resolución 024 de 2009, establece el límite a la participación en la actividad de comercialización en 25%;</w:t>
      </w:r>
    </w:p>
    <w:p w14:paraId="7409846A" w14:textId="77777777" w:rsidR="00AD4068" w:rsidRPr="00413B9F" w:rsidRDefault="00AD4068" w:rsidP="00AD4068">
      <w:pPr>
        <w:autoSpaceDE w:val="0"/>
        <w:autoSpaceDN w:val="0"/>
        <w:adjustRightInd w:val="0"/>
        <w:ind w:left="142"/>
        <w:jc w:val="both"/>
        <w:rPr>
          <w:rFonts w:ascii="Bookman Old Style" w:hAnsi="Bookman Old Style" w:cs="Arial"/>
        </w:rPr>
      </w:pPr>
    </w:p>
    <w:p w14:paraId="2C29CDCC" w14:textId="77777777"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 xml:space="preserve">A través de la comunicación </w:t>
      </w:r>
      <w:r w:rsidRPr="00805B46">
        <w:rPr>
          <w:rFonts w:ascii="Bookman Old Style" w:hAnsi="Bookman Old Style" w:cs="Arial"/>
        </w:rPr>
        <w:t xml:space="preserve">con radicado CREG E-2016-007875, las empresas </w:t>
      </w:r>
      <w:proofErr w:type="spellStart"/>
      <w:r w:rsidRPr="00805B46">
        <w:rPr>
          <w:rFonts w:ascii="Bookman Old Style" w:hAnsi="Bookman Old Style" w:cs="Arial"/>
        </w:rPr>
        <w:t>Codensa</w:t>
      </w:r>
      <w:proofErr w:type="spellEnd"/>
      <w:r w:rsidRPr="00805B46">
        <w:rPr>
          <w:rFonts w:ascii="Bookman Old Style" w:hAnsi="Bookman Old Style" w:cs="Arial"/>
        </w:rPr>
        <w:t xml:space="preserve"> S.A. E.S.P. y EEC S.A. E.S.P. solicitaron la integración de sus mercados de comercialización</w:t>
      </w:r>
      <w:r>
        <w:rPr>
          <w:rFonts w:ascii="Bookman Old Style" w:hAnsi="Bookman Old Style" w:cs="Arial"/>
        </w:rPr>
        <w:t>;</w:t>
      </w:r>
    </w:p>
    <w:p w14:paraId="5AC8C52D" w14:textId="77777777" w:rsidR="00AD4068" w:rsidRDefault="00AD4068" w:rsidP="00AD4068">
      <w:pPr>
        <w:autoSpaceDE w:val="0"/>
        <w:autoSpaceDN w:val="0"/>
        <w:adjustRightInd w:val="0"/>
        <w:ind w:left="142"/>
        <w:jc w:val="both"/>
        <w:rPr>
          <w:rFonts w:ascii="Bookman Old Style" w:hAnsi="Bookman Old Style" w:cs="Arial"/>
        </w:rPr>
      </w:pPr>
    </w:p>
    <w:p w14:paraId="634146C8" w14:textId="09FBE3D2"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 xml:space="preserve">Para efectos de asignación de subsidios la CREG expidió la Resolución CREG 186 de 2010, diferenciando la aplicación de límites de subsidios para mercados nuevos y para mercados existentes, </w:t>
      </w:r>
      <w:r w:rsidR="00FD6134">
        <w:rPr>
          <w:rFonts w:ascii="Bookman Old Style" w:hAnsi="Bookman Old Style" w:cs="Arial"/>
        </w:rPr>
        <w:t>considerando</w:t>
      </w:r>
      <w:r>
        <w:rPr>
          <w:rFonts w:ascii="Bookman Old Style" w:hAnsi="Bookman Old Style" w:cs="Arial"/>
        </w:rPr>
        <w:t xml:space="preserve"> que un mercado nuevo de comercialización es conformado por aquel sistema que solicita aprobación de cargos a la Comisión por primera vez, mientras que el sistema resultante de la integración de dos mercados existentes no se considera como un mercado nuevo de comercialización;</w:t>
      </w:r>
    </w:p>
    <w:p w14:paraId="5A455506" w14:textId="77777777" w:rsidR="00AD4068" w:rsidRDefault="00AD4068" w:rsidP="00AD4068">
      <w:pPr>
        <w:autoSpaceDE w:val="0"/>
        <w:autoSpaceDN w:val="0"/>
        <w:adjustRightInd w:val="0"/>
        <w:ind w:left="142"/>
        <w:jc w:val="both"/>
        <w:rPr>
          <w:rFonts w:ascii="Bookman Old Style" w:hAnsi="Bookman Old Style" w:cs="Arial"/>
        </w:rPr>
      </w:pPr>
    </w:p>
    <w:p w14:paraId="30DBB660" w14:textId="13FAF428" w:rsidR="00AD4068" w:rsidRDefault="00AD4068" w:rsidP="00AD4068">
      <w:pPr>
        <w:autoSpaceDE w:val="0"/>
        <w:autoSpaceDN w:val="0"/>
        <w:adjustRightInd w:val="0"/>
        <w:ind w:left="142"/>
        <w:jc w:val="both"/>
        <w:rPr>
          <w:rFonts w:ascii="Bookman Old Style" w:hAnsi="Bookman Old Style" w:cs="Arial"/>
        </w:rPr>
      </w:pPr>
      <w:r w:rsidRPr="00F24856">
        <w:rPr>
          <w:rFonts w:ascii="Bookman Old Style" w:hAnsi="Bookman Old Style" w:cs="Arial"/>
        </w:rPr>
        <w:t>El porcentaje de participación directa de una empresa en la actividad de comercialización</w:t>
      </w:r>
      <w:r>
        <w:rPr>
          <w:rFonts w:ascii="Bookman Old Style" w:hAnsi="Bookman Old Style" w:cs="Arial"/>
        </w:rPr>
        <w:t xml:space="preserve">, calculado </w:t>
      </w:r>
      <w:r w:rsidRPr="00F24856">
        <w:rPr>
          <w:rFonts w:ascii="Bookman Old Style" w:hAnsi="Bookman Old Style" w:cs="Arial"/>
        </w:rPr>
        <w:t>como el cociente, multiplicado por cien, entre la demanda comercial de la</w:t>
      </w:r>
      <w:r>
        <w:rPr>
          <w:rFonts w:ascii="Bookman Old Style" w:hAnsi="Bookman Old Style" w:cs="Arial"/>
        </w:rPr>
        <w:t>s</w:t>
      </w:r>
      <w:r w:rsidRPr="00F24856">
        <w:rPr>
          <w:rFonts w:ascii="Bookman Old Style" w:hAnsi="Bookman Old Style" w:cs="Arial"/>
        </w:rPr>
        <w:t xml:space="preserve"> empresa, incluida la cantidad que ella atiende de la </w:t>
      </w:r>
      <w:r w:rsidR="007401EC" w:rsidRPr="00F24856">
        <w:rPr>
          <w:rFonts w:ascii="Bookman Old Style" w:hAnsi="Bookman Old Style" w:cs="Arial"/>
        </w:rPr>
        <w:t>demanda no doméstica</w:t>
      </w:r>
      <w:r w:rsidRPr="00F24856">
        <w:rPr>
          <w:rFonts w:ascii="Bookman Old Style" w:hAnsi="Bookman Old Style" w:cs="Arial"/>
        </w:rPr>
        <w:t xml:space="preserve">, y la suma de la </w:t>
      </w:r>
      <w:r w:rsidR="007401EC" w:rsidRPr="00F24856">
        <w:rPr>
          <w:rFonts w:ascii="Bookman Old Style" w:hAnsi="Bookman Old Style" w:cs="Arial"/>
        </w:rPr>
        <w:t xml:space="preserve">demanda total </w:t>
      </w:r>
      <w:r w:rsidRPr="00F24856">
        <w:rPr>
          <w:rFonts w:ascii="Bookman Old Style" w:hAnsi="Bookman Old Style" w:cs="Arial"/>
        </w:rPr>
        <w:t xml:space="preserve">y la </w:t>
      </w:r>
      <w:r w:rsidR="007401EC" w:rsidRPr="00F24856">
        <w:rPr>
          <w:rFonts w:ascii="Bookman Old Style" w:hAnsi="Bookman Old Style" w:cs="Arial"/>
        </w:rPr>
        <w:t>demanda no doméstica</w:t>
      </w:r>
      <w:r>
        <w:rPr>
          <w:rFonts w:ascii="Bookman Old Style" w:hAnsi="Bookman Old Style" w:cs="Arial"/>
        </w:rPr>
        <w:t xml:space="preserve">; es igual a 21%. Este cálculo se efectuó considerando la demanda comercial de las empresas </w:t>
      </w:r>
      <w:proofErr w:type="spellStart"/>
      <w:r>
        <w:rPr>
          <w:rFonts w:ascii="Bookman Old Style" w:hAnsi="Bookman Old Style" w:cs="Arial"/>
        </w:rPr>
        <w:t>Codensa</w:t>
      </w:r>
      <w:proofErr w:type="spellEnd"/>
      <w:r>
        <w:rPr>
          <w:rFonts w:ascii="Bookman Old Style" w:hAnsi="Bookman Old Style" w:cs="Arial"/>
        </w:rPr>
        <w:t xml:space="preserve"> S.A. E.S.P., EEC S.A. E.S.P. y </w:t>
      </w:r>
      <w:proofErr w:type="spellStart"/>
      <w:r>
        <w:rPr>
          <w:rFonts w:ascii="Bookman Old Style" w:hAnsi="Bookman Old Style" w:cs="Arial"/>
        </w:rPr>
        <w:t>Emgesa</w:t>
      </w:r>
      <w:proofErr w:type="spellEnd"/>
      <w:r>
        <w:rPr>
          <w:rFonts w:ascii="Bookman Old Style" w:hAnsi="Bookman Old Style" w:cs="Arial"/>
        </w:rPr>
        <w:t xml:space="preserve"> S.A. E.S.P. en el período julio 2015 – junio 2016;</w:t>
      </w:r>
    </w:p>
    <w:p w14:paraId="77F049A1" w14:textId="77777777" w:rsidR="00AD4068" w:rsidRDefault="00AD4068" w:rsidP="00AD4068">
      <w:pPr>
        <w:autoSpaceDE w:val="0"/>
        <w:autoSpaceDN w:val="0"/>
        <w:adjustRightInd w:val="0"/>
        <w:ind w:left="142"/>
        <w:jc w:val="both"/>
        <w:rPr>
          <w:rFonts w:ascii="Bookman Old Style" w:hAnsi="Bookman Old Style" w:cs="Arial"/>
        </w:rPr>
      </w:pPr>
    </w:p>
    <w:p w14:paraId="58458DA3" w14:textId="77777777"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Dado que no existe una norma asociada con la determinación de las variables IRAD, IRADK e IRGP para una empresa resultante de la integración de dos OR, se asimila la norma de ponderación de los valores de cada una de ellas por la energía en cada nivel de tensión, al igual que las demás variables presentadas;</w:t>
      </w:r>
    </w:p>
    <w:p w14:paraId="7F5792A2" w14:textId="77777777" w:rsidR="00AD4068" w:rsidRDefault="00AD4068" w:rsidP="00AD4068">
      <w:pPr>
        <w:autoSpaceDE w:val="0"/>
        <w:autoSpaceDN w:val="0"/>
        <w:adjustRightInd w:val="0"/>
        <w:ind w:left="142"/>
        <w:jc w:val="both"/>
        <w:rPr>
          <w:rFonts w:ascii="Bookman Old Style" w:hAnsi="Bookman Old Style" w:cs="Arial"/>
        </w:rPr>
      </w:pPr>
    </w:p>
    <w:p w14:paraId="5DA14AAF" w14:textId="77777777"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Los datos de energía de 2007 de cada nivel de tensión con base en los cuales se efectuaron las ponderaciones correspondientes son:</w:t>
      </w:r>
    </w:p>
    <w:p w14:paraId="0FBB02E7" w14:textId="77777777" w:rsidR="00AD4068" w:rsidRDefault="00AD4068" w:rsidP="00AD4068">
      <w:pPr>
        <w:autoSpaceDE w:val="0"/>
        <w:autoSpaceDN w:val="0"/>
        <w:adjustRightInd w:val="0"/>
        <w:ind w:left="142"/>
        <w:jc w:val="both"/>
        <w:rPr>
          <w:rFonts w:ascii="Bookman Old Style" w:hAnsi="Bookman Old Style" w:cs="Arial"/>
        </w:rPr>
      </w:pPr>
    </w:p>
    <w:p w14:paraId="5B0D37D5" w14:textId="77777777" w:rsidR="003221A2" w:rsidRDefault="003221A2" w:rsidP="00AD4068">
      <w:pPr>
        <w:autoSpaceDE w:val="0"/>
        <w:autoSpaceDN w:val="0"/>
        <w:adjustRightInd w:val="0"/>
        <w:ind w:left="142"/>
        <w:jc w:val="both"/>
        <w:rPr>
          <w:rFonts w:ascii="Bookman Old Style" w:hAnsi="Bookman Old Style" w:cs="Arial"/>
        </w:rPr>
      </w:pPr>
    </w:p>
    <w:p w14:paraId="2523DEB7" w14:textId="77777777" w:rsidR="003221A2" w:rsidRDefault="003221A2" w:rsidP="00AD4068">
      <w:pPr>
        <w:autoSpaceDE w:val="0"/>
        <w:autoSpaceDN w:val="0"/>
        <w:adjustRightInd w:val="0"/>
        <w:ind w:left="142"/>
        <w:jc w:val="both"/>
        <w:rPr>
          <w:rFonts w:ascii="Bookman Old Style" w:hAnsi="Bookman Old Style" w:cs="Arial"/>
        </w:rPr>
      </w:pPr>
    </w:p>
    <w:p w14:paraId="6C23E161" w14:textId="77777777" w:rsidR="003221A2" w:rsidRDefault="003221A2" w:rsidP="00AD4068">
      <w:pPr>
        <w:autoSpaceDE w:val="0"/>
        <w:autoSpaceDN w:val="0"/>
        <w:adjustRightInd w:val="0"/>
        <w:ind w:left="142"/>
        <w:jc w:val="both"/>
        <w:rPr>
          <w:rFonts w:ascii="Bookman Old Style" w:hAnsi="Bookman Old Style" w:cs="Arial"/>
        </w:rPr>
      </w:pPr>
    </w:p>
    <w:p w14:paraId="146B1DE7" w14:textId="52A86845" w:rsidR="00AD4068" w:rsidRDefault="00B510BD" w:rsidP="00AD4068">
      <w:pPr>
        <w:autoSpaceDE w:val="0"/>
        <w:autoSpaceDN w:val="0"/>
        <w:adjustRightInd w:val="0"/>
        <w:ind w:left="142"/>
        <w:jc w:val="center"/>
        <w:rPr>
          <w:rFonts w:ascii="Bookman Old Style" w:hAnsi="Bookman Old Style" w:cs="Arial"/>
        </w:rPr>
      </w:pPr>
      <w:r w:rsidRPr="00B510BD">
        <w:rPr>
          <w:noProof/>
          <w:lang w:val="es-CO" w:eastAsia="es-CO"/>
        </w:rPr>
        <w:drawing>
          <wp:inline distT="0" distB="0" distL="0" distR="0" wp14:anchorId="2FA14FF6" wp14:editId="1976F7A4">
            <wp:extent cx="4735268" cy="657894"/>
            <wp:effectExtent l="0" t="0" r="8255"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6642" cy="663642"/>
                    </a:xfrm>
                    <a:prstGeom prst="rect">
                      <a:avLst/>
                    </a:prstGeom>
                    <a:noFill/>
                    <a:ln>
                      <a:noFill/>
                    </a:ln>
                  </pic:spPr>
                </pic:pic>
              </a:graphicData>
            </a:graphic>
          </wp:inline>
        </w:drawing>
      </w:r>
    </w:p>
    <w:p w14:paraId="6C66F36B" w14:textId="77777777" w:rsidR="00AD4068" w:rsidRDefault="00AD4068" w:rsidP="00AD4068">
      <w:pPr>
        <w:autoSpaceDE w:val="0"/>
        <w:autoSpaceDN w:val="0"/>
        <w:adjustRightInd w:val="0"/>
        <w:ind w:left="142"/>
        <w:jc w:val="both"/>
        <w:rPr>
          <w:rFonts w:ascii="Bookman Old Style" w:hAnsi="Bookman Old Style" w:cs="Arial"/>
        </w:rPr>
      </w:pPr>
    </w:p>
    <w:p w14:paraId="44953B2B" w14:textId="77777777"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Los datos de cantidad de facturas para efectos de ponderar los valores de comercialización son:</w:t>
      </w:r>
    </w:p>
    <w:p w14:paraId="2C0BBEA8" w14:textId="77777777" w:rsidR="00AD4068" w:rsidRDefault="00AD4068" w:rsidP="00AD4068">
      <w:pPr>
        <w:autoSpaceDE w:val="0"/>
        <w:autoSpaceDN w:val="0"/>
        <w:adjustRightInd w:val="0"/>
        <w:ind w:left="142"/>
        <w:jc w:val="both"/>
        <w:rPr>
          <w:rFonts w:ascii="Bookman Old Style" w:hAnsi="Bookman Old Style" w:cs="Arial"/>
        </w:rPr>
      </w:pPr>
    </w:p>
    <w:p w14:paraId="599E0B4C" w14:textId="34A8D691" w:rsidR="00AD4068" w:rsidRDefault="00B510BD" w:rsidP="00AD4068">
      <w:pPr>
        <w:autoSpaceDE w:val="0"/>
        <w:autoSpaceDN w:val="0"/>
        <w:adjustRightInd w:val="0"/>
        <w:ind w:left="142"/>
        <w:jc w:val="center"/>
        <w:rPr>
          <w:rFonts w:ascii="Bookman Old Style" w:hAnsi="Bookman Old Style" w:cs="Arial"/>
        </w:rPr>
      </w:pPr>
      <w:r w:rsidRPr="00B510BD">
        <w:rPr>
          <w:noProof/>
          <w:lang w:val="es-CO" w:eastAsia="es-CO"/>
        </w:rPr>
        <w:drawing>
          <wp:inline distT="0" distB="0" distL="0" distR="0" wp14:anchorId="27F8EF63" wp14:editId="52FEA98B">
            <wp:extent cx="4572653" cy="454960"/>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7617" cy="473363"/>
                    </a:xfrm>
                    <a:prstGeom prst="rect">
                      <a:avLst/>
                    </a:prstGeom>
                    <a:noFill/>
                    <a:ln>
                      <a:noFill/>
                    </a:ln>
                  </pic:spPr>
                </pic:pic>
              </a:graphicData>
            </a:graphic>
          </wp:inline>
        </w:drawing>
      </w:r>
    </w:p>
    <w:p w14:paraId="1F243B67" w14:textId="77777777" w:rsidR="00AD4068" w:rsidRDefault="00AD4068" w:rsidP="00AD4068">
      <w:pPr>
        <w:autoSpaceDE w:val="0"/>
        <w:autoSpaceDN w:val="0"/>
        <w:adjustRightInd w:val="0"/>
        <w:ind w:left="142"/>
        <w:jc w:val="both"/>
        <w:rPr>
          <w:rFonts w:ascii="Bookman Old Style" w:hAnsi="Bookman Old Style" w:cs="Arial"/>
        </w:rPr>
      </w:pPr>
    </w:p>
    <w:p w14:paraId="4C079B42" w14:textId="794267C4" w:rsidR="00AD4068" w:rsidRDefault="00AD4068" w:rsidP="00AD4068">
      <w:pPr>
        <w:autoSpaceDE w:val="0"/>
        <w:autoSpaceDN w:val="0"/>
        <w:adjustRightInd w:val="0"/>
        <w:ind w:left="142"/>
        <w:jc w:val="both"/>
        <w:rPr>
          <w:rFonts w:ascii="Bookman Old Style" w:hAnsi="Bookman Old Style" w:cs="Arial"/>
        </w:rPr>
      </w:pPr>
      <w:r>
        <w:rPr>
          <w:rFonts w:ascii="Bookman Old Style" w:hAnsi="Bookman Old Style" w:cs="Arial"/>
        </w:rPr>
        <w:t>L</w:t>
      </w:r>
      <w:r w:rsidRPr="002D05B7">
        <w:rPr>
          <w:rFonts w:ascii="Bookman Old Style" w:hAnsi="Bookman Old Style" w:cs="Arial"/>
        </w:rPr>
        <w:t>a Comisión, en sesión No</w:t>
      </w:r>
      <w:r w:rsidRPr="00445B89">
        <w:rPr>
          <w:rFonts w:ascii="Bookman Old Style" w:hAnsi="Bookman Old Style" w:cs="Arial"/>
        </w:rPr>
        <w:t xml:space="preserve">. </w:t>
      </w:r>
      <w:r w:rsidR="003221A2">
        <w:rPr>
          <w:rFonts w:ascii="Bookman Old Style" w:hAnsi="Bookman Old Style" w:cs="Arial"/>
        </w:rPr>
        <w:t>746</w:t>
      </w:r>
      <w:r w:rsidRPr="00445B89">
        <w:rPr>
          <w:rFonts w:ascii="Bookman Old Style" w:hAnsi="Bookman Old Style" w:cs="Arial"/>
        </w:rPr>
        <w:t xml:space="preserve"> del día </w:t>
      </w:r>
      <w:r w:rsidR="003221A2">
        <w:rPr>
          <w:rFonts w:ascii="Bookman Old Style" w:hAnsi="Bookman Old Style" w:cs="Arial"/>
        </w:rPr>
        <w:t>21</w:t>
      </w:r>
      <w:r w:rsidRPr="00445B89">
        <w:rPr>
          <w:rFonts w:ascii="Bookman Old Style" w:hAnsi="Bookman Old Style" w:cs="Arial"/>
        </w:rPr>
        <w:t xml:space="preserve"> de </w:t>
      </w:r>
      <w:r>
        <w:rPr>
          <w:rFonts w:ascii="Bookman Old Style" w:hAnsi="Bookman Old Style" w:cs="Arial"/>
        </w:rPr>
        <w:t xml:space="preserve">noviembre </w:t>
      </w:r>
      <w:r w:rsidRPr="002D05B7">
        <w:rPr>
          <w:rFonts w:ascii="Bookman Old Style" w:hAnsi="Bookman Old Style" w:cs="Arial"/>
        </w:rPr>
        <w:t>de 201</w:t>
      </w:r>
      <w:r>
        <w:rPr>
          <w:rFonts w:ascii="Bookman Old Style" w:hAnsi="Bookman Old Style" w:cs="Arial"/>
        </w:rPr>
        <w:t>6</w:t>
      </w:r>
      <w:r w:rsidRPr="002D05B7">
        <w:rPr>
          <w:rFonts w:ascii="Bookman Old Style" w:hAnsi="Bookman Old Style" w:cs="Arial"/>
        </w:rPr>
        <w:t xml:space="preserve"> </w:t>
      </w:r>
      <w:r>
        <w:rPr>
          <w:rFonts w:ascii="Bookman Old Style" w:hAnsi="Bookman Old Style" w:cs="Arial"/>
        </w:rPr>
        <w:t>acordó expedir la presente resolución;</w:t>
      </w:r>
    </w:p>
    <w:p w14:paraId="5ADC1FB2" w14:textId="77777777" w:rsidR="00AD4068" w:rsidRPr="003221A2" w:rsidRDefault="00AD4068" w:rsidP="00AD4068">
      <w:pPr>
        <w:autoSpaceDE w:val="0"/>
        <w:autoSpaceDN w:val="0"/>
        <w:adjustRightInd w:val="0"/>
        <w:ind w:left="142"/>
        <w:jc w:val="both"/>
        <w:rPr>
          <w:rFonts w:ascii="Bookman Old Style" w:hAnsi="Bookman Old Style" w:cs="Arial"/>
          <w:lang w:eastAsia="es-CO"/>
        </w:rPr>
      </w:pPr>
    </w:p>
    <w:p w14:paraId="49B8DF02" w14:textId="77777777" w:rsidR="00AD4068" w:rsidRDefault="00AD4068" w:rsidP="00AD4068">
      <w:pPr>
        <w:spacing w:after="240"/>
        <w:ind w:left="142"/>
        <w:jc w:val="center"/>
        <w:rPr>
          <w:rFonts w:ascii="Bookman Old Style" w:hAnsi="Bookman Old Style" w:cs="Arial"/>
          <w:b/>
          <w:bCs/>
          <w:lang w:val="es-CO" w:eastAsia="es-CO"/>
        </w:rPr>
      </w:pPr>
      <w:r w:rsidRPr="00482AB3">
        <w:rPr>
          <w:rFonts w:ascii="Bookman Old Style" w:hAnsi="Bookman Old Style" w:cs="Arial"/>
          <w:b/>
          <w:bCs/>
          <w:lang w:val="es-CO" w:eastAsia="es-CO"/>
        </w:rPr>
        <w:t>RESUELVE:</w:t>
      </w:r>
    </w:p>
    <w:p w14:paraId="0393CC95" w14:textId="77777777" w:rsidR="003221A2" w:rsidRDefault="003221A2" w:rsidP="00AD4068">
      <w:pPr>
        <w:spacing w:after="240"/>
        <w:ind w:left="142"/>
        <w:jc w:val="center"/>
        <w:rPr>
          <w:rFonts w:ascii="Bookman Old Style" w:hAnsi="Bookman Old Style" w:cs="Arial"/>
          <w:b/>
          <w:bCs/>
          <w:lang w:val="es-CO" w:eastAsia="es-CO"/>
        </w:rPr>
      </w:pPr>
    </w:p>
    <w:p w14:paraId="5450266B" w14:textId="77777777" w:rsidR="00AD4068" w:rsidRPr="002E229A" w:rsidRDefault="00AD4068" w:rsidP="00AD4068">
      <w:pPr>
        <w:widowControl w:val="0"/>
        <w:numPr>
          <w:ilvl w:val="0"/>
          <w:numId w:val="33"/>
        </w:numPr>
        <w:adjustRightInd w:val="0"/>
        <w:ind w:left="142"/>
        <w:jc w:val="both"/>
        <w:textAlignment w:val="baseline"/>
        <w:rPr>
          <w:rFonts w:ascii="Bookman Old Style" w:hAnsi="Bookman Old Style"/>
        </w:rPr>
      </w:pPr>
      <w:r w:rsidRPr="002E229A">
        <w:rPr>
          <w:rFonts w:ascii="Bookman Old Style" w:hAnsi="Bookman Old Style"/>
          <w:b/>
        </w:rPr>
        <w:t>Costo Anual por el uso de los activos del Nivel de Tensión 4.</w:t>
      </w:r>
      <w:r w:rsidRPr="002E229A">
        <w:rPr>
          <w:rFonts w:ascii="Bookman Old Style" w:hAnsi="Bookman Old Style"/>
        </w:rPr>
        <w:t xml:space="preserve"> El Costo Anual por el Uso de los Activos del Nivel de Tensión 4 para el sistema resultante de la integración de los Sistemas de Transmisión Regional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calculado en la forma establecida en la Resolución CREG 097 de 2008, es el siguiente:</w:t>
      </w:r>
    </w:p>
    <w:p w14:paraId="21DEB6C8" w14:textId="77777777" w:rsidR="00AD4068" w:rsidRDefault="00AD4068" w:rsidP="00AD4068">
      <w:pPr>
        <w:ind w:left="142"/>
        <w:rPr>
          <w:rFonts w:ascii="Bookman Old Style" w:hAnsi="Bookman Old Style"/>
        </w:rPr>
      </w:pPr>
    </w:p>
    <w:p w14:paraId="7816DD4F" w14:textId="77777777" w:rsidR="00AD4068" w:rsidRDefault="00AD4068" w:rsidP="00AD4068">
      <w:pPr>
        <w:ind w:left="142"/>
        <w:jc w:val="center"/>
        <w:rPr>
          <w:rFonts w:ascii="Bookman Old Style" w:hAnsi="Bookman Old Style"/>
        </w:rPr>
      </w:pPr>
      <w:r w:rsidRPr="00B86C8C">
        <w:rPr>
          <w:noProof/>
          <w:lang w:val="es-CO" w:eastAsia="es-CO"/>
        </w:rPr>
        <w:drawing>
          <wp:inline distT="0" distB="0" distL="0" distR="0" wp14:anchorId="43633361" wp14:editId="4FB6F8B0">
            <wp:extent cx="3714750" cy="53313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6692" cy="544895"/>
                    </a:xfrm>
                    <a:prstGeom prst="rect">
                      <a:avLst/>
                    </a:prstGeom>
                    <a:noFill/>
                    <a:ln>
                      <a:noFill/>
                    </a:ln>
                  </pic:spPr>
                </pic:pic>
              </a:graphicData>
            </a:graphic>
          </wp:inline>
        </w:drawing>
      </w:r>
    </w:p>
    <w:p w14:paraId="20352AEB" w14:textId="77777777" w:rsidR="00AD4068" w:rsidRPr="00C966E7" w:rsidRDefault="00AD4068" w:rsidP="00AD4068">
      <w:pPr>
        <w:ind w:left="142"/>
        <w:rPr>
          <w:rFonts w:ascii="Bookman Old Style" w:hAnsi="Bookman Old Style"/>
        </w:rPr>
      </w:pPr>
    </w:p>
    <w:p w14:paraId="32BC3FBB" w14:textId="77777777" w:rsidR="00AD4068" w:rsidRPr="00C966E7" w:rsidRDefault="00AD4068" w:rsidP="00AD4068">
      <w:pPr>
        <w:ind w:left="142"/>
        <w:jc w:val="center"/>
        <w:rPr>
          <w:rFonts w:ascii="Bookman Old Style" w:hAnsi="Bookman Old Style"/>
          <w:b/>
        </w:rPr>
      </w:pPr>
    </w:p>
    <w:p w14:paraId="7AE5B1E9" w14:textId="77777777" w:rsidR="00AD4068" w:rsidRDefault="00AD4068" w:rsidP="00AD4068">
      <w:pPr>
        <w:widowControl w:val="0"/>
        <w:numPr>
          <w:ilvl w:val="0"/>
          <w:numId w:val="33"/>
        </w:numPr>
        <w:adjustRightInd w:val="0"/>
        <w:ind w:left="142"/>
        <w:jc w:val="both"/>
        <w:textAlignment w:val="baseline"/>
        <w:rPr>
          <w:rFonts w:ascii="Bookman Old Style" w:hAnsi="Bookman Old Style"/>
        </w:rPr>
      </w:pPr>
      <w:r w:rsidRPr="002E229A">
        <w:rPr>
          <w:rFonts w:ascii="Bookman Old Style" w:hAnsi="Bookman Old Style"/>
          <w:b/>
        </w:rPr>
        <w:t>Cargos Máximos de los niveles de tensión 3, 2 y 1.</w:t>
      </w:r>
      <w:r w:rsidRPr="002E229A">
        <w:rPr>
          <w:rFonts w:ascii="Bookman Old Style" w:hAnsi="Bookman Old Style"/>
        </w:rPr>
        <w:t xml:space="preserve"> Los Cargos Máximos de los niveles de tensión 3, 2 y 1 del sistema resultante de la integración de los Sistemas de Distribución Local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calculados en la forma establecida en la Resolución CREG 097 de 2008, son los siguientes:</w:t>
      </w:r>
    </w:p>
    <w:p w14:paraId="58E734B3" w14:textId="77777777" w:rsidR="00AD4068" w:rsidRDefault="00AD4068" w:rsidP="00AD4068">
      <w:pPr>
        <w:widowControl w:val="0"/>
        <w:adjustRightInd w:val="0"/>
        <w:ind w:left="142"/>
        <w:jc w:val="both"/>
        <w:textAlignment w:val="baseline"/>
        <w:rPr>
          <w:rFonts w:ascii="Bookman Old Style" w:hAnsi="Bookman Old Style"/>
        </w:rPr>
      </w:pPr>
    </w:p>
    <w:p w14:paraId="38DD9703" w14:textId="77777777" w:rsidR="00AD4068" w:rsidRPr="002E229A" w:rsidRDefault="00AD4068" w:rsidP="00AD4068">
      <w:pPr>
        <w:widowControl w:val="0"/>
        <w:adjustRightInd w:val="0"/>
        <w:ind w:left="142"/>
        <w:jc w:val="center"/>
        <w:textAlignment w:val="baseline"/>
        <w:rPr>
          <w:rFonts w:ascii="Bookman Old Style" w:hAnsi="Bookman Old Style"/>
        </w:rPr>
      </w:pPr>
      <w:r w:rsidRPr="00B86C8C">
        <w:rPr>
          <w:noProof/>
          <w:lang w:val="es-CO" w:eastAsia="es-CO"/>
        </w:rPr>
        <w:drawing>
          <wp:inline distT="0" distB="0" distL="0" distR="0" wp14:anchorId="396F59B8" wp14:editId="7FD1C341">
            <wp:extent cx="4388771" cy="1143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4155" cy="1144402"/>
                    </a:xfrm>
                    <a:prstGeom prst="rect">
                      <a:avLst/>
                    </a:prstGeom>
                    <a:noFill/>
                    <a:ln>
                      <a:noFill/>
                    </a:ln>
                  </pic:spPr>
                </pic:pic>
              </a:graphicData>
            </a:graphic>
          </wp:inline>
        </w:drawing>
      </w:r>
    </w:p>
    <w:p w14:paraId="27F71BB8" w14:textId="77777777" w:rsidR="00AD4068" w:rsidRPr="00C966E7" w:rsidRDefault="00AD4068" w:rsidP="00AD4068">
      <w:pPr>
        <w:jc w:val="center"/>
        <w:rPr>
          <w:rFonts w:ascii="Bookman Old Style" w:hAnsi="Bookman Old Style"/>
        </w:rPr>
      </w:pPr>
    </w:p>
    <w:p w14:paraId="4DEF1C36" w14:textId="77777777" w:rsidR="00AD4068" w:rsidRPr="00C966E7" w:rsidRDefault="00AD4068" w:rsidP="00AD4068">
      <w:pPr>
        <w:ind w:left="142"/>
        <w:rPr>
          <w:rFonts w:ascii="Bookman Old Style" w:hAnsi="Bookman Old Style"/>
        </w:rPr>
      </w:pPr>
    </w:p>
    <w:p w14:paraId="691A3090" w14:textId="77777777" w:rsidR="00AD4068" w:rsidRPr="00C966E7" w:rsidRDefault="00AD4068" w:rsidP="00AD4068">
      <w:pPr>
        <w:ind w:left="142"/>
        <w:jc w:val="both"/>
        <w:rPr>
          <w:rFonts w:ascii="Bookman Old Style" w:hAnsi="Bookman Old Style"/>
          <w:spacing w:val="4"/>
        </w:rPr>
      </w:pPr>
      <w:r w:rsidRPr="00C966E7">
        <w:rPr>
          <w:rFonts w:ascii="Bookman Old Style" w:hAnsi="Bookman Old Style"/>
          <w:b/>
          <w:bCs/>
        </w:rPr>
        <w:t>Parágrafo 1.</w:t>
      </w:r>
      <w:r w:rsidRPr="00C966E7">
        <w:rPr>
          <w:rFonts w:ascii="Bookman Old Style" w:hAnsi="Bookman Old Style"/>
        </w:rPr>
        <w:t xml:space="preserve">  L</w:t>
      </w:r>
      <w:r w:rsidRPr="00C966E7">
        <w:rPr>
          <w:rFonts w:ascii="Bookman Old Style" w:hAnsi="Bookman Old Style"/>
          <w:spacing w:val="4"/>
        </w:rPr>
        <w:t xml:space="preserve">os cargos por uso resultantes de la aplicación de los Cargos Máximos de que trata el presente artículo serán liquidados y facturados por el OR a cada uno de los Comercializadores que atienden Usuarios Finales conectados a su sistema en los niveles de tensión 3, 2 y 1. </w:t>
      </w:r>
    </w:p>
    <w:p w14:paraId="2CC5E233" w14:textId="77777777" w:rsidR="00AD4068" w:rsidRPr="00C966E7" w:rsidRDefault="00AD4068" w:rsidP="00AD4068">
      <w:pPr>
        <w:ind w:left="142"/>
        <w:jc w:val="both"/>
        <w:rPr>
          <w:rFonts w:ascii="Bookman Old Style" w:hAnsi="Bookman Old Style"/>
          <w:spacing w:val="4"/>
        </w:rPr>
      </w:pPr>
    </w:p>
    <w:p w14:paraId="581C25B4" w14:textId="77777777" w:rsidR="003221A2" w:rsidRDefault="003221A2" w:rsidP="00AD4068">
      <w:pPr>
        <w:ind w:left="142"/>
        <w:jc w:val="both"/>
        <w:rPr>
          <w:rFonts w:ascii="Bookman Old Style" w:hAnsi="Bookman Old Style"/>
          <w:b/>
          <w:spacing w:val="4"/>
        </w:rPr>
      </w:pPr>
    </w:p>
    <w:p w14:paraId="3E8388DB" w14:textId="77777777" w:rsidR="00AD4068" w:rsidRPr="00C966E7" w:rsidRDefault="00AD4068" w:rsidP="00AD4068">
      <w:pPr>
        <w:ind w:left="142"/>
        <w:jc w:val="both"/>
        <w:rPr>
          <w:rFonts w:ascii="Bookman Old Style" w:hAnsi="Bookman Old Style"/>
          <w:spacing w:val="4"/>
        </w:rPr>
      </w:pPr>
      <w:r w:rsidRPr="00C966E7">
        <w:rPr>
          <w:rFonts w:ascii="Bookman Old Style" w:hAnsi="Bookman Old Style"/>
          <w:b/>
          <w:spacing w:val="4"/>
        </w:rPr>
        <w:t xml:space="preserve">Parágrafo 2. </w:t>
      </w:r>
      <w:r w:rsidRPr="00C966E7">
        <w:rPr>
          <w:rFonts w:ascii="Bookman Old Style" w:hAnsi="Bookman Old Style"/>
          <w:spacing w:val="4"/>
        </w:rPr>
        <w:t>Los Cargos Máximos de que trata este artículo serán liquidados y facturados por el OR a los OR que tomen energía de su sistema en estos niveles de tensión.</w:t>
      </w:r>
    </w:p>
    <w:p w14:paraId="57261A97" w14:textId="77777777" w:rsidR="00AD4068" w:rsidRPr="00C966E7" w:rsidRDefault="00AD4068" w:rsidP="00AD4068">
      <w:pPr>
        <w:ind w:left="142"/>
        <w:jc w:val="center"/>
        <w:rPr>
          <w:rFonts w:ascii="Bookman Old Style" w:hAnsi="Bookman Old Style"/>
          <w:b/>
        </w:rPr>
      </w:pPr>
    </w:p>
    <w:p w14:paraId="6BD6F54F" w14:textId="4ADF3F5C" w:rsidR="00AD4068" w:rsidRPr="002E229A" w:rsidRDefault="00AD4068" w:rsidP="00AD4068">
      <w:pPr>
        <w:widowControl w:val="0"/>
        <w:numPr>
          <w:ilvl w:val="0"/>
          <w:numId w:val="33"/>
        </w:numPr>
        <w:adjustRightInd w:val="0"/>
        <w:ind w:left="142"/>
        <w:jc w:val="both"/>
        <w:textAlignment w:val="baseline"/>
        <w:rPr>
          <w:rFonts w:ascii="Bookman Old Style" w:hAnsi="Bookman Old Style"/>
        </w:rPr>
      </w:pPr>
      <w:r w:rsidRPr="002E229A">
        <w:rPr>
          <w:rFonts w:ascii="Bookman Old Style" w:hAnsi="Bookman Old Style"/>
          <w:b/>
        </w:rPr>
        <w:t>A</w:t>
      </w:r>
      <w:r w:rsidRPr="002E229A">
        <w:rPr>
          <w:rFonts w:ascii="Bookman Old Style" w:hAnsi="Bookman Old Style"/>
          <w:b/>
          <w:bCs/>
        </w:rPr>
        <w:t xml:space="preserve">plicación de los Cargos Máximos. </w:t>
      </w:r>
      <w:r w:rsidRPr="002E229A">
        <w:rPr>
          <w:rFonts w:ascii="Bookman Old Style" w:hAnsi="Bookman Old Style"/>
        </w:rPr>
        <w:t>Los Cargos Máximos de que trata el artículo 2 de la presente Resolución constituyen topes máximos, razón por la cual el Operador de Red podrá aplicar cargos inferiores siempre y cuando cumplan con los criterios tarifarios de ley.</w:t>
      </w:r>
    </w:p>
    <w:p w14:paraId="308DCB77" w14:textId="77777777" w:rsidR="00AD4068" w:rsidRDefault="00AD4068" w:rsidP="00AD4068">
      <w:pPr>
        <w:ind w:left="142"/>
        <w:rPr>
          <w:rFonts w:ascii="Bookman Old Style" w:hAnsi="Bookman Old Style"/>
        </w:rPr>
      </w:pPr>
    </w:p>
    <w:p w14:paraId="444BD244" w14:textId="77777777" w:rsidR="00AD4068" w:rsidRPr="002E229A" w:rsidRDefault="00AD4068" w:rsidP="00AD4068">
      <w:pPr>
        <w:widowControl w:val="0"/>
        <w:numPr>
          <w:ilvl w:val="0"/>
          <w:numId w:val="33"/>
        </w:numPr>
        <w:adjustRightInd w:val="0"/>
        <w:ind w:left="142"/>
        <w:jc w:val="both"/>
        <w:textAlignment w:val="baseline"/>
        <w:rPr>
          <w:rFonts w:ascii="Bookman Old Style" w:hAnsi="Bookman Old Style"/>
        </w:rPr>
      </w:pPr>
      <w:r w:rsidRPr="002E229A">
        <w:rPr>
          <w:rFonts w:ascii="Bookman Old Style" w:hAnsi="Bookman Old Style"/>
          <w:b/>
        </w:rPr>
        <w:t xml:space="preserve">Porcentaje de AOM de referencia. </w:t>
      </w:r>
      <w:r w:rsidRPr="002E229A">
        <w:rPr>
          <w:rFonts w:ascii="Bookman Old Style" w:hAnsi="Bookman Old Style"/>
        </w:rPr>
        <w:t xml:space="preserve">El Porcentaje de AOM de referencia para el OR del sistema resultante de la integración de los Sistemas de Distribución Local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calculado en la forma establecida en la Resolución CREG 097 de 2008, es igual a:</w:t>
      </w:r>
    </w:p>
    <w:p w14:paraId="2BCE5358" w14:textId="77777777" w:rsidR="00AD4068" w:rsidRDefault="00AD4068" w:rsidP="00AD4068">
      <w:pPr>
        <w:ind w:left="142"/>
        <w:rPr>
          <w:rFonts w:ascii="Bookman Old Style" w:hAnsi="Bookman Old Style"/>
        </w:rPr>
      </w:pPr>
    </w:p>
    <w:p w14:paraId="25602C3D" w14:textId="77777777" w:rsidR="00AD4068" w:rsidRDefault="00AD4068" w:rsidP="00AD4068">
      <w:pPr>
        <w:ind w:left="142"/>
        <w:jc w:val="center"/>
        <w:rPr>
          <w:rFonts w:ascii="Bookman Old Style" w:hAnsi="Bookman Old Style"/>
        </w:rPr>
      </w:pPr>
      <w:r w:rsidRPr="00253F24">
        <w:rPr>
          <w:noProof/>
          <w:lang w:val="es-CO" w:eastAsia="es-CO"/>
        </w:rPr>
        <w:drawing>
          <wp:inline distT="0" distB="0" distL="0" distR="0" wp14:anchorId="2D3C8588" wp14:editId="05DB820F">
            <wp:extent cx="2914650" cy="42837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3122" cy="429623"/>
                    </a:xfrm>
                    <a:prstGeom prst="rect">
                      <a:avLst/>
                    </a:prstGeom>
                    <a:noFill/>
                    <a:ln>
                      <a:noFill/>
                    </a:ln>
                  </pic:spPr>
                </pic:pic>
              </a:graphicData>
            </a:graphic>
          </wp:inline>
        </w:drawing>
      </w:r>
    </w:p>
    <w:p w14:paraId="758DEEC2" w14:textId="77777777" w:rsidR="00AD4068" w:rsidRDefault="00AD4068" w:rsidP="00AD4068">
      <w:pPr>
        <w:ind w:left="142"/>
        <w:rPr>
          <w:rFonts w:ascii="Bookman Old Style" w:hAnsi="Bookman Old Style"/>
        </w:rPr>
      </w:pPr>
    </w:p>
    <w:p w14:paraId="610D7712" w14:textId="77777777" w:rsidR="00AD4068" w:rsidRPr="00C966E7" w:rsidRDefault="00AD4068" w:rsidP="00AD4068">
      <w:pPr>
        <w:ind w:left="142"/>
        <w:jc w:val="center"/>
        <w:rPr>
          <w:rFonts w:ascii="Bookman Old Style" w:hAnsi="Bookman Old Style"/>
          <w:b/>
        </w:rPr>
      </w:pPr>
    </w:p>
    <w:p w14:paraId="5C9DCB46" w14:textId="77777777" w:rsidR="00AD4068" w:rsidRPr="002E229A" w:rsidRDefault="00AD4068" w:rsidP="00AD4068">
      <w:pPr>
        <w:widowControl w:val="0"/>
        <w:numPr>
          <w:ilvl w:val="0"/>
          <w:numId w:val="33"/>
        </w:numPr>
        <w:adjustRightInd w:val="0"/>
        <w:ind w:left="142"/>
        <w:jc w:val="both"/>
        <w:textAlignment w:val="baseline"/>
        <w:rPr>
          <w:rFonts w:ascii="Bookman Old Style" w:hAnsi="Bookman Old Style"/>
        </w:rPr>
      </w:pPr>
      <w:r w:rsidRPr="002E229A">
        <w:rPr>
          <w:rFonts w:ascii="Bookman Old Style" w:hAnsi="Bookman Old Style"/>
          <w:b/>
        </w:rPr>
        <w:t xml:space="preserve">Costos de reposición de la inversión. </w:t>
      </w:r>
      <w:r w:rsidRPr="002E229A">
        <w:rPr>
          <w:rFonts w:ascii="Bookman Old Style" w:hAnsi="Bookman Old Style"/>
        </w:rPr>
        <w:t xml:space="preserve">Los costos de reposición de la inversión del OR del sistema resultante de la integración de los Sistemas de Distribución Local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para cada nivel de tensión, calculados en la forma establecida en la Resolución CREG-097 de 2008, son los siguientes:</w:t>
      </w:r>
    </w:p>
    <w:p w14:paraId="2C8C1F30" w14:textId="77777777" w:rsidR="00AD4068" w:rsidRDefault="00AD4068" w:rsidP="00AD4068">
      <w:pPr>
        <w:ind w:left="142"/>
        <w:rPr>
          <w:rFonts w:ascii="Bookman Old Style" w:hAnsi="Bookman Old Style"/>
        </w:rPr>
      </w:pPr>
    </w:p>
    <w:p w14:paraId="1695375A" w14:textId="77777777" w:rsidR="00AD4068" w:rsidRDefault="00AD4068" w:rsidP="00AD4068">
      <w:pPr>
        <w:ind w:left="142"/>
        <w:jc w:val="center"/>
        <w:rPr>
          <w:rFonts w:ascii="Bookman Old Style" w:hAnsi="Bookman Old Style"/>
        </w:rPr>
      </w:pPr>
      <w:r w:rsidRPr="001979DC">
        <w:rPr>
          <w:noProof/>
          <w:lang w:val="es-CO" w:eastAsia="es-CO"/>
        </w:rPr>
        <w:drawing>
          <wp:inline distT="0" distB="0" distL="0" distR="0" wp14:anchorId="51193025" wp14:editId="4E58EC35">
            <wp:extent cx="4000500" cy="1025769"/>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1820" cy="1028672"/>
                    </a:xfrm>
                    <a:prstGeom prst="rect">
                      <a:avLst/>
                    </a:prstGeom>
                    <a:noFill/>
                    <a:ln>
                      <a:noFill/>
                    </a:ln>
                  </pic:spPr>
                </pic:pic>
              </a:graphicData>
            </a:graphic>
          </wp:inline>
        </w:drawing>
      </w:r>
    </w:p>
    <w:p w14:paraId="75793309" w14:textId="77777777" w:rsidR="00AD4068" w:rsidRPr="00C966E7" w:rsidRDefault="00AD4068" w:rsidP="00AD4068">
      <w:pPr>
        <w:ind w:left="142"/>
        <w:rPr>
          <w:rFonts w:ascii="Bookman Old Style" w:hAnsi="Bookman Old Style"/>
        </w:rPr>
      </w:pPr>
    </w:p>
    <w:p w14:paraId="45A7DB14" w14:textId="77777777" w:rsidR="00AD4068" w:rsidRPr="002E229A" w:rsidRDefault="00AD4068" w:rsidP="00AD4068">
      <w:pPr>
        <w:widowControl w:val="0"/>
        <w:numPr>
          <w:ilvl w:val="0"/>
          <w:numId w:val="33"/>
        </w:numPr>
        <w:adjustRightInd w:val="0"/>
        <w:ind w:left="142"/>
        <w:jc w:val="both"/>
        <w:textAlignment w:val="baseline"/>
        <w:rPr>
          <w:rFonts w:ascii="Bookman Old Style" w:hAnsi="Bookman Old Style"/>
        </w:rPr>
      </w:pPr>
      <w:r w:rsidRPr="002E229A">
        <w:rPr>
          <w:rFonts w:ascii="Bookman Old Style" w:hAnsi="Bookman Old Style"/>
          <w:b/>
        </w:rPr>
        <w:t xml:space="preserve">Pérdidas reconocidas. </w:t>
      </w:r>
      <w:r w:rsidRPr="002E229A">
        <w:rPr>
          <w:rFonts w:ascii="Bookman Old Style" w:hAnsi="Bookman Old Style"/>
        </w:rPr>
        <w:t xml:space="preserve">Las pérdidas reconocidas para cada nivel de tensión del sistema resultante de la integración de los Sistemas de Distribución Local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calculadas en la forma establecida en la Resolución CREG 097 de 2008, son:</w:t>
      </w:r>
    </w:p>
    <w:p w14:paraId="538C5D04" w14:textId="77777777" w:rsidR="00AD4068" w:rsidRDefault="00AD4068" w:rsidP="00AD4068">
      <w:pPr>
        <w:ind w:left="142"/>
        <w:rPr>
          <w:rFonts w:ascii="Bookman Old Style" w:hAnsi="Bookman Old Style"/>
        </w:rPr>
      </w:pPr>
    </w:p>
    <w:p w14:paraId="4AD9389F" w14:textId="77777777" w:rsidR="00AD4068" w:rsidRPr="00C966E7" w:rsidRDefault="00AD4068" w:rsidP="00AD4068">
      <w:pPr>
        <w:ind w:left="142"/>
        <w:jc w:val="center"/>
        <w:rPr>
          <w:rFonts w:ascii="Bookman Old Style" w:hAnsi="Bookman Old Style"/>
        </w:rPr>
      </w:pPr>
      <w:r>
        <w:rPr>
          <w:rFonts w:ascii="Bookman Old Style" w:hAnsi="Bookman Old Style"/>
        </w:rPr>
        <w:t>|</w:t>
      </w:r>
      <w:r w:rsidRPr="003729BA">
        <w:rPr>
          <w:noProof/>
          <w:lang w:val="es-CO" w:eastAsia="es-CO"/>
        </w:rPr>
        <w:drawing>
          <wp:inline distT="0" distB="0" distL="0" distR="0" wp14:anchorId="446A9541" wp14:editId="47ECBCF3">
            <wp:extent cx="2847395" cy="99348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2015" cy="1009052"/>
                    </a:xfrm>
                    <a:prstGeom prst="rect">
                      <a:avLst/>
                    </a:prstGeom>
                    <a:noFill/>
                    <a:ln>
                      <a:noFill/>
                    </a:ln>
                  </pic:spPr>
                </pic:pic>
              </a:graphicData>
            </a:graphic>
          </wp:inline>
        </w:drawing>
      </w:r>
    </w:p>
    <w:p w14:paraId="0A5E0142" w14:textId="77777777" w:rsidR="00AD4068" w:rsidRPr="00C966E7" w:rsidRDefault="00AD4068" w:rsidP="00AD4068">
      <w:pPr>
        <w:ind w:left="142"/>
        <w:jc w:val="center"/>
        <w:rPr>
          <w:rFonts w:ascii="Bookman Old Style" w:hAnsi="Bookman Old Style"/>
          <w:b/>
        </w:rPr>
      </w:pPr>
    </w:p>
    <w:p w14:paraId="5362FE1E" w14:textId="77777777" w:rsidR="00AD4068" w:rsidRPr="000058F4" w:rsidRDefault="00AD4068" w:rsidP="00AD4068">
      <w:pPr>
        <w:widowControl w:val="0"/>
        <w:numPr>
          <w:ilvl w:val="0"/>
          <w:numId w:val="33"/>
        </w:numPr>
        <w:adjustRightInd w:val="0"/>
        <w:ind w:left="142"/>
        <w:jc w:val="both"/>
        <w:textAlignment w:val="baseline"/>
        <w:rPr>
          <w:rFonts w:ascii="Bookman Old Style" w:hAnsi="Bookman Old Style"/>
        </w:rPr>
      </w:pPr>
      <w:r w:rsidRPr="000058F4">
        <w:rPr>
          <w:rFonts w:ascii="Bookman Old Style" w:hAnsi="Bookman Old Style"/>
          <w:b/>
        </w:rPr>
        <w:t xml:space="preserve">Índice de Referencia Agrupado de la Discontinuidad, </w:t>
      </w:r>
      <w:proofErr w:type="spellStart"/>
      <w:r w:rsidRPr="000058F4">
        <w:rPr>
          <w:rFonts w:ascii="Bookman Old Style" w:hAnsi="Bookman Old Style"/>
          <w:b/>
        </w:rPr>
        <w:t>IRAD</w:t>
      </w:r>
      <w:r w:rsidRPr="000058F4">
        <w:rPr>
          <w:rFonts w:ascii="Bookman Old Style" w:hAnsi="Bookman Old Style"/>
          <w:b/>
          <w:vertAlign w:val="subscript"/>
        </w:rPr>
        <w:t>n</w:t>
      </w:r>
      <w:proofErr w:type="gramStart"/>
      <w:r w:rsidRPr="000058F4">
        <w:rPr>
          <w:rFonts w:ascii="Bookman Old Style" w:hAnsi="Bookman Old Style"/>
          <w:b/>
          <w:vertAlign w:val="subscript"/>
        </w:rPr>
        <w:t>,p</w:t>
      </w:r>
      <w:proofErr w:type="spellEnd"/>
      <w:proofErr w:type="gramEnd"/>
      <w:r w:rsidRPr="000058F4">
        <w:rPr>
          <w:rFonts w:ascii="Bookman Old Style" w:hAnsi="Bookman Old Style"/>
        </w:rPr>
        <w:t xml:space="preserve">. El Índice de Referencia Agrupado de la Discontinuidad. </w:t>
      </w:r>
      <w:proofErr w:type="spellStart"/>
      <w:r w:rsidRPr="000058F4">
        <w:rPr>
          <w:rFonts w:ascii="Bookman Old Style" w:hAnsi="Bookman Old Style"/>
        </w:rPr>
        <w:t>IRAD</w:t>
      </w:r>
      <w:r w:rsidRPr="000058F4">
        <w:rPr>
          <w:rFonts w:ascii="Bookman Old Style" w:hAnsi="Bookman Old Style"/>
          <w:vertAlign w:val="subscript"/>
        </w:rPr>
        <w:t>n,p</w:t>
      </w:r>
      <w:proofErr w:type="spellEnd"/>
      <w:r w:rsidRPr="000058F4">
        <w:rPr>
          <w:rFonts w:ascii="Bookman Old Style" w:hAnsi="Bookman Old Style"/>
        </w:rPr>
        <w:t xml:space="preserve">, para el SDL operado por </w:t>
      </w:r>
      <w:r w:rsidRPr="002E229A">
        <w:rPr>
          <w:rFonts w:ascii="Bookman Old Style" w:hAnsi="Bookman Old Style"/>
        </w:rPr>
        <w:t xml:space="preserve">el OR del sistema resultante de la integración de los Sistemas de Distribución Local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w:t>
      </w:r>
      <w:r w:rsidRPr="000058F4">
        <w:rPr>
          <w:rFonts w:ascii="Bookman Old Style" w:hAnsi="Bookman Old Style"/>
        </w:rPr>
        <w:t xml:space="preserve"> es el siguiente:</w:t>
      </w:r>
    </w:p>
    <w:p w14:paraId="17BBA722" w14:textId="77777777" w:rsidR="00AD4068" w:rsidRPr="000058F4" w:rsidRDefault="00AD4068" w:rsidP="00AD4068">
      <w:pPr>
        <w:ind w:left="142"/>
        <w:rPr>
          <w:rFonts w:ascii="Bookman Old Style" w:hAnsi="Bookman Old Style"/>
        </w:rPr>
      </w:pPr>
    </w:p>
    <w:p w14:paraId="15077BDA" w14:textId="77777777" w:rsidR="00AD4068" w:rsidRPr="000058F4" w:rsidRDefault="00AD4068" w:rsidP="00AD4068">
      <w:pPr>
        <w:keepNext/>
        <w:ind w:left="142"/>
        <w:jc w:val="center"/>
        <w:rPr>
          <w:rFonts w:ascii="Bookman Old Style" w:hAnsi="Bookman Old Style"/>
        </w:rPr>
      </w:pPr>
      <w:r w:rsidRPr="00BE68CB">
        <w:rPr>
          <w:noProof/>
          <w:lang w:val="es-CO" w:eastAsia="es-CO"/>
        </w:rPr>
        <w:drawing>
          <wp:inline distT="0" distB="0" distL="0" distR="0" wp14:anchorId="6019840D" wp14:editId="4DEBD564">
            <wp:extent cx="2348467" cy="1085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3432" cy="1092769"/>
                    </a:xfrm>
                    <a:prstGeom prst="rect">
                      <a:avLst/>
                    </a:prstGeom>
                    <a:noFill/>
                    <a:ln>
                      <a:noFill/>
                    </a:ln>
                  </pic:spPr>
                </pic:pic>
              </a:graphicData>
            </a:graphic>
          </wp:inline>
        </w:drawing>
      </w:r>
    </w:p>
    <w:p w14:paraId="5B270C05" w14:textId="77777777" w:rsidR="00AD4068" w:rsidRPr="000058F4" w:rsidRDefault="00AD4068" w:rsidP="00AD4068">
      <w:pPr>
        <w:pStyle w:val="Descripcin"/>
        <w:ind w:left="142"/>
        <w:rPr>
          <w:b w:val="0"/>
        </w:rPr>
      </w:pPr>
      <w:r w:rsidRPr="000058F4">
        <w:t xml:space="preserve">Tabla </w:t>
      </w:r>
      <w:r>
        <w:fldChar w:fldCharType="begin"/>
      </w:r>
      <w:r>
        <w:instrText xml:space="preserve"> SEQ Tabla \* ARABIC </w:instrText>
      </w:r>
      <w:r>
        <w:fldChar w:fldCharType="separate"/>
      </w:r>
      <w:r>
        <w:t>1</w:t>
      </w:r>
      <w:r>
        <w:fldChar w:fldCharType="end"/>
      </w:r>
      <w:r w:rsidRPr="000058F4">
        <w:t xml:space="preserve">. </w:t>
      </w:r>
      <w:r w:rsidRPr="000058F4">
        <w:rPr>
          <w:b w:val="0"/>
        </w:rPr>
        <w:t>IRAD por trimestre para el nivel de tensión 1.</w:t>
      </w:r>
    </w:p>
    <w:p w14:paraId="04051401" w14:textId="77777777" w:rsidR="00AD4068" w:rsidRDefault="00AD4068" w:rsidP="00AD4068">
      <w:pPr>
        <w:ind w:left="142"/>
      </w:pPr>
    </w:p>
    <w:p w14:paraId="51DD2B53" w14:textId="77777777" w:rsidR="00AD4068" w:rsidRPr="000058F4" w:rsidRDefault="00AD4068" w:rsidP="00AD4068">
      <w:pPr>
        <w:ind w:left="142"/>
      </w:pPr>
    </w:p>
    <w:p w14:paraId="2CD3FB80" w14:textId="77777777" w:rsidR="00AD4068" w:rsidRPr="000058F4" w:rsidRDefault="00AD4068" w:rsidP="00AD4068">
      <w:pPr>
        <w:pStyle w:val="Descripcin"/>
        <w:keepNext/>
        <w:widowControl/>
        <w:ind w:left="142"/>
      </w:pPr>
      <w:r w:rsidRPr="00BE68CB">
        <w:rPr>
          <w:lang w:eastAsia="es-CO"/>
        </w:rPr>
        <w:drawing>
          <wp:inline distT="0" distB="0" distL="0" distR="0" wp14:anchorId="6B664208" wp14:editId="4D000B8A">
            <wp:extent cx="2343150" cy="1083392"/>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571" cy="1092372"/>
                    </a:xfrm>
                    <a:prstGeom prst="rect">
                      <a:avLst/>
                    </a:prstGeom>
                    <a:noFill/>
                    <a:ln>
                      <a:noFill/>
                    </a:ln>
                  </pic:spPr>
                </pic:pic>
              </a:graphicData>
            </a:graphic>
          </wp:inline>
        </w:drawing>
      </w:r>
    </w:p>
    <w:p w14:paraId="5B642A00" w14:textId="77777777" w:rsidR="00AD4068" w:rsidRPr="000058F4" w:rsidRDefault="00AD4068" w:rsidP="00AD4068">
      <w:pPr>
        <w:pStyle w:val="Descripcin"/>
        <w:ind w:left="142"/>
        <w:rPr>
          <w:b w:val="0"/>
        </w:rPr>
      </w:pPr>
      <w:r w:rsidRPr="000058F4">
        <w:t xml:space="preserve">Tabla </w:t>
      </w:r>
      <w:r>
        <w:fldChar w:fldCharType="begin"/>
      </w:r>
      <w:r>
        <w:instrText xml:space="preserve"> SEQ Tabla \* ARABIC </w:instrText>
      </w:r>
      <w:r>
        <w:fldChar w:fldCharType="separate"/>
      </w:r>
      <w:r>
        <w:t>2</w:t>
      </w:r>
      <w:r>
        <w:fldChar w:fldCharType="end"/>
      </w:r>
      <w:r w:rsidRPr="000058F4">
        <w:t xml:space="preserve">. </w:t>
      </w:r>
      <w:r w:rsidRPr="000058F4">
        <w:rPr>
          <w:b w:val="0"/>
        </w:rPr>
        <w:t>IRAD por trimestre para el nivel de tensión 2 y 3 agregado.</w:t>
      </w:r>
    </w:p>
    <w:p w14:paraId="2CAC2D4C" w14:textId="77777777" w:rsidR="00AD4068" w:rsidRDefault="00AD4068" w:rsidP="00AD4068">
      <w:pPr>
        <w:ind w:left="142"/>
        <w:rPr>
          <w:rFonts w:ascii="Bookman Old Style" w:hAnsi="Bookman Old Style"/>
        </w:rPr>
      </w:pPr>
    </w:p>
    <w:p w14:paraId="64529AA4" w14:textId="77777777" w:rsidR="00AD4068" w:rsidRPr="000058F4" w:rsidRDefault="00AD4068" w:rsidP="00AD4068">
      <w:pPr>
        <w:ind w:left="142"/>
        <w:rPr>
          <w:rFonts w:ascii="Bookman Old Style" w:hAnsi="Bookman Old Style"/>
        </w:rPr>
      </w:pPr>
    </w:p>
    <w:p w14:paraId="50038435" w14:textId="77777777" w:rsidR="00AD4068" w:rsidRDefault="00AD4068" w:rsidP="00AD4068">
      <w:pPr>
        <w:widowControl w:val="0"/>
        <w:numPr>
          <w:ilvl w:val="0"/>
          <w:numId w:val="33"/>
        </w:numPr>
        <w:adjustRightInd w:val="0"/>
        <w:ind w:left="142"/>
        <w:jc w:val="both"/>
        <w:textAlignment w:val="baseline"/>
        <w:rPr>
          <w:rFonts w:ascii="Bookman Old Style" w:hAnsi="Bookman Old Style"/>
        </w:rPr>
      </w:pPr>
      <w:r w:rsidRPr="000058F4">
        <w:rPr>
          <w:rFonts w:ascii="Bookman Old Style" w:hAnsi="Bookman Old Style"/>
          <w:b/>
        </w:rPr>
        <w:t xml:space="preserve">Índice de Referencia Agrupado de la Discontinuidad para el año k, </w:t>
      </w:r>
      <w:proofErr w:type="spellStart"/>
      <w:r w:rsidRPr="000058F4">
        <w:rPr>
          <w:rFonts w:ascii="Bookman Old Style" w:hAnsi="Bookman Old Style"/>
          <w:b/>
        </w:rPr>
        <w:t>IRADK</w:t>
      </w:r>
      <w:r w:rsidRPr="000058F4">
        <w:rPr>
          <w:rFonts w:ascii="Bookman Old Style" w:hAnsi="Bookman Old Style"/>
          <w:b/>
          <w:vertAlign w:val="subscript"/>
        </w:rPr>
        <w:t>n</w:t>
      </w:r>
      <w:proofErr w:type="gramStart"/>
      <w:r w:rsidRPr="000058F4">
        <w:rPr>
          <w:rFonts w:ascii="Bookman Old Style" w:hAnsi="Bookman Old Style"/>
          <w:b/>
          <w:vertAlign w:val="subscript"/>
        </w:rPr>
        <w:t>,p,k</w:t>
      </w:r>
      <w:proofErr w:type="spellEnd"/>
      <w:proofErr w:type="gramEnd"/>
      <w:r w:rsidRPr="000058F4">
        <w:rPr>
          <w:rFonts w:ascii="Bookman Old Style" w:hAnsi="Bookman Old Style"/>
        </w:rPr>
        <w:t xml:space="preserve">. El Índice de Referencia Agrupado de la Discontinuidad para el año k, </w:t>
      </w:r>
      <w:proofErr w:type="spellStart"/>
      <w:r w:rsidRPr="000058F4">
        <w:rPr>
          <w:rFonts w:ascii="Bookman Old Style" w:hAnsi="Bookman Old Style"/>
        </w:rPr>
        <w:t>IRADK</w:t>
      </w:r>
      <w:r w:rsidRPr="000058F4">
        <w:rPr>
          <w:rFonts w:ascii="Bookman Old Style" w:hAnsi="Bookman Old Style"/>
          <w:vertAlign w:val="subscript"/>
        </w:rPr>
        <w:t>n,p,k</w:t>
      </w:r>
      <w:proofErr w:type="spellEnd"/>
      <w:r w:rsidRPr="000058F4">
        <w:rPr>
          <w:rFonts w:ascii="Bookman Old Style" w:hAnsi="Bookman Old Style"/>
        </w:rPr>
        <w:t xml:space="preserve"> del SDL operado por </w:t>
      </w:r>
      <w:r w:rsidRPr="002E229A">
        <w:rPr>
          <w:rFonts w:ascii="Bookman Old Style" w:hAnsi="Bookman Old Style"/>
        </w:rPr>
        <w:t xml:space="preserve">el OR del sistema resultante de la integración de los Sistemas de Distribución Local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w:t>
      </w:r>
      <w:r>
        <w:rPr>
          <w:rFonts w:ascii="Bookman Old Style" w:hAnsi="Bookman Old Style"/>
        </w:rPr>
        <w:t xml:space="preserve"> </w:t>
      </w:r>
      <w:r w:rsidRPr="000058F4">
        <w:rPr>
          <w:rFonts w:ascii="Bookman Old Style" w:hAnsi="Bookman Old Style"/>
        </w:rPr>
        <w:t>es el siguiente:</w:t>
      </w:r>
    </w:p>
    <w:p w14:paraId="6ECE8F33" w14:textId="77777777" w:rsidR="00AD4068" w:rsidRPr="000058F4" w:rsidRDefault="00AD4068" w:rsidP="00AD4068">
      <w:pPr>
        <w:widowControl w:val="0"/>
        <w:adjustRightInd w:val="0"/>
        <w:ind w:left="142"/>
        <w:jc w:val="both"/>
        <w:textAlignment w:val="baseline"/>
        <w:rPr>
          <w:rFonts w:ascii="Bookman Old Style" w:hAnsi="Bookman Old Style"/>
        </w:rPr>
      </w:pPr>
    </w:p>
    <w:p w14:paraId="05588441" w14:textId="77777777" w:rsidR="00AD4068" w:rsidRPr="000058F4" w:rsidRDefault="00AD4068" w:rsidP="00AD4068">
      <w:pPr>
        <w:keepNext/>
        <w:widowControl w:val="0"/>
        <w:adjustRightInd w:val="0"/>
        <w:ind w:left="142"/>
        <w:jc w:val="center"/>
        <w:textAlignment w:val="baseline"/>
        <w:rPr>
          <w:rFonts w:ascii="Bookman Old Style" w:hAnsi="Bookman Old Style"/>
        </w:rPr>
      </w:pPr>
      <w:r w:rsidRPr="007A572C">
        <w:rPr>
          <w:noProof/>
          <w:lang w:val="es-CO" w:eastAsia="es-CO"/>
        </w:rPr>
        <w:drawing>
          <wp:inline distT="0" distB="0" distL="0" distR="0" wp14:anchorId="15C796DC" wp14:editId="24F334B7">
            <wp:extent cx="3028950" cy="1978090"/>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0849" cy="2011983"/>
                    </a:xfrm>
                    <a:prstGeom prst="rect">
                      <a:avLst/>
                    </a:prstGeom>
                    <a:noFill/>
                    <a:ln>
                      <a:noFill/>
                    </a:ln>
                  </pic:spPr>
                </pic:pic>
              </a:graphicData>
            </a:graphic>
          </wp:inline>
        </w:drawing>
      </w:r>
    </w:p>
    <w:p w14:paraId="2FD6544E" w14:textId="77777777" w:rsidR="00AD4068" w:rsidRPr="000058F4" w:rsidRDefault="00AD4068" w:rsidP="00AD4068">
      <w:pPr>
        <w:pStyle w:val="Descripcin"/>
        <w:ind w:left="142"/>
        <w:rPr>
          <w:b w:val="0"/>
        </w:rPr>
      </w:pPr>
      <w:r w:rsidRPr="000058F4">
        <w:t xml:space="preserve">Tabla </w:t>
      </w:r>
      <w:r>
        <w:fldChar w:fldCharType="begin"/>
      </w:r>
      <w:r>
        <w:instrText xml:space="preserve"> SEQ Tabla \* ARABIC </w:instrText>
      </w:r>
      <w:r>
        <w:fldChar w:fldCharType="separate"/>
      </w:r>
      <w:r>
        <w:t>3</w:t>
      </w:r>
      <w:r>
        <w:fldChar w:fldCharType="end"/>
      </w:r>
      <w:r w:rsidRPr="000058F4">
        <w:t xml:space="preserve">. </w:t>
      </w:r>
      <w:r w:rsidRPr="000058F4">
        <w:rPr>
          <w:b w:val="0"/>
        </w:rPr>
        <w:t>IRADK</w:t>
      </w:r>
      <w:r w:rsidRPr="000058F4">
        <w:t xml:space="preserve"> </w:t>
      </w:r>
      <w:r w:rsidRPr="000058F4">
        <w:rPr>
          <w:b w:val="0"/>
        </w:rPr>
        <w:t>para el nivel de tensión 1.</w:t>
      </w:r>
    </w:p>
    <w:p w14:paraId="4C6D11FF" w14:textId="77777777" w:rsidR="00AD4068" w:rsidRDefault="00AD4068" w:rsidP="00AD4068">
      <w:pPr>
        <w:ind w:left="142"/>
      </w:pPr>
    </w:p>
    <w:p w14:paraId="0F583F6D" w14:textId="77777777" w:rsidR="00AD4068" w:rsidRPr="000058F4" w:rsidRDefault="00AD4068" w:rsidP="00AD4068">
      <w:pPr>
        <w:ind w:left="142"/>
      </w:pPr>
    </w:p>
    <w:p w14:paraId="4785FFA1" w14:textId="77777777" w:rsidR="00AD4068" w:rsidRPr="000058F4" w:rsidRDefault="00AD4068" w:rsidP="00AD4068">
      <w:pPr>
        <w:keepNext/>
        <w:ind w:left="142"/>
        <w:jc w:val="center"/>
      </w:pPr>
      <w:r w:rsidRPr="007A572C">
        <w:rPr>
          <w:noProof/>
          <w:lang w:val="es-CO" w:eastAsia="es-CO"/>
        </w:rPr>
        <w:drawing>
          <wp:inline distT="0" distB="0" distL="0" distR="0" wp14:anchorId="213A0C33" wp14:editId="4AF2D173">
            <wp:extent cx="3033713" cy="1981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1150" cy="1999118"/>
                    </a:xfrm>
                    <a:prstGeom prst="rect">
                      <a:avLst/>
                    </a:prstGeom>
                    <a:noFill/>
                    <a:ln>
                      <a:noFill/>
                    </a:ln>
                  </pic:spPr>
                </pic:pic>
              </a:graphicData>
            </a:graphic>
          </wp:inline>
        </w:drawing>
      </w:r>
    </w:p>
    <w:p w14:paraId="7AACA4D1" w14:textId="77777777" w:rsidR="00AD4068" w:rsidRPr="000058F4" w:rsidRDefault="00AD4068" w:rsidP="00AD4068">
      <w:pPr>
        <w:pStyle w:val="Descripcin"/>
        <w:ind w:left="142"/>
      </w:pPr>
      <w:r w:rsidRPr="000058F4">
        <w:t xml:space="preserve">Tabla </w:t>
      </w:r>
      <w:r>
        <w:fldChar w:fldCharType="begin"/>
      </w:r>
      <w:r>
        <w:instrText xml:space="preserve"> SEQ Tabla \* ARABIC </w:instrText>
      </w:r>
      <w:r>
        <w:fldChar w:fldCharType="separate"/>
      </w:r>
      <w:r>
        <w:t>4</w:t>
      </w:r>
      <w:r>
        <w:fldChar w:fldCharType="end"/>
      </w:r>
      <w:r w:rsidRPr="000058F4">
        <w:t xml:space="preserve">. </w:t>
      </w:r>
      <w:r w:rsidRPr="000058F4">
        <w:rPr>
          <w:b w:val="0"/>
        </w:rPr>
        <w:t>IRADK</w:t>
      </w:r>
      <w:r w:rsidRPr="000058F4">
        <w:t xml:space="preserve"> </w:t>
      </w:r>
      <w:r w:rsidRPr="000058F4">
        <w:rPr>
          <w:b w:val="0"/>
        </w:rPr>
        <w:t>para el nivel de tensión 2 y 3 agregado.</w:t>
      </w:r>
    </w:p>
    <w:p w14:paraId="4C3BE441" w14:textId="77777777" w:rsidR="00AD4068" w:rsidRPr="000058F4" w:rsidRDefault="00AD4068" w:rsidP="00AD4068">
      <w:pPr>
        <w:ind w:left="142"/>
        <w:rPr>
          <w:rFonts w:ascii="Bookman Old Style" w:hAnsi="Bookman Old Style"/>
        </w:rPr>
      </w:pPr>
    </w:p>
    <w:p w14:paraId="30B0750B" w14:textId="77777777" w:rsidR="00AD4068" w:rsidRPr="000058F4" w:rsidRDefault="00AD4068" w:rsidP="00AD4068">
      <w:pPr>
        <w:widowControl w:val="0"/>
        <w:numPr>
          <w:ilvl w:val="0"/>
          <w:numId w:val="33"/>
        </w:numPr>
        <w:adjustRightInd w:val="0"/>
        <w:ind w:left="142"/>
        <w:jc w:val="both"/>
        <w:textAlignment w:val="baseline"/>
        <w:rPr>
          <w:rFonts w:ascii="Bookman Old Style" w:hAnsi="Bookman Old Style"/>
        </w:rPr>
      </w:pPr>
      <w:r w:rsidRPr="000058F4">
        <w:rPr>
          <w:rFonts w:ascii="Bookman Old Style" w:hAnsi="Bookman Old Style"/>
          <w:b/>
        </w:rPr>
        <w:t xml:space="preserve">Promedio de los Índices de Referencia de la Discontinuidad por Grupo de Calidad </w:t>
      </w:r>
      <w:proofErr w:type="spellStart"/>
      <w:r w:rsidRPr="000058F4">
        <w:rPr>
          <w:rFonts w:ascii="Bookman Old Style" w:hAnsi="Bookman Old Style"/>
          <w:b/>
        </w:rPr>
        <w:t>IRGP</w:t>
      </w:r>
      <w:r w:rsidRPr="000058F4">
        <w:rPr>
          <w:rFonts w:ascii="Bookman Old Style" w:hAnsi="Bookman Old Style"/>
          <w:b/>
          <w:vertAlign w:val="subscript"/>
        </w:rPr>
        <w:t>n</w:t>
      </w:r>
      <w:proofErr w:type="gramStart"/>
      <w:r w:rsidRPr="000058F4">
        <w:rPr>
          <w:rFonts w:ascii="Bookman Old Style" w:hAnsi="Bookman Old Style"/>
          <w:b/>
          <w:vertAlign w:val="subscript"/>
        </w:rPr>
        <w:t>,q,p</w:t>
      </w:r>
      <w:proofErr w:type="spellEnd"/>
      <w:proofErr w:type="gramEnd"/>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w:t>
      </w:r>
      <w:proofErr w:type="spellStart"/>
      <w:r w:rsidRPr="000058F4">
        <w:rPr>
          <w:rFonts w:ascii="Bookman Old Style" w:hAnsi="Bookman Old Style"/>
        </w:rPr>
        <w:t>IRGP</w:t>
      </w:r>
      <w:r w:rsidRPr="000058F4">
        <w:rPr>
          <w:rFonts w:ascii="Bookman Old Style" w:hAnsi="Bookman Old Style"/>
          <w:vertAlign w:val="subscript"/>
        </w:rPr>
        <w:t>n,q,p</w:t>
      </w:r>
      <w:proofErr w:type="spellEnd"/>
      <w:r w:rsidRPr="000058F4">
        <w:rPr>
          <w:rFonts w:ascii="Bookman Old Style" w:hAnsi="Bookman Old Style"/>
        </w:rPr>
        <w:t xml:space="preserve"> del </w:t>
      </w:r>
      <w:r w:rsidRPr="002E229A">
        <w:rPr>
          <w:rFonts w:ascii="Bookman Old Style" w:hAnsi="Bookman Old Style"/>
        </w:rPr>
        <w:t xml:space="preserve">OR del sistema resultante de la integración de los Sistemas de Distribución Local anteriormente operados por </w:t>
      </w:r>
      <w:proofErr w:type="spellStart"/>
      <w:r w:rsidRPr="002E229A">
        <w:rPr>
          <w:rFonts w:ascii="Bookman Old Style" w:hAnsi="Bookman Old Style"/>
        </w:rPr>
        <w:t>Codensa</w:t>
      </w:r>
      <w:proofErr w:type="spellEnd"/>
      <w:r w:rsidRPr="002E229A">
        <w:rPr>
          <w:rFonts w:ascii="Bookman Old Style" w:hAnsi="Bookman Old Style"/>
        </w:rPr>
        <w:t xml:space="preserve"> S.A. E.S.P. y Empresa de Energía de Cundinamarca S.A. E.S.P. </w:t>
      </w:r>
      <w:r>
        <w:rPr>
          <w:rFonts w:ascii="Bookman Old Style" w:hAnsi="Bookman Old Style"/>
        </w:rPr>
        <w:t xml:space="preserve"> </w:t>
      </w:r>
      <w:r w:rsidRPr="000058F4">
        <w:rPr>
          <w:rFonts w:ascii="Bookman Old Style" w:hAnsi="Bookman Old Style"/>
        </w:rPr>
        <w:t>es el siguiente:</w:t>
      </w:r>
    </w:p>
    <w:p w14:paraId="7C870241" w14:textId="77777777" w:rsidR="00AD4068" w:rsidRPr="000058F4" w:rsidRDefault="00AD4068" w:rsidP="00AD4068">
      <w:pPr>
        <w:widowControl w:val="0"/>
        <w:adjustRightInd w:val="0"/>
        <w:ind w:left="142"/>
        <w:jc w:val="both"/>
        <w:textAlignment w:val="baseline"/>
        <w:rPr>
          <w:rFonts w:ascii="Bookman Old Style" w:hAnsi="Bookman Old Style"/>
        </w:rPr>
      </w:pPr>
    </w:p>
    <w:p w14:paraId="626E80F4" w14:textId="77777777" w:rsidR="00AD4068" w:rsidRPr="000058F4" w:rsidRDefault="00AD4068" w:rsidP="00AD4068">
      <w:pPr>
        <w:keepNext/>
        <w:widowControl w:val="0"/>
        <w:adjustRightInd w:val="0"/>
        <w:ind w:left="142"/>
        <w:jc w:val="center"/>
        <w:textAlignment w:val="baseline"/>
        <w:rPr>
          <w:rFonts w:ascii="Bookman Old Style" w:hAnsi="Bookman Old Style"/>
        </w:rPr>
      </w:pPr>
      <w:r w:rsidRPr="00594DDB">
        <w:rPr>
          <w:noProof/>
          <w:lang w:val="es-CO" w:eastAsia="es-CO"/>
        </w:rPr>
        <w:drawing>
          <wp:inline distT="0" distB="0" distL="0" distR="0" wp14:anchorId="605A0935" wp14:editId="79202DB0">
            <wp:extent cx="2899410" cy="329932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7764" cy="3354351"/>
                    </a:xfrm>
                    <a:prstGeom prst="rect">
                      <a:avLst/>
                    </a:prstGeom>
                    <a:noFill/>
                    <a:ln>
                      <a:noFill/>
                    </a:ln>
                  </pic:spPr>
                </pic:pic>
              </a:graphicData>
            </a:graphic>
          </wp:inline>
        </w:drawing>
      </w:r>
    </w:p>
    <w:p w14:paraId="44560EE5" w14:textId="77777777" w:rsidR="00AD4068" w:rsidRDefault="00AD4068" w:rsidP="00AD4068">
      <w:pPr>
        <w:pStyle w:val="Descripcin"/>
        <w:ind w:left="142"/>
        <w:rPr>
          <w:b w:val="0"/>
        </w:rPr>
      </w:pPr>
      <w:r w:rsidRPr="000058F4">
        <w:t xml:space="preserve">Tabla </w:t>
      </w:r>
      <w:r>
        <w:fldChar w:fldCharType="begin"/>
      </w:r>
      <w:r>
        <w:instrText xml:space="preserve"> SEQ Tabla \* ARABIC </w:instrText>
      </w:r>
      <w:r>
        <w:fldChar w:fldCharType="separate"/>
      </w:r>
      <w:r>
        <w:t>5</w:t>
      </w:r>
      <w:r>
        <w:fldChar w:fldCharType="end"/>
      </w:r>
      <w:r w:rsidRPr="000058F4">
        <w:t xml:space="preserve">. </w:t>
      </w:r>
      <w:r w:rsidRPr="000058F4">
        <w:rPr>
          <w:b w:val="0"/>
        </w:rPr>
        <w:t>IRGP</w:t>
      </w:r>
      <w:r w:rsidRPr="000058F4">
        <w:t xml:space="preserve"> </w:t>
      </w:r>
      <w:r w:rsidRPr="000058F4">
        <w:rPr>
          <w:b w:val="0"/>
        </w:rPr>
        <w:t>para el nivel de tensión 1.</w:t>
      </w:r>
    </w:p>
    <w:p w14:paraId="34864381" w14:textId="77777777" w:rsidR="00AD4068" w:rsidRPr="00AC43FD" w:rsidRDefault="00AD4068" w:rsidP="00AD4068">
      <w:pPr>
        <w:ind w:left="142"/>
      </w:pPr>
    </w:p>
    <w:p w14:paraId="1DD87D50" w14:textId="77777777" w:rsidR="00AD4068" w:rsidRPr="000058F4" w:rsidRDefault="00AD4068" w:rsidP="00AD4068">
      <w:pPr>
        <w:ind w:left="142"/>
      </w:pPr>
    </w:p>
    <w:p w14:paraId="154C2A8D" w14:textId="77777777" w:rsidR="00AD4068" w:rsidRPr="000058F4" w:rsidRDefault="00AD4068" w:rsidP="00AD4068">
      <w:pPr>
        <w:keepNext/>
        <w:ind w:left="142"/>
        <w:jc w:val="center"/>
        <w:rPr>
          <w:rFonts w:ascii="Bookman Old Style" w:hAnsi="Bookman Old Style"/>
        </w:rPr>
      </w:pPr>
      <w:r w:rsidRPr="00594DDB">
        <w:rPr>
          <w:noProof/>
          <w:lang w:val="es-CO" w:eastAsia="es-CO"/>
        </w:rPr>
        <w:drawing>
          <wp:inline distT="0" distB="0" distL="0" distR="0" wp14:anchorId="6285A74E" wp14:editId="3C704A9B">
            <wp:extent cx="2760735" cy="3114675"/>
            <wp:effectExtent l="0" t="0" r="190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4810" cy="3141837"/>
                    </a:xfrm>
                    <a:prstGeom prst="rect">
                      <a:avLst/>
                    </a:prstGeom>
                    <a:noFill/>
                    <a:ln>
                      <a:noFill/>
                    </a:ln>
                  </pic:spPr>
                </pic:pic>
              </a:graphicData>
            </a:graphic>
          </wp:inline>
        </w:drawing>
      </w:r>
    </w:p>
    <w:p w14:paraId="26091773" w14:textId="77777777" w:rsidR="00AD4068" w:rsidRPr="000058F4" w:rsidRDefault="00AD4068" w:rsidP="00AD4068">
      <w:pPr>
        <w:pStyle w:val="Descripcin"/>
        <w:ind w:left="142"/>
      </w:pPr>
      <w:r w:rsidRPr="000058F4">
        <w:t xml:space="preserve">Tabla </w:t>
      </w:r>
      <w:r>
        <w:fldChar w:fldCharType="begin"/>
      </w:r>
      <w:r>
        <w:instrText xml:space="preserve"> SEQ Tabla \* ARABIC </w:instrText>
      </w:r>
      <w:r>
        <w:fldChar w:fldCharType="separate"/>
      </w:r>
      <w:r>
        <w:t>6</w:t>
      </w:r>
      <w:r>
        <w:fldChar w:fldCharType="end"/>
      </w:r>
      <w:r w:rsidRPr="000058F4">
        <w:t xml:space="preserve">. </w:t>
      </w:r>
      <w:r w:rsidRPr="000058F4">
        <w:rPr>
          <w:b w:val="0"/>
        </w:rPr>
        <w:t>IRGP</w:t>
      </w:r>
      <w:r w:rsidRPr="000058F4">
        <w:t xml:space="preserve"> </w:t>
      </w:r>
      <w:r w:rsidRPr="000058F4">
        <w:rPr>
          <w:b w:val="0"/>
        </w:rPr>
        <w:t>para el nivel de tensión 2 y 3 agregado.</w:t>
      </w:r>
    </w:p>
    <w:p w14:paraId="45D56168" w14:textId="77777777" w:rsidR="00AD4068" w:rsidRDefault="00AD4068" w:rsidP="00AD4068">
      <w:pPr>
        <w:ind w:left="142"/>
        <w:jc w:val="both"/>
        <w:rPr>
          <w:rFonts w:ascii="Bookman Old Style" w:hAnsi="Bookman Old Style"/>
          <w:bCs/>
          <w:spacing w:val="-3"/>
        </w:rPr>
      </w:pPr>
    </w:p>
    <w:p w14:paraId="2606A953" w14:textId="77777777" w:rsidR="00AD4068" w:rsidRDefault="00AD4068" w:rsidP="00AD4068">
      <w:pPr>
        <w:tabs>
          <w:tab w:val="left" w:pos="-720"/>
        </w:tabs>
        <w:suppressAutoHyphens/>
        <w:ind w:left="142"/>
        <w:jc w:val="both"/>
        <w:rPr>
          <w:rFonts w:ascii="Bookman Old Style" w:hAnsi="Bookman Old Style"/>
          <w:spacing w:val="-3"/>
        </w:rPr>
      </w:pPr>
    </w:p>
    <w:p w14:paraId="718E8582" w14:textId="77777777" w:rsidR="003221A2" w:rsidRDefault="003221A2" w:rsidP="00AD4068">
      <w:pPr>
        <w:tabs>
          <w:tab w:val="left" w:pos="-720"/>
        </w:tabs>
        <w:suppressAutoHyphens/>
        <w:ind w:left="142"/>
        <w:jc w:val="both"/>
        <w:rPr>
          <w:rFonts w:ascii="Bookman Old Style" w:hAnsi="Bookman Old Style"/>
          <w:spacing w:val="-3"/>
        </w:rPr>
      </w:pPr>
    </w:p>
    <w:p w14:paraId="03A4CB4F" w14:textId="77777777" w:rsidR="003221A2" w:rsidRPr="00514DDB" w:rsidRDefault="003221A2" w:rsidP="00AD4068">
      <w:pPr>
        <w:tabs>
          <w:tab w:val="left" w:pos="-720"/>
        </w:tabs>
        <w:suppressAutoHyphens/>
        <w:ind w:left="142"/>
        <w:jc w:val="both"/>
        <w:rPr>
          <w:rFonts w:ascii="Bookman Old Style" w:hAnsi="Bookman Old Style"/>
          <w:spacing w:val="-3"/>
        </w:rPr>
      </w:pPr>
    </w:p>
    <w:p w14:paraId="689AA71F" w14:textId="0D3E3454" w:rsidR="00AD4068" w:rsidRDefault="00AD4068" w:rsidP="002D7406">
      <w:pPr>
        <w:numPr>
          <w:ilvl w:val="0"/>
          <w:numId w:val="33"/>
        </w:numPr>
        <w:tabs>
          <w:tab w:val="left" w:pos="1418"/>
        </w:tabs>
        <w:suppressAutoHyphens/>
        <w:ind w:left="142" w:firstLine="1418"/>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El costo base de come</w:t>
      </w:r>
      <w:r w:rsidR="002D7406">
        <w:rPr>
          <w:rFonts w:ascii="Bookman Old Style" w:hAnsi="Bookman Old Style"/>
          <w:spacing w:val="-3"/>
        </w:rPr>
        <w:t xml:space="preserve">rcialización para el mercado de comercialización </w:t>
      </w:r>
      <w:r w:rsidR="002D7406" w:rsidRPr="002D7406">
        <w:rPr>
          <w:rFonts w:ascii="Bookman Old Style" w:hAnsi="Bookman Old Style"/>
          <w:spacing w:val="-3"/>
        </w:rPr>
        <w:t xml:space="preserve">resultante de la integración de los anteriormente </w:t>
      </w:r>
      <w:r w:rsidR="002D7406">
        <w:rPr>
          <w:rFonts w:ascii="Bookman Old Style" w:hAnsi="Bookman Old Style"/>
          <w:spacing w:val="-3"/>
        </w:rPr>
        <w:t xml:space="preserve">atendidos </w:t>
      </w:r>
      <w:r w:rsidR="002D7406" w:rsidRPr="002D7406">
        <w:rPr>
          <w:rFonts w:ascii="Bookman Old Style" w:hAnsi="Bookman Old Style"/>
          <w:spacing w:val="-3"/>
        </w:rPr>
        <w:t xml:space="preserve">por </w:t>
      </w:r>
      <w:proofErr w:type="spellStart"/>
      <w:r w:rsidR="002D7406" w:rsidRPr="002D7406">
        <w:rPr>
          <w:rFonts w:ascii="Bookman Old Style" w:hAnsi="Bookman Old Style"/>
          <w:spacing w:val="-3"/>
        </w:rPr>
        <w:t>Codensa</w:t>
      </w:r>
      <w:proofErr w:type="spellEnd"/>
      <w:r w:rsidR="002D7406" w:rsidRPr="002D7406">
        <w:rPr>
          <w:rFonts w:ascii="Bookman Old Style" w:hAnsi="Bookman Old Style"/>
          <w:spacing w:val="-3"/>
        </w:rPr>
        <w:t xml:space="preserve"> S.A. E.S.P. y Empresa de Energía de Cundinamarca S.A. E.S.P.</w:t>
      </w:r>
      <w:r>
        <w:rPr>
          <w:rFonts w:ascii="Bookman Old Style" w:hAnsi="Bookman Old Style"/>
          <w:spacing w:val="-3"/>
        </w:rPr>
        <w:t>, conforme con lo establecido en el artículo 6 de la Resolución CREG 180 de 2014</w:t>
      </w:r>
      <w:r w:rsidR="00412051">
        <w:rPr>
          <w:rFonts w:ascii="Bookman Old Style" w:hAnsi="Bookman Old Style"/>
          <w:spacing w:val="-3"/>
        </w:rPr>
        <w:t>,</w:t>
      </w:r>
      <w:r>
        <w:rPr>
          <w:rFonts w:ascii="Bookman Old Style" w:hAnsi="Bookman Old Style"/>
          <w:spacing w:val="-3"/>
        </w:rPr>
        <w:t xml:space="preserve"> es:</w:t>
      </w:r>
    </w:p>
    <w:p w14:paraId="100A4587" w14:textId="77777777" w:rsidR="00AD4068" w:rsidRPr="002322D9" w:rsidRDefault="00AD4068" w:rsidP="00AD4068">
      <w:pPr>
        <w:tabs>
          <w:tab w:val="left" w:pos="1418"/>
        </w:tabs>
        <w:suppressAutoHyphens/>
        <w:ind w:left="142"/>
        <w:jc w:val="both"/>
        <w:rPr>
          <w:rFonts w:ascii="Bookman Old Style" w:hAnsi="Bookman Old Style"/>
          <w:spacing w:val="-3"/>
        </w:rPr>
      </w:pPr>
    </w:p>
    <w:tbl>
      <w:tblPr>
        <w:tblStyle w:val="Tablaconcuadrcula"/>
        <w:tblW w:w="5053" w:type="dxa"/>
        <w:jc w:val="center"/>
        <w:tblLook w:val="04A0" w:firstRow="1" w:lastRow="0" w:firstColumn="1" w:lastColumn="0" w:noHBand="0" w:noVBand="1"/>
      </w:tblPr>
      <w:tblGrid>
        <w:gridCol w:w="3448"/>
        <w:gridCol w:w="1605"/>
      </w:tblGrid>
      <w:tr w:rsidR="00AD4068" w14:paraId="39CD0865" w14:textId="77777777" w:rsidTr="002D7406">
        <w:trPr>
          <w:trHeight w:val="447"/>
          <w:jc w:val="center"/>
        </w:trPr>
        <w:tc>
          <w:tcPr>
            <w:tcW w:w="3448" w:type="dxa"/>
            <w:vAlign w:val="center"/>
          </w:tcPr>
          <w:p w14:paraId="751A09C8" w14:textId="77777777" w:rsidR="00AD4068" w:rsidRPr="002322D9" w:rsidRDefault="00AD4068" w:rsidP="00AE1E5C">
            <w:pPr>
              <w:tabs>
                <w:tab w:val="left" w:pos="1418"/>
              </w:tabs>
              <w:suppressAutoHyphens/>
              <w:ind w:left="142"/>
              <w:jc w:val="center"/>
              <w:rPr>
                <w:rFonts w:ascii="Bookman Old Style" w:hAnsi="Bookman Old Style"/>
                <w:b/>
                <w:spacing w:val="-3"/>
              </w:rPr>
            </w:pPr>
            <w:r w:rsidRPr="002322D9">
              <w:rPr>
                <w:rFonts w:ascii="Bookman Old Style" w:hAnsi="Bookman Old Style"/>
                <w:b/>
                <w:spacing w:val="-3"/>
              </w:rPr>
              <w:t>Año</w:t>
            </w:r>
          </w:p>
        </w:tc>
        <w:tc>
          <w:tcPr>
            <w:tcW w:w="1605" w:type="dxa"/>
            <w:vAlign w:val="center"/>
          </w:tcPr>
          <w:p w14:paraId="02F63146" w14:textId="77777777" w:rsidR="00AD4068" w:rsidRPr="002322D9" w:rsidRDefault="00AD4068" w:rsidP="00AE1E5C">
            <w:pPr>
              <w:tabs>
                <w:tab w:val="left" w:pos="1418"/>
              </w:tabs>
              <w:suppressAutoHyphens/>
              <w:ind w:left="142"/>
              <w:jc w:val="center"/>
              <w:rPr>
                <w:rFonts w:ascii="Bookman Old Style" w:hAnsi="Bookman Old Style"/>
                <w:b/>
                <w:spacing w:val="-3"/>
              </w:rPr>
            </w:pPr>
            <w:r w:rsidRPr="002322D9">
              <w:rPr>
                <w:rFonts w:ascii="Bookman Old Style" w:hAnsi="Bookman Old Style"/>
                <w:b/>
                <w:spacing w:val="-3"/>
              </w:rPr>
              <w:t>2015</w:t>
            </w:r>
          </w:p>
        </w:tc>
      </w:tr>
      <w:tr w:rsidR="00AD4068" w14:paraId="14F1C5D2" w14:textId="77777777" w:rsidTr="002D7406">
        <w:trPr>
          <w:trHeight w:val="423"/>
          <w:jc w:val="center"/>
        </w:trPr>
        <w:tc>
          <w:tcPr>
            <w:tcW w:w="3448" w:type="dxa"/>
            <w:vAlign w:val="center"/>
          </w:tcPr>
          <w:p w14:paraId="09C7ECDA" w14:textId="77777777" w:rsidR="00AD4068" w:rsidRPr="002322D9" w:rsidRDefault="00AD4068" w:rsidP="00AE1E5C">
            <w:pPr>
              <w:tabs>
                <w:tab w:val="left" w:pos="-720"/>
              </w:tabs>
              <w:suppressAutoHyphens/>
              <w:ind w:left="142"/>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605" w:type="dxa"/>
            <w:vAlign w:val="center"/>
          </w:tcPr>
          <w:p w14:paraId="55D62FBA" w14:textId="77777777" w:rsidR="00AD4068" w:rsidRPr="00666347" w:rsidRDefault="00AD4068" w:rsidP="00AE1E5C">
            <w:pPr>
              <w:tabs>
                <w:tab w:val="left" w:pos="1418"/>
              </w:tabs>
              <w:suppressAutoHyphens/>
              <w:ind w:left="142"/>
              <w:jc w:val="center"/>
              <w:rPr>
                <w:rFonts w:ascii="Bookman Old Style" w:hAnsi="Bookman Old Style"/>
                <w:b/>
                <w:spacing w:val="-3"/>
              </w:rPr>
            </w:pPr>
            <w:r w:rsidRPr="00CD724E">
              <w:rPr>
                <w:rFonts w:ascii="Bookman Old Style" w:hAnsi="Bookman Old Style"/>
                <w:b/>
                <w:spacing w:val="-3"/>
              </w:rPr>
              <w:t>5</w:t>
            </w:r>
            <w:r>
              <w:rPr>
                <w:rFonts w:ascii="Bookman Old Style" w:hAnsi="Bookman Old Style"/>
                <w:b/>
                <w:spacing w:val="-3"/>
              </w:rPr>
              <w:t>.549,9</w:t>
            </w:r>
            <w:r w:rsidRPr="00CD724E">
              <w:rPr>
                <w:rFonts w:ascii="Bookman Old Style" w:hAnsi="Bookman Old Style"/>
                <w:b/>
                <w:spacing w:val="-3"/>
              </w:rPr>
              <w:t>2</w:t>
            </w:r>
          </w:p>
        </w:tc>
      </w:tr>
    </w:tbl>
    <w:p w14:paraId="1A3EB533" w14:textId="77777777" w:rsidR="00AD4068" w:rsidRDefault="00AD4068" w:rsidP="00AD4068">
      <w:pPr>
        <w:pStyle w:val="Prrafodelista"/>
        <w:suppressAutoHyphens/>
        <w:ind w:left="142"/>
        <w:rPr>
          <w:rFonts w:ascii="Bookman Old Style" w:hAnsi="Bookman Old Style"/>
          <w:b/>
          <w:spacing w:val="-3"/>
          <w:lang w:val="es-ES"/>
        </w:rPr>
      </w:pPr>
    </w:p>
    <w:p w14:paraId="72BA29EF" w14:textId="266A44EC" w:rsidR="00AD4068" w:rsidRPr="002D0D3B" w:rsidRDefault="00AD4068" w:rsidP="00AD4068">
      <w:pPr>
        <w:numPr>
          <w:ilvl w:val="0"/>
          <w:numId w:val="33"/>
        </w:numPr>
        <w:tabs>
          <w:tab w:val="left" w:pos="1418"/>
        </w:tabs>
        <w:suppressAutoHyphens/>
        <w:ind w:left="142" w:firstLine="1418"/>
        <w:jc w:val="both"/>
        <w:rPr>
          <w:rFonts w:ascii="Bookman Old Style" w:hAnsi="Bookman Old Style"/>
          <w:spacing w:val="-3"/>
        </w:rPr>
      </w:pPr>
      <w:r>
        <w:rPr>
          <w:rFonts w:ascii="Bookman Old Style" w:hAnsi="Bookman Old Style"/>
          <w:b/>
          <w:spacing w:val="-3"/>
        </w:rPr>
        <w:t xml:space="preserve">Riesgo de cartera para usuarios tradicionales. </w:t>
      </w:r>
      <w:r w:rsidRPr="002D0D3B">
        <w:rPr>
          <w:rFonts w:ascii="Bookman Old Style" w:hAnsi="Bookman Old Style"/>
          <w:spacing w:val="-3"/>
        </w:rPr>
        <w:t xml:space="preserve">La prima de riesgo de cartera no gestionable de los usuarios tradicionales en el </w:t>
      </w:r>
      <w:r w:rsidR="002D7406">
        <w:rPr>
          <w:rFonts w:ascii="Bookman Old Style" w:hAnsi="Bookman Old Style"/>
          <w:spacing w:val="-3"/>
        </w:rPr>
        <w:t xml:space="preserve">mercado de comercialización </w:t>
      </w:r>
      <w:r w:rsidR="002D7406" w:rsidRPr="002D7406">
        <w:rPr>
          <w:rFonts w:ascii="Bookman Old Style" w:hAnsi="Bookman Old Style"/>
          <w:spacing w:val="-3"/>
        </w:rPr>
        <w:t xml:space="preserve">resultante de la integración de los anteriormente </w:t>
      </w:r>
      <w:r w:rsidR="002D7406">
        <w:rPr>
          <w:rFonts w:ascii="Bookman Old Style" w:hAnsi="Bookman Old Style"/>
          <w:spacing w:val="-3"/>
        </w:rPr>
        <w:t xml:space="preserve">atendidos </w:t>
      </w:r>
      <w:r w:rsidR="002D7406" w:rsidRPr="002D7406">
        <w:rPr>
          <w:rFonts w:ascii="Bookman Old Style" w:hAnsi="Bookman Old Style"/>
          <w:spacing w:val="-3"/>
        </w:rPr>
        <w:t xml:space="preserve">por </w:t>
      </w:r>
      <w:proofErr w:type="spellStart"/>
      <w:r w:rsidR="002D7406" w:rsidRPr="002D7406">
        <w:rPr>
          <w:rFonts w:ascii="Bookman Old Style" w:hAnsi="Bookman Old Style"/>
          <w:spacing w:val="-3"/>
        </w:rPr>
        <w:t>Codensa</w:t>
      </w:r>
      <w:proofErr w:type="spellEnd"/>
      <w:r w:rsidR="002D7406" w:rsidRPr="002D7406">
        <w:rPr>
          <w:rFonts w:ascii="Bookman Old Style" w:hAnsi="Bookman Old Style"/>
          <w:spacing w:val="-3"/>
        </w:rPr>
        <w:t xml:space="preserve"> S.A. E.S.P. y Empresa de Energía de Cundinamarca S.A. E.S.P.</w:t>
      </w:r>
      <w:r w:rsidRPr="002D0D3B">
        <w:rPr>
          <w:rFonts w:ascii="Bookman Old Style" w:hAnsi="Bookman Old Style"/>
          <w:spacing w:val="-3"/>
        </w:rPr>
        <w:t>, EEC, conforme a lo establecido en el numeral 1 del artículo 14 de la Resolución CREG 180 de 2014</w:t>
      </w:r>
      <w:r w:rsidR="00412051">
        <w:rPr>
          <w:rFonts w:ascii="Bookman Old Style" w:hAnsi="Bookman Old Style"/>
          <w:spacing w:val="-3"/>
        </w:rPr>
        <w:t>,</w:t>
      </w:r>
      <w:r w:rsidRPr="002D0D3B">
        <w:rPr>
          <w:rFonts w:ascii="Bookman Old Style" w:hAnsi="Bookman Old Style"/>
          <w:spacing w:val="-3"/>
        </w:rPr>
        <w:t xml:space="preserve"> es:</w:t>
      </w:r>
    </w:p>
    <w:p w14:paraId="6AE7AFCE" w14:textId="77777777" w:rsidR="00AD4068" w:rsidRDefault="00AD4068" w:rsidP="00AD4068">
      <w:pPr>
        <w:tabs>
          <w:tab w:val="left" w:pos="-720"/>
        </w:tabs>
        <w:suppressAutoHyphens/>
        <w:spacing w:before="240" w:after="240"/>
        <w:ind w:left="142"/>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 </w:t>
      </w:r>
      <w:r w:rsidRPr="00CD724E">
        <w:rPr>
          <w:rFonts w:ascii="Bookman Old Style" w:hAnsi="Bookman Old Style"/>
          <w:b/>
          <w:spacing w:val="-3"/>
        </w:rPr>
        <w:t>0</w:t>
      </w:r>
      <w:r>
        <w:rPr>
          <w:rFonts w:ascii="Bookman Old Style" w:hAnsi="Bookman Old Style"/>
          <w:b/>
          <w:spacing w:val="-3"/>
        </w:rPr>
        <w:t>,2284</w:t>
      </w:r>
      <w:r w:rsidRPr="00CD724E">
        <w:rPr>
          <w:rFonts w:ascii="Bookman Old Style" w:hAnsi="Bookman Old Style"/>
          <w:b/>
          <w:spacing w:val="-3"/>
        </w:rPr>
        <w:t>%</w:t>
      </w:r>
    </w:p>
    <w:p w14:paraId="555066F3" w14:textId="77777777" w:rsidR="00AD4068" w:rsidRDefault="00AD4068" w:rsidP="00AD4068">
      <w:pPr>
        <w:pStyle w:val="Prrafodelista"/>
        <w:suppressAutoHyphens/>
        <w:ind w:left="142"/>
        <w:rPr>
          <w:rFonts w:ascii="Bookman Old Style" w:hAnsi="Bookman Old Style"/>
          <w:b/>
          <w:spacing w:val="-3"/>
          <w:lang w:val="es-ES"/>
        </w:rPr>
      </w:pPr>
    </w:p>
    <w:p w14:paraId="088A4E86" w14:textId="55E2D35F" w:rsidR="00AD4068" w:rsidRPr="002D0D3B" w:rsidRDefault="00AD4068" w:rsidP="00AD4068">
      <w:pPr>
        <w:numPr>
          <w:ilvl w:val="0"/>
          <w:numId w:val="33"/>
        </w:numPr>
        <w:tabs>
          <w:tab w:val="left" w:pos="1418"/>
        </w:tabs>
        <w:suppressAutoHyphens/>
        <w:ind w:left="142" w:firstLine="1418"/>
        <w:jc w:val="both"/>
        <w:rPr>
          <w:rFonts w:ascii="Bookman Old Style" w:hAnsi="Bookman Old Style"/>
          <w:spacing w:val="-3"/>
        </w:rPr>
      </w:pPr>
      <w:r w:rsidRPr="002D0D3B">
        <w:rPr>
          <w:rFonts w:ascii="Bookman Old Style" w:hAnsi="Bookman Old Style"/>
          <w:b/>
          <w:spacing w:val="-3"/>
        </w:rPr>
        <w:t>Riesgo de cartera para la atención de usuarios ubicados en áreas especiales.</w:t>
      </w:r>
      <w:r w:rsidRPr="002D0D3B">
        <w:rPr>
          <w:rFonts w:ascii="Bookman Old Style" w:hAnsi="Bookman Old Style"/>
          <w:spacing w:val="-3"/>
        </w:rPr>
        <w:t xml:space="preserve"> La prima de riesgo de cartera por la atención de usuarios ubicados en áreas especiales en el </w:t>
      </w:r>
      <w:r w:rsidR="002D7406">
        <w:rPr>
          <w:rFonts w:ascii="Bookman Old Style" w:hAnsi="Bookman Old Style"/>
          <w:spacing w:val="-3"/>
        </w:rPr>
        <w:t xml:space="preserve">mercado de comercialización </w:t>
      </w:r>
      <w:r w:rsidR="002D7406" w:rsidRPr="002D7406">
        <w:rPr>
          <w:rFonts w:ascii="Bookman Old Style" w:hAnsi="Bookman Old Style"/>
          <w:spacing w:val="-3"/>
        </w:rPr>
        <w:t xml:space="preserve">resultante de la integración de los anteriormente </w:t>
      </w:r>
      <w:r w:rsidR="002D7406">
        <w:rPr>
          <w:rFonts w:ascii="Bookman Old Style" w:hAnsi="Bookman Old Style"/>
          <w:spacing w:val="-3"/>
        </w:rPr>
        <w:t xml:space="preserve">atendidos </w:t>
      </w:r>
      <w:r w:rsidR="002D7406" w:rsidRPr="002D7406">
        <w:rPr>
          <w:rFonts w:ascii="Bookman Old Style" w:hAnsi="Bookman Old Style"/>
          <w:spacing w:val="-3"/>
        </w:rPr>
        <w:t xml:space="preserve">por </w:t>
      </w:r>
      <w:proofErr w:type="spellStart"/>
      <w:r w:rsidR="002D7406" w:rsidRPr="002D7406">
        <w:rPr>
          <w:rFonts w:ascii="Bookman Old Style" w:hAnsi="Bookman Old Style"/>
          <w:spacing w:val="-3"/>
        </w:rPr>
        <w:t>Codensa</w:t>
      </w:r>
      <w:proofErr w:type="spellEnd"/>
      <w:r w:rsidR="002D7406" w:rsidRPr="002D7406">
        <w:rPr>
          <w:rFonts w:ascii="Bookman Old Style" w:hAnsi="Bookman Old Style"/>
          <w:spacing w:val="-3"/>
        </w:rPr>
        <w:t xml:space="preserve"> S.A. E.S.P. y Empresa de Energía de Cundinamarca S.A. E.S.P.</w:t>
      </w:r>
      <w:r w:rsidRPr="002D0D3B">
        <w:rPr>
          <w:rFonts w:ascii="Bookman Old Style" w:hAnsi="Bookman Old Style"/>
          <w:spacing w:val="-3"/>
        </w:rPr>
        <w:t>, conforme a lo establecido en el numeral 2 del artículo 14 de la Resolución CREG 180 de 2014</w:t>
      </w:r>
      <w:r w:rsidR="00412051">
        <w:rPr>
          <w:rFonts w:ascii="Bookman Old Style" w:hAnsi="Bookman Old Style"/>
          <w:spacing w:val="-3"/>
        </w:rPr>
        <w:t>,</w:t>
      </w:r>
      <w:r w:rsidRPr="002D0D3B">
        <w:rPr>
          <w:rFonts w:ascii="Bookman Old Style" w:hAnsi="Bookman Old Style"/>
          <w:spacing w:val="-3"/>
        </w:rPr>
        <w:t xml:space="preserve"> es:</w:t>
      </w:r>
    </w:p>
    <w:p w14:paraId="3CF320C7" w14:textId="77777777" w:rsidR="00AD4068" w:rsidRDefault="00AD4068" w:rsidP="00AD4068">
      <w:pPr>
        <w:tabs>
          <w:tab w:val="left" w:pos="-720"/>
          <w:tab w:val="left" w:pos="1418"/>
        </w:tabs>
        <w:suppressAutoHyphens/>
        <w:spacing w:before="240" w:after="240"/>
        <w:ind w:left="142"/>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Pr="00CD724E">
        <w:rPr>
          <w:rFonts w:ascii="Bookman Old Style" w:hAnsi="Bookman Old Style"/>
          <w:b/>
          <w:spacing w:val="-3"/>
        </w:rPr>
        <w:t>0</w:t>
      </w:r>
      <w:r w:rsidRPr="00CC0023">
        <w:rPr>
          <w:rFonts w:ascii="Bookman Old Style" w:hAnsi="Bookman Old Style"/>
          <w:b/>
          <w:spacing w:val="-3"/>
        </w:rPr>
        <w:t xml:space="preserve"> %</w:t>
      </w:r>
    </w:p>
    <w:p w14:paraId="563D51AD" w14:textId="77777777" w:rsidR="00AD4068" w:rsidRPr="00894BAD" w:rsidRDefault="00AD4068" w:rsidP="00AD4068">
      <w:pPr>
        <w:widowControl w:val="0"/>
        <w:numPr>
          <w:ilvl w:val="0"/>
          <w:numId w:val="33"/>
        </w:numPr>
        <w:adjustRightInd w:val="0"/>
        <w:ind w:left="142" w:firstLine="1559"/>
        <w:jc w:val="both"/>
        <w:textAlignment w:val="baseline"/>
        <w:rPr>
          <w:rFonts w:ascii="Bookman Old Style" w:hAnsi="Bookman Old Style" w:cs="Arial"/>
          <w:sz w:val="22"/>
        </w:rPr>
      </w:pPr>
      <w:r w:rsidRPr="00894BAD">
        <w:rPr>
          <w:rFonts w:ascii="Bookman Old Style" w:hAnsi="Bookman Old Style"/>
          <w:b/>
        </w:rPr>
        <w:t>R</w:t>
      </w:r>
      <w:r w:rsidRPr="00894BAD">
        <w:rPr>
          <w:rFonts w:ascii="Bookman Old Style" w:hAnsi="Bookman Old Style"/>
          <w:b/>
          <w:bCs/>
        </w:rPr>
        <w:t xml:space="preserve">ecursos. </w:t>
      </w:r>
      <w:r w:rsidRPr="00894BAD">
        <w:rPr>
          <w:rFonts w:ascii="Bookman Old Style" w:hAnsi="Bookman Old Style"/>
        </w:rPr>
        <w:t xml:space="preserve">La presente Resolución deberá notificarse a las empresas </w:t>
      </w:r>
      <w:proofErr w:type="spellStart"/>
      <w:r w:rsidRPr="00894BAD">
        <w:rPr>
          <w:rFonts w:ascii="Bookman Old Style" w:hAnsi="Bookman Old Style"/>
        </w:rPr>
        <w:t>Codensa</w:t>
      </w:r>
      <w:proofErr w:type="spellEnd"/>
      <w:r w:rsidRPr="00894BAD">
        <w:rPr>
          <w:rFonts w:ascii="Bookman Old Style" w:hAnsi="Bookman Old Style"/>
        </w:rPr>
        <w:t xml:space="preserve"> S.A. E.S.P. y Empresa de Energía de Cundinamarca S.A. E.S.P. Contra lo dispuesto en este acto procede el recurso de reposición, el cual se podrá interponer ante la Dirección Ejecutiva de la CREG dentro de los cinco (5) días hábiles siguientes a la fecha de su notificación.</w:t>
      </w:r>
    </w:p>
    <w:p w14:paraId="09733C75" w14:textId="77777777" w:rsidR="00AD4068" w:rsidRDefault="00AD4068" w:rsidP="00AD4068">
      <w:pPr>
        <w:ind w:left="142"/>
        <w:rPr>
          <w:rFonts w:ascii="Bookman Old Style" w:hAnsi="Bookman Old Style" w:cs="Arial"/>
          <w:sz w:val="22"/>
        </w:rPr>
      </w:pPr>
    </w:p>
    <w:p w14:paraId="34EF7745" w14:textId="77777777" w:rsidR="00AD4068" w:rsidRPr="00482AB3" w:rsidRDefault="00AD4068" w:rsidP="00AD4068">
      <w:pPr>
        <w:ind w:left="142"/>
        <w:jc w:val="both"/>
        <w:rPr>
          <w:rFonts w:ascii="Bookman Old Style" w:hAnsi="Bookman Old Style" w:cs="Arial"/>
          <w:b/>
          <w:bCs/>
          <w:lang w:val="es-CO" w:eastAsia="es-CO"/>
        </w:rPr>
      </w:pPr>
    </w:p>
    <w:p w14:paraId="61BF65C2" w14:textId="77777777" w:rsidR="00AD4068" w:rsidRPr="00482AB3" w:rsidRDefault="00AD4068" w:rsidP="00AD4068">
      <w:pPr>
        <w:ind w:left="142"/>
        <w:jc w:val="center"/>
        <w:rPr>
          <w:rFonts w:ascii="Bookman Old Style" w:hAnsi="Bookman Old Style" w:cs="Arial"/>
          <w:lang w:val="es-CO" w:eastAsia="es-CO"/>
        </w:rPr>
      </w:pPr>
      <w:r w:rsidRPr="00482AB3">
        <w:rPr>
          <w:rFonts w:ascii="Bookman Old Style" w:hAnsi="Bookman Old Style" w:cs="Arial"/>
          <w:b/>
          <w:bCs/>
          <w:lang w:val="es-CO" w:eastAsia="es-CO"/>
        </w:rPr>
        <w:t>PUBLÍQUESE Y CÚMPLASE</w:t>
      </w:r>
    </w:p>
    <w:p w14:paraId="06AFBF90" w14:textId="75EE62A9" w:rsidR="00AD4068" w:rsidRDefault="00AD4068" w:rsidP="00AD4068">
      <w:pPr>
        <w:spacing w:after="240"/>
        <w:ind w:left="142"/>
        <w:jc w:val="both"/>
        <w:rPr>
          <w:rFonts w:ascii="Bookman Old Style" w:hAnsi="Bookman Old Style" w:cs="Arial"/>
          <w:lang w:val="es-CO" w:eastAsia="es-CO"/>
        </w:rPr>
      </w:pPr>
      <w:r w:rsidRPr="00482AB3">
        <w:rPr>
          <w:rFonts w:ascii="Bookman Old Style" w:hAnsi="Bookman Old Style" w:cs="Arial"/>
          <w:lang w:val="es-CO" w:eastAsia="es-CO"/>
        </w:rPr>
        <w:br/>
        <w:t xml:space="preserve">Dada en Bogotá. D. C., </w:t>
      </w:r>
      <w:r w:rsidR="003221A2">
        <w:rPr>
          <w:rFonts w:ascii="Bookman Old Style" w:hAnsi="Bookman Old Style" w:cs="Arial"/>
          <w:lang w:val="es-CO" w:eastAsia="es-CO"/>
        </w:rPr>
        <w:t>a</w:t>
      </w:r>
    </w:p>
    <w:p w14:paraId="0C08F6C4" w14:textId="77777777" w:rsidR="009B6084" w:rsidRPr="009B6084" w:rsidRDefault="009B6084" w:rsidP="00AD4068">
      <w:pPr>
        <w:spacing w:after="240"/>
        <w:ind w:left="142"/>
        <w:jc w:val="both"/>
        <w:rPr>
          <w:rFonts w:ascii="Bookman Old Style" w:hAnsi="Bookman Old Style" w:cs="Arial"/>
          <w:sz w:val="52"/>
          <w:lang w:val="es-CO" w:eastAsia="es-CO"/>
        </w:rPr>
      </w:pPr>
    </w:p>
    <w:tbl>
      <w:tblPr>
        <w:tblW w:w="0" w:type="auto"/>
        <w:jc w:val="center"/>
        <w:tblLayout w:type="fixed"/>
        <w:tblCellMar>
          <w:left w:w="70" w:type="dxa"/>
          <w:right w:w="70" w:type="dxa"/>
        </w:tblCellMar>
        <w:tblLook w:val="0000" w:firstRow="0" w:lastRow="0" w:firstColumn="0" w:lastColumn="0" w:noHBand="0" w:noVBand="0"/>
      </w:tblPr>
      <w:tblGrid>
        <w:gridCol w:w="70"/>
        <w:gridCol w:w="4892"/>
        <w:gridCol w:w="4347"/>
        <w:gridCol w:w="544"/>
      </w:tblGrid>
      <w:tr w:rsidR="009B6084" w:rsidRPr="009B6084" w14:paraId="135BF35B" w14:textId="77777777" w:rsidTr="009B6084">
        <w:trPr>
          <w:gridAfter w:val="1"/>
          <w:wAfter w:w="544" w:type="dxa"/>
          <w:trHeight w:val="329"/>
          <w:jc w:val="center"/>
        </w:trPr>
        <w:tc>
          <w:tcPr>
            <w:tcW w:w="4962" w:type="dxa"/>
            <w:gridSpan w:val="2"/>
            <w:vAlign w:val="center"/>
          </w:tcPr>
          <w:p w14:paraId="6E4E2A5C" w14:textId="77777777" w:rsidR="009B6084" w:rsidRPr="009B6084" w:rsidRDefault="009B6084" w:rsidP="00276C8A">
            <w:pPr>
              <w:jc w:val="center"/>
              <w:rPr>
                <w:rFonts w:ascii="Bookman Old Style" w:hAnsi="Bookman Old Style" w:cs="Arial"/>
                <w:b/>
                <w:spacing w:val="-3"/>
              </w:rPr>
            </w:pPr>
            <w:r w:rsidRPr="009B6084">
              <w:rPr>
                <w:rFonts w:ascii="Bookman Old Style" w:hAnsi="Bookman Old Style" w:cs="Arial"/>
                <w:b/>
                <w:spacing w:val="-3"/>
              </w:rPr>
              <w:t>RUTTY PAOLA ORTÍZ JARA</w:t>
            </w:r>
          </w:p>
        </w:tc>
        <w:tc>
          <w:tcPr>
            <w:tcW w:w="4347" w:type="dxa"/>
            <w:vAlign w:val="center"/>
          </w:tcPr>
          <w:p w14:paraId="47BC06C1" w14:textId="77777777" w:rsidR="009B6084" w:rsidRPr="009B6084" w:rsidRDefault="009B6084" w:rsidP="00276C8A">
            <w:pPr>
              <w:tabs>
                <w:tab w:val="left" w:pos="-720"/>
              </w:tabs>
              <w:jc w:val="center"/>
              <w:rPr>
                <w:rFonts w:ascii="Bookman Old Style" w:hAnsi="Bookman Old Style" w:cs="Arial"/>
                <w:b/>
                <w:spacing w:val="-3"/>
              </w:rPr>
            </w:pPr>
            <w:r w:rsidRPr="009B6084">
              <w:rPr>
                <w:rFonts w:ascii="Bookman Old Style" w:hAnsi="Bookman Old Style" w:cs="Arial"/>
                <w:b/>
                <w:spacing w:val="-3"/>
              </w:rPr>
              <w:t>GERMÁN CASTRO FERREIRA</w:t>
            </w:r>
          </w:p>
        </w:tc>
      </w:tr>
      <w:tr w:rsidR="009B6084" w:rsidRPr="009B6084" w14:paraId="75491DBE" w14:textId="77777777" w:rsidTr="009B6084">
        <w:trPr>
          <w:gridAfter w:val="1"/>
          <w:wAfter w:w="544" w:type="dxa"/>
          <w:trHeight w:val="329"/>
          <w:jc w:val="center"/>
        </w:trPr>
        <w:tc>
          <w:tcPr>
            <w:tcW w:w="4962" w:type="dxa"/>
            <w:gridSpan w:val="2"/>
            <w:vAlign w:val="center"/>
          </w:tcPr>
          <w:p w14:paraId="4993AA59" w14:textId="77777777" w:rsidR="009B6084" w:rsidRPr="009B6084" w:rsidRDefault="009B6084" w:rsidP="00276C8A">
            <w:pPr>
              <w:jc w:val="center"/>
              <w:rPr>
                <w:rFonts w:ascii="Bookman Old Style" w:hAnsi="Bookman Old Style" w:cs="Arial"/>
                <w:spacing w:val="-3"/>
              </w:rPr>
            </w:pPr>
            <w:r w:rsidRPr="009B6084">
              <w:rPr>
                <w:rFonts w:ascii="Bookman Old Style" w:hAnsi="Bookman Old Style" w:cs="Arial"/>
                <w:spacing w:val="-3"/>
              </w:rPr>
              <w:t>Viceministra de Energía</w:t>
            </w:r>
          </w:p>
        </w:tc>
        <w:tc>
          <w:tcPr>
            <w:tcW w:w="4347" w:type="dxa"/>
            <w:vAlign w:val="center"/>
          </w:tcPr>
          <w:p w14:paraId="40FAEC54" w14:textId="77777777" w:rsidR="009B6084" w:rsidRPr="009B6084" w:rsidRDefault="009B6084" w:rsidP="00276C8A">
            <w:pPr>
              <w:tabs>
                <w:tab w:val="left" w:pos="-720"/>
              </w:tabs>
              <w:jc w:val="center"/>
              <w:rPr>
                <w:rFonts w:ascii="Bookman Old Style" w:hAnsi="Bookman Old Style" w:cs="Arial"/>
                <w:spacing w:val="-3"/>
              </w:rPr>
            </w:pPr>
            <w:r w:rsidRPr="009B6084">
              <w:rPr>
                <w:rFonts w:ascii="Bookman Old Style" w:hAnsi="Bookman Old Style" w:cs="Arial"/>
                <w:spacing w:val="-3"/>
              </w:rPr>
              <w:t>Director Ejecutivo</w:t>
            </w:r>
          </w:p>
        </w:tc>
      </w:tr>
      <w:tr w:rsidR="009B6084" w:rsidRPr="009B6084" w14:paraId="1B24F9B6" w14:textId="77777777" w:rsidTr="009B6084">
        <w:trPr>
          <w:gridAfter w:val="1"/>
          <w:wAfter w:w="544" w:type="dxa"/>
          <w:trHeight w:val="329"/>
          <w:jc w:val="center"/>
        </w:trPr>
        <w:tc>
          <w:tcPr>
            <w:tcW w:w="4962" w:type="dxa"/>
            <w:gridSpan w:val="2"/>
            <w:vAlign w:val="center"/>
          </w:tcPr>
          <w:p w14:paraId="1106E9F4" w14:textId="77777777" w:rsidR="009B6084" w:rsidRPr="009B6084" w:rsidRDefault="009B6084" w:rsidP="00276C8A">
            <w:pPr>
              <w:jc w:val="center"/>
              <w:rPr>
                <w:rFonts w:ascii="Bookman Old Style" w:hAnsi="Bookman Old Style" w:cs="Arial"/>
                <w:spacing w:val="-3"/>
              </w:rPr>
            </w:pPr>
            <w:r w:rsidRPr="009B6084">
              <w:rPr>
                <w:rFonts w:ascii="Bookman Old Style" w:hAnsi="Bookman Old Style" w:cs="Arial"/>
                <w:spacing w:val="-3"/>
              </w:rPr>
              <w:t>Delegada del Ministro de Minas y Energía Presidente</w:t>
            </w:r>
          </w:p>
        </w:tc>
        <w:tc>
          <w:tcPr>
            <w:tcW w:w="4347" w:type="dxa"/>
            <w:vAlign w:val="center"/>
          </w:tcPr>
          <w:p w14:paraId="5149E6B8" w14:textId="77777777" w:rsidR="009B6084" w:rsidRPr="009B6084" w:rsidRDefault="009B6084" w:rsidP="00276C8A">
            <w:pPr>
              <w:tabs>
                <w:tab w:val="left" w:pos="-720"/>
              </w:tabs>
              <w:jc w:val="center"/>
              <w:rPr>
                <w:rFonts w:ascii="Bookman Old Style" w:hAnsi="Bookman Old Style" w:cs="Arial"/>
                <w:b/>
                <w:spacing w:val="-3"/>
              </w:rPr>
            </w:pPr>
          </w:p>
        </w:tc>
      </w:tr>
      <w:tr w:rsidR="009B6084" w14:paraId="5DCE5C38" w14:textId="77777777" w:rsidTr="009B6084">
        <w:tblPrEx>
          <w:tblCellSpacing w:w="0" w:type="dxa"/>
          <w:tblCellMar>
            <w:left w:w="0" w:type="dxa"/>
            <w:right w:w="0" w:type="dxa"/>
          </w:tblCellMar>
          <w:tblLook w:val="04A0" w:firstRow="1" w:lastRow="0" w:firstColumn="1" w:lastColumn="0" w:noHBand="0" w:noVBand="1"/>
        </w:tblPrEx>
        <w:trPr>
          <w:gridBefore w:val="1"/>
          <w:wBefore w:w="70" w:type="dxa"/>
          <w:tblCellSpacing w:w="0" w:type="dxa"/>
          <w:jc w:val="center"/>
        </w:trPr>
        <w:tc>
          <w:tcPr>
            <w:tcW w:w="4892" w:type="dxa"/>
          </w:tcPr>
          <w:p w14:paraId="2FFBDD9D" w14:textId="3287D86F" w:rsidR="009B6084" w:rsidRPr="009B6084" w:rsidRDefault="009B6084" w:rsidP="009B6084">
            <w:pPr>
              <w:rPr>
                <w:rFonts w:ascii="Bookman Old Style" w:eastAsia="Arial Unicode MS" w:hAnsi="Bookman Old Style" w:cs="Arial"/>
                <w:color w:val="000000"/>
              </w:rPr>
            </w:pPr>
          </w:p>
        </w:tc>
        <w:tc>
          <w:tcPr>
            <w:tcW w:w="4891" w:type="dxa"/>
            <w:gridSpan w:val="2"/>
          </w:tcPr>
          <w:p w14:paraId="6C719E2F" w14:textId="5114FACD" w:rsidR="009B6084" w:rsidRPr="009B6084" w:rsidRDefault="009B6084" w:rsidP="009B6084">
            <w:pPr>
              <w:rPr>
                <w:rFonts w:ascii="Bookman Old Style" w:eastAsia="Arial Unicode MS" w:hAnsi="Bookman Old Style" w:cs="Arial"/>
                <w:color w:val="000000"/>
              </w:rPr>
            </w:pPr>
          </w:p>
        </w:tc>
      </w:tr>
      <w:tr w:rsidR="009B6084" w14:paraId="6302B4CA" w14:textId="77777777" w:rsidTr="009B6084">
        <w:tblPrEx>
          <w:tblCellSpacing w:w="0" w:type="dxa"/>
          <w:tblCellMar>
            <w:left w:w="0" w:type="dxa"/>
            <w:right w:w="0" w:type="dxa"/>
          </w:tblCellMar>
          <w:tblLook w:val="04A0" w:firstRow="1" w:lastRow="0" w:firstColumn="1" w:lastColumn="0" w:noHBand="0" w:noVBand="1"/>
        </w:tblPrEx>
        <w:trPr>
          <w:gridBefore w:val="1"/>
          <w:wBefore w:w="70" w:type="dxa"/>
          <w:tblCellSpacing w:w="0" w:type="dxa"/>
          <w:jc w:val="center"/>
        </w:trPr>
        <w:tc>
          <w:tcPr>
            <w:tcW w:w="4892" w:type="dxa"/>
          </w:tcPr>
          <w:p w14:paraId="50B4C6F4" w14:textId="27C67036" w:rsidR="009B6084" w:rsidRDefault="009B6084" w:rsidP="009B6084">
            <w:pPr>
              <w:ind w:left="66"/>
              <w:jc w:val="center"/>
              <w:rPr>
                <w:rFonts w:ascii="Bookman Old Style" w:eastAsia="Arial Unicode MS" w:hAnsi="Bookman Old Style" w:cs="Arial"/>
                <w:color w:val="000000"/>
              </w:rPr>
            </w:pPr>
          </w:p>
        </w:tc>
        <w:tc>
          <w:tcPr>
            <w:tcW w:w="4891" w:type="dxa"/>
            <w:gridSpan w:val="2"/>
          </w:tcPr>
          <w:p w14:paraId="42416D16" w14:textId="77777777" w:rsidR="009B6084" w:rsidRDefault="009B6084" w:rsidP="009B6084">
            <w:pPr>
              <w:jc w:val="center"/>
              <w:rPr>
                <w:rFonts w:ascii="Bookman Old Style" w:eastAsia="Arial Unicode MS" w:hAnsi="Bookman Old Style" w:cs="Arial"/>
                <w:color w:val="000000"/>
              </w:rPr>
            </w:pPr>
          </w:p>
        </w:tc>
      </w:tr>
    </w:tbl>
    <w:p w14:paraId="5B593974" w14:textId="77777777" w:rsidR="00482AB3" w:rsidRPr="0045330F" w:rsidRDefault="00482AB3" w:rsidP="0045330F"/>
    <w:sectPr w:rsidR="00482AB3" w:rsidRPr="0045330F" w:rsidSect="00CC05A5">
      <w:headerReference w:type="default" r:id="rId23"/>
      <w:headerReference w:type="first" r:id="rId24"/>
      <w:type w:val="continuous"/>
      <w:pgSz w:w="12242" w:h="18722" w:code="123"/>
      <w:pgMar w:top="1701" w:right="1043"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53B7C" w14:textId="77777777" w:rsidR="00F84F2A" w:rsidRDefault="00F84F2A">
      <w:r>
        <w:separator/>
      </w:r>
    </w:p>
  </w:endnote>
  <w:endnote w:type="continuationSeparator" w:id="0">
    <w:p w14:paraId="2E383405" w14:textId="77777777" w:rsidR="00F84F2A" w:rsidRDefault="00F8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IN-Regular">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AC846" w14:textId="77777777" w:rsidR="00F84F2A" w:rsidRDefault="00F84F2A">
      <w:r>
        <w:separator/>
      </w:r>
    </w:p>
  </w:footnote>
  <w:footnote w:type="continuationSeparator" w:id="0">
    <w:p w14:paraId="56DB8E95" w14:textId="77777777" w:rsidR="00F84F2A" w:rsidRDefault="00F84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B34E" w14:textId="77777777" w:rsidR="008F67E5" w:rsidRDefault="008F67E5" w:rsidP="00951F79">
    <w:pPr>
      <w:pStyle w:val="Ttulo1"/>
      <w:ind w:right="6"/>
      <w:jc w:val="left"/>
      <w:rPr>
        <w:rFonts w:ascii="Bookman Old Style" w:hAnsi="Bookman Old Style" w:cs="Arial"/>
        <w:b w:val="0"/>
        <w:sz w:val="22"/>
        <w:szCs w:val="22"/>
      </w:rPr>
    </w:pPr>
  </w:p>
  <w:p w14:paraId="1AB07528" w14:textId="77777777" w:rsidR="008F67E5" w:rsidRPr="00951F79" w:rsidRDefault="008F67E5"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27B88">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627B88">
      <w:rPr>
        <w:rFonts w:ascii="Bookman Old Style" w:hAnsi="Bookman Old Style" w:cs="Arial"/>
        <w:b w:val="0"/>
        <w:noProof/>
        <w:sz w:val="22"/>
        <w:szCs w:val="22"/>
      </w:rPr>
      <w:t>7</w:t>
    </w:r>
    <w:r>
      <w:rPr>
        <w:rFonts w:ascii="Bookman Old Style" w:hAnsi="Bookman Old Style" w:cs="Arial"/>
        <w:b w:val="0"/>
        <w:sz w:val="22"/>
        <w:szCs w:val="22"/>
      </w:rPr>
      <w:fldChar w:fldCharType="end"/>
    </w:r>
  </w:p>
  <w:p w14:paraId="7E8B2D63" w14:textId="77777777" w:rsidR="008F67E5" w:rsidRDefault="0018729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752" behindDoc="0" locked="0" layoutInCell="1" allowOverlap="1" wp14:anchorId="47A265A5" wp14:editId="3C223C3D">
              <wp:simplePos x="0" y="0"/>
              <wp:positionH relativeFrom="column">
                <wp:posOffset>-8890</wp:posOffset>
              </wp:positionH>
              <wp:positionV relativeFrom="paragraph">
                <wp:posOffset>147320</wp:posOffset>
              </wp:positionV>
              <wp:extent cx="6342380" cy="9884410"/>
              <wp:effectExtent l="10160" t="13970" r="10160" b="171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88441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CC1A3" id="Rectangle 4" o:spid="_x0000_s1026" style="position:absolute;margin-left:-.7pt;margin-top:11.6pt;width:499.4pt;height:77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F18A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" filled="f" strokeweight="1.5pt"/>
          </w:pict>
        </mc:Fallback>
      </mc:AlternateContent>
    </w:r>
  </w:p>
  <w:p w14:paraId="3C591A9A" w14:textId="574B5B2B" w:rsidR="008F67E5" w:rsidRDefault="003221A2" w:rsidP="00560C3A">
    <w:pPr>
      <w:pBdr>
        <w:bottom w:val="single" w:sz="4" w:space="1" w:color="auto"/>
      </w:pBdr>
      <w:ind w:left="142" w:right="148"/>
      <w:jc w:val="both"/>
      <w:rPr>
        <w:rFonts w:ascii="Bookman Old Style" w:hAnsi="Bookman Old Style" w:cs="Arial"/>
        <w:sz w:val="22"/>
        <w:szCs w:val="22"/>
        <w:lang w:val="es-CO" w:eastAsia="es-CO"/>
      </w:rPr>
    </w:pPr>
    <w:r w:rsidRPr="003221A2">
      <w:rPr>
        <w:rFonts w:ascii="Bookman Old Style" w:hAnsi="Bookman Old Style" w:cs="Arial"/>
        <w:sz w:val="22"/>
        <w:szCs w:val="22"/>
        <w:lang w:val="es-CO" w:eastAsia="es-CO"/>
      </w:rPr>
      <w:t xml:space="preserve">Costos y cargos unificados de distribución y comercialización para el STR y SDL resultante de la integración de los sistemas anteriormente operados por </w:t>
    </w:r>
    <w:proofErr w:type="spellStart"/>
    <w:r w:rsidRPr="003221A2">
      <w:rPr>
        <w:rFonts w:ascii="Bookman Old Style" w:hAnsi="Bookman Old Style" w:cs="Arial"/>
        <w:sz w:val="22"/>
        <w:szCs w:val="22"/>
        <w:lang w:val="es-CO" w:eastAsia="es-CO"/>
      </w:rPr>
      <w:t>Codensa</w:t>
    </w:r>
    <w:proofErr w:type="spellEnd"/>
    <w:r w:rsidRPr="003221A2">
      <w:rPr>
        <w:rFonts w:ascii="Bookman Old Style" w:hAnsi="Bookman Old Style" w:cs="Arial"/>
        <w:sz w:val="22"/>
        <w:szCs w:val="22"/>
        <w:lang w:val="es-CO" w:eastAsia="es-CO"/>
      </w:rPr>
      <w:t xml:space="preserve"> S.A. E.S.P. y Empresa de Energía de Cundinamarca S.A. E.S.P</w:t>
    </w:r>
    <w:r w:rsidR="00560C3A" w:rsidRPr="003221A2">
      <w:rPr>
        <w:rFonts w:ascii="Bookman Old Style" w:hAnsi="Bookman Old Style" w:cs="Arial"/>
        <w:sz w:val="22"/>
        <w:szCs w:val="22"/>
        <w:lang w:val="es-CO" w:eastAsia="es-CO"/>
      </w:rPr>
      <w:t>.</w:t>
    </w:r>
  </w:p>
  <w:p w14:paraId="3B8807FD" w14:textId="77777777" w:rsidR="003221A2" w:rsidRPr="003221A2" w:rsidRDefault="003221A2" w:rsidP="00560C3A">
    <w:pPr>
      <w:pBdr>
        <w:bottom w:val="single" w:sz="4" w:space="1" w:color="auto"/>
      </w:pBdr>
      <w:ind w:left="142" w:right="148"/>
      <w:jc w:val="both"/>
      <w:rPr>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61974" w14:textId="77777777" w:rsidR="008F67E5" w:rsidRDefault="008F67E5">
    <w:pPr>
      <w:pStyle w:val="Encabezado"/>
      <w:jc w:val="center"/>
      <w:rPr>
        <w:rFonts w:ascii="Arial" w:hAnsi="Arial" w:cs="Arial"/>
        <w:spacing w:val="20"/>
        <w:sz w:val="20"/>
      </w:rPr>
    </w:pPr>
    <w:r>
      <w:rPr>
        <w:rFonts w:ascii="Arial" w:hAnsi="Arial" w:cs="Arial"/>
        <w:spacing w:val="20"/>
        <w:sz w:val="20"/>
      </w:rPr>
      <w:t>República de Colombia</w:t>
    </w:r>
  </w:p>
  <w:p w14:paraId="714B5E9D" w14:textId="77777777" w:rsidR="008F67E5" w:rsidRDefault="008F67E5">
    <w:pPr>
      <w:pStyle w:val="Encabezado"/>
      <w:jc w:val="center"/>
      <w:rPr>
        <w:rFonts w:ascii="Arial" w:hAnsi="Arial" w:cs="Arial"/>
        <w:spacing w:val="20"/>
        <w:sz w:val="20"/>
      </w:rPr>
    </w:pPr>
  </w:p>
  <w:p w14:paraId="7379A751" w14:textId="77777777" w:rsidR="008F67E5" w:rsidRDefault="0018729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86DCD13" wp14:editId="77610E5E">
              <wp:simplePos x="0" y="0"/>
              <wp:positionH relativeFrom="column">
                <wp:posOffset>-8890</wp:posOffset>
              </wp:positionH>
              <wp:positionV relativeFrom="paragraph">
                <wp:posOffset>224790</wp:posOffset>
              </wp:positionV>
              <wp:extent cx="6308090" cy="9839325"/>
              <wp:effectExtent l="10160" t="15240" r="15875"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BCB41"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15:restartNumberingAfterBreak="0">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15:restartNumberingAfterBreak="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3" w15:restartNumberingAfterBreak="0">
    <w:nsid w:val="0F4E61EE"/>
    <w:multiLevelType w:val="hybridMultilevel"/>
    <w:tmpl w:val="78C82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5200B"/>
    <w:multiLevelType w:val="multilevel"/>
    <w:tmpl w:val="E3AE35F2"/>
    <w:styleLink w:val="Numerales"/>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E85457"/>
    <w:multiLevelType w:val="hybridMultilevel"/>
    <w:tmpl w:val="DCD4323A"/>
    <w:lvl w:ilvl="0" w:tplc="24F4EA04">
      <w:start w:val="1"/>
      <w:numFmt w:val="decimal"/>
      <w:lvlText w:val="%1."/>
      <w:lvlJc w:val="left"/>
      <w:pPr>
        <w:ind w:left="720" w:hanging="360"/>
      </w:pPr>
      <w:rPr>
        <w:rFonts w:cs="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012519"/>
    <w:multiLevelType w:val="singleLevel"/>
    <w:tmpl w:val="C5828506"/>
    <w:lvl w:ilvl="0">
      <w:start w:val="1"/>
      <w:numFmt w:val="bullet"/>
      <w:pStyle w:val="PrrafoLista1"/>
      <w:lvlText w:val=""/>
      <w:lvlJc w:val="left"/>
      <w:pPr>
        <w:tabs>
          <w:tab w:val="num" w:pos="360"/>
        </w:tabs>
        <w:ind w:left="360" w:hanging="360"/>
      </w:pPr>
      <w:rPr>
        <w:rFonts w:ascii="Symbol" w:hAnsi="Symbol" w:hint="default"/>
      </w:rPr>
    </w:lvl>
  </w:abstractNum>
  <w:abstractNum w:abstractNumId="7" w15:restartNumberingAfterBreak="0">
    <w:nsid w:val="18052941"/>
    <w:multiLevelType w:val="hybridMultilevel"/>
    <w:tmpl w:val="B062519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18E0000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1BD20391"/>
    <w:multiLevelType w:val="multilevel"/>
    <w:tmpl w:val="B8D2D1DC"/>
    <w:lvl w:ilvl="0">
      <w:start w:val="6"/>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BFD7146"/>
    <w:multiLevelType w:val="hybridMultilevel"/>
    <w:tmpl w:val="BC6CE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B509CE"/>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5420BFE"/>
    <w:multiLevelType w:val="hybridMultilevel"/>
    <w:tmpl w:val="8AF66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1760E6"/>
    <w:multiLevelType w:val="hybridMultilevel"/>
    <w:tmpl w:val="63EA9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376C0C"/>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54F469C"/>
    <w:multiLevelType w:val="multilevel"/>
    <w:tmpl w:val="00C6EC3A"/>
    <w:lvl w:ilvl="0">
      <w:start w:val="6"/>
      <w:numFmt w:val="decimal"/>
      <w:lvlText w:val="%1"/>
      <w:lvlJc w:val="left"/>
      <w:pPr>
        <w:ind w:left="360" w:hanging="360"/>
      </w:pPr>
      <w:rPr>
        <w:rFonts w:hint="default"/>
      </w:rPr>
    </w:lvl>
    <w:lvl w:ilvl="1">
      <w:start w:val="1"/>
      <w:numFmt w:val="decimal"/>
      <w:lvlText w:val="%1.%2"/>
      <w:lvlJc w:val="left"/>
      <w:pPr>
        <w:ind w:left="2374" w:hanging="720"/>
      </w:pPr>
      <w:rPr>
        <w:rFonts w:hint="default"/>
      </w:rPr>
    </w:lvl>
    <w:lvl w:ilvl="2">
      <w:start w:val="1"/>
      <w:numFmt w:val="decimal"/>
      <w:lvlText w:val="%1.%2.%3"/>
      <w:lvlJc w:val="left"/>
      <w:pPr>
        <w:ind w:left="4028" w:hanging="720"/>
      </w:pPr>
      <w:rPr>
        <w:rFonts w:hint="default"/>
      </w:rPr>
    </w:lvl>
    <w:lvl w:ilvl="3">
      <w:start w:val="1"/>
      <w:numFmt w:val="decimal"/>
      <w:lvlText w:val="%1.%2.%3.%4"/>
      <w:lvlJc w:val="left"/>
      <w:pPr>
        <w:ind w:left="6042" w:hanging="1080"/>
      </w:pPr>
      <w:rPr>
        <w:rFonts w:hint="default"/>
      </w:rPr>
    </w:lvl>
    <w:lvl w:ilvl="4">
      <w:start w:val="1"/>
      <w:numFmt w:val="decimal"/>
      <w:lvlText w:val="%1.%2.%3.%4.%5"/>
      <w:lvlJc w:val="left"/>
      <w:pPr>
        <w:ind w:left="7696" w:hanging="1080"/>
      </w:pPr>
      <w:rPr>
        <w:rFonts w:hint="default"/>
      </w:rPr>
    </w:lvl>
    <w:lvl w:ilvl="5">
      <w:start w:val="1"/>
      <w:numFmt w:val="decimal"/>
      <w:lvlText w:val="%1.%2.%3.%4.%5.%6"/>
      <w:lvlJc w:val="left"/>
      <w:pPr>
        <w:ind w:left="9710" w:hanging="1440"/>
      </w:pPr>
      <w:rPr>
        <w:rFonts w:hint="default"/>
      </w:rPr>
    </w:lvl>
    <w:lvl w:ilvl="6">
      <w:start w:val="1"/>
      <w:numFmt w:val="decimal"/>
      <w:lvlText w:val="%1.%2.%3.%4.%5.%6.%7"/>
      <w:lvlJc w:val="left"/>
      <w:pPr>
        <w:ind w:left="11724" w:hanging="1800"/>
      </w:pPr>
      <w:rPr>
        <w:rFonts w:hint="default"/>
      </w:rPr>
    </w:lvl>
    <w:lvl w:ilvl="7">
      <w:start w:val="1"/>
      <w:numFmt w:val="decimal"/>
      <w:lvlText w:val="%1.%2.%3.%4.%5.%6.%7.%8"/>
      <w:lvlJc w:val="left"/>
      <w:pPr>
        <w:ind w:left="13378" w:hanging="1800"/>
      </w:pPr>
      <w:rPr>
        <w:rFonts w:hint="default"/>
      </w:rPr>
    </w:lvl>
    <w:lvl w:ilvl="8">
      <w:start w:val="1"/>
      <w:numFmt w:val="decimal"/>
      <w:lvlText w:val="%1.%2.%3.%4.%5.%6.%7.%8.%9"/>
      <w:lvlJc w:val="left"/>
      <w:pPr>
        <w:ind w:left="15392" w:hanging="2160"/>
      </w:pPr>
      <w:rPr>
        <w:rFonts w:hint="default"/>
      </w:rPr>
    </w:lvl>
  </w:abstractNum>
  <w:abstractNum w:abstractNumId="16" w15:restartNumberingAfterBreak="0">
    <w:nsid w:val="386B14B5"/>
    <w:multiLevelType w:val="hybridMultilevel"/>
    <w:tmpl w:val="16B812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AC96D4A"/>
    <w:multiLevelType w:val="hybridMultilevel"/>
    <w:tmpl w:val="DCC2B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A613BE"/>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40EE1F36"/>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4CF6485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D7301FD"/>
    <w:multiLevelType w:val="hybridMultilevel"/>
    <w:tmpl w:val="947497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42431A6"/>
    <w:multiLevelType w:val="hybridMultilevel"/>
    <w:tmpl w:val="C5B8C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C66A42"/>
    <w:multiLevelType w:val="hybridMultilevel"/>
    <w:tmpl w:val="D42050FA"/>
    <w:lvl w:ilvl="0" w:tplc="F8741558">
      <w:start w:val="1"/>
      <w:numFmt w:val="decimal"/>
      <w:lvlText w:val="Artículo %1."/>
      <w:lvlJc w:val="left"/>
      <w:pPr>
        <w:ind w:left="36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020243"/>
    <w:multiLevelType w:val="hybridMultilevel"/>
    <w:tmpl w:val="E09C6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5D7C18"/>
    <w:multiLevelType w:val="hybridMultilevel"/>
    <w:tmpl w:val="3ECC79F2"/>
    <w:lvl w:ilvl="0" w:tplc="A14A0946">
      <w:start w:val="1"/>
      <w:numFmt w:val="decimal"/>
      <w:lvlText w:val="ARTÍCULO %1º."/>
      <w:lvlJc w:val="left"/>
      <w:pPr>
        <w:ind w:left="7164" w:hanging="360"/>
      </w:pPr>
      <w:rPr>
        <w:rFonts w:hint="default"/>
        <w:b/>
        <w:lang w:val="es-E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9320C76"/>
    <w:multiLevelType w:val="hybridMultilevel"/>
    <w:tmpl w:val="58F2CD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59B81F6F"/>
    <w:multiLevelType w:val="hybridMultilevel"/>
    <w:tmpl w:val="3BC683EA"/>
    <w:lvl w:ilvl="0" w:tplc="C87CCA8E">
      <w:start w:val="1"/>
      <w:numFmt w:val="bullet"/>
      <w:lvlText w:val=""/>
      <w:lvlJc w:val="left"/>
      <w:pPr>
        <w:ind w:left="1080" w:hanging="360"/>
      </w:pPr>
      <w:rPr>
        <w:rFonts w:ascii="Symbol" w:hAnsi="Symbol" w:hint="default"/>
      </w:rPr>
    </w:lvl>
    <w:lvl w:ilvl="1" w:tplc="2C0E9E5E" w:tentative="1">
      <w:start w:val="1"/>
      <w:numFmt w:val="bullet"/>
      <w:lvlText w:val="o"/>
      <w:lvlJc w:val="left"/>
      <w:pPr>
        <w:ind w:left="1800" w:hanging="360"/>
      </w:pPr>
      <w:rPr>
        <w:rFonts w:ascii="Courier New" w:hAnsi="Courier New" w:cs="Courier New" w:hint="default"/>
      </w:rPr>
    </w:lvl>
    <w:lvl w:ilvl="2" w:tplc="F65266C8" w:tentative="1">
      <w:start w:val="1"/>
      <w:numFmt w:val="bullet"/>
      <w:lvlText w:val=""/>
      <w:lvlJc w:val="left"/>
      <w:pPr>
        <w:ind w:left="2520" w:hanging="360"/>
      </w:pPr>
      <w:rPr>
        <w:rFonts w:ascii="Wingdings" w:hAnsi="Wingdings" w:hint="default"/>
      </w:rPr>
    </w:lvl>
    <w:lvl w:ilvl="3" w:tplc="5E381482" w:tentative="1">
      <w:start w:val="1"/>
      <w:numFmt w:val="bullet"/>
      <w:lvlText w:val=""/>
      <w:lvlJc w:val="left"/>
      <w:pPr>
        <w:ind w:left="3240" w:hanging="360"/>
      </w:pPr>
      <w:rPr>
        <w:rFonts w:ascii="Symbol" w:hAnsi="Symbol" w:hint="default"/>
      </w:rPr>
    </w:lvl>
    <w:lvl w:ilvl="4" w:tplc="0B1A6A34" w:tentative="1">
      <w:start w:val="1"/>
      <w:numFmt w:val="bullet"/>
      <w:lvlText w:val="o"/>
      <w:lvlJc w:val="left"/>
      <w:pPr>
        <w:ind w:left="3960" w:hanging="360"/>
      </w:pPr>
      <w:rPr>
        <w:rFonts w:ascii="Courier New" w:hAnsi="Courier New" w:cs="Courier New" w:hint="default"/>
      </w:rPr>
    </w:lvl>
    <w:lvl w:ilvl="5" w:tplc="E0BAF2C8" w:tentative="1">
      <w:start w:val="1"/>
      <w:numFmt w:val="bullet"/>
      <w:lvlText w:val=""/>
      <w:lvlJc w:val="left"/>
      <w:pPr>
        <w:ind w:left="4680" w:hanging="360"/>
      </w:pPr>
      <w:rPr>
        <w:rFonts w:ascii="Wingdings" w:hAnsi="Wingdings" w:hint="default"/>
      </w:rPr>
    </w:lvl>
    <w:lvl w:ilvl="6" w:tplc="A3581296" w:tentative="1">
      <w:start w:val="1"/>
      <w:numFmt w:val="bullet"/>
      <w:lvlText w:val=""/>
      <w:lvlJc w:val="left"/>
      <w:pPr>
        <w:ind w:left="5400" w:hanging="360"/>
      </w:pPr>
      <w:rPr>
        <w:rFonts w:ascii="Symbol" w:hAnsi="Symbol" w:hint="default"/>
      </w:rPr>
    </w:lvl>
    <w:lvl w:ilvl="7" w:tplc="63EA788C" w:tentative="1">
      <w:start w:val="1"/>
      <w:numFmt w:val="bullet"/>
      <w:lvlText w:val="o"/>
      <w:lvlJc w:val="left"/>
      <w:pPr>
        <w:ind w:left="6120" w:hanging="360"/>
      </w:pPr>
      <w:rPr>
        <w:rFonts w:ascii="Courier New" w:hAnsi="Courier New" w:cs="Courier New" w:hint="default"/>
      </w:rPr>
    </w:lvl>
    <w:lvl w:ilvl="8" w:tplc="F998D7E0" w:tentative="1">
      <w:start w:val="1"/>
      <w:numFmt w:val="bullet"/>
      <w:lvlText w:val=""/>
      <w:lvlJc w:val="left"/>
      <w:pPr>
        <w:ind w:left="6840" w:hanging="360"/>
      </w:pPr>
      <w:rPr>
        <w:rFonts w:ascii="Wingdings" w:hAnsi="Wingdings" w:hint="default"/>
      </w:rPr>
    </w:lvl>
  </w:abstractNum>
  <w:abstractNum w:abstractNumId="29" w15:restartNumberingAfterBreak="0">
    <w:nsid w:val="61DC7A94"/>
    <w:multiLevelType w:val="hybridMultilevel"/>
    <w:tmpl w:val="AE30F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0A0FC4"/>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1" w15:restartNumberingAfterBreak="0">
    <w:nsid w:val="64E01EE4"/>
    <w:multiLevelType w:val="hybridMultilevel"/>
    <w:tmpl w:val="93A80B90"/>
    <w:lvl w:ilvl="0" w:tplc="24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66C737A4"/>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6E64DEA"/>
    <w:multiLevelType w:val="hybridMultilevel"/>
    <w:tmpl w:val="ADDEB142"/>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34" w15:restartNumberingAfterBreak="0">
    <w:nsid w:val="674D508D"/>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5" w15:restartNumberingAfterBreak="0">
    <w:nsid w:val="6D6D2F88"/>
    <w:multiLevelType w:val="hybridMultilevel"/>
    <w:tmpl w:val="6DCE033E"/>
    <w:lvl w:ilvl="0" w:tplc="2C3EAF9C">
      <w:start w:val="7"/>
      <w:numFmt w:val="bullet"/>
      <w:lvlText w:val="-"/>
      <w:lvlJc w:val="left"/>
      <w:pPr>
        <w:ind w:left="720" w:hanging="360"/>
      </w:pPr>
      <w:rPr>
        <w:rFonts w:ascii="DIN-Regular" w:eastAsia="Calibri" w:hAnsi="DIN-Regular"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DFE6686"/>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7" w15:restartNumberingAfterBreak="0">
    <w:nsid w:val="6E8E017A"/>
    <w:multiLevelType w:val="hybridMultilevel"/>
    <w:tmpl w:val="9A064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CF513E"/>
    <w:multiLevelType w:val="hybridMultilevel"/>
    <w:tmpl w:val="F2C88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6D04B88"/>
    <w:multiLevelType w:val="multilevel"/>
    <w:tmpl w:val="E3AE35F2"/>
    <w:numStyleLink w:val="Numerales"/>
  </w:abstractNum>
  <w:abstractNum w:abstractNumId="40" w15:restartNumberingAfterBreak="0">
    <w:nsid w:val="79A758C3"/>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DE6308A"/>
    <w:multiLevelType w:val="multilevel"/>
    <w:tmpl w:val="E3AE35F2"/>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4"/>
  </w:num>
  <w:num w:numId="5">
    <w:abstractNumId w:val="39"/>
    <w:lvlOverride w:ilvl="0">
      <w:lvl w:ilvl="0">
        <w:start w:val="1"/>
        <w:numFmt w:val="decimal"/>
        <w:lvlText w:val="%1."/>
        <w:lvlJc w:val="left"/>
        <w:pPr>
          <w:tabs>
            <w:tab w:val="num" w:pos="340"/>
          </w:tabs>
          <w:ind w:left="340" w:hanging="340"/>
        </w:pPr>
        <w:rPr>
          <w:rFonts w:ascii="Tahoma" w:hAnsi="Tahoma"/>
          <w:b/>
          <w:bCs/>
        </w:rPr>
      </w:lvl>
    </w:lvlOverride>
  </w:num>
  <w:num w:numId="6">
    <w:abstractNumId w:val="9"/>
  </w:num>
  <w:num w:numId="7">
    <w:abstractNumId w:val="26"/>
  </w:num>
  <w:num w:numId="8">
    <w:abstractNumId w:val="38"/>
  </w:num>
  <w:num w:numId="9">
    <w:abstractNumId w:val="23"/>
  </w:num>
  <w:num w:numId="10">
    <w:abstractNumId w:val="17"/>
  </w:num>
  <w:num w:numId="11">
    <w:abstractNumId w:val="6"/>
  </w:num>
  <w:num w:numId="12">
    <w:abstractNumId w:val="15"/>
  </w:num>
  <w:num w:numId="13">
    <w:abstractNumId w:val="22"/>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5"/>
  </w:num>
  <w:num w:numId="17">
    <w:abstractNumId w:val="25"/>
  </w:num>
  <w:num w:numId="18">
    <w:abstractNumId w:val="11"/>
  </w:num>
  <w:num w:numId="19">
    <w:abstractNumId w:val="40"/>
  </w:num>
  <w:num w:numId="20">
    <w:abstractNumId w:val="32"/>
  </w:num>
  <w:num w:numId="21">
    <w:abstractNumId w:val="14"/>
  </w:num>
  <w:num w:numId="22">
    <w:abstractNumId w:val="12"/>
  </w:num>
  <w:num w:numId="23">
    <w:abstractNumId w:val="27"/>
  </w:num>
  <w:num w:numId="24">
    <w:abstractNumId w:val="29"/>
  </w:num>
  <w:num w:numId="25">
    <w:abstractNumId w:val="37"/>
  </w:num>
  <w:num w:numId="26">
    <w:abstractNumId w:val="3"/>
  </w:num>
  <w:num w:numId="27">
    <w:abstractNumId w:val="33"/>
  </w:num>
  <w:num w:numId="28">
    <w:abstractNumId w:val="13"/>
  </w:num>
  <w:num w:numId="29">
    <w:abstractNumId w:val="41"/>
  </w:num>
  <w:num w:numId="30">
    <w:abstractNumId w:val="28"/>
  </w:num>
  <w:num w:numId="31">
    <w:abstractNumId w:val="10"/>
  </w:num>
  <w:num w:numId="32">
    <w:abstractNumId w:val="7"/>
  </w:num>
  <w:num w:numId="33">
    <w:abstractNumId w:val="20"/>
  </w:num>
  <w:num w:numId="34">
    <w:abstractNumId w:val="8"/>
  </w:num>
  <w:num w:numId="35">
    <w:abstractNumId w:val="21"/>
  </w:num>
  <w:num w:numId="36">
    <w:abstractNumId w:val="36"/>
  </w:num>
  <w:num w:numId="37">
    <w:abstractNumId w:val="34"/>
  </w:num>
  <w:num w:numId="38">
    <w:abstractNumId w:val="30"/>
  </w:num>
  <w:num w:numId="39">
    <w:abstractNumId w:val="18"/>
  </w:num>
  <w:num w:numId="40">
    <w:abstractNumId w:val="24"/>
  </w:num>
  <w:num w:numId="41">
    <w:abstractNumId w:val="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B8"/>
    <w:rsid w:val="00015689"/>
    <w:rsid w:val="0002692A"/>
    <w:rsid w:val="00027541"/>
    <w:rsid w:val="00033DA9"/>
    <w:rsid w:val="000463F1"/>
    <w:rsid w:val="0006286C"/>
    <w:rsid w:val="00070D55"/>
    <w:rsid w:val="000745F3"/>
    <w:rsid w:val="00076E7B"/>
    <w:rsid w:val="0008073E"/>
    <w:rsid w:val="00080760"/>
    <w:rsid w:val="00081D30"/>
    <w:rsid w:val="00091CDB"/>
    <w:rsid w:val="000A19AC"/>
    <w:rsid w:val="000B0F2E"/>
    <w:rsid w:val="000D26F8"/>
    <w:rsid w:val="000D2D12"/>
    <w:rsid w:val="000D6496"/>
    <w:rsid w:val="000E28A1"/>
    <w:rsid w:val="000F1148"/>
    <w:rsid w:val="000F1C88"/>
    <w:rsid w:val="000F6C77"/>
    <w:rsid w:val="00104489"/>
    <w:rsid w:val="00130DD2"/>
    <w:rsid w:val="001354B6"/>
    <w:rsid w:val="00141013"/>
    <w:rsid w:val="00143948"/>
    <w:rsid w:val="0016266C"/>
    <w:rsid w:val="0017218A"/>
    <w:rsid w:val="00187293"/>
    <w:rsid w:val="00192CBF"/>
    <w:rsid w:val="00192FF1"/>
    <w:rsid w:val="001979DC"/>
    <w:rsid w:val="001A5F1B"/>
    <w:rsid w:val="001B12A4"/>
    <w:rsid w:val="001B59C9"/>
    <w:rsid w:val="001D473E"/>
    <w:rsid w:val="001E1746"/>
    <w:rsid w:val="001F7C96"/>
    <w:rsid w:val="00212B20"/>
    <w:rsid w:val="00214004"/>
    <w:rsid w:val="002151D6"/>
    <w:rsid w:val="002223FC"/>
    <w:rsid w:val="00230798"/>
    <w:rsid w:val="00232F64"/>
    <w:rsid w:val="00253F24"/>
    <w:rsid w:val="002715D2"/>
    <w:rsid w:val="00277386"/>
    <w:rsid w:val="00277D59"/>
    <w:rsid w:val="002B24B8"/>
    <w:rsid w:val="002B4D9E"/>
    <w:rsid w:val="002B537E"/>
    <w:rsid w:val="002C020B"/>
    <w:rsid w:val="002C581C"/>
    <w:rsid w:val="002D05B7"/>
    <w:rsid w:val="002D0D3B"/>
    <w:rsid w:val="002D3AE9"/>
    <w:rsid w:val="002D7406"/>
    <w:rsid w:val="002E229A"/>
    <w:rsid w:val="002F3708"/>
    <w:rsid w:val="002F46E7"/>
    <w:rsid w:val="003124AE"/>
    <w:rsid w:val="003211CE"/>
    <w:rsid w:val="003221A2"/>
    <w:rsid w:val="00323F6F"/>
    <w:rsid w:val="00326808"/>
    <w:rsid w:val="00330711"/>
    <w:rsid w:val="003709B5"/>
    <w:rsid w:val="003729BA"/>
    <w:rsid w:val="003759C2"/>
    <w:rsid w:val="003766BD"/>
    <w:rsid w:val="003A15AD"/>
    <w:rsid w:val="003C51E8"/>
    <w:rsid w:val="003C62F6"/>
    <w:rsid w:val="003D076C"/>
    <w:rsid w:val="00412051"/>
    <w:rsid w:val="0041313D"/>
    <w:rsid w:val="00423360"/>
    <w:rsid w:val="00444889"/>
    <w:rsid w:val="00452AB0"/>
    <w:rsid w:val="0045330F"/>
    <w:rsid w:val="0047122B"/>
    <w:rsid w:val="004725B0"/>
    <w:rsid w:val="00473B7A"/>
    <w:rsid w:val="00482AB3"/>
    <w:rsid w:val="00487CDB"/>
    <w:rsid w:val="00490C96"/>
    <w:rsid w:val="00491AE7"/>
    <w:rsid w:val="00494B57"/>
    <w:rsid w:val="004A120B"/>
    <w:rsid w:val="004E31A1"/>
    <w:rsid w:val="004E56D3"/>
    <w:rsid w:val="004F5789"/>
    <w:rsid w:val="004F6052"/>
    <w:rsid w:val="004F6D26"/>
    <w:rsid w:val="005041DA"/>
    <w:rsid w:val="00504780"/>
    <w:rsid w:val="00512535"/>
    <w:rsid w:val="00524440"/>
    <w:rsid w:val="005300D3"/>
    <w:rsid w:val="005358A5"/>
    <w:rsid w:val="00542F19"/>
    <w:rsid w:val="00543692"/>
    <w:rsid w:val="00544815"/>
    <w:rsid w:val="00552228"/>
    <w:rsid w:val="00553A25"/>
    <w:rsid w:val="00560C3A"/>
    <w:rsid w:val="00587127"/>
    <w:rsid w:val="00592B49"/>
    <w:rsid w:val="00593C4F"/>
    <w:rsid w:val="005946A8"/>
    <w:rsid w:val="00594DDB"/>
    <w:rsid w:val="005975F9"/>
    <w:rsid w:val="005A1602"/>
    <w:rsid w:val="005D65CB"/>
    <w:rsid w:val="005E2682"/>
    <w:rsid w:val="00600ED0"/>
    <w:rsid w:val="00624F66"/>
    <w:rsid w:val="00625DC6"/>
    <w:rsid w:val="00626016"/>
    <w:rsid w:val="00627B88"/>
    <w:rsid w:val="00630DCB"/>
    <w:rsid w:val="00637155"/>
    <w:rsid w:val="006400E3"/>
    <w:rsid w:val="00651821"/>
    <w:rsid w:val="006524CD"/>
    <w:rsid w:val="00654384"/>
    <w:rsid w:val="00654F5E"/>
    <w:rsid w:val="0067365D"/>
    <w:rsid w:val="00697556"/>
    <w:rsid w:val="006B4C2B"/>
    <w:rsid w:val="006C7DB6"/>
    <w:rsid w:val="006F6D95"/>
    <w:rsid w:val="00706F13"/>
    <w:rsid w:val="00710E0C"/>
    <w:rsid w:val="00725FA4"/>
    <w:rsid w:val="00726950"/>
    <w:rsid w:val="007307E8"/>
    <w:rsid w:val="007309B8"/>
    <w:rsid w:val="007332B2"/>
    <w:rsid w:val="007401EC"/>
    <w:rsid w:val="00741A0C"/>
    <w:rsid w:val="00742CD7"/>
    <w:rsid w:val="007438A9"/>
    <w:rsid w:val="0074491E"/>
    <w:rsid w:val="00752B9C"/>
    <w:rsid w:val="00757540"/>
    <w:rsid w:val="0076130A"/>
    <w:rsid w:val="00775805"/>
    <w:rsid w:val="00795BFB"/>
    <w:rsid w:val="00796152"/>
    <w:rsid w:val="007A152E"/>
    <w:rsid w:val="007A50FC"/>
    <w:rsid w:val="007A572C"/>
    <w:rsid w:val="007C10B1"/>
    <w:rsid w:val="007D7093"/>
    <w:rsid w:val="007F19B2"/>
    <w:rsid w:val="00805B46"/>
    <w:rsid w:val="0081480D"/>
    <w:rsid w:val="008211A4"/>
    <w:rsid w:val="00826A28"/>
    <w:rsid w:val="00836E2D"/>
    <w:rsid w:val="00844110"/>
    <w:rsid w:val="008549C3"/>
    <w:rsid w:val="00857D64"/>
    <w:rsid w:val="0086335D"/>
    <w:rsid w:val="0087657D"/>
    <w:rsid w:val="00877C84"/>
    <w:rsid w:val="0088071B"/>
    <w:rsid w:val="00880832"/>
    <w:rsid w:val="00886CBB"/>
    <w:rsid w:val="00886EE1"/>
    <w:rsid w:val="00894285"/>
    <w:rsid w:val="00894BAD"/>
    <w:rsid w:val="00897C75"/>
    <w:rsid w:val="008A28FB"/>
    <w:rsid w:val="008A6201"/>
    <w:rsid w:val="008B3A93"/>
    <w:rsid w:val="008D159F"/>
    <w:rsid w:val="008D33B3"/>
    <w:rsid w:val="008E12C7"/>
    <w:rsid w:val="008E1C6F"/>
    <w:rsid w:val="008E40E3"/>
    <w:rsid w:val="008F67E5"/>
    <w:rsid w:val="00900BB6"/>
    <w:rsid w:val="00910A73"/>
    <w:rsid w:val="00931539"/>
    <w:rsid w:val="0093398C"/>
    <w:rsid w:val="0094196F"/>
    <w:rsid w:val="00951F79"/>
    <w:rsid w:val="009530C2"/>
    <w:rsid w:val="00966355"/>
    <w:rsid w:val="00975D70"/>
    <w:rsid w:val="00975DEB"/>
    <w:rsid w:val="009767DF"/>
    <w:rsid w:val="0098706D"/>
    <w:rsid w:val="009935FB"/>
    <w:rsid w:val="009A0686"/>
    <w:rsid w:val="009B6084"/>
    <w:rsid w:val="009C7060"/>
    <w:rsid w:val="009D1B92"/>
    <w:rsid w:val="009D43CC"/>
    <w:rsid w:val="009D5984"/>
    <w:rsid w:val="009E769F"/>
    <w:rsid w:val="009F5C5C"/>
    <w:rsid w:val="00A05342"/>
    <w:rsid w:val="00A06BAB"/>
    <w:rsid w:val="00A14873"/>
    <w:rsid w:val="00A218F8"/>
    <w:rsid w:val="00A26DF3"/>
    <w:rsid w:val="00A35436"/>
    <w:rsid w:val="00A43AFF"/>
    <w:rsid w:val="00A456E4"/>
    <w:rsid w:val="00A552B7"/>
    <w:rsid w:val="00A676FE"/>
    <w:rsid w:val="00A7793A"/>
    <w:rsid w:val="00A82FF1"/>
    <w:rsid w:val="00A83989"/>
    <w:rsid w:val="00A91CAC"/>
    <w:rsid w:val="00A942A3"/>
    <w:rsid w:val="00AD01E4"/>
    <w:rsid w:val="00AD2A71"/>
    <w:rsid w:val="00AD4068"/>
    <w:rsid w:val="00AE779C"/>
    <w:rsid w:val="00B141E7"/>
    <w:rsid w:val="00B277C4"/>
    <w:rsid w:val="00B302F1"/>
    <w:rsid w:val="00B33E0A"/>
    <w:rsid w:val="00B34E2A"/>
    <w:rsid w:val="00B4417F"/>
    <w:rsid w:val="00B46BCA"/>
    <w:rsid w:val="00B510BD"/>
    <w:rsid w:val="00B57B14"/>
    <w:rsid w:val="00B6068C"/>
    <w:rsid w:val="00B74DDD"/>
    <w:rsid w:val="00B86C8C"/>
    <w:rsid w:val="00B87806"/>
    <w:rsid w:val="00B87EC9"/>
    <w:rsid w:val="00B975CA"/>
    <w:rsid w:val="00BA7D35"/>
    <w:rsid w:val="00BC38FD"/>
    <w:rsid w:val="00BC6A05"/>
    <w:rsid w:val="00BD4A34"/>
    <w:rsid w:val="00BE5823"/>
    <w:rsid w:val="00BE68CB"/>
    <w:rsid w:val="00C054BC"/>
    <w:rsid w:val="00C15067"/>
    <w:rsid w:val="00C17897"/>
    <w:rsid w:val="00C210B0"/>
    <w:rsid w:val="00C27BC2"/>
    <w:rsid w:val="00C32CA5"/>
    <w:rsid w:val="00C35508"/>
    <w:rsid w:val="00C409D5"/>
    <w:rsid w:val="00C426A4"/>
    <w:rsid w:val="00C4297F"/>
    <w:rsid w:val="00C51CE2"/>
    <w:rsid w:val="00C549CF"/>
    <w:rsid w:val="00C61EFF"/>
    <w:rsid w:val="00C6234B"/>
    <w:rsid w:val="00C627F7"/>
    <w:rsid w:val="00C63EAE"/>
    <w:rsid w:val="00C710BE"/>
    <w:rsid w:val="00C7629F"/>
    <w:rsid w:val="00C84F1B"/>
    <w:rsid w:val="00C8661B"/>
    <w:rsid w:val="00CA77FB"/>
    <w:rsid w:val="00CB379B"/>
    <w:rsid w:val="00CC05A5"/>
    <w:rsid w:val="00CC51D4"/>
    <w:rsid w:val="00CC65DA"/>
    <w:rsid w:val="00CD5575"/>
    <w:rsid w:val="00CE7D1A"/>
    <w:rsid w:val="00CF21B9"/>
    <w:rsid w:val="00CF2744"/>
    <w:rsid w:val="00CF6BF9"/>
    <w:rsid w:val="00D065C7"/>
    <w:rsid w:val="00D226EE"/>
    <w:rsid w:val="00D32AD3"/>
    <w:rsid w:val="00D338E1"/>
    <w:rsid w:val="00D378EC"/>
    <w:rsid w:val="00D464BF"/>
    <w:rsid w:val="00D51EFE"/>
    <w:rsid w:val="00D53E26"/>
    <w:rsid w:val="00D573FC"/>
    <w:rsid w:val="00D81D6F"/>
    <w:rsid w:val="00D82673"/>
    <w:rsid w:val="00D83FAA"/>
    <w:rsid w:val="00D857C5"/>
    <w:rsid w:val="00DA1673"/>
    <w:rsid w:val="00DA7814"/>
    <w:rsid w:val="00DD1618"/>
    <w:rsid w:val="00DF012C"/>
    <w:rsid w:val="00DF2078"/>
    <w:rsid w:val="00DF312C"/>
    <w:rsid w:val="00DF79E6"/>
    <w:rsid w:val="00DF7CF1"/>
    <w:rsid w:val="00DF7F50"/>
    <w:rsid w:val="00E1724E"/>
    <w:rsid w:val="00E34E55"/>
    <w:rsid w:val="00E3571A"/>
    <w:rsid w:val="00E40C70"/>
    <w:rsid w:val="00E50E38"/>
    <w:rsid w:val="00E534CF"/>
    <w:rsid w:val="00E8123E"/>
    <w:rsid w:val="00E81DDF"/>
    <w:rsid w:val="00E86599"/>
    <w:rsid w:val="00EA03B4"/>
    <w:rsid w:val="00EA25D3"/>
    <w:rsid w:val="00EA3D48"/>
    <w:rsid w:val="00EB373F"/>
    <w:rsid w:val="00EC52CC"/>
    <w:rsid w:val="00ED3ABD"/>
    <w:rsid w:val="00ED47BA"/>
    <w:rsid w:val="00EE2E6E"/>
    <w:rsid w:val="00EE7291"/>
    <w:rsid w:val="00EF1697"/>
    <w:rsid w:val="00F0648B"/>
    <w:rsid w:val="00F0759E"/>
    <w:rsid w:val="00F13B7E"/>
    <w:rsid w:val="00F21351"/>
    <w:rsid w:val="00F21374"/>
    <w:rsid w:val="00F21E74"/>
    <w:rsid w:val="00F24856"/>
    <w:rsid w:val="00F24D1D"/>
    <w:rsid w:val="00F266C9"/>
    <w:rsid w:val="00F301F6"/>
    <w:rsid w:val="00F31DDA"/>
    <w:rsid w:val="00F345C5"/>
    <w:rsid w:val="00F6113C"/>
    <w:rsid w:val="00F80236"/>
    <w:rsid w:val="00F82C5B"/>
    <w:rsid w:val="00F84F2A"/>
    <w:rsid w:val="00F91D05"/>
    <w:rsid w:val="00F96704"/>
    <w:rsid w:val="00FA15F2"/>
    <w:rsid w:val="00FA7B61"/>
    <w:rsid w:val="00FB2235"/>
    <w:rsid w:val="00FB2777"/>
    <w:rsid w:val="00FB7B4F"/>
    <w:rsid w:val="00FD0C78"/>
    <w:rsid w:val="00FD6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0EFFDC"/>
  <w15:docId w15:val="{F4BC3F3C-9E79-49A1-BF75-3B02DF49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Descripcin">
    <w:name w:val="caption"/>
    <w:aliases w:val="Tabla,Tablas"/>
    <w:basedOn w:val="Normal"/>
    <w:next w:val="Normal"/>
    <w:link w:val="DescripcinCar"/>
    <w:uiPriority w:val="35"/>
    <w:qFormat/>
    <w:rsid w:val="00482AB3"/>
    <w:pPr>
      <w:widowControl w:val="0"/>
      <w:jc w:val="center"/>
    </w:pPr>
    <w:rPr>
      <w:b/>
      <w:bCs/>
      <w:noProof/>
      <w:lang w:val="es-CO"/>
    </w:rPr>
  </w:style>
  <w:style w:type="character" w:customStyle="1" w:styleId="DescripcinCar">
    <w:name w:val="Descripción Car"/>
    <w:aliases w:val="Tabla Car1,Tablas Car"/>
    <w:link w:val="Descripcin"/>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 w:type="paragraph" w:customStyle="1" w:styleId="Estilo2">
    <w:name w:val="Estilo2"/>
    <w:basedOn w:val="Normal"/>
    <w:link w:val="Estilo2Car"/>
    <w:rsid w:val="002D0D3B"/>
    <w:pPr>
      <w:keepNext/>
      <w:widowControl w:val="0"/>
      <w:numPr>
        <w:numId w:val="41"/>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2D0D3B"/>
    <w:rPr>
      <w:rFonts w:ascii="Bookman Old Style" w:hAnsi="Bookman Old Style"/>
      <w:b/>
      <w:bCs/>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24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8EB4-DBEA-492A-934C-288504D3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Template>
  <TotalTime>0</TotalTime>
  <Pages>7</Pages>
  <Words>1671</Words>
  <Characters>9196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10846</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2012-11-14T19:24:00Z</cp:lastPrinted>
  <dcterms:created xsi:type="dcterms:W3CDTF">2016-12-13T19:42:00Z</dcterms:created>
  <dcterms:modified xsi:type="dcterms:W3CDTF">2016-12-13T19:42:00Z</dcterms:modified>
</cp:coreProperties>
</file>