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34" w:rsidRPr="00FD4113" w:rsidRDefault="002A66BC" w:rsidP="004C4C34">
      <w:pPr>
        <w:pStyle w:val="Ttulo4"/>
        <w:tabs>
          <w:tab w:val="left" w:pos="0"/>
          <w:tab w:val="right" w:pos="9356"/>
        </w:tabs>
        <w:ind w:left="0"/>
        <w:contextualSpacing/>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8240" fillcolor="#0c9">
            <v:imagedata r:id="rId9" o:title=""/>
          </v:shape>
          <o:OLEObject Type="Embed" ProgID="PBrush" ShapeID="_x0000_s1026" DrawAspect="Content" ObjectID="_1526892750" r:id="rId10"/>
        </w:pict>
      </w:r>
      <w:r w:rsidR="004C4C34" w:rsidRPr="00FD4113">
        <w:rPr>
          <w:rFonts w:ascii="Bookman Old Style" w:hAnsi="Bookman Old Style"/>
          <w:b w:val="0"/>
          <w:bCs/>
          <w:sz w:val="24"/>
          <w:szCs w:val="24"/>
        </w:rPr>
        <w:t>Ministerio de Minas y Energía</w:t>
      </w:r>
    </w:p>
    <w:p w:rsidR="004C4C34" w:rsidRPr="00FD4113" w:rsidRDefault="004C4C34" w:rsidP="004C4C34">
      <w:pPr>
        <w:pStyle w:val="Ttulo4"/>
        <w:tabs>
          <w:tab w:val="left" w:pos="0"/>
          <w:tab w:val="right" w:pos="9356"/>
        </w:tabs>
        <w:ind w:left="0"/>
        <w:contextualSpacing/>
        <w:rPr>
          <w:rFonts w:ascii="Bookman Old Style" w:hAnsi="Bookman Old Style"/>
          <w:b w:val="0"/>
          <w:bCs/>
          <w:sz w:val="24"/>
          <w:szCs w:val="24"/>
        </w:rPr>
      </w:pPr>
    </w:p>
    <w:p w:rsidR="00EF1CA4" w:rsidRDefault="00EF1CA4" w:rsidP="004C4C34">
      <w:pPr>
        <w:pStyle w:val="Ttulo3"/>
        <w:tabs>
          <w:tab w:val="left" w:pos="0"/>
          <w:tab w:val="right" w:pos="9356"/>
        </w:tabs>
        <w:ind w:left="0"/>
        <w:contextualSpacing/>
        <w:rPr>
          <w:rFonts w:ascii="Bookman Old Style" w:hAnsi="Bookman Old Style" w:cs="Arial"/>
          <w:spacing w:val="20"/>
          <w:szCs w:val="24"/>
        </w:rPr>
      </w:pPr>
    </w:p>
    <w:p w:rsidR="004C4C34" w:rsidRPr="00FD4113" w:rsidRDefault="004C4C34" w:rsidP="004C4C34">
      <w:pPr>
        <w:pStyle w:val="Ttulo3"/>
        <w:tabs>
          <w:tab w:val="left" w:pos="0"/>
          <w:tab w:val="right" w:pos="9356"/>
        </w:tabs>
        <w:ind w:left="0"/>
        <w:contextualSpacing/>
        <w:rPr>
          <w:rFonts w:ascii="Bookman Old Style" w:hAnsi="Bookman Old Style" w:cs="Arial"/>
          <w:spacing w:val="20"/>
          <w:szCs w:val="24"/>
        </w:rPr>
      </w:pPr>
      <w:r w:rsidRPr="00FD4113">
        <w:rPr>
          <w:rFonts w:ascii="Bookman Old Style" w:hAnsi="Bookman Old Style" w:cs="Arial"/>
          <w:spacing w:val="20"/>
          <w:szCs w:val="24"/>
        </w:rPr>
        <w:t>COMISIÓN DE REGULACIÓN DE ENERGÍA Y GAS</w:t>
      </w:r>
    </w:p>
    <w:p w:rsidR="004C4C34" w:rsidRPr="00FD4113" w:rsidRDefault="004C4C34" w:rsidP="004C4C34">
      <w:pPr>
        <w:pStyle w:val="Ttulo5"/>
        <w:tabs>
          <w:tab w:val="left" w:pos="0"/>
          <w:tab w:val="right" w:pos="9356"/>
        </w:tabs>
        <w:ind w:left="0"/>
        <w:contextualSpacing/>
        <w:rPr>
          <w:rFonts w:ascii="Bookman Old Style" w:hAnsi="Bookman Old Style"/>
          <w:sz w:val="24"/>
          <w:szCs w:val="24"/>
        </w:rPr>
      </w:pPr>
    </w:p>
    <w:p w:rsidR="004C4C34" w:rsidRPr="00FD4113" w:rsidRDefault="004C4C34" w:rsidP="004C4C34">
      <w:pPr>
        <w:pStyle w:val="Ttulo5"/>
        <w:tabs>
          <w:tab w:val="left" w:pos="0"/>
          <w:tab w:val="right" w:pos="9356"/>
        </w:tabs>
        <w:ind w:left="0"/>
        <w:contextualSpacing/>
        <w:rPr>
          <w:rFonts w:ascii="Bookman Old Style" w:hAnsi="Bookman Old Style"/>
          <w:sz w:val="24"/>
          <w:szCs w:val="24"/>
        </w:rPr>
      </w:pPr>
    </w:p>
    <w:p w:rsidR="004C4C34" w:rsidRPr="00FD4113" w:rsidRDefault="004C4C34" w:rsidP="004C4C34">
      <w:pPr>
        <w:pStyle w:val="Ttulo5"/>
        <w:tabs>
          <w:tab w:val="left" w:pos="0"/>
          <w:tab w:val="right" w:pos="9356"/>
        </w:tabs>
        <w:ind w:left="0"/>
        <w:contextualSpacing/>
        <w:rPr>
          <w:rFonts w:ascii="Bookman Old Style" w:hAnsi="Bookman Old Style"/>
          <w:sz w:val="24"/>
          <w:szCs w:val="24"/>
        </w:rPr>
      </w:pPr>
      <w:r w:rsidRPr="00FD4113">
        <w:rPr>
          <w:rFonts w:ascii="Bookman Old Style" w:hAnsi="Bookman Old Style"/>
          <w:sz w:val="24"/>
          <w:szCs w:val="24"/>
        </w:rPr>
        <w:t>RESOLUCI</w:t>
      </w:r>
      <w:r w:rsidR="00EF1CA4">
        <w:rPr>
          <w:rFonts w:ascii="Bookman Old Style" w:hAnsi="Bookman Old Style"/>
          <w:sz w:val="24"/>
          <w:szCs w:val="24"/>
        </w:rPr>
        <w:t>ÓN No.                   DE 2016</w:t>
      </w:r>
    </w:p>
    <w:p w:rsidR="004C4C34" w:rsidRPr="00FD4113" w:rsidRDefault="004C4C34" w:rsidP="004C4C34">
      <w:pPr>
        <w:tabs>
          <w:tab w:val="left" w:pos="0"/>
          <w:tab w:val="right" w:pos="9356"/>
        </w:tabs>
        <w:ind w:left="0"/>
        <w:contextualSpacing/>
        <w:jc w:val="center"/>
        <w:rPr>
          <w:rFonts w:ascii="Bookman Old Style" w:hAnsi="Bookman Old Style" w:cs="Arial"/>
          <w:b/>
          <w:snapToGrid w:val="0"/>
          <w:color w:val="000000"/>
          <w:lang w:val="es-ES_tradnl"/>
        </w:rPr>
      </w:pPr>
    </w:p>
    <w:p w:rsidR="004C4C34" w:rsidRPr="00FD4113" w:rsidRDefault="004C4C34" w:rsidP="004C4C34">
      <w:pPr>
        <w:pStyle w:val="Ttulo3"/>
        <w:tabs>
          <w:tab w:val="left" w:pos="0"/>
          <w:tab w:val="right" w:pos="9356"/>
        </w:tabs>
        <w:ind w:left="0"/>
        <w:contextualSpacing/>
        <w:rPr>
          <w:rFonts w:ascii="Bookman Old Style" w:hAnsi="Bookman Old Style"/>
          <w:b w:val="0"/>
          <w:szCs w:val="24"/>
        </w:rPr>
      </w:pPr>
      <w:r w:rsidRPr="00FD4113">
        <w:rPr>
          <w:rFonts w:ascii="Bookman Old Style" w:hAnsi="Bookman Old Style"/>
          <w:b w:val="0"/>
          <w:szCs w:val="24"/>
        </w:rPr>
        <w:t>(                                  )</w:t>
      </w:r>
    </w:p>
    <w:p w:rsidR="004C4C34" w:rsidRDefault="004C4C34" w:rsidP="004C4C34">
      <w:pPr>
        <w:tabs>
          <w:tab w:val="left" w:pos="0"/>
          <w:tab w:val="right" w:pos="9356"/>
        </w:tabs>
        <w:ind w:left="0"/>
        <w:contextualSpacing/>
        <w:jc w:val="center"/>
        <w:rPr>
          <w:rFonts w:ascii="Bookman Old Style" w:hAnsi="Bookman Old Style"/>
          <w:color w:val="FF0000"/>
          <w:lang w:val="es-ES_tradnl"/>
        </w:rPr>
      </w:pPr>
    </w:p>
    <w:p w:rsidR="00881A9A" w:rsidRDefault="00881A9A" w:rsidP="004C4C34">
      <w:pPr>
        <w:tabs>
          <w:tab w:val="left" w:pos="0"/>
          <w:tab w:val="right" w:pos="9356"/>
        </w:tabs>
        <w:ind w:left="0"/>
        <w:contextualSpacing/>
        <w:jc w:val="center"/>
        <w:rPr>
          <w:rFonts w:ascii="Bookman Old Style" w:hAnsi="Bookman Old Style"/>
          <w:color w:val="FF0000"/>
          <w:lang w:val="es-ES_tradnl"/>
        </w:rPr>
      </w:pPr>
    </w:p>
    <w:p w:rsidR="00881A9A" w:rsidRDefault="00881A9A" w:rsidP="004C4C34">
      <w:pPr>
        <w:tabs>
          <w:tab w:val="left" w:pos="0"/>
          <w:tab w:val="right" w:pos="9356"/>
        </w:tabs>
        <w:ind w:left="0"/>
        <w:contextualSpacing/>
        <w:jc w:val="center"/>
        <w:rPr>
          <w:rFonts w:ascii="Bookman Old Style" w:hAnsi="Bookman Old Style"/>
          <w:color w:val="FF0000"/>
          <w:lang w:val="es-ES_tradnl"/>
        </w:rPr>
      </w:pPr>
    </w:p>
    <w:p w:rsidR="00881A9A" w:rsidRPr="00F75483" w:rsidRDefault="00881A9A" w:rsidP="004C4C34">
      <w:pPr>
        <w:tabs>
          <w:tab w:val="left" w:pos="0"/>
          <w:tab w:val="right" w:pos="9356"/>
        </w:tabs>
        <w:ind w:left="0"/>
        <w:contextualSpacing/>
        <w:jc w:val="center"/>
        <w:rPr>
          <w:rFonts w:ascii="Bookman Old Style" w:hAnsi="Bookman Old Style"/>
          <w:color w:val="FF0000"/>
          <w:lang w:val="es-ES_tradnl"/>
        </w:rPr>
      </w:pPr>
    </w:p>
    <w:p w:rsidR="00F75483" w:rsidRPr="00971B65" w:rsidRDefault="00F75483" w:rsidP="00F75483">
      <w:pPr>
        <w:ind w:left="0"/>
        <w:jc w:val="center"/>
        <w:rPr>
          <w:rFonts w:ascii="Bookman Old Style" w:hAnsi="Bookman Old Style" w:cs="Arial"/>
          <w:b/>
          <w:szCs w:val="20"/>
          <w:lang w:val="es-CO"/>
        </w:rPr>
      </w:pPr>
      <w:r w:rsidRPr="00971B65">
        <w:rPr>
          <w:rFonts w:ascii="Bookman Old Style" w:hAnsi="Bookman Old Style" w:cs="Arial"/>
          <w:szCs w:val="20"/>
          <w:lang w:val="es-CO"/>
        </w:rPr>
        <w:t xml:space="preserve">Por la cual </w:t>
      </w:r>
      <w:r w:rsidRPr="00971B65">
        <w:rPr>
          <w:rFonts w:ascii="Bookman Old Style" w:hAnsi="Bookman Old Style"/>
          <w:bCs/>
          <w:lang w:val="es-CO"/>
        </w:rPr>
        <w:t xml:space="preserve">se decide la solicitud de revisión tarifaria de </w:t>
      </w:r>
      <w:r w:rsidR="00D860C9" w:rsidRPr="00971B65">
        <w:rPr>
          <w:rFonts w:ascii="Bookman Old Style" w:hAnsi="Bookman Old Style"/>
          <w:bCs/>
          <w:lang w:val="es-CO"/>
        </w:rPr>
        <w:t>los cargos aprobados mediante la Resolución CREG 049 de 2011</w:t>
      </w:r>
      <w:r w:rsidR="00B3714F" w:rsidRPr="00971B65">
        <w:rPr>
          <w:rFonts w:ascii="Bookman Old Style" w:hAnsi="Bookman Old Style"/>
          <w:bCs/>
          <w:lang w:val="es-CO"/>
        </w:rPr>
        <w:t xml:space="preserve"> modificada por la Resolución CREG 149 de 2015</w:t>
      </w:r>
      <w:r w:rsidRPr="00971B65">
        <w:rPr>
          <w:rFonts w:ascii="Bookman Old Style" w:hAnsi="Bookman Old Style"/>
          <w:bCs/>
          <w:lang w:val="es-CO"/>
        </w:rPr>
        <w:t xml:space="preserve"> </w:t>
      </w:r>
      <w:r w:rsidR="00D860C9" w:rsidRPr="00971B65">
        <w:rPr>
          <w:rFonts w:ascii="Bookman Old Style" w:hAnsi="Bookman Old Style"/>
          <w:bCs/>
          <w:lang w:val="es-CO"/>
        </w:rPr>
        <w:t xml:space="preserve">para la </w:t>
      </w:r>
      <w:r w:rsidRPr="00971B65">
        <w:rPr>
          <w:rFonts w:ascii="Bookman Old Style" w:hAnsi="Bookman Old Style"/>
          <w:bCs/>
          <w:lang w:val="es-CO"/>
        </w:rPr>
        <w:t xml:space="preserve">remuneración de la actividad de transporte de gas licuado de petróleo (GLP) al Archipiélago de San Andrés, Providencia y Santa Catalina presentada por la empresa PROVIGAS S.A. E.S.P. </w:t>
      </w:r>
    </w:p>
    <w:p w:rsidR="004C4C34" w:rsidRPr="00FD4113" w:rsidRDefault="004C4C34" w:rsidP="004C4C34">
      <w:pPr>
        <w:ind w:left="0"/>
        <w:contextualSpacing/>
        <w:rPr>
          <w:rFonts w:ascii="Bookman Old Style" w:hAnsi="Bookman Old Style"/>
          <w:bCs/>
          <w:lang w:val="es-CO"/>
        </w:rPr>
      </w:pPr>
    </w:p>
    <w:p w:rsidR="004C4C34" w:rsidRDefault="004C4C34" w:rsidP="004C4C34">
      <w:pPr>
        <w:ind w:left="0"/>
        <w:contextualSpacing/>
        <w:jc w:val="center"/>
        <w:rPr>
          <w:rFonts w:ascii="Bookman Old Style" w:hAnsi="Bookman Old Style"/>
        </w:rPr>
      </w:pPr>
    </w:p>
    <w:p w:rsidR="00881A9A" w:rsidRPr="00FD4113" w:rsidRDefault="00881A9A" w:rsidP="004C4C34">
      <w:pPr>
        <w:ind w:left="0"/>
        <w:contextualSpacing/>
        <w:jc w:val="center"/>
        <w:rPr>
          <w:rFonts w:ascii="Bookman Old Style" w:hAnsi="Bookman Old Style"/>
        </w:rPr>
      </w:pPr>
    </w:p>
    <w:p w:rsidR="004C4C34" w:rsidRPr="00FD4113" w:rsidRDefault="004C4C34" w:rsidP="004C4C34">
      <w:pPr>
        <w:ind w:right="51"/>
        <w:contextualSpacing/>
        <w:jc w:val="center"/>
        <w:rPr>
          <w:rFonts w:ascii="Bookman Old Style" w:hAnsi="Bookman Old Style"/>
          <w:b/>
        </w:rPr>
      </w:pPr>
      <w:r w:rsidRPr="00FD4113">
        <w:rPr>
          <w:rFonts w:ascii="Bookman Old Style" w:hAnsi="Bookman Old Style"/>
          <w:b/>
        </w:rPr>
        <w:t>LA COMISIÓN DE REGULACIÓN DE  ENERGÍA Y GAS</w:t>
      </w:r>
    </w:p>
    <w:p w:rsidR="004C4C34" w:rsidRPr="00FD4113" w:rsidRDefault="004C4C34" w:rsidP="004C4C34">
      <w:pPr>
        <w:ind w:left="0" w:right="51"/>
        <w:contextualSpacing/>
        <w:rPr>
          <w:rFonts w:ascii="Bookman Old Style" w:hAnsi="Bookman Old Style"/>
        </w:rPr>
      </w:pPr>
    </w:p>
    <w:p w:rsidR="004C4C34" w:rsidRPr="00FD4113" w:rsidRDefault="004C4C34" w:rsidP="004C4C34">
      <w:pPr>
        <w:ind w:left="0" w:right="51"/>
        <w:contextualSpacing/>
        <w:rPr>
          <w:rFonts w:ascii="Bookman Old Style" w:hAnsi="Bookman Old Style"/>
        </w:rPr>
      </w:pPr>
    </w:p>
    <w:p w:rsidR="00F43D53" w:rsidRPr="00FD4113" w:rsidRDefault="00F43D53" w:rsidP="00F43D53">
      <w:pPr>
        <w:ind w:left="0"/>
        <w:contextualSpacing/>
        <w:jc w:val="center"/>
        <w:rPr>
          <w:rFonts w:ascii="Bookman Old Style" w:hAnsi="Bookman Old Style" w:cs="Arial"/>
          <w:color w:val="000000"/>
        </w:rPr>
      </w:pPr>
      <w:r w:rsidRPr="00FD4113">
        <w:rPr>
          <w:rFonts w:ascii="Bookman Old Style" w:hAnsi="Bookman Old Style" w:cs="Arial"/>
          <w:color w:val="000000"/>
        </w:rPr>
        <w:t>En ejercicio de las atribuciones constitucionales y legales, en especial las conferidas por las leyes 142 de 1994 y 1151 de 2007, y en desarrollo de los Decretos 1523 y 2253 de 1994 y 1260 de 2013 y,</w:t>
      </w:r>
    </w:p>
    <w:p w:rsidR="004C4C34" w:rsidRPr="00FD4113" w:rsidRDefault="004C4C34" w:rsidP="004C4C34">
      <w:pPr>
        <w:ind w:left="0" w:right="51"/>
        <w:contextualSpacing/>
        <w:jc w:val="center"/>
        <w:rPr>
          <w:rFonts w:ascii="Bookman Old Style" w:hAnsi="Bookman Old Style" w:cs="Arial"/>
          <w:bCs/>
          <w:spacing w:val="-3"/>
        </w:rPr>
      </w:pPr>
    </w:p>
    <w:p w:rsidR="004C4C34" w:rsidRPr="00FD4113" w:rsidRDefault="004C4C34" w:rsidP="004C4C34">
      <w:pPr>
        <w:ind w:left="0"/>
        <w:contextualSpacing/>
        <w:rPr>
          <w:rFonts w:ascii="Bookman Old Style" w:hAnsi="Bookman Old Style" w:cs="Arial"/>
          <w:color w:val="000000"/>
        </w:rPr>
      </w:pPr>
    </w:p>
    <w:p w:rsidR="004C4C34" w:rsidRPr="00FD4113" w:rsidRDefault="004C4C34" w:rsidP="004C4C34">
      <w:pPr>
        <w:ind w:left="0"/>
        <w:contextualSpacing/>
        <w:jc w:val="center"/>
        <w:rPr>
          <w:rFonts w:ascii="Bookman Old Style" w:hAnsi="Bookman Old Style" w:cs="Arial"/>
          <w:b/>
          <w:color w:val="000000"/>
        </w:rPr>
      </w:pPr>
      <w:r w:rsidRPr="00FD4113">
        <w:rPr>
          <w:rFonts w:ascii="Bookman Old Style" w:hAnsi="Bookman Old Style" w:cs="Arial"/>
          <w:b/>
          <w:color w:val="000000"/>
        </w:rPr>
        <w:t>C O N S I D E R A N D O  Q U E:</w:t>
      </w:r>
    </w:p>
    <w:p w:rsidR="004C4C34" w:rsidRDefault="004C4C34" w:rsidP="004C4C34">
      <w:pPr>
        <w:ind w:left="0"/>
        <w:contextualSpacing/>
        <w:jc w:val="center"/>
        <w:rPr>
          <w:rFonts w:ascii="Bookman Old Style" w:hAnsi="Bookman Old Style" w:cs="Arial"/>
          <w:b/>
          <w:color w:val="000000"/>
        </w:rPr>
      </w:pPr>
    </w:p>
    <w:p w:rsidR="00881A9A" w:rsidRDefault="00881A9A" w:rsidP="004C4C34">
      <w:pPr>
        <w:ind w:left="0"/>
        <w:contextualSpacing/>
        <w:jc w:val="center"/>
        <w:rPr>
          <w:rFonts w:ascii="Bookman Old Style" w:hAnsi="Bookman Old Style" w:cs="Arial"/>
          <w:b/>
          <w:color w:val="000000"/>
        </w:rPr>
      </w:pPr>
    </w:p>
    <w:p w:rsidR="00881A9A" w:rsidRPr="00FD4113" w:rsidRDefault="00881A9A" w:rsidP="004C4C34">
      <w:pPr>
        <w:ind w:left="0"/>
        <w:contextualSpacing/>
        <w:jc w:val="center"/>
        <w:rPr>
          <w:rFonts w:ascii="Bookman Old Style" w:hAnsi="Bookman Old Style" w:cs="Arial"/>
          <w:b/>
          <w:color w:val="000000"/>
        </w:rPr>
      </w:pPr>
    </w:p>
    <w:p w:rsidR="00650209" w:rsidRDefault="00650209" w:rsidP="00650209">
      <w:pPr>
        <w:pStyle w:val="Textoindependiente2"/>
        <w:numPr>
          <w:ilvl w:val="0"/>
          <w:numId w:val="45"/>
        </w:numPr>
        <w:spacing w:after="0" w:line="240" w:lineRule="auto"/>
        <w:ind w:right="-142"/>
        <w:jc w:val="both"/>
        <w:rPr>
          <w:rFonts w:ascii="Bookman Old Style" w:hAnsi="Bookman Old Style"/>
          <w:b/>
          <w:szCs w:val="27"/>
        </w:rPr>
      </w:pPr>
      <w:r>
        <w:rPr>
          <w:rFonts w:ascii="Bookman Old Style" w:hAnsi="Bookman Old Style"/>
          <w:b/>
          <w:szCs w:val="27"/>
        </w:rPr>
        <w:t>ANTECEDENTES</w:t>
      </w:r>
    </w:p>
    <w:p w:rsidR="00F75483" w:rsidRPr="00564326" w:rsidRDefault="00F75483" w:rsidP="00F75483">
      <w:pPr>
        <w:pStyle w:val="Textoindependiente2"/>
        <w:spacing w:after="0" w:line="240" w:lineRule="auto"/>
        <w:ind w:left="1080" w:right="-142"/>
        <w:jc w:val="both"/>
        <w:rPr>
          <w:rFonts w:ascii="Bookman Old Style" w:hAnsi="Bookman Old Style"/>
          <w:b/>
          <w:szCs w:val="27"/>
        </w:rPr>
      </w:pPr>
    </w:p>
    <w:p w:rsidR="00F75483" w:rsidRPr="009C2605" w:rsidRDefault="00F75483" w:rsidP="00F75483">
      <w:pPr>
        <w:ind w:left="360"/>
        <w:jc w:val="both"/>
        <w:rPr>
          <w:rFonts w:ascii="Bookman Old Style" w:hAnsi="Bookman Old Style" w:cs="Arial"/>
          <w:iCs/>
        </w:rPr>
      </w:pPr>
      <w:r w:rsidRPr="009C2605">
        <w:rPr>
          <w:rFonts w:ascii="Bookman Old Style" w:hAnsi="Bookman Old Style" w:cs="Arial"/>
          <w:iCs/>
        </w:rPr>
        <w:t>De conformidad con lo establecido en el numeral 14.28 del artículo 14 de la Ley 142 de 1994 el servicio público domiciliario de gas combustible “es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p>
    <w:p w:rsidR="00F75483" w:rsidRPr="009C2605" w:rsidRDefault="00F75483" w:rsidP="00F75483">
      <w:pPr>
        <w:ind w:left="360"/>
        <w:jc w:val="both"/>
        <w:rPr>
          <w:rFonts w:ascii="Bookman Old Style" w:hAnsi="Bookman Old Style" w:cs="Arial"/>
          <w:iCs/>
        </w:rPr>
      </w:pPr>
    </w:p>
    <w:p w:rsidR="00F75483" w:rsidRPr="009C2605" w:rsidRDefault="00F75483" w:rsidP="00F75483">
      <w:pPr>
        <w:ind w:left="360"/>
        <w:jc w:val="both"/>
        <w:rPr>
          <w:rFonts w:ascii="Bookman Old Style" w:hAnsi="Bookman Old Style" w:cs="Arial"/>
          <w:iCs/>
        </w:rPr>
      </w:pPr>
      <w:r w:rsidRPr="009C2605">
        <w:rPr>
          <w:rFonts w:ascii="Bookman Old Style" w:hAnsi="Bookman Old Style" w:cs="Arial"/>
          <w:iCs/>
        </w:rPr>
        <w:t>El numeral 73.11 del artículo 73 de la Ley 142 de 1994 atribuyó a la Comisión de Regulación de Energía y Gas, CREG, la competencia para establecer las fórmulas para la fijación de las tarifas del servicio público domiciliario de gas combustible.</w:t>
      </w:r>
    </w:p>
    <w:p w:rsidR="00F75483" w:rsidRPr="009C2605" w:rsidRDefault="00F75483" w:rsidP="00F75483">
      <w:pPr>
        <w:ind w:left="360"/>
        <w:jc w:val="both"/>
        <w:rPr>
          <w:rFonts w:ascii="Bookman Old Style" w:hAnsi="Bookman Old Style" w:cs="Arial"/>
          <w:iCs/>
        </w:rPr>
      </w:pPr>
    </w:p>
    <w:p w:rsidR="00881A9A" w:rsidRDefault="00881A9A" w:rsidP="00F75483">
      <w:pPr>
        <w:ind w:left="360"/>
        <w:jc w:val="both"/>
        <w:rPr>
          <w:rFonts w:ascii="Bookman Old Style" w:hAnsi="Bookman Old Style" w:cs="Arial"/>
          <w:iCs/>
        </w:rPr>
      </w:pPr>
    </w:p>
    <w:p w:rsidR="00881A9A" w:rsidRDefault="00881A9A" w:rsidP="00F75483">
      <w:pPr>
        <w:ind w:left="360"/>
        <w:jc w:val="both"/>
        <w:rPr>
          <w:rFonts w:ascii="Bookman Old Style" w:hAnsi="Bookman Old Style" w:cs="Arial"/>
          <w:iCs/>
        </w:rPr>
      </w:pPr>
    </w:p>
    <w:p w:rsidR="00F75483" w:rsidRDefault="00F75483" w:rsidP="00F75483">
      <w:pPr>
        <w:ind w:left="360"/>
        <w:jc w:val="both"/>
        <w:rPr>
          <w:rFonts w:ascii="Bookman Old Style" w:hAnsi="Bookman Old Style" w:cs="Arial"/>
          <w:iCs/>
        </w:rPr>
      </w:pPr>
      <w:r w:rsidRPr="009C2605">
        <w:rPr>
          <w:rFonts w:ascii="Bookman Old Style" w:hAnsi="Bookman Old Style" w:cs="Arial"/>
          <w:iCs/>
        </w:rPr>
        <w:t xml:space="preserve">Mediante la Resolución CREG 050 de 2009 se establecieron los criterios para la remuneración de la actividad de transporte del gas licuado de petróleo (GLP) al </w:t>
      </w:r>
      <w:r w:rsidR="009C2605">
        <w:rPr>
          <w:rFonts w:ascii="Bookman Old Style" w:hAnsi="Bookman Old Style" w:cs="Arial"/>
          <w:iCs/>
        </w:rPr>
        <w:t>a</w:t>
      </w:r>
      <w:r w:rsidRPr="009C2605">
        <w:rPr>
          <w:rFonts w:ascii="Bookman Old Style" w:hAnsi="Bookman Old Style" w:cs="Arial"/>
          <w:iCs/>
        </w:rPr>
        <w:t xml:space="preserve">rchipiélago de San Andrés, Providencia y Santa Catalina. En esta Resolución se definió tanto la metodología general para remunerar la actividad de transporte marítimo por el agente que va a desarrollar la actividad, como el cálculo del cargo medio de transporte, así como la parte de éste, a ser cubierto por la demanda del </w:t>
      </w:r>
      <w:r w:rsidR="009C2605">
        <w:rPr>
          <w:rFonts w:ascii="Bookman Old Style" w:hAnsi="Bookman Old Style" w:cs="Arial"/>
          <w:iCs/>
        </w:rPr>
        <w:t>a</w:t>
      </w:r>
      <w:r w:rsidRPr="009C2605">
        <w:rPr>
          <w:rFonts w:ascii="Bookman Old Style" w:hAnsi="Bookman Old Style" w:cs="Arial"/>
          <w:iCs/>
        </w:rPr>
        <w:t>rchipiélago de San Andrés, Providencia y Santa Catalina y por la demanda del sistema de transporte por poliductos del continente.</w:t>
      </w:r>
    </w:p>
    <w:p w:rsidR="006472C6" w:rsidRDefault="006472C6" w:rsidP="00F75483">
      <w:pPr>
        <w:ind w:left="360"/>
        <w:jc w:val="both"/>
        <w:rPr>
          <w:rFonts w:ascii="Bookman Old Style" w:hAnsi="Bookman Old Style" w:cs="Arial"/>
          <w:iCs/>
        </w:rPr>
      </w:pPr>
    </w:p>
    <w:p w:rsidR="002024CC" w:rsidRDefault="006472C6" w:rsidP="00F75483">
      <w:pPr>
        <w:ind w:left="360"/>
        <w:jc w:val="both"/>
        <w:rPr>
          <w:rFonts w:ascii="Bookman Old Style" w:hAnsi="Bookman Old Style" w:cs="Arial"/>
          <w:iCs/>
        </w:rPr>
      </w:pPr>
      <w:r w:rsidRPr="00C32006">
        <w:rPr>
          <w:rFonts w:ascii="Bookman Old Style" w:hAnsi="Bookman Old Style" w:cs="Arial"/>
          <w:iCs/>
        </w:rPr>
        <w:t xml:space="preserve">En el artículo 5 de la precitada resolución se </w:t>
      </w:r>
      <w:r w:rsidR="00F15448" w:rsidRPr="00C32006">
        <w:rPr>
          <w:rFonts w:ascii="Bookman Old Style" w:hAnsi="Bookman Old Style" w:cs="Arial"/>
          <w:iCs/>
        </w:rPr>
        <w:t>establece</w:t>
      </w:r>
      <w:r w:rsidRPr="00C32006">
        <w:rPr>
          <w:rFonts w:ascii="Bookman Old Style" w:hAnsi="Bookman Old Style" w:cs="Arial"/>
          <w:iCs/>
        </w:rPr>
        <w:t xml:space="preserve"> lo referente a los gastos de administración, operación y mantenimiento (AOM)</w:t>
      </w:r>
      <w:r w:rsidR="005D0C9A" w:rsidRPr="00C32006">
        <w:rPr>
          <w:rFonts w:ascii="Bookman Old Style" w:hAnsi="Bookman Old Style" w:cs="Arial"/>
          <w:iCs/>
        </w:rPr>
        <w:t>, depreciación y tiempo de implementación</w:t>
      </w:r>
      <w:r w:rsidRPr="00C32006">
        <w:rPr>
          <w:rFonts w:ascii="Bookman Old Style" w:hAnsi="Bookman Old Style" w:cs="Arial"/>
          <w:iCs/>
        </w:rPr>
        <w:t xml:space="preserve"> y se señala</w:t>
      </w:r>
      <w:r w:rsidR="00C32006" w:rsidRPr="00C32006">
        <w:rPr>
          <w:rFonts w:ascii="Bookman Old Style" w:hAnsi="Bookman Old Style" w:cs="Arial"/>
          <w:iCs/>
        </w:rPr>
        <w:t xml:space="preserve"> lo siguiente</w:t>
      </w:r>
      <w:r w:rsidR="00000975" w:rsidRPr="00C32006">
        <w:rPr>
          <w:rFonts w:ascii="Bookman Old Style" w:hAnsi="Bookman Old Style" w:cs="Arial"/>
          <w:iCs/>
        </w:rPr>
        <w:t xml:space="preserve">: </w:t>
      </w:r>
      <w:r w:rsidRPr="00C32006">
        <w:rPr>
          <w:rFonts w:ascii="Bookman Old Style" w:hAnsi="Bookman Old Style" w:cs="Arial"/>
          <w:iCs/>
        </w:rPr>
        <w:t xml:space="preserve"> </w:t>
      </w:r>
    </w:p>
    <w:p w:rsidR="00C32006" w:rsidRDefault="00C32006" w:rsidP="00F75483">
      <w:pPr>
        <w:ind w:left="360"/>
        <w:jc w:val="both"/>
        <w:rPr>
          <w:rFonts w:ascii="Bookman Old Style" w:hAnsi="Bookman Old Style" w:cs="Arial"/>
          <w:iCs/>
        </w:rPr>
      </w:pPr>
    </w:p>
    <w:p w:rsidR="00C32006" w:rsidRPr="00C32006" w:rsidRDefault="00C32006" w:rsidP="00C32006">
      <w:pPr>
        <w:ind w:left="708" w:right="567"/>
        <w:jc w:val="both"/>
        <w:rPr>
          <w:rFonts w:ascii="Bookman Old Style" w:hAnsi="Bookman Old Style" w:cs="Arial"/>
          <w:i/>
          <w:iCs/>
          <w:sz w:val="22"/>
        </w:rPr>
      </w:pPr>
      <w:r w:rsidRPr="00C32006">
        <w:rPr>
          <w:rFonts w:ascii="Bookman Old Style" w:hAnsi="Bookman Old Style" w:cs="Arial"/>
          <w:i/>
          <w:iCs/>
          <w:sz w:val="22"/>
        </w:rPr>
        <w:t xml:space="preserve">“El Transportador reportará los gastos de Administración, Operación y Mantenimiento (AOM) anuales a pesos de la Fecha Base y los valores de depreciación de activos correspondientes a </w:t>
      </w:r>
      <w:proofErr w:type="spellStart"/>
      <w:r w:rsidRPr="00C32006">
        <w:rPr>
          <w:rFonts w:ascii="Bookman Old Style" w:hAnsi="Bookman Old Style" w:cs="Arial"/>
          <w:i/>
          <w:iCs/>
          <w:sz w:val="22"/>
        </w:rPr>
        <w:t>iso</w:t>
      </w:r>
      <w:proofErr w:type="spellEnd"/>
      <w:r w:rsidRPr="00C32006">
        <w:rPr>
          <w:rFonts w:ascii="Bookman Old Style" w:hAnsi="Bookman Old Style" w:cs="Arial"/>
          <w:i/>
          <w:iCs/>
          <w:sz w:val="22"/>
        </w:rPr>
        <w:t xml:space="preserve">-tanques o </w:t>
      </w:r>
      <w:proofErr w:type="spellStart"/>
      <w:r w:rsidRPr="00C32006">
        <w:rPr>
          <w:rFonts w:ascii="Bookman Old Style" w:hAnsi="Bookman Old Style" w:cs="Arial"/>
          <w:i/>
          <w:iCs/>
          <w:sz w:val="22"/>
        </w:rPr>
        <w:t>isocontenedores</w:t>
      </w:r>
      <w:proofErr w:type="spellEnd"/>
      <w:r w:rsidRPr="00C32006">
        <w:rPr>
          <w:rFonts w:ascii="Bookman Old Style" w:hAnsi="Bookman Old Style" w:cs="Arial"/>
          <w:i/>
          <w:iCs/>
          <w:sz w:val="22"/>
        </w:rPr>
        <w:t xml:space="preserve">, tanques de almacenamiento, bombas y compresores y sistema de trasiego. </w:t>
      </w:r>
    </w:p>
    <w:p w:rsidR="00C32006" w:rsidRPr="00C32006" w:rsidRDefault="00C32006" w:rsidP="00C32006">
      <w:pPr>
        <w:ind w:left="708" w:right="567"/>
        <w:jc w:val="both"/>
        <w:rPr>
          <w:rFonts w:ascii="Bookman Old Style" w:hAnsi="Bookman Old Style" w:cs="Arial"/>
          <w:i/>
          <w:iCs/>
          <w:sz w:val="22"/>
        </w:rPr>
      </w:pPr>
    </w:p>
    <w:p w:rsidR="00C32006" w:rsidRPr="00C32006" w:rsidRDefault="00C32006" w:rsidP="00C32006">
      <w:pPr>
        <w:ind w:left="708" w:right="567"/>
        <w:jc w:val="both"/>
        <w:rPr>
          <w:rFonts w:ascii="Bookman Old Style" w:hAnsi="Bookman Old Style" w:cs="Arial"/>
          <w:i/>
          <w:iCs/>
          <w:sz w:val="22"/>
        </w:rPr>
      </w:pPr>
      <w:r w:rsidRPr="00C32006">
        <w:rPr>
          <w:rFonts w:ascii="Bookman Old Style" w:hAnsi="Bookman Old Style" w:cs="Arial"/>
          <w:i/>
          <w:iCs/>
          <w:sz w:val="22"/>
        </w:rPr>
        <w:t>Se reconocerán dentro del cargo los gastos de AOM correspondientes al uso de terrenos e inmuebles relacionados con la prestación de la actividad de transporte. De igual manera, se considerarán dentro de los gastos de AOM los costos relacionados con la operación del transporte al mercado de San Andrés, tales como: Costos de transporte marítimo o flete, Costos de Transporte Terrestre, Manipulación en puertos (Cargue y descargue), Uso de instalaciones portuarias, Bodegaje y Costos de trasiego. Así mismo, los gastos por concepto de impuestos, diferentes al impuesto de renta, vigentes al momento de expedición de esta resolución.</w:t>
      </w:r>
    </w:p>
    <w:p w:rsidR="00C32006" w:rsidRPr="00C32006" w:rsidRDefault="00C32006" w:rsidP="00C32006">
      <w:pPr>
        <w:ind w:left="708" w:right="567"/>
        <w:jc w:val="both"/>
        <w:rPr>
          <w:rFonts w:ascii="Bookman Old Style" w:hAnsi="Bookman Old Style" w:cs="Arial"/>
          <w:i/>
          <w:iCs/>
          <w:sz w:val="22"/>
        </w:rPr>
      </w:pPr>
    </w:p>
    <w:p w:rsidR="00C32006" w:rsidRPr="00C32006" w:rsidRDefault="00C32006" w:rsidP="00C32006">
      <w:pPr>
        <w:ind w:left="708" w:right="567"/>
        <w:jc w:val="both"/>
        <w:rPr>
          <w:rFonts w:ascii="Bookman Old Style" w:hAnsi="Bookman Old Style" w:cs="Arial"/>
          <w:i/>
          <w:iCs/>
          <w:sz w:val="22"/>
          <w:u w:val="single"/>
        </w:rPr>
      </w:pPr>
      <w:r w:rsidRPr="00C32006">
        <w:rPr>
          <w:rFonts w:ascii="Bookman Old Style" w:hAnsi="Bookman Old Style" w:cs="Arial"/>
          <w:i/>
          <w:iCs/>
          <w:sz w:val="22"/>
          <w:u w:val="single"/>
        </w:rPr>
        <w:t>Los costos adicionales a estos deberán ser justificados y serán sujetos de evaluación por parte de la Comisión.</w:t>
      </w:r>
      <w:r>
        <w:rPr>
          <w:rFonts w:ascii="Bookman Old Style" w:hAnsi="Bookman Old Style" w:cs="Arial"/>
          <w:i/>
          <w:iCs/>
          <w:sz w:val="22"/>
          <w:u w:val="single"/>
        </w:rPr>
        <w:t xml:space="preserve"> </w:t>
      </w:r>
      <w:r w:rsidRPr="00950340">
        <w:rPr>
          <w:rFonts w:ascii="Bookman Old Style" w:hAnsi="Bookman Old Style" w:cs="Arial"/>
          <w:iCs/>
          <w:sz w:val="22"/>
        </w:rPr>
        <w:t>(Subrayado fuera de texto)</w:t>
      </w:r>
    </w:p>
    <w:p w:rsidR="00C32006" w:rsidRPr="00C32006" w:rsidRDefault="00C32006" w:rsidP="00C32006">
      <w:pPr>
        <w:ind w:left="708" w:right="567"/>
        <w:jc w:val="both"/>
        <w:rPr>
          <w:rFonts w:ascii="Bookman Old Style" w:hAnsi="Bookman Old Style" w:cs="Arial"/>
          <w:i/>
          <w:iCs/>
          <w:sz w:val="22"/>
        </w:rPr>
      </w:pPr>
      <w:r w:rsidRPr="00C32006">
        <w:rPr>
          <w:rFonts w:ascii="Bookman Old Style" w:hAnsi="Bookman Old Style" w:cs="Arial"/>
          <w:i/>
          <w:iCs/>
          <w:sz w:val="22"/>
        </w:rPr>
        <w:t xml:space="preserve"> </w:t>
      </w:r>
    </w:p>
    <w:p w:rsidR="00C32006" w:rsidRPr="00C32006" w:rsidRDefault="00C32006" w:rsidP="00C32006">
      <w:pPr>
        <w:ind w:left="708" w:right="567"/>
        <w:jc w:val="both"/>
        <w:rPr>
          <w:rFonts w:ascii="Bookman Old Style" w:hAnsi="Bookman Old Style" w:cs="Arial"/>
          <w:i/>
          <w:iCs/>
          <w:sz w:val="22"/>
        </w:rPr>
      </w:pPr>
      <w:r w:rsidRPr="00C32006">
        <w:rPr>
          <w:rFonts w:ascii="Bookman Old Style" w:hAnsi="Bookman Old Style" w:cs="Arial"/>
          <w:i/>
          <w:iCs/>
          <w:sz w:val="22"/>
        </w:rPr>
        <w:t xml:space="preserve">Para la presentación de los costos a reconocer, el solicitante deberá incluir toda la información que lleve a determinar el costo por galón y por kilo, tal como: la capacidad, la cantidad de operaciones al mes y al año, el costo unitario y el costo total. Esta información deberá ser reportada tal y como se indica en el Anexo 1 de esta resolución. </w:t>
      </w:r>
    </w:p>
    <w:p w:rsidR="00C32006" w:rsidRPr="00C32006" w:rsidRDefault="00C32006" w:rsidP="00C32006">
      <w:pPr>
        <w:ind w:left="708" w:right="567"/>
        <w:jc w:val="both"/>
        <w:rPr>
          <w:rFonts w:ascii="Bookman Old Style" w:hAnsi="Bookman Old Style" w:cs="Arial"/>
          <w:i/>
          <w:iCs/>
          <w:sz w:val="22"/>
        </w:rPr>
      </w:pPr>
    </w:p>
    <w:p w:rsidR="00C32006" w:rsidRPr="00C32006" w:rsidRDefault="00C32006" w:rsidP="00C32006">
      <w:pPr>
        <w:ind w:left="708" w:right="567"/>
        <w:jc w:val="both"/>
        <w:rPr>
          <w:rFonts w:ascii="Bookman Old Style" w:hAnsi="Bookman Old Style" w:cs="Arial"/>
          <w:i/>
          <w:iCs/>
          <w:sz w:val="22"/>
        </w:rPr>
      </w:pPr>
      <w:r w:rsidRPr="00C32006">
        <w:rPr>
          <w:rFonts w:ascii="Bookman Old Style" w:hAnsi="Bookman Old Style" w:cs="Arial"/>
          <w:i/>
          <w:iCs/>
          <w:sz w:val="22"/>
        </w:rPr>
        <w:t xml:space="preserve">También se deberá indicar el plazo de implementación del esquema presentado en la solicitud tarifaria, el cual no deberá exceder de seis (6) meses contados desde la fecha en que quede en firme la resolución que apruebe el cargo. </w:t>
      </w:r>
    </w:p>
    <w:p w:rsidR="00C32006" w:rsidRPr="00C32006" w:rsidRDefault="00C32006" w:rsidP="00C32006">
      <w:pPr>
        <w:ind w:left="708" w:right="567"/>
        <w:jc w:val="both"/>
        <w:rPr>
          <w:rFonts w:ascii="Bookman Old Style" w:hAnsi="Bookman Old Style" w:cs="Arial"/>
          <w:i/>
          <w:iCs/>
          <w:sz w:val="22"/>
        </w:rPr>
      </w:pPr>
    </w:p>
    <w:p w:rsidR="00000975" w:rsidRPr="00C32006" w:rsidRDefault="00C32006" w:rsidP="00C32006">
      <w:pPr>
        <w:ind w:left="708" w:right="567"/>
        <w:jc w:val="both"/>
        <w:rPr>
          <w:rFonts w:ascii="Bookman Old Style" w:hAnsi="Bookman Old Style" w:cs="Arial"/>
          <w:i/>
          <w:iCs/>
          <w:sz w:val="22"/>
        </w:rPr>
      </w:pPr>
      <w:r w:rsidRPr="00C32006">
        <w:rPr>
          <w:rFonts w:ascii="Bookman Old Style" w:hAnsi="Bookman Old Style" w:cs="Arial"/>
          <w:i/>
          <w:iCs/>
          <w:sz w:val="22"/>
        </w:rPr>
        <w:t>La CREG revisará cuidadosamente la información suministrada, la comparará con la información que reposa en esta Comisión, solicitará los soportes y hará los ajustes que considere convenientes”. (…)</w:t>
      </w:r>
    </w:p>
    <w:p w:rsidR="00C32006" w:rsidRDefault="00C32006" w:rsidP="00F75483">
      <w:pPr>
        <w:ind w:left="360"/>
        <w:jc w:val="both"/>
        <w:rPr>
          <w:rFonts w:ascii="Bookman Old Style" w:hAnsi="Bookman Old Style" w:cs="Arial"/>
          <w:iCs/>
          <w:color w:val="FF0000"/>
        </w:rPr>
      </w:pPr>
    </w:p>
    <w:p w:rsidR="00F75483" w:rsidRPr="009C2605" w:rsidRDefault="009C2605" w:rsidP="00F75483">
      <w:pPr>
        <w:ind w:left="360"/>
        <w:jc w:val="both"/>
        <w:rPr>
          <w:rFonts w:ascii="Bookman Old Style" w:hAnsi="Bookman Old Style" w:cs="Arial"/>
          <w:iCs/>
        </w:rPr>
      </w:pPr>
      <w:r w:rsidRPr="009C2605">
        <w:rPr>
          <w:rFonts w:ascii="Bookman Old Style" w:hAnsi="Bookman Old Style" w:cs="Arial"/>
          <w:iCs/>
        </w:rPr>
        <w:t>Mediante l</w:t>
      </w:r>
      <w:r w:rsidR="00F75483" w:rsidRPr="009C2605">
        <w:rPr>
          <w:rFonts w:ascii="Bookman Old Style" w:hAnsi="Bookman Old Style" w:cs="Arial"/>
          <w:iCs/>
        </w:rPr>
        <w:t xml:space="preserve">a Resolución CREG 004 de 2010 se aprobó la fórmula tarifaria general que permite a los distribuidores y a los comercializadores minoristas establecer los costos de prestación del servicio de GLP a los usuarios regulados, en el </w:t>
      </w:r>
      <w:r>
        <w:rPr>
          <w:rFonts w:ascii="Bookman Old Style" w:hAnsi="Bookman Old Style" w:cs="Arial"/>
          <w:iCs/>
        </w:rPr>
        <w:t>a</w:t>
      </w:r>
      <w:r w:rsidR="00F75483" w:rsidRPr="009C2605">
        <w:rPr>
          <w:rFonts w:ascii="Bookman Old Style" w:hAnsi="Bookman Old Style" w:cs="Arial"/>
          <w:iCs/>
        </w:rPr>
        <w:t xml:space="preserve">rchipiélago de San Andrés, Providencia y Santa Catalina. </w:t>
      </w:r>
    </w:p>
    <w:p w:rsidR="00F75483" w:rsidRPr="00F75483" w:rsidRDefault="00F75483" w:rsidP="00F75483">
      <w:pPr>
        <w:ind w:left="360"/>
        <w:jc w:val="both"/>
        <w:rPr>
          <w:rFonts w:ascii="Bookman Old Style" w:hAnsi="Bookman Old Style" w:cs="Arial"/>
          <w:iCs/>
          <w:color w:val="FF0000"/>
        </w:rPr>
      </w:pPr>
    </w:p>
    <w:p w:rsidR="00F75483" w:rsidRDefault="00F75483" w:rsidP="00F75483">
      <w:pPr>
        <w:ind w:left="360"/>
        <w:jc w:val="both"/>
        <w:rPr>
          <w:rFonts w:ascii="Bookman Old Style" w:hAnsi="Bookman Old Style" w:cs="Arial"/>
          <w:iCs/>
        </w:rPr>
      </w:pPr>
      <w:r w:rsidRPr="009C2605">
        <w:rPr>
          <w:rFonts w:ascii="Bookman Old Style" w:hAnsi="Bookman Old Style" w:cs="Arial"/>
          <w:iCs/>
        </w:rPr>
        <w:t xml:space="preserve">A través de la Resolución CREG 049 de 2011 se aprobó el cargo de remuneración de la actividad de transporte de gas licuado de </w:t>
      </w:r>
      <w:r w:rsidR="009C2605">
        <w:rPr>
          <w:rFonts w:ascii="Bookman Old Style" w:hAnsi="Bookman Old Style" w:cs="Arial"/>
          <w:iCs/>
        </w:rPr>
        <w:t>p</w:t>
      </w:r>
      <w:r w:rsidRPr="009C2605">
        <w:rPr>
          <w:rFonts w:ascii="Bookman Old Style" w:hAnsi="Bookman Old Style" w:cs="Arial"/>
          <w:iCs/>
        </w:rPr>
        <w:t xml:space="preserve">etróleo (GLP) al </w:t>
      </w:r>
      <w:r w:rsidR="009C2605" w:rsidRPr="009C2605">
        <w:rPr>
          <w:rFonts w:ascii="Bookman Old Style" w:hAnsi="Bookman Old Style" w:cs="Arial"/>
          <w:iCs/>
        </w:rPr>
        <w:t>a</w:t>
      </w:r>
      <w:r w:rsidRPr="009C2605">
        <w:rPr>
          <w:rFonts w:ascii="Bookman Old Style" w:hAnsi="Bookman Old Style" w:cs="Arial"/>
          <w:iCs/>
        </w:rPr>
        <w:t>rchipiélago de San Andrés, Providencia y Santa Catalina de acuerdo con la solicitud tarifaria realizada por</w:t>
      </w:r>
      <w:r w:rsidR="009C2605">
        <w:rPr>
          <w:rFonts w:ascii="Bookman Old Style" w:hAnsi="Bookman Old Style" w:cs="Arial"/>
          <w:iCs/>
        </w:rPr>
        <w:t xml:space="preserve"> </w:t>
      </w:r>
      <w:r w:rsidR="000F22E8">
        <w:rPr>
          <w:rFonts w:ascii="Bookman Old Style" w:hAnsi="Bookman Old Style" w:cs="Arial"/>
          <w:iCs/>
        </w:rPr>
        <w:t>la empresa PROVIGAS S.A. E.S.P.</w:t>
      </w:r>
    </w:p>
    <w:p w:rsidR="000F22E8" w:rsidRDefault="000F22E8" w:rsidP="00F75483">
      <w:pPr>
        <w:ind w:left="360"/>
        <w:jc w:val="both"/>
        <w:rPr>
          <w:rFonts w:ascii="Bookman Old Style" w:hAnsi="Bookman Old Style" w:cs="Arial"/>
          <w:iCs/>
          <w:color w:val="FF0000"/>
        </w:rPr>
      </w:pPr>
    </w:p>
    <w:p w:rsidR="009E59C1" w:rsidRDefault="009E59C1" w:rsidP="00F75483">
      <w:pPr>
        <w:ind w:left="360"/>
        <w:jc w:val="both"/>
        <w:rPr>
          <w:rFonts w:ascii="Bookman Old Style" w:hAnsi="Bookman Old Style"/>
        </w:rPr>
      </w:pPr>
    </w:p>
    <w:p w:rsidR="00CA2D33" w:rsidRPr="009C2605" w:rsidRDefault="00CA2D33" w:rsidP="00F75483">
      <w:pPr>
        <w:ind w:left="360"/>
        <w:jc w:val="both"/>
        <w:rPr>
          <w:rFonts w:ascii="Bookman Old Style" w:hAnsi="Bookman Old Style"/>
          <w:sz w:val="32"/>
        </w:rPr>
      </w:pPr>
      <w:r w:rsidRPr="009C2605">
        <w:rPr>
          <w:rFonts w:ascii="Bookman Old Style" w:hAnsi="Bookman Old Style"/>
        </w:rPr>
        <w:t xml:space="preserve">Mediante la Resolución </w:t>
      </w:r>
      <w:r w:rsidRPr="009E59C1">
        <w:rPr>
          <w:rFonts w:ascii="Bookman Old Style" w:hAnsi="Bookman Old Style"/>
        </w:rPr>
        <w:t>180693 de 2011 del</w:t>
      </w:r>
      <w:r w:rsidRPr="009C2605">
        <w:rPr>
          <w:rFonts w:ascii="Bookman Old Style" w:hAnsi="Bookman Old Style"/>
        </w:rPr>
        <w:t xml:space="preserve"> Ministerio de Minas y Energía</w:t>
      </w:r>
      <w:r w:rsidR="009E59C1">
        <w:rPr>
          <w:rFonts w:ascii="Bookman Old Style" w:hAnsi="Bookman Old Style"/>
        </w:rPr>
        <w:t xml:space="preserve">, se derogó la Resolución 180395 de 2010  y se </w:t>
      </w:r>
      <w:r w:rsidR="001905F6" w:rsidRPr="009C2605">
        <w:rPr>
          <w:rFonts w:ascii="Bookman Old Style" w:hAnsi="Bookman Old Style"/>
        </w:rPr>
        <w:t>expid</w:t>
      </w:r>
      <w:r w:rsidR="009E59C1">
        <w:rPr>
          <w:rFonts w:ascii="Bookman Old Style" w:hAnsi="Bookman Old Style"/>
        </w:rPr>
        <w:t xml:space="preserve">ió </w:t>
      </w:r>
      <w:r w:rsidR="001905F6" w:rsidRPr="009C2605">
        <w:rPr>
          <w:rFonts w:ascii="Bookman Old Style" w:hAnsi="Bookman Old Style" w:cs="Arial"/>
          <w:szCs w:val="20"/>
          <w:shd w:val="clear" w:color="auto" w:fill="FFFFFF"/>
        </w:rPr>
        <w:t xml:space="preserve">el </w:t>
      </w:r>
      <w:r w:rsidR="009E10BC" w:rsidRPr="009C2605">
        <w:rPr>
          <w:rFonts w:ascii="Bookman Old Style" w:hAnsi="Bookman Old Style" w:cs="Arial"/>
          <w:szCs w:val="20"/>
          <w:shd w:val="clear" w:color="auto" w:fill="FFFFFF"/>
        </w:rPr>
        <w:t>r</w:t>
      </w:r>
      <w:r w:rsidR="001905F6" w:rsidRPr="009C2605">
        <w:rPr>
          <w:rFonts w:ascii="Bookman Old Style" w:hAnsi="Bookman Old Style" w:cs="Arial"/>
          <w:szCs w:val="20"/>
          <w:shd w:val="clear" w:color="auto" w:fill="FFFFFF"/>
        </w:rPr>
        <w:t xml:space="preserve">eglamento </w:t>
      </w:r>
      <w:r w:rsidR="009E10BC" w:rsidRPr="009C2605">
        <w:rPr>
          <w:rFonts w:ascii="Bookman Old Style" w:hAnsi="Bookman Old Style" w:cs="Arial"/>
          <w:szCs w:val="20"/>
          <w:shd w:val="clear" w:color="auto" w:fill="FFFFFF"/>
        </w:rPr>
        <w:t>t</w:t>
      </w:r>
      <w:r w:rsidR="001905F6" w:rsidRPr="009C2605">
        <w:rPr>
          <w:rFonts w:ascii="Bookman Old Style" w:hAnsi="Bookman Old Style" w:cs="Arial"/>
          <w:szCs w:val="20"/>
          <w:shd w:val="clear" w:color="auto" w:fill="FFFFFF"/>
        </w:rPr>
        <w:t xml:space="preserve">écnico para </w:t>
      </w:r>
      <w:r w:rsidR="009E10BC" w:rsidRPr="009C2605">
        <w:rPr>
          <w:rFonts w:ascii="Bookman Old Style" w:hAnsi="Bookman Old Style" w:cs="Arial"/>
          <w:szCs w:val="20"/>
          <w:shd w:val="clear" w:color="auto" w:fill="FFFFFF"/>
        </w:rPr>
        <w:t>a</w:t>
      </w:r>
      <w:r w:rsidR="001905F6" w:rsidRPr="009C2605">
        <w:rPr>
          <w:rFonts w:ascii="Bookman Old Style" w:hAnsi="Bookman Old Style" w:cs="Arial"/>
          <w:szCs w:val="20"/>
          <w:shd w:val="clear" w:color="auto" w:fill="FFFFFF"/>
        </w:rPr>
        <w:t>lmacenamiento utilizado con propósitos de respaldo de la demanda en la prestación del servicio público domicilia</w:t>
      </w:r>
      <w:r w:rsidR="009E10BC" w:rsidRPr="009C2605">
        <w:rPr>
          <w:rFonts w:ascii="Bookman Old Style" w:hAnsi="Bookman Old Style" w:cs="Arial"/>
          <w:szCs w:val="20"/>
          <w:shd w:val="clear" w:color="auto" w:fill="FFFFFF"/>
        </w:rPr>
        <w:t xml:space="preserve">rio de </w:t>
      </w:r>
      <w:r w:rsidR="009C2605">
        <w:rPr>
          <w:rFonts w:ascii="Bookman Old Style" w:hAnsi="Bookman Old Style" w:cs="Arial"/>
          <w:szCs w:val="20"/>
          <w:shd w:val="clear" w:color="auto" w:fill="FFFFFF"/>
        </w:rPr>
        <w:t>g</w:t>
      </w:r>
      <w:r w:rsidR="009E10BC" w:rsidRPr="009C2605">
        <w:rPr>
          <w:rFonts w:ascii="Bookman Old Style" w:hAnsi="Bookman Old Style" w:cs="Arial"/>
          <w:szCs w:val="20"/>
          <w:shd w:val="clear" w:color="auto" w:fill="FFFFFF"/>
        </w:rPr>
        <w:t xml:space="preserve">as </w:t>
      </w:r>
      <w:r w:rsidR="009C2605">
        <w:rPr>
          <w:rFonts w:ascii="Bookman Old Style" w:hAnsi="Bookman Old Style" w:cs="Arial"/>
          <w:szCs w:val="20"/>
          <w:shd w:val="clear" w:color="auto" w:fill="FFFFFF"/>
        </w:rPr>
        <w:t>l</w:t>
      </w:r>
      <w:r w:rsidR="009E10BC" w:rsidRPr="009C2605">
        <w:rPr>
          <w:rFonts w:ascii="Bookman Old Style" w:hAnsi="Bookman Old Style" w:cs="Arial"/>
          <w:szCs w:val="20"/>
          <w:shd w:val="clear" w:color="auto" w:fill="FFFFFF"/>
        </w:rPr>
        <w:t xml:space="preserve">icuado del </w:t>
      </w:r>
      <w:r w:rsidR="009C2605">
        <w:rPr>
          <w:rFonts w:ascii="Bookman Old Style" w:hAnsi="Bookman Old Style" w:cs="Arial"/>
          <w:szCs w:val="20"/>
          <w:shd w:val="clear" w:color="auto" w:fill="FFFFFF"/>
        </w:rPr>
        <w:t>p</w:t>
      </w:r>
      <w:r w:rsidR="009E10BC" w:rsidRPr="009C2605">
        <w:rPr>
          <w:rFonts w:ascii="Bookman Old Style" w:hAnsi="Bookman Old Style" w:cs="Arial"/>
          <w:szCs w:val="20"/>
          <w:shd w:val="clear" w:color="auto" w:fill="FFFFFF"/>
        </w:rPr>
        <w:t>etróleo-GLP-</w:t>
      </w:r>
      <w:r w:rsidR="001905F6" w:rsidRPr="009C2605">
        <w:rPr>
          <w:rFonts w:ascii="Bookman Old Style" w:hAnsi="Bookman Old Style" w:cs="Arial"/>
          <w:szCs w:val="20"/>
          <w:shd w:val="clear" w:color="auto" w:fill="FFFFFF"/>
        </w:rPr>
        <w:t xml:space="preserve">en el </w:t>
      </w:r>
      <w:r w:rsidR="009C2605">
        <w:rPr>
          <w:rFonts w:ascii="Bookman Old Style" w:hAnsi="Bookman Old Style" w:cs="Arial"/>
          <w:szCs w:val="20"/>
          <w:shd w:val="clear" w:color="auto" w:fill="FFFFFF"/>
        </w:rPr>
        <w:t>a</w:t>
      </w:r>
      <w:r w:rsidR="001905F6" w:rsidRPr="009C2605">
        <w:rPr>
          <w:rFonts w:ascii="Bookman Old Style" w:hAnsi="Bookman Old Style" w:cs="Arial"/>
          <w:szCs w:val="20"/>
          <w:shd w:val="clear" w:color="auto" w:fill="FFFFFF"/>
        </w:rPr>
        <w:t>rchipiélago de San Andrés, Providencia y Santa Catalina</w:t>
      </w:r>
      <w:r w:rsidR="00934464" w:rsidRPr="009C2605">
        <w:rPr>
          <w:rFonts w:ascii="Bookman Old Style" w:hAnsi="Bookman Old Style" w:cs="Arial"/>
          <w:szCs w:val="20"/>
          <w:shd w:val="clear" w:color="auto" w:fill="FFFFFF"/>
        </w:rPr>
        <w:t>, cuyo objeto es prevenir riesgos de seguridad en desarrollo de las actividades en las que se utilice el almacenamiento para la prestación del servicio público de GLP</w:t>
      </w:r>
      <w:r w:rsidR="009E59C1">
        <w:rPr>
          <w:rFonts w:ascii="Bookman Old Style" w:hAnsi="Bookman Old Style" w:cs="Arial"/>
          <w:szCs w:val="20"/>
          <w:shd w:val="clear" w:color="auto" w:fill="FFFFFF"/>
        </w:rPr>
        <w:t xml:space="preserve">. </w:t>
      </w:r>
    </w:p>
    <w:p w:rsidR="009E59C1" w:rsidRDefault="009E59C1" w:rsidP="00BE6A5E">
      <w:pPr>
        <w:ind w:left="360"/>
        <w:jc w:val="both"/>
        <w:rPr>
          <w:rFonts w:ascii="Bookman Old Style" w:hAnsi="Bookman Old Style"/>
        </w:rPr>
      </w:pPr>
    </w:p>
    <w:p w:rsidR="00BE6A5E" w:rsidRDefault="00934464" w:rsidP="00BE6A5E">
      <w:pPr>
        <w:ind w:left="360"/>
        <w:jc w:val="both"/>
        <w:rPr>
          <w:rFonts w:ascii="Bookman Old Style" w:hAnsi="Bookman Old Style"/>
        </w:rPr>
      </w:pPr>
      <w:r w:rsidRPr="009C2605">
        <w:rPr>
          <w:rFonts w:ascii="Bookman Old Style" w:hAnsi="Bookman Old Style"/>
        </w:rPr>
        <w:t xml:space="preserve">Dentro de dicho reglamento se estableció como </w:t>
      </w:r>
      <w:r w:rsidR="00BE6A5E" w:rsidRPr="009C2605">
        <w:rPr>
          <w:rFonts w:ascii="Bookman Old Style" w:hAnsi="Bookman Old Style"/>
        </w:rPr>
        <w:t xml:space="preserve">obligaciones generales </w:t>
      </w:r>
      <w:r w:rsidRPr="009C2605">
        <w:rPr>
          <w:rFonts w:ascii="Bookman Old Style" w:hAnsi="Bookman Old Style"/>
        </w:rPr>
        <w:t xml:space="preserve">a cargo del prestador del servicio </w:t>
      </w:r>
      <w:r w:rsidR="00BE6A5E" w:rsidRPr="009C2605">
        <w:rPr>
          <w:rFonts w:ascii="Bookman Old Style" w:hAnsi="Bookman Old Style"/>
        </w:rPr>
        <w:t xml:space="preserve">que el </w:t>
      </w:r>
      <w:r w:rsidR="009C2605" w:rsidRPr="009C2605">
        <w:rPr>
          <w:rFonts w:ascii="Bookman Old Style" w:hAnsi="Bookman Old Style"/>
        </w:rPr>
        <w:t>t</w:t>
      </w:r>
      <w:r w:rsidR="00BE6A5E" w:rsidRPr="009C2605">
        <w:rPr>
          <w:rFonts w:ascii="Bookman Old Style" w:hAnsi="Bookman Old Style"/>
        </w:rPr>
        <w:t>ransportador de GLP al archipiélago de San Andrés, Providencia y Santa Catalina será el responsable por la operación y mantenimiento del almacenamiento de respaldo de la demanda y que no se podrá utilizar la infraestructura del almacenamiento de respaldo para el desarrollo de actividades de envasado o venta a granel del producto en cilindros universales y/o marcados.</w:t>
      </w:r>
      <w:r w:rsidR="000F22E8">
        <w:rPr>
          <w:rFonts w:ascii="Bookman Old Style" w:hAnsi="Bookman Old Style"/>
        </w:rPr>
        <w:t xml:space="preserve"> </w:t>
      </w:r>
      <w:r w:rsidR="00646AFE">
        <w:rPr>
          <w:rFonts w:ascii="Bookman Old Style" w:hAnsi="Bookman Old Style"/>
        </w:rPr>
        <w:t>Reglamento que es posterior a la aprobación del cargo de remuneración</w:t>
      </w:r>
      <w:r w:rsidR="000F22E8">
        <w:rPr>
          <w:rFonts w:ascii="Bookman Old Style" w:hAnsi="Bookman Old Style"/>
        </w:rPr>
        <w:t xml:space="preserve"> para la empresa</w:t>
      </w:r>
      <w:r w:rsidR="00646AFE">
        <w:rPr>
          <w:rFonts w:ascii="Bookman Old Style" w:hAnsi="Bookman Old Style"/>
        </w:rPr>
        <w:t xml:space="preserve">.  </w:t>
      </w:r>
      <w:r w:rsidR="00BE6A5E" w:rsidRPr="009C2605">
        <w:rPr>
          <w:rFonts w:ascii="Bookman Old Style" w:hAnsi="Bookman Old Style"/>
        </w:rPr>
        <w:t xml:space="preserve"> </w:t>
      </w:r>
      <w:r w:rsidR="00646AFE">
        <w:rPr>
          <w:rFonts w:ascii="Bookman Old Style" w:hAnsi="Bookman Old Style"/>
        </w:rPr>
        <w:t xml:space="preserve"> </w:t>
      </w:r>
    </w:p>
    <w:p w:rsidR="00B3714F" w:rsidRDefault="00B3714F" w:rsidP="00BE6A5E">
      <w:pPr>
        <w:ind w:left="360"/>
        <w:jc w:val="both"/>
        <w:rPr>
          <w:rFonts w:ascii="Bookman Old Style" w:hAnsi="Bookman Old Style"/>
          <w:color w:val="FF0000"/>
        </w:rPr>
      </w:pPr>
    </w:p>
    <w:p w:rsidR="00B3714F" w:rsidRPr="009C2605" w:rsidRDefault="00B3714F" w:rsidP="00BE6A5E">
      <w:pPr>
        <w:ind w:left="360"/>
        <w:jc w:val="both"/>
        <w:rPr>
          <w:rFonts w:ascii="Bookman Old Style" w:hAnsi="Bookman Old Style"/>
        </w:rPr>
      </w:pPr>
      <w:r w:rsidRPr="0047199E">
        <w:rPr>
          <w:rFonts w:ascii="Bookman Old Style" w:hAnsi="Bookman Old Style"/>
        </w:rPr>
        <w:t>Mediante la Resolución CREG 149 de 2015 se decidió sobre la solicitud de revisión tarifaria de la metodología de remuneración de la actividad de transporte de gas licuado de petróleo (GLP)</w:t>
      </w:r>
      <w:r w:rsidR="00547186" w:rsidRPr="0047199E">
        <w:rPr>
          <w:rFonts w:ascii="Bookman Old Style" w:hAnsi="Bookman Old Style"/>
        </w:rPr>
        <w:t xml:space="preserve"> al archipiélago de San Andrés, Providencia y Santa Catalina</w:t>
      </w:r>
      <w:r w:rsidR="00961407" w:rsidRPr="0047199E">
        <w:rPr>
          <w:rFonts w:ascii="Bookman Old Style" w:hAnsi="Bookman Old Style"/>
        </w:rPr>
        <w:t xml:space="preserve">, ajustándose </w:t>
      </w:r>
      <w:r w:rsidR="0047199E">
        <w:rPr>
          <w:rFonts w:ascii="Bookman Old Style" w:hAnsi="Bookman Old Style"/>
        </w:rPr>
        <w:t xml:space="preserve">lo relacionado con </w:t>
      </w:r>
      <w:r w:rsidR="00961407" w:rsidRPr="0047199E">
        <w:rPr>
          <w:rFonts w:ascii="Bookman Old Style" w:hAnsi="Bookman Old Style"/>
        </w:rPr>
        <w:t>los puntos de recibo</w:t>
      </w:r>
      <w:r w:rsidR="00547186" w:rsidRPr="0047199E">
        <w:rPr>
          <w:rFonts w:ascii="Bookman Old Style" w:hAnsi="Bookman Old Style"/>
        </w:rPr>
        <w:t>.</w:t>
      </w:r>
    </w:p>
    <w:p w:rsidR="00CA2D33" w:rsidRPr="00F75483" w:rsidRDefault="00BE6A5E" w:rsidP="00F75483">
      <w:pPr>
        <w:ind w:left="360"/>
        <w:jc w:val="both"/>
        <w:rPr>
          <w:rFonts w:ascii="Bookman Old Style" w:hAnsi="Bookman Old Style" w:cs="Arial"/>
          <w:iCs/>
          <w:color w:val="FF0000"/>
        </w:rPr>
      </w:pPr>
      <w:r>
        <w:rPr>
          <w:rFonts w:ascii="Bookman Old Style" w:hAnsi="Bookman Old Style"/>
          <w:color w:val="FF0000"/>
        </w:rPr>
        <w:t xml:space="preserve"> </w:t>
      </w:r>
    </w:p>
    <w:p w:rsidR="00650209" w:rsidRDefault="00F75483" w:rsidP="00F75483">
      <w:pPr>
        <w:ind w:left="360"/>
        <w:jc w:val="both"/>
        <w:rPr>
          <w:rFonts w:ascii="Bookman Old Style" w:hAnsi="Bookman Old Style" w:cs="Arial"/>
          <w:iCs/>
        </w:rPr>
      </w:pPr>
      <w:r w:rsidRPr="009C2605">
        <w:rPr>
          <w:rFonts w:ascii="Bookman Old Style" w:hAnsi="Bookman Old Style" w:cs="Arial"/>
          <w:iCs/>
        </w:rPr>
        <w:t xml:space="preserve">Mediante comunicación con radicado </w:t>
      </w:r>
      <w:r w:rsidR="00CA2D33" w:rsidRPr="009C2605">
        <w:rPr>
          <w:rFonts w:ascii="Bookman Old Style" w:hAnsi="Bookman Old Style" w:cs="Arial"/>
          <w:iCs/>
        </w:rPr>
        <w:t xml:space="preserve">CREG </w:t>
      </w:r>
      <w:r w:rsidR="00CA2D33" w:rsidRPr="009C2605">
        <w:rPr>
          <w:rFonts w:ascii="Bookman Old Style" w:hAnsi="Bookman Old Style" w:cs="Arial"/>
        </w:rPr>
        <w:t xml:space="preserve">E-2016-002915 </w:t>
      </w:r>
      <w:r w:rsidRPr="009C2605">
        <w:rPr>
          <w:rFonts w:ascii="Bookman Old Style" w:hAnsi="Bookman Old Style" w:cs="Arial"/>
          <w:iCs/>
        </w:rPr>
        <w:t xml:space="preserve">del </w:t>
      </w:r>
      <w:r w:rsidR="002001D7" w:rsidRPr="009C2605">
        <w:rPr>
          <w:rFonts w:ascii="Bookman Old Style" w:hAnsi="Bookman Old Style" w:cs="Arial"/>
          <w:iCs/>
        </w:rPr>
        <w:t>18</w:t>
      </w:r>
      <w:r w:rsidRPr="009C2605">
        <w:rPr>
          <w:rFonts w:ascii="Bookman Old Style" w:hAnsi="Bookman Old Style" w:cs="Arial"/>
          <w:iCs/>
        </w:rPr>
        <w:t xml:space="preserve"> de </w:t>
      </w:r>
      <w:r w:rsidR="002001D7" w:rsidRPr="009C2605">
        <w:rPr>
          <w:rFonts w:ascii="Bookman Old Style" w:hAnsi="Bookman Old Style" w:cs="Arial"/>
          <w:iCs/>
        </w:rPr>
        <w:t>marzo</w:t>
      </w:r>
      <w:r w:rsidRPr="009C2605">
        <w:rPr>
          <w:rFonts w:ascii="Bookman Old Style" w:hAnsi="Bookman Old Style" w:cs="Arial"/>
          <w:iCs/>
        </w:rPr>
        <w:t xml:space="preserve"> de 201</w:t>
      </w:r>
      <w:r w:rsidR="002001D7" w:rsidRPr="009C2605">
        <w:rPr>
          <w:rFonts w:ascii="Bookman Old Style" w:hAnsi="Bookman Old Style" w:cs="Arial"/>
          <w:iCs/>
        </w:rPr>
        <w:t>6</w:t>
      </w:r>
      <w:r w:rsidRPr="009C2605">
        <w:rPr>
          <w:rFonts w:ascii="Bookman Old Style" w:hAnsi="Bookman Old Style" w:cs="Arial"/>
          <w:iCs/>
        </w:rPr>
        <w:t>, PROVIGAS</w:t>
      </w:r>
      <w:r w:rsidR="000F22E8">
        <w:rPr>
          <w:rFonts w:ascii="Bookman Old Style" w:hAnsi="Bookman Old Style" w:cs="Arial"/>
          <w:iCs/>
        </w:rPr>
        <w:t xml:space="preserve"> S.A. E.S.P</w:t>
      </w:r>
      <w:r w:rsidRPr="009C2605">
        <w:rPr>
          <w:rFonts w:ascii="Bookman Old Style" w:hAnsi="Bookman Old Style" w:cs="Arial"/>
          <w:iCs/>
        </w:rPr>
        <w:t>, pone en consideración de la Comisión, solicitud de modificación de la Resolución CREG 0</w:t>
      </w:r>
      <w:r w:rsidR="00945C33" w:rsidRPr="009C2605">
        <w:rPr>
          <w:rFonts w:ascii="Bookman Old Style" w:hAnsi="Bookman Old Style" w:cs="Arial"/>
          <w:iCs/>
        </w:rPr>
        <w:t>49 de 2011</w:t>
      </w:r>
      <w:r w:rsidRPr="009C2605">
        <w:rPr>
          <w:rFonts w:ascii="Bookman Old Style" w:hAnsi="Bookman Old Style" w:cs="Arial"/>
          <w:iCs/>
        </w:rPr>
        <w:t xml:space="preserve">, con el fin de </w:t>
      </w:r>
      <w:r w:rsidR="00945C33" w:rsidRPr="009C2605">
        <w:rPr>
          <w:rFonts w:ascii="Bookman Old Style" w:hAnsi="Bookman Old Style" w:cs="Arial"/>
          <w:iCs/>
        </w:rPr>
        <w:t xml:space="preserve">que le sean reconocidas las inversiones realizadas </w:t>
      </w:r>
      <w:r w:rsidR="00CA2D33" w:rsidRPr="009C2605">
        <w:rPr>
          <w:rFonts w:ascii="Bookman Old Style" w:hAnsi="Bookman Old Style" w:cs="Arial"/>
          <w:iCs/>
        </w:rPr>
        <w:t xml:space="preserve">en consideración a lo solicitado mediante el reglamento técnico </w:t>
      </w:r>
      <w:r w:rsidR="00BE6A5E" w:rsidRPr="009C2605">
        <w:rPr>
          <w:rFonts w:ascii="Bookman Old Style" w:hAnsi="Bookman Old Style" w:cs="Arial"/>
          <w:iCs/>
        </w:rPr>
        <w:t>para almacenamiento</w:t>
      </w:r>
      <w:r w:rsidR="00CA2D33" w:rsidRPr="009C2605">
        <w:rPr>
          <w:rFonts w:ascii="Bookman Old Style" w:hAnsi="Bookman Old Style" w:cs="Arial"/>
          <w:iCs/>
        </w:rPr>
        <w:t xml:space="preserve"> del Ministerio de Minas y Energía. </w:t>
      </w:r>
    </w:p>
    <w:p w:rsidR="001C4142" w:rsidRDefault="001C4142" w:rsidP="00F75483">
      <w:pPr>
        <w:ind w:left="360"/>
        <w:jc w:val="both"/>
        <w:rPr>
          <w:rFonts w:ascii="Bookman Old Style" w:hAnsi="Bookman Old Style" w:cs="Arial"/>
          <w:iCs/>
        </w:rPr>
      </w:pPr>
    </w:p>
    <w:p w:rsidR="00CA675F" w:rsidRDefault="00CA675F" w:rsidP="00650209">
      <w:pPr>
        <w:pStyle w:val="Prrafodelista"/>
        <w:numPr>
          <w:ilvl w:val="0"/>
          <w:numId w:val="45"/>
        </w:numPr>
        <w:jc w:val="both"/>
        <w:rPr>
          <w:rFonts w:ascii="Bookman Old Style" w:hAnsi="Bookman Old Style" w:cs="Arial"/>
          <w:b/>
          <w:iCs/>
          <w:sz w:val="24"/>
          <w:szCs w:val="24"/>
        </w:rPr>
      </w:pPr>
      <w:r w:rsidRPr="00650209">
        <w:rPr>
          <w:rFonts w:ascii="Bookman Old Style" w:hAnsi="Bookman Old Style" w:cs="Arial"/>
          <w:b/>
          <w:iCs/>
          <w:sz w:val="24"/>
          <w:szCs w:val="24"/>
        </w:rPr>
        <w:t>SOLICITUD</w:t>
      </w:r>
    </w:p>
    <w:p w:rsidR="00F75483" w:rsidRPr="00650209" w:rsidRDefault="00F75483" w:rsidP="00F75483">
      <w:pPr>
        <w:pStyle w:val="Prrafodelista"/>
        <w:ind w:left="1080"/>
        <w:jc w:val="both"/>
        <w:rPr>
          <w:rFonts w:ascii="Bookman Old Style" w:hAnsi="Bookman Old Style" w:cs="Arial"/>
          <w:b/>
          <w:iCs/>
          <w:sz w:val="24"/>
          <w:szCs w:val="24"/>
        </w:rPr>
      </w:pPr>
    </w:p>
    <w:p w:rsidR="00CA675F" w:rsidRPr="009C2605" w:rsidRDefault="00F75483" w:rsidP="00F75483">
      <w:pPr>
        <w:ind w:left="360"/>
        <w:jc w:val="both"/>
        <w:rPr>
          <w:rFonts w:ascii="Bookman Old Style" w:hAnsi="Bookman Old Style" w:cs="Arial"/>
        </w:rPr>
      </w:pPr>
      <w:r w:rsidRPr="009C2605">
        <w:rPr>
          <w:rFonts w:ascii="Bookman Old Style" w:hAnsi="Bookman Old Style" w:cs="Arial"/>
        </w:rPr>
        <w:t xml:space="preserve">En comunicación con radicado CREG </w:t>
      </w:r>
      <w:r w:rsidR="005D32E9" w:rsidRPr="009C2605">
        <w:rPr>
          <w:rFonts w:ascii="Bookman Old Style" w:hAnsi="Bookman Old Style" w:cs="Arial"/>
        </w:rPr>
        <w:t xml:space="preserve">E-2016-002915 </w:t>
      </w:r>
      <w:r w:rsidRPr="009C2605">
        <w:rPr>
          <w:rFonts w:ascii="Bookman Old Style" w:hAnsi="Bookman Old Style" w:cs="Arial"/>
        </w:rPr>
        <w:t>de</w:t>
      </w:r>
      <w:r w:rsidR="005D32E9" w:rsidRPr="009C2605">
        <w:rPr>
          <w:rFonts w:ascii="Bookman Old Style" w:hAnsi="Bookman Old Style" w:cs="Arial"/>
        </w:rPr>
        <w:t>l</w:t>
      </w:r>
      <w:r w:rsidRPr="009C2605">
        <w:rPr>
          <w:rFonts w:ascii="Bookman Old Style" w:hAnsi="Bookman Old Style" w:cs="Arial"/>
        </w:rPr>
        <w:t xml:space="preserve"> 1</w:t>
      </w:r>
      <w:r w:rsidR="002001D7" w:rsidRPr="009C2605">
        <w:rPr>
          <w:rFonts w:ascii="Bookman Old Style" w:hAnsi="Bookman Old Style" w:cs="Arial"/>
        </w:rPr>
        <w:t>8 de marzo</w:t>
      </w:r>
      <w:r w:rsidRPr="009C2605">
        <w:rPr>
          <w:rFonts w:ascii="Bookman Old Style" w:hAnsi="Bookman Old Style" w:cs="Arial"/>
        </w:rPr>
        <w:t xml:space="preserve"> de 201</w:t>
      </w:r>
      <w:r w:rsidR="002001D7" w:rsidRPr="009C2605">
        <w:rPr>
          <w:rFonts w:ascii="Bookman Old Style" w:hAnsi="Bookman Old Style" w:cs="Arial"/>
        </w:rPr>
        <w:t>6</w:t>
      </w:r>
      <w:r w:rsidRPr="009C2605">
        <w:rPr>
          <w:rFonts w:ascii="Bookman Old Style" w:hAnsi="Bookman Old Style" w:cs="Arial"/>
        </w:rPr>
        <w:t xml:space="preserve">, </w:t>
      </w:r>
      <w:r w:rsidR="000F22E8">
        <w:rPr>
          <w:rFonts w:ascii="Bookman Old Style" w:hAnsi="Bookman Old Style" w:cs="Arial"/>
        </w:rPr>
        <w:t xml:space="preserve">la empresa </w:t>
      </w:r>
      <w:r w:rsidRPr="009C2605">
        <w:rPr>
          <w:rFonts w:ascii="Bookman Old Style" w:hAnsi="Bookman Old Style" w:cs="Arial"/>
        </w:rPr>
        <w:t>PROVIGAS</w:t>
      </w:r>
      <w:r w:rsidR="000F22E8">
        <w:rPr>
          <w:rFonts w:ascii="Bookman Old Style" w:hAnsi="Bookman Old Style" w:cs="Arial"/>
        </w:rPr>
        <w:t xml:space="preserve"> S.A</w:t>
      </w:r>
      <w:r w:rsidR="00CE2F54">
        <w:rPr>
          <w:rFonts w:ascii="Bookman Old Style" w:hAnsi="Bookman Old Style" w:cs="Arial"/>
        </w:rPr>
        <w:t>.</w:t>
      </w:r>
      <w:r w:rsidR="000F22E8">
        <w:rPr>
          <w:rFonts w:ascii="Bookman Old Style" w:hAnsi="Bookman Old Style" w:cs="Arial"/>
        </w:rPr>
        <w:t xml:space="preserve"> E.S.P</w:t>
      </w:r>
      <w:r w:rsidRPr="009C2605">
        <w:rPr>
          <w:rFonts w:ascii="Bookman Old Style" w:hAnsi="Bookman Old Style" w:cs="Arial"/>
        </w:rPr>
        <w:t xml:space="preserve"> informó que:</w:t>
      </w:r>
    </w:p>
    <w:p w:rsidR="00547186" w:rsidRPr="00F75483" w:rsidRDefault="00547186" w:rsidP="00F75483">
      <w:pPr>
        <w:ind w:left="360"/>
        <w:jc w:val="both"/>
        <w:rPr>
          <w:rFonts w:ascii="Bookman Old Style" w:hAnsi="Bookman Old Style" w:cs="Arial"/>
          <w:color w:val="FF0000"/>
        </w:rPr>
      </w:pPr>
    </w:p>
    <w:p w:rsidR="00950340" w:rsidRDefault="002001D7" w:rsidP="00950340">
      <w:pPr>
        <w:ind w:left="360" w:right="567"/>
        <w:jc w:val="both"/>
        <w:rPr>
          <w:rFonts w:ascii="Bookman Old Style" w:hAnsi="Bookman Old Style" w:cs="Arial"/>
          <w:noProof/>
          <w:lang w:eastAsia="es-CO"/>
        </w:rPr>
      </w:pPr>
      <w:r w:rsidRPr="002001D7">
        <w:rPr>
          <w:rFonts w:ascii="Bookman Old Style" w:hAnsi="Bookman Old Style" w:cs="Arial"/>
          <w:noProof/>
          <w:lang w:eastAsia="es-CO"/>
        </w:rPr>
        <w:t>“</w:t>
      </w:r>
      <w:r w:rsidRPr="002001D7">
        <w:rPr>
          <w:rFonts w:ascii="Bookman Old Style" w:hAnsi="Bookman Old Style" w:cs="Arial"/>
          <w:i/>
          <w:noProof/>
          <w:lang w:eastAsia="es-CO"/>
        </w:rPr>
        <w:t>los cargos aprobados por la Resolución CREG 049  de 2011, no reconocen, ni remuneran el total de la inversión requerida por la normatividad posterior a la Resolución CREG 050 de 2009, especialmente por la Resolución 180395 de 2010, expedida por el Ministerio de Minas y Energía “Por la cual se expide el Reglamento Técnico para el almacenamiento utilizado en la prestación del servicio público domiciliario de gas licuado de petróleo- GLP- en el archipiélago de San Andrés , Providencia y Santa Catalina</w:t>
      </w:r>
      <w:r w:rsidRPr="002001D7">
        <w:rPr>
          <w:rFonts w:ascii="Bookman Old Style" w:hAnsi="Bookman Old Style" w:cs="Arial"/>
          <w:noProof/>
          <w:lang w:eastAsia="es-CO"/>
        </w:rPr>
        <w:t xml:space="preserve">” (…) </w:t>
      </w:r>
    </w:p>
    <w:p w:rsidR="00950340" w:rsidRDefault="00950340" w:rsidP="00950340">
      <w:pPr>
        <w:ind w:left="360" w:right="567"/>
        <w:jc w:val="both"/>
        <w:rPr>
          <w:rFonts w:ascii="Bookman Old Style" w:hAnsi="Bookman Old Style" w:cs="Arial"/>
          <w:noProof/>
          <w:lang w:eastAsia="es-CO"/>
        </w:rPr>
      </w:pPr>
    </w:p>
    <w:p w:rsidR="002001D7" w:rsidRPr="00950340" w:rsidRDefault="002001D7" w:rsidP="00950340">
      <w:pPr>
        <w:ind w:left="360" w:right="567"/>
        <w:jc w:val="both"/>
        <w:rPr>
          <w:rFonts w:ascii="Bookman Old Style" w:hAnsi="Bookman Old Style" w:cs="Arial"/>
          <w:i/>
          <w:noProof/>
          <w:lang w:eastAsia="es-CO"/>
        </w:rPr>
      </w:pPr>
      <w:r w:rsidRPr="00950340">
        <w:rPr>
          <w:rFonts w:ascii="Bookman Old Style" w:hAnsi="Bookman Old Style" w:cs="Arial"/>
          <w:i/>
          <w:noProof/>
          <w:lang w:eastAsia="es-CO"/>
        </w:rPr>
        <w:t xml:space="preserve">Por lo expuesto , manifestamos nuestra preocupación , por las medidas adoptadas, con las cuales inevitablemente se ve afectada PROVIGAS S.A E.S.P , en su capacidad financiera; lo que en el corto plazo impide continuar con la prestación del servicio de GLP en la isla de San Andrés. </w:t>
      </w:r>
    </w:p>
    <w:p w:rsidR="002001D7" w:rsidRDefault="002001D7" w:rsidP="00950340">
      <w:pPr>
        <w:ind w:left="360" w:right="567"/>
        <w:jc w:val="both"/>
        <w:rPr>
          <w:rFonts w:ascii="Bookman Old Style" w:hAnsi="Bookman Old Style" w:cs="Arial"/>
          <w:i/>
          <w:noProof/>
          <w:lang w:eastAsia="es-CO"/>
        </w:rPr>
      </w:pPr>
    </w:p>
    <w:p w:rsidR="002001D7" w:rsidRPr="002001D7" w:rsidRDefault="002001D7" w:rsidP="00950340">
      <w:pPr>
        <w:ind w:left="360" w:right="567"/>
        <w:jc w:val="both"/>
        <w:rPr>
          <w:rFonts w:ascii="Bookman Old Style" w:hAnsi="Bookman Old Style" w:cs="Arial"/>
          <w:noProof/>
          <w:lang w:eastAsia="es-CO"/>
        </w:rPr>
      </w:pPr>
      <w:r w:rsidRPr="002001D7">
        <w:rPr>
          <w:rFonts w:ascii="Bookman Old Style" w:hAnsi="Bookman Old Style" w:cs="Arial"/>
          <w:i/>
          <w:noProof/>
          <w:lang w:eastAsia="es-CO"/>
        </w:rPr>
        <w:t>Finalmente, en nuestra calidad, no solo de prestador, sino de usuario y ciudadano de las islas, dejamos claro nuestra disponibilidad para revisar y adoptar las medidas necesarias para evitar esta crisis inminente, producto de la nueva regulación, siempre y  cuando no se siga afectando de manera imperativa la suficiencia económica de la empresa</w:t>
      </w:r>
      <w:r w:rsidRPr="002001D7">
        <w:rPr>
          <w:rFonts w:ascii="Bookman Old Style" w:hAnsi="Bookman Old Style" w:cs="Arial"/>
          <w:noProof/>
          <w:lang w:eastAsia="es-CO"/>
        </w:rPr>
        <w:t>.(…)</w:t>
      </w:r>
      <w:r w:rsidR="00950340">
        <w:rPr>
          <w:rFonts w:ascii="Bookman Old Style" w:hAnsi="Bookman Old Style" w:cs="Arial"/>
          <w:noProof/>
          <w:lang w:eastAsia="es-CO"/>
        </w:rPr>
        <w:t>”</w:t>
      </w:r>
    </w:p>
    <w:p w:rsidR="002001D7" w:rsidRPr="002001D7" w:rsidRDefault="002001D7" w:rsidP="00950340">
      <w:pPr>
        <w:ind w:left="708" w:right="567"/>
        <w:jc w:val="both"/>
        <w:rPr>
          <w:rFonts w:ascii="Bookman Old Style" w:hAnsi="Bookman Old Style" w:cs="Arial"/>
          <w:noProof/>
          <w:lang w:eastAsia="es-CO"/>
        </w:rPr>
      </w:pPr>
    </w:p>
    <w:p w:rsidR="002001D7" w:rsidRPr="002001D7" w:rsidRDefault="002001D7" w:rsidP="002001D7">
      <w:pPr>
        <w:ind w:left="360"/>
        <w:jc w:val="both"/>
        <w:rPr>
          <w:rFonts w:ascii="Bookman Old Style" w:hAnsi="Bookman Old Style" w:cs="Arial"/>
          <w:noProof/>
          <w:lang w:eastAsia="es-CO"/>
        </w:rPr>
      </w:pPr>
      <w:r w:rsidRPr="002001D7">
        <w:rPr>
          <w:rFonts w:ascii="Bookman Old Style" w:hAnsi="Bookman Old Style" w:cs="Arial"/>
          <w:noProof/>
          <w:lang w:eastAsia="es-CO"/>
        </w:rPr>
        <w:t xml:space="preserve">Dados los argumentos expuestos por la empresa en la precitada comunicación, encuentra esta Comisión que </w:t>
      </w:r>
      <w:r w:rsidR="008C5AB5">
        <w:rPr>
          <w:rFonts w:ascii="Bookman Old Style" w:hAnsi="Bookman Old Style" w:cs="Arial"/>
          <w:noProof/>
          <w:lang w:eastAsia="es-CO"/>
        </w:rPr>
        <w:t>la</w:t>
      </w:r>
      <w:r w:rsidRPr="002001D7">
        <w:rPr>
          <w:rFonts w:ascii="Bookman Old Style" w:hAnsi="Bookman Old Style" w:cs="Arial"/>
          <w:noProof/>
          <w:lang w:eastAsia="es-CO"/>
        </w:rPr>
        <w:t xml:space="preserve"> solicitud esta encaminada a una revisión de los cargos aprobados mediante la Resolución CREG 049 de 2011. </w:t>
      </w:r>
    </w:p>
    <w:p w:rsidR="00F75483" w:rsidRPr="002001D7" w:rsidRDefault="00F75483" w:rsidP="00CA675F">
      <w:pPr>
        <w:ind w:left="0"/>
        <w:jc w:val="both"/>
        <w:rPr>
          <w:rFonts w:ascii="Bookman Old Style" w:hAnsi="Bookman Old Style" w:cs="Arial"/>
        </w:rPr>
      </w:pPr>
    </w:p>
    <w:p w:rsidR="00CA675F" w:rsidRDefault="00CA675F" w:rsidP="00650209">
      <w:pPr>
        <w:pStyle w:val="Prrafodelista"/>
        <w:numPr>
          <w:ilvl w:val="0"/>
          <w:numId w:val="45"/>
        </w:numPr>
        <w:jc w:val="both"/>
        <w:rPr>
          <w:rFonts w:ascii="Bookman Old Style" w:hAnsi="Bookman Old Style" w:cs="Arial"/>
          <w:b/>
          <w:sz w:val="24"/>
          <w:szCs w:val="24"/>
        </w:rPr>
      </w:pPr>
      <w:r w:rsidRPr="00650209">
        <w:rPr>
          <w:rFonts w:ascii="Bookman Old Style" w:hAnsi="Bookman Old Style" w:cs="Arial"/>
          <w:b/>
          <w:sz w:val="24"/>
          <w:szCs w:val="24"/>
        </w:rPr>
        <w:t>TRÁMITE SURTIDO POR LA CREG</w:t>
      </w:r>
    </w:p>
    <w:p w:rsidR="00F75483" w:rsidRPr="00650209" w:rsidRDefault="00F75483" w:rsidP="00F75483">
      <w:pPr>
        <w:pStyle w:val="Prrafodelista"/>
        <w:ind w:left="1080"/>
        <w:jc w:val="both"/>
        <w:rPr>
          <w:rFonts w:ascii="Bookman Old Style" w:hAnsi="Bookman Old Style" w:cs="Arial"/>
          <w:b/>
          <w:sz w:val="24"/>
          <w:szCs w:val="24"/>
        </w:rPr>
      </w:pPr>
    </w:p>
    <w:p w:rsidR="006C27F0" w:rsidRDefault="006C27F0" w:rsidP="00F75483">
      <w:pPr>
        <w:ind w:left="360"/>
        <w:jc w:val="both"/>
        <w:rPr>
          <w:rFonts w:ascii="Bookman Old Style" w:hAnsi="Bookman Old Style" w:cs="Arial"/>
        </w:rPr>
      </w:pPr>
      <w:r w:rsidRPr="00265353">
        <w:rPr>
          <w:rFonts w:ascii="Bookman Old Style" w:hAnsi="Bookman Old Style" w:cs="Arial"/>
        </w:rPr>
        <w:t xml:space="preserve">Como actuación preliminar los días 30 y 31 de marzo </w:t>
      </w:r>
      <w:r w:rsidR="00265353" w:rsidRPr="00265353">
        <w:rPr>
          <w:rFonts w:ascii="Bookman Old Style" w:hAnsi="Bookman Old Style" w:cs="Arial"/>
        </w:rPr>
        <w:t xml:space="preserve">del 2016 </w:t>
      </w:r>
      <w:r w:rsidRPr="00265353">
        <w:rPr>
          <w:rFonts w:ascii="Bookman Old Style" w:hAnsi="Bookman Old Style" w:cs="Arial"/>
        </w:rPr>
        <w:t>se llevó a cabo una visita en sede de la empresa con la finalidad de resolver inquietudes sobre la forma de prestación del servicio público domiciliario de GLP y la información soporte de la solicitud presentada el 18 de marzo de 2016.</w:t>
      </w:r>
      <w:r w:rsidRPr="006C27F0">
        <w:rPr>
          <w:rFonts w:ascii="Bookman Old Style" w:hAnsi="Bookman Old Style" w:cs="Arial"/>
        </w:rPr>
        <w:t xml:space="preserve">   </w:t>
      </w:r>
    </w:p>
    <w:p w:rsidR="006C27F0" w:rsidRDefault="006C27F0" w:rsidP="00F75483">
      <w:pPr>
        <w:ind w:left="360"/>
        <w:jc w:val="both"/>
        <w:rPr>
          <w:rFonts w:ascii="Bookman Old Style" w:hAnsi="Bookman Old Style" w:cs="Arial"/>
        </w:rPr>
      </w:pPr>
    </w:p>
    <w:p w:rsidR="00F75483" w:rsidRPr="009C2605" w:rsidRDefault="00F75483" w:rsidP="00F75483">
      <w:pPr>
        <w:ind w:left="360"/>
        <w:jc w:val="both"/>
        <w:rPr>
          <w:rFonts w:ascii="Bookman Old Style" w:hAnsi="Bookman Old Style" w:cs="Arial"/>
        </w:rPr>
      </w:pPr>
      <w:r w:rsidRPr="009C2605">
        <w:rPr>
          <w:rFonts w:ascii="Bookman Old Style" w:hAnsi="Bookman Old Style" w:cs="Arial"/>
        </w:rPr>
        <w:t xml:space="preserve">En cumplimiento de lo dispuesto en los artículos 36 y 37 del Código de Procedimiento Administrativo y de lo Contencioso Administrativo, la Dirección Ejecutiva de la Comisión mediante Auto del </w:t>
      </w:r>
      <w:r w:rsidR="00C47A22" w:rsidRPr="009C2605">
        <w:rPr>
          <w:rFonts w:ascii="Bookman Old Style" w:hAnsi="Bookman Old Style" w:cs="Arial"/>
        </w:rPr>
        <w:t>05 de abril de 2016</w:t>
      </w:r>
      <w:r w:rsidRPr="009C2605">
        <w:rPr>
          <w:rFonts w:ascii="Bookman Old Style" w:hAnsi="Bookman Old Style" w:cs="Arial"/>
        </w:rPr>
        <w:t xml:space="preserve"> ordenó la apertura de la actuación administrativa y la creación del respectivo expediente administrativo con el objeto de decidir sobre la solicitud de revisión </w:t>
      </w:r>
      <w:r w:rsidR="00C47A22" w:rsidRPr="009C2605">
        <w:rPr>
          <w:rFonts w:ascii="Bookman Old Style" w:hAnsi="Bookman Old Style" w:cs="Arial"/>
        </w:rPr>
        <w:t xml:space="preserve">tarifaria de los cargos aprobados mediante la </w:t>
      </w:r>
      <w:r w:rsidRPr="009C2605">
        <w:rPr>
          <w:rFonts w:ascii="Bookman Old Style" w:hAnsi="Bookman Old Style" w:cs="Arial"/>
        </w:rPr>
        <w:t xml:space="preserve">Resolución CREG </w:t>
      </w:r>
      <w:r w:rsidR="00C47A22" w:rsidRPr="009C2605">
        <w:rPr>
          <w:rFonts w:ascii="Bookman Old Style" w:hAnsi="Bookman Old Style" w:cs="Arial"/>
        </w:rPr>
        <w:t xml:space="preserve">049 </w:t>
      </w:r>
      <w:r w:rsidRPr="009C2605">
        <w:rPr>
          <w:rFonts w:ascii="Bookman Old Style" w:hAnsi="Bookman Old Style" w:cs="Arial"/>
        </w:rPr>
        <w:t>de 20</w:t>
      </w:r>
      <w:r w:rsidR="00C47A22" w:rsidRPr="009C2605">
        <w:rPr>
          <w:rFonts w:ascii="Bookman Old Style" w:hAnsi="Bookman Old Style" w:cs="Arial"/>
        </w:rPr>
        <w:t>11</w:t>
      </w:r>
      <w:r w:rsidRPr="009C2605">
        <w:rPr>
          <w:rFonts w:ascii="Bookman Old Style" w:hAnsi="Bookman Old Style" w:cs="Arial"/>
        </w:rPr>
        <w:t xml:space="preserve"> solicitada por la empresa PROVIGAS</w:t>
      </w:r>
      <w:r w:rsidR="007C3B04">
        <w:rPr>
          <w:rFonts w:ascii="Bookman Old Style" w:hAnsi="Bookman Old Style" w:cs="Arial"/>
        </w:rPr>
        <w:t xml:space="preserve"> S.A. E.S.P</w:t>
      </w:r>
      <w:r w:rsidR="00DB5F1C">
        <w:rPr>
          <w:rFonts w:ascii="Bookman Old Style" w:hAnsi="Bookman Old Style" w:cs="Arial"/>
        </w:rPr>
        <w:t>.</w:t>
      </w:r>
      <w:r w:rsidR="007C3B04">
        <w:rPr>
          <w:rFonts w:ascii="Bookman Old Style" w:hAnsi="Bookman Old Style" w:cs="Arial"/>
        </w:rPr>
        <w:t xml:space="preserve"> </w:t>
      </w:r>
      <w:r w:rsidRPr="009C2605">
        <w:rPr>
          <w:rFonts w:ascii="Bookman Old Style" w:hAnsi="Bookman Old Style" w:cs="Arial"/>
        </w:rPr>
        <w:t>El expediente fue creado bajo el consecutivo número 20</w:t>
      </w:r>
      <w:r w:rsidR="00C47A22" w:rsidRPr="009C2605">
        <w:rPr>
          <w:rFonts w:ascii="Bookman Old Style" w:hAnsi="Bookman Old Style" w:cs="Arial"/>
        </w:rPr>
        <w:t>16-0108</w:t>
      </w:r>
      <w:r w:rsidRPr="009C2605">
        <w:rPr>
          <w:rFonts w:ascii="Bookman Old Style" w:hAnsi="Bookman Old Style" w:cs="Arial"/>
        </w:rPr>
        <w:t xml:space="preserve">. </w:t>
      </w:r>
    </w:p>
    <w:p w:rsidR="00F75483" w:rsidRPr="009C2605" w:rsidRDefault="00F75483" w:rsidP="00F75483">
      <w:pPr>
        <w:ind w:left="360"/>
        <w:jc w:val="both"/>
        <w:rPr>
          <w:rFonts w:ascii="Bookman Old Style" w:hAnsi="Bookman Old Style" w:cs="Arial"/>
        </w:rPr>
      </w:pPr>
    </w:p>
    <w:p w:rsidR="00F75483" w:rsidRPr="009C2605" w:rsidRDefault="00F75483" w:rsidP="00F75483">
      <w:pPr>
        <w:ind w:left="360"/>
        <w:jc w:val="both"/>
        <w:rPr>
          <w:rFonts w:ascii="Bookman Old Style" w:hAnsi="Bookman Old Style" w:cs="Arial"/>
        </w:rPr>
      </w:pPr>
      <w:r w:rsidRPr="009C2605">
        <w:rPr>
          <w:rFonts w:ascii="Bookman Old Style" w:hAnsi="Bookman Old Style" w:cs="Arial"/>
        </w:rPr>
        <w:t>Posteriormente, se publicó extracto con el resumen de la actuación administrativa en el Diario Oficial 49.</w:t>
      </w:r>
      <w:r w:rsidR="00C47A22" w:rsidRPr="009C2605">
        <w:rPr>
          <w:rFonts w:ascii="Bookman Old Style" w:hAnsi="Bookman Old Style" w:cs="Arial"/>
        </w:rPr>
        <w:t>837</w:t>
      </w:r>
      <w:r w:rsidRPr="009C2605">
        <w:rPr>
          <w:rFonts w:ascii="Bookman Old Style" w:hAnsi="Bookman Old Style" w:cs="Arial"/>
        </w:rPr>
        <w:t xml:space="preserve"> del </w:t>
      </w:r>
      <w:r w:rsidR="00C47A22" w:rsidRPr="009C2605">
        <w:rPr>
          <w:rFonts w:ascii="Bookman Old Style" w:hAnsi="Bookman Old Style" w:cs="Arial"/>
        </w:rPr>
        <w:t>07</w:t>
      </w:r>
      <w:r w:rsidRPr="009C2605">
        <w:rPr>
          <w:rFonts w:ascii="Bookman Old Style" w:hAnsi="Bookman Old Style" w:cs="Arial"/>
        </w:rPr>
        <w:t xml:space="preserve"> de </w:t>
      </w:r>
      <w:r w:rsidR="00C47A22" w:rsidRPr="009C2605">
        <w:rPr>
          <w:rFonts w:ascii="Bookman Old Style" w:hAnsi="Bookman Old Style" w:cs="Arial"/>
        </w:rPr>
        <w:t>abril</w:t>
      </w:r>
      <w:r w:rsidRPr="009C2605">
        <w:rPr>
          <w:rFonts w:ascii="Bookman Old Style" w:hAnsi="Bookman Old Style" w:cs="Arial"/>
        </w:rPr>
        <w:t xml:space="preserve"> de 201</w:t>
      </w:r>
      <w:r w:rsidR="00C47A22" w:rsidRPr="009C2605">
        <w:rPr>
          <w:rFonts w:ascii="Bookman Old Style" w:hAnsi="Bookman Old Style" w:cs="Arial"/>
        </w:rPr>
        <w:t>6</w:t>
      </w:r>
      <w:r w:rsidRPr="009C2605">
        <w:rPr>
          <w:rFonts w:ascii="Bookman Old Style" w:hAnsi="Bookman Old Style" w:cs="Arial"/>
        </w:rPr>
        <w:t xml:space="preserve"> y en la página web de la CREG el </w:t>
      </w:r>
      <w:r w:rsidR="00C47A22" w:rsidRPr="009C2605">
        <w:rPr>
          <w:rFonts w:ascii="Bookman Old Style" w:hAnsi="Bookman Old Style" w:cs="Arial"/>
        </w:rPr>
        <w:t>07</w:t>
      </w:r>
      <w:r w:rsidRPr="009C2605">
        <w:rPr>
          <w:rFonts w:ascii="Bookman Old Style" w:hAnsi="Bookman Old Style" w:cs="Arial"/>
        </w:rPr>
        <w:t xml:space="preserve"> de </w:t>
      </w:r>
      <w:r w:rsidR="00C47A22" w:rsidRPr="009C2605">
        <w:rPr>
          <w:rFonts w:ascii="Bookman Old Style" w:hAnsi="Bookman Old Style" w:cs="Arial"/>
        </w:rPr>
        <w:t>abril de 2016</w:t>
      </w:r>
      <w:r w:rsidRPr="009C2605">
        <w:rPr>
          <w:rFonts w:ascii="Bookman Old Style" w:hAnsi="Bookman Old Style" w:cs="Arial"/>
        </w:rPr>
        <w:t xml:space="preserve">. </w:t>
      </w:r>
    </w:p>
    <w:p w:rsidR="00F75483" w:rsidRPr="00F75483" w:rsidRDefault="00F75483" w:rsidP="00F75483">
      <w:pPr>
        <w:ind w:left="360"/>
        <w:jc w:val="both"/>
        <w:rPr>
          <w:rFonts w:ascii="Bookman Old Style" w:hAnsi="Bookman Old Style" w:cs="Arial"/>
          <w:color w:val="FF0000"/>
        </w:rPr>
      </w:pPr>
    </w:p>
    <w:p w:rsidR="00CA675F" w:rsidRPr="009C2605" w:rsidRDefault="00226AFC" w:rsidP="00F75483">
      <w:pPr>
        <w:ind w:left="360"/>
        <w:jc w:val="both"/>
        <w:rPr>
          <w:rFonts w:ascii="Bookman Old Style" w:hAnsi="Bookman Old Style" w:cs="Arial"/>
        </w:rPr>
      </w:pPr>
      <w:r>
        <w:rPr>
          <w:rFonts w:ascii="Bookman Old Style" w:hAnsi="Bookman Old Style" w:cs="Arial"/>
        </w:rPr>
        <w:t xml:space="preserve">La empresa </w:t>
      </w:r>
      <w:r w:rsidR="00F75483" w:rsidRPr="009C2605">
        <w:rPr>
          <w:rFonts w:ascii="Bookman Old Style" w:hAnsi="Bookman Old Style" w:cs="Arial"/>
        </w:rPr>
        <w:t xml:space="preserve">PROVIGAS </w:t>
      </w:r>
      <w:r w:rsidR="000F22E8">
        <w:rPr>
          <w:rFonts w:ascii="Bookman Old Style" w:hAnsi="Bookman Old Style" w:cs="Arial"/>
        </w:rPr>
        <w:t>S.A. E.S.P</w:t>
      </w:r>
      <w:r w:rsidR="00DB5F1C">
        <w:rPr>
          <w:rFonts w:ascii="Bookman Old Style" w:hAnsi="Bookman Old Style" w:cs="Arial"/>
        </w:rPr>
        <w:t xml:space="preserve"> </w:t>
      </w:r>
      <w:r w:rsidR="00F75483" w:rsidRPr="009C2605">
        <w:rPr>
          <w:rFonts w:ascii="Bookman Old Style" w:hAnsi="Bookman Old Style" w:cs="Arial"/>
        </w:rPr>
        <w:t>fue notificada sobre la apertura de la actuación administrativa, mediante c</w:t>
      </w:r>
      <w:r>
        <w:rPr>
          <w:rFonts w:ascii="Bookman Old Style" w:hAnsi="Bookman Old Style" w:cs="Arial"/>
        </w:rPr>
        <w:t>omunicación con radicado CREG S-</w:t>
      </w:r>
      <w:r w:rsidR="00F75483" w:rsidRPr="009C2605">
        <w:rPr>
          <w:rFonts w:ascii="Bookman Old Style" w:hAnsi="Bookman Old Style" w:cs="Arial"/>
        </w:rPr>
        <w:t>201</w:t>
      </w:r>
      <w:r w:rsidR="00363CDD" w:rsidRPr="009C2605">
        <w:rPr>
          <w:rFonts w:ascii="Bookman Old Style" w:hAnsi="Bookman Old Style" w:cs="Arial"/>
        </w:rPr>
        <w:t>6</w:t>
      </w:r>
      <w:r w:rsidR="00F75483" w:rsidRPr="009C2605">
        <w:rPr>
          <w:rFonts w:ascii="Bookman Old Style" w:hAnsi="Bookman Old Style" w:cs="Arial"/>
        </w:rPr>
        <w:t>-00</w:t>
      </w:r>
      <w:r w:rsidR="00363CDD" w:rsidRPr="009C2605">
        <w:rPr>
          <w:rFonts w:ascii="Bookman Old Style" w:hAnsi="Bookman Old Style" w:cs="Arial"/>
        </w:rPr>
        <w:t>2114</w:t>
      </w:r>
      <w:r w:rsidR="00F75483" w:rsidRPr="009C2605">
        <w:rPr>
          <w:rFonts w:ascii="Bookman Old Style" w:hAnsi="Bookman Old Style" w:cs="Arial"/>
        </w:rPr>
        <w:t>.</w:t>
      </w:r>
    </w:p>
    <w:p w:rsidR="00F75483" w:rsidRPr="009C2605" w:rsidRDefault="00F75483" w:rsidP="00F75483">
      <w:pPr>
        <w:ind w:left="360"/>
        <w:jc w:val="both"/>
        <w:rPr>
          <w:rFonts w:ascii="Bookman Old Style" w:hAnsi="Bookman Old Style" w:cs="Arial"/>
        </w:rPr>
      </w:pPr>
    </w:p>
    <w:p w:rsidR="00F75483" w:rsidRPr="00207DF5" w:rsidRDefault="00F75483" w:rsidP="00F75483">
      <w:pPr>
        <w:ind w:left="360"/>
        <w:jc w:val="both"/>
        <w:rPr>
          <w:rFonts w:ascii="Bookman Old Style" w:hAnsi="Bookman Old Style" w:cs="Arial"/>
        </w:rPr>
      </w:pPr>
      <w:r w:rsidRPr="00207DF5">
        <w:rPr>
          <w:rFonts w:ascii="Bookman Old Style" w:hAnsi="Bookman Old Style"/>
        </w:rPr>
        <w:t xml:space="preserve">Mediante radicado CREG </w:t>
      </w:r>
      <w:r w:rsidR="005D32E9" w:rsidRPr="00207DF5">
        <w:rPr>
          <w:rFonts w:ascii="Bookman Old Style" w:hAnsi="Bookman Old Style"/>
        </w:rPr>
        <w:t xml:space="preserve">E-2016-004604 </w:t>
      </w:r>
      <w:r w:rsidRPr="00207DF5">
        <w:rPr>
          <w:rFonts w:ascii="Bookman Old Style" w:hAnsi="Bookman Old Style" w:cs="Arial"/>
        </w:rPr>
        <w:t>la empresa PROVIGAS</w:t>
      </w:r>
      <w:r w:rsidR="00226AFC">
        <w:rPr>
          <w:rFonts w:ascii="Bookman Old Style" w:hAnsi="Bookman Old Style" w:cs="Arial"/>
        </w:rPr>
        <w:t xml:space="preserve"> S.A. E.S.P</w:t>
      </w:r>
      <w:r w:rsidRPr="00207DF5">
        <w:rPr>
          <w:rFonts w:ascii="Bookman Old Style" w:hAnsi="Bookman Old Style" w:cs="Arial"/>
        </w:rPr>
        <w:t xml:space="preserve"> presentó los sopo</w:t>
      </w:r>
      <w:r w:rsidR="00207DF5" w:rsidRPr="00207DF5">
        <w:rPr>
          <w:rFonts w:ascii="Bookman Old Style" w:hAnsi="Bookman Old Style" w:cs="Arial"/>
        </w:rPr>
        <w:t xml:space="preserve">rtes de su solicitud, allegando la información relacionada con </w:t>
      </w:r>
      <w:r w:rsidR="005D32E9" w:rsidRPr="00207DF5">
        <w:rPr>
          <w:rFonts w:ascii="Bookman Old Style" w:hAnsi="Bookman Old Style"/>
        </w:rPr>
        <w:t>los costos de las inversiones y los costos de administración, operación y mantenimiento incurridos para el cumplimiento del reglamento técnico de almacenamiento establecido mediante la Resolución 180693 de 2011 del Ministerio de Minas y Energía</w:t>
      </w:r>
      <w:r w:rsidRPr="00207DF5">
        <w:rPr>
          <w:rFonts w:ascii="Bookman Old Style" w:hAnsi="Bookman Old Style" w:cs="Arial"/>
        </w:rPr>
        <w:t xml:space="preserve">. </w:t>
      </w:r>
    </w:p>
    <w:p w:rsidR="00F75483" w:rsidRDefault="00F75483" w:rsidP="00F75483">
      <w:pPr>
        <w:ind w:left="360"/>
        <w:jc w:val="both"/>
        <w:rPr>
          <w:rFonts w:ascii="Bookman Old Style" w:hAnsi="Bookman Old Style" w:cs="Arial"/>
          <w:color w:val="FF0000"/>
        </w:rPr>
      </w:pPr>
    </w:p>
    <w:p w:rsidR="008E6AA4" w:rsidRDefault="008E6AA4" w:rsidP="006C4F38">
      <w:pPr>
        <w:ind w:left="360" w:right="142"/>
        <w:jc w:val="both"/>
        <w:rPr>
          <w:rFonts w:ascii="Bookman Old Style" w:hAnsi="Bookman Old Style"/>
        </w:rPr>
      </w:pPr>
      <w:r>
        <w:rPr>
          <w:rFonts w:ascii="Bookman Old Style" w:hAnsi="Bookman Old Style"/>
        </w:rPr>
        <w:t xml:space="preserve">Una vez revisado el contenido de la información remitida por la empresa, se observó que faltaban algunos soportes de la información aportada, para concluir el análisis sobre la solicitud de revisión tarifaria en cuestión. </w:t>
      </w:r>
    </w:p>
    <w:p w:rsidR="008E6AA4" w:rsidRDefault="008E6AA4" w:rsidP="006C4F38">
      <w:pPr>
        <w:ind w:left="360" w:right="142"/>
        <w:jc w:val="both"/>
        <w:rPr>
          <w:rFonts w:ascii="Bookman Old Style" w:hAnsi="Bookman Old Style"/>
        </w:rPr>
      </w:pPr>
    </w:p>
    <w:p w:rsidR="008E6AA4" w:rsidRDefault="008E6AA4" w:rsidP="006C4F38">
      <w:pPr>
        <w:ind w:left="360" w:right="142"/>
        <w:jc w:val="both"/>
        <w:rPr>
          <w:rFonts w:ascii="Bookman Old Style" w:hAnsi="Bookman Old Style"/>
        </w:rPr>
      </w:pPr>
      <w:r>
        <w:rPr>
          <w:rFonts w:ascii="Bookman Old Style" w:hAnsi="Bookman Old Style"/>
        </w:rPr>
        <w:t xml:space="preserve">Por tal razón, y considerando lo previsto en </w:t>
      </w:r>
      <w:r w:rsidRPr="00197E87">
        <w:rPr>
          <w:rFonts w:ascii="Bookman Old Style" w:hAnsi="Bookman Old Style"/>
        </w:rPr>
        <w:t xml:space="preserve">el </w:t>
      </w:r>
      <w:r w:rsidRPr="008E6AA4">
        <w:rPr>
          <w:rFonts w:ascii="Bookman Old Style" w:hAnsi="Bookman Old Style"/>
        </w:rPr>
        <w:t>artículo 17º</w:t>
      </w:r>
      <w:r w:rsidRPr="002767D1">
        <w:rPr>
          <w:rFonts w:ascii="Bookman Old Style" w:hAnsi="Bookman Old Style"/>
        </w:rPr>
        <w:t xml:space="preserve"> del Código de Procedimiento Administrativo y de lo Contencioso Administrativo</w:t>
      </w:r>
      <w:r>
        <w:rPr>
          <w:rFonts w:ascii="Bookman Old Style" w:hAnsi="Bookman Old Style"/>
        </w:rPr>
        <w:t xml:space="preserve">, mediante comunicación con radicado </w:t>
      </w:r>
      <w:r w:rsidRPr="00DC4F33">
        <w:rPr>
          <w:rFonts w:ascii="Bookman Old Style" w:hAnsi="Bookman Old Style"/>
        </w:rPr>
        <w:t>CREG S-2016-</w:t>
      </w:r>
      <w:r w:rsidR="009C2605" w:rsidRPr="00DC4F33">
        <w:rPr>
          <w:rFonts w:ascii="Bookman Old Style" w:hAnsi="Bookman Old Style"/>
        </w:rPr>
        <w:t>002860</w:t>
      </w:r>
      <w:r>
        <w:rPr>
          <w:rFonts w:ascii="Bookman Old Style" w:hAnsi="Bookman Old Style"/>
        </w:rPr>
        <w:t xml:space="preserve"> se procedió a solicitarle a la empresa que allegara los soportes de información faltante dentro del término de 10 días siguientes al recibo de la comunicación.  </w:t>
      </w:r>
    </w:p>
    <w:p w:rsidR="008E6AA4" w:rsidRDefault="008E6AA4" w:rsidP="006C4F38">
      <w:pPr>
        <w:ind w:left="360" w:right="142"/>
        <w:jc w:val="both"/>
        <w:rPr>
          <w:rFonts w:ascii="Bookman Old Style" w:hAnsi="Bookman Old Style"/>
        </w:rPr>
      </w:pPr>
    </w:p>
    <w:p w:rsidR="00DC4F33" w:rsidRDefault="00DC4F33" w:rsidP="006C4F38">
      <w:pPr>
        <w:ind w:left="360" w:right="142"/>
        <w:jc w:val="both"/>
        <w:rPr>
          <w:rFonts w:ascii="Bookman Old Style" w:hAnsi="Bookman Old Style"/>
        </w:rPr>
      </w:pPr>
      <w:r>
        <w:rPr>
          <w:rFonts w:ascii="Bookman Old Style" w:hAnsi="Bookman Old Style"/>
        </w:rPr>
        <w:t>Mediante radicado CREG</w:t>
      </w:r>
      <w:r w:rsidR="00CE2F54">
        <w:rPr>
          <w:rFonts w:ascii="Bookman Old Style" w:hAnsi="Bookman Old Style"/>
        </w:rPr>
        <w:t xml:space="preserve"> </w:t>
      </w:r>
      <w:r>
        <w:rPr>
          <w:rFonts w:ascii="Bookman Old Style" w:hAnsi="Bookman Old Style"/>
        </w:rPr>
        <w:t xml:space="preserve">E-2016-005694 la </w:t>
      </w:r>
      <w:r w:rsidR="00847D65">
        <w:rPr>
          <w:rFonts w:ascii="Bookman Old Style" w:hAnsi="Bookman Old Style"/>
        </w:rPr>
        <w:t xml:space="preserve">empresa </w:t>
      </w:r>
      <w:r>
        <w:rPr>
          <w:rFonts w:ascii="Bookman Old Style" w:hAnsi="Bookman Old Style"/>
        </w:rPr>
        <w:t>allegó las certificaciones de las publicaciones realizadas del aviso 73, resumen de inicio de la actuaci</w:t>
      </w:r>
      <w:r w:rsidR="000462CC">
        <w:rPr>
          <w:rFonts w:ascii="Bookman Old Style" w:hAnsi="Bookman Old Style"/>
        </w:rPr>
        <w:t xml:space="preserve">ón administrativa. </w:t>
      </w:r>
    </w:p>
    <w:p w:rsidR="00DC4F33" w:rsidRPr="009C2605" w:rsidRDefault="00DC4F33" w:rsidP="006C4F38">
      <w:pPr>
        <w:ind w:left="360" w:right="142"/>
        <w:jc w:val="both"/>
        <w:rPr>
          <w:rFonts w:ascii="Bookman Old Style" w:hAnsi="Bookman Old Style"/>
        </w:rPr>
      </w:pPr>
    </w:p>
    <w:p w:rsidR="00F75483" w:rsidRDefault="00D860C9" w:rsidP="006C4F38">
      <w:pPr>
        <w:ind w:left="360" w:right="142"/>
        <w:jc w:val="both"/>
        <w:rPr>
          <w:rFonts w:ascii="Bookman Old Style" w:hAnsi="Bookman Old Style" w:cs="Arial"/>
        </w:rPr>
      </w:pPr>
      <w:r w:rsidRPr="009C2605">
        <w:rPr>
          <w:rFonts w:ascii="Bookman Old Style" w:hAnsi="Bookman Old Style" w:cs="Arial"/>
        </w:rPr>
        <w:t>En el curso de la actuación administrativa no se recibieron solicitudes por parte de usuarios o terceros interesados en hacerse parte en el proceso.</w:t>
      </w:r>
    </w:p>
    <w:p w:rsidR="00646AFE" w:rsidRPr="009C2605" w:rsidRDefault="00646AFE" w:rsidP="006C4F38">
      <w:pPr>
        <w:ind w:left="360" w:right="142"/>
        <w:jc w:val="both"/>
        <w:rPr>
          <w:rFonts w:ascii="Bookman Old Style" w:hAnsi="Bookman Old Style" w:cs="Arial"/>
        </w:rPr>
      </w:pPr>
    </w:p>
    <w:p w:rsidR="00F75483" w:rsidRDefault="00DC4F33" w:rsidP="006C4F38">
      <w:pPr>
        <w:ind w:left="360" w:right="142"/>
        <w:jc w:val="both"/>
        <w:rPr>
          <w:rFonts w:ascii="Bookman Old Style" w:hAnsi="Bookman Old Style" w:cs="Arial"/>
        </w:rPr>
      </w:pPr>
      <w:r w:rsidRPr="006C4F38">
        <w:rPr>
          <w:rFonts w:ascii="Bookman Old Style" w:hAnsi="Bookman Old Style" w:cs="Arial"/>
        </w:rPr>
        <w:t xml:space="preserve">Se procedió a realizar el análisis </w:t>
      </w:r>
      <w:r w:rsidR="000462CC" w:rsidRPr="006C4F38">
        <w:rPr>
          <w:rFonts w:ascii="Bookman Old Style" w:hAnsi="Bookman Old Style" w:cs="Arial"/>
        </w:rPr>
        <w:t>técnico de la solicitud presentada con la mejor información disponible.</w:t>
      </w:r>
    </w:p>
    <w:p w:rsidR="007C3B04" w:rsidRPr="00F75483" w:rsidRDefault="007C3B04" w:rsidP="00F75483">
      <w:pPr>
        <w:ind w:left="360"/>
        <w:jc w:val="both"/>
        <w:rPr>
          <w:rFonts w:ascii="Bookman Old Style" w:hAnsi="Bookman Old Style" w:cs="Arial"/>
        </w:rPr>
      </w:pPr>
    </w:p>
    <w:p w:rsidR="00CA675F" w:rsidRPr="00367078" w:rsidRDefault="00CA675F" w:rsidP="00650209">
      <w:pPr>
        <w:pStyle w:val="Ttulo1"/>
        <w:numPr>
          <w:ilvl w:val="0"/>
          <w:numId w:val="45"/>
        </w:numPr>
        <w:jc w:val="left"/>
        <w:rPr>
          <w:rFonts w:ascii="Bookman Old Style" w:hAnsi="Bookman Old Style"/>
          <w:szCs w:val="24"/>
        </w:rPr>
      </w:pPr>
      <w:r w:rsidRPr="00367078">
        <w:rPr>
          <w:rFonts w:ascii="Bookman Old Style" w:hAnsi="Bookman Old Style"/>
          <w:szCs w:val="24"/>
        </w:rPr>
        <w:t>ANÁLISIS DE LA SOLICITUD</w:t>
      </w:r>
    </w:p>
    <w:p w:rsidR="00CA675F" w:rsidRPr="00FD4113" w:rsidRDefault="00CA675F" w:rsidP="004C4C34">
      <w:pPr>
        <w:ind w:left="0"/>
        <w:contextualSpacing/>
        <w:jc w:val="both"/>
        <w:rPr>
          <w:rFonts w:ascii="Bookman Old Style" w:hAnsi="Bookman Old Style"/>
        </w:rPr>
      </w:pPr>
    </w:p>
    <w:p w:rsidR="00CA675F" w:rsidRDefault="000F22E8" w:rsidP="00F75483">
      <w:pPr>
        <w:ind w:left="360"/>
        <w:contextualSpacing/>
        <w:jc w:val="both"/>
        <w:rPr>
          <w:rFonts w:ascii="Bookman Old Style" w:hAnsi="Bookman Old Style" w:cs="Arial"/>
        </w:rPr>
      </w:pPr>
      <w:r>
        <w:rPr>
          <w:rFonts w:ascii="Bookman Old Style" w:hAnsi="Bookman Old Style" w:cs="Arial"/>
        </w:rPr>
        <w:t>La empresa PROVIGAS S.A. E.S.P</w:t>
      </w:r>
      <w:r w:rsidR="0001653E" w:rsidRPr="00CA675F">
        <w:rPr>
          <w:rFonts w:ascii="Bookman Old Style" w:hAnsi="Bookman Old Style" w:cs="Arial"/>
        </w:rPr>
        <w:t xml:space="preserve">, mediante </w:t>
      </w:r>
      <w:r w:rsidR="0001653E">
        <w:rPr>
          <w:rFonts w:ascii="Bookman Old Style" w:hAnsi="Bookman Old Style" w:cs="Arial"/>
        </w:rPr>
        <w:t>la comunicación escrita radicada con el número E-2016-002915 manif</w:t>
      </w:r>
      <w:r w:rsidR="0001653E" w:rsidRPr="00CA675F">
        <w:rPr>
          <w:rFonts w:ascii="Bookman Old Style" w:hAnsi="Bookman Old Style" w:cs="Arial"/>
        </w:rPr>
        <w:t>estó</w:t>
      </w:r>
      <w:r w:rsidR="0001653E">
        <w:rPr>
          <w:rFonts w:ascii="Bookman Old Style" w:hAnsi="Bookman Old Style" w:cs="Arial"/>
        </w:rPr>
        <w:t xml:space="preserve">: </w:t>
      </w:r>
    </w:p>
    <w:p w:rsidR="0001653E" w:rsidRDefault="0001653E" w:rsidP="00C4407F">
      <w:pPr>
        <w:ind w:left="0" w:right="851"/>
        <w:contextualSpacing/>
        <w:jc w:val="both"/>
        <w:rPr>
          <w:rFonts w:ascii="Bookman Old Style" w:hAnsi="Bookman Old Style"/>
        </w:rPr>
      </w:pPr>
    </w:p>
    <w:p w:rsidR="0001653E" w:rsidRDefault="0001653E" w:rsidP="00C4407F">
      <w:pPr>
        <w:ind w:left="708" w:right="851"/>
        <w:jc w:val="both"/>
        <w:rPr>
          <w:rFonts w:ascii="Bookman Old Style" w:hAnsi="Bookman Old Style" w:cs="Arial"/>
          <w:noProof/>
          <w:lang w:eastAsia="es-CO"/>
        </w:rPr>
      </w:pPr>
      <w:r w:rsidRPr="0001653E">
        <w:rPr>
          <w:rFonts w:ascii="Bookman Old Style" w:hAnsi="Bookman Old Style" w:cs="Arial"/>
          <w:noProof/>
          <w:lang w:eastAsia="es-CO"/>
        </w:rPr>
        <w:t>“</w:t>
      </w:r>
      <w:r w:rsidRPr="0001653E">
        <w:rPr>
          <w:rFonts w:ascii="Bookman Old Style" w:hAnsi="Bookman Old Style" w:cs="Arial"/>
          <w:i/>
          <w:noProof/>
          <w:lang w:eastAsia="es-CO"/>
        </w:rPr>
        <w:t>los cargos aprobados por la Resolución CREG 049  de 2011, no reconocen, ni remuneran el total de la inversión requerida por la normatividad posterior a la Resolución CREG 050 de 2009, especialmente por la Resolución 180395 de 2010, expedida por el Ministerio de Minas y Energía “Por la cual se expide el Reglamento Técnico para el almacenamiento utilizado en la prestación del servicio público domiciliario de gas licuado de petróleo- GLP- en el archipiélago de San Andrés , Providencia y Santa Catalina</w:t>
      </w:r>
      <w:r w:rsidRPr="0001653E">
        <w:rPr>
          <w:rFonts w:ascii="Bookman Old Style" w:hAnsi="Bookman Old Style" w:cs="Arial"/>
          <w:noProof/>
          <w:lang w:eastAsia="es-CO"/>
        </w:rPr>
        <w:t xml:space="preserve">” (…) Por lo expuesto , manifestamos nuestra preocupación , por las medidas adoptadas, con las cuales inevitablemente se ve afectada PROVIGAS S.A E.S.P , en su capacidad financiera; lo que en el corto plazo impide continuar con la prestación del servicio de GLP en la isla de San Andrés. </w:t>
      </w:r>
    </w:p>
    <w:p w:rsidR="0001653E" w:rsidRPr="0001653E" w:rsidRDefault="0001653E" w:rsidP="00C4407F">
      <w:pPr>
        <w:ind w:left="708" w:right="851"/>
        <w:jc w:val="both"/>
        <w:rPr>
          <w:rFonts w:ascii="Bookman Old Style" w:hAnsi="Bookman Old Style" w:cs="Arial"/>
          <w:noProof/>
          <w:lang w:eastAsia="es-CO"/>
        </w:rPr>
      </w:pPr>
    </w:p>
    <w:p w:rsidR="0001653E" w:rsidRPr="0001653E" w:rsidRDefault="0001653E" w:rsidP="00C4407F">
      <w:pPr>
        <w:ind w:left="708" w:right="851"/>
        <w:jc w:val="both"/>
        <w:rPr>
          <w:rFonts w:ascii="Bookman Old Style" w:hAnsi="Bookman Old Style" w:cs="Arial"/>
          <w:noProof/>
          <w:lang w:eastAsia="es-CO"/>
        </w:rPr>
      </w:pPr>
      <w:r w:rsidRPr="0001653E">
        <w:rPr>
          <w:rFonts w:ascii="Bookman Old Style" w:hAnsi="Bookman Old Style" w:cs="Arial"/>
          <w:i/>
          <w:noProof/>
          <w:lang w:eastAsia="es-CO"/>
        </w:rPr>
        <w:t>Finalmente, en nuestra calidad, no solo de prestador, sino de usuario y ciudadano de las islas, dejamos claro nuestra disponibilidad para revisar y adoptar las medidas necesarias para evitar esta crisis inminente, producto de la nueva regulación, siempre y  cuando no se siga afectando de manera imperativa la suficiencia económica de la empresa</w:t>
      </w:r>
      <w:r w:rsidRPr="0001653E">
        <w:rPr>
          <w:rFonts w:ascii="Bookman Old Style" w:hAnsi="Bookman Old Style" w:cs="Arial"/>
          <w:noProof/>
          <w:lang w:eastAsia="es-CO"/>
        </w:rPr>
        <w:t>.</w:t>
      </w:r>
    </w:p>
    <w:p w:rsidR="0001653E" w:rsidRPr="0001653E" w:rsidRDefault="0001653E" w:rsidP="00C4407F">
      <w:pPr>
        <w:ind w:left="708" w:right="851"/>
        <w:jc w:val="both"/>
        <w:rPr>
          <w:rFonts w:ascii="Bookman Old Style" w:hAnsi="Bookman Old Style" w:cs="Arial"/>
          <w:noProof/>
          <w:lang w:eastAsia="es-CO"/>
        </w:rPr>
      </w:pPr>
    </w:p>
    <w:p w:rsidR="0001653E" w:rsidRPr="0001653E" w:rsidRDefault="0001653E" w:rsidP="00C4407F">
      <w:pPr>
        <w:ind w:left="708" w:right="851"/>
        <w:jc w:val="both"/>
        <w:rPr>
          <w:rFonts w:ascii="Bookman Old Style" w:hAnsi="Bookman Old Style" w:cs="Arial"/>
          <w:noProof/>
          <w:lang w:eastAsia="es-CO"/>
        </w:rPr>
      </w:pPr>
      <w:r w:rsidRPr="0001653E">
        <w:rPr>
          <w:rFonts w:ascii="Bookman Old Style" w:hAnsi="Bookman Old Style" w:cs="Arial"/>
          <w:noProof/>
          <w:lang w:eastAsia="es-CO"/>
        </w:rPr>
        <w:t>(…)</w:t>
      </w:r>
    </w:p>
    <w:p w:rsidR="0001653E" w:rsidRPr="0001653E" w:rsidRDefault="0001653E" w:rsidP="00C4407F">
      <w:pPr>
        <w:ind w:left="708" w:right="851"/>
        <w:jc w:val="both"/>
        <w:rPr>
          <w:rFonts w:ascii="Bookman Old Style" w:hAnsi="Bookman Old Style" w:cs="Arial"/>
          <w:noProof/>
          <w:lang w:eastAsia="es-CO"/>
        </w:rPr>
      </w:pPr>
    </w:p>
    <w:p w:rsidR="0001653E" w:rsidRPr="0001653E" w:rsidRDefault="0001653E" w:rsidP="00C4407F">
      <w:pPr>
        <w:autoSpaceDE w:val="0"/>
        <w:autoSpaceDN w:val="0"/>
        <w:adjustRightInd w:val="0"/>
        <w:ind w:left="708" w:right="851"/>
        <w:jc w:val="both"/>
        <w:rPr>
          <w:rFonts w:ascii="Bookman Old Style" w:hAnsi="Bookman Old Style" w:cs="Arial"/>
          <w:bCs/>
          <w:i/>
          <w:iCs/>
          <w:lang w:val="es-CO"/>
        </w:rPr>
      </w:pPr>
      <w:r w:rsidRPr="0001653E">
        <w:rPr>
          <w:rFonts w:ascii="Bookman Old Style" w:hAnsi="Bookman Old Style" w:cs="Arial"/>
          <w:i/>
          <w:lang w:val="es-CO"/>
        </w:rPr>
        <w:t xml:space="preserve">Por lo expuesto, manifestamos nuestra preocupación, por las medidas adoptadas, con las cuales inevitablemente se ve afectada PROVIGAS S.A.E.S.P., en su capacidad financiera; lo que en el corto plazo </w:t>
      </w:r>
      <w:r w:rsidRPr="0001653E">
        <w:rPr>
          <w:rFonts w:ascii="Bookman Old Style" w:hAnsi="Bookman Old Style" w:cs="Arial"/>
          <w:bCs/>
          <w:i/>
          <w:iCs/>
          <w:lang w:val="es-CO"/>
        </w:rPr>
        <w:t>impide continuar con la prestación del servicio de GLP en la isla de San Andrés”.</w:t>
      </w:r>
    </w:p>
    <w:p w:rsidR="0001653E" w:rsidRDefault="0001653E" w:rsidP="004C4C34">
      <w:pPr>
        <w:ind w:left="0"/>
        <w:contextualSpacing/>
        <w:jc w:val="both"/>
        <w:rPr>
          <w:rFonts w:ascii="Bookman Old Style" w:hAnsi="Bookman Old Style"/>
        </w:rPr>
      </w:pPr>
    </w:p>
    <w:p w:rsidR="00B07E78" w:rsidRDefault="00B07E78" w:rsidP="004C4C34">
      <w:pPr>
        <w:ind w:left="0"/>
        <w:contextualSpacing/>
        <w:jc w:val="both"/>
        <w:rPr>
          <w:rFonts w:ascii="Bookman Old Style" w:hAnsi="Bookman Old Style"/>
        </w:rPr>
      </w:pPr>
      <w:r>
        <w:rPr>
          <w:rFonts w:ascii="Bookman Old Style" w:hAnsi="Bookman Old Style"/>
        </w:rPr>
        <w:t xml:space="preserve">Mediante </w:t>
      </w:r>
      <w:r w:rsidR="0001653E">
        <w:rPr>
          <w:rFonts w:ascii="Bookman Old Style" w:hAnsi="Bookman Old Style"/>
        </w:rPr>
        <w:t>la comunicación escrita radicada con el número E-2016-004604 la empresa Provigas S.A. E.S.</w:t>
      </w:r>
      <w:r w:rsidR="00226AFC">
        <w:rPr>
          <w:rFonts w:ascii="Bookman Old Style" w:hAnsi="Bookman Old Style"/>
        </w:rPr>
        <w:t>P</w:t>
      </w:r>
      <w:r w:rsidR="0001653E">
        <w:rPr>
          <w:rFonts w:ascii="Bookman Old Style" w:hAnsi="Bookman Old Style"/>
        </w:rPr>
        <w:t>, envía el análisis de los costos de las inversiones y los costos de administración, operación y mantenimiento incur</w:t>
      </w:r>
      <w:r>
        <w:rPr>
          <w:rFonts w:ascii="Bookman Old Style" w:hAnsi="Bookman Old Style"/>
        </w:rPr>
        <w:t>ridos para el cumplimiento del reglamento técnico de almacenamiento establecido mediante la Resolución 180693 de 2011 del Ministerio de Mi</w:t>
      </w:r>
      <w:r w:rsidR="000F22E8">
        <w:rPr>
          <w:rFonts w:ascii="Bookman Old Style" w:hAnsi="Bookman Old Style"/>
        </w:rPr>
        <w:t>nas y Energía. En dicha comunicación</w:t>
      </w:r>
      <w:r>
        <w:rPr>
          <w:rFonts w:ascii="Bookman Old Style" w:hAnsi="Bookman Old Style"/>
        </w:rPr>
        <w:t xml:space="preserve"> la empresa aclara que las inversiones están ejecutadas en su totalidad y la planta se encuentra en operación. </w:t>
      </w:r>
    </w:p>
    <w:p w:rsidR="00B07E78" w:rsidRDefault="00B07E78" w:rsidP="004C4C34">
      <w:pPr>
        <w:ind w:left="0"/>
        <w:contextualSpacing/>
        <w:jc w:val="both"/>
        <w:rPr>
          <w:rFonts w:ascii="Bookman Old Style" w:hAnsi="Bookman Old Style"/>
        </w:rPr>
      </w:pPr>
    </w:p>
    <w:p w:rsidR="00650209" w:rsidRDefault="00F60399" w:rsidP="004C4C34">
      <w:pPr>
        <w:ind w:left="0"/>
        <w:contextualSpacing/>
        <w:jc w:val="both"/>
        <w:rPr>
          <w:rFonts w:ascii="Bookman Old Style" w:hAnsi="Bookman Old Style"/>
        </w:rPr>
      </w:pPr>
      <w:r>
        <w:rPr>
          <w:rFonts w:ascii="Bookman Old Style" w:hAnsi="Bookman Old Style"/>
        </w:rPr>
        <w:t>E</w:t>
      </w:r>
      <w:r w:rsidR="00650209">
        <w:rPr>
          <w:rFonts w:ascii="Bookman Old Style" w:hAnsi="Bookman Old Style"/>
        </w:rPr>
        <w:t xml:space="preserve">l artículo 3 </w:t>
      </w:r>
      <w:r>
        <w:rPr>
          <w:rFonts w:ascii="Bookman Old Style" w:hAnsi="Bookman Old Style"/>
        </w:rPr>
        <w:t xml:space="preserve">de la Resolución CREG 050 de 2009 </w:t>
      </w:r>
      <w:r w:rsidR="00650209">
        <w:rPr>
          <w:rFonts w:ascii="Bookman Old Style" w:hAnsi="Bookman Old Style"/>
        </w:rPr>
        <w:t xml:space="preserve">establece las obligaciones del transportador de GLP al mercado de San Andrés dentro de las cuales se encuentra: </w:t>
      </w:r>
    </w:p>
    <w:p w:rsidR="00650209" w:rsidRDefault="00650209" w:rsidP="004C4C34">
      <w:pPr>
        <w:ind w:left="0"/>
        <w:contextualSpacing/>
        <w:jc w:val="both"/>
        <w:rPr>
          <w:rFonts w:ascii="Bookman Old Style" w:hAnsi="Bookman Old Style"/>
        </w:rPr>
      </w:pPr>
    </w:p>
    <w:p w:rsidR="00650209" w:rsidRDefault="00650209" w:rsidP="00650209">
      <w:pPr>
        <w:ind w:left="709"/>
        <w:contextualSpacing/>
        <w:jc w:val="both"/>
        <w:rPr>
          <w:rFonts w:ascii="Bookman Old Style" w:hAnsi="Bookman Old Style"/>
          <w:i/>
        </w:rPr>
      </w:pPr>
      <w:r w:rsidRPr="00650209">
        <w:rPr>
          <w:rFonts w:ascii="Bookman Old Style" w:hAnsi="Bookman Old Style"/>
          <w:i/>
        </w:rPr>
        <w:t>“</w:t>
      </w:r>
      <w:r>
        <w:rPr>
          <w:rFonts w:ascii="Bookman Old Style" w:hAnsi="Bookman Old Style"/>
          <w:i/>
        </w:rPr>
        <w:t>(…)</w:t>
      </w:r>
    </w:p>
    <w:p w:rsidR="00650209" w:rsidRPr="00650209" w:rsidRDefault="00650209" w:rsidP="00650209">
      <w:pPr>
        <w:ind w:left="709"/>
        <w:contextualSpacing/>
        <w:jc w:val="both"/>
        <w:rPr>
          <w:rFonts w:ascii="Bookman Old Style" w:hAnsi="Bookman Old Style"/>
          <w:i/>
        </w:rPr>
      </w:pPr>
      <w:r w:rsidRPr="00650209">
        <w:rPr>
          <w:rFonts w:ascii="Bookman Old Style" w:hAnsi="Bookman Old Style"/>
          <w:i/>
        </w:rPr>
        <w:t>Mantener en almacenamiento, un mínimo de disponibilidad del producto de una semana y una capacidad de almacenamiento de tres semanas para garantizar la prestación del servicio.”</w:t>
      </w:r>
    </w:p>
    <w:p w:rsidR="00650209" w:rsidRDefault="00650209" w:rsidP="004C4C34">
      <w:pPr>
        <w:ind w:left="0"/>
        <w:contextualSpacing/>
        <w:jc w:val="both"/>
        <w:rPr>
          <w:rFonts w:ascii="Bookman Old Style" w:hAnsi="Bookman Old Style"/>
        </w:rPr>
      </w:pPr>
    </w:p>
    <w:p w:rsidR="00770037" w:rsidRDefault="00770037" w:rsidP="004C4C34">
      <w:pPr>
        <w:ind w:left="0"/>
        <w:contextualSpacing/>
        <w:jc w:val="both"/>
        <w:rPr>
          <w:rFonts w:ascii="Bookman Old Style" w:hAnsi="Bookman Old Style"/>
        </w:rPr>
      </w:pPr>
      <w:r>
        <w:rPr>
          <w:rFonts w:ascii="Bookman Old Style" w:hAnsi="Bookman Old Style"/>
        </w:rPr>
        <w:t xml:space="preserve">Adicionalmente, la Resolución 180693 de 2011 del Ministerio de Minas y Energía, </w:t>
      </w:r>
      <w:r w:rsidR="000A6DB4">
        <w:rPr>
          <w:rFonts w:ascii="Bookman Old Style" w:hAnsi="Bookman Old Style"/>
        </w:rPr>
        <w:t xml:space="preserve">dentro de los requisitos técnicos </w:t>
      </w:r>
      <w:r w:rsidR="00F60399">
        <w:rPr>
          <w:rFonts w:ascii="Bookman Old Style" w:hAnsi="Bookman Old Style"/>
        </w:rPr>
        <w:t>señala</w:t>
      </w:r>
      <w:r w:rsidR="000A6DB4">
        <w:rPr>
          <w:rFonts w:ascii="Bookman Old Style" w:hAnsi="Bookman Old Style"/>
        </w:rPr>
        <w:t xml:space="preserve"> </w:t>
      </w:r>
      <w:r w:rsidR="00F60399">
        <w:rPr>
          <w:rFonts w:ascii="Bookman Old Style" w:hAnsi="Bookman Old Style"/>
        </w:rPr>
        <w:t>lo siguiente</w:t>
      </w:r>
      <w:r w:rsidR="000A6DB4">
        <w:rPr>
          <w:rFonts w:ascii="Bookman Old Style" w:hAnsi="Bookman Old Style"/>
        </w:rPr>
        <w:t xml:space="preserve">: </w:t>
      </w:r>
    </w:p>
    <w:p w:rsidR="000A6DB4" w:rsidRDefault="000A6DB4" w:rsidP="004C4C34">
      <w:pPr>
        <w:ind w:left="0"/>
        <w:contextualSpacing/>
        <w:jc w:val="both"/>
        <w:rPr>
          <w:rFonts w:ascii="Bookman Old Style" w:hAnsi="Bookman Old Style"/>
        </w:rPr>
      </w:pPr>
    </w:p>
    <w:p w:rsidR="000A6DB4" w:rsidRPr="000A6DB4" w:rsidRDefault="000A6DB4" w:rsidP="000A6DB4">
      <w:pPr>
        <w:contextualSpacing/>
        <w:jc w:val="both"/>
        <w:rPr>
          <w:rFonts w:ascii="Bookman Old Style" w:hAnsi="Bookman Old Style"/>
          <w:i/>
        </w:rPr>
      </w:pPr>
      <w:r w:rsidRPr="000A6DB4">
        <w:rPr>
          <w:rFonts w:ascii="Bookman Old Style" w:hAnsi="Bookman Old Style"/>
          <w:i/>
        </w:rPr>
        <w:t xml:space="preserve">“(...) </w:t>
      </w:r>
    </w:p>
    <w:p w:rsidR="000A6DB4" w:rsidRPr="000A6DB4" w:rsidRDefault="000A6DB4" w:rsidP="000A6DB4">
      <w:pPr>
        <w:contextualSpacing/>
        <w:jc w:val="both"/>
        <w:rPr>
          <w:rFonts w:ascii="Bookman Old Style" w:hAnsi="Bookman Old Style"/>
          <w:b/>
          <w:i/>
        </w:rPr>
      </w:pPr>
      <w:r w:rsidRPr="000A6DB4">
        <w:rPr>
          <w:rFonts w:ascii="Bookman Old Style" w:hAnsi="Bookman Old Style"/>
          <w:b/>
          <w:i/>
        </w:rPr>
        <w:t>Obligaciones generales</w:t>
      </w:r>
    </w:p>
    <w:p w:rsidR="000A6DB4" w:rsidRDefault="000A6DB4" w:rsidP="000A6DB4">
      <w:pPr>
        <w:pStyle w:val="Prrafodelista"/>
        <w:numPr>
          <w:ilvl w:val="0"/>
          <w:numId w:val="46"/>
        </w:numPr>
        <w:contextualSpacing/>
        <w:jc w:val="both"/>
        <w:rPr>
          <w:rFonts w:ascii="Bookman Old Style" w:hAnsi="Bookman Old Style"/>
          <w:i/>
          <w:sz w:val="24"/>
          <w:szCs w:val="24"/>
        </w:rPr>
      </w:pPr>
      <w:r w:rsidRPr="000A6DB4">
        <w:rPr>
          <w:rFonts w:ascii="Bookman Old Style" w:hAnsi="Bookman Old Style"/>
          <w:i/>
          <w:sz w:val="24"/>
          <w:szCs w:val="24"/>
        </w:rPr>
        <w:t xml:space="preserve">El transportador de GLP al Archipiélago de San Andrés, Providencia y Santa Catalina será el responsable por la operación y mantenimiento del Almacenamiento de Respaldo de la Demanda. </w:t>
      </w:r>
    </w:p>
    <w:p w:rsidR="000A6DB4" w:rsidRPr="000A6DB4" w:rsidRDefault="000A6DB4" w:rsidP="000A6DB4">
      <w:pPr>
        <w:pStyle w:val="Prrafodelista"/>
        <w:ind w:left="1287"/>
        <w:contextualSpacing/>
        <w:jc w:val="both"/>
        <w:rPr>
          <w:rFonts w:ascii="Bookman Old Style" w:hAnsi="Bookman Old Style"/>
          <w:i/>
          <w:sz w:val="24"/>
          <w:szCs w:val="24"/>
        </w:rPr>
      </w:pPr>
    </w:p>
    <w:p w:rsidR="000A6DB4" w:rsidRPr="000A6DB4" w:rsidRDefault="000A6DB4" w:rsidP="000A6DB4">
      <w:pPr>
        <w:pStyle w:val="Prrafodelista"/>
        <w:numPr>
          <w:ilvl w:val="0"/>
          <w:numId w:val="46"/>
        </w:numPr>
        <w:contextualSpacing/>
        <w:jc w:val="both"/>
        <w:rPr>
          <w:rFonts w:ascii="Bookman Old Style" w:hAnsi="Bookman Old Style"/>
          <w:i/>
          <w:sz w:val="24"/>
          <w:szCs w:val="24"/>
        </w:rPr>
      </w:pPr>
      <w:r w:rsidRPr="000A6DB4">
        <w:rPr>
          <w:rFonts w:ascii="Bookman Old Style" w:hAnsi="Bookman Old Style"/>
          <w:i/>
          <w:sz w:val="24"/>
          <w:szCs w:val="24"/>
        </w:rPr>
        <w:t xml:space="preserve">No se podrá utilizar la infraestructura de Almacenamiento de Respaldo de la Demanda para el desarrollo de actividades de envasado o venta a granel del producto en cilindros universales y/o marcados. </w:t>
      </w:r>
    </w:p>
    <w:p w:rsidR="000A6DB4" w:rsidRPr="000A6DB4" w:rsidRDefault="000A6DB4" w:rsidP="000A6DB4">
      <w:pPr>
        <w:contextualSpacing/>
        <w:jc w:val="both"/>
        <w:rPr>
          <w:rFonts w:ascii="Bookman Old Style" w:hAnsi="Bookman Old Style"/>
          <w:i/>
        </w:rPr>
      </w:pPr>
      <w:r w:rsidRPr="000A6DB4">
        <w:rPr>
          <w:rFonts w:ascii="Bookman Old Style" w:hAnsi="Bookman Old Style"/>
          <w:i/>
        </w:rPr>
        <w:t>(…)”</w:t>
      </w:r>
    </w:p>
    <w:p w:rsidR="000A6DB4" w:rsidRDefault="000A6DB4" w:rsidP="004C4C34">
      <w:pPr>
        <w:ind w:left="0"/>
        <w:contextualSpacing/>
        <w:jc w:val="both"/>
        <w:rPr>
          <w:rFonts w:ascii="Bookman Old Style" w:hAnsi="Bookman Old Style"/>
        </w:rPr>
      </w:pPr>
    </w:p>
    <w:p w:rsidR="00770037" w:rsidRDefault="000A6DB4" w:rsidP="004C4C34">
      <w:pPr>
        <w:ind w:left="0"/>
        <w:contextualSpacing/>
        <w:jc w:val="both"/>
        <w:rPr>
          <w:rFonts w:ascii="Bookman Old Style" w:hAnsi="Bookman Old Style"/>
        </w:rPr>
      </w:pPr>
      <w:r>
        <w:rPr>
          <w:rFonts w:ascii="Bookman Old Style" w:hAnsi="Bookman Old Style"/>
        </w:rPr>
        <w:t xml:space="preserve">Lo anterior </w:t>
      </w:r>
      <w:r w:rsidR="00FA4F93">
        <w:rPr>
          <w:rFonts w:ascii="Bookman Old Style" w:hAnsi="Bookman Old Style"/>
        </w:rPr>
        <w:t xml:space="preserve">justifica </w:t>
      </w:r>
      <w:r>
        <w:rPr>
          <w:rFonts w:ascii="Bookman Old Style" w:hAnsi="Bookman Old Style"/>
        </w:rPr>
        <w:t>que la empresa Provigas S.A.</w:t>
      </w:r>
      <w:r w:rsidR="006263AE">
        <w:rPr>
          <w:rFonts w:ascii="Bookman Old Style" w:hAnsi="Bookman Old Style"/>
        </w:rPr>
        <w:t xml:space="preserve"> E.S.P</w:t>
      </w:r>
      <w:r>
        <w:rPr>
          <w:rFonts w:ascii="Bookman Old Style" w:hAnsi="Bookman Old Style"/>
        </w:rPr>
        <w:t xml:space="preserve"> deba tener instalaciones, diferentes a la planta de envasado, destinadas al almacenamiento de GLP en la isla.</w:t>
      </w:r>
    </w:p>
    <w:p w:rsidR="000A6DB4" w:rsidRDefault="000A6DB4" w:rsidP="004C4C34">
      <w:pPr>
        <w:ind w:left="0"/>
        <w:contextualSpacing/>
        <w:jc w:val="both"/>
        <w:rPr>
          <w:rFonts w:ascii="Bookman Old Style" w:hAnsi="Bookman Old Style"/>
        </w:rPr>
      </w:pPr>
    </w:p>
    <w:p w:rsidR="0001653E" w:rsidRDefault="00CC2E0D" w:rsidP="004C4C34">
      <w:pPr>
        <w:ind w:left="0"/>
        <w:contextualSpacing/>
        <w:jc w:val="both"/>
        <w:rPr>
          <w:rFonts w:ascii="Bookman Old Style" w:hAnsi="Bookman Old Style"/>
        </w:rPr>
      </w:pPr>
      <w:r w:rsidRPr="00646AFE">
        <w:rPr>
          <w:rFonts w:ascii="Bookman Old Style" w:hAnsi="Bookman Old Style"/>
        </w:rPr>
        <w:t>A partir del análisis de l</w:t>
      </w:r>
      <w:r w:rsidR="00B07E78" w:rsidRPr="00646AFE">
        <w:rPr>
          <w:rFonts w:ascii="Bookman Old Style" w:hAnsi="Bookman Old Style"/>
        </w:rPr>
        <w:t>os documentos enviados a esta comisión</w:t>
      </w:r>
      <w:r w:rsidRPr="00646AFE">
        <w:rPr>
          <w:rFonts w:ascii="Bookman Old Style" w:hAnsi="Bookman Old Style"/>
        </w:rPr>
        <w:t>, la revisión de las exigencias establecidas en el reglamento técnico para almacenamiento en la isla</w:t>
      </w:r>
      <w:r w:rsidR="00B07E78" w:rsidRPr="00646AFE">
        <w:rPr>
          <w:rFonts w:ascii="Bookman Old Style" w:hAnsi="Bookman Old Style"/>
        </w:rPr>
        <w:t xml:space="preserve"> y </w:t>
      </w:r>
      <w:r w:rsidR="005D0C9A" w:rsidRPr="00646AFE">
        <w:rPr>
          <w:rFonts w:ascii="Bookman Old Style" w:hAnsi="Bookman Old Style"/>
        </w:rPr>
        <w:t>el informe de la</w:t>
      </w:r>
      <w:r w:rsidR="00B07E78" w:rsidRPr="00646AFE">
        <w:rPr>
          <w:rFonts w:ascii="Bookman Old Style" w:hAnsi="Bookman Old Style"/>
        </w:rPr>
        <w:t xml:space="preserve"> visita</w:t>
      </w:r>
      <w:r w:rsidR="00FA260A" w:rsidRPr="00646AFE">
        <w:rPr>
          <w:rFonts w:ascii="Bookman Old Style" w:hAnsi="Bookman Old Style"/>
        </w:rPr>
        <w:t xml:space="preserve"> preliminar</w:t>
      </w:r>
      <w:r w:rsidR="00B07E78" w:rsidRPr="00646AFE">
        <w:rPr>
          <w:rFonts w:ascii="Bookman Old Style" w:hAnsi="Bookman Old Style"/>
        </w:rPr>
        <w:t xml:space="preserve"> realizada por el personal de la CREG</w:t>
      </w:r>
      <w:r w:rsidRPr="00646AFE">
        <w:rPr>
          <w:rFonts w:ascii="Bookman Old Style" w:hAnsi="Bookman Old Style"/>
        </w:rPr>
        <w:t xml:space="preserve"> a las</w:t>
      </w:r>
      <w:r w:rsidR="000046B3">
        <w:rPr>
          <w:rFonts w:ascii="Bookman Old Style" w:hAnsi="Bookman Old Style"/>
        </w:rPr>
        <w:t xml:space="preserve"> instalaciones de Provigas S.A </w:t>
      </w:r>
      <w:r w:rsidRPr="00646AFE">
        <w:rPr>
          <w:rFonts w:ascii="Bookman Old Style" w:hAnsi="Bookman Old Style"/>
        </w:rPr>
        <w:t>E.S.P</w:t>
      </w:r>
      <w:r w:rsidR="00B07E78" w:rsidRPr="00646AFE">
        <w:rPr>
          <w:rFonts w:ascii="Bookman Old Style" w:hAnsi="Bookman Old Style"/>
        </w:rPr>
        <w:t xml:space="preserve">, </w:t>
      </w:r>
      <w:r w:rsidR="00FA260A" w:rsidRPr="00646AFE">
        <w:rPr>
          <w:rFonts w:ascii="Bookman Old Style" w:hAnsi="Bookman Old Style"/>
        </w:rPr>
        <w:t xml:space="preserve">se </w:t>
      </w:r>
      <w:r w:rsidR="00B07E78" w:rsidRPr="00646AFE">
        <w:rPr>
          <w:rFonts w:ascii="Bookman Old Style" w:hAnsi="Bookman Old Style"/>
        </w:rPr>
        <w:t xml:space="preserve">evidencia que la empresa ha incurrido en costos superiores a los reconocidos mediante la </w:t>
      </w:r>
      <w:r w:rsidR="00FA260A" w:rsidRPr="00646AFE">
        <w:rPr>
          <w:rFonts w:ascii="Bookman Old Style" w:hAnsi="Bookman Old Style"/>
        </w:rPr>
        <w:t>R</w:t>
      </w:r>
      <w:r w:rsidR="00B07E78" w:rsidRPr="00646AFE">
        <w:rPr>
          <w:rFonts w:ascii="Bookman Old Style" w:hAnsi="Bookman Old Style"/>
        </w:rPr>
        <w:t>esolución CREG 049 de 2011.</w:t>
      </w:r>
      <w:r w:rsidR="00B07E78">
        <w:rPr>
          <w:rFonts w:ascii="Bookman Old Style" w:hAnsi="Bookman Old Style"/>
        </w:rPr>
        <w:t xml:space="preserve"> </w:t>
      </w:r>
    </w:p>
    <w:p w:rsidR="00B07E78" w:rsidRDefault="00B07E78" w:rsidP="00B07E78">
      <w:pPr>
        <w:pStyle w:val="Textoindependiente2"/>
        <w:spacing w:after="0" w:line="240" w:lineRule="auto"/>
        <w:ind w:left="-142" w:right="-142"/>
        <w:jc w:val="both"/>
        <w:rPr>
          <w:rFonts w:ascii="Bookman Old Style" w:hAnsi="Bookman Old Style"/>
          <w:color w:val="000000"/>
        </w:rPr>
      </w:pPr>
    </w:p>
    <w:p w:rsidR="00AD391C" w:rsidRDefault="00AD391C" w:rsidP="00C4407F">
      <w:pPr>
        <w:pStyle w:val="Textoindependiente2"/>
        <w:spacing w:after="0" w:line="240" w:lineRule="auto"/>
        <w:ind w:left="0"/>
        <w:jc w:val="both"/>
        <w:rPr>
          <w:rFonts w:ascii="Bookman Old Style" w:hAnsi="Bookman Old Style"/>
          <w:color w:val="000000"/>
        </w:rPr>
      </w:pPr>
      <w:r>
        <w:rPr>
          <w:rFonts w:ascii="Bookman Old Style" w:hAnsi="Bookman Old Style"/>
          <w:color w:val="000000"/>
        </w:rPr>
        <w:t xml:space="preserve">El análisis técnico y el tratamiento de las variables que soportan la presente resolución se encuentran consignados en el documento soporte </w:t>
      </w:r>
      <w:r w:rsidRPr="00881A9A">
        <w:rPr>
          <w:rFonts w:ascii="Bookman Old Style" w:hAnsi="Bookman Old Style"/>
          <w:color w:val="000000"/>
        </w:rPr>
        <w:t>D-</w:t>
      </w:r>
      <w:r w:rsidR="00881A9A">
        <w:rPr>
          <w:rFonts w:ascii="Bookman Old Style" w:hAnsi="Bookman Old Style"/>
          <w:color w:val="000000"/>
        </w:rPr>
        <w:t xml:space="preserve">036 </w:t>
      </w:r>
      <w:r>
        <w:rPr>
          <w:rFonts w:ascii="Bookman Old Style" w:hAnsi="Bookman Old Style"/>
          <w:color w:val="000000"/>
        </w:rPr>
        <w:t>de 2016.</w:t>
      </w:r>
    </w:p>
    <w:p w:rsidR="00AD391C" w:rsidRDefault="00AD391C" w:rsidP="00C4407F">
      <w:pPr>
        <w:pStyle w:val="Textoindependiente2"/>
        <w:spacing w:after="0" w:line="240" w:lineRule="auto"/>
        <w:ind w:left="0"/>
        <w:jc w:val="both"/>
        <w:rPr>
          <w:rFonts w:ascii="Bookman Old Style" w:hAnsi="Bookman Old Style"/>
          <w:color w:val="000000"/>
        </w:rPr>
      </w:pPr>
    </w:p>
    <w:p w:rsidR="00B07E78" w:rsidRPr="005023D3" w:rsidRDefault="00B07E78" w:rsidP="00C4407F">
      <w:pPr>
        <w:pStyle w:val="Textoindependiente2"/>
        <w:spacing w:after="0" w:line="240" w:lineRule="auto"/>
        <w:ind w:left="0"/>
        <w:jc w:val="both"/>
        <w:rPr>
          <w:rFonts w:ascii="Bookman Old Style" w:hAnsi="Bookman Old Style"/>
          <w:color w:val="000000"/>
        </w:rPr>
      </w:pPr>
      <w:r>
        <w:rPr>
          <w:rFonts w:ascii="Bookman Old Style" w:hAnsi="Bookman Old Style"/>
          <w:color w:val="000000"/>
        </w:rPr>
        <w:t>L</w:t>
      </w:r>
      <w:r w:rsidRPr="005023D3">
        <w:rPr>
          <w:rFonts w:ascii="Bookman Old Style" w:hAnsi="Bookman Old Style"/>
          <w:color w:val="000000"/>
        </w:rPr>
        <w:t xml:space="preserve">a Comisión, en sesión No. </w:t>
      </w:r>
      <w:r w:rsidR="00881A9A">
        <w:rPr>
          <w:rFonts w:ascii="Bookman Old Style" w:hAnsi="Bookman Old Style"/>
          <w:color w:val="000000"/>
        </w:rPr>
        <w:t>719</w:t>
      </w:r>
      <w:r w:rsidRPr="005023D3">
        <w:rPr>
          <w:rFonts w:ascii="Bookman Old Style" w:hAnsi="Bookman Old Style"/>
          <w:color w:val="000000"/>
        </w:rPr>
        <w:t xml:space="preserve"> del día </w:t>
      </w:r>
      <w:r w:rsidR="00226AFC">
        <w:rPr>
          <w:rFonts w:ascii="Bookman Old Style" w:hAnsi="Bookman Old Style"/>
          <w:color w:val="000000"/>
        </w:rPr>
        <w:t>25</w:t>
      </w:r>
      <w:r>
        <w:rPr>
          <w:rFonts w:ascii="Bookman Old Style" w:hAnsi="Bookman Old Style"/>
          <w:color w:val="000000"/>
        </w:rPr>
        <w:t xml:space="preserve"> </w:t>
      </w:r>
      <w:r w:rsidRPr="005023D3">
        <w:rPr>
          <w:rFonts w:ascii="Bookman Old Style" w:hAnsi="Bookman Old Style"/>
          <w:color w:val="000000"/>
        </w:rPr>
        <w:t xml:space="preserve">de </w:t>
      </w:r>
      <w:r w:rsidR="00226AFC">
        <w:rPr>
          <w:rFonts w:ascii="Bookman Old Style" w:hAnsi="Bookman Old Style"/>
          <w:color w:val="000000"/>
        </w:rPr>
        <w:t>mayo</w:t>
      </w:r>
      <w:r w:rsidRPr="005023D3">
        <w:rPr>
          <w:rFonts w:ascii="Bookman Old Style" w:hAnsi="Bookman Old Style"/>
          <w:color w:val="000000"/>
        </w:rPr>
        <w:t xml:space="preserve"> de 201</w:t>
      </w:r>
      <w:r w:rsidR="00226AFC">
        <w:rPr>
          <w:rFonts w:ascii="Bookman Old Style" w:hAnsi="Bookman Old Style"/>
          <w:color w:val="000000"/>
        </w:rPr>
        <w:t>6</w:t>
      </w:r>
      <w:r w:rsidRPr="005023D3">
        <w:rPr>
          <w:rFonts w:ascii="Bookman Old Style" w:hAnsi="Bookman Old Style"/>
          <w:color w:val="000000"/>
        </w:rPr>
        <w:t xml:space="preserve">, aprobó </w:t>
      </w:r>
      <w:r>
        <w:rPr>
          <w:rFonts w:ascii="Bookman Old Style" w:hAnsi="Bookman Old Style"/>
          <w:color w:val="000000"/>
        </w:rPr>
        <w:t xml:space="preserve">expedir </w:t>
      </w:r>
      <w:r w:rsidRPr="005023D3">
        <w:rPr>
          <w:rFonts w:ascii="Bookman Old Style" w:hAnsi="Bookman Old Style"/>
          <w:color w:val="000000"/>
        </w:rPr>
        <w:t xml:space="preserve">la presente resolución mediante la cual se resuelve la solicitud de revisión tarifaria </w:t>
      </w:r>
      <w:r w:rsidR="00CE2F54">
        <w:rPr>
          <w:rFonts w:ascii="Bookman Old Style" w:hAnsi="Bookman Old Style"/>
          <w:color w:val="000000"/>
        </w:rPr>
        <w:t>de los cargos aprobados mediante la</w:t>
      </w:r>
      <w:r>
        <w:rPr>
          <w:rFonts w:ascii="Bookman Old Style" w:hAnsi="Bookman Old Style"/>
          <w:color w:val="000000"/>
        </w:rPr>
        <w:t xml:space="preserve"> Resolución CREG </w:t>
      </w:r>
      <w:r w:rsidR="0017344D">
        <w:rPr>
          <w:rFonts w:ascii="Bookman Old Style" w:hAnsi="Bookman Old Style"/>
          <w:color w:val="000000"/>
        </w:rPr>
        <w:t>049 de 2011</w:t>
      </w:r>
      <w:r>
        <w:rPr>
          <w:rFonts w:ascii="Bookman Old Style" w:hAnsi="Bookman Old Style"/>
          <w:color w:val="000000"/>
        </w:rPr>
        <w:t xml:space="preserve"> presentada por la empresa</w:t>
      </w:r>
      <w:r w:rsidRPr="005023D3">
        <w:rPr>
          <w:rFonts w:ascii="Bookman Old Style" w:hAnsi="Bookman Old Style"/>
          <w:color w:val="000000"/>
        </w:rPr>
        <w:t xml:space="preserve"> </w:t>
      </w:r>
      <w:r>
        <w:rPr>
          <w:rFonts w:ascii="Bookman Old Style" w:hAnsi="Bookman Old Style"/>
          <w:color w:val="000000"/>
        </w:rPr>
        <w:t>PROVIGAS</w:t>
      </w:r>
      <w:r w:rsidR="000046B3">
        <w:rPr>
          <w:rFonts w:ascii="Bookman Old Style" w:hAnsi="Bookman Old Style"/>
          <w:color w:val="000000"/>
        </w:rPr>
        <w:t xml:space="preserve"> S.A</w:t>
      </w:r>
      <w:r w:rsidR="00CE2F54">
        <w:rPr>
          <w:rFonts w:ascii="Bookman Old Style" w:hAnsi="Bookman Old Style"/>
          <w:color w:val="000000"/>
        </w:rPr>
        <w:t>.</w:t>
      </w:r>
      <w:r w:rsidR="000046B3">
        <w:rPr>
          <w:rFonts w:ascii="Bookman Old Style" w:hAnsi="Bookman Old Style"/>
          <w:color w:val="000000"/>
        </w:rPr>
        <w:t xml:space="preserve"> E.S.P</w:t>
      </w:r>
      <w:r w:rsidRPr="00411CD2">
        <w:rPr>
          <w:rFonts w:ascii="Bookman Old Style" w:hAnsi="Bookman Old Style"/>
          <w:color w:val="000000"/>
        </w:rPr>
        <w:t xml:space="preserve"> </w:t>
      </w:r>
      <w:r w:rsidRPr="005023D3">
        <w:rPr>
          <w:rFonts w:ascii="Bookman Old Style" w:hAnsi="Bookman Old Style"/>
          <w:color w:val="000000"/>
        </w:rPr>
        <w:t xml:space="preserve">con fundamento en el artículo </w:t>
      </w:r>
      <w:r w:rsidR="0017344D">
        <w:rPr>
          <w:rFonts w:ascii="Bookman Old Style" w:hAnsi="Bookman Old Style"/>
          <w:color w:val="000000"/>
        </w:rPr>
        <w:t xml:space="preserve">5 </w:t>
      </w:r>
      <w:r w:rsidRPr="005023D3">
        <w:rPr>
          <w:rFonts w:ascii="Bookman Old Style" w:hAnsi="Bookman Old Style"/>
          <w:color w:val="000000"/>
        </w:rPr>
        <w:t xml:space="preserve">de la </w:t>
      </w:r>
      <w:r w:rsidR="0017344D">
        <w:rPr>
          <w:rFonts w:ascii="Bookman Old Style" w:hAnsi="Bookman Old Style"/>
          <w:color w:val="000000"/>
        </w:rPr>
        <w:t>Resolución CREG 050 de 2009</w:t>
      </w:r>
      <w:r>
        <w:rPr>
          <w:rFonts w:ascii="Bookman Old Style" w:hAnsi="Bookman Old Style"/>
          <w:color w:val="000000"/>
        </w:rPr>
        <w:t>.</w:t>
      </w:r>
    </w:p>
    <w:p w:rsidR="00B07E78" w:rsidRDefault="00B07E78" w:rsidP="004C4C34">
      <w:pPr>
        <w:ind w:left="0"/>
        <w:contextualSpacing/>
        <w:jc w:val="both"/>
        <w:rPr>
          <w:rFonts w:ascii="Bookman Old Style" w:hAnsi="Bookman Old Style"/>
        </w:rPr>
      </w:pPr>
    </w:p>
    <w:p w:rsidR="0001653E" w:rsidRDefault="0001653E" w:rsidP="004C4C34">
      <w:pPr>
        <w:ind w:left="0"/>
        <w:contextualSpacing/>
        <w:jc w:val="both"/>
        <w:rPr>
          <w:rFonts w:ascii="Bookman Old Style" w:hAnsi="Bookman Old Style"/>
        </w:rPr>
      </w:pPr>
    </w:p>
    <w:p w:rsidR="00B07E78" w:rsidRDefault="00B07E78" w:rsidP="00B07E78">
      <w:pPr>
        <w:jc w:val="center"/>
        <w:rPr>
          <w:rFonts w:ascii="Bookman Old Style" w:hAnsi="Bookman Old Style"/>
          <w:b/>
          <w:szCs w:val="22"/>
        </w:rPr>
      </w:pPr>
      <w:r w:rsidRPr="005023D3">
        <w:rPr>
          <w:rFonts w:ascii="Bookman Old Style" w:hAnsi="Bookman Old Style"/>
          <w:b/>
          <w:szCs w:val="22"/>
        </w:rPr>
        <w:t>R E S U E L V E:</w:t>
      </w:r>
    </w:p>
    <w:p w:rsidR="00881A9A" w:rsidRPr="005023D3" w:rsidRDefault="00881A9A" w:rsidP="00B07E78">
      <w:pPr>
        <w:jc w:val="center"/>
        <w:rPr>
          <w:rFonts w:ascii="Bookman Old Style" w:hAnsi="Bookman Old Style"/>
          <w:b/>
          <w:szCs w:val="22"/>
        </w:rPr>
      </w:pPr>
    </w:p>
    <w:p w:rsidR="00B07E78" w:rsidRPr="005023D3" w:rsidRDefault="00B07E78" w:rsidP="00B07E78">
      <w:pPr>
        <w:jc w:val="center"/>
        <w:rPr>
          <w:rFonts w:ascii="Bookman Old Style" w:hAnsi="Bookman Old Style"/>
          <w:b/>
          <w:szCs w:val="22"/>
        </w:rPr>
      </w:pPr>
    </w:p>
    <w:p w:rsidR="005A037C" w:rsidRDefault="005A037C" w:rsidP="005A037C">
      <w:pPr>
        <w:pStyle w:val="Ttulo1"/>
        <w:ind w:left="-142" w:right="-142"/>
        <w:jc w:val="both"/>
        <w:rPr>
          <w:rFonts w:ascii="Bookman Old Style" w:hAnsi="Bookman Old Style"/>
        </w:rPr>
      </w:pPr>
      <w:r w:rsidRPr="000C6E84">
        <w:rPr>
          <w:rFonts w:ascii="Bookman Old Style" w:hAnsi="Bookman Old Style"/>
        </w:rPr>
        <w:t xml:space="preserve">Artículo </w:t>
      </w:r>
      <w:r w:rsidRPr="000C6E84">
        <w:rPr>
          <w:rFonts w:ascii="Bookman Old Style" w:hAnsi="Bookman Old Style"/>
          <w:b w:val="0"/>
        </w:rPr>
        <w:fldChar w:fldCharType="begin"/>
      </w:r>
      <w:r w:rsidRPr="000C6E84">
        <w:rPr>
          <w:rFonts w:ascii="Bookman Old Style" w:hAnsi="Bookman Old Style"/>
        </w:rPr>
        <w:instrText xml:space="preserve"> SEQ Artículo \* ARABIC </w:instrText>
      </w:r>
      <w:r w:rsidRPr="000C6E84">
        <w:rPr>
          <w:rFonts w:ascii="Bookman Old Style" w:hAnsi="Bookman Old Style"/>
          <w:b w:val="0"/>
        </w:rPr>
        <w:fldChar w:fldCharType="separate"/>
      </w:r>
      <w:r w:rsidR="00776050">
        <w:rPr>
          <w:rFonts w:ascii="Bookman Old Style" w:hAnsi="Bookman Old Style"/>
          <w:noProof/>
        </w:rPr>
        <w:t>1</w:t>
      </w:r>
      <w:r w:rsidRPr="000C6E84">
        <w:rPr>
          <w:rFonts w:ascii="Bookman Old Style" w:hAnsi="Bookman Old Style"/>
          <w:b w:val="0"/>
        </w:rPr>
        <w:fldChar w:fldCharType="end"/>
      </w:r>
      <w:r w:rsidRPr="005A037C">
        <w:rPr>
          <w:rFonts w:ascii="Bookman Old Style" w:hAnsi="Bookman Old Style"/>
        </w:rPr>
        <w:t>.</w:t>
      </w:r>
      <w:r>
        <w:rPr>
          <w:rFonts w:ascii="Bookman Old Style" w:hAnsi="Bookman Old Style"/>
          <w:b w:val="0"/>
        </w:rPr>
        <w:t xml:space="preserve"> </w:t>
      </w:r>
      <w:r>
        <w:rPr>
          <w:rFonts w:ascii="Bookman Old Style" w:hAnsi="Bookman Old Style"/>
        </w:rPr>
        <w:t>Modifíquese el Artículo 2 de la resolución 049 de 2011</w:t>
      </w:r>
    </w:p>
    <w:p w:rsidR="00881A9A" w:rsidRPr="00881A9A" w:rsidRDefault="00881A9A" w:rsidP="00881A9A">
      <w:pPr>
        <w:rPr>
          <w:lang w:val="es-CO"/>
        </w:rPr>
      </w:pPr>
    </w:p>
    <w:p w:rsidR="005A037C" w:rsidRDefault="005A037C" w:rsidP="005A037C">
      <w:pPr>
        <w:jc w:val="both"/>
        <w:rPr>
          <w:rFonts w:ascii="Bookman Old Style" w:hAnsi="Bookman Old Style"/>
          <w:szCs w:val="20"/>
          <w:lang w:val="es-CO"/>
        </w:rPr>
      </w:pPr>
      <w:r w:rsidRPr="000C6E84">
        <w:rPr>
          <w:rFonts w:ascii="Bookman Old Style" w:hAnsi="Bookman Old Style"/>
          <w:b/>
          <w:szCs w:val="20"/>
          <w:lang w:val="es-CO"/>
        </w:rPr>
        <w:t>Valores base de estimación de cargos:</w:t>
      </w:r>
      <w:r>
        <w:rPr>
          <w:rFonts w:ascii="Bookman Old Style" w:hAnsi="Bookman Old Style"/>
          <w:szCs w:val="20"/>
          <w:lang w:val="es-CO"/>
        </w:rPr>
        <w:t xml:space="preserve"> </w:t>
      </w:r>
      <w:r w:rsidRPr="00FB3749">
        <w:rPr>
          <w:rFonts w:ascii="Bookman Old Style" w:hAnsi="Bookman Old Style"/>
          <w:szCs w:val="20"/>
          <w:lang w:val="es-CO"/>
        </w:rPr>
        <w:t>Apruébense los siguientes valores base de estimación del Cargo Medio de Transporte, así como del Cargo de Transporte a pagar por la demanda del archipiélago de San Andrés, Providencia y Santa Catalina</w:t>
      </w:r>
      <w:r>
        <w:rPr>
          <w:rFonts w:ascii="Bookman Old Style" w:hAnsi="Bookman Old Style"/>
          <w:szCs w:val="20"/>
          <w:lang w:val="es-CO"/>
        </w:rPr>
        <w:t xml:space="preserve"> por punto de entrega</w:t>
      </w:r>
      <w:r w:rsidRPr="00FB3749">
        <w:rPr>
          <w:rFonts w:ascii="Bookman Old Style" w:hAnsi="Bookman Old Style"/>
          <w:szCs w:val="20"/>
          <w:lang w:val="es-CO"/>
        </w:rPr>
        <w:t xml:space="preserve"> y el Cargo Estampilla a pagar por la demanda del continente, a fin de remunerar la actividad de transporte de GLP al archipiélago.</w:t>
      </w:r>
      <w:r>
        <w:rPr>
          <w:rFonts w:ascii="Bookman Old Style" w:hAnsi="Bookman Old Style"/>
          <w:szCs w:val="20"/>
          <w:lang w:val="es-CO"/>
        </w:rPr>
        <w:t xml:space="preserve"> </w:t>
      </w:r>
    </w:p>
    <w:p w:rsidR="002C0517" w:rsidRDefault="002C0517" w:rsidP="005A037C">
      <w:pPr>
        <w:jc w:val="both"/>
        <w:rPr>
          <w:rFonts w:ascii="Bookman Old Style" w:hAnsi="Bookman Old Style"/>
          <w:szCs w:val="20"/>
          <w:lang w:val="es-CO"/>
        </w:rPr>
      </w:pPr>
    </w:p>
    <w:p w:rsidR="00881A9A" w:rsidRPr="00881A9A" w:rsidRDefault="00881A9A" w:rsidP="005A037C">
      <w:pPr>
        <w:jc w:val="both"/>
        <w:rPr>
          <w:rFonts w:ascii="Bookman Old Style" w:hAnsi="Bookman Old Style"/>
          <w:sz w:val="16"/>
          <w:szCs w:val="20"/>
          <w:lang w:val="es-CO"/>
        </w:rPr>
      </w:pPr>
    </w:p>
    <w:tbl>
      <w:tblPr>
        <w:tblW w:w="8868" w:type="dxa"/>
        <w:jc w:val="center"/>
        <w:tblInd w:w="55" w:type="dxa"/>
        <w:tblCellMar>
          <w:left w:w="70" w:type="dxa"/>
          <w:right w:w="70" w:type="dxa"/>
        </w:tblCellMar>
        <w:tblLook w:val="04A0" w:firstRow="1" w:lastRow="0" w:firstColumn="1" w:lastColumn="0" w:noHBand="0" w:noVBand="1"/>
      </w:tblPr>
      <w:tblGrid>
        <w:gridCol w:w="3504"/>
        <w:gridCol w:w="1833"/>
        <w:gridCol w:w="2057"/>
        <w:gridCol w:w="1474"/>
      </w:tblGrid>
      <w:tr w:rsidR="00FF6BD8" w:rsidRPr="00FF6BD8" w:rsidTr="009D7B7D">
        <w:trPr>
          <w:trHeight w:val="300"/>
          <w:jc w:val="center"/>
        </w:trPr>
        <w:tc>
          <w:tcPr>
            <w:tcW w:w="35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6BD8" w:rsidRPr="00FF6BD8" w:rsidRDefault="00FF6BD8" w:rsidP="009D7B7D">
            <w:pPr>
              <w:ind w:left="-55"/>
              <w:rPr>
                <w:rFonts w:ascii="Calibri" w:hAnsi="Calibri"/>
                <w:b/>
                <w:bCs/>
                <w:color w:val="000000"/>
                <w:sz w:val="20"/>
                <w:lang w:val="es-CO" w:eastAsia="es-CO"/>
              </w:rPr>
            </w:pPr>
            <w:r w:rsidRPr="00FF6BD8">
              <w:rPr>
                <w:rFonts w:ascii="Calibri" w:hAnsi="Calibri"/>
                <w:b/>
                <w:bCs/>
                <w:color w:val="000000"/>
                <w:sz w:val="20"/>
                <w:lang w:val="es-CO" w:eastAsia="es-CO"/>
              </w:rPr>
              <w:t>CONCEPTO</w:t>
            </w:r>
          </w:p>
        </w:tc>
        <w:tc>
          <w:tcPr>
            <w:tcW w:w="1833" w:type="dxa"/>
            <w:tcBorders>
              <w:top w:val="single" w:sz="4" w:space="0" w:color="auto"/>
              <w:left w:val="nil"/>
              <w:bottom w:val="single" w:sz="4" w:space="0" w:color="auto"/>
              <w:right w:val="single" w:sz="4" w:space="0" w:color="auto"/>
            </w:tcBorders>
            <w:shd w:val="clear" w:color="auto" w:fill="auto"/>
            <w:noWrap/>
            <w:vAlign w:val="bottom"/>
            <w:hideMark/>
          </w:tcPr>
          <w:p w:rsidR="00FF6BD8" w:rsidRPr="00FF6BD8" w:rsidRDefault="00FF6BD8" w:rsidP="00FF6BD8">
            <w:pPr>
              <w:ind w:left="-15"/>
              <w:rPr>
                <w:rFonts w:ascii="Calibri" w:hAnsi="Calibri"/>
                <w:b/>
                <w:bCs/>
                <w:color w:val="000000"/>
                <w:sz w:val="20"/>
                <w:lang w:val="es-CO" w:eastAsia="es-CO"/>
              </w:rPr>
            </w:pPr>
            <w:r w:rsidRPr="00FF6BD8">
              <w:rPr>
                <w:rFonts w:ascii="Calibri" w:hAnsi="Calibri"/>
                <w:b/>
                <w:bCs/>
                <w:color w:val="000000"/>
                <w:sz w:val="20"/>
                <w:lang w:val="es-CO" w:eastAsia="es-CO"/>
              </w:rPr>
              <w:t>COSTA ATLÁNTICA</w:t>
            </w:r>
          </w:p>
        </w:tc>
        <w:tc>
          <w:tcPr>
            <w:tcW w:w="2057" w:type="dxa"/>
            <w:tcBorders>
              <w:top w:val="single" w:sz="4" w:space="0" w:color="auto"/>
              <w:left w:val="nil"/>
              <w:bottom w:val="single" w:sz="4" w:space="0" w:color="auto"/>
              <w:right w:val="single" w:sz="4" w:space="0" w:color="auto"/>
            </w:tcBorders>
            <w:shd w:val="clear" w:color="auto" w:fill="auto"/>
            <w:noWrap/>
            <w:vAlign w:val="bottom"/>
            <w:hideMark/>
          </w:tcPr>
          <w:p w:rsidR="00FF6BD8" w:rsidRPr="00FF6BD8" w:rsidRDefault="00FF6BD8" w:rsidP="00FF6BD8">
            <w:pPr>
              <w:ind w:left="0"/>
              <w:rPr>
                <w:rFonts w:ascii="Calibri" w:hAnsi="Calibri"/>
                <w:b/>
                <w:bCs/>
                <w:color w:val="000000"/>
                <w:sz w:val="20"/>
                <w:lang w:val="es-CO" w:eastAsia="es-CO"/>
              </w:rPr>
            </w:pPr>
            <w:r w:rsidRPr="00FF6BD8">
              <w:rPr>
                <w:rFonts w:ascii="Calibri" w:hAnsi="Calibri"/>
                <w:b/>
                <w:bCs/>
                <w:color w:val="000000"/>
                <w:sz w:val="20"/>
                <w:lang w:val="es-CO" w:eastAsia="es-CO"/>
              </w:rPr>
              <w:t>BARRANCABERMEJA</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FF6BD8" w:rsidRPr="00FF6BD8" w:rsidRDefault="00FF6BD8" w:rsidP="00FF6BD8">
            <w:pPr>
              <w:ind w:left="0"/>
              <w:rPr>
                <w:rFonts w:ascii="Calibri" w:hAnsi="Calibri"/>
                <w:b/>
                <w:bCs/>
                <w:color w:val="000000"/>
                <w:sz w:val="20"/>
                <w:lang w:val="es-CO" w:eastAsia="es-CO"/>
              </w:rPr>
            </w:pPr>
            <w:r w:rsidRPr="00FF6BD8">
              <w:rPr>
                <w:rFonts w:ascii="Calibri" w:hAnsi="Calibri"/>
                <w:b/>
                <w:bCs/>
                <w:color w:val="000000"/>
                <w:sz w:val="20"/>
                <w:lang w:val="es-CO" w:eastAsia="es-CO"/>
              </w:rPr>
              <w:t>CUSIANA</w:t>
            </w:r>
          </w:p>
        </w:tc>
      </w:tr>
      <w:tr w:rsidR="00FF6BD8" w:rsidRPr="00FF6BD8" w:rsidTr="009D7B7D">
        <w:trPr>
          <w:trHeight w:val="300"/>
          <w:jc w:val="center"/>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rsidR="00FF6BD8" w:rsidRPr="00FF6BD8" w:rsidRDefault="00FF6BD8" w:rsidP="009D7B7D">
            <w:pPr>
              <w:ind w:left="-55"/>
              <w:rPr>
                <w:rFonts w:ascii="Calibri" w:hAnsi="Calibri"/>
                <w:color w:val="000000"/>
                <w:sz w:val="20"/>
                <w:lang w:val="es-CO" w:eastAsia="es-CO"/>
              </w:rPr>
            </w:pPr>
            <w:r w:rsidRPr="00FF6BD8">
              <w:rPr>
                <w:rFonts w:ascii="Calibri" w:hAnsi="Calibri"/>
                <w:color w:val="000000"/>
                <w:sz w:val="20"/>
                <w:lang w:val="es-CO" w:eastAsia="es-CO"/>
              </w:rPr>
              <w:t>GASTOS AOM ANUALES ($/año)</w:t>
            </w:r>
          </w:p>
        </w:tc>
        <w:tc>
          <w:tcPr>
            <w:tcW w:w="1833"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82"/>
              <w:jc w:val="center"/>
              <w:rPr>
                <w:sz w:val="20"/>
              </w:rPr>
            </w:pPr>
            <w:r w:rsidRPr="00FF6BD8">
              <w:rPr>
                <w:sz w:val="20"/>
              </w:rPr>
              <w:t>6.235.380.037</w:t>
            </w:r>
          </w:p>
        </w:tc>
        <w:tc>
          <w:tcPr>
            <w:tcW w:w="2057"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0"/>
              <w:jc w:val="center"/>
              <w:rPr>
                <w:sz w:val="20"/>
              </w:rPr>
            </w:pPr>
            <w:r w:rsidRPr="00FF6BD8">
              <w:rPr>
                <w:sz w:val="20"/>
              </w:rPr>
              <w:t>6.865.331.701</w:t>
            </w:r>
          </w:p>
        </w:tc>
        <w:tc>
          <w:tcPr>
            <w:tcW w:w="1474"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18"/>
              <w:jc w:val="center"/>
              <w:rPr>
                <w:sz w:val="20"/>
              </w:rPr>
            </w:pPr>
            <w:r w:rsidRPr="00FF6BD8">
              <w:rPr>
                <w:sz w:val="20"/>
              </w:rPr>
              <w:t>6.545.767.783</w:t>
            </w:r>
          </w:p>
        </w:tc>
      </w:tr>
      <w:tr w:rsidR="00FF6BD8" w:rsidRPr="00FF6BD8" w:rsidTr="009D7B7D">
        <w:trPr>
          <w:trHeight w:val="300"/>
          <w:jc w:val="center"/>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rsidR="00FF6BD8" w:rsidRPr="00FF6BD8" w:rsidRDefault="00FF6BD8" w:rsidP="009D7B7D">
            <w:pPr>
              <w:ind w:left="-55"/>
              <w:rPr>
                <w:rFonts w:ascii="Calibri" w:hAnsi="Calibri"/>
                <w:color w:val="000000"/>
                <w:sz w:val="20"/>
                <w:lang w:val="es-CO" w:eastAsia="es-CO"/>
              </w:rPr>
            </w:pPr>
            <w:r w:rsidRPr="00FF6BD8">
              <w:rPr>
                <w:rFonts w:ascii="Calibri" w:hAnsi="Calibri"/>
                <w:color w:val="000000"/>
                <w:sz w:val="20"/>
                <w:lang w:val="es-CO" w:eastAsia="es-CO"/>
              </w:rPr>
              <w:t>DEPRECIACIÓN ANUAL ($/año)</w:t>
            </w:r>
          </w:p>
        </w:tc>
        <w:tc>
          <w:tcPr>
            <w:tcW w:w="1833"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82"/>
              <w:jc w:val="center"/>
              <w:rPr>
                <w:sz w:val="20"/>
              </w:rPr>
            </w:pPr>
            <w:r w:rsidRPr="00FF6BD8">
              <w:rPr>
                <w:sz w:val="20"/>
              </w:rPr>
              <w:t>1.620.575.583</w:t>
            </w:r>
          </w:p>
        </w:tc>
        <w:tc>
          <w:tcPr>
            <w:tcW w:w="2057"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0"/>
              <w:jc w:val="center"/>
              <w:rPr>
                <w:sz w:val="20"/>
              </w:rPr>
            </w:pPr>
            <w:r w:rsidRPr="00FF6BD8">
              <w:rPr>
                <w:sz w:val="20"/>
              </w:rPr>
              <w:t>1.620.575.583</w:t>
            </w:r>
          </w:p>
        </w:tc>
        <w:tc>
          <w:tcPr>
            <w:tcW w:w="1474"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18"/>
              <w:jc w:val="center"/>
              <w:rPr>
                <w:sz w:val="20"/>
              </w:rPr>
            </w:pPr>
            <w:r w:rsidRPr="00FF6BD8">
              <w:rPr>
                <w:sz w:val="20"/>
              </w:rPr>
              <w:t>1.620.575.583</w:t>
            </w:r>
          </w:p>
        </w:tc>
      </w:tr>
      <w:tr w:rsidR="00FF6BD8" w:rsidRPr="00FF6BD8" w:rsidTr="009D7B7D">
        <w:trPr>
          <w:trHeight w:val="360"/>
          <w:jc w:val="center"/>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rsidR="00FF6BD8" w:rsidRPr="00FF6BD8" w:rsidRDefault="00FF6BD8" w:rsidP="009D7B7D">
            <w:pPr>
              <w:ind w:left="-55"/>
              <w:rPr>
                <w:rFonts w:ascii="Calibri" w:hAnsi="Calibri"/>
                <w:color w:val="000000"/>
                <w:sz w:val="20"/>
                <w:lang w:val="es-CO" w:eastAsia="es-CO"/>
              </w:rPr>
            </w:pPr>
            <w:r w:rsidRPr="00FF6BD8">
              <w:rPr>
                <w:rFonts w:ascii="Calibri" w:hAnsi="Calibri"/>
                <w:color w:val="000000"/>
                <w:sz w:val="20"/>
                <w:lang w:val="es-CO" w:eastAsia="es-CO"/>
              </w:rPr>
              <w:t>DEMANDA SAN ANDRES DASA(KILOS)</w:t>
            </w:r>
          </w:p>
        </w:tc>
        <w:tc>
          <w:tcPr>
            <w:tcW w:w="1833"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82"/>
              <w:jc w:val="center"/>
              <w:rPr>
                <w:rFonts w:ascii="Calibri" w:hAnsi="Calibri"/>
                <w:color w:val="000000"/>
                <w:sz w:val="20"/>
                <w:lang w:val="es-CO" w:eastAsia="es-CO"/>
              </w:rPr>
            </w:pPr>
            <w:r w:rsidRPr="00FF6BD8">
              <w:rPr>
                <w:rFonts w:ascii="Calibri" w:hAnsi="Calibri"/>
                <w:color w:val="000000"/>
                <w:sz w:val="20"/>
                <w:lang w:val="es-CO" w:eastAsia="es-CO"/>
              </w:rPr>
              <w:t>2.437.200</w:t>
            </w:r>
          </w:p>
        </w:tc>
        <w:tc>
          <w:tcPr>
            <w:tcW w:w="2057"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0"/>
              <w:jc w:val="center"/>
              <w:rPr>
                <w:rFonts w:ascii="Calibri" w:hAnsi="Calibri"/>
                <w:color w:val="000000"/>
                <w:sz w:val="20"/>
                <w:lang w:val="es-CO" w:eastAsia="es-CO"/>
              </w:rPr>
            </w:pPr>
            <w:r w:rsidRPr="00FF6BD8">
              <w:rPr>
                <w:rFonts w:ascii="Calibri" w:hAnsi="Calibri"/>
                <w:color w:val="000000"/>
                <w:sz w:val="20"/>
                <w:lang w:val="es-CO" w:eastAsia="es-CO"/>
              </w:rPr>
              <w:t>2.437.200</w:t>
            </w:r>
          </w:p>
        </w:tc>
        <w:tc>
          <w:tcPr>
            <w:tcW w:w="1474"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18"/>
              <w:jc w:val="center"/>
              <w:rPr>
                <w:rFonts w:ascii="Calibri" w:hAnsi="Calibri"/>
                <w:color w:val="000000"/>
                <w:sz w:val="20"/>
                <w:lang w:val="es-CO" w:eastAsia="es-CO"/>
              </w:rPr>
            </w:pPr>
            <w:r w:rsidRPr="00FF6BD8">
              <w:rPr>
                <w:rFonts w:ascii="Calibri" w:hAnsi="Calibri"/>
                <w:color w:val="000000"/>
                <w:sz w:val="20"/>
                <w:lang w:val="es-CO" w:eastAsia="es-CO"/>
              </w:rPr>
              <w:t>2.437.200</w:t>
            </w:r>
          </w:p>
        </w:tc>
      </w:tr>
      <w:tr w:rsidR="00FF6BD8" w:rsidRPr="00FF6BD8" w:rsidTr="009D7B7D">
        <w:trPr>
          <w:trHeight w:val="360"/>
          <w:jc w:val="center"/>
        </w:trPr>
        <w:tc>
          <w:tcPr>
            <w:tcW w:w="3504" w:type="dxa"/>
            <w:tcBorders>
              <w:top w:val="nil"/>
              <w:left w:val="single" w:sz="4" w:space="0" w:color="auto"/>
              <w:bottom w:val="single" w:sz="4" w:space="0" w:color="auto"/>
              <w:right w:val="single" w:sz="4" w:space="0" w:color="auto"/>
            </w:tcBorders>
            <w:shd w:val="clear" w:color="auto" w:fill="auto"/>
            <w:noWrap/>
            <w:vAlign w:val="center"/>
            <w:hideMark/>
          </w:tcPr>
          <w:p w:rsidR="00FF6BD8" w:rsidRPr="00FF6BD8" w:rsidRDefault="00FF6BD8" w:rsidP="009D7B7D">
            <w:pPr>
              <w:ind w:left="-55"/>
              <w:rPr>
                <w:rFonts w:ascii="Calibri" w:hAnsi="Calibri"/>
                <w:color w:val="000000"/>
                <w:sz w:val="20"/>
                <w:lang w:val="es-CO" w:eastAsia="es-CO"/>
              </w:rPr>
            </w:pPr>
            <w:r w:rsidRPr="00FF6BD8">
              <w:rPr>
                <w:rFonts w:ascii="Calibri" w:hAnsi="Calibri"/>
                <w:color w:val="000000"/>
                <w:sz w:val="20"/>
                <w:lang w:val="es-CO" w:eastAsia="es-CO"/>
              </w:rPr>
              <w:t>DEMANDA CONTINENTE DCO0(KILOS)</w:t>
            </w:r>
          </w:p>
        </w:tc>
        <w:tc>
          <w:tcPr>
            <w:tcW w:w="1833"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82"/>
              <w:jc w:val="center"/>
              <w:rPr>
                <w:rFonts w:ascii="Calibri" w:hAnsi="Calibri"/>
                <w:color w:val="000000"/>
                <w:sz w:val="20"/>
                <w:lang w:val="es-CO" w:eastAsia="es-CO"/>
              </w:rPr>
            </w:pPr>
            <w:r w:rsidRPr="00FF6BD8">
              <w:rPr>
                <w:rFonts w:ascii="Calibri" w:hAnsi="Calibri"/>
                <w:color w:val="000000"/>
                <w:sz w:val="20"/>
                <w:lang w:val="es-CO" w:eastAsia="es-CO"/>
              </w:rPr>
              <w:t>641.259.988</w:t>
            </w:r>
          </w:p>
        </w:tc>
        <w:tc>
          <w:tcPr>
            <w:tcW w:w="2057"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0"/>
              <w:jc w:val="center"/>
              <w:rPr>
                <w:rFonts w:ascii="Calibri" w:hAnsi="Calibri"/>
                <w:color w:val="000000"/>
                <w:sz w:val="20"/>
                <w:lang w:val="es-CO" w:eastAsia="es-CO"/>
              </w:rPr>
            </w:pPr>
            <w:r w:rsidRPr="00FF6BD8">
              <w:rPr>
                <w:rFonts w:ascii="Calibri" w:hAnsi="Calibri"/>
                <w:color w:val="000000"/>
                <w:sz w:val="20"/>
                <w:lang w:val="es-CO" w:eastAsia="es-CO"/>
              </w:rPr>
              <w:t>641.259.988</w:t>
            </w:r>
          </w:p>
        </w:tc>
        <w:tc>
          <w:tcPr>
            <w:tcW w:w="1474"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18"/>
              <w:jc w:val="center"/>
              <w:rPr>
                <w:rFonts w:ascii="Calibri" w:hAnsi="Calibri"/>
                <w:color w:val="000000"/>
                <w:sz w:val="20"/>
                <w:lang w:val="es-CO" w:eastAsia="es-CO"/>
              </w:rPr>
            </w:pPr>
            <w:r w:rsidRPr="00FF6BD8">
              <w:rPr>
                <w:rFonts w:ascii="Calibri" w:hAnsi="Calibri"/>
                <w:color w:val="000000"/>
                <w:sz w:val="20"/>
                <w:lang w:val="es-CO" w:eastAsia="es-CO"/>
              </w:rPr>
              <w:t>641.259.988</w:t>
            </w:r>
          </w:p>
        </w:tc>
      </w:tr>
      <w:tr w:rsidR="00FF6BD8" w:rsidRPr="00FF6BD8" w:rsidTr="009D7B7D">
        <w:trPr>
          <w:trHeight w:val="900"/>
          <w:jc w:val="center"/>
        </w:trPr>
        <w:tc>
          <w:tcPr>
            <w:tcW w:w="3504" w:type="dxa"/>
            <w:tcBorders>
              <w:top w:val="nil"/>
              <w:left w:val="single" w:sz="4" w:space="0" w:color="auto"/>
              <w:bottom w:val="single" w:sz="4" w:space="0" w:color="auto"/>
              <w:right w:val="single" w:sz="4" w:space="0" w:color="auto"/>
            </w:tcBorders>
            <w:shd w:val="clear" w:color="auto" w:fill="auto"/>
            <w:vAlign w:val="center"/>
            <w:hideMark/>
          </w:tcPr>
          <w:p w:rsidR="00FF6BD8" w:rsidRPr="00FF6BD8" w:rsidRDefault="00FF6BD8" w:rsidP="009D7B7D">
            <w:pPr>
              <w:ind w:left="-55"/>
              <w:rPr>
                <w:rFonts w:ascii="Arial" w:hAnsi="Arial" w:cs="Arial"/>
                <w:sz w:val="20"/>
              </w:rPr>
            </w:pPr>
            <w:r w:rsidRPr="00FF6BD8">
              <w:rPr>
                <w:rFonts w:ascii="Calibri" w:hAnsi="Calibri"/>
                <w:color w:val="000000"/>
                <w:sz w:val="20"/>
                <w:lang w:val="es-CO" w:eastAsia="es-CO"/>
              </w:rPr>
              <w:t xml:space="preserve">PORCENTAJE DEL </w:t>
            </w:r>
            <w:r w:rsidRPr="00FF6BD8">
              <w:rPr>
                <w:rFonts w:ascii="Arial" w:hAnsi="Arial" w:cs="Arial"/>
                <w:sz w:val="20"/>
              </w:rPr>
              <w:t>CUT</w:t>
            </w:r>
            <w:r w:rsidRPr="00FF6BD8">
              <w:rPr>
                <w:rFonts w:ascii="Arial" w:hAnsi="Arial" w:cs="Arial"/>
                <w:sz w:val="20"/>
                <w:vertAlign w:val="subscript"/>
              </w:rPr>
              <w:t>SA</w:t>
            </w:r>
            <w:r w:rsidRPr="00FF6BD8">
              <w:rPr>
                <w:rFonts w:ascii="Calibri" w:hAnsi="Calibri"/>
                <w:color w:val="000000"/>
                <w:sz w:val="20"/>
                <w:lang w:val="es-CO" w:eastAsia="es-CO"/>
              </w:rPr>
              <w:t xml:space="preserve"> QUE REMUNERA LA DEMANDA DE SAN ANDRES (Y%)</w:t>
            </w:r>
          </w:p>
        </w:tc>
        <w:tc>
          <w:tcPr>
            <w:tcW w:w="1833"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82"/>
              <w:jc w:val="center"/>
              <w:rPr>
                <w:rFonts w:ascii="Calibri" w:hAnsi="Calibri"/>
                <w:color w:val="000000"/>
                <w:sz w:val="20"/>
                <w:lang w:val="es-CO" w:eastAsia="es-CO"/>
              </w:rPr>
            </w:pPr>
            <w:r w:rsidRPr="00FF6BD8">
              <w:rPr>
                <w:rFonts w:ascii="Calibri" w:hAnsi="Calibri"/>
                <w:color w:val="000000"/>
                <w:sz w:val="20"/>
                <w:lang w:val="es-CO" w:eastAsia="es-CO"/>
              </w:rPr>
              <w:t>10%</w:t>
            </w:r>
          </w:p>
        </w:tc>
        <w:tc>
          <w:tcPr>
            <w:tcW w:w="2057"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0"/>
              <w:jc w:val="center"/>
              <w:rPr>
                <w:rFonts w:ascii="Calibri" w:hAnsi="Calibri"/>
                <w:color w:val="000000"/>
                <w:sz w:val="20"/>
                <w:lang w:val="es-CO" w:eastAsia="es-CO"/>
              </w:rPr>
            </w:pPr>
            <w:r w:rsidRPr="00FF6BD8">
              <w:rPr>
                <w:rFonts w:ascii="Calibri" w:hAnsi="Calibri"/>
                <w:color w:val="000000"/>
                <w:sz w:val="20"/>
                <w:lang w:val="es-CO" w:eastAsia="es-CO"/>
              </w:rPr>
              <w:t>10%</w:t>
            </w:r>
          </w:p>
        </w:tc>
        <w:tc>
          <w:tcPr>
            <w:tcW w:w="1474" w:type="dxa"/>
            <w:tcBorders>
              <w:top w:val="nil"/>
              <w:left w:val="nil"/>
              <w:bottom w:val="single" w:sz="4" w:space="0" w:color="auto"/>
              <w:right w:val="single" w:sz="4" w:space="0" w:color="auto"/>
            </w:tcBorders>
            <w:shd w:val="clear" w:color="000000" w:fill="FFFFFF"/>
            <w:noWrap/>
            <w:vAlign w:val="center"/>
            <w:hideMark/>
          </w:tcPr>
          <w:p w:rsidR="00FF6BD8" w:rsidRPr="00FF6BD8" w:rsidRDefault="00FF6BD8" w:rsidP="00FF6BD8">
            <w:pPr>
              <w:ind w:left="-18"/>
              <w:jc w:val="center"/>
              <w:rPr>
                <w:rFonts w:ascii="Calibri" w:hAnsi="Calibri"/>
                <w:color w:val="000000"/>
                <w:sz w:val="20"/>
                <w:lang w:val="es-CO" w:eastAsia="es-CO"/>
              </w:rPr>
            </w:pPr>
            <w:r w:rsidRPr="00FF6BD8">
              <w:rPr>
                <w:rFonts w:ascii="Calibri" w:hAnsi="Calibri"/>
                <w:color w:val="000000"/>
                <w:sz w:val="20"/>
                <w:lang w:val="es-CO" w:eastAsia="es-CO"/>
              </w:rPr>
              <w:t>10%</w:t>
            </w:r>
          </w:p>
        </w:tc>
      </w:tr>
    </w:tbl>
    <w:p w:rsidR="005A037C" w:rsidRDefault="005A037C" w:rsidP="005A037C">
      <w:pPr>
        <w:jc w:val="both"/>
        <w:rPr>
          <w:rFonts w:ascii="Bookman Old Style" w:hAnsi="Bookman Old Style"/>
          <w:szCs w:val="20"/>
          <w:lang w:val="es-CO"/>
        </w:rPr>
      </w:pPr>
    </w:p>
    <w:p w:rsidR="005A037C" w:rsidRPr="00C76DBB" w:rsidRDefault="005A037C" w:rsidP="005A037C">
      <w:pPr>
        <w:jc w:val="both"/>
        <w:rPr>
          <w:rFonts w:ascii="Bookman Old Style" w:hAnsi="Bookman Old Style"/>
          <w:szCs w:val="20"/>
          <w:lang w:val="es-CO"/>
        </w:rPr>
      </w:pPr>
      <w:r w:rsidRPr="000C6E84">
        <w:rPr>
          <w:rFonts w:ascii="Bookman Old Style" w:hAnsi="Bookman Old Style"/>
          <w:b/>
          <w:szCs w:val="20"/>
          <w:lang w:val="es-CO"/>
        </w:rPr>
        <w:t>Parágrafo:</w:t>
      </w:r>
      <w:r>
        <w:rPr>
          <w:rFonts w:ascii="Bookman Old Style" w:hAnsi="Bookman Old Style"/>
          <w:szCs w:val="20"/>
          <w:lang w:val="es-CO"/>
        </w:rPr>
        <w:t xml:space="preserve"> los valores base de estimación de cargos a aplicar, deberán ser los correspondientes al del punto de recibo más cercano al puerto con producto disponible. </w:t>
      </w:r>
    </w:p>
    <w:p w:rsidR="005A037C" w:rsidRDefault="005A037C" w:rsidP="005A037C">
      <w:pPr>
        <w:ind w:left="0"/>
        <w:rPr>
          <w:lang w:val="es-CO"/>
        </w:rPr>
      </w:pPr>
    </w:p>
    <w:p w:rsidR="00881A9A" w:rsidRDefault="00881A9A" w:rsidP="005A037C">
      <w:pPr>
        <w:ind w:left="0"/>
        <w:rPr>
          <w:lang w:val="es-CO"/>
        </w:rPr>
      </w:pPr>
    </w:p>
    <w:p w:rsidR="005A037C" w:rsidRDefault="005A037C" w:rsidP="005A037C">
      <w:pPr>
        <w:ind w:left="-142"/>
        <w:rPr>
          <w:rFonts w:ascii="Bookman Old Style" w:hAnsi="Bookman Old Style"/>
          <w:b/>
          <w:szCs w:val="20"/>
          <w:lang w:val="es-CO"/>
        </w:rPr>
      </w:pPr>
      <w:r w:rsidRPr="000C6E84">
        <w:rPr>
          <w:rFonts w:ascii="Bookman Old Style" w:hAnsi="Bookman Old Style"/>
          <w:b/>
          <w:szCs w:val="20"/>
          <w:lang w:val="es-CO"/>
        </w:rPr>
        <w:t xml:space="preserve">Artículo </w:t>
      </w:r>
      <w:r w:rsidRPr="000C6E84">
        <w:rPr>
          <w:rFonts w:ascii="Bookman Old Style" w:hAnsi="Bookman Old Style"/>
          <w:b/>
          <w:szCs w:val="20"/>
          <w:lang w:val="es-CO"/>
        </w:rPr>
        <w:fldChar w:fldCharType="begin"/>
      </w:r>
      <w:r w:rsidRPr="000C6E84">
        <w:rPr>
          <w:rFonts w:ascii="Bookman Old Style" w:hAnsi="Bookman Old Style"/>
          <w:b/>
          <w:szCs w:val="20"/>
          <w:lang w:val="es-CO"/>
        </w:rPr>
        <w:instrText xml:space="preserve"> SEQ Artículo \* ARABIC </w:instrText>
      </w:r>
      <w:r w:rsidRPr="000C6E84">
        <w:rPr>
          <w:rFonts w:ascii="Bookman Old Style" w:hAnsi="Bookman Old Style"/>
          <w:b/>
          <w:szCs w:val="20"/>
          <w:lang w:val="es-CO"/>
        </w:rPr>
        <w:fldChar w:fldCharType="separate"/>
      </w:r>
      <w:r w:rsidR="00776050">
        <w:rPr>
          <w:rFonts w:ascii="Bookman Old Style" w:hAnsi="Bookman Old Style"/>
          <w:b/>
          <w:noProof/>
          <w:szCs w:val="20"/>
          <w:lang w:val="es-CO"/>
        </w:rPr>
        <w:t>2</w:t>
      </w:r>
      <w:r w:rsidRPr="000C6E84">
        <w:rPr>
          <w:rFonts w:ascii="Bookman Old Style" w:hAnsi="Bookman Old Style"/>
          <w:b/>
          <w:szCs w:val="20"/>
          <w:lang w:val="es-CO"/>
        </w:rPr>
        <w:fldChar w:fldCharType="end"/>
      </w:r>
      <w:r w:rsidRPr="000C6E84">
        <w:rPr>
          <w:rFonts w:ascii="Bookman Old Style" w:hAnsi="Bookman Old Style"/>
          <w:b/>
          <w:szCs w:val="20"/>
          <w:lang w:val="es-CO"/>
        </w:rPr>
        <w:t>.</w:t>
      </w:r>
      <w:r>
        <w:rPr>
          <w:rFonts w:ascii="Bookman Old Style" w:hAnsi="Bookman Old Style"/>
          <w:b/>
          <w:szCs w:val="20"/>
          <w:lang w:val="es-CO"/>
        </w:rPr>
        <w:t xml:space="preserve"> Modifíquese el Anexo 1 de la Resolución 049 de 2011</w:t>
      </w:r>
    </w:p>
    <w:p w:rsidR="005A037C" w:rsidRDefault="005A037C" w:rsidP="005A037C">
      <w:pPr>
        <w:ind w:left="-142"/>
        <w:rPr>
          <w:rFonts w:ascii="Bookman Old Style" w:hAnsi="Bookman Old Style"/>
          <w:b/>
          <w:szCs w:val="20"/>
          <w:lang w:val="es-CO"/>
        </w:rPr>
      </w:pPr>
    </w:p>
    <w:p w:rsidR="00321480" w:rsidRDefault="00321480" w:rsidP="005A037C">
      <w:pPr>
        <w:ind w:left="-142"/>
        <w:jc w:val="center"/>
        <w:rPr>
          <w:rFonts w:ascii="Bookman Old Style" w:hAnsi="Bookman Old Style"/>
          <w:b/>
          <w:sz w:val="22"/>
          <w:szCs w:val="20"/>
          <w:lang w:val="es-CO"/>
        </w:rPr>
      </w:pPr>
    </w:p>
    <w:p w:rsidR="00881A9A" w:rsidRDefault="00881A9A" w:rsidP="005A037C">
      <w:pPr>
        <w:ind w:left="-142"/>
        <w:jc w:val="center"/>
        <w:rPr>
          <w:rFonts w:ascii="Bookman Old Style" w:hAnsi="Bookman Old Style"/>
          <w:b/>
          <w:sz w:val="22"/>
          <w:szCs w:val="20"/>
          <w:lang w:val="es-CO"/>
        </w:rPr>
      </w:pPr>
    </w:p>
    <w:p w:rsidR="00881A9A" w:rsidRDefault="00881A9A" w:rsidP="005A037C">
      <w:pPr>
        <w:ind w:left="-142"/>
        <w:jc w:val="center"/>
        <w:rPr>
          <w:rFonts w:ascii="Bookman Old Style" w:hAnsi="Bookman Old Style"/>
          <w:b/>
          <w:sz w:val="22"/>
          <w:szCs w:val="20"/>
          <w:lang w:val="es-CO"/>
        </w:rPr>
      </w:pPr>
    </w:p>
    <w:p w:rsidR="00881A9A" w:rsidRDefault="00881A9A" w:rsidP="005A037C">
      <w:pPr>
        <w:ind w:left="-142"/>
        <w:jc w:val="center"/>
        <w:rPr>
          <w:rFonts w:ascii="Bookman Old Style" w:hAnsi="Bookman Old Style"/>
          <w:b/>
          <w:sz w:val="22"/>
          <w:szCs w:val="20"/>
          <w:lang w:val="es-CO"/>
        </w:rPr>
      </w:pPr>
    </w:p>
    <w:p w:rsidR="005A037C" w:rsidRDefault="005A037C" w:rsidP="005A037C">
      <w:pPr>
        <w:ind w:left="-142"/>
        <w:jc w:val="center"/>
        <w:rPr>
          <w:rFonts w:ascii="Bookman Old Style" w:hAnsi="Bookman Old Style"/>
          <w:b/>
          <w:sz w:val="22"/>
          <w:szCs w:val="20"/>
          <w:lang w:val="es-CO"/>
        </w:rPr>
      </w:pPr>
      <w:r w:rsidRPr="0015264A">
        <w:rPr>
          <w:rFonts w:ascii="Bookman Old Style" w:hAnsi="Bookman Old Style"/>
          <w:b/>
          <w:sz w:val="22"/>
          <w:szCs w:val="20"/>
          <w:lang w:val="es-CO"/>
        </w:rPr>
        <w:t>INVERSIONES Y COSTO ANUAL DE DEPRECIACIÓN RECONOCIDOS</w:t>
      </w:r>
    </w:p>
    <w:p w:rsidR="00881A9A" w:rsidRPr="0015264A" w:rsidRDefault="00881A9A" w:rsidP="005A037C">
      <w:pPr>
        <w:ind w:left="-142"/>
        <w:jc w:val="center"/>
        <w:rPr>
          <w:rFonts w:ascii="Bookman Old Style" w:hAnsi="Bookman Old Style"/>
          <w:b/>
          <w:sz w:val="22"/>
          <w:szCs w:val="20"/>
          <w:lang w:val="es-CO"/>
        </w:rPr>
      </w:pPr>
    </w:p>
    <w:p w:rsidR="005A037C" w:rsidRDefault="003D1242" w:rsidP="00321480">
      <w:pPr>
        <w:ind w:left="0"/>
        <w:jc w:val="center"/>
        <w:rPr>
          <w:lang w:val="es-CO"/>
        </w:rPr>
      </w:pPr>
      <w:r w:rsidRPr="003D1242">
        <w:rPr>
          <w:noProof/>
          <w:lang w:val="es-CO" w:eastAsia="es-CO"/>
        </w:rPr>
        <w:drawing>
          <wp:inline distT="0" distB="0" distL="0" distR="0" wp14:anchorId="440CDC89" wp14:editId="3C755494">
            <wp:extent cx="5709260" cy="3019246"/>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2558" cy="3020990"/>
                    </a:xfrm>
                    <a:prstGeom prst="rect">
                      <a:avLst/>
                    </a:prstGeom>
                    <a:noFill/>
                    <a:ln>
                      <a:noFill/>
                    </a:ln>
                  </pic:spPr>
                </pic:pic>
              </a:graphicData>
            </a:graphic>
          </wp:inline>
        </w:drawing>
      </w:r>
    </w:p>
    <w:p w:rsidR="00321480" w:rsidRDefault="00321480" w:rsidP="005A037C">
      <w:pPr>
        <w:ind w:right="851"/>
        <w:jc w:val="center"/>
        <w:rPr>
          <w:rFonts w:ascii="Bookman Old Style" w:hAnsi="Bookman Old Style"/>
          <w:b/>
          <w:sz w:val="22"/>
          <w:szCs w:val="20"/>
          <w:lang w:val="es-CO"/>
        </w:rPr>
      </w:pPr>
    </w:p>
    <w:p w:rsidR="00881A9A" w:rsidRDefault="00881A9A" w:rsidP="00321480">
      <w:pPr>
        <w:keepNext/>
        <w:ind w:right="851"/>
        <w:jc w:val="center"/>
        <w:rPr>
          <w:rFonts w:ascii="Bookman Old Style" w:hAnsi="Bookman Old Style"/>
          <w:b/>
          <w:sz w:val="22"/>
          <w:szCs w:val="20"/>
          <w:lang w:val="es-CO"/>
        </w:rPr>
      </w:pPr>
    </w:p>
    <w:p w:rsidR="00881A9A" w:rsidRDefault="00881A9A" w:rsidP="00321480">
      <w:pPr>
        <w:keepNext/>
        <w:ind w:right="851"/>
        <w:jc w:val="center"/>
        <w:rPr>
          <w:rFonts w:ascii="Bookman Old Style" w:hAnsi="Bookman Old Style"/>
          <w:b/>
          <w:sz w:val="22"/>
          <w:szCs w:val="20"/>
          <w:lang w:val="es-CO"/>
        </w:rPr>
      </w:pPr>
    </w:p>
    <w:p w:rsidR="005A037C" w:rsidRDefault="005A037C" w:rsidP="00321480">
      <w:pPr>
        <w:keepNext/>
        <w:ind w:right="851"/>
        <w:jc w:val="center"/>
        <w:rPr>
          <w:rFonts w:ascii="Bookman Old Style" w:hAnsi="Bookman Old Style"/>
          <w:b/>
          <w:sz w:val="22"/>
          <w:szCs w:val="20"/>
          <w:lang w:val="es-CO"/>
        </w:rPr>
      </w:pPr>
      <w:r w:rsidRPr="0015264A">
        <w:rPr>
          <w:rFonts w:ascii="Bookman Old Style" w:hAnsi="Bookman Old Style"/>
          <w:b/>
          <w:sz w:val="22"/>
          <w:szCs w:val="20"/>
          <w:lang w:val="es-CO"/>
        </w:rPr>
        <w:t>GASTOS ANUALES DE ADMINISTRACIÓN OPERACIÓN Y MANTENIMIENTO – AOM RECONOCIDOS</w:t>
      </w:r>
    </w:p>
    <w:p w:rsidR="00881A9A" w:rsidRDefault="00881A9A" w:rsidP="00321480">
      <w:pPr>
        <w:keepNext/>
        <w:ind w:right="851"/>
        <w:jc w:val="center"/>
        <w:rPr>
          <w:rFonts w:ascii="Bookman Old Style" w:hAnsi="Bookman Old Style"/>
          <w:b/>
          <w:sz w:val="22"/>
          <w:szCs w:val="20"/>
          <w:lang w:val="es-CO"/>
        </w:rPr>
      </w:pPr>
    </w:p>
    <w:p w:rsidR="00881A9A" w:rsidRPr="0015264A" w:rsidRDefault="00881A9A" w:rsidP="00321480">
      <w:pPr>
        <w:keepNext/>
        <w:ind w:right="851"/>
        <w:jc w:val="center"/>
        <w:rPr>
          <w:rFonts w:ascii="Bookman Old Style" w:hAnsi="Bookman Old Style"/>
          <w:b/>
          <w:sz w:val="22"/>
          <w:szCs w:val="20"/>
          <w:lang w:val="es-CO"/>
        </w:rPr>
      </w:pPr>
    </w:p>
    <w:p w:rsidR="00F30A9D" w:rsidRDefault="00321480" w:rsidP="00321480">
      <w:pPr>
        <w:keepNext/>
        <w:ind w:left="0"/>
        <w:jc w:val="center"/>
        <w:rPr>
          <w:lang w:val="es-CO"/>
        </w:rPr>
      </w:pPr>
      <w:r w:rsidRPr="00321480">
        <w:rPr>
          <w:noProof/>
          <w:lang w:val="es-CO" w:eastAsia="es-CO"/>
        </w:rPr>
        <w:drawing>
          <wp:inline distT="0" distB="0" distL="0" distR="0">
            <wp:extent cx="5926455" cy="567626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6455" cy="5676265"/>
                    </a:xfrm>
                    <a:prstGeom prst="rect">
                      <a:avLst/>
                    </a:prstGeom>
                    <a:noFill/>
                    <a:ln>
                      <a:noFill/>
                    </a:ln>
                  </pic:spPr>
                </pic:pic>
              </a:graphicData>
            </a:graphic>
          </wp:inline>
        </w:drawing>
      </w:r>
    </w:p>
    <w:p w:rsidR="00F30A9D" w:rsidRDefault="00F30A9D" w:rsidP="005A037C">
      <w:pPr>
        <w:ind w:left="0"/>
        <w:rPr>
          <w:lang w:val="es-CO"/>
        </w:rPr>
      </w:pPr>
    </w:p>
    <w:p w:rsidR="00881A9A" w:rsidRDefault="00881A9A" w:rsidP="005A037C">
      <w:pPr>
        <w:ind w:left="0"/>
        <w:rPr>
          <w:lang w:val="es-CO"/>
        </w:rPr>
      </w:pPr>
    </w:p>
    <w:p w:rsidR="005A037C" w:rsidRPr="00254EC8" w:rsidRDefault="005A037C" w:rsidP="00C4407F">
      <w:pPr>
        <w:pStyle w:val="Ttulo1"/>
        <w:ind w:left="-142"/>
        <w:jc w:val="both"/>
        <w:rPr>
          <w:rFonts w:ascii="Bookman Old Style" w:hAnsi="Bookman Old Style"/>
          <w:b w:val="0"/>
          <w:bCs/>
          <w:szCs w:val="27"/>
        </w:rPr>
      </w:pPr>
      <w:r w:rsidRPr="00205ACC">
        <w:rPr>
          <w:rFonts w:ascii="Bookman Old Style" w:hAnsi="Bookman Old Style"/>
        </w:rPr>
        <w:t xml:space="preserve">Artículo </w:t>
      </w:r>
      <w:r w:rsidRPr="00205ACC">
        <w:rPr>
          <w:rFonts w:ascii="Bookman Old Style" w:hAnsi="Bookman Old Style"/>
        </w:rPr>
        <w:fldChar w:fldCharType="begin"/>
      </w:r>
      <w:r w:rsidRPr="00205ACC">
        <w:rPr>
          <w:rFonts w:ascii="Bookman Old Style" w:hAnsi="Bookman Old Style"/>
        </w:rPr>
        <w:instrText xml:space="preserve"> SEQ Artículo \* ARABIC </w:instrText>
      </w:r>
      <w:r w:rsidRPr="00205ACC">
        <w:rPr>
          <w:rFonts w:ascii="Bookman Old Style" w:hAnsi="Bookman Old Style"/>
        </w:rPr>
        <w:fldChar w:fldCharType="separate"/>
      </w:r>
      <w:r w:rsidR="00776050">
        <w:rPr>
          <w:rFonts w:ascii="Bookman Old Style" w:hAnsi="Bookman Old Style"/>
          <w:noProof/>
        </w:rPr>
        <w:t>3</w:t>
      </w:r>
      <w:r w:rsidRPr="00205ACC">
        <w:rPr>
          <w:rFonts w:ascii="Bookman Old Style" w:hAnsi="Bookman Old Style"/>
        </w:rPr>
        <w:fldChar w:fldCharType="end"/>
      </w:r>
      <w:r>
        <w:rPr>
          <w:rFonts w:ascii="Bookman Old Style" w:hAnsi="Bookman Old Style"/>
        </w:rPr>
        <w:t xml:space="preserve">. </w:t>
      </w:r>
      <w:r>
        <w:rPr>
          <w:rFonts w:ascii="Bookman Old Style" w:hAnsi="Bookman Old Style"/>
          <w:b w:val="0"/>
        </w:rPr>
        <w:t xml:space="preserve">Informar a la Superintendencia de Servicios Públicos Domiciliarios el resultado de la presente resolución en cumplimiento de las competencias de esta Comisión, especialmente las asignadas mediante el </w:t>
      </w:r>
      <w:r w:rsidRPr="00424C38">
        <w:rPr>
          <w:rFonts w:ascii="Bookman Old Style" w:hAnsi="Bookman Old Style"/>
          <w:b w:val="0"/>
          <w:lang w:val="es-ES"/>
        </w:rPr>
        <w:t>artículo 73.18</w:t>
      </w:r>
      <w:r>
        <w:rPr>
          <w:rFonts w:ascii="Bookman Old Style" w:hAnsi="Bookman Old Style"/>
          <w:b w:val="0"/>
          <w:lang w:val="es-ES"/>
        </w:rPr>
        <w:t xml:space="preserve"> de la</w:t>
      </w:r>
      <w:r w:rsidRPr="00424C38">
        <w:rPr>
          <w:rFonts w:ascii="Bookman Old Style" w:hAnsi="Bookman Old Style"/>
          <w:b w:val="0"/>
          <w:lang w:val="es-ES"/>
        </w:rPr>
        <w:t xml:space="preserve"> Ley142-1994</w:t>
      </w:r>
      <w:r>
        <w:rPr>
          <w:rFonts w:ascii="Bookman Old Style" w:hAnsi="Bookman Old Style"/>
          <w:b w:val="0"/>
        </w:rPr>
        <w:t xml:space="preserve"> y considerando todo lo enunciado en la parte motivada del presente acto administrativo.</w:t>
      </w:r>
    </w:p>
    <w:p w:rsidR="00881A9A" w:rsidRDefault="00881A9A" w:rsidP="00C4407F"/>
    <w:p w:rsidR="00881A9A" w:rsidRDefault="00881A9A" w:rsidP="00C4407F"/>
    <w:p w:rsidR="005A037C" w:rsidRPr="00254EC8" w:rsidRDefault="005A037C" w:rsidP="00C4407F">
      <w:pPr>
        <w:pStyle w:val="Ttulo1"/>
        <w:ind w:left="-142"/>
        <w:jc w:val="both"/>
        <w:rPr>
          <w:rFonts w:ascii="Bookman Old Style" w:hAnsi="Bookman Old Style"/>
          <w:b w:val="0"/>
          <w:bCs/>
          <w:szCs w:val="27"/>
        </w:rPr>
      </w:pPr>
      <w:r w:rsidRPr="00205ACC">
        <w:rPr>
          <w:rFonts w:ascii="Bookman Old Style" w:hAnsi="Bookman Old Style"/>
        </w:rPr>
        <w:t xml:space="preserve">Artículo </w:t>
      </w:r>
      <w:r w:rsidRPr="00205ACC">
        <w:rPr>
          <w:rFonts w:ascii="Bookman Old Style" w:hAnsi="Bookman Old Style"/>
        </w:rPr>
        <w:fldChar w:fldCharType="begin"/>
      </w:r>
      <w:r w:rsidRPr="00205ACC">
        <w:rPr>
          <w:rFonts w:ascii="Bookman Old Style" w:hAnsi="Bookman Old Style"/>
        </w:rPr>
        <w:instrText xml:space="preserve"> SEQ Artículo \* ARABIC </w:instrText>
      </w:r>
      <w:r w:rsidRPr="00205ACC">
        <w:rPr>
          <w:rFonts w:ascii="Bookman Old Style" w:hAnsi="Bookman Old Style"/>
        </w:rPr>
        <w:fldChar w:fldCharType="separate"/>
      </w:r>
      <w:r w:rsidR="00776050">
        <w:rPr>
          <w:rFonts w:ascii="Bookman Old Style" w:hAnsi="Bookman Old Style"/>
          <w:noProof/>
        </w:rPr>
        <w:t>4</w:t>
      </w:r>
      <w:r w:rsidRPr="00205ACC">
        <w:rPr>
          <w:rFonts w:ascii="Bookman Old Style" w:hAnsi="Bookman Old Style"/>
        </w:rPr>
        <w:fldChar w:fldCharType="end"/>
      </w:r>
      <w:r>
        <w:rPr>
          <w:rFonts w:ascii="Bookman Old Style" w:hAnsi="Bookman Old Style"/>
        </w:rPr>
        <w:t xml:space="preserve">. </w:t>
      </w:r>
      <w:r w:rsidRPr="005023D3">
        <w:rPr>
          <w:rFonts w:ascii="Bookman Old Style" w:hAnsi="Bookman Old Style"/>
          <w:b w:val="0"/>
        </w:rPr>
        <w:t xml:space="preserve">La presente Resolución deberá notificarse a la empresa </w:t>
      </w:r>
      <w:r w:rsidR="006263AE">
        <w:rPr>
          <w:rFonts w:ascii="Bookman Old Style" w:hAnsi="Bookman Old Style"/>
          <w:b w:val="0"/>
        </w:rPr>
        <w:t xml:space="preserve">PROVIGAS S.A. E.S.P </w:t>
      </w:r>
      <w:r w:rsidRPr="00D51249">
        <w:rPr>
          <w:rFonts w:ascii="Bookman Old Style" w:hAnsi="Bookman Old Style"/>
          <w:b w:val="0"/>
        </w:rPr>
        <w:t xml:space="preserve"> </w:t>
      </w:r>
      <w:r w:rsidRPr="005023D3">
        <w:rPr>
          <w:rFonts w:ascii="Bookman Old Style" w:hAnsi="Bookman Old Style"/>
          <w:b w:val="0"/>
        </w:rPr>
        <w:t xml:space="preserve">y publicarse en el </w:t>
      </w:r>
      <w:r w:rsidRPr="005023D3">
        <w:rPr>
          <w:rFonts w:ascii="Bookman Old Style" w:hAnsi="Bookman Old Style"/>
          <w:b w:val="0"/>
          <w:i/>
        </w:rPr>
        <w:t>Diario Oficial</w:t>
      </w:r>
      <w:r w:rsidRPr="005023D3">
        <w:rPr>
          <w:rFonts w:ascii="Bookman Old Style" w:hAnsi="Bookman Old Style"/>
          <w:b w:val="0"/>
        </w:rPr>
        <w:t xml:space="preserve">. Contra las disposiciones contenidas en esta </w:t>
      </w:r>
      <w:r w:rsidR="00D855E7">
        <w:rPr>
          <w:rFonts w:ascii="Bookman Old Style" w:hAnsi="Bookman Old Style"/>
          <w:b w:val="0"/>
        </w:rPr>
        <w:t>r</w:t>
      </w:r>
      <w:r w:rsidRPr="005023D3">
        <w:rPr>
          <w:rFonts w:ascii="Bookman Old Style" w:hAnsi="Bookman Old Style"/>
          <w:b w:val="0"/>
        </w:rPr>
        <w:t>esolución procede el recurso de reposición, el cual podrá interponer</w:t>
      </w:r>
      <w:r w:rsidR="006263AE">
        <w:rPr>
          <w:rFonts w:ascii="Bookman Old Style" w:hAnsi="Bookman Old Style"/>
          <w:b w:val="0"/>
        </w:rPr>
        <w:t xml:space="preserve"> la empresa</w:t>
      </w:r>
      <w:r w:rsidRPr="005023D3">
        <w:rPr>
          <w:rFonts w:ascii="Bookman Old Style" w:hAnsi="Bookman Old Style"/>
          <w:b w:val="0"/>
        </w:rPr>
        <w:t xml:space="preserve"> ante la Dirección Ejecutiva de la CREG dentro de los cinco (5) días hábiles siguientes a la fecha de su notificación.</w:t>
      </w:r>
      <w:bookmarkStart w:id="1" w:name="Art:4"/>
      <w:bookmarkEnd w:id="1"/>
    </w:p>
    <w:p w:rsidR="005A037C" w:rsidRPr="005A037C" w:rsidRDefault="005A037C" w:rsidP="005A037C">
      <w:pPr>
        <w:ind w:left="0"/>
        <w:rPr>
          <w:lang w:val="es-CO"/>
        </w:rPr>
      </w:pPr>
    </w:p>
    <w:p w:rsidR="00B07E78" w:rsidRDefault="00B07E78" w:rsidP="004C4C34">
      <w:pPr>
        <w:ind w:left="0"/>
        <w:contextualSpacing/>
        <w:jc w:val="both"/>
        <w:rPr>
          <w:rFonts w:ascii="Bookman Old Style" w:hAnsi="Bookman Old Style"/>
        </w:rPr>
      </w:pPr>
    </w:p>
    <w:p w:rsidR="004C4C34" w:rsidRPr="00995452" w:rsidRDefault="00995452" w:rsidP="00995452">
      <w:pPr>
        <w:contextualSpacing/>
        <w:jc w:val="center"/>
        <w:rPr>
          <w:rFonts w:ascii="Bookman Old Style" w:hAnsi="Bookman Old Style"/>
          <w:b/>
        </w:rPr>
      </w:pPr>
      <w:r>
        <w:rPr>
          <w:rFonts w:ascii="Bookman Old Style" w:hAnsi="Bookman Old Style"/>
          <w:b/>
        </w:rPr>
        <w:t>PUBLÍQUESE Y CÚMPLASE</w:t>
      </w:r>
    </w:p>
    <w:p w:rsidR="007372B9" w:rsidRPr="00FD4113" w:rsidRDefault="007372B9" w:rsidP="004C4C34">
      <w:pPr>
        <w:contextualSpacing/>
        <w:rPr>
          <w:rFonts w:ascii="Bookman Old Style" w:hAnsi="Bookman Old Style"/>
        </w:rPr>
      </w:pPr>
    </w:p>
    <w:p w:rsidR="004C4C34" w:rsidRPr="00FD4113" w:rsidRDefault="00081D29" w:rsidP="004C4C34">
      <w:pPr>
        <w:ind w:left="0"/>
        <w:contextualSpacing/>
        <w:rPr>
          <w:rFonts w:ascii="Bookman Old Style" w:hAnsi="Bookman Old Style"/>
        </w:rPr>
      </w:pPr>
      <w:r>
        <w:rPr>
          <w:rFonts w:ascii="Bookman Old Style" w:hAnsi="Bookman Old Style"/>
        </w:rPr>
        <w:t>Dada en Bogotá D.C. a</w:t>
      </w:r>
    </w:p>
    <w:p w:rsidR="004C4C34" w:rsidRPr="00FD4113" w:rsidRDefault="004C4C34" w:rsidP="004C4C34">
      <w:pPr>
        <w:ind w:left="0"/>
        <w:contextualSpacing/>
        <w:rPr>
          <w:rFonts w:ascii="Bookman Old Style" w:hAnsi="Bookman Old Style"/>
        </w:rPr>
      </w:pPr>
    </w:p>
    <w:p w:rsidR="004C4C34" w:rsidRPr="00FD4113" w:rsidRDefault="004C4C34" w:rsidP="004C4C34">
      <w:pPr>
        <w:ind w:left="0"/>
        <w:contextualSpacing/>
        <w:rPr>
          <w:rFonts w:ascii="Bookman Old Style" w:hAnsi="Bookman Old Style"/>
          <w:sz w:val="20"/>
        </w:rPr>
      </w:pPr>
    </w:p>
    <w:p w:rsidR="004C4C34" w:rsidRPr="00FD4113" w:rsidRDefault="004C4C34" w:rsidP="004C4C34">
      <w:pPr>
        <w:ind w:left="0"/>
        <w:contextualSpacing/>
        <w:rPr>
          <w:rFonts w:ascii="Bookman Old Style" w:hAnsi="Bookman Old Style"/>
        </w:rPr>
      </w:pPr>
    </w:p>
    <w:p w:rsidR="004C4C34" w:rsidRPr="00FD4113" w:rsidRDefault="004C4C34" w:rsidP="004C4C34">
      <w:pPr>
        <w:ind w:left="0"/>
        <w:contextualSpacing/>
        <w:rPr>
          <w:rFonts w:ascii="Bookman Old Style" w:hAnsi="Bookman Old Style"/>
        </w:rPr>
      </w:pPr>
    </w:p>
    <w:p w:rsidR="000F5F24" w:rsidRPr="00FD4113" w:rsidRDefault="000F5F24" w:rsidP="004C4C34">
      <w:pPr>
        <w:ind w:left="0"/>
        <w:contextualSpacing/>
        <w:rPr>
          <w:rFonts w:ascii="Bookman Old Style" w:hAnsi="Bookman Old Style"/>
        </w:rPr>
      </w:pPr>
    </w:p>
    <w:tbl>
      <w:tblPr>
        <w:tblW w:w="9782" w:type="dxa"/>
        <w:jc w:val="center"/>
        <w:tblCellSpacing w:w="0" w:type="dxa"/>
        <w:tblCellMar>
          <w:left w:w="0" w:type="dxa"/>
          <w:right w:w="0" w:type="dxa"/>
        </w:tblCellMar>
        <w:tblLook w:val="0000" w:firstRow="0" w:lastRow="0" w:firstColumn="0" w:lastColumn="0" w:noHBand="0" w:noVBand="0"/>
      </w:tblPr>
      <w:tblGrid>
        <w:gridCol w:w="5104"/>
        <w:gridCol w:w="4678"/>
      </w:tblGrid>
      <w:tr w:rsidR="004C4C34" w:rsidRPr="00FD4113" w:rsidTr="0032412C">
        <w:trPr>
          <w:tblCellSpacing w:w="0" w:type="dxa"/>
          <w:jc w:val="center"/>
        </w:trPr>
        <w:tc>
          <w:tcPr>
            <w:tcW w:w="5104" w:type="dxa"/>
          </w:tcPr>
          <w:p w:rsidR="004C4C34" w:rsidRPr="00FD4113" w:rsidRDefault="00881A9A" w:rsidP="00AC3260">
            <w:pPr>
              <w:widowControl w:val="0"/>
              <w:ind w:left="89"/>
              <w:jc w:val="center"/>
              <w:rPr>
                <w:rFonts w:ascii="Bookman Old Style" w:hAnsi="Bookman Old Style" w:cs="Arial"/>
                <w:b/>
                <w:spacing w:val="-3"/>
              </w:rPr>
            </w:pPr>
            <w:r>
              <w:rPr>
                <w:rFonts w:ascii="Bookman Old Style" w:hAnsi="Bookman Old Style" w:cs="Arial"/>
                <w:b/>
                <w:spacing w:val="-3"/>
              </w:rPr>
              <w:t>GERMÁN ARCE ZAPATA</w:t>
            </w:r>
          </w:p>
          <w:p w:rsidR="004C4C34" w:rsidRPr="00FD4113" w:rsidRDefault="004C4C34" w:rsidP="00AC3260">
            <w:pPr>
              <w:widowControl w:val="0"/>
              <w:ind w:left="66"/>
              <w:jc w:val="center"/>
              <w:rPr>
                <w:rFonts w:ascii="Bookman Old Style" w:hAnsi="Bookman Old Style" w:cs="Arial"/>
                <w:spacing w:val="-3"/>
              </w:rPr>
            </w:pPr>
            <w:r w:rsidRPr="00FD4113">
              <w:rPr>
                <w:rFonts w:ascii="Bookman Old Style" w:hAnsi="Bookman Old Style" w:cs="Arial"/>
                <w:spacing w:val="-3"/>
              </w:rPr>
              <w:t>Ministro de Minas y Energía</w:t>
            </w:r>
          </w:p>
        </w:tc>
        <w:tc>
          <w:tcPr>
            <w:tcW w:w="4678" w:type="dxa"/>
          </w:tcPr>
          <w:p w:rsidR="004C4C34" w:rsidRPr="00FD4113" w:rsidRDefault="004C1979" w:rsidP="00AC3260">
            <w:pPr>
              <w:widowControl w:val="0"/>
              <w:ind w:left="89"/>
              <w:jc w:val="center"/>
              <w:rPr>
                <w:rFonts w:ascii="Bookman Old Style" w:hAnsi="Bookman Old Style" w:cs="Arial"/>
                <w:b/>
                <w:spacing w:val="-3"/>
              </w:rPr>
            </w:pPr>
            <w:r>
              <w:rPr>
                <w:rFonts w:ascii="Bookman Old Style" w:hAnsi="Bookman Old Style" w:cs="Arial"/>
                <w:b/>
                <w:spacing w:val="-3"/>
              </w:rPr>
              <w:t>JORGE PINTO NOLLA</w:t>
            </w:r>
          </w:p>
          <w:p w:rsidR="004C4C34" w:rsidRPr="00FD4113" w:rsidRDefault="004C4C34" w:rsidP="004C1979">
            <w:pPr>
              <w:widowControl w:val="0"/>
              <w:ind w:left="89"/>
              <w:jc w:val="center"/>
              <w:rPr>
                <w:rFonts w:ascii="Bookman Old Style" w:eastAsia="Arial Unicode MS" w:hAnsi="Bookman Old Style" w:cs="Arial"/>
                <w:bCs/>
              </w:rPr>
            </w:pPr>
            <w:r w:rsidRPr="00FD4113">
              <w:rPr>
                <w:rFonts w:ascii="Bookman Old Style" w:hAnsi="Bookman Old Style" w:cs="Arial"/>
                <w:spacing w:val="-3"/>
              </w:rPr>
              <w:t>Director Ejecutivo</w:t>
            </w:r>
            <w:r w:rsidR="00995452">
              <w:rPr>
                <w:rFonts w:ascii="Bookman Old Style" w:hAnsi="Bookman Old Style" w:cs="Arial"/>
                <w:spacing w:val="-3"/>
              </w:rPr>
              <w:t xml:space="preserve"> </w:t>
            </w:r>
          </w:p>
        </w:tc>
      </w:tr>
      <w:tr w:rsidR="004C4C34" w:rsidRPr="00FD4113" w:rsidTr="0032412C">
        <w:trPr>
          <w:tblCellSpacing w:w="0" w:type="dxa"/>
          <w:jc w:val="center"/>
        </w:trPr>
        <w:tc>
          <w:tcPr>
            <w:tcW w:w="5104" w:type="dxa"/>
          </w:tcPr>
          <w:p w:rsidR="004C4C34" w:rsidRPr="00FD4113" w:rsidRDefault="004C4C34" w:rsidP="00AC3260">
            <w:pPr>
              <w:widowControl w:val="0"/>
              <w:ind w:left="66"/>
              <w:jc w:val="center"/>
              <w:rPr>
                <w:rFonts w:ascii="Bookman Old Style" w:eastAsia="Arial Unicode MS" w:hAnsi="Bookman Old Style" w:cs="Arial"/>
                <w:color w:val="000000"/>
              </w:rPr>
            </w:pPr>
            <w:r w:rsidRPr="00FD4113">
              <w:rPr>
                <w:rFonts w:ascii="Bookman Old Style" w:hAnsi="Bookman Old Style" w:cs="Arial"/>
                <w:spacing w:val="-3"/>
              </w:rPr>
              <w:t>Presidente</w:t>
            </w:r>
          </w:p>
        </w:tc>
        <w:tc>
          <w:tcPr>
            <w:tcW w:w="4678" w:type="dxa"/>
          </w:tcPr>
          <w:p w:rsidR="004C4C34" w:rsidRPr="00FD4113" w:rsidRDefault="004C4C34" w:rsidP="00AC3260">
            <w:pPr>
              <w:widowControl w:val="0"/>
              <w:jc w:val="center"/>
              <w:rPr>
                <w:rFonts w:ascii="Bookman Old Style" w:eastAsia="Arial Unicode MS" w:hAnsi="Bookman Old Style" w:cs="Arial"/>
                <w:color w:val="000000"/>
              </w:rPr>
            </w:pPr>
          </w:p>
        </w:tc>
      </w:tr>
    </w:tbl>
    <w:p w:rsidR="00E060BE" w:rsidRPr="00FD4113" w:rsidRDefault="00E060BE" w:rsidP="00AC3260">
      <w:pPr>
        <w:widowControl w:val="0"/>
        <w:ind w:left="0"/>
        <w:rPr>
          <w:rFonts w:ascii="Bookman Old Style" w:hAnsi="Bookman Old Style"/>
        </w:rPr>
      </w:pPr>
    </w:p>
    <w:sectPr w:rsidR="00E060BE" w:rsidRPr="00FD4113"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FD" w:rsidRDefault="002C4AFD">
      <w:r>
        <w:separator/>
      </w:r>
    </w:p>
  </w:endnote>
  <w:endnote w:type="continuationSeparator" w:id="0">
    <w:p w:rsidR="002C4AFD" w:rsidRDefault="002C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FD" w:rsidRDefault="002C4AFD">
      <w:r>
        <w:separator/>
      </w:r>
    </w:p>
  </w:footnote>
  <w:footnote w:type="continuationSeparator" w:id="0">
    <w:p w:rsidR="002C4AFD" w:rsidRDefault="002C4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B9" w:rsidRDefault="00103FB9" w:rsidP="00951F79">
    <w:pPr>
      <w:pStyle w:val="Ttulo1"/>
      <w:ind w:right="6"/>
      <w:jc w:val="left"/>
      <w:rPr>
        <w:rFonts w:ascii="Bookman Old Style" w:hAnsi="Bookman Old Style" w:cs="Arial"/>
        <w:b w:val="0"/>
        <w:sz w:val="22"/>
        <w:szCs w:val="22"/>
      </w:rPr>
    </w:pPr>
  </w:p>
  <w:p w:rsidR="00103FB9" w:rsidRPr="00951F79" w:rsidRDefault="00103FB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A66BC">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A66BC" w:rsidRPr="002A66BC">
        <w:rPr>
          <w:rFonts w:ascii="Bookman Old Style" w:hAnsi="Bookman Old Style" w:cs="Arial"/>
          <w:b w:val="0"/>
          <w:noProof/>
          <w:sz w:val="22"/>
          <w:szCs w:val="22"/>
        </w:rPr>
        <w:t>10</w:t>
      </w:r>
    </w:fldSimple>
  </w:p>
  <w:p w:rsidR="00103FB9" w:rsidRDefault="00103FB9"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2E51A1D" wp14:editId="1A278BE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20ED3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81A9A" w:rsidRPr="00881A9A" w:rsidRDefault="00881A9A" w:rsidP="00881A9A">
    <w:pPr>
      <w:ind w:left="0"/>
      <w:jc w:val="both"/>
      <w:rPr>
        <w:rFonts w:ascii="Bookman Old Style" w:hAnsi="Bookman Old Style" w:cs="Arial"/>
        <w:b/>
        <w:sz w:val="22"/>
        <w:szCs w:val="22"/>
        <w:lang w:val="es-CO"/>
      </w:rPr>
    </w:pPr>
    <w:r w:rsidRPr="00881A9A">
      <w:rPr>
        <w:rFonts w:ascii="Bookman Old Style" w:hAnsi="Bookman Old Style" w:cs="Arial"/>
        <w:sz w:val="22"/>
        <w:szCs w:val="22"/>
        <w:lang w:val="es-CO"/>
      </w:rPr>
      <w:t xml:space="preserve">Por la cual </w:t>
    </w:r>
    <w:r w:rsidRPr="00881A9A">
      <w:rPr>
        <w:rFonts w:ascii="Bookman Old Style" w:hAnsi="Bookman Old Style"/>
        <w:bCs/>
        <w:sz w:val="22"/>
        <w:szCs w:val="22"/>
        <w:lang w:val="es-CO"/>
      </w:rPr>
      <w:t xml:space="preserve">se decide la solicitud de revisión tarifaria de los cargos aprobados mediante la Resolución CREG 049 de 2011 modificada por la Resolución CREG 149 de 2015 para la remuneración de la actividad de transporte de gas licuado de petróleo (GLP) al Archipiélago de San Andrés, Providencia y Santa Catalina presentada por la empresa PROVIGAS S.A. E.S.P. </w:t>
    </w:r>
  </w:p>
  <w:p w:rsidR="00103FB9" w:rsidRPr="00B3714F" w:rsidRDefault="00103FB9" w:rsidP="00E83574">
    <w:pPr>
      <w:pBdr>
        <w:bottom w:val="single" w:sz="4" w:space="1" w:color="auto"/>
      </w:pBdr>
      <w:ind w:left="0" w:right="148"/>
      <w:jc w:val="both"/>
      <w:rPr>
        <w:b/>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B9" w:rsidRDefault="00103FB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103FB9" w:rsidRDefault="00103FB9">
    <w:pPr>
      <w:pStyle w:val="Encabezado"/>
      <w:jc w:val="center"/>
      <w:rPr>
        <w:rFonts w:ascii="Arial" w:hAnsi="Arial" w:cs="Arial"/>
        <w:spacing w:val="20"/>
        <w:sz w:val="20"/>
      </w:rPr>
    </w:pPr>
  </w:p>
  <w:p w:rsidR="00103FB9" w:rsidRDefault="00103FB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71E17AE" wp14:editId="687F51A3">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40C71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Arial" w:hAnsi="Arial" w:cs="Arial"/>
        <w:b/>
        <w:bCs/>
        <w:i w:val="0"/>
        <w:iCs w:val="0"/>
        <w:smallCaps w:val="0"/>
        <w:strike w:val="0"/>
        <w:color w:val="000000"/>
        <w:spacing w:val="0"/>
        <w:w w:val="100"/>
        <w:position w:val="0"/>
        <w:sz w:val="23"/>
        <w:szCs w:val="23"/>
        <w:u w:val="none"/>
      </w:rPr>
    </w:lvl>
    <w:lvl w:ilvl="1">
      <w:start w:val="1"/>
      <w:numFmt w:val="decimal"/>
      <w:lvlText w:val="%1.%2."/>
      <w:lvlJc w:val="left"/>
      <w:rPr>
        <w:rFonts w:ascii="Arial" w:hAnsi="Arial" w:cs="Arial"/>
        <w:b/>
        <w:bCs/>
        <w:i w:val="0"/>
        <w:iCs w:val="0"/>
        <w:smallCaps w:val="0"/>
        <w:strike w:val="0"/>
        <w:color w:val="000000"/>
        <w:spacing w:val="0"/>
        <w:w w:val="100"/>
        <w:position w:val="0"/>
        <w:sz w:val="23"/>
        <w:szCs w:val="23"/>
        <w:u w:val="none"/>
      </w:rPr>
    </w:lvl>
    <w:lvl w:ilvl="2">
      <w:start w:val="1"/>
      <w:numFmt w:val="decimal"/>
      <w:lvlText w:val="%1.%2."/>
      <w:lvlJc w:val="left"/>
      <w:rPr>
        <w:rFonts w:ascii="Arial" w:hAnsi="Arial" w:cs="Arial"/>
        <w:b/>
        <w:bCs/>
        <w:i w:val="0"/>
        <w:iCs w:val="0"/>
        <w:smallCaps w:val="0"/>
        <w:strike w:val="0"/>
        <w:color w:val="000000"/>
        <w:spacing w:val="0"/>
        <w:w w:val="100"/>
        <w:position w:val="0"/>
        <w:sz w:val="23"/>
        <w:szCs w:val="23"/>
        <w:u w:val="none"/>
      </w:rPr>
    </w:lvl>
    <w:lvl w:ilvl="3">
      <w:start w:val="1"/>
      <w:numFmt w:val="decimal"/>
      <w:lvlText w:val="%1.%2."/>
      <w:lvlJc w:val="left"/>
      <w:rPr>
        <w:rFonts w:ascii="Arial" w:hAnsi="Arial" w:cs="Arial"/>
        <w:b/>
        <w:bCs/>
        <w:i w:val="0"/>
        <w:iCs w:val="0"/>
        <w:smallCaps w:val="0"/>
        <w:strike w:val="0"/>
        <w:color w:val="000000"/>
        <w:spacing w:val="0"/>
        <w:w w:val="100"/>
        <w:position w:val="0"/>
        <w:sz w:val="23"/>
        <w:szCs w:val="23"/>
        <w:u w:val="none"/>
      </w:rPr>
    </w:lvl>
    <w:lvl w:ilvl="4">
      <w:start w:val="1"/>
      <w:numFmt w:val="decimal"/>
      <w:lvlText w:val="%1.%2."/>
      <w:lvlJc w:val="left"/>
      <w:rPr>
        <w:rFonts w:ascii="Arial" w:hAnsi="Arial" w:cs="Arial"/>
        <w:b/>
        <w:bCs/>
        <w:i w:val="0"/>
        <w:iCs w:val="0"/>
        <w:smallCaps w:val="0"/>
        <w:strike w:val="0"/>
        <w:color w:val="000000"/>
        <w:spacing w:val="0"/>
        <w:w w:val="100"/>
        <w:position w:val="0"/>
        <w:sz w:val="23"/>
        <w:szCs w:val="23"/>
        <w:u w:val="none"/>
      </w:rPr>
    </w:lvl>
    <w:lvl w:ilvl="5">
      <w:start w:val="1"/>
      <w:numFmt w:val="decimal"/>
      <w:lvlText w:val="%1.%2."/>
      <w:lvlJc w:val="left"/>
      <w:rPr>
        <w:rFonts w:ascii="Arial" w:hAnsi="Arial" w:cs="Arial"/>
        <w:b/>
        <w:bCs/>
        <w:i w:val="0"/>
        <w:iCs w:val="0"/>
        <w:smallCaps w:val="0"/>
        <w:strike w:val="0"/>
        <w:color w:val="000000"/>
        <w:spacing w:val="0"/>
        <w:w w:val="100"/>
        <w:position w:val="0"/>
        <w:sz w:val="23"/>
        <w:szCs w:val="23"/>
        <w:u w:val="none"/>
      </w:rPr>
    </w:lvl>
    <w:lvl w:ilvl="6">
      <w:start w:val="1"/>
      <w:numFmt w:val="decimal"/>
      <w:lvlText w:val="%1.%2."/>
      <w:lvlJc w:val="left"/>
      <w:rPr>
        <w:rFonts w:ascii="Arial" w:hAnsi="Arial" w:cs="Arial"/>
        <w:b/>
        <w:bCs/>
        <w:i w:val="0"/>
        <w:iCs w:val="0"/>
        <w:smallCaps w:val="0"/>
        <w:strike w:val="0"/>
        <w:color w:val="000000"/>
        <w:spacing w:val="0"/>
        <w:w w:val="100"/>
        <w:position w:val="0"/>
        <w:sz w:val="23"/>
        <w:szCs w:val="23"/>
        <w:u w:val="none"/>
      </w:rPr>
    </w:lvl>
    <w:lvl w:ilvl="7">
      <w:start w:val="1"/>
      <w:numFmt w:val="decimal"/>
      <w:lvlText w:val="%1.%2."/>
      <w:lvlJc w:val="left"/>
      <w:rPr>
        <w:rFonts w:ascii="Arial" w:hAnsi="Arial" w:cs="Arial"/>
        <w:b/>
        <w:bCs/>
        <w:i w:val="0"/>
        <w:iCs w:val="0"/>
        <w:smallCaps w:val="0"/>
        <w:strike w:val="0"/>
        <w:color w:val="000000"/>
        <w:spacing w:val="0"/>
        <w:w w:val="100"/>
        <w:position w:val="0"/>
        <w:sz w:val="23"/>
        <w:szCs w:val="23"/>
        <w:u w:val="none"/>
      </w:rPr>
    </w:lvl>
    <w:lvl w:ilvl="8">
      <w:start w:val="1"/>
      <w:numFmt w:val="decimal"/>
      <w:lvlText w:val="%1.%2."/>
      <w:lvlJc w:val="left"/>
      <w:rPr>
        <w:rFonts w:ascii="Arial" w:hAnsi="Arial" w:cs="Arial"/>
        <w:b/>
        <w:bCs/>
        <w:i w:val="0"/>
        <w:iCs w:val="0"/>
        <w:smallCaps w:val="0"/>
        <w:strike w:val="0"/>
        <w:color w:val="000000"/>
        <w:spacing w:val="0"/>
        <w:w w:val="100"/>
        <w:position w:val="0"/>
        <w:sz w:val="23"/>
        <w:szCs w:val="23"/>
        <w:u w:val="none"/>
      </w:rPr>
    </w:lvl>
  </w:abstractNum>
  <w:abstractNum w:abstractNumId="1">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BFF6804"/>
    <w:multiLevelType w:val="hybridMultilevel"/>
    <w:tmpl w:val="6BF02F86"/>
    <w:lvl w:ilvl="0" w:tplc="0C440C52">
      <w:start w:val="1"/>
      <w:numFmt w:val="upperRoman"/>
      <w:lvlText w:val="%1."/>
      <w:lvlJc w:val="left"/>
      <w:pPr>
        <w:ind w:left="578" w:hanging="72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7">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3B64E5B"/>
    <w:multiLevelType w:val="hybridMultilevel"/>
    <w:tmpl w:val="82C2E48E"/>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nsid w:val="17C64477"/>
    <w:multiLevelType w:val="hybridMultilevel"/>
    <w:tmpl w:val="39ECA18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975598B"/>
    <w:multiLevelType w:val="hybridMultilevel"/>
    <w:tmpl w:val="13BC8F64"/>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AA42C75"/>
    <w:multiLevelType w:val="hybridMultilevel"/>
    <w:tmpl w:val="82C2E48E"/>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nsid w:val="1CBA4779"/>
    <w:multiLevelType w:val="hybridMultilevel"/>
    <w:tmpl w:val="988EE6D6"/>
    <w:lvl w:ilvl="0" w:tplc="0C0A000F">
      <w:start w:val="1"/>
      <w:numFmt w:val="decimal"/>
      <w:lvlText w:val="%1."/>
      <w:lvlJc w:val="left"/>
      <w:pPr>
        <w:ind w:left="502" w:hanging="360"/>
      </w:p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3">
    <w:nsid w:val="24127429"/>
    <w:multiLevelType w:val="hybridMultilevel"/>
    <w:tmpl w:val="6C1E2D44"/>
    <w:lvl w:ilvl="0" w:tplc="9638813C">
      <w:start w:val="1"/>
      <w:numFmt w:val="lowerLetter"/>
      <w:lvlText w:val="%1."/>
      <w:lvlJc w:val="left"/>
      <w:pPr>
        <w:ind w:left="720" w:hanging="360"/>
      </w:pPr>
      <w:rPr>
        <w:rFonts w:ascii="Bookman Old Style" w:hAnsi="Bookman Old Style" w:hint="default"/>
        <w:b w:val="0"/>
        <w:i w:val="0"/>
        <w:caps w:val="0"/>
        <w:strike w:val="0"/>
        <w:dstrike w:val="0"/>
        <w:vanish w:val="0"/>
        <w:color w:val="auto"/>
        <w:sz w:val="24"/>
        <w:szCs w:val="22"/>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7F34D57"/>
    <w:multiLevelType w:val="hybridMultilevel"/>
    <w:tmpl w:val="26D62B50"/>
    <w:lvl w:ilvl="0" w:tplc="5BCADF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nsid w:val="2F644E60"/>
    <w:multiLevelType w:val="hybridMultilevel"/>
    <w:tmpl w:val="CF0CB87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1717FB3"/>
    <w:multiLevelType w:val="hybridMultilevel"/>
    <w:tmpl w:val="A552EEEA"/>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0">
    <w:nsid w:val="32B33A1D"/>
    <w:multiLevelType w:val="hybridMultilevel"/>
    <w:tmpl w:val="4086A2F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460C7C"/>
    <w:multiLevelType w:val="hybridMultilevel"/>
    <w:tmpl w:val="0498A7E8"/>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C8E44AD"/>
    <w:multiLevelType w:val="hybridMultilevel"/>
    <w:tmpl w:val="9370B222"/>
    <w:lvl w:ilvl="0" w:tplc="18283CA2">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nsid w:val="3F0843D9"/>
    <w:multiLevelType w:val="hybridMultilevel"/>
    <w:tmpl w:val="227AFF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7">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9">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3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
    <w:nsid w:val="58FC0901"/>
    <w:multiLevelType w:val="hybridMultilevel"/>
    <w:tmpl w:val="ED8241B4"/>
    <w:lvl w:ilvl="0" w:tplc="7AACB1E4">
      <w:start w:val="4"/>
      <w:numFmt w:val="lowerLetter"/>
      <w:lvlText w:val="%1."/>
      <w:lvlJc w:val="left"/>
      <w:pPr>
        <w:ind w:left="432" w:hanging="360"/>
      </w:pPr>
      <w:rPr>
        <w:rFonts w:hint="default"/>
      </w:rPr>
    </w:lvl>
    <w:lvl w:ilvl="1" w:tplc="240A0019" w:tentative="1">
      <w:start w:val="1"/>
      <w:numFmt w:val="lowerLetter"/>
      <w:lvlText w:val="%2."/>
      <w:lvlJc w:val="left"/>
      <w:pPr>
        <w:ind w:left="1152" w:hanging="360"/>
      </w:pPr>
    </w:lvl>
    <w:lvl w:ilvl="2" w:tplc="240A001B" w:tentative="1">
      <w:start w:val="1"/>
      <w:numFmt w:val="lowerRoman"/>
      <w:lvlText w:val="%3."/>
      <w:lvlJc w:val="right"/>
      <w:pPr>
        <w:ind w:left="1872" w:hanging="180"/>
      </w:pPr>
    </w:lvl>
    <w:lvl w:ilvl="3" w:tplc="240A000F" w:tentative="1">
      <w:start w:val="1"/>
      <w:numFmt w:val="decimal"/>
      <w:lvlText w:val="%4."/>
      <w:lvlJc w:val="left"/>
      <w:pPr>
        <w:ind w:left="2592" w:hanging="360"/>
      </w:pPr>
    </w:lvl>
    <w:lvl w:ilvl="4" w:tplc="240A0019" w:tentative="1">
      <w:start w:val="1"/>
      <w:numFmt w:val="lowerLetter"/>
      <w:lvlText w:val="%5."/>
      <w:lvlJc w:val="left"/>
      <w:pPr>
        <w:ind w:left="3312" w:hanging="360"/>
      </w:pPr>
    </w:lvl>
    <w:lvl w:ilvl="5" w:tplc="240A001B" w:tentative="1">
      <w:start w:val="1"/>
      <w:numFmt w:val="lowerRoman"/>
      <w:lvlText w:val="%6."/>
      <w:lvlJc w:val="right"/>
      <w:pPr>
        <w:ind w:left="4032" w:hanging="180"/>
      </w:pPr>
    </w:lvl>
    <w:lvl w:ilvl="6" w:tplc="240A000F" w:tentative="1">
      <w:start w:val="1"/>
      <w:numFmt w:val="decimal"/>
      <w:lvlText w:val="%7."/>
      <w:lvlJc w:val="left"/>
      <w:pPr>
        <w:ind w:left="4752" w:hanging="360"/>
      </w:pPr>
    </w:lvl>
    <w:lvl w:ilvl="7" w:tplc="240A0019" w:tentative="1">
      <w:start w:val="1"/>
      <w:numFmt w:val="lowerLetter"/>
      <w:lvlText w:val="%8."/>
      <w:lvlJc w:val="left"/>
      <w:pPr>
        <w:ind w:left="5472" w:hanging="360"/>
      </w:pPr>
    </w:lvl>
    <w:lvl w:ilvl="8" w:tplc="240A001B" w:tentative="1">
      <w:start w:val="1"/>
      <w:numFmt w:val="lowerRoman"/>
      <w:lvlText w:val="%9."/>
      <w:lvlJc w:val="right"/>
      <w:pPr>
        <w:ind w:left="6192" w:hanging="180"/>
      </w:pPr>
    </w:lvl>
  </w:abstractNum>
  <w:abstractNum w:abstractNumId="32">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nsid w:val="621456D5"/>
    <w:multiLevelType w:val="hybridMultilevel"/>
    <w:tmpl w:val="6930F2EC"/>
    <w:lvl w:ilvl="0" w:tplc="4FF26AE6">
      <w:start w:val="6"/>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5">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2F17963"/>
    <w:multiLevelType w:val="hybridMultilevel"/>
    <w:tmpl w:val="C330B4CA"/>
    <w:lvl w:ilvl="0" w:tplc="E7BA75AC">
      <w:start w:val="1"/>
      <w:numFmt w:val="lowerLetter"/>
      <w:lvlText w:val="%1."/>
      <w:lvlJc w:val="left"/>
      <w:pPr>
        <w:ind w:left="720" w:hanging="360"/>
      </w:pPr>
      <w:rPr>
        <w:rFonts w:ascii="Bookman Old Style" w:hAnsi="Bookman Old Style" w:hint="default"/>
        <w:b w:val="0"/>
        <w:i w:val="0"/>
        <w:caps w:val="0"/>
        <w:strike w:val="0"/>
        <w:dstrike w:val="0"/>
        <w:vanish w:val="0"/>
        <w:color w:val="000000"/>
        <w:sz w:val="24"/>
        <w:szCs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6B15715"/>
    <w:multiLevelType w:val="hybridMultilevel"/>
    <w:tmpl w:val="366635F8"/>
    <w:lvl w:ilvl="0" w:tplc="9CB413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0">
    <w:nsid w:val="6ACF55F8"/>
    <w:multiLevelType w:val="hybridMultilevel"/>
    <w:tmpl w:val="6876D6F8"/>
    <w:lvl w:ilvl="0" w:tplc="0ED42A76">
      <w:start w:val="1"/>
      <w:numFmt w:val="decimal"/>
      <w:lvlText w:val="Artículo %1."/>
      <w:lvlJc w:val="left"/>
      <w:pPr>
        <w:ind w:left="1637" w:hanging="360"/>
      </w:pPr>
      <w:rPr>
        <w:rFonts w:hint="default"/>
        <w:b/>
      </w:rPr>
    </w:lvl>
    <w:lvl w:ilvl="1" w:tplc="7BB4261A">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43">
    <w:nsid w:val="79447865"/>
    <w:multiLevelType w:val="hybridMultilevel"/>
    <w:tmpl w:val="D2883264"/>
    <w:lvl w:ilvl="0" w:tplc="A542443A">
      <w:start w:val="1"/>
      <w:numFmt w:val="decimal"/>
      <w:lvlText w:val="%1."/>
      <w:lvlJc w:val="left"/>
      <w:pPr>
        <w:ind w:left="927" w:hanging="360"/>
      </w:pPr>
      <w:rPr>
        <w:rFonts w:hint="default"/>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44"/>
  </w:num>
  <w:num w:numId="4">
    <w:abstractNumId w:val="14"/>
  </w:num>
  <w:num w:numId="5">
    <w:abstractNumId w:val="32"/>
  </w:num>
  <w:num w:numId="6">
    <w:abstractNumId w:val="5"/>
  </w:num>
  <w:num w:numId="7">
    <w:abstractNumId w:val="4"/>
  </w:num>
  <w:num w:numId="8">
    <w:abstractNumId w:val="35"/>
  </w:num>
  <w:num w:numId="9">
    <w:abstractNumId w:val="33"/>
  </w:num>
  <w:num w:numId="10">
    <w:abstractNumId w:val="27"/>
  </w:num>
  <w:num w:numId="11">
    <w:abstractNumId w:val="45"/>
  </w:num>
  <w:num w:numId="12">
    <w:abstractNumId w:val="41"/>
  </w:num>
  <w:num w:numId="13">
    <w:abstractNumId w:val="22"/>
  </w:num>
  <w:num w:numId="14">
    <w:abstractNumId w:val="3"/>
  </w:num>
  <w:num w:numId="15">
    <w:abstractNumId w:val="28"/>
  </w:num>
  <w:num w:numId="16">
    <w:abstractNumId w:val="2"/>
  </w:num>
  <w:num w:numId="17">
    <w:abstractNumId w:val="21"/>
  </w:num>
  <w:num w:numId="18">
    <w:abstractNumId w:val="1"/>
  </w:num>
  <w:num w:numId="19">
    <w:abstractNumId w:val="39"/>
  </w:num>
  <w:num w:numId="20">
    <w:abstractNumId w:val="30"/>
  </w:num>
  <w:num w:numId="21">
    <w:abstractNumId w:val="15"/>
  </w:num>
  <w:num w:numId="22">
    <w:abstractNumId w:val="17"/>
  </w:num>
  <w:num w:numId="23">
    <w:abstractNumId w:val="42"/>
  </w:num>
  <w:num w:numId="24">
    <w:abstractNumId w:val="29"/>
  </w:num>
  <w:num w:numId="25">
    <w:abstractNumId w:val="38"/>
  </w:num>
  <w:num w:numId="26">
    <w:abstractNumId w:val="37"/>
  </w:num>
  <w:num w:numId="27">
    <w:abstractNumId w:val="9"/>
  </w:num>
  <w:num w:numId="28">
    <w:abstractNumId w:val="11"/>
  </w:num>
  <w:num w:numId="29">
    <w:abstractNumId w:val="8"/>
  </w:num>
  <w:num w:numId="30">
    <w:abstractNumId w:val="36"/>
  </w:num>
  <w:num w:numId="31">
    <w:abstractNumId w:val="10"/>
  </w:num>
  <w:num w:numId="32">
    <w:abstractNumId w:val="31"/>
  </w:num>
  <w:num w:numId="33">
    <w:abstractNumId w:val="24"/>
  </w:num>
  <w:num w:numId="34">
    <w:abstractNumId w:val="40"/>
  </w:num>
  <w:num w:numId="35">
    <w:abstractNumId w:val="18"/>
  </w:num>
  <w:num w:numId="36">
    <w:abstractNumId w:val="13"/>
  </w:num>
  <w:num w:numId="37">
    <w:abstractNumId w:val="19"/>
  </w:num>
  <w:num w:numId="38">
    <w:abstractNumId w:val="34"/>
  </w:num>
  <w:num w:numId="39">
    <w:abstractNumId w:val="2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5"/>
  </w:num>
  <w:num w:numId="43">
    <w:abstractNumId w:val="0"/>
  </w:num>
  <w:num w:numId="44">
    <w:abstractNumId w:val="6"/>
  </w:num>
  <w:num w:numId="45">
    <w:abstractNumId w:val="16"/>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975"/>
    <w:rsid w:val="00001E9F"/>
    <w:rsid w:val="000046B3"/>
    <w:rsid w:val="0000503E"/>
    <w:rsid w:val="00006AE2"/>
    <w:rsid w:val="000076A1"/>
    <w:rsid w:val="00012259"/>
    <w:rsid w:val="00013272"/>
    <w:rsid w:val="000160AD"/>
    <w:rsid w:val="0001653E"/>
    <w:rsid w:val="0002027C"/>
    <w:rsid w:val="00020B07"/>
    <w:rsid w:val="000212FD"/>
    <w:rsid w:val="000231D5"/>
    <w:rsid w:val="00025383"/>
    <w:rsid w:val="00027B9A"/>
    <w:rsid w:val="00031151"/>
    <w:rsid w:val="00041532"/>
    <w:rsid w:val="00045D3D"/>
    <w:rsid w:val="000462CC"/>
    <w:rsid w:val="00047365"/>
    <w:rsid w:val="00052326"/>
    <w:rsid w:val="000608A4"/>
    <w:rsid w:val="00060B32"/>
    <w:rsid w:val="00062C6F"/>
    <w:rsid w:val="00063657"/>
    <w:rsid w:val="000643E9"/>
    <w:rsid w:val="00070799"/>
    <w:rsid w:val="000711E4"/>
    <w:rsid w:val="000716FC"/>
    <w:rsid w:val="00071DDF"/>
    <w:rsid w:val="00076680"/>
    <w:rsid w:val="000768F8"/>
    <w:rsid w:val="00076A1D"/>
    <w:rsid w:val="00077378"/>
    <w:rsid w:val="0008073E"/>
    <w:rsid w:val="00081739"/>
    <w:rsid w:val="00081D29"/>
    <w:rsid w:val="00083BD1"/>
    <w:rsid w:val="00085285"/>
    <w:rsid w:val="00085DDA"/>
    <w:rsid w:val="000868DE"/>
    <w:rsid w:val="00091CDB"/>
    <w:rsid w:val="0009261F"/>
    <w:rsid w:val="000940BD"/>
    <w:rsid w:val="00097A79"/>
    <w:rsid w:val="000A0918"/>
    <w:rsid w:val="000A19AC"/>
    <w:rsid w:val="000A5655"/>
    <w:rsid w:val="000A66FB"/>
    <w:rsid w:val="000A6B54"/>
    <w:rsid w:val="000A6DB4"/>
    <w:rsid w:val="000B06F4"/>
    <w:rsid w:val="000B1F9B"/>
    <w:rsid w:val="000B2EC9"/>
    <w:rsid w:val="000B5BB2"/>
    <w:rsid w:val="000B7DD5"/>
    <w:rsid w:val="000C5161"/>
    <w:rsid w:val="000C5738"/>
    <w:rsid w:val="000C65C4"/>
    <w:rsid w:val="000C6786"/>
    <w:rsid w:val="000C7728"/>
    <w:rsid w:val="000D26F8"/>
    <w:rsid w:val="000D5ECE"/>
    <w:rsid w:val="000D61E9"/>
    <w:rsid w:val="000D6CAD"/>
    <w:rsid w:val="000E1634"/>
    <w:rsid w:val="000F22E8"/>
    <w:rsid w:val="000F3B24"/>
    <w:rsid w:val="000F5513"/>
    <w:rsid w:val="000F5F24"/>
    <w:rsid w:val="00100D3E"/>
    <w:rsid w:val="00102CC8"/>
    <w:rsid w:val="00103FB9"/>
    <w:rsid w:val="00106654"/>
    <w:rsid w:val="00107D9E"/>
    <w:rsid w:val="00115313"/>
    <w:rsid w:val="00115804"/>
    <w:rsid w:val="001165B4"/>
    <w:rsid w:val="00126B72"/>
    <w:rsid w:val="00131455"/>
    <w:rsid w:val="0013521E"/>
    <w:rsid w:val="0013526C"/>
    <w:rsid w:val="00137978"/>
    <w:rsid w:val="0014029E"/>
    <w:rsid w:val="001405C6"/>
    <w:rsid w:val="00141013"/>
    <w:rsid w:val="0014124F"/>
    <w:rsid w:val="0014716E"/>
    <w:rsid w:val="0015166C"/>
    <w:rsid w:val="0015376E"/>
    <w:rsid w:val="00156E98"/>
    <w:rsid w:val="00160725"/>
    <w:rsid w:val="00170282"/>
    <w:rsid w:val="0017344D"/>
    <w:rsid w:val="00176832"/>
    <w:rsid w:val="001778C9"/>
    <w:rsid w:val="00181A77"/>
    <w:rsid w:val="001836DD"/>
    <w:rsid w:val="001905F6"/>
    <w:rsid w:val="00190ECF"/>
    <w:rsid w:val="00192CBF"/>
    <w:rsid w:val="00192FF1"/>
    <w:rsid w:val="0019374F"/>
    <w:rsid w:val="00196FC2"/>
    <w:rsid w:val="001A0F1D"/>
    <w:rsid w:val="001A1CCA"/>
    <w:rsid w:val="001A5F1B"/>
    <w:rsid w:val="001B14D7"/>
    <w:rsid w:val="001B188B"/>
    <w:rsid w:val="001B1C22"/>
    <w:rsid w:val="001B316E"/>
    <w:rsid w:val="001B34C6"/>
    <w:rsid w:val="001B5C41"/>
    <w:rsid w:val="001B6907"/>
    <w:rsid w:val="001B6DDF"/>
    <w:rsid w:val="001B7980"/>
    <w:rsid w:val="001C34E8"/>
    <w:rsid w:val="001C4142"/>
    <w:rsid w:val="001C78B3"/>
    <w:rsid w:val="001D2C02"/>
    <w:rsid w:val="001D3A10"/>
    <w:rsid w:val="001D7832"/>
    <w:rsid w:val="001E011C"/>
    <w:rsid w:val="001E0A71"/>
    <w:rsid w:val="001E0ADC"/>
    <w:rsid w:val="001E14F2"/>
    <w:rsid w:val="001E25AD"/>
    <w:rsid w:val="001E5156"/>
    <w:rsid w:val="001E7267"/>
    <w:rsid w:val="001E7EA7"/>
    <w:rsid w:val="001F01DF"/>
    <w:rsid w:val="001F336C"/>
    <w:rsid w:val="001F3D13"/>
    <w:rsid w:val="001F6046"/>
    <w:rsid w:val="001F65A1"/>
    <w:rsid w:val="002001D7"/>
    <w:rsid w:val="002024CC"/>
    <w:rsid w:val="00203510"/>
    <w:rsid w:val="00205D3E"/>
    <w:rsid w:val="00207DF5"/>
    <w:rsid w:val="00210DC1"/>
    <w:rsid w:val="00211D34"/>
    <w:rsid w:val="002133C4"/>
    <w:rsid w:val="00214F04"/>
    <w:rsid w:val="00220BAE"/>
    <w:rsid w:val="00226AFC"/>
    <w:rsid w:val="0023102B"/>
    <w:rsid w:val="002331A2"/>
    <w:rsid w:val="002352B9"/>
    <w:rsid w:val="00236981"/>
    <w:rsid w:val="00240CDB"/>
    <w:rsid w:val="00241036"/>
    <w:rsid w:val="00241125"/>
    <w:rsid w:val="00251EB7"/>
    <w:rsid w:val="00265353"/>
    <w:rsid w:val="00266726"/>
    <w:rsid w:val="00266CD6"/>
    <w:rsid w:val="002673AC"/>
    <w:rsid w:val="00270AED"/>
    <w:rsid w:val="00272F8D"/>
    <w:rsid w:val="00275491"/>
    <w:rsid w:val="00275DAB"/>
    <w:rsid w:val="00283BE6"/>
    <w:rsid w:val="0028701A"/>
    <w:rsid w:val="002903C0"/>
    <w:rsid w:val="00290F74"/>
    <w:rsid w:val="00291093"/>
    <w:rsid w:val="00293ACB"/>
    <w:rsid w:val="002A23E6"/>
    <w:rsid w:val="002A66BC"/>
    <w:rsid w:val="002A782A"/>
    <w:rsid w:val="002B11E2"/>
    <w:rsid w:val="002B24B8"/>
    <w:rsid w:val="002C0517"/>
    <w:rsid w:val="002C4AFD"/>
    <w:rsid w:val="002D2917"/>
    <w:rsid w:val="002D3AE9"/>
    <w:rsid w:val="002D4510"/>
    <w:rsid w:val="002E0F5C"/>
    <w:rsid w:val="002E162B"/>
    <w:rsid w:val="002F05B9"/>
    <w:rsid w:val="002F0734"/>
    <w:rsid w:val="002F254B"/>
    <w:rsid w:val="002F3211"/>
    <w:rsid w:val="002F46E7"/>
    <w:rsid w:val="002F4765"/>
    <w:rsid w:val="002F49BB"/>
    <w:rsid w:val="00305A39"/>
    <w:rsid w:val="003075B0"/>
    <w:rsid w:val="003101DA"/>
    <w:rsid w:val="003111C3"/>
    <w:rsid w:val="00311BF1"/>
    <w:rsid w:val="003142BA"/>
    <w:rsid w:val="00314757"/>
    <w:rsid w:val="00315BA7"/>
    <w:rsid w:val="0031608C"/>
    <w:rsid w:val="00316196"/>
    <w:rsid w:val="003163BC"/>
    <w:rsid w:val="003208F5"/>
    <w:rsid w:val="003211CE"/>
    <w:rsid w:val="00321480"/>
    <w:rsid w:val="003220E3"/>
    <w:rsid w:val="0032412C"/>
    <w:rsid w:val="00325187"/>
    <w:rsid w:val="00325951"/>
    <w:rsid w:val="0032786A"/>
    <w:rsid w:val="00335684"/>
    <w:rsid w:val="00336A3B"/>
    <w:rsid w:val="00340782"/>
    <w:rsid w:val="00340A05"/>
    <w:rsid w:val="00341FA4"/>
    <w:rsid w:val="00344930"/>
    <w:rsid w:val="003450DB"/>
    <w:rsid w:val="00347838"/>
    <w:rsid w:val="00351B31"/>
    <w:rsid w:val="00351C5D"/>
    <w:rsid w:val="00352CBF"/>
    <w:rsid w:val="0035403A"/>
    <w:rsid w:val="0035423F"/>
    <w:rsid w:val="00356C05"/>
    <w:rsid w:val="00360235"/>
    <w:rsid w:val="0036394B"/>
    <w:rsid w:val="00363C9C"/>
    <w:rsid w:val="00363CDD"/>
    <w:rsid w:val="00366DB6"/>
    <w:rsid w:val="003672A0"/>
    <w:rsid w:val="003709B5"/>
    <w:rsid w:val="003759C2"/>
    <w:rsid w:val="003765CC"/>
    <w:rsid w:val="0038395F"/>
    <w:rsid w:val="00385A60"/>
    <w:rsid w:val="00385C77"/>
    <w:rsid w:val="00385F3A"/>
    <w:rsid w:val="00386C27"/>
    <w:rsid w:val="003955D6"/>
    <w:rsid w:val="00397365"/>
    <w:rsid w:val="003A31F6"/>
    <w:rsid w:val="003A6436"/>
    <w:rsid w:val="003A64E8"/>
    <w:rsid w:val="003B2A04"/>
    <w:rsid w:val="003B370A"/>
    <w:rsid w:val="003B582D"/>
    <w:rsid w:val="003B6329"/>
    <w:rsid w:val="003C0AEE"/>
    <w:rsid w:val="003C28A4"/>
    <w:rsid w:val="003C3447"/>
    <w:rsid w:val="003C3B4F"/>
    <w:rsid w:val="003D076C"/>
    <w:rsid w:val="003D1242"/>
    <w:rsid w:val="003D48F2"/>
    <w:rsid w:val="003D4CCC"/>
    <w:rsid w:val="003D5093"/>
    <w:rsid w:val="003D6321"/>
    <w:rsid w:val="003D6738"/>
    <w:rsid w:val="003E12FA"/>
    <w:rsid w:val="003E78B5"/>
    <w:rsid w:val="003F14C6"/>
    <w:rsid w:val="003F357D"/>
    <w:rsid w:val="003F531C"/>
    <w:rsid w:val="003F6CEC"/>
    <w:rsid w:val="003F6FCF"/>
    <w:rsid w:val="00407069"/>
    <w:rsid w:val="00415BAB"/>
    <w:rsid w:val="00415ED2"/>
    <w:rsid w:val="0042068C"/>
    <w:rsid w:val="00421F95"/>
    <w:rsid w:val="0042263B"/>
    <w:rsid w:val="00427314"/>
    <w:rsid w:val="004315AA"/>
    <w:rsid w:val="00435A44"/>
    <w:rsid w:val="0044193C"/>
    <w:rsid w:val="0044318E"/>
    <w:rsid w:val="00443B35"/>
    <w:rsid w:val="00445FAF"/>
    <w:rsid w:val="0044767E"/>
    <w:rsid w:val="00452814"/>
    <w:rsid w:val="0045398B"/>
    <w:rsid w:val="00463EAD"/>
    <w:rsid w:val="0047122B"/>
    <w:rsid w:val="0047199E"/>
    <w:rsid w:val="004719F4"/>
    <w:rsid w:val="00472A4C"/>
    <w:rsid w:val="00473B7A"/>
    <w:rsid w:val="00476B67"/>
    <w:rsid w:val="00481ACE"/>
    <w:rsid w:val="0048797C"/>
    <w:rsid w:val="004902F1"/>
    <w:rsid w:val="00490385"/>
    <w:rsid w:val="00490832"/>
    <w:rsid w:val="004939EA"/>
    <w:rsid w:val="004948DF"/>
    <w:rsid w:val="004960E9"/>
    <w:rsid w:val="004A2E88"/>
    <w:rsid w:val="004A4B61"/>
    <w:rsid w:val="004A5182"/>
    <w:rsid w:val="004A52FE"/>
    <w:rsid w:val="004A5305"/>
    <w:rsid w:val="004B2313"/>
    <w:rsid w:val="004C0288"/>
    <w:rsid w:val="004C1979"/>
    <w:rsid w:val="004C4C34"/>
    <w:rsid w:val="004D06CE"/>
    <w:rsid w:val="004D7634"/>
    <w:rsid w:val="004E0486"/>
    <w:rsid w:val="004E26B2"/>
    <w:rsid w:val="004E27EC"/>
    <w:rsid w:val="004E37B4"/>
    <w:rsid w:val="004E3824"/>
    <w:rsid w:val="004E611A"/>
    <w:rsid w:val="004E6D7C"/>
    <w:rsid w:val="004F2E50"/>
    <w:rsid w:val="004F4B59"/>
    <w:rsid w:val="004F6460"/>
    <w:rsid w:val="0050299E"/>
    <w:rsid w:val="00503764"/>
    <w:rsid w:val="00506667"/>
    <w:rsid w:val="00513775"/>
    <w:rsid w:val="00523E02"/>
    <w:rsid w:val="00525670"/>
    <w:rsid w:val="0053007D"/>
    <w:rsid w:val="005300D3"/>
    <w:rsid w:val="00531ECD"/>
    <w:rsid w:val="0053493E"/>
    <w:rsid w:val="00541506"/>
    <w:rsid w:val="00542A10"/>
    <w:rsid w:val="00544F82"/>
    <w:rsid w:val="00545423"/>
    <w:rsid w:val="00545C59"/>
    <w:rsid w:val="00546E80"/>
    <w:rsid w:val="00547186"/>
    <w:rsid w:val="005509D2"/>
    <w:rsid w:val="00551B61"/>
    <w:rsid w:val="00556648"/>
    <w:rsid w:val="00565670"/>
    <w:rsid w:val="00565A32"/>
    <w:rsid w:val="00570F1B"/>
    <w:rsid w:val="005710B9"/>
    <w:rsid w:val="0057311C"/>
    <w:rsid w:val="00581DC0"/>
    <w:rsid w:val="00583700"/>
    <w:rsid w:val="00583C3B"/>
    <w:rsid w:val="00591BBA"/>
    <w:rsid w:val="00593C4F"/>
    <w:rsid w:val="005946A8"/>
    <w:rsid w:val="005948CE"/>
    <w:rsid w:val="005A037C"/>
    <w:rsid w:val="005A03B9"/>
    <w:rsid w:val="005A043F"/>
    <w:rsid w:val="005A4407"/>
    <w:rsid w:val="005A59EF"/>
    <w:rsid w:val="005B1C7E"/>
    <w:rsid w:val="005B390F"/>
    <w:rsid w:val="005B4FB6"/>
    <w:rsid w:val="005C6976"/>
    <w:rsid w:val="005C6C19"/>
    <w:rsid w:val="005C6E73"/>
    <w:rsid w:val="005D0C9A"/>
    <w:rsid w:val="005D200B"/>
    <w:rsid w:val="005D32E9"/>
    <w:rsid w:val="005E5142"/>
    <w:rsid w:val="005F08C5"/>
    <w:rsid w:val="005F3264"/>
    <w:rsid w:val="005F6574"/>
    <w:rsid w:val="005F6E30"/>
    <w:rsid w:val="005F6F41"/>
    <w:rsid w:val="00603AF2"/>
    <w:rsid w:val="006042CC"/>
    <w:rsid w:val="006106FA"/>
    <w:rsid w:val="006127A5"/>
    <w:rsid w:val="00614EAD"/>
    <w:rsid w:val="00625DC6"/>
    <w:rsid w:val="006263AE"/>
    <w:rsid w:val="00627B63"/>
    <w:rsid w:val="00630022"/>
    <w:rsid w:val="006301B1"/>
    <w:rsid w:val="00633613"/>
    <w:rsid w:val="0064273A"/>
    <w:rsid w:val="006428D2"/>
    <w:rsid w:val="0064391D"/>
    <w:rsid w:val="00646AFE"/>
    <w:rsid w:val="0064719D"/>
    <w:rsid w:val="006472C6"/>
    <w:rsid w:val="00650209"/>
    <w:rsid w:val="00650FE5"/>
    <w:rsid w:val="00651821"/>
    <w:rsid w:val="00654384"/>
    <w:rsid w:val="00654B8B"/>
    <w:rsid w:val="00655E5F"/>
    <w:rsid w:val="00656C41"/>
    <w:rsid w:val="00661DF3"/>
    <w:rsid w:val="00663935"/>
    <w:rsid w:val="006675CD"/>
    <w:rsid w:val="00671128"/>
    <w:rsid w:val="00673905"/>
    <w:rsid w:val="00676869"/>
    <w:rsid w:val="00676E8D"/>
    <w:rsid w:val="006818AB"/>
    <w:rsid w:val="006822BE"/>
    <w:rsid w:val="006836D3"/>
    <w:rsid w:val="00684D9B"/>
    <w:rsid w:val="0068510A"/>
    <w:rsid w:val="00687CE4"/>
    <w:rsid w:val="00687F0E"/>
    <w:rsid w:val="00693681"/>
    <w:rsid w:val="006972FD"/>
    <w:rsid w:val="00697556"/>
    <w:rsid w:val="006A1FC0"/>
    <w:rsid w:val="006A7C69"/>
    <w:rsid w:val="006B03E2"/>
    <w:rsid w:val="006B0E5F"/>
    <w:rsid w:val="006B0EC0"/>
    <w:rsid w:val="006B0F6B"/>
    <w:rsid w:val="006B12FB"/>
    <w:rsid w:val="006B4114"/>
    <w:rsid w:val="006B4647"/>
    <w:rsid w:val="006B4C2B"/>
    <w:rsid w:val="006B5BB0"/>
    <w:rsid w:val="006B6194"/>
    <w:rsid w:val="006B6D47"/>
    <w:rsid w:val="006B74EE"/>
    <w:rsid w:val="006C0E75"/>
    <w:rsid w:val="006C27F0"/>
    <w:rsid w:val="006C36D3"/>
    <w:rsid w:val="006C4F38"/>
    <w:rsid w:val="006C5AFE"/>
    <w:rsid w:val="006D33F9"/>
    <w:rsid w:val="006D5B22"/>
    <w:rsid w:val="006E11ED"/>
    <w:rsid w:val="006E1953"/>
    <w:rsid w:val="006E4C67"/>
    <w:rsid w:val="006E59A8"/>
    <w:rsid w:val="006E6CE7"/>
    <w:rsid w:val="006F1F07"/>
    <w:rsid w:val="006F2EC8"/>
    <w:rsid w:val="006F3AEB"/>
    <w:rsid w:val="006F4455"/>
    <w:rsid w:val="006F4941"/>
    <w:rsid w:val="006F669D"/>
    <w:rsid w:val="006F6D95"/>
    <w:rsid w:val="006F6F53"/>
    <w:rsid w:val="007006FC"/>
    <w:rsid w:val="00702B24"/>
    <w:rsid w:val="00703DA4"/>
    <w:rsid w:val="00704F22"/>
    <w:rsid w:val="00706F13"/>
    <w:rsid w:val="007072E8"/>
    <w:rsid w:val="0071618D"/>
    <w:rsid w:val="00720721"/>
    <w:rsid w:val="0072440E"/>
    <w:rsid w:val="00725FA4"/>
    <w:rsid w:val="00734F79"/>
    <w:rsid w:val="0073688E"/>
    <w:rsid w:val="007372B9"/>
    <w:rsid w:val="007377B1"/>
    <w:rsid w:val="00740446"/>
    <w:rsid w:val="00741420"/>
    <w:rsid w:val="007438A9"/>
    <w:rsid w:val="0074491E"/>
    <w:rsid w:val="00745568"/>
    <w:rsid w:val="00751B40"/>
    <w:rsid w:val="00752B52"/>
    <w:rsid w:val="00752BFA"/>
    <w:rsid w:val="00753CED"/>
    <w:rsid w:val="00760CBC"/>
    <w:rsid w:val="0076247A"/>
    <w:rsid w:val="00765D8B"/>
    <w:rsid w:val="00770037"/>
    <w:rsid w:val="00770602"/>
    <w:rsid w:val="007722D3"/>
    <w:rsid w:val="00773A32"/>
    <w:rsid w:val="007755E1"/>
    <w:rsid w:val="00775964"/>
    <w:rsid w:val="00776050"/>
    <w:rsid w:val="007765FE"/>
    <w:rsid w:val="00780826"/>
    <w:rsid w:val="00782897"/>
    <w:rsid w:val="00783769"/>
    <w:rsid w:val="00783C52"/>
    <w:rsid w:val="00787862"/>
    <w:rsid w:val="00794E2E"/>
    <w:rsid w:val="00795BFB"/>
    <w:rsid w:val="00796C59"/>
    <w:rsid w:val="007A19A9"/>
    <w:rsid w:val="007A411C"/>
    <w:rsid w:val="007B2760"/>
    <w:rsid w:val="007B508C"/>
    <w:rsid w:val="007B51AF"/>
    <w:rsid w:val="007B6C32"/>
    <w:rsid w:val="007C3B04"/>
    <w:rsid w:val="007D5D42"/>
    <w:rsid w:val="007D60EF"/>
    <w:rsid w:val="007D65E5"/>
    <w:rsid w:val="007E2938"/>
    <w:rsid w:val="007E65A9"/>
    <w:rsid w:val="007F02D4"/>
    <w:rsid w:val="007F21C1"/>
    <w:rsid w:val="007F2F74"/>
    <w:rsid w:val="007F428A"/>
    <w:rsid w:val="007F4FC4"/>
    <w:rsid w:val="00802F44"/>
    <w:rsid w:val="008031BF"/>
    <w:rsid w:val="0080657B"/>
    <w:rsid w:val="00806713"/>
    <w:rsid w:val="00806C01"/>
    <w:rsid w:val="00806E32"/>
    <w:rsid w:val="00810151"/>
    <w:rsid w:val="00810B35"/>
    <w:rsid w:val="008148CC"/>
    <w:rsid w:val="00816E04"/>
    <w:rsid w:val="00820408"/>
    <w:rsid w:val="008211A4"/>
    <w:rsid w:val="008238A7"/>
    <w:rsid w:val="00824529"/>
    <w:rsid w:val="008279AF"/>
    <w:rsid w:val="008333DA"/>
    <w:rsid w:val="00840444"/>
    <w:rsid w:val="00842783"/>
    <w:rsid w:val="00843B8C"/>
    <w:rsid w:val="00844822"/>
    <w:rsid w:val="00844981"/>
    <w:rsid w:val="008452EA"/>
    <w:rsid w:val="0084693A"/>
    <w:rsid w:val="00847D65"/>
    <w:rsid w:val="00851E26"/>
    <w:rsid w:val="00851FA9"/>
    <w:rsid w:val="00860FD3"/>
    <w:rsid w:val="00862A03"/>
    <w:rsid w:val="00863E90"/>
    <w:rsid w:val="00863EE4"/>
    <w:rsid w:val="00865022"/>
    <w:rsid w:val="00867B60"/>
    <w:rsid w:val="008706CA"/>
    <w:rsid w:val="00873150"/>
    <w:rsid w:val="0087499A"/>
    <w:rsid w:val="00875966"/>
    <w:rsid w:val="0087657D"/>
    <w:rsid w:val="008807D5"/>
    <w:rsid w:val="00880832"/>
    <w:rsid w:val="00881A9A"/>
    <w:rsid w:val="00882C31"/>
    <w:rsid w:val="00886EE1"/>
    <w:rsid w:val="0088727D"/>
    <w:rsid w:val="008874A7"/>
    <w:rsid w:val="008875B6"/>
    <w:rsid w:val="0089195A"/>
    <w:rsid w:val="00897C75"/>
    <w:rsid w:val="008A4C12"/>
    <w:rsid w:val="008A6F58"/>
    <w:rsid w:val="008B1E0A"/>
    <w:rsid w:val="008B4AEB"/>
    <w:rsid w:val="008B5E01"/>
    <w:rsid w:val="008B6A2E"/>
    <w:rsid w:val="008B7120"/>
    <w:rsid w:val="008B7183"/>
    <w:rsid w:val="008B7273"/>
    <w:rsid w:val="008C1130"/>
    <w:rsid w:val="008C2771"/>
    <w:rsid w:val="008C2854"/>
    <w:rsid w:val="008C4DD1"/>
    <w:rsid w:val="008C5AB5"/>
    <w:rsid w:val="008D18E6"/>
    <w:rsid w:val="008D18ED"/>
    <w:rsid w:val="008D7A9B"/>
    <w:rsid w:val="008E0060"/>
    <w:rsid w:val="008E1947"/>
    <w:rsid w:val="008E424A"/>
    <w:rsid w:val="008E5F6F"/>
    <w:rsid w:val="008E6AA4"/>
    <w:rsid w:val="008E7091"/>
    <w:rsid w:val="008E76AC"/>
    <w:rsid w:val="008F21F6"/>
    <w:rsid w:val="008F383D"/>
    <w:rsid w:val="00904B13"/>
    <w:rsid w:val="0091022A"/>
    <w:rsid w:val="00913CEF"/>
    <w:rsid w:val="009140FD"/>
    <w:rsid w:val="00920328"/>
    <w:rsid w:val="00920AD3"/>
    <w:rsid w:val="00921213"/>
    <w:rsid w:val="0092214A"/>
    <w:rsid w:val="009242CC"/>
    <w:rsid w:val="009274EE"/>
    <w:rsid w:val="0093043E"/>
    <w:rsid w:val="00930660"/>
    <w:rsid w:val="00934464"/>
    <w:rsid w:val="009351FA"/>
    <w:rsid w:val="0094053D"/>
    <w:rsid w:val="00945C33"/>
    <w:rsid w:val="00947F40"/>
    <w:rsid w:val="00950340"/>
    <w:rsid w:val="00951F79"/>
    <w:rsid w:val="009538AC"/>
    <w:rsid w:val="00954306"/>
    <w:rsid w:val="00961407"/>
    <w:rsid w:val="00971B65"/>
    <w:rsid w:val="00974AB5"/>
    <w:rsid w:val="009831D2"/>
    <w:rsid w:val="0098706D"/>
    <w:rsid w:val="00992CDD"/>
    <w:rsid w:val="0099331D"/>
    <w:rsid w:val="009935FB"/>
    <w:rsid w:val="00995452"/>
    <w:rsid w:val="00996A89"/>
    <w:rsid w:val="009A0826"/>
    <w:rsid w:val="009A0EA4"/>
    <w:rsid w:val="009A25C8"/>
    <w:rsid w:val="009A56E1"/>
    <w:rsid w:val="009A5B6D"/>
    <w:rsid w:val="009A7527"/>
    <w:rsid w:val="009B5DAE"/>
    <w:rsid w:val="009B7EB7"/>
    <w:rsid w:val="009C2605"/>
    <w:rsid w:val="009C4E55"/>
    <w:rsid w:val="009C5AAF"/>
    <w:rsid w:val="009D0A0A"/>
    <w:rsid w:val="009D1053"/>
    <w:rsid w:val="009D1B44"/>
    <w:rsid w:val="009D273A"/>
    <w:rsid w:val="009D75E2"/>
    <w:rsid w:val="009D7B7D"/>
    <w:rsid w:val="009E0AE2"/>
    <w:rsid w:val="009E10BC"/>
    <w:rsid w:val="009E59C1"/>
    <w:rsid w:val="009E668D"/>
    <w:rsid w:val="009E72BC"/>
    <w:rsid w:val="009F1258"/>
    <w:rsid w:val="009F4A54"/>
    <w:rsid w:val="009F4BEC"/>
    <w:rsid w:val="009F5874"/>
    <w:rsid w:val="009F6992"/>
    <w:rsid w:val="00A001BE"/>
    <w:rsid w:val="00A00D24"/>
    <w:rsid w:val="00A029F9"/>
    <w:rsid w:val="00A03159"/>
    <w:rsid w:val="00A032E2"/>
    <w:rsid w:val="00A06179"/>
    <w:rsid w:val="00A1378A"/>
    <w:rsid w:val="00A21442"/>
    <w:rsid w:val="00A244C8"/>
    <w:rsid w:val="00A25FD7"/>
    <w:rsid w:val="00A320B7"/>
    <w:rsid w:val="00A344EF"/>
    <w:rsid w:val="00A35976"/>
    <w:rsid w:val="00A36341"/>
    <w:rsid w:val="00A431B1"/>
    <w:rsid w:val="00A43AFF"/>
    <w:rsid w:val="00A44651"/>
    <w:rsid w:val="00A45730"/>
    <w:rsid w:val="00A46043"/>
    <w:rsid w:val="00A51EFB"/>
    <w:rsid w:val="00A541FE"/>
    <w:rsid w:val="00A57AC1"/>
    <w:rsid w:val="00A60D6B"/>
    <w:rsid w:val="00A61BDC"/>
    <w:rsid w:val="00A62293"/>
    <w:rsid w:val="00A7043D"/>
    <w:rsid w:val="00A7793A"/>
    <w:rsid w:val="00A8010A"/>
    <w:rsid w:val="00AA153C"/>
    <w:rsid w:val="00AA1E48"/>
    <w:rsid w:val="00AA4CC7"/>
    <w:rsid w:val="00AA5C4D"/>
    <w:rsid w:val="00AA5E8E"/>
    <w:rsid w:val="00AB29CB"/>
    <w:rsid w:val="00AB2BAD"/>
    <w:rsid w:val="00AB454B"/>
    <w:rsid w:val="00AB6533"/>
    <w:rsid w:val="00AB6B1C"/>
    <w:rsid w:val="00AB6CA7"/>
    <w:rsid w:val="00AC18A8"/>
    <w:rsid w:val="00AC3260"/>
    <w:rsid w:val="00AC47A9"/>
    <w:rsid w:val="00AC6FD3"/>
    <w:rsid w:val="00AC78CC"/>
    <w:rsid w:val="00AD01E4"/>
    <w:rsid w:val="00AD0858"/>
    <w:rsid w:val="00AD1FFB"/>
    <w:rsid w:val="00AD2003"/>
    <w:rsid w:val="00AD391C"/>
    <w:rsid w:val="00AD45EB"/>
    <w:rsid w:val="00AD5D77"/>
    <w:rsid w:val="00AE02E3"/>
    <w:rsid w:val="00AE1B90"/>
    <w:rsid w:val="00AE23F6"/>
    <w:rsid w:val="00AE510D"/>
    <w:rsid w:val="00AE7340"/>
    <w:rsid w:val="00AF1BBD"/>
    <w:rsid w:val="00AF2CD4"/>
    <w:rsid w:val="00AF3515"/>
    <w:rsid w:val="00AF66B3"/>
    <w:rsid w:val="00AF7A4A"/>
    <w:rsid w:val="00B0044D"/>
    <w:rsid w:val="00B0430F"/>
    <w:rsid w:val="00B05F9B"/>
    <w:rsid w:val="00B07E78"/>
    <w:rsid w:val="00B10207"/>
    <w:rsid w:val="00B141E7"/>
    <w:rsid w:val="00B208B2"/>
    <w:rsid w:val="00B22B34"/>
    <w:rsid w:val="00B30186"/>
    <w:rsid w:val="00B30627"/>
    <w:rsid w:val="00B351B4"/>
    <w:rsid w:val="00B3714F"/>
    <w:rsid w:val="00B41391"/>
    <w:rsid w:val="00B46BCA"/>
    <w:rsid w:val="00B478AA"/>
    <w:rsid w:val="00B53899"/>
    <w:rsid w:val="00B54C99"/>
    <w:rsid w:val="00B555CC"/>
    <w:rsid w:val="00B56A48"/>
    <w:rsid w:val="00B576AE"/>
    <w:rsid w:val="00B63169"/>
    <w:rsid w:val="00B66E69"/>
    <w:rsid w:val="00B66F85"/>
    <w:rsid w:val="00B67A6F"/>
    <w:rsid w:val="00B71F1A"/>
    <w:rsid w:val="00B8124D"/>
    <w:rsid w:val="00B81932"/>
    <w:rsid w:val="00B8286D"/>
    <w:rsid w:val="00B83067"/>
    <w:rsid w:val="00B84045"/>
    <w:rsid w:val="00B87806"/>
    <w:rsid w:val="00B87E5F"/>
    <w:rsid w:val="00B87EC9"/>
    <w:rsid w:val="00B96173"/>
    <w:rsid w:val="00BA0475"/>
    <w:rsid w:val="00BA06B0"/>
    <w:rsid w:val="00BA6692"/>
    <w:rsid w:val="00BB55F7"/>
    <w:rsid w:val="00BC1AA2"/>
    <w:rsid w:val="00BC26DF"/>
    <w:rsid w:val="00BC38FD"/>
    <w:rsid w:val="00BC5A4E"/>
    <w:rsid w:val="00BD062D"/>
    <w:rsid w:val="00BD7733"/>
    <w:rsid w:val="00BE0BDD"/>
    <w:rsid w:val="00BE1AC3"/>
    <w:rsid w:val="00BE2154"/>
    <w:rsid w:val="00BE32DD"/>
    <w:rsid w:val="00BE6A5E"/>
    <w:rsid w:val="00C01718"/>
    <w:rsid w:val="00C034CB"/>
    <w:rsid w:val="00C051A8"/>
    <w:rsid w:val="00C054BC"/>
    <w:rsid w:val="00C06E2A"/>
    <w:rsid w:val="00C17897"/>
    <w:rsid w:val="00C2329E"/>
    <w:rsid w:val="00C26986"/>
    <w:rsid w:val="00C27CF8"/>
    <w:rsid w:val="00C27D36"/>
    <w:rsid w:val="00C310AD"/>
    <w:rsid w:val="00C313C6"/>
    <w:rsid w:val="00C32006"/>
    <w:rsid w:val="00C35D2A"/>
    <w:rsid w:val="00C35E02"/>
    <w:rsid w:val="00C409D5"/>
    <w:rsid w:val="00C41343"/>
    <w:rsid w:val="00C41958"/>
    <w:rsid w:val="00C43597"/>
    <w:rsid w:val="00C435C3"/>
    <w:rsid w:val="00C4384A"/>
    <w:rsid w:val="00C4407F"/>
    <w:rsid w:val="00C44E5F"/>
    <w:rsid w:val="00C45AF2"/>
    <w:rsid w:val="00C47A22"/>
    <w:rsid w:val="00C5094A"/>
    <w:rsid w:val="00C51B7C"/>
    <w:rsid w:val="00C54DDE"/>
    <w:rsid w:val="00C55F46"/>
    <w:rsid w:val="00C566E0"/>
    <w:rsid w:val="00C6234B"/>
    <w:rsid w:val="00C63EAE"/>
    <w:rsid w:val="00C64A32"/>
    <w:rsid w:val="00C67B98"/>
    <w:rsid w:val="00C72345"/>
    <w:rsid w:val="00C73260"/>
    <w:rsid w:val="00C74602"/>
    <w:rsid w:val="00C75AB4"/>
    <w:rsid w:val="00C7629F"/>
    <w:rsid w:val="00C80368"/>
    <w:rsid w:val="00C8169A"/>
    <w:rsid w:val="00C8170F"/>
    <w:rsid w:val="00C84430"/>
    <w:rsid w:val="00C8661B"/>
    <w:rsid w:val="00C90E6C"/>
    <w:rsid w:val="00C963D8"/>
    <w:rsid w:val="00C96420"/>
    <w:rsid w:val="00C97DA1"/>
    <w:rsid w:val="00CA00AF"/>
    <w:rsid w:val="00CA03C8"/>
    <w:rsid w:val="00CA139A"/>
    <w:rsid w:val="00CA2899"/>
    <w:rsid w:val="00CA2D33"/>
    <w:rsid w:val="00CA3A3D"/>
    <w:rsid w:val="00CA3AA6"/>
    <w:rsid w:val="00CA675F"/>
    <w:rsid w:val="00CA77FB"/>
    <w:rsid w:val="00CB12B3"/>
    <w:rsid w:val="00CB1AED"/>
    <w:rsid w:val="00CB379B"/>
    <w:rsid w:val="00CB4B28"/>
    <w:rsid w:val="00CB5DD0"/>
    <w:rsid w:val="00CB7711"/>
    <w:rsid w:val="00CC0587"/>
    <w:rsid w:val="00CC05BF"/>
    <w:rsid w:val="00CC1361"/>
    <w:rsid w:val="00CC2E0D"/>
    <w:rsid w:val="00CC51D4"/>
    <w:rsid w:val="00CC65DA"/>
    <w:rsid w:val="00CD2939"/>
    <w:rsid w:val="00CD2ED7"/>
    <w:rsid w:val="00CE0CC0"/>
    <w:rsid w:val="00CE0DCA"/>
    <w:rsid w:val="00CE1100"/>
    <w:rsid w:val="00CE1FFF"/>
    <w:rsid w:val="00CE2F54"/>
    <w:rsid w:val="00CE41EA"/>
    <w:rsid w:val="00CF1894"/>
    <w:rsid w:val="00CF19DE"/>
    <w:rsid w:val="00CF21B9"/>
    <w:rsid w:val="00CF6BF9"/>
    <w:rsid w:val="00CF7816"/>
    <w:rsid w:val="00D00823"/>
    <w:rsid w:val="00D03800"/>
    <w:rsid w:val="00D04710"/>
    <w:rsid w:val="00D065D3"/>
    <w:rsid w:val="00D07789"/>
    <w:rsid w:val="00D113CA"/>
    <w:rsid w:val="00D14666"/>
    <w:rsid w:val="00D14C94"/>
    <w:rsid w:val="00D14EE2"/>
    <w:rsid w:val="00D24883"/>
    <w:rsid w:val="00D261A2"/>
    <w:rsid w:val="00D27586"/>
    <w:rsid w:val="00D30398"/>
    <w:rsid w:val="00D342A6"/>
    <w:rsid w:val="00D34CB8"/>
    <w:rsid w:val="00D4291A"/>
    <w:rsid w:val="00D43484"/>
    <w:rsid w:val="00D43AB2"/>
    <w:rsid w:val="00D45CA6"/>
    <w:rsid w:val="00D464BF"/>
    <w:rsid w:val="00D50E5D"/>
    <w:rsid w:val="00D51CE2"/>
    <w:rsid w:val="00D53E26"/>
    <w:rsid w:val="00D56885"/>
    <w:rsid w:val="00D62975"/>
    <w:rsid w:val="00D62D50"/>
    <w:rsid w:val="00D66628"/>
    <w:rsid w:val="00D723A1"/>
    <w:rsid w:val="00D77007"/>
    <w:rsid w:val="00D80C43"/>
    <w:rsid w:val="00D855E7"/>
    <w:rsid w:val="00D860C9"/>
    <w:rsid w:val="00D875B7"/>
    <w:rsid w:val="00D923CC"/>
    <w:rsid w:val="00D94048"/>
    <w:rsid w:val="00D96600"/>
    <w:rsid w:val="00D97F2F"/>
    <w:rsid w:val="00DA3788"/>
    <w:rsid w:val="00DB01F3"/>
    <w:rsid w:val="00DB1524"/>
    <w:rsid w:val="00DB182C"/>
    <w:rsid w:val="00DB3D6C"/>
    <w:rsid w:val="00DB5F1C"/>
    <w:rsid w:val="00DC2D7A"/>
    <w:rsid w:val="00DC4F33"/>
    <w:rsid w:val="00DD3999"/>
    <w:rsid w:val="00DD4F0E"/>
    <w:rsid w:val="00DD7C8F"/>
    <w:rsid w:val="00DE77C7"/>
    <w:rsid w:val="00DF0BF0"/>
    <w:rsid w:val="00DF3CA2"/>
    <w:rsid w:val="00DF5572"/>
    <w:rsid w:val="00E01463"/>
    <w:rsid w:val="00E036D8"/>
    <w:rsid w:val="00E05E0A"/>
    <w:rsid w:val="00E060BE"/>
    <w:rsid w:val="00E06B03"/>
    <w:rsid w:val="00E070DF"/>
    <w:rsid w:val="00E075B8"/>
    <w:rsid w:val="00E106CE"/>
    <w:rsid w:val="00E12ED8"/>
    <w:rsid w:val="00E20547"/>
    <w:rsid w:val="00E2694A"/>
    <w:rsid w:val="00E27469"/>
    <w:rsid w:val="00E27D16"/>
    <w:rsid w:val="00E3059A"/>
    <w:rsid w:val="00E31464"/>
    <w:rsid w:val="00E40A1E"/>
    <w:rsid w:val="00E41A4A"/>
    <w:rsid w:val="00E4553D"/>
    <w:rsid w:val="00E52319"/>
    <w:rsid w:val="00E534CF"/>
    <w:rsid w:val="00E53AB4"/>
    <w:rsid w:val="00E562A9"/>
    <w:rsid w:val="00E56772"/>
    <w:rsid w:val="00E71FA9"/>
    <w:rsid w:val="00E81CB4"/>
    <w:rsid w:val="00E83574"/>
    <w:rsid w:val="00E8585B"/>
    <w:rsid w:val="00E85EAB"/>
    <w:rsid w:val="00E86259"/>
    <w:rsid w:val="00E87E3A"/>
    <w:rsid w:val="00E87F41"/>
    <w:rsid w:val="00E91FD9"/>
    <w:rsid w:val="00E92647"/>
    <w:rsid w:val="00E9310C"/>
    <w:rsid w:val="00EA3F15"/>
    <w:rsid w:val="00EA6CD0"/>
    <w:rsid w:val="00EA7847"/>
    <w:rsid w:val="00EB29EB"/>
    <w:rsid w:val="00EB4C2F"/>
    <w:rsid w:val="00EC105C"/>
    <w:rsid w:val="00EC12D6"/>
    <w:rsid w:val="00EC13BC"/>
    <w:rsid w:val="00EC14AE"/>
    <w:rsid w:val="00EC3F9F"/>
    <w:rsid w:val="00EC72C4"/>
    <w:rsid w:val="00ED3AFC"/>
    <w:rsid w:val="00ED4CAB"/>
    <w:rsid w:val="00ED67E8"/>
    <w:rsid w:val="00EE2CB5"/>
    <w:rsid w:val="00EE2E6E"/>
    <w:rsid w:val="00EE4183"/>
    <w:rsid w:val="00EE6A92"/>
    <w:rsid w:val="00EE75F0"/>
    <w:rsid w:val="00EE7A7C"/>
    <w:rsid w:val="00EF1CA4"/>
    <w:rsid w:val="00EF30E0"/>
    <w:rsid w:val="00EF4206"/>
    <w:rsid w:val="00EF6242"/>
    <w:rsid w:val="00EF687B"/>
    <w:rsid w:val="00F0367E"/>
    <w:rsid w:val="00F0759E"/>
    <w:rsid w:val="00F10A15"/>
    <w:rsid w:val="00F15448"/>
    <w:rsid w:val="00F16A43"/>
    <w:rsid w:val="00F17758"/>
    <w:rsid w:val="00F20DAA"/>
    <w:rsid w:val="00F22DDF"/>
    <w:rsid w:val="00F2495F"/>
    <w:rsid w:val="00F30A9D"/>
    <w:rsid w:val="00F363FC"/>
    <w:rsid w:val="00F43579"/>
    <w:rsid w:val="00F43D53"/>
    <w:rsid w:val="00F46780"/>
    <w:rsid w:val="00F526B2"/>
    <w:rsid w:val="00F5275B"/>
    <w:rsid w:val="00F537B8"/>
    <w:rsid w:val="00F551F5"/>
    <w:rsid w:val="00F57171"/>
    <w:rsid w:val="00F60399"/>
    <w:rsid w:val="00F65F1C"/>
    <w:rsid w:val="00F72D53"/>
    <w:rsid w:val="00F73B93"/>
    <w:rsid w:val="00F7538B"/>
    <w:rsid w:val="00F75483"/>
    <w:rsid w:val="00F77D2D"/>
    <w:rsid w:val="00F804B3"/>
    <w:rsid w:val="00F81605"/>
    <w:rsid w:val="00F821A3"/>
    <w:rsid w:val="00F83849"/>
    <w:rsid w:val="00F854D7"/>
    <w:rsid w:val="00F86872"/>
    <w:rsid w:val="00F871A0"/>
    <w:rsid w:val="00F8760A"/>
    <w:rsid w:val="00F87A01"/>
    <w:rsid w:val="00F92F07"/>
    <w:rsid w:val="00F9314A"/>
    <w:rsid w:val="00F940AC"/>
    <w:rsid w:val="00F940B2"/>
    <w:rsid w:val="00F945AB"/>
    <w:rsid w:val="00F958F4"/>
    <w:rsid w:val="00F9606C"/>
    <w:rsid w:val="00FA260A"/>
    <w:rsid w:val="00FA4F93"/>
    <w:rsid w:val="00FA5F8F"/>
    <w:rsid w:val="00FA61B6"/>
    <w:rsid w:val="00FA7557"/>
    <w:rsid w:val="00FB57F7"/>
    <w:rsid w:val="00FC58EF"/>
    <w:rsid w:val="00FC61AF"/>
    <w:rsid w:val="00FC7AD0"/>
    <w:rsid w:val="00FD06DF"/>
    <w:rsid w:val="00FD0CA1"/>
    <w:rsid w:val="00FD33DF"/>
    <w:rsid w:val="00FD370B"/>
    <w:rsid w:val="00FD4113"/>
    <w:rsid w:val="00FE1A68"/>
    <w:rsid w:val="00FE29A4"/>
    <w:rsid w:val="00FE39D7"/>
    <w:rsid w:val="00FE3DB1"/>
    <w:rsid w:val="00FE7915"/>
    <w:rsid w:val="00FE7ED2"/>
    <w:rsid w:val="00FF021A"/>
    <w:rsid w:val="00FF3FA1"/>
    <w:rsid w:val="00FF640C"/>
    <w:rsid w:val="00FF6BD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CA675F"/>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customStyle="1" w:styleId="CharStyle29">
    <w:name w:val="Char Style 29"/>
    <w:basedOn w:val="Fuentedeprrafopredeter"/>
    <w:link w:val="Style25"/>
    <w:uiPriority w:val="99"/>
    <w:rsid w:val="0087499A"/>
    <w:rPr>
      <w:rFonts w:ascii="Arial" w:hAnsi="Arial" w:cs="Arial"/>
      <w:sz w:val="23"/>
      <w:szCs w:val="23"/>
      <w:shd w:val="clear" w:color="auto" w:fill="FFFFFF"/>
    </w:rPr>
  </w:style>
  <w:style w:type="character" w:customStyle="1" w:styleId="CharStyle50">
    <w:name w:val="Char Style 50"/>
    <w:basedOn w:val="Fuentedeprrafopredeter"/>
    <w:link w:val="Style49"/>
    <w:uiPriority w:val="99"/>
    <w:rsid w:val="0087499A"/>
    <w:rPr>
      <w:rFonts w:ascii="Arial" w:hAnsi="Arial" w:cs="Arial"/>
      <w:b/>
      <w:bCs/>
      <w:sz w:val="23"/>
      <w:szCs w:val="23"/>
      <w:shd w:val="clear" w:color="auto" w:fill="FFFFFF"/>
    </w:rPr>
  </w:style>
  <w:style w:type="character" w:customStyle="1" w:styleId="CharStyle56">
    <w:name w:val="Char Style 56"/>
    <w:basedOn w:val="CharStyle29"/>
    <w:uiPriority w:val="99"/>
    <w:rsid w:val="0087499A"/>
    <w:rPr>
      <w:rFonts w:ascii="Arial" w:hAnsi="Arial" w:cs="Arial"/>
      <w:sz w:val="24"/>
      <w:szCs w:val="24"/>
      <w:shd w:val="clear" w:color="auto" w:fill="FFFFFF"/>
    </w:rPr>
  </w:style>
  <w:style w:type="paragraph" w:customStyle="1" w:styleId="Style25">
    <w:name w:val="Style 25"/>
    <w:basedOn w:val="Normal"/>
    <w:link w:val="CharStyle29"/>
    <w:uiPriority w:val="99"/>
    <w:rsid w:val="0087499A"/>
    <w:pPr>
      <w:widowControl w:val="0"/>
      <w:shd w:val="clear" w:color="auto" w:fill="FFFFFF"/>
      <w:spacing w:line="274" w:lineRule="exact"/>
      <w:ind w:left="0" w:hanging="700"/>
    </w:pPr>
    <w:rPr>
      <w:rFonts w:ascii="Arial" w:hAnsi="Arial" w:cs="Arial"/>
      <w:sz w:val="23"/>
      <w:szCs w:val="23"/>
      <w:lang w:val="es-CO" w:eastAsia="es-CO"/>
    </w:rPr>
  </w:style>
  <w:style w:type="paragraph" w:customStyle="1" w:styleId="Style49">
    <w:name w:val="Style 49"/>
    <w:basedOn w:val="Normal"/>
    <w:link w:val="CharStyle50"/>
    <w:uiPriority w:val="99"/>
    <w:rsid w:val="0087499A"/>
    <w:pPr>
      <w:widowControl w:val="0"/>
      <w:shd w:val="clear" w:color="auto" w:fill="FFFFFF"/>
      <w:spacing w:before="240" w:after="240" w:line="240" w:lineRule="atLeast"/>
      <w:ind w:left="0" w:hanging="720"/>
      <w:jc w:val="both"/>
      <w:outlineLvl w:val="0"/>
    </w:pPr>
    <w:rPr>
      <w:rFonts w:ascii="Arial" w:hAnsi="Arial" w:cs="Arial"/>
      <w:b/>
      <w:bCs/>
      <w:sz w:val="23"/>
      <w:szCs w:val="23"/>
      <w:lang w:val="es-CO" w:eastAsia="es-CO"/>
    </w:rPr>
  </w:style>
  <w:style w:type="paragraph" w:styleId="NormalWeb">
    <w:name w:val="Normal (Web)"/>
    <w:basedOn w:val="Normal"/>
    <w:uiPriority w:val="99"/>
    <w:unhideWhenUsed/>
    <w:rsid w:val="00F10A15"/>
    <w:pPr>
      <w:spacing w:before="100" w:beforeAutospacing="1" w:after="100" w:afterAutospacing="1"/>
      <w:ind w:left="0"/>
    </w:pPr>
    <w:rPr>
      <w:lang w:val="es-CO" w:eastAsia="es-CO"/>
    </w:rPr>
  </w:style>
  <w:style w:type="character" w:customStyle="1" w:styleId="Ttulo2Car">
    <w:name w:val="Título 2 Car"/>
    <w:basedOn w:val="Fuentedeprrafopredeter"/>
    <w:link w:val="Ttulo2"/>
    <w:uiPriority w:val="9"/>
    <w:semiHidden/>
    <w:rsid w:val="00CA675F"/>
    <w:rPr>
      <w:rFonts w:ascii="Cambria" w:hAnsi="Cambria"/>
      <w:b/>
      <w:bCs/>
      <w:i/>
      <w:iCs/>
      <w:sz w:val="28"/>
      <w:szCs w:val="2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CA675F"/>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DC2D7A"/>
    <w:rPr>
      <w:vertAlign w:val="superscript"/>
    </w:rPr>
  </w:style>
  <w:style w:type="character" w:styleId="Refdecomentario">
    <w:name w:val="annotation reference"/>
    <w:basedOn w:val="Fuentedeprrafopredeter"/>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customStyle="1" w:styleId="CharStyle29">
    <w:name w:val="Char Style 29"/>
    <w:basedOn w:val="Fuentedeprrafopredeter"/>
    <w:link w:val="Style25"/>
    <w:uiPriority w:val="99"/>
    <w:rsid w:val="0087499A"/>
    <w:rPr>
      <w:rFonts w:ascii="Arial" w:hAnsi="Arial" w:cs="Arial"/>
      <w:sz w:val="23"/>
      <w:szCs w:val="23"/>
      <w:shd w:val="clear" w:color="auto" w:fill="FFFFFF"/>
    </w:rPr>
  </w:style>
  <w:style w:type="character" w:customStyle="1" w:styleId="CharStyle50">
    <w:name w:val="Char Style 50"/>
    <w:basedOn w:val="Fuentedeprrafopredeter"/>
    <w:link w:val="Style49"/>
    <w:uiPriority w:val="99"/>
    <w:rsid w:val="0087499A"/>
    <w:rPr>
      <w:rFonts w:ascii="Arial" w:hAnsi="Arial" w:cs="Arial"/>
      <w:b/>
      <w:bCs/>
      <w:sz w:val="23"/>
      <w:szCs w:val="23"/>
      <w:shd w:val="clear" w:color="auto" w:fill="FFFFFF"/>
    </w:rPr>
  </w:style>
  <w:style w:type="character" w:customStyle="1" w:styleId="CharStyle56">
    <w:name w:val="Char Style 56"/>
    <w:basedOn w:val="CharStyle29"/>
    <w:uiPriority w:val="99"/>
    <w:rsid w:val="0087499A"/>
    <w:rPr>
      <w:rFonts w:ascii="Arial" w:hAnsi="Arial" w:cs="Arial"/>
      <w:sz w:val="24"/>
      <w:szCs w:val="24"/>
      <w:shd w:val="clear" w:color="auto" w:fill="FFFFFF"/>
    </w:rPr>
  </w:style>
  <w:style w:type="paragraph" w:customStyle="1" w:styleId="Style25">
    <w:name w:val="Style 25"/>
    <w:basedOn w:val="Normal"/>
    <w:link w:val="CharStyle29"/>
    <w:uiPriority w:val="99"/>
    <w:rsid w:val="0087499A"/>
    <w:pPr>
      <w:widowControl w:val="0"/>
      <w:shd w:val="clear" w:color="auto" w:fill="FFFFFF"/>
      <w:spacing w:line="274" w:lineRule="exact"/>
      <w:ind w:left="0" w:hanging="700"/>
    </w:pPr>
    <w:rPr>
      <w:rFonts w:ascii="Arial" w:hAnsi="Arial" w:cs="Arial"/>
      <w:sz w:val="23"/>
      <w:szCs w:val="23"/>
      <w:lang w:val="es-CO" w:eastAsia="es-CO"/>
    </w:rPr>
  </w:style>
  <w:style w:type="paragraph" w:customStyle="1" w:styleId="Style49">
    <w:name w:val="Style 49"/>
    <w:basedOn w:val="Normal"/>
    <w:link w:val="CharStyle50"/>
    <w:uiPriority w:val="99"/>
    <w:rsid w:val="0087499A"/>
    <w:pPr>
      <w:widowControl w:val="0"/>
      <w:shd w:val="clear" w:color="auto" w:fill="FFFFFF"/>
      <w:spacing w:before="240" w:after="240" w:line="240" w:lineRule="atLeast"/>
      <w:ind w:left="0" w:hanging="720"/>
      <w:jc w:val="both"/>
      <w:outlineLvl w:val="0"/>
    </w:pPr>
    <w:rPr>
      <w:rFonts w:ascii="Arial" w:hAnsi="Arial" w:cs="Arial"/>
      <w:b/>
      <w:bCs/>
      <w:sz w:val="23"/>
      <w:szCs w:val="23"/>
      <w:lang w:val="es-CO" w:eastAsia="es-CO"/>
    </w:rPr>
  </w:style>
  <w:style w:type="paragraph" w:styleId="NormalWeb">
    <w:name w:val="Normal (Web)"/>
    <w:basedOn w:val="Normal"/>
    <w:uiPriority w:val="99"/>
    <w:unhideWhenUsed/>
    <w:rsid w:val="00F10A15"/>
    <w:pPr>
      <w:spacing w:before="100" w:beforeAutospacing="1" w:after="100" w:afterAutospacing="1"/>
      <w:ind w:left="0"/>
    </w:pPr>
    <w:rPr>
      <w:lang w:val="es-CO" w:eastAsia="es-CO"/>
    </w:rPr>
  </w:style>
  <w:style w:type="character" w:customStyle="1" w:styleId="Ttulo2Car">
    <w:name w:val="Título 2 Car"/>
    <w:basedOn w:val="Fuentedeprrafopredeter"/>
    <w:link w:val="Ttulo2"/>
    <w:uiPriority w:val="9"/>
    <w:semiHidden/>
    <w:rsid w:val="00CA675F"/>
    <w:rPr>
      <w:rFonts w:ascii="Cambria" w:hAnsi="Cambria"/>
      <w:b/>
      <w:bCs/>
      <w:i/>
      <w:i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89516">
      <w:bodyDiv w:val="1"/>
      <w:marLeft w:val="0"/>
      <w:marRight w:val="0"/>
      <w:marTop w:val="0"/>
      <w:marBottom w:val="0"/>
      <w:divBdr>
        <w:top w:val="none" w:sz="0" w:space="0" w:color="auto"/>
        <w:left w:val="none" w:sz="0" w:space="0" w:color="auto"/>
        <w:bottom w:val="none" w:sz="0" w:space="0" w:color="auto"/>
        <w:right w:val="none" w:sz="0" w:space="0" w:color="auto"/>
      </w:divBdr>
    </w:div>
    <w:div w:id="240262608">
      <w:bodyDiv w:val="1"/>
      <w:marLeft w:val="0"/>
      <w:marRight w:val="0"/>
      <w:marTop w:val="0"/>
      <w:marBottom w:val="0"/>
      <w:divBdr>
        <w:top w:val="none" w:sz="0" w:space="0" w:color="auto"/>
        <w:left w:val="none" w:sz="0" w:space="0" w:color="auto"/>
        <w:bottom w:val="none" w:sz="0" w:space="0" w:color="auto"/>
        <w:right w:val="none" w:sz="0" w:space="0" w:color="auto"/>
      </w:divBdr>
    </w:div>
    <w:div w:id="654140415">
      <w:bodyDiv w:val="1"/>
      <w:marLeft w:val="0"/>
      <w:marRight w:val="0"/>
      <w:marTop w:val="0"/>
      <w:marBottom w:val="0"/>
      <w:divBdr>
        <w:top w:val="none" w:sz="0" w:space="0" w:color="auto"/>
        <w:left w:val="none" w:sz="0" w:space="0" w:color="auto"/>
        <w:bottom w:val="none" w:sz="0" w:space="0" w:color="auto"/>
        <w:right w:val="none" w:sz="0" w:space="0" w:color="auto"/>
      </w:divBdr>
    </w:div>
    <w:div w:id="896891848">
      <w:bodyDiv w:val="1"/>
      <w:marLeft w:val="0"/>
      <w:marRight w:val="0"/>
      <w:marTop w:val="0"/>
      <w:marBottom w:val="0"/>
      <w:divBdr>
        <w:top w:val="none" w:sz="0" w:space="0" w:color="auto"/>
        <w:left w:val="none" w:sz="0" w:space="0" w:color="auto"/>
        <w:bottom w:val="none" w:sz="0" w:space="0" w:color="auto"/>
        <w:right w:val="none" w:sz="0" w:space="0" w:color="auto"/>
      </w:divBdr>
    </w:div>
    <w:div w:id="1066730634">
      <w:bodyDiv w:val="1"/>
      <w:marLeft w:val="0"/>
      <w:marRight w:val="0"/>
      <w:marTop w:val="0"/>
      <w:marBottom w:val="0"/>
      <w:divBdr>
        <w:top w:val="none" w:sz="0" w:space="0" w:color="auto"/>
        <w:left w:val="none" w:sz="0" w:space="0" w:color="auto"/>
        <w:bottom w:val="none" w:sz="0" w:space="0" w:color="auto"/>
        <w:right w:val="none" w:sz="0" w:space="0" w:color="auto"/>
      </w:divBdr>
    </w:div>
    <w:div w:id="1119032911">
      <w:bodyDiv w:val="1"/>
      <w:marLeft w:val="0"/>
      <w:marRight w:val="0"/>
      <w:marTop w:val="0"/>
      <w:marBottom w:val="0"/>
      <w:divBdr>
        <w:top w:val="none" w:sz="0" w:space="0" w:color="auto"/>
        <w:left w:val="none" w:sz="0" w:space="0" w:color="auto"/>
        <w:bottom w:val="none" w:sz="0" w:space="0" w:color="auto"/>
        <w:right w:val="none" w:sz="0" w:space="0" w:color="auto"/>
      </w:divBdr>
    </w:div>
    <w:div w:id="1227498208">
      <w:bodyDiv w:val="1"/>
      <w:marLeft w:val="0"/>
      <w:marRight w:val="0"/>
      <w:marTop w:val="0"/>
      <w:marBottom w:val="0"/>
      <w:divBdr>
        <w:top w:val="none" w:sz="0" w:space="0" w:color="auto"/>
        <w:left w:val="none" w:sz="0" w:space="0" w:color="auto"/>
        <w:bottom w:val="none" w:sz="0" w:space="0" w:color="auto"/>
        <w:right w:val="none" w:sz="0" w:space="0" w:color="auto"/>
      </w:divBdr>
    </w:div>
    <w:div w:id="1891377197">
      <w:bodyDiv w:val="1"/>
      <w:marLeft w:val="0"/>
      <w:marRight w:val="0"/>
      <w:marTop w:val="0"/>
      <w:marBottom w:val="0"/>
      <w:divBdr>
        <w:top w:val="none" w:sz="0" w:space="0" w:color="auto"/>
        <w:left w:val="none" w:sz="0" w:space="0" w:color="auto"/>
        <w:bottom w:val="none" w:sz="0" w:space="0" w:color="auto"/>
        <w:right w:val="none" w:sz="0" w:space="0" w:color="auto"/>
      </w:divBdr>
    </w:div>
    <w:div w:id="1923878125">
      <w:bodyDiv w:val="1"/>
      <w:marLeft w:val="0"/>
      <w:marRight w:val="0"/>
      <w:marTop w:val="0"/>
      <w:marBottom w:val="0"/>
      <w:divBdr>
        <w:top w:val="none" w:sz="0" w:space="0" w:color="auto"/>
        <w:left w:val="none" w:sz="0" w:space="0" w:color="auto"/>
        <w:bottom w:val="none" w:sz="0" w:space="0" w:color="auto"/>
        <w:right w:val="none" w:sz="0" w:space="0" w:color="auto"/>
      </w:divBdr>
    </w:div>
    <w:div w:id="19982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714A-6374-46B4-A8B9-D5E379FA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10</Pages>
  <Words>2676</Words>
  <Characters>14493</Characters>
  <Application>Microsoft Office Word</Application>
  <DocSecurity>0</DocSecurity>
  <Lines>120</Lines>
  <Paragraphs>34</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        </vt:lpstr>
      <vt:lpstr>        COMISIÓN DE REGULACIÓN DE ENERGÍA Y GAS</vt:lpstr>
      <vt:lpstr>        (                                  )</vt:lpstr>
      <vt:lpstr>ANÁLISIS DE LA SOLICITUD</vt:lpstr>
      <vt:lpstr>Artículo 1. Modifíquese el Artículo 2 de la resolución 049 de 2011</vt:lpstr>
      <vt:lpstr>Artículo 3. Informar a la Superintendencia de Servicios Públicos Domiciliarios e</vt:lpstr>
      <vt:lpstr>Artículo 4. La presente Resolución deberá notificarse a la empresa PROVIGAS S.A.</vt:lpstr>
    </vt:vector>
  </TitlesOfParts>
  <Company>CREG</Company>
  <LinksUpToDate>false</LinksUpToDate>
  <CharactersWithSpaces>17135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Velez Cuartas;Daniela Ramos</dc:creator>
  <cp:lastModifiedBy>Luz Stella Rojas Macias</cp:lastModifiedBy>
  <cp:revision>2</cp:revision>
  <cp:lastPrinted>2016-05-31T14:07:00Z</cp:lastPrinted>
  <dcterms:created xsi:type="dcterms:W3CDTF">2016-06-08T17:06:00Z</dcterms:created>
  <dcterms:modified xsi:type="dcterms:W3CDTF">2016-06-08T17:06:00Z</dcterms:modified>
</cp:coreProperties>
</file>