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929" w:rsidRPr="00A96759" w:rsidRDefault="00C634E2" w:rsidP="00A4092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0.95pt;width:52.5pt;height:48.75pt;z-index:251659264" fillcolor="#0c9">
            <v:imagedata r:id="rId8" o:title=""/>
          </v:shape>
          <o:OLEObject Type="Embed" ProgID="PBrush" ShapeID="_x0000_s1026" DrawAspect="Content" ObjectID="_1508045592" r:id="rId9"/>
        </w:pict>
      </w:r>
    </w:p>
    <w:p w:rsidR="00A40929" w:rsidRPr="00A96759" w:rsidRDefault="00A40929" w:rsidP="00A40929">
      <w:pPr>
        <w:pStyle w:val="Encabezado"/>
        <w:tabs>
          <w:tab w:val="clear" w:pos="8504"/>
          <w:tab w:val="left" w:pos="0"/>
          <w:tab w:val="right" w:pos="9356"/>
        </w:tabs>
        <w:ind w:left="0"/>
        <w:jc w:val="both"/>
        <w:rPr>
          <w:rFonts w:ascii="Bookman Old Style" w:hAnsi="Bookman Old Style"/>
          <w:szCs w:val="24"/>
        </w:rPr>
      </w:pPr>
    </w:p>
    <w:p w:rsidR="00A40929" w:rsidRPr="00A96759" w:rsidRDefault="00A40929" w:rsidP="00A40929">
      <w:pPr>
        <w:pStyle w:val="Ttulo4"/>
        <w:tabs>
          <w:tab w:val="left" w:pos="0"/>
          <w:tab w:val="right" w:pos="9356"/>
        </w:tabs>
        <w:ind w:left="0"/>
        <w:rPr>
          <w:rFonts w:ascii="Bookman Old Style" w:hAnsi="Bookman Old Style"/>
          <w:b w:val="0"/>
          <w:bCs/>
          <w:noProof/>
          <w:sz w:val="24"/>
          <w:szCs w:val="24"/>
          <w:lang w:val="es-ES"/>
        </w:rPr>
      </w:pPr>
      <w:r w:rsidRPr="00A96759">
        <w:rPr>
          <w:rFonts w:ascii="Bookman Old Style" w:hAnsi="Bookman Old Style"/>
          <w:b w:val="0"/>
          <w:bCs/>
          <w:sz w:val="24"/>
          <w:szCs w:val="24"/>
        </w:rPr>
        <w:t>Ministerio de Minas y Energía</w:t>
      </w:r>
    </w:p>
    <w:p w:rsidR="00A40929" w:rsidRPr="00A96759" w:rsidRDefault="00A40929" w:rsidP="00A40929">
      <w:pPr>
        <w:pStyle w:val="Ttulo4"/>
        <w:tabs>
          <w:tab w:val="left" w:pos="0"/>
          <w:tab w:val="right" w:pos="9356"/>
        </w:tabs>
        <w:ind w:left="0"/>
        <w:rPr>
          <w:rFonts w:ascii="Bookman Old Style" w:hAnsi="Bookman Old Style"/>
          <w:b w:val="0"/>
          <w:bCs/>
          <w:sz w:val="24"/>
          <w:szCs w:val="24"/>
        </w:rPr>
      </w:pPr>
    </w:p>
    <w:p w:rsidR="00A40929" w:rsidRPr="00A96759" w:rsidRDefault="00A40929" w:rsidP="00A40929">
      <w:pPr>
        <w:pStyle w:val="Ttulo3"/>
        <w:tabs>
          <w:tab w:val="left" w:pos="0"/>
          <w:tab w:val="right" w:pos="9356"/>
        </w:tabs>
        <w:ind w:left="0"/>
        <w:rPr>
          <w:rFonts w:ascii="Bookman Old Style" w:hAnsi="Bookman Old Style" w:cs="Arial"/>
          <w:spacing w:val="20"/>
          <w:szCs w:val="24"/>
        </w:rPr>
      </w:pPr>
    </w:p>
    <w:p w:rsidR="00A40929" w:rsidRPr="00A96759" w:rsidRDefault="00A40929" w:rsidP="00A40929">
      <w:pPr>
        <w:pStyle w:val="Ttulo3"/>
        <w:tabs>
          <w:tab w:val="left" w:pos="0"/>
          <w:tab w:val="right" w:pos="9356"/>
        </w:tabs>
        <w:ind w:left="0"/>
        <w:rPr>
          <w:rFonts w:ascii="Bookman Old Style" w:hAnsi="Bookman Old Style" w:cs="Arial"/>
          <w:spacing w:val="20"/>
          <w:szCs w:val="24"/>
        </w:rPr>
      </w:pPr>
      <w:r w:rsidRPr="00A96759">
        <w:rPr>
          <w:rFonts w:ascii="Bookman Old Style" w:hAnsi="Bookman Old Style" w:cs="Arial"/>
          <w:spacing w:val="20"/>
          <w:szCs w:val="24"/>
        </w:rPr>
        <w:t>COMISIÓN DE REGULACIÓN DE ENERGÍA Y GAS</w:t>
      </w:r>
    </w:p>
    <w:p w:rsidR="00A40929" w:rsidRPr="00A96759" w:rsidRDefault="00A40929" w:rsidP="00A40929">
      <w:pPr>
        <w:pStyle w:val="Ttulo5"/>
        <w:tabs>
          <w:tab w:val="left" w:pos="0"/>
          <w:tab w:val="right" w:pos="9356"/>
        </w:tabs>
        <w:ind w:left="0"/>
        <w:rPr>
          <w:rFonts w:ascii="Bookman Old Style" w:hAnsi="Bookman Old Style"/>
          <w:sz w:val="24"/>
          <w:szCs w:val="24"/>
        </w:rPr>
      </w:pPr>
    </w:p>
    <w:p w:rsidR="00A40929" w:rsidRPr="00A96759" w:rsidRDefault="00A40929" w:rsidP="00A40929">
      <w:pPr>
        <w:rPr>
          <w:rFonts w:ascii="Bookman Old Style" w:hAnsi="Bookman Old Style"/>
          <w:lang w:val="es-ES_tradnl" w:eastAsia="x-none"/>
        </w:rPr>
      </w:pPr>
    </w:p>
    <w:p w:rsidR="00A40929" w:rsidRPr="00A96759" w:rsidRDefault="00E66C2E" w:rsidP="00A40929">
      <w:pPr>
        <w:pStyle w:val="Ttulo5"/>
        <w:tabs>
          <w:tab w:val="left" w:pos="0"/>
          <w:tab w:val="right" w:pos="9356"/>
        </w:tabs>
        <w:ind w:left="0"/>
        <w:rPr>
          <w:rFonts w:ascii="Bookman Old Style" w:hAnsi="Bookman Old Style"/>
          <w:sz w:val="24"/>
          <w:szCs w:val="24"/>
        </w:rPr>
      </w:pPr>
      <w:r>
        <w:rPr>
          <w:rFonts w:ascii="Bookman Old Style" w:hAnsi="Bookman Old Style"/>
          <w:sz w:val="24"/>
          <w:szCs w:val="24"/>
        </w:rPr>
        <w:t>RESOLUCIÓN No.</w:t>
      </w:r>
      <w:r w:rsidR="00582AAB">
        <w:rPr>
          <w:rFonts w:ascii="Bookman Old Style" w:hAnsi="Bookman Old Style"/>
          <w:sz w:val="24"/>
          <w:szCs w:val="24"/>
        </w:rPr>
        <w:t xml:space="preserve">        </w:t>
      </w:r>
      <w:r w:rsidR="00AC3F37">
        <w:rPr>
          <w:rFonts w:ascii="Bookman Old Style" w:hAnsi="Bookman Old Style"/>
          <w:sz w:val="24"/>
          <w:szCs w:val="24"/>
        </w:rPr>
        <w:t xml:space="preserve">   </w:t>
      </w:r>
      <w:r w:rsidR="00E954AC">
        <w:rPr>
          <w:rFonts w:ascii="Bookman Old Style" w:hAnsi="Bookman Old Style"/>
          <w:sz w:val="24"/>
          <w:szCs w:val="24"/>
        </w:rPr>
        <w:t xml:space="preserve"> </w:t>
      </w:r>
      <w:r w:rsidR="00A40929" w:rsidRPr="00A96759">
        <w:rPr>
          <w:rFonts w:ascii="Bookman Old Style" w:hAnsi="Bookman Old Style"/>
          <w:sz w:val="24"/>
          <w:szCs w:val="24"/>
        </w:rPr>
        <w:t>DE 201</w:t>
      </w:r>
      <w:r w:rsidR="007B47E0">
        <w:rPr>
          <w:rFonts w:ascii="Bookman Old Style" w:hAnsi="Bookman Old Style"/>
          <w:sz w:val="24"/>
          <w:szCs w:val="24"/>
        </w:rPr>
        <w:t>5</w:t>
      </w:r>
    </w:p>
    <w:p w:rsidR="00A40929" w:rsidRPr="00A96759" w:rsidRDefault="00A40929" w:rsidP="00A40929">
      <w:pPr>
        <w:tabs>
          <w:tab w:val="left" w:pos="0"/>
          <w:tab w:val="right" w:pos="9356"/>
        </w:tabs>
        <w:ind w:left="0"/>
        <w:jc w:val="center"/>
        <w:rPr>
          <w:rFonts w:ascii="Bookman Old Style" w:hAnsi="Bookman Old Style" w:cs="Arial"/>
          <w:b/>
          <w:snapToGrid w:val="0"/>
          <w:color w:val="000000"/>
          <w:lang w:val="es-ES_tradnl"/>
        </w:rPr>
      </w:pPr>
    </w:p>
    <w:p w:rsidR="00A40929" w:rsidRPr="00A96759" w:rsidRDefault="00A40929" w:rsidP="00A40929">
      <w:pPr>
        <w:pStyle w:val="Ttulo3"/>
        <w:tabs>
          <w:tab w:val="left" w:pos="0"/>
          <w:tab w:val="right" w:pos="9356"/>
        </w:tabs>
        <w:ind w:left="0"/>
        <w:rPr>
          <w:rFonts w:ascii="Bookman Old Style" w:hAnsi="Bookman Old Style"/>
          <w:b w:val="0"/>
          <w:szCs w:val="24"/>
        </w:rPr>
      </w:pPr>
      <w:r w:rsidRPr="00A96759">
        <w:rPr>
          <w:rFonts w:ascii="Bookman Old Style" w:hAnsi="Bookman Old Style"/>
          <w:b w:val="0"/>
          <w:szCs w:val="24"/>
        </w:rPr>
        <w:t>(</w:t>
      </w:r>
      <w:r w:rsidR="00172286">
        <w:rPr>
          <w:rFonts w:ascii="Bookman Old Style" w:hAnsi="Bookman Old Style"/>
          <w:b w:val="0"/>
          <w:szCs w:val="24"/>
        </w:rPr>
        <w:t xml:space="preserve">       </w:t>
      </w:r>
      <w:r w:rsidR="00AC3F37">
        <w:rPr>
          <w:rFonts w:ascii="Bookman Old Style" w:hAnsi="Bookman Old Style"/>
          <w:b w:val="0"/>
          <w:szCs w:val="24"/>
        </w:rPr>
        <w:t xml:space="preserve">               </w:t>
      </w:r>
      <w:r w:rsidR="00172286">
        <w:rPr>
          <w:rFonts w:ascii="Bookman Old Style" w:hAnsi="Bookman Old Style"/>
          <w:b w:val="0"/>
          <w:szCs w:val="24"/>
        </w:rPr>
        <w:t xml:space="preserve">     </w:t>
      </w:r>
      <w:r w:rsidRPr="00A96759">
        <w:rPr>
          <w:rFonts w:ascii="Bookman Old Style" w:hAnsi="Bookman Old Style"/>
          <w:b w:val="0"/>
          <w:szCs w:val="24"/>
        </w:rPr>
        <w:t>)</w:t>
      </w:r>
    </w:p>
    <w:p w:rsidR="00A40929" w:rsidRPr="00A96759" w:rsidRDefault="00A40929" w:rsidP="00A40929">
      <w:pPr>
        <w:tabs>
          <w:tab w:val="left" w:pos="0"/>
          <w:tab w:val="right" w:pos="9356"/>
        </w:tabs>
        <w:ind w:left="0"/>
        <w:jc w:val="center"/>
        <w:rPr>
          <w:rFonts w:ascii="Bookman Old Style" w:hAnsi="Bookman Old Style"/>
          <w:lang w:val="es-ES_tradnl"/>
        </w:rPr>
      </w:pPr>
    </w:p>
    <w:p w:rsidR="00E66C2E" w:rsidRDefault="00E66C2E" w:rsidP="00A96759">
      <w:pPr>
        <w:ind w:left="0"/>
        <w:jc w:val="center"/>
        <w:rPr>
          <w:rFonts w:ascii="Bookman Old Style" w:hAnsi="Bookman Old Style" w:cs="Arial"/>
        </w:rPr>
      </w:pPr>
    </w:p>
    <w:p w:rsidR="00AE4156" w:rsidRDefault="00AE4156" w:rsidP="00A96759">
      <w:pPr>
        <w:ind w:left="0"/>
        <w:jc w:val="center"/>
        <w:rPr>
          <w:rFonts w:ascii="Bookman Old Style" w:hAnsi="Bookman Old Style" w:cs="Arial"/>
        </w:rPr>
      </w:pPr>
    </w:p>
    <w:p w:rsidR="00A96759" w:rsidRPr="00A96759" w:rsidRDefault="00A96759" w:rsidP="00A96759">
      <w:pPr>
        <w:ind w:left="0"/>
        <w:jc w:val="center"/>
        <w:rPr>
          <w:rFonts w:ascii="Bookman Old Style" w:hAnsi="Bookman Old Style" w:cs="Arial"/>
          <w:lang w:val="es-CO" w:eastAsia="es-CO"/>
        </w:rPr>
      </w:pPr>
      <w:r w:rsidRPr="00A96759">
        <w:rPr>
          <w:rFonts w:ascii="Bookman Old Style" w:hAnsi="Bookman Old Style" w:cs="Arial"/>
        </w:rPr>
        <w:t>Por la cual se señala el porcentaje de la contribución que deben pagar las entidades sometidas a la regulación de la Comisión de Regulación de Energía y Gas en el año 201</w:t>
      </w:r>
      <w:r w:rsidR="007B47E0">
        <w:rPr>
          <w:rFonts w:ascii="Bookman Old Style" w:hAnsi="Bookman Old Style" w:cs="Arial"/>
        </w:rPr>
        <w:t>5</w:t>
      </w:r>
      <w:r w:rsidRPr="00A96759">
        <w:rPr>
          <w:rFonts w:ascii="Bookman Old Style" w:hAnsi="Bookman Old Style" w:cs="Arial"/>
        </w:rPr>
        <w:t>, y se dictan otras disposiciones</w:t>
      </w:r>
    </w:p>
    <w:p w:rsidR="00A96759" w:rsidRPr="00A96759" w:rsidRDefault="00A96759" w:rsidP="00A96759">
      <w:pPr>
        <w:pStyle w:val="TableHeading"/>
        <w:suppressLineNumbers w:val="0"/>
        <w:rPr>
          <w:rFonts w:ascii="Bookman Old Style" w:hAnsi="Bookman Old Style" w:cs="Arial"/>
          <w:bCs w:val="0"/>
          <w:sz w:val="24"/>
          <w:lang w:val="es-CO"/>
        </w:rPr>
      </w:pPr>
    </w:p>
    <w:p w:rsidR="00A96759" w:rsidRPr="00A96759" w:rsidRDefault="00A96759" w:rsidP="00A96759">
      <w:pPr>
        <w:pStyle w:val="TableHeading"/>
        <w:suppressLineNumbers w:val="0"/>
        <w:rPr>
          <w:rFonts w:ascii="Bookman Old Style" w:hAnsi="Bookman Old Style" w:cs="Arial"/>
          <w:bCs w:val="0"/>
          <w:sz w:val="24"/>
          <w:lang w:val="es-CO"/>
        </w:rPr>
      </w:pPr>
    </w:p>
    <w:p w:rsidR="00A96759" w:rsidRPr="00A96759" w:rsidRDefault="00A96759" w:rsidP="00A96759">
      <w:pPr>
        <w:pStyle w:val="Ttulo6"/>
        <w:spacing w:before="0" w:after="0"/>
        <w:ind w:left="0"/>
        <w:jc w:val="center"/>
        <w:rPr>
          <w:rFonts w:ascii="Bookman Old Style" w:hAnsi="Bookman Old Style"/>
          <w:sz w:val="24"/>
          <w:szCs w:val="24"/>
        </w:rPr>
      </w:pPr>
      <w:r w:rsidRPr="00A96759">
        <w:rPr>
          <w:rFonts w:ascii="Bookman Old Style" w:hAnsi="Bookman Old Style"/>
          <w:sz w:val="24"/>
          <w:szCs w:val="24"/>
        </w:rPr>
        <w:t>LA COMISIÓN DE REGULACIÓN DE ENERGÍA Y GAS</w:t>
      </w:r>
    </w:p>
    <w:p w:rsidR="00A96759" w:rsidRPr="00A96759" w:rsidRDefault="00A96759" w:rsidP="00A96759">
      <w:pPr>
        <w:ind w:left="0"/>
        <w:jc w:val="both"/>
        <w:rPr>
          <w:rFonts w:ascii="Bookman Old Style" w:hAnsi="Bookman Old Style" w:cs="Arial"/>
          <w:b/>
          <w:bCs/>
        </w:rPr>
      </w:pPr>
    </w:p>
    <w:p w:rsidR="00A96759" w:rsidRPr="00A96759" w:rsidRDefault="00A96759" w:rsidP="00A96759">
      <w:pPr>
        <w:ind w:left="0"/>
        <w:jc w:val="both"/>
        <w:rPr>
          <w:rFonts w:ascii="Bookman Old Style" w:hAnsi="Bookman Old Style" w:cs="Arial"/>
        </w:rPr>
      </w:pPr>
    </w:p>
    <w:p w:rsidR="00A96759" w:rsidRPr="00A96759" w:rsidRDefault="00AE4156" w:rsidP="00A96759">
      <w:pPr>
        <w:tabs>
          <w:tab w:val="left" w:pos="624"/>
        </w:tabs>
        <w:ind w:left="0"/>
        <w:jc w:val="center"/>
        <w:rPr>
          <w:rFonts w:ascii="Bookman Old Style" w:hAnsi="Bookman Old Style" w:cs="Arial"/>
        </w:rPr>
      </w:pPr>
      <w:r>
        <w:rPr>
          <w:rFonts w:ascii="Bookman Old Style" w:hAnsi="Bookman Old Style" w:cs="Arial"/>
        </w:rPr>
        <w:t>e</w:t>
      </w:r>
      <w:r w:rsidR="00A96759" w:rsidRPr="00A96759">
        <w:rPr>
          <w:rFonts w:ascii="Bookman Old Style" w:hAnsi="Bookman Old Style" w:cs="Arial"/>
        </w:rPr>
        <w:t>n ejercicio de sus atribuciones legales, en especial de las que le confieren los artículos 85 de la Ley 142 de 1994 y 22 de la Ley 143 de 1994, y la Resolución 072 de 2014, y</w:t>
      </w:r>
    </w:p>
    <w:p w:rsidR="00A96759" w:rsidRPr="00A96759" w:rsidRDefault="00A96759" w:rsidP="00A96759">
      <w:pPr>
        <w:pStyle w:val="TableHeading"/>
        <w:suppressLineNumbers w:val="0"/>
        <w:rPr>
          <w:rFonts w:ascii="Bookman Old Style" w:hAnsi="Bookman Old Style" w:cs="Arial"/>
          <w:bCs w:val="0"/>
          <w:sz w:val="24"/>
        </w:rPr>
      </w:pPr>
    </w:p>
    <w:p w:rsidR="00A96759" w:rsidRPr="00A96759" w:rsidRDefault="00A96759" w:rsidP="00A96759">
      <w:pPr>
        <w:pStyle w:val="TableHeading"/>
        <w:suppressLineNumbers w:val="0"/>
        <w:rPr>
          <w:rFonts w:ascii="Bookman Old Style" w:hAnsi="Bookman Old Style" w:cs="Arial"/>
          <w:bCs w:val="0"/>
          <w:sz w:val="24"/>
        </w:rPr>
      </w:pPr>
    </w:p>
    <w:p w:rsidR="00A96759" w:rsidRPr="00A96759" w:rsidRDefault="00A96759" w:rsidP="00A96759">
      <w:pPr>
        <w:pStyle w:val="TableHeading"/>
        <w:suppressLineNumbers w:val="0"/>
        <w:rPr>
          <w:rFonts w:ascii="Bookman Old Style" w:hAnsi="Bookman Old Style" w:cs="Arial"/>
          <w:bCs w:val="0"/>
          <w:sz w:val="24"/>
          <w:lang w:val="es-CO"/>
        </w:rPr>
      </w:pPr>
      <w:r w:rsidRPr="00A96759">
        <w:rPr>
          <w:rFonts w:ascii="Bookman Old Style" w:hAnsi="Bookman Old Style" w:cs="Arial"/>
          <w:bCs w:val="0"/>
          <w:sz w:val="24"/>
        </w:rPr>
        <w:t>C O N S I D E R A N D O:</w:t>
      </w:r>
    </w:p>
    <w:p w:rsidR="00A96759" w:rsidRPr="00C03171" w:rsidRDefault="00A96759" w:rsidP="00A96759">
      <w:pPr>
        <w:ind w:left="0"/>
        <w:jc w:val="both"/>
        <w:rPr>
          <w:rFonts w:ascii="Bookman Old Style" w:hAnsi="Bookman Old Style" w:cs="Arial"/>
          <w:lang w:val="es-CO"/>
        </w:rPr>
      </w:pPr>
    </w:p>
    <w:p w:rsidR="00A96759" w:rsidRPr="00A96759" w:rsidRDefault="00A96759" w:rsidP="00A96759">
      <w:pPr>
        <w:ind w:left="0"/>
        <w:jc w:val="both"/>
        <w:rPr>
          <w:rFonts w:ascii="Bookman Old Style" w:hAnsi="Bookman Old Style" w:cs="Arial"/>
        </w:rPr>
      </w:pPr>
    </w:p>
    <w:p w:rsidR="00A96759" w:rsidRPr="00A96759" w:rsidRDefault="00A96759" w:rsidP="00A96759">
      <w:pPr>
        <w:ind w:left="0"/>
        <w:jc w:val="both"/>
        <w:rPr>
          <w:rFonts w:ascii="Bookman Old Style" w:hAnsi="Bookman Old Style" w:cs="Arial"/>
        </w:rPr>
      </w:pPr>
      <w:r w:rsidRPr="00A96759">
        <w:rPr>
          <w:rFonts w:ascii="Bookman Old Style" w:hAnsi="Bookman Old Style" w:cs="Arial"/>
        </w:rPr>
        <w:t>Los artículos 85 de la Ley 142 de 1994 y</w:t>
      </w:r>
      <w:r w:rsidR="00E954AC">
        <w:rPr>
          <w:rFonts w:ascii="Bookman Old Style" w:hAnsi="Bookman Old Style" w:cs="Arial"/>
        </w:rPr>
        <w:t xml:space="preserve"> </w:t>
      </w:r>
      <w:r w:rsidRPr="00A96759">
        <w:rPr>
          <w:rFonts w:ascii="Bookman Old Style" w:hAnsi="Bookman Old Style" w:cs="Arial"/>
        </w:rPr>
        <w:t xml:space="preserve">22 de la Ley 143 de 1994 establecen una contribución de regulación para efectos de recuperar los costos del servicio de Regulación atribuido a la Comisión de Regulación de Energía y Gas -CREG, cuya tarifa máxima no podrá ser superior al uno por ciento (1%) del valor de los gastos de funcionamiento de la entidad contribuyente, con exclusión de los factores señalados en las </w:t>
      </w:r>
      <w:r w:rsidR="00C03171">
        <w:rPr>
          <w:rFonts w:ascii="Bookman Old Style" w:hAnsi="Bookman Old Style" w:cs="Arial"/>
        </w:rPr>
        <w:t>l</w:t>
      </w:r>
      <w:r w:rsidRPr="00A96759">
        <w:rPr>
          <w:rFonts w:ascii="Bookman Old Style" w:hAnsi="Bookman Old Style" w:cs="Arial"/>
        </w:rPr>
        <w:t>eyes 142 y 143 de 1994.</w:t>
      </w:r>
    </w:p>
    <w:p w:rsidR="00A96759" w:rsidRPr="00A96759" w:rsidRDefault="00A96759" w:rsidP="00A96759">
      <w:pPr>
        <w:ind w:left="0"/>
        <w:jc w:val="both"/>
        <w:rPr>
          <w:rFonts w:ascii="Bookman Old Style" w:hAnsi="Bookman Old Style" w:cs="Arial"/>
        </w:rPr>
      </w:pPr>
    </w:p>
    <w:p w:rsidR="00A96759" w:rsidRPr="00A96759" w:rsidRDefault="00A96759" w:rsidP="00A96759">
      <w:pPr>
        <w:ind w:left="0"/>
        <w:jc w:val="both"/>
        <w:rPr>
          <w:rFonts w:ascii="Bookman Old Style" w:hAnsi="Bookman Old Style" w:cs="Arial"/>
        </w:rPr>
      </w:pPr>
      <w:r w:rsidRPr="00A96759">
        <w:rPr>
          <w:rFonts w:ascii="Bookman Old Style" w:hAnsi="Bookman Old Style" w:cs="Arial"/>
        </w:rPr>
        <w:t xml:space="preserve">Los criterios para la determinación del porcentaje de la contribución y su liquidación se encuentran desarrollados en la Resolución </w:t>
      </w:r>
      <w:r w:rsidRPr="000134CB">
        <w:rPr>
          <w:rFonts w:ascii="Bookman Old Style" w:hAnsi="Bookman Old Style" w:cs="Arial"/>
        </w:rPr>
        <w:t xml:space="preserve">072 de 2014 </w:t>
      </w:r>
      <w:r w:rsidRPr="00A96759">
        <w:rPr>
          <w:rFonts w:ascii="Bookman Old Style" w:hAnsi="Bookman Old Style" w:cs="Arial"/>
        </w:rPr>
        <w:t>expedid</w:t>
      </w:r>
      <w:r w:rsidR="00DE3114">
        <w:rPr>
          <w:rFonts w:ascii="Bookman Old Style" w:hAnsi="Bookman Old Style" w:cs="Arial"/>
        </w:rPr>
        <w:t>a</w:t>
      </w:r>
      <w:r w:rsidRPr="00A96759">
        <w:rPr>
          <w:rFonts w:ascii="Bookman Old Style" w:hAnsi="Bookman Old Style" w:cs="Arial"/>
        </w:rPr>
        <w:t xml:space="preserve"> por la Comisión de Regulación de Energía y Gas -CREG.</w:t>
      </w:r>
    </w:p>
    <w:p w:rsidR="00A96759" w:rsidRPr="00A96759" w:rsidRDefault="00A96759" w:rsidP="00A96759">
      <w:pPr>
        <w:ind w:left="0"/>
        <w:jc w:val="both"/>
        <w:rPr>
          <w:rFonts w:ascii="Bookman Old Style" w:hAnsi="Bookman Old Style" w:cs="Arial"/>
        </w:rPr>
      </w:pPr>
    </w:p>
    <w:p w:rsidR="00A96759" w:rsidRPr="00A96759" w:rsidRDefault="00A96759" w:rsidP="00A96759">
      <w:pPr>
        <w:ind w:left="0"/>
        <w:jc w:val="both"/>
        <w:rPr>
          <w:rFonts w:ascii="Bookman Old Style" w:hAnsi="Bookman Old Style" w:cs="Arial"/>
        </w:rPr>
      </w:pPr>
      <w:r w:rsidRPr="00A96759">
        <w:rPr>
          <w:rFonts w:ascii="Bookman Old Style" w:hAnsi="Bookman Old Style" w:cs="Arial"/>
        </w:rPr>
        <w:t>Corresponde a la Comisión de Regulación de Energía y Gas definir el monto de la contribución que se aplicará a cada una de las entidades sometidas a su regulación, por el año 201</w:t>
      </w:r>
      <w:r w:rsidR="007B47E0">
        <w:rPr>
          <w:rFonts w:ascii="Bookman Old Style" w:hAnsi="Bookman Old Style" w:cs="Arial"/>
        </w:rPr>
        <w:t>5</w:t>
      </w:r>
      <w:r w:rsidRPr="00A96759">
        <w:rPr>
          <w:rFonts w:ascii="Bookman Old Style" w:hAnsi="Bookman Old Style" w:cs="Arial"/>
        </w:rPr>
        <w:t>.</w:t>
      </w:r>
    </w:p>
    <w:p w:rsidR="00A96759" w:rsidRPr="00A96759" w:rsidRDefault="00A96759" w:rsidP="00A96759">
      <w:pPr>
        <w:ind w:left="0"/>
        <w:jc w:val="both"/>
        <w:rPr>
          <w:rFonts w:ascii="Bookman Old Style" w:hAnsi="Bookman Old Style" w:cs="Arial"/>
        </w:rPr>
      </w:pPr>
    </w:p>
    <w:p w:rsidR="00A96759" w:rsidRPr="00A96759" w:rsidRDefault="00A96759" w:rsidP="00A96759">
      <w:pPr>
        <w:ind w:left="0"/>
        <w:jc w:val="both"/>
        <w:rPr>
          <w:rFonts w:ascii="Bookman Old Style" w:hAnsi="Bookman Old Style" w:cs="Arial"/>
        </w:rPr>
      </w:pPr>
      <w:r w:rsidRPr="00A96759">
        <w:rPr>
          <w:rFonts w:ascii="Bookman Old Style" w:hAnsi="Bookman Old Style" w:cs="Arial"/>
        </w:rPr>
        <w:t>Los prestadores de servicios públicos domiciliarios están obligados a reportar la información financiera a través Sistema Único de Información- SUI.</w:t>
      </w:r>
    </w:p>
    <w:p w:rsidR="00A96759" w:rsidRPr="00A96759" w:rsidRDefault="00A96759" w:rsidP="00A96759">
      <w:pPr>
        <w:ind w:left="0"/>
        <w:jc w:val="both"/>
        <w:rPr>
          <w:rFonts w:ascii="Bookman Old Style" w:hAnsi="Bookman Old Style" w:cs="Arial"/>
        </w:rPr>
      </w:pPr>
    </w:p>
    <w:p w:rsidR="00A96759" w:rsidRDefault="00A96759" w:rsidP="00A96759">
      <w:pPr>
        <w:ind w:left="0"/>
        <w:jc w:val="both"/>
        <w:rPr>
          <w:rFonts w:ascii="Bookman Old Style" w:hAnsi="Bookman Old Style" w:cs="Arial"/>
        </w:rPr>
      </w:pPr>
      <w:r w:rsidRPr="00A96759">
        <w:rPr>
          <w:rFonts w:ascii="Bookman Old Style" w:hAnsi="Bookman Old Style" w:cs="Arial"/>
        </w:rPr>
        <w:t xml:space="preserve">En el </w:t>
      </w:r>
      <w:r>
        <w:rPr>
          <w:rFonts w:ascii="Bookman Old Style" w:hAnsi="Bookman Old Style" w:cs="Arial"/>
        </w:rPr>
        <w:t>D</w:t>
      </w:r>
      <w:r w:rsidRPr="00A96759">
        <w:rPr>
          <w:rFonts w:ascii="Bookman Old Style" w:hAnsi="Bookman Old Style" w:cs="Arial"/>
        </w:rPr>
        <w:t>ocumento CREG</w:t>
      </w:r>
      <w:r w:rsidR="00AE4156">
        <w:rPr>
          <w:rFonts w:ascii="Bookman Old Style" w:hAnsi="Bookman Old Style" w:cs="Arial"/>
        </w:rPr>
        <w:t xml:space="preserve"> </w:t>
      </w:r>
      <w:r>
        <w:rPr>
          <w:rFonts w:ascii="Bookman Old Style" w:hAnsi="Bookman Old Style" w:cs="Arial"/>
        </w:rPr>
        <w:t>0</w:t>
      </w:r>
      <w:r w:rsidR="007B47E0">
        <w:rPr>
          <w:rFonts w:ascii="Bookman Old Style" w:hAnsi="Bookman Old Style" w:cs="Arial"/>
        </w:rPr>
        <w:t>76</w:t>
      </w:r>
      <w:r w:rsidRPr="00A96759">
        <w:rPr>
          <w:rFonts w:ascii="Bookman Old Style" w:hAnsi="Bookman Old Style" w:cs="Arial"/>
        </w:rPr>
        <w:t xml:space="preserve"> de 201</w:t>
      </w:r>
      <w:r w:rsidR="007B47E0">
        <w:rPr>
          <w:rFonts w:ascii="Bookman Old Style" w:hAnsi="Bookman Old Style" w:cs="Arial"/>
        </w:rPr>
        <w:t>5</w:t>
      </w:r>
      <w:r w:rsidRPr="00A96759">
        <w:rPr>
          <w:rFonts w:ascii="Bookman Old Style" w:hAnsi="Bookman Old Style" w:cs="Arial"/>
        </w:rPr>
        <w:t xml:space="preserve"> están contenidos los análisis que soportan la propuesta de asignación de porcentaje de contribución que deben pagar las entidades</w:t>
      </w:r>
      <w:r w:rsidR="00E954AC">
        <w:rPr>
          <w:rFonts w:ascii="Bookman Old Style" w:hAnsi="Bookman Old Style" w:cs="Arial"/>
        </w:rPr>
        <w:t xml:space="preserve"> </w:t>
      </w:r>
      <w:r w:rsidRPr="00A96759">
        <w:rPr>
          <w:rFonts w:ascii="Bookman Old Style" w:hAnsi="Bookman Old Style" w:cs="Arial"/>
        </w:rPr>
        <w:t>sometidas a la regulación</w:t>
      </w:r>
      <w:r w:rsidR="00E954AC">
        <w:rPr>
          <w:rFonts w:ascii="Bookman Old Style" w:hAnsi="Bookman Old Style" w:cs="Arial"/>
        </w:rPr>
        <w:t xml:space="preserve"> </w:t>
      </w:r>
      <w:r w:rsidRPr="00A96759">
        <w:rPr>
          <w:rFonts w:ascii="Bookman Old Style" w:hAnsi="Bookman Old Style" w:cs="Arial"/>
        </w:rPr>
        <w:t>de</w:t>
      </w:r>
      <w:r w:rsidR="00E954AC">
        <w:rPr>
          <w:rFonts w:ascii="Bookman Old Style" w:hAnsi="Bookman Old Style" w:cs="Arial"/>
        </w:rPr>
        <w:t xml:space="preserve"> </w:t>
      </w:r>
      <w:r w:rsidRPr="00A96759">
        <w:rPr>
          <w:rFonts w:ascii="Bookman Old Style" w:hAnsi="Bookman Old Style" w:cs="Arial"/>
        </w:rPr>
        <w:t>la CREG para el año 201</w:t>
      </w:r>
      <w:r w:rsidR="007B47E0">
        <w:rPr>
          <w:rFonts w:ascii="Bookman Old Style" w:hAnsi="Bookman Old Style" w:cs="Arial"/>
        </w:rPr>
        <w:t>5</w:t>
      </w:r>
    </w:p>
    <w:p w:rsidR="004E483A" w:rsidRDefault="004E483A" w:rsidP="00A96759">
      <w:pPr>
        <w:ind w:left="0"/>
        <w:jc w:val="both"/>
        <w:rPr>
          <w:rFonts w:ascii="Bookman Old Style" w:hAnsi="Bookman Old Style" w:cs="Arial"/>
        </w:rPr>
      </w:pPr>
    </w:p>
    <w:p w:rsidR="009E6479" w:rsidRDefault="009E6479" w:rsidP="00A96759">
      <w:pPr>
        <w:ind w:left="0"/>
        <w:jc w:val="both"/>
        <w:rPr>
          <w:rFonts w:ascii="Bookman Old Style" w:hAnsi="Bookman Old Style" w:cs="Arial"/>
          <w:lang w:val="es-CO" w:eastAsia="es-CO"/>
        </w:rPr>
      </w:pPr>
      <w:r>
        <w:rPr>
          <w:rFonts w:ascii="Bookman Old Style" w:hAnsi="Bookman Old Style" w:cs="Arial"/>
        </w:rPr>
        <w:t>Mediante Resolución CREG 1</w:t>
      </w:r>
      <w:r w:rsidR="000134CB">
        <w:rPr>
          <w:rFonts w:ascii="Bookman Old Style" w:hAnsi="Bookman Old Style" w:cs="Arial"/>
        </w:rPr>
        <w:t>15</w:t>
      </w:r>
      <w:r>
        <w:rPr>
          <w:rFonts w:ascii="Bookman Old Style" w:hAnsi="Bookman Old Style" w:cs="Arial"/>
        </w:rPr>
        <w:t xml:space="preserve"> del </w:t>
      </w:r>
      <w:r w:rsidR="000134CB">
        <w:rPr>
          <w:rFonts w:ascii="Bookman Old Style" w:hAnsi="Bookman Old Style" w:cs="Arial"/>
        </w:rPr>
        <w:t>26</w:t>
      </w:r>
      <w:r>
        <w:rPr>
          <w:rFonts w:ascii="Bookman Old Style" w:hAnsi="Bookman Old Style" w:cs="Arial"/>
        </w:rPr>
        <w:t xml:space="preserve"> de </w:t>
      </w:r>
      <w:r w:rsidR="007B47E0">
        <w:rPr>
          <w:rFonts w:ascii="Bookman Old Style" w:hAnsi="Bookman Old Style" w:cs="Arial"/>
        </w:rPr>
        <w:t>agosto</w:t>
      </w:r>
      <w:r>
        <w:rPr>
          <w:rFonts w:ascii="Bookman Old Style" w:hAnsi="Bookman Old Style" w:cs="Arial"/>
        </w:rPr>
        <w:t xml:space="preserve"> de 201</w:t>
      </w:r>
      <w:r w:rsidR="007B47E0">
        <w:rPr>
          <w:rFonts w:ascii="Bookman Old Style" w:hAnsi="Bookman Old Style" w:cs="Arial"/>
        </w:rPr>
        <w:t>5</w:t>
      </w:r>
      <w:r>
        <w:rPr>
          <w:rFonts w:ascii="Bookman Old Style" w:hAnsi="Bookman Old Style" w:cs="Arial"/>
        </w:rPr>
        <w:t>,</w:t>
      </w:r>
      <w:r w:rsidR="00E954AC">
        <w:rPr>
          <w:rFonts w:ascii="Bookman Old Style" w:hAnsi="Bookman Old Style" w:cs="Arial"/>
        </w:rPr>
        <w:t xml:space="preserve"> </w:t>
      </w:r>
      <w:r>
        <w:rPr>
          <w:rFonts w:ascii="Bookman Old Style" w:hAnsi="Bookman Old Style" w:cs="Arial"/>
        </w:rPr>
        <w:t>la CREG sometió a consulta un proyecto de resolución “</w:t>
      </w:r>
      <w:r w:rsidRPr="00A96759">
        <w:rPr>
          <w:rFonts w:ascii="Bookman Old Style" w:hAnsi="Bookman Old Style" w:cs="Arial"/>
          <w:lang w:val="es-CO" w:eastAsia="es-CO"/>
        </w:rPr>
        <w:t xml:space="preserve">Por la cual </w:t>
      </w:r>
      <w:r w:rsidRPr="00A96759">
        <w:rPr>
          <w:rFonts w:ascii="Bookman Old Style" w:hAnsi="Bookman Old Style" w:cs="Arial"/>
        </w:rPr>
        <w:t>se señala el porcentaje de la contribución que deben pagar las entidades sometidas a la regulación de la Comisión de Regulación de Energía y Gas en el año 201</w:t>
      </w:r>
      <w:r w:rsidR="000134CB">
        <w:rPr>
          <w:rFonts w:ascii="Bookman Old Style" w:hAnsi="Bookman Old Style" w:cs="Arial"/>
        </w:rPr>
        <w:t>5</w:t>
      </w:r>
      <w:r w:rsidRPr="00A96759">
        <w:rPr>
          <w:rFonts w:ascii="Bookman Old Style" w:hAnsi="Bookman Old Style" w:cs="Arial"/>
        </w:rPr>
        <w:t>, y se dictan otras disposiciones</w:t>
      </w:r>
      <w:r w:rsidRPr="00A96759">
        <w:rPr>
          <w:rFonts w:ascii="Bookman Old Style" w:hAnsi="Bookman Old Style" w:cs="Arial"/>
          <w:lang w:val="es-CO" w:eastAsia="es-CO"/>
        </w:rPr>
        <w:t>”.</w:t>
      </w:r>
    </w:p>
    <w:p w:rsidR="009E6479" w:rsidRDefault="009E6479" w:rsidP="00A96759">
      <w:pPr>
        <w:ind w:left="0"/>
        <w:jc w:val="both"/>
        <w:rPr>
          <w:rFonts w:ascii="Bookman Old Style" w:hAnsi="Bookman Old Style" w:cs="Arial"/>
        </w:rPr>
      </w:pPr>
    </w:p>
    <w:p w:rsidR="004E483A" w:rsidRDefault="004E483A" w:rsidP="00A96759">
      <w:pPr>
        <w:ind w:left="0"/>
        <w:jc w:val="both"/>
        <w:rPr>
          <w:rFonts w:ascii="Bookman Old Style" w:hAnsi="Bookman Old Style" w:cs="Arial"/>
        </w:rPr>
      </w:pPr>
      <w:r>
        <w:rPr>
          <w:rFonts w:ascii="Bookman Old Style" w:hAnsi="Bookman Old Style" w:cs="Arial"/>
        </w:rPr>
        <w:t xml:space="preserve">Durante el proceso de consulta se recibieron las siguientes comunicaciones con comentarios al proyecto de resolución </w:t>
      </w:r>
      <w:r w:rsidR="00E954AC">
        <w:rPr>
          <w:rFonts w:ascii="Bookman Old Style" w:hAnsi="Bookman Old Style" w:cs="Arial"/>
        </w:rPr>
        <w:t xml:space="preserve">sometido a consulta mediante resolución </w:t>
      </w:r>
      <w:r>
        <w:rPr>
          <w:rFonts w:ascii="Bookman Old Style" w:hAnsi="Bookman Old Style" w:cs="Arial"/>
        </w:rPr>
        <w:t>CREG 1</w:t>
      </w:r>
      <w:r w:rsidR="000134CB">
        <w:rPr>
          <w:rFonts w:ascii="Bookman Old Style" w:hAnsi="Bookman Old Style" w:cs="Arial"/>
        </w:rPr>
        <w:t>15</w:t>
      </w:r>
      <w:r>
        <w:rPr>
          <w:rFonts w:ascii="Bookman Old Style" w:hAnsi="Bookman Old Style" w:cs="Arial"/>
        </w:rPr>
        <w:t xml:space="preserve"> de 201</w:t>
      </w:r>
      <w:r w:rsidR="000134CB">
        <w:rPr>
          <w:rFonts w:ascii="Bookman Old Style" w:hAnsi="Bookman Old Style" w:cs="Arial"/>
        </w:rPr>
        <w:t>5</w:t>
      </w:r>
      <w:r>
        <w:rPr>
          <w:rFonts w:ascii="Bookman Old Style" w:hAnsi="Bookman Old Style" w:cs="Arial"/>
        </w:rPr>
        <w:t>,</w:t>
      </w:r>
      <w:r w:rsidR="00E954AC">
        <w:rPr>
          <w:rFonts w:ascii="Bookman Old Style" w:hAnsi="Bookman Old Style" w:cs="Arial"/>
        </w:rPr>
        <w:t xml:space="preserve"> </w:t>
      </w:r>
      <w:r>
        <w:rPr>
          <w:rFonts w:ascii="Bookman Old Style" w:hAnsi="Bookman Old Style" w:cs="Arial"/>
        </w:rPr>
        <w:t>las cuales fueron analizadas y consideradas para la expedición de la presente resolución</w:t>
      </w:r>
      <w:r w:rsidR="00AE4156">
        <w:rPr>
          <w:rFonts w:ascii="Bookman Old Style" w:hAnsi="Bookman Old Style" w:cs="Arial"/>
        </w:rPr>
        <w:t>.</w:t>
      </w:r>
    </w:p>
    <w:p w:rsidR="004E483A" w:rsidRPr="00AE4156" w:rsidRDefault="004E483A" w:rsidP="00A96759">
      <w:pPr>
        <w:ind w:left="0"/>
        <w:jc w:val="both"/>
        <w:rPr>
          <w:rFonts w:ascii="Bookman Old Style" w:hAnsi="Bookman Old Style" w:cs="Arial"/>
          <w:sz w:val="32"/>
        </w:rPr>
      </w:pPr>
    </w:p>
    <w:tbl>
      <w:tblPr>
        <w:tblW w:w="9077" w:type="dxa"/>
        <w:tblInd w:w="65" w:type="dxa"/>
        <w:tblCellMar>
          <w:left w:w="70" w:type="dxa"/>
          <w:right w:w="70" w:type="dxa"/>
        </w:tblCellMar>
        <w:tblLook w:val="04A0" w:firstRow="1" w:lastRow="0" w:firstColumn="1" w:lastColumn="0" w:noHBand="0" w:noVBand="1"/>
      </w:tblPr>
      <w:tblGrid>
        <w:gridCol w:w="1848"/>
        <w:gridCol w:w="7229"/>
      </w:tblGrid>
      <w:tr w:rsidR="004E483A" w:rsidRPr="004E483A" w:rsidTr="0000544E">
        <w:trPr>
          <w:trHeight w:val="255"/>
        </w:trPr>
        <w:tc>
          <w:tcPr>
            <w:tcW w:w="1848"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4E483A" w:rsidRPr="005F61C6" w:rsidRDefault="004E483A" w:rsidP="004E483A">
            <w:pPr>
              <w:ind w:left="0"/>
              <w:jc w:val="center"/>
              <w:rPr>
                <w:rFonts w:ascii="Arial" w:hAnsi="Arial" w:cs="Arial"/>
                <w:color w:val="FFFFFF"/>
                <w:sz w:val="22"/>
                <w:szCs w:val="22"/>
                <w:lang w:val="es-CO" w:eastAsia="es-CO"/>
              </w:rPr>
            </w:pPr>
            <w:r w:rsidRPr="005F61C6">
              <w:rPr>
                <w:rFonts w:ascii="Arial" w:hAnsi="Arial" w:cs="Arial"/>
                <w:color w:val="FFFFFF"/>
                <w:sz w:val="22"/>
                <w:szCs w:val="22"/>
                <w:lang w:val="es-CO" w:eastAsia="es-CO"/>
              </w:rPr>
              <w:t>RADICADO</w:t>
            </w:r>
          </w:p>
        </w:tc>
        <w:tc>
          <w:tcPr>
            <w:tcW w:w="7229" w:type="dxa"/>
            <w:tcBorders>
              <w:top w:val="single" w:sz="4" w:space="0" w:color="auto"/>
              <w:left w:val="nil"/>
              <w:bottom w:val="single" w:sz="4" w:space="0" w:color="auto"/>
              <w:right w:val="single" w:sz="4" w:space="0" w:color="auto"/>
            </w:tcBorders>
            <w:shd w:val="clear" w:color="000000" w:fill="1F497D"/>
            <w:noWrap/>
            <w:vAlign w:val="bottom"/>
            <w:hideMark/>
          </w:tcPr>
          <w:p w:rsidR="004E483A" w:rsidRPr="005F61C6" w:rsidRDefault="004E483A" w:rsidP="004E483A">
            <w:pPr>
              <w:ind w:left="0"/>
              <w:jc w:val="center"/>
              <w:rPr>
                <w:rFonts w:ascii="Arial" w:hAnsi="Arial" w:cs="Arial"/>
                <w:color w:val="FFFFFF"/>
                <w:sz w:val="22"/>
                <w:szCs w:val="22"/>
                <w:lang w:val="es-CO" w:eastAsia="es-CO"/>
              </w:rPr>
            </w:pPr>
            <w:r w:rsidRPr="005F61C6">
              <w:rPr>
                <w:rFonts w:ascii="Arial" w:hAnsi="Arial" w:cs="Arial"/>
                <w:color w:val="FFFFFF"/>
                <w:sz w:val="22"/>
                <w:szCs w:val="22"/>
                <w:lang w:val="es-CO" w:eastAsia="es-CO"/>
              </w:rPr>
              <w:t>EMPRESA</w:t>
            </w:r>
          </w:p>
        </w:tc>
      </w:tr>
      <w:tr w:rsidR="004E483A" w:rsidRPr="00AE4156" w:rsidTr="0000544E">
        <w:trPr>
          <w:trHeight w:val="255"/>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rsidR="004E483A" w:rsidRPr="005F61C6" w:rsidRDefault="004E483A" w:rsidP="000134CB">
            <w:pPr>
              <w:ind w:left="0"/>
              <w:rPr>
                <w:rFonts w:ascii="Arial" w:hAnsi="Arial" w:cs="Arial"/>
                <w:sz w:val="22"/>
                <w:szCs w:val="22"/>
                <w:lang w:val="es-CO" w:eastAsia="es-CO"/>
              </w:rPr>
            </w:pPr>
            <w:r w:rsidRPr="005F61C6">
              <w:rPr>
                <w:rFonts w:ascii="Arial" w:hAnsi="Arial" w:cs="Arial"/>
                <w:sz w:val="22"/>
                <w:szCs w:val="22"/>
                <w:lang w:val="es-CO" w:eastAsia="es-CO"/>
              </w:rPr>
              <w:t>E-201</w:t>
            </w:r>
            <w:r w:rsidR="000134CB">
              <w:rPr>
                <w:rFonts w:ascii="Arial" w:hAnsi="Arial" w:cs="Arial"/>
                <w:sz w:val="22"/>
                <w:szCs w:val="22"/>
                <w:lang w:val="es-CO" w:eastAsia="es-CO"/>
              </w:rPr>
              <w:t>5</w:t>
            </w:r>
            <w:r w:rsidRPr="005F61C6">
              <w:rPr>
                <w:rFonts w:ascii="Arial" w:hAnsi="Arial" w:cs="Arial"/>
                <w:sz w:val="22"/>
                <w:szCs w:val="22"/>
                <w:lang w:val="es-CO" w:eastAsia="es-CO"/>
              </w:rPr>
              <w:t>-00</w:t>
            </w:r>
            <w:r w:rsidR="000134CB">
              <w:rPr>
                <w:rFonts w:ascii="Arial" w:hAnsi="Arial" w:cs="Arial"/>
                <w:sz w:val="22"/>
                <w:szCs w:val="22"/>
                <w:lang w:val="es-CO" w:eastAsia="es-CO"/>
              </w:rPr>
              <w:t>9407</w:t>
            </w:r>
          </w:p>
        </w:tc>
        <w:tc>
          <w:tcPr>
            <w:tcW w:w="7229" w:type="dxa"/>
            <w:tcBorders>
              <w:top w:val="nil"/>
              <w:left w:val="nil"/>
              <w:bottom w:val="single" w:sz="4" w:space="0" w:color="auto"/>
              <w:right w:val="single" w:sz="4" w:space="0" w:color="auto"/>
            </w:tcBorders>
            <w:shd w:val="clear" w:color="auto" w:fill="auto"/>
            <w:noWrap/>
            <w:vAlign w:val="bottom"/>
            <w:hideMark/>
          </w:tcPr>
          <w:p w:rsidR="004E483A" w:rsidRPr="005F61C6" w:rsidRDefault="000134CB" w:rsidP="004E483A">
            <w:pPr>
              <w:ind w:left="0"/>
              <w:rPr>
                <w:rFonts w:ascii="Arial" w:hAnsi="Arial" w:cs="Arial"/>
                <w:sz w:val="22"/>
                <w:szCs w:val="22"/>
                <w:lang w:val="en-US" w:eastAsia="es-CO"/>
              </w:rPr>
            </w:pPr>
            <w:r>
              <w:rPr>
                <w:rFonts w:ascii="Arial" w:hAnsi="Arial" w:cs="Arial"/>
                <w:sz w:val="22"/>
                <w:szCs w:val="22"/>
                <w:lang w:val="en-US" w:eastAsia="es-CO"/>
              </w:rPr>
              <w:t>CODENSA S. A.</w:t>
            </w:r>
          </w:p>
        </w:tc>
      </w:tr>
    </w:tbl>
    <w:p w:rsidR="004E483A" w:rsidRPr="00AE4156" w:rsidRDefault="004E483A" w:rsidP="00A96759">
      <w:pPr>
        <w:ind w:left="0"/>
        <w:jc w:val="both"/>
        <w:rPr>
          <w:rFonts w:ascii="Bookman Old Style" w:hAnsi="Bookman Old Style" w:cs="Arial"/>
          <w:sz w:val="32"/>
          <w:lang w:val="en-US"/>
        </w:rPr>
      </w:pPr>
    </w:p>
    <w:p w:rsidR="000134CB" w:rsidRDefault="000134CB" w:rsidP="00A96759">
      <w:pPr>
        <w:ind w:left="0"/>
        <w:jc w:val="both"/>
        <w:rPr>
          <w:rFonts w:ascii="Bookman Old Style" w:hAnsi="Bookman Old Style" w:cs="Arial"/>
        </w:rPr>
      </w:pPr>
      <w:r>
        <w:rPr>
          <w:rFonts w:ascii="Bookman Old Style" w:hAnsi="Bookman Old Style" w:cs="Arial"/>
        </w:rPr>
        <w:t>Así mismo la CREG actualiz</w:t>
      </w:r>
      <w:r w:rsidR="00E954AC">
        <w:rPr>
          <w:rFonts w:ascii="Bookman Old Style" w:hAnsi="Bookman Old Style" w:cs="Arial"/>
        </w:rPr>
        <w:t>ó</w:t>
      </w:r>
      <w:r>
        <w:rPr>
          <w:rFonts w:ascii="Bookman Old Style" w:hAnsi="Bookman Old Style" w:cs="Arial"/>
        </w:rPr>
        <w:t xml:space="preserve"> la base de datos de los regulados presentándose variaciones en los gastos reportados por los regulados así:</w:t>
      </w:r>
    </w:p>
    <w:p w:rsidR="000134CB" w:rsidRDefault="000134CB" w:rsidP="00A96759">
      <w:pPr>
        <w:ind w:left="0"/>
        <w:jc w:val="both"/>
        <w:rPr>
          <w:rFonts w:ascii="Bookman Old Style" w:hAnsi="Bookman Old Style" w:cs="Arial"/>
        </w:rPr>
      </w:pPr>
    </w:p>
    <w:p w:rsidR="000134CB" w:rsidRDefault="000134CB" w:rsidP="002D76D2">
      <w:pPr>
        <w:ind w:left="0" w:firstLine="708"/>
        <w:rPr>
          <w:rFonts w:ascii="Bookman Old Style" w:hAnsi="Bookman Old Style" w:cs="Arial"/>
        </w:rPr>
      </w:pPr>
      <w:r>
        <w:rPr>
          <w:rFonts w:ascii="Bookman Old Style" w:hAnsi="Bookman Old Style" w:cs="Arial"/>
          <w:noProof/>
          <w:lang w:val="es-CO" w:eastAsia="es-CO"/>
        </w:rPr>
        <w:drawing>
          <wp:inline distT="0" distB="0" distL="0" distR="0" wp14:anchorId="27BF7700" wp14:editId="7745039A">
            <wp:extent cx="4895850" cy="4038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2771" cy="4036060"/>
                    </a:xfrm>
                    <a:prstGeom prst="rect">
                      <a:avLst/>
                    </a:prstGeom>
                    <a:noFill/>
                  </pic:spPr>
                </pic:pic>
              </a:graphicData>
            </a:graphic>
          </wp:inline>
        </w:drawing>
      </w:r>
    </w:p>
    <w:p w:rsidR="000134CB" w:rsidRDefault="000134CB" w:rsidP="00A96759">
      <w:pPr>
        <w:ind w:left="0"/>
        <w:jc w:val="both"/>
        <w:rPr>
          <w:rFonts w:ascii="Bookman Old Style" w:hAnsi="Bookman Old Style" w:cs="Arial"/>
        </w:rPr>
      </w:pPr>
    </w:p>
    <w:p w:rsidR="000E01BD" w:rsidRDefault="000E01BD" w:rsidP="00A96759">
      <w:pPr>
        <w:ind w:left="0"/>
        <w:jc w:val="both"/>
        <w:rPr>
          <w:rFonts w:ascii="Bookman Old Style" w:hAnsi="Bookman Old Style" w:cs="Arial"/>
        </w:rPr>
      </w:pPr>
      <w:r>
        <w:rPr>
          <w:rFonts w:ascii="Bookman Old Style" w:hAnsi="Bookman Old Style" w:cs="Arial"/>
        </w:rPr>
        <w:t>Se presentó variación en los gastos generales de 14 empresas, lo anterior por actualización de la información reportada en el SUI.</w:t>
      </w:r>
    </w:p>
    <w:p w:rsidR="000E01BD" w:rsidRDefault="000E01BD" w:rsidP="00A96759">
      <w:pPr>
        <w:ind w:left="0"/>
        <w:jc w:val="both"/>
        <w:rPr>
          <w:rFonts w:ascii="Bookman Old Style" w:hAnsi="Bookman Old Style" w:cs="Arial"/>
        </w:rPr>
      </w:pPr>
    </w:p>
    <w:p w:rsidR="004E483A" w:rsidRDefault="0000544E" w:rsidP="00A96759">
      <w:pPr>
        <w:ind w:left="0"/>
        <w:jc w:val="both"/>
        <w:rPr>
          <w:rFonts w:ascii="Bookman Old Style" w:hAnsi="Bookman Old Style" w:cs="Arial"/>
        </w:rPr>
      </w:pPr>
      <w:r>
        <w:rPr>
          <w:rFonts w:ascii="Bookman Old Style" w:hAnsi="Bookman Old Style" w:cs="Arial"/>
        </w:rPr>
        <w:t>Con fundamento en los comentarios presentados y en el análisis efectuado,</w:t>
      </w:r>
      <w:r w:rsidR="00E954AC">
        <w:rPr>
          <w:rFonts w:ascii="Bookman Old Style" w:hAnsi="Bookman Old Style" w:cs="Arial"/>
        </w:rPr>
        <w:t xml:space="preserve"> </w:t>
      </w:r>
      <w:r>
        <w:rPr>
          <w:rFonts w:ascii="Bookman Old Style" w:hAnsi="Bookman Old Style" w:cs="Arial"/>
        </w:rPr>
        <w:t xml:space="preserve">la CREG expidió el Documento CREG </w:t>
      </w:r>
      <w:r w:rsidR="00E954AC">
        <w:rPr>
          <w:rFonts w:ascii="Bookman Old Style" w:hAnsi="Bookman Old Style" w:cs="Arial"/>
          <w:color w:val="000000" w:themeColor="text1"/>
        </w:rPr>
        <w:t xml:space="preserve"> </w:t>
      </w:r>
      <w:r>
        <w:rPr>
          <w:rFonts w:ascii="Bookman Old Style" w:hAnsi="Bookman Old Style" w:cs="Arial"/>
        </w:rPr>
        <w:t xml:space="preserve">de </w:t>
      </w:r>
      <w:r w:rsidR="000E01BD">
        <w:rPr>
          <w:rFonts w:ascii="Bookman Old Style" w:hAnsi="Bookman Old Style" w:cs="Arial"/>
        </w:rPr>
        <w:t>Octu</w:t>
      </w:r>
      <w:r>
        <w:rPr>
          <w:rFonts w:ascii="Bookman Old Style" w:hAnsi="Bookman Old Style" w:cs="Arial"/>
        </w:rPr>
        <w:t>bre de 201</w:t>
      </w:r>
      <w:r w:rsidR="000E01BD">
        <w:rPr>
          <w:rFonts w:ascii="Bookman Old Style" w:hAnsi="Bookman Old Style" w:cs="Arial"/>
        </w:rPr>
        <w:t>5</w:t>
      </w:r>
      <w:r>
        <w:rPr>
          <w:rFonts w:ascii="Bookman Old Style" w:hAnsi="Bookman Old Style" w:cs="Arial"/>
        </w:rPr>
        <w:t>,</w:t>
      </w:r>
      <w:r w:rsidR="00E954AC">
        <w:rPr>
          <w:rFonts w:ascii="Bookman Old Style" w:hAnsi="Bookman Old Style" w:cs="Arial"/>
        </w:rPr>
        <w:t xml:space="preserve"> </w:t>
      </w:r>
      <w:r>
        <w:rPr>
          <w:rFonts w:ascii="Bookman Old Style" w:hAnsi="Bookman Old Style" w:cs="Arial"/>
        </w:rPr>
        <w:t>el cual contiene la metodología</w:t>
      </w:r>
      <w:r w:rsidR="00725CC3">
        <w:rPr>
          <w:rFonts w:ascii="Bookman Old Style" w:hAnsi="Bookman Old Style" w:cs="Arial"/>
        </w:rPr>
        <w:t xml:space="preserve"> corregida</w:t>
      </w:r>
      <w:r>
        <w:rPr>
          <w:rFonts w:ascii="Bookman Old Style" w:hAnsi="Bookman Old Style" w:cs="Arial"/>
        </w:rPr>
        <w:t xml:space="preserve"> de</w:t>
      </w:r>
      <w:r w:rsidR="00725CC3">
        <w:rPr>
          <w:rFonts w:ascii="Bookman Old Style" w:hAnsi="Bookman Old Style" w:cs="Arial"/>
        </w:rPr>
        <w:t xml:space="preserve"> la</w:t>
      </w:r>
      <w:r>
        <w:rPr>
          <w:rFonts w:ascii="Bookman Old Style" w:hAnsi="Bookman Old Style" w:cs="Arial"/>
        </w:rPr>
        <w:t xml:space="preserve"> elaboración de la liquidación y cálculo de la contribución.</w:t>
      </w:r>
    </w:p>
    <w:p w:rsidR="0000544E" w:rsidRDefault="0000544E" w:rsidP="00A96759">
      <w:pPr>
        <w:ind w:left="0"/>
        <w:jc w:val="both"/>
        <w:rPr>
          <w:rFonts w:ascii="Bookman Old Style" w:hAnsi="Bookman Old Style" w:cs="Arial"/>
        </w:rPr>
      </w:pPr>
    </w:p>
    <w:p w:rsidR="0000544E" w:rsidRDefault="0000544E" w:rsidP="00A96759">
      <w:pPr>
        <w:ind w:left="0"/>
        <w:jc w:val="both"/>
        <w:rPr>
          <w:rFonts w:ascii="Bookman Old Style" w:hAnsi="Bookman Old Style" w:cs="Arial"/>
        </w:rPr>
      </w:pPr>
      <w:r>
        <w:rPr>
          <w:rFonts w:ascii="Bookman Old Style" w:hAnsi="Bookman Old Style" w:cs="Arial"/>
        </w:rPr>
        <w:lastRenderedPageBreak/>
        <w:t>La Comisión de Regulación de Ener</w:t>
      </w:r>
      <w:r w:rsidR="00AE4156">
        <w:rPr>
          <w:rFonts w:ascii="Bookman Old Style" w:hAnsi="Bookman Old Style" w:cs="Arial"/>
        </w:rPr>
        <w:t>gía y Gas –CREG en la sesión No.</w:t>
      </w:r>
      <w:r w:rsidR="00172286">
        <w:rPr>
          <w:rFonts w:ascii="Bookman Old Style" w:hAnsi="Bookman Old Style" w:cs="Arial"/>
        </w:rPr>
        <w:t xml:space="preserve"> </w:t>
      </w:r>
      <w:r w:rsidR="00AC3F37">
        <w:rPr>
          <w:rFonts w:ascii="Bookman Old Style" w:hAnsi="Bookman Old Style" w:cs="Arial"/>
        </w:rPr>
        <w:t>684</w:t>
      </w:r>
      <w:r w:rsidR="00172286">
        <w:rPr>
          <w:rFonts w:ascii="Bookman Old Style" w:hAnsi="Bookman Old Style" w:cs="Arial"/>
        </w:rPr>
        <w:t xml:space="preserve"> </w:t>
      </w:r>
      <w:r>
        <w:rPr>
          <w:rFonts w:ascii="Bookman Old Style" w:hAnsi="Bookman Old Style" w:cs="Arial"/>
        </w:rPr>
        <w:t xml:space="preserve">del </w:t>
      </w:r>
      <w:r w:rsidR="00172286">
        <w:rPr>
          <w:rFonts w:ascii="Bookman Old Style" w:hAnsi="Bookman Old Style" w:cs="Arial"/>
        </w:rPr>
        <w:t xml:space="preserve">                         </w:t>
      </w:r>
      <w:r>
        <w:rPr>
          <w:rFonts w:ascii="Bookman Old Style" w:hAnsi="Bookman Old Style" w:cs="Arial"/>
        </w:rPr>
        <w:t xml:space="preserve"> </w:t>
      </w:r>
      <w:r w:rsidR="00AC3F37">
        <w:rPr>
          <w:rFonts w:ascii="Bookman Old Style" w:hAnsi="Bookman Old Style" w:cs="Arial"/>
        </w:rPr>
        <w:t xml:space="preserve">30 de </w:t>
      </w:r>
      <w:r w:rsidR="000134CB">
        <w:rPr>
          <w:rFonts w:ascii="Bookman Old Style" w:hAnsi="Bookman Old Style" w:cs="Arial"/>
        </w:rPr>
        <w:t>octu</w:t>
      </w:r>
      <w:r>
        <w:rPr>
          <w:rFonts w:ascii="Bookman Old Style" w:hAnsi="Bookman Old Style" w:cs="Arial"/>
        </w:rPr>
        <w:t>bre de 201</w:t>
      </w:r>
      <w:r w:rsidR="000134CB">
        <w:rPr>
          <w:rFonts w:ascii="Bookman Old Style" w:hAnsi="Bookman Old Style" w:cs="Arial"/>
        </w:rPr>
        <w:t>5</w:t>
      </w:r>
      <w:r>
        <w:rPr>
          <w:rFonts w:ascii="Bookman Old Style" w:hAnsi="Bookman Old Style" w:cs="Arial"/>
        </w:rPr>
        <w:t>,</w:t>
      </w:r>
      <w:r w:rsidR="00E954AC">
        <w:rPr>
          <w:rFonts w:ascii="Bookman Old Style" w:hAnsi="Bookman Old Style" w:cs="Arial"/>
        </w:rPr>
        <w:t xml:space="preserve"> </w:t>
      </w:r>
      <w:r>
        <w:rPr>
          <w:rFonts w:ascii="Bookman Old Style" w:hAnsi="Bookman Old Style" w:cs="Arial"/>
        </w:rPr>
        <w:t>de conformidad con los comentarios recibidos durante el proceso de consulta,</w:t>
      </w:r>
      <w:r w:rsidR="00E954AC">
        <w:rPr>
          <w:rFonts w:ascii="Bookman Old Style" w:hAnsi="Bookman Old Style" w:cs="Arial"/>
        </w:rPr>
        <w:t xml:space="preserve"> </w:t>
      </w:r>
      <w:r>
        <w:rPr>
          <w:rFonts w:ascii="Bookman Old Style" w:hAnsi="Bookman Old Style" w:cs="Arial"/>
        </w:rPr>
        <w:t>aprobó expedir esta resolución</w:t>
      </w:r>
      <w:r w:rsidR="00AE4156">
        <w:rPr>
          <w:rFonts w:ascii="Bookman Old Style" w:hAnsi="Bookman Old Style" w:cs="Arial"/>
        </w:rPr>
        <w:t>.</w:t>
      </w:r>
    </w:p>
    <w:p w:rsidR="004E483A" w:rsidRDefault="004E483A" w:rsidP="00A96759">
      <w:pPr>
        <w:ind w:left="0"/>
        <w:jc w:val="both"/>
        <w:rPr>
          <w:rFonts w:ascii="Bookman Old Style" w:hAnsi="Bookman Old Style" w:cs="Arial"/>
        </w:rPr>
      </w:pPr>
    </w:p>
    <w:p w:rsidR="00A96759" w:rsidRPr="00A96759" w:rsidRDefault="00A96759" w:rsidP="00A96759">
      <w:pPr>
        <w:jc w:val="center"/>
        <w:rPr>
          <w:rFonts w:ascii="Bookman Old Style" w:hAnsi="Bookman Old Style"/>
          <w:b/>
        </w:rPr>
      </w:pPr>
    </w:p>
    <w:p w:rsidR="00A96759" w:rsidRPr="00A96759" w:rsidRDefault="00A96759" w:rsidP="00A96759">
      <w:pPr>
        <w:jc w:val="center"/>
        <w:rPr>
          <w:rFonts w:ascii="Bookman Old Style" w:hAnsi="Bookman Old Style"/>
          <w:b/>
        </w:rPr>
      </w:pPr>
      <w:r w:rsidRPr="00A96759">
        <w:rPr>
          <w:rFonts w:ascii="Bookman Old Style" w:hAnsi="Bookman Old Style"/>
          <w:b/>
        </w:rPr>
        <w:t>R E S U E L V E:</w:t>
      </w:r>
    </w:p>
    <w:p w:rsidR="00A96759" w:rsidRPr="00A96759" w:rsidRDefault="00A96759" w:rsidP="00A96759">
      <w:pPr>
        <w:ind w:left="0"/>
        <w:rPr>
          <w:rFonts w:ascii="Bookman Old Style" w:hAnsi="Bookman Old Style"/>
          <w:lang w:val="es-CO"/>
        </w:rPr>
      </w:pPr>
    </w:p>
    <w:p w:rsidR="00A96759" w:rsidRPr="00A96759" w:rsidRDefault="00A96759" w:rsidP="00A96759">
      <w:pPr>
        <w:ind w:left="0"/>
        <w:rPr>
          <w:rFonts w:ascii="Bookman Old Style" w:hAnsi="Bookman Old Style"/>
          <w:lang w:val="es-CO"/>
        </w:rPr>
      </w:pPr>
    </w:p>
    <w:p w:rsidR="00A96759" w:rsidRPr="00A96759" w:rsidRDefault="00A96759" w:rsidP="00A96759">
      <w:pPr>
        <w:pStyle w:val="Ttulo1"/>
        <w:ind w:left="0"/>
        <w:jc w:val="both"/>
        <w:rPr>
          <w:rFonts w:ascii="Bookman Old Style" w:hAnsi="Bookman Old Style" w:cs="Arial"/>
          <w:b w:val="0"/>
          <w:szCs w:val="24"/>
        </w:rPr>
      </w:pPr>
      <w:r w:rsidRPr="00A96759">
        <w:rPr>
          <w:rFonts w:ascii="Bookman Old Style" w:hAnsi="Bookman Old Style"/>
          <w:szCs w:val="24"/>
        </w:rPr>
        <w:t xml:space="preserve">ARTÍCULO 1. </w:t>
      </w:r>
      <w:r w:rsidR="00DE3114">
        <w:rPr>
          <w:rFonts w:ascii="Bookman Old Style" w:hAnsi="Bookman Old Style" w:cs="Arial"/>
          <w:b w:val="0"/>
          <w:szCs w:val="24"/>
        </w:rPr>
        <w:t>Señalar el porcentaje de la contribución que deben pagar las entidades sometidas a la regulación de la Comisión de Regulación de Energía y Gas en el año 201</w:t>
      </w:r>
      <w:r w:rsidR="000E01BD">
        <w:rPr>
          <w:rFonts w:ascii="Bookman Old Style" w:hAnsi="Bookman Old Style" w:cs="Arial"/>
          <w:b w:val="0"/>
          <w:szCs w:val="24"/>
        </w:rPr>
        <w:t>5</w:t>
      </w:r>
      <w:r w:rsidR="00DE3114">
        <w:rPr>
          <w:rFonts w:ascii="Bookman Old Style" w:hAnsi="Bookman Old Style" w:cs="Arial"/>
          <w:b w:val="0"/>
          <w:szCs w:val="24"/>
        </w:rPr>
        <w:t xml:space="preserve"> de conformidad con las reglas establecidas en la ley 142 de 1994</w:t>
      </w:r>
      <w:r w:rsidRPr="00A96759">
        <w:rPr>
          <w:rFonts w:ascii="Bookman Old Style" w:hAnsi="Bookman Old Style" w:cs="Arial"/>
          <w:b w:val="0"/>
          <w:szCs w:val="24"/>
        </w:rPr>
        <w:t>.</w:t>
      </w:r>
    </w:p>
    <w:p w:rsidR="00A96759" w:rsidRPr="00A96759" w:rsidRDefault="00A96759" w:rsidP="00A96759">
      <w:pPr>
        <w:ind w:left="0"/>
        <w:jc w:val="both"/>
        <w:rPr>
          <w:rFonts w:ascii="Bookman Old Style" w:hAnsi="Bookman Old Style" w:cs="Arial"/>
          <w:b/>
          <w:lang w:val="es-CO"/>
        </w:rPr>
      </w:pPr>
    </w:p>
    <w:p w:rsidR="00A96759" w:rsidRPr="00A96759" w:rsidRDefault="00A96759" w:rsidP="00A96759">
      <w:pPr>
        <w:ind w:left="0"/>
        <w:jc w:val="both"/>
        <w:rPr>
          <w:rFonts w:ascii="Bookman Old Style" w:hAnsi="Bookman Old Style" w:cs="Arial"/>
          <w:b/>
        </w:rPr>
      </w:pPr>
      <w:r w:rsidRPr="00A96759">
        <w:rPr>
          <w:rFonts w:ascii="Bookman Old Style" w:hAnsi="Bookman Old Style" w:cs="Arial"/>
          <w:b/>
        </w:rPr>
        <w:t xml:space="preserve">ARTÍCULO 2. </w:t>
      </w:r>
      <w:r w:rsidRPr="00A96759">
        <w:rPr>
          <w:rFonts w:ascii="Bookman Old Style" w:hAnsi="Bookman Old Style" w:cs="Arial"/>
        </w:rPr>
        <w:t>En el caso de que existan entidades sometidas a la regulación de la CREG que no reportaron información al Sistema Único de Información -SUI con corte a diciembre 31 de 201</w:t>
      </w:r>
      <w:r w:rsidR="000E01BD">
        <w:rPr>
          <w:rFonts w:ascii="Bookman Old Style" w:hAnsi="Bookman Old Style" w:cs="Arial"/>
        </w:rPr>
        <w:t>4</w:t>
      </w:r>
      <w:r w:rsidRPr="00A96759">
        <w:rPr>
          <w:rFonts w:ascii="Bookman Old Style" w:hAnsi="Bookman Old Style" w:cs="Arial"/>
        </w:rPr>
        <w:t>, la CREG considerará como base de liquidación la información del último Estado Financiero reportado y se actualizará a valor presente</w:t>
      </w:r>
      <w:r w:rsidR="00F81D9D">
        <w:rPr>
          <w:rFonts w:ascii="Bookman Old Style" w:hAnsi="Bookman Old Style" w:cs="Arial"/>
        </w:rPr>
        <w:t xml:space="preserve"> tomando como referencia el incremento del índice de precios al consumidor a 31 de diciembre de cada año,</w:t>
      </w:r>
      <w:r w:rsidR="00E954AC">
        <w:rPr>
          <w:rFonts w:ascii="Bookman Old Style" w:hAnsi="Bookman Old Style" w:cs="Arial"/>
        </w:rPr>
        <w:t xml:space="preserve"> </w:t>
      </w:r>
      <w:r w:rsidR="00F81D9D">
        <w:rPr>
          <w:rFonts w:ascii="Bookman Old Style" w:hAnsi="Bookman Old Style" w:cs="Arial"/>
        </w:rPr>
        <w:t>certificado por el Departamento Administrativo Nacional de Estadística -DANE</w:t>
      </w:r>
      <w:r w:rsidRPr="00A96759">
        <w:rPr>
          <w:rFonts w:ascii="Bookman Old Style" w:hAnsi="Bookman Old Style" w:cs="Arial"/>
        </w:rPr>
        <w:t xml:space="preserve">. </w:t>
      </w:r>
    </w:p>
    <w:p w:rsidR="00A96759" w:rsidRPr="00A96759" w:rsidRDefault="00A96759" w:rsidP="00A96759">
      <w:pPr>
        <w:ind w:left="0"/>
        <w:jc w:val="both"/>
        <w:rPr>
          <w:rFonts w:ascii="Bookman Old Style" w:hAnsi="Bookman Old Style" w:cs="Arial"/>
          <w:lang w:val="es-MX"/>
        </w:rPr>
      </w:pPr>
    </w:p>
    <w:p w:rsidR="00A96759" w:rsidRPr="00A96759" w:rsidRDefault="00A96759" w:rsidP="00A96759">
      <w:pPr>
        <w:ind w:left="0"/>
        <w:jc w:val="both"/>
        <w:rPr>
          <w:rFonts w:ascii="Bookman Old Style" w:hAnsi="Bookman Old Style" w:cs="Arial"/>
          <w:b/>
        </w:rPr>
      </w:pPr>
      <w:r w:rsidRPr="00A96759">
        <w:rPr>
          <w:rFonts w:ascii="Bookman Old Style" w:hAnsi="Bookman Old Style" w:cs="Arial"/>
          <w:b/>
        </w:rPr>
        <w:t>ARTÍCULO 3.</w:t>
      </w:r>
      <w:r w:rsidR="00E954AC">
        <w:rPr>
          <w:rFonts w:ascii="Bookman Old Style" w:hAnsi="Bookman Old Style" w:cs="Arial"/>
          <w:b/>
        </w:rPr>
        <w:t xml:space="preserve"> </w:t>
      </w:r>
      <w:r w:rsidRPr="00A96759">
        <w:rPr>
          <w:rFonts w:ascii="Bookman Old Style" w:hAnsi="Bookman Old Style" w:cs="Arial"/>
        </w:rPr>
        <w:t>En</w:t>
      </w:r>
      <w:r w:rsidRPr="00A96759">
        <w:rPr>
          <w:rFonts w:ascii="Bookman Old Style" w:hAnsi="Bookman Old Style" w:cs="Arial"/>
          <w:b/>
        </w:rPr>
        <w:t xml:space="preserve"> </w:t>
      </w:r>
      <w:r w:rsidRPr="00A96759">
        <w:rPr>
          <w:rFonts w:ascii="Bookman Old Style" w:hAnsi="Bookman Old Style" w:cs="Arial"/>
        </w:rPr>
        <w:t xml:space="preserve">el caso de que existan entidades sometidas a la regulación de la CREG que no reportaron información al Sistema Único de Información - SUI y enviaron a la CREG la información debidamente avalada, </w:t>
      </w:r>
      <w:r w:rsidR="00C03171">
        <w:rPr>
          <w:rFonts w:ascii="Bookman Old Style" w:hAnsi="Bookman Old Style" w:cs="Arial"/>
        </w:rPr>
        <w:t>e</w:t>
      </w:r>
      <w:r w:rsidRPr="00A96759">
        <w:rPr>
          <w:rFonts w:ascii="Bookman Old Style" w:hAnsi="Bookman Old Style" w:cs="Arial"/>
        </w:rPr>
        <w:t xml:space="preserve">sta última se considerará como base </w:t>
      </w:r>
      <w:proofErr w:type="spellStart"/>
      <w:r w:rsidR="00173462">
        <w:rPr>
          <w:rFonts w:ascii="Bookman Old Style" w:hAnsi="Bookman Old Style" w:cs="Arial"/>
        </w:rPr>
        <w:t>liquidatori</w:t>
      </w:r>
      <w:r w:rsidRPr="00A96759">
        <w:rPr>
          <w:rFonts w:ascii="Bookman Old Style" w:hAnsi="Bookman Old Style" w:cs="Arial"/>
        </w:rPr>
        <w:t>a</w:t>
      </w:r>
      <w:proofErr w:type="spellEnd"/>
      <w:r w:rsidRPr="00A96759">
        <w:rPr>
          <w:rFonts w:ascii="Bookman Old Style" w:hAnsi="Bookman Old Style" w:cs="Arial"/>
        </w:rPr>
        <w:t>.</w:t>
      </w:r>
    </w:p>
    <w:p w:rsidR="00A96759" w:rsidRPr="00A96759" w:rsidRDefault="00A96759" w:rsidP="00A96759">
      <w:pPr>
        <w:ind w:left="0"/>
        <w:jc w:val="both"/>
        <w:rPr>
          <w:rFonts w:ascii="Bookman Old Style" w:hAnsi="Bookman Old Style" w:cs="Arial"/>
          <w:b/>
        </w:rPr>
      </w:pPr>
    </w:p>
    <w:p w:rsidR="00A96759" w:rsidRDefault="00A96759" w:rsidP="00A96759">
      <w:pPr>
        <w:ind w:left="0"/>
        <w:jc w:val="both"/>
        <w:rPr>
          <w:rFonts w:ascii="Bookman Old Style" w:hAnsi="Bookman Old Style" w:cs="Arial"/>
        </w:rPr>
      </w:pPr>
      <w:r w:rsidRPr="00A96759">
        <w:rPr>
          <w:rFonts w:ascii="Bookman Old Style" w:hAnsi="Bookman Old Style" w:cs="Arial"/>
          <w:b/>
        </w:rPr>
        <w:t xml:space="preserve">ARTÍCULO 4. </w:t>
      </w:r>
      <w:r w:rsidRPr="00A96759">
        <w:rPr>
          <w:rFonts w:ascii="Bookman Old Style" w:hAnsi="Bookman Old Style" w:cs="Arial"/>
        </w:rPr>
        <w:t>En</w:t>
      </w:r>
      <w:r w:rsidRPr="00A96759">
        <w:rPr>
          <w:rFonts w:ascii="Bookman Old Style" w:hAnsi="Bookman Old Style" w:cs="Arial"/>
          <w:b/>
        </w:rPr>
        <w:t xml:space="preserve"> </w:t>
      </w:r>
      <w:r w:rsidRPr="00A96759">
        <w:rPr>
          <w:rFonts w:ascii="Bookman Old Style" w:hAnsi="Bookman Old Style" w:cs="Arial"/>
        </w:rPr>
        <w:t xml:space="preserve">el caso de que existan entidades sometidas a la regulación de la CREG que no reportaron información de Estados Financieros anuales pero sí enviaron información de Estados Financieros del segundo semestre se considerará como base liquidataria la información del segundo semestre. </w:t>
      </w:r>
    </w:p>
    <w:p w:rsidR="00DE3114" w:rsidRDefault="00DE3114" w:rsidP="00A96759">
      <w:pPr>
        <w:ind w:left="0"/>
        <w:jc w:val="both"/>
        <w:rPr>
          <w:rFonts w:ascii="Bookman Old Style" w:hAnsi="Bookman Old Style" w:cs="Arial"/>
          <w:b/>
        </w:rPr>
      </w:pPr>
    </w:p>
    <w:p w:rsidR="00712FC5" w:rsidRDefault="00712FC5" w:rsidP="00A96759">
      <w:pPr>
        <w:ind w:left="0"/>
        <w:jc w:val="both"/>
        <w:rPr>
          <w:rFonts w:ascii="Bookman Old Style" w:hAnsi="Bookman Old Style" w:cs="Arial"/>
        </w:rPr>
      </w:pPr>
      <w:r>
        <w:rPr>
          <w:rFonts w:ascii="Bookman Old Style" w:hAnsi="Bookman Old Style" w:cs="Arial"/>
          <w:b/>
        </w:rPr>
        <w:t>ART</w:t>
      </w:r>
      <w:r w:rsidR="00AE4156">
        <w:rPr>
          <w:rFonts w:ascii="Bookman Old Style" w:hAnsi="Bookman Old Style" w:cs="Arial"/>
          <w:b/>
        </w:rPr>
        <w:t>Í</w:t>
      </w:r>
      <w:r>
        <w:rPr>
          <w:rFonts w:ascii="Bookman Old Style" w:hAnsi="Bookman Old Style" w:cs="Arial"/>
          <w:b/>
        </w:rPr>
        <w:t xml:space="preserve">CULO 5. </w:t>
      </w:r>
      <w:r>
        <w:rPr>
          <w:rFonts w:ascii="Bookman Old Style" w:hAnsi="Bookman Old Style" w:cs="Arial"/>
        </w:rPr>
        <w:t>Para las empresas reguladas que se encuentren en proceso de liquidación,</w:t>
      </w:r>
      <w:r w:rsidR="00BA429A">
        <w:rPr>
          <w:rFonts w:ascii="Bookman Old Style" w:hAnsi="Bookman Old Style" w:cs="Arial"/>
        </w:rPr>
        <w:t xml:space="preserve"> cancelación,</w:t>
      </w:r>
      <w:r w:rsidR="00E954AC">
        <w:rPr>
          <w:rFonts w:ascii="Bookman Old Style" w:hAnsi="Bookman Old Style" w:cs="Arial"/>
        </w:rPr>
        <w:t xml:space="preserve"> </w:t>
      </w:r>
      <w:r w:rsidR="00E27C72">
        <w:rPr>
          <w:rFonts w:ascii="Bookman Old Style" w:hAnsi="Bookman Old Style" w:cs="Arial"/>
        </w:rPr>
        <w:t>fusión</w:t>
      </w:r>
      <w:r w:rsidR="00BA429A">
        <w:rPr>
          <w:rFonts w:ascii="Bookman Old Style" w:hAnsi="Bookman Old Style" w:cs="Arial"/>
        </w:rPr>
        <w:t>,</w:t>
      </w:r>
      <w:r w:rsidR="00E954AC">
        <w:rPr>
          <w:rFonts w:ascii="Bookman Old Style" w:hAnsi="Bookman Old Style" w:cs="Arial"/>
        </w:rPr>
        <w:t xml:space="preserve"> </w:t>
      </w:r>
      <w:r w:rsidR="00E27C72">
        <w:rPr>
          <w:rFonts w:ascii="Bookman Old Style" w:hAnsi="Bookman Old Style" w:cs="Arial"/>
        </w:rPr>
        <w:t>escisión,</w:t>
      </w:r>
      <w:r w:rsidR="00E954AC">
        <w:rPr>
          <w:rFonts w:ascii="Bookman Old Style" w:hAnsi="Bookman Old Style" w:cs="Arial"/>
        </w:rPr>
        <w:t xml:space="preserve"> </w:t>
      </w:r>
      <w:r w:rsidR="00E27C72">
        <w:rPr>
          <w:rFonts w:ascii="Bookman Old Style" w:hAnsi="Bookman Old Style" w:cs="Arial"/>
        </w:rPr>
        <w:t xml:space="preserve">toma de </w:t>
      </w:r>
      <w:r w:rsidR="00A75F87">
        <w:rPr>
          <w:rFonts w:ascii="Bookman Old Style" w:hAnsi="Bookman Old Style" w:cs="Arial"/>
        </w:rPr>
        <w:t>posesión</w:t>
      </w:r>
      <w:r w:rsidR="00E27C72">
        <w:rPr>
          <w:rFonts w:ascii="Bookman Old Style" w:hAnsi="Bookman Old Style" w:cs="Arial"/>
        </w:rPr>
        <w:t xml:space="preserve"> para administrar con fines </w:t>
      </w:r>
      <w:r w:rsidR="00A75F87">
        <w:rPr>
          <w:rFonts w:ascii="Bookman Old Style" w:hAnsi="Bookman Old Style" w:cs="Arial"/>
        </w:rPr>
        <w:t>liquidatarios</w:t>
      </w:r>
      <w:r w:rsidR="00E27C72">
        <w:rPr>
          <w:rFonts w:ascii="Bookman Old Style" w:hAnsi="Bookman Old Style" w:cs="Arial"/>
        </w:rPr>
        <w:t>,</w:t>
      </w:r>
      <w:r w:rsidR="00E954AC">
        <w:rPr>
          <w:rFonts w:ascii="Bookman Old Style" w:hAnsi="Bookman Old Style" w:cs="Arial"/>
        </w:rPr>
        <w:t xml:space="preserve"> </w:t>
      </w:r>
      <w:r w:rsidR="00E27C72">
        <w:rPr>
          <w:rFonts w:ascii="Bookman Old Style" w:hAnsi="Bookman Old Style" w:cs="Arial"/>
        </w:rPr>
        <w:t xml:space="preserve">y que hubieren operado </w:t>
      </w:r>
      <w:r w:rsidR="00F31ED1">
        <w:rPr>
          <w:rFonts w:ascii="Bookman Old Style" w:hAnsi="Bookman Old Style" w:cs="Arial"/>
        </w:rPr>
        <w:t xml:space="preserve">al menos un </w:t>
      </w:r>
      <w:r w:rsidR="00E52B92">
        <w:rPr>
          <w:rFonts w:ascii="Bookman Old Style" w:hAnsi="Bookman Old Style" w:cs="Arial"/>
        </w:rPr>
        <w:t>día</w:t>
      </w:r>
      <w:r w:rsidR="00E27C72">
        <w:rPr>
          <w:rFonts w:ascii="Bookman Old Style" w:hAnsi="Bookman Old Style" w:cs="Arial"/>
        </w:rPr>
        <w:t xml:space="preserve"> durante la vigencia 2013. Se liquidará la </w:t>
      </w:r>
      <w:r w:rsidR="00A75F87">
        <w:rPr>
          <w:rFonts w:ascii="Bookman Old Style" w:hAnsi="Bookman Old Style" w:cs="Arial"/>
        </w:rPr>
        <w:t>contribución</w:t>
      </w:r>
      <w:r w:rsidR="00E27C72">
        <w:rPr>
          <w:rFonts w:ascii="Bookman Old Style" w:hAnsi="Bookman Old Style" w:cs="Arial"/>
        </w:rPr>
        <w:t xml:space="preserve"> especial de regulación para la presente vigencia con base en la información reportada en el sistema </w:t>
      </w:r>
      <w:r w:rsidR="00A75F87">
        <w:rPr>
          <w:rFonts w:ascii="Bookman Old Style" w:hAnsi="Bookman Old Style" w:cs="Arial"/>
        </w:rPr>
        <w:t>único</w:t>
      </w:r>
      <w:r w:rsidR="00E27C72">
        <w:rPr>
          <w:rFonts w:ascii="Bookman Old Style" w:hAnsi="Bookman Old Style" w:cs="Arial"/>
        </w:rPr>
        <w:t xml:space="preserve"> de información –SUI</w:t>
      </w:r>
      <w:r w:rsidR="004F507F">
        <w:rPr>
          <w:rFonts w:ascii="Bookman Old Style" w:hAnsi="Bookman Old Style" w:cs="Arial"/>
        </w:rPr>
        <w:t>.</w:t>
      </w:r>
    </w:p>
    <w:p w:rsidR="004F507F" w:rsidRDefault="004F507F" w:rsidP="00A96759">
      <w:pPr>
        <w:ind w:left="0"/>
        <w:jc w:val="both"/>
        <w:rPr>
          <w:rFonts w:ascii="Bookman Old Style" w:hAnsi="Bookman Old Style" w:cs="Arial"/>
        </w:rPr>
      </w:pPr>
    </w:p>
    <w:p w:rsidR="004F507F" w:rsidRPr="004F507F" w:rsidRDefault="004F507F" w:rsidP="00A96759">
      <w:pPr>
        <w:ind w:left="0"/>
        <w:jc w:val="both"/>
        <w:rPr>
          <w:rFonts w:ascii="Bookman Old Style" w:hAnsi="Bookman Old Style" w:cs="Arial"/>
        </w:rPr>
      </w:pPr>
      <w:r w:rsidRPr="004F507F">
        <w:rPr>
          <w:rFonts w:ascii="Bookman Old Style" w:hAnsi="Bookman Old Style" w:cs="Arial"/>
          <w:b/>
        </w:rPr>
        <w:t>PAR</w:t>
      </w:r>
      <w:r w:rsidR="00607E81">
        <w:rPr>
          <w:rFonts w:ascii="Bookman Old Style" w:hAnsi="Bookman Old Style" w:cs="Arial"/>
          <w:b/>
        </w:rPr>
        <w:t>Á</w:t>
      </w:r>
      <w:r w:rsidRPr="004F507F">
        <w:rPr>
          <w:rFonts w:ascii="Bookman Old Style" w:hAnsi="Bookman Old Style" w:cs="Arial"/>
          <w:b/>
        </w:rPr>
        <w:t>GRAFO</w:t>
      </w:r>
      <w:r w:rsidR="009207AB">
        <w:rPr>
          <w:rFonts w:ascii="Bookman Old Style" w:hAnsi="Bookman Old Style" w:cs="Arial"/>
          <w:b/>
        </w:rPr>
        <w:t xml:space="preserve">: </w:t>
      </w:r>
      <w:r w:rsidR="009207AB" w:rsidRPr="009207AB">
        <w:rPr>
          <w:rFonts w:ascii="Bookman Old Style" w:hAnsi="Bookman Old Style" w:cs="Arial"/>
        </w:rPr>
        <w:t>Las</w:t>
      </w:r>
      <w:r>
        <w:rPr>
          <w:rFonts w:ascii="Bookman Old Style" w:hAnsi="Bookman Old Style" w:cs="Arial"/>
        </w:rPr>
        <w:t xml:space="preserve"> empresas reguladas que hayan entrado o estén </w:t>
      </w:r>
      <w:r w:rsidR="00AA3907">
        <w:rPr>
          <w:rFonts w:ascii="Bookman Old Style" w:hAnsi="Bookman Old Style" w:cs="Arial"/>
        </w:rPr>
        <w:t>en los procesos enunciados en el artículo anterior</w:t>
      </w:r>
      <w:r w:rsidR="00607E81">
        <w:rPr>
          <w:rFonts w:ascii="Bookman Old Style" w:hAnsi="Bookman Old Style" w:cs="Arial"/>
        </w:rPr>
        <w:t>, en el</w:t>
      </w:r>
      <w:r>
        <w:rPr>
          <w:rFonts w:ascii="Bookman Old Style" w:hAnsi="Bookman Old Style" w:cs="Arial"/>
        </w:rPr>
        <w:t xml:space="preserve"> 201</w:t>
      </w:r>
      <w:r w:rsidR="000E01BD">
        <w:rPr>
          <w:rFonts w:ascii="Bookman Old Style" w:hAnsi="Bookman Old Style" w:cs="Arial"/>
        </w:rPr>
        <w:t>6</w:t>
      </w:r>
      <w:r>
        <w:rPr>
          <w:rFonts w:ascii="Bookman Old Style" w:hAnsi="Bookman Old Style" w:cs="Arial"/>
        </w:rPr>
        <w:t xml:space="preserve"> </w:t>
      </w:r>
      <w:r w:rsidR="00A75F87">
        <w:rPr>
          <w:rFonts w:ascii="Bookman Old Style" w:hAnsi="Bookman Old Style" w:cs="Arial"/>
        </w:rPr>
        <w:t>provisionaran y pagaran proporcionalmente a la fracción de año que hubiere prestado el servicio público,</w:t>
      </w:r>
      <w:r w:rsidR="00E954AC">
        <w:rPr>
          <w:rFonts w:ascii="Bookman Old Style" w:hAnsi="Bookman Old Style" w:cs="Arial"/>
        </w:rPr>
        <w:t xml:space="preserve"> </w:t>
      </w:r>
      <w:r w:rsidR="00A75F87">
        <w:rPr>
          <w:rFonts w:ascii="Bookman Old Style" w:hAnsi="Bookman Old Style" w:cs="Arial"/>
        </w:rPr>
        <w:t>el equivalente al 1% del total de los gastos de funcionamiento causados hasta la fecha de finalización de actividades,</w:t>
      </w:r>
      <w:r w:rsidR="00E954AC">
        <w:rPr>
          <w:rFonts w:ascii="Bookman Old Style" w:hAnsi="Bookman Old Style" w:cs="Arial"/>
        </w:rPr>
        <w:t xml:space="preserve"> </w:t>
      </w:r>
      <w:r w:rsidR="00A75F87">
        <w:rPr>
          <w:rFonts w:ascii="Bookman Old Style" w:hAnsi="Bookman Old Style" w:cs="Arial"/>
        </w:rPr>
        <w:t>teniendo en cuenta los estados financieros a 31 de diciembre de 201</w:t>
      </w:r>
      <w:r w:rsidR="000E01BD">
        <w:rPr>
          <w:rFonts w:ascii="Bookman Old Style" w:hAnsi="Bookman Old Style" w:cs="Arial"/>
        </w:rPr>
        <w:t>5</w:t>
      </w:r>
      <w:r w:rsidR="00A75F87">
        <w:rPr>
          <w:rFonts w:ascii="Bookman Old Style" w:hAnsi="Bookman Old Style" w:cs="Arial"/>
        </w:rPr>
        <w:t>,</w:t>
      </w:r>
      <w:r w:rsidR="00E954AC">
        <w:rPr>
          <w:rFonts w:ascii="Bookman Old Style" w:hAnsi="Bookman Old Style" w:cs="Arial"/>
        </w:rPr>
        <w:t xml:space="preserve"> </w:t>
      </w:r>
      <w:r w:rsidR="00A75F87">
        <w:rPr>
          <w:rFonts w:ascii="Bookman Old Style" w:hAnsi="Bookman Old Style" w:cs="Arial"/>
        </w:rPr>
        <w:t>para atender el pago de la contribución especial de contribución de la vigencia 201</w:t>
      </w:r>
      <w:r w:rsidR="000E01BD">
        <w:rPr>
          <w:rFonts w:ascii="Bookman Old Style" w:hAnsi="Bookman Old Style" w:cs="Arial"/>
        </w:rPr>
        <w:t>6</w:t>
      </w:r>
      <w:r w:rsidR="00AE4156">
        <w:rPr>
          <w:rFonts w:ascii="Bookman Old Style" w:hAnsi="Bookman Old Style" w:cs="Arial"/>
        </w:rPr>
        <w:t>.</w:t>
      </w:r>
    </w:p>
    <w:p w:rsidR="00A96759" w:rsidRPr="00A96759" w:rsidRDefault="00A96759" w:rsidP="00A96759">
      <w:pPr>
        <w:spacing w:after="200" w:line="276" w:lineRule="auto"/>
        <w:ind w:left="0"/>
        <w:contextualSpacing/>
        <w:jc w:val="both"/>
        <w:rPr>
          <w:rFonts w:ascii="Bookman Old Style" w:hAnsi="Bookman Old Style" w:cs="Arial"/>
          <w:color w:val="000000"/>
        </w:rPr>
      </w:pPr>
    </w:p>
    <w:p w:rsidR="000D4E6F" w:rsidRDefault="00A96759" w:rsidP="000D4E6F">
      <w:pPr>
        <w:ind w:left="0"/>
        <w:jc w:val="both"/>
        <w:rPr>
          <w:rFonts w:ascii="Bookman Old Style" w:hAnsi="Bookman Old Style" w:cs="Arial"/>
          <w:bCs/>
        </w:rPr>
      </w:pPr>
      <w:r w:rsidRPr="00A96759">
        <w:rPr>
          <w:rFonts w:ascii="Bookman Old Style" w:hAnsi="Bookman Old Style" w:cs="Arial"/>
          <w:b/>
        </w:rPr>
        <w:t xml:space="preserve">ARTÍCULO </w:t>
      </w:r>
      <w:r w:rsidR="008E5EC2">
        <w:rPr>
          <w:rFonts w:ascii="Bookman Old Style" w:hAnsi="Bookman Old Style" w:cs="Arial"/>
          <w:b/>
        </w:rPr>
        <w:t>6</w:t>
      </w:r>
      <w:r w:rsidRPr="00A96759">
        <w:rPr>
          <w:rFonts w:ascii="Bookman Old Style" w:hAnsi="Bookman Old Style" w:cs="Arial"/>
          <w:b/>
        </w:rPr>
        <w:t xml:space="preserve">. </w:t>
      </w:r>
      <w:r w:rsidRPr="00A96759">
        <w:rPr>
          <w:rFonts w:ascii="Bookman Old Style" w:hAnsi="Bookman Old Style" w:cs="Arial"/>
          <w:bCs/>
        </w:rPr>
        <w:t>El monto total de la contribución que deben pagar las entidades sujetas a regulación de la Comisión de Regulación de Energía y Gas, en el año 201</w:t>
      </w:r>
      <w:r w:rsidR="000E01BD">
        <w:rPr>
          <w:rFonts w:ascii="Bookman Old Style" w:hAnsi="Bookman Old Style" w:cs="Arial"/>
          <w:bCs/>
        </w:rPr>
        <w:t>5</w:t>
      </w:r>
      <w:r w:rsidRPr="00A96759">
        <w:rPr>
          <w:rFonts w:ascii="Bookman Old Style" w:hAnsi="Bookman Old Style" w:cs="Arial"/>
          <w:bCs/>
        </w:rPr>
        <w:t xml:space="preserve">, es del </w:t>
      </w:r>
      <w:r w:rsidR="000E01BD">
        <w:rPr>
          <w:rFonts w:ascii="Bookman Old Style" w:hAnsi="Bookman Old Style" w:cs="Arial"/>
          <w:bCs/>
        </w:rPr>
        <w:t>0.9698</w:t>
      </w:r>
      <w:r w:rsidRPr="00A96759">
        <w:rPr>
          <w:rFonts w:ascii="Bookman Old Style" w:hAnsi="Bookman Old Style" w:cs="Arial"/>
          <w:bCs/>
        </w:rPr>
        <w:t>%</w:t>
      </w:r>
      <w:r w:rsidRPr="00A96759">
        <w:rPr>
          <w:rFonts w:ascii="Bookman Old Style" w:hAnsi="Bookman Old Style"/>
          <w:color w:val="000000"/>
        </w:rPr>
        <w:t xml:space="preserve"> </w:t>
      </w:r>
      <w:r w:rsidRPr="00A96759">
        <w:rPr>
          <w:rFonts w:ascii="Bookman Old Style" w:hAnsi="Bookman Old Style" w:cs="Arial"/>
          <w:bCs/>
        </w:rPr>
        <w:t>del valor de los gastos de funcionamiento de la entidad sujeta a</w:t>
      </w:r>
      <w:r w:rsidRPr="00A96759">
        <w:rPr>
          <w:rFonts w:ascii="Bookman Old Style" w:hAnsi="Bookman Old Style" w:cs="Arial"/>
          <w:bCs/>
          <w:color w:val="000000"/>
        </w:rPr>
        <w:t xml:space="preserve"> regulación, con</w:t>
      </w:r>
      <w:r w:rsidRPr="00A96759">
        <w:rPr>
          <w:rFonts w:ascii="Bookman Old Style" w:hAnsi="Bookman Old Style" w:cs="Arial"/>
          <w:bCs/>
        </w:rPr>
        <w:t xml:space="preserve"> exclusión de los factores establecidos en la </w:t>
      </w:r>
      <w:r w:rsidR="00E954AC">
        <w:rPr>
          <w:rFonts w:ascii="Bookman Old Style" w:hAnsi="Bookman Old Style" w:cs="Arial"/>
          <w:bCs/>
        </w:rPr>
        <w:t>l</w:t>
      </w:r>
      <w:r w:rsidRPr="00A96759">
        <w:rPr>
          <w:rFonts w:ascii="Bookman Old Style" w:hAnsi="Bookman Old Style" w:cs="Arial"/>
          <w:bCs/>
        </w:rPr>
        <w:t xml:space="preserve">ey y en la </w:t>
      </w:r>
      <w:r w:rsidR="00E954AC">
        <w:rPr>
          <w:rFonts w:ascii="Bookman Old Style" w:hAnsi="Bookman Old Style" w:cs="Arial"/>
          <w:bCs/>
        </w:rPr>
        <w:lastRenderedPageBreak/>
        <w:t>j</w:t>
      </w:r>
      <w:r w:rsidRPr="00A96759">
        <w:rPr>
          <w:rFonts w:ascii="Bookman Old Style" w:hAnsi="Bookman Old Style" w:cs="Arial"/>
          <w:bCs/>
        </w:rPr>
        <w:t>urisprudencia del Consejo de Estado</w:t>
      </w:r>
      <w:r w:rsidRPr="00A96759">
        <w:rPr>
          <w:rStyle w:val="Refdenotaalpie"/>
          <w:rFonts w:ascii="Bookman Old Style" w:hAnsi="Bookman Old Style" w:cs="Arial"/>
          <w:bCs/>
        </w:rPr>
        <w:footnoteReference w:id="1"/>
      </w:r>
      <w:r w:rsidR="00C03171">
        <w:rPr>
          <w:rFonts w:ascii="Bookman Old Style" w:hAnsi="Bookman Old Style" w:cs="Arial"/>
          <w:bCs/>
        </w:rPr>
        <w:t>.</w:t>
      </w:r>
      <w:r w:rsidRPr="00A96759">
        <w:rPr>
          <w:rFonts w:ascii="Bookman Old Style" w:hAnsi="Bookman Old Style" w:cs="Arial"/>
          <w:bCs/>
        </w:rPr>
        <w:t xml:space="preserve"> </w:t>
      </w:r>
      <w:r w:rsidR="000D4E6F">
        <w:rPr>
          <w:rFonts w:ascii="Bookman Old Style" w:hAnsi="Bookman Old Style" w:cs="Arial"/>
          <w:bCs/>
        </w:rPr>
        <w:t>El monto correspondiente a cada entidad será determinado con base en los estados financieros correspondientes al año de 201</w:t>
      </w:r>
      <w:r w:rsidR="00E954AC">
        <w:rPr>
          <w:rFonts w:ascii="Bookman Old Style" w:hAnsi="Bookman Old Style" w:cs="Arial"/>
          <w:bCs/>
        </w:rPr>
        <w:t>4</w:t>
      </w:r>
      <w:r w:rsidR="000D4E6F">
        <w:rPr>
          <w:rFonts w:ascii="Bookman Old Style" w:hAnsi="Bookman Old Style" w:cs="Arial"/>
          <w:bCs/>
        </w:rPr>
        <w:t>, como lo ordenan las normas vigentes.</w:t>
      </w:r>
    </w:p>
    <w:p w:rsidR="00A96759" w:rsidRPr="00A96759" w:rsidRDefault="00A96759" w:rsidP="00A96759">
      <w:pPr>
        <w:ind w:left="0"/>
        <w:jc w:val="both"/>
        <w:rPr>
          <w:rFonts w:ascii="Bookman Old Style" w:hAnsi="Bookman Old Style" w:cs="Arial"/>
          <w:bCs/>
        </w:rPr>
      </w:pPr>
    </w:p>
    <w:p w:rsidR="00A96759" w:rsidRPr="00A96759" w:rsidRDefault="00A96759" w:rsidP="00A96759">
      <w:pPr>
        <w:ind w:left="0"/>
        <w:jc w:val="both"/>
        <w:rPr>
          <w:rFonts w:ascii="Bookman Old Style" w:hAnsi="Bookman Old Style" w:cs="Arial"/>
          <w:color w:val="000000"/>
        </w:rPr>
      </w:pPr>
      <w:r w:rsidRPr="00A96759">
        <w:rPr>
          <w:rFonts w:ascii="Bookman Old Style" w:hAnsi="Bookman Old Style" w:cs="Arial"/>
          <w:b/>
        </w:rPr>
        <w:t xml:space="preserve">ARTÍCULO </w:t>
      </w:r>
      <w:r w:rsidR="008E5EC2">
        <w:rPr>
          <w:rFonts w:ascii="Bookman Old Style" w:hAnsi="Bookman Old Style" w:cs="Arial"/>
          <w:b/>
        </w:rPr>
        <w:t>7</w:t>
      </w:r>
      <w:r w:rsidRPr="00A96759">
        <w:rPr>
          <w:rFonts w:ascii="Bookman Old Style" w:hAnsi="Bookman Old Style" w:cs="Arial"/>
          <w:b/>
        </w:rPr>
        <w:t xml:space="preserve">. </w:t>
      </w:r>
      <w:r w:rsidRPr="00A96759">
        <w:rPr>
          <w:rFonts w:ascii="Bookman Old Style" w:hAnsi="Bookman Old Style" w:cs="Arial"/>
          <w:bCs/>
        </w:rPr>
        <w:t xml:space="preserve">La presente </w:t>
      </w:r>
      <w:r w:rsidR="00E954AC">
        <w:rPr>
          <w:rFonts w:ascii="Bookman Old Style" w:hAnsi="Bookman Old Style" w:cs="Arial"/>
          <w:bCs/>
        </w:rPr>
        <w:t>r</w:t>
      </w:r>
      <w:r w:rsidRPr="00A96759">
        <w:rPr>
          <w:rFonts w:ascii="Bookman Old Style" w:hAnsi="Bookman Old Style" w:cs="Arial"/>
          <w:bCs/>
        </w:rPr>
        <w:t>esolución rige a partir de la fecha de su expedición.</w:t>
      </w:r>
    </w:p>
    <w:p w:rsidR="00A96759" w:rsidRDefault="00A96759" w:rsidP="00A96759">
      <w:pPr>
        <w:ind w:left="0"/>
        <w:rPr>
          <w:rFonts w:ascii="Bookman Old Style" w:hAnsi="Bookman Old Style"/>
          <w:lang w:eastAsia="ar-SA"/>
        </w:rPr>
      </w:pPr>
    </w:p>
    <w:p w:rsidR="00AC3F37" w:rsidRDefault="00AC3F37" w:rsidP="00A96759">
      <w:pPr>
        <w:jc w:val="center"/>
        <w:rPr>
          <w:rFonts w:ascii="Bookman Old Style" w:hAnsi="Bookman Old Style" w:cs="Arial"/>
          <w:b/>
        </w:rPr>
      </w:pPr>
    </w:p>
    <w:p w:rsidR="00A96759" w:rsidRPr="00A96759" w:rsidRDefault="00A96759" w:rsidP="00A96759">
      <w:pPr>
        <w:jc w:val="center"/>
        <w:rPr>
          <w:rFonts w:ascii="Bookman Old Style" w:hAnsi="Bookman Old Style"/>
          <w:lang w:eastAsia="ar-SA"/>
        </w:rPr>
      </w:pPr>
      <w:r w:rsidRPr="00A96759">
        <w:rPr>
          <w:rFonts w:ascii="Bookman Old Style" w:hAnsi="Bookman Old Style" w:cs="Arial"/>
          <w:b/>
        </w:rPr>
        <w:t>PUBLÍQUESE Y CÚMPLASE</w:t>
      </w:r>
    </w:p>
    <w:p w:rsidR="00A96759" w:rsidRPr="00A96759" w:rsidRDefault="00A96759" w:rsidP="00A96759">
      <w:pPr>
        <w:rPr>
          <w:rFonts w:ascii="Bookman Old Style" w:hAnsi="Bookman Old Style" w:cs="Arial"/>
        </w:rPr>
      </w:pPr>
    </w:p>
    <w:p w:rsidR="00A96759" w:rsidRPr="00A96759" w:rsidRDefault="00A96759" w:rsidP="00A96759">
      <w:pPr>
        <w:rPr>
          <w:rFonts w:ascii="Bookman Old Style" w:hAnsi="Bookman Old Style" w:cs="Arial"/>
        </w:rPr>
      </w:pPr>
    </w:p>
    <w:p w:rsidR="00A96759" w:rsidRDefault="00AE4156" w:rsidP="00AE4156">
      <w:pPr>
        <w:ind w:left="0"/>
        <w:rPr>
          <w:rFonts w:ascii="Bookman Old Style" w:hAnsi="Bookman Old Style" w:cs="Arial"/>
        </w:rPr>
      </w:pPr>
      <w:r>
        <w:rPr>
          <w:rFonts w:ascii="Bookman Old Style" w:hAnsi="Bookman Old Style" w:cs="Arial"/>
        </w:rPr>
        <w:t xml:space="preserve">Dada en Bogotá, D.C. </w:t>
      </w:r>
    </w:p>
    <w:p w:rsidR="00AC3F37" w:rsidRDefault="00AC3F37" w:rsidP="00AE4156">
      <w:pPr>
        <w:ind w:left="0"/>
        <w:rPr>
          <w:rFonts w:ascii="Bookman Old Style" w:hAnsi="Bookman Old Style" w:cs="Arial"/>
        </w:rPr>
      </w:pPr>
    </w:p>
    <w:p w:rsidR="00AC3F37" w:rsidRDefault="00AC3F37" w:rsidP="00AE4156">
      <w:pPr>
        <w:ind w:left="0"/>
        <w:rPr>
          <w:rFonts w:ascii="Bookman Old Style" w:hAnsi="Bookman Old Style" w:cs="Arial"/>
        </w:rPr>
      </w:pPr>
    </w:p>
    <w:p w:rsidR="00AC3F37" w:rsidRDefault="00AC3F37" w:rsidP="00AE4156">
      <w:pPr>
        <w:ind w:left="0"/>
        <w:rPr>
          <w:rFonts w:ascii="Bookman Old Style" w:hAnsi="Bookman Old Style" w:cs="Arial"/>
        </w:rPr>
      </w:pPr>
    </w:p>
    <w:p w:rsidR="00AC3F37" w:rsidRDefault="00AC3F37" w:rsidP="00AE4156">
      <w:pPr>
        <w:ind w:left="0"/>
        <w:rPr>
          <w:rFonts w:ascii="Bookman Old Style" w:hAnsi="Bookman Old Style" w:cs="Arial"/>
        </w:rPr>
      </w:pPr>
    </w:p>
    <w:p w:rsidR="00AC3F37" w:rsidRDefault="00AC3F37" w:rsidP="00AE4156">
      <w:pPr>
        <w:ind w:left="0"/>
        <w:rPr>
          <w:rFonts w:ascii="Bookman Old Style" w:hAnsi="Bookman Old Style" w:cs="Arial"/>
        </w:rPr>
      </w:pPr>
    </w:p>
    <w:p w:rsidR="00173462" w:rsidRPr="00A96759" w:rsidRDefault="00173462" w:rsidP="00A96759">
      <w:pPr>
        <w:rPr>
          <w:rFonts w:ascii="Bookman Old Style" w:hAnsi="Bookman Old Style" w:cs="Arial"/>
        </w:rPr>
      </w:pPr>
    </w:p>
    <w:tbl>
      <w:tblPr>
        <w:tblStyle w:val="Tablaconcuadrcula"/>
        <w:tblW w:w="9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48"/>
      </w:tblGrid>
      <w:tr w:rsidR="00AC3F37" w:rsidTr="00CF58F9">
        <w:tc>
          <w:tcPr>
            <w:tcW w:w="5211" w:type="dxa"/>
          </w:tcPr>
          <w:p w:rsidR="00AC3F37" w:rsidRDefault="00AC3F37" w:rsidP="00CF58F9">
            <w:pPr>
              <w:ind w:left="0"/>
              <w:jc w:val="center"/>
              <w:rPr>
                <w:rFonts w:ascii="Bookman Old Style" w:hAnsi="Bookman Old Style" w:cs="Arial"/>
                <w:lang w:val="es-ES_tradnl"/>
              </w:rPr>
            </w:pPr>
            <w:r>
              <w:rPr>
                <w:rFonts w:ascii="Bookman Old Style" w:hAnsi="Bookman Old Style" w:cs="Arial"/>
                <w:b/>
                <w:spacing w:val="-3"/>
                <w:lang w:eastAsia="en-US"/>
              </w:rPr>
              <w:t>CARLOS FERNANDO ERASO CALERO</w:t>
            </w:r>
          </w:p>
        </w:tc>
        <w:tc>
          <w:tcPr>
            <w:tcW w:w="4748" w:type="dxa"/>
          </w:tcPr>
          <w:p w:rsidR="00AC3F37" w:rsidRDefault="00AC3F37" w:rsidP="00CF58F9">
            <w:pPr>
              <w:ind w:left="0"/>
              <w:jc w:val="center"/>
              <w:rPr>
                <w:rFonts w:ascii="Bookman Old Style" w:hAnsi="Bookman Old Style" w:cs="Arial"/>
                <w:lang w:val="es-ES_tradnl"/>
              </w:rPr>
            </w:pPr>
            <w:r>
              <w:rPr>
                <w:rFonts w:ascii="Bookman Old Style" w:hAnsi="Bookman Old Style" w:cs="Arial"/>
                <w:b/>
                <w:spacing w:val="-3"/>
                <w:lang w:eastAsia="en-US"/>
              </w:rPr>
              <w:t>JORGE PINTO NOLLA</w:t>
            </w:r>
          </w:p>
        </w:tc>
      </w:tr>
      <w:tr w:rsidR="00AC3F37" w:rsidTr="00CF58F9">
        <w:tc>
          <w:tcPr>
            <w:tcW w:w="5211" w:type="dxa"/>
          </w:tcPr>
          <w:p w:rsidR="00AC3F37" w:rsidRDefault="00AC3F37" w:rsidP="00CF58F9">
            <w:pPr>
              <w:ind w:left="0"/>
              <w:jc w:val="center"/>
              <w:rPr>
                <w:rFonts w:ascii="Bookman Old Style" w:hAnsi="Bookman Old Style" w:cs="Arial"/>
                <w:spacing w:val="-3"/>
              </w:rPr>
            </w:pPr>
            <w:r>
              <w:rPr>
                <w:rFonts w:ascii="Bookman Old Style" w:hAnsi="Bookman Old Style" w:cs="Arial"/>
                <w:spacing w:val="-3"/>
              </w:rPr>
              <w:t xml:space="preserve">Viceministro de Energía </w:t>
            </w:r>
          </w:p>
          <w:p w:rsidR="00AC3F37" w:rsidRDefault="00AC3F37" w:rsidP="00CF58F9">
            <w:pPr>
              <w:ind w:left="0"/>
              <w:jc w:val="center"/>
              <w:rPr>
                <w:rFonts w:ascii="Bookman Old Style" w:hAnsi="Bookman Old Style" w:cs="Arial"/>
                <w:spacing w:val="-3"/>
              </w:rPr>
            </w:pPr>
            <w:r>
              <w:rPr>
                <w:rFonts w:ascii="Bookman Old Style" w:hAnsi="Bookman Old Style" w:cs="Arial"/>
                <w:spacing w:val="-3"/>
              </w:rPr>
              <w:t>Delegado del M</w:t>
            </w:r>
            <w:r w:rsidRPr="000074D5">
              <w:rPr>
                <w:rFonts w:ascii="Bookman Old Style" w:hAnsi="Bookman Old Style" w:cs="Arial"/>
                <w:spacing w:val="-3"/>
              </w:rPr>
              <w:t xml:space="preserve">inistro de </w:t>
            </w:r>
            <w:r>
              <w:rPr>
                <w:rFonts w:ascii="Bookman Old Style" w:hAnsi="Bookman Old Style" w:cs="Arial"/>
                <w:spacing w:val="-3"/>
              </w:rPr>
              <w:t xml:space="preserve">Minas y </w:t>
            </w:r>
            <w:r w:rsidRPr="000074D5">
              <w:rPr>
                <w:rFonts w:ascii="Bookman Old Style" w:hAnsi="Bookman Old Style" w:cs="Arial"/>
                <w:spacing w:val="-3"/>
              </w:rPr>
              <w:t>Energía</w:t>
            </w:r>
          </w:p>
          <w:p w:rsidR="00AC3F37" w:rsidRPr="006430D4" w:rsidRDefault="00AC3F37" w:rsidP="00CF58F9">
            <w:pPr>
              <w:ind w:left="0"/>
              <w:jc w:val="center"/>
              <w:rPr>
                <w:rFonts w:ascii="Bookman Old Style" w:hAnsi="Bookman Old Style" w:cs="Arial"/>
                <w:spacing w:val="-3"/>
                <w:lang w:eastAsia="en-US"/>
              </w:rPr>
            </w:pPr>
            <w:r w:rsidRPr="006430D4">
              <w:rPr>
                <w:rFonts w:ascii="Bookman Old Style" w:hAnsi="Bookman Old Style" w:cs="Arial"/>
                <w:spacing w:val="-3"/>
                <w:lang w:eastAsia="en-US"/>
              </w:rPr>
              <w:t>Presidente</w:t>
            </w:r>
          </w:p>
        </w:tc>
        <w:tc>
          <w:tcPr>
            <w:tcW w:w="4748" w:type="dxa"/>
          </w:tcPr>
          <w:p w:rsidR="00AC3F37" w:rsidRDefault="00AC3F37" w:rsidP="00CF58F9">
            <w:pPr>
              <w:ind w:left="0"/>
              <w:jc w:val="center"/>
              <w:rPr>
                <w:rFonts w:ascii="Bookman Old Style" w:hAnsi="Bookman Old Style" w:cs="Arial"/>
                <w:b/>
                <w:spacing w:val="-3"/>
                <w:lang w:eastAsia="en-US"/>
              </w:rPr>
            </w:pPr>
            <w:r w:rsidRPr="000074D5">
              <w:rPr>
                <w:rFonts w:ascii="Bookman Old Style" w:hAnsi="Bookman Old Style" w:cs="Arial"/>
                <w:spacing w:val="-3"/>
                <w:lang w:eastAsia="en-US"/>
              </w:rPr>
              <w:t>Director Ejecutivo</w:t>
            </w:r>
          </w:p>
        </w:tc>
      </w:tr>
    </w:tbl>
    <w:p w:rsidR="00A96759" w:rsidRDefault="00A96759" w:rsidP="00A96759">
      <w:pPr>
        <w:rPr>
          <w:rFonts w:ascii="Bookman Old Style" w:hAnsi="Bookman Old Style" w:cs="Arial"/>
        </w:rPr>
      </w:pPr>
    </w:p>
    <w:p w:rsidR="00A96759" w:rsidRPr="00A96759" w:rsidRDefault="00A96759" w:rsidP="00A96759">
      <w:pPr>
        <w:ind w:left="0"/>
        <w:rPr>
          <w:rFonts w:ascii="Bookman Old Style" w:hAnsi="Bookman Old Style" w:cs="Arial"/>
        </w:rPr>
      </w:pPr>
    </w:p>
    <w:sectPr w:rsidR="00A96759" w:rsidRPr="00A96759" w:rsidSect="00C22614">
      <w:headerReference w:type="default" r:id="rId11"/>
      <w:headerReference w:type="first" r:id="rId12"/>
      <w:pgSz w:w="12242" w:h="18722" w:code="259"/>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AA1" w:rsidRDefault="00762AA1" w:rsidP="00A40929">
      <w:r>
        <w:separator/>
      </w:r>
    </w:p>
  </w:endnote>
  <w:endnote w:type="continuationSeparator" w:id="0">
    <w:p w:rsidR="00762AA1" w:rsidRDefault="00762AA1" w:rsidP="00A4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AA1" w:rsidRDefault="00762AA1" w:rsidP="00A40929">
      <w:r>
        <w:separator/>
      </w:r>
    </w:p>
  </w:footnote>
  <w:footnote w:type="continuationSeparator" w:id="0">
    <w:p w:rsidR="00762AA1" w:rsidRDefault="00762AA1" w:rsidP="00A40929">
      <w:r>
        <w:continuationSeparator/>
      </w:r>
    </w:p>
  </w:footnote>
  <w:footnote w:id="1">
    <w:p w:rsidR="000E01BD" w:rsidRPr="005B0EEB" w:rsidRDefault="000E01BD" w:rsidP="00A96759">
      <w:pPr>
        <w:jc w:val="both"/>
        <w:rPr>
          <w:rFonts w:ascii="Bookman Old Style" w:hAnsi="Bookman Old Style" w:cs="Arial"/>
          <w:sz w:val="16"/>
          <w:szCs w:val="16"/>
        </w:rPr>
      </w:pPr>
      <w:r w:rsidRPr="005B0EEB">
        <w:rPr>
          <w:rStyle w:val="Refdenotaalpie"/>
          <w:rFonts w:ascii="Bookman Old Style" w:hAnsi="Bookman Old Style"/>
          <w:sz w:val="16"/>
          <w:szCs w:val="16"/>
        </w:rPr>
        <w:footnoteRef/>
      </w:r>
      <w:r w:rsidRPr="005B0EEB">
        <w:rPr>
          <w:rFonts w:ascii="Bookman Old Style" w:hAnsi="Bookman Old Style"/>
          <w:sz w:val="16"/>
          <w:szCs w:val="16"/>
        </w:rPr>
        <w:t xml:space="preserve"> </w:t>
      </w:r>
      <w:r>
        <w:rPr>
          <w:rFonts w:ascii="Bookman Old Style" w:hAnsi="Bookman Old Style"/>
          <w:sz w:val="16"/>
          <w:szCs w:val="16"/>
        </w:rPr>
        <w:t>-</w:t>
      </w:r>
      <w:r w:rsidRPr="005B0EEB">
        <w:rPr>
          <w:rFonts w:ascii="Bookman Old Style" w:hAnsi="Bookman Old Style" w:cs="Arial"/>
          <w:sz w:val="16"/>
          <w:szCs w:val="16"/>
        </w:rPr>
        <w:t xml:space="preserve">Consejo de Estado, </w:t>
      </w:r>
      <w:r>
        <w:rPr>
          <w:rFonts w:ascii="Bookman Old Style" w:hAnsi="Bookman Old Style" w:cs="Arial"/>
          <w:sz w:val="16"/>
          <w:szCs w:val="16"/>
        </w:rPr>
        <w:t>S</w:t>
      </w:r>
      <w:r w:rsidRPr="005B0EEB">
        <w:rPr>
          <w:rFonts w:ascii="Bookman Old Style" w:hAnsi="Bookman Old Style" w:cs="Arial"/>
          <w:sz w:val="16"/>
          <w:szCs w:val="16"/>
        </w:rPr>
        <w:t>entencia del 23 de septiembre de 2010, Radicación número 2007-00049 (16874), C. P. Martha Teresa Briceño de Valencia</w:t>
      </w:r>
    </w:p>
    <w:p w:rsidR="000E01BD" w:rsidRPr="005B0EEB" w:rsidRDefault="000E01BD" w:rsidP="00A96759">
      <w:pPr>
        <w:rPr>
          <w:rFonts w:ascii="Bookman Old Style" w:hAnsi="Bookman Old Style" w:cs="Arial"/>
          <w:sz w:val="16"/>
          <w:szCs w:val="16"/>
        </w:rPr>
      </w:pPr>
      <w:r>
        <w:rPr>
          <w:rFonts w:ascii="Bookman Old Style" w:hAnsi="Bookman Old Style" w:cs="Arial"/>
          <w:sz w:val="16"/>
          <w:szCs w:val="16"/>
        </w:rPr>
        <w:t>-</w:t>
      </w:r>
      <w:r w:rsidRPr="005B0EEB">
        <w:rPr>
          <w:rFonts w:ascii="Bookman Old Style" w:hAnsi="Bookman Old Style" w:cs="Arial"/>
          <w:sz w:val="16"/>
          <w:szCs w:val="16"/>
        </w:rPr>
        <w:t>Consejo de Estado</w:t>
      </w:r>
      <w:r>
        <w:rPr>
          <w:rFonts w:ascii="Bookman Old Style" w:hAnsi="Bookman Old Style" w:cs="Arial"/>
          <w:sz w:val="16"/>
          <w:szCs w:val="16"/>
        </w:rPr>
        <w:t xml:space="preserve"> S</w:t>
      </w:r>
      <w:r w:rsidRPr="005B0EEB">
        <w:rPr>
          <w:rFonts w:ascii="Bookman Old Style" w:hAnsi="Bookman Old Style" w:cs="Arial"/>
          <w:sz w:val="16"/>
          <w:szCs w:val="16"/>
        </w:rPr>
        <w:t>entencia del 14 de octubre de 2010, Radicación</w:t>
      </w:r>
      <w:r w:rsidR="00E954AC">
        <w:rPr>
          <w:rFonts w:ascii="Bookman Old Style" w:hAnsi="Bookman Old Style" w:cs="Arial"/>
          <w:sz w:val="16"/>
          <w:szCs w:val="16"/>
        </w:rPr>
        <w:t xml:space="preserve"> </w:t>
      </w:r>
      <w:r w:rsidRPr="005B0EEB">
        <w:rPr>
          <w:rFonts w:ascii="Bookman Old Style" w:hAnsi="Bookman Old Style" w:cs="Arial"/>
          <w:sz w:val="16"/>
          <w:szCs w:val="16"/>
        </w:rPr>
        <w:t>número 2007-00031 (16650), C. P. Hugo Fernando Bastidas Bárcenas.</w:t>
      </w:r>
    </w:p>
    <w:p w:rsidR="000E01BD" w:rsidRPr="005B0EEB" w:rsidRDefault="000E01BD" w:rsidP="00A96759">
      <w:pPr>
        <w:rPr>
          <w:rFonts w:ascii="Bookman Old Style" w:hAnsi="Bookman Old Style" w:cs="Arial"/>
          <w:sz w:val="16"/>
          <w:szCs w:val="16"/>
        </w:rPr>
      </w:pPr>
      <w:r>
        <w:rPr>
          <w:rFonts w:ascii="Bookman Old Style" w:hAnsi="Bookman Old Style" w:cs="Arial"/>
          <w:sz w:val="16"/>
          <w:szCs w:val="16"/>
        </w:rPr>
        <w:t>-</w:t>
      </w:r>
      <w:r w:rsidRPr="005B0EEB">
        <w:rPr>
          <w:rFonts w:ascii="Bookman Old Style" w:hAnsi="Bookman Old Style" w:cs="Arial"/>
          <w:sz w:val="16"/>
          <w:szCs w:val="16"/>
        </w:rPr>
        <w:t xml:space="preserve">Consejo de Estado, </w:t>
      </w:r>
      <w:r>
        <w:rPr>
          <w:rFonts w:ascii="Bookman Old Style" w:hAnsi="Bookman Old Style" w:cs="Arial"/>
          <w:sz w:val="16"/>
          <w:szCs w:val="16"/>
        </w:rPr>
        <w:t>S</w:t>
      </w:r>
      <w:r w:rsidRPr="005B0EEB">
        <w:rPr>
          <w:rFonts w:ascii="Bookman Old Style" w:hAnsi="Bookman Old Style" w:cs="Arial"/>
          <w:sz w:val="16"/>
          <w:szCs w:val="16"/>
        </w:rPr>
        <w:t>entencia del 13 de diciembre de 2011, Radicación</w:t>
      </w:r>
      <w:r w:rsidR="00E954AC">
        <w:rPr>
          <w:rFonts w:ascii="Bookman Old Style" w:hAnsi="Bookman Old Style" w:cs="Arial"/>
          <w:sz w:val="16"/>
          <w:szCs w:val="16"/>
        </w:rPr>
        <w:t xml:space="preserve"> </w:t>
      </w:r>
      <w:r w:rsidRPr="005B0EEB">
        <w:rPr>
          <w:rFonts w:ascii="Bookman Old Style" w:hAnsi="Bookman Old Style" w:cs="Arial"/>
          <w:sz w:val="16"/>
          <w:szCs w:val="16"/>
        </w:rPr>
        <w:t>número 2008-00023 (17709), C. P. Carmen Teresa Ortiz de Rodríguez</w:t>
      </w:r>
    </w:p>
    <w:p w:rsidR="000E01BD" w:rsidRPr="005B0EEB" w:rsidRDefault="000E01BD" w:rsidP="00A96759">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1BD" w:rsidRDefault="000E01BD" w:rsidP="00423D9C">
    <w:pPr>
      <w:pStyle w:val="Ttulo1"/>
      <w:ind w:right="6"/>
      <w:jc w:val="left"/>
      <w:rPr>
        <w:rFonts w:ascii="Bookman Old Style" w:hAnsi="Bookman Old Style" w:cs="Arial"/>
        <w:b w:val="0"/>
        <w:sz w:val="22"/>
        <w:szCs w:val="22"/>
      </w:rPr>
    </w:pPr>
  </w:p>
  <w:p w:rsidR="000E01BD" w:rsidRPr="00951F79" w:rsidRDefault="000E01BD" w:rsidP="00423D9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E954AC">
      <w:rPr>
        <w:rFonts w:ascii="Bookman Old Style" w:hAnsi="Bookman Old Style" w:cs="Arial"/>
        <w:b w:val="0"/>
        <w:sz w:val="22"/>
        <w:szCs w:val="22"/>
      </w:rPr>
      <w:t xml:space="preserve"> </w:t>
    </w:r>
    <w:r>
      <w:rPr>
        <w:rFonts w:ascii="Bookman Old Style" w:hAnsi="Bookman Old Style" w:cs="Arial"/>
        <w:b w:val="0"/>
        <w:sz w:val="22"/>
        <w:szCs w:val="22"/>
      </w:rPr>
      <w:t>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C634E2">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C634E2">
      <w:fldChar w:fldCharType="begin"/>
    </w:r>
    <w:r w:rsidR="00C634E2">
      <w:instrText xml:space="preserve"> NUMPAGES  \* MERGEFORMAT </w:instrText>
    </w:r>
    <w:r w:rsidR="00C634E2">
      <w:fldChar w:fldCharType="separate"/>
    </w:r>
    <w:r w:rsidR="00C634E2" w:rsidRPr="00C634E2">
      <w:rPr>
        <w:rFonts w:ascii="Bookman Old Style" w:hAnsi="Bookman Old Style" w:cs="Arial"/>
        <w:b w:val="0"/>
        <w:noProof/>
        <w:sz w:val="22"/>
        <w:szCs w:val="22"/>
      </w:rPr>
      <w:t>4</w:t>
    </w:r>
    <w:r w:rsidR="00C634E2">
      <w:rPr>
        <w:rFonts w:ascii="Bookman Old Style" w:hAnsi="Bookman Old Style" w:cs="Arial"/>
        <w:b w:val="0"/>
        <w:noProof/>
        <w:sz w:val="22"/>
        <w:szCs w:val="22"/>
      </w:rPr>
      <w:fldChar w:fldCharType="end"/>
    </w:r>
  </w:p>
  <w:p w:rsidR="000E01BD" w:rsidRDefault="000E01BD" w:rsidP="00423D9C">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6DE6AEFF" wp14:editId="45D4601A">
              <wp:simplePos x="0" y="0"/>
              <wp:positionH relativeFrom="column">
                <wp:posOffset>-175260</wp:posOffset>
              </wp:positionH>
              <wp:positionV relativeFrom="paragraph">
                <wp:posOffset>139065</wp:posOffset>
              </wp:positionV>
              <wp:extent cx="6267450" cy="9900920"/>
              <wp:effectExtent l="9525" t="12065" r="9525" b="1206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rsidR="00AC3F37" w:rsidRPr="00AC3F37" w:rsidRDefault="00AC3F37" w:rsidP="00AC3F37">
    <w:pPr>
      <w:ind w:left="0"/>
      <w:jc w:val="both"/>
      <w:rPr>
        <w:rFonts w:ascii="Bookman Old Style" w:hAnsi="Bookman Old Style" w:cs="Arial"/>
        <w:sz w:val="22"/>
        <w:szCs w:val="22"/>
        <w:lang w:val="es-CO" w:eastAsia="es-CO"/>
      </w:rPr>
    </w:pPr>
    <w:r w:rsidRPr="00AC3F37">
      <w:rPr>
        <w:rFonts w:ascii="Bookman Old Style" w:hAnsi="Bookman Old Style" w:cs="Arial"/>
        <w:sz w:val="22"/>
        <w:szCs w:val="22"/>
      </w:rPr>
      <w:t>Por la cual se señala el porcentaje de la contribución que deben pagar las entidades sometidas a la regulación de la Comisión de Regulación de Energía y Gas en el año 2015, y se dictan otras disposiciones</w:t>
    </w:r>
  </w:p>
  <w:p w:rsidR="000E01BD" w:rsidRPr="00AE4156" w:rsidRDefault="000E01BD" w:rsidP="00A96759">
    <w:pPr>
      <w:ind w:left="0"/>
      <w:jc w:val="both"/>
      <w:rPr>
        <w:b/>
        <w:sz w:val="22"/>
        <w:szCs w:val="22"/>
        <w:lang w:val="es-CO"/>
      </w:rPr>
    </w:pPr>
    <w:r w:rsidRPr="00AE4156">
      <w:rPr>
        <w:rFonts w:ascii="Bookman Old Style" w:hAnsi="Bookman Old Style" w:cs="Arial"/>
        <w:sz w:val="22"/>
        <w:szCs w:val="22"/>
        <w:lang w:val="es-CO" w:eastAsia="es-CO"/>
      </w:rPr>
      <w:t>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1BD" w:rsidRDefault="00E954AC" w:rsidP="00423D9C">
    <w:pPr>
      <w:pStyle w:val="Encabezado"/>
      <w:jc w:val="both"/>
      <w:rPr>
        <w:rFonts w:ascii="Arial" w:hAnsi="Arial" w:cs="Arial"/>
        <w:spacing w:val="20"/>
        <w:sz w:val="20"/>
      </w:rPr>
    </w:pPr>
    <w:r>
      <w:rPr>
        <w:rFonts w:ascii="Arial" w:hAnsi="Arial" w:cs="Arial"/>
        <w:spacing w:val="20"/>
        <w:sz w:val="20"/>
      </w:rPr>
      <w:t xml:space="preserve">                                </w:t>
    </w:r>
    <w:r w:rsidR="000E01BD">
      <w:rPr>
        <w:rFonts w:ascii="Arial" w:hAnsi="Arial" w:cs="Arial"/>
        <w:spacing w:val="20"/>
        <w:sz w:val="20"/>
      </w:rPr>
      <w:t>República de Colombia</w:t>
    </w:r>
  </w:p>
  <w:p w:rsidR="000E01BD" w:rsidRDefault="000E01BD">
    <w:pPr>
      <w:pStyle w:val="Encabezado"/>
      <w:jc w:val="center"/>
      <w:rPr>
        <w:rFonts w:ascii="Arial" w:hAnsi="Arial" w:cs="Arial"/>
        <w:spacing w:val="20"/>
        <w:sz w:val="20"/>
      </w:rPr>
    </w:pPr>
  </w:p>
  <w:p w:rsidR="000E01BD" w:rsidRDefault="000E01BD" w:rsidP="00423D9C">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02FE5715" wp14:editId="725F75FA">
              <wp:simplePos x="0" y="0"/>
              <wp:positionH relativeFrom="column">
                <wp:posOffset>-213360</wp:posOffset>
              </wp:positionH>
              <wp:positionV relativeFrom="paragraph">
                <wp:posOffset>377190</wp:posOffset>
              </wp:positionV>
              <wp:extent cx="6343650" cy="9839325"/>
              <wp:effectExtent l="9525" t="14605" r="9525" b="1397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929"/>
    <w:rsid w:val="0000544E"/>
    <w:rsid w:val="00007F1A"/>
    <w:rsid w:val="000134CB"/>
    <w:rsid w:val="00036CAE"/>
    <w:rsid w:val="00036F82"/>
    <w:rsid w:val="00056C90"/>
    <w:rsid w:val="000D4E6F"/>
    <w:rsid w:val="000E01BD"/>
    <w:rsid w:val="0012432E"/>
    <w:rsid w:val="00130196"/>
    <w:rsid w:val="00142C23"/>
    <w:rsid w:val="0016000F"/>
    <w:rsid w:val="00164B01"/>
    <w:rsid w:val="00172286"/>
    <w:rsid w:val="00173462"/>
    <w:rsid w:val="001C65C0"/>
    <w:rsid w:val="0022134B"/>
    <w:rsid w:val="0023707D"/>
    <w:rsid w:val="002563F4"/>
    <w:rsid w:val="00275546"/>
    <w:rsid w:val="002B6AB4"/>
    <w:rsid w:val="002D1A97"/>
    <w:rsid w:val="002D76D2"/>
    <w:rsid w:val="003774B8"/>
    <w:rsid w:val="00423D9C"/>
    <w:rsid w:val="00470E19"/>
    <w:rsid w:val="00484723"/>
    <w:rsid w:val="00485EFB"/>
    <w:rsid w:val="004E483A"/>
    <w:rsid w:val="004F507F"/>
    <w:rsid w:val="005814F6"/>
    <w:rsid w:val="00582AAB"/>
    <w:rsid w:val="005F61C6"/>
    <w:rsid w:val="00607E81"/>
    <w:rsid w:val="006163AB"/>
    <w:rsid w:val="0066043C"/>
    <w:rsid w:val="006D69E1"/>
    <w:rsid w:val="00712FC5"/>
    <w:rsid w:val="00725CC3"/>
    <w:rsid w:val="00762AA1"/>
    <w:rsid w:val="007673AA"/>
    <w:rsid w:val="007B47E0"/>
    <w:rsid w:val="007C51A4"/>
    <w:rsid w:val="00850209"/>
    <w:rsid w:val="00886F54"/>
    <w:rsid w:val="008E2D95"/>
    <w:rsid w:val="008E5EC2"/>
    <w:rsid w:val="009207AB"/>
    <w:rsid w:val="00952F08"/>
    <w:rsid w:val="0095386B"/>
    <w:rsid w:val="009708A7"/>
    <w:rsid w:val="009A089E"/>
    <w:rsid w:val="009D75D4"/>
    <w:rsid w:val="009E6479"/>
    <w:rsid w:val="00A300DD"/>
    <w:rsid w:val="00A37164"/>
    <w:rsid w:val="00A40929"/>
    <w:rsid w:val="00A56A2E"/>
    <w:rsid w:val="00A75F87"/>
    <w:rsid w:val="00A96759"/>
    <w:rsid w:val="00AA3907"/>
    <w:rsid w:val="00AB0145"/>
    <w:rsid w:val="00AC3F37"/>
    <w:rsid w:val="00AE4156"/>
    <w:rsid w:val="00B269B2"/>
    <w:rsid w:val="00BA429A"/>
    <w:rsid w:val="00C03171"/>
    <w:rsid w:val="00C22614"/>
    <w:rsid w:val="00C51B65"/>
    <w:rsid w:val="00C634E2"/>
    <w:rsid w:val="00C93525"/>
    <w:rsid w:val="00CD1A45"/>
    <w:rsid w:val="00D17B4F"/>
    <w:rsid w:val="00D60989"/>
    <w:rsid w:val="00D824D5"/>
    <w:rsid w:val="00DC7DF9"/>
    <w:rsid w:val="00DE3114"/>
    <w:rsid w:val="00E27C72"/>
    <w:rsid w:val="00E32723"/>
    <w:rsid w:val="00E46D8E"/>
    <w:rsid w:val="00E52B92"/>
    <w:rsid w:val="00E53A1A"/>
    <w:rsid w:val="00E66C2E"/>
    <w:rsid w:val="00E94649"/>
    <w:rsid w:val="00E954AC"/>
    <w:rsid w:val="00EE1708"/>
    <w:rsid w:val="00EF27F3"/>
    <w:rsid w:val="00F31ED1"/>
    <w:rsid w:val="00F4334F"/>
    <w:rsid w:val="00F5794B"/>
    <w:rsid w:val="00F70C23"/>
    <w:rsid w:val="00F81D9D"/>
    <w:rsid w:val="00FA03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929"/>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A40929"/>
    <w:pPr>
      <w:keepNext/>
      <w:jc w:val="center"/>
      <w:outlineLvl w:val="0"/>
    </w:pPr>
    <w:rPr>
      <w:rFonts w:ascii="CG Times" w:hAnsi="CG Times"/>
      <w:b/>
      <w:szCs w:val="20"/>
      <w:lang w:val="es-CO"/>
    </w:rPr>
  </w:style>
  <w:style w:type="paragraph" w:styleId="Ttulo3">
    <w:name w:val="heading 3"/>
    <w:basedOn w:val="Normal"/>
    <w:next w:val="Normal"/>
    <w:link w:val="Ttulo3Car"/>
    <w:qFormat/>
    <w:rsid w:val="00A40929"/>
    <w:pPr>
      <w:keepNext/>
      <w:jc w:val="center"/>
      <w:outlineLvl w:val="2"/>
    </w:pPr>
    <w:rPr>
      <w:rFonts w:ascii="CG Times" w:hAnsi="CG Times"/>
      <w:b/>
      <w:snapToGrid w:val="0"/>
      <w:color w:val="000000"/>
      <w:szCs w:val="20"/>
      <w:lang w:val="es-ES_tradnl" w:eastAsia="x-none"/>
    </w:rPr>
  </w:style>
  <w:style w:type="paragraph" w:styleId="Ttulo4">
    <w:name w:val="heading 4"/>
    <w:basedOn w:val="Normal"/>
    <w:next w:val="Normal"/>
    <w:link w:val="Ttulo4Car"/>
    <w:qFormat/>
    <w:rsid w:val="00A40929"/>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A40929"/>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A40929"/>
    <w:pPr>
      <w:spacing w:before="240" w:after="60"/>
      <w:outlineLvl w:val="5"/>
    </w:pPr>
    <w:rPr>
      <w:rFonts w:ascii="Calibri" w:hAnsi="Calibri"/>
      <w:b/>
      <w:bCs/>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0929"/>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A40929"/>
    <w:rPr>
      <w:rFonts w:ascii="CG Times" w:eastAsia="Times New Roman" w:hAnsi="CG Times" w:cs="Times New Roman"/>
      <w:b/>
      <w:snapToGrid w:val="0"/>
      <w:color w:val="000000"/>
      <w:sz w:val="24"/>
      <w:szCs w:val="20"/>
      <w:lang w:val="es-ES_tradnl" w:eastAsia="x-none"/>
    </w:rPr>
  </w:style>
  <w:style w:type="character" w:customStyle="1" w:styleId="Ttulo4Car">
    <w:name w:val="Título 4 Car"/>
    <w:basedOn w:val="Fuentedeprrafopredeter"/>
    <w:link w:val="Ttulo4"/>
    <w:rsid w:val="00A40929"/>
    <w:rPr>
      <w:rFonts w:ascii="Arial" w:eastAsia="Times New Roman" w:hAnsi="Arial" w:cs="Times New Roman"/>
      <w:b/>
      <w:snapToGrid w:val="0"/>
      <w:color w:val="000000"/>
      <w:spacing w:val="20"/>
      <w:sz w:val="20"/>
      <w:szCs w:val="20"/>
      <w:lang w:val="es-ES_tradnl" w:eastAsia="x-none"/>
    </w:rPr>
  </w:style>
  <w:style w:type="character" w:customStyle="1" w:styleId="Ttulo5Car">
    <w:name w:val="Título 5 Car"/>
    <w:basedOn w:val="Fuentedeprrafopredeter"/>
    <w:link w:val="Ttulo5"/>
    <w:rsid w:val="00A40929"/>
    <w:rPr>
      <w:rFonts w:ascii="Arial" w:eastAsia="Times New Roman" w:hAnsi="Arial" w:cs="Times New Roman"/>
      <w:b/>
      <w:snapToGrid w:val="0"/>
      <w:color w:val="000000"/>
      <w:spacing w:val="20"/>
      <w:sz w:val="28"/>
      <w:szCs w:val="20"/>
      <w:lang w:val="es-ES_tradnl" w:eastAsia="x-none"/>
    </w:rPr>
  </w:style>
  <w:style w:type="character" w:customStyle="1" w:styleId="Ttulo6Car">
    <w:name w:val="Título 6 Car"/>
    <w:basedOn w:val="Fuentedeprrafopredeter"/>
    <w:link w:val="Ttulo6"/>
    <w:rsid w:val="00A40929"/>
    <w:rPr>
      <w:rFonts w:ascii="Calibri" w:eastAsia="Times New Roman" w:hAnsi="Calibri" w:cs="Times New Roman"/>
      <w:b/>
      <w:bCs/>
      <w:lang w:val="x-none" w:eastAsia="x-none"/>
    </w:rPr>
  </w:style>
  <w:style w:type="paragraph" w:styleId="Encabezado">
    <w:name w:val="header"/>
    <w:basedOn w:val="Normal"/>
    <w:link w:val="EncabezadoCar"/>
    <w:uiPriority w:val="99"/>
    <w:rsid w:val="00A40929"/>
    <w:pPr>
      <w:tabs>
        <w:tab w:val="center" w:pos="4252"/>
        <w:tab w:val="right" w:pos="8504"/>
      </w:tabs>
    </w:pPr>
    <w:rPr>
      <w:rFonts w:ascii="CG Times" w:hAnsi="CG Times"/>
      <w:szCs w:val="20"/>
      <w:lang w:val="es-CO" w:eastAsia="x-none"/>
    </w:rPr>
  </w:style>
  <w:style w:type="character" w:customStyle="1" w:styleId="EncabezadoCar">
    <w:name w:val="Encabezado Car"/>
    <w:basedOn w:val="Fuentedeprrafopredeter"/>
    <w:link w:val="Encabezado"/>
    <w:uiPriority w:val="99"/>
    <w:rsid w:val="00A40929"/>
    <w:rPr>
      <w:rFonts w:ascii="CG Times" w:eastAsia="Times New Roman" w:hAnsi="CG Times" w:cs="Times New Roman"/>
      <w:sz w:val="24"/>
      <w:szCs w:val="20"/>
      <w:lang w:eastAsia="x-none"/>
    </w:rPr>
  </w:style>
  <w:style w:type="paragraph" w:styleId="Textoindependiente">
    <w:name w:val="Body Text"/>
    <w:basedOn w:val="Normal"/>
    <w:link w:val="TextoindependienteCar"/>
    <w:semiHidden/>
    <w:rsid w:val="00A40929"/>
    <w:pPr>
      <w:jc w:val="center"/>
    </w:pPr>
    <w:rPr>
      <w:rFonts w:ascii="Arial" w:hAnsi="Arial"/>
      <w:b/>
      <w:bCs/>
      <w:lang w:val="x-none" w:eastAsia="x-none"/>
    </w:rPr>
  </w:style>
  <w:style w:type="character" w:customStyle="1" w:styleId="TextoindependienteCar">
    <w:name w:val="Texto independiente Car"/>
    <w:basedOn w:val="Fuentedeprrafopredeter"/>
    <w:link w:val="Textoindependiente"/>
    <w:semiHidden/>
    <w:rsid w:val="00A40929"/>
    <w:rPr>
      <w:rFonts w:ascii="Arial" w:eastAsia="Times New Roman" w:hAnsi="Arial" w:cs="Times New Roman"/>
      <w:b/>
      <w:bCs/>
      <w:sz w:val="24"/>
      <w:szCs w:val="24"/>
      <w:lang w:val="x-none" w:eastAsia="x-none"/>
    </w:rPr>
  </w:style>
  <w:style w:type="paragraph" w:customStyle="1" w:styleId="TableHeading">
    <w:name w:val="Table Heading"/>
    <w:basedOn w:val="Normal"/>
    <w:rsid w:val="00A40929"/>
    <w:pPr>
      <w:suppressLineNumbers/>
      <w:suppressAutoHyphens/>
      <w:ind w:left="0"/>
      <w:jc w:val="center"/>
    </w:pPr>
    <w:rPr>
      <w:rFonts w:ascii="Arial" w:hAnsi="Arial"/>
      <w:b/>
      <w:bCs/>
      <w:sz w:val="22"/>
      <w:lang w:eastAsia="ar-SA"/>
    </w:rPr>
  </w:style>
  <w:style w:type="paragraph" w:styleId="Textonotapie">
    <w:name w:val="footnote text"/>
    <w:basedOn w:val="Normal"/>
    <w:link w:val="TextonotapieCar"/>
    <w:uiPriority w:val="99"/>
    <w:semiHidden/>
    <w:unhideWhenUsed/>
    <w:rsid w:val="00A40929"/>
    <w:rPr>
      <w:sz w:val="20"/>
      <w:szCs w:val="20"/>
    </w:rPr>
  </w:style>
  <w:style w:type="character" w:customStyle="1" w:styleId="TextonotapieCar">
    <w:name w:val="Texto nota pie Car"/>
    <w:basedOn w:val="Fuentedeprrafopredeter"/>
    <w:link w:val="Textonotapie"/>
    <w:uiPriority w:val="99"/>
    <w:semiHidden/>
    <w:rsid w:val="00A40929"/>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A40929"/>
    <w:rPr>
      <w:vertAlign w:val="superscript"/>
    </w:rPr>
  </w:style>
  <w:style w:type="paragraph" w:styleId="Piedepgina">
    <w:name w:val="footer"/>
    <w:basedOn w:val="Normal"/>
    <w:link w:val="PiedepginaCar"/>
    <w:uiPriority w:val="99"/>
    <w:unhideWhenUsed/>
    <w:rsid w:val="00423D9C"/>
    <w:pPr>
      <w:tabs>
        <w:tab w:val="center" w:pos="4419"/>
        <w:tab w:val="right" w:pos="8838"/>
      </w:tabs>
    </w:pPr>
  </w:style>
  <w:style w:type="character" w:customStyle="1" w:styleId="PiedepginaCar">
    <w:name w:val="Pie de página Car"/>
    <w:basedOn w:val="Fuentedeprrafopredeter"/>
    <w:link w:val="Piedepgina"/>
    <w:uiPriority w:val="99"/>
    <w:rsid w:val="00423D9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52F08"/>
    <w:rPr>
      <w:rFonts w:ascii="Tahoma" w:hAnsi="Tahoma" w:cs="Tahoma"/>
      <w:sz w:val="16"/>
      <w:szCs w:val="16"/>
    </w:rPr>
  </w:style>
  <w:style w:type="character" w:customStyle="1" w:styleId="TextodegloboCar">
    <w:name w:val="Texto de globo Car"/>
    <w:basedOn w:val="Fuentedeprrafopredeter"/>
    <w:link w:val="Textodeglobo"/>
    <w:uiPriority w:val="99"/>
    <w:semiHidden/>
    <w:rsid w:val="00952F08"/>
    <w:rPr>
      <w:rFonts w:ascii="Tahoma" w:eastAsia="Times New Roman" w:hAnsi="Tahoma" w:cs="Tahoma"/>
      <w:sz w:val="16"/>
      <w:szCs w:val="16"/>
      <w:lang w:val="es-ES" w:eastAsia="es-ES"/>
    </w:rPr>
  </w:style>
  <w:style w:type="paragraph" w:styleId="Revisin">
    <w:name w:val="Revision"/>
    <w:hidden/>
    <w:uiPriority w:val="99"/>
    <w:semiHidden/>
    <w:rsid w:val="00725CC3"/>
    <w:pPr>
      <w:spacing w:after="0"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AC3F37"/>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929"/>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A40929"/>
    <w:pPr>
      <w:keepNext/>
      <w:jc w:val="center"/>
      <w:outlineLvl w:val="0"/>
    </w:pPr>
    <w:rPr>
      <w:rFonts w:ascii="CG Times" w:hAnsi="CG Times"/>
      <w:b/>
      <w:szCs w:val="20"/>
      <w:lang w:val="es-CO"/>
    </w:rPr>
  </w:style>
  <w:style w:type="paragraph" w:styleId="Ttulo3">
    <w:name w:val="heading 3"/>
    <w:basedOn w:val="Normal"/>
    <w:next w:val="Normal"/>
    <w:link w:val="Ttulo3Car"/>
    <w:qFormat/>
    <w:rsid w:val="00A40929"/>
    <w:pPr>
      <w:keepNext/>
      <w:jc w:val="center"/>
      <w:outlineLvl w:val="2"/>
    </w:pPr>
    <w:rPr>
      <w:rFonts w:ascii="CG Times" w:hAnsi="CG Times"/>
      <w:b/>
      <w:snapToGrid w:val="0"/>
      <w:color w:val="000000"/>
      <w:szCs w:val="20"/>
      <w:lang w:val="es-ES_tradnl" w:eastAsia="x-none"/>
    </w:rPr>
  </w:style>
  <w:style w:type="paragraph" w:styleId="Ttulo4">
    <w:name w:val="heading 4"/>
    <w:basedOn w:val="Normal"/>
    <w:next w:val="Normal"/>
    <w:link w:val="Ttulo4Car"/>
    <w:qFormat/>
    <w:rsid w:val="00A40929"/>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A40929"/>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A40929"/>
    <w:pPr>
      <w:spacing w:before="240" w:after="60"/>
      <w:outlineLvl w:val="5"/>
    </w:pPr>
    <w:rPr>
      <w:rFonts w:ascii="Calibri" w:hAnsi="Calibri"/>
      <w:b/>
      <w:bCs/>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0929"/>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A40929"/>
    <w:rPr>
      <w:rFonts w:ascii="CG Times" w:eastAsia="Times New Roman" w:hAnsi="CG Times" w:cs="Times New Roman"/>
      <w:b/>
      <w:snapToGrid w:val="0"/>
      <w:color w:val="000000"/>
      <w:sz w:val="24"/>
      <w:szCs w:val="20"/>
      <w:lang w:val="es-ES_tradnl" w:eastAsia="x-none"/>
    </w:rPr>
  </w:style>
  <w:style w:type="character" w:customStyle="1" w:styleId="Ttulo4Car">
    <w:name w:val="Título 4 Car"/>
    <w:basedOn w:val="Fuentedeprrafopredeter"/>
    <w:link w:val="Ttulo4"/>
    <w:rsid w:val="00A40929"/>
    <w:rPr>
      <w:rFonts w:ascii="Arial" w:eastAsia="Times New Roman" w:hAnsi="Arial" w:cs="Times New Roman"/>
      <w:b/>
      <w:snapToGrid w:val="0"/>
      <w:color w:val="000000"/>
      <w:spacing w:val="20"/>
      <w:sz w:val="20"/>
      <w:szCs w:val="20"/>
      <w:lang w:val="es-ES_tradnl" w:eastAsia="x-none"/>
    </w:rPr>
  </w:style>
  <w:style w:type="character" w:customStyle="1" w:styleId="Ttulo5Car">
    <w:name w:val="Título 5 Car"/>
    <w:basedOn w:val="Fuentedeprrafopredeter"/>
    <w:link w:val="Ttulo5"/>
    <w:rsid w:val="00A40929"/>
    <w:rPr>
      <w:rFonts w:ascii="Arial" w:eastAsia="Times New Roman" w:hAnsi="Arial" w:cs="Times New Roman"/>
      <w:b/>
      <w:snapToGrid w:val="0"/>
      <w:color w:val="000000"/>
      <w:spacing w:val="20"/>
      <w:sz w:val="28"/>
      <w:szCs w:val="20"/>
      <w:lang w:val="es-ES_tradnl" w:eastAsia="x-none"/>
    </w:rPr>
  </w:style>
  <w:style w:type="character" w:customStyle="1" w:styleId="Ttulo6Car">
    <w:name w:val="Título 6 Car"/>
    <w:basedOn w:val="Fuentedeprrafopredeter"/>
    <w:link w:val="Ttulo6"/>
    <w:rsid w:val="00A40929"/>
    <w:rPr>
      <w:rFonts w:ascii="Calibri" w:eastAsia="Times New Roman" w:hAnsi="Calibri" w:cs="Times New Roman"/>
      <w:b/>
      <w:bCs/>
      <w:lang w:val="x-none" w:eastAsia="x-none"/>
    </w:rPr>
  </w:style>
  <w:style w:type="paragraph" w:styleId="Encabezado">
    <w:name w:val="header"/>
    <w:basedOn w:val="Normal"/>
    <w:link w:val="EncabezadoCar"/>
    <w:uiPriority w:val="99"/>
    <w:rsid w:val="00A40929"/>
    <w:pPr>
      <w:tabs>
        <w:tab w:val="center" w:pos="4252"/>
        <w:tab w:val="right" w:pos="8504"/>
      </w:tabs>
    </w:pPr>
    <w:rPr>
      <w:rFonts w:ascii="CG Times" w:hAnsi="CG Times"/>
      <w:szCs w:val="20"/>
      <w:lang w:val="es-CO" w:eastAsia="x-none"/>
    </w:rPr>
  </w:style>
  <w:style w:type="character" w:customStyle="1" w:styleId="EncabezadoCar">
    <w:name w:val="Encabezado Car"/>
    <w:basedOn w:val="Fuentedeprrafopredeter"/>
    <w:link w:val="Encabezado"/>
    <w:uiPriority w:val="99"/>
    <w:rsid w:val="00A40929"/>
    <w:rPr>
      <w:rFonts w:ascii="CG Times" w:eastAsia="Times New Roman" w:hAnsi="CG Times" w:cs="Times New Roman"/>
      <w:sz w:val="24"/>
      <w:szCs w:val="20"/>
      <w:lang w:eastAsia="x-none"/>
    </w:rPr>
  </w:style>
  <w:style w:type="paragraph" w:styleId="Textoindependiente">
    <w:name w:val="Body Text"/>
    <w:basedOn w:val="Normal"/>
    <w:link w:val="TextoindependienteCar"/>
    <w:semiHidden/>
    <w:rsid w:val="00A40929"/>
    <w:pPr>
      <w:jc w:val="center"/>
    </w:pPr>
    <w:rPr>
      <w:rFonts w:ascii="Arial" w:hAnsi="Arial"/>
      <w:b/>
      <w:bCs/>
      <w:lang w:val="x-none" w:eastAsia="x-none"/>
    </w:rPr>
  </w:style>
  <w:style w:type="character" w:customStyle="1" w:styleId="TextoindependienteCar">
    <w:name w:val="Texto independiente Car"/>
    <w:basedOn w:val="Fuentedeprrafopredeter"/>
    <w:link w:val="Textoindependiente"/>
    <w:semiHidden/>
    <w:rsid w:val="00A40929"/>
    <w:rPr>
      <w:rFonts w:ascii="Arial" w:eastAsia="Times New Roman" w:hAnsi="Arial" w:cs="Times New Roman"/>
      <w:b/>
      <w:bCs/>
      <w:sz w:val="24"/>
      <w:szCs w:val="24"/>
      <w:lang w:val="x-none" w:eastAsia="x-none"/>
    </w:rPr>
  </w:style>
  <w:style w:type="paragraph" w:customStyle="1" w:styleId="TableHeading">
    <w:name w:val="Table Heading"/>
    <w:basedOn w:val="Normal"/>
    <w:rsid w:val="00A40929"/>
    <w:pPr>
      <w:suppressLineNumbers/>
      <w:suppressAutoHyphens/>
      <w:ind w:left="0"/>
      <w:jc w:val="center"/>
    </w:pPr>
    <w:rPr>
      <w:rFonts w:ascii="Arial" w:hAnsi="Arial"/>
      <w:b/>
      <w:bCs/>
      <w:sz w:val="22"/>
      <w:lang w:eastAsia="ar-SA"/>
    </w:rPr>
  </w:style>
  <w:style w:type="paragraph" w:styleId="Textonotapie">
    <w:name w:val="footnote text"/>
    <w:basedOn w:val="Normal"/>
    <w:link w:val="TextonotapieCar"/>
    <w:uiPriority w:val="99"/>
    <w:semiHidden/>
    <w:unhideWhenUsed/>
    <w:rsid w:val="00A40929"/>
    <w:rPr>
      <w:sz w:val="20"/>
      <w:szCs w:val="20"/>
    </w:rPr>
  </w:style>
  <w:style w:type="character" w:customStyle="1" w:styleId="TextonotapieCar">
    <w:name w:val="Texto nota pie Car"/>
    <w:basedOn w:val="Fuentedeprrafopredeter"/>
    <w:link w:val="Textonotapie"/>
    <w:uiPriority w:val="99"/>
    <w:semiHidden/>
    <w:rsid w:val="00A40929"/>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A40929"/>
    <w:rPr>
      <w:vertAlign w:val="superscript"/>
    </w:rPr>
  </w:style>
  <w:style w:type="paragraph" w:styleId="Piedepgina">
    <w:name w:val="footer"/>
    <w:basedOn w:val="Normal"/>
    <w:link w:val="PiedepginaCar"/>
    <w:uiPriority w:val="99"/>
    <w:unhideWhenUsed/>
    <w:rsid w:val="00423D9C"/>
    <w:pPr>
      <w:tabs>
        <w:tab w:val="center" w:pos="4419"/>
        <w:tab w:val="right" w:pos="8838"/>
      </w:tabs>
    </w:pPr>
  </w:style>
  <w:style w:type="character" w:customStyle="1" w:styleId="PiedepginaCar">
    <w:name w:val="Pie de página Car"/>
    <w:basedOn w:val="Fuentedeprrafopredeter"/>
    <w:link w:val="Piedepgina"/>
    <w:uiPriority w:val="99"/>
    <w:rsid w:val="00423D9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52F08"/>
    <w:rPr>
      <w:rFonts w:ascii="Tahoma" w:hAnsi="Tahoma" w:cs="Tahoma"/>
      <w:sz w:val="16"/>
      <w:szCs w:val="16"/>
    </w:rPr>
  </w:style>
  <w:style w:type="character" w:customStyle="1" w:styleId="TextodegloboCar">
    <w:name w:val="Texto de globo Car"/>
    <w:basedOn w:val="Fuentedeprrafopredeter"/>
    <w:link w:val="Textodeglobo"/>
    <w:uiPriority w:val="99"/>
    <w:semiHidden/>
    <w:rsid w:val="00952F08"/>
    <w:rPr>
      <w:rFonts w:ascii="Tahoma" w:eastAsia="Times New Roman" w:hAnsi="Tahoma" w:cs="Tahoma"/>
      <w:sz w:val="16"/>
      <w:szCs w:val="16"/>
      <w:lang w:val="es-ES" w:eastAsia="es-ES"/>
    </w:rPr>
  </w:style>
  <w:style w:type="paragraph" w:styleId="Revisin">
    <w:name w:val="Revision"/>
    <w:hidden/>
    <w:uiPriority w:val="99"/>
    <w:semiHidden/>
    <w:rsid w:val="00725CC3"/>
    <w:pPr>
      <w:spacing w:after="0"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AC3F37"/>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5618">
      <w:bodyDiv w:val="1"/>
      <w:marLeft w:val="0"/>
      <w:marRight w:val="0"/>
      <w:marTop w:val="0"/>
      <w:marBottom w:val="0"/>
      <w:divBdr>
        <w:top w:val="none" w:sz="0" w:space="0" w:color="auto"/>
        <w:left w:val="none" w:sz="0" w:space="0" w:color="auto"/>
        <w:bottom w:val="none" w:sz="0" w:space="0" w:color="auto"/>
        <w:right w:val="none" w:sz="0" w:space="0" w:color="auto"/>
      </w:divBdr>
    </w:div>
    <w:div w:id="182369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E743F-BCD4-4F26-B023-10B0144FD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952</Words>
  <Characters>5240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Lucero Diaz</dc:creator>
  <cp:lastModifiedBy>Luz Stella Rojas Macias</cp:lastModifiedBy>
  <cp:revision>2</cp:revision>
  <cp:lastPrinted>2015-10-30T23:42:00Z</cp:lastPrinted>
  <dcterms:created xsi:type="dcterms:W3CDTF">2015-11-03T13:47:00Z</dcterms:created>
  <dcterms:modified xsi:type="dcterms:W3CDTF">2015-11-03T13:47:00Z</dcterms:modified>
</cp:coreProperties>
</file>