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B83F7" w14:textId="77777777" w:rsidR="000B73A9" w:rsidRPr="000B73A9" w:rsidRDefault="00614621" w:rsidP="000B73A9">
      <w:pPr>
        <w:tabs>
          <w:tab w:val="left" w:pos="0"/>
          <w:tab w:val="center" w:pos="4252"/>
          <w:tab w:val="left" w:pos="6237"/>
          <w:tab w:val="right" w:pos="9356"/>
        </w:tabs>
        <w:ind w:left="0"/>
        <w:jc w:val="both"/>
        <w:rPr>
          <w:rFonts w:ascii="Bookman Old Style" w:hAnsi="Bookman Old Style"/>
          <w:lang w:val="es-CO"/>
        </w:rPr>
      </w:pPr>
      <w:bookmarkStart w:id="0" w:name="_GoBack"/>
      <w:bookmarkEnd w:id="0"/>
      <w:r>
        <w:rPr>
          <w:rFonts w:ascii="Bookman Old Style" w:hAnsi="Bookman Old Style"/>
          <w:noProof/>
          <w:lang w:val="es-CO"/>
        </w:rPr>
        <w:object w:dxaOrig="1440" w:dyaOrig="1440" w14:anchorId="2610C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8.9pt;margin-top:-53.35pt;width:52.5pt;height:48.75pt;z-index:251658240" fillcolor="#0c9">
            <v:imagedata r:id="rId8" o:title=""/>
          </v:shape>
          <o:OLEObject Type="Embed" ProgID="PBrush" ShapeID="_x0000_s1029" DrawAspect="Content" ObjectID="_1625638841" r:id="rId9"/>
        </w:object>
      </w:r>
    </w:p>
    <w:p w14:paraId="3CF27C96" w14:textId="77777777" w:rsidR="000B73A9" w:rsidRPr="000B73A9" w:rsidRDefault="000B73A9" w:rsidP="0057629A">
      <w:pPr>
        <w:jc w:val="center"/>
        <w:rPr>
          <w:rFonts w:ascii="Bookman Old Style" w:hAnsi="Bookman Old Style"/>
          <w:b/>
          <w:noProof/>
        </w:rPr>
      </w:pPr>
      <w:r w:rsidRPr="000B73A9">
        <w:rPr>
          <w:rFonts w:ascii="Bookman Old Style" w:hAnsi="Bookman Old Style"/>
        </w:rPr>
        <w:t>Ministerio de Minas y Energía</w:t>
      </w:r>
    </w:p>
    <w:p w14:paraId="3DA268E0" w14:textId="77777777" w:rsidR="000B73A9" w:rsidRPr="000B73A9" w:rsidRDefault="000B73A9" w:rsidP="0057629A">
      <w:pPr>
        <w:jc w:val="center"/>
        <w:rPr>
          <w:rFonts w:ascii="Bookman Old Style" w:hAnsi="Bookman Old Style"/>
        </w:rPr>
      </w:pPr>
    </w:p>
    <w:p w14:paraId="1A9E1FCF" w14:textId="77777777" w:rsidR="000B73A9" w:rsidRPr="000B73A9" w:rsidRDefault="000B73A9" w:rsidP="0057629A">
      <w:pPr>
        <w:jc w:val="center"/>
        <w:rPr>
          <w:rFonts w:ascii="Bookman Old Style" w:hAnsi="Bookman Old Style"/>
          <w:b/>
        </w:rPr>
      </w:pPr>
      <w:r w:rsidRPr="000B73A9">
        <w:rPr>
          <w:rFonts w:ascii="Bookman Old Style" w:hAnsi="Bookman Old Style"/>
          <w:b/>
        </w:rPr>
        <w:t>COMISIÓN DE REGULACIÓN DE ENERGÍA Y GAS</w:t>
      </w:r>
    </w:p>
    <w:p w14:paraId="3F371826" w14:textId="77777777" w:rsidR="000B73A9" w:rsidRPr="000B73A9" w:rsidRDefault="000B73A9" w:rsidP="0057629A">
      <w:pPr>
        <w:jc w:val="center"/>
        <w:rPr>
          <w:rFonts w:ascii="Bookman Old Style" w:hAnsi="Bookman Old Style"/>
        </w:rPr>
      </w:pPr>
    </w:p>
    <w:p w14:paraId="3FA63C60" w14:textId="77777777" w:rsidR="000B73A9" w:rsidRPr="000B73A9" w:rsidRDefault="000B73A9" w:rsidP="0057629A">
      <w:pPr>
        <w:jc w:val="center"/>
        <w:rPr>
          <w:rFonts w:ascii="Bookman Old Style" w:hAnsi="Bookman Old Style"/>
        </w:rPr>
      </w:pPr>
    </w:p>
    <w:p w14:paraId="67670F28" w14:textId="77777777" w:rsidR="000B73A9" w:rsidRPr="000B73A9" w:rsidRDefault="000B73A9" w:rsidP="0057629A">
      <w:pPr>
        <w:jc w:val="center"/>
        <w:rPr>
          <w:rFonts w:ascii="Bookman Old Style" w:hAnsi="Bookman Old Style"/>
          <w:b/>
        </w:rPr>
      </w:pPr>
      <w:r w:rsidRPr="000B73A9">
        <w:rPr>
          <w:rFonts w:ascii="Bookman Old Style" w:hAnsi="Bookman Old Style"/>
          <w:b/>
        </w:rPr>
        <w:t>RESOLUCIÓ</w:t>
      </w:r>
      <w:r w:rsidR="00DB3DC7">
        <w:rPr>
          <w:rFonts w:ascii="Bookman Old Style" w:hAnsi="Bookman Old Style"/>
          <w:b/>
        </w:rPr>
        <w:t>N No.                    DE 2019</w:t>
      </w:r>
    </w:p>
    <w:p w14:paraId="77BD5B07" w14:textId="77777777" w:rsidR="000B73A9" w:rsidRPr="000B73A9" w:rsidRDefault="000B73A9" w:rsidP="0057629A">
      <w:pPr>
        <w:tabs>
          <w:tab w:val="left" w:pos="0"/>
          <w:tab w:val="right" w:pos="9356"/>
        </w:tabs>
        <w:ind w:left="0"/>
        <w:jc w:val="center"/>
        <w:rPr>
          <w:rFonts w:ascii="Bookman Old Style" w:hAnsi="Bookman Old Style" w:cs="Arial"/>
          <w:b/>
          <w:snapToGrid w:val="0"/>
          <w:color w:val="000000"/>
          <w:lang w:val="es-ES_tradnl"/>
        </w:rPr>
      </w:pPr>
    </w:p>
    <w:p w14:paraId="365A1228" w14:textId="77777777" w:rsidR="000B73A9" w:rsidRPr="000B73A9" w:rsidRDefault="000B73A9" w:rsidP="0057629A">
      <w:pPr>
        <w:jc w:val="center"/>
        <w:rPr>
          <w:rFonts w:ascii="Bookman Old Style" w:hAnsi="Bookman Old Style"/>
          <w:b/>
        </w:rPr>
      </w:pPr>
      <w:r w:rsidRPr="000B73A9">
        <w:rPr>
          <w:rFonts w:ascii="Bookman Old Style" w:hAnsi="Bookman Old Style"/>
        </w:rPr>
        <w:t>(                                       )</w:t>
      </w:r>
    </w:p>
    <w:p w14:paraId="387750B0" w14:textId="77777777" w:rsidR="000B73A9" w:rsidRPr="000B73A9" w:rsidRDefault="000B73A9" w:rsidP="000B73A9">
      <w:pPr>
        <w:tabs>
          <w:tab w:val="left" w:pos="0"/>
          <w:tab w:val="right" w:pos="9356"/>
        </w:tabs>
        <w:ind w:left="0"/>
        <w:jc w:val="center"/>
        <w:rPr>
          <w:rFonts w:ascii="Bookman Old Style" w:hAnsi="Bookman Old Style"/>
          <w:lang w:val="es-ES_tradnl"/>
        </w:rPr>
      </w:pPr>
    </w:p>
    <w:p w14:paraId="545F46B4" w14:textId="136AA80F" w:rsidR="001A3CFF" w:rsidRDefault="001A3CFF" w:rsidP="000B73A9">
      <w:pPr>
        <w:ind w:left="0"/>
        <w:jc w:val="both"/>
        <w:rPr>
          <w:rFonts w:ascii="Bookman Old Style" w:hAnsi="Bookman Old Style"/>
          <w:bCs/>
          <w:lang w:val="es-CO"/>
        </w:rPr>
      </w:pPr>
    </w:p>
    <w:p w14:paraId="7DBDF7A0" w14:textId="77777777" w:rsidR="0057629A" w:rsidRPr="000B73A9" w:rsidRDefault="0057629A" w:rsidP="000B73A9">
      <w:pPr>
        <w:ind w:left="0"/>
        <w:jc w:val="both"/>
        <w:rPr>
          <w:rFonts w:ascii="Bookman Old Style" w:hAnsi="Bookman Old Style"/>
          <w:bCs/>
          <w:lang w:val="es-CO"/>
        </w:rPr>
      </w:pPr>
    </w:p>
    <w:p w14:paraId="66284E44" w14:textId="77777777" w:rsidR="000B73A9" w:rsidRPr="001A3CFF" w:rsidRDefault="00E94E92" w:rsidP="00A01DB3">
      <w:pPr>
        <w:tabs>
          <w:tab w:val="center" w:pos="4512"/>
          <w:tab w:val="left" w:pos="7088"/>
        </w:tabs>
        <w:suppressAutoHyphens/>
        <w:ind w:left="0" w:right="51"/>
        <w:jc w:val="center"/>
        <w:rPr>
          <w:rFonts w:ascii="Bookman Old Style" w:hAnsi="Bookman Old Style" w:cs="Arial"/>
          <w:szCs w:val="20"/>
          <w:lang w:val="es-CO"/>
        </w:rPr>
      </w:pPr>
      <w:r w:rsidRPr="001A3CFF">
        <w:rPr>
          <w:rFonts w:ascii="Bookman Old Style" w:hAnsi="Bookman Old Style" w:cs="Arial"/>
          <w:szCs w:val="20"/>
          <w:lang w:val="es-CO"/>
        </w:rPr>
        <w:t xml:space="preserve">Por la cual se adoptan medidas regulatorias para la comercialización de GLP </w:t>
      </w:r>
      <w:r w:rsidR="00734006">
        <w:rPr>
          <w:rFonts w:ascii="Bookman Old Style" w:hAnsi="Bookman Old Style" w:cs="Arial"/>
          <w:szCs w:val="20"/>
          <w:lang w:val="es-CO"/>
        </w:rPr>
        <w:t>producido durante el</w:t>
      </w:r>
      <w:r w:rsidRPr="001A3CFF">
        <w:rPr>
          <w:rFonts w:ascii="Bookman Old Style" w:hAnsi="Bookman Old Style" w:cs="Arial"/>
          <w:szCs w:val="20"/>
          <w:lang w:val="es-CO"/>
        </w:rPr>
        <w:t xml:space="preserve"> comisionamiento de la planta de estabilización de condensados de Cupiagua</w:t>
      </w:r>
    </w:p>
    <w:p w14:paraId="334F6F9B" w14:textId="77777777" w:rsidR="001A3CFF" w:rsidRPr="001A3CFF" w:rsidRDefault="001A3CFF" w:rsidP="00A01DB3">
      <w:pPr>
        <w:tabs>
          <w:tab w:val="center" w:pos="4512"/>
          <w:tab w:val="left" w:pos="7088"/>
        </w:tabs>
        <w:suppressAutoHyphens/>
        <w:ind w:left="0" w:right="51"/>
        <w:jc w:val="center"/>
        <w:rPr>
          <w:rFonts w:ascii="Bookman Old Style" w:hAnsi="Bookman Old Style" w:cs="Arial"/>
          <w:color w:val="000000"/>
        </w:rPr>
      </w:pPr>
    </w:p>
    <w:p w14:paraId="09794C2D" w14:textId="77777777" w:rsidR="000B73A9" w:rsidRPr="001A3CFF" w:rsidRDefault="000B73A9" w:rsidP="000B73A9">
      <w:pPr>
        <w:tabs>
          <w:tab w:val="center" w:pos="4512"/>
          <w:tab w:val="left" w:pos="7088"/>
        </w:tabs>
        <w:suppressAutoHyphens/>
        <w:ind w:left="0" w:right="51"/>
        <w:jc w:val="both"/>
        <w:rPr>
          <w:rFonts w:ascii="Bookman Old Style" w:hAnsi="Bookman Old Style" w:cs="Arial"/>
          <w:color w:val="000000"/>
        </w:rPr>
      </w:pPr>
    </w:p>
    <w:p w14:paraId="0D6C1D0A" w14:textId="77777777" w:rsidR="000B73A9" w:rsidRPr="000B73A9" w:rsidRDefault="000B73A9" w:rsidP="000B73A9">
      <w:pPr>
        <w:jc w:val="center"/>
        <w:rPr>
          <w:rFonts w:ascii="Bookman Old Style" w:hAnsi="Bookman Old Style"/>
          <w:b/>
        </w:rPr>
      </w:pPr>
      <w:r w:rsidRPr="000B73A9">
        <w:rPr>
          <w:rFonts w:ascii="Bookman Old Style" w:hAnsi="Bookman Old Style"/>
          <w:b/>
        </w:rPr>
        <w:t>LA COMISIÓN DE REGULACIÓN DE ENERGÍA Y GAS</w:t>
      </w:r>
    </w:p>
    <w:p w14:paraId="07A2AF13" w14:textId="77777777" w:rsidR="000B73A9" w:rsidRPr="000B73A9" w:rsidRDefault="000B73A9" w:rsidP="000B73A9">
      <w:pPr>
        <w:ind w:left="0"/>
        <w:jc w:val="both"/>
        <w:rPr>
          <w:rFonts w:ascii="Bookman Old Style" w:hAnsi="Bookman Old Style" w:cs="Arial"/>
          <w:szCs w:val="20"/>
        </w:rPr>
      </w:pPr>
    </w:p>
    <w:p w14:paraId="0723265A" w14:textId="77777777" w:rsidR="000B73A9" w:rsidRPr="000B73A9" w:rsidRDefault="000B73A9" w:rsidP="000B73A9">
      <w:pPr>
        <w:ind w:left="0"/>
        <w:jc w:val="both"/>
        <w:rPr>
          <w:rFonts w:ascii="Bookman Old Style" w:hAnsi="Bookman Old Style" w:cs="Arial"/>
          <w:szCs w:val="20"/>
        </w:rPr>
      </w:pPr>
    </w:p>
    <w:p w14:paraId="6A82F1E1" w14:textId="77777777" w:rsidR="00B123D1" w:rsidRDefault="00DB3DC7" w:rsidP="00DB3DC7">
      <w:pPr>
        <w:ind w:left="0"/>
        <w:jc w:val="center"/>
        <w:rPr>
          <w:rFonts w:ascii="Bookman Old Style" w:hAnsi="Bookman Old Style" w:cs="Arial"/>
        </w:rPr>
      </w:pPr>
      <w:r w:rsidRPr="00DB3DC7">
        <w:rPr>
          <w:rFonts w:ascii="Bookman Old Style" w:hAnsi="Bookman Old Style" w:cs="Arial"/>
        </w:rPr>
        <w:t>En ejercicio de las atribuciones legales, en especial las conferidas por las Leyes 142 y 143 de 1994, y los decretos 1524 y 2253 de 1994 y 1260 de 2013,</w:t>
      </w:r>
      <w:r w:rsidR="00D81A3E">
        <w:rPr>
          <w:rFonts w:ascii="Bookman Old Style" w:hAnsi="Bookman Old Style" w:cs="Arial"/>
        </w:rPr>
        <w:t xml:space="preserve"> y</w:t>
      </w:r>
      <w:r w:rsidRPr="00DB3DC7">
        <w:rPr>
          <w:rFonts w:ascii="Bookman Old Style" w:hAnsi="Bookman Old Style" w:cs="Arial"/>
        </w:rPr>
        <w:t xml:space="preserve"> </w:t>
      </w:r>
    </w:p>
    <w:p w14:paraId="3C8644DE" w14:textId="77777777" w:rsidR="000B73A9" w:rsidRDefault="000B73A9" w:rsidP="00DB3DC7">
      <w:pPr>
        <w:ind w:left="0"/>
        <w:jc w:val="center"/>
        <w:rPr>
          <w:rFonts w:ascii="Bookman Old Style" w:hAnsi="Bookman Old Style" w:cs="Arial"/>
        </w:rPr>
      </w:pPr>
    </w:p>
    <w:p w14:paraId="060CC35B" w14:textId="77777777" w:rsidR="00DB3DC7" w:rsidRPr="000B73A9" w:rsidRDefault="00DB3DC7" w:rsidP="000B73A9">
      <w:pPr>
        <w:ind w:left="0"/>
        <w:jc w:val="both"/>
        <w:rPr>
          <w:rFonts w:ascii="Bookman Old Style" w:hAnsi="Bookman Old Style" w:cs="Arial"/>
          <w:szCs w:val="20"/>
        </w:rPr>
      </w:pPr>
    </w:p>
    <w:p w14:paraId="32AF3135" w14:textId="77777777" w:rsidR="000B73A9" w:rsidRDefault="000B73A9" w:rsidP="000B73A9">
      <w:pPr>
        <w:widowControl w:val="0"/>
        <w:adjustRightInd w:val="0"/>
        <w:jc w:val="center"/>
        <w:textAlignment w:val="baseline"/>
        <w:rPr>
          <w:rFonts w:ascii="Bookman Old Style" w:hAnsi="Bookman Old Style" w:cs="Arial"/>
          <w:b/>
          <w:bCs/>
        </w:rPr>
      </w:pPr>
      <w:r w:rsidRPr="000B73A9">
        <w:rPr>
          <w:rFonts w:ascii="Bookman Old Style" w:hAnsi="Bookman Old Style" w:cs="Arial"/>
          <w:b/>
          <w:bCs/>
        </w:rPr>
        <w:t xml:space="preserve">C O N S I D E R A N D O  </w:t>
      </w:r>
      <w:r w:rsidR="00A01DB3">
        <w:rPr>
          <w:rFonts w:ascii="Bookman Old Style" w:hAnsi="Bookman Old Style" w:cs="Arial"/>
          <w:b/>
          <w:bCs/>
        </w:rPr>
        <w:t xml:space="preserve"> </w:t>
      </w:r>
      <w:r w:rsidRPr="000B73A9">
        <w:rPr>
          <w:rFonts w:ascii="Bookman Old Style" w:hAnsi="Bookman Old Style" w:cs="Arial"/>
          <w:b/>
          <w:bCs/>
        </w:rPr>
        <w:t>Q U E:</w:t>
      </w:r>
    </w:p>
    <w:p w14:paraId="05FF8C1C" w14:textId="77777777" w:rsidR="00A01DB3" w:rsidRPr="00344CB3" w:rsidRDefault="00A01DB3" w:rsidP="0091082A">
      <w:pPr>
        <w:widowControl w:val="0"/>
        <w:adjustRightInd w:val="0"/>
        <w:ind w:left="0"/>
        <w:textAlignment w:val="baseline"/>
        <w:rPr>
          <w:rFonts w:ascii="Bookman Old Style" w:hAnsi="Bookman Old Style" w:cs="Arial"/>
          <w:bCs/>
        </w:rPr>
      </w:pPr>
    </w:p>
    <w:p w14:paraId="37AEB715" w14:textId="77777777" w:rsidR="00B123D1" w:rsidRPr="00344CB3" w:rsidRDefault="00B123D1" w:rsidP="0091082A">
      <w:pPr>
        <w:widowControl w:val="0"/>
        <w:adjustRightInd w:val="0"/>
        <w:ind w:left="0"/>
        <w:textAlignment w:val="baseline"/>
        <w:rPr>
          <w:rFonts w:ascii="Bookman Old Style" w:hAnsi="Bookman Old Style" w:cs="Arial"/>
          <w:bCs/>
        </w:rPr>
      </w:pPr>
    </w:p>
    <w:p w14:paraId="44B28136" w14:textId="77777777" w:rsidR="00D81A3E" w:rsidRPr="002E2585" w:rsidRDefault="00D81A3E" w:rsidP="00D81A3E">
      <w:pPr>
        <w:ind w:left="0"/>
        <w:contextualSpacing/>
        <w:jc w:val="both"/>
        <w:rPr>
          <w:rFonts w:ascii="Bookman Old Style" w:hAnsi="Bookman Old Style"/>
        </w:rPr>
      </w:pPr>
      <w:r w:rsidRPr="002E2585">
        <w:rPr>
          <w:rFonts w:ascii="Bookman Old Style" w:hAnsi="Bookman Old Style"/>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14:paraId="0F13D3A1" w14:textId="77777777" w:rsidR="00D81A3E" w:rsidRPr="002E2585" w:rsidRDefault="00D81A3E" w:rsidP="00D81A3E">
      <w:pPr>
        <w:ind w:left="0"/>
        <w:contextualSpacing/>
        <w:jc w:val="both"/>
        <w:rPr>
          <w:rFonts w:ascii="Bookman Old Style" w:hAnsi="Bookman Old Style"/>
        </w:rPr>
      </w:pPr>
    </w:p>
    <w:p w14:paraId="06AA8742" w14:textId="77777777" w:rsidR="00D81A3E" w:rsidRPr="002E2585" w:rsidRDefault="00D81A3E" w:rsidP="00D81A3E">
      <w:pPr>
        <w:ind w:left="0"/>
        <w:contextualSpacing/>
        <w:jc w:val="both"/>
        <w:rPr>
          <w:rFonts w:ascii="Bookman Old Style" w:hAnsi="Bookman Old Style"/>
        </w:rPr>
      </w:pPr>
      <w:r w:rsidRPr="002E2585">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57139231" w14:textId="77777777" w:rsidR="00D81A3E" w:rsidRPr="002E2585" w:rsidRDefault="00D81A3E" w:rsidP="00D81A3E">
      <w:pPr>
        <w:ind w:left="0"/>
        <w:contextualSpacing/>
        <w:jc w:val="both"/>
        <w:rPr>
          <w:rFonts w:ascii="Bookman Old Style" w:hAnsi="Bookman Old Style"/>
        </w:rPr>
      </w:pPr>
    </w:p>
    <w:p w14:paraId="24DC49E1" w14:textId="77777777" w:rsidR="00D81A3E" w:rsidRPr="002E2585" w:rsidRDefault="00D81A3E" w:rsidP="00D81A3E">
      <w:pPr>
        <w:ind w:left="0"/>
        <w:contextualSpacing/>
        <w:jc w:val="both"/>
        <w:rPr>
          <w:rFonts w:ascii="Bookman Old Style" w:hAnsi="Bookman Old Style"/>
        </w:rPr>
      </w:pPr>
      <w:r w:rsidRPr="002E2585">
        <w:rPr>
          <w:rFonts w:ascii="Bookman Old Style" w:hAnsi="Bookman Old Style"/>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14:paraId="320AFBAE" w14:textId="77777777" w:rsidR="00D81A3E" w:rsidRPr="002E2585" w:rsidRDefault="00D81A3E" w:rsidP="00D81A3E">
      <w:pPr>
        <w:ind w:left="0"/>
        <w:contextualSpacing/>
        <w:jc w:val="both"/>
        <w:rPr>
          <w:rFonts w:ascii="Bookman Old Style" w:hAnsi="Bookman Old Style"/>
        </w:rPr>
      </w:pPr>
    </w:p>
    <w:p w14:paraId="6A660BDD" w14:textId="77777777" w:rsidR="00D81A3E" w:rsidRPr="002E2585" w:rsidRDefault="00D81A3E" w:rsidP="00D81A3E">
      <w:pPr>
        <w:ind w:left="0"/>
        <w:contextualSpacing/>
        <w:jc w:val="both"/>
        <w:rPr>
          <w:rFonts w:ascii="Bookman Old Style" w:hAnsi="Bookman Old Style"/>
        </w:rPr>
      </w:pPr>
      <w:r w:rsidRPr="002E2585">
        <w:rPr>
          <w:rFonts w:ascii="Bookman Old Style" w:hAnsi="Bookman Old Style"/>
        </w:rPr>
        <w:t xml:space="preserve">Dentro de la regulación para la </w:t>
      </w:r>
      <w:r w:rsidR="0091082A" w:rsidRPr="002E2585">
        <w:rPr>
          <w:rFonts w:ascii="Bookman Old Style" w:hAnsi="Bookman Old Style"/>
        </w:rPr>
        <w:t>comercialización m</w:t>
      </w:r>
      <w:r w:rsidRPr="002E2585">
        <w:rPr>
          <w:rFonts w:ascii="Bookman Old Style" w:hAnsi="Bookman Old Style"/>
        </w:rPr>
        <w:t xml:space="preserve">ayorista de GLP, mediante Resolución CREG 066 de 2007, modificada por las resoluciones CREG 059 de 2008, 002 de 2009, 123 de 2010, 095 de 2011, la Comisión estableció “la regulación de precios de suministro de GLP de comercializadores mayoristas a distribuidores”. La resolución en mención señala la metodología para calcular el </w:t>
      </w:r>
      <w:r w:rsidRPr="002E2585">
        <w:rPr>
          <w:rFonts w:ascii="Bookman Old Style" w:hAnsi="Bookman Old Style"/>
        </w:rPr>
        <w:lastRenderedPageBreak/>
        <w:t xml:space="preserve">precio máximo regulado de suministro de GLP producido en las fuentes reguladas, </w:t>
      </w:r>
      <w:r w:rsidR="00120044" w:rsidRPr="002E2585">
        <w:rPr>
          <w:rFonts w:ascii="Bookman Old Style" w:hAnsi="Bookman Old Style"/>
        </w:rPr>
        <w:t>indicando</w:t>
      </w:r>
      <w:r w:rsidRPr="002E2585">
        <w:rPr>
          <w:rFonts w:ascii="Bookman Old Style" w:hAnsi="Bookman Old Style"/>
        </w:rPr>
        <w:t xml:space="preserve"> adicionalmente que las demás fuentes de producción de GLP pueden fijar libremente su tarifa.</w:t>
      </w:r>
    </w:p>
    <w:p w14:paraId="67E20C54" w14:textId="77777777" w:rsidR="00D81A3E" w:rsidRPr="002E2585" w:rsidRDefault="00D81A3E" w:rsidP="00D81A3E">
      <w:pPr>
        <w:ind w:left="0"/>
        <w:contextualSpacing/>
        <w:jc w:val="both"/>
        <w:rPr>
          <w:rFonts w:ascii="Bookman Old Style" w:hAnsi="Bookman Old Style"/>
        </w:rPr>
      </w:pPr>
    </w:p>
    <w:p w14:paraId="65FFD3B2" w14:textId="77777777" w:rsidR="00D81A3E" w:rsidRPr="002E2585" w:rsidRDefault="00D81A3E" w:rsidP="00D81A3E">
      <w:pPr>
        <w:ind w:left="0"/>
        <w:contextualSpacing/>
        <w:jc w:val="both"/>
        <w:rPr>
          <w:rFonts w:ascii="Bookman Old Style" w:hAnsi="Bookman Old Style"/>
          <w:lang w:val="es-CO"/>
        </w:rPr>
      </w:pPr>
      <w:r w:rsidRPr="002E2585">
        <w:rPr>
          <w:rFonts w:ascii="Bookman Old Style" w:hAnsi="Bookman Old Style"/>
        </w:rPr>
        <w:t>P</w:t>
      </w:r>
      <w:r w:rsidRPr="002E2585">
        <w:rPr>
          <w:rFonts w:ascii="Bookman Old Style" w:hAnsi="Bookman Old Style"/>
          <w:lang w:val="es-CO"/>
        </w:rPr>
        <w:t xml:space="preserve">ara el caso del producto proveniente de Cusiana, mediante Resolución CREG 123 de 2010, </w:t>
      </w:r>
      <w:r w:rsidR="00391635" w:rsidRPr="002E2585">
        <w:rPr>
          <w:rFonts w:ascii="Bookman Old Style" w:hAnsi="Bookman Old Style"/>
          <w:lang w:val="es-CO"/>
        </w:rPr>
        <w:t xml:space="preserve">la CREG </w:t>
      </w:r>
      <w:r w:rsidRPr="002E2585">
        <w:rPr>
          <w:rFonts w:ascii="Bookman Old Style" w:hAnsi="Bookman Old Style"/>
          <w:lang w:val="es-CO"/>
        </w:rPr>
        <w:t>amplió el régimen de libertad regulada para todas las fuentes comercializadas por Ecopetrol</w:t>
      </w:r>
      <w:r w:rsidR="00391635" w:rsidRPr="002E2585">
        <w:rPr>
          <w:rFonts w:ascii="Bookman Old Style" w:hAnsi="Bookman Old Style"/>
          <w:lang w:val="es-CO"/>
        </w:rPr>
        <w:t>, incluidas las nuevas fuentes</w:t>
      </w:r>
      <w:r w:rsidRPr="002E2585">
        <w:rPr>
          <w:rFonts w:ascii="Bookman Old Style" w:hAnsi="Bookman Old Style"/>
          <w:lang w:val="es-CO"/>
        </w:rPr>
        <w:t>. A partir de dicha decisión, se estableció que el precio máximo regulado de suministro del GLP producido en el campo de Cusiana sería determinado aplicando lo dispuesto en el artículo 3 de la Resolución CREG 066 de 2007, el cual corresponde al</w:t>
      </w:r>
      <w:r w:rsidRPr="002E2585">
        <w:rPr>
          <w:rFonts w:ascii="Bookman Old Style" w:hAnsi="Bookman Old Style"/>
        </w:rPr>
        <w:t xml:space="preserve"> </w:t>
      </w:r>
      <w:r w:rsidRPr="002E2585">
        <w:rPr>
          <w:rFonts w:ascii="Bookman Old Style" w:hAnsi="Bookman Old Style"/>
          <w:lang w:val="es-CO"/>
        </w:rPr>
        <w:t>precio máximo regulado de suministro de GLP producido en la refinería de Barrancabermeja y en el campo de Apiay.</w:t>
      </w:r>
    </w:p>
    <w:p w14:paraId="2269440F" w14:textId="77777777" w:rsidR="00D81A3E" w:rsidRPr="002E2585" w:rsidRDefault="00D81A3E" w:rsidP="00D81A3E">
      <w:pPr>
        <w:ind w:left="0"/>
        <w:contextualSpacing/>
        <w:jc w:val="both"/>
        <w:rPr>
          <w:rFonts w:ascii="Bookman Old Style" w:hAnsi="Bookman Old Style"/>
        </w:rPr>
      </w:pPr>
    </w:p>
    <w:p w14:paraId="3B64B89C" w14:textId="77777777" w:rsidR="00D81A3E" w:rsidRPr="002E2585" w:rsidRDefault="00D81A3E" w:rsidP="00D81A3E">
      <w:pPr>
        <w:ind w:left="0"/>
        <w:jc w:val="both"/>
        <w:rPr>
          <w:rFonts w:ascii="Bookman Old Style" w:hAnsi="Bookman Old Style"/>
          <w:lang w:val="es-CO"/>
        </w:rPr>
      </w:pPr>
      <w:r w:rsidRPr="002E2585">
        <w:rPr>
          <w:rFonts w:ascii="Bookman Old Style" w:hAnsi="Bookman Old Style"/>
          <w:lang w:val="es-CO"/>
        </w:rPr>
        <w:t xml:space="preserve">Así mismo, dentro de las medidas regulatorias expedidas a efectos de llevar a cabo la comercialización mayorista de GLP, además de las previstas en materia tarifaria, se encuentran aquellas relacionadas con los mecanismos para la asignación del producto y los parámetros de conducta de los agentes y su posición en el mercado en esta actividad. </w:t>
      </w:r>
      <w:r w:rsidR="007377CA" w:rsidRPr="002E2585">
        <w:rPr>
          <w:rFonts w:ascii="Bookman Old Style" w:hAnsi="Bookman Old Style"/>
          <w:lang w:val="es-CO"/>
        </w:rPr>
        <w:t>Esto hace parte de la regulación de carácter general que expide esta Comisión en los términos del artículo 14 de la Ley 142 de 1994.</w:t>
      </w:r>
    </w:p>
    <w:p w14:paraId="220B0540" w14:textId="77777777" w:rsidR="00D81A3E" w:rsidRPr="002E2585" w:rsidRDefault="00D81A3E" w:rsidP="00D81A3E">
      <w:pPr>
        <w:ind w:left="0"/>
        <w:jc w:val="both"/>
        <w:rPr>
          <w:rFonts w:ascii="Bookman Old Style" w:hAnsi="Bookman Old Style"/>
          <w:lang w:val="es-CO"/>
        </w:rPr>
      </w:pPr>
    </w:p>
    <w:p w14:paraId="1BD53428" w14:textId="77777777" w:rsidR="00D81A3E" w:rsidRPr="002E2585" w:rsidRDefault="00D81A3E" w:rsidP="00D81A3E">
      <w:pPr>
        <w:ind w:left="0"/>
        <w:jc w:val="both"/>
        <w:rPr>
          <w:rFonts w:ascii="Bookman Old Style" w:hAnsi="Bookman Old Style"/>
          <w:lang w:val="es-CO"/>
        </w:rPr>
      </w:pPr>
      <w:r w:rsidRPr="002E2585">
        <w:rPr>
          <w:rFonts w:ascii="Bookman Old Style" w:hAnsi="Bookman Old Style"/>
          <w:lang w:val="es-CO"/>
        </w:rPr>
        <w:t>En este sentido</w:t>
      </w:r>
      <w:r w:rsidR="00BB609F" w:rsidRPr="002E2585">
        <w:rPr>
          <w:rFonts w:ascii="Bookman Old Style" w:hAnsi="Bookman Old Style"/>
          <w:lang w:val="es-CO"/>
        </w:rPr>
        <w:t>,</w:t>
      </w:r>
      <w:r w:rsidRPr="002E2585">
        <w:rPr>
          <w:rFonts w:ascii="Bookman Old Style" w:hAnsi="Bookman Old Style"/>
          <w:lang w:val="es-CO"/>
        </w:rPr>
        <w:t xml:space="preserve"> la CREG expidió la Resolución CREG 053 de 2011, reglamento de comercialización mayorista de GLP, mediante el cual se definieron, entre otros: i) los requisitos </w:t>
      </w:r>
      <w:r w:rsidR="00BB609F" w:rsidRPr="002E2585">
        <w:rPr>
          <w:rFonts w:ascii="Bookman Old Style" w:hAnsi="Bookman Old Style"/>
          <w:lang w:val="es-CO"/>
        </w:rPr>
        <w:t xml:space="preserve">para la operación </w:t>
      </w:r>
      <w:r w:rsidRPr="002E2585">
        <w:rPr>
          <w:rFonts w:ascii="Bookman Old Style" w:hAnsi="Bookman Old Style"/>
          <w:lang w:val="es-CO"/>
        </w:rPr>
        <w:t>de los comercializadores mayoristas</w:t>
      </w:r>
      <w:r w:rsidR="00DF5B5E" w:rsidRPr="002E2585">
        <w:rPr>
          <w:rFonts w:ascii="Bookman Old Style" w:hAnsi="Bookman Old Style"/>
          <w:lang w:val="es-CO"/>
        </w:rPr>
        <w:t xml:space="preserve"> y sus obligaciones, en relación con la entrega, manejo, medición, oferta, venta, continuidad en el suministro y suministro de información;</w:t>
      </w:r>
      <w:r w:rsidR="00BB609F" w:rsidRPr="002E2585">
        <w:rPr>
          <w:rFonts w:ascii="Bookman Old Style" w:hAnsi="Bookman Old Style"/>
          <w:lang w:val="es-CO"/>
        </w:rPr>
        <w:t xml:space="preserve"> ii) las obl</w:t>
      </w:r>
      <w:r w:rsidR="00DF5B5E" w:rsidRPr="002E2585">
        <w:rPr>
          <w:rFonts w:ascii="Bookman Old Style" w:hAnsi="Bookman Old Style"/>
          <w:lang w:val="es-CO"/>
        </w:rPr>
        <w:t xml:space="preserve">igaciones de los compradores; </w:t>
      </w:r>
      <w:r w:rsidRPr="002E2585">
        <w:rPr>
          <w:rFonts w:ascii="Bookman Old Style" w:hAnsi="Bookman Old Style"/>
          <w:lang w:val="es-CO"/>
        </w:rPr>
        <w:t>iii)</w:t>
      </w:r>
      <w:r w:rsidR="00DF5B5E" w:rsidRPr="002E2585">
        <w:rPr>
          <w:rFonts w:ascii="Bookman Old Style" w:hAnsi="Bookman Old Style"/>
          <w:lang w:val="es-CO"/>
        </w:rPr>
        <w:t xml:space="preserve"> el esquema de comercialización para el GLP de fuentes de precio regulado;</w:t>
      </w:r>
      <w:r w:rsidRPr="002E2585">
        <w:rPr>
          <w:rFonts w:ascii="Bookman Old Style" w:hAnsi="Bookman Old Style"/>
          <w:lang w:val="es-CO"/>
        </w:rPr>
        <w:t xml:space="preserve"> </w:t>
      </w:r>
      <w:r w:rsidR="00DF5B5E" w:rsidRPr="002E2585">
        <w:rPr>
          <w:rFonts w:ascii="Bookman Old Style" w:hAnsi="Bookman Old Style"/>
          <w:lang w:val="es-CO"/>
        </w:rPr>
        <w:t xml:space="preserve">iv) los </w:t>
      </w:r>
      <w:r w:rsidRPr="002E2585">
        <w:rPr>
          <w:rFonts w:ascii="Bookman Old Style" w:hAnsi="Bookman Old Style"/>
          <w:lang w:val="es-CO"/>
        </w:rPr>
        <w:t>contratos de suministro de GLP</w:t>
      </w:r>
      <w:r w:rsidR="00DF5B5E" w:rsidRPr="002E2585">
        <w:rPr>
          <w:rFonts w:ascii="Bookman Old Style" w:hAnsi="Bookman Old Style"/>
          <w:lang w:val="es-CO"/>
        </w:rPr>
        <w:t>; y v)</w:t>
      </w:r>
      <w:r w:rsidRPr="002E2585">
        <w:rPr>
          <w:rFonts w:ascii="Bookman Old Style" w:hAnsi="Bookman Old Style"/>
          <w:lang w:val="es-CO"/>
        </w:rPr>
        <w:t xml:space="preserve"> </w:t>
      </w:r>
      <w:r w:rsidR="00DF5B5E" w:rsidRPr="002E2585">
        <w:rPr>
          <w:rFonts w:ascii="Bookman Old Style" w:hAnsi="Bookman Old Style"/>
          <w:lang w:val="es-CO"/>
        </w:rPr>
        <w:t xml:space="preserve">los </w:t>
      </w:r>
      <w:r w:rsidRPr="002E2585">
        <w:rPr>
          <w:rFonts w:ascii="Bookman Old Style" w:hAnsi="Bookman Old Style"/>
          <w:lang w:val="es-CO"/>
        </w:rPr>
        <w:t>incumplimiento</w:t>
      </w:r>
      <w:r w:rsidR="00DF5B5E" w:rsidRPr="002E2585">
        <w:rPr>
          <w:rFonts w:ascii="Bookman Old Style" w:hAnsi="Bookman Old Style"/>
          <w:lang w:val="es-CO"/>
        </w:rPr>
        <w:t>s</w:t>
      </w:r>
      <w:r w:rsidRPr="002E2585">
        <w:rPr>
          <w:rFonts w:ascii="Bookman Old Style" w:hAnsi="Bookman Old Style"/>
          <w:lang w:val="es-CO"/>
        </w:rPr>
        <w:t xml:space="preserve"> y </w:t>
      </w:r>
      <w:r w:rsidR="00DF5B5E" w:rsidRPr="002E2585">
        <w:rPr>
          <w:rFonts w:ascii="Bookman Old Style" w:hAnsi="Bookman Old Style"/>
          <w:lang w:val="es-CO"/>
        </w:rPr>
        <w:t>compensaciones en la entrega y recibo de GLP</w:t>
      </w:r>
      <w:r w:rsidRPr="002E2585">
        <w:rPr>
          <w:rFonts w:ascii="Bookman Old Style" w:hAnsi="Bookman Old Style"/>
          <w:lang w:val="es-CO"/>
        </w:rPr>
        <w:t>. En el mencionado reglamento se estableció que el acceso al producto que se encuentra con precio regulado se realizaría mediante ofertas públicas de cantidades, OPC, llevadas a cabo por el respec</w:t>
      </w:r>
      <w:r w:rsidR="00DF5B5E" w:rsidRPr="002E2585">
        <w:rPr>
          <w:rFonts w:ascii="Bookman Old Style" w:hAnsi="Bookman Old Style"/>
          <w:lang w:val="es-CO"/>
        </w:rPr>
        <w:t>tivo comercializador mayorista.</w:t>
      </w:r>
    </w:p>
    <w:p w14:paraId="5D3E9615" w14:textId="77777777" w:rsidR="00D81A3E" w:rsidRPr="002E2585" w:rsidRDefault="00D81A3E" w:rsidP="00D81A3E">
      <w:pPr>
        <w:ind w:left="0"/>
        <w:contextualSpacing/>
        <w:jc w:val="both"/>
        <w:rPr>
          <w:rFonts w:ascii="Bookman Old Style" w:hAnsi="Bookman Old Style"/>
          <w:lang w:val="es-CO"/>
        </w:rPr>
      </w:pPr>
    </w:p>
    <w:p w14:paraId="45107C45" w14:textId="77777777" w:rsidR="00D81A3E" w:rsidRPr="002E2585" w:rsidRDefault="00D81A3E" w:rsidP="00D81A3E">
      <w:pPr>
        <w:ind w:left="0"/>
        <w:contextualSpacing/>
        <w:jc w:val="both"/>
        <w:rPr>
          <w:rFonts w:ascii="Bookman Old Style" w:hAnsi="Bookman Old Style"/>
          <w:lang w:val="es-CO"/>
        </w:rPr>
      </w:pPr>
      <w:r w:rsidRPr="002E2585">
        <w:rPr>
          <w:rFonts w:ascii="Bookman Old Style" w:hAnsi="Bookman Old Style"/>
          <w:lang w:val="es-CO"/>
        </w:rPr>
        <w:t>En relación con lo anterior, en el marco de la comercialización mayorista</w:t>
      </w:r>
      <w:r w:rsidR="008C1838" w:rsidRPr="002E2585">
        <w:rPr>
          <w:rFonts w:ascii="Bookman Old Style" w:hAnsi="Bookman Old Style"/>
          <w:lang w:val="es-CO"/>
        </w:rPr>
        <w:t>,</w:t>
      </w:r>
      <w:r w:rsidRPr="002E2585">
        <w:rPr>
          <w:rFonts w:ascii="Bookman Old Style" w:hAnsi="Bookman Old Style"/>
          <w:lang w:val="es-CO"/>
        </w:rPr>
        <w:t xml:space="preserve"> los resultados de la aplicación de la OPC</w:t>
      </w:r>
      <w:r w:rsidR="008C1838" w:rsidRPr="002E2585">
        <w:rPr>
          <w:rFonts w:ascii="Bookman Old Style" w:hAnsi="Bookman Old Style"/>
          <w:lang w:val="es-CO"/>
        </w:rPr>
        <w:t>,</w:t>
      </w:r>
      <w:r w:rsidRPr="002E2585">
        <w:rPr>
          <w:rFonts w:ascii="Bookman Old Style" w:hAnsi="Bookman Old Style"/>
          <w:lang w:val="es-CO"/>
        </w:rPr>
        <w:t xml:space="preserve"> como mecanismo para la compra y venta del producto al por mayor y el acceso al producto por parte de los diferentes agentes de la cadena, permiten evidencia</w:t>
      </w:r>
      <w:r w:rsidR="00FB0C68" w:rsidRPr="002E2585">
        <w:rPr>
          <w:rFonts w:ascii="Bookman Old Style" w:hAnsi="Bookman Old Style"/>
          <w:lang w:val="es-CO"/>
        </w:rPr>
        <w:t xml:space="preserve">r y conocer de manera adecuada </w:t>
      </w:r>
      <w:r w:rsidRPr="002E2585">
        <w:rPr>
          <w:rFonts w:ascii="Bookman Old Style" w:hAnsi="Bookman Old Style"/>
          <w:lang w:val="es-CO"/>
        </w:rPr>
        <w:t>el resultado del balance entre oferta y demanda. De acuerdo con la aplicación de este mecanismo, se vienen realizando OPC d</w:t>
      </w:r>
      <w:r w:rsidR="00FB0C68" w:rsidRPr="002E2585">
        <w:rPr>
          <w:rFonts w:ascii="Bookman Old Style" w:hAnsi="Bookman Old Style"/>
          <w:lang w:val="es-CO"/>
        </w:rPr>
        <w:t>esde del 1º de octubre de 2011.</w:t>
      </w:r>
    </w:p>
    <w:p w14:paraId="247C3856" w14:textId="77777777" w:rsidR="00D81A3E" w:rsidRPr="002E2585" w:rsidRDefault="00D81A3E" w:rsidP="00D81A3E">
      <w:pPr>
        <w:ind w:left="0"/>
        <w:contextualSpacing/>
        <w:jc w:val="both"/>
        <w:rPr>
          <w:rFonts w:ascii="Bookman Old Style" w:hAnsi="Bookman Old Style"/>
          <w:lang w:val="es-CO"/>
        </w:rPr>
      </w:pPr>
    </w:p>
    <w:p w14:paraId="4C8A09D7" w14:textId="77777777" w:rsidR="00D81A3E" w:rsidRPr="002E2585" w:rsidRDefault="00D81A3E" w:rsidP="00D81A3E">
      <w:pPr>
        <w:ind w:left="0"/>
        <w:contextualSpacing/>
        <w:jc w:val="both"/>
        <w:rPr>
          <w:rFonts w:ascii="Bookman Old Style" w:hAnsi="Bookman Old Style"/>
          <w:lang w:val="es-CO"/>
        </w:rPr>
      </w:pPr>
      <w:r w:rsidRPr="002E2585">
        <w:rPr>
          <w:rFonts w:ascii="Bookman Old Style" w:hAnsi="Bookman Old Style"/>
          <w:lang w:val="es-CO"/>
        </w:rPr>
        <w:t>Dentro de los fines y objetivos perseguidos por la regulación en materia de comercialización mayorista a través de dicho reglamento, se encuentran los previstos en el artículo 3 de la Resolución CREG 053 de 2011, cuando establece que el acceso al producto no se debe convertir en una barrera para la competencia en la distribución y comercialización minorista de GLP o en una ventaja para aumentar la posición dominante de algún agente. Se busca una asignación del producto: i) justa, en igualdad de oportunidades de compra para todos los interesados; ii) transparente, para hacer claros los resultados de la asignación; iii) eficiente, reflejando la disponibilidad a</w:t>
      </w:r>
      <w:r w:rsidR="00344CB3" w:rsidRPr="002E2585">
        <w:rPr>
          <w:rFonts w:ascii="Bookman Old Style" w:hAnsi="Bookman Old Style"/>
          <w:lang w:val="es-CO"/>
        </w:rPr>
        <w:t xml:space="preserve"> pagar por parte de la demanda.</w:t>
      </w:r>
    </w:p>
    <w:p w14:paraId="66388FC3" w14:textId="77777777" w:rsidR="00D81A3E" w:rsidRPr="002E2585" w:rsidRDefault="00FB0C68" w:rsidP="00D81A3E">
      <w:pPr>
        <w:ind w:left="0"/>
        <w:contextualSpacing/>
        <w:jc w:val="both"/>
        <w:rPr>
          <w:rFonts w:ascii="Bookman Old Style" w:hAnsi="Bookman Old Style"/>
          <w:lang w:val="es-CO"/>
        </w:rPr>
      </w:pPr>
      <w:r w:rsidRPr="002E2585">
        <w:rPr>
          <w:rFonts w:ascii="Bookman Old Style" w:hAnsi="Bookman Old Style"/>
          <w:lang w:val="es-CO"/>
        </w:rPr>
        <w:lastRenderedPageBreak/>
        <w:t>L</w:t>
      </w:r>
      <w:r w:rsidR="00D81A3E" w:rsidRPr="002E2585">
        <w:rPr>
          <w:rFonts w:ascii="Bookman Old Style" w:hAnsi="Bookman Old Style"/>
          <w:lang w:val="es-CO"/>
        </w:rPr>
        <w:t>as medidas regulatorias que expida la CREG</w:t>
      </w:r>
      <w:r w:rsidRPr="002E2585">
        <w:rPr>
          <w:rFonts w:ascii="Bookman Old Style" w:hAnsi="Bookman Old Style"/>
          <w:lang w:val="es-CO"/>
        </w:rPr>
        <w:t>,</w:t>
      </w:r>
      <w:r w:rsidR="00D81A3E" w:rsidRPr="002E2585">
        <w:rPr>
          <w:rFonts w:ascii="Bookman Old Style" w:hAnsi="Bookman Old Style"/>
          <w:lang w:val="es-CO"/>
        </w:rPr>
        <w:t xml:space="preserve"> a efectos de llevar a cabo la comercialización mayorista de GLP</w:t>
      </w:r>
      <w:r w:rsidRPr="002E2585">
        <w:rPr>
          <w:rFonts w:ascii="Bookman Old Style" w:hAnsi="Bookman Old Style"/>
          <w:lang w:val="es-CO"/>
        </w:rPr>
        <w:t>,</w:t>
      </w:r>
      <w:r w:rsidR="00D81A3E" w:rsidRPr="002E2585">
        <w:rPr>
          <w:rFonts w:ascii="Bookman Old Style" w:hAnsi="Bookman Old Style"/>
          <w:lang w:val="es-CO"/>
        </w:rPr>
        <w:t xml:space="preserve"> deben garantizar los fines y objetivos regulator</w:t>
      </w:r>
      <w:r w:rsidRPr="002E2585">
        <w:rPr>
          <w:rFonts w:ascii="Bookman Old Style" w:hAnsi="Bookman Old Style"/>
          <w:lang w:val="es-CO"/>
        </w:rPr>
        <w:t>ios tanto a nivel tarifario,</w:t>
      </w:r>
      <w:r w:rsidR="00D81A3E" w:rsidRPr="002E2585">
        <w:rPr>
          <w:rFonts w:ascii="Bookman Old Style" w:hAnsi="Bookman Old Style"/>
          <w:lang w:val="es-CO"/>
        </w:rPr>
        <w:t xml:space="preserve"> como </w:t>
      </w:r>
      <w:r w:rsidRPr="002E2585">
        <w:rPr>
          <w:rFonts w:ascii="Bookman Old Style" w:hAnsi="Bookman Old Style"/>
          <w:lang w:val="es-CO"/>
        </w:rPr>
        <w:t xml:space="preserve">en </w:t>
      </w:r>
      <w:r w:rsidR="00D81A3E" w:rsidRPr="002E2585">
        <w:rPr>
          <w:rFonts w:ascii="Bookman Old Style" w:hAnsi="Bookman Old Style"/>
          <w:lang w:val="es-CO"/>
        </w:rPr>
        <w:t xml:space="preserve">los mecanismos de asignación del producto a </w:t>
      </w:r>
      <w:r w:rsidR="00E968A8" w:rsidRPr="002E2585">
        <w:rPr>
          <w:rFonts w:ascii="Bookman Old Style" w:hAnsi="Bookman Old Style"/>
          <w:lang w:val="es-CO"/>
        </w:rPr>
        <w:t>los que se ha hecho referencia</w:t>
      </w:r>
      <w:r w:rsidR="00D81A3E" w:rsidRPr="002E2585">
        <w:rPr>
          <w:rFonts w:ascii="Bookman Old Style" w:hAnsi="Bookman Old Style"/>
          <w:lang w:val="es-CO"/>
        </w:rPr>
        <w:t>, en concordancia con lo previsto en la Ley 142 de 1994</w:t>
      </w:r>
      <w:r w:rsidRPr="002E2585">
        <w:rPr>
          <w:rFonts w:ascii="Bookman Old Style" w:hAnsi="Bookman Old Style"/>
          <w:lang w:val="es-CO"/>
        </w:rPr>
        <w:t>.</w:t>
      </w:r>
    </w:p>
    <w:p w14:paraId="22F00E99" w14:textId="77777777" w:rsidR="00D81A3E" w:rsidRPr="002E2585" w:rsidRDefault="00D81A3E" w:rsidP="00D81A3E">
      <w:pPr>
        <w:ind w:left="0"/>
        <w:contextualSpacing/>
        <w:jc w:val="both"/>
        <w:rPr>
          <w:rFonts w:ascii="Bookman Old Style" w:hAnsi="Bookman Old Style"/>
          <w:lang w:val="es-CO"/>
        </w:rPr>
      </w:pPr>
    </w:p>
    <w:p w14:paraId="6E6CC67E" w14:textId="77777777" w:rsidR="00E85408" w:rsidRDefault="006370CB" w:rsidP="00EB0D46">
      <w:pPr>
        <w:ind w:left="0"/>
        <w:contextualSpacing/>
        <w:jc w:val="both"/>
        <w:rPr>
          <w:rFonts w:ascii="Bookman Old Style" w:hAnsi="Bookman Old Style"/>
          <w:lang w:val="es-CO"/>
        </w:rPr>
      </w:pPr>
      <w:r w:rsidRPr="002E2585">
        <w:rPr>
          <w:rFonts w:ascii="Bookman Old Style" w:hAnsi="Bookman Old Style"/>
          <w:lang w:val="es-CO"/>
        </w:rPr>
        <w:t>M</w:t>
      </w:r>
      <w:r w:rsidR="00E968A8" w:rsidRPr="002E2585">
        <w:rPr>
          <w:rFonts w:ascii="Bookman Old Style" w:hAnsi="Bookman Old Style"/>
          <w:lang w:val="es-CO"/>
        </w:rPr>
        <w:t xml:space="preserve">ediante comunicación 2-2019-093-2919, con radicado CREG E-2019-002597, el </w:t>
      </w:r>
      <w:r w:rsidR="00FB0C68" w:rsidRPr="002E2585">
        <w:rPr>
          <w:rFonts w:ascii="Bookman Old Style" w:hAnsi="Bookman Old Style"/>
          <w:lang w:val="es-CO"/>
        </w:rPr>
        <w:t xml:space="preserve">representante legal </w:t>
      </w:r>
      <w:r w:rsidR="00E968A8" w:rsidRPr="002E2585">
        <w:rPr>
          <w:rFonts w:ascii="Bookman Old Style" w:hAnsi="Bookman Old Style"/>
          <w:lang w:val="es-CO"/>
        </w:rPr>
        <w:t>de Ecopetrol</w:t>
      </w:r>
      <w:r w:rsidR="00FB0C68" w:rsidRPr="002E2585">
        <w:rPr>
          <w:rFonts w:ascii="Bookman Old Style" w:hAnsi="Bookman Old Style"/>
          <w:lang w:val="es-CO"/>
        </w:rPr>
        <w:t>,</w:t>
      </w:r>
      <w:r w:rsidR="00E968A8" w:rsidRPr="002E2585">
        <w:rPr>
          <w:rFonts w:ascii="Bookman Old Style" w:hAnsi="Bookman Old Style"/>
          <w:lang w:val="es-CO"/>
        </w:rPr>
        <w:t xml:space="preserve"> con fundamento en el artículo 1 de la Resolución CREG 123 de 2010</w:t>
      </w:r>
      <w:r w:rsidR="00FB0C68" w:rsidRPr="002E2585">
        <w:rPr>
          <w:rFonts w:ascii="Bookman Old Style" w:hAnsi="Bookman Old Style"/>
          <w:lang w:val="es-CO"/>
        </w:rPr>
        <w:t>,</w:t>
      </w:r>
      <w:r w:rsidR="00E968A8" w:rsidRPr="002E2585">
        <w:rPr>
          <w:rFonts w:ascii="Bookman Old Style" w:hAnsi="Bookman Old Style"/>
          <w:lang w:val="es-CO"/>
        </w:rPr>
        <w:t xml:space="preserve"> hizo las siguientes solicitudes:</w:t>
      </w:r>
    </w:p>
    <w:p w14:paraId="5E07B17A" w14:textId="77777777" w:rsidR="00AD12CF" w:rsidRPr="002E2585" w:rsidRDefault="00AD12CF" w:rsidP="00EB0D46">
      <w:pPr>
        <w:ind w:left="0"/>
        <w:contextualSpacing/>
        <w:jc w:val="both"/>
        <w:rPr>
          <w:rFonts w:ascii="Bookman Old Style" w:hAnsi="Bookman Old Style"/>
          <w:lang w:val="es-CO"/>
        </w:rPr>
      </w:pPr>
    </w:p>
    <w:p w14:paraId="68309020" w14:textId="77777777" w:rsidR="00E968A8" w:rsidRPr="002E2585" w:rsidRDefault="00E968A8" w:rsidP="00EB0D46">
      <w:pPr>
        <w:ind w:left="284" w:right="284"/>
        <w:jc w:val="both"/>
        <w:rPr>
          <w:rFonts w:ascii="Bookman Old Style" w:hAnsi="Bookman Old Style" w:cs="Arial"/>
          <w:i/>
          <w:spacing w:val="-5"/>
          <w:sz w:val="22"/>
          <w:szCs w:val="22"/>
          <w:lang w:val="es-CO"/>
        </w:rPr>
      </w:pPr>
      <w:r w:rsidRPr="002E2585">
        <w:rPr>
          <w:rFonts w:ascii="Bookman Old Style" w:hAnsi="Bookman Old Style" w:cs="Arial"/>
          <w:spacing w:val="-5"/>
          <w:sz w:val="22"/>
          <w:szCs w:val="22"/>
          <w:lang w:val="es-CO"/>
        </w:rPr>
        <w:t>“</w:t>
      </w:r>
      <w:r w:rsidRPr="002E2585">
        <w:rPr>
          <w:rFonts w:ascii="Bookman Old Style" w:hAnsi="Bookman Old Style" w:cs="Arial"/>
          <w:i/>
          <w:spacing w:val="-5"/>
          <w:sz w:val="22"/>
          <w:szCs w:val="22"/>
          <w:lang w:val="es-CO"/>
        </w:rPr>
        <w:t>1. Establezca el precio máximo regulado para el GLP de Cupiagua, nueva fuente de producción nacional a ser comercializada por Ecopetrol.</w:t>
      </w:r>
    </w:p>
    <w:p w14:paraId="2A1610AA" w14:textId="77777777" w:rsidR="00E968A8" w:rsidRPr="002E2585" w:rsidRDefault="00E968A8" w:rsidP="00EB0D46">
      <w:pPr>
        <w:ind w:left="284" w:right="284"/>
        <w:jc w:val="both"/>
        <w:rPr>
          <w:rFonts w:ascii="Bookman Old Style" w:hAnsi="Bookman Old Style" w:cs="Arial"/>
          <w:i/>
          <w:spacing w:val="-5"/>
          <w:sz w:val="22"/>
          <w:szCs w:val="22"/>
          <w:lang w:val="es-CO"/>
        </w:rPr>
      </w:pPr>
    </w:p>
    <w:p w14:paraId="2B8A18F5" w14:textId="77777777" w:rsidR="00E968A8" w:rsidRPr="002E2585" w:rsidRDefault="00E968A8" w:rsidP="00EB0D46">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2. Establezca que Ecopetrol podrá comercializar este producto a un precio máximo regulado igual al precio de paridad de importación del GLP, referenciado al mercado de Mont Belvieu, Estados Unidos.</w:t>
      </w:r>
    </w:p>
    <w:p w14:paraId="6BEC489E" w14:textId="77777777" w:rsidR="00E968A8" w:rsidRPr="002E2585" w:rsidRDefault="00E968A8" w:rsidP="00EB0D46">
      <w:pPr>
        <w:ind w:left="284" w:right="284"/>
        <w:jc w:val="both"/>
        <w:rPr>
          <w:rFonts w:ascii="Bookman Old Style" w:hAnsi="Bookman Old Style" w:cs="Arial"/>
          <w:i/>
          <w:spacing w:val="-5"/>
          <w:sz w:val="22"/>
          <w:szCs w:val="22"/>
          <w:lang w:val="es-CO"/>
        </w:rPr>
      </w:pPr>
    </w:p>
    <w:p w14:paraId="62AAB887" w14:textId="77777777" w:rsidR="00E968A8" w:rsidRPr="002E2585" w:rsidRDefault="00E968A8" w:rsidP="00EB0D46">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3. Adopte medidas transitorias para la comercialización del GLP producido en Cupiagua durante el segundo semestre de 2019. En específico:</w:t>
      </w:r>
    </w:p>
    <w:p w14:paraId="4A75F8DF" w14:textId="77777777" w:rsidR="00E968A8" w:rsidRPr="002E2585" w:rsidRDefault="00E968A8" w:rsidP="00EB0D46">
      <w:pPr>
        <w:ind w:left="284" w:right="284"/>
        <w:jc w:val="both"/>
        <w:rPr>
          <w:rFonts w:ascii="Bookman Old Style" w:hAnsi="Bookman Old Style" w:cs="Arial"/>
          <w:i/>
          <w:spacing w:val="-5"/>
          <w:sz w:val="22"/>
          <w:szCs w:val="22"/>
          <w:lang w:val="es-CO"/>
        </w:rPr>
      </w:pPr>
    </w:p>
    <w:p w14:paraId="2AD95715" w14:textId="77777777" w:rsidR="00E968A8" w:rsidRPr="002E2585" w:rsidRDefault="00E968A8" w:rsidP="00FB0C68">
      <w:pPr>
        <w:ind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a. Que le permita a Ecopetrol comercializar el GLP producido durante la etapa de comisionamiento mediante contratos interrumpibles. Durante esa etapa, programada para los meses de junio, julio y agosto de 2019. Ecopetrol espera estabilizar la producción de la planta.</w:t>
      </w:r>
    </w:p>
    <w:p w14:paraId="6EEE92D3" w14:textId="77777777" w:rsidR="00FB0C68" w:rsidRPr="002E2585" w:rsidRDefault="00FB0C68" w:rsidP="00FB0C68">
      <w:pPr>
        <w:ind w:right="284"/>
        <w:jc w:val="both"/>
        <w:rPr>
          <w:rFonts w:ascii="Bookman Old Style" w:hAnsi="Bookman Old Style" w:cs="Arial"/>
          <w:i/>
          <w:spacing w:val="-5"/>
          <w:sz w:val="22"/>
          <w:szCs w:val="22"/>
          <w:lang w:val="es-CO"/>
        </w:rPr>
      </w:pPr>
    </w:p>
    <w:p w14:paraId="51838C75" w14:textId="77777777" w:rsidR="00E968A8" w:rsidRPr="002E2585" w:rsidRDefault="00E968A8" w:rsidP="00FB0C68">
      <w:pPr>
        <w:ind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 xml:space="preserve">b. Que le permita a Ecopetrol realizar una oferta pública de cantidades en agosto de 2019, para comercializar el GLP producido por esta fuente durante los meses de septiembre a diciembre de 2019, sin que se aplique la compensación prevista en el parágrafo 1 del artículo 13 de la Resolución CREG 053 de 2011, modificado por el artículo 1 de la Resolución CREG 064 de 2016. Lo anterior teniendo en cuenta que en agosto se tendría certidumbre de la fecha de terminación parta el resto del año” </w:t>
      </w:r>
    </w:p>
    <w:p w14:paraId="3EB03C3F" w14:textId="77777777" w:rsidR="00AD12CF" w:rsidRPr="002E2585" w:rsidRDefault="00AD12CF" w:rsidP="00D81A3E">
      <w:pPr>
        <w:ind w:left="0"/>
        <w:contextualSpacing/>
        <w:jc w:val="both"/>
        <w:rPr>
          <w:rFonts w:ascii="Bookman Old Style" w:hAnsi="Bookman Old Style"/>
          <w:lang w:val="es-CO"/>
        </w:rPr>
      </w:pPr>
    </w:p>
    <w:p w14:paraId="0A040B44" w14:textId="77777777" w:rsidR="00DF43C6" w:rsidRPr="002E2585" w:rsidRDefault="00DF43C6" w:rsidP="00DF43C6">
      <w:pPr>
        <w:ind w:left="0"/>
        <w:contextualSpacing/>
        <w:jc w:val="both"/>
        <w:rPr>
          <w:rFonts w:ascii="Bookman Old Style" w:hAnsi="Bookman Old Style"/>
          <w:lang w:val="es-CO"/>
        </w:rPr>
      </w:pPr>
      <w:r w:rsidRPr="002E2585">
        <w:rPr>
          <w:rFonts w:ascii="Bookman Old Style" w:hAnsi="Bookman Old Style"/>
          <w:lang w:val="es-CO"/>
        </w:rPr>
        <w:t>En relación con esto dentro del Auto I-2019-002617, el cual hace parte de la actuación administrativa del expediente 2019-0034</w:t>
      </w:r>
      <w:r w:rsidR="002D5446" w:rsidRPr="002E2585">
        <w:rPr>
          <w:rFonts w:ascii="Bookman Old Style" w:hAnsi="Bookman Old Style"/>
          <w:lang w:val="es-CO"/>
        </w:rPr>
        <w:t>,</w:t>
      </w:r>
      <w:r w:rsidRPr="002E2585">
        <w:rPr>
          <w:rFonts w:ascii="Bookman Old Style" w:hAnsi="Bookman Old Style"/>
          <w:lang w:val="es-CO"/>
        </w:rPr>
        <w:t xml:space="preserve"> esta Comisión precisó lo siguiente:</w:t>
      </w:r>
    </w:p>
    <w:p w14:paraId="5830E307" w14:textId="77777777" w:rsidR="00DF43C6" w:rsidRPr="002E2585" w:rsidRDefault="00DF43C6" w:rsidP="00DF43C6">
      <w:pPr>
        <w:ind w:left="0"/>
        <w:jc w:val="both"/>
        <w:rPr>
          <w:rFonts w:ascii="Arial" w:hAnsi="Arial" w:cs="Arial"/>
          <w:spacing w:val="-5"/>
          <w:szCs w:val="20"/>
          <w:lang w:val="es-CO" w:eastAsia="en-US"/>
        </w:rPr>
      </w:pPr>
    </w:p>
    <w:p w14:paraId="66826DA4" w14:textId="77777777" w:rsidR="00DF43C6" w:rsidRPr="002E2585" w:rsidRDefault="00DF43C6" w:rsidP="002D5446">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“Teniendo en cuenta que el fundamento de su solicitud es el artículo 1 de la Resolución CREG 123 de 2010, el objeto de la actuación administrativa particular es definir el precio máximo regulado para el GLP de una fuente de producción nacional comercializada por Ecopetrol, toda vez que la regulación ya tiene previstos los mecanismos y disposiciones aplicables para la comercialización de GLP de precio regulado.</w:t>
      </w:r>
    </w:p>
    <w:p w14:paraId="34B50E36" w14:textId="77777777" w:rsidR="00DF43C6" w:rsidRPr="002E2585" w:rsidRDefault="00DF43C6" w:rsidP="002D5446">
      <w:pPr>
        <w:ind w:left="284" w:right="284"/>
        <w:jc w:val="both"/>
        <w:rPr>
          <w:rFonts w:ascii="Bookman Old Style" w:hAnsi="Bookman Old Style" w:cs="Arial"/>
          <w:i/>
          <w:spacing w:val="-5"/>
          <w:sz w:val="22"/>
          <w:szCs w:val="22"/>
          <w:lang w:val="es-CO"/>
        </w:rPr>
      </w:pPr>
    </w:p>
    <w:p w14:paraId="20EEFB18" w14:textId="77777777" w:rsidR="00DF43C6" w:rsidRPr="002E2585" w:rsidRDefault="00DF43C6" w:rsidP="002D5446">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u w:val="single"/>
          <w:lang w:val="es-CO"/>
        </w:rPr>
        <w:t>Las solicitudes del numeral tercero hacen referencia al esquema de comercialización de GLP de precio regulado. Efectuar modificaciones o excepciones del reglamento de comercialización mayorista no hace parte de la actuación administrativa particular. No obstante, la Comisión, en caso de encontrarlo procedente, llevará a cabo dichas modificaciones en resolución de carácter general, la cual surtirá el proceso de consulta correspondiente</w:t>
      </w:r>
      <w:r w:rsidRPr="002E2585">
        <w:rPr>
          <w:rFonts w:ascii="Bookman Old Style" w:hAnsi="Bookman Old Style" w:cs="Arial"/>
          <w:i/>
          <w:spacing w:val="-5"/>
          <w:sz w:val="22"/>
          <w:szCs w:val="22"/>
          <w:lang w:val="es-CO"/>
        </w:rPr>
        <w:t>.” (Resaltado fuera de texto)</w:t>
      </w:r>
    </w:p>
    <w:p w14:paraId="0B239A85" w14:textId="77777777" w:rsidR="00DF43C6" w:rsidRPr="002E2585" w:rsidRDefault="00DF43C6" w:rsidP="00D81A3E">
      <w:pPr>
        <w:ind w:left="0"/>
        <w:contextualSpacing/>
        <w:jc w:val="both"/>
        <w:rPr>
          <w:rFonts w:ascii="Bookman Old Style" w:hAnsi="Bookman Old Style"/>
          <w:lang w:val="es-CO"/>
        </w:rPr>
      </w:pPr>
    </w:p>
    <w:p w14:paraId="6FEB88C6" w14:textId="77777777" w:rsidR="006370CB" w:rsidRPr="002E2585" w:rsidRDefault="006370CB" w:rsidP="00D81A3E">
      <w:pPr>
        <w:ind w:left="0"/>
        <w:contextualSpacing/>
        <w:jc w:val="both"/>
        <w:rPr>
          <w:rFonts w:ascii="Bookman Old Style" w:hAnsi="Bookman Old Style"/>
          <w:lang w:val="es-CO"/>
        </w:rPr>
      </w:pPr>
      <w:r w:rsidRPr="002E2585">
        <w:rPr>
          <w:rFonts w:ascii="Bookman Old Style" w:hAnsi="Bookman Old Style"/>
          <w:lang w:val="es-CO"/>
        </w:rPr>
        <w:t xml:space="preserve">Así mismo, en </w:t>
      </w:r>
      <w:r w:rsidR="006D3BD2" w:rsidRPr="002E2585">
        <w:rPr>
          <w:rFonts w:ascii="Bookman Old Style" w:hAnsi="Bookman Old Style"/>
          <w:lang w:val="es-CO"/>
        </w:rPr>
        <w:t>la</w:t>
      </w:r>
      <w:r w:rsidRPr="002E2585">
        <w:rPr>
          <w:rFonts w:ascii="Bookman Old Style" w:hAnsi="Bookman Old Style"/>
          <w:lang w:val="es-CO"/>
        </w:rPr>
        <w:t xml:space="preserve"> comunicación </w:t>
      </w:r>
      <w:r w:rsidR="006D3BD2" w:rsidRPr="002E2585">
        <w:rPr>
          <w:rFonts w:ascii="Bookman Old Style" w:hAnsi="Bookman Old Style"/>
          <w:lang w:val="es-CO"/>
        </w:rPr>
        <w:t>2-2019-093-2919</w:t>
      </w:r>
      <w:r w:rsidR="002D5446" w:rsidRPr="002E2585">
        <w:rPr>
          <w:rFonts w:ascii="Bookman Old Style" w:hAnsi="Bookman Old Style"/>
          <w:lang w:val="es-CO"/>
        </w:rPr>
        <w:t>, con radicado CREG E-2019-003980,</w:t>
      </w:r>
      <w:r w:rsidR="006D3BD2" w:rsidRPr="002E2585">
        <w:rPr>
          <w:rFonts w:ascii="Bookman Old Style" w:hAnsi="Bookman Old Style"/>
          <w:lang w:val="es-CO"/>
        </w:rPr>
        <w:t xml:space="preserve"> </w:t>
      </w:r>
      <w:r w:rsidR="002B3D6B" w:rsidRPr="002E2585">
        <w:rPr>
          <w:rFonts w:ascii="Bookman Old Style" w:hAnsi="Bookman Old Style"/>
          <w:lang w:val="es-CO"/>
        </w:rPr>
        <w:t xml:space="preserve">respecto del proyecto de estabilización de condensados en Cupiagua, </w:t>
      </w:r>
      <w:r w:rsidRPr="002E2585">
        <w:rPr>
          <w:rFonts w:ascii="Bookman Old Style" w:hAnsi="Bookman Old Style"/>
          <w:lang w:val="es-CO"/>
        </w:rPr>
        <w:t>Ecopetrol plantea lo siguiente:</w:t>
      </w:r>
    </w:p>
    <w:p w14:paraId="39EB176E" w14:textId="77777777" w:rsidR="006370CB" w:rsidRPr="002E2585" w:rsidRDefault="006370CB" w:rsidP="00EB0D46">
      <w:pPr>
        <w:ind w:left="284" w:right="284"/>
        <w:jc w:val="both"/>
        <w:rPr>
          <w:rFonts w:ascii="Bookman Old Style" w:hAnsi="Bookman Old Style" w:cs="Arial"/>
          <w:i/>
          <w:spacing w:val="-5"/>
          <w:sz w:val="22"/>
          <w:szCs w:val="22"/>
          <w:lang w:val="es-CO"/>
        </w:rPr>
      </w:pPr>
    </w:p>
    <w:p w14:paraId="0AEEA869" w14:textId="77777777" w:rsidR="006370CB" w:rsidRDefault="006370CB" w:rsidP="00EB0D46">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lastRenderedPageBreak/>
        <w:t xml:space="preserve">“En la actualidad, el proyecto se encuentra en etapa de construcción. La siguiente etapa del proyecto, el comisionamiento, comenzaría el 1 de junio de 2019 y tendría una duración de tres meses. Por consiguiente, se estima que desde el 1 de septiembre de 2019 el proyecto se encuentre en operación normal y disponga de volúmenes para ser comercializados en el mercado mayorista de GLP. </w:t>
      </w:r>
    </w:p>
    <w:p w14:paraId="00BF88A2" w14:textId="77777777" w:rsidR="00AD12CF" w:rsidRPr="002E2585" w:rsidRDefault="00AD12CF" w:rsidP="00EB0D46">
      <w:pPr>
        <w:ind w:left="284" w:right="284"/>
        <w:jc w:val="both"/>
        <w:rPr>
          <w:rFonts w:ascii="Bookman Old Style" w:hAnsi="Bookman Old Style" w:cs="Arial"/>
          <w:i/>
          <w:spacing w:val="-5"/>
          <w:sz w:val="22"/>
          <w:szCs w:val="22"/>
          <w:lang w:val="es-CO"/>
        </w:rPr>
      </w:pPr>
    </w:p>
    <w:p w14:paraId="4EE96313" w14:textId="77777777" w:rsidR="006370CB" w:rsidRPr="002E2585" w:rsidRDefault="006370CB" w:rsidP="002B3D6B">
      <w:pPr>
        <w:ind w:left="0"/>
        <w:jc w:val="both"/>
        <w:rPr>
          <w:rFonts w:ascii="Arial" w:hAnsi="Arial" w:cs="Arial"/>
          <w:i/>
          <w:sz w:val="20"/>
          <w:szCs w:val="20"/>
        </w:rPr>
      </w:pPr>
    </w:p>
    <w:p w14:paraId="6A8AC0E5" w14:textId="77777777" w:rsidR="006370CB" w:rsidRPr="002E2585" w:rsidRDefault="006370CB" w:rsidP="006370CB">
      <w:pPr>
        <w:ind w:left="709"/>
        <w:jc w:val="center"/>
        <w:rPr>
          <w:rFonts w:ascii="Arial" w:hAnsi="Arial" w:cs="Arial"/>
          <w:i/>
          <w:sz w:val="20"/>
          <w:szCs w:val="20"/>
        </w:rPr>
      </w:pPr>
      <w:r w:rsidRPr="002E2585">
        <w:rPr>
          <w:rFonts w:eastAsiaTheme="minorHAnsi"/>
          <w:noProof/>
          <w:sz w:val="22"/>
          <w:szCs w:val="22"/>
          <w:lang w:val="es-CO" w:eastAsia="es-CO"/>
        </w:rPr>
        <w:drawing>
          <wp:inline distT="0" distB="0" distL="0" distR="0" wp14:anchorId="6C05B228" wp14:editId="3190952E">
            <wp:extent cx="3551231" cy="234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3472" cy="2377619"/>
                    </a:xfrm>
                    <a:prstGeom prst="rect">
                      <a:avLst/>
                    </a:prstGeom>
                    <a:noFill/>
                    <a:ln>
                      <a:noFill/>
                    </a:ln>
                  </pic:spPr>
                </pic:pic>
              </a:graphicData>
            </a:graphic>
          </wp:inline>
        </w:drawing>
      </w:r>
    </w:p>
    <w:p w14:paraId="6816F332" w14:textId="77777777" w:rsidR="006370CB" w:rsidRPr="002E2585" w:rsidRDefault="006370CB" w:rsidP="002B3D6B">
      <w:pPr>
        <w:ind w:left="0"/>
        <w:jc w:val="both"/>
        <w:rPr>
          <w:rFonts w:ascii="Arial" w:hAnsi="Arial" w:cs="Arial"/>
          <w:i/>
          <w:sz w:val="20"/>
          <w:szCs w:val="20"/>
        </w:rPr>
      </w:pPr>
    </w:p>
    <w:p w14:paraId="537CB57B" w14:textId="77777777" w:rsidR="006370CB" w:rsidRPr="002E2585" w:rsidRDefault="006370CB" w:rsidP="00EB0D46">
      <w:pPr>
        <w:ind w:left="284" w:right="284"/>
        <w:jc w:val="both"/>
        <w:rPr>
          <w:rFonts w:ascii="Bookman Old Style" w:hAnsi="Bookman Old Style" w:cs="Arial"/>
          <w:i/>
          <w:spacing w:val="-5"/>
          <w:sz w:val="22"/>
          <w:szCs w:val="22"/>
          <w:lang w:val="es-CO"/>
        </w:rPr>
      </w:pPr>
      <w:r w:rsidRPr="002E2585">
        <w:rPr>
          <w:rFonts w:ascii="Bookman Old Style" w:hAnsi="Bookman Old Style" w:cs="Arial"/>
          <w:i/>
          <w:spacing w:val="-5"/>
          <w:sz w:val="22"/>
          <w:szCs w:val="22"/>
          <w:lang w:val="es-CO"/>
        </w:rPr>
        <w:t>Teniendo en cuenta lo anterior, el Gráfico 1 muestra el perfil de producción de Cupiagua que se estima para el período 2019 - 2023. Entre septiembre de 2019 y febrero de 2020 se prevé una producción promedio de 15 millones de kilogramos-mes, la cual estará condicionada a las ventas de gas natural del campo.”</w:t>
      </w:r>
    </w:p>
    <w:p w14:paraId="724B143C" w14:textId="77777777" w:rsidR="006370CB" w:rsidRPr="002E2585" w:rsidRDefault="006370CB" w:rsidP="00D81A3E">
      <w:pPr>
        <w:ind w:left="0"/>
        <w:contextualSpacing/>
        <w:jc w:val="both"/>
        <w:rPr>
          <w:rFonts w:ascii="Bookman Old Style" w:hAnsi="Bookman Old Style"/>
          <w:lang w:val="es-CO"/>
        </w:rPr>
      </w:pPr>
    </w:p>
    <w:p w14:paraId="455438DC" w14:textId="77777777" w:rsidR="00655A08" w:rsidRPr="002E2585" w:rsidRDefault="00D81A3E" w:rsidP="00D81A3E">
      <w:pPr>
        <w:ind w:left="0"/>
        <w:contextualSpacing/>
        <w:jc w:val="both"/>
        <w:rPr>
          <w:rFonts w:ascii="Bookman Old Style" w:hAnsi="Bookman Old Style"/>
          <w:lang w:val="es-CO"/>
        </w:rPr>
      </w:pPr>
      <w:r w:rsidRPr="002E2585">
        <w:rPr>
          <w:rFonts w:ascii="Bookman Old Style" w:hAnsi="Bookman Old Style"/>
          <w:lang w:val="es-CO"/>
        </w:rPr>
        <w:t xml:space="preserve">En relación con lo anterior, </w:t>
      </w:r>
      <w:r w:rsidR="00E968A8" w:rsidRPr="002E2585">
        <w:rPr>
          <w:rFonts w:ascii="Bookman Old Style" w:hAnsi="Bookman Old Style"/>
          <w:lang w:val="es-CO"/>
        </w:rPr>
        <w:t>se evidencia por parte de la CREG</w:t>
      </w:r>
      <w:r w:rsidR="002B3D6B" w:rsidRPr="002E2585">
        <w:rPr>
          <w:rFonts w:ascii="Bookman Old Style" w:hAnsi="Bookman Old Style"/>
          <w:lang w:val="es-CO"/>
        </w:rPr>
        <w:t xml:space="preserve"> que,</w:t>
      </w:r>
      <w:r w:rsidR="00E968A8" w:rsidRPr="002E2585">
        <w:rPr>
          <w:rFonts w:ascii="Bookman Old Style" w:hAnsi="Bookman Old Style"/>
          <w:lang w:val="es-CO"/>
        </w:rPr>
        <w:t xml:space="preserve"> </w:t>
      </w:r>
      <w:r w:rsidR="002B3D6B" w:rsidRPr="002E2585">
        <w:rPr>
          <w:rFonts w:ascii="Bookman Old Style" w:hAnsi="Bookman Old Style"/>
          <w:lang w:val="es-CO"/>
        </w:rPr>
        <w:t xml:space="preserve">derivadas del proceso de comisionamiento de la planta de estabilización de condensados de Cupiagua, puede existir </w:t>
      </w:r>
      <w:r w:rsidR="00655A08" w:rsidRPr="002E2585">
        <w:rPr>
          <w:rFonts w:ascii="Bookman Old Style" w:hAnsi="Bookman Old Style"/>
          <w:lang w:val="es-CO"/>
        </w:rPr>
        <w:t>producto</w:t>
      </w:r>
      <w:r w:rsidR="00430A92" w:rsidRPr="002E2585">
        <w:rPr>
          <w:rFonts w:ascii="Bookman Old Style" w:hAnsi="Bookman Old Style"/>
          <w:lang w:val="es-CO"/>
        </w:rPr>
        <w:t xml:space="preserve"> </w:t>
      </w:r>
      <w:r w:rsidR="002B3D6B" w:rsidRPr="002E2585">
        <w:rPr>
          <w:rFonts w:ascii="Bookman Old Style" w:hAnsi="Bookman Old Style"/>
          <w:lang w:val="es-CO"/>
        </w:rPr>
        <w:t xml:space="preserve">disponible para el </w:t>
      </w:r>
      <w:r w:rsidR="00D52959" w:rsidRPr="002E2585">
        <w:rPr>
          <w:rFonts w:ascii="Bookman Old Style" w:hAnsi="Bookman Old Style"/>
          <w:lang w:val="es-CO"/>
        </w:rPr>
        <w:t>servicio público domiciliario</w:t>
      </w:r>
      <w:r w:rsidR="00430A92" w:rsidRPr="002E2585">
        <w:rPr>
          <w:rFonts w:ascii="Bookman Old Style" w:hAnsi="Bookman Old Style"/>
          <w:lang w:val="es-CO"/>
        </w:rPr>
        <w:t xml:space="preserve"> </w:t>
      </w:r>
      <w:r w:rsidR="002B3D6B" w:rsidRPr="002E2585">
        <w:rPr>
          <w:rFonts w:ascii="Bookman Old Style" w:hAnsi="Bookman Old Style"/>
          <w:lang w:val="es-CO"/>
        </w:rPr>
        <w:t>que requerir</w:t>
      </w:r>
      <w:r w:rsidR="00655A08" w:rsidRPr="002E2585">
        <w:rPr>
          <w:rFonts w:ascii="Bookman Old Style" w:hAnsi="Bookman Old Style"/>
          <w:lang w:val="es-CO"/>
        </w:rPr>
        <w:t>ía</w:t>
      </w:r>
      <w:r w:rsidR="002B3D6B" w:rsidRPr="002E2585">
        <w:rPr>
          <w:rFonts w:ascii="Bookman Old Style" w:hAnsi="Bookman Old Style"/>
          <w:lang w:val="es-CO"/>
        </w:rPr>
        <w:t xml:space="preserve"> </w:t>
      </w:r>
      <w:r w:rsidR="00D52959" w:rsidRPr="002E2585">
        <w:rPr>
          <w:rFonts w:ascii="Bookman Old Style" w:hAnsi="Bookman Old Style"/>
          <w:lang w:val="es-CO"/>
        </w:rPr>
        <w:t>condiciones particulares para su comercialización</w:t>
      </w:r>
      <w:r w:rsidR="002B3D6B" w:rsidRPr="002E2585">
        <w:rPr>
          <w:rFonts w:ascii="Bookman Old Style" w:hAnsi="Bookman Old Style"/>
          <w:lang w:val="es-CO"/>
        </w:rPr>
        <w:t>, en la medida en que corresponder</w:t>
      </w:r>
      <w:r w:rsidR="00655A08" w:rsidRPr="002E2585">
        <w:rPr>
          <w:rFonts w:ascii="Bookman Old Style" w:hAnsi="Bookman Old Style"/>
          <w:lang w:val="es-CO"/>
        </w:rPr>
        <w:t>ía a un GLP producido durante</w:t>
      </w:r>
      <w:r w:rsidR="002B3D6B" w:rsidRPr="002E2585">
        <w:rPr>
          <w:rFonts w:ascii="Bookman Old Style" w:hAnsi="Bookman Old Style"/>
          <w:lang w:val="es-CO"/>
        </w:rPr>
        <w:t xml:space="preserve"> una etapa de pruebas y puesta en </w:t>
      </w:r>
      <w:r w:rsidR="00655A08" w:rsidRPr="002E2585">
        <w:rPr>
          <w:rFonts w:ascii="Bookman Old Style" w:hAnsi="Bookman Old Style"/>
          <w:lang w:val="es-CO"/>
        </w:rPr>
        <w:t>marcha de las facilidades y, en consecuencia, no es posible establecer con certeza las cantidades y el momento en que van a estar disponibles, condiciones que deben ser conocidas para la suscripción de un contrato de suministro con características de firmeza en la entrega, tal como sucede con los contratos de suministro que deben ser suscritos en la compra y venta de GLP de precio regulado.</w:t>
      </w:r>
    </w:p>
    <w:p w14:paraId="4B161B86" w14:textId="77777777" w:rsidR="008C0BBA" w:rsidRPr="002E2585" w:rsidRDefault="008C0BBA" w:rsidP="00D81A3E">
      <w:pPr>
        <w:ind w:left="0"/>
        <w:contextualSpacing/>
        <w:jc w:val="both"/>
        <w:rPr>
          <w:rFonts w:ascii="Bookman Old Style" w:hAnsi="Bookman Old Style"/>
          <w:lang w:val="es-CO"/>
        </w:rPr>
      </w:pPr>
    </w:p>
    <w:p w14:paraId="3B51DDE2" w14:textId="079E8FDC" w:rsidR="00D928F1" w:rsidRPr="002E2585" w:rsidRDefault="00320FFF" w:rsidP="00C96438">
      <w:pPr>
        <w:ind w:left="0"/>
        <w:contextualSpacing/>
        <w:jc w:val="both"/>
        <w:rPr>
          <w:rFonts w:ascii="Bookman Old Style" w:hAnsi="Bookman Old Style"/>
          <w:lang w:val="es-CO"/>
        </w:rPr>
      </w:pPr>
      <w:r w:rsidRPr="002E2585">
        <w:rPr>
          <w:rFonts w:ascii="Bookman Old Style" w:hAnsi="Bookman Old Style"/>
          <w:lang w:val="es-CO"/>
        </w:rPr>
        <w:t xml:space="preserve"> </w:t>
      </w:r>
      <w:r w:rsidR="00D928F1" w:rsidRPr="002E2585">
        <w:rPr>
          <w:rFonts w:ascii="Bookman Old Style" w:hAnsi="Bookman Old Style"/>
          <w:lang w:val="es-CO"/>
        </w:rPr>
        <w:t>De acuerdo con lo anterior</w:t>
      </w:r>
      <w:r w:rsidR="006D3BD2" w:rsidRPr="002E2585">
        <w:rPr>
          <w:rFonts w:ascii="Bookman Old Style" w:hAnsi="Bookman Old Style"/>
          <w:lang w:val="es-CO"/>
        </w:rPr>
        <w:t xml:space="preserve">, a efectos de que se pueda llevar a cabo </w:t>
      </w:r>
      <w:r w:rsidR="00D928F1" w:rsidRPr="002E2585">
        <w:rPr>
          <w:rFonts w:ascii="Bookman Old Style" w:hAnsi="Bookman Old Style"/>
          <w:lang w:val="es-CO"/>
        </w:rPr>
        <w:t>la</w:t>
      </w:r>
      <w:r w:rsidR="006D3BD2" w:rsidRPr="002E2585">
        <w:rPr>
          <w:rFonts w:ascii="Bookman Old Style" w:hAnsi="Bookman Old Style"/>
          <w:lang w:val="es-CO"/>
        </w:rPr>
        <w:t xml:space="preserve"> comercialización</w:t>
      </w:r>
      <w:r w:rsidR="00D928F1" w:rsidRPr="002E2585">
        <w:rPr>
          <w:rFonts w:ascii="Bookman Old Style" w:hAnsi="Bookman Old Style"/>
          <w:lang w:val="es-CO"/>
        </w:rPr>
        <w:t xml:space="preserve"> de este producto</w:t>
      </w:r>
      <w:r w:rsidR="006D3BD2" w:rsidRPr="002E2585">
        <w:rPr>
          <w:rFonts w:ascii="Bookman Old Style" w:hAnsi="Bookman Old Style"/>
          <w:lang w:val="es-CO"/>
        </w:rPr>
        <w:t>,</w:t>
      </w:r>
      <w:r w:rsidR="00430A92" w:rsidRPr="002E2585">
        <w:rPr>
          <w:rFonts w:ascii="Bookman Old Style" w:hAnsi="Bookman Old Style"/>
          <w:lang w:val="es-CO"/>
        </w:rPr>
        <w:t xml:space="preserve"> </w:t>
      </w:r>
      <w:r w:rsidR="006D3BD2" w:rsidRPr="002E2585">
        <w:rPr>
          <w:rFonts w:ascii="Bookman Old Style" w:hAnsi="Bookman Old Style"/>
          <w:lang w:val="es-CO"/>
        </w:rPr>
        <w:t>se requiere la expedición de una serie de medidas regulatorias adicionales y específicas</w:t>
      </w:r>
      <w:r w:rsidR="00BD1B42">
        <w:rPr>
          <w:rFonts w:ascii="Bookman Old Style" w:hAnsi="Bookman Old Style"/>
          <w:lang w:val="es-CO"/>
        </w:rPr>
        <w:t>, de carácter transitorio,</w:t>
      </w:r>
      <w:r w:rsidR="006D3BD2" w:rsidRPr="002E2585">
        <w:rPr>
          <w:rFonts w:ascii="Bookman Old Style" w:hAnsi="Bookman Old Style"/>
          <w:lang w:val="es-CO"/>
        </w:rPr>
        <w:t xml:space="preserve"> en materia de comercialización de GLP que </w:t>
      </w:r>
      <w:r w:rsidR="00DC6CB0" w:rsidRPr="002E2585">
        <w:rPr>
          <w:rFonts w:ascii="Bookman Old Style" w:hAnsi="Bookman Old Style"/>
          <w:lang w:val="es-CO"/>
        </w:rPr>
        <w:t>consideren</w:t>
      </w:r>
      <w:r w:rsidR="006D3BD2" w:rsidRPr="002E2585">
        <w:rPr>
          <w:rFonts w:ascii="Bookman Old Style" w:hAnsi="Bookman Old Style"/>
          <w:lang w:val="es-CO"/>
        </w:rPr>
        <w:t xml:space="preserve"> </w:t>
      </w:r>
      <w:r w:rsidR="00C96438" w:rsidRPr="002E2585">
        <w:rPr>
          <w:rFonts w:ascii="Bookman Old Style" w:hAnsi="Bookman Old Style"/>
          <w:lang w:val="es-CO"/>
        </w:rPr>
        <w:t>las</w:t>
      </w:r>
      <w:r w:rsidR="006D3BD2" w:rsidRPr="002E2585">
        <w:rPr>
          <w:rFonts w:ascii="Bookman Old Style" w:hAnsi="Bookman Old Style"/>
          <w:lang w:val="es-CO"/>
        </w:rPr>
        <w:t xml:space="preserve"> particularidades y condiciones </w:t>
      </w:r>
      <w:r w:rsidR="00C96438" w:rsidRPr="002E2585">
        <w:rPr>
          <w:rFonts w:ascii="Bookman Old Style" w:hAnsi="Bookman Old Style"/>
          <w:lang w:val="es-CO"/>
        </w:rPr>
        <w:t>del</w:t>
      </w:r>
      <w:r w:rsidR="006D3BD2" w:rsidRPr="002E2585">
        <w:rPr>
          <w:rFonts w:ascii="Bookman Old Style" w:hAnsi="Bookman Old Style"/>
          <w:lang w:val="es-CO"/>
        </w:rPr>
        <w:t xml:space="preserve"> proceso de comisionamiento de una planta de estabilización de condensados</w:t>
      </w:r>
      <w:r w:rsidR="00DC6CB0" w:rsidRPr="002E2585">
        <w:rPr>
          <w:rFonts w:ascii="Bookman Old Style" w:hAnsi="Bookman Old Style"/>
          <w:lang w:val="es-CO"/>
        </w:rPr>
        <w:t>.</w:t>
      </w:r>
    </w:p>
    <w:p w14:paraId="4EBA03CA" w14:textId="77777777" w:rsidR="00DC6CB0" w:rsidRPr="002E2585" w:rsidRDefault="00DC6CB0" w:rsidP="00C96438">
      <w:pPr>
        <w:ind w:left="0"/>
        <w:contextualSpacing/>
        <w:jc w:val="both"/>
        <w:rPr>
          <w:rFonts w:ascii="Bookman Old Style" w:hAnsi="Bookman Old Style"/>
          <w:lang w:val="es-CO"/>
        </w:rPr>
      </w:pPr>
    </w:p>
    <w:p w14:paraId="51302A4F" w14:textId="0A0FFB02" w:rsidR="004A58DE" w:rsidRDefault="00E9149B" w:rsidP="00D81A3E">
      <w:pPr>
        <w:ind w:left="0"/>
        <w:contextualSpacing/>
        <w:jc w:val="both"/>
        <w:rPr>
          <w:rFonts w:ascii="Bookman Old Style" w:hAnsi="Bookman Old Style"/>
          <w:lang w:val="es-CO"/>
        </w:rPr>
      </w:pPr>
      <w:r w:rsidRPr="002E2585">
        <w:rPr>
          <w:rFonts w:ascii="Bookman Old Style" w:hAnsi="Bookman Old Style"/>
          <w:lang w:val="es-CO"/>
        </w:rPr>
        <w:t>L</w:t>
      </w:r>
      <w:r w:rsidR="00350137" w:rsidRPr="002E2585">
        <w:rPr>
          <w:rFonts w:ascii="Bookman Old Style" w:hAnsi="Bookman Old Style"/>
          <w:lang w:val="es-CO"/>
        </w:rPr>
        <w:t>a CREG</w:t>
      </w:r>
      <w:r w:rsidRPr="002E2585">
        <w:rPr>
          <w:rFonts w:ascii="Bookman Old Style" w:hAnsi="Bookman Old Style"/>
          <w:lang w:val="es-CO"/>
        </w:rPr>
        <w:t>,</w:t>
      </w:r>
      <w:r w:rsidR="00350137" w:rsidRPr="002E2585">
        <w:rPr>
          <w:rFonts w:ascii="Bookman Old Style" w:hAnsi="Bookman Old Style"/>
          <w:lang w:val="es-CO"/>
        </w:rPr>
        <w:t xml:space="preserve"> en el marco de la Ley 142 de 1994</w:t>
      </w:r>
      <w:r w:rsidRPr="002E2585">
        <w:rPr>
          <w:rFonts w:ascii="Bookman Old Style" w:hAnsi="Bookman Old Style"/>
          <w:lang w:val="es-CO"/>
        </w:rPr>
        <w:t>,</w:t>
      </w:r>
      <w:r w:rsidR="00350137" w:rsidRPr="002E2585">
        <w:rPr>
          <w:rFonts w:ascii="Bookman Old Style" w:hAnsi="Bookman Old Style"/>
          <w:lang w:val="es-CO"/>
        </w:rPr>
        <w:t xml:space="preserve"> encuentra la razonabilidad y procedencia de adoptar medidas regulatorias</w:t>
      </w:r>
      <w:r w:rsidR="00F26395">
        <w:rPr>
          <w:rFonts w:ascii="Bookman Old Style" w:hAnsi="Bookman Old Style"/>
          <w:lang w:val="es-CO"/>
        </w:rPr>
        <w:t xml:space="preserve"> de carácter general </w:t>
      </w:r>
      <w:r w:rsidR="00BD1B42">
        <w:rPr>
          <w:rFonts w:ascii="Bookman Old Style" w:hAnsi="Bookman Old Style"/>
          <w:lang w:val="es-CO"/>
        </w:rPr>
        <w:t xml:space="preserve">y transitorio </w:t>
      </w:r>
      <w:r w:rsidR="00F26395">
        <w:rPr>
          <w:rFonts w:ascii="Bookman Old Style" w:hAnsi="Bookman Old Style"/>
          <w:lang w:val="es-CO"/>
        </w:rPr>
        <w:t xml:space="preserve">para la comercialización y aprovechamiento del GLP </w:t>
      </w:r>
      <w:r w:rsidR="004831E8">
        <w:rPr>
          <w:rFonts w:ascii="Bookman Old Style" w:hAnsi="Bookman Old Style"/>
        </w:rPr>
        <w:t xml:space="preserve">producido durante </w:t>
      </w:r>
      <w:r w:rsidR="00F26395">
        <w:rPr>
          <w:rFonts w:ascii="Bookman Old Style" w:hAnsi="Bookman Old Style"/>
        </w:rPr>
        <w:t xml:space="preserve">el proceso de comisionamiento, </w:t>
      </w:r>
      <w:r w:rsidR="00F26395">
        <w:rPr>
          <w:rFonts w:ascii="Bookman Old Style" w:hAnsi="Bookman Old Style"/>
          <w:lang w:val="es-CO"/>
        </w:rPr>
        <w:t>para lo cual es necesario</w:t>
      </w:r>
      <w:r w:rsidR="004A58DE" w:rsidRPr="002E2585">
        <w:rPr>
          <w:rFonts w:ascii="Bookman Old Style" w:hAnsi="Bookman Old Style"/>
          <w:lang w:val="es-CO"/>
        </w:rPr>
        <w:t xml:space="preserve">: i) </w:t>
      </w:r>
      <w:r w:rsidR="009116E3">
        <w:rPr>
          <w:rFonts w:ascii="Bookman Old Style" w:hAnsi="Bookman Old Style"/>
          <w:lang w:val="es-CO"/>
        </w:rPr>
        <w:t>definir</w:t>
      </w:r>
      <w:r w:rsidR="007377CA" w:rsidRPr="002E2585">
        <w:rPr>
          <w:rFonts w:ascii="Bookman Old Style" w:hAnsi="Bookman Old Style"/>
          <w:lang w:val="es-CO"/>
        </w:rPr>
        <w:t xml:space="preserve"> el</w:t>
      </w:r>
      <w:r w:rsidR="004A58DE" w:rsidRPr="002E2585">
        <w:rPr>
          <w:rFonts w:ascii="Bookman Old Style" w:hAnsi="Bookman Old Style"/>
          <w:lang w:val="es-CO"/>
        </w:rPr>
        <w:t xml:space="preserve"> </w:t>
      </w:r>
      <w:r w:rsidR="007377CA" w:rsidRPr="002E2585">
        <w:rPr>
          <w:rFonts w:ascii="Bookman Old Style" w:hAnsi="Bookman Old Style"/>
          <w:lang w:val="es-CO"/>
        </w:rPr>
        <w:t>mecanismo a través de cual se llevará a cabo</w:t>
      </w:r>
      <w:r w:rsidR="004A58DE" w:rsidRPr="002E2585">
        <w:rPr>
          <w:rFonts w:ascii="Bookman Old Style" w:hAnsi="Bookman Old Style"/>
          <w:lang w:val="es-CO"/>
        </w:rPr>
        <w:t xml:space="preserve"> la comercialización </w:t>
      </w:r>
      <w:r w:rsidR="002C6B12" w:rsidRPr="002E2585">
        <w:rPr>
          <w:rFonts w:ascii="Bookman Old Style" w:hAnsi="Bookman Old Style"/>
          <w:lang w:val="es-CO"/>
        </w:rPr>
        <w:t xml:space="preserve">y asignación </w:t>
      </w:r>
      <w:r w:rsidR="004A58DE" w:rsidRPr="002E2585">
        <w:rPr>
          <w:rFonts w:ascii="Bookman Old Style" w:hAnsi="Bookman Old Style"/>
          <w:lang w:val="es-CO"/>
        </w:rPr>
        <w:t>del gas de comisionamiento</w:t>
      </w:r>
      <w:r w:rsidR="002C6B12" w:rsidRPr="002E2585">
        <w:rPr>
          <w:rFonts w:ascii="Bookman Old Style" w:hAnsi="Bookman Old Style"/>
          <w:lang w:val="es-CO"/>
        </w:rPr>
        <w:t xml:space="preserve">, </w:t>
      </w:r>
      <w:r w:rsidR="00F10589" w:rsidRPr="002E2585">
        <w:rPr>
          <w:rFonts w:ascii="Bookman Old Style" w:hAnsi="Bookman Old Style"/>
          <w:lang w:val="es-CO"/>
        </w:rPr>
        <w:t xml:space="preserve">estableciendo </w:t>
      </w:r>
      <w:r w:rsidR="00040FB7" w:rsidRPr="002E2585">
        <w:rPr>
          <w:rFonts w:ascii="Bookman Old Style" w:hAnsi="Bookman Old Style"/>
          <w:lang w:val="es-CO"/>
        </w:rPr>
        <w:t>términos y condiciones clara</w:t>
      </w:r>
      <w:r w:rsidR="00320FFF" w:rsidRPr="002E2585">
        <w:rPr>
          <w:rFonts w:ascii="Bookman Old Style" w:hAnsi="Bookman Old Style"/>
          <w:lang w:val="es-CO"/>
        </w:rPr>
        <w:t xml:space="preserve">s, </w:t>
      </w:r>
      <w:r w:rsidR="00040FB7" w:rsidRPr="002E2585">
        <w:rPr>
          <w:rFonts w:ascii="Bookman Old Style" w:hAnsi="Bookman Old Style"/>
          <w:lang w:val="es-CO"/>
        </w:rPr>
        <w:t>pública</w:t>
      </w:r>
      <w:r w:rsidR="00406D17" w:rsidRPr="002E2585">
        <w:rPr>
          <w:rFonts w:ascii="Bookman Old Style" w:hAnsi="Bookman Old Style"/>
          <w:lang w:val="es-CO"/>
        </w:rPr>
        <w:t>s</w:t>
      </w:r>
      <w:r w:rsidR="00320FFF" w:rsidRPr="002E2585">
        <w:rPr>
          <w:rFonts w:ascii="Bookman Old Style" w:hAnsi="Bookman Old Style"/>
          <w:lang w:val="es-CO"/>
        </w:rPr>
        <w:t xml:space="preserve"> y </w:t>
      </w:r>
      <w:r w:rsidR="00320FFF" w:rsidRPr="002E2585">
        <w:rPr>
          <w:rFonts w:ascii="Bookman Old Style" w:hAnsi="Bookman Old Style"/>
          <w:lang w:val="es-CO"/>
        </w:rPr>
        <w:lastRenderedPageBreak/>
        <w:t>transparentes para el mercado y los agentes</w:t>
      </w:r>
      <w:r w:rsidR="004A58DE" w:rsidRPr="002E2585">
        <w:rPr>
          <w:rFonts w:ascii="Bookman Old Style" w:hAnsi="Bookman Old Style"/>
          <w:lang w:val="es-CO"/>
        </w:rPr>
        <w:t>; ii)</w:t>
      </w:r>
      <w:r w:rsidR="007377CA" w:rsidRPr="002E2585">
        <w:rPr>
          <w:rFonts w:ascii="Bookman Old Style" w:hAnsi="Bookman Old Style"/>
          <w:lang w:val="es-CO"/>
        </w:rPr>
        <w:t xml:space="preserve"> </w:t>
      </w:r>
      <w:r w:rsidR="009116E3">
        <w:rPr>
          <w:rFonts w:ascii="Bookman Old Style" w:hAnsi="Bookman Old Style"/>
          <w:lang w:val="es-CO"/>
        </w:rPr>
        <w:t xml:space="preserve">establecer </w:t>
      </w:r>
      <w:r w:rsidR="007377CA" w:rsidRPr="002E2585">
        <w:rPr>
          <w:rFonts w:ascii="Bookman Old Style" w:hAnsi="Bookman Old Style"/>
          <w:lang w:val="es-CO"/>
        </w:rPr>
        <w:t xml:space="preserve">el plazo para </w:t>
      </w:r>
      <w:r w:rsidR="00F10589" w:rsidRPr="002E2585">
        <w:rPr>
          <w:rFonts w:ascii="Bookman Old Style" w:hAnsi="Bookman Old Style"/>
          <w:lang w:val="es-CO"/>
        </w:rPr>
        <w:t xml:space="preserve">la </w:t>
      </w:r>
      <w:r w:rsidR="007377CA" w:rsidRPr="002E2585">
        <w:rPr>
          <w:rFonts w:ascii="Bookman Old Style" w:hAnsi="Bookman Old Style"/>
          <w:lang w:val="es-CO"/>
        </w:rPr>
        <w:t xml:space="preserve">comercialización </w:t>
      </w:r>
      <w:r w:rsidR="00F10589" w:rsidRPr="002E2585">
        <w:rPr>
          <w:rFonts w:ascii="Bookman Old Style" w:hAnsi="Bookman Old Style"/>
          <w:lang w:val="es-CO"/>
        </w:rPr>
        <w:t xml:space="preserve">de producto bajo este esquema, </w:t>
      </w:r>
      <w:r w:rsidR="007377CA" w:rsidRPr="002E2585">
        <w:rPr>
          <w:rFonts w:ascii="Bookman Old Style" w:hAnsi="Bookman Old Style"/>
          <w:lang w:val="es-CO"/>
        </w:rPr>
        <w:t>asoci</w:t>
      </w:r>
      <w:r w:rsidR="002C6B12" w:rsidRPr="002E2585">
        <w:rPr>
          <w:rFonts w:ascii="Bookman Old Style" w:hAnsi="Bookman Old Style"/>
          <w:lang w:val="es-CO"/>
        </w:rPr>
        <w:t>ado al proceso de comisionamiento</w:t>
      </w:r>
      <w:r w:rsidR="00F10589" w:rsidRPr="002E2585">
        <w:rPr>
          <w:rFonts w:ascii="Bookman Old Style" w:hAnsi="Bookman Old Style"/>
          <w:lang w:val="es-CO"/>
        </w:rPr>
        <w:t xml:space="preserve"> y</w:t>
      </w:r>
      <w:r w:rsidR="007377CA" w:rsidRPr="002E2585">
        <w:rPr>
          <w:rFonts w:ascii="Bookman Old Style" w:hAnsi="Bookman Old Style"/>
          <w:lang w:val="es-CO"/>
        </w:rPr>
        <w:t xml:space="preserve"> </w:t>
      </w:r>
      <w:r w:rsidR="0092723B" w:rsidRPr="002E2585">
        <w:rPr>
          <w:rFonts w:ascii="Bookman Old Style" w:hAnsi="Bookman Old Style"/>
          <w:lang w:val="es-CO"/>
        </w:rPr>
        <w:t>dando señales</w:t>
      </w:r>
      <w:r w:rsidR="007377CA" w:rsidRPr="002E2585">
        <w:rPr>
          <w:rFonts w:ascii="Bookman Old Style" w:hAnsi="Bookman Old Style"/>
          <w:lang w:val="es-CO"/>
        </w:rPr>
        <w:t xml:space="preserve"> </w:t>
      </w:r>
      <w:r w:rsidR="0092723B" w:rsidRPr="002E2585">
        <w:rPr>
          <w:rFonts w:ascii="Bookman Old Style" w:hAnsi="Bookman Old Style"/>
          <w:lang w:val="es-CO"/>
        </w:rPr>
        <w:t xml:space="preserve">para </w:t>
      </w:r>
      <w:r w:rsidR="002C6B12" w:rsidRPr="002E2585">
        <w:rPr>
          <w:rFonts w:ascii="Bookman Old Style" w:hAnsi="Bookman Old Style"/>
          <w:lang w:val="es-CO"/>
        </w:rPr>
        <w:t xml:space="preserve">que dicho período no se extienda más allá del plazo </w:t>
      </w:r>
      <w:r w:rsidR="0092723B" w:rsidRPr="002E2585">
        <w:rPr>
          <w:rFonts w:ascii="Bookman Old Style" w:hAnsi="Bookman Old Style"/>
          <w:lang w:val="es-CO"/>
        </w:rPr>
        <w:t>estimado</w:t>
      </w:r>
      <w:r w:rsidR="002C6B12" w:rsidRPr="002E2585">
        <w:rPr>
          <w:rFonts w:ascii="Bookman Old Style" w:hAnsi="Bookman Old Style"/>
          <w:lang w:val="es-CO"/>
        </w:rPr>
        <w:t xml:space="preserve"> inicialmente; iii) </w:t>
      </w:r>
      <w:r w:rsidR="009116E3">
        <w:rPr>
          <w:rFonts w:ascii="Bookman Old Style" w:hAnsi="Bookman Old Style"/>
          <w:lang w:val="es-CO"/>
        </w:rPr>
        <w:t>establecer las condiciones</w:t>
      </w:r>
      <w:r w:rsidR="002C6B12" w:rsidRPr="002E2585">
        <w:rPr>
          <w:rFonts w:ascii="Bookman Old Style" w:hAnsi="Bookman Old Style"/>
          <w:lang w:val="es-CO"/>
        </w:rPr>
        <w:t xml:space="preserve"> de</w:t>
      </w:r>
      <w:r w:rsidR="009116E3">
        <w:rPr>
          <w:rFonts w:ascii="Bookman Old Style" w:hAnsi="Bookman Old Style"/>
          <w:lang w:val="es-CO"/>
        </w:rPr>
        <w:t xml:space="preserve"> los</w:t>
      </w:r>
      <w:r w:rsidR="002C6B12" w:rsidRPr="002E2585">
        <w:rPr>
          <w:rFonts w:ascii="Bookman Old Style" w:hAnsi="Bookman Old Style"/>
          <w:lang w:val="es-CO"/>
        </w:rPr>
        <w:t xml:space="preserve"> contratos que atiendan </w:t>
      </w:r>
      <w:r w:rsidR="009116E3">
        <w:rPr>
          <w:rFonts w:ascii="Bookman Old Style" w:hAnsi="Bookman Old Style"/>
          <w:lang w:val="es-CO"/>
        </w:rPr>
        <w:t>particularidades</w:t>
      </w:r>
      <w:r w:rsidR="002C6B12" w:rsidRPr="002E2585">
        <w:rPr>
          <w:rFonts w:ascii="Bookman Old Style" w:hAnsi="Bookman Old Style"/>
          <w:lang w:val="es-CO"/>
        </w:rPr>
        <w:t xml:space="preserve"> del proceso de comisionamiento; iv) </w:t>
      </w:r>
      <w:r w:rsidR="009116E3">
        <w:rPr>
          <w:rFonts w:ascii="Bookman Old Style" w:hAnsi="Bookman Old Style"/>
          <w:lang w:val="es-CO"/>
        </w:rPr>
        <w:t>definir las</w:t>
      </w:r>
      <w:r w:rsidR="002C6B12" w:rsidRPr="002E2585">
        <w:rPr>
          <w:rFonts w:ascii="Bookman Old Style" w:hAnsi="Bookman Old Style"/>
          <w:lang w:val="es-CO"/>
        </w:rPr>
        <w:t xml:space="preserve"> condiciones en relación con el punto de entrega; v) defini</w:t>
      </w:r>
      <w:r w:rsidR="009116E3">
        <w:rPr>
          <w:rFonts w:ascii="Bookman Old Style" w:hAnsi="Bookman Old Style"/>
          <w:lang w:val="es-CO"/>
        </w:rPr>
        <w:t>r</w:t>
      </w:r>
      <w:r w:rsidR="002C6B12" w:rsidRPr="002E2585">
        <w:rPr>
          <w:rFonts w:ascii="Bookman Old Style" w:hAnsi="Bookman Old Style"/>
          <w:lang w:val="es-CO"/>
        </w:rPr>
        <w:t xml:space="preserve"> los agentes que pueden participar durante la comercialización del gas de </w:t>
      </w:r>
      <w:r w:rsidR="00040FB7" w:rsidRPr="002E2585">
        <w:rPr>
          <w:rFonts w:ascii="Bookman Old Style" w:hAnsi="Bookman Old Style"/>
          <w:lang w:val="es-CO"/>
        </w:rPr>
        <w:t xml:space="preserve">comisionamiento, </w:t>
      </w:r>
      <w:r w:rsidR="002C6B12" w:rsidRPr="002E2585">
        <w:rPr>
          <w:rFonts w:ascii="Bookman Old Style" w:hAnsi="Bookman Old Style"/>
          <w:lang w:val="es-CO"/>
        </w:rPr>
        <w:t xml:space="preserve">tomando como referencia las reglas </w:t>
      </w:r>
      <w:r w:rsidR="00040FB7" w:rsidRPr="002E2585">
        <w:rPr>
          <w:rFonts w:ascii="Bookman Old Style" w:hAnsi="Bookman Old Style"/>
          <w:lang w:val="es-CO"/>
        </w:rPr>
        <w:t>vigentes en el</w:t>
      </w:r>
      <w:r w:rsidR="002C6B12" w:rsidRPr="002E2585">
        <w:rPr>
          <w:rFonts w:ascii="Bookman Old Style" w:hAnsi="Bookman Old Style"/>
          <w:lang w:val="es-CO"/>
        </w:rPr>
        <w:t xml:space="preserve"> reglamento de comercialización</w:t>
      </w:r>
      <w:r w:rsidR="00040FB7" w:rsidRPr="002E2585">
        <w:rPr>
          <w:rFonts w:ascii="Bookman Old Style" w:hAnsi="Bookman Old Style"/>
          <w:lang w:val="es-CO"/>
        </w:rPr>
        <w:t xml:space="preserve"> mayorista de GLP</w:t>
      </w:r>
      <w:r w:rsidR="004735AF">
        <w:rPr>
          <w:rFonts w:ascii="Bookman Old Style" w:hAnsi="Bookman Old Style"/>
          <w:lang w:val="es-CO"/>
        </w:rPr>
        <w:t>;</w:t>
      </w:r>
      <w:r w:rsidR="009116E3">
        <w:rPr>
          <w:rFonts w:ascii="Bookman Old Style" w:hAnsi="Bookman Old Style"/>
          <w:lang w:val="es-CO"/>
        </w:rPr>
        <w:t xml:space="preserve"> y</w:t>
      </w:r>
      <w:r w:rsidR="004735AF">
        <w:rPr>
          <w:rFonts w:ascii="Bookman Old Style" w:hAnsi="Bookman Old Style"/>
          <w:lang w:val="es-CO"/>
        </w:rPr>
        <w:t xml:space="preserve"> vi) la </w:t>
      </w:r>
      <w:r w:rsidR="00F26395">
        <w:rPr>
          <w:rFonts w:ascii="Bookman Old Style" w:hAnsi="Bookman Old Style"/>
          <w:lang w:val="es-CO"/>
        </w:rPr>
        <w:t>condición</w:t>
      </w:r>
      <w:r w:rsidR="004735AF">
        <w:rPr>
          <w:rFonts w:ascii="Bookman Old Style" w:hAnsi="Bookman Old Style"/>
          <w:lang w:val="es-CO"/>
        </w:rPr>
        <w:t xml:space="preserve"> de precio</w:t>
      </w:r>
      <w:r w:rsidR="00F26395">
        <w:rPr>
          <w:rFonts w:ascii="Bookman Old Style" w:hAnsi="Bookman Old Style"/>
          <w:lang w:val="es-CO"/>
        </w:rPr>
        <w:t>.</w:t>
      </w:r>
    </w:p>
    <w:p w14:paraId="3FD3EEF1" w14:textId="77777777" w:rsidR="00911767" w:rsidRDefault="00911767" w:rsidP="00D81A3E">
      <w:pPr>
        <w:ind w:left="0"/>
        <w:contextualSpacing/>
        <w:jc w:val="both"/>
        <w:rPr>
          <w:rFonts w:ascii="Bookman Old Style" w:hAnsi="Bookman Old Style"/>
          <w:lang w:val="es-CO"/>
        </w:rPr>
      </w:pPr>
    </w:p>
    <w:p w14:paraId="40827003" w14:textId="77777777" w:rsidR="00CE5C66" w:rsidRDefault="00CE5C66" w:rsidP="00CE5C66">
      <w:pPr>
        <w:ind w:left="0"/>
        <w:contextualSpacing/>
        <w:jc w:val="both"/>
        <w:rPr>
          <w:rFonts w:ascii="Bookman Old Style" w:hAnsi="Bookman Old Style"/>
          <w:lang w:val="es-CO"/>
        </w:rPr>
      </w:pPr>
      <w:r>
        <w:rPr>
          <w:rFonts w:ascii="Bookman Old Style" w:hAnsi="Bookman Old Style"/>
          <w:lang w:val="es-CO"/>
        </w:rPr>
        <w:t xml:space="preserve">En relación con la condición de precio, la Comisión tendrá en cuenta </w:t>
      </w:r>
      <w:r w:rsidRPr="00CE5C66">
        <w:rPr>
          <w:rFonts w:ascii="Bookman Old Style" w:hAnsi="Bookman Old Style"/>
          <w:lang w:val="es-CO"/>
        </w:rPr>
        <w:t xml:space="preserve">los </w:t>
      </w:r>
      <w:r>
        <w:rPr>
          <w:rFonts w:ascii="Bookman Old Style" w:hAnsi="Bookman Old Style"/>
          <w:lang w:val="es-CO"/>
        </w:rPr>
        <w:t xml:space="preserve">siguientes </w:t>
      </w:r>
      <w:r w:rsidRPr="00CE5C66">
        <w:rPr>
          <w:rFonts w:ascii="Bookman Old Style" w:hAnsi="Bookman Old Style"/>
          <w:lang w:val="es-CO"/>
        </w:rPr>
        <w:t>elementos:</w:t>
      </w:r>
      <w:r>
        <w:rPr>
          <w:rFonts w:ascii="Bookman Old Style" w:hAnsi="Bookman Old Style"/>
          <w:lang w:val="es-CO"/>
        </w:rPr>
        <w:t xml:space="preserve"> </w:t>
      </w:r>
      <w:r w:rsidR="000E3C50">
        <w:rPr>
          <w:rFonts w:ascii="Bookman Old Style" w:hAnsi="Bookman Old Style"/>
          <w:lang w:val="es-CO"/>
        </w:rPr>
        <w:t>que el proceso de comisionamiento hace parte de los gastos preoperativos del proyecto de estabilización de condensados de Cupiagua y en consecuencia el GLP que resulta de la ejecución de las pruebas;</w:t>
      </w:r>
      <w:r>
        <w:rPr>
          <w:rFonts w:ascii="Bookman Old Style" w:hAnsi="Bookman Old Style"/>
          <w:lang w:val="es-CO"/>
        </w:rPr>
        <w:t xml:space="preserve"> </w:t>
      </w:r>
      <w:r w:rsidR="000E3C50">
        <w:rPr>
          <w:rFonts w:ascii="Bookman Old Style" w:hAnsi="Bookman Old Style"/>
          <w:lang w:val="es-CO"/>
        </w:rPr>
        <w:t xml:space="preserve">que la </w:t>
      </w:r>
      <w:r w:rsidR="000E3C50" w:rsidRPr="00CE5C66">
        <w:rPr>
          <w:rFonts w:ascii="Bookman Old Style" w:hAnsi="Bookman Old Style"/>
          <w:lang w:val="es-CO"/>
        </w:rPr>
        <w:t>terminación</w:t>
      </w:r>
      <w:r w:rsidR="000E3C50">
        <w:rPr>
          <w:rFonts w:ascii="Bookman Old Style" w:hAnsi="Bookman Old Style"/>
          <w:lang w:val="es-CO"/>
        </w:rPr>
        <w:t xml:space="preserve"> del periodo de comisionamiento se de en los tiempos originalmente previstos e informados por Ecopetrol en su solicitud; </w:t>
      </w:r>
      <w:r w:rsidR="007D55C0">
        <w:rPr>
          <w:rFonts w:ascii="Bookman Old Style" w:hAnsi="Bookman Old Style"/>
          <w:lang w:val="es-CO"/>
        </w:rPr>
        <w:t xml:space="preserve">y </w:t>
      </w:r>
      <w:r>
        <w:rPr>
          <w:rFonts w:ascii="Bookman Old Style" w:hAnsi="Bookman Old Style"/>
          <w:lang w:val="es-CO"/>
        </w:rPr>
        <w:t>e</w:t>
      </w:r>
      <w:r w:rsidRPr="00CE5C66">
        <w:rPr>
          <w:rFonts w:ascii="Bookman Old Style" w:hAnsi="Bookman Old Style"/>
          <w:lang w:val="es-CO"/>
        </w:rPr>
        <w:t>vitar arbitraje entre el GLP comercializado mediante el esquema vigente y el proveniente del comisionamiento.</w:t>
      </w:r>
    </w:p>
    <w:p w14:paraId="67100279" w14:textId="77777777" w:rsidR="00CE5C66" w:rsidRDefault="00CE5C66" w:rsidP="00D81A3E">
      <w:pPr>
        <w:ind w:left="0"/>
        <w:contextualSpacing/>
        <w:jc w:val="both"/>
        <w:rPr>
          <w:rFonts w:ascii="Bookman Old Style" w:hAnsi="Bookman Old Style"/>
          <w:lang w:val="es-CO"/>
        </w:rPr>
      </w:pPr>
    </w:p>
    <w:p w14:paraId="6C3BBE8F" w14:textId="55DC41B9" w:rsidR="00851954" w:rsidRDefault="00961A10" w:rsidP="004C317B">
      <w:pPr>
        <w:ind w:left="0"/>
        <w:contextualSpacing/>
        <w:jc w:val="both"/>
        <w:rPr>
          <w:rFonts w:ascii="Bookman Old Style" w:hAnsi="Bookman Old Style"/>
          <w:lang w:val="es-CO"/>
        </w:rPr>
      </w:pPr>
      <w:r>
        <w:rPr>
          <w:rFonts w:ascii="Bookman Old Style" w:hAnsi="Bookman Old Style"/>
          <w:lang w:val="es-CO"/>
        </w:rPr>
        <w:t>Así mismo, l</w:t>
      </w:r>
      <w:r w:rsidR="00B92A9A">
        <w:rPr>
          <w:rFonts w:ascii="Bookman Old Style" w:hAnsi="Bookman Old Style"/>
          <w:lang w:val="es-CO"/>
        </w:rPr>
        <w:t xml:space="preserve">a definición de la condición de precio es necesaria para que se pueda dar la comercialización y aprovechamiento del GLP </w:t>
      </w:r>
      <w:r w:rsidR="004831E8">
        <w:rPr>
          <w:rFonts w:ascii="Bookman Old Style" w:hAnsi="Bookman Old Style"/>
          <w:lang w:val="es-CO"/>
        </w:rPr>
        <w:t xml:space="preserve">producido durante </w:t>
      </w:r>
      <w:r w:rsidR="00B92A9A">
        <w:rPr>
          <w:rFonts w:ascii="Bookman Old Style" w:hAnsi="Bookman Old Style"/>
          <w:lang w:val="es-CO"/>
        </w:rPr>
        <w:t xml:space="preserve">el proceso de comisionamiento, </w:t>
      </w:r>
      <w:r w:rsidR="009B0E34">
        <w:rPr>
          <w:rFonts w:ascii="Bookman Old Style" w:hAnsi="Bookman Old Style"/>
          <w:lang w:val="es-CO"/>
        </w:rPr>
        <w:t>reconociendo</w:t>
      </w:r>
      <w:r w:rsidR="00A56918">
        <w:rPr>
          <w:rFonts w:ascii="Bookman Old Style" w:hAnsi="Bookman Old Style"/>
          <w:lang w:val="es-CO"/>
        </w:rPr>
        <w:t xml:space="preserve"> </w:t>
      </w:r>
      <w:r w:rsidR="00DD3A80">
        <w:rPr>
          <w:rFonts w:ascii="Bookman Old Style" w:hAnsi="Bookman Old Style"/>
          <w:lang w:val="es-CO"/>
        </w:rPr>
        <w:t>la situación planteada por Ecopetrol</w:t>
      </w:r>
      <w:r w:rsidR="00851954">
        <w:rPr>
          <w:rFonts w:ascii="Bookman Old Style" w:hAnsi="Bookman Old Style"/>
          <w:lang w:val="es-CO"/>
        </w:rPr>
        <w:t xml:space="preserve"> respecto de</w:t>
      </w:r>
      <w:r w:rsidR="00DD3A80">
        <w:rPr>
          <w:rFonts w:ascii="Bookman Old Style" w:hAnsi="Bookman Old Style"/>
          <w:lang w:val="es-CO"/>
        </w:rPr>
        <w:t xml:space="preserve"> </w:t>
      </w:r>
      <w:r w:rsidR="00EB1D8C">
        <w:rPr>
          <w:rFonts w:ascii="Bookman Old Style" w:hAnsi="Bookman Old Style"/>
          <w:lang w:val="es-CO"/>
        </w:rPr>
        <w:t xml:space="preserve">la imposibilidad de </w:t>
      </w:r>
      <w:r w:rsidR="00DD3A80" w:rsidRPr="004735AF">
        <w:rPr>
          <w:rFonts w:ascii="Bookman Old Style" w:hAnsi="Bookman Old Style"/>
          <w:lang w:val="es-CO"/>
        </w:rPr>
        <w:t>establecer</w:t>
      </w:r>
      <w:r w:rsidR="00BD1B42">
        <w:rPr>
          <w:rFonts w:ascii="Bookman Old Style" w:hAnsi="Bookman Old Style"/>
          <w:lang w:val="es-CO"/>
        </w:rPr>
        <w:t xml:space="preserve"> </w:t>
      </w:r>
      <w:r w:rsidR="00DD3A80" w:rsidRPr="004735AF">
        <w:rPr>
          <w:rFonts w:ascii="Bookman Old Style" w:hAnsi="Bookman Old Style"/>
          <w:lang w:val="es-CO"/>
        </w:rPr>
        <w:t>con certeza</w:t>
      </w:r>
      <w:r w:rsidR="00BD1B42">
        <w:rPr>
          <w:rFonts w:ascii="Bookman Old Style" w:hAnsi="Bookman Old Style"/>
          <w:lang w:val="es-CO"/>
        </w:rPr>
        <w:t>, de forma transitoria y mientras dure dicho período,</w:t>
      </w:r>
      <w:r w:rsidR="00DD3A80" w:rsidRPr="004735AF">
        <w:rPr>
          <w:rFonts w:ascii="Bookman Old Style" w:hAnsi="Bookman Old Style"/>
          <w:lang w:val="es-CO"/>
        </w:rPr>
        <w:t xml:space="preserve"> las cantidades</w:t>
      </w:r>
      <w:r w:rsidR="004D74E0">
        <w:rPr>
          <w:rFonts w:ascii="Bookman Old Style" w:hAnsi="Bookman Old Style"/>
          <w:lang w:val="es-CO"/>
        </w:rPr>
        <w:t xml:space="preserve"> de GLP</w:t>
      </w:r>
      <w:r w:rsidR="00DD3A80" w:rsidRPr="004735AF">
        <w:rPr>
          <w:rFonts w:ascii="Bookman Old Style" w:hAnsi="Bookman Old Style"/>
          <w:lang w:val="es-CO"/>
        </w:rPr>
        <w:t xml:space="preserve"> y el momento en que van a estar disponibles,</w:t>
      </w:r>
      <w:r w:rsidR="00851954">
        <w:rPr>
          <w:rFonts w:ascii="Bookman Old Style" w:hAnsi="Bookman Old Style"/>
          <w:lang w:val="es-CO"/>
        </w:rPr>
        <w:t xml:space="preserve"> </w:t>
      </w:r>
      <w:r w:rsidR="00BC4DCE">
        <w:rPr>
          <w:rFonts w:ascii="Bookman Old Style" w:hAnsi="Bookman Old Style"/>
          <w:lang w:val="es-CO"/>
        </w:rPr>
        <w:t>debido a que dicho producto será el resultante de</w:t>
      </w:r>
      <w:r w:rsidR="00851954">
        <w:rPr>
          <w:rFonts w:ascii="Bookman Old Style" w:hAnsi="Bookman Old Style"/>
          <w:lang w:val="es-CO"/>
        </w:rPr>
        <w:t xml:space="preserve"> </w:t>
      </w:r>
      <w:r w:rsidR="00BC4DCE">
        <w:rPr>
          <w:rFonts w:ascii="Bookman Old Style" w:hAnsi="Bookman Old Style"/>
          <w:lang w:val="es-CO"/>
        </w:rPr>
        <w:t>l</w:t>
      </w:r>
      <w:r w:rsidR="00851954">
        <w:rPr>
          <w:rFonts w:ascii="Bookman Old Style" w:hAnsi="Bookman Old Style"/>
          <w:lang w:val="es-CO"/>
        </w:rPr>
        <w:t>a</w:t>
      </w:r>
      <w:r w:rsidR="00BC4DCE">
        <w:rPr>
          <w:rFonts w:ascii="Bookman Old Style" w:hAnsi="Bookman Old Style"/>
          <w:lang w:val="es-CO"/>
        </w:rPr>
        <w:t>s</w:t>
      </w:r>
      <w:r w:rsidR="00851954">
        <w:rPr>
          <w:rFonts w:ascii="Bookman Old Style" w:hAnsi="Bookman Old Style"/>
          <w:lang w:val="es-CO"/>
        </w:rPr>
        <w:t xml:space="preserve"> pruebas</w:t>
      </w:r>
      <w:r w:rsidR="00BC4DCE">
        <w:rPr>
          <w:rFonts w:ascii="Bookman Old Style" w:hAnsi="Bookman Old Style"/>
          <w:lang w:val="es-CO"/>
        </w:rPr>
        <w:t xml:space="preserve"> que se vayan efectuando con el objetivo de llevar a condiciones de operación la planta de estabilización de condensados de Cupiagua. </w:t>
      </w:r>
    </w:p>
    <w:p w14:paraId="4B0A75A6" w14:textId="77777777" w:rsidR="00BC4DCE" w:rsidRDefault="00BC4DCE" w:rsidP="004C317B">
      <w:pPr>
        <w:ind w:left="0"/>
        <w:contextualSpacing/>
        <w:jc w:val="both"/>
        <w:rPr>
          <w:rFonts w:ascii="Bookman Old Style" w:hAnsi="Bookman Old Style"/>
          <w:lang w:val="es-CO"/>
        </w:rPr>
      </w:pPr>
    </w:p>
    <w:p w14:paraId="6B504B53" w14:textId="3FA2C7EF" w:rsidR="009C25F2" w:rsidRDefault="00BC4DCE" w:rsidP="004C317B">
      <w:pPr>
        <w:ind w:left="0"/>
        <w:contextualSpacing/>
        <w:jc w:val="both"/>
        <w:rPr>
          <w:rFonts w:ascii="Bookman Old Style" w:hAnsi="Bookman Old Style"/>
          <w:lang w:val="es-CO"/>
        </w:rPr>
      </w:pPr>
      <w:r>
        <w:rPr>
          <w:rFonts w:ascii="Bookman Old Style" w:hAnsi="Bookman Old Style"/>
          <w:lang w:val="es-CO"/>
        </w:rPr>
        <w:t>El reconocimiento de esta situación difiere d</w:t>
      </w:r>
      <w:r w:rsidR="009C25F2">
        <w:rPr>
          <w:rFonts w:ascii="Bookman Old Style" w:hAnsi="Bookman Old Style"/>
          <w:lang w:val="es-CO"/>
        </w:rPr>
        <w:t>el marco regulatorio en materia tarifaria a que hacen referencia las Resoluciones CREG 066 de 2007 y 123 de 2010, toda vez que la definición de un precio regulado para una fuente de producción nacional parte de la existencia de unas condiciones permanentes y estables</w:t>
      </w:r>
      <w:r w:rsidR="00BD1B42">
        <w:rPr>
          <w:rFonts w:ascii="Bookman Old Style" w:hAnsi="Bookman Old Style"/>
          <w:lang w:val="es-CO"/>
        </w:rPr>
        <w:t xml:space="preserve"> en el tiempo</w:t>
      </w:r>
      <w:r w:rsidR="009C25F2">
        <w:rPr>
          <w:rFonts w:ascii="Bookman Old Style" w:hAnsi="Bookman Old Style"/>
          <w:lang w:val="es-CO"/>
        </w:rPr>
        <w:t xml:space="preserve"> en relació</w:t>
      </w:r>
      <w:r w:rsidR="00BD1B42">
        <w:rPr>
          <w:rFonts w:ascii="Bookman Old Style" w:hAnsi="Bookman Old Style"/>
          <w:lang w:val="es-CO"/>
        </w:rPr>
        <w:t>n</w:t>
      </w:r>
      <w:r w:rsidR="00961A10">
        <w:rPr>
          <w:rFonts w:ascii="Bookman Old Style" w:hAnsi="Bookman Old Style"/>
          <w:lang w:val="es-CO"/>
        </w:rPr>
        <w:t xml:space="preserve"> con la oferta de dicha fuente, donde</w:t>
      </w:r>
      <w:r w:rsidR="00BD1B42">
        <w:rPr>
          <w:rFonts w:ascii="Bookman Old Style" w:hAnsi="Bookman Old Style"/>
          <w:lang w:val="es-CO"/>
        </w:rPr>
        <w:t xml:space="preserve"> la definición del precio bajo estas condiciones </w:t>
      </w:r>
      <w:r w:rsidR="009C25F2">
        <w:rPr>
          <w:rFonts w:ascii="Bookman Old Style" w:hAnsi="Bookman Old Style"/>
          <w:lang w:val="es-CO"/>
        </w:rPr>
        <w:t xml:space="preserve">se resuelve a través de lo previsto en el artículo 1 de la Resolución CREG 123 de 2010. </w:t>
      </w:r>
      <w:r w:rsidR="00BD1B42">
        <w:rPr>
          <w:rFonts w:ascii="Bookman Old Style" w:hAnsi="Bookman Old Style"/>
          <w:lang w:val="es-CO"/>
        </w:rPr>
        <w:t xml:space="preserve">Las condiciones permanentes </w:t>
      </w:r>
      <w:r w:rsidR="00CE5C66">
        <w:rPr>
          <w:rFonts w:ascii="Bookman Old Style" w:hAnsi="Bookman Old Style"/>
          <w:lang w:val="es-CO"/>
        </w:rPr>
        <w:t xml:space="preserve">y estables en el tiempo se darán </w:t>
      </w:r>
      <w:r w:rsidR="009C25F2">
        <w:rPr>
          <w:rFonts w:ascii="Bookman Old Style" w:hAnsi="Bookman Old Style"/>
          <w:lang w:val="es-CO"/>
        </w:rPr>
        <w:t xml:space="preserve">una vez finalizado el </w:t>
      </w:r>
      <w:r w:rsidR="004831E8">
        <w:rPr>
          <w:rFonts w:ascii="Bookman Old Style" w:hAnsi="Bookman Old Style"/>
          <w:lang w:val="es-CO"/>
        </w:rPr>
        <w:t>comisionamiento (</w:t>
      </w:r>
      <w:r w:rsidR="009C25F2">
        <w:rPr>
          <w:rFonts w:ascii="Bookman Old Style" w:hAnsi="Bookman Old Style"/>
          <w:lang w:val="es-CO"/>
        </w:rPr>
        <w:t>proceso de puesta en marcha</w:t>
      </w:r>
      <w:r w:rsidR="004831E8">
        <w:rPr>
          <w:rFonts w:ascii="Bookman Old Style" w:hAnsi="Bookman Old Style"/>
          <w:lang w:val="es-CO"/>
        </w:rPr>
        <w:t>)</w:t>
      </w:r>
      <w:r w:rsidR="009C25F2">
        <w:rPr>
          <w:rFonts w:ascii="Bookman Old Style" w:hAnsi="Bookman Old Style"/>
          <w:lang w:val="es-CO"/>
        </w:rPr>
        <w:t xml:space="preserve"> de la planta de estabilización de condensados de Cupiagua y se tenga certeza de las cantidades a ser comercializadas según lo previsto en el reglamento de comercialización mayorista, Resolución CREG 053 de 2011.</w:t>
      </w:r>
    </w:p>
    <w:p w14:paraId="0266B02F" w14:textId="77777777" w:rsidR="009C25F2" w:rsidRDefault="009C25F2" w:rsidP="004C317B">
      <w:pPr>
        <w:ind w:left="0"/>
        <w:contextualSpacing/>
        <w:jc w:val="both"/>
        <w:rPr>
          <w:rFonts w:ascii="Bookman Old Style" w:hAnsi="Bookman Old Style"/>
          <w:lang w:val="es-CO"/>
        </w:rPr>
      </w:pPr>
    </w:p>
    <w:p w14:paraId="3881A675" w14:textId="77777777" w:rsidR="00A56918" w:rsidRDefault="00DD3A80" w:rsidP="00DD3A80">
      <w:pPr>
        <w:ind w:left="0"/>
        <w:contextualSpacing/>
        <w:jc w:val="both"/>
        <w:rPr>
          <w:rFonts w:ascii="Bookman Old Style" w:hAnsi="Bookman Old Style"/>
          <w:lang w:val="es-CO"/>
        </w:rPr>
      </w:pPr>
      <w:r>
        <w:rPr>
          <w:rFonts w:ascii="Bookman Old Style" w:hAnsi="Bookman Old Style"/>
          <w:lang w:val="es-CO"/>
        </w:rPr>
        <w:t>Es por esto que</w:t>
      </w:r>
      <w:r w:rsidR="00A56918">
        <w:rPr>
          <w:rFonts w:ascii="Bookman Old Style" w:hAnsi="Bookman Old Style"/>
          <w:lang w:val="es-CO"/>
        </w:rPr>
        <w:t>,</w:t>
      </w:r>
      <w:r>
        <w:rPr>
          <w:rFonts w:ascii="Bookman Old Style" w:hAnsi="Bookman Old Style"/>
          <w:lang w:val="es-CO"/>
        </w:rPr>
        <w:t xml:space="preserve"> </w:t>
      </w:r>
      <w:r w:rsidR="00A56918">
        <w:rPr>
          <w:rFonts w:ascii="Bookman Old Style" w:hAnsi="Bookman Old Style"/>
          <w:lang w:val="es-CO"/>
        </w:rPr>
        <w:t>la definición de las condiciones de comercialización planteadas en la presente propuesta regulatoria corresponde</w:t>
      </w:r>
      <w:r w:rsidR="00514042">
        <w:rPr>
          <w:rFonts w:ascii="Bookman Old Style" w:hAnsi="Bookman Old Style"/>
          <w:lang w:val="es-CO"/>
        </w:rPr>
        <w:t>n</w:t>
      </w:r>
      <w:r w:rsidR="00A56918">
        <w:rPr>
          <w:rFonts w:ascii="Bookman Old Style" w:hAnsi="Bookman Old Style"/>
          <w:lang w:val="es-CO"/>
        </w:rPr>
        <w:t xml:space="preserve"> a regulación de carácter general en los términos del artículo 14.18 de la Ley 142 de 1994, entendida como </w:t>
      </w:r>
      <w:r w:rsidR="00A56918" w:rsidRPr="00A56918">
        <w:rPr>
          <w:rFonts w:ascii="Bookman Old Style" w:hAnsi="Bookman Old Style"/>
          <w:i/>
          <w:lang w:val="es-CO"/>
        </w:rPr>
        <w:t>“la facultad de dictar normas de carácter general en los términos de la Constitución y de esta ley, para someter la conducta de las personas que prestan los servicios públicos domiciliarios a las reglas, normas, principios y deberes establecidos por la ley y los reglamentos</w:t>
      </w:r>
      <w:r w:rsidR="00A56918">
        <w:rPr>
          <w:rFonts w:ascii="Bookman Old Style" w:hAnsi="Bookman Old Style"/>
          <w:lang w:val="es-CO"/>
        </w:rPr>
        <w:t>”</w:t>
      </w:r>
      <w:r w:rsidR="00A56918" w:rsidRPr="00A56918">
        <w:rPr>
          <w:rFonts w:ascii="Bookman Old Style" w:hAnsi="Bookman Old Style"/>
          <w:lang w:val="es-CO"/>
        </w:rPr>
        <w:t>.</w:t>
      </w:r>
    </w:p>
    <w:p w14:paraId="60DBB6DD" w14:textId="77777777" w:rsidR="00A56918" w:rsidRDefault="00A56918" w:rsidP="00DD3A80">
      <w:pPr>
        <w:ind w:left="0"/>
        <w:contextualSpacing/>
        <w:jc w:val="both"/>
        <w:rPr>
          <w:rFonts w:ascii="Bookman Old Style" w:hAnsi="Bookman Old Style"/>
          <w:lang w:val="es-CO"/>
        </w:rPr>
      </w:pPr>
    </w:p>
    <w:p w14:paraId="68031D64" w14:textId="77777777" w:rsidR="00A56918" w:rsidRPr="00A56918" w:rsidRDefault="00A56918" w:rsidP="00A56918">
      <w:pPr>
        <w:ind w:left="0"/>
        <w:contextualSpacing/>
        <w:jc w:val="both"/>
        <w:rPr>
          <w:rFonts w:ascii="Bookman Old Style" w:hAnsi="Bookman Old Style"/>
          <w:lang w:val="es-CO"/>
        </w:rPr>
      </w:pPr>
      <w:r>
        <w:rPr>
          <w:rFonts w:ascii="Bookman Old Style" w:hAnsi="Bookman Old Style"/>
          <w:lang w:val="es-CO"/>
        </w:rPr>
        <w:t xml:space="preserve">Lo anterior en concordancia con lo establecido </w:t>
      </w:r>
      <w:r w:rsidRPr="00A56918">
        <w:rPr>
          <w:rFonts w:ascii="Bookman Old Style" w:hAnsi="Bookman Old Style"/>
          <w:lang w:val="es-CO"/>
        </w:rPr>
        <w:t>en el artículo 73 de la Ley 142 de 1994</w:t>
      </w:r>
      <w:r w:rsidR="009B0E34">
        <w:rPr>
          <w:rFonts w:ascii="Bookman Old Style" w:hAnsi="Bookman Old Style"/>
          <w:lang w:val="es-CO"/>
        </w:rPr>
        <w:t xml:space="preserve"> en relación con las facultades con las que cuenta esta Entidad, donde dicha </w:t>
      </w:r>
      <w:r w:rsidR="009B0E34">
        <w:rPr>
          <w:rFonts w:ascii="Bookman Old Style" w:hAnsi="Bookman Old Style"/>
          <w:lang w:val="es-CO"/>
        </w:rPr>
        <w:lastRenderedPageBreak/>
        <w:t>norma</w:t>
      </w:r>
      <w:r>
        <w:rPr>
          <w:rFonts w:ascii="Bookman Old Style" w:hAnsi="Bookman Old Style"/>
          <w:lang w:val="es-CO"/>
        </w:rPr>
        <w:t xml:space="preserve"> establece que le </w:t>
      </w:r>
      <w:r w:rsidRPr="00A56918">
        <w:rPr>
          <w:rFonts w:ascii="Bookman Old Style" w:hAnsi="Bookman Old Style"/>
          <w:lang w:val="es-CO"/>
        </w:rPr>
        <w:t>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r>
        <w:rPr>
          <w:rFonts w:ascii="Bookman Old Style" w:hAnsi="Bookman Old Style"/>
          <w:lang w:val="es-CO"/>
        </w:rPr>
        <w:t xml:space="preserve"> Así como del </w:t>
      </w:r>
      <w:r w:rsidRPr="00A56918">
        <w:rPr>
          <w:rFonts w:ascii="Bookman Old Style" w:hAnsi="Bookman Old Style"/>
          <w:lang w:val="es-CO"/>
        </w:rPr>
        <w:t xml:space="preserve">literal a) del numeral 74.1 del artículo 74 de la Ley 142 de 1994, </w:t>
      </w:r>
      <w:r w:rsidR="009B0E34">
        <w:rPr>
          <w:rFonts w:ascii="Bookman Old Style" w:hAnsi="Bookman Old Style"/>
          <w:lang w:val="es-CO"/>
        </w:rPr>
        <w:t xml:space="preserve">donde </w:t>
      </w:r>
      <w:r w:rsidRPr="00A56918">
        <w:rPr>
          <w:rFonts w:ascii="Bookman Old Style" w:hAnsi="Bookman Old Style"/>
          <w:lang w:val="es-CO"/>
        </w:rPr>
        <w:t>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5A8B6EC0" w14:textId="77777777" w:rsidR="004735AF" w:rsidRDefault="004735AF" w:rsidP="00D81A3E">
      <w:pPr>
        <w:ind w:left="0"/>
        <w:contextualSpacing/>
        <w:jc w:val="both"/>
        <w:rPr>
          <w:rFonts w:ascii="Bookman Old Style" w:hAnsi="Bookman Old Style"/>
          <w:lang w:val="es-CO"/>
        </w:rPr>
      </w:pPr>
    </w:p>
    <w:p w14:paraId="3224AB65" w14:textId="77777777" w:rsidR="009B0E34" w:rsidRDefault="00A56918" w:rsidP="00A56918">
      <w:pPr>
        <w:ind w:left="0"/>
        <w:contextualSpacing/>
        <w:jc w:val="both"/>
        <w:rPr>
          <w:rFonts w:ascii="Bookman Old Style" w:hAnsi="Bookman Old Style"/>
          <w:lang w:val="es-CO"/>
        </w:rPr>
      </w:pPr>
      <w:r w:rsidRPr="00A56918">
        <w:rPr>
          <w:rFonts w:ascii="Bookman Old Style" w:hAnsi="Bookman Old Style"/>
          <w:lang w:val="es-CO"/>
        </w:rPr>
        <w:t xml:space="preserve">Mediante la Resolución CREG </w:t>
      </w:r>
      <w:r>
        <w:rPr>
          <w:rFonts w:ascii="Bookman Old Style" w:hAnsi="Bookman Old Style"/>
          <w:lang w:val="es-CO"/>
        </w:rPr>
        <w:t>054 de 2019</w:t>
      </w:r>
      <w:r w:rsidRPr="00A56918">
        <w:rPr>
          <w:rFonts w:ascii="Bookman Old Style" w:hAnsi="Bookman Old Style"/>
          <w:lang w:val="es-CO"/>
        </w:rPr>
        <w:t xml:space="preserve"> la Comisión ordenó hacer público el proyecto de resolución </w:t>
      </w:r>
      <w:r w:rsidRPr="009B0E34">
        <w:rPr>
          <w:rFonts w:ascii="Bookman Old Style" w:hAnsi="Bookman Old Style"/>
          <w:i/>
          <w:lang w:val="es-CO"/>
        </w:rPr>
        <w:t>“</w:t>
      </w:r>
      <w:r w:rsidR="009B0E34" w:rsidRPr="009B0E34">
        <w:rPr>
          <w:rFonts w:ascii="Bookman Old Style" w:hAnsi="Bookman Old Style"/>
          <w:i/>
          <w:lang w:val="es-CO"/>
        </w:rPr>
        <w:t>Por la cual se adoptan medidas regulatorias para la comercialización de GLP de comisionamiento de la planta de estabilización de condensados de Cupiagua.</w:t>
      </w:r>
      <w:r w:rsidRPr="009B0E34">
        <w:rPr>
          <w:rFonts w:ascii="Bookman Old Style" w:hAnsi="Bookman Old Style"/>
          <w:i/>
          <w:lang w:val="es-CO"/>
        </w:rPr>
        <w:t>”</w:t>
      </w:r>
      <w:r w:rsidRPr="00A56918">
        <w:rPr>
          <w:rFonts w:ascii="Bookman Old Style" w:hAnsi="Bookman Old Style"/>
          <w:lang w:val="es-CO"/>
        </w:rPr>
        <w:t xml:space="preserve">. </w:t>
      </w:r>
      <w:r w:rsidR="009B0E34">
        <w:rPr>
          <w:rFonts w:ascii="Bookman Old Style" w:hAnsi="Bookman Old Style"/>
          <w:lang w:val="es-CO"/>
        </w:rPr>
        <w:t>Así mismo, la Comisión llevó a cabo un taller el día 12 de junio de 2019, exponiendo el alcance de la presente propuesta regulatoria.</w:t>
      </w:r>
    </w:p>
    <w:p w14:paraId="43D00DE5" w14:textId="77777777" w:rsidR="009B0E34" w:rsidRPr="00A56918" w:rsidRDefault="009B0E34" w:rsidP="00A56918">
      <w:pPr>
        <w:ind w:left="0"/>
        <w:contextualSpacing/>
        <w:jc w:val="both"/>
        <w:rPr>
          <w:rFonts w:ascii="Bookman Old Style" w:hAnsi="Bookman Old Style"/>
          <w:lang w:val="es-CO"/>
        </w:rPr>
      </w:pPr>
    </w:p>
    <w:p w14:paraId="1FB1D99E" w14:textId="77777777" w:rsidR="009B0E34" w:rsidRDefault="009B0E34" w:rsidP="009B0E34">
      <w:pPr>
        <w:ind w:left="0"/>
        <w:contextualSpacing/>
        <w:jc w:val="both"/>
        <w:rPr>
          <w:rFonts w:ascii="Bookman Old Style" w:hAnsi="Bookman Old Style"/>
          <w:lang w:val="es-CO"/>
        </w:rPr>
      </w:pPr>
      <w:r w:rsidRPr="00A56918">
        <w:rPr>
          <w:rFonts w:ascii="Bookman Old Style" w:hAnsi="Bookman Old Style"/>
          <w:lang w:val="es-CO"/>
        </w:rPr>
        <w:t xml:space="preserve">Dentro del período de consulta de dicha propuesta regulatoria se recibieron comentarios por parte </w:t>
      </w:r>
      <w:r w:rsidR="00EB1D8C">
        <w:rPr>
          <w:rFonts w:ascii="Bookman Old Style" w:hAnsi="Bookman Old Style"/>
          <w:lang w:val="es-CO"/>
        </w:rPr>
        <w:t>Ecopetrol, Asociación Gremial Colombiana de Comercializadores de Gas – AGREMGAS y Asociación Colombiana de GLP – Gasnova mediante los</w:t>
      </w:r>
      <w:r w:rsidRPr="00A56918">
        <w:rPr>
          <w:rFonts w:ascii="Bookman Old Style" w:hAnsi="Bookman Old Style"/>
          <w:lang w:val="es-CO"/>
        </w:rPr>
        <w:t xml:space="preserve"> radicado</w:t>
      </w:r>
      <w:r w:rsidR="00EB1D8C">
        <w:rPr>
          <w:rFonts w:ascii="Bookman Old Style" w:hAnsi="Bookman Old Style"/>
          <w:lang w:val="es-CO"/>
        </w:rPr>
        <w:t>s E-2019-006687, E-2019-006693 y E-2019-006703, respectivamente</w:t>
      </w:r>
      <w:r w:rsidRPr="00A56918">
        <w:rPr>
          <w:rFonts w:ascii="Bookman Old Style" w:hAnsi="Bookman Old Style"/>
          <w:lang w:val="es-CO"/>
        </w:rPr>
        <w:t>.</w:t>
      </w:r>
    </w:p>
    <w:p w14:paraId="04F64A8F" w14:textId="77777777" w:rsidR="00A56918" w:rsidRPr="00A56918" w:rsidRDefault="00A56918" w:rsidP="00A56918">
      <w:pPr>
        <w:ind w:left="0"/>
        <w:contextualSpacing/>
        <w:jc w:val="both"/>
        <w:rPr>
          <w:rFonts w:ascii="Bookman Old Style" w:hAnsi="Bookman Old Style"/>
          <w:lang w:val="es-CO"/>
        </w:rPr>
      </w:pPr>
    </w:p>
    <w:p w14:paraId="7797005A" w14:textId="77777777" w:rsidR="00EB1D8C" w:rsidRDefault="00A56918" w:rsidP="00A56918">
      <w:pPr>
        <w:ind w:left="0"/>
        <w:contextualSpacing/>
        <w:jc w:val="both"/>
        <w:rPr>
          <w:rFonts w:ascii="Bookman Old Style" w:hAnsi="Bookman Old Style"/>
          <w:lang w:val="es-CO"/>
        </w:rPr>
      </w:pPr>
      <w:r w:rsidRPr="00A56918">
        <w:rPr>
          <w:rFonts w:ascii="Bookman Old Style" w:hAnsi="Bookman Old Style"/>
          <w:lang w:val="es-CO"/>
        </w:rPr>
        <w:t xml:space="preserve">Con base en lo establecido en el artículo 4 del Decreto 2897 de 2010,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p>
    <w:p w14:paraId="76F56392" w14:textId="77777777" w:rsidR="00EB1D8C" w:rsidRDefault="00EB1D8C" w:rsidP="00A56918">
      <w:pPr>
        <w:ind w:left="0"/>
        <w:contextualSpacing/>
        <w:jc w:val="both"/>
        <w:rPr>
          <w:rFonts w:ascii="Bookman Old Style" w:hAnsi="Bookman Old Style"/>
          <w:lang w:val="es-CO"/>
        </w:rPr>
      </w:pPr>
    </w:p>
    <w:p w14:paraId="3EF9C104" w14:textId="3FB2ACF2" w:rsidR="004735AF" w:rsidRDefault="00A56918" w:rsidP="00A56918">
      <w:pPr>
        <w:ind w:left="0"/>
        <w:contextualSpacing/>
        <w:jc w:val="both"/>
        <w:rPr>
          <w:rFonts w:ascii="Bookman Old Style" w:hAnsi="Bookman Old Style"/>
          <w:lang w:val="es-CO"/>
        </w:rPr>
      </w:pPr>
      <w:r w:rsidRPr="00A56918">
        <w:rPr>
          <w:rFonts w:ascii="Bookman Old Style" w:hAnsi="Bookman Old Style"/>
          <w:lang w:val="es-CO"/>
        </w:rPr>
        <w:t xml:space="preserve">En el </w:t>
      </w:r>
      <w:r w:rsidRPr="0057629A">
        <w:rPr>
          <w:rFonts w:ascii="Bookman Old Style" w:hAnsi="Bookman Old Style"/>
          <w:lang w:val="es-CO"/>
        </w:rPr>
        <w:t>Documento CREG</w:t>
      </w:r>
      <w:r w:rsidR="004D66E1" w:rsidRPr="0057629A">
        <w:rPr>
          <w:rFonts w:ascii="Bookman Old Style" w:hAnsi="Bookman Old Style"/>
          <w:lang w:val="es-CO"/>
        </w:rPr>
        <w:t xml:space="preserve"> </w:t>
      </w:r>
      <w:r w:rsidR="0057629A">
        <w:rPr>
          <w:rFonts w:ascii="Bookman Old Style" w:hAnsi="Bookman Old Style"/>
          <w:lang w:val="es-CO"/>
        </w:rPr>
        <w:t>051</w:t>
      </w:r>
      <w:r w:rsidRPr="0057629A">
        <w:rPr>
          <w:rFonts w:ascii="Bookman Old Style" w:hAnsi="Bookman Old Style"/>
          <w:lang w:val="es-CO"/>
        </w:rPr>
        <w:t xml:space="preserve"> de </w:t>
      </w:r>
      <w:r w:rsidR="00EB1D8C" w:rsidRPr="0057629A">
        <w:rPr>
          <w:rFonts w:ascii="Bookman Old Style" w:hAnsi="Bookman Old Style"/>
          <w:lang w:val="es-CO"/>
        </w:rPr>
        <w:t xml:space="preserve">julio </w:t>
      </w:r>
      <w:r w:rsidR="00377299" w:rsidRPr="0057629A">
        <w:rPr>
          <w:rFonts w:ascii="Bookman Old Style" w:hAnsi="Bookman Old Style"/>
          <w:lang w:val="es-CO"/>
        </w:rPr>
        <w:t>12</w:t>
      </w:r>
      <w:r w:rsidR="00EB1D8C" w:rsidRPr="0057629A">
        <w:rPr>
          <w:rFonts w:ascii="Bookman Old Style" w:hAnsi="Bookman Old Style"/>
          <w:lang w:val="es-CO"/>
        </w:rPr>
        <w:t xml:space="preserve"> de 2019</w:t>
      </w:r>
      <w:r w:rsidRPr="0057629A">
        <w:rPr>
          <w:rFonts w:ascii="Bookman Old Style" w:hAnsi="Bookman Old Style"/>
          <w:lang w:val="es-CO"/>
        </w:rPr>
        <w:t xml:space="preserve"> se</w:t>
      </w:r>
      <w:r w:rsidRPr="00A56918">
        <w:rPr>
          <w:rFonts w:ascii="Bookman Old Style" w:hAnsi="Bookman Old Style"/>
          <w:lang w:val="es-CO"/>
        </w:rPr>
        <w:t xml:space="preserve"> transcribe el cuestionario</w:t>
      </w:r>
      <w:r w:rsidR="00EB1D8C">
        <w:rPr>
          <w:rFonts w:ascii="Bookman Old Style" w:hAnsi="Bookman Old Style"/>
          <w:lang w:val="es-CO"/>
        </w:rPr>
        <w:t>, se consignan los análisis y justificaciones de la presente propuesta regulatoria</w:t>
      </w:r>
      <w:r w:rsidRPr="00A56918">
        <w:rPr>
          <w:rFonts w:ascii="Bookman Old Style" w:hAnsi="Bookman Old Style"/>
          <w:lang w:val="es-CO"/>
        </w:rPr>
        <w:t xml:space="preserve"> y se da</w:t>
      </w:r>
      <w:r w:rsidR="00EB1D8C">
        <w:rPr>
          <w:rFonts w:ascii="Bookman Old Style" w:hAnsi="Bookman Old Style"/>
          <w:lang w:val="es-CO"/>
        </w:rPr>
        <w:t>n</w:t>
      </w:r>
      <w:r w:rsidRPr="00A56918">
        <w:rPr>
          <w:rFonts w:ascii="Bookman Old Style" w:hAnsi="Bookman Old Style"/>
          <w:lang w:val="es-CO"/>
        </w:rPr>
        <w:t xml:space="preserve"> respuesta a los comentarios recibidos a la propuesta de la Resolución CREG </w:t>
      </w:r>
      <w:r w:rsidR="00EB1D8C">
        <w:rPr>
          <w:rFonts w:ascii="Bookman Old Style" w:hAnsi="Bookman Old Style"/>
          <w:lang w:val="es-CO"/>
        </w:rPr>
        <w:t>054 de 2019</w:t>
      </w:r>
      <w:r w:rsidRPr="00A56918">
        <w:rPr>
          <w:rFonts w:ascii="Bookman Old Style" w:hAnsi="Bookman Old Style"/>
          <w:lang w:val="es-CO"/>
        </w:rPr>
        <w:t>.</w:t>
      </w:r>
    </w:p>
    <w:p w14:paraId="0E6E7C5D" w14:textId="77777777" w:rsidR="00EB1D8C" w:rsidRDefault="00EB1D8C" w:rsidP="00A56918">
      <w:pPr>
        <w:ind w:left="0"/>
        <w:contextualSpacing/>
        <w:jc w:val="both"/>
        <w:rPr>
          <w:rFonts w:ascii="Bookman Old Style" w:hAnsi="Bookman Old Style"/>
          <w:lang w:val="es-CO"/>
        </w:rPr>
      </w:pPr>
    </w:p>
    <w:p w14:paraId="3FA5C152" w14:textId="77777777" w:rsidR="00EE51DD" w:rsidRDefault="00EB1D8C" w:rsidP="0089152A">
      <w:pPr>
        <w:ind w:left="0"/>
        <w:jc w:val="both"/>
        <w:rPr>
          <w:rFonts w:ascii="Bookman Old Style" w:hAnsi="Bookman Old Style"/>
          <w:lang w:val="es-CO"/>
        </w:rPr>
      </w:pPr>
      <w:r w:rsidRPr="00EB1D8C">
        <w:rPr>
          <w:rFonts w:ascii="Bookman Old Style" w:hAnsi="Bookman Old Style"/>
          <w:lang w:val="es-CO"/>
        </w:rPr>
        <w:t xml:space="preserve">La Comisión de Regulación de Energía y Gas aprobó el presente acto administrativo en la sesión </w:t>
      </w:r>
      <w:r w:rsidR="00C472DE" w:rsidRPr="00C472DE">
        <w:rPr>
          <w:rFonts w:ascii="Bookman Old Style" w:hAnsi="Bookman Old Style"/>
          <w:lang w:val="es-CO"/>
        </w:rPr>
        <w:t>No. 932</w:t>
      </w:r>
      <w:r w:rsidRPr="00C472DE">
        <w:rPr>
          <w:rFonts w:ascii="Bookman Old Style" w:hAnsi="Bookman Old Style"/>
          <w:lang w:val="es-CO"/>
        </w:rPr>
        <w:t xml:space="preserve"> del </w:t>
      </w:r>
      <w:r w:rsidR="00C472DE" w:rsidRPr="00C472DE">
        <w:rPr>
          <w:rFonts w:ascii="Bookman Old Style" w:hAnsi="Bookman Old Style"/>
          <w:lang w:val="es-CO"/>
        </w:rPr>
        <w:t>12</w:t>
      </w:r>
      <w:r w:rsidRPr="00C472DE">
        <w:rPr>
          <w:rFonts w:ascii="Bookman Old Style" w:hAnsi="Bookman Old Style"/>
          <w:lang w:val="es-CO"/>
        </w:rPr>
        <w:t xml:space="preserve"> de </w:t>
      </w:r>
      <w:r w:rsidR="00C472DE">
        <w:rPr>
          <w:rFonts w:ascii="Bookman Old Style" w:hAnsi="Bookman Old Style"/>
          <w:lang w:val="es-CO"/>
        </w:rPr>
        <w:t>julio</w:t>
      </w:r>
      <w:r>
        <w:rPr>
          <w:rFonts w:ascii="Bookman Old Style" w:hAnsi="Bookman Old Style"/>
          <w:lang w:val="es-CO"/>
        </w:rPr>
        <w:t xml:space="preserve"> de 2019</w:t>
      </w:r>
      <w:r>
        <w:rPr>
          <w:rStyle w:val="Refdenotaalpie"/>
          <w:rFonts w:ascii="Bookman Old Style" w:hAnsi="Bookman Old Style"/>
          <w:lang w:val="es-CO"/>
        </w:rPr>
        <w:footnoteReference w:id="1"/>
      </w:r>
      <w:r w:rsidRPr="00EB1D8C">
        <w:rPr>
          <w:rFonts w:ascii="Bookman Old Style" w:hAnsi="Bookman Old Style"/>
          <w:lang w:val="es-CO"/>
        </w:rPr>
        <w:t>.</w:t>
      </w:r>
    </w:p>
    <w:p w14:paraId="54F62FD8" w14:textId="77777777" w:rsidR="00D97D09" w:rsidRPr="00DB3DC7" w:rsidRDefault="00D97D09" w:rsidP="0089152A">
      <w:pPr>
        <w:ind w:left="0"/>
        <w:jc w:val="both"/>
        <w:rPr>
          <w:rFonts w:ascii="Bookman Old Style" w:hAnsi="Bookman Old Style" w:cs="Arial"/>
          <w:lang w:val="es-ES_tradnl"/>
        </w:rPr>
      </w:pPr>
    </w:p>
    <w:p w14:paraId="03964F22" w14:textId="77777777" w:rsidR="00DB3DC7" w:rsidRPr="00DB3DC7" w:rsidRDefault="00DB3DC7" w:rsidP="00DB3DC7">
      <w:pPr>
        <w:keepNext/>
        <w:jc w:val="center"/>
        <w:rPr>
          <w:rFonts w:ascii="Bookman Old Style" w:hAnsi="Bookman Old Style"/>
          <w:b/>
          <w:spacing w:val="40"/>
        </w:rPr>
      </w:pPr>
      <w:r w:rsidRPr="00DB3DC7">
        <w:rPr>
          <w:rFonts w:ascii="Bookman Old Style" w:hAnsi="Bookman Old Style"/>
          <w:b/>
          <w:spacing w:val="100"/>
        </w:rPr>
        <w:t>RESUELV</w:t>
      </w:r>
      <w:r w:rsidRPr="00DB3DC7">
        <w:rPr>
          <w:rFonts w:ascii="Bookman Old Style" w:hAnsi="Bookman Old Style"/>
          <w:b/>
          <w:spacing w:val="40"/>
        </w:rPr>
        <w:t>E:</w:t>
      </w:r>
    </w:p>
    <w:p w14:paraId="386680C7" w14:textId="77777777" w:rsidR="00AD12CF" w:rsidRPr="00EE51DD" w:rsidRDefault="00AD12CF" w:rsidP="00EE51DD">
      <w:pPr>
        <w:ind w:left="0"/>
        <w:jc w:val="both"/>
        <w:rPr>
          <w:rFonts w:ascii="Bookman Old Style" w:hAnsi="Bookman Old Style" w:cs="Arial"/>
          <w:lang w:val="es-ES_tradnl"/>
        </w:rPr>
      </w:pPr>
    </w:p>
    <w:p w14:paraId="4F671953" w14:textId="77777777" w:rsidR="00EA2C9B" w:rsidRDefault="0043697C" w:rsidP="00DA4E09">
      <w:pPr>
        <w:widowControl w:val="0"/>
        <w:adjustRightInd w:val="0"/>
        <w:ind w:left="0"/>
        <w:jc w:val="both"/>
        <w:textAlignment w:val="baseline"/>
        <w:rPr>
          <w:rFonts w:ascii="Bookman Old Style" w:hAnsi="Bookman Old Style" w:cs="Arial"/>
        </w:rPr>
      </w:pPr>
      <w:r>
        <w:rPr>
          <w:rFonts w:ascii="Bookman Old Style" w:hAnsi="Bookman Old Style" w:cs="Arial"/>
          <w:b/>
          <w:bCs/>
        </w:rPr>
        <w:t xml:space="preserve">Artículo 1. </w:t>
      </w:r>
      <w:r w:rsidR="00380A32" w:rsidRPr="00DA4E09">
        <w:rPr>
          <w:rFonts w:ascii="Bookman Old Style" w:hAnsi="Bookman Old Style" w:cs="Arial"/>
          <w:b/>
        </w:rPr>
        <w:t>Definiciones.</w:t>
      </w:r>
      <w:r w:rsidR="00DA4E09">
        <w:rPr>
          <w:rFonts w:ascii="Bookman Old Style" w:hAnsi="Bookman Old Style" w:cs="Arial"/>
          <w:b/>
        </w:rPr>
        <w:t xml:space="preserve"> </w:t>
      </w:r>
      <w:r w:rsidR="00DA4E09" w:rsidRPr="00DA4E09">
        <w:rPr>
          <w:rFonts w:ascii="Bookman Old Style" w:hAnsi="Bookman Old Style" w:cs="Arial"/>
        </w:rPr>
        <w:t>Para interpretar y aplicar esta resolución se tendrán en cuenta las siguientes definiciones:</w:t>
      </w:r>
    </w:p>
    <w:p w14:paraId="4143667C" w14:textId="77777777" w:rsidR="00B63877" w:rsidRDefault="00B63877" w:rsidP="00BF4E76">
      <w:pPr>
        <w:widowControl w:val="0"/>
        <w:adjustRightInd w:val="0"/>
        <w:ind w:left="0"/>
        <w:jc w:val="both"/>
        <w:textAlignment w:val="baseline"/>
        <w:rPr>
          <w:rFonts w:ascii="Bookman Old Style" w:hAnsi="Bookman Old Style" w:cs="Arial"/>
        </w:rPr>
      </w:pPr>
    </w:p>
    <w:p w14:paraId="51BF7B03" w14:textId="77777777" w:rsidR="009021E5" w:rsidRDefault="009021E5" w:rsidP="009021E5">
      <w:pPr>
        <w:widowControl w:val="0"/>
        <w:adjustRightInd w:val="0"/>
        <w:ind w:left="0"/>
        <w:jc w:val="both"/>
        <w:textAlignment w:val="baseline"/>
        <w:rPr>
          <w:rFonts w:ascii="Bookman Old Style" w:hAnsi="Bookman Old Style" w:cs="Arial"/>
        </w:rPr>
      </w:pPr>
      <w:r w:rsidRPr="00BF4E76">
        <w:rPr>
          <w:rFonts w:ascii="Bookman Old Style" w:hAnsi="Bookman Old Style" w:cs="Arial"/>
          <w:b/>
        </w:rPr>
        <w:t>Capacidad de compra:</w:t>
      </w:r>
      <w:r>
        <w:rPr>
          <w:rFonts w:ascii="Bookman Old Style" w:hAnsi="Bookman Old Style" w:cs="Arial"/>
        </w:rPr>
        <w:t xml:space="preserve"> Para efectos de esta resolución debe interpretarse de acuerdo a lo dispuesto en la Resolución CREG 063 de 2016 o aquellas </w:t>
      </w:r>
      <w:r w:rsidR="00DD390A">
        <w:rPr>
          <w:rFonts w:ascii="Bookman Old Style" w:hAnsi="Bookman Old Style" w:cs="Arial"/>
        </w:rPr>
        <w:t>que la modifiquen o sustituyan.</w:t>
      </w:r>
    </w:p>
    <w:p w14:paraId="3BDDDAD7" w14:textId="77777777" w:rsidR="00BF4E76" w:rsidRDefault="00BF4E76" w:rsidP="00BF4E76">
      <w:pPr>
        <w:widowControl w:val="0"/>
        <w:adjustRightInd w:val="0"/>
        <w:ind w:left="0"/>
        <w:jc w:val="both"/>
        <w:textAlignment w:val="baseline"/>
        <w:rPr>
          <w:rFonts w:ascii="Bookman Old Style" w:hAnsi="Bookman Old Style" w:cs="Arial"/>
        </w:rPr>
      </w:pPr>
      <w:r w:rsidRPr="00BF4E76">
        <w:rPr>
          <w:rFonts w:ascii="Bookman Old Style" w:hAnsi="Bookman Old Style" w:cs="Arial"/>
          <w:b/>
        </w:rPr>
        <w:lastRenderedPageBreak/>
        <w:t>Capacidad disponible de compra:</w:t>
      </w:r>
      <w:r>
        <w:rPr>
          <w:rFonts w:ascii="Bookman Old Style" w:hAnsi="Bookman Old Style" w:cs="Arial"/>
        </w:rPr>
        <w:t xml:space="preserve"> Para efectos de esta resolución debe interpretarse de acuerdo a lo dispuesto en la Resolución CREG 063 de 2016 o aquellas </w:t>
      </w:r>
      <w:r w:rsidR="00873DE1">
        <w:rPr>
          <w:rFonts w:ascii="Bookman Old Style" w:hAnsi="Bookman Old Style" w:cs="Arial"/>
        </w:rPr>
        <w:t>que la modifiquen o sustituyan.</w:t>
      </w:r>
    </w:p>
    <w:p w14:paraId="49212EF7" w14:textId="77777777" w:rsidR="00BF4E76" w:rsidRDefault="00BF4E76" w:rsidP="00B63877">
      <w:pPr>
        <w:widowControl w:val="0"/>
        <w:adjustRightInd w:val="0"/>
        <w:ind w:left="0"/>
        <w:textAlignment w:val="baseline"/>
        <w:rPr>
          <w:rFonts w:ascii="Bookman Old Style" w:hAnsi="Bookman Old Style" w:cs="Arial"/>
        </w:rPr>
      </w:pPr>
    </w:p>
    <w:p w14:paraId="191390CD" w14:textId="77777777" w:rsidR="000A5782" w:rsidRDefault="00D20104" w:rsidP="0054077D">
      <w:pPr>
        <w:widowControl w:val="0"/>
        <w:adjustRightInd w:val="0"/>
        <w:ind w:left="0"/>
        <w:jc w:val="both"/>
        <w:textAlignment w:val="baseline"/>
        <w:rPr>
          <w:rFonts w:ascii="Bookman Old Style" w:hAnsi="Bookman Old Style" w:cs="Arial"/>
        </w:rPr>
      </w:pPr>
      <w:r>
        <w:rPr>
          <w:rFonts w:ascii="Bookman Old Style" w:hAnsi="Bookman Old Style" w:cs="Arial"/>
          <w:b/>
        </w:rPr>
        <w:t>Ci</w:t>
      </w:r>
      <w:r w:rsidR="00DD390A">
        <w:rPr>
          <w:rFonts w:ascii="Bookman Old Style" w:hAnsi="Bookman Old Style" w:cs="Arial"/>
          <w:b/>
        </w:rPr>
        <w:t>clo de nominación de suministro:</w:t>
      </w:r>
      <w:r>
        <w:rPr>
          <w:rFonts w:ascii="Bookman Old Style" w:hAnsi="Bookman Old Style" w:cs="Arial"/>
          <w:b/>
        </w:rPr>
        <w:t xml:space="preserve"> </w:t>
      </w:r>
      <w:r w:rsidR="000A5782">
        <w:rPr>
          <w:rFonts w:ascii="Bookman Old Style" w:hAnsi="Bookman Old Style" w:cs="Arial"/>
        </w:rPr>
        <w:t>Proceso</w:t>
      </w:r>
      <w:r w:rsidR="00435C3A">
        <w:rPr>
          <w:rFonts w:ascii="Bookman Old Style" w:hAnsi="Bookman Old Style" w:cs="Arial"/>
        </w:rPr>
        <w:t xml:space="preserve"> estandarizado</w:t>
      </w:r>
      <w:r w:rsidR="000A5782">
        <w:rPr>
          <w:rFonts w:ascii="Bookman Old Style" w:hAnsi="Bookman Old Style" w:cs="Arial"/>
        </w:rPr>
        <w:t xml:space="preserve"> que se inicia con el anuncio de cantidades disponibles de </w:t>
      </w:r>
      <w:r w:rsidR="003701BB">
        <w:rPr>
          <w:rFonts w:ascii="Bookman Old Style" w:hAnsi="Bookman Old Style" w:cs="Arial"/>
        </w:rPr>
        <w:t>producto por parte de Ecopetrol</w:t>
      </w:r>
      <w:r w:rsidR="000A5782">
        <w:rPr>
          <w:rFonts w:ascii="Bookman Old Style" w:hAnsi="Bookman Old Style" w:cs="Arial"/>
        </w:rPr>
        <w:t xml:space="preserve"> y que termina con la confirmación del respectivo programa de entregas.</w:t>
      </w:r>
    </w:p>
    <w:p w14:paraId="1EA6BE80" w14:textId="77777777" w:rsidR="00F6344A" w:rsidRDefault="00F6344A" w:rsidP="0054077D">
      <w:pPr>
        <w:widowControl w:val="0"/>
        <w:adjustRightInd w:val="0"/>
        <w:ind w:left="0"/>
        <w:jc w:val="both"/>
        <w:textAlignment w:val="baseline"/>
        <w:rPr>
          <w:rFonts w:ascii="Bookman Old Style" w:hAnsi="Bookman Old Style" w:cs="Arial"/>
        </w:rPr>
      </w:pPr>
    </w:p>
    <w:p w14:paraId="7DE6E68C" w14:textId="78EA8B8A" w:rsidR="00F6344A" w:rsidRDefault="00F6344A" w:rsidP="00F6344A">
      <w:pPr>
        <w:widowControl w:val="0"/>
        <w:adjustRightInd w:val="0"/>
        <w:ind w:left="0"/>
        <w:jc w:val="both"/>
        <w:textAlignment w:val="baseline"/>
        <w:rPr>
          <w:rFonts w:ascii="Bookman Old Style" w:hAnsi="Bookman Old Style" w:cs="Arial"/>
        </w:rPr>
      </w:pPr>
      <w:r>
        <w:rPr>
          <w:rFonts w:ascii="Bookman Old Style" w:hAnsi="Bookman Old Style" w:cs="Arial"/>
          <w:b/>
        </w:rPr>
        <w:t xml:space="preserve">Comisionamiento </w:t>
      </w:r>
      <w:r w:rsidRPr="0054077D">
        <w:rPr>
          <w:rFonts w:ascii="Bookman Old Style" w:hAnsi="Bookman Old Style" w:cs="Arial"/>
          <w:b/>
        </w:rPr>
        <w:t>(</w:t>
      </w:r>
      <w:r>
        <w:rPr>
          <w:rFonts w:ascii="Bookman Old Style" w:hAnsi="Bookman Old Style" w:cs="Arial"/>
          <w:b/>
        </w:rPr>
        <w:t>Puesta en marcha</w:t>
      </w:r>
      <w:r w:rsidRPr="0054077D">
        <w:rPr>
          <w:rFonts w:ascii="Bookman Old Style" w:hAnsi="Bookman Old Style" w:cs="Arial"/>
          <w:b/>
        </w:rPr>
        <w:t>) de la planta de</w:t>
      </w:r>
      <w:r>
        <w:rPr>
          <w:rFonts w:ascii="Bookman Old Style" w:hAnsi="Bookman Old Style" w:cs="Arial"/>
          <w:b/>
        </w:rPr>
        <w:t xml:space="preserve"> estabilización de condensados de Cupiagua</w:t>
      </w:r>
      <w:r w:rsidRPr="0054077D">
        <w:rPr>
          <w:rFonts w:ascii="Bookman Old Style" w:hAnsi="Bookman Old Style" w:cs="Arial"/>
          <w:b/>
        </w:rPr>
        <w:t>:</w:t>
      </w:r>
      <w:r w:rsidRPr="0054077D">
        <w:rPr>
          <w:rFonts w:ascii="Bookman Old Style" w:hAnsi="Bookman Old Style" w:cs="Arial"/>
        </w:rPr>
        <w:t xml:space="preserve"> Proceso</w:t>
      </w:r>
      <w:r>
        <w:rPr>
          <w:rFonts w:ascii="Bookman Old Style" w:hAnsi="Bookman Old Style" w:cs="Arial"/>
        </w:rPr>
        <w:t xml:space="preserve"> mediante el cual se </w:t>
      </w:r>
      <w:r w:rsidRPr="0054077D">
        <w:rPr>
          <w:rFonts w:ascii="Bookman Old Style" w:hAnsi="Bookman Old Style" w:cs="Arial"/>
        </w:rPr>
        <w:t>realiza</w:t>
      </w:r>
      <w:r>
        <w:rPr>
          <w:rFonts w:ascii="Bookman Old Style" w:hAnsi="Bookman Old Style" w:cs="Arial"/>
        </w:rPr>
        <w:t>n</w:t>
      </w:r>
      <w:r w:rsidRPr="0054077D">
        <w:rPr>
          <w:rFonts w:ascii="Bookman Old Style" w:hAnsi="Bookman Old Style" w:cs="Arial"/>
        </w:rPr>
        <w:t xml:space="preserve"> las pruebas necesarias </w:t>
      </w:r>
      <w:r>
        <w:rPr>
          <w:rFonts w:ascii="Bookman Old Style" w:hAnsi="Bookman Old Style" w:cs="Arial"/>
        </w:rPr>
        <w:t>a la planta de estabilización de condensados de Cupiagua</w:t>
      </w:r>
      <w:r w:rsidRPr="0054077D">
        <w:rPr>
          <w:rFonts w:ascii="Bookman Old Style" w:hAnsi="Bookman Old Style" w:cs="Arial"/>
        </w:rPr>
        <w:t>, para</w:t>
      </w:r>
      <w:r>
        <w:rPr>
          <w:rFonts w:ascii="Bookman Old Style" w:hAnsi="Bookman Old Style" w:cs="Arial"/>
        </w:rPr>
        <w:t xml:space="preserve"> lograr que el </w:t>
      </w:r>
      <w:r w:rsidRPr="00E94E92">
        <w:rPr>
          <w:rFonts w:ascii="Bookman Old Style" w:hAnsi="Bookman Old Style" w:cs="Arial"/>
        </w:rPr>
        <w:t>funcionamiento</w:t>
      </w:r>
      <w:r>
        <w:rPr>
          <w:rFonts w:ascii="Bookman Old Style" w:hAnsi="Bookman Old Style" w:cs="Arial"/>
        </w:rPr>
        <w:t xml:space="preserve"> de la misma esté</w:t>
      </w:r>
      <w:r w:rsidRPr="00E94E92">
        <w:rPr>
          <w:rFonts w:ascii="Bookman Old Style" w:hAnsi="Bookman Old Style" w:cs="Arial"/>
        </w:rPr>
        <w:t xml:space="preserve"> acorde con los diseños y estándares establecidos</w:t>
      </w:r>
      <w:r>
        <w:rPr>
          <w:rFonts w:ascii="Bookman Old Style" w:hAnsi="Bookman Old Style" w:cs="Arial"/>
        </w:rPr>
        <w:t>.</w:t>
      </w:r>
    </w:p>
    <w:p w14:paraId="6FB06650" w14:textId="77777777" w:rsidR="00D20104" w:rsidRDefault="00D20104" w:rsidP="0054077D">
      <w:pPr>
        <w:widowControl w:val="0"/>
        <w:adjustRightInd w:val="0"/>
        <w:ind w:left="0"/>
        <w:jc w:val="both"/>
        <w:textAlignment w:val="baseline"/>
        <w:rPr>
          <w:rFonts w:ascii="Bookman Old Style" w:hAnsi="Bookman Old Style" w:cs="Arial"/>
          <w:b/>
        </w:rPr>
      </w:pPr>
    </w:p>
    <w:p w14:paraId="5D51FF80" w14:textId="77777777" w:rsidR="006E4CF8" w:rsidRPr="00727EEE" w:rsidRDefault="00727EEE" w:rsidP="0054077D">
      <w:pPr>
        <w:widowControl w:val="0"/>
        <w:adjustRightInd w:val="0"/>
        <w:ind w:left="0"/>
        <w:jc w:val="both"/>
        <w:textAlignment w:val="baseline"/>
        <w:rPr>
          <w:rFonts w:ascii="Bookman Old Style" w:hAnsi="Bookman Old Style" w:cs="Arial"/>
        </w:rPr>
      </w:pPr>
      <w:r>
        <w:rPr>
          <w:rFonts w:ascii="Bookman Old Style" w:hAnsi="Bookman Old Style" w:cs="Arial"/>
          <w:b/>
        </w:rPr>
        <w:t xml:space="preserve">Contratos de </w:t>
      </w:r>
      <w:r w:rsidR="000B1A3E">
        <w:rPr>
          <w:rFonts w:ascii="Bookman Old Style" w:hAnsi="Bookman Old Style" w:cs="Arial"/>
          <w:b/>
        </w:rPr>
        <w:t xml:space="preserve">suministro de </w:t>
      </w:r>
      <w:r>
        <w:rPr>
          <w:rFonts w:ascii="Bookman Old Style" w:hAnsi="Bookman Old Style" w:cs="Arial"/>
          <w:b/>
        </w:rPr>
        <w:t xml:space="preserve">GLP de </w:t>
      </w:r>
      <w:r w:rsidR="00B465F9">
        <w:rPr>
          <w:rFonts w:ascii="Bookman Old Style" w:hAnsi="Bookman Old Style" w:cs="Arial"/>
          <w:b/>
        </w:rPr>
        <w:t>Comisionamiento</w:t>
      </w:r>
      <w:r w:rsidR="00DD390A">
        <w:rPr>
          <w:rFonts w:ascii="Bookman Old Style" w:hAnsi="Bookman Old Style" w:cs="Arial"/>
          <w:b/>
        </w:rPr>
        <w:t>:</w:t>
      </w:r>
      <w:r>
        <w:rPr>
          <w:rFonts w:ascii="Bookman Old Style" w:hAnsi="Bookman Old Style" w:cs="Arial"/>
          <w:b/>
        </w:rPr>
        <w:t xml:space="preserve"> </w:t>
      </w:r>
      <w:r w:rsidRPr="00727EEE">
        <w:rPr>
          <w:rFonts w:ascii="Bookman Old Style" w:hAnsi="Bookman Old Style" w:cs="Arial"/>
        </w:rPr>
        <w:t>Corresponde a los contratos de suministro de GLP</w:t>
      </w:r>
      <w:r>
        <w:rPr>
          <w:rFonts w:ascii="Bookman Old Style" w:hAnsi="Bookman Old Style" w:cs="Arial"/>
        </w:rPr>
        <w:t xml:space="preserve"> que </w:t>
      </w:r>
      <w:r w:rsidR="003701BB">
        <w:rPr>
          <w:rFonts w:ascii="Bookman Old Style" w:hAnsi="Bookman Old Style" w:cs="Arial"/>
        </w:rPr>
        <w:t xml:space="preserve">se suscriban durante </w:t>
      </w:r>
      <w:r>
        <w:rPr>
          <w:rFonts w:ascii="Bookman Old Style" w:hAnsi="Bookman Old Style" w:cs="Arial"/>
        </w:rPr>
        <w:t>el esquema de comercialización de GLP de comisionamiento.</w:t>
      </w:r>
    </w:p>
    <w:p w14:paraId="2DC3B5D5" w14:textId="77777777" w:rsidR="006E4CF8" w:rsidRDefault="006E4CF8" w:rsidP="0054077D">
      <w:pPr>
        <w:widowControl w:val="0"/>
        <w:adjustRightInd w:val="0"/>
        <w:ind w:left="0"/>
        <w:jc w:val="both"/>
        <w:textAlignment w:val="baseline"/>
        <w:rPr>
          <w:rFonts w:ascii="Bookman Old Style" w:hAnsi="Bookman Old Style" w:cs="Arial"/>
          <w:b/>
        </w:rPr>
      </w:pPr>
    </w:p>
    <w:p w14:paraId="4823682C" w14:textId="77777777" w:rsidR="00B553E4" w:rsidRDefault="00384980" w:rsidP="0054077D">
      <w:pPr>
        <w:widowControl w:val="0"/>
        <w:adjustRightInd w:val="0"/>
        <w:ind w:left="0"/>
        <w:jc w:val="both"/>
        <w:textAlignment w:val="baseline"/>
        <w:rPr>
          <w:rFonts w:ascii="Bookman Old Style" w:hAnsi="Bookman Old Style" w:cs="Arial"/>
          <w:b/>
        </w:rPr>
      </w:pPr>
      <w:r>
        <w:rPr>
          <w:rFonts w:ascii="Bookman Old Style" w:hAnsi="Bookman Old Style" w:cs="Arial"/>
          <w:b/>
        </w:rPr>
        <w:t xml:space="preserve">GLP </w:t>
      </w:r>
      <w:r w:rsidR="00B553E4" w:rsidRPr="00B553E4">
        <w:rPr>
          <w:rFonts w:ascii="Bookman Old Style" w:hAnsi="Bookman Old Style" w:cs="Arial"/>
          <w:b/>
        </w:rPr>
        <w:t>de</w:t>
      </w:r>
      <w:r w:rsidR="00B553E4">
        <w:rPr>
          <w:rFonts w:ascii="Bookman Old Style" w:hAnsi="Bookman Old Style" w:cs="Arial"/>
          <w:b/>
        </w:rPr>
        <w:t xml:space="preserve"> </w:t>
      </w:r>
      <w:r>
        <w:rPr>
          <w:rFonts w:ascii="Bookman Old Style" w:hAnsi="Bookman Old Style" w:cs="Arial"/>
          <w:b/>
        </w:rPr>
        <w:t>comisionamiento</w:t>
      </w:r>
      <w:r w:rsidR="00B553E4" w:rsidRPr="00B553E4">
        <w:rPr>
          <w:rFonts w:ascii="Bookman Old Style" w:hAnsi="Bookman Old Style" w:cs="Arial"/>
          <w:b/>
        </w:rPr>
        <w:t xml:space="preserve">: </w:t>
      </w:r>
      <w:r w:rsidR="00B553E4" w:rsidRPr="00B553E4">
        <w:rPr>
          <w:rFonts w:ascii="Bookman Old Style" w:hAnsi="Bookman Old Style" w:cs="Arial"/>
        </w:rPr>
        <w:t xml:space="preserve">Es </w:t>
      </w:r>
      <w:r w:rsidR="00E94E92">
        <w:rPr>
          <w:rFonts w:ascii="Bookman Old Style" w:hAnsi="Bookman Old Style" w:cs="Arial"/>
        </w:rPr>
        <w:t>el GLP que quede disponible para el servicio público domiciliario como resultado de las pruebas adelantadas durante la puesta en marcha de la planta de estabilización de condensados de Cupiagua</w:t>
      </w:r>
      <w:r w:rsidR="003701BB">
        <w:rPr>
          <w:rFonts w:ascii="Bookman Old Style" w:hAnsi="Bookman Old Style" w:cs="Arial"/>
        </w:rPr>
        <w:t xml:space="preserve"> y que Ecopetrol anuncie como disponible para el servicio público domiciliario</w:t>
      </w:r>
      <w:r w:rsidR="00B553E4" w:rsidRPr="00B553E4">
        <w:rPr>
          <w:rFonts w:ascii="Bookman Old Style" w:hAnsi="Bookman Old Style" w:cs="Arial"/>
        </w:rPr>
        <w:t>.</w:t>
      </w:r>
    </w:p>
    <w:p w14:paraId="116037E1" w14:textId="77777777" w:rsidR="00B553E4" w:rsidRDefault="00B553E4" w:rsidP="0054077D">
      <w:pPr>
        <w:widowControl w:val="0"/>
        <w:adjustRightInd w:val="0"/>
        <w:ind w:left="0"/>
        <w:jc w:val="both"/>
        <w:textAlignment w:val="baseline"/>
        <w:rPr>
          <w:rFonts w:ascii="Bookman Old Style" w:hAnsi="Bookman Old Style" w:cs="Arial"/>
          <w:b/>
        </w:rPr>
      </w:pPr>
    </w:p>
    <w:p w14:paraId="334C68B0" w14:textId="77777777" w:rsidR="00D20104" w:rsidRDefault="00D20104" w:rsidP="0054077D">
      <w:pPr>
        <w:widowControl w:val="0"/>
        <w:adjustRightInd w:val="0"/>
        <w:ind w:left="0"/>
        <w:jc w:val="both"/>
        <w:textAlignment w:val="baseline"/>
        <w:rPr>
          <w:rFonts w:ascii="Bookman Old Style" w:hAnsi="Bookman Old Style" w:cs="Arial"/>
        </w:rPr>
      </w:pPr>
      <w:r w:rsidRPr="00D20104">
        <w:rPr>
          <w:rFonts w:ascii="Bookman Old Style" w:hAnsi="Bookman Old Style" w:cs="Arial"/>
          <w:b/>
        </w:rPr>
        <w:t>Nominación de</w:t>
      </w:r>
      <w:r>
        <w:rPr>
          <w:rFonts w:ascii="Bookman Old Style" w:hAnsi="Bookman Old Style" w:cs="Arial"/>
          <w:b/>
        </w:rPr>
        <w:t xml:space="preserve"> suministro</w:t>
      </w:r>
      <w:r w:rsidRPr="00D20104">
        <w:rPr>
          <w:rFonts w:ascii="Bookman Old Style" w:hAnsi="Bookman Old Style" w:cs="Arial"/>
          <w:b/>
        </w:rPr>
        <w:t xml:space="preserve">: </w:t>
      </w:r>
      <w:r w:rsidR="00226A17">
        <w:rPr>
          <w:rFonts w:ascii="Bookman Old Style" w:hAnsi="Bookman Old Style" w:cs="Arial"/>
        </w:rPr>
        <w:t>Corresponde a la cantidad de producto solicitada por un comprador para cada ciclo de nominación.</w:t>
      </w:r>
    </w:p>
    <w:p w14:paraId="46B1895E" w14:textId="77777777" w:rsidR="0090325F" w:rsidRDefault="0090325F" w:rsidP="006958D5">
      <w:pPr>
        <w:widowControl w:val="0"/>
        <w:adjustRightInd w:val="0"/>
        <w:ind w:left="0"/>
        <w:jc w:val="both"/>
        <w:textAlignment w:val="baseline"/>
        <w:rPr>
          <w:rFonts w:ascii="Bookman Old Style" w:hAnsi="Bookman Old Style" w:cs="Arial"/>
        </w:rPr>
      </w:pPr>
    </w:p>
    <w:p w14:paraId="23EFA5C7" w14:textId="77777777" w:rsidR="0090325F" w:rsidRPr="000D4C5E" w:rsidRDefault="0090325F" w:rsidP="0090325F">
      <w:pPr>
        <w:widowControl w:val="0"/>
        <w:adjustRightInd w:val="0"/>
        <w:ind w:left="0"/>
        <w:jc w:val="both"/>
        <w:textAlignment w:val="baseline"/>
        <w:rPr>
          <w:rFonts w:ascii="Bookman Old Style" w:hAnsi="Bookman Old Style" w:cs="Arial"/>
        </w:rPr>
      </w:pPr>
      <w:r>
        <w:rPr>
          <w:rFonts w:ascii="Bookman Old Style" w:hAnsi="Bookman Old Style" w:cs="Arial"/>
          <w:b/>
          <w:bCs/>
        </w:rPr>
        <w:t xml:space="preserve">Artículo 2. Periodo de </w:t>
      </w:r>
      <w:r w:rsidR="00B465F9">
        <w:rPr>
          <w:rFonts w:ascii="Bookman Old Style" w:hAnsi="Bookman Old Style" w:cs="Arial"/>
          <w:b/>
          <w:bCs/>
        </w:rPr>
        <w:t>Comisionamiento</w:t>
      </w:r>
      <w:r>
        <w:rPr>
          <w:rFonts w:ascii="Bookman Old Style" w:hAnsi="Bookman Old Style" w:cs="Arial"/>
          <w:b/>
          <w:bCs/>
        </w:rPr>
        <w:t xml:space="preserve">. </w:t>
      </w:r>
      <w:r w:rsidRPr="005413B3">
        <w:rPr>
          <w:rFonts w:ascii="Bookman Old Style" w:hAnsi="Bookman Old Style" w:cs="Arial"/>
        </w:rPr>
        <w:t>Corresponde al periodo comprendido entre las fechas de inicio y terminación que informe Ecopetrol</w:t>
      </w:r>
      <w:r>
        <w:rPr>
          <w:rFonts w:ascii="Bookman Old Style" w:hAnsi="Bookman Old Style" w:cs="Arial"/>
        </w:rPr>
        <w:t>, de acuerdo con las siguientes disposiciones</w:t>
      </w:r>
      <w:r>
        <w:rPr>
          <w:rFonts w:ascii="Bookman Old Style" w:hAnsi="Bookman Old Style" w:cs="Arial"/>
          <w:bCs/>
        </w:rPr>
        <w:t>:</w:t>
      </w:r>
    </w:p>
    <w:p w14:paraId="3BB799D6" w14:textId="77777777" w:rsidR="0090325F" w:rsidRPr="00C96B28" w:rsidRDefault="0090325F" w:rsidP="0090325F">
      <w:pPr>
        <w:widowControl w:val="0"/>
        <w:adjustRightInd w:val="0"/>
        <w:ind w:left="0"/>
        <w:jc w:val="both"/>
        <w:textAlignment w:val="baseline"/>
        <w:rPr>
          <w:rFonts w:ascii="Bookman Old Style" w:hAnsi="Bookman Old Style" w:cs="Arial"/>
        </w:rPr>
      </w:pPr>
    </w:p>
    <w:p w14:paraId="0D9578B8" w14:textId="77777777" w:rsidR="0090325F" w:rsidRPr="003F6014" w:rsidRDefault="0090325F" w:rsidP="0090325F">
      <w:pPr>
        <w:pStyle w:val="Prrafodelista"/>
        <w:widowControl w:val="0"/>
        <w:numPr>
          <w:ilvl w:val="0"/>
          <w:numId w:val="14"/>
        </w:numPr>
        <w:adjustRightInd w:val="0"/>
        <w:jc w:val="both"/>
        <w:textAlignment w:val="baseline"/>
        <w:rPr>
          <w:rFonts w:ascii="Bookman Old Style" w:hAnsi="Bookman Old Style"/>
          <w:sz w:val="24"/>
          <w:szCs w:val="24"/>
        </w:rPr>
      </w:pPr>
      <w:r w:rsidRPr="00A64CED">
        <w:rPr>
          <w:rFonts w:ascii="Bookman Old Style" w:hAnsi="Bookman Old Style" w:cs="Arial"/>
          <w:sz w:val="24"/>
          <w:szCs w:val="24"/>
        </w:rPr>
        <w:t>Ecopetrol deberá informar a la CREG, a la SSPD y publicar en su página web</w:t>
      </w:r>
      <w:r>
        <w:rPr>
          <w:rFonts w:ascii="Bookman Old Style" w:hAnsi="Bookman Old Style" w:cs="Arial"/>
          <w:sz w:val="24"/>
          <w:szCs w:val="24"/>
        </w:rPr>
        <w:t>, con una antelación no menor a diez (10) días calendario, l</w:t>
      </w:r>
      <w:r w:rsidRPr="00C96B28">
        <w:rPr>
          <w:rFonts w:ascii="Bookman Old Style" w:hAnsi="Bookman Old Style" w:cs="Arial"/>
          <w:sz w:val="24"/>
          <w:szCs w:val="24"/>
        </w:rPr>
        <w:t xml:space="preserve">a fecha de </w:t>
      </w:r>
      <w:r>
        <w:rPr>
          <w:rFonts w:ascii="Bookman Old Style" w:hAnsi="Bookman Old Style" w:cs="Arial"/>
          <w:sz w:val="24"/>
          <w:szCs w:val="24"/>
        </w:rPr>
        <w:t>inicio del periodo de comisionamiento.</w:t>
      </w:r>
    </w:p>
    <w:p w14:paraId="3A44D361" w14:textId="77777777" w:rsidR="0090325F" w:rsidRPr="00E648F8" w:rsidRDefault="0090325F" w:rsidP="0090325F">
      <w:pPr>
        <w:pStyle w:val="Prrafodelista"/>
        <w:widowControl w:val="0"/>
        <w:adjustRightInd w:val="0"/>
        <w:ind w:left="435"/>
        <w:jc w:val="both"/>
        <w:textAlignment w:val="baseline"/>
        <w:rPr>
          <w:rFonts w:ascii="Bookman Old Style" w:hAnsi="Bookman Old Style"/>
          <w:sz w:val="24"/>
          <w:szCs w:val="24"/>
        </w:rPr>
      </w:pPr>
    </w:p>
    <w:p w14:paraId="030F4139" w14:textId="32DB2C5C" w:rsidR="0090325F" w:rsidRPr="0057629A" w:rsidRDefault="0090325F" w:rsidP="0057629A">
      <w:pPr>
        <w:pStyle w:val="Prrafodelista"/>
        <w:widowControl w:val="0"/>
        <w:numPr>
          <w:ilvl w:val="0"/>
          <w:numId w:val="14"/>
        </w:numPr>
        <w:adjustRightInd w:val="0"/>
        <w:jc w:val="both"/>
        <w:textAlignment w:val="baseline"/>
        <w:rPr>
          <w:rFonts w:ascii="Bookman Old Style" w:hAnsi="Bookman Old Style" w:cs="Arial"/>
          <w:sz w:val="24"/>
          <w:szCs w:val="24"/>
        </w:rPr>
      </w:pPr>
      <w:r w:rsidRPr="00A64CED">
        <w:rPr>
          <w:rFonts w:ascii="Bookman Old Style" w:hAnsi="Bookman Old Style" w:cs="Arial"/>
          <w:sz w:val="24"/>
          <w:szCs w:val="24"/>
        </w:rPr>
        <w:t>Ecopetrol deberá informar a la CREG, a la SSPD y publicar en su página web</w:t>
      </w:r>
      <w:r>
        <w:rPr>
          <w:rFonts w:ascii="Bookman Old Style" w:hAnsi="Bookman Old Style" w:cs="Arial"/>
          <w:sz w:val="24"/>
          <w:szCs w:val="24"/>
        </w:rPr>
        <w:t>, con una antelación no menor a diez (10) días calendario, l</w:t>
      </w:r>
      <w:r w:rsidRPr="00C96B28">
        <w:rPr>
          <w:rFonts w:ascii="Bookman Old Style" w:hAnsi="Bookman Old Style" w:cs="Arial"/>
          <w:sz w:val="24"/>
          <w:szCs w:val="24"/>
        </w:rPr>
        <w:t xml:space="preserve">a fecha de terminación </w:t>
      </w:r>
      <w:r>
        <w:rPr>
          <w:rFonts w:ascii="Bookman Old Style" w:hAnsi="Bookman Old Style" w:cs="Arial"/>
          <w:sz w:val="24"/>
          <w:szCs w:val="24"/>
        </w:rPr>
        <w:t xml:space="preserve">del periodo de </w:t>
      </w:r>
      <w:r w:rsidR="00325C37">
        <w:rPr>
          <w:rFonts w:ascii="Bookman Old Style" w:hAnsi="Bookman Old Style" w:cs="Arial"/>
          <w:sz w:val="24"/>
          <w:szCs w:val="24"/>
        </w:rPr>
        <w:t>Comisionamiento</w:t>
      </w:r>
      <w:r>
        <w:rPr>
          <w:rFonts w:ascii="Bookman Old Style" w:hAnsi="Bookman Old Style" w:cs="Arial"/>
          <w:sz w:val="24"/>
          <w:szCs w:val="24"/>
        </w:rPr>
        <w:t>.</w:t>
      </w:r>
    </w:p>
    <w:p w14:paraId="4388D9A5" w14:textId="77777777" w:rsidR="0090325F" w:rsidRPr="0057629A" w:rsidRDefault="0090325F" w:rsidP="0057629A">
      <w:pPr>
        <w:widowControl w:val="0"/>
        <w:adjustRightInd w:val="0"/>
        <w:ind w:left="0"/>
        <w:jc w:val="both"/>
        <w:textAlignment w:val="baseline"/>
        <w:rPr>
          <w:rFonts w:ascii="Bookman Old Style" w:hAnsi="Bookman Old Style"/>
        </w:rPr>
      </w:pPr>
    </w:p>
    <w:p w14:paraId="7412578B" w14:textId="2BFA3553" w:rsidR="0090325F" w:rsidRPr="00981970" w:rsidRDefault="0090325F" w:rsidP="0090325F">
      <w:pPr>
        <w:pStyle w:val="Prrafodelista"/>
        <w:widowControl w:val="0"/>
        <w:numPr>
          <w:ilvl w:val="0"/>
          <w:numId w:val="14"/>
        </w:numPr>
        <w:adjustRightInd w:val="0"/>
        <w:jc w:val="both"/>
        <w:textAlignment w:val="baseline"/>
        <w:rPr>
          <w:rFonts w:ascii="Bookman Old Style" w:hAnsi="Bookman Old Style" w:cs="Arial"/>
        </w:rPr>
      </w:pPr>
      <w:r>
        <w:rPr>
          <w:rFonts w:ascii="Bookman Old Style" w:hAnsi="Bookman Old Style" w:cs="Arial"/>
          <w:sz w:val="24"/>
          <w:szCs w:val="24"/>
        </w:rPr>
        <w:t xml:space="preserve">Con el aviso de terminación del periodo de </w:t>
      </w:r>
      <w:r w:rsidR="00A17FA1">
        <w:rPr>
          <w:rFonts w:ascii="Bookman Old Style" w:hAnsi="Bookman Old Style" w:cs="Arial"/>
          <w:sz w:val="24"/>
          <w:szCs w:val="24"/>
        </w:rPr>
        <w:t>Comisionamiento</w:t>
      </w:r>
      <w:r>
        <w:rPr>
          <w:rFonts w:ascii="Bookman Old Style" w:hAnsi="Bookman Old Style" w:cs="Arial"/>
          <w:sz w:val="24"/>
          <w:szCs w:val="24"/>
        </w:rPr>
        <w:t>, Ecopetrol podrá convocar a una Oferta Pública de Cantidades, OPC, para comercializar cantidades en firme de la fuente de producción de Cupiagua por lo que reste de la OPC que se encuentre en curso. Esta OPC estará abierta a todos los distribuidores y usuarios no regulados en los términos del artículo 12 de la Resolución CREG 053 de 2011. Para el proceso de asignación de cantidades se considerará como zona de influencia de esta fuente</w:t>
      </w:r>
      <w:r w:rsidR="00A17FA1">
        <w:rPr>
          <w:rFonts w:ascii="Bookman Old Style" w:hAnsi="Bookman Old Style" w:cs="Arial"/>
          <w:sz w:val="24"/>
          <w:szCs w:val="24"/>
        </w:rPr>
        <w:t>,</w:t>
      </w:r>
      <w:r>
        <w:rPr>
          <w:rFonts w:ascii="Bookman Old Style" w:hAnsi="Bookman Old Style" w:cs="Arial"/>
          <w:sz w:val="24"/>
          <w:szCs w:val="24"/>
        </w:rPr>
        <w:t xml:space="preserve"> todo el país.</w:t>
      </w:r>
    </w:p>
    <w:p w14:paraId="7EB57012" w14:textId="77777777" w:rsidR="0090325F" w:rsidRPr="00981970" w:rsidRDefault="0090325F" w:rsidP="0090325F">
      <w:pPr>
        <w:pStyle w:val="Prrafodelista"/>
        <w:widowControl w:val="0"/>
        <w:adjustRightInd w:val="0"/>
        <w:ind w:left="435"/>
        <w:jc w:val="both"/>
        <w:textAlignment w:val="baseline"/>
        <w:rPr>
          <w:rFonts w:ascii="Bookman Old Style" w:hAnsi="Bookman Old Style" w:cs="Arial"/>
        </w:rPr>
      </w:pPr>
    </w:p>
    <w:p w14:paraId="1199570E" w14:textId="77777777" w:rsidR="0090325F" w:rsidRDefault="0090325F" w:rsidP="0090325F">
      <w:pPr>
        <w:widowControl w:val="0"/>
        <w:adjustRightInd w:val="0"/>
        <w:ind w:left="435"/>
        <w:jc w:val="both"/>
        <w:textAlignment w:val="baseline"/>
        <w:rPr>
          <w:rFonts w:ascii="Bookman Old Style" w:hAnsi="Bookman Old Style" w:cs="Arial"/>
        </w:rPr>
      </w:pPr>
      <w:r>
        <w:rPr>
          <w:rFonts w:ascii="Bookman Old Style" w:hAnsi="Bookman Old Style" w:cs="Arial"/>
        </w:rPr>
        <w:t>Por tratarse esta de una OPC original no le serán aplicables las disposiciones definidas en el parágrafo 1 del artículo 13 de la Resolución CREG 053 de 2011, modificado mediante Resolución CREG 064 de 2016, previstas para la realización de OPC adicionales.</w:t>
      </w:r>
    </w:p>
    <w:p w14:paraId="42AD78F2" w14:textId="77777777" w:rsidR="0090325F" w:rsidRDefault="0090325F" w:rsidP="0090325F">
      <w:pPr>
        <w:widowControl w:val="0"/>
        <w:adjustRightInd w:val="0"/>
        <w:ind w:left="435"/>
        <w:jc w:val="both"/>
        <w:textAlignment w:val="baseline"/>
        <w:rPr>
          <w:rFonts w:ascii="Bookman Old Style" w:hAnsi="Bookman Old Style" w:cs="Arial"/>
        </w:rPr>
      </w:pPr>
    </w:p>
    <w:p w14:paraId="1405B2FC" w14:textId="77777777" w:rsidR="0090325F" w:rsidRDefault="0090325F" w:rsidP="0090325F">
      <w:pPr>
        <w:widowControl w:val="0"/>
        <w:adjustRightInd w:val="0"/>
        <w:ind w:left="435"/>
        <w:jc w:val="both"/>
        <w:textAlignment w:val="baseline"/>
        <w:rPr>
          <w:rFonts w:ascii="Bookman Old Style" w:hAnsi="Bookman Old Style" w:cs="Arial"/>
        </w:rPr>
      </w:pPr>
      <w:r>
        <w:rPr>
          <w:rFonts w:ascii="Bookman Old Style" w:hAnsi="Bookman Old Style" w:cs="Arial"/>
        </w:rPr>
        <w:lastRenderedPageBreak/>
        <w:t xml:space="preserve">El precio aplicable a las cantidades asignadas en esta OPC será el que defina la CREG como Precio Máximo Regulado para el GLP de la fuente de producción nacional de Cupiagua. </w:t>
      </w:r>
    </w:p>
    <w:p w14:paraId="39B02392" w14:textId="77777777" w:rsidR="0090325F" w:rsidRDefault="0090325F" w:rsidP="0090325F">
      <w:pPr>
        <w:widowControl w:val="0"/>
        <w:adjustRightInd w:val="0"/>
        <w:ind w:left="435"/>
        <w:jc w:val="both"/>
        <w:textAlignment w:val="baseline"/>
        <w:rPr>
          <w:rFonts w:ascii="Bookman Old Style" w:hAnsi="Bookman Old Style" w:cs="Arial"/>
        </w:rPr>
      </w:pPr>
    </w:p>
    <w:p w14:paraId="35517075" w14:textId="77777777" w:rsidR="0090325F" w:rsidRPr="007F5921" w:rsidRDefault="0090325F" w:rsidP="0090325F">
      <w:pPr>
        <w:widowControl w:val="0"/>
        <w:adjustRightInd w:val="0"/>
        <w:ind w:left="435"/>
        <w:jc w:val="both"/>
        <w:textAlignment w:val="baseline"/>
        <w:rPr>
          <w:rFonts w:ascii="Bookman Old Style" w:hAnsi="Bookman Old Style"/>
        </w:rPr>
      </w:pPr>
      <w:r>
        <w:rPr>
          <w:rFonts w:ascii="Bookman Old Style" w:hAnsi="Bookman Old Style" w:cs="Arial"/>
        </w:rPr>
        <w:t>La OPC de la que trata este literal podrá llevarse a cabo sin perjuicio de lo previsto en el parágrafo del artículo 1 de la Resolución CREG 123 de 2010.</w:t>
      </w:r>
    </w:p>
    <w:p w14:paraId="1053F8DF" w14:textId="77777777" w:rsidR="0090325F" w:rsidRDefault="0090325F" w:rsidP="006958D5">
      <w:pPr>
        <w:widowControl w:val="0"/>
        <w:adjustRightInd w:val="0"/>
        <w:ind w:left="0"/>
        <w:jc w:val="both"/>
        <w:textAlignment w:val="baseline"/>
        <w:rPr>
          <w:rFonts w:ascii="Bookman Old Style" w:hAnsi="Bookman Old Style" w:cs="Arial"/>
        </w:rPr>
      </w:pPr>
    </w:p>
    <w:p w14:paraId="007F379E" w14:textId="77777777" w:rsidR="00F06E91" w:rsidRDefault="00F06E91" w:rsidP="00F06E91">
      <w:pPr>
        <w:widowControl w:val="0"/>
        <w:adjustRightInd w:val="0"/>
        <w:ind w:left="0"/>
        <w:jc w:val="both"/>
        <w:textAlignment w:val="baseline"/>
        <w:rPr>
          <w:rFonts w:ascii="Bookman Old Style" w:hAnsi="Bookman Old Style" w:cs="Arial"/>
        </w:rPr>
      </w:pPr>
      <w:r>
        <w:rPr>
          <w:rFonts w:ascii="Bookman Old Style" w:hAnsi="Bookman Old Style" w:cs="Arial"/>
          <w:b/>
          <w:bCs/>
        </w:rPr>
        <w:t xml:space="preserve">Artículo 3. </w:t>
      </w:r>
      <w:r w:rsidRPr="00C93BBF">
        <w:rPr>
          <w:rFonts w:ascii="Bookman Old Style" w:hAnsi="Bookman Old Style" w:cs="Arial"/>
          <w:b/>
        </w:rPr>
        <w:t>Participantes de</w:t>
      </w:r>
      <w:r>
        <w:rPr>
          <w:rFonts w:ascii="Bookman Old Style" w:hAnsi="Bookman Old Style" w:cs="Arial"/>
          <w:b/>
        </w:rPr>
        <w:t>l</w:t>
      </w:r>
      <w:r w:rsidRPr="00C93BBF">
        <w:rPr>
          <w:rFonts w:ascii="Bookman Old Style" w:hAnsi="Bookman Old Style" w:cs="Arial"/>
          <w:b/>
        </w:rPr>
        <w:t xml:space="preserve"> e</w:t>
      </w:r>
      <w:r>
        <w:rPr>
          <w:rFonts w:ascii="Bookman Old Style" w:hAnsi="Bookman Old Style" w:cs="Arial"/>
          <w:b/>
        </w:rPr>
        <w:t>squema de comercialización de</w:t>
      </w:r>
      <w:r w:rsidRPr="00C93BBF">
        <w:rPr>
          <w:rFonts w:ascii="Bookman Old Style" w:hAnsi="Bookman Old Style" w:cs="Arial"/>
          <w:b/>
        </w:rPr>
        <w:t xml:space="preserve"> GLP de </w:t>
      </w:r>
      <w:r w:rsidR="00A17FA1" w:rsidRPr="00C93BBF">
        <w:rPr>
          <w:rFonts w:ascii="Bookman Old Style" w:hAnsi="Bookman Old Style" w:cs="Arial"/>
          <w:b/>
        </w:rPr>
        <w:t>Comisionamiento</w:t>
      </w:r>
      <w:r w:rsidRPr="00C93BBF">
        <w:rPr>
          <w:rFonts w:ascii="Bookman Old Style" w:hAnsi="Bookman Old Style" w:cs="Arial"/>
          <w:b/>
        </w:rPr>
        <w:t>.</w:t>
      </w:r>
      <w:r>
        <w:rPr>
          <w:rFonts w:ascii="Bookman Old Style" w:hAnsi="Bookman Old Style" w:cs="Arial"/>
        </w:rPr>
        <w:t xml:space="preserve"> </w:t>
      </w:r>
      <w:r w:rsidRPr="00C93BBF">
        <w:rPr>
          <w:rFonts w:ascii="Bookman Old Style" w:hAnsi="Bookman Old Style" w:cs="Arial"/>
        </w:rPr>
        <w:t xml:space="preserve">Podrán participar como compradores en </w:t>
      </w:r>
      <w:r>
        <w:rPr>
          <w:rFonts w:ascii="Bookman Old Style" w:hAnsi="Bookman Old Style" w:cs="Arial"/>
        </w:rPr>
        <w:t xml:space="preserve">este esquema los mismos a los que </w:t>
      </w:r>
      <w:r w:rsidR="008702EC">
        <w:rPr>
          <w:rFonts w:ascii="Bookman Old Style" w:hAnsi="Bookman Old Style" w:cs="Arial"/>
        </w:rPr>
        <w:t xml:space="preserve">se </w:t>
      </w:r>
      <w:r>
        <w:rPr>
          <w:rFonts w:ascii="Bookman Old Style" w:hAnsi="Bookman Old Style" w:cs="Arial"/>
        </w:rPr>
        <w:t>hace referencia en el artículo 12 de la Resolución CREG 053 de 2011.</w:t>
      </w:r>
    </w:p>
    <w:p w14:paraId="2B854925" w14:textId="77777777" w:rsidR="00356E85" w:rsidRDefault="00356E85" w:rsidP="00F06E91">
      <w:pPr>
        <w:widowControl w:val="0"/>
        <w:adjustRightInd w:val="0"/>
        <w:ind w:left="0"/>
        <w:jc w:val="both"/>
        <w:textAlignment w:val="baseline"/>
        <w:rPr>
          <w:rFonts w:ascii="Bookman Old Style" w:hAnsi="Bookman Old Style" w:cs="Arial"/>
        </w:rPr>
      </w:pPr>
    </w:p>
    <w:p w14:paraId="3353D261" w14:textId="7E1537BB" w:rsidR="009E1739" w:rsidRDefault="00F06E91" w:rsidP="00B919CA">
      <w:pPr>
        <w:widowControl w:val="0"/>
        <w:adjustRightInd w:val="0"/>
        <w:ind w:left="0"/>
        <w:jc w:val="both"/>
        <w:textAlignment w:val="baseline"/>
        <w:rPr>
          <w:rFonts w:ascii="Bookman Old Style" w:hAnsi="Bookman Old Style" w:cs="Arial"/>
        </w:rPr>
      </w:pPr>
      <w:r>
        <w:rPr>
          <w:rFonts w:ascii="Bookman Old Style" w:hAnsi="Bookman Old Style" w:cs="Arial"/>
          <w:b/>
          <w:bCs/>
        </w:rPr>
        <w:t>Artículo 4</w:t>
      </w:r>
      <w:r w:rsidR="00380A32">
        <w:rPr>
          <w:rFonts w:ascii="Bookman Old Style" w:hAnsi="Bookman Old Style" w:cs="Arial"/>
          <w:b/>
          <w:bCs/>
        </w:rPr>
        <w:t xml:space="preserve">. </w:t>
      </w:r>
      <w:r w:rsidR="00947335" w:rsidRPr="00947335">
        <w:rPr>
          <w:rFonts w:ascii="Bookman Old Style" w:hAnsi="Bookman Old Style" w:cs="Arial"/>
          <w:b/>
        </w:rPr>
        <w:t xml:space="preserve">Esquema </w:t>
      </w:r>
      <w:r w:rsidR="001E0503">
        <w:rPr>
          <w:rFonts w:ascii="Bookman Old Style" w:hAnsi="Bookman Old Style" w:cs="Arial"/>
          <w:b/>
        </w:rPr>
        <w:t xml:space="preserve">y condiciones </w:t>
      </w:r>
      <w:r w:rsidR="00C93BBF">
        <w:rPr>
          <w:rFonts w:ascii="Bookman Old Style" w:hAnsi="Bookman Old Style" w:cs="Arial"/>
          <w:b/>
        </w:rPr>
        <w:t>de</w:t>
      </w:r>
      <w:r w:rsidR="00947335" w:rsidRPr="00947335">
        <w:rPr>
          <w:rFonts w:ascii="Bookman Old Style" w:hAnsi="Bookman Old Style" w:cs="Arial"/>
          <w:b/>
        </w:rPr>
        <w:t xml:space="preserve"> comercialización de GLP de </w:t>
      </w:r>
      <w:r w:rsidR="00A17FA1" w:rsidRPr="00947335">
        <w:rPr>
          <w:rFonts w:ascii="Bookman Old Style" w:hAnsi="Bookman Old Style" w:cs="Arial"/>
          <w:b/>
        </w:rPr>
        <w:t>Comisionamiento</w:t>
      </w:r>
      <w:r w:rsidR="00947335" w:rsidRPr="00947335">
        <w:rPr>
          <w:rFonts w:ascii="Bookman Old Style" w:hAnsi="Bookman Old Style" w:cs="Arial"/>
          <w:b/>
        </w:rPr>
        <w:t>.</w:t>
      </w:r>
      <w:r w:rsidR="009E1739">
        <w:rPr>
          <w:rFonts w:ascii="Bookman Old Style" w:hAnsi="Bookman Old Style" w:cs="Arial"/>
        </w:rPr>
        <w:t xml:space="preserve"> En desarrollo del esquema de comercialización de</w:t>
      </w:r>
      <w:r w:rsidR="00C0289B">
        <w:rPr>
          <w:rFonts w:ascii="Bookman Old Style" w:hAnsi="Bookman Old Style" w:cs="Arial"/>
        </w:rPr>
        <w:t>l</w:t>
      </w:r>
      <w:r w:rsidR="009E1739">
        <w:rPr>
          <w:rFonts w:ascii="Bookman Old Style" w:hAnsi="Bookman Old Style" w:cs="Arial"/>
        </w:rPr>
        <w:t xml:space="preserve"> GLP </w:t>
      </w:r>
      <w:r w:rsidR="00A17FA1">
        <w:rPr>
          <w:rFonts w:ascii="Bookman Old Style" w:hAnsi="Bookman Old Style" w:cs="Arial"/>
        </w:rPr>
        <w:t>producido durante el</w:t>
      </w:r>
      <w:r w:rsidR="009E1739">
        <w:rPr>
          <w:rFonts w:ascii="Bookman Old Style" w:hAnsi="Bookman Old Style" w:cs="Arial"/>
        </w:rPr>
        <w:t xml:space="preserve"> </w:t>
      </w:r>
      <w:r w:rsidR="00195501">
        <w:rPr>
          <w:rFonts w:ascii="Bookman Old Style" w:hAnsi="Bookman Old Style" w:cs="Arial"/>
        </w:rPr>
        <w:t>c</w:t>
      </w:r>
      <w:r w:rsidR="00A17FA1">
        <w:rPr>
          <w:rFonts w:ascii="Bookman Old Style" w:hAnsi="Bookman Old Style" w:cs="Arial"/>
        </w:rPr>
        <w:t xml:space="preserve">omisionamiento </w:t>
      </w:r>
      <w:r w:rsidR="009E1739">
        <w:rPr>
          <w:rFonts w:ascii="Bookman Old Style" w:hAnsi="Bookman Old Style" w:cs="Arial"/>
        </w:rPr>
        <w:t>y la aplicación de las disposiciones previstas en esta resolución, los participantes del mismo deberán e</w:t>
      </w:r>
      <w:r w:rsidR="009E1739" w:rsidRPr="009E1739">
        <w:rPr>
          <w:rFonts w:ascii="Bookman Old Style" w:hAnsi="Bookman Old Style" w:cs="Arial"/>
        </w:rPr>
        <w:t>vitar que el acceso al producto</w:t>
      </w:r>
      <w:r w:rsidR="009E1739">
        <w:rPr>
          <w:rFonts w:ascii="Bookman Old Style" w:hAnsi="Bookman Old Style" w:cs="Arial"/>
        </w:rPr>
        <w:t xml:space="preserve"> </w:t>
      </w:r>
      <w:r w:rsidR="009E1739" w:rsidRPr="009E1739">
        <w:rPr>
          <w:rFonts w:ascii="Bookman Old Style" w:hAnsi="Bookman Old Style" w:cs="Arial"/>
        </w:rPr>
        <w:t xml:space="preserve">se convierta en una barrera para la competencia </w:t>
      </w:r>
      <w:r w:rsidR="009E1739">
        <w:rPr>
          <w:rFonts w:ascii="Bookman Old Style" w:hAnsi="Bookman Old Style" w:cs="Arial"/>
        </w:rPr>
        <w:t>en la distribución y comercialización m</w:t>
      </w:r>
      <w:r w:rsidR="009E1739" w:rsidRPr="009E1739">
        <w:rPr>
          <w:rFonts w:ascii="Bookman Old Style" w:hAnsi="Bookman Old Style" w:cs="Arial"/>
        </w:rPr>
        <w:t xml:space="preserve">inorista de GLP o en una ventaja para aumentar la posición dominante de </w:t>
      </w:r>
      <w:r w:rsidR="009E1739">
        <w:rPr>
          <w:rFonts w:ascii="Bookman Old Style" w:hAnsi="Bookman Old Style" w:cs="Arial"/>
        </w:rPr>
        <w:t>algún</w:t>
      </w:r>
      <w:r w:rsidR="009E1739" w:rsidRPr="009E1739">
        <w:rPr>
          <w:rFonts w:ascii="Bookman Old Style" w:hAnsi="Bookman Old Style" w:cs="Arial"/>
        </w:rPr>
        <w:t xml:space="preserve"> agente</w:t>
      </w:r>
      <w:r w:rsidR="009E1739">
        <w:rPr>
          <w:rFonts w:ascii="Bookman Old Style" w:hAnsi="Bookman Old Style" w:cs="Arial"/>
        </w:rPr>
        <w:t>.</w:t>
      </w:r>
    </w:p>
    <w:p w14:paraId="31BAB296" w14:textId="77777777" w:rsidR="009E1739" w:rsidRDefault="009E1739" w:rsidP="00B919CA">
      <w:pPr>
        <w:widowControl w:val="0"/>
        <w:adjustRightInd w:val="0"/>
        <w:ind w:left="0"/>
        <w:jc w:val="both"/>
        <w:textAlignment w:val="baseline"/>
        <w:rPr>
          <w:rFonts w:ascii="Bookman Old Style" w:hAnsi="Bookman Old Style" w:cs="Arial"/>
        </w:rPr>
      </w:pPr>
    </w:p>
    <w:p w14:paraId="6261F06E" w14:textId="0F07EB09" w:rsidR="00435C3A" w:rsidRDefault="00F06E91" w:rsidP="00B919CA">
      <w:pPr>
        <w:widowControl w:val="0"/>
        <w:adjustRightInd w:val="0"/>
        <w:ind w:left="0"/>
        <w:jc w:val="both"/>
        <w:textAlignment w:val="baseline"/>
        <w:rPr>
          <w:rFonts w:ascii="Bookman Old Style" w:hAnsi="Bookman Old Style" w:cs="Arial"/>
        </w:rPr>
      </w:pPr>
      <w:r>
        <w:rPr>
          <w:rFonts w:ascii="Bookman Old Style" w:hAnsi="Bookman Old Style" w:cs="Arial"/>
        </w:rPr>
        <w:t>E</w:t>
      </w:r>
      <w:r w:rsidR="00854ADB">
        <w:rPr>
          <w:rFonts w:ascii="Bookman Old Style" w:hAnsi="Bookman Old Style" w:cs="Arial"/>
        </w:rPr>
        <w:t>ste</w:t>
      </w:r>
      <w:r>
        <w:rPr>
          <w:rFonts w:ascii="Bookman Old Style" w:hAnsi="Bookman Old Style" w:cs="Arial"/>
        </w:rPr>
        <w:t xml:space="preserve"> esquema se desarrollará a partir de ciclos de nominación de suministro. Para estos efectos Ecopetrol publicará </w:t>
      </w:r>
      <w:r w:rsidR="00435C3A">
        <w:rPr>
          <w:rFonts w:ascii="Bookman Old Style" w:hAnsi="Bookman Old Style" w:cs="Arial"/>
        </w:rPr>
        <w:t xml:space="preserve">en su página web el procedimiento y las actividades que componen </w:t>
      </w:r>
      <w:r w:rsidR="00514F47">
        <w:rPr>
          <w:rFonts w:ascii="Bookman Old Style" w:hAnsi="Bookman Old Style" w:cs="Arial"/>
        </w:rPr>
        <w:t xml:space="preserve">el </w:t>
      </w:r>
      <w:r w:rsidR="00195501">
        <w:rPr>
          <w:rFonts w:ascii="Bookman Old Style" w:hAnsi="Bookman Old Style" w:cs="Arial"/>
        </w:rPr>
        <w:t>c</w:t>
      </w:r>
      <w:r w:rsidR="00C0289B">
        <w:rPr>
          <w:rFonts w:ascii="Bookman Old Style" w:hAnsi="Bookman Old Style" w:cs="Arial"/>
        </w:rPr>
        <w:t xml:space="preserve">iclo </w:t>
      </w:r>
      <w:r w:rsidR="00435C3A">
        <w:rPr>
          <w:rFonts w:ascii="Bookman Old Style" w:hAnsi="Bookman Old Style" w:cs="Arial"/>
        </w:rPr>
        <w:t>de nominación de suministro, el cual deberá contener como mínimo las siguientes actividades:</w:t>
      </w:r>
    </w:p>
    <w:p w14:paraId="62519C8A" w14:textId="77777777" w:rsidR="00435C3A" w:rsidRPr="00435C3A" w:rsidRDefault="00435C3A" w:rsidP="00B919CA">
      <w:pPr>
        <w:widowControl w:val="0"/>
        <w:adjustRightInd w:val="0"/>
        <w:ind w:left="0"/>
        <w:jc w:val="both"/>
        <w:textAlignment w:val="baseline"/>
        <w:rPr>
          <w:rFonts w:ascii="Bookman Old Style" w:hAnsi="Bookman Old Style" w:cs="Arial"/>
        </w:rPr>
      </w:pPr>
    </w:p>
    <w:p w14:paraId="6FEF43EE" w14:textId="77777777" w:rsidR="00F06E91" w:rsidRDefault="00435C3A" w:rsidP="00435C3A">
      <w:pPr>
        <w:pStyle w:val="Prrafodelista"/>
        <w:widowControl w:val="0"/>
        <w:numPr>
          <w:ilvl w:val="0"/>
          <w:numId w:val="16"/>
        </w:numPr>
        <w:adjustRightInd w:val="0"/>
        <w:jc w:val="both"/>
        <w:textAlignment w:val="baseline"/>
        <w:rPr>
          <w:rFonts w:ascii="Bookman Old Style" w:hAnsi="Bookman Old Style" w:cs="Arial"/>
          <w:sz w:val="24"/>
          <w:szCs w:val="24"/>
        </w:rPr>
      </w:pPr>
      <w:r w:rsidRPr="00435C3A">
        <w:rPr>
          <w:rFonts w:ascii="Bookman Old Style" w:hAnsi="Bookman Old Style" w:cs="Arial"/>
          <w:sz w:val="24"/>
          <w:szCs w:val="24"/>
        </w:rPr>
        <w:t xml:space="preserve">Anuncio de </w:t>
      </w:r>
      <w:r>
        <w:rPr>
          <w:rFonts w:ascii="Bookman Old Style" w:hAnsi="Bookman Old Style" w:cs="Arial"/>
          <w:sz w:val="24"/>
          <w:szCs w:val="24"/>
        </w:rPr>
        <w:t>las cantidades disponibles.</w:t>
      </w:r>
    </w:p>
    <w:p w14:paraId="490DED95" w14:textId="77777777" w:rsidR="00435C3A" w:rsidRDefault="00435C3A" w:rsidP="00435C3A">
      <w:pPr>
        <w:pStyle w:val="Prrafodelista"/>
        <w:widowControl w:val="0"/>
        <w:numPr>
          <w:ilvl w:val="0"/>
          <w:numId w:val="16"/>
        </w:numPr>
        <w:adjustRightInd w:val="0"/>
        <w:jc w:val="both"/>
        <w:textAlignment w:val="baseline"/>
        <w:rPr>
          <w:rFonts w:ascii="Bookman Old Style" w:hAnsi="Bookman Old Style" w:cs="Arial"/>
          <w:sz w:val="24"/>
          <w:szCs w:val="24"/>
        </w:rPr>
      </w:pPr>
      <w:r>
        <w:rPr>
          <w:rFonts w:ascii="Bookman Old Style" w:hAnsi="Bookman Old Style" w:cs="Arial"/>
          <w:sz w:val="24"/>
          <w:szCs w:val="24"/>
        </w:rPr>
        <w:t>Recibo de solicitudes de compra.</w:t>
      </w:r>
    </w:p>
    <w:p w14:paraId="36604B2A" w14:textId="77777777" w:rsidR="008D6D1D" w:rsidRDefault="008D6D1D" w:rsidP="00435C3A">
      <w:pPr>
        <w:pStyle w:val="Prrafodelista"/>
        <w:widowControl w:val="0"/>
        <w:numPr>
          <w:ilvl w:val="0"/>
          <w:numId w:val="16"/>
        </w:numPr>
        <w:adjustRightInd w:val="0"/>
        <w:jc w:val="both"/>
        <w:textAlignment w:val="baseline"/>
        <w:rPr>
          <w:rFonts w:ascii="Bookman Old Style" w:hAnsi="Bookman Old Style" w:cs="Arial"/>
          <w:sz w:val="24"/>
          <w:szCs w:val="24"/>
        </w:rPr>
      </w:pPr>
      <w:r>
        <w:rPr>
          <w:rFonts w:ascii="Bookman Old Style" w:hAnsi="Bookman Old Style" w:cs="Arial"/>
          <w:sz w:val="24"/>
          <w:szCs w:val="24"/>
        </w:rPr>
        <w:t>Asignación de cantidades.</w:t>
      </w:r>
    </w:p>
    <w:p w14:paraId="27306286" w14:textId="77777777" w:rsidR="008D6D1D" w:rsidRPr="00435C3A" w:rsidRDefault="008D6D1D" w:rsidP="00435C3A">
      <w:pPr>
        <w:pStyle w:val="Prrafodelista"/>
        <w:widowControl w:val="0"/>
        <w:numPr>
          <w:ilvl w:val="0"/>
          <w:numId w:val="16"/>
        </w:numPr>
        <w:adjustRightInd w:val="0"/>
        <w:jc w:val="both"/>
        <w:textAlignment w:val="baseline"/>
        <w:rPr>
          <w:rFonts w:ascii="Bookman Old Style" w:hAnsi="Bookman Old Style" w:cs="Arial"/>
          <w:sz w:val="24"/>
          <w:szCs w:val="24"/>
        </w:rPr>
      </w:pPr>
      <w:r>
        <w:rPr>
          <w:rFonts w:ascii="Bookman Old Style" w:hAnsi="Bookman Old Style" w:cs="Arial"/>
          <w:sz w:val="24"/>
          <w:szCs w:val="24"/>
        </w:rPr>
        <w:t>Confirmación del programa de entregas.</w:t>
      </w:r>
    </w:p>
    <w:p w14:paraId="06408779" w14:textId="77777777" w:rsidR="00435C3A" w:rsidRPr="00435C3A" w:rsidRDefault="00435C3A" w:rsidP="00B919CA">
      <w:pPr>
        <w:widowControl w:val="0"/>
        <w:adjustRightInd w:val="0"/>
        <w:ind w:left="0"/>
        <w:jc w:val="both"/>
        <w:textAlignment w:val="baseline"/>
        <w:rPr>
          <w:rFonts w:ascii="Bookman Old Style" w:hAnsi="Bookman Old Style" w:cs="Arial"/>
        </w:rPr>
      </w:pPr>
    </w:p>
    <w:p w14:paraId="7499E9CC" w14:textId="3DD0738A" w:rsidR="004368F3" w:rsidRDefault="000B1A3E" w:rsidP="001E0503">
      <w:pPr>
        <w:widowControl w:val="0"/>
        <w:adjustRightInd w:val="0"/>
        <w:ind w:left="0"/>
        <w:jc w:val="both"/>
        <w:textAlignment w:val="baseline"/>
        <w:rPr>
          <w:rFonts w:ascii="Bookman Old Style" w:hAnsi="Bookman Old Style" w:cs="Arial"/>
        </w:rPr>
      </w:pPr>
      <w:r>
        <w:rPr>
          <w:rFonts w:ascii="Bookman Old Style" w:hAnsi="Bookman Old Style" w:cs="Arial"/>
        </w:rPr>
        <w:t xml:space="preserve">Ecopetrol deberá indicar para cada una de las actividades que hagan parte del </w:t>
      </w:r>
      <w:r w:rsidR="00195501">
        <w:rPr>
          <w:rFonts w:ascii="Bookman Old Style" w:hAnsi="Bookman Old Style" w:cs="Arial"/>
        </w:rPr>
        <w:t>c</w:t>
      </w:r>
      <w:r w:rsidR="00C0289B">
        <w:rPr>
          <w:rFonts w:ascii="Bookman Old Style" w:hAnsi="Bookman Old Style" w:cs="Arial"/>
        </w:rPr>
        <w:t xml:space="preserve">iclo </w:t>
      </w:r>
      <w:r>
        <w:rPr>
          <w:rFonts w:ascii="Bookman Old Style" w:hAnsi="Bookman Old Style" w:cs="Arial"/>
        </w:rPr>
        <w:t>de nominación de suministro las ventanas de tiempo respectivas</w:t>
      </w:r>
      <w:r w:rsidR="00FF5E31">
        <w:rPr>
          <w:rFonts w:ascii="Bookman Old Style" w:hAnsi="Bookman Old Style" w:cs="Arial"/>
        </w:rPr>
        <w:t xml:space="preserve">, </w:t>
      </w:r>
      <w:r w:rsidR="00514F47">
        <w:rPr>
          <w:rFonts w:ascii="Bookman Old Style" w:hAnsi="Bookman Old Style" w:cs="Arial"/>
        </w:rPr>
        <w:t xml:space="preserve">considerando que </w:t>
      </w:r>
      <w:r w:rsidR="00FF5E31">
        <w:rPr>
          <w:rFonts w:ascii="Bookman Old Style" w:hAnsi="Bookman Old Style" w:cs="Arial"/>
        </w:rPr>
        <w:t>entre el anuncio de las cantidades disponibles y el momento en el que se inicia el recibo de solicitudes de compra debe</w:t>
      </w:r>
      <w:r w:rsidR="00514F47">
        <w:rPr>
          <w:rFonts w:ascii="Bookman Old Style" w:hAnsi="Bookman Old Style" w:cs="Arial"/>
        </w:rPr>
        <w:t xml:space="preserve">rán transcurrir como </w:t>
      </w:r>
      <w:r w:rsidR="00FF5E31">
        <w:rPr>
          <w:rFonts w:ascii="Bookman Old Style" w:hAnsi="Bookman Old Style" w:cs="Arial"/>
        </w:rPr>
        <w:t>mínimo 48 horas</w:t>
      </w:r>
      <w:r w:rsidR="00514F47">
        <w:rPr>
          <w:rFonts w:ascii="Bookman Old Style" w:hAnsi="Bookman Old Style" w:cs="Arial"/>
        </w:rPr>
        <w:t>; que pa</w:t>
      </w:r>
      <w:r w:rsidR="00FF5E31">
        <w:rPr>
          <w:rFonts w:ascii="Bookman Old Style" w:hAnsi="Bookman Old Style" w:cs="Arial"/>
        </w:rPr>
        <w:t>ra el recibo de solicitudes debe</w:t>
      </w:r>
      <w:r w:rsidR="00AD7E0A">
        <w:rPr>
          <w:rFonts w:ascii="Bookman Old Style" w:hAnsi="Bookman Old Style" w:cs="Arial"/>
        </w:rPr>
        <w:t>rá</w:t>
      </w:r>
      <w:r w:rsidR="00FF5E31">
        <w:rPr>
          <w:rFonts w:ascii="Bookman Old Style" w:hAnsi="Bookman Old Style" w:cs="Arial"/>
        </w:rPr>
        <w:t xml:space="preserve"> darse un mínimo de 48 horas</w:t>
      </w:r>
      <w:r w:rsidR="00514F47">
        <w:rPr>
          <w:rFonts w:ascii="Bookman Old Style" w:hAnsi="Bookman Old Style" w:cs="Arial"/>
        </w:rPr>
        <w:t>; y que entre el cierre del recibo de solicitudes y la confirmación del programa de entregas</w:t>
      </w:r>
      <w:r w:rsidR="00AD7E0A">
        <w:rPr>
          <w:rFonts w:ascii="Bookman Old Style" w:hAnsi="Bookman Old Style" w:cs="Arial"/>
        </w:rPr>
        <w:t>, que se acuerde con cada uno de los compradores,</w:t>
      </w:r>
      <w:r w:rsidR="00514F47">
        <w:rPr>
          <w:rFonts w:ascii="Bookman Old Style" w:hAnsi="Bookman Old Style" w:cs="Arial"/>
        </w:rPr>
        <w:t xml:space="preserve"> </w:t>
      </w:r>
      <w:r w:rsidR="00AD7E0A">
        <w:rPr>
          <w:rFonts w:ascii="Bookman Old Style" w:hAnsi="Bookman Old Style" w:cs="Arial"/>
        </w:rPr>
        <w:t xml:space="preserve">deberán transcurrir como mínimo </w:t>
      </w:r>
      <w:r w:rsidR="00AD12CF">
        <w:rPr>
          <w:rFonts w:ascii="Bookman Old Style" w:hAnsi="Bookman Old Style" w:cs="Arial"/>
        </w:rPr>
        <w:t>veinticuatro (</w:t>
      </w:r>
      <w:r w:rsidR="00514F47">
        <w:rPr>
          <w:rFonts w:ascii="Bookman Old Style" w:hAnsi="Bookman Old Style" w:cs="Arial"/>
        </w:rPr>
        <w:t>24</w:t>
      </w:r>
      <w:r w:rsidR="00AD12CF">
        <w:rPr>
          <w:rFonts w:ascii="Bookman Old Style" w:hAnsi="Bookman Old Style" w:cs="Arial"/>
        </w:rPr>
        <w:t>)</w:t>
      </w:r>
      <w:r w:rsidR="00514F47">
        <w:rPr>
          <w:rFonts w:ascii="Bookman Old Style" w:hAnsi="Bookman Old Style" w:cs="Arial"/>
        </w:rPr>
        <w:t xml:space="preserve"> horas.</w:t>
      </w:r>
    </w:p>
    <w:p w14:paraId="4FAB23D4" w14:textId="77777777" w:rsidR="004368F3" w:rsidRDefault="004368F3" w:rsidP="001E0503">
      <w:pPr>
        <w:widowControl w:val="0"/>
        <w:adjustRightInd w:val="0"/>
        <w:ind w:left="0"/>
        <w:jc w:val="both"/>
        <w:textAlignment w:val="baseline"/>
        <w:rPr>
          <w:rFonts w:ascii="Bookman Old Style" w:hAnsi="Bookman Old Style" w:cs="Arial"/>
        </w:rPr>
      </w:pPr>
    </w:p>
    <w:p w14:paraId="738A6B6E" w14:textId="00ED429D" w:rsidR="00AD7E0A" w:rsidRDefault="004368F3" w:rsidP="001E0503">
      <w:pPr>
        <w:widowControl w:val="0"/>
        <w:adjustRightInd w:val="0"/>
        <w:ind w:left="0"/>
        <w:jc w:val="both"/>
        <w:textAlignment w:val="baseline"/>
        <w:rPr>
          <w:rFonts w:ascii="Bookman Old Style" w:hAnsi="Bookman Old Style" w:cs="Arial"/>
        </w:rPr>
      </w:pPr>
      <w:r>
        <w:rPr>
          <w:rFonts w:ascii="Bookman Old Style" w:hAnsi="Bookman Old Style" w:cs="Arial"/>
        </w:rPr>
        <w:t>Para efectos de acordar el programa de entregas, deberá considerarse que e</w:t>
      </w:r>
      <w:r w:rsidR="00AD7E0A">
        <w:rPr>
          <w:rFonts w:ascii="Bookman Old Style" w:hAnsi="Bookman Old Style" w:cs="Arial"/>
        </w:rPr>
        <w:t xml:space="preserve">ntre la confirmación del programa de entregas y la primera entrega de producto del respectivo </w:t>
      </w:r>
      <w:r w:rsidR="00195501">
        <w:rPr>
          <w:rFonts w:ascii="Bookman Old Style" w:hAnsi="Bookman Old Style" w:cs="Arial"/>
        </w:rPr>
        <w:t>c</w:t>
      </w:r>
      <w:r w:rsidR="00C0289B">
        <w:rPr>
          <w:rFonts w:ascii="Bookman Old Style" w:hAnsi="Bookman Old Style" w:cs="Arial"/>
        </w:rPr>
        <w:t xml:space="preserve">iclo </w:t>
      </w:r>
      <w:r w:rsidR="00AD7E0A">
        <w:rPr>
          <w:rFonts w:ascii="Bookman Old Style" w:hAnsi="Bookman Old Style" w:cs="Arial"/>
        </w:rPr>
        <w:t xml:space="preserve">de nominación deberán transcurrir como mínimo </w:t>
      </w:r>
      <w:r w:rsidR="00AD12CF">
        <w:rPr>
          <w:rFonts w:ascii="Bookman Old Style" w:hAnsi="Bookman Old Style" w:cs="Arial"/>
        </w:rPr>
        <w:t>ciento veinte (</w:t>
      </w:r>
      <w:r w:rsidR="00AD7E0A">
        <w:rPr>
          <w:rFonts w:ascii="Bookman Old Style" w:hAnsi="Bookman Old Style" w:cs="Arial"/>
        </w:rPr>
        <w:t>120</w:t>
      </w:r>
      <w:r w:rsidR="00AD12CF">
        <w:rPr>
          <w:rFonts w:ascii="Bookman Old Style" w:hAnsi="Bookman Old Style" w:cs="Arial"/>
        </w:rPr>
        <w:t>)</w:t>
      </w:r>
      <w:r w:rsidR="00AD7E0A">
        <w:rPr>
          <w:rFonts w:ascii="Bookman Old Style" w:hAnsi="Bookman Old Style" w:cs="Arial"/>
        </w:rPr>
        <w:t xml:space="preserve"> horas, sin perjuicio de que algún comprador manifieste y acuerde que puede recibir el producto antes del tiempo aquí previsto.</w:t>
      </w:r>
    </w:p>
    <w:p w14:paraId="20485EFD" w14:textId="77777777" w:rsidR="00AD7E0A" w:rsidRPr="00AD7E0A" w:rsidRDefault="00AD7E0A" w:rsidP="001E0503">
      <w:pPr>
        <w:widowControl w:val="0"/>
        <w:adjustRightInd w:val="0"/>
        <w:ind w:left="0"/>
        <w:jc w:val="both"/>
        <w:textAlignment w:val="baseline"/>
        <w:rPr>
          <w:rFonts w:ascii="Bookman Old Style" w:hAnsi="Bookman Old Style" w:cs="Arial"/>
        </w:rPr>
      </w:pPr>
    </w:p>
    <w:p w14:paraId="1370C57D" w14:textId="18DECB93" w:rsidR="00535EDE" w:rsidRPr="00535EDE" w:rsidRDefault="001E0503" w:rsidP="00535EDE">
      <w:pPr>
        <w:widowControl w:val="0"/>
        <w:adjustRightInd w:val="0"/>
        <w:ind w:left="0"/>
        <w:jc w:val="both"/>
        <w:textAlignment w:val="baseline"/>
        <w:rPr>
          <w:rFonts w:ascii="Bookman Old Style" w:hAnsi="Bookman Old Style" w:cs="Arial"/>
        </w:rPr>
      </w:pPr>
      <w:r w:rsidRPr="001E0503">
        <w:rPr>
          <w:rFonts w:ascii="Bookman Old Style" w:hAnsi="Bookman Old Style" w:cs="Arial"/>
        </w:rPr>
        <w:t xml:space="preserve">El </w:t>
      </w:r>
      <w:r w:rsidR="00535EDE">
        <w:rPr>
          <w:rFonts w:ascii="Bookman Old Style" w:hAnsi="Bookman Old Style" w:cs="Arial"/>
        </w:rPr>
        <w:t>GLP</w:t>
      </w:r>
      <w:r w:rsidRPr="001E0503">
        <w:rPr>
          <w:rFonts w:ascii="Bookman Old Style" w:hAnsi="Bookman Old Style" w:cs="Arial"/>
        </w:rPr>
        <w:t xml:space="preserve"> </w:t>
      </w:r>
      <w:r w:rsidR="00C0289B">
        <w:rPr>
          <w:rFonts w:ascii="Bookman Old Style" w:hAnsi="Bookman Old Style" w:cs="Arial"/>
        </w:rPr>
        <w:t>producido durante el</w:t>
      </w:r>
      <w:r w:rsidR="00535EDE">
        <w:rPr>
          <w:rFonts w:ascii="Bookman Old Style" w:hAnsi="Bookman Old Style" w:cs="Arial"/>
        </w:rPr>
        <w:t xml:space="preserve"> </w:t>
      </w:r>
      <w:r w:rsidR="00C0289B">
        <w:rPr>
          <w:rFonts w:ascii="Bookman Old Style" w:hAnsi="Bookman Old Style" w:cs="Arial"/>
        </w:rPr>
        <w:t xml:space="preserve">Comisionamiento </w:t>
      </w:r>
      <w:r w:rsidR="00911884">
        <w:rPr>
          <w:rFonts w:ascii="Bookman Old Style" w:hAnsi="Bookman Old Style" w:cs="Arial"/>
        </w:rPr>
        <w:t>se comercializará a</w:t>
      </w:r>
      <w:r>
        <w:rPr>
          <w:rFonts w:ascii="Bookman Old Style" w:hAnsi="Bookman Old Style" w:cs="Arial"/>
        </w:rPr>
        <w:t xml:space="preserve">l precio </w:t>
      </w:r>
      <w:r w:rsidRPr="001E0503">
        <w:rPr>
          <w:rFonts w:ascii="Bookman Old Style" w:hAnsi="Bookman Old Style" w:cs="Arial"/>
        </w:rPr>
        <w:t xml:space="preserve">máximo regulado de suministro que se encuentre vigente para la fuente Cusiana. </w:t>
      </w:r>
      <w:r w:rsidR="00195501">
        <w:rPr>
          <w:rFonts w:ascii="Bookman Old Style" w:hAnsi="Bookman Old Style" w:cs="Arial"/>
        </w:rPr>
        <w:t>Después</w:t>
      </w:r>
      <w:r w:rsidR="00EB67F0">
        <w:rPr>
          <w:rFonts w:ascii="Bookman Old Style" w:hAnsi="Bookman Old Style" w:cs="Arial"/>
        </w:rPr>
        <w:t xml:space="preserve"> de</w:t>
      </w:r>
      <w:r w:rsidR="00C0289B">
        <w:rPr>
          <w:rFonts w:ascii="Bookman Old Style" w:hAnsi="Bookman Old Style" w:cs="Arial"/>
        </w:rPr>
        <w:t xml:space="preserve"> </w:t>
      </w:r>
      <w:r w:rsidR="00195501">
        <w:rPr>
          <w:rFonts w:ascii="Bookman Old Style" w:hAnsi="Bookman Old Style" w:cs="Arial"/>
        </w:rPr>
        <w:t>sesenta (</w:t>
      </w:r>
      <w:r w:rsidR="00453731">
        <w:rPr>
          <w:rFonts w:ascii="Bookman Old Style" w:hAnsi="Bookman Old Style" w:cs="Arial"/>
        </w:rPr>
        <w:t>6</w:t>
      </w:r>
      <w:r w:rsidR="00C0289B">
        <w:rPr>
          <w:rFonts w:ascii="Bookman Old Style" w:hAnsi="Bookman Old Style" w:cs="Arial"/>
        </w:rPr>
        <w:t>0</w:t>
      </w:r>
      <w:r w:rsidR="00195501">
        <w:rPr>
          <w:rFonts w:ascii="Bookman Old Style" w:hAnsi="Bookman Old Style" w:cs="Arial"/>
        </w:rPr>
        <w:t>)</w:t>
      </w:r>
      <w:r w:rsidR="00C0289B">
        <w:rPr>
          <w:rFonts w:ascii="Bookman Old Style" w:hAnsi="Bookman Old Style" w:cs="Arial"/>
        </w:rPr>
        <w:t xml:space="preserve"> días</w:t>
      </w:r>
      <w:r w:rsidR="009222DC">
        <w:rPr>
          <w:rFonts w:ascii="Bookman Old Style" w:hAnsi="Bookman Old Style" w:cs="Arial"/>
        </w:rPr>
        <w:t xml:space="preserve"> calendario</w:t>
      </w:r>
      <w:r w:rsidR="00C0289B">
        <w:rPr>
          <w:rFonts w:ascii="Bookman Old Style" w:hAnsi="Bookman Old Style" w:cs="Arial"/>
        </w:rPr>
        <w:t>, contado</w:t>
      </w:r>
      <w:r w:rsidR="009222DC">
        <w:rPr>
          <w:rFonts w:ascii="Bookman Old Style" w:hAnsi="Bookman Old Style" w:cs="Arial"/>
        </w:rPr>
        <w:t>s</w:t>
      </w:r>
      <w:r w:rsidR="00C0289B">
        <w:rPr>
          <w:rFonts w:ascii="Bookman Old Style" w:hAnsi="Bookman Old Style" w:cs="Arial"/>
        </w:rPr>
        <w:t xml:space="preserve"> des</w:t>
      </w:r>
      <w:r w:rsidR="009222DC">
        <w:rPr>
          <w:rFonts w:ascii="Bookman Old Style" w:hAnsi="Bookman Old Style" w:cs="Arial"/>
        </w:rPr>
        <w:t xml:space="preserve">de la fecha de inicio </w:t>
      </w:r>
      <w:r w:rsidR="00EB67F0">
        <w:rPr>
          <w:rFonts w:ascii="Bookman Old Style" w:hAnsi="Bookman Old Style" w:cs="Arial"/>
        </w:rPr>
        <w:t xml:space="preserve">del </w:t>
      </w:r>
      <w:r w:rsidR="00AD7E0A">
        <w:rPr>
          <w:rFonts w:ascii="Bookman Old Style" w:hAnsi="Bookman Old Style" w:cs="Arial"/>
        </w:rPr>
        <w:t xml:space="preserve">periodo de </w:t>
      </w:r>
      <w:r w:rsidR="00195501">
        <w:rPr>
          <w:rFonts w:ascii="Bookman Old Style" w:hAnsi="Bookman Old Style" w:cs="Arial"/>
        </w:rPr>
        <w:t>c</w:t>
      </w:r>
      <w:r w:rsidR="00C0289B">
        <w:rPr>
          <w:rFonts w:ascii="Bookman Old Style" w:hAnsi="Bookman Old Style" w:cs="Arial"/>
        </w:rPr>
        <w:t>omisionamiento</w:t>
      </w:r>
      <w:r w:rsidR="00AD7E0A">
        <w:rPr>
          <w:rFonts w:ascii="Bookman Old Style" w:hAnsi="Bookman Old Style" w:cs="Arial"/>
        </w:rPr>
        <w:t xml:space="preserve">, </w:t>
      </w:r>
      <w:r w:rsidR="00535EDE" w:rsidRPr="00535EDE">
        <w:rPr>
          <w:rFonts w:ascii="Bookman Old Style" w:hAnsi="Bookman Old Style" w:cs="Arial"/>
        </w:rPr>
        <w:t>deberá aplicarse un descuento del 10%</w:t>
      </w:r>
      <w:r w:rsidR="004368F3">
        <w:rPr>
          <w:rFonts w:ascii="Bookman Old Style" w:hAnsi="Bookman Old Style" w:cs="Arial"/>
        </w:rPr>
        <w:t xml:space="preserve"> sobre dicho precio</w:t>
      </w:r>
      <w:r w:rsidR="00535EDE" w:rsidRPr="00535EDE">
        <w:rPr>
          <w:rFonts w:ascii="Bookman Old Style" w:hAnsi="Bookman Old Style" w:cs="Arial"/>
        </w:rPr>
        <w:t>.</w:t>
      </w:r>
    </w:p>
    <w:p w14:paraId="1F2EA18C" w14:textId="7A52CC56" w:rsidR="00FB6A96" w:rsidRPr="00FB6A96" w:rsidRDefault="003703A7" w:rsidP="00B919CA">
      <w:pPr>
        <w:widowControl w:val="0"/>
        <w:adjustRightInd w:val="0"/>
        <w:ind w:left="0"/>
        <w:jc w:val="both"/>
        <w:textAlignment w:val="baseline"/>
        <w:rPr>
          <w:rFonts w:ascii="Bookman Old Style" w:hAnsi="Bookman Old Style" w:cs="Arial"/>
        </w:rPr>
      </w:pPr>
      <w:r>
        <w:rPr>
          <w:rFonts w:ascii="Bookman Old Style" w:hAnsi="Bookman Old Style" w:cs="Arial"/>
          <w:b/>
        </w:rPr>
        <w:lastRenderedPageBreak/>
        <w:t>Parágrafo 1</w:t>
      </w:r>
      <w:r w:rsidR="001E0503" w:rsidRPr="001E0503">
        <w:rPr>
          <w:rFonts w:ascii="Bookman Old Style" w:hAnsi="Bookman Old Style" w:cs="Arial"/>
          <w:b/>
        </w:rPr>
        <w:t>.</w:t>
      </w:r>
      <w:r w:rsidR="001E0503">
        <w:rPr>
          <w:rFonts w:ascii="Bookman Old Style" w:hAnsi="Bookman Old Style" w:cs="Arial"/>
        </w:rPr>
        <w:t xml:space="preserve"> </w:t>
      </w:r>
      <w:r w:rsidR="004368F3">
        <w:rPr>
          <w:rFonts w:ascii="Bookman Old Style" w:hAnsi="Bookman Old Style" w:cs="Arial"/>
        </w:rPr>
        <w:t>En aquello</w:t>
      </w:r>
      <w:r w:rsidR="00FB6A96">
        <w:rPr>
          <w:rFonts w:ascii="Bookman Old Style" w:hAnsi="Bookman Old Style" w:cs="Arial"/>
        </w:rPr>
        <w:t xml:space="preserve">s </w:t>
      </w:r>
      <w:r w:rsidR="006C7CE5">
        <w:rPr>
          <w:rFonts w:ascii="Bookman Old Style" w:hAnsi="Bookman Old Style" w:cs="Arial"/>
        </w:rPr>
        <w:t xml:space="preserve">aspectos </w:t>
      </w:r>
      <w:r w:rsidR="00FB6A96">
        <w:rPr>
          <w:rFonts w:ascii="Bookman Old Style" w:hAnsi="Bookman Old Style" w:cs="Arial"/>
        </w:rPr>
        <w:t xml:space="preserve">en los que no se haya definido una condición específica para </w:t>
      </w:r>
      <w:r w:rsidR="00FB6A96" w:rsidRPr="00FB6A96">
        <w:rPr>
          <w:rFonts w:ascii="Bookman Old Style" w:hAnsi="Bookman Old Style" w:cs="Arial"/>
        </w:rPr>
        <w:t xml:space="preserve">el esquema de comercialización de GLP </w:t>
      </w:r>
      <w:r w:rsidR="006C7CE5">
        <w:rPr>
          <w:rFonts w:ascii="Bookman Old Style" w:hAnsi="Bookman Old Style" w:cs="Arial"/>
        </w:rPr>
        <w:t xml:space="preserve">producido durante el </w:t>
      </w:r>
      <w:r w:rsidR="00FB6A96">
        <w:rPr>
          <w:rFonts w:ascii="Bookman Old Style" w:hAnsi="Bookman Old Style" w:cs="Arial"/>
        </w:rPr>
        <w:t xml:space="preserve"> </w:t>
      </w:r>
      <w:r w:rsidR="00195501">
        <w:rPr>
          <w:rFonts w:ascii="Bookman Old Style" w:hAnsi="Bookman Old Style" w:cs="Arial"/>
        </w:rPr>
        <w:t>c</w:t>
      </w:r>
      <w:r w:rsidR="006C7CE5">
        <w:rPr>
          <w:rFonts w:ascii="Bookman Old Style" w:hAnsi="Bookman Old Style" w:cs="Arial"/>
        </w:rPr>
        <w:t>omisionamiento</w:t>
      </w:r>
      <w:r w:rsidR="00FB6A96">
        <w:rPr>
          <w:rFonts w:ascii="Bookman Old Style" w:hAnsi="Bookman Old Style" w:cs="Arial"/>
        </w:rPr>
        <w:t xml:space="preserve">, </w:t>
      </w:r>
      <w:r w:rsidR="009021E5">
        <w:rPr>
          <w:rFonts w:ascii="Bookman Old Style" w:hAnsi="Bookman Old Style" w:cs="Arial"/>
        </w:rPr>
        <w:t xml:space="preserve">tanto </w:t>
      </w:r>
      <w:r w:rsidR="00FB6A96">
        <w:rPr>
          <w:rFonts w:ascii="Bookman Old Style" w:hAnsi="Bookman Old Style" w:cs="Arial"/>
        </w:rPr>
        <w:t xml:space="preserve">el vendedor como </w:t>
      </w:r>
      <w:r w:rsidR="00FB6A96" w:rsidRPr="00FB6A96">
        <w:rPr>
          <w:rFonts w:ascii="Bookman Old Style" w:hAnsi="Bookman Old Style" w:cs="Arial"/>
        </w:rPr>
        <w:t xml:space="preserve">los posibles compradores, </w:t>
      </w:r>
      <w:r w:rsidR="00FB6A96">
        <w:rPr>
          <w:rFonts w:ascii="Bookman Old Style" w:hAnsi="Bookman Old Style" w:cs="Arial"/>
        </w:rPr>
        <w:t>deberán dar cumplimiento a</w:t>
      </w:r>
      <w:r w:rsidR="00FB6A96" w:rsidRPr="00FB6A96">
        <w:rPr>
          <w:rFonts w:ascii="Bookman Old Style" w:hAnsi="Bookman Old Style" w:cs="Arial"/>
        </w:rPr>
        <w:t xml:space="preserve"> las obligaciones previstas en los reglamentos de comercialización mayorista de GLP, Resolución CREG 053 de 2011, y distribución y comercialización minorista de GLP, Resolución CREG 023 de 2009, así como lo dispuesto en la Resolución CREG 063 de 2016 y demás disposiciones que les sean aplicables.</w:t>
      </w:r>
    </w:p>
    <w:p w14:paraId="5AF82A36" w14:textId="77777777" w:rsidR="00FB6A96" w:rsidRDefault="00FB6A96" w:rsidP="00B919CA">
      <w:pPr>
        <w:widowControl w:val="0"/>
        <w:adjustRightInd w:val="0"/>
        <w:ind w:left="0"/>
        <w:jc w:val="both"/>
        <w:textAlignment w:val="baseline"/>
        <w:rPr>
          <w:rFonts w:ascii="Bookman Old Style" w:hAnsi="Bookman Old Style" w:cs="Arial"/>
          <w:b/>
        </w:rPr>
      </w:pPr>
    </w:p>
    <w:p w14:paraId="7D7835DA" w14:textId="3CDA62B2" w:rsidR="000B1A3E" w:rsidRDefault="000B1A3E" w:rsidP="00B919CA">
      <w:pPr>
        <w:widowControl w:val="0"/>
        <w:adjustRightInd w:val="0"/>
        <w:ind w:left="0"/>
        <w:jc w:val="both"/>
        <w:textAlignment w:val="baseline"/>
        <w:rPr>
          <w:rFonts w:ascii="Bookman Old Style" w:hAnsi="Bookman Old Style" w:cs="Arial"/>
        </w:rPr>
      </w:pPr>
      <w:r w:rsidRPr="000B1A3E">
        <w:rPr>
          <w:rFonts w:ascii="Bookman Old Style" w:hAnsi="Bookman Old Style" w:cs="Arial"/>
          <w:b/>
        </w:rPr>
        <w:t>Parágrafo</w:t>
      </w:r>
      <w:r w:rsidR="005D6916">
        <w:rPr>
          <w:rFonts w:ascii="Bookman Old Style" w:hAnsi="Bookman Old Style" w:cs="Arial"/>
          <w:b/>
        </w:rPr>
        <w:t xml:space="preserve"> </w:t>
      </w:r>
      <w:r w:rsidR="003703A7">
        <w:rPr>
          <w:rFonts w:ascii="Bookman Old Style" w:hAnsi="Bookman Old Style" w:cs="Arial"/>
          <w:b/>
        </w:rPr>
        <w:t>2</w:t>
      </w:r>
      <w:r w:rsidRPr="000B1A3E">
        <w:rPr>
          <w:rFonts w:ascii="Bookman Old Style" w:hAnsi="Bookman Old Style" w:cs="Arial"/>
          <w:b/>
        </w:rPr>
        <w:t>.</w:t>
      </w:r>
      <w:r>
        <w:rPr>
          <w:rFonts w:ascii="Bookman Old Style" w:hAnsi="Bookman Old Style" w:cs="Arial"/>
        </w:rPr>
        <w:t xml:space="preserve"> El procedimiento al que hace referencia este artículo hará parte integral del contrato de suministro de GLP </w:t>
      </w:r>
      <w:r w:rsidR="006C7CE5">
        <w:rPr>
          <w:rFonts w:ascii="Bookman Old Style" w:hAnsi="Bookman Old Style" w:cs="Arial"/>
        </w:rPr>
        <w:t>producido durante el</w:t>
      </w:r>
      <w:r>
        <w:rPr>
          <w:rFonts w:ascii="Bookman Old Style" w:hAnsi="Bookman Old Style" w:cs="Arial"/>
        </w:rPr>
        <w:t xml:space="preserve"> </w:t>
      </w:r>
      <w:r w:rsidR="00195501">
        <w:rPr>
          <w:rFonts w:ascii="Bookman Old Style" w:hAnsi="Bookman Old Style" w:cs="Arial"/>
        </w:rPr>
        <w:t>c</w:t>
      </w:r>
      <w:r w:rsidR="006C7CE5">
        <w:rPr>
          <w:rFonts w:ascii="Bookman Old Style" w:hAnsi="Bookman Old Style" w:cs="Arial"/>
        </w:rPr>
        <w:t>omisionamiento</w:t>
      </w:r>
      <w:r>
        <w:rPr>
          <w:rFonts w:ascii="Bookman Old Style" w:hAnsi="Bookman Old Style" w:cs="Arial"/>
        </w:rPr>
        <w:t>.</w:t>
      </w:r>
    </w:p>
    <w:p w14:paraId="07B6DD0B" w14:textId="77777777" w:rsidR="000B1A3E" w:rsidRPr="00435C3A" w:rsidRDefault="000B1A3E" w:rsidP="00B919CA">
      <w:pPr>
        <w:widowControl w:val="0"/>
        <w:adjustRightInd w:val="0"/>
        <w:ind w:left="0"/>
        <w:jc w:val="both"/>
        <w:textAlignment w:val="baseline"/>
        <w:rPr>
          <w:rFonts w:ascii="Bookman Old Style" w:hAnsi="Bookman Old Style" w:cs="Arial"/>
        </w:rPr>
      </w:pPr>
    </w:p>
    <w:p w14:paraId="0D4A9164" w14:textId="77777777" w:rsidR="004368F3" w:rsidRDefault="000B1A3E" w:rsidP="00B919CA">
      <w:pPr>
        <w:widowControl w:val="0"/>
        <w:adjustRightInd w:val="0"/>
        <w:ind w:left="0"/>
        <w:jc w:val="both"/>
        <w:textAlignment w:val="baseline"/>
        <w:rPr>
          <w:rFonts w:ascii="Bookman Old Style" w:hAnsi="Bookman Old Style" w:cs="Arial"/>
        </w:rPr>
      </w:pPr>
      <w:r>
        <w:rPr>
          <w:rFonts w:ascii="Bookman Old Style" w:hAnsi="Bookman Old Style" w:cs="Arial"/>
          <w:b/>
          <w:bCs/>
        </w:rPr>
        <w:t xml:space="preserve">Artículo 5. </w:t>
      </w:r>
      <w:r>
        <w:rPr>
          <w:rFonts w:ascii="Bookman Old Style" w:hAnsi="Bookman Old Style" w:cs="Arial"/>
          <w:b/>
        </w:rPr>
        <w:t>Asignación de cantidades en el ciclo de nominación de suministro</w:t>
      </w:r>
      <w:r w:rsidRPr="00947335">
        <w:rPr>
          <w:rFonts w:ascii="Bookman Old Style" w:hAnsi="Bookman Old Style" w:cs="Arial"/>
          <w:b/>
        </w:rPr>
        <w:t>.</w:t>
      </w:r>
      <w:r>
        <w:rPr>
          <w:rFonts w:ascii="Bookman Old Style" w:hAnsi="Bookman Old Style" w:cs="Arial"/>
        </w:rPr>
        <w:t xml:space="preserve"> </w:t>
      </w:r>
      <w:r w:rsidR="004368F3">
        <w:rPr>
          <w:rFonts w:ascii="Bookman Old Style" w:hAnsi="Bookman Old Style" w:cs="Arial"/>
        </w:rPr>
        <w:t>El procedimiento de asignación de cantidades seguirá las siguientes etapas:</w:t>
      </w:r>
    </w:p>
    <w:p w14:paraId="00B86B1F" w14:textId="77777777" w:rsidR="004368F3" w:rsidRDefault="004368F3" w:rsidP="00B919CA">
      <w:pPr>
        <w:widowControl w:val="0"/>
        <w:adjustRightInd w:val="0"/>
        <w:ind w:left="0"/>
        <w:jc w:val="both"/>
        <w:textAlignment w:val="baseline"/>
        <w:rPr>
          <w:rFonts w:ascii="Bookman Old Style" w:hAnsi="Bookman Old Style" w:cs="Arial"/>
        </w:rPr>
      </w:pPr>
    </w:p>
    <w:p w14:paraId="3DF223CF" w14:textId="77777777" w:rsidR="004368F3" w:rsidRDefault="004368F3" w:rsidP="004368F3">
      <w:pPr>
        <w:pStyle w:val="Prrafodelista"/>
        <w:widowControl w:val="0"/>
        <w:numPr>
          <w:ilvl w:val="0"/>
          <w:numId w:val="17"/>
        </w:numPr>
        <w:adjustRightInd w:val="0"/>
        <w:jc w:val="both"/>
        <w:textAlignment w:val="baseline"/>
        <w:rPr>
          <w:rFonts w:ascii="Bookman Old Style" w:hAnsi="Bookman Old Style" w:cs="Arial"/>
          <w:sz w:val="24"/>
          <w:szCs w:val="24"/>
        </w:rPr>
      </w:pPr>
      <w:r>
        <w:rPr>
          <w:rFonts w:ascii="Bookman Old Style" w:hAnsi="Bookman Old Style" w:cs="Arial"/>
          <w:sz w:val="24"/>
          <w:szCs w:val="24"/>
        </w:rPr>
        <w:t>Ajuste de las solicitudes de compra</w:t>
      </w:r>
      <w:r w:rsidR="009021E5">
        <w:rPr>
          <w:rFonts w:ascii="Bookman Old Style" w:hAnsi="Bookman Old Style" w:cs="Arial"/>
          <w:sz w:val="24"/>
          <w:szCs w:val="24"/>
        </w:rPr>
        <w:t>:</w:t>
      </w:r>
    </w:p>
    <w:p w14:paraId="0D5481BD" w14:textId="77777777" w:rsidR="009021E5" w:rsidRDefault="009021E5" w:rsidP="009021E5">
      <w:pPr>
        <w:pStyle w:val="Prrafodelista"/>
        <w:widowControl w:val="0"/>
        <w:adjustRightInd w:val="0"/>
        <w:ind w:left="720"/>
        <w:jc w:val="both"/>
        <w:textAlignment w:val="baseline"/>
        <w:rPr>
          <w:rFonts w:ascii="Bookman Old Style" w:hAnsi="Bookman Old Style" w:cs="Arial"/>
          <w:sz w:val="24"/>
          <w:szCs w:val="24"/>
        </w:rPr>
      </w:pPr>
    </w:p>
    <w:p w14:paraId="7E01DDD0" w14:textId="77777777" w:rsidR="009021E5" w:rsidRDefault="009021E5" w:rsidP="009906D2">
      <w:pPr>
        <w:pStyle w:val="Prrafodelista"/>
        <w:widowControl w:val="0"/>
        <w:numPr>
          <w:ilvl w:val="0"/>
          <w:numId w:val="18"/>
        </w:numPr>
        <w:adjustRightInd w:val="0"/>
        <w:jc w:val="both"/>
        <w:textAlignment w:val="baseline"/>
        <w:rPr>
          <w:rFonts w:ascii="Bookman Old Style" w:hAnsi="Bookman Old Style" w:cs="Arial"/>
          <w:sz w:val="24"/>
          <w:szCs w:val="24"/>
        </w:rPr>
      </w:pPr>
      <w:r>
        <w:rPr>
          <w:rFonts w:ascii="Bookman Old Style" w:hAnsi="Bookman Old Style" w:cs="Arial"/>
          <w:sz w:val="24"/>
          <w:szCs w:val="24"/>
        </w:rPr>
        <w:t>Para aquellos distribuidores de GLP con capacidad de compra definida</w:t>
      </w:r>
      <w:r w:rsidR="009906D2">
        <w:rPr>
          <w:rFonts w:ascii="Bookman Old Style" w:hAnsi="Bookman Old Style" w:cs="Arial"/>
          <w:sz w:val="24"/>
          <w:szCs w:val="24"/>
        </w:rPr>
        <w:t xml:space="preserve"> la solicitud de compra ajustada será el menor valor entre la solicitud de compra y la capacidad disponible de compra.</w:t>
      </w:r>
    </w:p>
    <w:p w14:paraId="28A77092" w14:textId="77777777" w:rsidR="009906D2" w:rsidRDefault="009906D2" w:rsidP="009906D2">
      <w:pPr>
        <w:pStyle w:val="Prrafodelista"/>
        <w:widowControl w:val="0"/>
        <w:adjustRightInd w:val="0"/>
        <w:ind w:left="1080"/>
        <w:jc w:val="both"/>
        <w:textAlignment w:val="baseline"/>
        <w:rPr>
          <w:rFonts w:ascii="Bookman Old Style" w:hAnsi="Bookman Old Style" w:cs="Arial"/>
          <w:sz w:val="24"/>
          <w:szCs w:val="24"/>
        </w:rPr>
      </w:pPr>
    </w:p>
    <w:p w14:paraId="3A965C31" w14:textId="77777777" w:rsidR="009906D2" w:rsidRDefault="009906D2" w:rsidP="009906D2">
      <w:pPr>
        <w:pStyle w:val="Prrafodelista"/>
        <w:widowControl w:val="0"/>
        <w:numPr>
          <w:ilvl w:val="0"/>
          <w:numId w:val="18"/>
        </w:numPr>
        <w:adjustRightInd w:val="0"/>
        <w:jc w:val="both"/>
        <w:textAlignment w:val="baseline"/>
        <w:rPr>
          <w:rFonts w:ascii="Bookman Old Style" w:hAnsi="Bookman Old Style" w:cs="Arial"/>
          <w:sz w:val="24"/>
          <w:szCs w:val="24"/>
        </w:rPr>
      </w:pPr>
      <w:r>
        <w:rPr>
          <w:rFonts w:ascii="Bookman Old Style" w:hAnsi="Bookman Old Style" w:cs="Arial"/>
          <w:sz w:val="24"/>
          <w:szCs w:val="24"/>
        </w:rPr>
        <w:t>Para aquellos distribuidores de GLP sin capacidad de compra definida la solicitud de compra ajustada será el menor valor entre la solicitud de compra y el resultado de la siguiente fórmula:</w:t>
      </w:r>
    </w:p>
    <w:p w14:paraId="355BA4C2" w14:textId="77777777" w:rsidR="009021E5" w:rsidRDefault="009021E5" w:rsidP="009021E5">
      <w:pPr>
        <w:pStyle w:val="Prrafodelista"/>
        <w:widowControl w:val="0"/>
        <w:adjustRightInd w:val="0"/>
        <w:ind w:left="720"/>
        <w:jc w:val="both"/>
        <w:textAlignment w:val="baseline"/>
        <w:rPr>
          <w:rFonts w:ascii="Bookman Old Style" w:hAnsi="Bookman Old Style" w:cs="Arial"/>
          <w:sz w:val="24"/>
          <w:szCs w:val="24"/>
        </w:rPr>
      </w:pPr>
    </w:p>
    <w:p w14:paraId="17CC81F7" w14:textId="77777777" w:rsidR="009906D2" w:rsidRDefault="00614621" w:rsidP="009021E5">
      <w:pPr>
        <w:pStyle w:val="Prrafodelista"/>
        <w:widowControl w:val="0"/>
        <w:adjustRightInd w:val="0"/>
        <w:ind w:left="720"/>
        <w:jc w:val="both"/>
        <w:textAlignment w:val="baseline"/>
        <w:rPr>
          <w:rFonts w:ascii="Bookman Old Style" w:hAnsi="Bookman Old Style" w:cs="Arial"/>
          <w:sz w:val="24"/>
          <w:szCs w:val="24"/>
        </w:rPr>
      </w:pPr>
      <m:oMathPara>
        <m:oMath>
          <m:d>
            <m:dPr>
              <m:ctrlPr>
                <w:rPr>
                  <w:rFonts w:ascii="Cambria Math" w:hAnsi="Cambria Math" w:cs="Arial"/>
                  <w:i/>
                  <w:sz w:val="24"/>
                  <w:szCs w:val="24"/>
                </w:rPr>
              </m:ctrlPr>
            </m:dPr>
            <m:e>
              <m:r>
                <w:rPr>
                  <w:rFonts w:ascii="Cambria Math" w:hAnsi="Cambria Math" w:cs="Arial"/>
                  <w:sz w:val="24"/>
                  <w:szCs w:val="24"/>
                </w:rPr>
                <m:t>1.42*VtasHis</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m:t>
                  </m:r>
                </m:sub>
              </m:sSub>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i,m</m:t>
              </m:r>
            </m:sub>
          </m:sSub>
        </m:oMath>
      </m:oMathPara>
    </w:p>
    <w:p w14:paraId="1BA2B241" w14:textId="77777777" w:rsidR="009906D2" w:rsidRDefault="009906D2" w:rsidP="009021E5">
      <w:pPr>
        <w:pStyle w:val="Prrafodelista"/>
        <w:widowControl w:val="0"/>
        <w:adjustRightInd w:val="0"/>
        <w:ind w:left="720"/>
        <w:jc w:val="both"/>
        <w:textAlignment w:val="baseline"/>
        <w:rPr>
          <w:rFonts w:ascii="Bookman Old Style" w:hAnsi="Bookman Old Style" w:cs="Arial"/>
          <w:sz w:val="24"/>
          <w:szCs w:val="24"/>
        </w:rPr>
      </w:pPr>
    </w:p>
    <w:p w14:paraId="4B9D3311" w14:textId="77777777" w:rsidR="00AD12CF" w:rsidRDefault="00AD12CF" w:rsidP="009021E5">
      <w:pPr>
        <w:pStyle w:val="Prrafodelista"/>
        <w:widowControl w:val="0"/>
        <w:adjustRightInd w:val="0"/>
        <w:ind w:left="720"/>
        <w:jc w:val="both"/>
        <w:textAlignment w:val="baseline"/>
        <w:rPr>
          <w:rFonts w:ascii="Bookman Old Style" w:hAnsi="Bookman Old Style" w:cs="Arial"/>
          <w:sz w:val="24"/>
          <w:szCs w:val="24"/>
        </w:rPr>
      </w:pPr>
    </w:p>
    <w:p w14:paraId="68BCE9A4" w14:textId="77777777" w:rsidR="009906D2" w:rsidRDefault="009906D2" w:rsidP="009021E5">
      <w:pPr>
        <w:pStyle w:val="Prrafodelista"/>
        <w:widowControl w:val="0"/>
        <w:adjustRightInd w:val="0"/>
        <w:ind w:left="720"/>
        <w:jc w:val="both"/>
        <w:textAlignment w:val="baseline"/>
        <w:rPr>
          <w:rFonts w:ascii="Bookman Old Style" w:hAnsi="Bookman Old Style" w:cs="Arial"/>
          <w:sz w:val="24"/>
          <w:szCs w:val="24"/>
        </w:rPr>
      </w:pPr>
      <w:r>
        <w:rPr>
          <w:rFonts w:ascii="Bookman Old Style" w:hAnsi="Bookman Old Style" w:cs="Arial"/>
          <w:sz w:val="24"/>
          <w:szCs w:val="24"/>
        </w:rPr>
        <w:t>Donde,</w:t>
      </w:r>
    </w:p>
    <w:p w14:paraId="325C29F2" w14:textId="77777777" w:rsidR="009906D2" w:rsidRDefault="009906D2" w:rsidP="009021E5">
      <w:pPr>
        <w:pStyle w:val="Prrafodelista"/>
        <w:widowControl w:val="0"/>
        <w:adjustRightInd w:val="0"/>
        <w:ind w:left="720"/>
        <w:jc w:val="both"/>
        <w:textAlignment w:val="baseline"/>
        <w:rPr>
          <w:rFonts w:ascii="Bookman Old Style" w:hAnsi="Bookman Old Style" w:cs="Arial"/>
          <w:sz w:val="24"/>
          <w:szCs w:val="24"/>
        </w:rPr>
      </w:pPr>
    </w:p>
    <w:p w14:paraId="14C1FBF0" w14:textId="1CFE2DD1" w:rsidR="009906D2" w:rsidRDefault="00AD12CF" w:rsidP="00AD12CF">
      <w:pPr>
        <w:pStyle w:val="Prrafodelista"/>
        <w:widowControl w:val="0"/>
        <w:adjustRightInd w:val="0"/>
        <w:ind w:left="1416"/>
        <w:jc w:val="both"/>
        <w:textAlignment w:val="baseline"/>
        <w:rPr>
          <w:rFonts w:ascii="Bookman Old Style" w:hAnsi="Bookman Old Style" w:cs="Arial"/>
          <w:sz w:val="24"/>
          <w:szCs w:val="24"/>
        </w:rPr>
      </w:pPr>
      <w:r>
        <w:rPr>
          <w:rFonts w:ascii="Bookman Old Style" w:hAnsi="Bookman Old Style" w:cs="Arial"/>
          <w:sz w:val="24"/>
          <w:szCs w:val="24"/>
        </w:rPr>
        <w:t>1.42 =</w:t>
      </w:r>
      <w:r>
        <w:rPr>
          <w:rFonts w:ascii="Bookman Old Style" w:hAnsi="Bookman Old Style" w:cs="Arial"/>
          <w:sz w:val="24"/>
          <w:szCs w:val="24"/>
        </w:rPr>
        <w:tab/>
      </w:r>
      <w:r w:rsidR="00BB7A41">
        <w:rPr>
          <w:rFonts w:ascii="Bookman Old Style" w:hAnsi="Bookman Old Style" w:cs="Arial"/>
          <w:sz w:val="24"/>
          <w:szCs w:val="24"/>
        </w:rPr>
        <w:t>Relación entre la capacidad de compra total definida para el sexto periodo de compra</w:t>
      </w:r>
      <w:r w:rsidR="00306FFB">
        <w:rPr>
          <w:rFonts w:ascii="Bookman Old Style" w:hAnsi="Bookman Old Style" w:cs="Arial"/>
          <w:sz w:val="24"/>
          <w:szCs w:val="24"/>
        </w:rPr>
        <w:t>, Circular CREG 048 de 2019</w:t>
      </w:r>
      <w:r w:rsidR="00BB7A41">
        <w:rPr>
          <w:rFonts w:ascii="Bookman Old Style" w:hAnsi="Bookman Old Style" w:cs="Arial"/>
          <w:sz w:val="24"/>
          <w:szCs w:val="24"/>
        </w:rPr>
        <w:t xml:space="preserve">, </w:t>
      </w:r>
      <w:r w:rsidR="00306FFB">
        <w:rPr>
          <w:rFonts w:ascii="Bookman Old Style" w:hAnsi="Bookman Old Style" w:cs="Arial"/>
          <w:sz w:val="24"/>
          <w:szCs w:val="24"/>
        </w:rPr>
        <w:t xml:space="preserve">correspondiente a </w:t>
      </w:r>
      <w:r w:rsidR="00BB7A41" w:rsidRPr="00BB7A41">
        <w:rPr>
          <w:rFonts w:ascii="Bookman Old Style" w:hAnsi="Bookman Old Style" w:cs="Arial"/>
          <w:sz w:val="24"/>
          <w:szCs w:val="24"/>
        </w:rPr>
        <w:t>432</w:t>
      </w:r>
      <w:r w:rsidR="00BB7A41">
        <w:rPr>
          <w:rFonts w:ascii="Bookman Old Style" w:hAnsi="Bookman Old Style" w:cs="Arial"/>
          <w:sz w:val="24"/>
          <w:szCs w:val="24"/>
        </w:rPr>
        <w:t>,</w:t>
      </w:r>
      <w:r w:rsidR="00BB7A41" w:rsidRPr="00BB7A41">
        <w:rPr>
          <w:rFonts w:ascii="Bookman Old Style" w:hAnsi="Bookman Old Style" w:cs="Arial"/>
          <w:sz w:val="24"/>
          <w:szCs w:val="24"/>
        </w:rPr>
        <w:t>401</w:t>
      </w:r>
      <w:r w:rsidR="00BB7A41">
        <w:rPr>
          <w:rFonts w:ascii="Bookman Old Style" w:hAnsi="Bookman Old Style" w:cs="Arial"/>
          <w:sz w:val="24"/>
          <w:szCs w:val="24"/>
        </w:rPr>
        <w:t>,</w:t>
      </w:r>
      <w:r w:rsidR="00BB7A41" w:rsidRPr="00BB7A41">
        <w:rPr>
          <w:rFonts w:ascii="Bookman Old Style" w:hAnsi="Bookman Old Style" w:cs="Arial"/>
          <w:sz w:val="24"/>
          <w:szCs w:val="24"/>
        </w:rPr>
        <w:t>948</w:t>
      </w:r>
      <w:r w:rsidR="00BB7A41">
        <w:rPr>
          <w:rFonts w:ascii="Bookman Old Style" w:hAnsi="Bookman Old Style" w:cs="Arial"/>
          <w:sz w:val="24"/>
          <w:szCs w:val="24"/>
        </w:rPr>
        <w:t xml:space="preserve"> kilogramos, y la cantidad total de GLP vendido a través de tanques estacionarios, de cilindros y </w:t>
      </w:r>
      <w:r w:rsidR="00306FFB">
        <w:rPr>
          <w:rFonts w:ascii="Bookman Old Style" w:hAnsi="Bookman Old Style" w:cs="Arial"/>
          <w:sz w:val="24"/>
          <w:szCs w:val="24"/>
        </w:rPr>
        <w:t>de GLP por redes a los diferentes municipios del país, reportada al SUI por los distribuidores de GLP, por los comercializadores minoristas de estos o por los distribuidores de GLP por redes,</w:t>
      </w:r>
      <w:r w:rsidR="00BB7A41">
        <w:rPr>
          <w:rFonts w:ascii="Bookman Old Style" w:hAnsi="Bookman Old Style" w:cs="Arial"/>
          <w:sz w:val="24"/>
          <w:szCs w:val="24"/>
        </w:rPr>
        <w:t xml:space="preserve"> </w:t>
      </w:r>
      <w:r w:rsidR="00306FFB">
        <w:rPr>
          <w:rFonts w:ascii="Bookman Old Style" w:hAnsi="Bookman Old Style" w:cs="Arial"/>
          <w:sz w:val="24"/>
          <w:szCs w:val="24"/>
        </w:rPr>
        <w:t xml:space="preserve">para los meses de noviembre de 2018 a abril de 2019, correspondiente a </w:t>
      </w:r>
      <w:r w:rsidR="00306FFB" w:rsidRPr="00306FFB">
        <w:rPr>
          <w:rFonts w:ascii="Bookman Old Style" w:hAnsi="Bookman Old Style" w:cs="Arial"/>
          <w:sz w:val="24"/>
          <w:szCs w:val="24"/>
        </w:rPr>
        <w:t>304</w:t>
      </w:r>
      <w:r w:rsidR="00306FFB">
        <w:rPr>
          <w:rFonts w:ascii="Bookman Old Style" w:hAnsi="Bookman Old Style" w:cs="Arial"/>
          <w:sz w:val="24"/>
          <w:szCs w:val="24"/>
        </w:rPr>
        <w:t>,</w:t>
      </w:r>
      <w:r w:rsidR="00306FFB" w:rsidRPr="00306FFB">
        <w:rPr>
          <w:rFonts w:ascii="Bookman Old Style" w:hAnsi="Bookman Old Style" w:cs="Arial"/>
          <w:sz w:val="24"/>
          <w:szCs w:val="24"/>
        </w:rPr>
        <w:t>280</w:t>
      </w:r>
      <w:r w:rsidR="00306FFB">
        <w:rPr>
          <w:rFonts w:ascii="Bookman Old Style" w:hAnsi="Bookman Old Style" w:cs="Arial"/>
          <w:sz w:val="24"/>
          <w:szCs w:val="24"/>
        </w:rPr>
        <w:t>,</w:t>
      </w:r>
      <w:r w:rsidR="00306FFB" w:rsidRPr="00306FFB">
        <w:rPr>
          <w:rFonts w:ascii="Bookman Old Style" w:hAnsi="Bookman Old Style" w:cs="Arial"/>
          <w:sz w:val="24"/>
          <w:szCs w:val="24"/>
        </w:rPr>
        <w:t>038</w:t>
      </w:r>
      <w:r w:rsidR="00306FFB">
        <w:rPr>
          <w:rFonts w:ascii="Bookman Old Style" w:hAnsi="Bookman Old Style" w:cs="Arial"/>
          <w:sz w:val="24"/>
          <w:szCs w:val="24"/>
        </w:rPr>
        <w:t xml:space="preserve"> kilogramos. En caso de que el periodo de </w:t>
      </w:r>
      <w:r w:rsidR="00AA130A">
        <w:rPr>
          <w:rFonts w:ascii="Bookman Old Style" w:hAnsi="Bookman Old Style" w:cs="Arial"/>
          <w:sz w:val="24"/>
          <w:szCs w:val="24"/>
        </w:rPr>
        <w:t xml:space="preserve">Comisionamiento </w:t>
      </w:r>
      <w:r w:rsidR="00306FFB">
        <w:rPr>
          <w:rFonts w:ascii="Bookman Old Style" w:hAnsi="Bookman Old Style" w:cs="Arial"/>
          <w:sz w:val="24"/>
          <w:szCs w:val="24"/>
        </w:rPr>
        <w:t>exceda el sexto periodo de compra, la CREG mediante circular, actualizará este factor con los valores respectivos.</w:t>
      </w:r>
    </w:p>
    <w:p w14:paraId="70EAE38D" w14:textId="77777777" w:rsidR="00AD12CF" w:rsidRPr="00AD12CF" w:rsidRDefault="00AD12CF" w:rsidP="00AD12CF">
      <w:pPr>
        <w:pStyle w:val="Prrafodelista"/>
        <w:widowControl w:val="0"/>
        <w:adjustRightInd w:val="0"/>
        <w:ind w:left="1416"/>
        <w:jc w:val="both"/>
        <w:textAlignment w:val="baseline"/>
        <w:rPr>
          <w:rFonts w:ascii="Bookman Old Style" w:hAnsi="Bookman Old Style" w:cs="Arial"/>
          <w:sz w:val="24"/>
          <w:szCs w:val="24"/>
        </w:rPr>
      </w:pPr>
    </w:p>
    <w:p w14:paraId="7E288F5B" w14:textId="4730E888" w:rsidR="009021E5" w:rsidRDefault="00BB7A41" w:rsidP="00AD12CF">
      <w:pPr>
        <w:pStyle w:val="Prrafodelista"/>
        <w:widowControl w:val="0"/>
        <w:adjustRightInd w:val="0"/>
        <w:ind w:left="1416"/>
        <w:jc w:val="both"/>
        <w:textAlignment w:val="baseline"/>
        <w:rPr>
          <w:rFonts w:ascii="Bookman Old Style" w:hAnsi="Bookman Old Style" w:cs="Arial"/>
          <w:sz w:val="24"/>
          <w:szCs w:val="24"/>
        </w:rPr>
      </w:pPr>
      <m:oMath>
        <m:r>
          <w:rPr>
            <w:rFonts w:ascii="Cambria Math" w:hAnsi="Cambria Math" w:cs="Arial"/>
            <w:sz w:val="24"/>
            <w:szCs w:val="24"/>
          </w:rPr>
          <m:t>VtasHis</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m:t>
            </m:r>
          </m:sub>
        </m:sSub>
      </m:oMath>
      <w:r>
        <w:rPr>
          <w:rFonts w:ascii="Bookman Old Style" w:hAnsi="Bookman Old Style" w:cs="Arial"/>
          <w:sz w:val="24"/>
          <w:szCs w:val="24"/>
        </w:rPr>
        <w:t xml:space="preserve"> = </w:t>
      </w:r>
      <w:r w:rsidR="0085450A">
        <w:rPr>
          <w:rFonts w:ascii="Bookman Old Style" w:hAnsi="Bookman Old Style" w:cs="Arial"/>
          <w:sz w:val="24"/>
          <w:szCs w:val="24"/>
        </w:rPr>
        <w:t>Suma de las v</w:t>
      </w:r>
      <w:r w:rsidR="005B4AAE">
        <w:rPr>
          <w:rFonts w:ascii="Bookman Old Style" w:hAnsi="Bookman Old Style" w:cs="Arial"/>
          <w:sz w:val="24"/>
          <w:szCs w:val="24"/>
        </w:rPr>
        <w:t>entas históricas del distribuidor</w:t>
      </w:r>
      <w:r w:rsidR="0085450A">
        <w:rPr>
          <w:rFonts w:ascii="Bookman Old Style" w:hAnsi="Bookman Old Style" w:cs="Arial"/>
          <w:sz w:val="24"/>
          <w:szCs w:val="24"/>
        </w:rPr>
        <w:t xml:space="preserve"> de GLP</w:t>
      </w:r>
      <w:r w:rsidR="005B4AAE">
        <w:rPr>
          <w:rFonts w:ascii="Bookman Old Style" w:hAnsi="Bookman Old Style" w:cs="Arial"/>
          <w:sz w:val="24"/>
          <w:szCs w:val="24"/>
        </w:rPr>
        <w:t xml:space="preserve"> </w:t>
      </w:r>
      <w:r w:rsidR="005B4AAE" w:rsidRPr="0085450A">
        <w:rPr>
          <w:rFonts w:ascii="Bookman Old Style" w:hAnsi="Bookman Old Style" w:cs="Arial"/>
          <w:i/>
          <w:sz w:val="24"/>
          <w:szCs w:val="24"/>
        </w:rPr>
        <w:t>i</w:t>
      </w:r>
      <w:r w:rsidR="005B4AAE">
        <w:rPr>
          <w:rFonts w:ascii="Bookman Old Style" w:hAnsi="Bookman Old Style" w:cs="Arial"/>
          <w:sz w:val="24"/>
          <w:szCs w:val="24"/>
        </w:rPr>
        <w:t xml:space="preserve">, </w:t>
      </w:r>
      <w:r w:rsidR="005B4AAE" w:rsidRPr="005B4AAE">
        <w:rPr>
          <w:rFonts w:ascii="Bookman Old Style" w:hAnsi="Bookman Old Style" w:cs="Arial"/>
          <w:sz w:val="24"/>
          <w:szCs w:val="24"/>
        </w:rPr>
        <w:t>reportada</w:t>
      </w:r>
      <w:r w:rsidR="005B4AAE">
        <w:rPr>
          <w:rFonts w:ascii="Bookman Old Style" w:hAnsi="Bookman Old Style" w:cs="Arial"/>
          <w:sz w:val="24"/>
          <w:szCs w:val="24"/>
        </w:rPr>
        <w:t>s</w:t>
      </w:r>
      <w:r w:rsidR="005B4AAE" w:rsidRPr="005B4AAE">
        <w:rPr>
          <w:rFonts w:ascii="Bookman Old Style" w:hAnsi="Bookman Old Style" w:cs="Arial"/>
          <w:sz w:val="24"/>
          <w:szCs w:val="24"/>
        </w:rPr>
        <w:t xml:space="preserve"> al SUI</w:t>
      </w:r>
      <w:r w:rsidR="005B4AAE">
        <w:rPr>
          <w:rFonts w:ascii="Bookman Old Style" w:hAnsi="Bookman Old Style" w:cs="Arial"/>
          <w:sz w:val="24"/>
          <w:szCs w:val="24"/>
        </w:rPr>
        <w:t xml:space="preserve"> por </w:t>
      </w:r>
      <w:r w:rsidR="00716C8A">
        <w:rPr>
          <w:rFonts w:ascii="Bookman Old Style" w:hAnsi="Bookman Old Style" w:cs="Arial"/>
          <w:sz w:val="24"/>
          <w:szCs w:val="24"/>
        </w:rPr>
        <w:t xml:space="preserve">este </w:t>
      </w:r>
      <w:r w:rsidR="005B4AAE">
        <w:rPr>
          <w:rFonts w:ascii="Bookman Old Style" w:hAnsi="Bookman Old Style" w:cs="Arial"/>
          <w:sz w:val="24"/>
          <w:szCs w:val="24"/>
        </w:rPr>
        <w:t xml:space="preserve">y </w:t>
      </w:r>
      <w:r w:rsidR="005B4AAE" w:rsidRPr="005B4AAE">
        <w:rPr>
          <w:rFonts w:ascii="Bookman Old Style" w:hAnsi="Bookman Old Style" w:cs="Arial"/>
          <w:sz w:val="24"/>
          <w:szCs w:val="24"/>
        </w:rPr>
        <w:t xml:space="preserve">por </w:t>
      </w:r>
      <w:r w:rsidR="00716C8A">
        <w:rPr>
          <w:rFonts w:ascii="Bookman Old Style" w:hAnsi="Bookman Old Style" w:cs="Arial"/>
          <w:sz w:val="24"/>
          <w:szCs w:val="24"/>
        </w:rPr>
        <w:t xml:space="preserve">sus </w:t>
      </w:r>
      <w:r w:rsidR="005B4AAE" w:rsidRPr="005B4AAE">
        <w:rPr>
          <w:rFonts w:ascii="Bookman Old Style" w:hAnsi="Bookman Old Style" w:cs="Arial"/>
          <w:sz w:val="24"/>
          <w:szCs w:val="24"/>
        </w:rPr>
        <w:t>comer</w:t>
      </w:r>
      <w:r w:rsidR="0085450A">
        <w:rPr>
          <w:rFonts w:ascii="Bookman Old Style" w:hAnsi="Bookman Old Style" w:cs="Arial"/>
          <w:sz w:val="24"/>
          <w:szCs w:val="24"/>
        </w:rPr>
        <w:t>cializadores minoristas</w:t>
      </w:r>
      <w:r w:rsidR="005B4AAE">
        <w:rPr>
          <w:rFonts w:ascii="Bookman Old Style" w:hAnsi="Bookman Old Style" w:cs="Arial"/>
          <w:sz w:val="24"/>
          <w:szCs w:val="24"/>
        </w:rPr>
        <w:t xml:space="preserve">, cuando aplique, </w:t>
      </w:r>
      <w:r w:rsidR="0085450A">
        <w:rPr>
          <w:rFonts w:ascii="Bookman Old Style" w:hAnsi="Bookman Old Style" w:cs="Arial"/>
          <w:sz w:val="24"/>
          <w:szCs w:val="24"/>
        </w:rPr>
        <w:t xml:space="preserve">de seis </w:t>
      </w:r>
      <w:r w:rsidR="00195501">
        <w:rPr>
          <w:rFonts w:ascii="Bookman Old Style" w:hAnsi="Bookman Old Style" w:cs="Arial"/>
          <w:sz w:val="24"/>
          <w:szCs w:val="24"/>
        </w:rPr>
        <w:t xml:space="preserve">(6) </w:t>
      </w:r>
      <w:r w:rsidR="0085450A">
        <w:rPr>
          <w:rFonts w:ascii="Bookman Old Style" w:hAnsi="Bookman Old Style" w:cs="Arial"/>
          <w:sz w:val="24"/>
          <w:szCs w:val="24"/>
        </w:rPr>
        <w:t xml:space="preserve">meses atrás, contados a partir </w:t>
      </w:r>
      <w:r w:rsidR="00F3317C">
        <w:rPr>
          <w:rFonts w:ascii="Bookman Old Style" w:hAnsi="Bookman Old Style" w:cs="Arial"/>
          <w:sz w:val="24"/>
          <w:szCs w:val="24"/>
        </w:rPr>
        <w:t xml:space="preserve">de </w:t>
      </w:r>
      <w:r w:rsidR="00F3317C" w:rsidRPr="00F3317C">
        <w:rPr>
          <w:rFonts w:ascii="Bookman Old Style" w:hAnsi="Bookman Old Style" w:cs="Arial"/>
          <w:i/>
          <w:sz w:val="24"/>
          <w:szCs w:val="24"/>
        </w:rPr>
        <w:t>m-2</w:t>
      </w:r>
      <w:r w:rsidR="0085450A">
        <w:rPr>
          <w:rFonts w:ascii="Bookman Old Style" w:hAnsi="Bookman Old Style" w:cs="Arial"/>
          <w:sz w:val="24"/>
          <w:szCs w:val="24"/>
        </w:rPr>
        <w:t xml:space="preserve">, cuando la fecha del anuncio se haga </w:t>
      </w:r>
      <w:r w:rsidR="00716C8A">
        <w:rPr>
          <w:rFonts w:ascii="Bookman Old Style" w:hAnsi="Bookman Old Style" w:cs="Arial"/>
          <w:sz w:val="24"/>
          <w:szCs w:val="24"/>
        </w:rPr>
        <w:t xml:space="preserve">antes </w:t>
      </w:r>
      <w:r w:rsidR="0085450A">
        <w:rPr>
          <w:rFonts w:ascii="Bookman Old Style" w:hAnsi="Bookman Old Style" w:cs="Arial"/>
          <w:sz w:val="24"/>
          <w:szCs w:val="24"/>
        </w:rPr>
        <w:t xml:space="preserve">del </w:t>
      </w:r>
      <w:r w:rsidR="00F3317C">
        <w:rPr>
          <w:rFonts w:ascii="Bookman Old Style" w:hAnsi="Bookman Old Style" w:cs="Arial"/>
          <w:sz w:val="24"/>
          <w:szCs w:val="24"/>
        </w:rPr>
        <w:t xml:space="preserve">día </w:t>
      </w:r>
      <w:r w:rsidR="0085450A">
        <w:rPr>
          <w:rFonts w:ascii="Bookman Old Style" w:hAnsi="Bookman Old Style" w:cs="Arial"/>
          <w:sz w:val="24"/>
          <w:szCs w:val="24"/>
        </w:rPr>
        <w:t xml:space="preserve">15 </w:t>
      </w:r>
      <w:r w:rsidR="00F3317C">
        <w:rPr>
          <w:rFonts w:ascii="Bookman Old Style" w:hAnsi="Bookman Old Style" w:cs="Arial"/>
          <w:sz w:val="24"/>
          <w:szCs w:val="24"/>
        </w:rPr>
        <w:t xml:space="preserve">del mes </w:t>
      </w:r>
      <w:r w:rsidR="00F3317C" w:rsidRPr="00F3317C">
        <w:rPr>
          <w:rFonts w:ascii="Bookman Old Style" w:hAnsi="Bookman Old Style" w:cs="Arial"/>
          <w:i/>
          <w:sz w:val="24"/>
          <w:szCs w:val="24"/>
        </w:rPr>
        <w:t>m</w:t>
      </w:r>
      <w:r w:rsidR="00F3317C">
        <w:rPr>
          <w:rFonts w:ascii="Bookman Old Style" w:hAnsi="Bookman Old Style" w:cs="Arial"/>
          <w:sz w:val="24"/>
          <w:szCs w:val="24"/>
        </w:rPr>
        <w:t xml:space="preserve"> </w:t>
      </w:r>
      <w:r w:rsidR="0085450A">
        <w:rPr>
          <w:rFonts w:ascii="Bookman Old Style" w:hAnsi="Bookman Old Style" w:cs="Arial"/>
          <w:sz w:val="24"/>
          <w:szCs w:val="24"/>
        </w:rPr>
        <w:t>o de</w:t>
      </w:r>
      <w:r w:rsidR="00F3317C">
        <w:rPr>
          <w:rFonts w:ascii="Bookman Old Style" w:hAnsi="Bookman Old Style" w:cs="Arial"/>
          <w:sz w:val="24"/>
          <w:szCs w:val="24"/>
        </w:rPr>
        <w:t xml:space="preserve"> </w:t>
      </w:r>
      <w:r w:rsidR="00F3317C" w:rsidRPr="00F3317C">
        <w:rPr>
          <w:rFonts w:ascii="Bookman Old Style" w:hAnsi="Bookman Old Style" w:cs="Arial"/>
          <w:i/>
          <w:sz w:val="24"/>
          <w:szCs w:val="24"/>
        </w:rPr>
        <w:t>m-1</w:t>
      </w:r>
      <w:r w:rsidR="00F3317C">
        <w:rPr>
          <w:rFonts w:ascii="Bookman Old Style" w:hAnsi="Bookman Old Style" w:cs="Arial"/>
          <w:sz w:val="24"/>
          <w:szCs w:val="24"/>
        </w:rPr>
        <w:t xml:space="preserve"> </w:t>
      </w:r>
      <w:r w:rsidR="00716C8A">
        <w:rPr>
          <w:rFonts w:ascii="Bookman Old Style" w:hAnsi="Bookman Old Style" w:cs="Arial"/>
          <w:sz w:val="24"/>
          <w:szCs w:val="24"/>
        </w:rPr>
        <w:t>en caso contrario</w:t>
      </w:r>
      <w:r w:rsidR="0085450A">
        <w:rPr>
          <w:rFonts w:ascii="Bookman Old Style" w:hAnsi="Bookman Old Style" w:cs="Arial"/>
          <w:sz w:val="24"/>
          <w:szCs w:val="24"/>
        </w:rPr>
        <w:t>.</w:t>
      </w:r>
    </w:p>
    <w:p w14:paraId="75108F11" w14:textId="77777777" w:rsidR="009021E5" w:rsidRDefault="00AD12CF" w:rsidP="009021E5">
      <w:pPr>
        <w:pStyle w:val="Prrafodelista"/>
        <w:widowControl w:val="0"/>
        <w:adjustRightInd w:val="0"/>
        <w:ind w:left="720"/>
        <w:jc w:val="both"/>
        <w:textAlignment w:val="baseline"/>
        <w:rPr>
          <w:rFonts w:ascii="Bookman Old Style" w:hAnsi="Bookman Old Style" w:cs="Arial"/>
          <w:sz w:val="24"/>
          <w:szCs w:val="24"/>
        </w:rPr>
      </w:pPr>
      <w:r>
        <w:rPr>
          <w:rFonts w:ascii="Bookman Old Style" w:hAnsi="Bookman Old Style" w:cs="Arial"/>
          <w:sz w:val="24"/>
          <w:szCs w:val="24"/>
        </w:rPr>
        <w:tab/>
      </w:r>
    </w:p>
    <w:p w14:paraId="174D6681" w14:textId="77777777" w:rsidR="00BB7A41" w:rsidRDefault="00614621" w:rsidP="00AD12CF">
      <w:pPr>
        <w:pStyle w:val="Prrafodelista"/>
        <w:widowControl w:val="0"/>
        <w:adjustRightInd w:val="0"/>
        <w:ind w:left="1416"/>
        <w:jc w:val="both"/>
        <w:textAlignment w:val="baseline"/>
        <w:rPr>
          <w:rFonts w:ascii="Bookman Old Style" w:hAnsi="Bookman Old Style" w:cs="Arial"/>
          <w:sz w:val="24"/>
          <w:szCs w:val="24"/>
        </w:rPr>
      </w:pPr>
      <m:oMath>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i,m</m:t>
            </m:r>
          </m:sub>
        </m:sSub>
      </m:oMath>
      <w:r w:rsidR="00BB7A41">
        <w:rPr>
          <w:rFonts w:ascii="Bookman Old Style" w:hAnsi="Bookman Old Style" w:cs="Arial"/>
          <w:sz w:val="24"/>
          <w:szCs w:val="24"/>
        </w:rPr>
        <w:t xml:space="preserve"> = </w:t>
      </w:r>
      <w:r w:rsidR="009D4E46">
        <w:rPr>
          <w:rFonts w:ascii="Bookman Old Style" w:hAnsi="Bookman Old Style" w:cs="Arial"/>
          <w:sz w:val="24"/>
          <w:szCs w:val="24"/>
        </w:rPr>
        <w:t xml:space="preserve">Cantidad de GLP que recibió y recibirá el distribuidor </w:t>
      </w:r>
      <w:r w:rsidR="009D4E46" w:rsidRPr="009D4E46">
        <w:rPr>
          <w:rFonts w:ascii="Bookman Old Style" w:hAnsi="Bookman Old Style" w:cs="Arial"/>
          <w:i/>
          <w:sz w:val="24"/>
          <w:szCs w:val="24"/>
        </w:rPr>
        <w:t>i</w:t>
      </w:r>
      <w:r w:rsidR="009D4E46">
        <w:rPr>
          <w:rFonts w:ascii="Bookman Old Style" w:hAnsi="Bookman Old Style" w:cs="Arial"/>
          <w:sz w:val="24"/>
          <w:szCs w:val="24"/>
        </w:rPr>
        <w:t xml:space="preserve">, medida en kilogramos, durante el respectivo periodo de compra, calculada en el mes </w:t>
      </w:r>
      <w:r w:rsidR="009D4E46" w:rsidRPr="009D4E46">
        <w:rPr>
          <w:rFonts w:ascii="Bookman Old Style" w:hAnsi="Bookman Old Style" w:cs="Arial"/>
          <w:i/>
          <w:sz w:val="24"/>
          <w:szCs w:val="24"/>
        </w:rPr>
        <w:t>m</w:t>
      </w:r>
      <w:r w:rsidR="009D4E46">
        <w:rPr>
          <w:rFonts w:ascii="Bookman Old Style" w:hAnsi="Bookman Old Style" w:cs="Arial"/>
          <w:sz w:val="24"/>
          <w:szCs w:val="24"/>
        </w:rPr>
        <w:t>, a partir de los contratos de suministro suscritos por este y que tengan alguna entrega en el respectivo periodo de compra.</w:t>
      </w:r>
    </w:p>
    <w:p w14:paraId="0F6228ED" w14:textId="77777777" w:rsidR="00BB7A41" w:rsidRDefault="00AD12CF" w:rsidP="009021E5">
      <w:pPr>
        <w:pStyle w:val="Prrafodelista"/>
        <w:widowControl w:val="0"/>
        <w:adjustRightInd w:val="0"/>
        <w:ind w:left="720"/>
        <w:jc w:val="both"/>
        <w:textAlignment w:val="baseline"/>
        <w:rPr>
          <w:rFonts w:ascii="Bookman Old Style" w:hAnsi="Bookman Old Style" w:cs="Arial"/>
          <w:sz w:val="24"/>
          <w:szCs w:val="24"/>
        </w:rPr>
      </w:pPr>
      <w:r>
        <w:rPr>
          <w:rFonts w:ascii="Bookman Old Style" w:hAnsi="Bookman Old Style" w:cs="Arial"/>
          <w:sz w:val="24"/>
          <w:szCs w:val="24"/>
        </w:rPr>
        <w:tab/>
      </w:r>
    </w:p>
    <w:p w14:paraId="43C8B934" w14:textId="77777777" w:rsidR="00F3317C" w:rsidRDefault="00F3317C" w:rsidP="00AD12CF">
      <w:pPr>
        <w:pStyle w:val="Prrafodelista"/>
        <w:widowControl w:val="0"/>
        <w:adjustRightInd w:val="0"/>
        <w:ind w:left="720" w:firstLine="696"/>
        <w:jc w:val="both"/>
        <w:textAlignment w:val="baseline"/>
        <w:rPr>
          <w:rFonts w:ascii="Bookman Old Style" w:hAnsi="Bookman Old Style" w:cs="Arial"/>
          <w:sz w:val="24"/>
          <w:szCs w:val="24"/>
        </w:rPr>
      </w:pPr>
      <w:r w:rsidRPr="00F3317C">
        <w:rPr>
          <w:rFonts w:ascii="Bookman Old Style" w:hAnsi="Bookman Old Style" w:cs="Arial"/>
          <w:i/>
          <w:sz w:val="24"/>
          <w:szCs w:val="24"/>
        </w:rPr>
        <w:t>i</w:t>
      </w:r>
      <w:r>
        <w:rPr>
          <w:rFonts w:ascii="Bookman Old Style" w:hAnsi="Bookman Old Style" w:cs="Arial"/>
          <w:sz w:val="24"/>
          <w:szCs w:val="24"/>
        </w:rPr>
        <w:t xml:space="preserve"> = Distribuidor de GLP por cilindros, tanque estacionarios o redes.</w:t>
      </w:r>
    </w:p>
    <w:p w14:paraId="0675E712" w14:textId="77777777" w:rsidR="00F3317C" w:rsidRDefault="00AD12CF" w:rsidP="009021E5">
      <w:pPr>
        <w:pStyle w:val="Prrafodelista"/>
        <w:widowControl w:val="0"/>
        <w:adjustRightInd w:val="0"/>
        <w:ind w:left="720"/>
        <w:jc w:val="both"/>
        <w:textAlignment w:val="baseline"/>
        <w:rPr>
          <w:rFonts w:ascii="Bookman Old Style" w:hAnsi="Bookman Old Style" w:cs="Arial"/>
          <w:sz w:val="24"/>
          <w:szCs w:val="24"/>
        </w:rPr>
      </w:pPr>
      <w:r>
        <w:rPr>
          <w:rFonts w:ascii="Bookman Old Style" w:hAnsi="Bookman Old Style" w:cs="Arial"/>
          <w:sz w:val="24"/>
          <w:szCs w:val="24"/>
        </w:rPr>
        <w:tab/>
      </w:r>
    </w:p>
    <w:p w14:paraId="742E5595" w14:textId="77777777" w:rsidR="00BB7A41" w:rsidRDefault="00F3317C" w:rsidP="00AD12CF">
      <w:pPr>
        <w:pStyle w:val="Prrafodelista"/>
        <w:widowControl w:val="0"/>
        <w:adjustRightInd w:val="0"/>
        <w:ind w:left="1416"/>
        <w:jc w:val="both"/>
        <w:textAlignment w:val="baseline"/>
        <w:rPr>
          <w:rFonts w:ascii="Bookman Old Style" w:hAnsi="Bookman Old Style" w:cs="Arial"/>
          <w:sz w:val="24"/>
          <w:szCs w:val="24"/>
        </w:rPr>
      </w:pPr>
      <w:r w:rsidRPr="00F3317C">
        <w:rPr>
          <w:rFonts w:ascii="Bookman Old Style" w:hAnsi="Bookman Old Style" w:cs="Arial"/>
          <w:i/>
          <w:sz w:val="24"/>
          <w:szCs w:val="24"/>
        </w:rPr>
        <w:t>m</w:t>
      </w:r>
      <w:r>
        <w:rPr>
          <w:rFonts w:ascii="Bookman Old Style" w:hAnsi="Bookman Old Style" w:cs="Arial"/>
          <w:sz w:val="24"/>
          <w:szCs w:val="24"/>
        </w:rPr>
        <w:t xml:space="preserve"> = Corresponde al mes en el que se hace el anuncio de las cantidades disponibles, de las que trata el artículo 4 de esta resolución.</w:t>
      </w:r>
    </w:p>
    <w:p w14:paraId="3096303D" w14:textId="77777777" w:rsidR="009021E5" w:rsidRDefault="009021E5" w:rsidP="009021E5">
      <w:pPr>
        <w:pStyle w:val="Prrafodelista"/>
        <w:widowControl w:val="0"/>
        <w:adjustRightInd w:val="0"/>
        <w:ind w:left="720"/>
        <w:jc w:val="both"/>
        <w:textAlignment w:val="baseline"/>
        <w:rPr>
          <w:rFonts w:ascii="Bookman Old Style" w:hAnsi="Bookman Old Style" w:cs="Arial"/>
          <w:sz w:val="24"/>
          <w:szCs w:val="24"/>
        </w:rPr>
      </w:pPr>
    </w:p>
    <w:p w14:paraId="0CC5586C" w14:textId="44004689" w:rsidR="004368F3" w:rsidRDefault="009021E5" w:rsidP="004368F3">
      <w:pPr>
        <w:pStyle w:val="Prrafodelista"/>
        <w:widowControl w:val="0"/>
        <w:numPr>
          <w:ilvl w:val="0"/>
          <w:numId w:val="17"/>
        </w:numPr>
        <w:adjustRightInd w:val="0"/>
        <w:jc w:val="both"/>
        <w:textAlignment w:val="baseline"/>
        <w:rPr>
          <w:rFonts w:ascii="Bookman Old Style" w:hAnsi="Bookman Old Style" w:cs="Arial"/>
          <w:sz w:val="24"/>
          <w:szCs w:val="24"/>
        </w:rPr>
      </w:pPr>
      <w:r>
        <w:rPr>
          <w:rFonts w:ascii="Bookman Old Style" w:hAnsi="Bookman Old Style" w:cs="Arial"/>
          <w:sz w:val="24"/>
          <w:szCs w:val="24"/>
        </w:rPr>
        <w:t>Primer</w:t>
      </w:r>
      <w:r w:rsidR="008737D0">
        <w:rPr>
          <w:rFonts w:ascii="Bookman Old Style" w:hAnsi="Bookman Old Style" w:cs="Arial"/>
          <w:sz w:val="24"/>
          <w:szCs w:val="24"/>
        </w:rPr>
        <w:t xml:space="preserve"> criterio de asignación</w:t>
      </w:r>
      <w:r w:rsidR="009D4E46">
        <w:rPr>
          <w:rFonts w:ascii="Bookman Old Style" w:hAnsi="Bookman Old Style" w:cs="Arial"/>
          <w:sz w:val="24"/>
          <w:szCs w:val="24"/>
        </w:rPr>
        <w:t>: En el caso de que la suma de las solicitudes de compra ajustadas</w:t>
      </w:r>
      <w:r w:rsidR="0087664D">
        <w:rPr>
          <w:rFonts w:ascii="Bookman Old Style" w:hAnsi="Bookman Old Style" w:cs="Arial"/>
          <w:sz w:val="24"/>
          <w:szCs w:val="24"/>
        </w:rPr>
        <w:t xml:space="preserve">, conforme al </w:t>
      </w:r>
      <w:r w:rsidR="00863858">
        <w:rPr>
          <w:rFonts w:ascii="Bookman Old Style" w:hAnsi="Bookman Old Style" w:cs="Arial"/>
          <w:sz w:val="24"/>
          <w:szCs w:val="24"/>
        </w:rPr>
        <w:t>literal</w:t>
      </w:r>
      <w:r w:rsidR="0087664D">
        <w:rPr>
          <w:rFonts w:ascii="Bookman Old Style" w:hAnsi="Bookman Old Style" w:cs="Arial"/>
          <w:sz w:val="24"/>
          <w:szCs w:val="24"/>
        </w:rPr>
        <w:t xml:space="preserve"> </w:t>
      </w:r>
      <w:r w:rsidR="00195501">
        <w:rPr>
          <w:rFonts w:ascii="Bookman Old Style" w:hAnsi="Bookman Old Style" w:cs="Arial"/>
          <w:sz w:val="24"/>
          <w:szCs w:val="24"/>
        </w:rPr>
        <w:t>a) del presente artículo</w:t>
      </w:r>
      <w:r w:rsidR="0087664D">
        <w:rPr>
          <w:rFonts w:ascii="Bookman Old Style" w:hAnsi="Bookman Old Style" w:cs="Arial"/>
          <w:sz w:val="24"/>
          <w:szCs w:val="24"/>
        </w:rPr>
        <w:t xml:space="preserve">, </w:t>
      </w:r>
      <w:r w:rsidR="008737D0">
        <w:rPr>
          <w:rFonts w:ascii="Bookman Old Style" w:hAnsi="Bookman Old Style" w:cs="Arial"/>
          <w:sz w:val="24"/>
          <w:szCs w:val="24"/>
        </w:rPr>
        <w:t xml:space="preserve">sea menor o igual que la cantidad disponible anunciada para el respectivo </w:t>
      </w:r>
      <w:r w:rsidR="008126D4">
        <w:rPr>
          <w:rFonts w:ascii="Bookman Old Style" w:hAnsi="Bookman Old Style" w:cs="Arial"/>
          <w:sz w:val="24"/>
          <w:szCs w:val="24"/>
        </w:rPr>
        <w:t xml:space="preserve">Ciclo </w:t>
      </w:r>
      <w:r w:rsidR="008737D0">
        <w:rPr>
          <w:rFonts w:ascii="Bookman Old Style" w:hAnsi="Bookman Old Style" w:cs="Arial"/>
          <w:sz w:val="24"/>
          <w:szCs w:val="24"/>
        </w:rPr>
        <w:t>de nominación de suministro, a cada comprador se le asignará la cantidad de compra ajustada.</w:t>
      </w:r>
    </w:p>
    <w:p w14:paraId="09DDECEC" w14:textId="77777777" w:rsidR="009021E5" w:rsidRDefault="009021E5" w:rsidP="009021E5">
      <w:pPr>
        <w:pStyle w:val="Prrafodelista"/>
        <w:widowControl w:val="0"/>
        <w:adjustRightInd w:val="0"/>
        <w:ind w:left="720"/>
        <w:jc w:val="both"/>
        <w:textAlignment w:val="baseline"/>
        <w:rPr>
          <w:rFonts w:ascii="Bookman Old Style" w:hAnsi="Bookman Old Style" w:cs="Arial"/>
          <w:sz w:val="24"/>
          <w:szCs w:val="24"/>
        </w:rPr>
      </w:pPr>
    </w:p>
    <w:p w14:paraId="21D6CA5D" w14:textId="3B2AF561" w:rsidR="004368F3" w:rsidRDefault="008737D0" w:rsidP="004368F3">
      <w:pPr>
        <w:pStyle w:val="Prrafodelista"/>
        <w:widowControl w:val="0"/>
        <w:numPr>
          <w:ilvl w:val="0"/>
          <w:numId w:val="17"/>
        </w:numPr>
        <w:adjustRightInd w:val="0"/>
        <w:jc w:val="both"/>
        <w:textAlignment w:val="baseline"/>
        <w:rPr>
          <w:rFonts w:ascii="Bookman Old Style" w:hAnsi="Bookman Old Style" w:cs="Arial"/>
          <w:sz w:val="24"/>
          <w:szCs w:val="24"/>
        </w:rPr>
      </w:pPr>
      <w:r>
        <w:rPr>
          <w:rFonts w:ascii="Bookman Old Style" w:hAnsi="Bookman Old Style" w:cs="Arial"/>
          <w:sz w:val="24"/>
          <w:szCs w:val="24"/>
        </w:rPr>
        <w:t>Segundo criterio de asignación: En el caso de que la suma de las solicitudes de compra ajustadas</w:t>
      </w:r>
      <w:r w:rsidR="0087664D">
        <w:rPr>
          <w:rFonts w:ascii="Bookman Old Style" w:hAnsi="Bookman Old Style" w:cs="Arial"/>
          <w:sz w:val="24"/>
          <w:szCs w:val="24"/>
        </w:rPr>
        <w:t>,</w:t>
      </w:r>
      <w:r w:rsidR="0087664D" w:rsidRPr="0087664D">
        <w:rPr>
          <w:rFonts w:ascii="Bookman Old Style" w:hAnsi="Bookman Old Style" w:cs="Arial"/>
          <w:sz w:val="24"/>
          <w:szCs w:val="24"/>
        </w:rPr>
        <w:t xml:space="preserve"> </w:t>
      </w:r>
      <w:r w:rsidR="0087664D">
        <w:rPr>
          <w:rFonts w:ascii="Bookman Old Style" w:hAnsi="Bookman Old Style" w:cs="Arial"/>
          <w:sz w:val="24"/>
          <w:szCs w:val="24"/>
        </w:rPr>
        <w:t xml:space="preserve">conforme al </w:t>
      </w:r>
      <w:r w:rsidR="00863858">
        <w:rPr>
          <w:rFonts w:ascii="Bookman Old Style" w:hAnsi="Bookman Old Style" w:cs="Arial"/>
          <w:sz w:val="24"/>
          <w:szCs w:val="24"/>
        </w:rPr>
        <w:t>literal</w:t>
      </w:r>
      <w:r w:rsidR="0087664D">
        <w:rPr>
          <w:rFonts w:ascii="Bookman Old Style" w:hAnsi="Bookman Old Style" w:cs="Arial"/>
          <w:sz w:val="24"/>
          <w:szCs w:val="24"/>
        </w:rPr>
        <w:t xml:space="preserve"> </w:t>
      </w:r>
      <w:r w:rsidR="00863858">
        <w:rPr>
          <w:rFonts w:ascii="Bookman Old Style" w:hAnsi="Bookman Old Style" w:cs="Arial"/>
          <w:sz w:val="24"/>
          <w:szCs w:val="24"/>
        </w:rPr>
        <w:t xml:space="preserve">a) del presente </w:t>
      </w:r>
      <w:r w:rsidR="00195501">
        <w:rPr>
          <w:rFonts w:ascii="Bookman Old Style" w:hAnsi="Bookman Old Style" w:cs="Arial"/>
          <w:sz w:val="24"/>
          <w:szCs w:val="24"/>
        </w:rPr>
        <w:t>artículo</w:t>
      </w:r>
      <w:r w:rsidR="0087664D">
        <w:rPr>
          <w:rFonts w:ascii="Bookman Old Style" w:hAnsi="Bookman Old Style" w:cs="Arial"/>
          <w:sz w:val="24"/>
          <w:szCs w:val="24"/>
        </w:rPr>
        <w:t>,</w:t>
      </w:r>
      <w:r>
        <w:rPr>
          <w:rFonts w:ascii="Bookman Old Style" w:hAnsi="Bookman Old Style" w:cs="Arial"/>
          <w:sz w:val="24"/>
          <w:szCs w:val="24"/>
        </w:rPr>
        <w:t xml:space="preserve"> sea mayor que la cantidad disponible anunciada para el respectivo ciclo de nominación de suministro, a cada comprador se le asignará en proporción a su cantidad de compra ajustada.</w:t>
      </w:r>
    </w:p>
    <w:p w14:paraId="481E2734" w14:textId="77777777" w:rsidR="00BF4E76" w:rsidRDefault="00BF4E76" w:rsidP="00BF4E76">
      <w:pPr>
        <w:widowControl w:val="0"/>
        <w:adjustRightInd w:val="0"/>
        <w:ind w:left="0"/>
        <w:jc w:val="both"/>
        <w:textAlignment w:val="baseline"/>
        <w:rPr>
          <w:rFonts w:ascii="Bookman Old Style" w:hAnsi="Bookman Old Style" w:cs="Arial"/>
        </w:rPr>
      </w:pPr>
    </w:p>
    <w:p w14:paraId="47D2D26D" w14:textId="7A146FEA" w:rsidR="009906D2" w:rsidRDefault="009906D2" w:rsidP="00BF4E76">
      <w:pPr>
        <w:widowControl w:val="0"/>
        <w:adjustRightInd w:val="0"/>
        <w:ind w:left="0"/>
        <w:jc w:val="both"/>
        <w:textAlignment w:val="baseline"/>
        <w:rPr>
          <w:rFonts w:ascii="Bookman Old Style" w:hAnsi="Bookman Old Style" w:cs="Arial"/>
        </w:rPr>
      </w:pPr>
      <w:r w:rsidRPr="00E648F8">
        <w:rPr>
          <w:rFonts w:ascii="Bookman Old Style" w:hAnsi="Bookman Old Style" w:cs="Arial"/>
          <w:b/>
        </w:rPr>
        <w:t>Parágrafo</w:t>
      </w:r>
      <w:r w:rsidR="008737D0" w:rsidRPr="00E648F8">
        <w:rPr>
          <w:rFonts w:ascii="Bookman Old Style" w:hAnsi="Bookman Old Style" w:cs="Arial"/>
          <w:b/>
        </w:rPr>
        <w:t xml:space="preserve"> 1</w:t>
      </w:r>
      <w:r w:rsidRPr="00E648F8">
        <w:rPr>
          <w:rFonts w:ascii="Bookman Old Style" w:hAnsi="Bookman Old Style" w:cs="Arial"/>
          <w:b/>
        </w:rPr>
        <w:t>:</w:t>
      </w:r>
      <w:r>
        <w:rPr>
          <w:rFonts w:ascii="Bookman Old Style" w:hAnsi="Bookman Old Style" w:cs="Arial"/>
        </w:rPr>
        <w:t xml:space="preserve"> Los compradores deberán remitir con su solicitud de compra la información que le permita </w:t>
      </w:r>
      <w:r w:rsidR="00597502">
        <w:rPr>
          <w:rFonts w:ascii="Bookman Old Style" w:hAnsi="Bookman Old Style" w:cs="Arial"/>
        </w:rPr>
        <w:t>al vendedor</w:t>
      </w:r>
      <w:r>
        <w:rPr>
          <w:rFonts w:ascii="Bookman Old Style" w:hAnsi="Bookman Old Style" w:cs="Arial"/>
        </w:rPr>
        <w:t xml:space="preserve"> determinar la capacidad disponible de compra por lo que resta del respectivo periodo de compra</w:t>
      </w:r>
      <w:r w:rsidR="008737D0">
        <w:rPr>
          <w:rFonts w:ascii="Bookman Old Style" w:hAnsi="Bookman Old Style" w:cs="Arial"/>
        </w:rPr>
        <w:t xml:space="preserve"> o las cantidades a las que hace referencia la variable </w:t>
      </w:r>
      <m:oMath>
        <m:sSub>
          <m:sSubPr>
            <m:ctrlPr>
              <w:rPr>
                <w:rFonts w:ascii="Cambria Math" w:hAnsi="Cambria Math" w:cs="Arial"/>
                <w:i/>
              </w:rPr>
            </m:ctrlPr>
          </m:sSubPr>
          <m:e>
            <m:r>
              <w:rPr>
                <w:rFonts w:ascii="Cambria Math" w:hAnsi="Cambria Math" w:cs="Arial"/>
              </w:rPr>
              <m:t>Q</m:t>
            </m:r>
          </m:e>
          <m:sub>
            <m:r>
              <w:rPr>
                <w:rFonts w:ascii="Cambria Math" w:hAnsi="Cambria Math" w:cs="Arial"/>
              </w:rPr>
              <m:t>i,m</m:t>
            </m:r>
          </m:sub>
        </m:sSub>
      </m:oMath>
      <w:r w:rsidR="008737D0">
        <w:rPr>
          <w:rFonts w:ascii="Bookman Old Style" w:hAnsi="Bookman Old Style" w:cs="Arial"/>
        </w:rPr>
        <w:t xml:space="preserve">, </w:t>
      </w:r>
      <w:r>
        <w:rPr>
          <w:rFonts w:ascii="Bookman Old Style" w:hAnsi="Bookman Old Style" w:cs="Arial"/>
        </w:rPr>
        <w:t>con corte a la fecha del envío de la respectiva solicitud de compra.</w:t>
      </w:r>
      <w:r w:rsidR="00227AE8">
        <w:rPr>
          <w:rFonts w:ascii="Bookman Old Style" w:hAnsi="Bookman Old Style" w:cs="Arial"/>
        </w:rPr>
        <w:t xml:space="preserve"> Esta información deberá estar disponible para la Superintendencia de Servicios Públicos Domiciliarios en caso de que esta entidad lo requiera.</w:t>
      </w:r>
    </w:p>
    <w:p w14:paraId="7DDF85F2" w14:textId="77777777" w:rsidR="00AD12CF" w:rsidRDefault="00AD12CF" w:rsidP="00BF4E76">
      <w:pPr>
        <w:widowControl w:val="0"/>
        <w:adjustRightInd w:val="0"/>
        <w:ind w:left="0"/>
        <w:jc w:val="both"/>
        <w:textAlignment w:val="baseline"/>
        <w:rPr>
          <w:rFonts w:ascii="Bookman Old Style" w:hAnsi="Bookman Old Style" w:cs="Arial"/>
        </w:rPr>
      </w:pPr>
    </w:p>
    <w:p w14:paraId="032299C4" w14:textId="77777777" w:rsidR="008737D0" w:rsidRDefault="008737D0" w:rsidP="008737D0">
      <w:pPr>
        <w:widowControl w:val="0"/>
        <w:adjustRightInd w:val="0"/>
        <w:ind w:left="0"/>
        <w:jc w:val="both"/>
        <w:textAlignment w:val="baseline"/>
        <w:rPr>
          <w:rFonts w:ascii="Bookman Old Style" w:hAnsi="Bookman Old Style" w:cs="Arial"/>
        </w:rPr>
      </w:pPr>
      <w:r w:rsidRPr="00E648F8">
        <w:rPr>
          <w:rFonts w:ascii="Bookman Old Style" w:hAnsi="Bookman Old Style" w:cs="Arial"/>
          <w:b/>
        </w:rPr>
        <w:t>Parágrafo 2:</w:t>
      </w:r>
      <w:r>
        <w:rPr>
          <w:rFonts w:ascii="Bookman Old Style" w:hAnsi="Bookman Old Style" w:cs="Arial"/>
        </w:rPr>
        <w:t xml:space="preserve"> En el evento en el que después de la confirmación del programa de entregas se presenten mayores cantidades disponibles de GLP a las inicialmente anunciadas, las mismas podrán ser </w:t>
      </w:r>
      <w:r w:rsidR="00166FEA">
        <w:rPr>
          <w:rFonts w:ascii="Bookman Old Style" w:hAnsi="Bookman Old Style" w:cs="Arial"/>
        </w:rPr>
        <w:t xml:space="preserve">comercializadas </w:t>
      </w:r>
      <w:r>
        <w:rPr>
          <w:rFonts w:ascii="Bookman Old Style" w:hAnsi="Bookman Old Style" w:cs="Arial"/>
        </w:rPr>
        <w:t>a los compradores que manifiesten que cuentan con la logística requerida para su recibo</w:t>
      </w:r>
      <w:r w:rsidR="00166FEA">
        <w:rPr>
          <w:rFonts w:ascii="Bookman Old Style" w:hAnsi="Bookman Old Style" w:cs="Arial"/>
        </w:rPr>
        <w:t xml:space="preserve">, sin exceder </w:t>
      </w:r>
      <w:r>
        <w:rPr>
          <w:rFonts w:ascii="Bookman Old Style" w:hAnsi="Bookman Old Style" w:cs="Arial"/>
        </w:rPr>
        <w:t xml:space="preserve">su solicitud de compra ajustada. Cuando más de un comprador </w:t>
      </w:r>
      <w:r w:rsidR="00166FEA">
        <w:rPr>
          <w:rFonts w:ascii="Bookman Old Style" w:hAnsi="Bookman Old Style" w:cs="Arial"/>
        </w:rPr>
        <w:t xml:space="preserve">manifieste que </w:t>
      </w:r>
      <w:r>
        <w:rPr>
          <w:rFonts w:ascii="Bookman Old Style" w:hAnsi="Bookman Old Style" w:cs="Arial"/>
        </w:rPr>
        <w:t>se encuentre en capacidad de recibir estas cantidades adicionales, las mismas deberán ser asignadas en proporción a sus solicitudes de compra ajustadas.</w:t>
      </w:r>
    </w:p>
    <w:p w14:paraId="6171A9A0" w14:textId="77777777" w:rsidR="00AD12CF" w:rsidRDefault="00AD12CF" w:rsidP="008737D0">
      <w:pPr>
        <w:widowControl w:val="0"/>
        <w:adjustRightInd w:val="0"/>
        <w:ind w:left="0"/>
        <w:jc w:val="both"/>
        <w:textAlignment w:val="baseline"/>
        <w:rPr>
          <w:rFonts w:ascii="Bookman Old Style" w:hAnsi="Bookman Old Style" w:cs="Arial"/>
        </w:rPr>
      </w:pPr>
    </w:p>
    <w:p w14:paraId="60854C85" w14:textId="77777777" w:rsidR="003C1A71" w:rsidRPr="00961A10" w:rsidRDefault="003703A7" w:rsidP="00961A10">
      <w:pPr>
        <w:widowControl w:val="0"/>
        <w:adjustRightInd w:val="0"/>
        <w:ind w:left="0"/>
        <w:jc w:val="both"/>
        <w:textAlignment w:val="baseline"/>
        <w:rPr>
          <w:rFonts w:ascii="Bookman Old Style" w:hAnsi="Bookman Old Style"/>
          <w:szCs w:val="20"/>
          <w:lang w:val="es-CO"/>
        </w:rPr>
      </w:pPr>
      <w:r>
        <w:rPr>
          <w:rFonts w:ascii="Bookman Old Style" w:hAnsi="Bookman Old Style" w:cs="Arial"/>
          <w:b/>
          <w:bCs/>
        </w:rPr>
        <w:t>Artículo 6</w:t>
      </w:r>
      <w:r w:rsidR="003C1A71">
        <w:rPr>
          <w:rFonts w:ascii="Bookman Old Style" w:hAnsi="Bookman Old Style" w:cs="Arial"/>
          <w:b/>
          <w:bCs/>
        </w:rPr>
        <w:t xml:space="preserve">. </w:t>
      </w:r>
      <w:r w:rsidR="00FB3BEB" w:rsidRPr="00FB3BEB">
        <w:rPr>
          <w:rFonts w:ascii="Bookman Old Style" w:hAnsi="Bookman Old Style"/>
          <w:b/>
          <w:szCs w:val="20"/>
          <w:lang w:val="es-CO"/>
        </w:rPr>
        <w:t>De los contratos y las obligaciones en la entrega del GLP de comisionamiento.</w:t>
      </w:r>
      <w:r w:rsidR="009614E4">
        <w:rPr>
          <w:rFonts w:ascii="Bookman Old Style" w:hAnsi="Bookman Old Style"/>
          <w:szCs w:val="20"/>
          <w:lang w:val="es-CO"/>
        </w:rPr>
        <w:t xml:space="preserve"> </w:t>
      </w:r>
      <w:r w:rsidR="00961A10">
        <w:rPr>
          <w:rFonts w:ascii="Bookman Old Style" w:hAnsi="Bookman Old Style"/>
          <w:szCs w:val="20"/>
          <w:lang w:val="es-CO"/>
        </w:rPr>
        <w:t>En relación con estas materias se deberá tener en cuenta</w:t>
      </w:r>
      <w:r w:rsidR="00961A10" w:rsidRPr="00961A10">
        <w:rPr>
          <w:rFonts w:ascii="Bookman Old Style" w:hAnsi="Bookman Old Style"/>
          <w:szCs w:val="20"/>
          <w:lang w:val="es-CO"/>
        </w:rPr>
        <w:t xml:space="preserve"> lo siguiente:</w:t>
      </w:r>
    </w:p>
    <w:p w14:paraId="74D582A6" w14:textId="77777777" w:rsidR="003C1A71" w:rsidRPr="00961A10" w:rsidRDefault="003C1A71" w:rsidP="0089152A">
      <w:pPr>
        <w:widowControl w:val="0"/>
        <w:adjustRightInd w:val="0"/>
        <w:ind w:left="0"/>
        <w:jc w:val="both"/>
        <w:textAlignment w:val="baseline"/>
        <w:rPr>
          <w:rFonts w:ascii="Bookman Old Style" w:hAnsi="Bookman Old Style" w:cs="Arial"/>
          <w:lang w:val="es-CO"/>
        </w:rPr>
      </w:pPr>
    </w:p>
    <w:p w14:paraId="3E020F91" w14:textId="2978790B" w:rsidR="00AA7151" w:rsidRDefault="009614E4" w:rsidP="00F25BE1">
      <w:pPr>
        <w:pStyle w:val="Prrafodelista"/>
        <w:widowControl w:val="0"/>
        <w:numPr>
          <w:ilvl w:val="0"/>
          <w:numId w:val="13"/>
        </w:numPr>
        <w:adjustRightInd w:val="0"/>
        <w:jc w:val="both"/>
        <w:textAlignment w:val="baseline"/>
        <w:rPr>
          <w:rFonts w:ascii="Bookman Old Style" w:hAnsi="Bookman Old Style" w:cs="Arial"/>
          <w:sz w:val="24"/>
          <w:szCs w:val="24"/>
          <w:lang w:val="es-ES"/>
        </w:rPr>
      </w:pPr>
      <w:r>
        <w:rPr>
          <w:rFonts w:ascii="Bookman Old Style" w:hAnsi="Bookman Old Style" w:cs="Arial"/>
          <w:sz w:val="24"/>
          <w:szCs w:val="24"/>
          <w:lang w:val="es-ES"/>
        </w:rPr>
        <w:t>Como requisito previo al envío de solicitudes de compra</w:t>
      </w:r>
      <w:r w:rsidR="00AA7151">
        <w:rPr>
          <w:rFonts w:ascii="Bookman Old Style" w:hAnsi="Bookman Old Style" w:cs="Arial"/>
          <w:sz w:val="24"/>
          <w:szCs w:val="24"/>
          <w:lang w:val="es-ES"/>
        </w:rPr>
        <w:t>,</w:t>
      </w:r>
      <w:r>
        <w:rPr>
          <w:rFonts w:ascii="Bookman Old Style" w:hAnsi="Bookman Old Style" w:cs="Arial"/>
          <w:sz w:val="24"/>
          <w:szCs w:val="24"/>
          <w:lang w:val="es-ES"/>
        </w:rPr>
        <w:t xml:space="preserve"> </w:t>
      </w:r>
      <w:r w:rsidR="00AA7151">
        <w:rPr>
          <w:rFonts w:ascii="Bookman Old Style" w:hAnsi="Bookman Old Style" w:cs="Arial"/>
          <w:sz w:val="24"/>
          <w:szCs w:val="24"/>
          <w:lang w:val="es-ES"/>
        </w:rPr>
        <w:t xml:space="preserve">dentro del esquema de comercialización de GLP </w:t>
      </w:r>
      <w:r w:rsidR="004B6A67">
        <w:rPr>
          <w:rFonts w:ascii="Bookman Old Style" w:hAnsi="Bookman Old Style" w:cs="Arial"/>
          <w:sz w:val="24"/>
          <w:szCs w:val="24"/>
          <w:lang w:val="es-ES"/>
        </w:rPr>
        <w:t>producido durante el</w:t>
      </w:r>
      <w:r w:rsidR="00AA7151">
        <w:rPr>
          <w:rFonts w:ascii="Bookman Old Style" w:hAnsi="Bookman Old Style" w:cs="Arial"/>
          <w:sz w:val="24"/>
          <w:szCs w:val="24"/>
          <w:lang w:val="es-ES"/>
        </w:rPr>
        <w:t xml:space="preserve"> comisionamiento, los compradores deberán suscribir con </w:t>
      </w:r>
      <w:r w:rsidR="00597502">
        <w:rPr>
          <w:rFonts w:ascii="Bookman Old Style" w:hAnsi="Bookman Old Style" w:cs="Arial"/>
          <w:sz w:val="24"/>
          <w:szCs w:val="24"/>
          <w:lang w:val="es-ES"/>
        </w:rPr>
        <w:t xml:space="preserve">el vendedor </w:t>
      </w:r>
      <w:r w:rsidR="00AA7151">
        <w:rPr>
          <w:rFonts w:ascii="Bookman Old Style" w:hAnsi="Bookman Old Style" w:cs="Arial"/>
          <w:sz w:val="24"/>
          <w:szCs w:val="24"/>
          <w:lang w:val="es-ES"/>
        </w:rPr>
        <w:t xml:space="preserve">un contrato de </w:t>
      </w:r>
      <w:r w:rsidR="008F0492" w:rsidRPr="008F0492">
        <w:rPr>
          <w:rFonts w:ascii="Bookman Old Style" w:hAnsi="Bookman Old Style" w:cs="Arial"/>
          <w:sz w:val="24"/>
          <w:szCs w:val="24"/>
          <w:lang w:val="es-ES"/>
        </w:rPr>
        <w:t xml:space="preserve">suministro de GLP de </w:t>
      </w:r>
      <w:r w:rsidR="008F0492">
        <w:rPr>
          <w:rFonts w:ascii="Bookman Old Style" w:hAnsi="Bookman Old Style" w:cs="Arial"/>
          <w:sz w:val="24"/>
          <w:szCs w:val="24"/>
          <w:lang w:val="es-ES"/>
        </w:rPr>
        <w:t>comisionamiento</w:t>
      </w:r>
      <w:r w:rsidR="00AA7151">
        <w:rPr>
          <w:rFonts w:ascii="Bookman Old Style" w:hAnsi="Bookman Old Style" w:cs="Arial"/>
          <w:sz w:val="24"/>
          <w:szCs w:val="24"/>
          <w:lang w:val="es-ES"/>
        </w:rPr>
        <w:t>.</w:t>
      </w:r>
      <w:r w:rsidR="008F0492">
        <w:rPr>
          <w:rFonts w:ascii="Bookman Old Style" w:hAnsi="Bookman Old Style" w:cs="Arial"/>
          <w:sz w:val="24"/>
          <w:szCs w:val="24"/>
          <w:lang w:val="es-ES"/>
        </w:rPr>
        <w:t xml:space="preserve"> </w:t>
      </w:r>
      <w:r w:rsidR="00AA7151">
        <w:rPr>
          <w:rFonts w:ascii="Bookman Old Style" w:hAnsi="Bookman Old Style" w:cs="Arial"/>
          <w:sz w:val="24"/>
          <w:szCs w:val="24"/>
          <w:lang w:val="es-ES"/>
        </w:rPr>
        <w:t xml:space="preserve">Para la suscripción del contrato, </w:t>
      </w:r>
      <w:r w:rsidR="00597502">
        <w:rPr>
          <w:rFonts w:ascii="Bookman Old Style" w:hAnsi="Bookman Old Style" w:cs="Arial"/>
          <w:sz w:val="24"/>
          <w:szCs w:val="24"/>
          <w:lang w:val="es-ES"/>
        </w:rPr>
        <w:t xml:space="preserve">el vendedor </w:t>
      </w:r>
      <w:r w:rsidR="00AA7151">
        <w:rPr>
          <w:rFonts w:ascii="Bookman Old Style" w:hAnsi="Bookman Old Style" w:cs="Arial"/>
          <w:sz w:val="24"/>
          <w:szCs w:val="24"/>
          <w:lang w:val="es-ES"/>
        </w:rPr>
        <w:t xml:space="preserve">no podrá exigir a los compradores requisitos diferentes a los previstos en la Resolución CREG 053 de 2011. </w:t>
      </w:r>
      <w:r w:rsidR="00ED367F">
        <w:rPr>
          <w:rFonts w:ascii="Bookman Old Style" w:hAnsi="Bookman Old Style" w:cs="Arial"/>
          <w:sz w:val="24"/>
          <w:szCs w:val="24"/>
          <w:lang w:val="es-ES"/>
        </w:rPr>
        <w:t>E</w:t>
      </w:r>
      <w:r w:rsidR="00597502">
        <w:rPr>
          <w:rFonts w:ascii="Bookman Old Style" w:hAnsi="Bookman Old Style" w:cs="Arial"/>
          <w:sz w:val="24"/>
          <w:szCs w:val="24"/>
          <w:lang w:val="es-ES"/>
        </w:rPr>
        <w:t>l vendedor</w:t>
      </w:r>
      <w:r w:rsidR="00AA7151">
        <w:rPr>
          <w:rFonts w:ascii="Bookman Old Style" w:hAnsi="Bookman Old Style" w:cs="Arial"/>
          <w:sz w:val="24"/>
          <w:szCs w:val="24"/>
          <w:lang w:val="es-ES"/>
        </w:rPr>
        <w:t xml:space="preserve"> deberá garantizar </w:t>
      </w:r>
      <w:r w:rsidR="00AA7151" w:rsidRPr="00AA7151">
        <w:rPr>
          <w:rFonts w:ascii="Bookman Old Style" w:hAnsi="Bookman Old Style" w:cs="Arial"/>
          <w:sz w:val="24"/>
          <w:szCs w:val="24"/>
          <w:lang w:val="es-ES"/>
        </w:rPr>
        <w:t xml:space="preserve">que todos </w:t>
      </w:r>
      <w:r w:rsidR="00AA7151" w:rsidRPr="00F25BE1">
        <w:rPr>
          <w:rFonts w:ascii="Bookman Old Style" w:hAnsi="Bookman Old Style" w:cs="Arial"/>
          <w:sz w:val="24"/>
          <w:szCs w:val="24"/>
          <w:lang w:val="es-ES"/>
        </w:rPr>
        <w:t xml:space="preserve">los interesados en adquirir el producto </w:t>
      </w:r>
      <w:r w:rsidR="00AA7151" w:rsidRPr="00F25BE1">
        <w:rPr>
          <w:rFonts w:ascii="Bookman Old Style" w:hAnsi="Bookman Old Style" w:cs="Arial"/>
          <w:sz w:val="24"/>
          <w:szCs w:val="24"/>
          <w:lang w:val="es-ES"/>
        </w:rPr>
        <w:lastRenderedPageBreak/>
        <w:t>puedan participar del esquema en igualdad de condiciones y oportunidades.</w:t>
      </w:r>
    </w:p>
    <w:p w14:paraId="701C11DA" w14:textId="77777777" w:rsidR="00E648F8" w:rsidRPr="00D061B3" w:rsidRDefault="00E648F8" w:rsidP="00E648F8">
      <w:pPr>
        <w:pStyle w:val="Prrafodelista"/>
        <w:widowControl w:val="0"/>
        <w:adjustRightInd w:val="0"/>
        <w:ind w:left="720"/>
        <w:jc w:val="both"/>
        <w:textAlignment w:val="baseline"/>
        <w:rPr>
          <w:rFonts w:ascii="Bookman Old Style" w:hAnsi="Bookman Old Style" w:cs="Arial"/>
          <w:szCs w:val="24"/>
          <w:lang w:val="es-ES"/>
        </w:rPr>
      </w:pPr>
    </w:p>
    <w:p w14:paraId="7FE5D2C6" w14:textId="6A139D4B" w:rsidR="00E648F8" w:rsidRPr="00F25BE1" w:rsidRDefault="00E648F8" w:rsidP="00F25BE1">
      <w:pPr>
        <w:pStyle w:val="Prrafodelista"/>
        <w:widowControl w:val="0"/>
        <w:numPr>
          <w:ilvl w:val="0"/>
          <w:numId w:val="13"/>
        </w:numPr>
        <w:adjustRightInd w:val="0"/>
        <w:jc w:val="both"/>
        <w:textAlignment w:val="baseline"/>
        <w:rPr>
          <w:rFonts w:ascii="Bookman Old Style" w:hAnsi="Bookman Old Style" w:cs="Arial"/>
          <w:sz w:val="24"/>
          <w:szCs w:val="24"/>
          <w:lang w:val="es-ES"/>
        </w:rPr>
      </w:pPr>
      <w:r>
        <w:rPr>
          <w:rFonts w:ascii="Bookman Old Style" w:hAnsi="Bookman Old Style" w:cs="Arial"/>
          <w:sz w:val="24"/>
          <w:szCs w:val="24"/>
          <w:lang w:val="es-ES"/>
        </w:rPr>
        <w:t>Solo será necesaria la suscripción de un contrato de suministro de GLP</w:t>
      </w:r>
      <w:r w:rsidR="008D5C9B">
        <w:rPr>
          <w:rFonts w:ascii="Bookman Old Style" w:hAnsi="Bookman Old Style" w:cs="Arial"/>
          <w:sz w:val="24"/>
          <w:szCs w:val="24"/>
          <w:lang w:val="es-ES"/>
        </w:rPr>
        <w:t xml:space="preserve"> </w:t>
      </w:r>
      <w:r>
        <w:rPr>
          <w:rFonts w:ascii="Bookman Old Style" w:hAnsi="Bookman Old Style" w:cs="Arial"/>
          <w:sz w:val="24"/>
          <w:szCs w:val="24"/>
          <w:lang w:val="es-ES"/>
        </w:rPr>
        <w:t xml:space="preserve">de comisionamiento, entre un comprador y </w:t>
      </w:r>
      <w:r w:rsidR="00597502">
        <w:rPr>
          <w:rFonts w:ascii="Bookman Old Style" w:hAnsi="Bookman Old Style" w:cs="Arial"/>
          <w:sz w:val="24"/>
          <w:szCs w:val="24"/>
          <w:lang w:val="es-ES"/>
        </w:rPr>
        <w:t>el vendedor</w:t>
      </w:r>
      <w:r>
        <w:rPr>
          <w:rFonts w:ascii="Bookman Old Style" w:hAnsi="Bookman Old Style" w:cs="Arial"/>
          <w:sz w:val="24"/>
          <w:szCs w:val="24"/>
          <w:lang w:val="es-ES"/>
        </w:rPr>
        <w:t xml:space="preserve">, para su participación en el esquema de comercialización del que trata esta resolución durante toda su duración. La vigencia de este contrato será hasta la fecha de terminación del periodo de </w:t>
      </w:r>
      <w:r w:rsidR="001E017D">
        <w:rPr>
          <w:rFonts w:ascii="Bookman Old Style" w:hAnsi="Bookman Old Style" w:cs="Arial"/>
          <w:sz w:val="24"/>
          <w:szCs w:val="24"/>
          <w:lang w:val="es-ES"/>
        </w:rPr>
        <w:t>Comisionamiento</w:t>
      </w:r>
      <w:r>
        <w:rPr>
          <w:rFonts w:ascii="Bookman Old Style" w:hAnsi="Bookman Old Style" w:cs="Arial"/>
          <w:sz w:val="24"/>
          <w:szCs w:val="24"/>
          <w:lang w:val="es-ES"/>
        </w:rPr>
        <w:t>.</w:t>
      </w:r>
    </w:p>
    <w:p w14:paraId="2ED3FC6D" w14:textId="77777777" w:rsidR="00AA7151" w:rsidRPr="00D061B3" w:rsidRDefault="00AA7151" w:rsidP="00F25BE1">
      <w:pPr>
        <w:widowControl w:val="0"/>
        <w:adjustRightInd w:val="0"/>
        <w:jc w:val="both"/>
        <w:textAlignment w:val="baseline"/>
        <w:rPr>
          <w:rFonts w:ascii="Bookman Old Style" w:hAnsi="Bookman Old Style" w:cs="Arial"/>
          <w:sz w:val="20"/>
        </w:rPr>
      </w:pPr>
    </w:p>
    <w:p w14:paraId="1587BD3D" w14:textId="5EB365A4" w:rsidR="00F25BE1" w:rsidRPr="00F25BE1" w:rsidRDefault="00AA7151" w:rsidP="00A77858">
      <w:pPr>
        <w:pStyle w:val="Prrafodelista"/>
        <w:widowControl w:val="0"/>
        <w:numPr>
          <w:ilvl w:val="0"/>
          <w:numId w:val="13"/>
        </w:numPr>
        <w:adjustRightInd w:val="0"/>
        <w:jc w:val="both"/>
        <w:textAlignment w:val="baseline"/>
        <w:rPr>
          <w:rFonts w:ascii="Bookman Old Style" w:hAnsi="Bookman Old Style" w:cs="Arial"/>
          <w:sz w:val="24"/>
          <w:szCs w:val="24"/>
          <w:lang w:val="es-ES"/>
        </w:rPr>
      </w:pPr>
      <w:r w:rsidRPr="00F25BE1">
        <w:rPr>
          <w:rFonts w:ascii="Bookman Old Style" w:hAnsi="Bookman Old Style" w:cs="Arial"/>
          <w:sz w:val="24"/>
          <w:szCs w:val="24"/>
        </w:rPr>
        <w:t xml:space="preserve">El contrato de suministro de GLP de </w:t>
      </w:r>
      <w:r w:rsidR="00E36F50" w:rsidRPr="00F25BE1">
        <w:rPr>
          <w:rFonts w:ascii="Bookman Old Style" w:hAnsi="Bookman Old Style" w:cs="Arial"/>
          <w:sz w:val="24"/>
          <w:szCs w:val="24"/>
        </w:rPr>
        <w:t xml:space="preserve">Comisionamiento </w:t>
      </w:r>
      <w:r w:rsidR="008F0492" w:rsidRPr="00F25BE1">
        <w:rPr>
          <w:rFonts w:ascii="Bookman Old Style" w:hAnsi="Bookman Old Style" w:cs="Arial"/>
          <w:sz w:val="24"/>
          <w:szCs w:val="24"/>
        </w:rPr>
        <w:t xml:space="preserve">deberá cumplir </w:t>
      </w:r>
      <w:r w:rsidR="002942CE" w:rsidRPr="00F25BE1">
        <w:rPr>
          <w:rFonts w:ascii="Bookman Old Style" w:hAnsi="Bookman Old Style" w:cs="Arial"/>
          <w:sz w:val="24"/>
          <w:szCs w:val="24"/>
        </w:rPr>
        <w:t>con todo lo previsto en el artículo 15 de la Resolución CREG 053 de 2011.</w:t>
      </w:r>
      <w:r w:rsidR="00F25BE1" w:rsidRPr="00F25BE1">
        <w:rPr>
          <w:rFonts w:ascii="Bookman Old Style" w:hAnsi="Bookman Old Style" w:cs="Arial"/>
          <w:sz w:val="24"/>
          <w:szCs w:val="24"/>
        </w:rPr>
        <w:t xml:space="preserve"> </w:t>
      </w:r>
    </w:p>
    <w:p w14:paraId="13738642" w14:textId="77777777" w:rsidR="00F25BE1" w:rsidRPr="00D061B3" w:rsidRDefault="00F25BE1" w:rsidP="00F25BE1">
      <w:pPr>
        <w:pStyle w:val="Prrafodelista"/>
        <w:widowControl w:val="0"/>
        <w:adjustRightInd w:val="0"/>
        <w:ind w:left="720"/>
        <w:jc w:val="both"/>
        <w:textAlignment w:val="baseline"/>
        <w:rPr>
          <w:rFonts w:ascii="Bookman Old Style" w:hAnsi="Bookman Old Style" w:cs="Arial"/>
          <w:szCs w:val="24"/>
          <w:lang w:val="es-ES"/>
        </w:rPr>
      </w:pPr>
    </w:p>
    <w:p w14:paraId="51F25530" w14:textId="73241D2E" w:rsidR="00BE7A4D" w:rsidRDefault="00BE7A4D" w:rsidP="008F0492">
      <w:pPr>
        <w:pStyle w:val="Prrafodelista"/>
        <w:widowControl w:val="0"/>
        <w:numPr>
          <w:ilvl w:val="0"/>
          <w:numId w:val="13"/>
        </w:numPr>
        <w:adjustRightInd w:val="0"/>
        <w:jc w:val="both"/>
        <w:textAlignment w:val="baseline"/>
        <w:rPr>
          <w:rFonts w:ascii="Bookman Old Style" w:hAnsi="Bookman Old Style" w:cs="Arial"/>
          <w:sz w:val="24"/>
          <w:szCs w:val="24"/>
          <w:lang w:val="es-ES"/>
        </w:rPr>
      </w:pPr>
      <w:r>
        <w:rPr>
          <w:rFonts w:ascii="Bookman Old Style" w:hAnsi="Bookman Old Style" w:cs="Arial"/>
          <w:sz w:val="24"/>
          <w:szCs w:val="24"/>
          <w:lang w:val="es-ES"/>
        </w:rPr>
        <w:t>La obligaci</w:t>
      </w:r>
      <w:r w:rsidR="00CE5EE2">
        <w:rPr>
          <w:rFonts w:ascii="Bookman Old Style" w:hAnsi="Bookman Old Style" w:cs="Arial"/>
          <w:sz w:val="24"/>
          <w:szCs w:val="24"/>
          <w:lang w:val="es-ES"/>
        </w:rPr>
        <w:t xml:space="preserve">ón en </w:t>
      </w:r>
      <w:r>
        <w:rPr>
          <w:rFonts w:ascii="Bookman Old Style" w:hAnsi="Bookman Old Style" w:cs="Arial"/>
          <w:sz w:val="24"/>
          <w:szCs w:val="24"/>
          <w:lang w:val="es-ES"/>
        </w:rPr>
        <w:t>l</w:t>
      </w:r>
      <w:r w:rsidR="00CE5EE2">
        <w:rPr>
          <w:rFonts w:ascii="Bookman Old Style" w:hAnsi="Bookman Old Style" w:cs="Arial"/>
          <w:sz w:val="24"/>
          <w:szCs w:val="24"/>
          <w:lang w:val="es-ES"/>
        </w:rPr>
        <w:t>a venta y</w:t>
      </w:r>
      <w:r>
        <w:rPr>
          <w:rFonts w:ascii="Bookman Old Style" w:hAnsi="Bookman Old Style" w:cs="Arial"/>
          <w:sz w:val="24"/>
          <w:szCs w:val="24"/>
          <w:lang w:val="es-ES"/>
        </w:rPr>
        <w:t xml:space="preserve"> </w:t>
      </w:r>
      <w:r w:rsidR="00117AFB">
        <w:rPr>
          <w:rFonts w:ascii="Bookman Old Style" w:hAnsi="Bookman Old Style" w:cs="Arial"/>
          <w:sz w:val="24"/>
          <w:szCs w:val="24"/>
          <w:lang w:val="es-ES"/>
        </w:rPr>
        <w:t>entrega</w:t>
      </w:r>
      <w:r>
        <w:rPr>
          <w:rFonts w:ascii="Bookman Old Style" w:hAnsi="Bookman Old Style" w:cs="Arial"/>
          <w:sz w:val="24"/>
          <w:szCs w:val="24"/>
          <w:lang w:val="es-ES"/>
        </w:rPr>
        <w:t xml:space="preserve"> de cantidades por parte </w:t>
      </w:r>
      <w:r w:rsidR="00CE5EE2">
        <w:rPr>
          <w:rFonts w:ascii="Bookman Old Style" w:hAnsi="Bookman Old Style" w:cs="Arial"/>
          <w:sz w:val="24"/>
          <w:szCs w:val="24"/>
          <w:lang w:val="es-ES"/>
        </w:rPr>
        <w:t>de</w:t>
      </w:r>
      <w:r w:rsidR="00597502">
        <w:rPr>
          <w:rFonts w:ascii="Bookman Old Style" w:hAnsi="Bookman Old Style" w:cs="Arial"/>
          <w:sz w:val="24"/>
          <w:szCs w:val="24"/>
          <w:lang w:val="es-ES"/>
        </w:rPr>
        <w:t>l</w:t>
      </w:r>
      <w:r w:rsidR="00CE5EE2">
        <w:rPr>
          <w:rFonts w:ascii="Bookman Old Style" w:hAnsi="Bookman Old Style" w:cs="Arial"/>
          <w:sz w:val="24"/>
          <w:szCs w:val="24"/>
          <w:lang w:val="es-ES"/>
        </w:rPr>
        <w:t xml:space="preserve"> </w:t>
      </w:r>
      <w:r w:rsidR="00597502">
        <w:rPr>
          <w:rFonts w:ascii="Bookman Old Style" w:hAnsi="Bookman Old Style" w:cs="Arial"/>
          <w:sz w:val="24"/>
          <w:szCs w:val="24"/>
          <w:lang w:val="es-ES"/>
        </w:rPr>
        <w:t>vendedor</w:t>
      </w:r>
      <w:r w:rsidR="00CE5EE2">
        <w:rPr>
          <w:rFonts w:ascii="Bookman Old Style" w:hAnsi="Bookman Old Style" w:cs="Arial"/>
          <w:sz w:val="24"/>
          <w:szCs w:val="24"/>
          <w:lang w:val="es-ES"/>
        </w:rPr>
        <w:t xml:space="preserve"> </w:t>
      </w:r>
      <w:r w:rsidR="00CB797D">
        <w:rPr>
          <w:rFonts w:ascii="Bookman Old Style" w:hAnsi="Bookman Old Style" w:cs="Arial"/>
          <w:sz w:val="24"/>
          <w:szCs w:val="24"/>
          <w:lang w:val="es-ES"/>
        </w:rPr>
        <w:t xml:space="preserve">se extenderá hasta las cantidades anunciadas </w:t>
      </w:r>
      <w:r w:rsidR="00535EDE">
        <w:rPr>
          <w:rFonts w:ascii="Bookman Old Style" w:hAnsi="Bookman Old Style" w:cs="Arial"/>
          <w:sz w:val="24"/>
          <w:szCs w:val="24"/>
          <w:lang w:val="es-ES"/>
        </w:rPr>
        <w:t xml:space="preserve">como disponibles </w:t>
      </w:r>
      <w:r w:rsidR="00CB797D">
        <w:rPr>
          <w:rFonts w:ascii="Bookman Old Style" w:hAnsi="Bookman Old Style" w:cs="Arial"/>
          <w:sz w:val="24"/>
          <w:szCs w:val="24"/>
          <w:lang w:val="es-ES"/>
        </w:rPr>
        <w:t xml:space="preserve">en cada </w:t>
      </w:r>
      <w:r w:rsidR="007A21EE">
        <w:rPr>
          <w:rFonts w:ascii="Bookman Old Style" w:hAnsi="Bookman Old Style" w:cs="Arial"/>
          <w:sz w:val="24"/>
          <w:szCs w:val="24"/>
          <w:lang w:val="es-ES"/>
        </w:rPr>
        <w:t>c</w:t>
      </w:r>
      <w:r w:rsidR="00E36F50">
        <w:rPr>
          <w:rFonts w:ascii="Bookman Old Style" w:hAnsi="Bookman Old Style" w:cs="Arial"/>
          <w:sz w:val="24"/>
          <w:szCs w:val="24"/>
          <w:lang w:val="es-ES"/>
        </w:rPr>
        <w:t xml:space="preserve">iclo </w:t>
      </w:r>
      <w:r w:rsidR="00CB797D">
        <w:rPr>
          <w:rFonts w:ascii="Bookman Old Style" w:hAnsi="Bookman Old Style" w:cs="Arial"/>
          <w:sz w:val="24"/>
          <w:szCs w:val="24"/>
          <w:lang w:val="es-ES"/>
        </w:rPr>
        <w:t>de nominación.</w:t>
      </w:r>
    </w:p>
    <w:p w14:paraId="58BAE9A7" w14:textId="77777777" w:rsidR="00E87CD3" w:rsidRPr="00D061B3" w:rsidRDefault="00E87CD3" w:rsidP="00E87CD3">
      <w:pPr>
        <w:pStyle w:val="Prrafodelista"/>
        <w:widowControl w:val="0"/>
        <w:adjustRightInd w:val="0"/>
        <w:ind w:left="720"/>
        <w:jc w:val="both"/>
        <w:textAlignment w:val="baseline"/>
        <w:rPr>
          <w:rFonts w:ascii="Bookman Old Style" w:hAnsi="Bookman Old Style" w:cs="Arial"/>
          <w:szCs w:val="24"/>
          <w:lang w:val="es-ES"/>
        </w:rPr>
      </w:pPr>
    </w:p>
    <w:p w14:paraId="15A295FE" w14:textId="4C16D336" w:rsidR="00CB797D" w:rsidRDefault="00CE5EE2" w:rsidP="008F0492">
      <w:pPr>
        <w:pStyle w:val="Prrafodelista"/>
        <w:widowControl w:val="0"/>
        <w:numPr>
          <w:ilvl w:val="0"/>
          <w:numId w:val="13"/>
        </w:numPr>
        <w:adjustRightInd w:val="0"/>
        <w:jc w:val="both"/>
        <w:textAlignment w:val="baseline"/>
        <w:rPr>
          <w:rFonts w:ascii="Bookman Old Style" w:hAnsi="Bookman Old Style" w:cs="Arial"/>
          <w:sz w:val="24"/>
          <w:szCs w:val="24"/>
          <w:lang w:val="es-ES"/>
        </w:rPr>
      </w:pPr>
      <w:r>
        <w:rPr>
          <w:rFonts w:ascii="Bookman Old Style" w:hAnsi="Bookman Old Style" w:cs="Arial"/>
          <w:sz w:val="24"/>
          <w:szCs w:val="24"/>
          <w:lang w:val="es-ES"/>
        </w:rPr>
        <w:t xml:space="preserve">La obligación en la compra y recibo de cantidades por parte del comprador se extenderá hasta las cantidades que le sean asignadas en cada </w:t>
      </w:r>
      <w:r w:rsidR="00C53503">
        <w:rPr>
          <w:rFonts w:ascii="Bookman Old Style" w:hAnsi="Bookman Old Style" w:cs="Arial"/>
          <w:sz w:val="24"/>
          <w:szCs w:val="24"/>
          <w:lang w:val="es-ES"/>
        </w:rPr>
        <w:t xml:space="preserve">Ciclo </w:t>
      </w:r>
      <w:r>
        <w:rPr>
          <w:rFonts w:ascii="Bookman Old Style" w:hAnsi="Bookman Old Style" w:cs="Arial"/>
          <w:sz w:val="24"/>
          <w:szCs w:val="24"/>
          <w:lang w:val="es-ES"/>
        </w:rPr>
        <w:t>de nominación</w:t>
      </w:r>
      <w:r w:rsidR="00E648F8">
        <w:rPr>
          <w:rFonts w:ascii="Bookman Old Style" w:hAnsi="Bookman Old Style" w:cs="Arial"/>
          <w:sz w:val="24"/>
          <w:szCs w:val="24"/>
          <w:lang w:val="es-ES"/>
        </w:rPr>
        <w:t xml:space="preserve"> y las cantidades adicionales sobre las que manifieste que tiene la posibilidad de recibirlas, según las disposiciones del parágrafo 2 del artículo 5 de esta resolución</w:t>
      </w:r>
      <w:r>
        <w:rPr>
          <w:rFonts w:ascii="Bookman Old Style" w:hAnsi="Bookman Old Style" w:cs="Arial"/>
          <w:sz w:val="24"/>
          <w:szCs w:val="24"/>
          <w:lang w:val="es-ES"/>
        </w:rPr>
        <w:t xml:space="preserve">. La participación </w:t>
      </w:r>
      <w:r w:rsidR="003E2117">
        <w:rPr>
          <w:rFonts w:ascii="Bookman Old Style" w:hAnsi="Bookman Old Style" w:cs="Arial"/>
          <w:sz w:val="24"/>
          <w:szCs w:val="24"/>
          <w:lang w:val="es-ES"/>
        </w:rPr>
        <w:t xml:space="preserve">del comprador </w:t>
      </w:r>
      <w:r>
        <w:rPr>
          <w:rFonts w:ascii="Bookman Old Style" w:hAnsi="Bookman Old Style" w:cs="Arial"/>
          <w:sz w:val="24"/>
          <w:szCs w:val="24"/>
          <w:lang w:val="es-ES"/>
        </w:rPr>
        <w:t xml:space="preserve">en un </w:t>
      </w:r>
      <w:r w:rsidR="00C53503">
        <w:rPr>
          <w:rFonts w:ascii="Bookman Old Style" w:hAnsi="Bookman Old Style" w:cs="Arial"/>
          <w:sz w:val="24"/>
          <w:szCs w:val="24"/>
          <w:lang w:val="es-ES"/>
        </w:rPr>
        <w:t xml:space="preserve">Ciclo </w:t>
      </w:r>
      <w:r>
        <w:rPr>
          <w:rFonts w:ascii="Bookman Old Style" w:hAnsi="Bookman Old Style" w:cs="Arial"/>
          <w:sz w:val="24"/>
          <w:szCs w:val="24"/>
          <w:lang w:val="es-ES"/>
        </w:rPr>
        <w:t>de nominación es voluntaria.</w:t>
      </w:r>
    </w:p>
    <w:p w14:paraId="19610173" w14:textId="77777777" w:rsidR="00E87CD3" w:rsidRPr="00D061B3" w:rsidRDefault="00E87CD3" w:rsidP="00E87CD3">
      <w:pPr>
        <w:pStyle w:val="Prrafodelista"/>
        <w:widowControl w:val="0"/>
        <w:adjustRightInd w:val="0"/>
        <w:ind w:left="720"/>
        <w:jc w:val="both"/>
        <w:textAlignment w:val="baseline"/>
        <w:rPr>
          <w:rFonts w:ascii="Bookman Old Style" w:hAnsi="Bookman Old Style" w:cs="Arial"/>
          <w:szCs w:val="24"/>
          <w:lang w:val="es-ES"/>
        </w:rPr>
      </w:pPr>
    </w:p>
    <w:p w14:paraId="398159E4" w14:textId="77777777" w:rsidR="001335EE" w:rsidRPr="00CE5EE2" w:rsidRDefault="00CE5EE2" w:rsidP="00536B48">
      <w:pPr>
        <w:pStyle w:val="Prrafodelista"/>
        <w:widowControl w:val="0"/>
        <w:numPr>
          <w:ilvl w:val="0"/>
          <w:numId w:val="13"/>
        </w:numPr>
        <w:adjustRightInd w:val="0"/>
        <w:jc w:val="both"/>
        <w:textAlignment w:val="baseline"/>
        <w:rPr>
          <w:rFonts w:ascii="Bookman Old Style" w:hAnsi="Bookman Old Style" w:cs="Arial"/>
          <w:sz w:val="24"/>
          <w:szCs w:val="24"/>
          <w:lang w:val="es-ES"/>
        </w:rPr>
      </w:pPr>
      <w:r w:rsidRPr="00CE5EE2">
        <w:rPr>
          <w:rFonts w:ascii="Bookman Old Style" w:hAnsi="Bookman Old Style" w:cs="Arial"/>
          <w:sz w:val="24"/>
          <w:szCs w:val="24"/>
          <w:lang w:val="es-ES"/>
        </w:rPr>
        <w:t>Sobre las cantidades asignadas y de conformidad con el programa de entregas será</w:t>
      </w:r>
      <w:r w:rsidR="00712040" w:rsidRPr="00CE5EE2">
        <w:rPr>
          <w:rFonts w:ascii="Bookman Old Style" w:hAnsi="Bookman Old Style" w:cs="Arial"/>
          <w:sz w:val="24"/>
          <w:szCs w:val="24"/>
          <w:lang w:val="es-ES"/>
        </w:rPr>
        <w:t xml:space="preserve"> aplica</w:t>
      </w:r>
      <w:r>
        <w:rPr>
          <w:rFonts w:ascii="Bookman Old Style" w:hAnsi="Bookman Old Style" w:cs="Arial"/>
          <w:sz w:val="24"/>
          <w:szCs w:val="24"/>
          <w:lang w:val="es-ES"/>
        </w:rPr>
        <w:t>ble</w:t>
      </w:r>
      <w:r w:rsidR="00712040" w:rsidRPr="00CE5EE2">
        <w:rPr>
          <w:rFonts w:ascii="Bookman Old Style" w:hAnsi="Bookman Old Style" w:cs="Arial"/>
          <w:sz w:val="24"/>
          <w:szCs w:val="24"/>
          <w:lang w:val="es-ES"/>
        </w:rPr>
        <w:t xml:space="preserve"> lo previsto en los artículos 16 a 19 de la Resoluci</w:t>
      </w:r>
      <w:r w:rsidR="00D26E3A" w:rsidRPr="00CE5EE2">
        <w:rPr>
          <w:rFonts w:ascii="Bookman Old Style" w:hAnsi="Bookman Old Style" w:cs="Arial"/>
          <w:sz w:val="24"/>
          <w:szCs w:val="24"/>
          <w:lang w:val="es-ES"/>
        </w:rPr>
        <w:t>ón CREG 053 de 2011.</w:t>
      </w:r>
    </w:p>
    <w:p w14:paraId="326253C0" w14:textId="77777777" w:rsidR="00E87CD3" w:rsidRPr="00D061B3" w:rsidRDefault="00E87CD3" w:rsidP="00E87CD3">
      <w:pPr>
        <w:pStyle w:val="Prrafodelista"/>
        <w:widowControl w:val="0"/>
        <w:adjustRightInd w:val="0"/>
        <w:ind w:left="720"/>
        <w:jc w:val="both"/>
        <w:textAlignment w:val="baseline"/>
        <w:rPr>
          <w:rFonts w:ascii="Bookman Old Style" w:hAnsi="Bookman Old Style" w:cs="Arial"/>
          <w:szCs w:val="24"/>
          <w:lang w:val="es-ES"/>
        </w:rPr>
      </w:pPr>
    </w:p>
    <w:p w14:paraId="0133B104" w14:textId="4B806273" w:rsidR="007500F1" w:rsidRDefault="003C774C" w:rsidP="003C774C">
      <w:pPr>
        <w:pStyle w:val="Prrafodelista"/>
        <w:widowControl w:val="0"/>
        <w:numPr>
          <w:ilvl w:val="0"/>
          <w:numId w:val="13"/>
        </w:numPr>
        <w:adjustRightInd w:val="0"/>
        <w:jc w:val="both"/>
        <w:textAlignment w:val="baseline"/>
        <w:rPr>
          <w:rFonts w:ascii="Bookman Old Style" w:hAnsi="Bookman Old Style" w:cs="Arial"/>
          <w:sz w:val="24"/>
          <w:szCs w:val="24"/>
          <w:lang w:val="es-ES"/>
        </w:rPr>
      </w:pPr>
      <w:r w:rsidRPr="003C774C">
        <w:rPr>
          <w:rFonts w:ascii="Bookman Old Style" w:hAnsi="Bookman Old Style" w:cs="Arial"/>
          <w:sz w:val="24"/>
          <w:szCs w:val="24"/>
          <w:lang w:val="es-ES"/>
        </w:rPr>
        <w:t xml:space="preserve">Para efectos del cumplimiento de lo previsto en la Resolución CREG 063 de 2016 por parte de otros comercializadores mayoristas, en la </w:t>
      </w:r>
      <w:r>
        <w:rPr>
          <w:rFonts w:ascii="Bookman Old Style" w:hAnsi="Bookman Old Style" w:cs="Arial"/>
          <w:sz w:val="24"/>
          <w:szCs w:val="24"/>
          <w:lang w:val="es-ES"/>
        </w:rPr>
        <w:t xml:space="preserve">oferta y venta de GLP, </w:t>
      </w:r>
      <w:r w:rsidR="00597502">
        <w:rPr>
          <w:rFonts w:ascii="Bookman Old Style" w:hAnsi="Bookman Old Style" w:cs="Arial"/>
          <w:sz w:val="24"/>
          <w:szCs w:val="24"/>
          <w:lang w:val="es-ES"/>
        </w:rPr>
        <w:t>el vendedor</w:t>
      </w:r>
      <w:r w:rsidR="007500F1">
        <w:rPr>
          <w:rFonts w:ascii="Bookman Old Style" w:hAnsi="Bookman Old Style" w:cs="Arial"/>
          <w:sz w:val="24"/>
          <w:szCs w:val="24"/>
          <w:lang w:val="es-ES"/>
        </w:rPr>
        <w:t xml:space="preserve"> deberá publicar </w:t>
      </w:r>
      <w:r>
        <w:rPr>
          <w:rFonts w:ascii="Bookman Old Style" w:hAnsi="Bookman Old Style" w:cs="Arial"/>
          <w:sz w:val="24"/>
          <w:szCs w:val="24"/>
          <w:lang w:val="es-ES"/>
        </w:rPr>
        <w:t xml:space="preserve">en su página web </w:t>
      </w:r>
      <w:r w:rsidR="007500F1">
        <w:rPr>
          <w:rFonts w:ascii="Bookman Old Style" w:hAnsi="Bookman Old Style" w:cs="Arial"/>
          <w:sz w:val="24"/>
          <w:szCs w:val="24"/>
          <w:lang w:val="es-ES"/>
        </w:rPr>
        <w:t xml:space="preserve">las cantidades </w:t>
      </w:r>
      <w:r>
        <w:rPr>
          <w:rFonts w:ascii="Bookman Old Style" w:hAnsi="Bookman Old Style" w:cs="Arial"/>
          <w:sz w:val="24"/>
          <w:szCs w:val="24"/>
          <w:lang w:val="es-ES"/>
        </w:rPr>
        <w:t>asignadas</w:t>
      </w:r>
      <w:r w:rsidR="007500F1">
        <w:rPr>
          <w:rFonts w:ascii="Bookman Old Style" w:hAnsi="Bookman Old Style" w:cs="Arial"/>
          <w:sz w:val="24"/>
          <w:szCs w:val="24"/>
          <w:lang w:val="es-ES"/>
        </w:rPr>
        <w:t xml:space="preserve"> </w:t>
      </w:r>
      <w:r>
        <w:rPr>
          <w:rFonts w:ascii="Bookman Old Style" w:hAnsi="Bookman Old Style" w:cs="Arial"/>
          <w:sz w:val="24"/>
          <w:szCs w:val="24"/>
          <w:lang w:val="es-ES"/>
        </w:rPr>
        <w:t xml:space="preserve">en cada </w:t>
      </w:r>
      <w:r w:rsidR="008E2DA2">
        <w:rPr>
          <w:rFonts w:ascii="Bookman Old Style" w:hAnsi="Bookman Old Style" w:cs="Arial"/>
          <w:sz w:val="24"/>
          <w:szCs w:val="24"/>
          <w:lang w:val="es-ES"/>
        </w:rPr>
        <w:t xml:space="preserve">Ciclo </w:t>
      </w:r>
      <w:r>
        <w:rPr>
          <w:rFonts w:ascii="Bookman Old Style" w:hAnsi="Bookman Old Style" w:cs="Arial"/>
          <w:sz w:val="24"/>
          <w:szCs w:val="24"/>
          <w:lang w:val="es-ES"/>
        </w:rPr>
        <w:t>de nominación.</w:t>
      </w:r>
    </w:p>
    <w:p w14:paraId="371A85C6" w14:textId="77777777" w:rsidR="00AD12CF" w:rsidRDefault="00AD12CF" w:rsidP="00A02C1F">
      <w:pPr>
        <w:widowControl w:val="0"/>
        <w:adjustRightInd w:val="0"/>
        <w:ind w:left="0"/>
        <w:jc w:val="both"/>
        <w:textAlignment w:val="baseline"/>
        <w:rPr>
          <w:rFonts w:ascii="Bookman Old Style" w:hAnsi="Bookman Old Style" w:cs="Arial"/>
        </w:rPr>
      </w:pPr>
    </w:p>
    <w:p w14:paraId="0F8AD3ED" w14:textId="1B95F62F" w:rsidR="00D82702" w:rsidRDefault="003703A7" w:rsidP="00D82702">
      <w:pPr>
        <w:widowControl w:val="0"/>
        <w:adjustRightInd w:val="0"/>
        <w:ind w:left="0"/>
        <w:jc w:val="both"/>
        <w:textAlignment w:val="baseline"/>
        <w:rPr>
          <w:rFonts w:ascii="Bookman Old Style" w:hAnsi="Bookman Old Style" w:cs="Arial"/>
          <w:bCs/>
        </w:rPr>
      </w:pPr>
      <w:r>
        <w:rPr>
          <w:rFonts w:ascii="Bookman Old Style" w:hAnsi="Bookman Old Style" w:cs="Arial"/>
          <w:b/>
          <w:bCs/>
        </w:rPr>
        <w:t xml:space="preserve">Artículo </w:t>
      </w:r>
      <w:r w:rsidR="0090325F">
        <w:rPr>
          <w:rFonts w:ascii="Bookman Old Style" w:hAnsi="Bookman Old Style" w:cs="Arial"/>
          <w:b/>
          <w:bCs/>
        </w:rPr>
        <w:t>7</w:t>
      </w:r>
      <w:r w:rsidR="00C26A36">
        <w:rPr>
          <w:rFonts w:ascii="Bookman Old Style" w:hAnsi="Bookman Old Style" w:cs="Arial"/>
          <w:b/>
          <w:bCs/>
        </w:rPr>
        <w:t xml:space="preserve">. Punto de entrega. </w:t>
      </w:r>
      <w:r w:rsidR="00D82702" w:rsidRPr="00D82702">
        <w:rPr>
          <w:rFonts w:ascii="Bookman Old Style" w:hAnsi="Bookman Old Style" w:cs="Arial"/>
          <w:bCs/>
        </w:rPr>
        <w:t>C</w:t>
      </w:r>
      <w:r w:rsidR="00C26A36">
        <w:rPr>
          <w:rFonts w:ascii="Bookman Old Style" w:hAnsi="Bookman Old Style" w:cs="Arial"/>
          <w:bCs/>
        </w:rPr>
        <w:t>orresponderá a las</w:t>
      </w:r>
      <w:r w:rsidR="00D82702">
        <w:rPr>
          <w:rFonts w:ascii="Bookman Old Style" w:hAnsi="Bookman Old Style" w:cs="Arial"/>
          <w:bCs/>
        </w:rPr>
        <w:t xml:space="preserve"> facilidades denominadas “Llenadero de GLP”, ubicadas en el CPF Cupiagua</w:t>
      </w:r>
      <w:r w:rsidR="00C01E07">
        <w:rPr>
          <w:rFonts w:ascii="Bookman Old Style" w:hAnsi="Bookman Old Style" w:cs="Arial"/>
          <w:bCs/>
        </w:rPr>
        <w:t xml:space="preserve"> </w:t>
      </w:r>
      <w:r w:rsidR="00D82702">
        <w:rPr>
          <w:rFonts w:ascii="Bookman Old Style" w:hAnsi="Bookman Old Style" w:cs="Arial"/>
          <w:bCs/>
        </w:rPr>
        <w:t xml:space="preserve">Ecopetrol. </w:t>
      </w:r>
      <w:r w:rsidR="00597502">
        <w:rPr>
          <w:rFonts w:ascii="Bookman Old Style" w:hAnsi="Bookman Old Style" w:cs="Arial"/>
          <w:bCs/>
        </w:rPr>
        <w:t xml:space="preserve">El vendedor </w:t>
      </w:r>
      <w:r w:rsidR="00D82702">
        <w:rPr>
          <w:rFonts w:ascii="Bookman Old Style" w:hAnsi="Bookman Old Style" w:cs="Arial"/>
          <w:bCs/>
        </w:rPr>
        <w:t>deberá garantizar que</w:t>
      </w:r>
      <w:r w:rsidR="00BE3915">
        <w:rPr>
          <w:rFonts w:ascii="Bookman Old Style" w:hAnsi="Bookman Old Style" w:cs="Arial"/>
          <w:bCs/>
        </w:rPr>
        <w:t>,</w:t>
      </w:r>
      <w:r w:rsidR="008E2DA2">
        <w:rPr>
          <w:rFonts w:ascii="Bookman Old Style" w:hAnsi="Bookman Old Style" w:cs="Arial"/>
          <w:bCs/>
        </w:rPr>
        <w:t xml:space="preserve"> en el </w:t>
      </w:r>
      <w:r w:rsidR="00B42074">
        <w:rPr>
          <w:rFonts w:ascii="Bookman Old Style" w:hAnsi="Bookman Old Style" w:cs="Arial"/>
          <w:bCs/>
        </w:rPr>
        <w:t>p</w:t>
      </w:r>
      <w:r w:rsidR="008E2DA2">
        <w:rPr>
          <w:rFonts w:ascii="Bookman Old Style" w:hAnsi="Bookman Old Style" w:cs="Arial"/>
          <w:bCs/>
        </w:rPr>
        <w:t xml:space="preserve">unto de entrega, los compradores reciban </w:t>
      </w:r>
      <w:r w:rsidR="00B42074">
        <w:rPr>
          <w:rFonts w:ascii="Bookman Old Style" w:hAnsi="Bookman Old Style" w:cs="Arial"/>
          <w:bCs/>
        </w:rPr>
        <w:t xml:space="preserve">directamente </w:t>
      </w:r>
      <w:r w:rsidR="008E2DA2">
        <w:rPr>
          <w:rFonts w:ascii="Bookman Old Style" w:hAnsi="Bookman Old Style" w:cs="Arial"/>
          <w:bCs/>
        </w:rPr>
        <w:t xml:space="preserve">el GLP suministrado y asignado en cada </w:t>
      </w:r>
      <w:r w:rsidR="00597502">
        <w:rPr>
          <w:rFonts w:ascii="Bookman Old Style" w:hAnsi="Bookman Old Style" w:cs="Arial"/>
          <w:bCs/>
        </w:rPr>
        <w:t>c</w:t>
      </w:r>
      <w:r w:rsidR="008E2DA2">
        <w:rPr>
          <w:rFonts w:ascii="Bookman Old Style" w:hAnsi="Bookman Old Style" w:cs="Arial"/>
          <w:bCs/>
        </w:rPr>
        <w:t xml:space="preserve">iclo de nominación. </w:t>
      </w:r>
    </w:p>
    <w:p w14:paraId="5BF0E59E" w14:textId="77777777" w:rsidR="00963A1E" w:rsidRPr="00C26A36" w:rsidRDefault="00963A1E" w:rsidP="0089152A">
      <w:pPr>
        <w:widowControl w:val="0"/>
        <w:adjustRightInd w:val="0"/>
        <w:ind w:left="0"/>
        <w:jc w:val="both"/>
        <w:textAlignment w:val="baseline"/>
        <w:rPr>
          <w:rFonts w:ascii="Bookman Old Style" w:hAnsi="Bookman Old Style" w:cs="Arial"/>
          <w:bCs/>
        </w:rPr>
      </w:pPr>
    </w:p>
    <w:p w14:paraId="43A5B2EB" w14:textId="77777777" w:rsidR="00E5492A" w:rsidRPr="0089152A" w:rsidRDefault="003C1A71" w:rsidP="0089152A">
      <w:pPr>
        <w:widowControl w:val="0"/>
        <w:adjustRightInd w:val="0"/>
        <w:ind w:left="0"/>
        <w:jc w:val="both"/>
        <w:textAlignment w:val="baseline"/>
        <w:rPr>
          <w:rFonts w:ascii="Bookman Old Style" w:hAnsi="Bookman Old Style"/>
          <w:szCs w:val="20"/>
          <w:lang w:val="es-CO"/>
        </w:rPr>
      </w:pPr>
      <w:r>
        <w:rPr>
          <w:rFonts w:ascii="Bookman Old Style" w:hAnsi="Bookman Old Style" w:cs="Arial"/>
          <w:b/>
          <w:bCs/>
        </w:rPr>
        <w:t xml:space="preserve">Artículo </w:t>
      </w:r>
      <w:r w:rsidR="0090325F">
        <w:rPr>
          <w:rFonts w:ascii="Bookman Old Style" w:hAnsi="Bookman Old Style" w:cs="Arial"/>
          <w:b/>
          <w:bCs/>
        </w:rPr>
        <w:t>8</w:t>
      </w:r>
      <w:r w:rsidR="0043697C">
        <w:rPr>
          <w:rFonts w:ascii="Bookman Old Style" w:hAnsi="Bookman Old Style" w:cs="Arial"/>
          <w:b/>
          <w:bCs/>
        </w:rPr>
        <w:t xml:space="preserve">. </w:t>
      </w:r>
      <w:r w:rsidR="0043697C" w:rsidRPr="005D43EE">
        <w:rPr>
          <w:rFonts w:ascii="Bookman Old Style" w:hAnsi="Bookman Old Style"/>
          <w:szCs w:val="20"/>
          <w:lang w:val="es-CO"/>
        </w:rPr>
        <w:t xml:space="preserve">La presente resolución rige a partir de su publicación en el </w:t>
      </w:r>
      <w:r w:rsidR="0043697C" w:rsidRPr="005D43EE">
        <w:rPr>
          <w:rFonts w:ascii="Bookman Old Style" w:hAnsi="Bookman Old Style"/>
          <w:i/>
          <w:szCs w:val="20"/>
          <w:lang w:val="es-CO"/>
        </w:rPr>
        <w:t>Diario Oficial</w:t>
      </w:r>
      <w:r w:rsidR="0043697C" w:rsidRPr="005D43EE">
        <w:rPr>
          <w:rFonts w:ascii="Bookman Old Style" w:hAnsi="Bookman Old Style"/>
          <w:szCs w:val="20"/>
          <w:lang w:val="es-CO"/>
        </w:rPr>
        <w:t>.</w:t>
      </w:r>
    </w:p>
    <w:p w14:paraId="46CDB704" w14:textId="77777777" w:rsidR="00E5492A" w:rsidRDefault="00E5492A" w:rsidP="00E5492A">
      <w:pPr>
        <w:shd w:val="clear" w:color="auto" w:fill="FFFFFF"/>
        <w:ind w:left="0"/>
        <w:jc w:val="both"/>
        <w:rPr>
          <w:rFonts w:ascii="Bookman Old Style" w:hAnsi="Bookman Old Style" w:cs="Arial"/>
          <w:szCs w:val="20"/>
          <w:lang w:val="es-CO"/>
        </w:rPr>
      </w:pPr>
    </w:p>
    <w:p w14:paraId="6C763E65" w14:textId="77777777" w:rsidR="00E5492A" w:rsidRDefault="00E5492A" w:rsidP="00E5492A">
      <w:pPr>
        <w:jc w:val="center"/>
        <w:rPr>
          <w:rFonts w:ascii="Bookman Old Style" w:hAnsi="Bookman Old Style"/>
          <w:b/>
        </w:rPr>
      </w:pPr>
      <w:r w:rsidRPr="000B73A9">
        <w:rPr>
          <w:rFonts w:ascii="Bookman Old Style" w:hAnsi="Bookman Old Style"/>
          <w:b/>
        </w:rPr>
        <w:t>PUBLÍQUESE Y CÚMPLASE</w:t>
      </w:r>
    </w:p>
    <w:p w14:paraId="0F44884E" w14:textId="77777777" w:rsidR="00961A10" w:rsidRDefault="00961A10" w:rsidP="00E5492A">
      <w:pPr>
        <w:jc w:val="center"/>
        <w:rPr>
          <w:rFonts w:ascii="Bookman Old Style" w:hAnsi="Bookman Old Style"/>
          <w:b/>
        </w:rPr>
      </w:pPr>
    </w:p>
    <w:p w14:paraId="532DC31F" w14:textId="7E8D8BFC" w:rsidR="00961A10" w:rsidRPr="00D061B3" w:rsidRDefault="00D061B3" w:rsidP="00D061B3">
      <w:pPr>
        <w:ind w:left="0"/>
        <w:rPr>
          <w:rFonts w:ascii="Bookman Old Style" w:hAnsi="Bookman Old Style"/>
        </w:rPr>
      </w:pPr>
      <w:r w:rsidRPr="00D061B3">
        <w:rPr>
          <w:rFonts w:ascii="Bookman Old Style" w:hAnsi="Bookman Old Style"/>
        </w:rPr>
        <w:t>Dada en Bogotá, D.C.,</w:t>
      </w:r>
    </w:p>
    <w:p w14:paraId="1DA34B3D" w14:textId="77777777" w:rsidR="00961A10" w:rsidRDefault="00961A10" w:rsidP="00E5492A">
      <w:pPr>
        <w:jc w:val="center"/>
        <w:rPr>
          <w:rFonts w:ascii="Bookman Old Style" w:hAnsi="Bookman Old Style"/>
          <w:b/>
        </w:rPr>
      </w:pPr>
    </w:p>
    <w:p w14:paraId="1C8A27DF" w14:textId="77777777" w:rsidR="00961A10" w:rsidRPr="000B73A9" w:rsidRDefault="00961A10" w:rsidP="00961A10">
      <w:pPr>
        <w:ind w:left="0"/>
        <w:rPr>
          <w:rFonts w:ascii="Bookman Old Style" w:hAnsi="Bookman Old Style"/>
          <w:b/>
        </w:rPr>
      </w:pPr>
    </w:p>
    <w:p w14:paraId="7B285F23" w14:textId="77777777" w:rsidR="00E5492A" w:rsidRPr="000B73A9" w:rsidRDefault="00E5492A" w:rsidP="00E5492A">
      <w:pPr>
        <w:ind w:left="0"/>
        <w:jc w:val="both"/>
        <w:rPr>
          <w:rFonts w:ascii="Bookman Old Style" w:hAnsi="Bookman Old Style"/>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961A10" w:rsidRPr="00B64D62" w14:paraId="5E90BD83" w14:textId="77777777" w:rsidTr="00E00D3E">
        <w:trPr>
          <w:tblCellSpacing w:w="0" w:type="dxa"/>
        </w:trPr>
        <w:tc>
          <w:tcPr>
            <w:tcW w:w="5104" w:type="dxa"/>
            <w:shd w:val="clear" w:color="auto" w:fill="FFFFFF"/>
            <w:hideMark/>
          </w:tcPr>
          <w:p w14:paraId="56D6CCB5" w14:textId="77777777" w:rsidR="00961A10" w:rsidRPr="00B64D62" w:rsidRDefault="00961A10" w:rsidP="00E00D3E">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14:paraId="09781380" w14:textId="77777777" w:rsidR="00961A10" w:rsidRPr="00B64D62" w:rsidRDefault="00961A10" w:rsidP="00E00D3E">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961A10" w:rsidRPr="00B64D62" w14:paraId="31768976" w14:textId="77777777" w:rsidTr="00E00D3E">
        <w:trPr>
          <w:tblCellSpacing w:w="0" w:type="dxa"/>
        </w:trPr>
        <w:tc>
          <w:tcPr>
            <w:tcW w:w="5104" w:type="dxa"/>
            <w:shd w:val="clear" w:color="auto" w:fill="FFFFFF"/>
            <w:hideMark/>
          </w:tcPr>
          <w:p w14:paraId="71C32447" w14:textId="77777777" w:rsidR="00961A10" w:rsidRPr="00B64D62" w:rsidRDefault="00961A10" w:rsidP="00E00D3E">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14:paraId="6653A1E4" w14:textId="77777777" w:rsidR="00961A10" w:rsidRPr="00B64D62" w:rsidRDefault="00961A10" w:rsidP="00E00D3E">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961A10" w:rsidRPr="00B64D62" w14:paraId="1DBCF108" w14:textId="77777777" w:rsidTr="00E00D3E">
        <w:trPr>
          <w:tblCellSpacing w:w="0" w:type="dxa"/>
        </w:trPr>
        <w:tc>
          <w:tcPr>
            <w:tcW w:w="5104" w:type="dxa"/>
            <w:shd w:val="clear" w:color="auto" w:fill="FFFFFF"/>
            <w:hideMark/>
          </w:tcPr>
          <w:p w14:paraId="2B844158" w14:textId="77777777" w:rsidR="00961A10" w:rsidRPr="00B64D62" w:rsidRDefault="00961A10" w:rsidP="00E00D3E">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14:paraId="0BCB9FC5" w14:textId="77777777" w:rsidR="00961A10" w:rsidRPr="00B64D62" w:rsidRDefault="00961A10" w:rsidP="00E00D3E">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12B7C7E0" wp14:editId="2F7B9EC3">
                  <wp:extent cx="9525" cy="9525"/>
                  <wp:effectExtent l="0" t="0" r="0" b="0"/>
                  <wp:docPr id="18"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47776AD" w14:textId="77777777" w:rsidR="00E5492A" w:rsidRPr="0043697C" w:rsidRDefault="00E5492A" w:rsidP="0043697C">
      <w:pPr>
        <w:widowControl w:val="0"/>
        <w:adjustRightInd w:val="0"/>
        <w:ind w:left="0" w:right="284"/>
        <w:jc w:val="both"/>
        <w:textAlignment w:val="baseline"/>
        <w:rPr>
          <w:rFonts w:ascii="Bookman Old Style" w:hAnsi="Bookman Old Style" w:cs="Arial"/>
          <w:bCs/>
          <w:sz w:val="22"/>
          <w:szCs w:val="22"/>
          <w:lang w:val="es-CO"/>
        </w:rPr>
      </w:pPr>
    </w:p>
    <w:sectPr w:rsidR="00E5492A" w:rsidRPr="0043697C"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9D830" w14:textId="77777777" w:rsidR="00361626" w:rsidRDefault="00361626">
      <w:r>
        <w:separator/>
      </w:r>
    </w:p>
  </w:endnote>
  <w:endnote w:type="continuationSeparator" w:id="0">
    <w:p w14:paraId="0CBDB9A5" w14:textId="77777777" w:rsidR="00361626" w:rsidRDefault="0036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B9C95" w14:textId="77777777" w:rsidR="00361626" w:rsidRDefault="00361626">
      <w:r>
        <w:separator/>
      </w:r>
    </w:p>
  </w:footnote>
  <w:footnote w:type="continuationSeparator" w:id="0">
    <w:p w14:paraId="1EF929EA" w14:textId="77777777" w:rsidR="00361626" w:rsidRDefault="00361626">
      <w:r>
        <w:continuationSeparator/>
      </w:r>
    </w:p>
  </w:footnote>
  <w:footnote w:id="1">
    <w:p w14:paraId="080C165D" w14:textId="77777777" w:rsidR="00EB1D8C" w:rsidRPr="00EB1D8C" w:rsidRDefault="00EB1D8C">
      <w:pPr>
        <w:pStyle w:val="Textonotapie"/>
        <w:rPr>
          <w:rFonts w:ascii="Bookman Old Style" w:hAnsi="Bookman Old Style"/>
          <w:lang w:val="es-CO"/>
        </w:rPr>
      </w:pPr>
      <w:r w:rsidRPr="00EB1D8C">
        <w:rPr>
          <w:rStyle w:val="Refdenotaalpie"/>
          <w:rFonts w:ascii="Bookman Old Style" w:hAnsi="Bookman Old Style"/>
        </w:rPr>
        <w:footnoteRef/>
      </w:r>
      <w:r w:rsidRPr="00EB1D8C">
        <w:rPr>
          <w:rFonts w:ascii="Bookman Old Style" w:hAnsi="Bookman Old Style"/>
        </w:rPr>
        <w:t xml:space="preserve"> </w:t>
      </w:r>
      <w:r w:rsidRPr="00EB1D8C">
        <w:rPr>
          <w:rFonts w:ascii="Bookman Old Style" w:hAnsi="Bookman Old Style"/>
          <w:lang w:val="es-CO"/>
        </w:rPr>
        <w:t>Ver artículo 2 de la Resolución CREG 054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301F" w14:textId="77777777" w:rsidR="00B723C4" w:rsidRDefault="00B723C4" w:rsidP="00951F79">
    <w:pPr>
      <w:pStyle w:val="Ttulo1"/>
      <w:ind w:right="6"/>
      <w:jc w:val="left"/>
      <w:rPr>
        <w:rFonts w:ascii="Bookman Old Style" w:hAnsi="Bookman Old Style" w:cs="Arial"/>
        <w:b w:val="0"/>
        <w:sz w:val="22"/>
        <w:szCs w:val="22"/>
      </w:rPr>
    </w:pPr>
  </w:p>
  <w:p w14:paraId="45C6F6AB" w14:textId="7C673661" w:rsidR="00B723C4" w:rsidRPr="00951F79" w:rsidRDefault="00B723C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14621">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14621">
      <w:fldChar w:fldCharType="begin"/>
    </w:r>
    <w:r w:rsidR="00614621">
      <w:instrText xml:space="preserve"> NUMPAGES  \* MERGEFORMAT </w:instrText>
    </w:r>
    <w:r w:rsidR="00614621">
      <w:fldChar w:fldCharType="separate"/>
    </w:r>
    <w:r w:rsidR="00614621" w:rsidRPr="00614621">
      <w:rPr>
        <w:rFonts w:ascii="Bookman Old Style" w:hAnsi="Bookman Old Style" w:cs="Arial"/>
        <w:b w:val="0"/>
        <w:noProof/>
        <w:sz w:val="22"/>
        <w:szCs w:val="22"/>
      </w:rPr>
      <w:t>11</w:t>
    </w:r>
    <w:r w:rsidR="00614621">
      <w:rPr>
        <w:rFonts w:ascii="Bookman Old Style" w:hAnsi="Bookman Old Style" w:cs="Arial"/>
        <w:b w:val="0"/>
        <w:noProof/>
        <w:sz w:val="22"/>
        <w:szCs w:val="22"/>
      </w:rPr>
      <w:fldChar w:fldCharType="end"/>
    </w:r>
  </w:p>
  <w:p w14:paraId="7CF1DD0D" w14:textId="77777777" w:rsidR="00C6227B" w:rsidRPr="00C6227B" w:rsidRDefault="00B723C4" w:rsidP="000458D7">
    <w:pPr>
      <w:ind w:left="142" w:right="148"/>
      <w:rPr>
        <w:rFonts w:ascii="Bookman Old Style" w:hAnsi="Bookman Old Style" w:cs="Arial"/>
        <w:sz w:val="22"/>
        <w:szCs w:val="22"/>
        <w:lang w:val="es-ES_tradnl"/>
      </w:rPr>
    </w:pPr>
    <w:r>
      <w:rPr>
        <w:noProof/>
        <w:lang w:val="es-CO" w:eastAsia="es-CO"/>
      </w:rPr>
      <mc:AlternateContent>
        <mc:Choice Requires="wps">
          <w:drawing>
            <wp:anchor distT="0" distB="0" distL="114300" distR="114300" simplePos="0" relativeHeight="251657216" behindDoc="0" locked="0" layoutInCell="1" allowOverlap="1" wp14:anchorId="6B0281F7" wp14:editId="5A40D0BF">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87BFE"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14:paraId="65BA413E" w14:textId="21C6F827" w:rsidR="00B723C4" w:rsidRPr="00B701B6" w:rsidRDefault="00E94E92" w:rsidP="00F1000F">
    <w:pPr>
      <w:pBdr>
        <w:bottom w:val="single" w:sz="4" w:space="1" w:color="auto"/>
      </w:pBdr>
      <w:ind w:left="142" w:right="148"/>
      <w:jc w:val="both"/>
      <w:rPr>
        <w:rFonts w:ascii="Bookman Old Style" w:hAnsi="Bookman Old Style" w:cs="Arial"/>
        <w:sz w:val="22"/>
        <w:szCs w:val="22"/>
        <w:lang w:val="es-ES_tradnl"/>
      </w:rPr>
    </w:pPr>
    <w:r w:rsidRPr="00B701B6">
      <w:rPr>
        <w:rFonts w:ascii="Bookman Old Style" w:hAnsi="Bookman Old Style" w:cs="Arial"/>
      </w:rPr>
      <w:t xml:space="preserve">Por la cual se adoptan medidas regulatorias para la comercialización de GLP </w:t>
    </w:r>
    <w:r w:rsidR="00734006">
      <w:rPr>
        <w:rFonts w:ascii="Bookman Old Style" w:hAnsi="Bookman Old Style" w:cs="Arial"/>
      </w:rPr>
      <w:t xml:space="preserve">producido durante el </w:t>
    </w:r>
    <w:r w:rsidR="006C7CE5" w:rsidRPr="00B701B6">
      <w:rPr>
        <w:rFonts w:ascii="Bookman Old Style" w:hAnsi="Bookman Old Style" w:cs="Arial"/>
      </w:rPr>
      <w:t xml:space="preserve">Comisionamiento </w:t>
    </w:r>
    <w:r w:rsidRPr="00B701B6">
      <w:rPr>
        <w:rFonts w:ascii="Bookman Old Style" w:hAnsi="Bookman Old Style" w:cs="Arial"/>
      </w:rPr>
      <w:t>de la planta de estabilización de condensados de Cupiagua</w:t>
    </w:r>
    <w:r w:rsidR="00B701B6">
      <w:rPr>
        <w:rFonts w:ascii="Bookman Old Style" w:hAnsi="Bookman Old Style" w:cs="Arial"/>
      </w:rPr>
      <w:t>.</w:t>
    </w:r>
  </w:p>
  <w:p w14:paraId="3565DBBD" w14:textId="77777777" w:rsidR="002C334F" w:rsidRPr="00B701B6" w:rsidRDefault="002C334F" w:rsidP="00344CB3">
    <w:pPr>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A169" w14:textId="0CEB86EF" w:rsidR="00B723C4" w:rsidRDefault="00B723C4" w:rsidP="00025383">
    <w:pPr>
      <w:pStyle w:val="Encabezado"/>
      <w:jc w:val="both"/>
      <w:rPr>
        <w:rFonts w:ascii="Arial" w:hAnsi="Arial" w:cs="Arial"/>
        <w:spacing w:val="20"/>
        <w:sz w:val="20"/>
      </w:rPr>
    </w:pPr>
    <w:r>
      <w:rPr>
        <w:rFonts w:ascii="Arial" w:hAnsi="Arial" w:cs="Arial"/>
        <w:spacing w:val="20"/>
        <w:sz w:val="20"/>
      </w:rPr>
      <w:t xml:space="preserve">                                 </w:t>
    </w:r>
    <w:r w:rsidR="0057629A">
      <w:rPr>
        <w:rFonts w:ascii="Arial" w:hAnsi="Arial" w:cs="Arial"/>
        <w:spacing w:val="20"/>
        <w:sz w:val="20"/>
      </w:rPr>
      <w:t xml:space="preserve">    </w:t>
    </w:r>
    <w:r>
      <w:rPr>
        <w:rFonts w:ascii="Arial" w:hAnsi="Arial" w:cs="Arial"/>
        <w:spacing w:val="20"/>
        <w:sz w:val="20"/>
      </w:rPr>
      <w:t xml:space="preserve">  República de Colombia</w:t>
    </w:r>
  </w:p>
  <w:p w14:paraId="24CFF1CB" w14:textId="77777777" w:rsidR="00B723C4" w:rsidRDefault="00B723C4">
    <w:pPr>
      <w:pStyle w:val="Encabezado"/>
      <w:jc w:val="center"/>
      <w:rPr>
        <w:rFonts w:ascii="Arial" w:hAnsi="Arial" w:cs="Arial"/>
        <w:spacing w:val="20"/>
        <w:sz w:val="20"/>
      </w:rPr>
    </w:pPr>
  </w:p>
  <w:p w14:paraId="587BB882" w14:textId="77777777" w:rsidR="00B723C4" w:rsidRDefault="00B723C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3951E82" wp14:editId="0AC02304">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04645"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2801E2"/>
    <w:multiLevelType w:val="hybridMultilevel"/>
    <w:tmpl w:val="DBD61922"/>
    <w:lvl w:ilvl="0" w:tplc="240A000F">
      <w:start w:val="1"/>
      <w:numFmt w:val="decimal"/>
      <w:lvlText w:val="%1."/>
      <w:lvlJc w:val="left"/>
      <w:pPr>
        <w:ind w:left="1287" w:hanging="360"/>
      </w:p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15:restartNumberingAfterBreak="0">
    <w:nsid w:val="243371AE"/>
    <w:multiLevelType w:val="hybridMultilevel"/>
    <w:tmpl w:val="7ACEC374"/>
    <w:lvl w:ilvl="0" w:tplc="B462C236">
      <w:start w:val="1"/>
      <w:numFmt w:val="lowerLetter"/>
      <w:lvlText w:val="%1)"/>
      <w:lvlJc w:val="left"/>
      <w:pPr>
        <w:ind w:left="435" w:hanging="360"/>
      </w:pPr>
      <w:rPr>
        <w:sz w:val="24"/>
        <w:szCs w:val="24"/>
      </w:r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 w15:restartNumberingAfterBreak="0">
    <w:nsid w:val="2A09624E"/>
    <w:multiLevelType w:val="hybridMultilevel"/>
    <w:tmpl w:val="E3B65BCA"/>
    <w:lvl w:ilvl="0" w:tplc="D1B6D464">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211AF5"/>
    <w:multiLevelType w:val="hybridMultilevel"/>
    <w:tmpl w:val="8F508272"/>
    <w:lvl w:ilvl="0" w:tplc="AFCEDE0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1983FCD"/>
    <w:multiLevelType w:val="hybridMultilevel"/>
    <w:tmpl w:val="B9F20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0C5D17"/>
    <w:multiLevelType w:val="hybridMultilevel"/>
    <w:tmpl w:val="CB1A54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BE7DC6"/>
    <w:multiLevelType w:val="hybridMultilevel"/>
    <w:tmpl w:val="CB1A54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7D5F12"/>
    <w:multiLevelType w:val="hybridMultilevel"/>
    <w:tmpl w:val="EDEE6E34"/>
    <w:lvl w:ilvl="0" w:tplc="256AD328">
      <w:start w:val="1"/>
      <w:numFmt w:val="decimal"/>
      <w:lvlText w:val="Artículo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D56427"/>
    <w:multiLevelType w:val="hybridMultilevel"/>
    <w:tmpl w:val="F462D5C0"/>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10" w15:restartNumberingAfterBreak="0">
    <w:nsid w:val="4F471EEB"/>
    <w:multiLevelType w:val="multilevel"/>
    <w:tmpl w:val="7F48610C"/>
    <w:name w:val="Nueva lista 3"/>
    <w:lvl w:ilvl="0">
      <w:start w:val="1"/>
      <w:numFmt w:val="decimal"/>
      <w:pStyle w:val="Artculo"/>
      <w:suff w:val="space"/>
      <w:lvlText w:val="Artículo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2234CB8"/>
    <w:multiLevelType w:val="hybridMultilevel"/>
    <w:tmpl w:val="A3FC957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2E15863"/>
    <w:multiLevelType w:val="hybridMultilevel"/>
    <w:tmpl w:val="7D7C70B6"/>
    <w:lvl w:ilvl="0" w:tplc="77C6820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5A1F1FB5"/>
    <w:multiLevelType w:val="hybridMultilevel"/>
    <w:tmpl w:val="F462D5C0"/>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14" w15:restartNumberingAfterBreak="0">
    <w:nsid w:val="5AAC48EB"/>
    <w:multiLevelType w:val="hybridMultilevel"/>
    <w:tmpl w:val="8430B1EE"/>
    <w:lvl w:ilvl="0" w:tplc="6A640600">
      <w:start w:val="1"/>
      <w:numFmt w:val="decimal"/>
      <w:pStyle w:val="Numeracin"/>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61AC57C3"/>
    <w:multiLevelType w:val="hybridMultilevel"/>
    <w:tmpl w:val="B6CE7728"/>
    <w:lvl w:ilvl="0" w:tplc="A71447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CF0892"/>
    <w:multiLevelType w:val="hybridMultilevel"/>
    <w:tmpl w:val="FAA2BFF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0"/>
  </w:num>
  <w:num w:numId="3">
    <w:abstractNumId w:val="15"/>
  </w:num>
  <w:num w:numId="4">
    <w:abstractNumId w:val="14"/>
  </w:num>
  <w:num w:numId="5">
    <w:abstractNumId w:val="14"/>
    <w:lvlOverride w:ilvl="0">
      <w:startOverride w:val="1"/>
    </w:lvlOverride>
  </w:num>
  <w:num w:numId="6">
    <w:abstractNumId w:val="4"/>
  </w:num>
  <w:num w:numId="7">
    <w:abstractNumId w:val="1"/>
  </w:num>
  <w:num w:numId="8">
    <w:abstractNumId w:val="8"/>
    <w:lvlOverride w:ilvl="0">
      <w:startOverride w:val="1"/>
    </w:lvlOverride>
  </w:num>
  <w:num w:numId="9">
    <w:abstractNumId w:val="3"/>
  </w:num>
  <w:num w:numId="10">
    <w:abstractNumId w:val="9"/>
  </w:num>
  <w:num w:numId="11">
    <w:abstractNumId w:val="13"/>
  </w:num>
  <w:num w:numId="12">
    <w:abstractNumId w:val="16"/>
  </w:num>
  <w:num w:numId="13">
    <w:abstractNumId w:val="11"/>
  </w:num>
  <w:num w:numId="14">
    <w:abstractNumId w:val="2"/>
  </w:num>
  <w:num w:numId="15">
    <w:abstractNumId w:val="5"/>
  </w:num>
  <w:num w:numId="16">
    <w:abstractNumId w:val="7"/>
  </w:num>
  <w:num w:numId="17">
    <w:abstractNumId w:val="6"/>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1DA"/>
    <w:rsid w:val="000009AD"/>
    <w:rsid w:val="00000D87"/>
    <w:rsid w:val="000042D8"/>
    <w:rsid w:val="0000568A"/>
    <w:rsid w:val="00006AE2"/>
    <w:rsid w:val="000073E8"/>
    <w:rsid w:val="000076A1"/>
    <w:rsid w:val="00010B59"/>
    <w:rsid w:val="00011B61"/>
    <w:rsid w:val="00012259"/>
    <w:rsid w:val="000144CA"/>
    <w:rsid w:val="0001542D"/>
    <w:rsid w:val="0001744A"/>
    <w:rsid w:val="0001754C"/>
    <w:rsid w:val="000176FD"/>
    <w:rsid w:val="00017FFE"/>
    <w:rsid w:val="00021D88"/>
    <w:rsid w:val="000220AE"/>
    <w:rsid w:val="00022F94"/>
    <w:rsid w:val="00023B70"/>
    <w:rsid w:val="00024F3B"/>
    <w:rsid w:val="00025383"/>
    <w:rsid w:val="00025907"/>
    <w:rsid w:val="00027BE5"/>
    <w:rsid w:val="0003113E"/>
    <w:rsid w:val="00031174"/>
    <w:rsid w:val="000334B2"/>
    <w:rsid w:val="00040FB7"/>
    <w:rsid w:val="00041E1D"/>
    <w:rsid w:val="00042209"/>
    <w:rsid w:val="0004477F"/>
    <w:rsid w:val="00044F16"/>
    <w:rsid w:val="000458D7"/>
    <w:rsid w:val="0004733F"/>
    <w:rsid w:val="0004791D"/>
    <w:rsid w:val="00050FDF"/>
    <w:rsid w:val="000521D5"/>
    <w:rsid w:val="000545C2"/>
    <w:rsid w:val="000547C2"/>
    <w:rsid w:val="0005499D"/>
    <w:rsid w:val="00054BFB"/>
    <w:rsid w:val="00054FF4"/>
    <w:rsid w:val="000557CB"/>
    <w:rsid w:val="0006001E"/>
    <w:rsid w:val="00060546"/>
    <w:rsid w:val="0006217D"/>
    <w:rsid w:val="00062F97"/>
    <w:rsid w:val="00063657"/>
    <w:rsid w:val="000651EA"/>
    <w:rsid w:val="00065511"/>
    <w:rsid w:val="000671A2"/>
    <w:rsid w:val="0006731A"/>
    <w:rsid w:val="000704A1"/>
    <w:rsid w:val="00076680"/>
    <w:rsid w:val="00076711"/>
    <w:rsid w:val="00076A1D"/>
    <w:rsid w:val="0008073E"/>
    <w:rsid w:val="0008155E"/>
    <w:rsid w:val="00081F0B"/>
    <w:rsid w:val="000857E4"/>
    <w:rsid w:val="00085D51"/>
    <w:rsid w:val="00091CDB"/>
    <w:rsid w:val="000921F0"/>
    <w:rsid w:val="000926C0"/>
    <w:rsid w:val="0009302D"/>
    <w:rsid w:val="00093146"/>
    <w:rsid w:val="000958D9"/>
    <w:rsid w:val="00097411"/>
    <w:rsid w:val="000A19AC"/>
    <w:rsid w:val="000A1C2D"/>
    <w:rsid w:val="000A4849"/>
    <w:rsid w:val="000A5782"/>
    <w:rsid w:val="000A6DBB"/>
    <w:rsid w:val="000B0673"/>
    <w:rsid w:val="000B0DA9"/>
    <w:rsid w:val="000B0EFE"/>
    <w:rsid w:val="000B1A3E"/>
    <w:rsid w:val="000B24A8"/>
    <w:rsid w:val="000B2618"/>
    <w:rsid w:val="000B29AC"/>
    <w:rsid w:val="000B48B8"/>
    <w:rsid w:val="000B4AC2"/>
    <w:rsid w:val="000B65DE"/>
    <w:rsid w:val="000B73A9"/>
    <w:rsid w:val="000B752D"/>
    <w:rsid w:val="000B799E"/>
    <w:rsid w:val="000B7F6F"/>
    <w:rsid w:val="000C26D4"/>
    <w:rsid w:val="000C3090"/>
    <w:rsid w:val="000C4923"/>
    <w:rsid w:val="000C5D74"/>
    <w:rsid w:val="000C6430"/>
    <w:rsid w:val="000C6EF7"/>
    <w:rsid w:val="000C7E06"/>
    <w:rsid w:val="000D0150"/>
    <w:rsid w:val="000D0A10"/>
    <w:rsid w:val="000D189D"/>
    <w:rsid w:val="000D26F8"/>
    <w:rsid w:val="000D3115"/>
    <w:rsid w:val="000D4C5E"/>
    <w:rsid w:val="000E366F"/>
    <w:rsid w:val="000E3C50"/>
    <w:rsid w:val="000E5113"/>
    <w:rsid w:val="000E5C4B"/>
    <w:rsid w:val="000E7BD5"/>
    <w:rsid w:val="000F22F8"/>
    <w:rsid w:val="000F2E0B"/>
    <w:rsid w:val="000F3A9E"/>
    <w:rsid w:val="00103665"/>
    <w:rsid w:val="00104906"/>
    <w:rsid w:val="00104C4B"/>
    <w:rsid w:val="00110841"/>
    <w:rsid w:val="00110B3F"/>
    <w:rsid w:val="00111011"/>
    <w:rsid w:val="0011277B"/>
    <w:rsid w:val="00113446"/>
    <w:rsid w:val="00117AFB"/>
    <w:rsid w:val="00120044"/>
    <w:rsid w:val="00121211"/>
    <w:rsid w:val="00123E19"/>
    <w:rsid w:val="001255B8"/>
    <w:rsid w:val="00125D38"/>
    <w:rsid w:val="00127517"/>
    <w:rsid w:val="001324B7"/>
    <w:rsid w:val="00132FC1"/>
    <w:rsid w:val="001335EE"/>
    <w:rsid w:val="00133EAD"/>
    <w:rsid w:val="00134A1E"/>
    <w:rsid w:val="00134A67"/>
    <w:rsid w:val="00140134"/>
    <w:rsid w:val="001405C6"/>
    <w:rsid w:val="00141013"/>
    <w:rsid w:val="001414DD"/>
    <w:rsid w:val="00141837"/>
    <w:rsid w:val="001445ED"/>
    <w:rsid w:val="001468F7"/>
    <w:rsid w:val="00146DD3"/>
    <w:rsid w:val="00147B69"/>
    <w:rsid w:val="00153C3E"/>
    <w:rsid w:val="00154B53"/>
    <w:rsid w:val="00155D55"/>
    <w:rsid w:val="001572F2"/>
    <w:rsid w:val="001605E6"/>
    <w:rsid w:val="00160F41"/>
    <w:rsid w:val="0016236F"/>
    <w:rsid w:val="00166FEA"/>
    <w:rsid w:val="001704A0"/>
    <w:rsid w:val="00174B6D"/>
    <w:rsid w:val="00174F30"/>
    <w:rsid w:val="001818A0"/>
    <w:rsid w:val="00181BAD"/>
    <w:rsid w:val="001848A3"/>
    <w:rsid w:val="00187958"/>
    <w:rsid w:val="001922FA"/>
    <w:rsid w:val="00192CBF"/>
    <w:rsid w:val="00192FF1"/>
    <w:rsid w:val="00194AA2"/>
    <w:rsid w:val="00194AAB"/>
    <w:rsid w:val="00194B29"/>
    <w:rsid w:val="00194E40"/>
    <w:rsid w:val="00195501"/>
    <w:rsid w:val="001A15A8"/>
    <w:rsid w:val="001A1AB3"/>
    <w:rsid w:val="001A215C"/>
    <w:rsid w:val="001A39FA"/>
    <w:rsid w:val="001A3CFF"/>
    <w:rsid w:val="001A49EA"/>
    <w:rsid w:val="001A54D7"/>
    <w:rsid w:val="001A5F1B"/>
    <w:rsid w:val="001A6C44"/>
    <w:rsid w:val="001B14DF"/>
    <w:rsid w:val="001B1C22"/>
    <w:rsid w:val="001B34C6"/>
    <w:rsid w:val="001B3B7E"/>
    <w:rsid w:val="001B75AC"/>
    <w:rsid w:val="001C1B96"/>
    <w:rsid w:val="001C3FA3"/>
    <w:rsid w:val="001C4592"/>
    <w:rsid w:val="001C49F1"/>
    <w:rsid w:val="001C4C93"/>
    <w:rsid w:val="001C5DAA"/>
    <w:rsid w:val="001D0277"/>
    <w:rsid w:val="001D0389"/>
    <w:rsid w:val="001D0D40"/>
    <w:rsid w:val="001D0F95"/>
    <w:rsid w:val="001D143C"/>
    <w:rsid w:val="001D1993"/>
    <w:rsid w:val="001D4E8E"/>
    <w:rsid w:val="001D6277"/>
    <w:rsid w:val="001D6604"/>
    <w:rsid w:val="001D7832"/>
    <w:rsid w:val="001E017D"/>
    <w:rsid w:val="001E0503"/>
    <w:rsid w:val="001E19A1"/>
    <w:rsid w:val="001E1D65"/>
    <w:rsid w:val="001E2363"/>
    <w:rsid w:val="001E3A08"/>
    <w:rsid w:val="001E52B8"/>
    <w:rsid w:val="001E58C9"/>
    <w:rsid w:val="001E594C"/>
    <w:rsid w:val="001E74EE"/>
    <w:rsid w:val="001F0AB9"/>
    <w:rsid w:val="001F2259"/>
    <w:rsid w:val="00204B10"/>
    <w:rsid w:val="00207459"/>
    <w:rsid w:val="00207789"/>
    <w:rsid w:val="00211B51"/>
    <w:rsid w:val="00211D34"/>
    <w:rsid w:val="00214F04"/>
    <w:rsid w:val="002258A4"/>
    <w:rsid w:val="00226A17"/>
    <w:rsid w:val="00226A8A"/>
    <w:rsid w:val="00227883"/>
    <w:rsid w:val="00227AE8"/>
    <w:rsid w:val="00235619"/>
    <w:rsid w:val="002375A0"/>
    <w:rsid w:val="00240F59"/>
    <w:rsid w:val="002415FD"/>
    <w:rsid w:val="002433DC"/>
    <w:rsid w:val="0024449D"/>
    <w:rsid w:val="00246FEC"/>
    <w:rsid w:val="00247034"/>
    <w:rsid w:val="00247240"/>
    <w:rsid w:val="0025178C"/>
    <w:rsid w:val="00252641"/>
    <w:rsid w:val="00252CCA"/>
    <w:rsid w:val="00252DA1"/>
    <w:rsid w:val="00252FE8"/>
    <w:rsid w:val="002548E9"/>
    <w:rsid w:val="00255C25"/>
    <w:rsid w:val="00256B87"/>
    <w:rsid w:val="00257381"/>
    <w:rsid w:val="0026023C"/>
    <w:rsid w:val="00260A29"/>
    <w:rsid w:val="002625FD"/>
    <w:rsid w:val="00262BCB"/>
    <w:rsid w:val="00264F37"/>
    <w:rsid w:val="002667C2"/>
    <w:rsid w:val="00266CD6"/>
    <w:rsid w:val="0026749A"/>
    <w:rsid w:val="002705A8"/>
    <w:rsid w:val="00273C85"/>
    <w:rsid w:val="0027498B"/>
    <w:rsid w:val="00275401"/>
    <w:rsid w:val="0027562B"/>
    <w:rsid w:val="00275DAB"/>
    <w:rsid w:val="00280F27"/>
    <w:rsid w:val="002820E7"/>
    <w:rsid w:val="00291131"/>
    <w:rsid w:val="002917EA"/>
    <w:rsid w:val="0029186D"/>
    <w:rsid w:val="00291A51"/>
    <w:rsid w:val="0029277F"/>
    <w:rsid w:val="00293D5F"/>
    <w:rsid w:val="00293E75"/>
    <w:rsid w:val="002942CE"/>
    <w:rsid w:val="00295B2D"/>
    <w:rsid w:val="00295B6B"/>
    <w:rsid w:val="0029674C"/>
    <w:rsid w:val="002A29FC"/>
    <w:rsid w:val="002A2BCC"/>
    <w:rsid w:val="002A441F"/>
    <w:rsid w:val="002A611A"/>
    <w:rsid w:val="002A782A"/>
    <w:rsid w:val="002B11E2"/>
    <w:rsid w:val="002B13CF"/>
    <w:rsid w:val="002B24B8"/>
    <w:rsid w:val="002B25B8"/>
    <w:rsid w:val="002B3D6B"/>
    <w:rsid w:val="002C06CA"/>
    <w:rsid w:val="002C12C5"/>
    <w:rsid w:val="002C2369"/>
    <w:rsid w:val="002C334F"/>
    <w:rsid w:val="002C652C"/>
    <w:rsid w:val="002C6B12"/>
    <w:rsid w:val="002C6EA0"/>
    <w:rsid w:val="002C7672"/>
    <w:rsid w:val="002D0458"/>
    <w:rsid w:val="002D3AE9"/>
    <w:rsid w:val="002D4510"/>
    <w:rsid w:val="002D4659"/>
    <w:rsid w:val="002D5446"/>
    <w:rsid w:val="002D596F"/>
    <w:rsid w:val="002D6650"/>
    <w:rsid w:val="002D7882"/>
    <w:rsid w:val="002D7E1E"/>
    <w:rsid w:val="002E2585"/>
    <w:rsid w:val="002E25C5"/>
    <w:rsid w:val="002E2E62"/>
    <w:rsid w:val="002E742D"/>
    <w:rsid w:val="002F0734"/>
    <w:rsid w:val="002F46E7"/>
    <w:rsid w:val="002F4E82"/>
    <w:rsid w:val="002F650D"/>
    <w:rsid w:val="002F7CBE"/>
    <w:rsid w:val="00302145"/>
    <w:rsid w:val="00302683"/>
    <w:rsid w:val="003043C1"/>
    <w:rsid w:val="0030451B"/>
    <w:rsid w:val="00304F1C"/>
    <w:rsid w:val="003058F0"/>
    <w:rsid w:val="00306576"/>
    <w:rsid w:val="00306FFB"/>
    <w:rsid w:val="003078F2"/>
    <w:rsid w:val="003101DA"/>
    <w:rsid w:val="00311514"/>
    <w:rsid w:val="00313128"/>
    <w:rsid w:val="0031459E"/>
    <w:rsid w:val="00314757"/>
    <w:rsid w:val="00314B81"/>
    <w:rsid w:val="00316108"/>
    <w:rsid w:val="00320FFF"/>
    <w:rsid w:val="003211CE"/>
    <w:rsid w:val="003226D0"/>
    <w:rsid w:val="00322A85"/>
    <w:rsid w:val="00324BA1"/>
    <w:rsid w:val="00325C37"/>
    <w:rsid w:val="00331D76"/>
    <w:rsid w:val="003339D7"/>
    <w:rsid w:val="00337DD6"/>
    <w:rsid w:val="00340BCE"/>
    <w:rsid w:val="0034238E"/>
    <w:rsid w:val="00343430"/>
    <w:rsid w:val="0034473D"/>
    <w:rsid w:val="00344CB3"/>
    <w:rsid w:val="00345083"/>
    <w:rsid w:val="00346370"/>
    <w:rsid w:val="003467C2"/>
    <w:rsid w:val="00350137"/>
    <w:rsid w:val="00351B46"/>
    <w:rsid w:val="003526C9"/>
    <w:rsid w:val="0035403A"/>
    <w:rsid w:val="003540B4"/>
    <w:rsid w:val="00356E85"/>
    <w:rsid w:val="00357C9C"/>
    <w:rsid w:val="003601F7"/>
    <w:rsid w:val="003608EA"/>
    <w:rsid w:val="003613BB"/>
    <w:rsid w:val="00361554"/>
    <w:rsid w:val="00361626"/>
    <w:rsid w:val="00362012"/>
    <w:rsid w:val="0036394B"/>
    <w:rsid w:val="00364E59"/>
    <w:rsid w:val="00365A72"/>
    <w:rsid w:val="00365AA0"/>
    <w:rsid w:val="0036751B"/>
    <w:rsid w:val="003701BB"/>
    <w:rsid w:val="003703A7"/>
    <w:rsid w:val="003709B5"/>
    <w:rsid w:val="003710EE"/>
    <w:rsid w:val="003713D8"/>
    <w:rsid w:val="00372A57"/>
    <w:rsid w:val="00373A0D"/>
    <w:rsid w:val="00373EEE"/>
    <w:rsid w:val="003753CD"/>
    <w:rsid w:val="003759C2"/>
    <w:rsid w:val="00377299"/>
    <w:rsid w:val="00380A32"/>
    <w:rsid w:val="00381E12"/>
    <w:rsid w:val="00382E27"/>
    <w:rsid w:val="003830E2"/>
    <w:rsid w:val="003834DA"/>
    <w:rsid w:val="00384980"/>
    <w:rsid w:val="0038618E"/>
    <w:rsid w:val="003872CF"/>
    <w:rsid w:val="0039052B"/>
    <w:rsid w:val="00391635"/>
    <w:rsid w:val="00393F52"/>
    <w:rsid w:val="00396777"/>
    <w:rsid w:val="00396F4A"/>
    <w:rsid w:val="00397365"/>
    <w:rsid w:val="00397CF9"/>
    <w:rsid w:val="00397EDB"/>
    <w:rsid w:val="003A0446"/>
    <w:rsid w:val="003A083D"/>
    <w:rsid w:val="003A165A"/>
    <w:rsid w:val="003A1C99"/>
    <w:rsid w:val="003A31F6"/>
    <w:rsid w:val="003A3414"/>
    <w:rsid w:val="003A63C2"/>
    <w:rsid w:val="003A7E7A"/>
    <w:rsid w:val="003B20CB"/>
    <w:rsid w:val="003B55B0"/>
    <w:rsid w:val="003B7FF7"/>
    <w:rsid w:val="003C04C7"/>
    <w:rsid w:val="003C1553"/>
    <w:rsid w:val="003C1A71"/>
    <w:rsid w:val="003C312A"/>
    <w:rsid w:val="003C3447"/>
    <w:rsid w:val="003C774C"/>
    <w:rsid w:val="003D0350"/>
    <w:rsid w:val="003D076C"/>
    <w:rsid w:val="003D1FEB"/>
    <w:rsid w:val="003D38EC"/>
    <w:rsid w:val="003D7FF1"/>
    <w:rsid w:val="003E2117"/>
    <w:rsid w:val="003E3E78"/>
    <w:rsid w:val="003E7083"/>
    <w:rsid w:val="003E78B5"/>
    <w:rsid w:val="003E7D64"/>
    <w:rsid w:val="003F0E81"/>
    <w:rsid w:val="003F2A79"/>
    <w:rsid w:val="003F3E0B"/>
    <w:rsid w:val="003F52C8"/>
    <w:rsid w:val="003F5BEB"/>
    <w:rsid w:val="003F6014"/>
    <w:rsid w:val="003F6F17"/>
    <w:rsid w:val="003F7BDC"/>
    <w:rsid w:val="00400171"/>
    <w:rsid w:val="00400648"/>
    <w:rsid w:val="00401AB9"/>
    <w:rsid w:val="00402165"/>
    <w:rsid w:val="004067DB"/>
    <w:rsid w:val="00406D17"/>
    <w:rsid w:val="00411C8A"/>
    <w:rsid w:val="00412968"/>
    <w:rsid w:val="0041355E"/>
    <w:rsid w:val="004148DE"/>
    <w:rsid w:val="004149DF"/>
    <w:rsid w:val="00415BAB"/>
    <w:rsid w:val="00415ED2"/>
    <w:rsid w:val="00416300"/>
    <w:rsid w:val="004163C5"/>
    <w:rsid w:val="00416F0F"/>
    <w:rsid w:val="0042068C"/>
    <w:rsid w:val="00420997"/>
    <w:rsid w:val="00420A0B"/>
    <w:rsid w:val="00423076"/>
    <w:rsid w:val="00423B69"/>
    <w:rsid w:val="004247BF"/>
    <w:rsid w:val="00427FC9"/>
    <w:rsid w:val="0043094E"/>
    <w:rsid w:val="00430A92"/>
    <w:rsid w:val="00432065"/>
    <w:rsid w:val="00434E2F"/>
    <w:rsid w:val="004357F2"/>
    <w:rsid w:val="00435C3A"/>
    <w:rsid w:val="004368F3"/>
    <w:rsid w:val="0043697C"/>
    <w:rsid w:val="00437100"/>
    <w:rsid w:val="0043764A"/>
    <w:rsid w:val="00437D6B"/>
    <w:rsid w:val="00442338"/>
    <w:rsid w:val="00453731"/>
    <w:rsid w:val="004567E1"/>
    <w:rsid w:val="00456C16"/>
    <w:rsid w:val="0046004A"/>
    <w:rsid w:val="00462F2D"/>
    <w:rsid w:val="00463205"/>
    <w:rsid w:val="004670FB"/>
    <w:rsid w:val="00470E2D"/>
    <w:rsid w:val="00470FF7"/>
    <w:rsid w:val="0047122B"/>
    <w:rsid w:val="00472401"/>
    <w:rsid w:val="00472B0E"/>
    <w:rsid w:val="004735AF"/>
    <w:rsid w:val="00473B7A"/>
    <w:rsid w:val="00473E23"/>
    <w:rsid w:val="0047510C"/>
    <w:rsid w:val="004775CA"/>
    <w:rsid w:val="00480252"/>
    <w:rsid w:val="004831E8"/>
    <w:rsid w:val="004860F4"/>
    <w:rsid w:val="004879F5"/>
    <w:rsid w:val="00490F44"/>
    <w:rsid w:val="004911D5"/>
    <w:rsid w:val="00491D67"/>
    <w:rsid w:val="004929E7"/>
    <w:rsid w:val="00494EF6"/>
    <w:rsid w:val="004960E9"/>
    <w:rsid w:val="00496A54"/>
    <w:rsid w:val="00496C2E"/>
    <w:rsid w:val="004A2E88"/>
    <w:rsid w:val="004A5305"/>
    <w:rsid w:val="004A58DE"/>
    <w:rsid w:val="004A7BDC"/>
    <w:rsid w:val="004B18ED"/>
    <w:rsid w:val="004B3E7B"/>
    <w:rsid w:val="004B486A"/>
    <w:rsid w:val="004B4D19"/>
    <w:rsid w:val="004B5353"/>
    <w:rsid w:val="004B6A67"/>
    <w:rsid w:val="004B6B8D"/>
    <w:rsid w:val="004B6BBB"/>
    <w:rsid w:val="004C317B"/>
    <w:rsid w:val="004C455E"/>
    <w:rsid w:val="004C55D2"/>
    <w:rsid w:val="004D3AC5"/>
    <w:rsid w:val="004D5894"/>
    <w:rsid w:val="004D5C18"/>
    <w:rsid w:val="004D66E1"/>
    <w:rsid w:val="004D74E0"/>
    <w:rsid w:val="004D7634"/>
    <w:rsid w:val="004E36DE"/>
    <w:rsid w:val="004E3E50"/>
    <w:rsid w:val="004E4157"/>
    <w:rsid w:val="004E4C5E"/>
    <w:rsid w:val="004E5736"/>
    <w:rsid w:val="004E696C"/>
    <w:rsid w:val="004E7CF4"/>
    <w:rsid w:val="004E7F32"/>
    <w:rsid w:val="004F0DDA"/>
    <w:rsid w:val="004F1299"/>
    <w:rsid w:val="004F37DA"/>
    <w:rsid w:val="004F7D44"/>
    <w:rsid w:val="00500790"/>
    <w:rsid w:val="00500969"/>
    <w:rsid w:val="00500A2D"/>
    <w:rsid w:val="0050200A"/>
    <w:rsid w:val="005039C7"/>
    <w:rsid w:val="005054CB"/>
    <w:rsid w:val="00506F56"/>
    <w:rsid w:val="00507D74"/>
    <w:rsid w:val="00511D3F"/>
    <w:rsid w:val="005138BB"/>
    <w:rsid w:val="00514042"/>
    <w:rsid w:val="00514644"/>
    <w:rsid w:val="00514F47"/>
    <w:rsid w:val="00516F7D"/>
    <w:rsid w:val="0052019D"/>
    <w:rsid w:val="00520730"/>
    <w:rsid w:val="00520D19"/>
    <w:rsid w:val="00521576"/>
    <w:rsid w:val="00523305"/>
    <w:rsid w:val="00523FF1"/>
    <w:rsid w:val="005266F7"/>
    <w:rsid w:val="005300D3"/>
    <w:rsid w:val="00531F1C"/>
    <w:rsid w:val="00535EDE"/>
    <w:rsid w:val="005363C3"/>
    <w:rsid w:val="005364B5"/>
    <w:rsid w:val="0054077D"/>
    <w:rsid w:val="005411F7"/>
    <w:rsid w:val="005413B3"/>
    <w:rsid w:val="00543272"/>
    <w:rsid w:val="00544C04"/>
    <w:rsid w:val="00544F82"/>
    <w:rsid w:val="00547822"/>
    <w:rsid w:val="00550A62"/>
    <w:rsid w:val="005543A8"/>
    <w:rsid w:val="00555E0A"/>
    <w:rsid w:val="00560616"/>
    <w:rsid w:val="00560F2D"/>
    <w:rsid w:val="005630CE"/>
    <w:rsid w:val="005665DC"/>
    <w:rsid w:val="00566770"/>
    <w:rsid w:val="005668DD"/>
    <w:rsid w:val="00571093"/>
    <w:rsid w:val="00572284"/>
    <w:rsid w:val="00574134"/>
    <w:rsid w:val="0057613A"/>
    <w:rsid w:val="0057629A"/>
    <w:rsid w:val="005849C0"/>
    <w:rsid w:val="00585209"/>
    <w:rsid w:val="0058522A"/>
    <w:rsid w:val="00590099"/>
    <w:rsid w:val="005919E9"/>
    <w:rsid w:val="005927FF"/>
    <w:rsid w:val="00593C4F"/>
    <w:rsid w:val="005946A8"/>
    <w:rsid w:val="005972DE"/>
    <w:rsid w:val="00597502"/>
    <w:rsid w:val="005A07CD"/>
    <w:rsid w:val="005A0DC0"/>
    <w:rsid w:val="005A18F7"/>
    <w:rsid w:val="005A1B51"/>
    <w:rsid w:val="005A3B16"/>
    <w:rsid w:val="005A3C97"/>
    <w:rsid w:val="005A4189"/>
    <w:rsid w:val="005A4407"/>
    <w:rsid w:val="005A5989"/>
    <w:rsid w:val="005A59EF"/>
    <w:rsid w:val="005B17AB"/>
    <w:rsid w:val="005B1FCE"/>
    <w:rsid w:val="005B3E20"/>
    <w:rsid w:val="005B4AAE"/>
    <w:rsid w:val="005B4C46"/>
    <w:rsid w:val="005C01FB"/>
    <w:rsid w:val="005C28E7"/>
    <w:rsid w:val="005C2E93"/>
    <w:rsid w:val="005C6B1B"/>
    <w:rsid w:val="005C7FC3"/>
    <w:rsid w:val="005D0739"/>
    <w:rsid w:val="005D07DD"/>
    <w:rsid w:val="005D1C56"/>
    <w:rsid w:val="005D429C"/>
    <w:rsid w:val="005D43EE"/>
    <w:rsid w:val="005D62C3"/>
    <w:rsid w:val="005D6400"/>
    <w:rsid w:val="005D65F7"/>
    <w:rsid w:val="005D6916"/>
    <w:rsid w:val="005E1E46"/>
    <w:rsid w:val="005E53CC"/>
    <w:rsid w:val="005E7207"/>
    <w:rsid w:val="005F03FC"/>
    <w:rsid w:val="005F085E"/>
    <w:rsid w:val="005F26AF"/>
    <w:rsid w:val="005F378F"/>
    <w:rsid w:val="005F547A"/>
    <w:rsid w:val="005F6F41"/>
    <w:rsid w:val="005F7C39"/>
    <w:rsid w:val="0060065E"/>
    <w:rsid w:val="00600D15"/>
    <w:rsid w:val="00602A5B"/>
    <w:rsid w:val="00602E00"/>
    <w:rsid w:val="00605E5C"/>
    <w:rsid w:val="00605F50"/>
    <w:rsid w:val="0060617E"/>
    <w:rsid w:val="00606FDA"/>
    <w:rsid w:val="00607BBB"/>
    <w:rsid w:val="00610047"/>
    <w:rsid w:val="0061176F"/>
    <w:rsid w:val="0061312F"/>
    <w:rsid w:val="00614621"/>
    <w:rsid w:val="00616D3C"/>
    <w:rsid w:val="006177CE"/>
    <w:rsid w:val="006202E2"/>
    <w:rsid w:val="006214D0"/>
    <w:rsid w:val="00621646"/>
    <w:rsid w:val="006226BF"/>
    <w:rsid w:val="0062301C"/>
    <w:rsid w:val="00624158"/>
    <w:rsid w:val="00625DC6"/>
    <w:rsid w:val="00627751"/>
    <w:rsid w:val="00627CA6"/>
    <w:rsid w:val="00632807"/>
    <w:rsid w:val="006331A4"/>
    <w:rsid w:val="00633DB8"/>
    <w:rsid w:val="00633E0A"/>
    <w:rsid w:val="00635913"/>
    <w:rsid w:val="006370CB"/>
    <w:rsid w:val="006403E5"/>
    <w:rsid w:val="00640D03"/>
    <w:rsid w:val="00642FE7"/>
    <w:rsid w:val="006434FC"/>
    <w:rsid w:val="0064391D"/>
    <w:rsid w:val="00644BF2"/>
    <w:rsid w:val="00645004"/>
    <w:rsid w:val="00650B30"/>
    <w:rsid w:val="00650DF7"/>
    <w:rsid w:val="00650ED5"/>
    <w:rsid w:val="00651821"/>
    <w:rsid w:val="00652FBD"/>
    <w:rsid w:val="00653145"/>
    <w:rsid w:val="006533AD"/>
    <w:rsid w:val="00653E72"/>
    <w:rsid w:val="00654384"/>
    <w:rsid w:val="00655A08"/>
    <w:rsid w:val="00657198"/>
    <w:rsid w:val="00657E71"/>
    <w:rsid w:val="0066261D"/>
    <w:rsid w:val="006626FB"/>
    <w:rsid w:val="00662CD1"/>
    <w:rsid w:val="00663DFF"/>
    <w:rsid w:val="00664E67"/>
    <w:rsid w:val="00666011"/>
    <w:rsid w:val="00666658"/>
    <w:rsid w:val="006667CD"/>
    <w:rsid w:val="00667022"/>
    <w:rsid w:val="006675CD"/>
    <w:rsid w:val="00671A91"/>
    <w:rsid w:val="00671F7A"/>
    <w:rsid w:val="006739FD"/>
    <w:rsid w:val="00673F07"/>
    <w:rsid w:val="00673FF9"/>
    <w:rsid w:val="0067525D"/>
    <w:rsid w:val="00676ED3"/>
    <w:rsid w:val="0068227D"/>
    <w:rsid w:val="00682A85"/>
    <w:rsid w:val="00684D9B"/>
    <w:rsid w:val="00684E37"/>
    <w:rsid w:val="00685D37"/>
    <w:rsid w:val="00693479"/>
    <w:rsid w:val="006938AB"/>
    <w:rsid w:val="0069494E"/>
    <w:rsid w:val="006958D5"/>
    <w:rsid w:val="0069674D"/>
    <w:rsid w:val="00697556"/>
    <w:rsid w:val="00697854"/>
    <w:rsid w:val="00697B8E"/>
    <w:rsid w:val="00697F47"/>
    <w:rsid w:val="006A1BBA"/>
    <w:rsid w:val="006A23AC"/>
    <w:rsid w:val="006A2FF1"/>
    <w:rsid w:val="006A4308"/>
    <w:rsid w:val="006A5D5E"/>
    <w:rsid w:val="006A71FC"/>
    <w:rsid w:val="006B0262"/>
    <w:rsid w:val="006B2A1F"/>
    <w:rsid w:val="006B381F"/>
    <w:rsid w:val="006B4647"/>
    <w:rsid w:val="006B4C2B"/>
    <w:rsid w:val="006B64F2"/>
    <w:rsid w:val="006B6D47"/>
    <w:rsid w:val="006C18B6"/>
    <w:rsid w:val="006C247E"/>
    <w:rsid w:val="006C3460"/>
    <w:rsid w:val="006C3671"/>
    <w:rsid w:val="006C3742"/>
    <w:rsid w:val="006C39C1"/>
    <w:rsid w:val="006C43E1"/>
    <w:rsid w:val="006C5AFE"/>
    <w:rsid w:val="006C6FFA"/>
    <w:rsid w:val="006C7295"/>
    <w:rsid w:val="006C7CE5"/>
    <w:rsid w:val="006D28B4"/>
    <w:rsid w:val="006D3BD2"/>
    <w:rsid w:val="006D4EE5"/>
    <w:rsid w:val="006D661B"/>
    <w:rsid w:val="006D68BF"/>
    <w:rsid w:val="006D72EC"/>
    <w:rsid w:val="006D77B1"/>
    <w:rsid w:val="006E4CF8"/>
    <w:rsid w:val="006E55B2"/>
    <w:rsid w:val="006E6BB3"/>
    <w:rsid w:val="006F177A"/>
    <w:rsid w:val="006F1ACB"/>
    <w:rsid w:val="006F266C"/>
    <w:rsid w:val="006F4285"/>
    <w:rsid w:val="006F6D95"/>
    <w:rsid w:val="00700DC0"/>
    <w:rsid w:val="00702466"/>
    <w:rsid w:val="00702C0C"/>
    <w:rsid w:val="007050D5"/>
    <w:rsid w:val="00705E60"/>
    <w:rsid w:val="007068B3"/>
    <w:rsid w:val="00706F13"/>
    <w:rsid w:val="007072E8"/>
    <w:rsid w:val="00710850"/>
    <w:rsid w:val="00712040"/>
    <w:rsid w:val="007148F7"/>
    <w:rsid w:val="00714F89"/>
    <w:rsid w:val="007159E2"/>
    <w:rsid w:val="007160B8"/>
    <w:rsid w:val="0071618D"/>
    <w:rsid w:val="00716C8A"/>
    <w:rsid w:val="007237E4"/>
    <w:rsid w:val="00725FA4"/>
    <w:rsid w:val="00727EEE"/>
    <w:rsid w:val="00730715"/>
    <w:rsid w:val="00731EFF"/>
    <w:rsid w:val="00732730"/>
    <w:rsid w:val="0073315D"/>
    <w:rsid w:val="00734006"/>
    <w:rsid w:val="00734983"/>
    <w:rsid w:val="007353C8"/>
    <w:rsid w:val="007367ED"/>
    <w:rsid w:val="007369BA"/>
    <w:rsid w:val="00737143"/>
    <w:rsid w:val="007377CA"/>
    <w:rsid w:val="00737CC5"/>
    <w:rsid w:val="00740446"/>
    <w:rsid w:val="007406CC"/>
    <w:rsid w:val="0074090D"/>
    <w:rsid w:val="007438A9"/>
    <w:rsid w:val="0074491E"/>
    <w:rsid w:val="007500F1"/>
    <w:rsid w:val="007501C3"/>
    <w:rsid w:val="00750EA3"/>
    <w:rsid w:val="0075284A"/>
    <w:rsid w:val="00755106"/>
    <w:rsid w:val="00760173"/>
    <w:rsid w:val="007609A5"/>
    <w:rsid w:val="0076127D"/>
    <w:rsid w:val="0076247A"/>
    <w:rsid w:val="00763F41"/>
    <w:rsid w:val="0076528A"/>
    <w:rsid w:val="00765E20"/>
    <w:rsid w:val="007676BE"/>
    <w:rsid w:val="00771BFB"/>
    <w:rsid w:val="007745DB"/>
    <w:rsid w:val="007750D3"/>
    <w:rsid w:val="00775964"/>
    <w:rsid w:val="007765FE"/>
    <w:rsid w:val="007831AF"/>
    <w:rsid w:val="00784184"/>
    <w:rsid w:val="00784550"/>
    <w:rsid w:val="00786FFF"/>
    <w:rsid w:val="00787BB4"/>
    <w:rsid w:val="0079010C"/>
    <w:rsid w:val="00790387"/>
    <w:rsid w:val="00790F8E"/>
    <w:rsid w:val="00791554"/>
    <w:rsid w:val="00791B12"/>
    <w:rsid w:val="0079373E"/>
    <w:rsid w:val="007947B2"/>
    <w:rsid w:val="00795BDC"/>
    <w:rsid w:val="00795BFB"/>
    <w:rsid w:val="007A0CA4"/>
    <w:rsid w:val="007A1580"/>
    <w:rsid w:val="007A21EE"/>
    <w:rsid w:val="007A3837"/>
    <w:rsid w:val="007A4276"/>
    <w:rsid w:val="007A43CC"/>
    <w:rsid w:val="007B04D4"/>
    <w:rsid w:val="007B1C7B"/>
    <w:rsid w:val="007B216E"/>
    <w:rsid w:val="007B2760"/>
    <w:rsid w:val="007B4771"/>
    <w:rsid w:val="007C0993"/>
    <w:rsid w:val="007C1478"/>
    <w:rsid w:val="007C2642"/>
    <w:rsid w:val="007C31DB"/>
    <w:rsid w:val="007C3255"/>
    <w:rsid w:val="007C33B0"/>
    <w:rsid w:val="007C4F53"/>
    <w:rsid w:val="007D1051"/>
    <w:rsid w:val="007D2039"/>
    <w:rsid w:val="007D27A2"/>
    <w:rsid w:val="007D3132"/>
    <w:rsid w:val="007D35A2"/>
    <w:rsid w:val="007D4104"/>
    <w:rsid w:val="007D4279"/>
    <w:rsid w:val="007D49E8"/>
    <w:rsid w:val="007D55C0"/>
    <w:rsid w:val="007D5852"/>
    <w:rsid w:val="007D6680"/>
    <w:rsid w:val="007D6EB1"/>
    <w:rsid w:val="007D755D"/>
    <w:rsid w:val="007D792C"/>
    <w:rsid w:val="007E08C4"/>
    <w:rsid w:val="007E1AA1"/>
    <w:rsid w:val="007E207E"/>
    <w:rsid w:val="007E4015"/>
    <w:rsid w:val="007F02D4"/>
    <w:rsid w:val="007F5921"/>
    <w:rsid w:val="00804A4C"/>
    <w:rsid w:val="00806C01"/>
    <w:rsid w:val="00807104"/>
    <w:rsid w:val="0080755E"/>
    <w:rsid w:val="00810819"/>
    <w:rsid w:val="008126D4"/>
    <w:rsid w:val="0081385D"/>
    <w:rsid w:val="008138E1"/>
    <w:rsid w:val="008148CC"/>
    <w:rsid w:val="00815CE2"/>
    <w:rsid w:val="00816131"/>
    <w:rsid w:val="008211A4"/>
    <w:rsid w:val="00822892"/>
    <w:rsid w:val="00823703"/>
    <w:rsid w:val="00824243"/>
    <w:rsid w:val="0083075C"/>
    <w:rsid w:val="00830ED6"/>
    <w:rsid w:val="00833075"/>
    <w:rsid w:val="00833F91"/>
    <w:rsid w:val="00834DA6"/>
    <w:rsid w:val="008362B1"/>
    <w:rsid w:val="008401AA"/>
    <w:rsid w:val="0084741F"/>
    <w:rsid w:val="00851954"/>
    <w:rsid w:val="00851CE4"/>
    <w:rsid w:val="008521E3"/>
    <w:rsid w:val="00853C56"/>
    <w:rsid w:val="0085450A"/>
    <w:rsid w:val="008545FF"/>
    <w:rsid w:val="00854ADB"/>
    <w:rsid w:val="008567EE"/>
    <w:rsid w:val="0086133E"/>
    <w:rsid w:val="00862B3F"/>
    <w:rsid w:val="00863858"/>
    <w:rsid w:val="00864736"/>
    <w:rsid w:val="00867A5B"/>
    <w:rsid w:val="008702EC"/>
    <w:rsid w:val="00870963"/>
    <w:rsid w:val="00873150"/>
    <w:rsid w:val="008737D0"/>
    <w:rsid w:val="00873D0C"/>
    <w:rsid w:val="00873DE1"/>
    <w:rsid w:val="00874F46"/>
    <w:rsid w:val="0087580E"/>
    <w:rsid w:val="0087657D"/>
    <w:rsid w:val="0087664D"/>
    <w:rsid w:val="008766CA"/>
    <w:rsid w:val="008807D5"/>
    <w:rsid w:val="00880832"/>
    <w:rsid w:val="00881242"/>
    <w:rsid w:val="0088150B"/>
    <w:rsid w:val="0088169C"/>
    <w:rsid w:val="00883245"/>
    <w:rsid w:val="0088344B"/>
    <w:rsid w:val="008851FC"/>
    <w:rsid w:val="00886EE1"/>
    <w:rsid w:val="0088710A"/>
    <w:rsid w:val="0088727D"/>
    <w:rsid w:val="00887ED0"/>
    <w:rsid w:val="008902A7"/>
    <w:rsid w:val="0089152A"/>
    <w:rsid w:val="00891B9B"/>
    <w:rsid w:val="00892BF8"/>
    <w:rsid w:val="008942AD"/>
    <w:rsid w:val="0089584E"/>
    <w:rsid w:val="008964F3"/>
    <w:rsid w:val="00896A73"/>
    <w:rsid w:val="00896AC5"/>
    <w:rsid w:val="00897C75"/>
    <w:rsid w:val="008A1595"/>
    <w:rsid w:val="008A2021"/>
    <w:rsid w:val="008A3B62"/>
    <w:rsid w:val="008A6237"/>
    <w:rsid w:val="008A6331"/>
    <w:rsid w:val="008B0F98"/>
    <w:rsid w:val="008B26D0"/>
    <w:rsid w:val="008B4941"/>
    <w:rsid w:val="008B5F84"/>
    <w:rsid w:val="008B6CF2"/>
    <w:rsid w:val="008C0BBA"/>
    <w:rsid w:val="008C1130"/>
    <w:rsid w:val="008C1838"/>
    <w:rsid w:val="008C3512"/>
    <w:rsid w:val="008C6C45"/>
    <w:rsid w:val="008C760D"/>
    <w:rsid w:val="008D18E6"/>
    <w:rsid w:val="008D2E3B"/>
    <w:rsid w:val="008D558B"/>
    <w:rsid w:val="008D5C9B"/>
    <w:rsid w:val="008D6D1D"/>
    <w:rsid w:val="008D7007"/>
    <w:rsid w:val="008D7A9B"/>
    <w:rsid w:val="008D7CA5"/>
    <w:rsid w:val="008E14A5"/>
    <w:rsid w:val="008E1BF3"/>
    <w:rsid w:val="008E2150"/>
    <w:rsid w:val="008E2DA2"/>
    <w:rsid w:val="008E3FFA"/>
    <w:rsid w:val="008E426C"/>
    <w:rsid w:val="008E4742"/>
    <w:rsid w:val="008E76AC"/>
    <w:rsid w:val="008F0492"/>
    <w:rsid w:val="008F1106"/>
    <w:rsid w:val="008F21F6"/>
    <w:rsid w:val="008F4D9F"/>
    <w:rsid w:val="008F5080"/>
    <w:rsid w:val="008F7595"/>
    <w:rsid w:val="009006F9"/>
    <w:rsid w:val="00900913"/>
    <w:rsid w:val="0090113E"/>
    <w:rsid w:val="00901409"/>
    <w:rsid w:val="009021E5"/>
    <w:rsid w:val="0090325F"/>
    <w:rsid w:val="0090460E"/>
    <w:rsid w:val="00905336"/>
    <w:rsid w:val="00905C12"/>
    <w:rsid w:val="00905E35"/>
    <w:rsid w:val="0091082A"/>
    <w:rsid w:val="009111C5"/>
    <w:rsid w:val="009114C2"/>
    <w:rsid w:val="009116E3"/>
    <w:rsid w:val="00911767"/>
    <w:rsid w:val="00911884"/>
    <w:rsid w:val="00912A37"/>
    <w:rsid w:val="00913017"/>
    <w:rsid w:val="00913BF8"/>
    <w:rsid w:val="0091577A"/>
    <w:rsid w:val="00916FBA"/>
    <w:rsid w:val="0092172B"/>
    <w:rsid w:val="00921A6E"/>
    <w:rsid w:val="009222DC"/>
    <w:rsid w:val="0092723B"/>
    <w:rsid w:val="009301A4"/>
    <w:rsid w:val="00930945"/>
    <w:rsid w:val="009321B7"/>
    <w:rsid w:val="00937DD4"/>
    <w:rsid w:val="009400EB"/>
    <w:rsid w:val="00940C7C"/>
    <w:rsid w:val="009413D1"/>
    <w:rsid w:val="00942115"/>
    <w:rsid w:val="00943555"/>
    <w:rsid w:val="009448FC"/>
    <w:rsid w:val="00945B36"/>
    <w:rsid w:val="00946875"/>
    <w:rsid w:val="00947335"/>
    <w:rsid w:val="00951A6B"/>
    <w:rsid w:val="00951F79"/>
    <w:rsid w:val="0095297C"/>
    <w:rsid w:val="00953943"/>
    <w:rsid w:val="00954287"/>
    <w:rsid w:val="00954CA2"/>
    <w:rsid w:val="00955944"/>
    <w:rsid w:val="00957313"/>
    <w:rsid w:val="009602A7"/>
    <w:rsid w:val="0096095F"/>
    <w:rsid w:val="00960D4A"/>
    <w:rsid w:val="009614E4"/>
    <w:rsid w:val="00961A10"/>
    <w:rsid w:val="009622F4"/>
    <w:rsid w:val="00963A1E"/>
    <w:rsid w:val="009645CB"/>
    <w:rsid w:val="00964819"/>
    <w:rsid w:val="00965051"/>
    <w:rsid w:val="00974AB5"/>
    <w:rsid w:val="009757BD"/>
    <w:rsid w:val="00975A0A"/>
    <w:rsid w:val="0097657C"/>
    <w:rsid w:val="00977B43"/>
    <w:rsid w:val="009806AF"/>
    <w:rsid w:val="00980A69"/>
    <w:rsid w:val="00980C02"/>
    <w:rsid w:val="00981970"/>
    <w:rsid w:val="00983835"/>
    <w:rsid w:val="00983EAA"/>
    <w:rsid w:val="00985E20"/>
    <w:rsid w:val="00986586"/>
    <w:rsid w:val="009865B2"/>
    <w:rsid w:val="0098706D"/>
    <w:rsid w:val="0099011E"/>
    <w:rsid w:val="009906D2"/>
    <w:rsid w:val="00990D8F"/>
    <w:rsid w:val="009935FB"/>
    <w:rsid w:val="00994735"/>
    <w:rsid w:val="009A2B9E"/>
    <w:rsid w:val="009A310B"/>
    <w:rsid w:val="009A51B6"/>
    <w:rsid w:val="009A758C"/>
    <w:rsid w:val="009A7DFE"/>
    <w:rsid w:val="009B0E34"/>
    <w:rsid w:val="009B0F58"/>
    <w:rsid w:val="009B4939"/>
    <w:rsid w:val="009C062F"/>
    <w:rsid w:val="009C1766"/>
    <w:rsid w:val="009C25F2"/>
    <w:rsid w:val="009C371F"/>
    <w:rsid w:val="009C5E78"/>
    <w:rsid w:val="009D2500"/>
    <w:rsid w:val="009D40B8"/>
    <w:rsid w:val="009D4E46"/>
    <w:rsid w:val="009D621C"/>
    <w:rsid w:val="009D75D5"/>
    <w:rsid w:val="009E02B9"/>
    <w:rsid w:val="009E1739"/>
    <w:rsid w:val="009E19F4"/>
    <w:rsid w:val="009E1F1E"/>
    <w:rsid w:val="009E4CBD"/>
    <w:rsid w:val="009E4E4B"/>
    <w:rsid w:val="009E5B24"/>
    <w:rsid w:val="009E6EA8"/>
    <w:rsid w:val="009E781D"/>
    <w:rsid w:val="009F0240"/>
    <w:rsid w:val="009F12EC"/>
    <w:rsid w:val="009F2ECB"/>
    <w:rsid w:val="009F30A3"/>
    <w:rsid w:val="009F4A54"/>
    <w:rsid w:val="009F4BEC"/>
    <w:rsid w:val="009F6252"/>
    <w:rsid w:val="009F67D4"/>
    <w:rsid w:val="00A01DB3"/>
    <w:rsid w:val="00A025C9"/>
    <w:rsid w:val="00A0298E"/>
    <w:rsid w:val="00A02C1F"/>
    <w:rsid w:val="00A06140"/>
    <w:rsid w:val="00A06B17"/>
    <w:rsid w:val="00A07B06"/>
    <w:rsid w:val="00A10C1B"/>
    <w:rsid w:val="00A11F9B"/>
    <w:rsid w:val="00A12E40"/>
    <w:rsid w:val="00A1517D"/>
    <w:rsid w:val="00A161F0"/>
    <w:rsid w:val="00A16B1E"/>
    <w:rsid w:val="00A179EE"/>
    <w:rsid w:val="00A17FA1"/>
    <w:rsid w:val="00A2045D"/>
    <w:rsid w:val="00A206C9"/>
    <w:rsid w:val="00A215B6"/>
    <w:rsid w:val="00A23758"/>
    <w:rsid w:val="00A2514F"/>
    <w:rsid w:val="00A25FD7"/>
    <w:rsid w:val="00A26022"/>
    <w:rsid w:val="00A263A5"/>
    <w:rsid w:val="00A2675A"/>
    <w:rsid w:val="00A27519"/>
    <w:rsid w:val="00A30E56"/>
    <w:rsid w:val="00A33A73"/>
    <w:rsid w:val="00A36623"/>
    <w:rsid w:val="00A4064F"/>
    <w:rsid w:val="00A4183C"/>
    <w:rsid w:val="00A4316B"/>
    <w:rsid w:val="00A43AFF"/>
    <w:rsid w:val="00A45C23"/>
    <w:rsid w:val="00A4741B"/>
    <w:rsid w:val="00A4786C"/>
    <w:rsid w:val="00A51B49"/>
    <w:rsid w:val="00A523D8"/>
    <w:rsid w:val="00A5249C"/>
    <w:rsid w:val="00A56918"/>
    <w:rsid w:val="00A57553"/>
    <w:rsid w:val="00A613AA"/>
    <w:rsid w:val="00A623A1"/>
    <w:rsid w:val="00A6489B"/>
    <w:rsid w:val="00A64ACA"/>
    <w:rsid w:val="00A64C45"/>
    <w:rsid w:val="00A64CED"/>
    <w:rsid w:val="00A66DDE"/>
    <w:rsid w:val="00A67A29"/>
    <w:rsid w:val="00A701F8"/>
    <w:rsid w:val="00A71120"/>
    <w:rsid w:val="00A71AF1"/>
    <w:rsid w:val="00A73248"/>
    <w:rsid w:val="00A7793A"/>
    <w:rsid w:val="00A849A5"/>
    <w:rsid w:val="00A874E1"/>
    <w:rsid w:val="00A876FD"/>
    <w:rsid w:val="00A90718"/>
    <w:rsid w:val="00A94726"/>
    <w:rsid w:val="00A94A12"/>
    <w:rsid w:val="00A94F45"/>
    <w:rsid w:val="00A97470"/>
    <w:rsid w:val="00A975E3"/>
    <w:rsid w:val="00AA025E"/>
    <w:rsid w:val="00AA130A"/>
    <w:rsid w:val="00AA3045"/>
    <w:rsid w:val="00AA4CC7"/>
    <w:rsid w:val="00AA4E39"/>
    <w:rsid w:val="00AA5DAB"/>
    <w:rsid w:val="00AA5E8E"/>
    <w:rsid w:val="00AA6FBF"/>
    <w:rsid w:val="00AA7151"/>
    <w:rsid w:val="00AB038D"/>
    <w:rsid w:val="00AB32AF"/>
    <w:rsid w:val="00AB3C85"/>
    <w:rsid w:val="00AB40EC"/>
    <w:rsid w:val="00AB686E"/>
    <w:rsid w:val="00AB6CA7"/>
    <w:rsid w:val="00AC0DC2"/>
    <w:rsid w:val="00AC2A6A"/>
    <w:rsid w:val="00AC40B8"/>
    <w:rsid w:val="00AC5050"/>
    <w:rsid w:val="00AC5950"/>
    <w:rsid w:val="00AC5B36"/>
    <w:rsid w:val="00AC6F9E"/>
    <w:rsid w:val="00AC7927"/>
    <w:rsid w:val="00AD01E4"/>
    <w:rsid w:val="00AD0858"/>
    <w:rsid w:val="00AD0DC6"/>
    <w:rsid w:val="00AD12CF"/>
    <w:rsid w:val="00AD1CC7"/>
    <w:rsid w:val="00AD7E0A"/>
    <w:rsid w:val="00AE21A3"/>
    <w:rsid w:val="00AE2890"/>
    <w:rsid w:val="00AE3838"/>
    <w:rsid w:val="00AE55D2"/>
    <w:rsid w:val="00AE7340"/>
    <w:rsid w:val="00AE74CC"/>
    <w:rsid w:val="00AE799A"/>
    <w:rsid w:val="00AF02E9"/>
    <w:rsid w:val="00AF0FA2"/>
    <w:rsid w:val="00AF1032"/>
    <w:rsid w:val="00AF1BBD"/>
    <w:rsid w:val="00AF3704"/>
    <w:rsid w:val="00AF555D"/>
    <w:rsid w:val="00AF5789"/>
    <w:rsid w:val="00AF6018"/>
    <w:rsid w:val="00AF7DA6"/>
    <w:rsid w:val="00B03F01"/>
    <w:rsid w:val="00B051A9"/>
    <w:rsid w:val="00B10207"/>
    <w:rsid w:val="00B11D54"/>
    <w:rsid w:val="00B123D1"/>
    <w:rsid w:val="00B141E7"/>
    <w:rsid w:val="00B16F3C"/>
    <w:rsid w:val="00B20369"/>
    <w:rsid w:val="00B20D53"/>
    <w:rsid w:val="00B219D6"/>
    <w:rsid w:val="00B23C46"/>
    <w:rsid w:val="00B23FCE"/>
    <w:rsid w:val="00B266F6"/>
    <w:rsid w:val="00B32928"/>
    <w:rsid w:val="00B336A9"/>
    <w:rsid w:val="00B351B4"/>
    <w:rsid w:val="00B352A8"/>
    <w:rsid w:val="00B3601A"/>
    <w:rsid w:val="00B40834"/>
    <w:rsid w:val="00B40D20"/>
    <w:rsid w:val="00B40E8B"/>
    <w:rsid w:val="00B4170F"/>
    <w:rsid w:val="00B417B2"/>
    <w:rsid w:val="00B42074"/>
    <w:rsid w:val="00B447B4"/>
    <w:rsid w:val="00B465F9"/>
    <w:rsid w:val="00B46BCA"/>
    <w:rsid w:val="00B512DC"/>
    <w:rsid w:val="00B51C0E"/>
    <w:rsid w:val="00B52BC1"/>
    <w:rsid w:val="00B533A8"/>
    <w:rsid w:val="00B54D24"/>
    <w:rsid w:val="00B553E4"/>
    <w:rsid w:val="00B5721B"/>
    <w:rsid w:val="00B5742B"/>
    <w:rsid w:val="00B61B19"/>
    <w:rsid w:val="00B61D6D"/>
    <w:rsid w:val="00B63877"/>
    <w:rsid w:val="00B6486F"/>
    <w:rsid w:val="00B666B6"/>
    <w:rsid w:val="00B67E84"/>
    <w:rsid w:val="00B701B6"/>
    <w:rsid w:val="00B7048B"/>
    <w:rsid w:val="00B723C4"/>
    <w:rsid w:val="00B735FA"/>
    <w:rsid w:val="00B755A3"/>
    <w:rsid w:val="00B76CE3"/>
    <w:rsid w:val="00B80C8E"/>
    <w:rsid w:val="00B8217F"/>
    <w:rsid w:val="00B82CF7"/>
    <w:rsid w:val="00B84F62"/>
    <w:rsid w:val="00B87806"/>
    <w:rsid w:val="00B87EC9"/>
    <w:rsid w:val="00B919CA"/>
    <w:rsid w:val="00B9245F"/>
    <w:rsid w:val="00B92A9A"/>
    <w:rsid w:val="00B96699"/>
    <w:rsid w:val="00B967DA"/>
    <w:rsid w:val="00B97BAE"/>
    <w:rsid w:val="00BA01D0"/>
    <w:rsid w:val="00BA0B86"/>
    <w:rsid w:val="00BA3BEF"/>
    <w:rsid w:val="00BA57EA"/>
    <w:rsid w:val="00BA5F97"/>
    <w:rsid w:val="00BA656D"/>
    <w:rsid w:val="00BA73DD"/>
    <w:rsid w:val="00BB4381"/>
    <w:rsid w:val="00BB609F"/>
    <w:rsid w:val="00BB6DA5"/>
    <w:rsid w:val="00BB7864"/>
    <w:rsid w:val="00BB7A41"/>
    <w:rsid w:val="00BC031D"/>
    <w:rsid w:val="00BC1C37"/>
    <w:rsid w:val="00BC3448"/>
    <w:rsid w:val="00BC38FD"/>
    <w:rsid w:val="00BC4DCE"/>
    <w:rsid w:val="00BC57F9"/>
    <w:rsid w:val="00BC76C6"/>
    <w:rsid w:val="00BD1362"/>
    <w:rsid w:val="00BD1B42"/>
    <w:rsid w:val="00BD706A"/>
    <w:rsid w:val="00BD7B48"/>
    <w:rsid w:val="00BE00FB"/>
    <w:rsid w:val="00BE16D5"/>
    <w:rsid w:val="00BE3915"/>
    <w:rsid w:val="00BE3DA8"/>
    <w:rsid w:val="00BE474F"/>
    <w:rsid w:val="00BE5F1D"/>
    <w:rsid w:val="00BE6495"/>
    <w:rsid w:val="00BE7A4D"/>
    <w:rsid w:val="00BF20C2"/>
    <w:rsid w:val="00BF4E76"/>
    <w:rsid w:val="00BF74A4"/>
    <w:rsid w:val="00BF7988"/>
    <w:rsid w:val="00C01E07"/>
    <w:rsid w:val="00C0289B"/>
    <w:rsid w:val="00C02FE3"/>
    <w:rsid w:val="00C034CB"/>
    <w:rsid w:val="00C03B6F"/>
    <w:rsid w:val="00C04EA7"/>
    <w:rsid w:val="00C051A8"/>
    <w:rsid w:val="00C054BC"/>
    <w:rsid w:val="00C058DE"/>
    <w:rsid w:val="00C127EB"/>
    <w:rsid w:val="00C13089"/>
    <w:rsid w:val="00C14F0A"/>
    <w:rsid w:val="00C15027"/>
    <w:rsid w:val="00C15B4D"/>
    <w:rsid w:val="00C17897"/>
    <w:rsid w:val="00C21676"/>
    <w:rsid w:val="00C21BDB"/>
    <w:rsid w:val="00C2305B"/>
    <w:rsid w:val="00C24409"/>
    <w:rsid w:val="00C26A36"/>
    <w:rsid w:val="00C2715F"/>
    <w:rsid w:val="00C303B4"/>
    <w:rsid w:val="00C31289"/>
    <w:rsid w:val="00C3449A"/>
    <w:rsid w:val="00C35BA5"/>
    <w:rsid w:val="00C409D5"/>
    <w:rsid w:val="00C42ACD"/>
    <w:rsid w:val="00C435C3"/>
    <w:rsid w:val="00C45652"/>
    <w:rsid w:val="00C46E0E"/>
    <w:rsid w:val="00C472DE"/>
    <w:rsid w:val="00C47B5A"/>
    <w:rsid w:val="00C53503"/>
    <w:rsid w:val="00C53970"/>
    <w:rsid w:val="00C53D38"/>
    <w:rsid w:val="00C6227B"/>
    <w:rsid w:val="00C6234B"/>
    <w:rsid w:val="00C63EAE"/>
    <w:rsid w:val="00C64059"/>
    <w:rsid w:val="00C651F3"/>
    <w:rsid w:val="00C6679E"/>
    <w:rsid w:val="00C7068E"/>
    <w:rsid w:val="00C71A26"/>
    <w:rsid w:val="00C72C5D"/>
    <w:rsid w:val="00C73348"/>
    <w:rsid w:val="00C7493F"/>
    <w:rsid w:val="00C75016"/>
    <w:rsid w:val="00C7629F"/>
    <w:rsid w:val="00C810B1"/>
    <w:rsid w:val="00C81C95"/>
    <w:rsid w:val="00C84143"/>
    <w:rsid w:val="00C85444"/>
    <w:rsid w:val="00C8657A"/>
    <w:rsid w:val="00C8661B"/>
    <w:rsid w:val="00C87E25"/>
    <w:rsid w:val="00C90EA6"/>
    <w:rsid w:val="00C92948"/>
    <w:rsid w:val="00C92CB5"/>
    <w:rsid w:val="00C93840"/>
    <w:rsid w:val="00C93BBF"/>
    <w:rsid w:val="00C959E6"/>
    <w:rsid w:val="00C96438"/>
    <w:rsid w:val="00C96B28"/>
    <w:rsid w:val="00CA0643"/>
    <w:rsid w:val="00CA08CA"/>
    <w:rsid w:val="00CA139A"/>
    <w:rsid w:val="00CA288D"/>
    <w:rsid w:val="00CA2899"/>
    <w:rsid w:val="00CA2D32"/>
    <w:rsid w:val="00CA3A3D"/>
    <w:rsid w:val="00CA6874"/>
    <w:rsid w:val="00CA77FB"/>
    <w:rsid w:val="00CB2BD4"/>
    <w:rsid w:val="00CB3265"/>
    <w:rsid w:val="00CB379B"/>
    <w:rsid w:val="00CB5DD0"/>
    <w:rsid w:val="00CB68FA"/>
    <w:rsid w:val="00CB6E66"/>
    <w:rsid w:val="00CB7297"/>
    <w:rsid w:val="00CB797D"/>
    <w:rsid w:val="00CC038C"/>
    <w:rsid w:val="00CC2C87"/>
    <w:rsid w:val="00CC430A"/>
    <w:rsid w:val="00CC51D4"/>
    <w:rsid w:val="00CC585B"/>
    <w:rsid w:val="00CC5BCB"/>
    <w:rsid w:val="00CC5F02"/>
    <w:rsid w:val="00CC65DA"/>
    <w:rsid w:val="00CD0E0E"/>
    <w:rsid w:val="00CD15EB"/>
    <w:rsid w:val="00CD5140"/>
    <w:rsid w:val="00CD65A4"/>
    <w:rsid w:val="00CD68AD"/>
    <w:rsid w:val="00CD7A28"/>
    <w:rsid w:val="00CE04D1"/>
    <w:rsid w:val="00CE0B7D"/>
    <w:rsid w:val="00CE2006"/>
    <w:rsid w:val="00CE3DA1"/>
    <w:rsid w:val="00CE4DCE"/>
    <w:rsid w:val="00CE5AEE"/>
    <w:rsid w:val="00CE5C66"/>
    <w:rsid w:val="00CE5ED5"/>
    <w:rsid w:val="00CE5EE2"/>
    <w:rsid w:val="00CF004A"/>
    <w:rsid w:val="00CF21B9"/>
    <w:rsid w:val="00CF2B16"/>
    <w:rsid w:val="00CF3F0F"/>
    <w:rsid w:val="00CF4F4C"/>
    <w:rsid w:val="00CF642D"/>
    <w:rsid w:val="00CF6BF9"/>
    <w:rsid w:val="00CF71AE"/>
    <w:rsid w:val="00D010FE"/>
    <w:rsid w:val="00D01D77"/>
    <w:rsid w:val="00D03800"/>
    <w:rsid w:val="00D061B3"/>
    <w:rsid w:val="00D065D3"/>
    <w:rsid w:val="00D06F63"/>
    <w:rsid w:val="00D12E3C"/>
    <w:rsid w:val="00D14A65"/>
    <w:rsid w:val="00D14C94"/>
    <w:rsid w:val="00D1583F"/>
    <w:rsid w:val="00D15B5C"/>
    <w:rsid w:val="00D15CA1"/>
    <w:rsid w:val="00D178E7"/>
    <w:rsid w:val="00D20104"/>
    <w:rsid w:val="00D21E8E"/>
    <w:rsid w:val="00D2591E"/>
    <w:rsid w:val="00D26305"/>
    <w:rsid w:val="00D26E3A"/>
    <w:rsid w:val="00D31D84"/>
    <w:rsid w:val="00D33FF6"/>
    <w:rsid w:val="00D342A6"/>
    <w:rsid w:val="00D373D2"/>
    <w:rsid w:val="00D37E6E"/>
    <w:rsid w:val="00D37EA5"/>
    <w:rsid w:val="00D404FF"/>
    <w:rsid w:val="00D40F5B"/>
    <w:rsid w:val="00D44A9E"/>
    <w:rsid w:val="00D464BF"/>
    <w:rsid w:val="00D50282"/>
    <w:rsid w:val="00D52213"/>
    <w:rsid w:val="00D52959"/>
    <w:rsid w:val="00D53E26"/>
    <w:rsid w:val="00D61A80"/>
    <w:rsid w:val="00D64623"/>
    <w:rsid w:val="00D65727"/>
    <w:rsid w:val="00D667E8"/>
    <w:rsid w:val="00D67391"/>
    <w:rsid w:val="00D71ED3"/>
    <w:rsid w:val="00D72237"/>
    <w:rsid w:val="00D73713"/>
    <w:rsid w:val="00D7472F"/>
    <w:rsid w:val="00D7484D"/>
    <w:rsid w:val="00D76766"/>
    <w:rsid w:val="00D76AF3"/>
    <w:rsid w:val="00D812E1"/>
    <w:rsid w:val="00D81A3E"/>
    <w:rsid w:val="00D81C05"/>
    <w:rsid w:val="00D82702"/>
    <w:rsid w:val="00D82BB8"/>
    <w:rsid w:val="00D830E1"/>
    <w:rsid w:val="00D83291"/>
    <w:rsid w:val="00D83BBE"/>
    <w:rsid w:val="00D84F68"/>
    <w:rsid w:val="00D864B1"/>
    <w:rsid w:val="00D90349"/>
    <w:rsid w:val="00D908B2"/>
    <w:rsid w:val="00D9099B"/>
    <w:rsid w:val="00D928F1"/>
    <w:rsid w:val="00D92C84"/>
    <w:rsid w:val="00D9734F"/>
    <w:rsid w:val="00D97D09"/>
    <w:rsid w:val="00DA1F59"/>
    <w:rsid w:val="00DA34EC"/>
    <w:rsid w:val="00DA400D"/>
    <w:rsid w:val="00DA4E09"/>
    <w:rsid w:val="00DA4F74"/>
    <w:rsid w:val="00DA544C"/>
    <w:rsid w:val="00DA584E"/>
    <w:rsid w:val="00DA6603"/>
    <w:rsid w:val="00DA748F"/>
    <w:rsid w:val="00DB0916"/>
    <w:rsid w:val="00DB0A73"/>
    <w:rsid w:val="00DB1BC2"/>
    <w:rsid w:val="00DB3DC7"/>
    <w:rsid w:val="00DB57F8"/>
    <w:rsid w:val="00DB779E"/>
    <w:rsid w:val="00DC1D1C"/>
    <w:rsid w:val="00DC3205"/>
    <w:rsid w:val="00DC4F5E"/>
    <w:rsid w:val="00DC50D5"/>
    <w:rsid w:val="00DC602C"/>
    <w:rsid w:val="00DC6CB0"/>
    <w:rsid w:val="00DC776D"/>
    <w:rsid w:val="00DD390A"/>
    <w:rsid w:val="00DD3A80"/>
    <w:rsid w:val="00DD4F0E"/>
    <w:rsid w:val="00DD57CA"/>
    <w:rsid w:val="00DD6880"/>
    <w:rsid w:val="00DD7FA3"/>
    <w:rsid w:val="00DE0040"/>
    <w:rsid w:val="00DE1F93"/>
    <w:rsid w:val="00DE2140"/>
    <w:rsid w:val="00DE4152"/>
    <w:rsid w:val="00DE5DF7"/>
    <w:rsid w:val="00DE6A12"/>
    <w:rsid w:val="00DF0884"/>
    <w:rsid w:val="00DF0BF0"/>
    <w:rsid w:val="00DF111B"/>
    <w:rsid w:val="00DF3216"/>
    <w:rsid w:val="00DF43C6"/>
    <w:rsid w:val="00DF5B5E"/>
    <w:rsid w:val="00DF6D09"/>
    <w:rsid w:val="00DF7BD2"/>
    <w:rsid w:val="00E0483C"/>
    <w:rsid w:val="00E054EE"/>
    <w:rsid w:val="00E05E0A"/>
    <w:rsid w:val="00E05E3E"/>
    <w:rsid w:val="00E10310"/>
    <w:rsid w:val="00E10834"/>
    <w:rsid w:val="00E10962"/>
    <w:rsid w:val="00E1135A"/>
    <w:rsid w:val="00E124B0"/>
    <w:rsid w:val="00E13412"/>
    <w:rsid w:val="00E139B1"/>
    <w:rsid w:val="00E14793"/>
    <w:rsid w:val="00E15760"/>
    <w:rsid w:val="00E20672"/>
    <w:rsid w:val="00E22547"/>
    <w:rsid w:val="00E241FF"/>
    <w:rsid w:val="00E264CF"/>
    <w:rsid w:val="00E278C0"/>
    <w:rsid w:val="00E3071E"/>
    <w:rsid w:val="00E30836"/>
    <w:rsid w:val="00E31B60"/>
    <w:rsid w:val="00E33DD0"/>
    <w:rsid w:val="00E34F65"/>
    <w:rsid w:val="00E36B59"/>
    <w:rsid w:val="00E36F50"/>
    <w:rsid w:val="00E4047F"/>
    <w:rsid w:val="00E413E0"/>
    <w:rsid w:val="00E42D58"/>
    <w:rsid w:val="00E44937"/>
    <w:rsid w:val="00E44BD4"/>
    <w:rsid w:val="00E44DC1"/>
    <w:rsid w:val="00E455A9"/>
    <w:rsid w:val="00E50804"/>
    <w:rsid w:val="00E528F6"/>
    <w:rsid w:val="00E534CF"/>
    <w:rsid w:val="00E53B98"/>
    <w:rsid w:val="00E54045"/>
    <w:rsid w:val="00E5492A"/>
    <w:rsid w:val="00E56CB9"/>
    <w:rsid w:val="00E648F8"/>
    <w:rsid w:val="00E7478C"/>
    <w:rsid w:val="00E75BAA"/>
    <w:rsid w:val="00E7660E"/>
    <w:rsid w:val="00E81CB4"/>
    <w:rsid w:val="00E82496"/>
    <w:rsid w:val="00E830B4"/>
    <w:rsid w:val="00E84E94"/>
    <w:rsid w:val="00E85408"/>
    <w:rsid w:val="00E8585B"/>
    <w:rsid w:val="00E85C58"/>
    <w:rsid w:val="00E86256"/>
    <w:rsid w:val="00E87B5A"/>
    <w:rsid w:val="00E87CD3"/>
    <w:rsid w:val="00E9149B"/>
    <w:rsid w:val="00E922A0"/>
    <w:rsid w:val="00E9473E"/>
    <w:rsid w:val="00E94E92"/>
    <w:rsid w:val="00E968A8"/>
    <w:rsid w:val="00E96C30"/>
    <w:rsid w:val="00E977EC"/>
    <w:rsid w:val="00EA0812"/>
    <w:rsid w:val="00EA2C9B"/>
    <w:rsid w:val="00EA3F15"/>
    <w:rsid w:val="00EA536F"/>
    <w:rsid w:val="00EA7847"/>
    <w:rsid w:val="00EA7918"/>
    <w:rsid w:val="00EA7D22"/>
    <w:rsid w:val="00EB0A40"/>
    <w:rsid w:val="00EB0D46"/>
    <w:rsid w:val="00EB1A03"/>
    <w:rsid w:val="00EB1D8C"/>
    <w:rsid w:val="00EB2434"/>
    <w:rsid w:val="00EB2851"/>
    <w:rsid w:val="00EB2D9B"/>
    <w:rsid w:val="00EB2E82"/>
    <w:rsid w:val="00EB350B"/>
    <w:rsid w:val="00EB67F0"/>
    <w:rsid w:val="00EB6E13"/>
    <w:rsid w:val="00EB7D1B"/>
    <w:rsid w:val="00EC0DCE"/>
    <w:rsid w:val="00EC1D64"/>
    <w:rsid w:val="00EC22F9"/>
    <w:rsid w:val="00EC3AB2"/>
    <w:rsid w:val="00EC3D2B"/>
    <w:rsid w:val="00EC6774"/>
    <w:rsid w:val="00ED0538"/>
    <w:rsid w:val="00ED367F"/>
    <w:rsid w:val="00ED5EA8"/>
    <w:rsid w:val="00ED73B2"/>
    <w:rsid w:val="00ED7442"/>
    <w:rsid w:val="00EE2E6E"/>
    <w:rsid w:val="00EE51DD"/>
    <w:rsid w:val="00EE7F3A"/>
    <w:rsid w:val="00EF3784"/>
    <w:rsid w:val="00EF58BC"/>
    <w:rsid w:val="00EF6CF2"/>
    <w:rsid w:val="00EF76D5"/>
    <w:rsid w:val="00F05CE7"/>
    <w:rsid w:val="00F06DBE"/>
    <w:rsid w:val="00F06E91"/>
    <w:rsid w:val="00F0759E"/>
    <w:rsid w:val="00F1000F"/>
    <w:rsid w:val="00F10589"/>
    <w:rsid w:val="00F123E8"/>
    <w:rsid w:val="00F173B2"/>
    <w:rsid w:val="00F21A83"/>
    <w:rsid w:val="00F21F3A"/>
    <w:rsid w:val="00F22475"/>
    <w:rsid w:val="00F24045"/>
    <w:rsid w:val="00F25BE1"/>
    <w:rsid w:val="00F2631F"/>
    <w:rsid w:val="00F26395"/>
    <w:rsid w:val="00F26B5B"/>
    <w:rsid w:val="00F2716C"/>
    <w:rsid w:val="00F27A59"/>
    <w:rsid w:val="00F301A7"/>
    <w:rsid w:val="00F3317C"/>
    <w:rsid w:val="00F33504"/>
    <w:rsid w:val="00F33A20"/>
    <w:rsid w:val="00F35954"/>
    <w:rsid w:val="00F37725"/>
    <w:rsid w:val="00F37EF2"/>
    <w:rsid w:val="00F40407"/>
    <w:rsid w:val="00F405B0"/>
    <w:rsid w:val="00F405C4"/>
    <w:rsid w:val="00F44646"/>
    <w:rsid w:val="00F47069"/>
    <w:rsid w:val="00F51D59"/>
    <w:rsid w:val="00F52CEC"/>
    <w:rsid w:val="00F55B4E"/>
    <w:rsid w:val="00F56EAE"/>
    <w:rsid w:val="00F57BE0"/>
    <w:rsid w:val="00F60CBB"/>
    <w:rsid w:val="00F627A5"/>
    <w:rsid w:val="00F6344A"/>
    <w:rsid w:val="00F635D9"/>
    <w:rsid w:val="00F66D87"/>
    <w:rsid w:val="00F66E46"/>
    <w:rsid w:val="00F715BB"/>
    <w:rsid w:val="00F715FB"/>
    <w:rsid w:val="00F76C53"/>
    <w:rsid w:val="00F76FD0"/>
    <w:rsid w:val="00F821A3"/>
    <w:rsid w:val="00F8278B"/>
    <w:rsid w:val="00F8548D"/>
    <w:rsid w:val="00F87F77"/>
    <w:rsid w:val="00F90813"/>
    <w:rsid w:val="00F90A9E"/>
    <w:rsid w:val="00F9314A"/>
    <w:rsid w:val="00F93AE0"/>
    <w:rsid w:val="00F93E7A"/>
    <w:rsid w:val="00F9678F"/>
    <w:rsid w:val="00FA1CFC"/>
    <w:rsid w:val="00FA3369"/>
    <w:rsid w:val="00FA5125"/>
    <w:rsid w:val="00FA5E58"/>
    <w:rsid w:val="00FA5EC1"/>
    <w:rsid w:val="00FA5FDB"/>
    <w:rsid w:val="00FA67DF"/>
    <w:rsid w:val="00FA6A59"/>
    <w:rsid w:val="00FA7257"/>
    <w:rsid w:val="00FA7643"/>
    <w:rsid w:val="00FB0C68"/>
    <w:rsid w:val="00FB1731"/>
    <w:rsid w:val="00FB213D"/>
    <w:rsid w:val="00FB3BEB"/>
    <w:rsid w:val="00FB45F0"/>
    <w:rsid w:val="00FB5C13"/>
    <w:rsid w:val="00FB606F"/>
    <w:rsid w:val="00FB6A96"/>
    <w:rsid w:val="00FC04CC"/>
    <w:rsid w:val="00FC148B"/>
    <w:rsid w:val="00FC2767"/>
    <w:rsid w:val="00FC58EF"/>
    <w:rsid w:val="00FC6DC8"/>
    <w:rsid w:val="00FC718B"/>
    <w:rsid w:val="00FC79BF"/>
    <w:rsid w:val="00FD33DF"/>
    <w:rsid w:val="00FD399F"/>
    <w:rsid w:val="00FD5469"/>
    <w:rsid w:val="00FD69D9"/>
    <w:rsid w:val="00FD722B"/>
    <w:rsid w:val="00FD7F89"/>
    <w:rsid w:val="00FE124B"/>
    <w:rsid w:val="00FE1E84"/>
    <w:rsid w:val="00FE2EC4"/>
    <w:rsid w:val="00FE39D7"/>
    <w:rsid w:val="00FE5E03"/>
    <w:rsid w:val="00FE715A"/>
    <w:rsid w:val="00FF0C99"/>
    <w:rsid w:val="00FF2DAB"/>
    <w:rsid w:val="00FF3646"/>
    <w:rsid w:val="00FF3932"/>
    <w:rsid w:val="00FF563A"/>
    <w:rsid w:val="00FF5E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7986E7"/>
  <w15:docId w15:val="{DEC877C4-8CFA-4D5C-B18A-6CF2DF55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unhideWhenUsed/>
    <w:qFormat/>
    <w:rsid w:val="000B65DE"/>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B65DE"/>
    <w:pPr>
      <w:tabs>
        <w:tab w:val="num" w:pos="1440"/>
      </w:tabs>
      <w:spacing w:before="240" w:after="60"/>
      <w:ind w:left="1440" w:hanging="432"/>
      <w:jc w:val="both"/>
      <w:outlineLvl w:val="7"/>
    </w:pPr>
    <w:rPr>
      <w:rFonts w:ascii="Bookman Old Style" w:hAnsi="Bookman Old Style"/>
      <w:i/>
      <w:iCs/>
      <w:lang w:val="es-ES_tradnl"/>
    </w:rPr>
  </w:style>
  <w:style w:type="paragraph" w:styleId="Ttulo9">
    <w:name w:val="heading 9"/>
    <w:basedOn w:val="Normal"/>
    <w:next w:val="Normal"/>
    <w:link w:val="Ttulo9Car"/>
    <w:qFormat/>
    <w:rsid w:val="000B65DE"/>
    <w:pPr>
      <w:tabs>
        <w:tab w:val="num" w:pos="1584"/>
      </w:tabs>
      <w:spacing w:before="240" w:after="60"/>
      <w:ind w:left="1584" w:hanging="144"/>
      <w:jc w:val="both"/>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character" w:customStyle="1" w:styleId="Ttulo2Car">
    <w:name w:val="Título 2 Car"/>
    <w:aliases w:val="Neg Car"/>
    <w:link w:val="Ttulo2"/>
    <w:uiPriority w:val="9"/>
    <w:rsid w:val="000B65DE"/>
    <w:rPr>
      <w:rFonts w:ascii="Cambria" w:hAnsi="Cambria"/>
      <w:b/>
      <w:bCs/>
      <w:color w:val="4F81BD"/>
      <w:sz w:val="26"/>
      <w:szCs w:val="26"/>
      <w:lang w:val="es-ES" w:eastAsia="es-ES"/>
    </w:rPr>
  </w:style>
  <w:style w:type="character" w:customStyle="1" w:styleId="Ttulo8Car">
    <w:name w:val="Título 8 Car"/>
    <w:link w:val="Ttulo8"/>
    <w:rsid w:val="000B65DE"/>
    <w:rPr>
      <w:rFonts w:ascii="Bookman Old Style" w:hAnsi="Bookman Old Style"/>
      <w:i/>
      <w:iCs/>
      <w:sz w:val="24"/>
      <w:szCs w:val="24"/>
      <w:lang w:val="es-ES_tradnl" w:eastAsia="es-ES"/>
    </w:rPr>
  </w:style>
  <w:style w:type="character" w:customStyle="1" w:styleId="Ttulo9Car">
    <w:name w:val="Título 9 Car"/>
    <w:link w:val="Ttulo9"/>
    <w:rsid w:val="000B65DE"/>
    <w:rPr>
      <w:rFonts w:ascii="Arial" w:hAnsi="Arial" w:cs="Arial"/>
      <w:sz w:val="22"/>
      <w:szCs w:val="22"/>
      <w:lang w:val="es-ES_tradnl" w:eastAsia="es-ES"/>
    </w:rPr>
  </w:style>
  <w:style w:type="paragraph" w:styleId="Sangradetextonormal">
    <w:name w:val="Body Text Indent"/>
    <w:basedOn w:val="Normal"/>
    <w:link w:val="SangradetextonormalCar"/>
    <w:semiHidden/>
    <w:unhideWhenUsed/>
    <w:rsid w:val="000B65DE"/>
    <w:pPr>
      <w:spacing w:after="120"/>
      <w:ind w:left="283"/>
    </w:pPr>
  </w:style>
  <w:style w:type="character" w:customStyle="1" w:styleId="SangradetextonormalCar">
    <w:name w:val="Sangría de texto normal Car"/>
    <w:link w:val="Sangradetextonormal"/>
    <w:semiHidden/>
    <w:rsid w:val="000B65DE"/>
    <w:rPr>
      <w:sz w:val="24"/>
      <w:szCs w:val="24"/>
      <w:lang w:val="es-ES" w:eastAsia="es-ES"/>
    </w:rPr>
  </w:style>
  <w:style w:type="paragraph" w:customStyle="1" w:styleId="Vietaletra">
    <w:name w:val="Viñeta letra"/>
    <w:aliases w:val="ALT-V-L"/>
    <w:basedOn w:val="Normal"/>
    <w:next w:val="Normal"/>
    <w:rsid w:val="000B65DE"/>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0B65DE"/>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semiHidden/>
    <w:unhideWhenUsed/>
    <w:rsid w:val="000B65DE"/>
    <w:pPr>
      <w:spacing w:after="120" w:line="480" w:lineRule="auto"/>
      <w:ind w:left="283"/>
    </w:pPr>
  </w:style>
  <w:style w:type="character" w:customStyle="1" w:styleId="Sangra2detindependienteCar">
    <w:name w:val="Sangría 2 de t. independiente Car"/>
    <w:link w:val="Sangra2detindependiente"/>
    <w:semiHidden/>
    <w:rsid w:val="000B65DE"/>
    <w:rPr>
      <w:sz w:val="24"/>
      <w:szCs w:val="24"/>
      <w:lang w:val="es-ES" w:eastAsia="es-ES"/>
    </w:rPr>
  </w:style>
  <w:style w:type="paragraph" w:styleId="Lista">
    <w:name w:val="List"/>
    <w:basedOn w:val="Textoindependiente"/>
    <w:semiHidden/>
    <w:rsid w:val="000B65DE"/>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semiHidden/>
    <w:unhideWhenUsed/>
    <w:rsid w:val="000B65DE"/>
    <w:pPr>
      <w:spacing w:after="120"/>
      <w:ind w:left="283"/>
    </w:pPr>
    <w:rPr>
      <w:sz w:val="16"/>
      <w:szCs w:val="16"/>
    </w:rPr>
  </w:style>
  <w:style w:type="character" w:customStyle="1" w:styleId="Sangra3detindependienteCar">
    <w:name w:val="Sangría 3 de t. independiente Car"/>
    <w:link w:val="Sangra3detindependiente"/>
    <w:semiHidden/>
    <w:rsid w:val="000B65DE"/>
    <w:rPr>
      <w:sz w:val="16"/>
      <w:szCs w:val="16"/>
      <w:lang w:val="es-ES" w:eastAsia="es-ES"/>
    </w:rPr>
  </w:style>
  <w:style w:type="paragraph" w:styleId="NormalWeb">
    <w:name w:val="Normal (Web)"/>
    <w:basedOn w:val="Normal"/>
    <w:uiPriority w:val="99"/>
    <w:rsid w:val="000B65DE"/>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0B65DE"/>
    <w:pPr>
      <w:ind w:left="0"/>
      <w:jc w:val="both"/>
    </w:pPr>
    <w:rPr>
      <w:rFonts w:ascii="Arial" w:hAnsi="Arial"/>
      <w:sz w:val="22"/>
      <w:szCs w:val="20"/>
      <w:lang w:val="es-CO"/>
    </w:rPr>
  </w:style>
  <w:style w:type="character" w:styleId="Refdecomentario">
    <w:name w:val="annotation reference"/>
    <w:uiPriority w:val="99"/>
    <w:semiHidden/>
    <w:unhideWhenUsed/>
    <w:rsid w:val="000B65DE"/>
    <w:rPr>
      <w:sz w:val="16"/>
      <w:szCs w:val="16"/>
    </w:rPr>
  </w:style>
  <w:style w:type="paragraph" w:styleId="Textocomentario">
    <w:name w:val="annotation text"/>
    <w:basedOn w:val="Normal"/>
    <w:link w:val="TextocomentarioCar"/>
    <w:uiPriority w:val="99"/>
    <w:unhideWhenUsed/>
    <w:rsid w:val="000B65DE"/>
    <w:rPr>
      <w:sz w:val="20"/>
      <w:szCs w:val="20"/>
    </w:rPr>
  </w:style>
  <w:style w:type="character" w:customStyle="1" w:styleId="TextocomentarioCar">
    <w:name w:val="Texto comentario Car"/>
    <w:link w:val="Textocomentario"/>
    <w:uiPriority w:val="99"/>
    <w:rsid w:val="000B65DE"/>
    <w:rPr>
      <w:lang w:val="es-ES" w:eastAsia="es-ES"/>
    </w:rPr>
  </w:style>
  <w:style w:type="paragraph" w:styleId="Asuntodelcomentario">
    <w:name w:val="annotation subject"/>
    <w:basedOn w:val="Textocomentario"/>
    <w:next w:val="Textocomentario"/>
    <w:link w:val="AsuntodelcomentarioCar"/>
    <w:uiPriority w:val="99"/>
    <w:semiHidden/>
    <w:unhideWhenUsed/>
    <w:rsid w:val="000B65DE"/>
    <w:rPr>
      <w:b/>
      <w:bCs/>
    </w:rPr>
  </w:style>
  <w:style w:type="character" w:customStyle="1" w:styleId="AsuntodelcomentarioCar">
    <w:name w:val="Asunto del comentario Car"/>
    <w:link w:val="Asuntodelcomentario"/>
    <w:uiPriority w:val="99"/>
    <w:semiHidden/>
    <w:rsid w:val="000B65DE"/>
    <w:rPr>
      <w:b/>
      <w:bCs/>
      <w:lang w:val="es-ES" w:eastAsia="es-ES"/>
    </w:rPr>
  </w:style>
  <w:style w:type="character" w:customStyle="1" w:styleId="Ttulo1Car">
    <w:name w:val="Título 1 Car"/>
    <w:link w:val="Ttulo1"/>
    <w:rsid w:val="000B65DE"/>
    <w:rPr>
      <w:rFonts w:ascii="CG Times" w:hAnsi="CG Times"/>
      <w:b/>
      <w:sz w:val="24"/>
      <w:lang w:eastAsia="es-ES"/>
    </w:rPr>
  </w:style>
  <w:style w:type="character" w:customStyle="1" w:styleId="PiedepginaCar">
    <w:name w:val="Pie de página Car"/>
    <w:link w:val="Piedepgina"/>
    <w:uiPriority w:val="99"/>
    <w:rsid w:val="000B65DE"/>
    <w:rPr>
      <w:sz w:val="24"/>
      <w:szCs w:val="24"/>
      <w:lang w:val="es-ES" w:eastAsia="es-ES"/>
    </w:rPr>
  </w:style>
  <w:style w:type="numbering" w:customStyle="1" w:styleId="Sinlista1">
    <w:name w:val="Sin lista1"/>
    <w:next w:val="Sinlista"/>
    <w:uiPriority w:val="99"/>
    <w:semiHidden/>
    <w:unhideWhenUsed/>
    <w:rsid w:val="000B65D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0B65DE"/>
    <w:rPr>
      <w:vertAlign w:val="superscript"/>
    </w:rPr>
  </w:style>
  <w:style w:type="paragraph" w:styleId="Textonotapie">
    <w:name w:val="footnote text"/>
    <w:basedOn w:val="Normal"/>
    <w:link w:val="TextonotapieCar"/>
    <w:uiPriority w:val="99"/>
    <w:semiHidden/>
    <w:rsid w:val="000B65DE"/>
    <w:pPr>
      <w:ind w:left="0"/>
      <w:jc w:val="both"/>
    </w:pPr>
    <w:rPr>
      <w:rFonts w:ascii="CG Times (W1)" w:hAnsi="CG Times (W1)"/>
      <w:sz w:val="20"/>
      <w:szCs w:val="20"/>
      <w:lang w:val="es-ES_tradnl"/>
    </w:rPr>
  </w:style>
  <w:style w:type="character" w:customStyle="1" w:styleId="TextonotapieCar">
    <w:name w:val="Texto nota pie Car"/>
    <w:link w:val="Textonotapie"/>
    <w:uiPriority w:val="99"/>
    <w:semiHidden/>
    <w:rsid w:val="000B65DE"/>
    <w:rPr>
      <w:rFonts w:ascii="CG Times (W1)" w:hAnsi="CG Times (W1)"/>
      <w:lang w:val="es-ES_tradnl" w:eastAsia="es-ES"/>
    </w:rPr>
  </w:style>
  <w:style w:type="paragraph" w:customStyle="1" w:styleId="VietaLetra0">
    <w:name w:val="ViñetaLetra"/>
    <w:basedOn w:val="Vietaletra"/>
    <w:rsid w:val="000B65DE"/>
    <w:pPr>
      <w:numPr>
        <w:numId w:val="0"/>
      </w:numPr>
      <w:suppressAutoHyphens w:val="0"/>
      <w:autoSpaceDN w:val="0"/>
      <w:adjustRightInd w:val="0"/>
      <w:ind w:left="360" w:hanging="360"/>
    </w:pPr>
    <w:rPr>
      <w:lang w:eastAsia="es-ES"/>
    </w:rPr>
  </w:style>
  <w:style w:type="paragraph" w:customStyle="1" w:styleId="xl24">
    <w:name w:val="xl24"/>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25">
    <w:name w:val="xl25"/>
    <w:basedOn w:val="Normal"/>
    <w:rsid w:val="000B65DE"/>
    <w:pPr>
      <w:spacing w:before="100" w:beforeAutospacing="1" w:after="100" w:afterAutospacing="1"/>
      <w:ind w:left="0"/>
      <w:jc w:val="both"/>
    </w:pPr>
    <w:rPr>
      <w:rFonts w:ascii="Arial" w:hAnsi="Arial" w:cs="Arial"/>
      <w:sz w:val="16"/>
      <w:szCs w:val="16"/>
    </w:rPr>
  </w:style>
  <w:style w:type="paragraph" w:customStyle="1" w:styleId="xl26">
    <w:name w:val="xl26"/>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rFonts w:ascii="Arial" w:hAnsi="Arial" w:cs="Arial"/>
      <w:b/>
      <w:bCs/>
      <w:sz w:val="16"/>
      <w:szCs w:val="16"/>
    </w:rPr>
  </w:style>
  <w:style w:type="paragraph" w:customStyle="1" w:styleId="xl27">
    <w:name w:val="xl27"/>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8">
    <w:name w:val="xl28"/>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9">
    <w:name w:val="xl29"/>
    <w:basedOn w:val="Normal"/>
    <w:rsid w:val="000B65DE"/>
    <w:pPr>
      <w:pBdr>
        <w:top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30">
    <w:name w:val="xl30"/>
    <w:basedOn w:val="Normal"/>
    <w:rsid w:val="000B65DE"/>
    <w:pPr>
      <w:pBdr>
        <w:top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1">
    <w:name w:val="xl31"/>
    <w:basedOn w:val="Normal"/>
    <w:rsid w:val="000B65DE"/>
    <w:pPr>
      <w:spacing w:before="100" w:beforeAutospacing="1" w:after="100" w:afterAutospacing="1"/>
      <w:ind w:left="0"/>
      <w:jc w:val="both"/>
      <w:textAlignment w:val="center"/>
    </w:pPr>
    <w:rPr>
      <w:rFonts w:ascii="Arial" w:hAnsi="Arial" w:cs="Arial"/>
      <w:b/>
      <w:bCs/>
      <w:sz w:val="16"/>
      <w:szCs w:val="16"/>
    </w:rPr>
  </w:style>
  <w:style w:type="paragraph" w:customStyle="1" w:styleId="xl32">
    <w:name w:val="xl32"/>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b/>
      <w:bCs/>
      <w:sz w:val="16"/>
      <w:szCs w:val="16"/>
    </w:rPr>
  </w:style>
  <w:style w:type="paragraph" w:customStyle="1" w:styleId="xl33">
    <w:name w:val="xl33"/>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4">
    <w:name w:val="xl34"/>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5">
    <w:name w:val="xl35"/>
    <w:basedOn w:val="Normal"/>
    <w:rsid w:val="000B65DE"/>
    <w:pPr>
      <w:pBdr>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6">
    <w:name w:val="xl36"/>
    <w:basedOn w:val="Normal"/>
    <w:rsid w:val="000B65DE"/>
    <w:pPr>
      <w:pBdr>
        <w:top w:val="single" w:sz="4" w:space="0" w:color="auto"/>
        <w:left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40">
    <w:name w:val="xl40"/>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7">
    <w:name w:val="xl37"/>
    <w:basedOn w:val="Normal"/>
    <w:rsid w:val="000B65DE"/>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8">
    <w:name w:val="xl38"/>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9">
    <w:name w:val="xl39"/>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1">
    <w:name w:val="xl41"/>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6"/>
      <w:szCs w:val="16"/>
    </w:rPr>
  </w:style>
  <w:style w:type="paragraph" w:customStyle="1" w:styleId="xl42">
    <w:name w:val="xl42"/>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3">
    <w:name w:val="xl43"/>
    <w:basedOn w:val="Normal"/>
    <w:rsid w:val="000B65DE"/>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4">
    <w:name w:val="xl44"/>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5">
    <w:name w:val="xl45"/>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7">
    <w:name w:val="xl47"/>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Bookman Old Style" w:eastAsia="Arial Unicode MS" w:hAnsi="Bookman Old Style" w:cs="Arial Unicode MS"/>
      <w:b/>
      <w:bCs/>
      <w:sz w:val="12"/>
      <w:szCs w:val="12"/>
    </w:rPr>
  </w:style>
  <w:style w:type="paragraph" w:styleId="TDC5">
    <w:name w:val="toc 5"/>
    <w:basedOn w:val="Normal"/>
    <w:next w:val="Normal"/>
    <w:autoRedefine/>
    <w:semiHidden/>
    <w:rsid w:val="000B65DE"/>
    <w:pPr>
      <w:ind w:left="960"/>
      <w:jc w:val="both"/>
    </w:pPr>
    <w:rPr>
      <w:rFonts w:ascii="Arial" w:hAnsi="Arial"/>
      <w:szCs w:val="20"/>
      <w:lang w:val="es-ES_tradnl"/>
    </w:rPr>
  </w:style>
  <w:style w:type="character" w:styleId="Hipervnculo">
    <w:name w:val="Hyperlink"/>
    <w:uiPriority w:val="99"/>
    <w:unhideWhenUsed/>
    <w:rsid w:val="000B65DE"/>
    <w:rPr>
      <w:color w:val="0000FF"/>
      <w:u w:val="single"/>
    </w:rPr>
  </w:style>
  <w:style w:type="paragraph" w:styleId="Mapadeldocumento">
    <w:name w:val="Document Map"/>
    <w:basedOn w:val="Normal"/>
    <w:link w:val="MapadeldocumentoCar"/>
    <w:uiPriority w:val="99"/>
    <w:semiHidden/>
    <w:unhideWhenUsed/>
    <w:rsid w:val="000B65DE"/>
    <w:pPr>
      <w:ind w:left="0"/>
      <w:jc w:val="both"/>
    </w:pPr>
    <w:rPr>
      <w:rFonts w:ascii="Tahoma" w:hAnsi="Tahoma" w:cs="Tahoma"/>
      <w:sz w:val="16"/>
      <w:szCs w:val="16"/>
      <w:lang w:val="es-ES_tradnl"/>
    </w:rPr>
  </w:style>
  <w:style w:type="character" w:customStyle="1" w:styleId="MapadeldocumentoCar">
    <w:name w:val="Mapa del documento Car"/>
    <w:link w:val="Mapadeldocumento"/>
    <w:uiPriority w:val="99"/>
    <w:semiHidden/>
    <w:rsid w:val="000B65DE"/>
    <w:rPr>
      <w:rFonts w:ascii="Tahoma" w:hAnsi="Tahoma" w:cs="Tahoma"/>
      <w:sz w:val="16"/>
      <w:szCs w:val="16"/>
      <w:lang w:val="es-ES_tradnl" w:eastAsia="es-ES"/>
    </w:rPr>
  </w:style>
  <w:style w:type="table" w:customStyle="1" w:styleId="Tablaconcuadrcula1">
    <w:name w:val="Tabla con cuadrícula1"/>
    <w:basedOn w:val="Tablanormal"/>
    <w:next w:val="Tablaconcuadrcula"/>
    <w:uiPriority w:val="59"/>
    <w:rsid w:val="000B65D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s">
    <w:name w:val="Citas"/>
    <w:basedOn w:val="Normal"/>
    <w:rsid w:val="000B65DE"/>
    <w:pPr>
      <w:ind w:left="708" w:right="618"/>
      <w:jc w:val="both"/>
    </w:pPr>
    <w:rPr>
      <w:rFonts w:ascii="Bookman Old Style" w:hAnsi="Bookman Old Style" w:cs="Arial"/>
      <w:i/>
      <w:iCs/>
      <w:szCs w:val="20"/>
    </w:rPr>
  </w:style>
  <w:style w:type="paragraph" w:customStyle="1" w:styleId="xl65">
    <w:name w:val="xl65"/>
    <w:basedOn w:val="Normal"/>
    <w:rsid w:val="000B65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6">
    <w:name w:val="xl66"/>
    <w:basedOn w:val="Normal"/>
    <w:rsid w:val="000B65DE"/>
    <w:pPr>
      <w:shd w:val="clear" w:color="000000" w:fill="FFFFFF"/>
      <w:spacing w:before="100" w:beforeAutospacing="1" w:after="100" w:afterAutospacing="1"/>
      <w:ind w:left="0"/>
    </w:pPr>
    <w:rPr>
      <w:rFonts w:ascii="Bookman Old Style" w:hAnsi="Bookman Old Style"/>
      <w:lang w:val="es-CO" w:eastAsia="es-CO"/>
    </w:rPr>
  </w:style>
  <w:style w:type="paragraph" w:customStyle="1" w:styleId="xl67">
    <w:name w:val="xl67"/>
    <w:basedOn w:val="Normal"/>
    <w:rsid w:val="000B65DE"/>
    <w:pPr>
      <w:shd w:val="clear" w:color="000000" w:fill="FFFFFF"/>
      <w:spacing w:before="100" w:beforeAutospacing="1" w:after="100" w:afterAutospacing="1"/>
      <w:ind w:left="0"/>
    </w:pPr>
    <w:rPr>
      <w:rFonts w:ascii="Bookman Old Style" w:hAnsi="Bookman Old Style"/>
      <w:b/>
      <w:bCs/>
      <w:lang w:val="es-CO" w:eastAsia="es-CO"/>
    </w:rPr>
  </w:style>
  <w:style w:type="paragraph" w:customStyle="1" w:styleId="xl68">
    <w:name w:val="xl68"/>
    <w:basedOn w:val="Normal"/>
    <w:rsid w:val="000B65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9">
    <w:name w:val="xl69"/>
    <w:basedOn w:val="Normal"/>
    <w:rsid w:val="000B65DE"/>
    <w:pPr>
      <w:pBdr>
        <w:top w:val="single" w:sz="8" w:space="0" w:color="auto"/>
        <w:left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0">
    <w:name w:val="xl70"/>
    <w:basedOn w:val="Normal"/>
    <w:rsid w:val="000B65DE"/>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1">
    <w:name w:val="xl71"/>
    <w:basedOn w:val="Normal"/>
    <w:rsid w:val="000B65DE"/>
    <w:pPr>
      <w:pBdr>
        <w:top w:val="single" w:sz="8" w:space="0" w:color="auto"/>
        <w:left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2">
    <w:name w:val="xl72"/>
    <w:basedOn w:val="Normal"/>
    <w:rsid w:val="000B65DE"/>
    <w:pPr>
      <w:pBdr>
        <w:top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3">
    <w:name w:val="xl73"/>
    <w:basedOn w:val="Normal"/>
    <w:rsid w:val="000B65DE"/>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4">
    <w:name w:val="xl74"/>
    <w:basedOn w:val="Normal"/>
    <w:rsid w:val="000B65DE"/>
    <w:pPr>
      <w:pBdr>
        <w:left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5">
    <w:name w:val="xl75"/>
    <w:basedOn w:val="Normal"/>
    <w:rsid w:val="000B65DE"/>
    <w:pPr>
      <w:pBdr>
        <w:left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6">
    <w:name w:val="xl76"/>
    <w:basedOn w:val="Normal"/>
    <w:rsid w:val="000B65DE"/>
    <w:pPr>
      <w:pBdr>
        <w:left w:val="single" w:sz="8" w:space="0" w:color="auto"/>
        <w:bottom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7">
    <w:name w:val="xl77"/>
    <w:basedOn w:val="Normal"/>
    <w:rsid w:val="000B65DE"/>
    <w:pPr>
      <w:pBdr>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8">
    <w:name w:val="xl78"/>
    <w:basedOn w:val="Normal"/>
    <w:rsid w:val="000B65DE"/>
    <w:pPr>
      <w:pBdr>
        <w:top w:val="single" w:sz="8" w:space="0" w:color="auto"/>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9">
    <w:name w:val="xl79"/>
    <w:basedOn w:val="Normal"/>
    <w:rsid w:val="000B65DE"/>
    <w:pPr>
      <w:pBdr>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80">
    <w:name w:val="xl80"/>
    <w:basedOn w:val="Normal"/>
    <w:rsid w:val="000B65DE"/>
    <w:pPr>
      <w:pBdr>
        <w:top w:val="single" w:sz="8" w:space="0" w:color="auto"/>
        <w:left w:val="single" w:sz="8" w:space="0" w:color="auto"/>
        <w:right w:val="single" w:sz="8" w:space="0" w:color="auto"/>
      </w:pBdr>
      <w:shd w:val="clear" w:color="000000" w:fill="FFFFFF"/>
      <w:spacing w:before="100" w:beforeAutospacing="1" w:after="100" w:afterAutospacing="1"/>
      <w:ind w:left="0"/>
      <w:textAlignment w:val="center"/>
    </w:pPr>
    <w:rPr>
      <w:rFonts w:ascii="Bookman Old Style" w:hAnsi="Bookman Old Style"/>
      <w:b/>
      <w:bCs/>
      <w:lang w:val="es-CO" w:eastAsia="es-CO"/>
    </w:rPr>
  </w:style>
  <w:style w:type="paragraph" w:customStyle="1" w:styleId="xl81">
    <w:name w:val="xl81"/>
    <w:basedOn w:val="Normal"/>
    <w:rsid w:val="000B65DE"/>
    <w:pPr>
      <w:pBdr>
        <w:top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character" w:styleId="Referenciasutil">
    <w:name w:val="Subtle Reference"/>
    <w:uiPriority w:val="31"/>
    <w:qFormat/>
    <w:rsid w:val="000B65DE"/>
    <w:rPr>
      <w:smallCaps/>
      <w:color w:val="C0504D"/>
      <w:u w:val="single"/>
    </w:rPr>
  </w:style>
  <w:style w:type="character" w:styleId="Textoennegrita">
    <w:name w:val="Strong"/>
    <w:uiPriority w:val="22"/>
    <w:qFormat/>
    <w:rsid w:val="000B65DE"/>
    <w:rPr>
      <w:b/>
      <w:bCs/>
    </w:rPr>
  </w:style>
  <w:style w:type="paragraph" w:styleId="Revisin">
    <w:name w:val="Revision"/>
    <w:hidden/>
    <w:uiPriority w:val="99"/>
    <w:semiHidden/>
    <w:rsid w:val="000B65DE"/>
    <w:rPr>
      <w:sz w:val="24"/>
      <w:szCs w:val="24"/>
      <w:lang w:val="es-ES" w:eastAsia="es-ES"/>
    </w:rPr>
  </w:style>
  <w:style w:type="paragraph" w:customStyle="1" w:styleId="CM63">
    <w:name w:val="CM63"/>
    <w:basedOn w:val="Normal"/>
    <w:next w:val="Normal"/>
    <w:uiPriority w:val="99"/>
    <w:rsid w:val="000B65DE"/>
    <w:pPr>
      <w:autoSpaceDE w:val="0"/>
      <w:autoSpaceDN w:val="0"/>
      <w:adjustRightInd w:val="0"/>
      <w:ind w:left="0"/>
    </w:pPr>
    <w:rPr>
      <w:rFonts w:ascii="Arial" w:hAnsi="Arial" w:cs="Arial"/>
      <w:lang w:val="es-CO" w:eastAsia="es-CO"/>
    </w:rPr>
  </w:style>
  <w:style w:type="character" w:styleId="Textodelmarcadordeposicin">
    <w:name w:val="Placeholder Text"/>
    <w:basedOn w:val="Fuentedeprrafopredeter"/>
    <w:uiPriority w:val="99"/>
    <w:semiHidden/>
    <w:rsid w:val="00DB0A73"/>
    <w:rPr>
      <w:color w:val="808080"/>
    </w:rPr>
  </w:style>
  <w:style w:type="character" w:styleId="Hipervnculovisitado">
    <w:name w:val="FollowedHyperlink"/>
    <w:basedOn w:val="Fuentedeprrafopredeter"/>
    <w:uiPriority w:val="99"/>
    <w:semiHidden/>
    <w:unhideWhenUsed/>
    <w:rsid w:val="00834DA6"/>
    <w:rPr>
      <w:color w:val="800080"/>
      <w:u w:val="single"/>
    </w:rPr>
  </w:style>
  <w:style w:type="character" w:customStyle="1" w:styleId="Ttulo2Car1">
    <w:name w:val="Título 2 Car1"/>
    <w:aliases w:val="Neg Car1"/>
    <w:basedOn w:val="Fuentedeprrafopredeter"/>
    <w:semiHidden/>
    <w:rsid w:val="00834DA6"/>
    <w:rPr>
      <w:rFonts w:asciiTheme="majorHAnsi" w:eastAsiaTheme="majorEastAsia" w:hAnsiTheme="majorHAnsi" w:cstheme="majorBidi"/>
      <w:b/>
      <w:bCs/>
      <w:color w:val="4F81BD" w:themeColor="accent1"/>
      <w:sz w:val="26"/>
      <w:szCs w:val="26"/>
      <w:lang w:val="es-ES" w:eastAsia="es-ES"/>
    </w:rPr>
  </w:style>
  <w:style w:type="paragraph" w:customStyle="1" w:styleId="xl412">
    <w:name w:val="xl412"/>
    <w:basedOn w:val="Normal"/>
    <w:rsid w:val="00834DA6"/>
    <w:pPr>
      <w:spacing w:before="100" w:beforeAutospacing="1" w:after="100" w:afterAutospacing="1"/>
      <w:ind w:left="0"/>
    </w:pPr>
    <w:rPr>
      <w:rFonts w:ascii="Bookman Old Style" w:hAnsi="Bookman Old Style"/>
      <w:sz w:val="14"/>
      <w:szCs w:val="14"/>
      <w:lang w:val="es-CO" w:eastAsia="es-CO"/>
    </w:rPr>
  </w:style>
  <w:style w:type="paragraph" w:customStyle="1" w:styleId="xl413">
    <w:name w:val="xl41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4"/>
      <w:szCs w:val="14"/>
      <w:lang w:val="es-CO" w:eastAsia="es-CO"/>
    </w:rPr>
  </w:style>
  <w:style w:type="paragraph" w:customStyle="1" w:styleId="xl414">
    <w:name w:val="xl41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15">
    <w:name w:val="xl415"/>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color w:val="000000"/>
      <w:sz w:val="14"/>
      <w:szCs w:val="14"/>
      <w:lang w:val="es-CO" w:eastAsia="es-CO"/>
    </w:rPr>
  </w:style>
  <w:style w:type="paragraph" w:customStyle="1" w:styleId="xl416">
    <w:name w:val="xl416"/>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Bookman Old Style" w:hAnsi="Bookman Old Style"/>
      <w:color w:val="000000"/>
      <w:sz w:val="14"/>
      <w:szCs w:val="14"/>
      <w:lang w:val="es-CO" w:eastAsia="es-CO"/>
    </w:rPr>
  </w:style>
  <w:style w:type="paragraph" w:customStyle="1" w:styleId="xl417">
    <w:name w:val="xl417"/>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18">
    <w:name w:val="xl418"/>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4"/>
      <w:szCs w:val="14"/>
      <w:lang w:val="es-CO" w:eastAsia="es-CO"/>
    </w:rPr>
  </w:style>
  <w:style w:type="paragraph" w:customStyle="1" w:styleId="xl419">
    <w:name w:val="xl419"/>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0">
    <w:name w:val="xl420"/>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1">
    <w:name w:val="xl421"/>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2">
    <w:name w:val="xl422"/>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pPr>
    <w:rPr>
      <w:rFonts w:ascii="Bookman Old Style" w:hAnsi="Bookman Old Style"/>
      <w:sz w:val="14"/>
      <w:szCs w:val="14"/>
      <w:lang w:val="es-CO" w:eastAsia="es-CO"/>
    </w:rPr>
  </w:style>
  <w:style w:type="paragraph" w:customStyle="1" w:styleId="xl423">
    <w:name w:val="xl42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4">
    <w:name w:val="xl42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5">
    <w:name w:val="xl425"/>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26">
    <w:name w:val="xl426"/>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7">
    <w:name w:val="xl427"/>
    <w:basedOn w:val="Normal"/>
    <w:rsid w:val="00834DA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8">
    <w:name w:val="xl428"/>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9">
    <w:name w:val="xl429"/>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0">
    <w:name w:val="xl430"/>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31">
    <w:name w:val="xl431"/>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color w:val="000000"/>
      <w:sz w:val="14"/>
      <w:szCs w:val="14"/>
      <w:lang w:val="es-CO" w:eastAsia="es-CO"/>
    </w:rPr>
  </w:style>
  <w:style w:type="paragraph" w:customStyle="1" w:styleId="xl432">
    <w:name w:val="xl432"/>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3">
    <w:name w:val="xl43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34">
    <w:name w:val="xl43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5">
    <w:name w:val="xl435"/>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table" w:customStyle="1" w:styleId="Tablaconcuadrcula3">
    <w:name w:val="Tabla con cuadrícula3"/>
    <w:basedOn w:val="Tablanormal"/>
    <w:uiPriority w:val="59"/>
    <w:rsid w:val="00B76C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90"/>
    <w:pPr>
      <w:autoSpaceDE w:val="0"/>
      <w:autoSpaceDN w:val="0"/>
      <w:adjustRightInd w:val="0"/>
    </w:pPr>
    <w:rPr>
      <w:rFonts w:ascii="Verdana" w:eastAsia="Calibri" w:hAnsi="Verdana" w:cs="Verdana"/>
      <w:color w:val="000000"/>
      <w:sz w:val="24"/>
      <w:szCs w:val="24"/>
      <w:lang w:eastAsia="en-US"/>
    </w:rPr>
  </w:style>
  <w:style w:type="table" w:customStyle="1" w:styleId="Tablaconcuadrcula11">
    <w:name w:val="Tabla con cuadrícula11"/>
    <w:basedOn w:val="Tablanormal"/>
    <w:uiPriority w:val="59"/>
    <w:rsid w:val="00D7472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EC22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225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7D4279"/>
    <w:pPr>
      <w:spacing w:line="276" w:lineRule="auto"/>
      <w:ind w:left="0"/>
      <w:jc w:val="both"/>
    </w:pPr>
    <w:rPr>
      <w:rFonts w:ascii="Arial" w:eastAsia="Calibri" w:hAnsi="Arial" w:cs="Arial"/>
      <w:sz w:val="22"/>
      <w:szCs w:val="22"/>
      <w:lang w:val="es-CO" w:eastAsia="en-US"/>
    </w:rPr>
  </w:style>
  <w:style w:type="character" w:customStyle="1" w:styleId="Estilo2Car">
    <w:name w:val="Estilo2 Car"/>
    <w:link w:val="Estilo2"/>
    <w:locked/>
    <w:rsid w:val="00C71A26"/>
    <w:rPr>
      <w:rFonts w:ascii="Bookman Old Style" w:hAnsi="Bookman Old Style"/>
      <w:b/>
      <w:bCs/>
      <w:sz w:val="24"/>
      <w:szCs w:val="24"/>
      <w:lang w:val="es-ES" w:eastAsia="ar-SA"/>
    </w:rPr>
  </w:style>
  <w:style w:type="paragraph" w:customStyle="1" w:styleId="Estilo2">
    <w:name w:val="Estilo2"/>
    <w:basedOn w:val="Normal"/>
    <w:link w:val="Estilo2Car"/>
    <w:rsid w:val="00C71A26"/>
    <w:pPr>
      <w:keepNext/>
      <w:widowControl w:val="0"/>
      <w:adjustRightInd w:val="0"/>
      <w:spacing w:before="240" w:after="240"/>
      <w:ind w:left="0"/>
      <w:jc w:val="both"/>
      <w:outlineLvl w:val="0"/>
    </w:pPr>
    <w:rPr>
      <w:rFonts w:ascii="Bookman Old Style" w:hAnsi="Bookman Old Style"/>
      <w:b/>
      <w:bCs/>
      <w:lang w:eastAsia="ar-SA"/>
    </w:rPr>
  </w:style>
  <w:style w:type="paragraph" w:customStyle="1" w:styleId="Artculo">
    <w:name w:val="Artículo"/>
    <w:basedOn w:val="Normal"/>
    <w:qFormat/>
    <w:rsid w:val="00874F46"/>
    <w:pPr>
      <w:numPr>
        <w:numId w:val="2"/>
      </w:numPr>
      <w:jc w:val="both"/>
    </w:pPr>
    <w:rPr>
      <w:rFonts w:ascii="Bookman Old Style" w:hAnsi="Bookman Old Style" w:cs="Arial"/>
      <w:b/>
      <w:caps/>
    </w:rPr>
  </w:style>
  <w:style w:type="paragraph" w:customStyle="1" w:styleId="pa8">
    <w:name w:val="pa8"/>
    <w:basedOn w:val="Normal"/>
    <w:rsid w:val="000B73A9"/>
    <w:pPr>
      <w:spacing w:before="100" w:beforeAutospacing="1" w:after="100" w:afterAutospacing="1"/>
      <w:ind w:left="0"/>
      <w:jc w:val="both"/>
    </w:pPr>
    <w:rPr>
      <w:rFonts w:ascii="Bookman Old Style" w:hAnsi="Bookman Old Style"/>
      <w:lang w:val="es-CO" w:eastAsia="es-CO"/>
    </w:rPr>
  </w:style>
  <w:style w:type="character" w:customStyle="1" w:styleId="spelle">
    <w:name w:val="spelle"/>
    <w:basedOn w:val="Fuentedeprrafopredeter"/>
    <w:rsid w:val="000B73A9"/>
  </w:style>
  <w:style w:type="paragraph" w:customStyle="1" w:styleId="Numeracin">
    <w:name w:val="Numeración"/>
    <w:basedOn w:val="Prrafodelista"/>
    <w:link w:val="NumeracinCar"/>
    <w:qFormat/>
    <w:rsid w:val="000B73A9"/>
    <w:pPr>
      <w:numPr>
        <w:numId w:val="4"/>
      </w:numPr>
      <w:tabs>
        <w:tab w:val="left" w:pos="284"/>
      </w:tabs>
      <w:spacing w:before="120" w:after="120"/>
      <w:ind w:left="924" w:hanging="357"/>
      <w:jc w:val="both"/>
    </w:pPr>
    <w:rPr>
      <w:rFonts w:ascii="Bookman Old Style" w:hAnsi="Bookman Old Style"/>
      <w:sz w:val="24"/>
    </w:rPr>
  </w:style>
  <w:style w:type="character" w:customStyle="1" w:styleId="NumeracinCar">
    <w:name w:val="Numeración Car"/>
    <w:basedOn w:val="PrrafodelistaCar"/>
    <w:link w:val="Numeracin"/>
    <w:rsid w:val="000B73A9"/>
    <w:rPr>
      <w:rFonts w:ascii="Bookman Old Style" w:hAnsi="Bookman Old Style"/>
      <w:sz w:val="24"/>
      <w:lang w:val="es-CO" w:eastAsia="es-ES"/>
    </w:rPr>
  </w:style>
  <w:style w:type="numbering" w:customStyle="1" w:styleId="Sinlista2">
    <w:name w:val="Sin lista2"/>
    <w:next w:val="Sinlista"/>
    <w:uiPriority w:val="99"/>
    <w:semiHidden/>
    <w:unhideWhenUsed/>
    <w:rsid w:val="000B73A9"/>
  </w:style>
  <w:style w:type="table" w:customStyle="1" w:styleId="Tablaconcuadrcula5">
    <w:name w:val="Tabla con cuadrícula5"/>
    <w:basedOn w:val="Tablanormal"/>
    <w:next w:val="Tablaconcuadrcula"/>
    <w:uiPriority w:val="39"/>
    <w:rsid w:val="000B73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7559">
      <w:bodyDiv w:val="1"/>
      <w:marLeft w:val="0"/>
      <w:marRight w:val="0"/>
      <w:marTop w:val="0"/>
      <w:marBottom w:val="0"/>
      <w:divBdr>
        <w:top w:val="none" w:sz="0" w:space="0" w:color="auto"/>
        <w:left w:val="none" w:sz="0" w:space="0" w:color="auto"/>
        <w:bottom w:val="none" w:sz="0" w:space="0" w:color="auto"/>
        <w:right w:val="none" w:sz="0" w:space="0" w:color="auto"/>
      </w:divBdr>
    </w:div>
    <w:div w:id="96297392">
      <w:bodyDiv w:val="1"/>
      <w:marLeft w:val="0"/>
      <w:marRight w:val="0"/>
      <w:marTop w:val="0"/>
      <w:marBottom w:val="0"/>
      <w:divBdr>
        <w:top w:val="none" w:sz="0" w:space="0" w:color="auto"/>
        <w:left w:val="none" w:sz="0" w:space="0" w:color="auto"/>
        <w:bottom w:val="none" w:sz="0" w:space="0" w:color="auto"/>
        <w:right w:val="none" w:sz="0" w:space="0" w:color="auto"/>
      </w:divBdr>
    </w:div>
    <w:div w:id="127287719">
      <w:bodyDiv w:val="1"/>
      <w:marLeft w:val="0"/>
      <w:marRight w:val="0"/>
      <w:marTop w:val="0"/>
      <w:marBottom w:val="0"/>
      <w:divBdr>
        <w:top w:val="none" w:sz="0" w:space="0" w:color="auto"/>
        <w:left w:val="none" w:sz="0" w:space="0" w:color="auto"/>
        <w:bottom w:val="none" w:sz="0" w:space="0" w:color="auto"/>
        <w:right w:val="none" w:sz="0" w:space="0" w:color="auto"/>
      </w:divBdr>
    </w:div>
    <w:div w:id="193612984">
      <w:bodyDiv w:val="1"/>
      <w:marLeft w:val="0"/>
      <w:marRight w:val="0"/>
      <w:marTop w:val="0"/>
      <w:marBottom w:val="0"/>
      <w:divBdr>
        <w:top w:val="none" w:sz="0" w:space="0" w:color="auto"/>
        <w:left w:val="none" w:sz="0" w:space="0" w:color="auto"/>
        <w:bottom w:val="none" w:sz="0" w:space="0" w:color="auto"/>
        <w:right w:val="none" w:sz="0" w:space="0" w:color="auto"/>
      </w:divBdr>
      <w:divsChild>
        <w:div w:id="1700859271">
          <w:marLeft w:val="446"/>
          <w:marRight w:val="0"/>
          <w:marTop w:val="0"/>
          <w:marBottom w:val="0"/>
          <w:divBdr>
            <w:top w:val="none" w:sz="0" w:space="0" w:color="auto"/>
            <w:left w:val="none" w:sz="0" w:space="0" w:color="auto"/>
            <w:bottom w:val="none" w:sz="0" w:space="0" w:color="auto"/>
            <w:right w:val="none" w:sz="0" w:space="0" w:color="auto"/>
          </w:divBdr>
        </w:div>
      </w:divsChild>
    </w:div>
    <w:div w:id="281883812">
      <w:bodyDiv w:val="1"/>
      <w:marLeft w:val="0"/>
      <w:marRight w:val="0"/>
      <w:marTop w:val="0"/>
      <w:marBottom w:val="0"/>
      <w:divBdr>
        <w:top w:val="none" w:sz="0" w:space="0" w:color="auto"/>
        <w:left w:val="none" w:sz="0" w:space="0" w:color="auto"/>
        <w:bottom w:val="none" w:sz="0" w:space="0" w:color="auto"/>
        <w:right w:val="none" w:sz="0" w:space="0" w:color="auto"/>
      </w:divBdr>
    </w:div>
    <w:div w:id="312610995">
      <w:bodyDiv w:val="1"/>
      <w:marLeft w:val="0"/>
      <w:marRight w:val="0"/>
      <w:marTop w:val="0"/>
      <w:marBottom w:val="0"/>
      <w:divBdr>
        <w:top w:val="none" w:sz="0" w:space="0" w:color="auto"/>
        <w:left w:val="none" w:sz="0" w:space="0" w:color="auto"/>
        <w:bottom w:val="none" w:sz="0" w:space="0" w:color="auto"/>
        <w:right w:val="none" w:sz="0" w:space="0" w:color="auto"/>
      </w:divBdr>
    </w:div>
    <w:div w:id="325716869">
      <w:bodyDiv w:val="1"/>
      <w:marLeft w:val="0"/>
      <w:marRight w:val="0"/>
      <w:marTop w:val="0"/>
      <w:marBottom w:val="0"/>
      <w:divBdr>
        <w:top w:val="none" w:sz="0" w:space="0" w:color="auto"/>
        <w:left w:val="none" w:sz="0" w:space="0" w:color="auto"/>
        <w:bottom w:val="none" w:sz="0" w:space="0" w:color="auto"/>
        <w:right w:val="none" w:sz="0" w:space="0" w:color="auto"/>
      </w:divBdr>
    </w:div>
    <w:div w:id="438181218">
      <w:bodyDiv w:val="1"/>
      <w:marLeft w:val="0"/>
      <w:marRight w:val="0"/>
      <w:marTop w:val="0"/>
      <w:marBottom w:val="0"/>
      <w:divBdr>
        <w:top w:val="none" w:sz="0" w:space="0" w:color="auto"/>
        <w:left w:val="none" w:sz="0" w:space="0" w:color="auto"/>
        <w:bottom w:val="none" w:sz="0" w:space="0" w:color="auto"/>
        <w:right w:val="none" w:sz="0" w:space="0" w:color="auto"/>
      </w:divBdr>
    </w:div>
    <w:div w:id="468129839">
      <w:bodyDiv w:val="1"/>
      <w:marLeft w:val="0"/>
      <w:marRight w:val="0"/>
      <w:marTop w:val="0"/>
      <w:marBottom w:val="0"/>
      <w:divBdr>
        <w:top w:val="none" w:sz="0" w:space="0" w:color="auto"/>
        <w:left w:val="none" w:sz="0" w:space="0" w:color="auto"/>
        <w:bottom w:val="none" w:sz="0" w:space="0" w:color="auto"/>
        <w:right w:val="none" w:sz="0" w:space="0" w:color="auto"/>
      </w:divBdr>
    </w:div>
    <w:div w:id="478116309">
      <w:bodyDiv w:val="1"/>
      <w:marLeft w:val="0"/>
      <w:marRight w:val="0"/>
      <w:marTop w:val="0"/>
      <w:marBottom w:val="0"/>
      <w:divBdr>
        <w:top w:val="none" w:sz="0" w:space="0" w:color="auto"/>
        <w:left w:val="none" w:sz="0" w:space="0" w:color="auto"/>
        <w:bottom w:val="none" w:sz="0" w:space="0" w:color="auto"/>
        <w:right w:val="none" w:sz="0" w:space="0" w:color="auto"/>
      </w:divBdr>
      <w:divsChild>
        <w:div w:id="1990211472">
          <w:marLeft w:val="0"/>
          <w:marRight w:val="0"/>
          <w:marTop w:val="0"/>
          <w:marBottom w:val="0"/>
          <w:divBdr>
            <w:top w:val="none" w:sz="0" w:space="0" w:color="auto"/>
            <w:left w:val="none" w:sz="0" w:space="0" w:color="auto"/>
            <w:bottom w:val="none" w:sz="0" w:space="0" w:color="auto"/>
            <w:right w:val="none" w:sz="0" w:space="0" w:color="auto"/>
          </w:divBdr>
          <w:divsChild>
            <w:div w:id="402875999">
              <w:marLeft w:val="0"/>
              <w:marRight w:val="0"/>
              <w:marTop w:val="0"/>
              <w:marBottom w:val="0"/>
              <w:divBdr>
                <w:top w:val="none" w:sz="0" w:space="0" w:color="auto"/>
                <w:left w:val="none" w:sz="0" w:space="0" w:color="auto"/>
                <w:bottom w:val="none" w:sz="0" w:space="0" w:color="auto"/>
                <w:right w:val="none" w:sz="0" w:space="0" w:color="auto"/>
              </w:divBdr>
              <w:divsChild>
                <w:div w:id="6901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8288">
      <w:bodyDiv w:val="1"/>
      <w:marLeft w:val="0"/>
      <w:marRight w:val="0"/>
      <w:marTop w:val="0"/>
      <w:marBottom w:val="0"/>
      <w:divBdr>
        <w:top w:val="none" w:sz="0" w:space="0" w:color="auto"/>
        <w:left w:val="none" w:sz="0" w:space="0" w:color="auto"/>
        <w:bottom w:val="none" w:sz="0" w:space="0" w:color="auto"/>
        <w:right w:val="none" w:sz="0" w:space="0" w:color="auto"/>
      </w:divBdr>
    </w:div>
    <w:div w:id="520432927">
      <w:bodyDiv w:val="1"/>
      <w:marLeft w:val="0"/>
      <w:marRight w:val="0"/>
      <w:marTop w:val="0"/>
      <w:marBottom w:val="0"/>
      <w:divBdr>
        <w:top w:val="none" w:sz="0" w:space="0" w:color="auto"/>
        <w:left w:val="none" w:sz="0" w:space="0" w:color="auto"/>
        <w:bottom w:val="none" w:sz="0" w:space="0" w:color="auto"/>
        <w:right w:val="none" w:sz="0" w:space="0" w:color="auto"/>
      </w:divBdr>
    </w:div>
    <w:div w:id="522478019">
      <w:bodyDiv w:val="1"/>
      <w:marLeft w:val="0"/>
      <w:marRight w:val="0"/>
      <w:marTop w:val="0"/>
      <w:marBottom w:val="0"/>
      <w:divBdr>
        <w:top w:val="none" w:sz="0" w:space="0" w:color="auto"/>
        <w:left w:val="none" w:sz="0" w:space="0" w:color="auto"/>
        <w:bottom w:val="none" w:sz="0" w:space="0" w:color="auto"/>
        <w:right w:val="none" w:sz="0" w:space="0" w:color="auto"/>
      </w:divBdr>
    </w:div>
    <w:div w:id="526405489">
      <w:bodyDiv w:val="1"/>
      <w:marLeft w:val="0"/>
      <w:marRight w:val="0"/>
      <w:marTop w:val="0"/>
      <w:marBottom w:val="0"/>
      <w:divBdr>
        <w:top w:val="none" w:sz="0" w:space="0" w:color="auto"/>
        <w:left w:val="none" w:sz="0" w:space="0" w:color="auto"/>
        <w:bottom w:val="none" w:sz="0" w:space="0" w:color="auto"/>
        <w:right w:val="none" w:sz="0" w:space="0" w:color="auto"/>
      </w:divBdr>
    </w:div>
    <w:div w:id="560949732">
      <w:bodyDiv w:val="1"/>
      <w:marLeft w:val="0"/>
      <w:marRight w:val="0"/>
      <w:marTop w:val="0"/>
      <w:marBottom w:val="0"/>
      <w:divBdr>
        <w:top w:val="none" w:sz="0" w:space="0" w:color="auto"/>
        <w:left w:val="none" w:sz="0" w:space="0" w:color="auto"/>
        <w:bottom w:val="none" w:sz="0" w:space="0" w:color="auto"/>
        <w:right w:val="none" w:sz="0" w:space="0" w:color="auto"/>
      </w:divBdr>
      <w:divsChild>
        <w:div w:id="697004596">
          <w:marLeft w:val="547"/>
          <w:marRight w:val="0"/>
          <w:marTop w:val="0"/>
          <w:marBottom w:val="0"/>
          <w:divBdr>
            <w:top w:val="none" w:sz="0" w:space="0" w:color="auto"/>
            <w:left w:val="none" w:sz="0" w:space="0" w:color="auto"/>
            <w:bottom w:val="none" w:sz="0" w:space="0" w:color="auto"/>
            <w:right w:val="none" w:sz="0" w:space="0" w:color="auto"/>
          </w:divBdr>
        </w:div>
        <w:div w:id="106778110">
          <w:marLeft w:val="547"/>
          <w:marRight w:val="0"/>
          <w:marTop w:val="0"/>
          <w:marBottom w:val="0"/>
          <w:divBdr>
            <w:top w:val="none" w:sz="0" w:space="0" w:color="auto"/>
            <w:left w:val="none" w:sz="0" w:space="0" w:color="auto"/>
            <w:bottom w:val="none" w:sz="0" w:space="0" w:color="auto"/>
            <w:right w:val="none" w:sz="0" w:space="0" w:color="auto"/>
          </w:divBdr>
        </w:div>
        <w:div w:id="1366641436">
          <w:marLeft w:val="547"/>
          <w:marRight w:val="0"/>
          <w:marTop w:val="0"/>
          <w:marBottom w:val="0"/>
          <w:divBdr>
            <w:top w:val="none" w:sz="0" w:space="0" w:color="auto"/>
            <w:left w:val="none" w:sz="0" w:space="0" w:color="auto"/>
            <w:bottom w:val="none" w:sz="0" w:space="0" w:color="auto"/>
            <w:right w:val="none" w:sz="0" w:space="0" w:color="auto"/>
          </w:divBdr>
        </w:div>
      </w:divsChild>
    </w:div>
    <w:div w:id="643005492">
      <w:bodyDiv w:val="1"/>
      <w:marLeft w:val="0"/>
      <w:marRight w:val="0"/>
      <w:marTop w:val="0"/>
      <w:marBottom w:val="0"/>
      <w:divBdr>
        <w:top w:val="none" w:sz="0" w:space="0" w:color="auto"/>
        <w:left w:val="none" w:sz="0" w:space="0" w:color="auto"/>
        <w:bottom w:val="none" w:sz="0" w:space="0" w:color="auto"/>
        <w:right w:val="none" w:sz="0" w:space="0" w:color="auto"/>
      </w:divBdr>
    </w:div>
    <w:div w:id="650477370">
      <w:bodyDiv w:val="1"/>
      <w:marLeft w:val="0"/>
      <w:marRight w:val="0"/>
      <w:marTop w:val="0"/>
      <w:marBottom w:val="0"/>
      <w:divBdr>
        <w:top w:val="none" w:sz="0" w:space="0" w:color="auto"/>
        <w:left w:val="none" w:sz="0" w:space="0" w:color="auto"/>
        <w:bottom w:val="none" w:sz="0" w:space="0" w:color="auto"/>
        <w:right w:val="none" w:sz="0" w:space="0" w:color="auto"/>
      </w:divBdr>
    </w:div>
    <w:div w:id="696659704">
      <w:bodyDiv w:val="1"/>
      <w:marLeft w:val="0"/>
      <w:marRight w:val="0"/>
      <w:marTop w:val="0"/>
      <w:marBottom w:val="0"/>
      <w:divBdr>
        <w:top w:val="none" w:sz="0" w:space="0" w:color="auto"/>
        <w:left w:val="none" w:sz="0" w:space="0" w:color="auto"/>
        <w:bottom w:val="none" w:sz="0" w:space="0" w:color="auto"/>
        <w:right w:val="none" w:sz="0" w:space="0" w:color="auto"/>
      </w:divBdr>
    </w:div>
    <w:div w:id="777144811">
      <w:bodyDiv w:val="1"/>
      <w:marLeft w:val="0"/>
      <w:marRight w:val="0"/>
      <w:marTop w:val="0"/>
      <w:marBottom w:val="0"/>
      <w:divBdr>
        <w:top w:val="none" w:sz="0" w:space="0" w:color="auto"/>
        <w:left w:val="none" w:sz="0" w:space="0" w:color="auto"/>
        <w:bottom w:val="none" w:sz="0" w:space="0" w:color="auto"/>
        <w:right w:val="none" w:sz="0" w:space="0" w:color="auto"/>
      </w:divBdr>
    </w:div>
    <w:div w:id="847863965">
      <w:bodyDiv w:val="1"/>
      <w:marLeft w:val="0"/>
      <w:marRight w:val="0"/>
      <w:marTop w:val="0"/>
      <w:marBottom w:val="0"/>
      <w:divBdr>
        <w:top w:val="none" w:sz="0" w:space="0" w:color="auto"/>
        <w:left w:val="none" w:sz="0" w:space="0" w:color="auto"/>
        <w:bottom w:val="none" w:sz="0" w:space="0" w:color="auto"/>
        <w:right w:val="none" w:sz="0" w:space="0" w:color="auto"/>
      </w:divBdr>
      <w:divsChild>
        <w:div w:id="2127889690">
          <w:marLeft w:val="446"/>
          <w:marRight w:val="0"/>
          <w:marTop w:val="0"/>
          <w:marBottom w:val="0"/>
          <w:divBdr>
            <w:top w:val="none" w:sz="0" w:space="0" w:color="auto"/>
            <w:left w:val="none" w:sz="0" w:space="0" w:color="auto"/>
            <w:bottom w:val="none" w:sz="0" w:space="0" w:color="auto"/>
            <w:right w:val="none" w:sz="0" w:space="0" w:color="auto"/>
          </w:divBdr>
        </w:div>
      </w:divsChild>
    </w:div>
    <w:div w:id="915745929">
      <w:bodyDiv w:val="1"/>
      <w:marLeft w:val="0"/>
      <w:marRight w:val="0"/>
      <w:marTop w:val="0"/>
      <w:marBottom w:val="0"/>
      <w:divBdr>
        <w:top w:val="none" w:sz="0" w:space="0" w:color="auto"/>
        <w:left w:val="none" w:sz="0" w:space="0" w:color="auto"/>
        <w:bottom w:val="none" w:sz="0" w:space="0" w:color="auto"/>
        <w:right w:val="none" w:sz="0" w:space="0" w:color="auto"/>
      </w:divBdr>
    </w:div>
    <w:div w:id="920527797">
      <w:bodyDiv w:val="1"/>
      <w:marLeft w:val="0"/>
      <w:marRight w:val="0"/>
      <w:marTop w:val="0"/>
      <w:marBottom w:val="0"/>
      <w:divBdr>
        <w:top w:val="none" w:sz="0" w:space="0" w:color="auto"/>
        <w:left w:val="none" w:sz="0" w:space="0" w:color="auto"/>
        <w:bottom w:val="none" w:sz="0" w:space="0" w:color="auto"/>
        <w:right w:val="none" w:sz="0" w:space="0" w:color="auto"/>
      </w:divBdr>
    </w:div>
    <w:div w:id="959871253">
      <w:bodyDiv w:val="1"/>
      <w:marLeft w:val="0"/>
      <w:marRight w:val="0"/>
      <w:marTop w:val="0"/>
      <w:marBottom w:val="0"/>
      <w:divBdr>
        <w:top w:val="none" w:sz="0" w:space="0" w:color="auto"/>
        <w:left w:val="none" w:sz="0" w:space="0" w:color="auto"/>
        <w:bottom w:val="none" w:sz="0" w:space="0" w:color="auto"/>
        <w:right w:val="none" w:sz="0" w:space="0" w:color="auto"/>
      </w:divBdr>
    </w:div>
    <w:div w:id="1046682294">
      <w:bodyDiv w:val="1"/>
      <w:marLeft w:val="0"/>
      <w:marRight w:val="0"/>
      <w:marTop w:val="0"/>
      <w:marBottom w:val="0"/>
      <w:divBdr>
        <w:top w:val="none" w:sz="0" w:space="0" w:color="auto"/>
        <w:left w:val="none" w:sz="0" w:space="0" w:color="auto"/>
        <w:bottom w:val="none" w:sz="0" w:space="0" w:color="auto"/>
        <w:right w:val="none" w:sz="0" w:space="0" w:color="auto"/>
      </w:divBdr>
    </w:div>
    <w:div w:id="1130055910">
      <w:bodyDiv w:val="1"/>
      <w:marLeft w:val="0"/>
      <w:marRight w:val="0"/>
      <w:marTop w:val="0"/>
      <w:marBottom w:val="0"/>
      <w:divBdr>
        <w:top w:val="none" w:sz="0" w:space="0" w:color="auto"/>
        <w:left w:val="none" w:sz="0" w:space="0" w:color="auto"/>
        <w:bottom w:val="none" w:sz="0" w:space="0" w:color="auto"/>
        <w:right w:val="none" w:sz="0" w:space="0" w:color="auto"/>
      </w:divBdr>
    </w:div>
    <w:div w:id="1139883798">
      <w:bodyDiv w:val="1"/>
      <w:marLeft w:val="0"/>
      <w:marRight w:val="0"/>
      <w:marTop w:val="0"/>
      <w:marBottom w:val="0"/>
      <w:divBdr>
        <w:top w:val="none" w:sz="0" w:space="0" w:color="auto"/>
        <w:left w:val="none" w:sz="0" w:space="0" w:color="auto"/>
        <w:bottom w:val="none" w:sz="0" w:space="0" w:color="auto"/>
        <w:right w:val="none" w:sz="0" w:space="0" w:color="auto"/>
      </w:divBdr>
    </w:div>
    <w:div w:id="1193500414">
      <w:bodyDiv w:val="1"/>
      <w:marLeft w:val="0"/>
      <w:marRight w:val="0"/>
      <w:marTop w:val="0"/>
      <w:marBottom w:val="0"/>
      <w:divBdr>
        <w:top w:val="none" w:sz="0" w:space="0" w:color="auto"/>
        <w:left w:val="none" w:sz="0" w:space="0" w:color="auto"/>
        <w:bottom w:val="none" w:sz="0" w:space="0" w:color="auto"/>
        <w:right w:val="none" w:sz="0" w:space="0" w:color="auto"/>
      </w:divBdr>
    </w:div>
    <w:div w:id="1197815234">
      <w:bodyDiv w:val="1"/>
      <w:marLeft w:val="0"/>
      <w:marRight w:val="0"/>
      <w:marTop w:val="0"/>
      <w:marBottom w:val="0"/>
      <w:divBdr>
        <w:top w:val="none" w:sz="0" w:space="0" w:color="auto"/>
        <w:left w:val="none" w:sz="0" w:space="0" w:color="auto"/>
        <w:bottom w:val="none" w:sz="0" w:space="0" w:color="auto"/>
        <w:right w:val="none" w:sz="0" w:space="0" w:color="auto"/>
      </w:divBdr>
    </w:div>
    <w:div w:id="1232233383">
      <w:bodyDiv w:val="1"/>
      <w:marLeft w:val="0"/>
      <w:marRight w:val="0"/>
      <w:marTop w:val="0"/>
      <w:marBottom w:val="0"/>
      <w:divBdr>
        <w:top w:val="none" w:sz="0" w:space="0" w:color="auto"/>
        <w:left w:val="none" w:sz="0" w:space="0" w:color="auto"/>
        <w:bottom w:val="none" w:sz="0" w:space="0" w:color="auto"/>
        <w:right w:val="none" w:sz="0" w:space="0" w:color="auto"/>
      </w:divBdr>
    </w:div>
    <w:div w:id="1319456869">
      <w:bodyDiv w:val="1"/>
      <w:marLeft w:val="0"/>
      <w:marRight w:val="0"/>
      <w:marTop w:val="0"/>
      <w:marBottom w:val="0"/>
      <w:divBdr>
        <w:top w:val="none" w:sz="0" w:space="0" w:color="auto"/>
        <w:left w:val="none" w:sz="0" w:space="0" w:color="auto"/>
        <w:bottom w:val="none" w:sz="0" w:space="0" w:color="auto"/>
        <w:right w:val="none" w:sz="0" w:space="0" w:color="auto"/>
      </w:divBdr>
    </w:div>
    <w:div w:id="1359694659">
      <w:bodyDiv w:val="1"/>
      <w:marLeft w:val="0"/>
      <w:marRight w:val="0"/>
      <w:marTop w:val="0"/>
      <w:marBottom w:val="0"/>
      <w:divBdr>
        <w:top w:val="none" w:sz="0" w:space="0" w:color="auto"/>
        <w:left w:val="none" w:sz="0" w:space="0" w:color="auto"/>
        <w:bottom w:val="none" w:sz="0" w:space="0" w:color="auto"/>
        <w:right w:val="none" w:sz="0" w:space="0" w:color="auto"/>
      </w:divBdr>
      <w:divsChild>
        <w:div w:id="687174413">
          <w:marLeft w:val="446"/>
          <w:marRight w:val="0"/>
          <w:marTop w:val="0"/>
          <w:marBottom w:val="0"/>
          <w:divBdr>
            <w:top w:val="none" w:sz="0" w:space="0" w:color="auto"/>
            <w:left w:val="none" w:sz="0" w:space="0" w:color="auto"/>
            <w:bottom w:val="none" w:sz="0" w:space="0" w:color="auto"/>
            <w:right w:val="none" w:sz="0" w:space="0" w:color="auto"/>
          </w:divBdr>
        </w:div>
      </w:divsChild>
    </w:div>
    <w:div w:id="1366104841">
      <w:bodyDiv w:val="1"/>
      <w:marLeft w:val="0"/>
      <w:marRight w:val="0"/>
      <w:marTop w:val="0"/>
      <w:marBottom w:val="0"/>
      <w:divBdr>
        <w:top w:val="none" w:sz="0" w:space="0" w:color="auto"/>
        <w:left w:val="none" w:sz="0" w:space="0" w:color="auto"/>
        <w:bottom w:val="none" w:sz="0" w:space="0" w:color="auto"/>
        <w:right w:val="none" w:sz="0" w:space="0" w:color="auto"/>
      </w:divBdr>
    </w:div>
    <w:div w:id="1390885783">
      <w:bodyDiv w:val="1"/>
      <w:marLeft w:val="0"/>
      <w:marRight w:val="0"/>
      <w:marTop w:val="0"/>
      <w:marBottom w:val="0"/>
      <w:divBdr>
        <w:top w:val="none" w:sz="0" w:space="0" w:color="auto"/>
        <w:left w:val="none" w:sz="0" w:space="0" w:color="auto"/>
        <w:bottom w:val="none" w:sz="0" w:space="0" w:color="auto"/>
        <w:right w:val="none" w:sz="0" w:space="0" w:color="auto"/>
      </w:divBdr>
    </w:div>
    <w:div w:id="1427573667">
      <w:bodyDiv w:val="1"/>
      <w:marLeft w:val="0"/>
      <w:marRight w:val="0"/>
      <w:marTop w:val="0"/>
      <w:marBottom w:val="0"/>
      <w:divBdr>
        <w:top w:val="none" w:sz="0" w:space="0" w:color="auto"/>
        <w:left w:val="none" w:sz="0" w:space="0" w:color="auto"/>
        <w:bottom w:val="none" w:sz="0" w:space="0" w:color="auto"/>
        <w:right w:val="none" w:sz="0" w:space="0" w:color="auto"/>
      </w:divBdr>
    </w:div>
    <w:div w:id="1444962060">
      <w:bodyDiv w:val="1"/>
      <w:marLeft w:val="0"/>
      <w:marRight w:val="0"/>
      <w:marTop w:val="0"/>
      <w:marBottom w:val="0"/>
      <w:divBdr>
        <w:top w:val="none" w:sz="0" w:space="0" w:color="auto"/>
        <w:left w:val="none" w:sz="0" w:space="0" w:color="auto"/>
        <w:bottom w:val="none" w:sz="0" w:space="0" w:color="auto"/>
        <w:right w:val="none" w:sz="0" w:space="0" w:color="auto"/>
      </w:divBdr>
    </w:div>
    <w:div w:id="1503202378">
      <w:bodyDiv w:val="1"/>
      <w:marLeft w:val="0"/>
      <w:marRight w:val="0"/>
      <w:marTop w:val="0"/>
      <w:marBottom w:val="0"/>
      <w:divBdr>
        <w:top w:val="none" w:sz="0" w:space="0" w:color="auto"/>
        <w:left w:val="none" w:sz="0" w:space="0" w:color="auto"/>
        <w:bottom w:val="none" w:sz="0" w:space="0" w:color="auto"/>
        <w:right w:val="none" w:sz="0" w:space="0" w:color="auto"/>
      </w:divBdr>
    </w:div>
    <w:div w:id="1595892295">
      <w:bodyDiv w:val="1"/>
      <w:marLeft w:val="0"/>
      <w:marRight w:val="0"/>
      <w:marTop w:val="0"/>
      <w:marBottom w:val="0"/>
      <w:divBdr>
        <w:top w:val="none" w:sz="0" w:space="0" w:color="auto"/>
        <w:left w:val="none" w:sz="0" w:space="0" w:color="auto"/>
        <w:bottom w:val="none" w:sz="0" w:space="0" w:color="auto"/>
        <w:right w:val="none" w:sz="0" w:space="0" w:color="auto"/>
      </w:divBdr>
    </w:div>
    <w:div w:id="1655911396">
      <w:bodyDiv w:val="1"/>
      <w:marLeft w:val="0"/>
      <w:marRight w:val="0"/>
      <w:marTop w:val="0"/>
      <w:marBottom w:val="0"/>
      <w:divBdr>
        <w:top w:val="none" w:sz="0" w:space="0" w:color="auto"/>
        <w:left w:val="none" w:sz="0" w:space="0" w:color="auto"/>
        <w:bottom w:val="none" w:sz="0" w:space="0" w:color="auto"/>
        <w:right w:val="none" w:sz="0" w:space="0" w:color="auto"/>
      </w:divBdr>
    </w:div>
    <w:div w:id="1746954498">
      <w:bodyDiv w:val="1"/>
      <w:marLeft w:val="0"/>
      <w:marRight w:val="0"/>
      <w:marTop w:val="0"/>
      <w:marBottom w:val="0"/>
      <w:divBdr>
        <w:top w:val="none" w:sz="0" w:space="0" w:color="auto"/>
        <w:left w:val="none" w:sz="0" w:space="0" w:color="auto"/>
        <w:bottom w:val="none" w:sz="0" w:space="0" w:color="auto"/>
        <w:right w:val="none" w:sz="0" w:space="0" w:color="auto"/>
      </w:divBdr>
    </w:div>
    <w:div w:id="1769037061">
      <w:bodyDiv w:val="1"/>
      <w:marLeft w:val="0"/>
      <w:marRight w:val="0"/>
      <w:marTop w:val="0"/>
      <w:marBottom w:val="0"/>
      <w:divBdr>
        <w:top w:val="none" w:sz="0" w:space="0" w:color="auto"/>
        <w:left w:val="none" w:sz="0" w:space="0" w:color="auto"/>
        <w:bottom w:val="none" w:sz="0" w:space="0" w:color="auto"/>
        <w:right w:val="none" w:sz="0" w:space="0" w:color="auto"/>
      </w:divBdr>
    </w:div>
    <w:div w:id="1780447029">
      <w:bodyDiv w:val="1"/>
      <w:marLeft w:val="0"/>
      <w:marRight w:val="0"/>
      <w:marTop w:val="0"/>
      <w:marBottom w:val="0"/>
      <w:divBdr>
        <w:top w:val="none" w:sz="0" w:space="0" w:color="auto"/>
        <w:left w:val="none" w:sz="0" w:space="0" w:color="auto"/>
        <w:bottom w:val="none" w:sz="0" w:space="0" w:color="auto"/>
        <w:right w:val="none" w:sz="0" w:space="0" w:color="auto"/>
      </w:divBdr>
    </w:div>
    <w:div w:id="1803964940">
      <w:bodyDiv w:val="1"/>
      <w:marLeft w:val="0"/>
      <w:marRight w:val="0"/>
      <w:marTop w:val="0"/>
      <w:marBottom w:val="0"/>
      <w:divBdr>
        <w:top w:val="none" w:sz="0" w:space="0" w:color="auto"/>
        <w:left w:val="none" w:sz="0" w:space="0" w:color="auto"/>
        <w:bottom w:val="none" w:sz="0" w:space="0" w:color="auto"/>
        <w:right w:val="none" w:sz="0" w:space="0" w:color="auto"/>
      </w:divBdr>
    </w:div>
    <w:div w:id="1827816803">
      <w:bodyDiv w:val="1"/>
      <w:marLeft w:val="0"/>
      <w:marRight w:val="0"/>
      <w:marTop w:val="0"/>
      <w:marBottom w:val="0"/>
      <w:divBdr>
        <w:top w:val="none" w:sz="0" w:space="0" w:color="auto"/>
        <w:left w:val="none" w:sz="0" w:space="0" w:color="auto"/>
        <w:bottom w:val="none" w:sz="0" w:space="0" w:color="auto"/>
        <w:right w:val="none" w:sz="0" w:space="0" w:color="auto"/>
      </w:divBdr>
    </w:div>
    <w:div w:id="2069644633">
      <w:bodyDiv w:val="1"/>
      <w:marLeft w:val="0"/>
      <w:marRight w:val="0"/>
      <w:marTop w:val="0"/>
      <w:marBottom w:val="0"/>
      <w:divBdr>
        <w:top w:val="none" w:sz="0" w:space="0" w:color="auto"/>
        <w:left w:val="none" w:sz="0" w:space="0" w:color="auto"/>
        <w:bottom w:val="none" w:sz="0" w:space="0" w:color="auto"/>
        <w:right w:val="none" w:sz="0" w:space="0" w:color="auto"/>
      </w:divBdr>
    </w:div>
    <w:div w:id="2098818193">
      <w:bodyDiv w:val="1"/>
      <w:marLeft w:val="0"/>
      <w:marRight w:val="0"/>
      <w:marTop w:val="0"/>
      <w:marBottom w:val="0"/>
      <w:divBdr>
        <w:top w:val="none" w:sz="0" w:space="0" w:color="auto"/>
        <w:left w:val="none" w:sz="0" w:space="0" w:color="auto"/>
        <w:bottom w:val="none" w:sz="0" w:space="0" w:color="auto"/>
        <w:right w:val="none" w:sz="0" w:space="0" w:color="auto"/>
      </w:divBdr>
    </w:div>
    <w:div w:id="21138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1BA82-4AEF-4191-B198-0569692F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11</Pages>
  <Words>4690</Words>
  <Characters>24870</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2018-11-07T21:10:00Z</cp:lastPrinted>
  <dcterms:created xsi:type="dcterms:W3CDTF">2019-07-26T14:34:00Z</dcterms:created>
  <dcterms:modified xsi:type="dcterms:W3CDTF">2019-07-26T14:34:00Z</dcterms:modified>
</cp:coreProperties>
</file>