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69" w:rsidRDefault="00C15035" w:rsidP="00FB7F6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394608074" r:id="rId9"/>
        </w:pict>
      </w:r>
    </w:p>
    <w:p w:rsidR="00FB7F69" w:rsidRDefault="00FB7F69" w:rsidP="00FB7F69">
      <w:pPr>
        <w:pStyle w:val="Ttulo4"/>
        <w:tabs>
          <w:tab w:val="left" w:pos="0"/>
          <w:tab w:val="right" w:pos="9356"/>
        </w:tabs>
        <w:ind w:left="0"/>
        <w:rPr>
          <w:rFonts w:ascii="Bookman Old Style" w:hAnsi="Bookman Old Style"/>
          <w:b w:val="0"/>
          <w:bCs/>
          <w:sz w:val="24"/>
          <w:szCs w:val="24"/>
        </w:rPr>
      </w:pPr>
    </w:p>
    <w:p w:rsidR="00FB7F69" w:rsidRPr="00D03800" w:rsidRDefault="00FB7F69" w:rsidP="00FB7F69">
      <w:pPr>
        <w:pStyle w:val="Ttulo4"/>
        <w:tabs>
          <w:tab w:val="left" w:pos="0"/>
          <w:tab w:val="right" w:pos="9356"/>
        </w:tabs>
        <w:ind w:left="0"/>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FB7F69" w:rsidRPr="00D03800" w:rsidRDefault="00FB7F69" w:rsidP="00FB7F69">
      <w:pPr>
        <w:pStyle w:val="Ttulo4"/>
        <w:tabs>
          <w:tab w:val="left" w:pos="0"/>
          <w:tab w:val="right" w:pos="9356"/>
        </w:tabs>
        <w:ind w:left="0"/>
        <w:rPr>
          <w:rFonts w:ascii="Bookman Old Style" w:hAnsi="Bookman Old Style"/>
          <w:b w:val="0"/>
          <w:bCs/>
          <w:sz w:val="24"/>
          <w:szCs w:val="24"/>
        </w:rPr>
      </w:pPr>
    </w:p>
    <w:p w:rsidR="00FB7F69" w:rsidRPr="00397365" w:rsidRDefault="00FB7F69" w:rsidP="00FB7F69">
      <w:pPr>
        <w:pStyle w:val="Ttulo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COMISIÓN DE REGULACIÓN DE ENERGÍA Y GAS -CREG-</w:t>
      </w:r>
    </w:p>
    <w:p w:rsidR="00FB7F69" w:rsidRPr="00397365" w:rsidRDefault="00FB7F69" w:rsidP="00FB7F69">
      <w:pPr>
        <w:pStyle w:val="Ttulo5"/>
        <w:tabs>
          <w:tab w:val="left" w:pos="0"/>
          <w:tab w:val="right" w:pos="9356"/>
        </w:tabs>
        <w:ind w:left="0"/>
        <w:rPr>
          <w:rFonts w:ascii="Bookman Old Style" w:hAnsi="Bookman Old Style"/>
          <w:sz w:val="24"/>
          <w:szCs w:val="24"/>
        </w:rPr>
      </w:pPr>
    </w:p>
    <w:p w:rsidR="00FB7F69" w:rsidRPr="00397365" w:rsidRDefault="00FB7F69" w:rsidP="00FB7F69">
      <w:pPr>
        <w:pStyle w:val="Ttulo5"/>
        <w:tabs>
          <w:tab w:val="left" w:pos="0"/>
          <w:tab w:val="right" w:pos="9356"/>
        </w:tabs>
        <w:ind w:left="0"/>
        <w:rPr>
          <w:rFonts w:ascii="Bookman Old Style" w:hAnsi="Bookman Old Style"/>
          <w:sz w:val="24"/>
          <w:szCs w:val="24"/>
        </w:rPr>
      </w:pPr>
    </w:p>
    <w:p w:rsidR="00FB7F69" w:rsidRPr="00397365" w:rsidRDefault="00FB7F69" w:rsidP="00FB7F69">
      <w:pPr>
        <w:pStyle w:val="Ttulo5"/>
        <w:tabs>
          <w:tab w:val="left" w:pos="0"/>
          <w:tab w:val="right" w:pos="9356"/>
        </w:tabs>
        <w:ind w:left="0"/>
        <w:rPr>
          <w:rFonts w:ascii="Bookman Old Style" w:hAnsi="Bookman Old Style"/>
          <w:sz w:val="24"/>
          <w:szCs w:val="24"/>
        </w:rPr>
      </w:pPr>
      <w:r w:rsidRPr="00397365">
        <w:rPr>
          <w:rFonts w:ascii="Bookman Old Style" w:hAnsi="Bookman Old Style"/>
          <w:sz w:val="24"/>
          <w:szCs w:val="24"/>
        </w:rPr>
        <w:t>RESOLUCIÓN No.                   DE 201</w:t>
      </w:r>
      <w:r>
        <w:rPr>
          <w:rFonts w:ascii="Bookman Old Style" w:hAnsi="Bookman Old Style"/>
          <w:sz w:val="24"/>
          <w:szCs w:val="24"/>
        </w:rPr>
        <w:t>2</w:t>
      </w:r>
    </w:p>
    <w:p w:rsidR="00FB7F69" w:rsidRPr="00D03800" w:rsidRDefault="00FB7F69" w:rsidP="00FB7F69">
      <w:pPr>
        <w:tabs>
          <w:tab w:val="left" w:pos="0"/>
          <w:tab w:val="right" w:pos="9356"/>
        </w:tabs>
        <w:ind w:left="0"/>
        <w:jc w:val="center"/>
        <w:rPr>
          <w:rFonts w:ascii="Bookman Old Style" w:hAnsi="Bookman Old Style" w:cs="Arial"/>
          <w:b/>
          <w:snapToGrid w:val="0"/>
          <w:color w:val="000000"/>
          <w:lang w:val="es-ES_tradnl"/>
        </w:rPr>
      </w:pPr>
    </w:p>
    <w:p w:rsidR="00FB7F69" w:rsidRPr="00D03800" w:rsidRDefault="00FB7F69" w:rsidP="00FB7F69">
      <w:pPr>
        <w:pStyle w:val="Ttulo3"/>
        <w:tabs>
          <w:tab w:val="left" w:pos="0"/>
          <w:tab w:val="right" w:pos="9356"/>
        </w:tabs>
        <w:ind w:left="0"/>
        <w:rPr>
          <w:rFonts w:ascii="Bookman Old Style" w:hAnsi="Bookman Old Style"/>
          <w:b w:val="0"/>
          <w:szCs w:val="24"/>
        </w:rPr>
      </w:pPr>
      <w:r w:rsidRPr="00D03800">
        <w:rPr>
          <w:rFonts w:ascii="Bookman Old Style" w:hAnsi="Bookman Old Style"/>
          <w:b w:val="0"/>
          <w:szCs w:val="24"/>
        </w:rPr>
        <w:t>(                                  )</w:t>
      </w:r>
    </w:p>
    <w:p w:rsidR="00FB7F69" w:rsidRPr="00D03800" w:rsidRDefault="00FB7F69" w:rsidP="00FB7F69">
      <w:pPr>
        <w:tabs>
          <w:tab w:val="left" w:pos="0"/>
          <w:tab w:val="right" w:pos="9356"/>
        </w:tabs>
        <w:ind w:left="0"/>
        <w:jc w:val="center"/>
        <w:rPr>
          <w:rFonts w:ascii="Bookman Old Style" w:hAnsi="Bookman Old Style"/>
          <w:lang w:val="es-ES_tradnl"/>
        </w:rPr>
      </w:pPr>
    </w:p>
    <w:p w:rsidR="00FB7F69" w:rsidRDefault="00FB7F69" w:rsidP="00FB7F69">
      <w:pPr>
        <w:ind w:left="0"/>
        <w:rPr>
          <w:rFonts w:ascii="Bookman Old Style" w:hAnsi="Bookman Old Style"/>
          <w:bCs/>
          <w:lang w:val="es-ES_tradnl"/>
        </w:rPr>
      </w:pPr>
    </w:p>
    <w:p w:rsidR="00BC28AA" w:rsidRPr="00F0218F" w:rsidRDefault="00BC28AA" w:rsidP="00FB7F69">
      <w:pPr>
        <w:ind w:left="0"/>
        <w:rPr>
          <w:rFonts w:ascii="Bookman Old Style" w:hAnsi="Bookman Old Style"/>
          <w:bCs/>
          <w:lang w:val="es-ES_tradnl"/>
        </w:rPr>
      </w:pPr>
    </w:p>
    <w:p w:rsidR="00FB7F69" w:rsidRPr="00617704" w:rsidRDefault="00FB7F69" w:rsidP="00FB7F69">
      <w:pPr>
        <w:ind w:left="227" w:right="-737"/>
        <w:rPr>
          <w:rFonts w:ascii="Bookman Old Style" w:hAnsi="Bookman Old Style"/>
        </w:rPr>
      </w:pPr>
      <w:r w:rsidRPr="00617704">
        <w:rPr>
          <w:rFonts w:ascii="Bookman Old Style" w:hAnsi="Bookman Old Style"/>
        </w:rPr>
        <w:t xml:space="preserve">Por medio de la cual se resuelve un recurso de reposición en contra de </w:t>
      </w:r>
    </w:p>
    <w:p w:rsidR="00FB7F69" w:rsidRPr="00617704" w:rsidRDefault="00FB7F69" w:rsidP="00FB7F69">
      <w:pPr>
        <w:ind w:left="227" w:right="-737"/>
        <w:jc w:val="center"/>
        <w:rPr>
          <w:rFonts w:ascii="Bookman Old Style" w:hAnsi="Bookman Old Style"/>
        </w:rPr>
      </w:pPr>
      <w:proofErr w:type="gramStart"/>
      <w:r w:rsidRPr="00617704">
        <w:rPr>
          <w:rFonts w:ascii="Bookman Old Style" w:hAnsi="Bookman Old Style"/>
        </w:rPr>
        <w:t>la</w:t>
      </w:r>
      <w:proofErr w:type="gramEnd"/>
      <w:r w:rsidRPr="00617704">
        <w:rPr>
          <w:rFonts w:ascii="Bookman Old Style" w:hAnsi="Bookman Old Style"/>
        </w:rPr>
        <w:t xml:space="preserve"> Resolución CREG 175 de 2011</w:t>
      </w:r>
    </w:p>
    <w:p w:rsidR="00FB7F69" w:rsidRDefault="00FB7F69" w:rsidP="00FB7F69">
      <w:pPr>
        <w:ind w:left="227" w:right="-454"/>
        <w:jc w:val="both"/>
        <w:rPr>
          <w:sz w:val="23"/>
        </w:rPr>
      </w:pPr>
    </w:p>
    <w:p w:rsidR="00FB7F69" w:rsidRDefault="00FB7F69" w:rsidP="00FB7F69">
      <w:pPr>
        <w:ind w:left="170" w:right="-454"/>
        <w:jc w:val="both"/>
        <w:rPr>
          <w:sz w:val="23"/>
        </w:rPr>
      </w:pPr>
    </w:p>
    <w:p w:rsidR="00FB7F69" w:rsidRPr="00C051A8" w:rsidRDefault="00FB7F69" w:rsidP="00FB7F69">
      <w:pPr>
        <w:ind w:left="170" w:right="-454"/>
        <w:jc w:val="center"/>
        <w:rPr>
          <w:rFonts w:ascii="Bookman Old Style" w:hAnsi="Bookman Old Style"/>
          <w:b/>
        </w:rPr>
      </w:pPr>
      <w:r w:rsidRPr="00C051A8">
        <w:rPr>
          <w:rFonts w:ascii="Bookman Old Style" w:hAnsi="Bookman Old Style"/>
          <w:b/>
        </w:rPr>
        <w:t xml:space="preserve">LA </w:t>
      </w:r>
      <w:r>
        <w:rPr>
          <w:rFonts w:ascii="Bookman Old Style" w:hAnsi="Bookman Old Style"/>
          <w:b/>
        </w:rPr>
        <w:t>COMISIÓN DE REGULACIÓN DE ENERGÍA Y GAS -CREG-</w:t>
      </w:r>
    </w:p>
    <w:p w:rsidR="00FB7F69" w:rsidRPr="00C051A8" w:rsidRDefault="00FB7F69" w:rsidP="00FB7F69">
      <w:pPr>
        <w:ind w:left="170" w:right="-454"/>
        <w:jc w:val="both"/>
        <w:rPr>
          <w:rFonts w:ascii="Bookman Old Style" w:hAnsi="Bookman Old Style"/>
        </w:rPr>
      </w:pPr>
    </w:p>
    <w:p w:rsidR="00FB7F69" w:rsidRPr="00C051A8" w:rsidRDefault="00FB7F69" w:rsidP="00FB7F69">
      <w:pPr>
        <w:ind w:left="170" w:right="-454"/>
        <w:jc w:val="both"/>
        <w:rPr>
          <w:rFonts w:ascii="Bookman Old Style" w:hAnsi="Bookman Old Style"/>
        </w:rPr>
      </w:pPr>
    </w:p>
    <w:p w:rsidR="00FB7F69" w:rsidRPr="00C051A8" w:rsidRDefault="00FB7F69" w:rsidP="00FB7F69">
      <w:pPr>
        <w:ind w:left="170"/>
        <w:jc w:val="both"/>
        <w:rPr>
          <w:rFonts w:ascii="Bookman Old Style" w:hAnsi="Bookman Old Style"/>
        </w:rPr>
      </w:pPr>
      <w:r w:rsidRPr="00C051A8">
        <w:rPr>
          <w:rFonts w:ascii="Bookman Old Style" w:hAnsi="Bookman Old Style"/>
        </w:rPr>
        <w:t>En uso de sus facultades legales, en especial las conferidas por la</w:t>
      </w:r>
      <w:r>
        <w:rPr>
          <w:rFonts w:ascii="Bookman Old Style" w:hAnsi="Bookman Old Style"/>
        </w:rPr>
        <w:t>s</w:t>
      </w:r>
      <w:r w:rsidRPr="00C051A8">
        <w:rPr>
          <w:rFonts w:ascii="Bookman Old Style" w:hAnsi="Bookman Old Style"/>
        </w:rPr>
        <w:t xml:space="preserve"> Ley</w:t>
      </w:r>
      <w:r>
        <w:rPr>
          <w:rFonts w:ascii="Bookman Old Style" w:hAnsi="Bookman Old Style"/>
        </w:rPr>
        <w:t>es</w:t>
      </w:r>
      <w:r w:rsidRPr="00C051A8">
        <w:rPr>
          <w:rFonts w:ascii="Bookman Old Style" w:hAnsi="Bookman Old Style"/>
        </w:rPr>
        <w:t xml:space="preserve"> 142 de 1994</w:t>
      </w:r>
      <w:r>
        <w:rPr>
          <w:rFonts w:ascii="Bookman Old Style" w:hAnsi="Bookman Old Style"/>
        </w:rPr>
        <w:t xml:space="preserve"> y 143 de 1994</w:t>
      </w:r>
      <w:r w:rsidRPr="00C051A8">
        <w:rPr>
          <w:rFonts w:ascii="Bookman Old Style" w:hAnsi="Bookman Old Style"/>
        </w:rPr>
        <w:t>, y en desarrollo de los</w:t>
      </w:r>
      <w:r>
        <w:rPr>
          <w:rFonts w:ascii="Bookman Old Style" w:hAnsi="Bookman Old Style"/>
        </w:rPr>
        <w:t xml:space="preserve"> decretos 1524 y 2253 de 1994, </w:t>
      </w:r>
    </w:p>
    <w:p w:rsidR="00FB7F69" w:rsidRPr="00C051A8" w:rsidRDefault="00FB7F69" w:rsidP="00FB7F69">
      <w:pPr>
        <w:ind w:left="0" w:right="-454"/>
        <w:jc w:val="both"/>
        <w:rPr>
          <w:rFonts w:ascii="Bookman Old Style" w:hAnsi="Bookman Old Style"/>
        </w:rPr>
      </w:pPr>
    </w:p>
    <w:p w:rsidR="00FB7F69" w:rsidRPr="00C051A8" w:rsidRDefault="00FB7F69" w:rsidP="00FB7F69">
      <w:pPr>
        <w:ind w:left="170" w:right="-454"/>
        <w:jc w:val="both"/>
        <w:rPr>
          <w:rFonts w:ascii="Bookman Old Style" w:hAnsi="Bookman Old Style"/>
        </w:rPr>
      </w:pPr>
    </w:p>
    <w:p w:rsidR="00FB7F69" w:rsidRPr="00F763C8" w:rsidRDefault="00FB7F69" w:rsidP="00FB7F69">
      <w:pPr>
        <w:tabs>
          <w:tab w:val="center" w:pos="4512"/>
        </w:tabs>
        <w:suppressAutoHyphens/>
        <w:ind w:left="170" w:right="-454"/>
        <w:jc w:val="center"/>
        <w:rPr>
          <w:rFonts w:ascii="Bookman Old Style" w:hAnsi="Bookman Old Style"/>
          <w:b/>
          <w:spacing w:val="-3"/>
        </w:rPr>
      </w:pPr>
      <w:r w:rsidRPr="00C051A8">
        <w:rPr>
          <w:rFonts w:ascii="Bookman Old Style" w:hAnsi="Bookman Old Style"/>
          <w:b/>
          <w:spacing w:val="-3"/>
        </w:rPr>
        <w:t>C O N S I D E R A N D O:</w:t>
      </w:r>
    </w:p>
    <w:p w:rsidR="00FB7F69" w:rsidRDefault="00FB7F69" w:rsidP="00FB7F69">
      <w:pPr>
        <w:ind w:left="0"/>
        <w:jc w:val="both"/>
        <w:rPr>
          <w:rFonts w:ascii="Bookman Old Style" w:hAnsi="Bookman Old Style"/>
        </w:rPr>
      </w:pPr>
    </w:p>
    <w:p w:rsidR="00617704" w:rsidRPr="00C051A8" w:rsidRDefault="00617704" w:rsidP="00FB7F69">
      <w:pPr>
        <w:ind w:left="0"/>
        <w:jc w:val="both"/>
        <w:rPr>
          <w:rFonts w:ascii="Bookman Old Style" w:hAnsi="Bookman Old Style"/>
        </w:rPr>
      </w:pPr>
    </w:p>
    <w:p w:rsidR="00FB7F69" w:rsidRDefault="00FB7F69" w:rsidP="00FB7F69">
      <w:pPr>
        <w:ind w:left="0"/>
        <w:jc w:val="both"/>
        <w:rPr>
          <w:rFonts w:ascii="Bookman Old Style" w:hAnsi="Bookman Old Style" w:cs="Arial"/>
        </w:rPr>
      </w:pPr>
      <w:r>
        <w:rPr>
          <w:rFonts w:ascii="Bookman Old Style" w:hAnsi="Bookman Old Style" w:cs="Arial"/>
        </w:rPr>
        <w:t>Que de acuerdo con el artículo 85 de la Ley 142 de 1994, c</w:t>
      </w:r>
      <w:r w:rsidRPr="00A666D2">
        <w:rPr>
          <w:rFonts w:ascii="Bookman Old Style" w:hAnsi="Bookman Old Style" w:cs="Arial"/>
        </w:rPr>
        <w:t xml:space="preserve">on el fin de recuperar los costos del servicio de regulación que preste cada comisión </w:t>
      </w:r>
      <w:r>
        <w:rPr>
          <w:rFonts w:ascii="Bookman Old Style" w:hAnsi="Bookman Old Style" w:cs="Arial"/>
        </w:rPr>
        <w:t xml:space="preserve">a </w:t>
      </w:r>
      <w:r w:rsidRPr="00A666D2">
        <w:rPr>
          <w:rFonts w:ascii="Bookman Old Style" w:hAnsi="Bookman Old Style" w:cs="Arial"/>
        </w:rPr>
        <w:t xml:space="preserve">las entidades sometidas a su regulación, </w:t>
      </w:r>
      <w:r>
        <w:rPr>
          <w:rFonts w:ascii="Bookman Old Style" w:hAnsi="Bookman Old Style" w:cs="Arial"/>
        </w:rPr>
        <w:t>estas</w:t>
      </w:r>
      <w:r w:rsidRPr="00A666D2">
        <w:rPr>
          <w:rFonts w:ascii="Bookman Old Style" w:hAnsi="Bookman Old Style" w:cs="Arial"/>
        </w:rPr>
        <w:t xml:space="preserve"> estarán sujetas </w:t>
      </w:r>
      <w:r>
        <w:rPr>
          <w:rFonts w:ascii="Bookman Old Style" w:hAnsi="Bookman Old Style" w:cs="Arial"/>
        </w:rPr>
        <w:t>a una contribución que se liquidará</w:t>
      </w:r>
      <w:r w:rsidRPr="00A666D2">
        <w:rPr>
          <w:rFonts w:ascii="Bookman Old Style" w:hAnsi="Bookman Old Style" w:cs="Arial"/>
        </w:rPr>
        <w:t xml:space="preserve"> y p</w:t>
      </w:r>
      <w:r>
        <w:rPr>
          <w:rFonts w:ascii="Bookman Old Style" w:hAnsi="Bookman Old Style" w:cs="Arial"/>
        </w:rPr>
        <w:t>agará</w:t>
      </w:r>
      <w:r w:rsidRPr="00A666D2">
        <w:rPr>
          <w:rFonts w:ascii="Bookman Old Style" w:hAnsi="Bookman Old Style" w:cs="Arial"/>
        </w:rPr>
        <w:t xml:space="preserve"> cada año conforme a las reglas</w:t>
      </w:r>
      <w:r>
        <w:rPr>
          <w:rFonts w:ascii="Bookman Old Style" w:hAnsi="Bookman Old Style" w:cs="Arial"/>
        </w:rPr>
        <w:t xml:space="preserve"> establecidas, en el numeral 2 y el parágrafo 2 de esta misma disposición</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Pr="00F763C8" w:rsidRDefault="00FB7F69" w:rsidP="00FB7F69">
      <w:pPr>
        <w:ind w:left="0"/>
        <w:jc w:val="both"/>
        <w:rPr>
          <w:rFonts w:ascii="Bookman Old Style" w:hAnsi="Bookman Old Style" w:cs="Arial"/>
        </w:rPr>
      </w:pPr>
      <w:r w:rsidRPr="00F763C8">
        <w:rPr>
          <w:rFonts w:ascii="Bookman Old Style" w:hAnsi="Bookman Old Style" w:cs="Arial"/>
        </w:rPr>
        <w:t xml:space="preserve">Que la </w:t>
      </w:r>
      <w:r>
        <w:rPr>
          <w:rFonts w:ascii="Bookman Old Style" w:hAnsi="Bookman Old Style" w:cs="Arial"/>
        </w:rPr>
        <w:t>Comisión de Regulación de Energía y Gas -CREG-</w:t>
      </w:r>
      <w:r w:rsidRPr="00F763C8">
        <w:rPr>
          <w:rFonts w:ascii="Bookman Old Style" w:hAnsi="Bookman Old Style" w:cs="Arial"/>
        </w:rPr>
        <w:t xml:space="preserve"> tiene a su cargo la liquidación del monto de la contribución que se aplica a cada una de las entidades sujetas a su regulación, de acuerdo con lo señalado en</w:t>
      </w:r>
      <w:r>
        <w:rPr>
          <w:rFonts w:ascii="Bookman Old Style" w:hAnsi="Bookman Old Style" w:cs="Arial"/>
        </w:rPr>
        <w:t xml:space="preserve"> el artículo 85 de la Ley 142 de 1994 y en</w:t>
      </w:r>
      <w:r w:rsidRPr="00F763C8">
        <w:rPr>
          <w:rFonts w:ascii="Bookman Old Style" w:hAnsi="Bookman Old Style" w:cs="Arial"/>
        </w:rPr>
        <w:t xml:space="preserve"> los Artículos 20 y 21 del Decreto 2461 de 1999, para los subsectores de energía eléctrica y de gas combustible, cuya tarifa máxima no puede ser superior al uno por ciento (1%) del valor de los gastos de funcionamiento de la entidad contribuyente, con exclusión de los factores s</w:t>
      </w:r>
      <w:r>
        <w:rPr>
          <w:rFonts w:ascii="Bookman Old Style" w:hAnsi="Bookman Old Style" w:cs="Arial"/>
        </w:rPr>
        <w:t xml:space="preserve">eñalados en las Leyes 142 y 143 </w:t>
      </w:r>
      <w:r w:rsidRPr="00F763C8">
        <w:rPr>
          <w:rFonts w:ascii="Bookman Old Style" w:hAnsi="Bookman Old Style" w:cs="Arial"/>
        </w:rPr>
        <w:t>de 1994</w:t>
      </w:r>
      <w:r w:rsidR="00617704">
        <w:rPr>
          <w:rFonts w:ascii="Bookman Old Style" w:hAnsi="Bookman Old Style" w:cs="Arial"/>
        </w:rPr>
        <w:t>;</w:t>
      </w:r>
    </w:p>
    <w:p w:rsidR="00FB7F69" w:rsidRDefault="00FB7F69" w:rsidP="00FB7F69">
      <w:pPr>
        <w:pStyle w:val="Prrafodelista"/>
        <w:ind w:left="720"/>
        <w:jc w:val="both"/>
        <w:rPr>
          <w:rFonts w:ascii="Bookman Old Style" w:hAnsi="Bookman Old Style" w:cs="Arial"/>
          <w:sz w:val="24"/>
          <w:szCs w:val="24"/>
        </w:rPr>
      </w:pPr>
    </w:p>
    <w:p w:rsidR="00FB7F69" w:rsidRPr="00F763C8" w:rsidRDefault="00FB7F69" w:rsidP="00FB7F69">
      <w:pPr>
        <w:ind w:left="0"/>
        <w:jc w:val="both"/>
        <w:rPr>
          <w:rFonts w:ascii="Bookman Old Style" w:hAnsi="Bookman Old Style" w:cs="Arial"/>
        </w:rPr>
      </w:pPr>
      <w:r w:rsidRPr="00F763C8">
        <w:rPr>
          <w:rFonts w:ascii="Bookman Old Style" w:hAnsi="Bookman Old Style" w:cs="Arial"/>
        </w:rPr>
        <w:t>Que mediante resolución CREG-1</w:t>
      </w:r>
      <w:r>
        <w:rPr>
          <w:rFonts w:ascii="Bookman Old Style" w:hAnsi="Bookman Old Style" w:cs="Arial"/>
        </w:rPr>
        <w:t>75</w:t>
      </w:r>
      <w:r w:rsidRPr="00F763C8">
        <w:rPr>
          <w:rFonts w:ascii="Bookman Old Style" w:hAnsi="Bookman Old Style" w:cs="Arial"/>
        </w:rPr>
        <w:t xml:space="preserve"> del </w:t>
      </w:r>
      <w:r>
        <w:rPr>
          <w:rFonts w:ascii="Bookman Old Style" w:hAnsi="Bookman Old Style" w:cs="Arial"/>
        </w:rPr>
        <w:t>22</w:t>
      </w:r>
      <w:r w:rsidRPr="00F763C8">
        <w:rPr>
          <w:rFonts w:ascii="Bookman Old Style" w:hAnsi="Bookman Old Style" w:cs="Arial"/>
        </w:rPr>
        <w:t xml:space="preserve"> de </w:t>
      </w:r>
      <w:r>
        <w:rPr>
          <w:rFonts w:ascii="Bookman Old Style" w:hAnsi="Bookman Old Style" w:cs="Arial"/>
        </w:rPr>
        <w:t>diciembre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se </w:t>
      </w:r>
      <w:r>
        <w:rPr>
          <w:rFonts w:ascii="Bookman Old Style" w:hAnsi="Bookman Old Style" w:cs="Arial"/>
        </w:rPr>
        <w:t>revocaron parcialmente las resoluciones CREG-142 y CREG 143 de 2011</w:t>
      </w:r>
      <w:r w:rsidR="00617704">
        <w:rPr>
          <w:rFonts w:ascii="Bookman Old Style" w:hAnsi="Bookman Old Style" w:cs="Arial"/>
        </w:rPr>
        <w:t>;</w:t>
      </w:r>
    </w:p>
    <w:p w:rsidR="00FB7F69" w:rsidRPr="00687C56" w:rsidRDefault="00FB7F69" w:rsidP="00FB7F69">
      <w:pPr>
        <w:pStyle w:val="Prrafodelista"/>
        <w:rPr>
          <w:rFonts w:ascii="Bookman Old Style" w:hAnsi="Bookman Old Style" w:cs="Arial"/>
          <w:sz w:val="24"/>
          <w:szCs w:val="24"/>
        </w:rPr>
      </w:pPr>
    </w:p>
    <w:p w:rsidR="00FB7F69"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el artículo 1 de</w:t>
      </w:r>
      <w:r w:rsidRPr="00F763C8">
        <w:rPr>
          <w:rFonts w:ascii="Bookman Old Style" w:hAnsi="Bookman Old Style" w:cs="Arial"/>
        </w:rPr>
        <w:t xml:space="preserve"> la resolución CREG-1</w:t>
      </w:r>
      <w:r>
        <w:rPr>
          <w:rFonts w:ascii="Bookman Old Style" w:hAnsi="Bookman Old Style" w:cs="Arial"/>
        </w:rPr>
        <w:t>75</w:t>
      </w:r>
      <w:r w:rsidRPr="00F763C8">
        <w:rPr>
          <w:rFonts w:ascii="Bookman Old Style" w:hAnsi="Bookman Old Style" w:cs="Arial"/>
        </w:rPr>
        <w:t xml:space="preserve"> del </w:t>
      </w:r>
      <w:r>
        <w:rPr>
          <w:rFonts w:ascii="Bookman Old Style" w:hAnsi="Bookman Old Style" w:cs="Arial"/>
        </w:rPr>
        <w:t>22</w:t>
      </w:r>
      <w:r w:rsidRPr="00F763C8">
        <w:rPr>
          <w:rFonts w:ascii="Bookman Old Style" w:hAnsi="Bookman Old Style" w:cs="Arial"/>
        </w:rPr>
        <w:t xml:space="preserve"> de </w:t>
      </w:r>
      <w:r>
        <w:rPr>
          <w:rFonts w:ascii="Bookman Old Style" w:hAnsi="Bookman Old Style" w:cs="Arial"/>
        </w:rPr>
        <w:t>diciembre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w:t>
      </w:r>
      <w:r>
        <w:rPr>
          <w:rFonts w:ascii="Bookman Old Style" w:hAnsi="Bookman Old Style" w:cs="Arial"/>
        </w:rPr>
        <w:t>revocó el artículo 5 de la resolución CREG- 142 de 2011</w:t>
      </w:r>
      <w:r w:rsidRPr="00F763C8">
        <w:rPr>
          <w:rFonts w:ascii="Bookman Old Style" w:hAnsi="Bookman Old Style" w:cs="Arial"/>
        </w:rPr>
        <w:t xml:space="preserve"> señal</w:t>
      </w:r>
      <w:r>
        <w:rPr>
          <w:rFonts w:ascii="Bookman Old Style" w:hAnsi="Bookman Old Style" w:cs="Arial"/>
        </w:rPr>
        <w:t>ando</w:t>
      </w:r>
      <w:r w:rsidRPr="00F763C8">
        <w:rPr>
          <w:rFonts w:ascii="Bookman Old Style" w:hAnsi="Bookman Old Style" w:cs="Arial"/>
        </w:rPr>
        <w:t xml:space="preserve"> que</w:t>
      </w:r>
      <w:r>
        <w:rPr>
          <w:rFonts w:ascii="Bookman Old Style" w:hAnsi="Bookman Old Style" w:cs="Arial"/>
        </w:rPr>
        <w:t xml:space="preserve"> el monto total de la contribución que deben pagar las entidades sujetas a regulación de la Comisión de Regulación de Energía y Gas, en el año 2011, es del 0,757% del valor de los gastos de funcionamiento de la entidad sujeta a regulación, con exclusión de los factores establecidos en la Ley</w:t>
      </w:r>
      <w:r w:rsidRPr="00F763C8">
        <w:rPr>
          <w:rFonts w:ascii="Bookman Old Style" w:hAnsi="Bookman Old Style" w:cs="Arial"/>
        </w:rPr>
        <w:t>.</w:t>
      </w:r>
      <w:r>
        <w:rPr>
          <w:rFonts w:ascii="Bookman Old Style" w:hAnsi="Bookman Old Style" w:cs="Arial"/>
        </w:rPr>
        <w:t xml:space="preserve"> El monto correspondiente a cada Entidad será determinado con base en los estados </w:t>
      </w:r>
      <w:r>
        <w:rPr>
          <w:rFonts w:ascii="Bookman Old Style" w:hAnsi="Bookman Old Style" w:cs="Arial"/>
        </w:rPr>
        <w:lastRenderedPageBreak/>
        <w:t>financieros correspondientes al año 2010 como lo ordenan las normas legales vigentes</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el artículo 3 de</w:t>
      </w:r>
      <w:r w:rsidRPr="00F763C8">
        <w:rPr>
          <w:rFonts w:ascii="Bookman Old Style" w:hAnsi="Bookman Old Style" w:cs="Arial"/>
        </w:rPr>
        <w:t xml:space="preserve"> la resolución CREG-1</w:t>
      </w:r>
      <w:r>
        <w:rPr>
          <w:rFonts w:ascii="Bookman Old Style" w:hAnsi="Bookman Old Style" w:cs="Arial"/>
        </w:rPr>
        <w:t>75</w:t>
      </w:r>
      <w:r w:rsidRPr="00F763C8">
        <w:rPr>
          <w:rFonts w:ascii="Bookman Old Style" w:hAnsi="Bookman Old Style" w:cs="Arial"/>
        </w:rPr>
        <w:t xml:space="preserve"> del </w:t>
      </w:r>
      <w:r>
        <w:rPr>
          <w:rFonts w:ascii="Bookman Old Style" w:hAnsi="Bookman Old Style" w:cs="Arial"/>
        </w:rPr>
        <w:t>22</w:t>
      </w:r>
      <w:r w:rsidRPr="00F763C8">
        <w:rPr>
          <w:rFonts w:ascii="Bookman Old Style" w:hAnsi="Bookman Old Style" w:cs="Arial"/>
        </w:rPr>
        <w:t xml:space="preserve"> de </w:t>
      </w:r>
      <w:r>
        <w:rPr>
          <w:rFonts w:ascii="Bookman Old Style" w:hAnsi="Bookman Old Style" w:cs="Arial"/>
        </w:rPr>
        <w:t>diciembre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w:t>
      </w:r>
      <w:r>
        <w:rPr>
          <w:rFonts w:ascii="Bookman Old Style" w:hAnsi="Bookman Old Style" w:cs="Arial"/>
        </w:rPr>
        <w:t>revocó el artículo 1 de la resolución CREG- 143 de 2011</w:t>
      </w:r>
      <w:r w:rsidRPr="00F763C8">
        <w:rPr>
          <w:rFonts w:ascii="Bookman Old Style" w:hAnsi="Bookman Old Style" w:cs="Arial"/>
        </w:rPr>
        <w:t xml:space="preserve"> señal</w:t>
      </w:r>
      <w:r>
        <w:rPr>
          <w:rFonts w:ascii="Bookman Old Style" w:hAnsi="Bookman Old Style" w:cs="Arial"/>
        </w:rPr>
        <w:t>ando</w:t>
      </w:r>
      <w:r w:rsidRPr="00F763C8">
        <w:rPr>
          <w:rFonts w:ascii="Bookman Old Style" w:hAnsi="Bookman Old Style" w:cs="Arial"/>
        </w:rPr>
        <w:t xml:space="preserve"> que</w:t>
      </w:r>
      <w:r>
        <w:rPr>
          <w:rFonts w:ascii="Bookman Old Style" w:hAnsi="Bookman Old Style" w:cs="Arial"/>
        </w:rPr>
        <w:t xml:space="preserve"> las EMPRESAS PÚBLICAS DE MEDELLÍN E.S.P debían pagar la suma de $3.607.204.945 por concepto de contribución especial para el año 2011</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Pr="00F763C8"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las EMPRESAS PÚBLICAS DE MEDELLÍN E.S.P fueron notificadas personalmente de la</w:t>
      </w:r>
      <w:r w:rsidRPr="00F763C8">
        <w:rPr>
          <w:rFonts w:ascii="Bookman Old Style" w:hAnsi="Bookman Old Style" w:cs="Arial"/>
        </w:rPr>
        <w:t xml:space="preserve"> resolución CREG-1</w:t>
      </w:r>
      <w:r>
        <w:rPr>
          <w:rFonts w:ascii="Bookman Old Style" w:hAnsi="Bookman Old Style" w:cs="Arial"/>
        </w:rPr>
        <w:t>75</w:t>
      </w:r>
      <w:r w:rsidRPr="00F763C8">
        <w:rPr>
          <w:rFonts w:ascii="Bookman Old Style" w:hAnsi="Bookman Old Style" w:cs="Arial"/>
        </w:rPr>
        <w:t xml:space="preserve"> de 201</w:t>
      </w:r>
      <w:r>
        <w:rPr>
          <w:rFonts w:ascii="Bookman Old Style" w:hAnsi="Bookman Old Style" w:cs="Arial"/>
        </w:rPr>
        <w:t>1</w:t>
      </w:r>
      <w:r w:rsidRPr="00F763C8">
        <w:rPr>
          <w:rFonts w:ascii="Bookman Old Style" w:hAnsi="Bookman Old Style" w:cs="Arial"/>
        </w:rPr>
        <w:t xml:space="preserve"> </w:t>
      </w:r>
      <w:r>
        <w:rPr>
          <w:rFonts w:ascii="Bookman Old Style" w:hAnsi="Bookman Old Style" w:cs="Arial"/>
        </w:rPr>
        <w:t>el día 10</w:t>
      </w:r>
      <w:r w:rsidRPr="00F763C8">
        <w:rPr>
          <w:rFonts w:ascii="Bookman Old Style" w:hAnsi="Bookman Old Style" w:cs="Arial"/>
        </w:rPr>
        <w:t xml:space="preserve"> de </w:t>
      </w:r>
      <w:r>
        <w:rPr>
          <w:rFonts w:ascii="Bookman Old Style" w:hAnsi="Bookman Old Style" w:cs="Arial"/>
        </w:rPr>
        <w:t>enero</w:t>
      </w:r>
      <w:r w:rsidRPr="00F763C8">
        <w:rPr>
          <w:rFonts w:ascii="Bookman Old Style" w:hAnsi="Bookman Old Style" w:cs="Arial"/>
        </w:rPr>
        <w:t xml:space="preserve"> de 201</w:t>
      </w:r>
      <w:r>
        <w:rPr>
          <w:rFonts w:ascii="Bookman Old Style" w:hAnsi="Bookman Old Style" w:cs="Arial"/>
        </w:rPr>
        <w:t>2</w:t>
      </w:r>
      <w:r w:rsidR="00617704">
        <w:rPr>
          <w:rFonts w:ascii="Bookman Old Style" w:hAnsi="Bookman Old Style" w:cs="Arial"/>
        </w:rPr>
        <w:t>;</w:t>
      </w:r>
    </w:p>
    <w:p w:rsidR="00FB7F69" w:rsidRPr="00190880" w:rsidRDefault="00FB7F69" w:rsidP="00FB7F69">
      <w:pPr>
        <w:pStyle w:val="Prrafodelista"/>
        <w:rPr>
          <w:rFonts w:ascii="Bookman Old Style" w:hAnsi="Bookman Old Style" w:cs="Arial"/>
          <w:sz w:val="24"/>
          <w:szCs w:val="24"/>
        </w:rPr>
      </w:pPr>
    </w:p>
    <w:p w:rsidR="00FB7F69"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 xml:space="preserve">encontrándose dentro del término legal, </w:t>
      </w:r>
      <w:r w:rsidRPr="00F763C8">
        <w:rPr>
          <w:rFonts w:ascii="Bookman Old Style" w:hAnsi="Bookman Old Style" w:cs="Arial"/>
        </w:rPr>
        <w:t xml:space="preserve">mediante escrito presentado en la </w:t>
      </w:r>
      <w:r>
        <w:rPr>
          <w:rFonts w:ascii="Bookman Old Style" w:hAnsi="Bookman Old Style" w:cs="Arial"/>
        </w:rPr>
        <w:t>Comisión de Regulación de Energía y Gas -CREG- bajo radicado número E-2012-000284</w:t>
      </w:r>
      <w:r w:rsidRPr="00F763C8">
        <w:rPr>
          <w:rFonts w:ascii="Bookman Old Style" w:hAnsi="Bookman Old Style" w:cs="Arial"/>
        </w:rPr>
        <w:t xml:space="preserve"> el día 1</w:t>
      </w:r>
      <w:r>
        <w:rPr>
          <w:rFonts w:ascii="Bookman Old Style" w:hAnsi="Bookman Old Style" w:cs="Arial"/>
        </w:rPr>
        <w:t>7</w:t>
      </w:r>
      <w:r w:rsidRPr="00F763C8">
        <w:rPr>
          <w:rFonts w:ascii="Bookman Old Style" w:hAnsi="Bookman Old Style" w:cs="Arial"/>
        </w:rPr>
        <w:t xml:space="preserve"> de </w:t>
      </w:r>
      <w:r>
        <w:rPr>
          <w:rFonts w:ascii="Bookman Old Style" w:hAnsi="Bookman Old Style" w:cs="Arial"/>
        </w:rPr>
        <w:t>enero</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w:t>
      </w:r>
      <w:r>
        <w:rPr>
          <w:rFonts w:ascii="Bookman Old Style" w:hAnsi="Bookman Old Style" w:cs="Arial"/>
        </w:rPr>
        <w:t>el</w:t>
      </w:r>
      <w:r w:rsidRPr="00F763C8">
        <w:rPr>
          <w:rFonts w:ascii="Bookman Old Style" w:hAnsi="Bookman Old Style" w:cs="Arial"/>
        </w:rPr>
        <w:t xml:space="preserve"> Representante Legal de </w:t>
      </w:r>
      <w:r>
        <w:rPr>
          <w:rFonts w:ascii="Bookman Old Style" w:hAnsi="Bookman Old Style" w:cs="Arial"/>
        </w:rPr>
        <w:t>las EMPRESAS PÚBLICAS DE MEDELLÍN E.S.P</w:t>
      </w:r>
      <w:r w:rsidRPr="00F763C8">
        <w:rPr>
          <w:rFonts w:ascii="Bookman Old Style" w:hAnsi="Bookman Old Style" w:cs="Arial"/>
        </w:rPr>
        <w:t>, presentó recurso de reposición contra la resolución CREG-1</w:t>
      </w:r>
      <w:r>
        <w:rPr>
          <w:rFonts w:ascii="Bookman Old Style" w:hAnsi="Bookman Old Style" w:cs="Arial"/>
        </w:rPr>
        <w:t>75 de 2011</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Default="00FB7F69" w:rsidP="000C6857">
      <w:pPr>
        <w:ind w:left="0"/>
        <w:jc w:val="both"/>
        <w:rPr>
          <w:rFonts w:ascii="Bookman Old Style" w:hAnsi="Bookman Old Style" w:cs="Arial"/>
        </w:rPr>
      </w:pPr>
      <w:r>
        <w:rPr>
          <w:rFonts w:ascii="Bookman Old Style" w:hAnsi="Bookman Old Style" w:cs="Arial"/>
        </w:rPr>
        <w:t>Que mediante la presente resolución, procede esta Comisión a resolver este recurso en contra de la Resolución CREG 175 de 2011 en sus artículos 1 y 3, con base en las siguientes consideraciones</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Pr="00E21B11" w:rsidRDefault="00FB7F69" w:rsidP="00FB7F69">
      <w:pPr>
        <w:pStyle w:val="Prrafodelista"/>
        <w:numPr>
          <w:ilvl w:val="0"/>
          <w:numId w:val="31"/>
        </w:numPr>
        <w:jc w:val="both"/>
        <w:rPr>
          <w:rFonts w:ascii="Bookman Old Style" w:hAnsi="Bookman Old Style" w:cs="Arial"/>
          <w:b/>
          <w:sz w:val="24"/>
          <w:szCs w:val="24"/>
        </w:rPr>
      </w:pPr>
      <w:r w:rsidRPr="00E21B11">
        <w:rPr>
          <w:rFonts w:ascii="Bookman Old Style" w:hAnsi="Bookman Old Style" w:cs="Arial"/>
          <w:b/>
          <w:sz w:val="24"/>
          <w:szCs w:val="24"/>
        </w:rPr>
        <w:t>EL RECURSO DE REPOSICIÓN</w:t>
      </w:r>
    </w:p>
    <w:p w:rsidR="00FB7F69" w:rsidRPr="00F763C8" w:rsidRDefault="00FB7F69" w:rsidP="00FB7F69">
      <w:pPr>
        <w:ind w:left="0"/>
        <w:jc w:val="both"/>
        <w:rPr>
          <w:rFonts w:ascii="Bookman Old Style" w:hAnsi="Bookman Old Style" w:cs="Arial"/>
        </w:rPr>
      </w:pPr>
    </w:p>
    <w:p w:rsidR="00FB7F69" w:rsidRDefault="00FB7F69" w:rsidP="00FB7F69">
      <w:pPr>
        <w:pStyle w:val="Prrafodelista"/>
        <w:numPr>
          <w:ilvl w:val="0"/>
          <w:numId w:val="17"/>
        </w:numPr>
        <w:rPr>
          <w:rFonts w:ascii="Bookman Old Style" w:hAnsi="Bookman Old Style" w:cs="Arial"/>
          <w:b/>
          <w:sz w:val="24"/>
          <w:szCs w:val="24"/>
        </w:rPr>
      </w:pPr>
      <w:r>
        <w:rPr>
          <w:rFonts w:ascii="Bookman Old Style" w:hAnsi="Bookman Old Style" w:cs="Arial"/>
          <w:b/>
          <w:sz w:val="24"/>
          <w:szCs w:val="24"/>
        </w:rPr>
        <w:t>PROCEDENCIA DEL RECURSO</w:t>
      </w:r>
    </w:p>
    <w:p w:rsidR="00FB7F69" w:rsidRDefault="00FB7F69" w:rsidP="00FB7F69">
      <w:pPr>
        <w:pStyle w:val="Prrafodelista"/>
        <w:ind w:left="720"/>
        <w:rPr>
          <w:rFonts w:ascii="Bookman Old Style" w:hAnsi="Bookman Old Style" w:cs="Arial"/>
          <w:b/>
          <w:sz w:val="24"/>
          <w:szCs w:val="24"/>
        </w:rPr>
      </w:pPr>
    </w:p>
    <w:p w:rsidR="00FB7F69" w:rsidRDefault="00FB7F69" w:rsidP="00FB7F69">
      <w:pPr>
        <w:pStyle w:val="Prrafodelista"/>
        <w:ind w:left="0"/>
        <w:jc w:val="both"/>
        <w:rPr>
          <w:rFonts w:ascii="Bookman Old Style" w:hAnsi="Bookman Old Style" w:cs="Arial"/>
          <w:sz w:val="24"/>
          <w:szCs w:val="24"/>
        </w:rPr>
      </w:pPr>
      <w:r w:rsidRPr="00C00B83">
        <w:rPr>
          <w:rFonts w:ascii="Bookman Old Style" w:hAnsi="Bookman Old Style" w:cs="Arial"/>
          <w:sz w:val="24"/>
          <w:szCs w:val="24"/>
        </w:rPr>
        <w:t>El recurrente presentó el recurso de reposición contra los artículos 1 y 3 de la resolución CREG-175 de 2011, proferida por la Comisión de Regulación de Energía y Gas –CREG-, por medio de la cual se revocan parcialmente las resoluciones CREG 142 de 2011 y CREG 143 de 2011, relacionadas con la contribución especial señalada para el año 2011</w:t>
      </w:r>
      <w:r>
        <w:rPr>
          <w:rFonts w:ascii="Bookman Old Style" w:hAnsi="Bookman Old Style" w:cs="Arial"/>
          <w:sz w:val="24"/>
          <w:szCs w:val="24"/>
        </w:rPr>
        <w:t>.</w:t>
      </w:r>
    </w:p>
    <w:p w:rsidR="00FB7F69" w:rsidRDefault="00FB7F69" w:rsidP="00FB7F69">
      <w:pPr>
        <w:pStyle w:val="Prrafodelista"/>
        <w:ind w:left="0"/>
        <w:jc w:val="both"/>
        <w:rPr>
          <w:rFonts w:ascii="Bookman Old Style" w:hAnsi="Bookman Old Style" w:cs="Arial"/>
          <w:sz w:val="24"/>
          <w:szCs w:val="24"/>
        </w:rPr>
      </w:pPr>
    </w:p>
    <w:p w:rsidR="00FB7F69" w:rsidRDefault="00FB7F69" w:rsidP="00FB7F69">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El recurso fue interpuesto dentro del término legal, esto es, dentro de los cinco (5) días hábiles siguientes a la notificación, de acuerdo con </w:t>
      </w:r>
      <w:r w:rsidRPr="00E21B11">
        <w:rPr>
          <w:rFonts w:ascii="Bookman Old Style" w:hAnsi="Bookman Old Style" w:cs="Arial"/>
          <w:sz w:val="24"/>
          <w:szCs w:val="24"/>
        </w:rPr>
        <w:t>el plazo establecido en el artículo 51 del Código Contencioso Administrativo</w:t>
      </w:r>
      <w:r>
        <w:rPr>
          <w:rFonts w:ascii="Bookman Old Style" w:hAnsi="Bookman Old Style" w:cs="Arial"/>
          <w:sz w:val="24"/>
          <w:szCs w:val="24"/>
        </w:rPr>
        <w:t xml:space="preserve">, que para el caso de Empresas Publicas de Medellín se surtió de manera personal el día 10 de enero de 2012, previa notificación personal </w:t>
      </w:r>
      <w:r w:rsidRPr="00E21B11">
        <w:rPr>
          <w:rFonts w:ascii="Bookman Old Style" w:hAnsi="Bookman Old Style" w:cs="Arial"/>
          <w:sz w:val="24"/>
          <w:szCs w:val="24"/>
        </w:rPr>
        <w:t>de acuerdo con lo dispuesto en el artículo 44 del Código Contencioso Administrativo</w:t>
      </w:r>
      <w:r>
        <w:rPr>
          <w:rFonts w:ascii="Bookman Old Style" w:hAnsi="Bookman Old Style" w:cs="Arial"/>
          <w:sz w:val="24"/>
          <w:szCs w:val="24"/>
        </w:rPr>
        <w:t>.</w:t>
      </w:r>
    </w:p>
    <w:p w:rsidR="00FB7F69" w:rsidRPr="00E21B11" w:rsidRDefault="00FB7F69" w:rsidP="00FB7F69">
      <w:pPr>
        <w:pStyle w:val="Prrafodelista"/>
        <w:ind w:left="0"/>
        <w:jc w:val="both"/>
        <w:rPr>
          <w:rFonts w:ascii="Bookman Old Style" w:hAnsi="Bookman Old Style" w:cs="Arial"/>
          <w:sz w:val="24"/>
          <w:szCs w:val="24"/>
        </w:rPr>
      </w:pPr>
    </w:p>
    <w:p w:rsidR="00FB7F69" w:rsidRDefault="00FB7F69" w:rsidP="00FB7F69">
      <w:pPr>
        <w:pStyle w:val="Prrafodelista"/>
        <w:ind w:left="0"/>
        <w:jc w:val="both"/>
        <w:rPr>
          <w:rFonts w:ascii="Bookman Old Style" w:hAnsi="Bookman Old Style" w:cs="Arial"/>
          <w:sz w:val="24"/>
          <w:szCs w:val="24"/>
        </w:rPr>
      </w:pPr>
      <w:r w:rsidRPr="00E21B11">
        <w:rPr>
          <w:rFonts w:ascii="Bookman Old Style" w:hAnsi="Bookman Old Style" w:cs="Arial"/>
          <w:sz w:val="24"/>
          <w:szCs w:val="24"/>
        </w:rPr>
        <w:t>Es así que, al dar cumplimiento a los requisitos previstos en el artículo 52 del Código Contencioso Administrativo, se admite este recurso, por lo que se procede a resolver de fondo y pronunciarse respecto de las inconformidades planteadas por el recurrente, motivando los aspectos de hecho y de derecho que la sustentan.</w:t>
      </w:r>
    </w:p>
    <w:p w:rsidR="00FB7F69" w:rsidRPr="00C00B83" w:rsidRDefault="00FB7F69" w:rsidP="00FB7F69">
      <w:pPr>
        <w:pStyle w:val="Prrafodelista"/>
        <w:ind w:left="0"/>
        <w:jc w:val="both"/>
        <w:rPr>
          <w:rFonts w:ascii="Bookman Old Style" w:hAnsi="Bookman Old Style" w:cs="Arial"/>
          <w:sz w:val="24"/>
          <w:szCs w:val="24"/>
        </w:rPr>
      </w:pPr>
    </w:p>
    <w:p w:rsidR="00FB7F69" w:rsidRPr="00F763C8" w:rsidRDefault="00FB7F69" w:rsidP="00FB7F69">
      <w:pPr>
        <w:pStyle w:val="Prrafodelista"/>
        <w:numPr>
          <w:ilvl w:val="0"/>
          <w:numId w:val="17"/>
        </w:numPr>
        <w:rPr>
          <w:rFonts w:ascii="Bookman Old Style" w:hAnsi="Bookman Old Style" w:cs="Arial"/>
          <w:b/>
          <w:sz w:val="24"/>
          <w:szCs w:val="24"/>
        </w:rPr>
      </w:pPr>
      <w:r>
        <w:rPr>
          <w:rFonts w:ascii="Bookman Old Style" w:hAnsi="Bookman Old Style" w:cs="Arial"/>
          <w:b/>
          <w:sz w:val="24"/>
          <w:szCs w:val="24"/>
        </w:rPr>
        <w:t>RAZ</w:t>
      </w:r>
      <w:r w:rsidRPr="00F763C8">
        <w:rPr>
          <w:rFonts w:ascii="Bookman Old Style" w:hAnsi="Bookman Old Style" w:cs="Arial"/>
          <w:b/>
          <w:sz w:val="24"/>
          <w:szCs w:val="24"/>
        </w:rPr>
        <w:t>ONES Y FUNDAMENTOS DEL RECURSO DE REPOSICIÓN</w:t>
      </w:r>
    </w:p>
    <w:p w:rsidR="00FB7F69" w:rsidRPr="00F171C4" w:rsidRDefault="00FB7F69" w:rsidP="00FB7F69">
      <w:pPr>
        <w:ind w:left="0"/>
        <w:jc w:val="both"/>
        <w:rPr>
          <w:rFonts w:ascii="Bookman Old Style" w:hAnsi="Bookman Old Style"/>
          <w:lang w:val="es-CO"/>
        </w:rPr>
      </w:pPr>
    </w:p>
    <w:p w:rsidR="00FB7F69" w:rsidRDefault="00FB7F69" w:rsidP="00FB7F69">
      <w:pPr>
        <w:ind w:left="0"/>
        <w:jc w:val="both"/>
        <w:rPr>
          <w:rFonts w:ascii="Bookman Old Style" w:hAnsi="Bookman Old Style"/>
        </w:rPr>
      </w:pPr>
      <w:r>
        <w:rPr>
          <w:rFonts w:ascii="Bookman Old Style" w:hAnsi="Bookman Old Style"/>
        </w:rPr>
        <w:t xml:space="preserve">Los fundamentos que soportan el recurso de reposición son presentados por el recurrente </w:t>
      </w:r>
      <w:r w:rsidR="00EF401F">
        <w:rPr>
          <w:rFonts w:ascii="Bookman Old Style" w:hAnsi="Bookman Old Style"/>
        </w:rPr>
        <w:t xml:space="preserve">con </w:t>
      </w:r>
      <w:r>
        <w:rPr>
          <w:rFonts w:ascii="Bookman Old Style" w:hAnsi="Bookman Old Style"/>
        </w:rPr>
        <w:t xml:space="preserve">los siguientes fines: </w:t>
      </w:r>
    </w:p>
    <w:p w:rsidR="00FB7F69" w:rsidRDefault="00FB7F69" w:rsidP="00FB7F69">
      <w:pPr>
        <w:ind w:left="170"/>
        <w:jc w:val="both"/>
        <w:rPr>
          <w:rFonts w:ascii="Bookman Old Style" w:hAnsi="Bookman Old Style"/>
        </w:rPr>
      </w:pPr>
    </w:p>
    <w:p w:rsidR="00FB7F69" w:rsidRDefault="00FB7F69" w:rsidP="00FB7F69">
      <w:pPr>
        <w:pStyle w:val="Prrafodelista"/>
        <w:numPr>
          <w:ilvl w:val="0"/>
          <w:numId w:val="23"/>
        </w:numPr>
        <w:jc w:val="both"/>
        <w:rPr>
          <w:rFonts w:ascii="Bookman Old Style" w:hAnsi="Bookman Old Style"/>
          <w:sz w:val="24"/>
          <w:szCs w:val="24"/>
        </w:rPr>
      </w:pPr>
      <w:r>
        <w:rPr>
          <w:rFonts w:ascii="Bookman Old Style" w:hAnsi="Bookman Old Style"/>
          <w:sz w:val="24"/>
          <w:szCs w:val="24"/>
        </w:rPr>
        <w:t>S</w:t>
      </w:r>
      <w:r w:rsidRPr="00843511">
        <w:rPr>
          <w:rFonts w:ascii="Bookman Old Style" w:hAnsi="Bookman Old Style"/>
          <w:sz w:val="24"/>
          <w:szCs w:val="24"/>
        </w:rPr>
        <w:t>e declare la nulidad de lo actuado</w:t>
      </w:r>
      <w:r>
        <w:rPr>
          <w:rFonts w:ascii="Bookman Old Style" w:hAnsi="Bookman Old Style"/>
          <w:sz w:val="24"/>
          <w:szCs w:val="24"/>
        </w:rPr>
        <w:t>.</w:t>
      </w:r>
      <w:r w:rsidRPr="00843511">
        <w:rPr>
          <w:rFonts w:ascii="Bookman Old Style" w:hAnsi="Bookman Old Style"/>
          <w:sz w:val="24"/>
          <w:szCs w:val="24"/>
        </w:rPr>
        <w:t xml:space="preserve"> </w:t>
      </w:r>
    </w:p>
    <w:p w:rsidR="00FB7F69" w:rsidRDefault="00FB7F69" w:rsidP="00FB7F69">
      <w:pPr>
        <w:pStyle w:val="Prrafodelista"/>
        <w:ind w:left="530"/>
        <w:jc w:val="both"/>
        <w:rPr>
          <w:rFonts w:ascii="Bookman Old Style" w:hAnsi="Bookman Old Style"/>
          <w:sz w:val="24"/>
          <w:szCs w:val="24"/>
        </w:rPr>
      </w:pPr>
    </w:p>
    <w:p w:rsidR="00617704" w:rsidRPr="00843511" w:rsidRDefault="00617704" w:rsidP="00FB7F69">
      <w:pPr>
        <w:pStyle w:val="Prrafodelista"/>
        <w:ind w:left="530"/>
        <w:jc w:val="both"/>
        <w:rPr>
          <w:rFonts w:ascii="Bookman Old Style" w:hAnsi="Bookman Old Style"/>
          <w:sz w:val="24"/>
          <w:szCs w:val="24"/>
        </w:rPr>
      </w:pPr>
    </w:p>
    <w:p w:rsidR="00FB7F69" w:rsidRDefault="00FB7F69" w:rsidP="00FB7F69">
      <w:pPr>
        <w:pStyle w:val="Prrafodelista"/>
        <w:numPr>
          <w:ilvl w:val="0"/>
          <w:numId w:val="23"/>
        </w:numPr>
        <w:jc w:val="both"/>
        <w:rPr>
          <w:rFonts w:ascii="Bookman Old Style" w:hAnsi="Bookman Old Style"/>
          <w:sz w:val="24"/>
          <w:szCs w:val="24"/>
        </w:rPr>
      </w:pPr>
      <w:r w:rsidRPr="00843511">
        <w:rPr>
          <w:rFonts w:ascii="Bookman Old Style" w:hAnsi="Bookman Old Style"/>
          <w:sz w:val="24"/>
          <w:szCs w:val="24"/>
        </w:rPr>
        <w:t>En caso de no acceder a la petición anterior, se repongan los artículos 1 y 3 de la resolución CREG-175 del 22 de diciembre de 2011 expedida por la Comisión de Regulación de Energía y Gas, en lo atinente a la liquidación de EMPRESAS PÚBLICAS DE MEDELLÍN E.S.P.</w:t>
      </w:r>
    </w:p>
    <w:p w:rsidR="00FB7F69" w:rsidRPr="00843511" w:rsidRDefault="00FB7F69" w:rsidP="00FB7F69">
      <w:pPr>
        <w:ind w:left="0"/>
        <w:jc w:val="both"/>
        <w:rPr>
          <w:rFonts w:ascii="Bookman Old Style" w:hAnsi="Bookman Old Style"/>
        </w:rPr>
      </w:pPr>
    </w:p>
    <w:p w:rsidR="00FB7F69" w:rsidRDefault="00FB7F69" w:rsidP="00FB7F69">
      <w:pPr>
        <w:pStyle w:val="Prrafodelista"/>
        <w:numPr>
          <w:ilvl w:val="0"/>
          <w:numId w:val="23"/>
        </w:numPr>
        <w:jc w:val="both"/>
        <w:rPr>
          <w:rFonts w:ascii="Bookman Old Style" w:hAnsi="Bookman Old Style"/>
          <w:sz w:val="24"/>
          <w:szCs w:val="24"/>
        </w:rPr>
      </w:pPr>
      <w:r w:rsidRPr="00843511">
        <w:rPr>
          <w:rFonts w:ascii="Bookman Old Style" w:hAnsi="Bookman Old Style"/>
          <w:sz w:val="24"/>
          <w:szCs w:val="24"/>
        </w:rPr>
        <w:t>Como consecuencia de lo anterior se ordene la liquidación de la contribución objeto del recurso de reposición con exclusión de la base de la partida correspondiente a los impuestos, contribuciones y tasas Cuenta 5120, por lo tanto deberá excluirse de la base gravable la suma de $80.001.625.431 y en consecuencia se determine un nuevo valor a pagar por la contribución de $3.001.592.640</w:t>
      </w:r>
      <w:r>
        <w:rPr>
          <w:rFonts w:ascii="Bookman Old Style" w:hAnsi="Bookman Old Style"/>
          <w:sz w:val="24"/>
          <w:szCs w:val="24"/>
        </w:rPr>
        <w:t>.</w:t>
      </w:r>
    </w:p>
    <w:p w:rsidR="00FB7F69" w:rsidRPr="00843511" w:rsidRDefault="00FB7F69" w:rsidP="00FB7F69">
      <w:pPr>
        <w:ind w:left="0"/>
        <w:jc w:val="both"/>
        <w:rPr>
          <w:rFonts w:ascii="Bookman Old Style" w:hAnsi="Bookman Old Style"/>
        </w:rPr>
      </w:pPr>
    </w:p>
    <w:p w:rsidR="00FB7F69" w:rsidRPr="00843511" w:rsidRDefault="00FB7F69" w:rsidP="00FB7F69">
      <w:pPr>
        <w:pStyle w:val="Prrafodelista"/>
        <w:numPr>
          <w:ilvl w:val="0"/>
          <w:numId w:val="23"/>
        </w:numPr>
        <w:jc w:val="both"/>
        <w:rPr>
          <w:rFonts w:ascii="Bookman Old Style" w:hAnsi="Bookman Old Style"/>
          <w:sz w:val="24"/>
          <w:szCs w:val="24"/>
        </w:rPr>
      </w:pPr>
      <w:r w:rsidRPr="00843511">
        <w:rPr>
          <w:rFonts w:ascii="Bookman Old Style" w:hAnsi="Bookman Old Style"/>
          <w:sz w:val="24"/>
          <w:szCs w:val="24"/>
        </w:rPr>
        <w:t>En caso de ser procedente la petición, se ordene la devolución del saldo de $638.968.229 pagado en exceso, de conformidad con el Decreto 1000 de 1997.</w:t>
      </w:r>
    </w:p>
    <w:p w:rsidR="00FB7F69" w:rsidRDefault="00FB7F69" w:rsidP="00FB7F69">
      <w:pPr>
        <w:ind w:left="17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Los fundamentos del recurrente se exponen a continuación:</w:t>
      </w:r>
    </w:p>
    <w:p w:rsidR="00FB7F69" w:rsidRDefault="00FB7F69" w:rsidP="00FB7F69">
      <w:pPr>
        <w:ind w:left="170"/>
        <w:jc w:val="both"/>
        <w:rPr>
          <w:rFonts w:ascii="Bookman Old Style" w:hAnsi="Bookman Old Style"/>
        </w:rPr>
      </w:pPr>
    </w:p>
    <w:p w:rsidR="00FB7F69" w:rsidRDefault="00FB7F69" w:rsidP="00FB7F69">
      <w:pPr>
        <w:ind w:left="170"/>
        <w:jc w:val="both"/>
        <w:rPr>
          <w:rFonts w:ascii="Bookman Old Style" w:hAnsi="Bookman Old Style"/>
        </w:rPr>
      </w:pPr>
      <w:r>
        <w:rPr>
          <w:rFonts w:ascii="Bookman Old Style" w:hAnsi="Bookman Old Style"/>
        </w:rPr>
        <w:t>Argumenta el recurrente que:</w:t>
      </w:r>
    </w:p>
    <w:p w:rsidR="00FB7F69" w:rsidRDefault="00FB7F69" w:rsidP="00FB7F69">
      <w:pPr>
        <w:ind w:left="0"/>
        <w:jc w:val="both"/>
        <w:rPr>
          <w:rFonts w:ascii="Bookman Old Style" w:hAnsi="Bookman Old Style"/>
        </w:rPr>
      </w:pPr>
      <w:r>
        <w:rPr>
          <w:rFonts w:ascii="Bookman Old Style" w:hAnsi="Bookman Old Style"/>
        </w:rPr>
        <w:t>“</w:t>
      </w:r>
    </w:p>
    <w:p w:rsidR="00FB7F69" w:rsidRPr="00CA2107" w:rsidRDefault="00FB7F69" w:rsidP="00FB7F69">
      <w:pPr>
        <w:pStyle w:val="Prrafodelista"/>
        <w:numPr>
          <w:ilvl w:val="0"/>
          <w:numId w:val="16"/>
        </w:numPr>
        <w:jc w:val="both"/>
        <w:rPr>
          <w:rFonts w:ascii="Bookman Old Style" w:hAnsi="Bookman Old Style"/>
        </w:rPr>
      </w:pPr>
      <w:r>
        <w:rPr>
          <w:rFonts w:ascii="Bookman Old Style" w:hAnsi="Bookman Old Style"/>
          <w:sz w:val="24"/>
          <w:szCs w:val="24"/>
        </w:rPr>
        <w:t>Revisada la base gravable de la contribución, tomada en cuenta por la CREG para efectuar la liquidación, de acuerdo con la información financiera suministrada por Empresas Públicas de Medellín E.S.P. a través del Sistema Único de Información –SUI-, y que corresponde a las cifras extractadas fielmente de los libros de contabilidad de esta Entidad, se encuentra lo siguiente:</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a. El saldo de las cuentas que conforman el grupo 51-Gastos de administración para los servicios de energía y gas natural- al 31 de diciembre de 2010 fue de $476.513.202.746</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b. El saldo de las cuentas del Grupo 51, incluye el saldo de la cuenta 5120 – Impuestos contribuciones y tasas para los servicios de energía y gas natural- que para el 31 de diciembre de 2010 fue de $80.001.625.431.</w:t>
      </w:r>
    </w:p>
    <w:p w:rsidR="00FB7F69" w:rsidRDefault="00FB7F69" w:rsidP="00FB7F69">
      <w:pPr>
        <w:pStyle w:val="Prrafodelista"/>
        <w:ind w:left="530"/>
        <w:jc w:val="both"/>
        <w:rPr>
          <w:rFonts w:ascii="Bookman Old Style" w:hAnsi="Bookman Old Style"/>
          <w:sz w:val="24"/>
          <w:szCs w:val="24"/>
        </w:rPr>
      </w:pPr>
    </w:p>
    <w:p w:rsidR="00FB7F69" w:rsidRPr="009D0419" w:rsidRDefault="00FB7F69" w:rsidP="00FB7F69">
      <w:pPr>
        <w:pStyle w:val="Prrafodelista"/>
        <w:ind w:left="530"/>
        <w:jc w:val="both"/>
        <w:rPr>
          <w:rFonts w:ascii="Bookman Old Style" w:hAnsi="Bookman Old Style"/>
        </w:rPr>
      </w:pPr>
      <w:r>
        <w:rPr>
          <w:rFonts w:ascii="Bookman Old Style" w:hAnsi="Bookman Old Style"/>
          <w:sz w:val="24"/>
          <w:szCs w:val="24"/>
        </w:rPr>
        <w:t xml:space="preserve">c. De acuerdo con lo anterior es claro que la CREG ha incluido dentro de la base gravable para la liquidación, el saldo de la cuenta 5120 correspondiente a los impuestos, contribuciones y tasas, rubro este que no puede ser parte de dicha base por cuanto no es uno de los “gastos de funcionamiento” que señala el </w:t>
      </w:r>
      <w:r w:rsidR="00BC28AA">
        <w:rPr>
          <w:rFonts w:ascii="Bookman Old Style" w:hAnsi="Bookman Old Style"/>
          <w:sz w:val="24"/>
          <w:szCs w:val="24"/>
        </w:rPr>
        <w:t>a</w:t>
      </w:r>
      <w:r>
        <w:rPr>
          <w:rFonts w:ascii="Bookman Old Style" w:hAnsi="Bookman Old Style"/>
          <w:sz w:val="24"/>
          <w:szCs w:val="24"/>
        </w:rPr>
        <w:t>rtículo 85 de la Ley 142 de 1994, según lo ha reiterado la jurisprudencia nacional (...).</w:t>
      </w:r>
      <w:r w:rsidRPr="00F4428F">
        <w:rPr>
          <w:rFonts w:ascii="Bookman Old Style" w:hAnsi="Bookman Old Style"/>
          <w:sz w:val="24"/>
          <w:szCs w:val="24"/>
        </w:rPr>
        <w:t xml:space="preserve"> </w:t>
      </w:r>
      <w:r>
        <w:rPr>
          <w:rFonts w:ascii="Bookman Old Style" w:hAnsi="Bookman Old Style"/>
          <w:sz w:val="24"/>
          <w:szCs w:val="24"/>
        </w:rPr>
        <w:t>”</w:t>
      </w:r>
    </w:p>
    <w:p w:rsidR="00FB7F69" w:rsidRPr="009D0419" w:rsidRDefault="00FB7F69" w:rsidP="00FB7F69">
      <w:pPr>
        <w:pStyle w:val="Prrafodelista"/>
        <w:ind w:left="530"/>
        <w:jc w:val="both"/>
        <w:rPr>
          <w:rFonts w:ascii="Bookman Old Style" w:hAnsi="Bookman Old Style"/>
        </w:rPr>
      </w:pPr>
    </w:p>
    <w:p w:rsidR="00FB7F69" w:rsidRDefault="00FB7F69"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El tema relacionado con la base gravable para la liquidación de la contribución consagrada en el artículo 85 de la Ley 142 de 1994, aplicable a la “contribución especial” que liquidan tanto la Superintendencia de Servicios Públicos Domiciliarios como las Comisiones de Regulación, ha sido ya objeto de debate en la jurisdicción contencioso administrativa, la cual mediante Sentencia del Consejo de Estado la decidió en los siguientes términos</w:t>
      </w:r>
      <w:r w:rsidRPr="00F4428F">
        <w:rPr>
          <w:rFonts w:ascii="Bookman Old Style" w:hAnsi="Bookman Old Style"/>
          <w:sz w:val="24"/>
          <w:szCs w:val="24"/>
        </w:rPr>
        <w:t>:</w:t>
      </w:r>
    </w:p>
    <w:p w:rsidR="00FB7F69" w:rsidRDefault="00FB7F69" w:rsidP="00FB7F69">
      <w:pPr>
        <w:pStyle w:val="Prrafodelista"/>
        <w:ind w:left="530"/>
        <w:jc w:val="both"/>
        <w:rPr>
          <w:rFonts w:ascii="Bookman Old Style" w:hAnsi="Bookman Old Style"/>
          <w:sz w:val="24"/>
          <w:szCs w:val="24"/>
        </w:rPr>
      </w:pPr>
    </w:p>
    <w:p w:rsidR="00617704" w:rsidRDefault="00617704" w:rsidP="00FB7F69">
      <w:pPr>
        <w:pStyle w:val="Prrafodelista"/>
        <w:ind w:left="530"/>
        <w:jc w:val="both"/>
        <w:rPr>
          <w:rFonts w:ascii="Bookman Old Style" w:hAnsi="Bookman Old Style"/>
          <w:sz w:val="24"/>
          <w:szCs w:val="24"/>
        </w:rPr>
      </w:pPr>
    </w:p>
    <w:p w:rsidR="00617704" w:rsidRPr="00BC28AA" w:rsidRDefault="00617704" w:rsidP="00FB7F69">
      <w:pPr>
        <w:pStyle w:val="Prrafodelista"/>
        <w:ind w:left="530"/>
        <w:jc w:val="both"/>
        <w:rPr>
          <w:rFonts w:ascii="Bookman Old Style" w:hAnsi="Bookman Old Style"/>
          <w:sz w:val="22"/>
          <w:szCs w:val="22"/>
        </w:rPr>
      </w:pPr>
    </w:p>
    <w:p w:rsidR="00FB7F69" w:rsidRPr="00BC28AA" w:rsidRDefault="00FB7F69" w:rsidP="00FB7F69">
      <w:pPr>
        <w:pStyle w:val="Prrafodelista"/>
        <w:ind w:left="530"/>
        <w:jc w:val="both"/>
        <w:rPr>
          <w:rFonts w:ascii="Bookman Old Style" w:hAnsi="Bookman Old Style"/>
          <w:i/>
          <w:sz w:val="22"/>
          <w:szCs w:val="22"/>
        </w:rPr>
      </w:pPr>
      <w:r w:rsidRPr="00BC28AA">
        <w:rPr>
          <w:rFonts w:ascii="Bookman Old Style" w:hAnsi="Bookman Old Style"/>
          <w:sz w:val="22"/>
          <w:szCs w:val="22"/>
        </w:rPr>
        <w:t>“</w:t>
      </w:r>
      <w:r w:rsidRPr="00BC28AA">
        <w:rPr>
          <w:rFonts w:ascii="Bookman Old Style" w:hAnsi="Bookman Old Style"/>
          <w:i/>
          <w:iCs/>
          <w:sz w:val="22"/>
          <w:szCs w:val="22"/>
        </w:rPr>
        <w:t>ante la ausencia normativa contable que defina con claridad lo que debe entenderse por el término ‘gastos de funcionamiento’ y los conceptos que involucra…’</w:t>
      </w:r>
      <w:r w:rsidRPr="00BC28AA">
        <w:rPr>
          <w:rFonts w:ascii="Bookman Old Style" w:hAnsi="Bookman Old Style"/>
          <w:i/>
          <w:sz w:val="22"/>
          <w:szCs w:val="22"/>
        </w:rPr>
        <w:t xml:space="preserve">, debe acogerse la noción que ha desarrollado la jurisprudencia y, en consecuencia, la Superintendencia de Servicios Públicos Domiciliarios para efectos de la determinación de la base para la liquidación de la contribución especial establecida en el artículo 85.2 de la Ley 142 de 1994, acoge la siguiente definición de “gastos de funcionamiento”, entendiendo como tales aquellos que ‘… </w:t>
      </w:r>
      <w:r w:rsidRPr="00BC28AA">
        <w:rPr>
          <w:rFonts w:ascii="Bookman Old Style" w:hAnsi="Bookman Old Style"/>
          <w:i/>
          <w:iCs/>
          <w:sz w:val="22"/>
          <w:szCs w:val="22"/>
        </w:rPr>
        <w:t xml:space="preserve">tienen que ver con la salida de recursos que de manera directa o indirecta se utilizan para ejecutar o cumplir las funciones propias de la actividad, que son equivalentes a los </w:t>
      </w:r>
      <w:r w:rsidRPr="00BC28AA">
        <w:rPr>
          <w:rFonts w:ascii="Bookman Old Style" w:hAnsi="Bookman Old Style"/>
          <w:b/>
          <w:bCs/>
          <w:i/>
          <w:iCs/>
          <w:sz w:val="22"/>
          <w:szCs w:val="22"/>
        </w:rPr>
        <w:t>gastos operacionales u ordinarios,</w:t>
      </w:r>
      <w:r w:rsidRPr="00BC28AA">
        <w:rPr>
          <w:rFonts w:ascii="Bookman Old Style" w:hAnsi="Bookman Old Style"/>
          <w:b/>
          <w:bCs/>
          <w:i/>
          <w:iCs/>
          <w:sz w:val="22"/>
          <w:szCs w:val="22"/>
          <w:u w:val="single"/>
        </w:rPr>
        <w:t xml:space="preserve"> </w:t>
      </w:r>
      <w:r w:rsidRPr="00BC28AA">
        <w:rPr>
          <w:rFonts w:ascii="Bookman Old Style" w:hAnsi="Bookman Old Style"/>
          <w:i/>
          <w:sz w:val="22"/>
          <w:szCs w:val="22"/>
        </w:rPr>
        <w:t xml:space="preserve">es </w:t>
      </w:r>
      <w:r w:rsidRPr="00BC28AA">
        <w:rPr>
          <w:rFonts w:ascii="Bookman Old Style" w:hAnsi="Bookman Old Style"/>
          <w:i/>
          <w:iCs/>
          <w:sz w:val="22"/>
          <w:szCs w:val="22"/>
        </w:rPr>
        <w:t xml:space="preserve">decir, </w:t>
      </w:r>
      <w:r w:rsidRPr="00BC28AA">
        <w:rPr>
          <w:rFonts w:ascii="Bookman Old Style" w:hAnsi="Bookman Old Style"/>
          <w:i/>
          <w:sz w:val="22"/>
          <w:szCs w:val="22"/>
        </w:rPr>
        <w:t xml:space="preserve">los </w:t>
      </w:r>
      <w:r w:rsidRPr="00BC28AA">
        <w:rPr>
          <w:rFonts w:ascii="Bookman Old Style" w:hAnsi="Bookman Old Style"/>
          <w:i/>
          <w:iCs/>
          <w:sz w:val="22"/>
          <w:szCs w:val="22"/>
        </w:rPr>
        <w:t>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r w:rsidRPr="00BC28AA">
        <w:rPr>
          <w:rFonts w:ascii="Bookman Old Style" w:hAnsi="Bookman Old Style"/>
          <w:i/>
          <w:sz w:val="22"/>
          <w:szCs w:val="22"/>
        </w:rPr>
        <w:t>’</w:t>
      </w:r>
    </w:p>
    <w:p w:rsidR="00FB7F69" w:rsidRPr="00BC28AA" w:rsidRDefault="00FB7F69" w:rsidP="00FB7F69">
      <w:pPr>
        <w:pStyle w:val="Prrafodelista"/>
        <w:ind w:left="530"/>
        <w:jc w:val="both"/>
        <w:rPr>
          <w:rFonts w:ascii="Bookman Old Style" w:hAnsi="Bookman Old Style"/>
          <w:i/>
          <w:sz w:val="22"/>
          <w:szCs w:val="22"/>
        </w:rPr>
      </w:pPr>
    </w:p>
    <w:p w:rsidR="00FB7F69" w:rsidRPr="00BC28AA" w:rsidRDefault="00FB7F69" w:rsidP="00FB7F69">
      <w:pPr>
        <w:pStyle w:val="Prrafodelista"/>
        <w:ind w:left="530"/>
        <w:jc w:val="both"/>
        <w:rPr>
          <w:rFonts w:ascii="Bookman Old Style" w:hAnsi="Bookman Old Style"/>
          <w:i/>
          <w:sz w:val="22"/>
          <w:szCs w:val="22"/>
        </w:rPr>
      </w:pPr>
      <w:r w:rsidRPr="00BC28AA">
        <w:rPr>
          <w:rFonts w:ascii="Bookman Old Style" w:hAnsi="Bookman Old Style"/>
          <w:i/>
          <w:sz w:val="22"/>
          <w:szCs w:val="22"/>
        </w:rPr>
        <w:t>En el aparte demandado se señala igualmente que para liquidar las contribuciones deberá tenerse en cuenta ‘las adiciones de las cuentas del grupo 75- Costos de Producción’. Para la Sala este grupo de cuentas tampoco debe integrar la base de las contribuciones a que se refiere la Ley 142 de 1994 por lo siguiente:</w:t>
      </w:r>
    </w:p>
    <w:p w:rsidR="00FB7F69" w:rsidRPr="00BC28AA" w:rsidRDefault="00FB7F69" w:rsidP="00FB7F69">
      <w:pPr>
        <w:pStyle w:val="Prrafodelista"/>
        <w:ind w:left="530"/>
        <w:jc w:val="both"/>
        <w:rPr>
          <w:rFonts w:ascii="Bookman Old Style" w:hAnsi="Bookman Old Style"/>
          <w:i/>
          <w:sz w:val="22"/>
          <w:szCs w:val="22"/>
        </w:rPr>
      </w:pPr>
    </w:p>
    <w:p w:rsidR="00FB7F69" w:rsidRPr="00BC28AA" w:rsidRDefault="00FB7F69" w:rsidP="00FB7F69">
      <w:pPr>
        <w:pStyle w:val="Prrafodelista"/>
        <w:ind w:left="530"/>
        <w:jc w:val="both"/>
        <w:rPr>
          <w:rFonts w:ascii="Bookman Old Style" w:hAnsi="Bookman Old Style"/>
          <w:i/>
          <w:sz w:val="22"/>
          <w:szCs w:val="22"/>
        </w:rPr>
      </w:pPr>
      <w:r w:rsidRPr="00BC28AA">
        <w:rPr>
          <w:rFonts w:ascii="Bookman Old Style" w:hAnsi="Bookman Old Style"/>
          <w:i/>
          <w:sz w:val="22"/>
          <w:szCs w:val="22"/>
        </w:rPr>
        <w:t>Según el numeral 4.2.8.4.3 del Plan de Contabilidad para Entes Prestadores de Servicios Públicos Domiciliarios, los Costos ‘representan erogaciones y cargos asociados, clara y directamente con la prestación de los servicios públicos domiciliarios, de los cuales un ente económico obtuvo sus ingresos’ y en cuanto a los costos de producción dice que ‘comprenden las erogaciones y cargos asociados clara y directamente con la producción, la prestación de servicios de los cuales el ente prestador de servicios públicos domiciliarios obtiene sus ingresos, en desarrollo de su función u objeto social.’</w:t>
      </w:r>
    </w:p>
    <w:p w:rsidR="00FB7F69" w:rsidRPr="00BC28AA" w:rsidRDefault="00FB7F69" w:rsidP="00FB7F69">
      <w:pPr>
        <w:pStyle w:val="Prrafodelista"/>
        <w:ind w:left="530"/>
        <w:jc w:val="both"/>
        <w:rPr>
          <w:rFonts w:ascii="Bookman Old Style" w:hAnsi="Bookman Old Style"/>
          <w:i/>
          <w:sz w:val="22"/>
          <w:szCs w:val="22"/>
        </w:rPr>
      </w:pPr>
    </w:p>
    <w:p w:rsidR="00FB7F69" w:rsidRPr="00BC28AA" w:rsidRDefault="00FB7F69" w:rsidP="00FB7F69">
      <w:pPr>
        <w:pStyle w:val="Prrafodelista"/>
        <w:ind w:left="530"/>
        <w:jc w:val="both"/>
        <w:rPr>
          <w:rFonts w:ascii="Bookman Old Style" w:hAnsi="Bookman Old Style"/>
          <w:i/>
          <w:sz w:val="22"/>
          <w:szCs w:val="22"/>
        </w:rPr>
      </w:pPr>
      <w:r w:rsidRPr="00BC28AA">
        <w:rPr>
          <w:rFonts w:ascii="Bookman Old Style" w:hAnsi="Bookman Old Style"/>
          <w:i/>
          <w:sz w:val="22"/>
          <w:szCs w:val="22"/>
        </w:rPr>
        <w:t>De lo anterior se tiene que si bien los costos de producción comprenden las erogaciones asociadas clara y directamente con la producción o la prestación de servicios de los cuales el ente prestador obtiene sus ingresos, lo que los haría en principio, integrantes de la base gravable, al realizar una interpretación gramatical y conforme al sentido técnico de las palabras a voces de los artículos 27 a 29 del Código Civil, la noción de costos no se puede equiparar a la de gastos de funcionamiento por no haberlo previsto así la Ley 142 de 1994, ya que de haber sido esa la intención del legislador así lo hubiera contemplado legalmente, teniendo en cuenta el fundamento contable que tiene la base gravable comentada.</w:t>
      </w:r>
    </w:p>
    <w:p w:rsidR="00FB7F69" w:rsidRPr="00BC28AA" w:rsidRDefault="00FB7F69" w:rsidP="00FB7F69">
      <w:pPr>
        <w:pStyle w:val="Prrafodelista"/>
        <w:ind w:left="530"/>
        <w:jc w:val="both"/>
        <w:rPr>
          <w:rFonts w:ascii="Bookman Old Style" w:hAnsi="Bookman Old Style"/>
          <w:i/>
          <w:sz w:val="22"/>
          <w:szCs w:val="22"/>
        </w:rPr>
      </w:pPr>
    </w:p>
    <w:p w:rsidR="00FB7F69" w:rsidRPr="00BC28AA" w:rsidRDefault="00FB7F69" w:rsidP="00FB7F69">
      <w:pPr>
        <w:pStyle w:val="Prrafodelista"/>
        <w:ind w:left="530"/>
        <w:jc w:val="both"/>
        <w:rPr>
          <w:rFonts w:ascii="Bookman Old Style" w:hAnsi="Bookman Old Style"/>
          <w:i/>
          <w:sz w:val="22"/>
          <w:szCs w:val="22"/>
          <w:lang w:val="es-ES"/>
        </w:rPr>
      </w:pPr>
      <w:r w:rsidRPr="00BC28AA">
        <w:rPr>
          <w:rFonts w:ascii="Bookman Old Style" w:hAnsi="Bookman Old Style"/>
          <w:i/>
          <w:sz w:val="22"/>
          <w:szCs w:val="22"/>
          <w:lang w:val="es-ES"/>
        </w:rPr>
        <w:t>Al analizar el contenido del grupo 75 del plan de contabilidad para entes prestadores de servicios públicos, se encuentra que al igual que la clase 5 — gastos, el catálogo contiene cuentas que no corresponden a la definición jurisprudencial de gastos de funcionamiento, criterio previsto por el legislador como base gravable de la contribución a cargo de los entes prestadores de servicios públicos y comisiones de regulación, ya que algunos de estos rubros no representan erogaciones efectivas de recursos, que es el parámetro adoptado para determinar la base gravable del tributo previsto en el artículo 85 de la Ley 142 de 1994.</w:t>
      </w:r>
    </w:p>
    <w:p w:rsidR="00FB7F69" w:rsidRPr="00BC28AA" w:rsidRDefault="00FB7F69" w:rsidP="00FB7F69">
      <w:pPr>
        <w:pStyle w:val="Prrafodelista"/>
        <w:ind w:left="530"/>
        <w:jc w:val="both"/>
        <w:rPr>
          <w:rFonts w:ascii="Bookman Old Style" w:hAnsi="Bookman Old Style"/>
          <w:i/>
          <w:sz w:val="22"/>
          <w:szCs w:val="22"/>
          <w:lang w:val="es-ES"/>
        </w:rPr>
      </w:pPr>
    </w:p>
    <w:p w:rsidR="00FB7F69" w:rsidRPr="00BC28AA" w:rsidRDefault="00FB7F69" w:rsidP="00FB7F69">
      <w:pPr>
        <w:pStyle w:val="Prrafodelista"/>
        <w:ind w:left="530"/>
        <w:jc w:val="both"/>
        <w:rPr>
          <w:rFonts w:ascii="Bookman Old Style" w:hAnsi="Bookman Old Style"/>
          <w:i/>
          <w:sz w:val="22"/>
          <w:szCs w:val="22"/>
        </w:rPr>
      </w:pPr>
      <w:r w:rsidRPr="00BC28AA">
        <w:rPr>
          <w:rFonts w:ascii="Bookman Old Style" w:hAnsi="Bookman Old Style"/>
          <w:i/>
          <w:sz w:val="22"/>
          <w:szCs w:val="22"/>
          <w:lang w:val="es-ES"/>
        </w:rPr>
        <w:t>La noción de gastos de funcionamiento debe incluir las erogaciones causadas</w:t>
      </w:r>
      <w:hyperlink r:id="rId10" w:history="1"/>
      <w:r w:rsidRPr="00BC28AA">
        <w:rPr>
          <w:rFonts w:ascii="Bookman Old Style" w:hAnsi="Bookman Old Style"/>
          <w:i/>
          <w:sz w:val="22"/>
          <w:szCs w:val="22"/>
          <w:lang w:val="es-ES"/>
        </w:rPr>
        <w:t xml:space="preserve"> o pagadas durante el período contable que estén relacionadas con la prestación de los servicios públicos de cada ente prestador, lo que implica que no hagan parte de tales gastos los recursos que el ente destine para otros efectos, tales como, servicios de la deuda e inversión […].</w:t>
      </w:r>
    </w:p>
    <w:p w:rsidR="00FB7F69" w:rsidRPr="00BC28AA" w:rsidRDefault="00FB7F69" w:rsidP="00FB7F69">
      <w:pPr>
        <w:pStyle w:val="Prrafodelista"/>
        <w:ind w:left="530"/>
        <w:jc w:val="both"/>
        <w:rPr>
          <w:rFonts w:ascii="Bookman Old Style" w:hAnsi="Bookman Old Style"/>
          <w:i/>
          <w:sz w:val="22"/>
          <w:szCs w:val="22"/>
        </w:rPr>
      </w:pPr>
    </w:p>
    <w:p w:rsidR="00617704" w:rsidRPr="00BC28AA" w:rsidRDefault="00617704" w:rsidP="00FB7F69">
      <w:pPr>
        <w:pStyle w:val="Prrafodelista"/>
        <w:ind w:left="530"/>
        <w:jc w:val="both"/>
        <w:rPr>
          <w:rFonts w:ascii="Bookman Old Style" w:hAnsi="Bookman Old Style"/>
          <w:i/>
          <w:sz w:val="22"/>
          <w:szCs w:val="22"/>
        </w:rPr>
      </w:pPr>
    </w:p>
    <w:p w:rsidR="00FB7F69" w:rsidRPr="00BC28AA" w:rsidRDefault="00FB7F69" w:rsidP="00FB7F69">
      <w:pPr>
        <w:pStyle w:val="Prrafodelista"/>
        <w:ind w:left="530"/>
        <w:jc w:val="both"/>
        <w:rPr>
          <w:rFonts w:ascii="Bookman Old Style" w:hAnsi="Bookman Old Style"/>
          <w:i/>
          <w:sz w:val="22"/>
          <w:szCs w:val="22"/>
          <w:lang w:val="es-ES"/>
        </w:rPr>
      </w:pPr>
      <w:r w:rsidRPr="00BC28AA">
        <w:rPr>
          <w:rFonts w:ascii="Bookman Old Style" w:hAnsi="Bookman Old Style"/>
          <w:i/>
          <w:sz w:val="22"/>
          <w:szCs w:val="22"/>
        </w:rPr>
        <w:t>[…]</w:t>
      </w:r>
      <w:r w:rsidRPr="00BC28AA">
        <w:rPr>
          <w:rFonts w:ascii="Bookman Old Style" w:hAnsi="Bookman Old Style"/>
          <w:i/>
          <w:sz w:val="22"/>
          <w:szCs w:val="22"/>
          <w:lang w:val="es-ES"/>
        </w:rPr>
        <w:t xml:space="preserve">De la lectura del artículo 85 de la Ley 142 de 1994, antes trascrito, es claro que la intención del legislador fue la de limitar la base gravable de la contribución especial a los gastos de funcionamiento, lo que excluye la posibilidad de entender que se refería a </w:t>
      </w:r>
      <w:r w:rsidRPr="00BC28AA">
        <w:rPr>
          <w:rFonts w:ascii="Bookman Old Style" w:hAnsi="Bookman Old Style"/>
          <w:bCs/>
          <w:i/>
          <w:sz w:val="22"/>
          <w:szCs w:val="22"/>
          <w:lang w:val="es-ES"/>
        </w:rPr>
        <w:t>todo</w:t>
      </w:r>
      <w:r w:rsidRPr="00BC28AA">
        <w:rPr>
          <w:rFonts w:ascii="Bookman Old Style" w:hAnsi="Bookman Old Style"/>
          <w:i/>
          <w:sz w:val="22"/>
          <w:szCs w:val="22"/>
          <w:lang w:val="es-ES"/>
        </w:rPr>
        <w:t xml:space="preserve"> lo que involucra el concepto general de “gastos” del plan de contabilidad, pues, de lo contrario, como lo afirma el demandante, no tendría ningún sentido que el legislador hiciera esa precisión.</w:t>
      </w:r>
    </w:p>
    <w:p w:rsidR="00FB7F69" w:rsidRPr="00BC28AA" w:rsidRDefault="00FB7F69" w:rsidP="00FB7F69">
      <w:pPr>
        <w:pStyle w:val="Prrafodelista"/>
        <w:ind w:left="530"/>
        <w:jc w:val="both"/>
        <w:rPr>
          <w:rFonts w:ascii="Bookman Old Style" w:hAnsi="Bookman Old Style"/>
          <w:i/>
          <w:sz w:val="22"/>
          <w:szCs w:val="22"/>
          <w:lang w:val="es-ES"/>
        </w:rPr>
      </w:pPr>
    </w:p>
    <w:p w:rsidR="00FB7F69" w:rsidRPr="00BC28AA" w:rsidRDefault="00FB7F69" w:rsidP="00FB7F69">
      <w:pPr>
        <w:pStyle w:val="Prrafodelista"/>
        <w:ind w:left="530"/>
        <w:jc w:val="both"/>
        <w:rPr>
          <w:rFonts w:ascii="Bookman Old Style" w:hAnsi="Bookman Old Style"/>
          <w:i/>
          <w:sz w:val="22"/>
          <w:szCs w:val="22"/>
          <w:lang w:val="es-ES"/>
        </w:rPr>
      </w:pPr>
      <w:r w:rsidRPr="00BC28AA">
        <w:rPr>
          <w:rFonts w:ascii="Bookman Old Style" w:hAnsi="Bookman Old Style"/>
          <w:i/>
          <w:sz w:val="22"/>
          <w:szCs w:val="22"/>
          <w:lang w:val="es-ES"/>
        </w:rPr>
        <w:t>Determinar la base sobre la totalidad de los gastos administrativos, de comercialización, investigación y financiación que son los grupos que conforman los gastos según el numeral 4.2.8.4.2 de la resolución demandada, o a las provisiones, agotamiento, depreciaciones y amortizaciones según las descripciones de la clase 5 — gastos, amplía lo previsto en el numeral 85.2 de la Ley 142 de 1994, ya que involucra gastos no contemplados en la norma reglamentada. Si bien en el numeral 85.1 del artículo 85 de la Ley 142 de 1994 se mencionan como parámetros los gastos de funcionamiento, la depreciación, amortización u obsolescencia de sus activos, estos son para establecer los costos de los servicios prestados por los entes de control y vigilancia, pero para el cálculo propiamente de las contribuciones especiales, solamente se refiere a los gastos de funcionamiento.</w:t>
      </w:r>
    </w:p>
    <w:p w:rsidR="00FB7F69" w:rsidRPr="00BC28AA" w:rsidRDefault="00FB7F69" w:rsidP="00FB7F69">
      <w:pPr>
        <w:pStyle w:val="Prrafodelista"/>
        <w:ind w:left="530"/>
        <w:jc w:val="both"/>
        <w:rPr>
          <w:rFonts w:ascii="Bookman Old Style" w:hAnsi="Bookman Old Style"/>
          <w:i/>
          <w:sz w:val="22"/>
          <w:szCs w:val="22"/>
          <w:lang w:val="es-ES"/>
        </w:rPr>
      </w:pPr>
    </w:p>
    <w:p w:rsidR="00FB7F69" w:rsidRPr="00BC28AA" w:rsidRDefault="00FB7F69" w:rsidP="00FB7F69">
      <w:pPr>
        <w:pStyle w:val="Prrafodelista"/>
        <w:ind w:left="530"/>
        <w:jc w:val="both"/>
        <w:rPr>
          <w:rFonts w:ascii="Bookman Old Style" w:hAnsi="Bookman Old Style"/>
          <w:i/>
          <w:sz w:val="22"/>
          <w:szCs w:val="22"/>
          <w:lang w:val="es-ES"/>
        </w:rPr>
      </w:pPr>
      <w:r w:rsidRPr="00BC28AA">
        <w:rPr>
          <w:rFonts w:ascii="Bookman Old Style" w:hAnsi="Bookman Old Style"/>
          <w:i/>
          <w:sz w:val="22"/>
          <w:szCs w:val="22"/>
          <w:lang w:val="es-ES"/>
        </w:rPr>
        <w:t>En tales condiciones, para la Sala, le asiste razón al actor al considerar que lo previsto en el inciso 6º de la descripción de la clase 5 — gastos y en las cuentas del grupo 75 de la Resolución 20051300033635 de 2005 vulnera lo dispuesto en el artículo 85 numeral 85.2 inciso 2º de la Ley 142 de 1994, pues los gastos de funcionamiento sólo deben referirse a aquellos que tengan una relación directa o indirecta, pero eso sí, necesaria e inescindible con la prestación de los servicios sometidos a la vigilancia, control, inspección y regulación de los entes encargados de tal función constitucional y legal.</w:t>
      </w:r>
    </w:p>
    <w:p w:rsidR="00FB7F69" w:rsidRPr="00BC28AA" w:rsidRDefault="00FB7F69" w:rsidP="00FB7F69">
      <w:pPr>
        <w:pStyle w:val="Prrafodelista"/>
        <w:ind w:left="530"/>
        <w:jc w:val="both"/>
        <w:rPr>
          <w:rFonts w:ascii="Bookman Old Style" w:hAnsi="Bookman Old Style"/>
          <w:i/>
          <w:sz w:val="22"/>
          <w:szCs w:val="22"/>
          <w:lang w:val="es-ES"/>
        </w:rPr>
      </w:pPr>
    </w:p>
    <w:p w:rsidR="00FB7F69" w:rsidRPr="00BC28AA" w:rsidRDefault="00FB7F69" w:rsidP="00FB7F69">
      <w:pPr>
        <w:pStyle w:val="Prrafodelista"/>
        <w:ind w:left="530"/>
        <w:jc w:val="both"/>
        <w:rPr>
          <w:rFonts w:ascii="Bookman Old Style" w:hAnsi="Bookman Old Style"/>
          <w:sz w:val="22"/>
          <w:szCs w:val="22"/>
        </w:rPr>
      </w:pPr>
      <w:r w:rsidRPr="00BC28AA">
        <w:rPr>
          <w:rFonts w:ascii="Bookman Old Style" w:hAnsi="Bookman Old Style"/>
          <w:i/>
          <w:sz w:val="22"/>
          <w:szCs w:val="22"/>
          <w:lang w:val="es-ES"/>
        </w:rPr>
        <w:t>Por todo lo anterior, el aparte demandado de la Resolución 20051300033635 de 2005 vulnera lo señalado en el artículo 85.1 inciso 2º de la Ley 142 de 1994, al incluir dentro de la base gravable de las contribuciones a favor de la Superintendencia de Servicios Públicos y de las comisiones de regulación, todas las cuentas de la clase 5 — gastos, así como las cuentas del grupo 75 — costos de producción, pues, como se explicó, no todas las cuentas de gastos allí previstas encuadran dentro del concepto “gastos de funcionamiento” que expresamente señaló el legislador”</w:t>
      </w:r>
      <w:r w:rsidRPr="00BC28AA">
        <w:rPr>
          <w:rFonts w:ascii="Bookman Old Style" w:hAnsi="Bookman Old Style"/>
          <w:sz w:val="22"/>
          <w:szCs w:val="22"/>
          <w:lang w:val="es-ES"/>
        </w:rPr>
        <w:t xml:space="preserve"> (Consejo de Estado, Sentencia del 23 de septiembre de 2010, Expediente 16874).</w:t>
      </w:r>
    </w:p>
    <w:p w:rsidR="00FB7F69" w:rsidRPr="006710AF" w:rsidRDefault="00FB7F69" w:rsidP="00FB7F69">
      <w:pPr>
        <w:pStyle w:val="Prrafodelista"/>
        <w:ind w:left="530"/>
        <w:jc w:val="both"/>
        <w:rPr>
          <w:rFonts w:ascii="Bookman Old Style" w:hAnsi="Bookman Old Style"/>
          <w:sz w:val="24"/>
          <w:szCs w:val="24"/>
          <w:lang w:val="es-ES"/>
        </w:rPr>
      </w:pPr>
    </w:p>
    <w:p w:rsidR="00FB7F69" w:rsidRDefault="00FB7F69"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Mediante providencia de fecha 14 de octubre del año 2010, Expediente 16650, el Consejo de Estado realizó un análisis de la base gravable de la contribución de la Superintendencia del año 2005 y anuló las expresiones “Grupo 51 del Plan de Contabilidad para Entes Prestadores de Servicios Públicos Domiciliarios” por la siguiente razón:</w:t>
      </w:r>
    </w:p>
    <w:p w:rsidR="00FB7F69" w:rsidRPr="0055084E" w:rsidRDefault="00FB7F69" w:rsidP="00FB7F69">
      <w:pPr>
        <w:pStyle w:val="Prrafodelista"/>
        <w:ind w:left="530"/>
        <w:jc w:val="both"/>
        <w:rPr>
          <w:rFonts w:ascii="Bookman Old Style" w:hAnsi="Bookman Old Style"/>
          <w:i/>
          <w:sz w:val="22"/>
          <w:szCs w:val="22"/>
        </w:rPr>
      </w:pPr>
    </w:p>
    <w:p w:rsidR="00FB7F69" w:rsidRDefault="00FB7F69" w:rsidP="00FB7F69">
      <w:pPr>
        <w:pStyle w:val="Prrafodelista"/>
        <w:ind w:left="530"/>
        <w:jc w:val="both"/>
        <w:rPr>
          <w:rFonts w:ascii="Bookman Old Style" w:hAnsi="Bookman Old Style"/>
          <w:i/>
          <w:sz w:val="22"/>
          <w:szCs w:val="22"/>
        </w:rPr>
      </w:pPr>
      <w:r w:rsidRPr="0055084E">
        <w:rPr>
          <w:rFonts w:ascii="Bookman Old Style" w:hAnsi="Bookman Old Style"/>
          <w:i/>
          <w:sz w:val="22"/>
          <w:szCs w:val="22"/>
        </w:rPr>
        <w:t xml:space="preserve">“…como las cuentas de Clase 5-GASTOS incluyen las cuentas del GRUPO 51. ADMINISTRACIÓN y del GRUPO 58 OTROS GASTOS, que a su vez incluye la CUENTA 5810-OTROS GASTOS EXTRAORDINARIOS, para </w:t>
      </w:r>
      <w:smartTag w:uri="urn:schemas-microsoft-com:office:smarttags" w:element="PersonName">
        <w:smartTagPr>
          <w:attr w:name="ProductID" w:val="la Sala"/>
        </w:smartTagPr>
        <w:r w:rsidRPr="0055084E">
          <w:rPr>
            <w:rFonts w:ascii="Bookman Old Style" w:hAnsi="Bookman Old Style"/>
            <w:i/>
            <w:sz w:val="22"/>
            <w:szCs w:val="22"/>
          </w:rPr>
          <w:t>la Sala</w:t>
        </w:r>
      </w:smartTag>
      <w:r w:rsidRPr="0055084E">
        <w:rPr>
          <w:rFonts w:ascii="Bookman Old Style" w:hAnsi="Bookman Old Style"/>
          <w:i/>
          <w:sz w:val="22"/>
          <w:szCs w:val="22"/>
        </w:rPr>
        <w:t xml:space="preserve"> los apartes demandados de </w:t>
      </w:r>
      <w:smartTag w:uri="urn:schemas-microsoft-com:office:smarttags" w:element="PersonName">
        <w:smartTagPr>
          <w:attr w:name="ProductID" w:val="la Resoluci￳n SSPD-2005"/>
        </w:smartTagPr>
        <w:r w:rsidRPr="0055084E">
          <w:rPr>
            <w:rFonts w:ascii="Bookman Old Style" w:hAnsi="Bookman Old Style"/>
            <w:i/>
            <w:sz w:val="22"/>
            <w:szCs w:val="22"/>
          </w:rPr>
          <w:t>la Resolución SSPD-2005</w:t>
        </w:r>
      </w:smartTag>
      <w:r w:rsidRPr="0055084E">
        <w:rPr>
          <w:rFonts w:ascii="Bookman Old Style" w:hAnsi="Bookman Old Style"/>
          <w:i/>
          <w:sz w:val="22"/>
          <w:szCs w:val="22"/>
        </w:rPr>
        <w:t xml:space="preserve"> 13000 11765 de 2005 vulneran lo dispuesto en el artículo 85.2 de </w:t>
      </w:r>
      <w:smartTag w:uri="urn:schemas-microsoft-com:office:smarttags" w:element="PersonName">
        <w:smartTagPr>
          <w:attr w:name="ProductID" w:val="la Ley"/>
        </w:smartTagPr>
        <w:r w:rsidRPr="0055084E">
          <w:rPr>
            <w:rFonts w:ascii="Bookman Old Style" w:hAnsi="Bookman Old Style"/>
            <w:i/>
            <w:sz w:val="22"/>
            <w:szCs w:val="22"/>
          </w:rPr>
          <w:t>la Ley</w:t>
        </w:r>
      </w:smartTag>
      <w:r w:rsidRPr="0055084E">
        <w:rPr>
          <w:rFonts w:ascii="Bookman Old Style" w:hAnsi="Bookman Old Style"/>
          <w:i/>
          <w:sz w:val="22"/>
          <w:szCs w:val="22"/>
        </w:rPr>
        <w:t xml:space="preserve"> 142 de 1994, porque incluyeron dentro de la base gravable de las contribuciones a favor de </w:t>
      </w:r>
      <w:smartTag w:uri="urn:schemas-microsoft-com:office:smarttags" w:element="PersonName">
        <w:smartTagPr>
          <w:attr w:name="ProductID" w:val="La Superintendencia"/>
        </w:smartTagPr>
        <w:r w:rsidRPr="0055084E">
          <w:rPr>
            <w:rFonts w:ascii="Bookman Old Style" w:hAnsi="Bookman Old Style"/>
            <w:i/>
            <w:sz w:val="22"/>
            <w:szCs w:val="22"/>
          </w:rPr>
          <w:t>la Superintendencia</w:t>
        </w:r>
      </w:smartTag>
      <w:r w:rsidRPr="0055084E">
        <w:rPr>
          <w:rFonts w:ascii="Bookman Old Style" w:hAnsi="Bookman Old Style"/>
          <w:i/>
          <w:sz w:val="22"/>
          <w:szCs w:val="22"/>
        </w:rPr>
        <w:t xml:space="preserve"> de Servicios Públicos y de las Comisiones de Regulación, todas las cuentas de </w:t>
      </w:r>
      <w:smartTag w:uri="urn:schemas-microsoft-com:office:smarttags" w:element="PersonName">
        <w:smartTagPr>
          <w:attr w:name="ProductID" w:val="la Clase"/>
        </w:smartTagPr>
        <w:r w:rsidRPr="0055084E">
          <w:rPr>
            <w:rFonts w:ascii="Bookman Old Style" w:hAnsi="Bookman Old Style"/>
            <w:i/>
            <w:sz w:val="22"/>
            <w:szCs w:val="22"/>
          </w:rPr>
          <w:t>la Clase</w:t>
        </w:r>
      </w:smartTag>
      <w:r w:rsidRPr="0055084E">
        <w:rPr>
          <w:rFonts w:ascii="Bookman Old Style" w:hAnsi="Bookman Old Style"/>
          <w:i/>
          <w:sz w:val="22"/>
          <w:szCs w:val="22"/>
        </w:rPr>
        <w:t xml:space="preserve"> 5-Gastos, así como la cuenta 5810 - Otros Gastos Extraordinarios; pues, como se explicó, no todas las cuentas de gastos allí previstos encuadran dentro del concepto “gastos de funcionamiento” que expresamente señaló el legislador</w:t>
      </w:r>
      <w:r>
        <w:rPr>
          <w:rFonts w:ascii="Bookman Old Style" w:hAnsi="Bookman Old Style"/>
          <w:i/>
          <w:sz w:val="22"/>
          <w:szCs w:val="22"/>
        </w:rPr>
        <w:t>”.</w:t>
      </w:r>
    </w:p>
    <w:p w:rsidR="00BC28AA" w:rsidRDefault="00BC28AA" w:rsidP="00FB7F69">
      <w:pPr>
        <w:pStyle w:val="Prrafodelista"/>
        <w:ind w:left="530"/>
        <w:jc w:val="both"/>
        <w:rPr>
          <w:rFonts w:ascii="Bookman Old Style" w:hAnsi="Bookman Old Style"/>
          <w:sz w:val="22"/>
          <w:szCs w:val="22"/>
        </w:rPr>
      </w:pPr>
    </w:p>
    <w:p w:rsidR="00FB7F69" w:rsidRPr="0084375E" w:rsidRDefault="00FB7F69" w:rsidP="00FB7F69">
      <w:pPr>
        <w:ind w:left="0"/>
        <w:jc w:val="both"/>
        <w:rPr>
          <w:rFonts w:ascii="Bookman Old Style" w:hAnsi="Bookman Old Style"/>
          <w:sz w:val="22"/>
          <w:szCs w:val="22"/>
        </w:rPr>
      </w:pPr>
    </w:p>
    <w:p w:rsidR="00FB7F69" w:rsidRDefault="00FB7F69"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En relación con la inclusión dentro de la base de liquidación del rubro correspondiente a los impuestos u obligaciones de tipo fiscal ha señalado el consejo de Estado, citado en sentencia del Tribunal Administrativo de Cundinamarca, lo siguiente:</w:t>
      </w:r>
    </w:p>
    <w:p w:rsidR="00FB7F69" w:rsidRPr="002E7B78" w:rsidRDefault="00FB7F69" w:rsidP="00FB7F69">
      <w:pPr>
        <w:ind w:left="170"/>
        <w:jc w:val="both"/>
        <w:rPr>
          <w:rFonts w:ascii="Bookman Old Style" w:hAnsi="Bookman Old Style"/>
          <w:sz w:val="22"/>
          <w:szCs w:val="22"/>
        </w:rPr>
      </w:pPr>
    </w:p>
    <w:p w:rsidR="00FB7F69" w:rsidRPr="0055084E" w:rsidRDefault="00FB7F69" w:rsidP="00FB7F69">
      <w:pPr>
        <w:pStyle w:val="Prrafodelista"/>
        <w:ind w:left="530"/>
        <w:jc w:val="both"/>
        <w:rPr>
          <w:rFonts w:ascii="Bookman Old Style" w:hAnsi="Bookman Old Style"/>
          <w:i/>
          <w:sz w:val="22"/>
          <w:szCs w:val="22"/>
          <w:lang w:val="es-ES"/>
        </w:rPr>
      </w:pPr>
      <w:r w:rsidRPr="0055084E">
        <w:rPr>
          <w:rFonts w:ascii="Bookman Old Style" w:hAnsi="Bookman Old Style"/>
          <w:i/>
          <w:sz w:val="22"/>
          <w:szCs w:val="22"/>
        </w:rPr>
        <w:t>“</w:t>
      </w:r>
      <w:r w:rsidRPr="0055084E">
        <w:rPr>
          <w:rFonts w:ascii="Bookman Old Style" w:hAnsi="Bookman Old Style"/>
          <w:i/>
          <w:sz w:val="22"/>
          <w:szCs w:val="22"/>
          <w:lang w:val="es-ES"/>
        </w:rPr>
        <w:t>Para la Sala es evidente que no corresponden a la definición que la jurisprudencia de esta sección ha desarrollado de gastos de funcionamiento, las erogaciones incluidas en el grupo 53 referidas a provisiones, agotamiento, depreciaciones y amortizaciones, porque no representan salidas de recursos para lograr el funcionamiento de la entidad.</w:t>
      </w:r>
    </w:p>
    <w:p w:rsidR="00FB7F69" w:rsidRPr="0055084E" w:rsidRDefault="00FB7F69" w:rsidP="00FB7F69">
      <w:pPr>
        <w:pStyle w:val="Prrafodelista"/>
        <w:ind w:left="530"/>
        <w:jc w:val="both"/>
        <w:rPr>
          <w:rFonts w:ascii="Bookman Old Style" w:hAnsi="Bookman Old Style"/>
          <w:i/>
          <w:sz w:val="22"/>
          <w:szCs w:val="22"/>
        </w:rPr>
      </w:pPr>
    </w:p>
    <w:p w:rsidR="00FB7F69" w:rsidRPr="0055084E" w:rsidRDefault="00FB7F69" w:rsidP="00FB7F69">
      <w:pPr>
        <w:pStyle w:val="Prrafodelista"/>
        <w:ind w:left="530"/>
        <w:jc w:val="both"/>
        <w:rPr>
          <w:rFonts w:ascii="Bookman Old Style" w:hAnsi="Bookman Old Style"/>
          <w:i/>
          <w:sz w:val="22"/>
          <w:szCs w:val="22"/>
          <w:lang w:val="es-ES"/>
        </w:rPr>
      </w:pPr>
      <w:r w:rsidRPr="0055084E">
        <w:rPr>
          <w:rFonts w:ascii="Bookman Old Style" w:hAnsi="Bookman Old Style"/>
          <w:i/>
          <w:sz w:val="22"/>
          <w:szCs w:val="22"/>
          <w:lang w:val="es-ES"/>
        </w:rPr>
        <w:t>En similar sentido, incluir como base gravable de la contribución, conceptos como provisiones para inversiones, deudores, inventarios, para responsabilidades, obligaciones fiscales, contingencias o tener en cuenta las depreciaciones de propiedades, planta y equipo, para bienes adquiridos en leasing y las amortizaciones de bienes entregados a terceros, entre otros, tampoco encajan en el concepto de “funcionamiento” y más bien pertenecen a la órbita de los “gastos teóricos” de obligatoria utilización en la práctica contable para registrar hechos económicos que no representan un flujo de salida de recursos.</w:t>
      </w:r>
    </w:p>
    <w:p w:rsidR="00FB7F69" w:rsidRPr="0055084E" w:rsidRDefault="00FB7F69" w:rsidP="00FB7F69">
      <w:pPr>
        <w:pStyle w:val="Prrafodelista"/>
        <w:ind w:left="530"/>
        <w:jc w:val="both"/>
        <w:rPr>
          <w:rFonts w:ascii="Bookman Old Style" w:hAnsi="Bookman Old Style"/>
          <w:i/>
          <w:sz w:val="22"/>
          <w:szCs w:val="22"/>
          <w:lang w:val="es-ES"/>
        </w:rPr>
      </w:pPr>
    </w:p>
    <w:p w:rsidR="00FB7F69" w:rsidRDefault="00FB7F69" w:rsidP="00FB7F69">
      <w:pPr>
        <w:pStyle w:val="Prrafodelista"/>
        <w:ind w:left="530"/>
        <w:jc w:val="both"/>
        <w:rPr>
          <w:rFonts w:ascii="Bookman Old Style" w:hAnsi="Bookman Old Style"/>
          <w:sz w:val="24"/>
          <w:szCs w:val="24"/>
        </w:rPr>
      </w:pPr>
      <w:r w:rsidRPr="0055084E">
        <w:rPr>
          <w:rFonts w:ascii="Bookman Old Style" w:hAnsi="Bookman Old Style"/>
          <w:i/>
          <w:sz w:val="22"/>
          <w:szCs w:val="22"/>
        </w:rPr>
        <w:t>En este sentido, la Sala encuentra que se deben excluir de la liquidación de la base gravable de la contribución especial de la sociedad accionante, los gastos relativos a impuestos, contribuciones, tasas, provisiones, depreciaciones, amortizaciones, intereses, comisiones otros gastos extraordinarios y ajustes por diferencia en cambio”</w:t>
      </w:r>
      <w:r>
        <w:rPr>
          <w:rFonts w:ascii="Bookman Old Style" w:hAnsi="Bookman Old Style"/>
          <w:sz w:val="22"/>
          <w:szCs w:val="22"/>
        </w:rPr>
        <w:t xml:space="preserve"> </w:t>
      </w:r>
      <w:r w:rsidRPr="0055084E">
        <w:rPr>
          <w:rFonts w:ascii="Bookman Old Style" w:hAnsi="Bookman Old Style"/>
          <w:sz w:val="24"/>
          <w:szCs w:val="24"/>
        </w:rPr>
        <w:t>(Sentencia 10 de agosto de 2011, Tribunal Administrativo de Cundinamarca, Sección Cuarta, Subsección “A”).</w:t>
      </w:r>
    </w:p>
    <w:p w:rsidR="00FB7F69" w:rsidRPr="000170F4" w:rsidRDefault="00FB7F69" w:rsidP="00FB7F69">
      <w:pPr>
        <w:pStyle w:val="Prrafodelista"/>
        <w:ind w:left="530"/>
        <w:jc w:val="both"/>
        <w:rPr>
          <w:rFonts w:ascii="Bookman Old Style" w:hAnsi="Bookman Old Style"/>
        </w:rPr>
      </w:pPr>
    </w:p>
    <w:p w:rsidR="00FB7F69" w:rsidRDefault="00FB7F69"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En igual sentido es clara la Sentencia del Tribunal Administrativo de Cundinamarca, quien retomando la citada Sentencia del Consejo de Estado señala:</w:t>
      </w:r>
    </w:p>
    <w:p w:rsidR="00FB7F69" w:rsidRDefault="00FB7F69" w:rsidP="00FB7F69">
      <w:pPr>
        <w:pStyle w:val="Prrafodelista"/>
        <w:ind w:left="530"/>
        <w:jc w:val="both"/>
        <w:rPr>
          <w:rFonts w:ascii="Bookman Old Style" w:hAnsi="Bookman Old Style"/>
          <w:sz w:val="24"/>
          <w:szCs w:val="24"/>
        </w:rPr>
      </w:pPr>
    </w:p>
    <w:p w:rsidR="00FB7F69" w:rsidRPr="0055084E" w:rsidRDefault="00FB7F69" w:rsidP="00FB7F69">
      <w:pPr>
        <w:pStyle w:val="Prrafodelista"/>
        <w:ind w:left="530"/>
        <w:jc w:val="both"/>
        <w:rPr>
          <w:rFonts w:ascii="Bookman Old Style" w:hAnsi="Bookman Old Style"/>
          <w:i/>
          <w:sz w:val="22"/>
          <w:szCs w:val="22"/>
        </w:rPr>
      </w:pPr>
      <w:r w:rsidRPr="0055084E">
        <w:rPr>
          <w:rFonts w:ascii="Bookman Old Style" w:hAnsi="Bookman Old Style"/>
          <w:i/>
          <w:sz w:val="22"/>
          <w:szCs w:val="22"/>
        </w:rPr>
        <w:t>“… En sentido similar del contenido del fallo tantas veces citado, la cuenta 5120 impuestos, contribuciones y tasas, no debe formar la base gravable de la “contribución especial año 2009”, en la medida que el pago de impuestos no puede ser considerado como un gasto de funcionamiento, en virtud que no corresponde a una erogación relacionada con la prestación del servicio público domiciliario, pues aquel se puede prestar sin haber cancelado previamente los tributos, con lo cual estos gastos no conforman una relación necesaria e inescindible con el servicio público prestado, por ello dejan de ser gastos de funcionamiento.</w:t>
      </w:r>
    </w:p>
    <w:p w:rsidR="00FB7F69" w:rsidRPr="0055084E" w:rsidRDefault="00FB7F69" w:rsidP="00FB7F69">
      <w:pPr>
        <w:pStyle w:val="Prrafodelista"/>
        <w:ind w:left="530"/>
        <w:jc w:val="both"/>
        <w:rPr>
          <w:rFonts w:ascii="Bookman Old Style" w:hAnsi="Bookman Old Style"/>
          <w:i/>
          <w:sz w:val="22"/>
          <w:szCs w:val="22"/>
        </w:rPr>
      </w:pPr>
    </w:p>
    <w:p w:rsidR="00FB7F69" w:rsidRPr="0055084E" w:rsidRDefault="00FB7F69" w:rsidP="00FB7F69">
      <w:pPr>
        <w:pStyle w:val="Prrafodelista"/>
        <w:ind w:left="530"/>
        <w:jc w:val="both"/>
        <w:rPr>
          <w:rFonts w:ascii="Bookman Old Style" w:hAnsi="Bookman Old Style"/>
          <w:i/>
          <w:sz w:val="22"/>
          <w:szCs w:val="22"/>
        </w:rPr>
      </w:pPr>
      <w:r w:rsidRPr="0055084E">
        <w:rPr>
          <w:rFonts w:ascii="Bookman Old Style" w:hAnsi="Bookman Old Style"/>
          <w:i/>
          <w:sz w:val="22"/>
          <w:szCs w:val="22"/>
        </w:rPr>
        <w:t xml:space="preserve">Adicionalmente el incluir el pago de impuestos para el cálculo de la base gravable de la contribución, genera una cascada impositiva, en la medida que sobre hechos generadores de impuestos (predial, renta, </w:t>
      </w:r>
      <w:proofErr w:type="spellStart"/>
      <w:r w:rsidRPr="0055084E">
        <w:rPr>
          <w:rFonts w:ascii="Bookman Old Style" w:hAnsi="Bookman Old Style"/>
          <w:i/>
          <w:sz w:val="22"/>
          <w:szCs w:val="22"/>
        </w:rPr>
        <w:t>ica</w:t>
      </w:r>
      <w:proofErr w:type="spellEnd"/>
      <w:r w:rsidRPr="0055084E">
        <w:rPr>
          <w:rFonts w:ascii="Bookman Old Style" w:hAnsi="Bookman Old Style"/>
          <w:i/>
          <w:sz w:val="22"/>
          <w:szCs w:val="22"/>
        </w:rPr>
        <w:t xml:space="preserve">, </w:t>
      </w:r>
      <w:proofErr w:type="spellStart"/>
      <w:r w:rsidRPr="0055084E">
        <w:rPr>
          <w:rFonts w:ascii="Bookman Old Style" w:hAnsi="Bookman Old Style"/>
          <w:i/>
          <w:sz w:val="22"/>
          <w:szCs w:val="22"/>
        </w:rPr>
        <w:t>etc</w:t>
      </w:r>
      <w:proofErr w:type="spellEnd"/>
      <w:r w:rsidRPr="0055084E">
        <w:rPr>
          <w:rFonts w:ascii="Bookman Old Style" w:hAnsi="Bookman Old Style"/>
          <w:i/>
          <w:sz w:val="22"/>
          <w:szCs w:val="22"/>
        </w:rPr>
        <w:t xml:space="preserve">), que ya fueron cancelados, se toman tales sumas para volverlas a gravar, lo cual atenta contra los principios de equidad y justicia tributaria, amén que estaría creando ex </w:t>
      </w:r>
      <w:proofErr w:type="spellStart"/>
      <w:r w:rsidRPr="0055084E">
        <w:rPr>
          <w:rFonts w:ascii="Bookman Old Style" w:hAnsi="Bookman Old Style"/>
          <w:i/>
          <w:sz w:val="22"/>
          <w:szCs w:val="22"/>
        </w:rPr>
        <w:t>lege</w:t>
      </w:r>
      <w:proofErr w:type="spellEnd"/>
      <w:r w:rsidRPr="0055084E">
        <w:rPr>
          <w:rFonts w:ascii="Bookman Old Style" w:hAnsi="Bookman Old Style"/>
          <w:i/>
          <w:sz w:val="22"/>
          <w:szCs w:val="22"/>
        </w:rPr>
        <w:t xml:space="preserve"> un hecho generador sobre el cual la SSPD no tiene competencia</w:t>
      </w:r>
    </w:p>
    <w:p w:rsidR="00FB7F69" w:rsidRPr="0055084E" w:rsidRDefault="00FB7F69" w:rsidP="00FB7F69">
      <w:pPr>
        <w:pStyle w:val="Prrafodelista"/>
        <w:ind w:left="530"/>
        <w:jc w:val="both"/>
        <w:rPr>
          <w:rFonts w:ascii="Bookman Old Style" w:hAnsi="Bookman Old Style"/>
          <w:i/>
          <w:sz w:val="22"/>
          <w:szCs w:val="22"/>
        </w:rPr>
      </w:pPr>
    </w:p>
    <w:p w:rsidR="00FB7F69" w:rsidRDefault="00FB7F69" w:rsidP="00FB7F69">
      <w:pPr>
        <w:pStyle w:val="Prrafodelista"/>
        <w:ind w:left="530"/>
        <w:jc w:val="both"/>
        <w:rPr>
          <w:rFonts w:ascii="Bookman Old Style" w:hAnsi="Bookman Old Style"/>
          <w:sz w:val="24"/>
          <w:szCs w:val="24"/>
        </w:rPr>
      </w:pPr>
      <w:r w:rsidRPr="0055084E">
        <w:rPr>
          <w:rFonts w:ascii="Bookman Old Style" w:hAnsi="Bookman Old Style"/>
          <w:i/>
          <w:sz w:val="22"/>
          <w:szCs w:val="22"/>
        </w:rPr>
        <w:t>En consecuencia, la actualización del valor de la contribución debe ser calculada extrayendo de la base gravable las cuentas del Grupo 51 de administración, lo relativo a impuestos, tasas y contribuciones, del Grupo 53 provisiones, depreciaciones…”</w:t>
      </w:r>
      <w:r>
        <w:rPr>
          <w:rFonts w:ascii="Bookman Old Style" w:hAnsi="Bookman Old Style"/>
          <w:sz w:val="24"/>
          <w:szCs w:val="24"/>
        </w:rPr>
        <w:t xml:space="preserve"> (Sentencia del Tribunal Administrativo de Cundinamarca, Sección Cuarta, Subsección “B”, marzo 18 de 2011).</w:t>
      </w:r>
    </w:p>
    <w:p w:rsidR="00FB7F69" w:rsidRDefault="00FB7F69" w:rsidP="00FB7F69">
      <w:pPr>
        <w:pStyle w:val="Prrafodelista"/>
        <w:ind w:left="530"/>
        <w:jc w:val="both"/>
        <w:rPr>
          <w:rFonts w:ascii="Bookman Old Style" w:hAnsi="Bookman Old Style"/>
          <w:sz w:val="24"/>
          <w:szCs w:val="24"/>
        </w:rPr>
      </w:pPr>
    </w:p>
    <w:p w:rsidR="00BC28AA" w:rsidRDefault="00BC28AA" w:rsidP="00FB7F69">
      <w:pPr>
        <w:pStyle w:val="Prrafodelista"/>
        <w:ind w:left="530"/>
        <w:jc w:val="both"/>
        <w:rPr>
          <w:rFonts w:ascii="Bookman Old Style" w:hAnsi="Bookman Old Style"/>
          <w:sz w:val="24"/>
          <w:szCs w:val="24"/>
        </w:rPr>
      </w:pPr>
    </w:p>
    <w:p w:rsidR="00BC28AA" w:rsidRDefault="00BC28AA" w:rsidP="00FB7F69">
      <w:pPr>
        <w:pStyle w:val="Prrafodelista"/>
        <w:ind w:left="530"/>
        <w:jc w:val="both"/>
        <w:rPr>
          <w:rFonts w:ascii="Bookman Old Style" w:hAnsi="Bookman Old Style"/>
          <w:sz w:val="24"/>
          <w:szCs w:val="24"/>
        </w:rPr>
      </w:pPr>
    </w:p>
    <w:p w:rsidR="00FB7F69" w:rsidRDefault="00FB7F69"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En la anterior cita sostiene el Tribunal que </w:t>
      </w:r>
      <w:r w:rsidRPr="0055084E">
        <w:rPr>
          <w:rFonts w:ascii="Bookman Old Style" w:hAnsi="Bookman Old Style"/>
          <w:i/>
          <w:sz w:val="22"/>
          <w:szCs w:val="22"/>
        </w:rPr>
        <w:t>“… la Sala no puede dejar pasar por alto la actual condición de ilegalidad que detentan los actos acusados, al tener una base gravable creada por parte de la autoridad administrativa en abierta vulneración del artículo 338 Superior y el Artículo 85 de la Ley 142 de 1994, tal como se hizo [sic] evidenció en la Sentencia del H. Consejo de Estado que igualmente se refleja en los actos acusados</w:t>
      </w:r>
      <w:r w:rsidRPr="0055084E">
        <w:rPr>
          <w:rFonts w:ascii="Bookman Old Style" w:hAnsi="Bookman Old Style"/>
          <w:i/>
          <w:sz w:val="24"/>
          <w:szCs w:val="24"/>
        </w:rPr>
        <w:t>”</w:t>
      </w:r>
      <w:r>
        <w:rPr>
          <w:rFonts w:ascii="Bookman Old Style" w:hAnsi="Bookman Old Style"/>
          <w:sz w:val="24"/>
          <w:szCs w:val="24"/>
        </w:rPr>
        <w:t>.</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numPr>
          <w:ilvl w:val="0"/>
          <w:numId w:val="16"/>
        </w:numPr>
        <w:jc w:val="both"/>
        <w:rPr>
          <w:rFonts w:ascii="Bookman Old Style" w:hAnsi="Bookman Old Style"/>
          <w:sz w:val="24"/>
          <w:szCs w:val="24"/>
        </w:rPr>
      </w:pPr>
      <w:r w:rsidRPr="00657CD2">
        <w:rPr>
          <w:rFonts w:ascii="Bookman Old Style" w:hAnsi="Bookman Old Style"/>
          <w:sz w:val="24"/>
          <w:szCs w:val="24"/>
        </w:rPr>
        <w:t>Como consecuencia de lo anterior, y en consideración a que las Empresas Públicas de Medellín E.S.P a la fecha del presente recurso ya ha realizado el pago de la contribución determinada por la CREG con la base gravable por ella determinada, procede en este evento la devolución del pago de lo no debido, según el Decreto 1000 de 1997, de acuerdo con el siguiente cálculo, solicitud que se hará a través de este recurso:</w:t>
      </w:r>
    </w:p>
    <w:p w:rsidR="00FB7F69" w:rsidRPr="00657CD2" w:rsidRDefault="00FB7F69" w:rsidP="00FB7F69">
      <w:pPr>
        <w:ind w:left="0"/>
        <w:jc w:val="both"/>
        <w:rPr>
          <w:rFonts w:ascii="Bookman Old Style" w:hAnsi="Bookman Old Style"/>
        </w:rPr>
      </w:pPr>
    </w:p>
    <w:tbl>
      <w:tblPr>
        <w:tblW w:w="8621" w:type="dxa"/>
        <w:jc w:val="center"/>
        <w:tblInd w:w="55" w:type="dxa"/>
        <w:tblCellMar>
          <w:left w:w="70" w:type="dxa"/>
          <w:right w:w="70" w:type="dxa"/>
        </w:tblCellMar>
        <w:tblLook w:val="04A0" w:firstRow="1" w:lastRow="0" w:firstColumn="1" w:lastColumn="0" w:noHBand="0" w:noVBand="1"/>
      </w:tblPr>
      <w:tblGrid>
        <w:gridCol w:w="1420"/>
        <w:gridCol w:w="5254"/>
        <w:gridCol w:w="1947"/>
      </w:tblGrid>
      <w:tr w:rsidR="00FB7F69" w:rsidRPr="00CC2BBE" w:rsidTr="00617704">
        <w:trPr>
          <w:trHeight w:val="178"/>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7F69" w:rsidRPr="00CC2BBE" w:rsidRDefault="00FB7F69" w:rsidP="00617704">
            <w:pPr>
              <w:ind w:left="0"/>
              <w:jc w:val="center"/>
              <w:rPr>
                <w:rFonts w:ascii="Calibri" w:hAnsi="Calibri" w:cs="Calibri"/>
                <w:b/>
                <w:bCs/>
                <w:color w:val="000000"/>
                <w:sz w:val="22"/>
                <w:szCs w:val="22"/>
                <w:lang w:val="es-CO" w:eastAsia="es-CO"/>
              </w:rPr>
            </w:pPr>
            <w:r w:rsidRPr="00CC2BBE">
              <w:rPr>
                <w:rFonts w:ascii="Calibri" w:hAnsi="Calibri" w:cs="Calibri"/>
                <w:b/>
                <w:bCs/>
                <w:color w:val="000000"/>
                <w:sz w:val="22"/>
                <w:szCs w:val="22"/>
                <w:lang w:val="es-CO" w:eastAsia="es-CO"/>
              </w:rPr>
              <w:t>Cuenta</w:t>
            </w:r>
          </w:p>
        </w:tc>
        <w:tc>
          <w:tcPr>
            <w:tcW w:w="5254" w:type="dxa"/>
            <w:tcBorders>
              <w:top w:val="single" w:sz="4" w:space="0" w:color="auto"/>
              <w:left w:val="nil"/>
              <w:bottom w:val="single" w:sz="4" w:space="0" w:color="auto"/>
              <w:right w:val="single" w:sz="4" w:space="0" w:color="auto"/>
            </w:tcBorders>
            <w:shd w:val="clear" w:color="auto" w:fill="auto"/>
            <w:noWrap/>
            <w:vAlign w:val="center"/>
            <w:hideMark/>
          </w:tcPr>
          <w:p w:rsidR="00FB7F69" w:rsidRPr="00CC2BBE" w:rsidRDefault="00FB7F69" w:rsidP="00617704">
            <w:pPr>
              <w:ind w:left="0"/>
              <w:jc w:val="center"/>
              <w:rPr>
                <w:rFonts w:ascii="Calibri" w:hAnsi="Calibri" w:cs="Calibri"/>
                <w:b/>
                <w:bCs/>
                <w:color w:val="000000"/>
                <w:sz w:val="22"/>
                <w:szCs w:val="22"/>
                <w:lang w:val="es-CO" w:eastAsia="es-CO"/>
              </w:rPr>
            </w:pPr>
            <w:r w:rsidRPr="00CC2BBE">
              <w:rPr>
                <w:rFonts w:ascii="Calibri" w:hAnsi="Calibri" w:cs="Calibri"/>
                <w:b/>
                <w:bCs/>
                <w:color w:val="000000"/>
                <w:sz w:val="22"/>
                <w:szCs w:val="22"/>
                <w:lang w:val="es-CO" w:eastAsia="es-CO"/>
              </w:rPr>
              <w:t>Concepto</w:t>
            </w:r>
          </w:p>
        </w:tc>
        <w:tc>
          <w:tcPr>
            <w:tcW w:w="1947" w:type="dxa"/>
            <w:tcBorders>
              <w:top w:val="single" w:sz="4" w:space="0" w:color="auto"/>
              <w:left w:val="nil"/>
              <w:bottom w:val="single" w:sz="4" w:space="0" w:color="auto"/>
              <w:right w:val="single" w:sz="4" w:space="0" w:color="auto"/>
            </w:tcBorders>
            <w:shd w:val="clear" w:color="auto" w:fill="auto"/>
            <w:noWrap/>
            <w:vAlign w:val="center"/>
            <w:hideMark/>
          </w:tcPr>
          <w:p w:rsidR="00FB7F69" w:rsidRPr="00CC2BBE" w:rsidRDefault="00FB7F69" w:rsidP="00617704">
            <w:pPr>
              <w:ind w:left="0"/>
              <w:jc w:val="center"/>
              <w:rPr>
                <w:rFonts w:ascii="Calibri" w:hAnsi="Calibri" w:cs="Calibri"/>
                <w:b/>
                <w:bCs/>
                <w:color w:val="000000"/>
                <w:sz w:val="22"/>
                <w:szCs w:val="22"/>
                <w:lang w:val="es-CO" w:eastAsia="es-CO"/>
              </w:rPr>
            </w:pPr>
            <w:r w:rsidRPr="00CC2BBE">
              <w:rPr>
                <w:rFonts w:ascii="Calibri" w:hAnsi="Calibri" w:cs="Calibri"/>
                <w:b/>
                <w:bCs/>
                <w:color w:val="000000"/>
                <w:sz w:val="22"/>
                <w:szCs w:val="22"/>
                <w:lang w:val="es-CO" w:eastAsia="es-CO"/>
              </w:rPr>
              <w:t>Valor</w:t>
            </w:r>
          </w:p>
        </w:tc>
      </w:tr>
      <w:tr w:rsidR="00FB7F69" w:rsidRPr="00CC2BBE" w:rsidTr="00617704">
        <w:trPr>
          <w:trHeight w:val="178"/>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jc w:val="center"/>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51</w:t>
            </w:r>
          </w:p>
        </w:tc>
        <w:tc>
          <w:tcPr>
            <w:tcW w:w="5254"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Base según CREG</w:t>
            </w:r>
          </w:p>
        </w:tc>
        <w:tc>
          <w:tcPr>
            <w:tcW w:w="1947"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476.513.202.746</w:t>
            </w:r>
          </w:p>
        </w:tc>
      </w:tr>
      <w:tr w:rsidR="00FB7F69" w:rsidRPr="00CC2BBE" w:rsidTr="00617704">
        <w:trPr>
          <w:trHeight w:val="178"/>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w:t>
            </w:r>
          </w:p>
        </w:tc>
        <w:tc>
          <w:tcPr>
            <w:tcW w:w="5254"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Tarifa según Resolución CREG142-2011</w:t>
            </w:r>
          </w:p>
        </w:tc>
        <w:tc>
          <w:tcPr>
            <w:tcW w:w="1947"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0,764%</w:t>
            </w:r>
          </w:p>
        </w:tc>
      </w:tr>
      <w:tr w:rsidR="00FB7F69" w:rsidRPr="00CC2BBE" w:rsidTr="00617704">
        <w:trPr>
          <w:trHeight w:val="356"/>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w:t>
            </w:r>
          </w:p>
        </w:tc>
        <w:tc>
          <w:tcPr>
            <w:tcW w:w="5254" w:type="dxa"/>
            <w:tcBorders>
              <w:top w:val="nil"/>
              <w:left w:val="nil"/>
              <w:bottom w:val="single" w:sz="4" w:space="0" w:color="auto"/>
              <w:right w:val="single" w:sz="4" w:space="0" w:color="auto"/>
            </w:tcBorders>
            <w:shd w:val="clear" w:color="auto" w:fill="auto"/>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Contribución Resolución CREG143-2011 (pagada)</w:t>
            </w:r>
          </w:p>
        </w:tc>
        <w:tc>
          <w:tcPr>
            <w:tcW w:w="1947"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3.640.560.869</w:t>
            </w:r>
          </w:p>
        </w:tc>
      </w:tr>
      <w:tr w:rsidR="00FB7F69" w:rsidRPr="00CC2BBE" w:rsidTr="00617704">
        <w:trPr>
          <w:trHeight w:val="178"/>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w:t>
            </w:r>
          </w:p>
        </w:tc>
        <w:tc>
          <w:tcPr>
            <w:tcW w:w="5254"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Tarifa según Resolución CREG175-2011</w:t>
            </w:r>
          </w:p>
        </w:tc>
        <w:tc>
          <w:tcPr>
            <w:tcW w:w="1947"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0,757%</w:t>
            </w:r>
          </w:p>
        </w:tc>
      </w:tr>
      <w:tr w:rsidR="00FB7F69" w:rsidRPr="00CC2BBE" w:rsidTr="00617704">
        <w:trPr>
          <w:trHeight w:val="178"/>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w:t>
            </w:r>
          </w:p>
        </w:tc>
        <w:tc>
          <w:tcPr>
            <w:tcW w:w="5254"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xml:space="preserve">Contribución Resolución CREG175-2011 </w:t>
            </w:r>
          </w:p>
        </w:tc>
        <w:tc>
          <w:tcPr>
            <w:tcW w:w="1947"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3.607.204.945</w:t>
            </w:r>
          </w:p>
        </w:tc>
      </w:tr>
    </w:tbl>
    <w:p w:rsidR="00FB7F69" w:rsidRDefault="00FB7F69" w:rsidP="00FB7F69">
      <w:pPr>
        <w:pStyle w:val="Prrafodelista"/>
        <w:ind w:left="530"/>
        <w:jc w:val="both"/>
        <w:rPr>
          <w:rFonts w:ascii="Bookman Old Style" w:hAnsi="Bookman Old Style"/>
          <w:sz w:val="24"/>
          <w:szCs w:val="24"/>
        </w:rPr>
      </w:pPr>
    </w:p>
    <w:tbl>
      <w:tblPr>
        <w:tblW w:w="8732" w:type="dxa"/>
        <w:jc w:val="center"/>
        <w:tblInd w:w="55" w:type="dxa"/>
        <w:tblCellMar>
          <w:left w:w="70" w:type="dxa"/>
          <w:right w:w="70" w:type="dxa"/>
        </w:tblCellMar>
        <w:tblLook w:val="04A0" w:firstRow="1" w:lastRow="0" w:firstColumn="1" w:lastColumn="0" w:noHBand="0" w:noVBand="1"/>
      </w:tblPr>
      <w:tblGrid>
        <w:gridCol w:w="1434"/>
        <w:gridCol w:w="5306"/>
        <w:gridCol w:w="1992"/>
      </w:tblGrid>
      <w:tr w:rsidR="00FB7F69" w:rsidRPr="00CC2BBE" w:rsidTr="00617704">
        <w:trPr>
          <w:trHeight w:val="305"/>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7F69" w:rsidRPr="00CC2BBE" w:rsidRDefault="00FB7F69" w:rsidP="00617704">
            <w:pPr>
              <w:ind w:left="0"/>
              <w:jc w:val="center"/>
              <w:rPr>
                <w:rFonts w:ascii="Calibri" w:hAnsi="Calibri" w:cs="Calibri"/>
                <w:b/>
                <w:bCs/>
                <w:color w:val="000000"/>
                <w:sz w:val="22"/>
                <w:szCs w:val="22"/>
                <w:lang w:val="es-CO" w:eastAsia="es-CO"/>
              </w:rPr>
            </w:pPr>
            <w:r w:rsidRPr="00CC2BBE">
              <w:rPr>
                <w:rFonts w:ascii="Calibri" w:hAnsi="Calibri" w:cs="Calibri"/>
                <w:b/>
                <w:bCs/>
                <w:color w:val="000000"/>
                <w:sz w:val="22"/>
                <w:szCs w:val="22"/>
                <w:lang w:val="es-CO" w:eastAsia="es-CO"/>
              </w:rPr>
              <w:t>Cuenta</w:t>
            </w:r>
          </w:p>
        </w:tc>
        <w:tc>
          <w:tcPr>
            <w:tcW w:w="5306" w:type="dxa"/>
            <w:tcBorders>
              <w:top w:val="single" w:sz="4" w:space="0" w:color="auto"/>
              <w:left w:val="nil"/>
              <w:bottom w:val="single" w:sz="4" w:space="0" w:color="auto"/>
              <w:right w:val="single" w:sz="4" w:space="0" w:color="auto"/>
            </w:tcBorders>
            <w:shd w:val="clear" w:color="auto" w:fill="auto"/>
            <w:noWrap/>
            <w:vAlign w:val="center"/>
            <w:hideMark/>
          </w:tcPr>
          <w:p w:rsidR="00FB7F69" w:rsidRPr="00CC2BBE" w:rsidRDefault="00FB7F69" w:rsidP="00617704">
            <w:pPr>
              <w:ind w:left="0"/>
              <w:jc w:val="center"/>
              <w:rPr>
                <w:rFonts w:ascii="Calibri" w:hAnsi="Calibri" w:cs="Calibri"/>
                <w:b/>
                <w:bCs/>
                <w:color w:val="000000"/>
                <w:sz w:val="22"/>
                <w:szCs w:val="22"/>
                <w:lang w:val="es-CO" w:eastAsia="es-CO"/>
              </w:rPr>
            </w:pPr>
            <w:r w:rsidRPr="00CC2BBE">
              <w:rPr>
                <w:rFonts w:ascii="Calibri" w:hAnsi="Calibri" w:cs="Calibri"/>
                <w:b/>
                <w:bCs/>
                <w:color w:val="000000"/>
                <w:sz w:val="22"/>
                <w:szCs w:val="22"/>
                <w:lang w:val="es-CO" w:eastAsia="es-CO"/>
              </w:rPr>
              <w:t>Concepto</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rsidR="00FB7F69" w:rsidRPr="00CC2BBE" w:rsidRDefault="00FB7F69" w:rsidP="00617704">
            <w:pPr>
              <w:ind w:left="0"/>
              <w:jc w:val="center"/>
              <w:rPr>
                <w:rFonts w:ascii="Calibri" w:hAnsi="Calibri" w:cs="Calibri"/>
                <w:b/>
                <w:bCs/>
                <w:color w:val="000000"/>
                <w:sz w:val="22"/>
                <w:szCs w:val="22"/>
                <w:lang w:val="es-CO" w:eastAsia="es-CO"/>
              </w:rPr>
            </w:pPr>
            <w:r w:rsidRPr="00CC2BBE">
              <w:rPr>
                <w:rFonts w:ascii="Calibri" w:hAnsi="Calibri" w:cs="Calibri"/>
                <w:b/>
                <w:bCs/>
                <w:color w:val="000000"/>
                <w:sz w:val="22"/>
                <w:szCs w:val="22"/>
                <w:lang w:val="es-CO" w:eastAsia="es-CO"/>
              </w:rPr>
              <w:t>Valor</w:t>
            </w:r>
          </w:p>
        </w:tc>
      </w:tr>
      <w:tr w:rsidR="00FB7F69" w:rsidRPr="00CC2BBE" w:rsidTr="00617704">
        <w:trPr>
          <w:trHeight w:val="305"/>
          <w:jc w:val="center"/>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jc w:val="center"/>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51</w:t>
            </w:r>
          </w:p>
        </w:tc>
        <w:tc>
          <w:tcPr>
            <w:tcW w:w="5306"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Gastos de Administración Energía y Gas 2010</w:t>
            </w:r>
          </w:p>
        </w:tc>
        <w:tc>
          <w:tcPr>
            <w:tcW w:w="1992"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476.513.202.746</w:t>
            </w:r>
          </w:p>
        </w:tc>
      </w:tr>
      <w:tr w:rsidR="00FB7F69" w:rsidRPr="00B33C20" w:rsidTr="00617704">
        <w:trPr>
          <w:trHeight w:val="330"/>
          <w:jc w:val="center"/>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jc w:val="center"/>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5120</w:t>
            </w:r>
          </w:p>
        </w:tc>
        <w:tc>
          <w:tcPr>
            <w:tcW w:w="5306" w:type="dxa"/>
            <w:tcBorders>
              <w:top w:val="nil"/>
              <w:left w:val="nil"/>
              <w:bottom w:val="single" w:sz="4" w:space="0" w:color="auto"/>
              <w:right w:val="single" w:sz="4" w:space="0" w:color="auto"/>
            </w:tcBorders>
            <w:shd w:val="clear" w:color="auto" w:fill="auto"/>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Impuestos contribuciones y tasas Energía y Gas 2010</w:t>
            </w:r>
          </w:p>
        </w:tc>
        <w:tc>
          <w:tcPr>
            <w:tcW w:w="1992" w:type="dxa"/>
            <w:tcBorders>
              <w:top w:val="nil"/>
              <w:left w:val="nil"/>
              <w:bottom w:val="single" w:sz="4" w:space="0" w:color="auto"/>
              <w:right w:val="single" w:sz="4" w:space="0" w:color="auto"/>
            </w:tcBorders>
            <w:shd w:val="clear" w:color="auto" w:fill="auto"/>
            <w:noWrap/>
            <w:vAlign w:val="bottom"/>
            <w:hideMark/>
          </w:tcPr>
          <w:p w:rsidR="00FB7F69" w:rsidRPr="00B33C20" w:rsidRDefault="00FB7F69" w:rsidP="00617704">
            <w:pPr>
              <w:ind w:left="0"/>
              <w:jc w:val="right"/>
              <w:rPr>
                <w:rFonts w:ascii="Calibri" w:hAnsi="Calibri" w:cs="Calibri"/>
                <w:b/>
                <w:sz w:val="22"/>
                <w:szCs w:val="22"/>
                <w:lang w:val="es-CO" w:eastAsia="es-CO"/>
              </w:rPr>
            </w:pPr>
            <w:r w:rsidRPr="00B33C20">
              <w:rPr>
                <w:rFonts w:ascii="Calibri" w:hAnsi="Calibri" w:cs="Calibri"/>
                <w:b/>
                <w:sz w:val="22"/>
                <w:szCs w:val="22"/>
                <w:lang w:val="es-CO" w:eastAsia="es-CO"/>
              </w:rPr>
              <w:t>(80.001.625.431)</w:t>
            </w:r>
          </w:p>
        </w:tc>
      </w:tr>
      <w:tr w:rsidR="00FB7F69" w:rsidRPr="00CC2BBE" w:rsidTr="00617704">
        <w:trPr>
          <w:trHeight w:val="305"/>
          <w:jc w:val="center"/>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jc w:val="center"/>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w:t>
            </w:r>
          </w:p>
        </w:tc>
        <w:tc>
          <w:tcPr>
            <w:tcW w:w="5306"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Total Base según EPM</w:t>
            </w:r>
          </w:p>
        </w:tc>
        <w:tc>
          <w:tcPr>
            <w:tcW w:w="1992"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396.511.577.315</w:t>
            </w:r>
          </w:p>
        </w:tc>
      </w:tr>
      <w:tr w:rsidR="00FB7F69" w:rsidRPr="00CC2BBE" w:rsidTr="00617704">
        <w:trPr>
          <w:trHeight w:val="305"/>
          <w:jc w:val="center"/>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jc w:val="center"/>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w:t>
            </w:r>
          </w:p>
        </w:tc>
        <w:tc>
          <w:tcPr>
            <w:tcW w:w="5306"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Tarifa según Resolución CREG175-2011</w:t>
            </w:r>
          </w:p>
        </w:tc>
        <w:tc>
          <w:tcPr>
            <w:tcW w:w="1992"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0,757%</w:t>
            </w:r>
          </w:p>
        </w:tc>
      </w:tr>
      <w:tr w:rsidR="00FB7F69" w:rsidRPr="00CC2BBE" w:rsidTr="00617704">
        <w:trPr>
          <w:trHeight w:val="139"/>
          <w:jc w:val="center"/>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FB7F69" w:rsidRPr="00CC2BBE" w:rsidRDefault="00FB7F69" w:rsidP="00617704">
            <w:pPr>
              <w:ind w:left="0"/>
              <w:jc w:val="center"/>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 </w:t>
            </w:r>
          </w:p>
        </w:tc>
        <w:tc>
          <w:tcPr>
            <w:tcW w:w="5306"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Contribución Según EPM</w:t>
            </w:r>
          </w:p>
        </w:tc>
        <w:tc>
          <w:tcPr>
            <w:tcW w:w="1992" w:type="dxa"/>
            <w:tcBorders>
              <w:top w:val="nil"/>
              <w:left w:val="nil"/>
              <w:bottom w:val="single" w:sz="4" w:space="0" w:color="auto"/>
              <w:right w:val="single" w:sz="4" w:space="0" w:color="auto"/>
            </w:tcBorders>
            <w:shd w:val="clear" w:color="auto" w:fill="auto"/>
            <w:noWrap/>
            <w:vAlign w:val="bottom"/>
            <w:hideMark/>
          </w:tcPr>
          <w:p w:rsidR="00FB7F69" w:rsidRPr="00CC2BBE" w:rsidRDefault="00FB7F69" w:rsidP="00617704">
            <w:pPr>
              <w:ind w:left="0"/>
              <w:jc w:val="right"/>
              <w:rPr>
                <w:rFonts w:ascii="Calibri" w:hAnsi="Calibri" w:cs="Calibri"/>
                <w:color w:val="000000"/>
                <w:sz w:val="22"/>
                <w:szCs w:val="22"/>
                <w:lang w:val="es-CO" w:eastAsia="es-CO"/>
              </w:rPr>
            </w:pPr>
            <w:r w:rsidRPr="00CC2BBE">
              <w:rPr>
                <w:rFonts w:ascii="Calibri" w:hAnsi="Calibri" w:cs="Calibri"/>
                <w:color w:val="000000"/>
                <w:sz w:val="22"/>
                <w:szCs w:val="22"/>
                <w:lang w:val="es-CO" w:eastAsia="es-CO"/>
              </w:rPr>
              <w:t>3.001.592.640</w:t>
            </w:r>
          </w:p>
        </w:tc>
      </w:tr>
    </w:tbl>
    <w:p w:rsidR="00FB7F69" w:rsidRDefault="00FB7F69" w:rsidP="00FB7F69">
      <w:pPr>
        <w:pStyle w:val="Prrafodelista"/>
        <w:ind w:left="530"/>
        <w:jc w:val="both"/>
        <w:rPr>
          <w:rFonts w:ascii="Bookman Old Style" w:hAnsi="Bookman Old Style"/>
          <w:sz w:val="24"/>
          <w:szCs w:val="24"/>
        </w:rPr>
      </w:pPr>
    </w:p>
    <w:tbl>
      <w:tblPr>
        <w:tblW w:w="8717" w:type="dxa"/>
        <w:jc w:val="center"/>
        <w:tblInd w:w="55" w:type="dxa"/>
        <w:tblCellMar>
          <w:left w:w="70" w:type="dxa"/>
          <w:right w:w="70" w:type="dxa"/>
        </w:tblCellMar>
        <w:tblLook w:val="04A0" w:firstRow="1" w:lastRow="0" w:firstColumn="1" w:lastColumn="0" w:noHBand="0" w:noVBand="1"/>
      </w:tblPr>
      <w:tblGrid>
        <w:gridCol w:w="1440"/>
        <w:gridCol w:w="5332"/>
        <w:gridCol w:w="1945"/>
      </w:tblGrid>
      <w:tr w:rsidR="00FB7F69" w:rsidRPr="00446C8B" w:rsidTr="00617704">
        <w:trPr>
          <w:trHeight w:val="297"/>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F69" w:rsidRPr="00446C8B" w:rsidRDefault="00FB7F69" w:rsidP="00617704">
            <w:pPr>
              <w:ind w:left="0"/>
              <w:rPr>
                <w:rFonts w:ascii="Calibri" w:hAnsi="Calibri" w:cs="Calibri"/>
                <w:color w:val="000000"/>
                <w:sz w:val="22"/>
                <w:szCs w:val="22"/>
                <w:lang w:val="es-CO" w:eastAsia="es-CO"/>
              </w:rPr>
            </w:pPr>
            <w:r w:rsidRPr="00446C8B">
              <w:rPr>
                <w:rFonts w:ascii="Calibri" w:hAnsi="Calibri" w:cs="Calibri"/>
                <w:color w:val="000000"/>
                <w:sz w:val="22"/>
                <w:szCs w:val="22"/>
                <w:lang w:val="es-CO" w:eastAsia="es-CO"/>
              </w:rPr>
              <w:t> </w:t>
            </w:r>
          </w:p>
        </w:tc>
        <w:tc>
          <w:tcPr>
            <w:tcW w:w="5332" w:type="dxa"/>
            <w:tcBorders>
              <w:top w:val="single" w:sz="4" w:space="0" w:color="auto"/>
              <w:left w:val="nil"/>
              <w:bottom w:val="single" w:sz="4" w:space="0" w:color="auto"/>
              <w:right w:val="single" w:sz="4" w:space="0" w:color="auto"/>
            </w:tcBorders>
            <w:shd w:val="clear" w:color="auto" w:fill="auto"/>
            <w:noWrap/>
            <w:vAlign w:val="bottom"/>
            <w:hideMark/>
          </w:tcPr>
          <w:p w:rsidR="00FB7F69" w:rsidRPr="00446C8B" w:rsidRDefault="00FB7F69" w:rsidP="00617704">
            <w:pPr>
              <w:ind w:left="0"/>
              <w:rPr>
                <w:rFonts w:ascii="Calibri" w:hAnsi="Calibri" w:cs="Calibri"/>
                <w:b/>
                <w:bCs/>
                <w:color w:val="000000"/>
                <w:sz w:val="22"/>
                <w:szCs w:val="22"/>
                <w:lang w:val="es-CO" w:eastAsia="es-CO"/>
              </w:rPr>
            </w:pPr>
            <w:r w:rsidRPr="00446C8B">
              <w:rPr>
                <w:rFonts w:ascii="Calibri" w:hAnsi="Calibri" w:cs="Calibri"/>
                <w:b/>
                <w:bCs/>
                <w:color w:val="000000"/>
                <w:sz w:val="22"/>
                <w:szCs w:val="22"/>
                <w:lang w:val="es-CO" w:eastAsia="es-CO"/>
              </w:rPr>
              <w:t>Mayor valor pagado</w:t>
            </w:r>
          </w:p>
        </w:tc>
        <w:tc>
          <w:tcPr>
            <w:tcW w:w="1945" w:type="dxa"/>
            <w:tcBorders>
              <w:top w:val="single" w:sz="4" w:space="0" w:color="auto"/>
              <w:left w:val="nil"/>
              <w:bottom w:val="single" w:sz="4" w:space="0" w:color="auto"/>
              <w:right w:val="single" w:sz="4" w:space="0" w:color="auto"/>
            </w:tcBorders>
            <w:shd w:val="clear" w:color="auto" w:fill="auto"/>
            <w:noWrap/>
            <w:vAlign w:val="bottom"/>
            <w:hideMark/>
          </w:tcPr>
          <w:p w:rsidR="00FB7F69" w:rsidRPr="00446C8B" w:rsidRDefault="00FB7F69" w:rsidP="00617704">
            <w:pPr>
              <w:ind w:left="0"/>
              <w:jc w:val="right"/>
              <w:rPr>
                <w:rFonts w:ascii="Calibri" w:hAnsi="Calibri" w:cs="Calibri"/>
                <w:b/>
                <w:bCs/>
                <w:color w:val="000000"/>
                <w:sz w:val="22"/>
                <w:szCs w:val="22"/>
                <w:lang w:val="es-CO" w:eastAsia="es-CO"/>
              </w:rPr>
            </w:pPr>
            <w:r w:rsidRPr="00446C8B">
              <w:rPr>
                <w:rFonts w:ascii="Calibri" w:hAnsi="Calibri" w:cs="Calibri"/>
                <w:b/>
                <w:bCs/>
                <w:color w:val="000000"/>
                <w:sz w:val="22"/>
                <w:szCs w:val="22"/>
                <w:lang w:val="es-CO" w:eastAsia="es-CO"/>
              </w:rPr>
              <w:t>638.968.229</w:t>
            </w:r>
          </w:p>
        </w:tc>
      </w:tr>
    </w:tbl>
    <w:p w:rsidR="00FB7F69" w:rsidRPr="00446C8B" w:rsidRDefault="00FB7F69" w:rsidP="00FB7F69">
      <w:pPr>
        <w:ind w:left="0"/>
        <w:rPr>
          <w:rFonts w:ascii="Bookman Old Style" w:hAnsi="Bookman Old Style"/>
        </w:rPr>
      </w:pPr>
    </w:p>
    <w:p w:rsidR="00FB7F69" w:rsidRDefault="00FB7F69"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Violación </w:t>
      </w:r>
      <w:r w:rsidR="00BC28AA">
        <w:rPr>
          <w:rFonts w:ascii="Bookman Old Style" w:hAnsi="Bookman Old Style"/>
          <w:sz w:val="24"/>
          <w:szCs w:val="24"/>
        </w:rPr>
        <w:t>a</w:t>
      </w:r>
      <w:r>
        <w:rPr>
          <w:rFonts w:ascii="Bookman Old Style" w:hAnsi="Bookman Old Style"/>
          <w:sz w:val="24"/>
          <w:szCs w:val="24"/>
        </w:rPr>
        <w:t>rtículo 95, numeral 9 y artículo 338 de la Constitución Política.</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Conforme a lo dispuesto en el artículo 95, numeral 9 de la constitución Política todos los ciudadanos deben contribuir al financiamiento de los gastos e inversiones del Estado dentro de conceptos de justicia y equidad.</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Por su parte, refiriéndose a la facultad impositiva, el artículo 338 de la carta prevé que la ley puede permitir que las autoridades fijen la tarifa de las tasas y contribuciones que cobren a los contribuyentes como recuperación de los costos de los servicios que les presten, pero el sistema y el método para definir tales costos y beneficios, y la forma de su reparto, deben ser fijados por la ley.</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Esta norma instituye la consagración del principio de legalidad de los tributos, en virtud del cual, todos los elementos constitutivos de los tributos deben estar claramente establecidos en la ley.</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 xml:space="preserve">En este punto, el principio de legalidad es reiterado por la corte constitucional mediante Sentencia C-452 de 2003, Magistrado Ponente Jaime Córdoba Triviño, quien consideró que la facultad de las </w:t>
      </w:r>
      <w:r>
        <w:rPr>
          <w:rFonts w:ascii="Bookman Old Style" w:hAnsi="Bookman Old Style"/>
          <w:sz w:val="24"/>
          <w:szCs w:val="24"/>
        </w:rPr>
        <w:lastRenderedPageBreak/>
        <w:t>superintendencias y órganos de control para aprobar normas en materia contable está supeditada a la Constitución y la ley y a las normas que determine el contador General de la nación.</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 xml:space="preserve">Para el caso que nos ocupa, la Ley 142 de 1994 previó en el </w:t>
      </w:r>
      <w:r w:rsidR="00BC28AA">
        <w:rPr>
          <w:rFonts w:ascii="Bookman Old Style" w:hAnsi="Bookman Old Style"/>
          <w:sz w:val="24"/>
          <w:szCs w:val="24"/>
        </w:rPr>
        <w:t>a</w:t>
      </w:r>
      <w:r>
        <w:rPr>
          <w:rFonts w:ascii="Bookman Old Style" w:hAnsi="Bookman Old Style"/>
          <w:sz w:val="24"/>
          <w:szCs w:val="24"/>
        </w:rPr>
        <w:t xml:space="preserve">rtículo 85 el tributo, estableciendo que la tarifa máxima de cada contribución no podrá ser superior al uno por ciento (1%) </w:t>
      </w:r>
      <w:r w:rsidRPr="00D271EE">
        <w:rPr>
          <w:rFonts w:ascii="Bookman Old Style" w:hAnsi="Bookman Old Style"/>
          <w:sz w:val="24"/>
          <w:szCs w:val="24"/>
          <w:u w:val="single"/>
        </w:rPr>
        <w:t>del valor de los gastos de funcionamiento</w:t>
      </w:r>
      <w:r>
        <w:rPr>
          <w:rFonts w:ascii="Bookman Old Style" w:hAnsi="Bookman Old Style"/>
          <w:sz w:val="24"/>
          <w:szCs w:val="24"/>
        </w:rPr>
        <w:t xml:space="preserve"> asociados al servicio sometido a regulación.</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Así las cosas, es claro que todo acto administrativo que expida la CREG y que considere en la base gravable gastos que no sean de funcionamiento o aquellos que siéndolos no estén asociados al servicio, están excediendo el marco legal que regula su expedición y en ese orden de ideas adolecen de nulidad. En este estado se encuentra la Resolución N</w:t>
      </w:r>
      <w:r w:rsidR="00BC28AA">
        <w:rPr>
          <w:rFonts w:ascii="Bookman Old Style" w:hAnsi="Bookman Old Style"/>
          <w:sz w:val="24"/>
          <w:szCs w:val="24"/>
        </w:rPr>
        <w:t>o.</w:t>
      </w:r>
      <w:r>
        <w:rPr>
          <w:rFonts w:ascii="Bookman Old Style" w:hAnsi="Bookman Old Style"/>
          <w:sz w:val="24"/>
          <w:szCs w:val="24"/>
        </w:rPr>
        <w:t xml:space="preserve"> 175 de 2011objeto de este recurso de reposición.</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Falta de Motivación Art.35 del código Contencioso Administrativo.</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 xml:space="preserve">La falta o falsa motivación la define la jurisprudencia al expresar que </w:t>
      </w:r>
      <w:r w:rsidRPr="0055084E">
        <w:rPr>
          <w:rFonts w:ascii="Bookman Old Style" w:hAnsi="Bookman Old Style"/>
          <w:i/>
          <w:sz w:val="22"/>
          <w:szCs w:val="22"/>
        </w:rPr>
        <w:t>“Los motivos de un acto administrativo, son los antecedentes de hecho y de derecho que conducen a la expedición del acto, son las circunstancias que llevan a la administración a expresar su voluntad y por lo tanto su existencia real fundamenta la legalidad de la misma. Entonces, cuando no existe correspondencia entre la decisión que se adopta y los motivos que en el acto se aducen como fundamento de la misma, o cuando los motivos que se expresan en el acto como fuente de la misma no son reales o no existen, o están maquillados, se presenta un vicio que invalida el acto administrativo, el de la falsa motivación”</w:t>
      </w:r>
      <w:r>
        <w:rPr>
          <w:rFonts w:ascii="Bookman Old Style" w:hAnsi="Bookman Old Style"/>
          <w:sz w:val="24"/>
          <w:szCs w:val="24"/>
        </w:rPr>
        <w:t xml:space="preserve"> (Consejero ponente: JUAN ÁNGEL PALACIO HINCAPIÉ, julio 10 de 2002).</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En el acto administrativo objeto del presente recurso, no existe una determinación precisa de los elementos cuantitativos con los cuales la CREG determinó la forma de liquidación de la contribución.</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La Resolución solo cita las normas sobre las cuales se basa el pago, sin que se indique los elementos tomados por la Comisión para la liquidación y cobro de la contribución a las empresas de servicios públicos.</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El cobro exige la determinación explícita de la forma en que la CREG determinó la base gravable y liquidó la contribución.</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Es importante anotar que el hecho de que la CREG mencione en las liquidaciones las normas aplicables, no sanea el vicio de falta de motivación, por cuanto no justifica por si sola la expedición de un acto administrativo.</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Lo anterior en relación con los actos administrativos en general. Ahora bien, para los actos tributarios consistentes en liquidaciones oficiales, el Estatuto Tributario es más detallado y exige una serie de información que deben contener:</w:t>
      </w:r>
    </w:p>
    <w:p w:rsidR="00FB7F69" w:rsidRDefault="00FB7F69" w:rsidP="00FB7F69">
      <w:pPr>
        <w:pStyle w:val="Prrafodelista"/>
        <w:ind w:left="530"/>
        <w:jc w:val="both"/>
        <w:rPr>
          <w:rFonts w:ascii="Bookman Old Style" w:hAnsi="Bookman Old Style"/>
          <w:sz w:val="24"/>
          <w:szCs w:val="24"/>
        </w:rPr>
      </w:pPr>
    </w:p>
    <w:p w:rsidR="00FB7F69" w:rsidRPr="0055084E" w:rsidRDefault="00FB7F69" w:rsidP="00FB7F69">
      <w:pPr>
        <w:jc w:val="both"/>
        <w:rPr>
          <w:rFonts w:ascii="Bookman Old Style" w:hAnsi="Bookman Old Style"/>
          <w:i/>
          <w:lang w:eastAsia="es-CO"/>
        </w:rPr>
      </w:pPr>
      <w:bookmarkStart w:id="1" w:name="712"/>
      <w:bookmarkEnd w:id="1"/>
      <w:r w:rsidRPr="0055084E">
        <w:rPr>
          <w:rFonts w:ascii="Bookman Old Style" w:hAnsi="Bookman Old Style"/>
          <w:i/>
          <w:sz w:val="22"/>
          <w:szCs w:val="22"/>
          <w:lang w:eastAsia="es-CO"/>
        </w:rPr>
        <w:t>ARTICULO 712. CONTENIDO DE LA LIQUIDACIÓN DE REVISIÓN.</w:t>
      </w:r>
      <w:r w:rsidRPr="00676385">
        <w:rPr>
          <w:rFonts w:ascii="Bookman Old Style" w:hAnsi="Bookman Old Style"/>
          <w:i/>
          <w:sz w:val="22"/>
          <w:szCs w:val="22"/>
          <w:lang w:eastAsia="es-CO"/>
        </w:rPr>
        <w:t xml:space="preserve"> La liquidación de revisión, deberán contener: </w:t>
      </w:r>
    </w:p>
    <w:p w:rsidR="00FB7F69" w:rsidRPr="00676385" w:rsidRDefault="00FB7F69" w:rsidP="00FB7F69">
      <w:pPr>
        <w:jc w:val="both"/>
        <w:rPr>
          <w:rFonts w:ascii="Bookman Old Style" w:hAnsi="Bookman Old Style"/>
          <w:i/>
          <w:sz w:val="22"/>
          <w:szCs w:val="22"/>
          <w:lang w:eastAsia="es-CO"/>
        </w:rPr>
      </w:pPr>
    </w:p>
    <w:p w:rsidR="00FB7F69" w:rsidRPr="0055084E" w:rsidRDefault="00FB7F69" w:rsidP="00FB7F69">
      <w:pPr>
        <w:pStyle w:val="Prrafodelista"/>
        <w:numPr>
          <w:ilvl w:val="0"/>
          <w:numId w:val="22"/>
        </w:numPr>
        <w:jc w:val="both"/>
        <w:rPr>
          <w:rFonts w:ascii="Bookman Old Style" w:hAnsi="Bookman Old Style"/>
          <w:i/>
          <w:sz w:val="22"/>
          <w:szCs w:val="22"/>
          <w:lang w:eastAsia="es-CO"/>
        </w:rPr>
      </w:pPr>
      <w:r w:rsidRPr="0055084E">
        <w:rPr>
          <w:rFonts w:ascii="Bookman Old Style" w:hAnsi="Bookman Old Style"/>
          <w:i/>
          <w:sz w:val="22"/>
          <w:szCs w:val="22"/>
          <w:lang w:eastAsia="es-CO"/>
        </w:rPr>
        <w:t>Fecha: en caso de no indicarse, se tendrá como tal la de su notificación.</w:t>
      </w:r>
    </w:p>
    <w:p w:rsidR="00FB7F69" w:rsidRPr="0055084E" w:rsidRDefault="00FB7F69" w:rsidP="00FB7F69">
      <w:pPr>
        <w:pStyle w:val="Prrafodelista"/>
        <w:ind w:left="927"/>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 </w:t>
      </w:r>
    </w:p>
    <w:p w:rsidR="00FB7F69" w:rsidRPr="0055084E" w:rsidRDefault="00FB7F69" w:rsidP="00FB7F69">
      <w:pPr>
        <w:pStyle w:val="Prrafodelista"/>
        <w:numPr>
          <w:ilvl w:val="0"/>
          <w:numId w:val="22"/>
        </w:numPr>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Período gravable a que corresponda. </w:t>
      </w:r>
    </w:p>
    <w:p w:rsidR="00FB7F69" w:rsidRPr="0055084E" w:rsidRDefault="00FB7F69" w:rsidP="00FB7F69">
      <w:pPr>
        <w:ind w:left="0"/>
        <w:jc w:val="both"/>
        <w:rPr>
          <w:rFonts w:ascii="Bookman Old Style" w:hAnsi="Bookman Old Style"/>
          <w:i/>
          <w:sz w:val="22"/>
          <w:szCs w:val="22"/>
          <w:lang w:eastAsia="es-CO"/>
        </w:rPr>
      </w:pPr>
    </w:p>
    <w:p w:rsidR="00FB7F69" w:rsidRPr="0055084E" w:rsidRDefault="00FB7F69" w:rsidP="00FB7F69">
      <w:pPr>
        <w:pStyle w:val="Prrafodelista"/>
        <w:numPr>
          <w:ilvl w:val="0"/>
          <w:numId w:val="22"/>
        </w:numPr>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Nombre o razón social del contribuyente. </w:t>
      </w:r>
    </w:p>
    <w:p w:rsidR="00FB7F69" w:rsidRPr="0055084E" w:rsidRDefault="00FB7F69" w:rsidP="00FB7F69">
      <w:pPr>
        <w:ind w:left="0"/>
        <w:jc w:val="both"/>
        <w:rPr>
          <w:rFonts w:ascii="Bookman Old Style" w:hAnsi="Bookman Old Style"/>
          <w:i/>
          <w:sz w:val="22"/>
          <w:szCs w:val="22"/>
          <w:lang w:eastAsia="es-CO"/>
        </w:rPr>
      </w:pPr>
    </w:p>
    <w:p w:rsidR="00FB7F69" w:rsidRPr="0055084E" w:rsidRDefault="00FB7F69" w:rsidP="00FB7F69">
      <w:pPr>
        <w:pStyle w:val="Prrafodelista"/>
        <w:numPr>
          <w:ilvl w:val="0"/>
          <w:numId w:val="22"/>
        </w:numPr>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Número de identificación tributaria. </w:t>
      </w:r>
    </w:p>
    <w:p w:rsidR="00FB7F69" w:rsidRPr="0055084E" w:rsidRDefault="00FB7F69" w:rsidP="00FB7F69">
      <w:pPr>
        <w:ind w:left="0"/>
        <w:jc w:val="both"/>
        <w:rPr>
          <w:rFonts w:ascii="Bookman Old Style" w:hAnsi="Bookman Old Style"/>
          <w:i/>
          <w:sz w:val="22"/>
          <w:szCs w:val="22"/>
          <w:lang w:eastAsia="es-CO"/>
        </w:rPr>
      </w:pPr>
    </w:p>
    <w:p w:rsidR="00FB7F69" w:rsidRPr="0055084E" w:rsidRDefault="00FB7F69" w:rsidP="00FB7F69">
      <w:pPr>
        <w:pStyle w:val="Prrafodelista"/>
        <w:numPr>
          <w:ilvl w:val="0"/>
          <w:numId w:val="22"/>
        </w:numPr>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Bases de cuantificación del tributo. </w:t>
      </w:r>
    </w:p>
    <w:p w:rsidR="00FB7F69" w:rsidRPr="0055084E" w:rsidRDefault="00FB7F69" w:rsidP="00FB7F69">
      <w:pPr>
        <w:ind w:left="0"/>
        <w:jc w:val="both"/>
        <w:rPr>
          <w:rFonts w:ascii="Bookman Old Style" w:hAnsi="Bookman Old Style"/>
          <w:i/>
          <w:sz w:val="22"/>
          <w:szCs w:val="22"/>
          <w:lang w:eastAsia="es-CO"/>
        </w:rPr>
      </w:pPr>
    </w:p>
    <w:p w:rsidR="00FB7F69" w:rsidRPr="0055084E" w:rsidRDefault="00FB7F69" w:rsidP="00FB7F69">
      <w:pPr>
        <w:pStyle w:val="Prrafodelista"/>
        <w:numPr>
          <w:ilvl w:val="0"/>
          <w:numId w:val="22"/>
        </w:numPr>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Monto de los tributos y sanciones a cargo del contribuyente. </w:t>
      </w:r>
    </w:p>
    <w:p w:rsidR="00FB7F69" w:rsidRPr="0055084E" w:rsidRDefault="00FB7F69" w:rsidP="00FB7F69">
      <w:pPr>
        <w:ind w:left="0"/>
        <w:jc w:val="both"/>
        <w:rPr>
          <w:rFonts w:ascii="Bookman Old Style" w:hAnsi="Bookman Old Style"/>
          <w:i/>
          <w:sz w:val="22"/>
          <w:szCs w:val="22"/>
          <w:lang w:eastAsia="es-CO"/>
        </w:rPr>
      </w:pPr>
    </w:p>
    <w:p w:rsidR="00FB7F69" w:rsidRPr="0055084E" w:rsidRDefault="00FB7F69" w:rsidP="00FB7F69">
      <w:pPr>
        <w:pStyle w:val="Prrafodelista"/>
        <w:numPr>
          <w:ilvl w:val="0"/>
          <w:numId w:val="22"/>
        </w:numPr>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Explicación sumaria de las modificaciones efectuadas, en lo concerniente a la declaración </w:t>
      </w:r>
    </w:p>
    <w:p w:rsidR="00FB7F69" w:rsidRPr="0055084E" w:rsidRDefault="00FB7F69" w:rsidP="00FB7F69">
      <w:pPr>
        <w:ind w:left="0"/>
        <w:jc w:val="both"/>
        <w:rPr>
          <w:rFonts w:ascii="Bookman Old Style" w:hAnsi="Bookman Old Style"/>
          <w:i/>
          <w:sz w:val="22"/>
          <w:szCs w:val="22"/>
          <w:lang w:eastAsia="es-CO"/>
        </w:rPr>
      </w:pPr>
    </w:p>
    <w:p w:rsidR="00FB7F69" w:rsidRPr="0055084E" w:rsidRDefault="00FB7F69" w:rsidP="00FB7F69">
      <w:pPr>
        <w:pStyle w:val="Prrafodelista"/>
        <w:numPr>
          <w:ilvl w:val="0"/>
          <w:numId w:val="22"/>
        </w:numPr>
        <w:spacing w:after="150"/>
        <w:jc w:val="both"/>
        <w:rPr>
          <w:rFonts w:ascii="Bookman Old Style" w:hAnsi="Bookman Old Style"/>
          <w:i/>
          <w:sz w:val="22"/>
          <w:szCs w:val="22"/>
          <w:lang w:eastAsia="es-CO"/>
        </w:rPr>
      </w:pPr>
      <w:r w:rsidRPr="0055084E">
        <w:rPr>
          <w:rFonts w:ascii="Bookman Old Style" w:hAnsi="Bookman Old Style"/>
          <w:i/>
          <w:sz w:val="22"/>
          <w:szCs w:val="22"/>
          <w:lang w:eastAsia="es-CO"/>
        </w:rPr>
        <w:t xml:space="preserve">Firma o sello del control manual o automatizado. </w:t>
      </w: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La liquidación objeto de este recurso en momento alguno ha desarrollado los elementos de cuantificación del tributo por cuanto el hecho de señalar una suma determinada como base de la liquidación en manera alguna comporta la explicación siquiera sumaria de los elementos o cuentas o partidas que se incluyen o excluyen en dicha determinación, con lo cual se está prescindiendo varios de los elementos de la liquidación oficial acabados de listar, y se incurre en una causal de nulidad como la que se invoca.</w:t>
      </w:r>
    </w:p>
    <w:p w:rsidR="00FB7F69" w:rsidRDefault="00FB7F69" w:rsidP="00FB7F69">
      <w:pPr>
        <w:pStyle w:val="Prrafodelista"/>
        <w:ind w:left="530"/>
        <w:jc w:val="both"/>
        <w:rPr>
          <w:rFonts w:ascii="Bookman Old Style" w:hAnsi="Bookman Old Style"/>
          <w:sz w:val="24"/>
          <w:szCs w:val="24"/>
        </w:rPr>
      </w:pPr>
    </w:p>
    <w:p w:rsidR="00FB7F69" w:rsidRDefault="00FB7F69" w:rsidP="00FB7F69">
      <w:pPr>
        <w:pStyle w:val="Prrafodelista"/>
        <w:ind w:left="530"/>
        <w:jc w:val="both"/>
        <w:rPr>
          <w:rFonts w:ascii="Bookman Old Style" w:hAnsi="Bookman Old Style"/>
          <w:sz w:val="24"/>
          <w:szCs w:val="24"/>
        </w:rPr>
      </w:pPr>
      <w:r>
        <w:rPr>
          <w:rFonts w:ascii="Bookman Old Style" w:hAnsi="Bookman Old Style"/>
          <w:sz w:val="24"/>
          <w:szCs w:val="24"/>
        </w:rPr>
        <w:t>Igualmente este acto administrativo ha omitido el nombre y razón del contribuyente por cuanto, tal vez por efectos de una mal entendida economía procesal, se ha incluido dentro del acto liquidatario todo el universo de empresas reguladas y no se ha expedido y notificado una resolución a cada una de las empresas, como procede legalmente, so pena de nulidad del acto. ”</w:t>
      </w:r>
    </w:p>
    <w:p w:rsidR="00FB7F69" w:rsidRDefault="00FB7F69" w:rsidP="00FB7F69">
      <w:pPr>
        <w:pStyle w:val="Prrafodelista"/>
        <w:ind w:left="530"/>
        <w:jc w:val="both"/>
        <w:rPr>
          <w:rFonts w:ascii="Bookman Old Style" w:hAnsi="Bookman Old Style"/>
          <w:sz w:val="24"/>
          <w:szCs w:val="24"/>
        </w:rPr>
      </w:pPr>
    </w:p>
    <w:p w:rsidR="00FB7F69" w:rsidRPr="0026257D" w:rsidRDefault="00FB7F69" w:rsidP="00FB7F69">
      <w:pPr>
        <w:pStyle w:val="Prrafodelista"/>
        <w:numPr>
          <w:ilvl w:val="0"/>
          <w:numId w:val="31"/>
        </w:numPr>
        <w:jc w:val="both"/>
        <w:rPr>
          <w:rFonts w:ascii="Bookman Old Style" w:hAnsi="Bookman Old Style"/>
          <w:b/>
          <w:sz w:val="24"/>
          <w:szCs w:val="24"/>
        </w:rPr>
      </w:pPr>
      <w:r>
        <w:rPr>
          <w:rFonts w:ascii="Bookman Old Style" w:hAnsi="Bookman Old Style"/>
          <w:b/>
          <w:sz w:val="24"/>
          <w:szCs w:val="24"/>
        </w:rPr>
        <w:t>CONSIDERACIONES DE LA CREG</w:t>
      </w:r>
    </w:p>
    <w:p w:rsidR="00FB7F69" w:rsidRDefault="00FB7F69"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De acuerdo con los argumentos del recurrente, estos se circunscriben a dos aspectos fundamentales:</w:t>
      </w:r>
    </w:p>
    <w:p w:rsidR="00FB7F69" w:rsidRPr="003C6DD4" w:rsidRDefault="00FB7F69" w:rsidP="00FB7F69">
      <w:pPr>
        <w:ind w:left="0"/>
        <w:jc w:val="both"/>
        <w:rPr>
          <w:rFonts w:ascii="Bookman Old Style" w:hAnsi="Bookman Old Style"/>
        </w:rPr>
      </w:pPr>
    </w:p>
    <w:p w:rsidR="00FB7F69" w:rsidRDefault="00FB7F69" w:rsidP="00FB7F69">
      <w:pPr>
        <w:pStyle w:val="Prrafodelista"/>
        <w:numPr>
          <w:ilvl w:val="0"/>
          <w:numId w:val="24"/>
        </w:numPr>
        <w:jc w:val="both"/>
        <w:rPr>
          <w:rFonts w:ascii="Bookman Old Style" w:hAnsi="Bookman Old Style"/>
          <w:sz w:val="24"/>
          <w:szCs w:val="24"/>
        </w:rPr>
      </w:pPr>
      <w:r>
        <w:rPr>
          <w:rFonts w:ascii="Bookman Old Style" w:hAnsi="Bookman Old Style"/>
          <w:sz w:val="24"/>
          <w:szCs w:val="24"/>
          <w:lang w:val="es-ES"/>
        </w:rPr>
        <w:t>Este considera que l</w:t>
      </w:r>
      <w:r w:rsidRPr="003C6DD4">
        <w:rPr>
          <w:rFonts w:ascii="Bookman Old Style" w:hAnsi="Bookman Old Style"/>
          <w:sz w:val="24"/>
          <w:szCs w:val="24"/>
        </w:rPr>
        <w:t>os impuestos tasas y contribuciones no constituyen gastos de funcionamiento</w:t>
      </w:r>
      <w:r>
        <w:rPr>
          <w:rFonts w:ascii="Bookman Old Style" w:hAnsi="Bookman Old Style"/>
          <w:sz w:val="24"/>
          <w:szCs w:val="24"/>
        </w:rPr>
        <w:t>.</w:t>
      </w:r>
    </w:p>
    <w:p w:rsidR="00FB7F69" w:rsidRPr="003C6DD4" w:rsidRDefault="00FB7F69" w:rsidP="00FB7F69">
      <w:pPr>
        <w:pStyle w:val="Prrafodelista"/>
        <w:ind w:left="720"/>
        <w:jc w:val="both"/>
        <w:rPr>
          <w:rFonts w:ascii="Bookman Old Style" w:hAnsi="Bookman Old Style"/>
          <w:sz w:val="24"/>
          <w:szCs w:val="24"/>
        </w:rPr>
      </w:pPr>
    </w:p>
    <w:p w:rsidR="00FB7F69" w:rsidRDefault="00FB7F69" w:rsidP="00FB7F69">
      <w:pPr>
        <w:pStyle w:val="Prrafodelista"/>
        <w:numPr>
          <w:ilvl w:val="0"/>
          <w:numId w:val="24"/>
        </w:numPr>
        <w:jc w:val="both"/>
        <w:rPr>
          <w:rFonts w:ascii="Bookman Old Style" w:hAnsi="Bookman Old Style"/>
          <w:sz w:val="24"/>
          <w:szCs w:val="24"/>
        </w:rPr>
      </w:pPr>
      <w:r w:rsidRPr="003C6DD4">
        <w:rPr>
          <w:rFonts w:ascii="Bookman Old Style" w:hAnsi="Bookman Old Style"/>
          <w:sz w:val="24"/>
          <w:szCs w:val="24"/>
        </w:rPr>
        <w:t>Existió falsa motivación al expedirse el Acto Administrativo que señaló la contribuci</w:t>
      </w:r>
      <w:r>
        <w:rPr>
          <w:rFonts w:ascii="Bookman Old Style" w:hAnsi="Bookman Old Style"/>
          <w:sz w:val="24"/>
          <w:szCs w:val="24"/>
        </w:rPr>
        <w:t>ón especial.</w:t>
      </w:r>
    </w:p>
    <w:p w:rsidR="00FB7F69" w:rsidRPr="003C6DD4" w:rsidRDefault="00FB7F69" w:rsidP="00FB7F69">
      <w:pPr>
        <w:pStyle w:val="Prrafodelista"/>
        <w:rPr>
          <w:rFonts w:ascii="Bookman Old Style" w:hAnsi="Bookman Old Style"/>
          <w:sz w:val="24"/>
          <w:szCs w:val="24"/>
        </w:rPr>
      </w:pPr>
    </w:p>
    <w:p w:rsidR="00FB7F69" w:rsidRPr="00703104" w:rsidRDefault="00FB7F69" w:rsidP="00FB7F69">
      <w:pPr>
        <w:ind w:left="360" w:hanging="360"/>
        <w:jc w:val="both"/>
        <w:rPr>
          <w:rFonts w:ascii="Bookman Old Style" w:hAnsi="Bookman Old Style"/>
          <w:b/>
        </w:rPr>
      </w:pPr>
      <w:r>
        <w:rPr>
          <w:rFonts w:ascii="Bookman Old Style" w:hAnsi="Bookman Old Style"/>
          <w:b/>
        </w:rPr>
        <w:t>1.</w:t>
      </w:r>
      <w:r>
        <w:rPr>
          <w:rFonts w:ascii="Bookman Old Style" w:hAnsi="Bookman Old Style"/>
          <w:b/>
        </w:rPr>
        <w:tab/>
        <w:t xml:space="preserve">LOS IMPUESTOS, TASAS Y CONTRIBICIONES DENTRO DEL CONCEPTO DE GASTOS DE FUNCIONAMIENTO. </w:t>
      </w:r>
    </w:p>
    <w:p w:rsidR="00FB7F69" w:rsidRDefault="00FB7F69"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Para dilucidar el primer planteamiento del recurso de reposición, la Comisión de Regulación de Energía y Gas –CREG efectuará un análisis acerca de los Gastos de Funcionamiento y sus componentes, de acuerdo con lo expuesto por la jurisprudencia administrativa del Honorable Consejo de Estado.</w:t>
      </w:r>
    </w:p>
    <w:p w:rsidR="00FB7F69" w:rsidRDefault="00FB7F69" w:rsidP="00FB7F69">
      <w:pPr>
        <w:ind w:left="0"/>
        <w:jc w:val="both"/>
        <w:rPr>
          <w:rFonts w:ascii="Bookman Old Style" w:hAnsi="Bookman Old Style"/>
        </w:rPr>
      </w:pPr>
    </w:p>
    <w:p w:rsidR="00BC28AA" w:rsidRDefault="00BC28AA"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sidRPr="00442C7E">
        <w:rPr>
          <w:rFonts w:ascii="Bookman Old Style" w:hAnsi="Bookman Old Style"/>
        </w:rPr>
        <w:t>La contribución que se liquidó en el acto administrativo recurrido, fue establecida por la Ley 142 de 1992 “Ley de servicios públicos domiciliarios” artículo 85</w:t>
      </w:r>
      <w:r>
        <w:rPr>
          <w:rFonts w:ascii="Bookman Old Style" w:hAnsi="Bookman Old Style"/>
        </w:rPr>
        <w:t>,</w:t>
      </w:r>
      <w:r w:rsidRPr="00442C7E">
        <w:rPr>
          <w:rFonts w:ascii="Bookman Old Style" w:hAnsi="Bookman Old Style"/>
        </w:rPr>
        <w:t xml:space="preserve"> </w:t>
      </w:r>
      <w:r>
        <w:rPr>
          <w:rFonts w:ascii="Bookman Old Style" w:hAnsi="Bookman Old Style"/>
        </w:rPr>
        <w:t xml:space="preserve">de acuerdo con los criterios del numeral 2 y parágrafo 2 de esta disposición, </w:t>
      </w:r>
      <w:r w:rsidRPr="00442C7E">
        <w:rPr>
          <w:rFonts w:ascii="Bookman Old Style" w:hAnsi="Bookman Old Style"/>
        </w:rPr>
        <w:t xml:space="preserve">a favor de la Comisión de Regulación de Energía y Gas –CREG- y a cargo de las entidades sometidas a su regulación, con el fin de recuperar los costos de los servicios de regulación que presta la Entidad. </w:t>
      </w:r>
    </w:p>
    <w:p w:rsidR="00FB7F69" w:rsidRPr="0037171B" w:rsidRDefault="00FB7F69" w:rsidP="00FB7F69">
      <w:pPr>
        <w:ind w:left="0"/>
        <w:jc w:val="both"/>
      </w:pPr>
    </w:p>
    <w:p w:rsidR="00FB7F69" w:rsidRDefault="00FB7F69" w:rsidP="00FB7F69">
      <w:pPr>
        <w:ind w:left="0"/>
        <w:jc w:val="both"/>
        <w:rPr>
          <w:rFonts w:ascii="Bookman Old Style" w:hAnsi="Bookman Old Style"/>
        </w:rPr>
      </w:pPr>
      <w:r>
        <w:rPr>
          <w:rFonts w:ascii="Bookman Old Style" w:hAnsi="Bookman Old Style"/>
        </w:rPr>
        <w:t>L</w:t>
      </w:r>
      <w:r w:rsidRPr="00657CD2">
        <w:rPr>
          <w:rFonts w:ascii="Bookman Old Style" w:hAnsi="Bookman Old Style"/>
        </w:rPr>
        <w:t xml:space="preserve">a Contribución </w:t>
      </w:r>
      <w:r>
        <w:rPr>
          <w:rFonts w:ascii="Bookman Old Style" w:hAnsi="Bookman Old Style"/>
        </w:rPr>
        <w:t>a favor</w:t>
      </w:r>
      <w:r w:rsidRPr="00657CD2">
        <w:rPr>
          <w:rFonts w:ascii="Bookman Old Style" w:hAnsi="Bookman Old Style"/>
        </w:rPr>
        <w:t xml:space="preserve"> de la </w:t>
      </w:r>
      <w:r>
        <w:rPr>
          <w:rFonts w:ascii="Bookman Old Style" w:hAnsi="Bookman Old Style"/>
        </w:rPr>
        <w:t>Comisión de Regulación de Energía y Gas –CREG-,</w:t>
      </w:r>
      <w:r w:rsidRPr="00657CD2">
        <w:rPr>
          <w:rFonts w:ascii="Bookman Old Style" w:hAnsi="Bookman Old Style"/>
        </w:rPr>
        <w:t xml:space="preserve"> constituye un tributo que como tal</w:t>
      </w:r>
      <w:r>
        <w:rPr>
          <w:rFonts w:ascii="Bookman Old Style" w:hAnsi="Bookman Old Style"/>
        </w:rPr>
        <w:t>,</w:t>
      </w:r>
      <w:r w:rsidRPr="00657CD2">
        <w:rPr>
          <w:rFonts w:ascii="Bookman Old Style" w:hAnsi="Bookman Old Style"/>
        </w:rPr>
        <w:t xml:space="preserve"> es obligatorio para todas las sociedades sometidas a </w:t>
      </w:r>
      <w:r>
        <w:rPr>
          <w:rFonts w:ascii="Bookman Old Style" w:hAnsi="Bookman Old Style"/>
        </w:rPr>
        <w:t>regulación</w:t>
      </w:r>
      <w:r w:rsidRPr="00657CD2">
        <w:rPr>
          <w:rFonts w:ascii="Bookman Old Style" w:hAnsi="Bookman Old Style"/>
        </w:rPr>
        <w:t xml:space="preserve">. Esta obligación fiscal a cargo de las entidades </w:t>
      </w:r>
      <w:r>
        <w:rPr>
          <w:rFonts w:ascii="Bookman Old Style" w:hAnsi="Bookman Old Style"/>
        </w:rPr>
        <w:t>reguladas</w:t>
      </w:r>
      <w:r w:rsidRPr="00657CD2">
        <w:rPr>
          <w:rFonts w:ascii="Bookman Old Style" w:hAnsi="Bookman Old Style"/>
        </w:rPr>
        <w:t xml:space="preserve"> tiene prevista una sanción moratoria en caso de retardo en su cancelación lo que denota su carácter coercitivo. Como se puede apreciar </w:t>
      </w:r>
      <w:smartTag w:uri="urn:schemas-microsoft-com:office:smarttags" w:element="PersonName">
        <w:smartTagPr>
          <w:attr w:name="ProductID" w:val="la Contribuci￳n"/>
        </w:smartTagPr>
        <w:r w:rsidRPr="00657CD2">
          <w:rPr>
            <w:rFonts w:ascii="Bookman Old Style" w:hAnsi="Bookman Old Style"/>
          </w:rPr>
          <w:t>la Contribución</w:t>
        </w:r>
      </w:smartTag>
      <w:r w:rsidRPr="00657CD2">
        <w:rPr>
          <w:rFonts w:ascii="Bookman Old Style" w:hAnsi="Bookman Old Style"/>
        </w:rPr>
        <w:t xml:space="preserve"> va dirigida a un sector específico, como lo son las entidades </w:t>
      </w:r>
      <w:r>
        <w:rPr>
          <w:rFonts w:ascii="Bookman Old Style" w:hAnsi="Bookman Old Style"/>
        </w:rPr>
        <w:t>reguladas</w:t>
      </w:r>
      <w:r w:rsidRPr="00657CD2">
        <w:rPr>
          <w:rFonts w:ascii="Bookman Old Style" w:hAnsi="Bookman Old Style"/>
        </w:rPr>
        <w:t xml:space="preserve"> por la </w:t>
      </w:r>
      <w:r>
        <w:rPr>
          <w:rFonts w:ascii="Bookman Old Style" w:hAnsi="Bookman Old Style"/>
        </w:rPr>
        <w:t>CREG</w:t>
      </w:r>
      <w:r w:rsidRPr="00657CD2">
        <w:rPr>
          <w:rFonts w:ascii="Bookman Old Style" w:hAnsi="Bookman Old Style"/>
        </w:rPr>
        <w:t xml:space="preserve"> y su recaudo tiene como destinación cubri</w:t>
      </w:r>
      <w:r>
        <w:rPr>
          <w:rFonts w:ascii="Bookman Old Style" w:hAnsi="Bookman Old Style"/>
        </w:rPr>
        <w:t>r sus gastos de funcionamiento</w:t>
      </w:r>
      <w:r w:rsidRPr="00657CD2">
        <w:rPr>
          <w:rFonts w:ascii="Bookman Old Style" w:hAnsi="Bookman Old Style"/>
        </w:rPr>
        <w:t>.</w:t>
      </w:r>
    </w:p>
    <w:p w:rsidR="00FB7F69" w:rsidRPr="00657CD2" w:rsidRDefault="00FB7F69" w:rsidP="00FB7F69">
      <w:pPr>
        <w:ind w:left="0"/>
        <w:jc w:val="both"/>
        <w:rPr>
          <w:rFonts w:ascii="Bookman Old Style" w:hAnsi="Bookman Old Style"/>
        </w:rPr>
      </w:pPr>
    </w:p>
    <w:p w:rsidR="00FB7F69" w:rsidRDefault="00FB7F69" w:rsidP="00FB7F69">
      <w:pPr>
        <w:ind w:left="0"/>
        <w:jc w:val="both"/>
        <w:rPr>
          <w:rFonts w:ascii="Bookman Old Style" w:hAnsi="Bookman Old Style"/>
          <w:lang w:val="es-MX"/>
        </w:rPr>
      </w:pPr>
      <w:r w:rsidRPr="00EB3A2D">
        <w:rPr>
          <w:rFonts w:ascii="Bookman Old Style" w:hAnsi="Bookman Old Style"/>
          <w:lang w:val="es-MX"/>
        </w:rPr>
        <w:t>La liquidación de la contribución se efectuó teniendo en cuenta los</w:t>
      </w:r>
      <w:r>
        <w:rPr>
          <w:rFonts w:ascii="Bookman Old Style" w:hAnsi="Bookman Old Style"/>
          <w:lang w:val="es-MX"/>
        </w:rPr>
        <w:t xml:space="preserve"> Gastos de Funcionamiento, de acuerdo con la información del </w:t>
      </w:r>
      <w:r w:rsidRPr="00703104">
        <w:rPr>
          <w:rFonts w:ascii="Bookman Old Style" w:hAnsi="Bookman Old Style"/>
          <w:lang w:val="es-MX"/>
        </w:rPr>
        <w:t>el reporte de estados financieros presentados por las EMPRESAS PÚBLICAS DE MEDELLÍN E.S.P.</w:t>
      </w:r>
      <w:r>
        <w:rPr>
          <w:rFonts w:ascii="Bookman Old Style" w:hAnsi="Bookman Old Style"/>
          <w:lang w:val="es-MX"/>
        </w:rPr>
        <w:t>, los cuales, se elaboran teniendo en cuenta la norma contable expedida por la Superintendencia de Servicios Públicos Domiciliarios</w:t>
      </w:r>
      <w:r w:rsidR="00BC28AA">
        <w:rPr>
          <w:rFonts w:ascii="Bookman Old Style" w:hAnsi="Bookman Old Style"/>
          <w:lang w:val="es-MX"/>
        </w:rPr>
        <w:t>.</w:t>
      </w:r>
    </w:p>
    <w:p w:rsidR="00FB7F69" w:rsidRDefault="00FB7F69" w:rsidP="00FB7F69">
      <w:pPr>
        <w:ind w:left="0"/>
        <w:jc w:val="both"/>
        <w:rPr>
          <w:rFonts w:ascii="Bookman Old Style" w:hAnsi="Bookman Old Style"/>
          <w:lang w:val="es-MX"/>
        </w:rPr>
      </w:pPr>
    </w:p>
    <w:p w:rsidR="00FB7F69" w:rsidRPr="00EB3A2D" w:rsidRDefault="00FB7F69" w:rsidP="00FB7F69">
      <w:pPr>
        <w:ind w:left="0"/>
        <w:jc w:val="both"/>
        <w:rPr>
          <w:rFonts w:ascii="Bookman Old Style" w:hAnsi="Bookman Old Style"/>
          <w:lang w:val="es-CO"/>
        </w:rPr>
      </w:pPr>
      <w:r>
        <w:rPr>
          <w:rFonts w:ascii="Bookman Old Style" w:hAnsi="Bookman Old Style"/>
          <w:lang w:val="es-MX"/>
        </w:rPr>
        <w:t>Dentro de estos se incluyeron, l</w:t>
      </w:r>
      <w:r w:rsidRPr="00EB3A2D">
        <w:rPr>
          <w:rFonts w:ascii="Bookman Old Style" w:hAnsi="Bookman Old Style"/>
          <w:lang w:val="es-MX"/>
        </w:rPr>
        <w:t>os impuestos tasas y contribuciones</w:t>
      </w:r>
      <w:r w:rsidR="00123F54">
        <w:rPr>
          <w:rFonts w:ascii="Bookman Old Style" w:hAnsi="Bookman Old Style"/>
          <w:lang w:val="es-MX"/>
        </w:rPr>
        <w:t xml:space="preserve">, los cuales </w:t>
      </w:r>
      <w:r w:rsidRPr="00EB3A2D">
        <w:rPr>
          <w:rFonts w:ascii="Bookman Old Style" w:hAnsi="Bookman Old Style"/>
          <w:lang w:val="es-MX"/>
        </w:rPr>
        <w:t>se encuentran en la  subcuenta 5120 de la cuenta 51 del Grupo 5</w:t>
      </w:r>
      <w:r>
        <w:rPr>
          <w:rFonts w:ascii="Bookman Old Style" w:hAnsi="Bookman Old Style"/>
          <w:lang w:val="es-MX"/>
        </w:rPr>
        <w:t xml:space="preserve"> de la norma contable de servicios públicos.</w:t>
      </w:r>
    </w:p>
    <w:p w:rsidR="00FB7F69" w:rsidRPr="00657CD2" w:rsidRDefault="00FB7F69" w:rsidP="00FB7F69">
      <w:pPr>
        <w:ind w:left="0"/>
        <w:jc w:val="both"/>
        <w:rPr>
          <w:rFonts w:ascii="Bookman Old Style" w:hAnsi="Bookman Old Style"/>
          <w:lang w:val="es-CO"/>
        </w:rPr>
      </w:pPr>
    </w:p>
    <w:p w:rsidR="00FB7F69" w:rsidRDefault="00FB7F69" w:rsidP="00FB7F69">
      <w:pPr>
        <w:ind w:left="0"/>
        <w:jc w:val="both"/>
        <w:rPr>
          <w:rFonts w:ascii="Bookman Old Style" w:hAnsi="Bookman Old Style"/>
        </w:rPr>
      </w:pPr>
      <w:r w:rsidRPr="001D026C">
        <w:rPr>
          <w:rFonts w:ascii="Bookman Old Style" w:hAnsi="Bookman Old Style"/>
        </w:rPr>
        <w:t xml:space="preserve">Es cierto como lo señala el recurrente que el saldo de las cuentas que conforman el grupo 51 Gastos de Administración con corte a 31 de diciembre de 2010 asciende a la suma de $476.513.202.746, de acuerdo con el reporte del SUI y con la </w:t>
      </w:r>
      <w:r>
        <w:rPr>
          <w:rFonts w:ascii="Bookman Old Style" w:hAnsi="Bookman Old Style"/>
        </w:rPr>
        <w:t>certificación allegada por EPM</w:t>
      </w:r>
      <w:r w:rsidR="00BC28AA">
        <w:rPr>
          <w:rFonts w:ascii="Bookman Old Style" w:hAnsi="Bookman Old Style"/>
        </w:rPr>
        <w:t>.</w:t>
      </w:r>
      <w:r>
        <w:rPr>
          <w:rFonts w:ascii="Bookman Old Style" w:hAnsi="Bookman Old Style"/>
        </w:rPr>
        <w:t xml:space="preserve"> </w:t>
      </w:r>
    </w:p>
    <w:p w:rsidR="00FB7F69" w:rsidRDefault="00FB7F69"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 xml:space="preserve">Así mismo, dentro de los Estados Financieros, </w:t>
      </w:r>
      <w:r w:rsidRPr="001D026C">
        <w:rPr>
          <w:rFonts w:ascii="Bookman Old Style" w:hAnsi="Bookman Old Style"/>
        </w:rPr>
        <w:t>las cuentas del grupo 51 incluye la subcuenta 5120</w:t>
      </w:r>
      <w:r>
        <w:rPr>
          <w:rFonts w:ascii="Bookman Old Style" w:hAnsi="Bookman Old Style"/>
        </w:rPr>
        <w:t xml:space="preserve"> </w:t>
      </w:r>
      <w:r w:rsidRPr="001D026C">
        <w:rPr>
          <w:rFonts w:ascii="Bookman Old Style" w:hAnsi="Bookman Old Style"/>
        </w:rPr>
        <w:t>–Impuestos contribuciones y tasas para los servicios de energía y gas natural- y que para el recurrente, asciende a la suma de $</w:t>
      </w:r>
      <w:r>
        <w:rPr>
          <w:rFonts w:ascii="Bookman Old Style" w:hAnsi="Bookman Old Style"/>
        </w:rPr>
        <w:t>80.001.625.43, como se muestra a continuación:</w:t>
      </w:r>
    </w:p>
    <w:p w:rsidR="00FB7F69" w:rsidRDefault="00FB7F69" w:rsidP="00FB7F69">
      <w:pPr>
        <w:ind w:left="0"/>
        <w:jc w:val="both"/>
        <w:rPr>
          <w:rFonts w:ascii="Bookman Old Style" w:hAnsi="Bookman Old Style"/>
        </w:rPr>
      </w:pPr>
    </w:p>
    <w:p w:rsidR="00FB7F69" w:rsidRDefault="00FB7F69" w:rsidP="00FB7F69">
      <w:pPr>
        <w:ind w:left="0"/>
        <w:jc w:val="center"/>
        <w:rPr>
          <w:rFonts w:ascii="Bookman Old Style" w:hAnsi="Bookman Old Style"/>
        </w:rPr>
      </w:pPr>
      <w:r w:rsidRPr="004249FA">
        <w:rPr>
          <w:noProof/>
          <w:lang w:val="es-CO" w:eastAsia="es-CO"/>
        </w:rPr>
        <w:drawing>
          <wp:inline distT="0" distB="0" distL="0" distR="0" wp14:anchorId="290BD885" wp14:editId="467E28B4">
            <wp:extent cx="5505450" cy="2343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7319" cy="2343946"/>
                    </a:xfrm>
                    <a:prstGeom prst="rect">
                      <a:avLst/>
                    </a:prstGeom>
                    <a:noFill/>
                    <a:ln>
                      <a:noFill/>
                    </a:ln>
                  </pic:spPr>
                </pic:pic>
              </a:graphicData>
            </a:graphic>
          </wp:inline>
        </w:drawing>
      </w:r>
    </w:p>
    <w:p w:rsidR="00FB7F69" w:rsidRDefault="00FB7F69" w:rsidP="00FB7F69">
      <w:pPr>
        <w:ind w:left="0"/>
        <w:jc w:val="both"/>
        <w:rPr>
          <w:rFonts w:ascii="Bookman Old Style" w:hAnsi="Bookman Old Style"/>
        </w:rPr>
      </w:pPr>
    </w:p>
    <w:p w:rsidR="00BC28AA" w:rsidRDefault="00BC28AA"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De acuerdo con lo planteado por el recurrente, la cuenta 5120 correspondiente a los impuestos, contribuciones y tasas, no puede ser parte de la base gravable para la liquidación de la contribución especial, por cuanto no es uno de los “gastos de funcionamiento” que señala el Artículo 85 de la Ley 142 de 1994.</w:t>
      </w:r>
    </w:p>
    <w:p w:rsidR="00FB7F69" w:rsidRDefault="00FB7F69"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El artículo 85 de la Ley 142 de 1994 señala:</w:t>
      </w:r>
    </w:p>
    <w:p w:rsidR="00FB7F69" w:rsidRPr="00BC28AA" w:rsidRDefault="00FB7F69" w:rsidP="00FB7F69">
      <w:pPr>
        <w:pStyle w:val="NormalWeb"/>
        <w:ind w:left="426" w:right="1134"/>
        <w:jc w:val="both"/>
        <w:rPr>
          <w:rFonts w:ascii="Bookman Old Style" w:hAnsi="Bookman Old Style" w:cs="Arial"/>
          <w:b/>
          <w:bCs/>
          <w:i/>
          <w:sz w:val="22"/>
          <w:szCs w:val="22"/>
        </w:rPr>
      </w:pPr>
      <w:r w:rsidRPr="00BC28AA">
        <w:rPr>
          <w:rFonts w:ascii="Bookman Old Style" w:hAnsi="Bookman Old Style" w:cs="Arial"/>
          <w:b/>
          <w:bCs/>
          <w:i/>
          <w:sz w:val="22"/>
          <w:szCs w:val="22"/>
        </w:rPr>
        <w:t xml:space="preserve">“Artículo </w:t>
      </w:r>
      <w:bookmarkStart w:id="2" w:name="85"/>
      <w:bookmarkEnd w:id="2"/>
      <w:r w:rsidRPr="00BC28AA">
        <w:rPr>
          <w:rFonts w:ascii="Bookman Old Style" w:hAnsi="Bookman Old Style" w:cs="Arial"/>
          <w:b/>
          <w:bCs/>
          <w:i/>
          <w:sz w:val="22"/>
          <w:szCs w:val="22"/>
        </w:rPr>
        <w:t>85</w:t>
      </w:r>
      <w:r w:rsidRPr="00BC28AA">
        <w:rPr>
          <w:rFonts w:ascii="Bookman Old Style" w:hAnsi="Bookman Old Style" w:cs="Arial"/>
          <w:i/>
          <w:sz w:val="22"/>
          <w:szCs w:val="22"/>
        </w:rPr>
        <w:t>.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w:t>
      </w:r>
    </w:p>
    <w:p w:rsidR="00FB7F69" w:rsidRPr="00BC28AA" w:rsidRDefault="00FB7F69" w:rsidP="00FB7F69">
      <w:pPr>
        <w:pStyle w:val="NormalWeb"/>
        <w:ind w:left="426" w:right="1134"/>
        <w:jc w:val="both"/>
        <w:rPr>
          <w:rFonts w:ascii="Bookman Old Style" w:hAnsi="Bookman Old Style" w:cs="Arial"/>
          <w:b/>
          <w:bCs/>
          <w:i/>
          <w:sz w:val="22"/>
          <w:szCs w:val="22"/>
        </w:rPr>
      </w:pPr>
      <w:r w:rsidRPr="00BC28AA">
        <w:rPr>
          <w:rFonts w:ascii="Bookman Old Style" w:hAnsi="Bookman Old Style" w:cs="Arial"/>
          <w:i/>
          <w:sz w:val="22"/>
          <w:szCs w:val="22"/>
        </w:rPr>
        <w:t>85.1. Para definir los costos de los servicios que presten las Comisiones y la Superintendencia, se tendrán en cuenta todos los gastos de funcionamiento, y la depreciación, amortización u obsolescencia de sus activos, en el período anual respectivo.</w:t>
      </w:r>
    </w:p>
    <w:p w:rsidR="00FB7F69" w:rsidRPr="00BC28AA" w:rsidRDefault="00FB7F69" w:rsidP="00FB7F69">
      <w:pPr>
        <w:pStyle w:val="NormalWeb"/>
        <w:ind w:left="426" w:right="1134"/>
        <w:jc w:val="both"/>
        <w:rPr>
          <w:rFonts w:ascii="Bookman Old Style" w:hAnsi="Bookman Old Style" w:cs="Arial"/>
          <w:b/>
          <w:bCs/>
          <w:i/>
          <w:sz w:val="22"/>
          <w:szCs w:val="22"/>
        </w:rPr>
      </w:pPr>
      <w:r w:rsidRPr="00BC28AA">
        <w:rPr>
          <w:rFonts w:ascii="Bookman Old Style" w:hAnsi="Bookman Old Style" w:cs="Arial"/>
          <w:i/>
          <w:sz w:val="22"/>
          <w:szCs w:val="22"/>
        </w:rPr>
        <w:t>85.2. La superintendencia y las comisiones presupuestarán sus gastos cada año y cobrarán dentro de los límites que enseguida se señalan, solamente la tarifa que arroje el valor necesario para cubrir su presupuesto anual.</w:t>
      </w:r>
    </w:p>
    <w:p w:rsidR="00FB7F69" w:rsidRPr="00BC28AA" w:rsidRDefault="00FB7F69" w:rsidP="00FB7F69">
      <w:pPr>
        <w:pStyle w:val="NormalWeb"/>
        <w:ind w:left="426" w:right="1134"/>
        <w:jc w:val="both"/>
        <w:rPr>
          <w:rFonts w:ascii="Bookman Old Style" w:hAnsi="Bookman Old Style" w:cs="Arial"/>
          <w:b/>
          <w:bCs/>
          <w:i/>
          <w:sz w:val="22"/>
          <w:szCs w:val="22"/>
        </w:rPr>
      </w:pPr>
      <w:r w:rsidRPr="00BC28AA">
        <w:rPr>
          <w:rFonts w:ascii="Bookman Old Style" w:hAnsi="Bookman Old Style" w:cs="Arial"/>
          <w:i/>
          <w:sz w:val="22"/>
          <w:szCs w:val="22"/>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rsidR="00FB7F69" w:rsidRPr="00BC28AA" w:rsidRDefault="00FB7F69" w:rsidP="00FB7F69">
      <w:pPr>
        <w:pStyle w:val="NormalWeb"/>
        <w:ind w:left="426" w:right="1134"/>
        <w:jc w:val="both"/>
        <w:rPr>
          <w:rFonts w:ascii="Bookman Old Style" w:hAnsi="Bookman Old Style" w:cs="Arial"/>
          <w:b/>
          <w:bCs/>
          <w:i/>
          <w:sz w:val="22"/>
          <w:szCs w:val="22"/>
        </w:rPr>
      </w:pPr>
      <w:r w:rsidRPr="00BC28AA">
        <w:rPr>
          <w:rFonts w:ascii="Bookman Old Style" w:hAnsi="Bookman Old Style" w:cs="Arial"/>
          <w:i/>
          <w:sz w:val="22"/>
          <w:szCs w:val="22"/>
        </w:rPr>
        <w:t>(…)</w:t>
      </w:r>
    </w:p>
    <w:p w:rsidR="00FB7F69" w:rsidRPr="00BC28AA" w:rsidRDefault="00FB7F69" w:rsidP="00FB7F69">
      <w:pPr>
        <w:pStyle w:val="NormalWeb"/>
        <w:ind w:left="426" w:right="1134"/>
        <w:jc w:val="both"/>
        <w:rPr>
          <w:rFonts w:ascii="Bookman Old Style" w:hAnsi="Bookman Old Style" w:cs="Arial"/>
          <w:i/>
          <w:sz w:val="22"/>
          <w:szCs w:val="22"/>
        </w:rPr>
      </w:pPr>
      <w:r w:rsidRPr="00BC28AA">
        <w:rPr>
          <w:rFonts w:ascii="Bookman Old Style" w:hAnsi="Bookman Old Style" w:cs="Arial"/>
          <w:b/>
          <w:bCs/>
          <w:i/>
          <w:sz w:val="22"/>
          <w:szCs w:val="22"/>
        </w:rPr>
        <w:t xml:space="preserve">Parágrafo 2º </w:t>
      </w:r>
      <w:r w:rsidRPr="00BC28AA">
        <w:rPr>
          <w:rFonts w:ascii="Bookman Old Style" w:hAnsi="Bookman Old Style" w:cs="Arial"/>
          <w:i/>
          <w:sz w:val="22"/>
          <w:szCs w:val="22"/>
        </w:rPr>
        <w:t>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rsidR="00FB7F69" w:rsidRDefault="00FB7F69" w:rsidP="00FB7F69">
      <w:pPr>
        <w:pStyle w:val="NormalWeb"/>
        <w:jc w:val="both"/>
        <w:rPr>
          <w:rFonts w:ascii="Bookman Old Style" w:hAnsi="Bookman Old Style" w:cs="Arial"/>
          <w:bCs/>
        </w:rPr>
      </w:pPr>
      <w:r w:rsidRPr="00D74143">
        <w:rPr>
          <w:rFonts w:ascii="Bookman Old Style" w:hAnsi="Bookman Old Style" w:cs="Arial"/>
          <w:bCs/>
        </w:rPr>
        <w:t>L</w:t>
      </w:r>
      <w:r>
        <w:rPr>
          <w:rFonts w:ascii="Bookman Old Style" w:hAnsi="Bookman Old Style" w:cs="Arial"/>
          <w:bCs/>
        </w:rPr>
        <w:t>a Comisión de Regulación de Energía y Gas- CREG-, para llevar a cabo la contribución especial se fundamentó en la información del Registro Único de Prestadores de Servicios Públicos –RUPS-.</w:t>
      </w:r>
    </w:p>
    <w:p w:rsidR="00FB7F69" w:rsidRDefault="00FB7F69" w:rsidP="00FB7F69">
      <w:pPr>
        <w:pStyle w:val="NormalWeb"/>
        <w:jc w:val="both"/>
        <w:rPr>
          <w:rFonts w:ascii="Bookman Old Style" w:hAnsi="Bookman Old Style" w:cs="Arial"/>
          <w:bCs/>
        </w:rPr>
      </w:pPr>
      <w:r>
        <w:rPr>
          <w:rFonts w:ascii="Bookman Old Style" w:hAnsi="Bookman Old Style" w:cs="Arial"/>
          <w:bCs/>
        </w:rPr>
        <w:t>Posteriormente, la CREG verificó la información reportada por las empresas en el Sistema Único de Información –SUI, y mediante oficio enviado a cada una de las empresas en el mes de mayo de 2011, por lo que solicitó, mediante comunicación suscrita por el representante legal, contador y revisor fiscal (cuando la empresa estuviera obligada a tener este último), se confirmaran los valores reportados correspondientes a la cuenta 51 -Gastos de Administración.</w:t>
      </w:r>
    </w:p>
    <w:p w:rsidR="00BC28AA" w:rsidRDefault="00BC28AA" w:rsidP="00BC28AA">
      <w:pPr>
        <w:pStyle w:val="NormalWeb"/>
        <w:spacing w:before="0" w:beforeAutospacing="0" w:after="0" w:afterAutospacing="0"/>
        <w:jc w:val="both"/>
        <w:rPr>
          <w:rFonts w:ascii="Bookman Old Style" w:hAnsi="Bookman Old Style" w:cs="Arial"/>
          <w:bCs/>
        </w:rPr>
      </w:pPr>
    </w:p>
    <w:p w:rsidR="00FB7F69" w:rsidRDefault="00FB7F69" w:rsidP="00BC28AA">
      <w:pPr>
        <w:pStyle w:val="NormalWeb"/>
        <w:spacing w:before="0" w:beforeAutospacing="0" w:after="0" w:afterAutospacing="0"/>
        <w:jc w:val="both"/>
        <w:rPr>
          <w:rFonts w:ascii="Bookman Old Style" w:hAnsi="Bookman Old Style" w:cs="Arial"/>
          <w:bCs/>
        </w:rPr>
      </w:pPr>
      <w:r>
        <w:rPr>
          <w:rFonts w:ascii="Bookman Old Style" w:hAnsi="Bookman Old Style" w:cs="Arial"/>
          <w:bCs/>
        </w:rPr>
        <w:t>Las Empresas Públicas de Medellín, a través de su Gerente General y el Subdirector de Contaduría, certificaron mediante oficio radicado en la CREG bajo el número E-2011-005543 del 8 de junio de 2011 que el saldo de las cuentas que conforman el Grupo 51- Gastos de Administración para el servicio de Energía Eléctrica a 31 de diciembre de 2010, fue de $447.031881.843. De la misma forma, mediante oficio radicado en la CREG el día 28 de junio de 2011 radicado bajo el número de radicado E-2011-006204, certificaron que el saldo de las cuentas que conforman el Grupo 51- Gastos de Administración para el servicio de Gas Natural a 31 de diciembre de 2010, fue de $29.481.320.903.</w:t>
      </w:r>
    </w:p>
    <w:p w:rsidR="00BC28AA" w:rsidRDefault="00BC28AA" w:rsidP="00BC28AA">
      <w:pPr>
        <w:pStyle w:val="NormalWeb"/>
        <w:spacing w:before="0" w:beforeAutospacing="0" w:after="0" w:afterAutospacing="0"/>
        <w:jc w:val="both"/>
        <w:rPr>
          <w:rFonts w:ascii="Bookman Old Style" w:hAnsi="Bookman Old Style" w:cs="Arial"/>
          <w:bCs/>
        </w:rPr>
      </w:pP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 xml:space="preserve">Ahora bien, al analizar el concepto de “gastos de funcionamiento”, se debe tener en cuenta que </w:t>
      </w:r>
      <w:r w:rsidRPr="00D944AE">
        <w:rPr>
          <w:rFonts w:ascii="Bookman Old Style" w:eastAsiaTheme="minorEastAsia" w:hAnsi="Bookman Old Style"/>
          <w:lang w:val="es-MX"/>
        </w:rPr>
        <w:t xml:space="preserve">el </w:t>
      </w:r>
      <w:r>
        <w:rPr>
          <w:rFonts w:ascii="Bookman Old Style" w:eastAsiaTheme="minorEastAsia" w:hAnsi="Bookman Old Style"/>
          <w:lang w:val="es-MX"/>
        </w:rPr>
        <w:t xml:space="preserve">Honorable </w:t>
      </w:r>
      <w:r w:rsidRPr="00D944AE">
        <w:rPr>
          <w:rFonts w:ascii="Bookman Old Style" w:eastAsiaTheme="minorEastAsia" w:hAnsi="Bookman Old Style"/>
          <w:lang w:val="es-MX"/>
        </w:rPr>
        <w:t>Consejo de Estado al anular algunas disposiciones de la norma contable determinó los criterios de lo que se debe entend</w:t>
      </w:r>
      <w:r>
        <w:rPr>
          <w:rFonts w:ascii="Bookman Old Style" w:eastAsiaTheme="minorEastAsia" w:hAnsi="Bookman Old Style"/>
          <w:lang w:val="es-MX"/>
        </w:rPr>
        <w:t>er por gastos de funcionamiento.</w:t>
      </w: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Lo anterior,</w:t>
      </w:r>
      <w:r w:rsidRPr="00D944AE">
        <w:rPr>
          <w:rFonts w:ascii="Bookman Old Style" w:eastAsiaTheme="minorEastAsia" w:hAnsi="Bookman Old Style"/>
          <w:lang w:val="es-MX"/>
        </w:rPr>
        <w:t xml:space="preserve"> </w:t>
      </w:r>
      <w:r>
        <w:rPr>
          <w:rFonts w:ascii="Bookman Old Style" w:eastAsiaTheme="minorEastAsia" w:hAnsi="Bookman Old Style"/>
          <w:lang w:val="es-MX"/>
        </w:rPr>
        <w:t xml:space="preserve">debido a que éste concepto a juicio de este Tribunal, carece de definición, en la medida que el legislador en el artículo 85 de la Ley 142 de 1994, al limitar la base de la contribución a los gastos de funcionamiento, </w:t>
      </w:r>
      <w:r w:rsidRPr="00F44279">
        <w:rPr>
          <w:rFonts w:ascii="Bookman Old Style" w:eastAsiaTheme="minorEastAsia" w:hAnsi="Bookman Old Style"/>
          <w:lang w:val="es-MX"/>
        </w:rPr>
        <w:t xml:space="preserve">excluye la posibilidad de entender que </w:t>
      </w:r>
      <w:r>
        <w:rPr>
          <w:rFonts w:ascii="Bookman Old Style" w:eastAsiaTheme="minorEastAsia" w:hAnsi="Bookman Old Style"/>
          <w:lang w:val="es-MX"/>
        </w:rPr>
        <w:t>ést</w:t>
      </w:r>
      <w:r w:rsidRPr="00F44279">
        <w:rPr>
          <w:rFonts w:ascii="Bookman Old Style" w:eastAsiaTheme="minorEastAsia" w:hAnsi="Bookman Old Style"/>
          <w:lang w:val="es-MX"/>
        </w:rPr>
        <w:t xml:space="preserve">e </w:t>
      </w:r>
      <w:r>
        <w:rPr>
          <w:rFonts w:ascii="Bookman Old Style" w:eastAsiaTheme="minorEastAsia" w:hAnsi="Bookman Old Style"/>
          <w:lang w:val="es-MX"/>
        </w:rPr>
        <w:t xml:space="preserve">se </w:t>
      </w:r>
      <w:r w:rsidRPr="00F44279">
        <w:rPr>
          <w:rFonts w:ascii="Bookman Old Style" w:eastAsiaTheme="minorEastAsia" w:hAnsi="Bookman Old Style"/>
          <w:lang w:val="es-MX"/>
        </w:rPr>
        <w:t>refería a todo lo que involucra el concepto general de “gastos”</w:t>
      </w:r>
      <w:r>
        <w:rPr>
          <w:rFonts w:ascii="Bookman Old Style" w:eastAsiaTheme="minorEastAsia" w:hAnsi="Bookman Old Style"/>
          <w:lang w:val="es-MX"/>
        </w:rPr>
        <w:t>, conforme a lo que trae la norma contable expedida por la SSPD.</w:t>
      </w: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El concepto de “gastos de funcionamiento” de acuerdo con la norma contable a juicio de esa Alta Corporación</w:t>
      </w:r>
      <w:r>
        <w:rPr>
          <w:rStyle w:val="Refdenotaalpie"/>
          <w:rFonts w:ascii="Bookman Old Style" w:eastAsiaTheme="minorEastAsia" w:hAnsi="Bookman Old Style"/>
          <w:lang w:val="es-MX"/>
        </w:rPr>
        <w:footnoteReference w:id="1"/>
      </w:r>
      <w:r>
        <w:rPr>
          <w:rFonts w:ascii="Bookman Old Style" w:eastAsiaTheme="minorEastAsia" w:hAnsi="Bookman Old Style"/>
          <w:lang w:val="es-MX"/>
        </w:rPr>
        <w:t xml:space="preserve">, </w:t>
      </w:r>
      <w:r w:rsidRPr="00D640C3">
        <w:rPr>
          <w:rFonts w:ascii="Bookman Old Style" w:eastAsiaTheme="minorEastAsia" w:hAnsi="Bookman Old Style"/>
          <w:lang w:val="es-MX"/>
        </w:rPr>
        <w:t>resulta amplio e impreciso para efectos de determinar la base gravable de la contribución especial</w:t>
      </w:r>
      <w:r>
        <w:rPr>
          <w:rFonts w:ascii="Bookman Old Style" w:eastAsiaTheme="minorEastAsia" w:hAnsi="Bookman Old Style"/>
          <w:lang w:val="es-MX"/>
        </w:rPr>
        <w:t xml:space="preserve"> del artículo 85 de la Ley 142 de 1994, por lo que esta acude </w:t>
      </w:r>
      <w:r w:rsidRPr="00D640C3">
        <w:rPr>
          <w:rFonts w:ascii="Bookman Old Style" w:eastAsiaTheme="minorEastAsia" w:hAnsi="Bookman Old Style"/>
          <w:lang w:val="es-MX"/>
        </w:rPr>
        <w:t>a otros elementos conceptuales para encontrar un criterio auxiliar que ayude en la interpretación del tér</w:t>
      </w:r>
      <w:r>
        <w:rPr>
          <w:rFonts w:ascii="Bookman Old Style" w:eastAsiaTheme="minorEastAsia" w:hAnsi="Bookman Old Style"/>
          <w:lang w:val="es-MX"/>
        </w:rPr>
        <w:t xml:space="preserve">mino “gastos de funcionamiento”, </w:t>
      </w:r>
      <w:r w:rsidRPr="00D640C3">
        <w:rPr>
          <w:rFonts w:ascii="Bookman Old Style" w:eastAsiaTheme="minorEastAsia" w:hAnsi="Bookman Old Style"/>
          <w:lang w:val="es-MX"/>
        </w:rPr>
        <w:t xml:space="preserve">con el fin de que la base gravable de las contribuciones sea claramente determinable.  </w:t>
      </w:r>
    </w:p>
    <w:p w:rsidR="00FB7F69" w:rsidRPr="00BC28AA" w:rsidRDefault="00FB7F69" w:rsidP="00FB7F69">
      <w:pPr>
        <w:spacing w:after="200"/>
        <w:ind w:left="0"/>
        <w:jc w:val="both"/>
        <w:rPr>
          <w:rFonts w:ascii="Bookman Old Style" w:eastAsiaTheme="minorEastAsia" w:hAnsi="Bookman Old Style"/>
          <w:sz w:val="22"/>
          <w:szCs w:val="22"/>
          <w:lang w:val="es-MX"/>
        </w:rPr>
      </w:pPr>
      <w:r>
        <w:rPr>
          <w:rFonts w:ascii="Bookman Old Style" w:eastAsiaTheme="minorEastAsia" w:hAnsi="Bookman Old Style"/>
          <w:lang w:val="es-MX"/>
        </w:rPr>
        <w:t xml:space="preserve">En virtud de lo anterior, el Honorable Consejo de Estado, en sentencia 16874 de 2010, establece para el caso de la contribución del artículo 85 de la Ley 142 de 1994, los criterios de lo que se debe entenderse como “gastos de </w:t>
      </w:r>
      <w:r w:rsidRPr="00BC28AA">
        <w:rPr>
          <w:rFonts w:ascii="Bookman Old Style" w:eastAsiaTheme="minorEastAsia" w:hAnsi="Bookman Old Style"/>
          <w:sz w:val="22"/>
          <w:szCs w:val="22"/>
          <w:lang w:val="es-MX"/>
        </w:rPr>
        <w:t>funcionamiento” cuando expresa lo siguiente:</w:t>
      </w:r>
    </w:p>
    <w:p w:rsidR="00FB7F69" w:rsidRPr="00BC28AA" w:rsidRDefault="00FB7F69" w:rsidP="00FB7F69">
      <w:pPr>
        <w:spacing w:after="200"/>
        <w:ind w:left="708"/>
        <w:jc w:val="both"/>
        <w:rPr>
          <w:rFonts w:ascii="Bookman Old Style" w:eastAsiaTheme="minorEastAsia" w:hAnsi="Bookman Old Style"/>
          <w:b/>
          <w:i/>
          <w:sz w:val="22"/>
          <w:szCs w:val="22"/>
          <w:lang w:val="es-MX"/>
        </w:rPr>
      </w:pPr>
      <w:r w:rsidRPr="00BC28AA">
        <w:rPr>
          <w:rFonts w:ascii="Bookman Old Style" w:eastAsiaTheme="minorEastAsia" w:hAnsi="Bookman Old Style"/>
          <w:i/>
          <w:sz w:val="22"/>
          <w:szCs w:val="22"/>
          <w:lang w:val="es-MX"/>
        </w:rPr>
        <w:t>“En relación con el alcance del concepto ‘gastos de funcionamiento’, esta Sección, en reiteradas oportunidades, ha concluido que se refiere a ‘</w:t>
      </w:r>
      <w:r w:rsidRPr="00BC28AA">
        <w:rPr>
          <w:rFonts w:ascii="Bookman Old Style" w:eastAsiaTheme="minorEastAsia" w:hAnsi="Bookman Old Style"/>
          <w:b/>
          <w:i/>
          <w:sz w:val="22"/>
          <w:szCs w:val="22"/>
          <w:lang w:val="es-MX"/>
        </w:rPr>
        <w:t xml:space="preserve">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  </w:t>
      </w:r>
    </w:p>
    <w:p w:rsidR="00FB7F69" w:rsidRPr="00BC28AA" w:rsidRDefault="00FB7F69" w:rsidP="00FB7F69">
      <w:pPr>
        <w:spacing w:after="200"/>
        <w:ind w:left="0"/>
        <w:jc w:val="both"/>
        <w:rPr>
          <w:rFonts w:ascii="Bookman Old Style" w:eastAsiaTheme="minorEastAsia" w:hAnsi="Bookman Old Style"/>
          <w:i/>
          <w:sz w:val="22"/>
          <w:szCs w:val="22"/>
          <w:lang w:val="es-MX"/>
        </w:rPr>
      </w:pPr>
      <w:r w:rsidRPr="00BC28AA">
        <w:rPr>
          <w:rFonts w:ascii="Bookman Old Style" w:eastAsiaTheme="minorEastAsia" w:hAnsi="Bookman Old Style"/>
          <w:i/>
          <w:sz w:val="22"/>
          <w:szCs w:val="22"/>
          <w:lang w:val="es-MX"/>
        </w:rPr>
        <w:tab/>
        <w:t>(..)</w:t>
      </w:r>
    </w:p>
    <w:p w:rsidR="00FB7F69" w:rsidRPr="00BC28AA" w:rsidRDefault="00FB7F69" w:rsidP="00FB7F69">
      <w:pPr>
        <w:spacing w:after="200"/>
        <w:ind w:left="708"/>
        <w:jc w:val="both"/>
        <w:rPr>
          <w:rFonts w:ascii="Bookman Old Style" w:eastAsiaTheme="minorEastAsia" w:hAnsi="Bookman Old Style"/>
          <w:i/>
          <w:sz w:val="22"/>
          <w:szCs w:val="22"/>
          <w:lang w:val="es-MX"/>
        </w:rPr>
      </w:pPr>
      <w:r w:rsidRPr="00BC28AA">
        <w:rPr>
          <w:rFonts w:ascii="Bookman Old Style" w:eastAsiaTheme="minorEastAsia" w:hAnsi="Bookman Old Style"/>
          <w:i/>
          <w:sz w:val="22"/>
          <w:szCs w:val="22"/>
          <w:lang w:val="es-MX"/>
        </w:rPr>
        <w:lastRenderedPageBreak/>
        <w:t>“En tales condiciones, para la Sala, le asiste razón al actor al considerar que lo previsto en el inciso 6° de la descripción de la Clase 5 – Gastos y en las cuentas del Grupo 75 de la Resolución N° 20051300033635 de 2005 vulnera lo dispuesto en el artículo 85 numeral 85.2 inciso 2° de la Ley 142 de 1994, pues los gastos de funcionamiento sólo deben referirse a aquellos que tengan una relación directa o indirecta, pero eso sí, necesaria e inescindible con la prestación de los servicios sometidos a la vigilancia, control, inspección y regulación de los entes encargados de tal función constitucional y legal.” (Resaltado fuera de texto)</w:t>
      </w: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Lo anterior, reiterado dentro de la sentencia 16650 de 2010, cuando expresa:</w:t>
      </w:r>
    </w:p>
    <w:p w:rsidR="00BC28AA" w:rsidRDefault="00BC28AA" w:rsidP="00BC28AA">
      <w:pPr>
        <w:ind w:left="708"/>
        <w:jc w:val="both"/>
        <w:rPr>
          <w:rFonts w:ascii="Bookman Old Style" w:eastAsiaTheme="minorEastAsia" w:hAnsi="Bookman Old Style"/>
          <w:i/>
          <w:sz w:val="20"/>
          <w:szCs w:val="20"/>
          <w:lang w:val="es-MX"/>
        </w:rPr>
      </w:pPr>
    </w:p>
    <w:p w:rsidR="00FB7F69" w:rsidRPr="00BC28AA" w:rsidRDefault="00FB7F69" w:rsidP="00BC28AA">
      <w:pPr>
        <w:ind w:left="708"/>
        <w:jc w:val="both"/>
        <w:rPr>
          <w:rFonts w:ascii="Bookman Old Style" w:eastAsiaTheme="minorEastAsia" w:hAnsi="Bookman Old Style"/>
          <w:i/>
          <w:sz w:val="22"/>
          <w:szCs w:val="22"/>
          <w:lang w:val="es-MX"/>
        </w:rPr>
      </w:pPr>
      <w:r w:rsidRPr="00BC28AA">
        <w:rPr>
          <w:rFonts w:ascii="Bookman Old Style" w:eastAsiaTheme="minorEastAsia" w:hAnsi="Bookman Old Style"/>
          <w:i/>
          <w:sz w:val="22"/>
          <w:szCs w:val="22"/>
          <w:lang w:val="es-MX"/>
        </w:rPr>
        <w:t xml:space="preserve">“Lo anterior demuestra que no pueden tenerse en cuenta para la base gravable la totalidad de los gastos mencionados en las cuentas de la Clase 5 – Gastos o del Grupo 75 del Plan de Contabilidad para Entes Prestadores de Servicios Públicos Domiciliarios, porque, se insiste, el legislador solamente se refirió a los de funcionamiento, cuyo alcance ha sido dilucidado por la jurisprudencia reseñada y </w:t>
      </w:r>
      <w:r w:rsidRPr="00BC28AA">
        <w:rPr>
          <w:rFonts w:ascii="Bookman Old Style" w:eastAsiaTheme="minorEastAsia" w:hAnsi="Bookman Old Style"/>
          <w:b/>
          <w:i/>
          <w:sz w:val="22"/>
          <w:szCs w:val="22"/>
          <w:lang w:val="es-MX"/>
        </w:rPr>
        <w:t>sin que sea procedente extenderlos a otros gastos que no tengan una relación necesaria e inescindible con los servicios que prestan, pues los elementos que conforman la base gravable están limitados.</w:t>
      </w:r>
      <w:r w:rsidRPr="00BC28AA">
        <w:rPr>
          <w:rFonts w:ascii="Bookman Old Style" w:eastAsiaTheme="minorEastAsia" w:hAnsi="Bookman Old Style"/>
          <w:i/>
          <w:sz w:val="22"/>
          <w:szCs w:val="22"/>
          <w:lang w:val="es-MX"/>
        </w:rPr>
        <w:t>” (Resaltado fuera de texto)</w:t>
      </w:r>
    </w:p>
    <w:p w:rsidR="00BC28AA" w:rsidRPr="001067D5" w:rsidRDefault="00BC28AA" w:rsidP="00BC28AA">
      <w:pPr>
        <w:ind w:left="708"/>
        <w:jc w:val="both"/>
        <w:rPr>
          <w:rFonts w:ascii="Bookman Old Style" w:eastAsiaTheme="minorEastAsia" w:hAnsi="Bookman Old Style"/>
          <w:i/>
          <w:sz w:val="20"/>
          <w:szCs w:val="20"/>
          <w:lang w:val="es-MX"/>
        </w:rPr>
      </w:pP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 xml:space="preserve">Sin embargo, se debe tener en cuenta que dentro de esta sentencia, lo cual, fue reiterado por esa misma Corporación en la sentencia 16650 del mismo año, al anular </w:t>
      </w:r>
      <w:r w:rsidRPr="00E45FAF">
        <w:rPr>
          <w:rFonts w:ascii="Bookman Old Style" w:eastAsiaTheme="minorEastAsia" w:hAnsi="Bookman Old Style"/>
          <w:lang w:val="es-MX"/>
        </w:rPr>
        <w:t xml:space="preserve">las expresiones “(Grupo 51 del Plan de Contabilidad para Entes Prestadores de Servicios Públicos)” y “5810 “Otros Gastos Extraordinarios”, contenidas en el numeral 1 del artículo 2 y </w:t>
      </w:r>
      <w:r>
        <w:rPr>
          <w:rFonts w:ascii="Bookman Old Style" w:eastAsiaTheme="minorEastAsia" w:hAnsi="Bookman Old Style"/>
          <w:lang w:val="es-MX"/>
        </w:rPr>
        <w:t>el numeral 2 del artículo 3, de la norma contable en materia de servicios públicos, no anuló</w:t>
      </w:r>
      <w:r w:rsidRPr="00A775B1">
        <w:rPr>
          <w:rFonts w:ascii="Bookman Old Style" w:eastAsiaTheme="minorEastAsia" w:hAnsi="Bookman Old Style"/>
          <w:lang w:val="es-MX"/>
        </w:rPr>
        <w:t xml:space="preserve"> </w:t>
      </w:r>
      <w:r>
        <w:rPr>
          <w:rFonts w:ascii="Bookman Old Style" w:eastAsiaTheme="minorEastAsia" w:hAnsi="Bookman Old Style"/>
          <w:lang w:val="es-MX"/>
        </w:rPr>
        <w:t xml:space="preserve">la referencia a la cuenta 5120, expresamente </w:t>
      </w:r>
      <w:r w:rsidRPr="00A775B1">
        <w:rPr>
          <w:rFonts w:ascii="Bookman Old Style" w:eastAsiaTheme="minorEastAsia" w:hAnsi="Bookman Old Style"/>
          <w:lang w:val="es-MX"/>
        </w:rPr>
        <w:t>los impuestos, tasas y contribuciones</w:t>
      </w:r>
      <w:r>
        <w:rPr>
          <w:rFonts w:ascii="Bookman Old Style" w:eastAsiaTheme="minorEastAsia" w:hAnsi="Bookman Old Style"/>
          <w:lang w:val="es-MX"/>
        </w:rPr>
        <w:t xml:space="preserve"> dentro del concepto de gastos de funcionamiento, por lo que excluyo otra serie de gastos de acuerdo con la norma contable.</w:t>
      </w: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 xml:space="preserve">Esto, debido a que </w:t>
      </w:r>
      <w:r w:rsidRPr="004F525E">
        <w:rPr>
          <w:rFonts w:ascii="Bookman Old Style" w:eastAsiaTheme="minorEastAsia" w:hAnsi="Bookman Old Style"/>
          <w:lang w:val="es-MX"/>
        </w:rPr>
        <w:t xml:space="preserve">el </w:t>
      </w:r>
      <w:r>
        <w:rPr>
          <w:rFonts w:ascii="Bookman Old Style" w:eastAsiaTheme="minorEastAsia" w:hAnsi="Bookman Old Style"/>
          <w:lang w:val="es-MX"/>
        </w:rPr>
        <w:t xml:space="preserve">Honorable </w:t>
      </w:r>
      <w:r w:rsidRPr="004F525E">
        <w:rPr>
          <w:rFonts w:ascii="Bookman Old Style" w:eastAsiaTheme="minorEastAsia" w:hAnsi="Bookman Old Style"/>
          <w:lang w:val="es-MX"/>
        </w:rPr>
        <w:t>Consejo de Estado</w:t>
      </w:r>
      <w:r>
        <w:rPr>
          <w:rFonts w:ascii="Bookman Old Style" w:eastAsiaTheme="minorEastAsia" w:hAnsi="Bookman Old Style"/>
          <w:lang w:val="es-MX"/>
        </w:rPr>
        <w:t xml:space="preserve"> en estas sentencias 16874 y 16650 de 2010</w:t>
      </w:r>
      <w:r w:rsidRPr="004F525E">
        <w:rPr>
          <w:rFonts w:ascii="Bookman Old Style" w:eastAsiaTheme="minorEastAsia" w:hAnsi="Bookman Old Style"/>
          <w:lang w:val="es-MX"/>
        </w:rPr>
        <w:t xml:space="preserve">, al analizar el contenido del Grupo 75 del Plan de Contabilidad para entes prestadores de servicios públicos, se encuentra que al igual que la Clase 5 – Gastos, el catálogo de esta norma contable </w:t>
      </w:r>
      <w:r w:rsidRPr="00AB38B2">
        <w:rPr>
          <w:rFonts w:ascii="Bookman Old Style" w:eastAsiaTheme="minorEastAsia" w:hAnsi="Bookman Old Style"/>
          <w:b/>
          <w:lang w:val="es-MX"/>
        </w:rPr>
        <w:t>contiene cuentas que no corresponden a la definición jurisprudencial de gastos de funcionamiento.</w:t>
      </w:r>
      <w:r>
        <w:rPr>
          <w:rFonts w:ascii="Bookman Old Style" w:eastAsiaTheme="minorEastAsia" w:hAnsi="Bookman Old Style"/>
          <w:lang w:val="es-MX"/>
        </w:rPr>
        <w:t xml:space="preserve"> </w:t>
      </w: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De acuerdo con esto, al momento de analizar los estados financieros de las empresas, incluyendo aquellas subcuentas que hacen parte de los “gastos de funcionamiento”, no se excluyo la totalidad de las subcuentas de la clase 5, de la cual hacen parte los impuestos, las tasas y las contribuciones de la cuenta 5120, cuando expresa lo siguiente:</w:t>
      </w:r>
    </w:p>
    <w:p w:rsidR="00FB7F69" w:rsidRPr="00BC28AA" w:rsidRDefault="00FB7F69" w:rsidP="00FB7F69">
      <w:pPr>
        <w:spacing w:after="200"/>
        <w:ind w:left="705"/>
        <w:jc w:val="both"/>
        <w:rPr>
          <w:rFonts w:ascii="Bookman Old Style" w:eastAsiaTheme="minorEastAsia" w:hAnsi="Bookman Old Style"/>
          <w:i/>
          <w:sz w:val="22"/>
          <w:szCs w:val="22"/>
          <w:lang w:val="es-MX"/>
        </w:rPr>
      </w:pPr>
      <w:r w:rsidRPr="00BC28AA">
        <w:rPr>
          <w:rFonts w:ascii="Bookman Old Style" w:eastAsiaTheme="minorEastAsia" w:hAnsi="Bookman Old Style"/>
          <w:i/>
          <w:sz w:val="22"/>
          <w:szCs w:val="22"/>
          <w:lang w:val="es-MX"/>
        </w:rPr>
        <w:t>“Determinar la base sobre la totalidad de los gastos administrativos, de comercialización, investigación y financiación que son los grupos que conforman los Gastos según el numeral 4.2.8.4.2 de la Resolución demandada, o a las provisiones, agotamiento, depreciaciones y amortizaciones según las descripciones de la Clase 5 – Gastos, amplía lo previsto en el numeral 85.2 de la Ley 142 de 1994, ya que involucra gastos no contemplados en la norma reglamentada</w:t>
      </w:r>
    </w:p>
    <w:p w:rsidR="00FB7F69" w:rsidRPr="00BC28AA" w:rsidRDefault="00FB7F69" w:rsidP="00FB7F69">
      <w:pPr>
        <w:spacing w:after="200"/>
        <w:ind w:left="705"/>
        <w:jc w:val="both"/>
        <w:rPr>
          <w:rFonts w:ascii="Bookman Old Style" w:eastAsiaTheme="minorEastAsia" w:hAnsi="Bookman Old Style"/>
          <w:i/>
          <w:sz w:val="22"/>
          <w:szCs w:val="22"/>
          <w:lang w:val="es-MX"/>
        </w:rPr>
      </w:pPr>
      <w:r w:rsidRPr="00BC28AA">
        <w:rPr>
          <w:rFonts w:ascii="Bookman Old Style" w:eastAsiaTheme="minorEastAsia" w:hAnsi="Bookman Old Style"/>
          <w:i/>
          <w:sz w:val="22"/>
          <w:szCs w:val="22"/>
          <w:lang w:val="es-MX"/>
        </w:rPr>
        <w:t>(..)</w:t>
      </w:r>
    </w:p>
    <w:p w:rsidR="00FB7F69" w:rsidRPr="00BC28AA" w:rsidRDefault="00FB7F69" w:rsidP="00FB7F69">
      <w:pPr>
        <w:spacing w:after="200"/>
        <w:ind w:left="705"/>
        <w:jc w:val="both"/>
        <w:rPr>
          <w:rFonts w:ascii="Bookman Old Style" w:eastAsiaTheme="minorEastAsia" w:hAnsi="Bookman Old Style"/>
          <w:i/>
          <w:sz w:val="22"/>
          <w:szCs w:val="22"/>
          <w:lang w:val="es-MX"/>
        </w:rPr>
      </w:pPr>
      <w:r w:rsidRPr="00BC28AA">
        <w:rPr>
          <w:rFonts w:ascii="Bookman Old Style" w:eastAsiaTheme="minorEastAsia" w:hAnsi="Bookman Old Style"/>
          <w:i/>
          <w:sz w:val="22"/>
          <w:szCs w:val="22"/>
          <w:lang w:val="es-MX"/>
        </w:rPr>
        <w:lastRenderedPageBreak/>
        <w:t xml:space="preserve">En ese orden de ideas, como las cuentas de Clase 5-Gastos incluyen las cuentas del Grupo 51. Administración y del Grupo 58. Otros Gastos, que a su vez incluye la cuenta 5810-Otros Gastos Extraordinarios, para la Sala los apartes demandados de la Resolución SSPD-2005 13000 11765 de 2005 vulneran lo dispuesto en el artículo 85.2 de la Ley 142 de 1994, porque incluyeron dentro de la base gravable de las contribuciones a favor de la Superintendencia de Servicios Públicos y de las Comisiones de Regulación, todas las cuentas de la Clase 5-Gastos, así como la cuenta 5810 - Otros Gastos Extraordinarios; pues, como se explicó, </w:t>
      </w:r>
      <w:r w:rsidRPr="00BC28AA">
        <w:rPr>
          <w:rFonts w:ascii="Bookman Old Style" w:eastAsiaTheme="minorEastAsia" w:hAnsi="Bookman Old Style"/>
          <w:b/>
          <w:i/>
          <w:sz w:val="22"/>
          <w:szCs w:val="22"/>
          <w:lang w:val="es-MX"/>
        </w:rPr>
        <w:t>no todas las cuentas de gastos allí previstos encuadran dentro del concepto “gastos de funcionamiento” que expresamente señaló el legislador.”</w:t>
      </w:r>
      <w:r w:rsidRPr="00BC28AA">
        <w:rPr>
          <w:rStyle w:val="Refdenotaalpie"/>
          <w:rFonts w:ascii="Bookman Old Style" w:eastAsiaTheme="minorEastAsia" w:hAnsi="Bookman Old Style"/>
          <w:b/>
          <w:i/>
          <w:sz w:val="22"/>
          <w:szCs w:val="22"/>
          <w:lang w:val="es-MX"/>
        </w:rPr>
        <w:footnoteReference w:id="2"/>
      </w:r>
      <w:r w:rsidRPr="00BC28AA">
        <w:rPr>
          <w:rFonts w:ascii="Bookman Old Style" w:eastAsiaTheme="minorEastAsia" w:hAnsi="Bookman Old Style"/>
          <w:b/>
          <w:i/>
          <w:sz w:val="22"/>
          <w:szCs w:val="22"/>
          <w:lang w:val="es-MX"/>
        </w:rPr>
        <w:t xml:space="preserve"> </w:t>
      </w:r>
      <w:r w:rsidRPr="00BC28AA">
        <w:rPr>
          <w:rFonts w:ascii="Bookman Old Style" w:eastAsiaTheme="minorEastAsia" w:hAnsi="Bookman Old Style"/>
          <w:i/>
          <w:sz w:val="22"/>
          <w:szCs w:val="22"/>
          <w:lang w:val="es-MX"/>
        </w:rPr>
        <w:t>(Resaltado fuera de texto)</w:t>
      </w:r>
    </w:p>
    <w:p w:rsidR="00FB7F69"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 xml:space="preserve">Sin embargo, concluye esta Alta Corporación que </w:t>
      </w:r>
      <w:r w:rsidRPr="004F525E">
        <w:rPr>
          <w:rFonts w:ascii="Bookman Old Style" w:eastAsiaTheme="minorEastAsia" w:hAnsi="Bookman Old Style"/>
          <w:lang w:val="es-MX"/>
        </w:rPr>
        <w:t>para determinar la base gravable de la contribución especial a que alude el artículo 85 ibídem, necesariamente habrá que analizarse qué gastos de los comprendidos en las cuentas de la Clase 5-Gastos del Plan de Contabilidad para Entes Prestadores de Servicios Públicos Domiciliario, hacen parte de los gastos de funcionamiento de las entidades obligadas a su pago, toda vez que no todas las cuentas de gastos que allí se prevén encajan dentro del concepto de “gastos de funcionamiento” que la jurisprudencia ha precisado.</w:t>
      </w:r>
    </w:p>
    <w:p w:rsidR="00FB7F69" w:rsidRPr="009E03F7" w:rsidRDefault="00FB7F69" w:rsidP="00FB7F69">
      <w:pPr>
        <w:spacing w:after="200"/>
        <w:ind w:left="0"/>
        <w:jc w:val="both"/>
        <w:rPr>
          <w:rFonts w:ascii="Bookman Old Style" w:eastAsiaTheme="minorEastAsia" w:hAnsi="Bookman Old Style"/>
          <w:lang w:val="es-MX"/>
        </w:rPr>
      </w:pPr>
      <w:r>
        <w:rPr>
          <w:rFonts w:ascii="Bookman Old Style" w:eastAsiaTheme="minorEastAsia" w:hAnsi="Bookman Old Style"/>
          <w:lang w:val="es-MX"/>
        </w:rPr>
        <w:t>De acuerdo con lo expuesto, e</w:t>
      </w:r>
      <w:r w:rsidRPr="00D944AE">
        <w:rPr>
          <w:rFonts w:ascii="Bookman Old Style" w:eastAsiaTheme="minorEastAsia" w:hAnsi="Bookman Old Style"/>
          <w:lang w:val="es-MX"/>
        </w:rPr>
        <w:t xml:space="preserve">l argumento de </w:t>
      </w:r>
      <w:r>
        <w:rPr>
          <w:rFonts w:ascii="Bookman Old Style" w:eastAsiaTheme="minorEastAsia" w:hAnsi="Bookman Old Style"/>
          <w:lang w:val="es-MX"/>
        </w:rPr>
        <w:t xml:space="preserve">las </w:t>
      </w:r>
      <w:r w:rsidRPr="00D944AE">
        <w:rPr>
          <w:rFonts w:ascii="Bookman Old Style" w:eastAsiaTheme="minorEastAsia" w:hAnsi="Bookman Old Style"/>
          <w:lang w:val="es-MX"/>
        </w:rPr>
        <w:t>E</w:t>
      </w:r>
      <w:r>
        <w:rPr>
          <w:rFonts w:ascii="Bookman Old Style" w:eastAsiaTheme="minorEastAsia" w:hAnsi="Bookman Old Style"/>
          <w:lang w:val="es-MX"/>
        </w:rPr>
        <w:t xml:space="preserve">mpresas </w:t>
      </w:r>
      <w:r w:rsidRPr="00D944AE">
        <w:rPr>
          <w:rFonts w:ascii="Bookman Old Style" w:eastAsiaTheme="minorEastAsia" w:hAnsi="Bookman Old Style"/>
          <w:lang w:val="es-MX"/>
        </w:rPr>
        <w:t>P</w:t>
      </w:r>
      <w:r>
        <w:rPr>
          <w:rFonts w:ascii="Bookman Old Style" w:eastAsiaTheme="minorEastAsia" w:hAnsi="Bookman Old Style"/>
          <w:lang w:val="es-MX"/>
        </w:rPr>
        <w:t xml:space="preserve">úblicas de </w:t>
      </w:r>
      <w:r w:rsidRPr="00D944AE">
        <w:rPr>
          <w:rFonts w:ascii="Bookman Old Style" w:eastAsiaTheme="minorEastAsia" w:hAnsi="Bookman Old Style"/>
          <w:lang w:val="es-MX"/>
        </w:rPr>
        <w:t>M</w:t>
      </w:r>
      <w:r>
        <w:rPr>
          <w:rFonts w:ascii="Bookman Old Style" w:eastAsiaTheme="minorEastAsia" w:hAnsi="Bookman Old Style"/>
          <w:lang w:val="es-MX"/>
        </w:rPr>
        <w:t>edellín E.S.P,</w:t>
      </w:r>
      <w:r w:rsidRPr="00D944AE">
        <w:rPr>
          <w:rFonts w:ascii="Bookman Old Style" w:eastAsiaTheme="minorEastAsia" w:hAnsi="Bookman Old Style"/>
          <w:lang w:val="es-MX"/>
        </w:rPr>
        <w:t xml:space="preserve"> obedece a una interpretació</w:t>
      </w:r>
      <w:r>
        <w:rPr>
          <w:rFonts w:ascii="Bookman Old Style" w:eastAsiaTheme="minorEastAsia" w:hAnsi="Bookman Old Style"/>
          <w:lang w:val="es-MX"/>
        </w:rPr>
        <w:t>n de la jurisprudencia del Honorable Consejo de Estado,</w:t>
      </w:r>
      <w:r w:rsidRPr="00D944AE">
        <w:rPr>
          <w:rFonts w:ascii="Bookman Old Style" w:eastAsiaTheme="minorEastAsia" w:hAnsi="Bookman Old Style"/>
          <w:lang w:val="es-MX"/>
        </w:rPr>
        <w:t xml:space="preserve"> relativa a que los impuestos, tasas y contribucione</w:t>
      </w:r>
      <w:r>
        <w:rPr>
          <w:rFonts w:ascii="Bookman Old Style" w:eastAsiaTheme="minorEastAsia" w:hAnsi="Bookman Old Style"/>
          <w:lang w:val="es-MX"/>
        </w:rPr>
        <w:t xml:space="preserve">s </w:t>
      </w:r>
      <w:r w:rsidRPr="00D944AE">
        <w:rPr>
          <w:rFonts w:ascii="Bookman Old Style" w:eastAsiaTheme="minorEastAsia" w:hAnsi="Bookman Old Style"/>
          <w:lang w:val="es-MX"/>
        </w:rPr>
        <w:t>no recae</w:t>
      </w:r>
      <w:r>
        <w:rPr>
          <w:rFonts w:ascii="Bookman Old Style" w:eastAsiaTheme="minorEastAsia" w:hAnsi="Bookman Old Style"/>
          <w:lang w:val="es-MX"/>
        </w:rPr>
        <w:t>n</w:t>
      </w:r>
      <w:r w:rsidRPr="00D944AE">
        <w:rPr>
          <w:rFonts w:ascii="Bookman Old Style" w:eastAsiaTheme="minorEastAsia" w:hAnsi="Bookman Old Style"/>
          <w:lang w:val="es-MX"/>
        </w:rPr>
        <w:t xml:space="preserve"> </w:t>
      </w:r>
      <w:r>
        <w:rPr>
          <w:rFonts w:ascii="Bookman Old Style" w:eastAsiaTheme="minorEastAsia" w:hAnsi="Bookman Old Style"/>
          <w:lang w:val="es-MX"/>
        </w:rPr>
        <w:t>dentro de</w:t>
      </w:r>
      <w:r w:rsidRPr="00D944AE">
        <w:rPr>
          <w:rFonts w:ascii="Bookman Old Style" w:eastAsiaTheme="minorEastAsia" w:hAnsi="Bookman Old Style"/>
          <w:lang w:val="es-MX"/>
        </w:rPr>
        <w:t xml:space="preserve"> los criterios jurisprudenciales</w:t>
      </w:r>
      <w:r>
        <w:rPr>
          <w:rFonts w:ascii="Bookman Old Style" w:eastAsiaTheme="minorEastAsia" w:hAnsi="Bookman Old Style"/>
          <w:lang w:val="es-MX"/>
        </w:rPr>
        <w:t>, de lo que debe entenderse como</w:t>
      </w:r>
      <w:r w:rsidRPr="00D944AE">
        <w:rPr>
          <w:rFonts w:ascii="Bookman Old Style" w:eastAsiaTheme="minorEastAsia" w:hAnsi="Bookman Old Style"/>
          <w:lang w:val="es-MX"/>
        </w:rPr>
        <w:t xml:space="preserve"> gastos de funcionamiento.</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 xml:space="preserve">El considerar que los impuestos, las tasas y las contribuciones </w:t>
      </w:r>
      <w:r w:rsidRPr="0057793B">
        <w:rPr>
          <w:rFonts w:ascii="Bookman Old Style" w:hAnsi="Bookman Old Style" w:cs="Arial"/>
          <w:bCs/>
          <w:lang w:val="es-MX"/>
        </w:rPr>
        <w:t xml:space="preserve">no </w:t>
      </w:r>
      <w:r>
        <w:rPr>
          <w:rFonts w:ascii="Bookman Old Style" w:hAnsi="Bookman Old Style" w:cs="Arial"/>
          <w:bCs/>
          <w:lang w:val="es-MX"/>
        </w:rPr>
        <w:t xml:space="preserve">se </w:t>
      </w:r>
      <w:r w:rsidRPr="0057793B">
        <w:rPr>
          <w:rFonts w:ascii="Bookman Old Style" w:hAnsi="Bookman Old Style" w:cs="Arial"/>
          <w:bCs/>
          <w:lang w:val="es-MX"/>
        </w:rPr>
        <w:t xml:space="preserve">pueden incluir dentro de la base gravable de la contribución especial del artículo 85 de la Ley 142 de 1994, </w:t>
      </w:r>
      <w:r>
        <w:rPr>
          <w:rFonts w:ascii="Bookman Old Style" w:hAnsi="Bookman Old Style" w:cs="Arial"/>
          <w:bCs/>
          <w:lang w:val="es-MX"/>
        </w:rPr>
        <w:t xml:space="preserve">con fundamento en que estos se excluyen de aquellos </w:t>
      </w:r>
      <w:r w:rsidRPr="0057793B">
        <w:rPr>
          <w:rFonts w:ascii="Bookman Old Style" w:hAnsi="Bookman Old Style" w:cs="Arial"/>
          <w:bCs/>
          <w:lang w:val="es-MX"/>
        </w:rPr>
        <w:t>gastos que comprenden las cuentas de la Clase 5-Gastos del Plan de Contabilidad para Entes Prestadores de Servicios Públicos Domiciliarios,</w:t>
      </w:r>
      <w:r>
        <w:rPr>
          <w:rFonts w:ascii="Bookman Old Style" w:hAnsi="Bookman Old Style" w:cs="Arial"/>
          <w:bCs/>
          <w:lang w:val="es-MX"/>
        </w:rPr>
        <w:t xml:space="preserve"> de acuerdo con el Consejo de Estado obedece a una interpretación subjetiva hecha por el recurrente.</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Esto debido a que, en primer lugar, el Honorable Consejo de Estado no ha excluido la cuenta 5120 de la norma contable con fundamento en que esta no constituye un gasto de funcionamiento, por lo que dejo en cabeza de las Entidades que realizan la supervisión, vigilancia y control, así como en este caso la regulación, analizar</w:t>
      </w:r>
      <w:r w:rsidRPr="00EB5262">
        <w:rPr>
          <w:rFonts w:ascii="Bookman Old Style" w:hAnsi="Bookman Old Style" w:cs="Arial"/>
          <w:bCs/>
          <w:lang w:val="es-MX"/>
        </w:rPr>
        <w:t xml:space="preserve"> qué gastos de los comprendidos en las cuentas de la Clase 5-Gastos del Plan de Contabilidad para Entes Prestadores de Servicios Públicos Domiciliario, hacen parte de los gastos de funcionamiento de la</w:t>
      </w:r>
      <w:r>
        <w:rPr>
          <w:rFonts w:ascii="Bookman Old Style" w:hAnsi="Bookman Old Style" w:cs="Arial"/>
          <w:bCs/>
          <w:lang w:val="es-MX"/>
        </w:rPr>
        <w:t>s entidades obligadas a su pago, sujeto a los lineamientos hechos por la jurisprudencia.</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 xml:space="preserve">Es por esto que, a juicio de esta Comisión la jurisprudencia del Honorable Consejo de Estado debe entenderse y tenerse en cuenta de forma integral y sistemática, toda vez, que dentro de sus fallos, para cada caso concreto se han expuesto elementos, al momento de determinar si un gasto debe entenderse como gasto de funcionamiento. </w:t>
      </w:r>
    </w:p>
    <w:p w:rsidR="000C6857" w:rsidRDefault="000C6857" w:rsidP="000C6857">
      <w:pPr>
        <w:pStyle w:val="NormalWeb"/>
        <w:spacing w:before="0" w:beforeAutospacing="0" w:after="0" w:afterAutospacing="0"/>
        <w:jc w:val="both"/>
        <w:rPr>
          <w:rFonts w:ascii="Bookman Old Style" w:hAnsi="Bookman Old Style" w:cs="Arial"/>
          <w:bCs/>
          <w:lang w:val="es-MX"/>
        </w:rPr>
      </w:pPr>
    </w:p>
    <w:p w:rsidR="00FB7F69" w:rsidRDefault="00FB7F69" w:rsidP="000C6857">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 xml:space="preserve">Lo anterior, debido a que el precedente establecido por el Honorable Consejo de Estado se sujeta a un análisis de cada concreto, de que los </w:t>
      </w:r>
      <w:r w:rsidRPr="00AA080D">
        <w:rPr>
          <w:rFonts w:ascii="Bookman Old Style" w:hAnsi="Bookman Old Style" w:cs="Arial"/>
          <w:bCs/>
          <w:lang w:val="es-MX"/>
        </w:rPr>
        <w:t>gastos de los comprendidos en las cuentas de la Clase 5-Gastos del Plan de Contabilidad para Entes Prestadores de Servicios Públicos Domiciliari</w:t>
      </w:r>
      <w:r>
        <w:rPr>
          <w:rFonts w:ascii="Bookman Old Style" w:hAnsi="Bookman Old Style" w:cs="Arial"/>
          <w:bCs/>
          <w:lang w:val="es-MX"/>
        </w:rPr>
        <w:t>os, puedan entenderse como gastos de funcionamiento a tenerse en cuenta dentro de la base de la contribución.</w:t>
      </w:r>
    </w:p>
    <w:p w:rsidR="00FB7F69" w:rsidRPr="00AA080D" w:rsidRDefault="00FB7F69" w:rsidP="00FB7F69">
      <w:pPr>
        <w:pStyle w:val="NormalWeb"/>
        <w:jc w:val="both"/>
        <w:rPr>
          <w:rFonts w:ascii="Bookman Old Style" w:hAnsi="Bookman Old Style" w:cs="Arial"/>
          <w:bCs/>
          <w:lang w:val="es-MX"/>
        </w:rPr>
      </w:pPr>
      <w:r>
        <w:rPr>
          <w:rFonts w:ascii="Bookman Old Style" w:hAnsi="Bookman Old Style" w:cs="Arial"/>
          <w:bCs/>
          <w:lang w:val="es-MX"/>
        </w:rPr>
        <w:t xml:space="preserve">Los criterios expuestos por el Consejo de Estado no excluyen </w:t>
      </w:r>
      <w:r>
        <w:rPr>
          <w:rFonts w:ascii="Bookman Old Style" w:hAnsi="Bookman Old Style" w:cs="Arial"/>
          <w:bCs/>
          <w:i/>
          <w:lang w:val="es-MX"/>
        </w:rPr>
        <w:t xml:space="preserve">per se </w:t>
      </w:r>
      <w:r>
        <w:rPr>
          <w:rFonts w:ascii="Bookman Old Style" w:hAnsi="Bookman Old Style" w:cs="Arial"/>
          <w:bCs/>
          <w:lang w:val="es-MX"/>
        </w:rPr>
        <w:t xml:space="preserve">todas las cuentas de la clase 5, como lo pretende hacer ver el recurrente al sustentar su recurso de acuerdo con la jurisprudencia administrativa, bajo la consideración de que los impuestos, las tasas y las contribuciones no hacen parte de la </w:t>
      </w:r>
      <w:r w:rsidRPr="00AA080D">
        <w:rPr>
          <w:rFonts w:ascii="Bookman Old Style" w:hAnsi="Bookman Old Style" w:cs="Arial"/>
          <w:bCs/>
          <w:lang w:val="es-MX"/>
        </w:rPr>
        <w:t>salida de recursos que de manera directa o indirecta se utilizan para ejecutar o cumplir las fu</w:t>
      </w:r>
      <w:r>
        <w:rPr>
          <w:rFonts w:ascii="Bookman Old Style" w:hAnsi="Bookman Old Style" w:cs="Arial"/>
          <w:bCs/>
          <w:lang w:val="es-MX"/>
        </w:rPr>
        <w:t>nciones propias de la actividad.</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 xml:space="preserve">Esto debido a que el recurrente no referencia criterios que igualmente fueron expuestos por el Honorable Consejo de Estado, al momento de establecer si se esta en presencia de un gasto de funcionamiento, ya que </w:t>
      </w:r>
      <w:r w:rsidRPr="00AA080D">
        <w:rPr>
          <w:rFonts w:ascii="Bookman Old Style" w:hAnsi="Bookman Old Style" w:cs="Arial"/>
          <w:bCs/>
          <w:lang w:val="es-MX"/>
        </w:rPr>
        <w:t>no</w:t>
      </w:r>
      <w:r>
        <w:rPr>
          <w:rFonts w:ascii="Bookman Old Style" w:hAnsi="Bookman Old Style" w:cs="Arial"/>
          <w:bCs/>
          <w:lang w:val="es-MX"/>
        </w:rPr>
        <w:t xml:space="preserve"> solo</w:t>
      </w:r>
      <w:r w:rsidRPr="00AA080D">
        <w:rPr>
          <w:rFonts w:ascii="Bookman Old Style" w:hAnsi="Bookman Old Style" w:cs="Arial"/>
          <w:bCs/>
          <w:lang w:val="es-MX"/>
        </w:rPr>
        <w:t xml:space="preserve"> se refiere solamente a aquellos gastos que están directamente dirigidos al desarrollo de la operación bá</w:t>
      </w:r>
      <w:r>
        <w:rPr>
          <w:rFonts w:ascii="Bookman Old Style" w:hAnsi="Bookman Old Style" w:cs="Arial"/>
          <w:bCs/>
          <w:lang w:val="es-MX"/>
        </w:rPr>
        <w:t>sica o principal de la entidad</w:t>
      </w:r>
      <w:r w:rsidRPr="00AA080D">
        <w:rPr>
          <w:rFonts w:ascii="Bookman Old Style" w:hAnsi="Bookman Old Style" w:cs="Arial"/>
          <w:bCs/>
          <w:lang w:val="es-MX"/>
        </w:rPr>
        <w:t xml:space="preserve">, </w:t>
      </w:r>
      <w:r w:rsidRPr="00AA080D">
        <w:rPr>
          <w:rFonts w:ascii="Bookman Old Style" w:hAnsi="Bookman Old Style" w:cs="Arial"/>
          <w:b/>
          <w:bCs/>
          <w:lang w:val="es-MX"/>
        </w:rPr>
        <w:t>sino a los gastos que aunque no estén directamente relacionados con la prestación del servicio u operación básica, si le son concernientes.</w:t>
      </w:r>
      <w:r>
        <w:rPr>
          <w:rFonts w:ascii="Bookman Old Style" w:hAnsi="Bookman Old Style" w:cs="Arial"/>
          <w:bCs/>
          <w:lang w:val="es-MX"/>
        </w:rPr>
        <w:t xml:space="preserve"> </w:t>
      </w:r>
    </w:p>
    <w:p w:rsidR="00FB7F69" w:rsidRPr="00AA080D" w:rsidRDefault="00FB7F69" w:rsidP="00FB7F69">
      <w:pPr>
        <w:pStyle w:val="NormalWeb"/>
        <w:jc w:val="both"/>
        <w:rPr>
          <w:rFonts w:ascii="Bookman Old Style" w:hAnsi="Bookman Old Style" w:cs="Arial"/>
          <w:bCs/>
          <w:lang w:val="es-MX"/>
        </w:rPr>
      </w:pPr>
      <w:r>
        <w:rPr>
          <w:rFonts w:ascii="Bookman Old Style" w:hAnsi="Bookman Old Style" w:cs="Arial"/>
          <w:bCs/>
          <w:lang w:val="es-MX"/>
        </w:rPr>
        <w:t xml:space="preserve">De acuerdo con lo anterior, el Consejo de Estado ha establecido la procedencia de aquellos gastos que sirven de apoyo para el cumplimiento de la misión de la Entidad, no limitándolos ha aquellos gastos operacionales y directos como pretende hacerlo ver el accionante cuando expone: </w:t>
      </w:r>
    </w:p>
    <w:p w:rsidR="00FB7F69" w:rsidRPr="00BC28AA" w:rsidRDefault="00FB7F69" w:rsidP="00FB7F69">
      <w:pPr>
        <w:pStyle w:val="NormalWeb"/>
        <w:ind w:left="708"/>
        <w:jc w:val="both"/>
        <w:rPr>
          <w:rFonts w:ascii="Bookman Old Style" w:hAnsi="Bookman Old Style" w:cs="Arial"/>
          <w:bCs/>
          <w:i/>
          <w:sz w:val="22"/>
          <w:szCs w:val="22"/>
          <w:lang w:val="es-MX"/>
        </w:rPr>
      </w:pPr>
      <w:r w:rsidRPr="00BC28AA">
        <w:rPr>
          <w:rFonts w:ascii="Bookman Old Style" w:hAnsi="Bookman Old Style" w:cs="Arial"/>
          <w:bCs/>
          <w:i/>
          <w:sz w:val="22"/>
          <w:szCs w:val="22"/>
          <w:lang w:val="es-MX"/>
        </w:rPr>
        <w:t>“Cuando el artículo 85.2 de la Ley 142 de 1994 señala que la base para liquidar la contribución es el valor de los gastos de funcionamiento asociados al servicio sometido a regulación, no se refiere solamente a aquellos gastos que están directamente dirigidos al desarrollo de la operación básica o principal de la entidad, pues estos son los gastos de operación definidos así, por el Sistema Nacional de Contabilidad Pública , sino a los gastos que aunque no estén directamente relacionados con la prestación del servicio u operación básica, si le son concernientes.</w:t>
      </w:r>
    </w:p>
    <w:p w:rsidR="00FB7F69" w:rsidRPr="00BC28AA" w:rsidRDefault="00FB7F69" w:rsidP="00FB7F69">
      <w:pPr>
        <w:pStyle w:val="NormalWeb"/>
        <w:ind w:left="708"/>
        <w:jc w:val="both"/>
        <w:rPr>
          <w:rFonts w:ascii="Bookman Old Style" w:hAnsi="Bookman Old Style" w:cs="Arial"/>
          <w:bCs/>
          <w:i/>
          <w:sz w:val="22"/>
          <w:szCs w:val="22"/>
          <w:lang w:val="es-MX"/>
        </w:rPr>
      </w:pPr>
      <w:r w:rsidRPr="00BC28AA">
        <w:rPr>
          <w:rFonts w:ascii="Bookman Old Style" w:hAnsi="Bookman Old Style" w:cs="Arial"/>
          <w:bCs/>
          <w:i/>
          <w:sz w:val="22"/>
          <w:szCs w:val="22"/>
          <w:lang w:val="es-MX"/>
        </w:rPr>
        <w:t>Los gastos de funcionamiento son aquellas erogaciones que tiene por objeto atender las necesidades de las entidades para cumplir a cabalidad con las funciones asignadas en la Constitución Política y en la Ley;</w:t>
      </w:r>
    </w:p>
    <w:p w:rsidR="00FB7F69" w:rsidRPr="00BC28AA" w:rsidRDefault="00FB7F69" w:rsidP="00FB7F69">
      <w:pPr>
        <w:pStyle w:val="NormalWeb"/>
        <w:ind w:left="708"/>
        <w:jc w:val="both"/>
        <w:rPr>
          <w:rFonts w:ascii="Bookman Old Style" w:hAnsi="Bookman Old Style" w:cs="Arial"/>
          <w:bCs/>
          <w:i/>
          <w:sz w:val="22"/>
          <w:szCs w:val="22"/>
          <w:lang w:val="es-MX"/>
        </w:rPr>
      </w:pPr>
      <w:r w:rsidRPr="00BC28AA">
        <w:rPr>
          <w:rFonts w:ascii="Bookman Old Style" w:hAnsi="Bookman Old Style" w:cs="Arial"/>
          <w:bCs/>
          <w:i/>
          <w:sz w:val="22"/>
          <w:szCs w:val="22"/>
          <w:lang w:val="es-MX"/>
        </w:rPr>
        <w:t>(..)</w:t>
      </w:r>
    </w:p>
    <w:p w:rsidR="00FB7F69" w:rsidRPr="00BC28AA" w:rsidRDefault="00FB7F69" w:rsidP="00FB7F69">
      <w:pPr>
        <w:pStyle w:val="NormalWeb"/>
        <w:ind w:left="708"/>
        <w:jc w:val="both"/>
        <w:rPr>
          <w:rFonts w:ascii="Bookman Old Style" w:hAnsi="Bookman Old Style" w:cs="Arial"/>
          <w:bCs/>
          <w:sz w:val="22"/>
          <w:szCs w:val="22"/>
          <w:lang w:val="es-MX"/>
        </w:rPr>
      </w:pPr>
      <w:r w:rsidRPr="00BC28AA">
        <w:rPr>
          <w:rFonts w:ascii="Bookman Old Style" w:hAnsi="Bookman Old Style" w:cs="Arial"/>
          <w:bCs/>
          <w:i/>
          <w:sz w:val="22"/>
          <w:szCs w:val="22"/>
          <w:lang w:val="es-MX"/>
        </w:rPr>
        <w:t>De acuerdo con lo anterior, aunque el gasto de pensiones no tenga una relación directa con el cometido estatal de prestación del servicio público, sí sirve de apoyo para el cumplimiento de la misión y por tal razón es un gasto de funcionamiento.”</w:t>
      </w:r>
      <w:r w:rsidRPr="00BC28AA">
        <w:rPr>
          <w:rStyle w:val="Refdenotaalpie"/>
          <w:rFonts w:ascii="Bookman Old Style" w:hAnsi="Bookman Old Style" w:cs="Arial"/>
          <w:bCs/>
          <w:i/>
          <w:sz w:val="22"/>
          <w:szCs w:val="22"/>
          <w:lang w:val="es-MX"/>
        </w:rPr>
        <w:footnoteReference w:id="3"/>
      </w:r>
    </w:p>
    <w:p w:rsidR="00FB7F69" w:rsidRDefault="00FB7F69" w:rsidP="000C6857">
      <w:pPr>
        <w:pStyle w:val="NormalWeb"/>
        <w:spacing w:before="0" w:beforeAutospacing="0" w:after="0" w:afterAutospacing="0"/>
        <w:jc w:val="both"/>
      </w:pPr>
      <w:r>
        <w:rPr>
          <w:rFonts w:ascii="Bookman Old Style" w:hAnsi="Bookman Old Style" w:cs="Arial"/>
          <w:bCs/>
          <w:lang w:val="es-MX"/>
        </w:rPr>
        <w:t xml:space="preserve">Es por esto que no se pueden excluir de forma directa </w:t>
      </w:r>
      <w:r w:rsidRPr="00D640C3">
        <w:rPr>
          <w:rFonts w:ascii="Bookman Old Style" w:hAnsi="Bookman Old Style" w:cs="Arial"/>
          <w:bCs/>
          <w:lang w:val="es-MX"/>
        </w:rPr>
        <w:t>aquellas erogaciones que no estén relacionadas con la prestación de</w:t>
      </w:r>
      <w:r>
        <w:rPr>
          <w:rFonts w:ascii="Bookman Old Style" w:hAnsi="Bookman Old Style" w:cs="Arial"/>
          <w:bCs/>
          <w:lang w:val="es-MX"/>
        </w:rPr>
        <w:t xml:space="preserve">l servicio público domiciliario, como </w:t>
      </w:r>
      <w:r>
        <w:rPr>
          <w:rFonts w:ascii="Bookman Old Style" w:hAnsi="Bookman Old Style" w:cs="Arial"/>
          <w:bCs/>
          <w:lang w:val="es-MX"/>
        </w:rPr>
        <w:lastRenderedPageBreak/>
        <w:t xml:space="preserve">un criterio jurisprudencial absoluto, debido a que si bien, el criterio de gastos de funcionamiento incluye aquellas </w:t>
      </w:r>
      <w:r w:rsidRPr="009D6B3A">
        <w:rPr>
          <w:rFonts w:ascii="Bookman Old Style" w:hAnsi="Bookman Old Style" w:cs="Arial"/>
          <w:bCs/>
          <w:lang w:val="es-MX"/>
        </w:rPr>
        <w:t>erogaciones causadas relacionadas con la prestación de los servicios públicos</w:t>
      </w:r>
      <w:r>
        <w:rPr>
          <w:rFonts w:ascii="Bookman Old Style" w:hAnsi="Bookman Old Style" w:cs="Arial"/>
          <w:bCs/>
          <w:lang w:val="es-MX"/>
        </w:rPr>
        <w:t xml:space="preserve">, no excluye aquellos gastos </w:t>
      </w:r>
      <w:r w:rsidRPr="00D640C3">
        <w:rPr>
          <w:rFonts w:ascii="Bookman Old Style" w:hAnsi="Bookman Old Style" w:cs="Arial"/>
          <w:bCs/>
          <w:lang w:val="es-MX"/>
        </w:rPr>
        <w:t>que aunque no estén directamente relacionados con la prestación del servicio u operación básica, si le son concernientes.</w:t>
      </w:r>
      <w:r w:rsidRPr="009D6B3A">
        <w:t xml:space="preserve"> </w:t>
      </w:r>
    </w:p>
    <w:p w:rsidR="00BC28AA" w:rsidRDefault="00BC28AA" w:rsidP="00BC28AA">
      <w:pPr>
        <w:pStyle w:val="NormalWeb"/>
        <w:spacing w:before="0" w:beforeAutospacing="0" w:after="0" w:afterAutospacing="0"/>
        <w:jc w:val="both"/>
        <w:rPr>
          <w:rFonts w:ascii="Bookman Old Style" w:hAnsi="Bookman Old Style" w:cs="Arial"/>
          <w:bCs/>
          <w:lang w:val="es-MX"/>
        </w:rPr>
      </w:pPr>
    </w:p>
    <w:p w:rsidR="00FB7F69" w:rsidRDefault="00FB7F69" w:rsidP="00BC28AA">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L</w:t>
      </w:r>
      <w:r w:rsidRPr="009D6B3A">
        <w:rPr>
          <w:rFonts w:ascii="Bookman Old Style" w:hAnsi="Bookman Old Style" w:cs="Arial"/>
          <w:bCs/>
          <w:lang w:val="es-MX"/>
        </w:rPr>
        <w:t xml:space="preserve">o que excluye la </w:t>
      </w:r>
      <w:r>
        <w:rPr>
          <w:rFonts w:ascii="Bookman Old Style" w:hAnsi="Bookman Old Style" w:cs="Arial"/>
          <w:bCs/>
          <w:lang w:val="es-MX"/>
        </w:rPr>
        <w:t xml:space="preserve">jurisprudencia del Honorable Consejo de Estado, es la </w:t>
      </w:r>
      <w:r w:rsidRPr="009D6B3A">
        <w:rPr>
          <w:rFonts w:ascii="Bookman Old Style" w:hAnsi="Bookman Old Style" w:cs="Arial"/>
          <w:bCs/>
          <w:lang w:val="es-MX"/>
        </w:rPr>
        <w:t>posibilidad de entender</w:t>
      </w:r>
      <w:r>
        <w:rPr>
          <w:rFonts w:ascii="Bookman Old Style" w:hAnsi="Bookman Old Style" w:cs="Arial"/>
          <w:bCs/>
          <w:lang w:val="es-MX"/>
        </w:rPr>
        <w:t xml:space="preserve"> que el concepto de “gastos de funcionamiento” </w:t>
      </w:r>
      <w:r w:rsidRPr="009D6B3A">
        <w:rPr>
          <w:rFonts w:ascii="Bookman Old Style" w:hAnsi="Bookman Old Style" w:cs="Arial"/>
          <w:bCs/>
          <w:lang w:val="es-MX"/>
        </w:rPr>
        <w:t>se refería a todo lo que involucra el concepto general de “gastos” del Plan de Contabilidad</w:t>
      </w:r>
      <w:r>
        <w:rPr>
          <w:rFonts w:ascii="Bookman Old Style" w:hAnsi="Bookman Old Style" w:cs="Arial"/>
          <w:bCs/>
          <w:lang w:val="es-MX"/>
        </w:rPr>
        <w:t xml:space="preserve"> de la Superintendencia de Servicios Públicos Domiciliarios.</w:t>
      </w:r>
    </w:p>
    <w:p w:rsidR="000C6857" w:rsidRDefault="000C6857" w:rsidP="00BC28AA">
      <w:pPr>
        <w:pStyle w:val="NormalWeb"/>
        <w:spacing w:before="0" w:beforeAutospacing="0" w:after="0" w:afterAutospacing="0"/>
        <w:jc w:val="both"/>
        <w:rPr>
          <w:rFonts w:ascii="Bookman Old Style" w:hAnsi="Bookman Old Style" w:cs="Arial"/>
          <w:bCs/>
          <w:lang w:val="es-MX"/>
        </w:rPr>
      </w:pPr>
    </w:p>
    <w:p w:rsidR="00FB7F69" w:rsidRDefault="00FB7F69" w:rsidP="000C6857">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 xml:space="preserve">A juicio de esta Comisión, los impuestos, las tasas y las contribuciones </w:t>
      </w:r>
      <w:r w:rsidRPr="00E1283C">
        <w:rPr>
          <w:rFonts w:ascii="Bookman Old Style" w:hAnsi="Bookman Old Style" w:cs="Arial"/>
          <w:bCs/>
          <w:lang w:val="es-MX"/>
        </w:rPr>
        <w:t>representan erogaciones efectivas de recursos</w:t>
      </w:r>
      <w:r>
        <w:rPr>
          <w:rFonts w:ascii="Bookman Old Style" w:hAnsi="Bookman Old Style" w:cs="Arial"/>
          <w:bCs/>
          <w:lang w:val="es-MX"/>
        </w:rPr>
        <w:t xml:space="preserve"> </w:t>
      </w:r>
      <w:r w:rsidRPr="00E1283C">
        <w:rPr>
          <w:rFonts w:ascii="Bookman Old Style" w:hAnsi="Bookman Old Style" w:cs="Arial"/>
          <w:bCs/>
          <w:lang w:val="es-MX"/>
        </w:rPr>
        <w:t xml:space="preserve">que de manera indirecta se utilizan para ejecutar o cumplir las funciones propias de la actividad, </w:t>
      </w:r>
      <w:r>
        <w:rPr>
          <w:rFonts w:ascii="Bookman Old Style" w:hAnsi="Bookman Old Style" w:cs="Arial"/>
          <w:bCs/>
          <w:lang w:val="es-MX"/>
        </w:rPr>
        <w:t>los cuales si bien, pueden no estar</w:t>
      </w:r>
      <w:r w:rsidRPr="00E1283C">
        <w:rPr>
          <w:rFonts w:ascii="Bookman Old Style" w:hAnsi="Bookman Old Style" w:cs="Arial"/>
          <w:bCs/>
          <w:lang w:val="es-MX"/>
        </w:rPr>
        <w:t xml:space="preserve"> directamente relacionados con la prestación del servicio u operación </w:t>
      </w:r>
      <w:r>
        <w:rPr>
          <w:rFonts w:ascii="Bookman Old Style" w:hAnsi="Bookman Old Style" w:cs="Arial"/>
          <w:bCs/>
          <w:lang w:val="es-MX"/>
        </w:rPr>
        <w:t>básica, si le son concernientes; razón por la cual, fueron tenidas en cuenta dentro de la base de la contribución, de conformidad con la Resolución CREG 175 de 2011.</w:t>
      </w:r>
    </w:p>
    <w:p w:rsidR="000C6857" w:rsidRDefault="000C6857" w:rsidP="000C6857">
      <w:pPr>
        <w:pStyle w:val="NormalWeb"/>
        <w:spacing w:before="0" w:beforeAutospacing="0" w:after="0" w:afterAutospacing="0"/>
        <w:jc w:val="both"/>
        <w:rPr>
          <w:rFonts w:ascii="Bookman Old Style" w:hAnsi="Bookman Old Style" w:cs="Arial"/>
          <w:bCs/>
          <w:lang w:val="es-MX"/>
        </w:rPr>
      </w:pPr>
    </w:p>
    <w:p w:rsidR="00FB7F69" w:rsidRDefault="00FB7F69" w:rsidP="000C6857">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Lo anterior, debido a que el Honorable Consejo de Estado dentro de los criterios que igualmente deben ser tenidos en cuenta a la hora de determinar los gastos de funcionamiento ha expuesto:</w:t>
      </w:r>
    </w:p>
    <w:p w:rsidR="00FB7F69" w:rsidRPr="00D84580" w:rsidRDefault="00FB7F69" w:rsidP="00FB7F69">
      <w:pPr>
        <w:pStyle w:val="NormalWeb"/>
        <w:ind w:left="708"/>
        <w:jc w:val="both"/>
        <w:rPr>
          <w:rFonts w:ascii="Bookman Old Style" w:hAnsi="Bookman Old Style" w:cs="Arial"/>
          <w:bCs/>
          <w:i/>
          <w:sz w:val="22"/>
          <w:szCs w:val="22"/>
          <w:lang w:val="es-MX"/>
        </w:rPr>
      </w:pPr>
      <w:r w:rsidRPr="00D84580">
        <w:rPr>
          <w:rFonts w:ascii="Bookman Old Style" w:hAnsi="Bookman Old Style" w:cs="Arial"/>
          <w:bCs/>
          <w:i/>
          <w:sz w:val="22"/>
          <w:szCs w:val="22"/>
          <w:lang w:val="es-MX"/>
        </w:rPr>
        <w:t>“La Sala, en la sentencia que se reitera, consideró que el artículo 85.2 de la Ley 142 de 1994 al señalar que la base para liquidar la contribución es el valor de los gastos de funcionamiento asociados al servicio sometido a regulación, no se refirió solamente a “aquellos gastos que están directamente dirigidos al desarrollo de la operación básica o principal de la entidad, pues estos son los gastos de operación definidos así, por el Sistema Nacional de Contabilidad Pública , sino a los gastos que aunque no estén directamente relacionados con la prestación del servicio u operación básica, si le son concernientes”.</w:t>
      </w:r>
    </w:p>
    <w:p w:rsidR="00FB7F69" w:rsidRPr="00D84580" w:rsidRDefault="00FB7F69" w:rsidP="00FB7F69">
      <w:pPr>
        <w:pStyle w:val="NormalWeb"/>
        <w:ind w:left="708"/>
        <w:jc w:val="both"/>
        <w:rPr>
          <w:rFonts w:ascii="Bookman Old Style" w:hAnsi="Bookman Old Style" w:cs="Arial"/>
          <w:b/>
          <w:bCs/>
          <w:sz w:val="22"/>
          <w:szCs w:val="22"/>
          <w:lang w:val="es-MX"/>
        </w:rPr>
      </w:pPr>
      <w:r w:rsidRPr="00D84580">
        <w:rPr>
          <w:rFonts w:ascii="Bookman Old Style" w:hAnsi="Bookman Old Style" w:cs="Arial"/>
          <w:b/>
          <w:bCs/>
          <w:i/>
          <w:sz w:val="22"/>
          <w:szCs w:val="22"/>
          <w:lang w:val="es-MX"/>
        </w:rPr>
        <w:t>Señaló que los gastos de funcionamiento corresponden a aquellas erogaciones que tienen por objeto atender las necesidades de las entidades para cumplir a cabalidad con las funciones asignadas en la Constitución Política y en la Ley;….”</w:t>
      </w:r>
      <w:r w:rsidRPr="00D84580">
        <w:rPr>
          <w:rStyle w:val="Refdenotaalpie"/>
          <w:rFonts w:ascii="Bookman Old Style" w:hAnsi="Bookman Old Style" w:cs="Arial"/>
          <w:b/>
          <w:bCs/>
          <w:i/>
          <w:sz w:val="22"/>
          <w:szCs w:val="22"/>
          <w:lang w:val="es-MX"/>
        </w:rPr>
        <w:footnoteReference w:id="4"/>
      </w:r>
    </w:p>
    <w:p w:rsidR="00FB7F69" w:rsidRDefault="00FB7F69" w:rsidP="000C6857">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 xml:space="preserve">Es por esto que, </w:t>
      </w:r>
      <w:r w:rsidRPr="0006448A">
        <w:rPr>
          <w:rFonts w:ascii="Bookman Old Style" w:hAnsi="Bookman Old Style" w:cs="Arial"/>
          <w:bCs/>
          <w:lang w:val="es-MX"/>
        </w:rPr>
        <w:t>existen gastos que si bien no tienen una relación directa con el cometido de las empresas respecto de la prestación del servicio público, sí sirve de apoyo para el cumplimiento de la misión y, por tal razón, es un gasto de funcionamiento.</w:t>
      </w:r>
    </w:p>
    <w:p w:rsidR="000C6857" w:rsidRDefault="000C6857" w:rsidP="000C6857">
      <w:pPr>
        <w:pStyle w:val="NormalWeb"/>
        <w:spacing w:before="0" w:beforeAutospacing="0" w:after="0" w:afterAutospacing="0"/>
        <w:jc w:val="both"/>
        <w:rPr>
          <w:rFonts w:ascii="Bookman Old Style" w:hAnsi="Bookman Old Style" w:cs="Arial"/>
          <w:bCs/>
          <w:lang w:val="es-MX"/>
        </w:rPr>
      </w:pPr>
    </w:p>
    <w:p w:rsidR="00FB7F69" w:rsidRDefault="00FB7F69" w:rsidP="000C6857">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No existe un desconocimiento de la jurisprudencia administrativa por parte de esta Comisión a la hora de establecer la base de la contribución y los criterios que de esta hacen parte, ya que considera que esta cumple los presupuestos establecidos por el Honorable Consejo de Estado.</w:t>
      </w:r>
    </w:p>
    <w:p w:rsidR="000C6857" w:rsidRDefault="000C6857" w:rsidP="000C6857">
      <w:pPr>
        <w:pStyle w:val="NormalWeb"/>
        <w:spacing w:before="0" w:beforeAutospacing="0" w:after="0" w:afterAutospacing="0"/>
        <w:jc w:val="both"/>
        <w:rPr>
          <w:rFonts w:ascii="Bookman Old Style" w:hAnsi="Bookman Old Style" w:cs="Arial"/>
          <w:bCs/>
          <w:lang w:val="es-MX"/>
        </w:rPr>
      </w:pPr>
    </w:p>
    <w:p w:rsidR="00FB7F69" w:rsidRDefault="00FB7F69" w:rsidP="000C6857">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 xml:space="preserve">Así mismo, se deben tener en cuenta elementos que el Honorable Consejo de Estado igualmente ha establecido en relación con los tributos, como </w:t>
      </w:r>
      <w:r>
        <w:rPr>
          <w:rFonts w:ascii="Bookman Old Style" w:hAnsi="Bookman Old Style" w:cs="Arial"/>
          <w:bCs/>
          <w:lang w:val="es-MX"/>
        </w:rPr>
        <w:lastRenderedPageBreak/>
        <w:t xml:space="preserve">erogaciones o expensas que no están directamente relacionadas con la prestación del servicio, si se necesitan </w:t>
      </w:r>
      <w:r w:rsidRPr="008905B4">
        <w:rPr>
          <w:rFonts w:ascii="Bookman Old Style" w:hAnsi="Bookman Old Style" w:cs="Arial"/>
          <w:bCs/>
          <w:lang w:val="es-MX"/>
        </w:rPr>
        <w:t>para ejecutar o cumplir las funciones</w:t>
      </w:r>
      <w:r>
        <w:rPr>
          <w:rFonts w:ascii="Bookman Old Style" w:hAnsi="Bookman Old Style" w:cs="Arial"/>
          <w:bCs/>
          <w:lang w:val="es-MX"/>
        </w:rPr>
        <w:t xml:space="preserve"> y obligaciones</w:t>
      </w:r>
      <w:r w:rsidRPr="008905B4">
        <w:rPr>
          <w:rFonts w:ascii="Bookman Old Style" w:hAnsi="Bookman Old Style" w:cs="Arial"/>
          <w:bCs/>
          <w:lang w:val="es-MX"/>
        </w:rPr>
        <w:t xml:space="preserve"> propias de la actividad</w:t>
      </w:r>
      <w:r>
        <w:rPr>
          <w:rFonts w:ascii="Bookman Old Style" w:hAnsi="Bookman Old Style" w:cs="Arial"/>
          <w:bCs/>
          <w:lang w:val="es-MX"/>
        </w:rPr>
        <w:t>, es decir, que le son concernientes.</w:t>
      </w:r>
    </w:p>
    <w:p w:rsidR="000C6857" w:rsidRDefault="000C6857" w:rsidP="000C6857">
      <w:pPr>
        <w:pStyle w:val="NormalWeb"/>
        <w:spacing w:before="0" w:beforeAutospacing="0" w:after="0" w:afterAutospacing="0"/>
        <w:jc w:val="both"/>
        <w:rPr>
          <w:rFonts w:ascii="Bookman Old Style" w:hAnsi="Bookman Old Style" w:cs="Arial"/>
          <w:bCs/>
          <w:lang w:val="es-MX"/>
        </w:rPr>
      </w:pPr>
    </w:p>
    <w:p w:rsidR="00FB7F69" w:rsidRDefault="00FB7F69" w:rsidP="000C6857">
      <w:pPr>
        <w:pStyle w:val="NormalWeb"/>
        <w:spacing w:before="0" w:beforeAutospacing="0" w:after="0" w:afterAutospacing="0"/>
        <w:jc w:val="both"/>
        <w:rPr>
          <w:rFonts w:ascii="Bookman Old Style" w:hAnsi="Bookman Old Style" w:cs="Arial"/>
          <w:b/>
          <w:bCs/>
          <w:i/>
          <w:lang w:val="es-MX"/>
        </w:rPr>
      </w:pPr>
      <w:r>
        <w:rPr>
          <w:rFonts w:ascii="Bookman Old Style" w:hAnsi="Bookman Old Style" w:cs="Arial"/>
          <w:bCs/>
          <w:lang w:val="es-MX"/>
        </w:rPr>
        <w:t xml:space="preserve">De acuerdo con lo anterior, el Honorable Consejo de Estado ha considerado que las contribuciones que se pagan a las Superintendencias </w:t>
      </w:r>
      <w:r w:rsidRPr="00262109">
        <w:rPr>
          <w:rFonts w:ascii="Bookman Old Style" w:hAnsi="Bookman Old Style" w:cs="Arial"/>
          <w:bCs/>
          <w:i/>
          <w:lang w:val="es-MX"/>
        </w:rPr>
        <w:t xml:space="preserve">hacen parte de los egresos que con el fin de dar cumplimiento a disposiciones legales de carácter obligatorio deben cumplir las personas jurídicas, la cual, para efectos impositivos, </w:t>
      </w:r>
      <w:r w:rsidRPr="00262109">
        <w:rPr>
          <w:rFonts w:ascii="Bookman Old Style" w:hAnsi="Bookman Old Style" w:cs="Arial"/>
          <w:b/>
          <w:bCs/>
          <w:i/>
          <w:lang w:val="es-MX"/>
        </w:rPr>
        <w:t>guarda relación de causalidad con la actividad productora de renta,</w:t>
      </w:r>
      <w:r w:rsidRPr="00262109">
        <w:rPr>
          <w:rFonts w:ascii="Bookman Old Style" w:hAnsi="Bookman Old Style" w:cs="Arial"/>
          <w:bCs/>
          <w:i/>
          <w:lang w:val="es-MX"/>
        </w:rPr>
        <w:t xml:space="preserve"> esto es, con el objeto social, </w:t>
      </w:r>
      <w:r w:rsidRPr="008905B4">
        <w:rPr>
          <w:rFonts w:ascii="Bookman Old Style" w:hAnsi="Bookman Old Style" w:cs="Arial"/>
          <w:b/>
          <w:bCs/>
          <w:i/>
          <w:lang w:val="es-MX"/>
        </w:rPr>
        <w:t>ya que si bien no tiene una relación directa con el ingreso obtenido en desarrollo de su actividad, es evidente que si forma parte de las expensas necesarias que a manera de gasto o deducción deben cumplir los entes comerciales.</w:t>
      </w:r>
      <w:r>
        <w:rPr>
          <w:rStyle w:val="Refdenotaalpie"/>
          <w:rFonts w:ascii="Bookman Old Style" w:hAnsi="Bookman Old Style" w:cs="Arial"/>
          <w:b/>
          <w:bCs/>
          <w:i/>
          <w:lang w:val="es-MX"/>
        </w:rPr>
        <w:footnoteReference w:id="5"/>
      </w:r>
    </w:p>
    <w:p w:rsidR="000C6857" w:rsidRPr="008905B4" w:rsidRDefault="000C6857" w:rsidP="000C6857">
      <w:pPr>
        <w:pStyle w:val="NormalWeb"/>
        <w:spacing w:before="0" w:beforeAutospacing="0" w:after="0" w:afterAutospacing="0"/>
        <w:jc w:val="both"/>
        <w:rPr>
          <w:rFonts w:ascii="Bookman Old Style" w:hAnsi="Bookman Old Style" w:cs="Arial"/>
          <w:b/>
          <w:bCs/>
          <w:i/>
          <w:lang w:val="es-MX"/>
        </w:rPr>
      </w:pPr>
    </w:p>
    <w:p w:rsidR="00FB7F69" w:rsidRDefault="00FB7F69" w:rsidP="000C6857">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Esta premisa debe ser aplicada de forma sistemática, con la expuesta para aquellos gastos dentro de la base de la contribución, que se deben entender como “gastos de funcionamiento”, bajo el entendido de que los tributos hacen parte de una erogación efectiva</w:t>
      </w:r>
      <w:r w:rsidRPr="00262109">
        <w:rPr>
          <w:rFonts w:ascii="Bookman Old Style" w:hAnsi="Bookman Old Style" w:cs="Arial"/>
          <w:bCs/>
          <w:lang w:val="es-MX"/>
        </w:rPr>
        <w:t xml:space="preserve"> de recursos que</w:t>
      </w:r>
      <w:r>
        <w:rPr>
          <w:rFonts w:ascii="Bookman Old Style" w:hAnsi="Bookman Old Style" w:cs="Arial"/>
          <w:bCs/>
          <w:lang w:val="es-MX"/>
        </w:rPr>
        <w:t xml:space="preserve"> de manera indirecta se utiliza</w:t>
      </w:r>
      <w:r w:rsidRPr="00262109">
        <w:rPr>
          <w:rFonts w:ascii="Bookman Old Style" w:hAnsi="Bookman Old Style" w:cs="Arial"/>
          <w:bCs/>
          <w:lang w:val="es-MX"/>
        </w:rPr>
        <w:t xml:space="preserve"> para ejecutar o cumplir las fu</w:t>
      </w:r>
      <w:r>
        <w:rPr>
          <w:rFonts w:ascii="Bookman Old Style" w:hAnsi="Bookman Old Style" w:cs="Arial"/>
          <w:bCs/>
          <w:lang w:val="es-MX"/>
        </w:rPr>
        <w:t xml:space="preserve">nciones propias de la actividad o </w:t>
      </w:r>
      <w:r w:rsidRPr="00262109">
        <w:rPr>
          <w:rFonts w:ascii="Bookman Old Style" w:hAnsi="Bookman Old Style" w:cs="Arial"/>
          <w:bCs/>
          <w:lang w:val="es-MX"/>
        </w:rPr>
        <w:t>los cuales si bien, pueden no estar directamente relacionados con la prestación del servicio u operación básica, si le son concernientes</w:t>
      </w:r>
      <w:r>
        <w:rPr>
          <w:rFonts w:ascii="Bookman Old Style" w:hAnsi="Bookman Old Style" w:cs="Arial"/>
          <w:bCs/>
          <w:lang w:val="es-MX"/>
        </w:rPr>
        <w:t>, se relaciona con la relación de causalidad que tienen las contribuciones para el impuesto de renta.</w:t>
      </w:r>
    </w:p>
    <w:p w:rsidR="00FB7F69" w:rsidRPr="002C6FA8" w:rsidRDefault="00FB7F69" w:rsidP="00FB7F69">
      <w:pPr>
        <w:pStyle w:val="NormalWeb"/>
        <w:jc w:val="both"/>
        <w:rPr>
          <w:rFonts w:ascii="Bookman Old Style" w:hAnsi="Bookman Old Style" w:cs="Arial"/>
          <w:b/>
          <w:bCs/>
          <w:i/>
          <w:lang w:val="es-MX"/>
        </w:rPr>
      </w:pPr>
      <w:r>
        <w:rPr>
          <w:rFonts w:ascii="Bookman Old Style" w:hAnsi="Bookman Old Style" w:cs="Arial"/>
          <w:bCs/>
          <w:lang w:val="es-MX"/>
        </w:rPr>
        <w:t xml:space="preserve">De esto se puede concluir, que existe un criterio necesario e inescindible común en ambos casos para el ejercicio de la actividad, en este caso la prestación de los servicios públicos, el cual, para el pago de la contribución para efectos de su deducibilidad en el impuesto de renta, </w:t>
      </w:r>
      <w:r w:rsidRPr="002C6FA8">
        <w:rPr>
          <w:rFonts w:ascii="Bookman Old Style" w:hAnsi="Bookman Old Style" w:cs="Arial"/>
          <w:b/>
          <w:bCs/>
          <w:i/>
          <w:lang w:val="es-MX"/>
        </w:rPr>
        <w:t>se utilizan para ejecutar o cumplir las funciones propias de la actividad,</w:t>
      </w:r>
      <w:r>
        <w:rPr>
          <w:rFonts w:ascii="Bookman Old Style" w:hAnsi="Bookman Old Style" w:cs="Arial"/>
          <w:b/>
          <w:bCs/>
          <w:i/>
          <w:lang w:val="es-MX"/>
        </w:rPr>
        <w:t xml:space="preserve"> </w:t>
      </w:r>
      <w:r>
        <w:rPr>
          <w:rFonts w:ascii="Bookman Old Style" w:hAnsi="Bookman Old Style" w:cs="Arial"/>
          <w:bCs/>
          <w:lang w:val="es-MX"/>
        </w:rPr>
        <w:t xml:space="preserve">así como los impuestos, las tasas y las contribuciones como gastos de funcionamiento dentro de la base de la contribución, </w:t>
      </w:r>
      <w:r w:rsidRPr="002C6FA8">
        <w:rPr>
          <w:rFonts w:ascii="Bookman Old Style" w:hAnsi="Bookman Old Style" w:cs="Arial"/>
          <w:b/>
          <w:bCs/>
          <w:i/>
          <w:lang w:val="es-MX"/>
        </w:rPr>
        <w:t>implica una erogación indirecta de recursos que se utiliza para ejecutar o cumplir las funciones propias de la actividad.</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Esto permite que se pueda deducir el pago de las contribuciones del impuesto de renta, así mismo, que estas puedan ser incluidas en la base de la contribución a la que hace referencia el artículo 85.2 de la Ley 142 de 1994, ya que si bien es cierto,</w:t>
      </w:r>
      <w:r w:rsidRPr="002C6FA8">
        <w:rPr>
          <w:rFonts w:ascii="Bookman Old Style" w:hAnsi="Bookman Old Style" w:cs="Arial"/>
          <w:bCs/>
          <w:lang w:val="es-MX"/>
        </w:rPr>
        <w:t xml:space="preserve"> de todas formas el bien o servicio se produciría, no se estaría dando cumplimiento con todos los pagos que implica desarrollar </w:t>
      </w:r>
      <w:r>
        <w:rPr>
          <w:rFonts w:ascii="Bookman Old Style" w:hAnsi="Bookman Old Style" w:cs="Arial"/>
          <w:bCs/>
          <w:lang w:val="es-MX"/>
        </w:rPr>
        <w:t>esta</w:t>
      </w:r>
      <w:r w:rsidRPr="002C6FA8">
        <w:rPr>
          <w:rFonts w:ascii="Bookman Old Style" w:hAnsi="Bookman Old Style" w:cs="Arial"/>
          <w:bCs/>
          <w:lang w:val="es-MX"/>
        </w:rPr>
        <w:t xml:space="preserve"> actividad económica</w:t>
      </w:r>
      <w:r>
        <w:rPr>
          <w:rFonts w:ascii="Bookman Old Style" w:hAnsi="Bookman Old Style" w:cs="Arial"/>
          <w:bCs/>
          <w:lang w:val="es-MX"/>
        </w:rPr>
        <w:t>, lo cual, se adecua a lo expuesto por el Honorable Consejo de Estado, ha aquellos</w:t>
      </w:r>
      <w:r w:rsidRPr="002C6FA8">
        <w:t xml:space="preserve"> </w:t>
      </w:r>
      <w:r w:rsidRPr="002C6FA8">
        <w:rPr>
          <w:rFonts w:ascii="Bookman Old Style" w:hAnsi="Bookman Old Style" w:cs="Arial"/>
          <w:bCs/>
          <w:lang w:val="es-MX"/>
        </w:rPr>
        <w:t>gastos que aunque no estén directamente relacionados con la prestación del servicio u operación básica, si le son concernientes.</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Lo anterior, debido a que ambas se entienden como erogaciones</w:t>
      </w:r>
      <w:r w:rsidRPr="00D72033">
        <w:rPr>
          <w:rFonts w:ascii="Bookman Old Style" w:hAnsi="Bookman Old Style" w:cs="Arial"/>
          <w:bCs/>
          <w:lang w:val="es-MX"/>
        </w:rPr>
        <w:t xml:space="preserve"> necesarias para la cabal ejecución de la actividad económica, </w:t>
      </w:r>
      <w:r>
        <w:rPr>
          <w:rFonts w:ascii="Bookman Old Style" w:hAnsi="Bookman Old Style" w:cs="Arial"/>
          <w:bCs/>
          <w:lang w:val="es-MX"/>
        </w:rPr>
        <w:t xml:space="preserve">donde </w:t>
      </w:r>
      <w:r w:rsidRPr="00D72033">
        <w:rPr>
          <w:rFonts w:ascii="Bookman Old Style" w:hAnsi="Bookman Old Style" w:cs="Arial"/>
          <w:bCs/>
          <w:lang w:val="es-MX"/>
        </w:rPr>
        <w:t xml:space="preserve">la relación del gasto no es indispensable o directa, </w:t>
      </w:r>
      <w:r>
        <w:rPr>
          <w:rFonts w:ascii="Bookman Old Style" w:hAnsi="Bookman Old Style" w:cs="Arial"/>
          <w:bCs/>
          <w:lang w:val="es-MX"/>
        </w:rPr>
        <w:t xml:space="preserve">tal como lo pretende hacer ver el recurrente, limitando los gastos a una relación directa con la actividad económica, por lo </w:t>
      </w:r>
      <w:r>
        <w:rPr>
          <w:rFonts w:ascii="Bookman Old Style" w:hAnsi="Bookman Old Style" w:cs="Arial"/>
          <w:bCs/>
          <w:lang w:val="es-MX"/>
        </w:rPr>
        <w:lastRenderedPageBreak/>
        <w:t>que solo</w:t>
      </w:r>
      <w:r w:rsidRPr="00D72033">
        <w:rPr>
          <w:rFonts w:ascii="Bookman Old Style" w:hAnsi="Bookman Old Style" w:cs="Arial"/>
          <w:bCs/>
          <w:lang w:val="es-MX"/>
        </w:rPr>
        <w:t xml:space="preserve"> bastará con que </w:t>
      </w:r>
      <w:r>
        <w:rPr>
          <w:rFonts w:ascii="Bookman Old Style" w:hAnsi="Bookman Old Style" w:cs="Arial"/>
          <w:bCs/>
          <w:lang w:val="es-MX"/>
        </w:rPr>
        <w:t xml:space="preserve">la realización o causalidad, en este caso, con los gastos de funcionamiento sea indirecta, necesaria y normalmente </w:t>
      </w:r>
      <w:r w:rsidRPr="00D72033">
        <w:rPr>
          <w:rFonts w:ascii="Bookman Old Style" w:hAnsi="Bookman Old Style" w:cs="Arial"/>
          <w:bCs/>
          <w:lang w:val="es-MX"/>
        </w:rPr>
        <w:t xml:space="preserve">acostumbrada, para la procedencia </w:t>
      </w:r>
      <w:r>
        <w:rPr>
          <w:rFonts w:ascii="Bookman Old Style" w:hAnsi="Bookman Old Style" w:cs="Arial"/>
          <w:bCs/>
          <w:lang w:val="es-MX"/>
        </w:rPr>
        <w:t xml:space="preserve">tanto para ser deducible en el impuesto de renta y para este caso </w:t>
      </w:r>
      <w:r w:rsidRPr="00D72033">
        <w:rPr>
          <w:rFonts w:ascii="Bookman Old Style" w:hAnsi="Bookman Old Style" w:cs="Arial"/>
          <w:bCs/>
          <w:lang w:val="es-MX"/>
        </w:rPr>
        <w:t xml:space="preserve">de su </w:t>
      </w:r>
      <w:r>
        <w:rPr>
          <w:rFonts w:ascii="Bookman Old Style" w:hAnsi="Bookman Old Style" w:cs="Arial"/>
          <w:bCs/>
          <w:lang w:val="es-MX"/>
        </w:rPr>
        <w:t>inclusión dentro de la base de la contribución</w:t>
      </w:r>
      <w:r w:rsidRPr="00D72033">
        <w:rPr>
          <w:rFonts w:ascii="Bookman Old Style" w:hAnsi="Bookman Old Style" w:cs="Arial"/>
          <w:bCs/>
          <w:lang w:val="es-MX"/>
        </w:rPr>
        <w:t>.</w:t>
      </w:r>
    </w:p>
    <w:p w:rsidR="00FB7F69" w:rsidRDefault="00FB7F69" w:rsidP="00D84580">
      <w:pPr>
        <w:pStyle w:val="NormalWeb"/>
        <w:spacing w:before="0" w:beforeAutospacing="0" w:after="0" w:afterAutospacing="0"/>
        <w:jc w:val="both"/>
        <w:rPr>
          <w:rFonts w:ascii="Bookman Old Style" w:hAnsi="Bookman Old Style" w:cs="Arial"/>
          <w:bCs/>
          <w:lang w:val="es-MX"/>
        </w:rPr>
      </w:pPr>
      <w:r>
        <w:rPr>
          <w:rFonts w:ascii="Bookman Old Style" w:hAnsi="Bookman Old Style" w:cs="Arial"/>
          <w:bCs/>
          <w:lang w:val="es-MX"/>
        </w:rPr>
        <w:t>En virtud de lo expuesto, los impuestos, las tasas y las contribuciones dentro de la base gravable de la contribución, se ajusta a lo dispuesto por la jurisprudencia administrativa de lo que debe entenderse como gasto de funcionamiento, al igual que esta Comisión procedió en los términos de la exigencia hecha por ese Alto Tribunal, analizar</w:t>
      </w:r>
      <w:r w:rsidRPr="00D72033">
        <w:rPr>
          <w:rFonts w:ascii="Bookman Old Style" w:hAnsi="Bookman Old Style" w:cs="Arial"/>
          <w:bCs/>
          <w:lang w:val="es-MX"/>
        </w:rPr>
        <w:t xml:space="preserve"> qué gastos de los comprendidos en las cuentas de la Clase 5-Gastos del Plan de Contabilidad para Entes Prestadores de Servicios Públicos Domiciliario, hacen parte de los gastos de funcionamiento de las entidades obligadas a su pago, </w:t>
      </w:r>
      <w:r>
        <w:rPr>
          <w:rFonts w:ascii="Bookman Old Style" w:hAnsi="Bookman Old Style" w:cs="Arial"/>
          <w:bCs/>
          <w:lang w:val="es-MX"/>
        </w:rPr>
        <w:t>excluyendo aquellas que no se enmarcan dentro de estos criterios.</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 xml:space="preserve">En virtud de lo expuesto, este acto no puede recaer en la causal de falsa motivación, toda vez que, la causa o motivo, es decir, las circunstancias de hecho u de derecho que le sirven de fundamento, se han ajustado a la Constitución, a lo dispuesto en el artículo 85.2 de la Ley 142 de 1994 y al criterio auxiliar expuesto por la jurisprudencia administrativa, respecto de lo que debe ser considerado como gasto de funcionamiento. </w:t>
      </w:r>
    </w:p>
    <w:p w:rsidR="00FB7F69" w:rsidRDefault="00FB7F69" w:rsidP="00FB7F69">
      <w:pPr>
        <w:pStyle w:val="NormalWeb"/>
        <w:jc w:val="both"/>
        <w:rPr>
          <w:rFonts w:ascii="Bookman Old Style" w:hAnsi="Bookman Old Style" w:cs="Arial"/>
          <w:bCs/>
          <w:lang w:val="es-MX"/>
        </w:rPr>
      </w:pPr>
      <w:r>
        <w:rPr>
          <w:rFonts w:ascii="Bookman Old Style" w:hAnsi="Bookman Old Style" w:cs="Arial"/>
          <w:bCs/>
          <w:lang w:val="es-MX"/>
        </w:rPr>
        <w:t>Por esto, es errónea la argumentación del recurrente, en considerar falsa motivación que dentro de la Resolución CREG 175 de 2011, se incluyeron gastos que no son de funcionamiento o como éste mismo lo expone “no estén asociados al servicios”; como se ha expuesto, no existe falsedad en los hechos ni en los criterios para incluir los impuestos, las tasas y las contribuciones dentro de las gastos de funcionamiento, de la misma forma que no se desvía de la realidad jurídica con la que se expidió el acto.</w:t>
      </w:r>
    </w:p>
    <w:p w:rsidR="00FB7F69" w:rsidRPr="002C02B0" w:rsidRDefault="00FB7F69" w:rsidP="00FB7F69">
      <w:pPr>
        <w:pStyle w:val="NormalWeb"/>
        <w:jc w:val="both"/>
        <w:rPr>
          <w:rFonts w:ascii="Bookman Old Style" w:hAnsi="Bookman Old Style" w:cs="Arial"/>
          <w:b/>
          <w:bCs/>
          <w:lang w:val="es-MX"/>
        </w:rPr>
      </w:pPr>
      <w:r>
        <w:rPr>
          <w:rFonts w:ascii="Bookman Old Style" w:hAnsi="Bookman Old Style" w:cs="Arial"/>
          <w:b/>
          <w:bCs/>
          <w:lang w:val="es-MX"/>
        </w:rPr>
        <w:t>2. LA FALSA MOTIVACIÓN EN EL CASO CONCRETO.</w:t>
      </w:r>
    </w:p>
    <w:p w:rsidR="00FB7F69" w:rsidRDefault="00FB7F69" w:rsidP="00FB7F69">
      <w:pPr>
        <w:ind w:left="0"/>
        <w:jc w:val="both"/>
        <w:rPr>
          <w:rFonts w:ascii="Bookman Old Style" w:hAnsi="Bookman Old Style"/>
        </w:rPr>
      </w:pPr>
      <w:r>
        <w:rPr>
          <w:rFonts w:ascii="Bookman Old Style" w:hAnsi="Bookman Old Style"/>
          <w:lang w:val="es-MX"/>
        </w:rPr>
        <w:t>Para fundamentar la existencia de falsa motivación</w:t>
      </w:r>
      <w:r>
        <w:rPr>
          <w:rFonts w:ascii="Bookman Old Style" w:hAnsi="Bookman Old Style"/>
        </w:rPr>
        <w:t>, e</w:t>
      </w:r>
      <w:r w:rsidRPr="00C07B6B">
        <w:rPr>
          <w:rFonts w:ascii="Bookman Old Style" w:hAnsi="Bookman Old Style"/>
        </w:rPr>
        <w:t>l recurrente citó como violados los artículos 95 numeral 9 y 338 de la Constitución Política de Colombia.</w:t>
      </w:r>
      <w:r>
        <w:rPr>
          <w:rFonts w:ascii="Bookman Old Style" w:hAnsi="Bookman Old Style"/>
        </w:rPr>
        <w:t xml:space="preserve"> </w:t>
      </w:r>
      <w:r w:rsidRPr="00C07B6B">
        <w:rPr>
          <w:rFonts w:ascii="Bookman Old Style" w:hAnsi="Bookman Old Style"/>
        </w:rPr>
        <w:t>La presunta violación a los mandatos de rango constitucional, son definidos por el re</w:t>
      </w:r>
      <w:r>
        <w:rPr>
          <w:rFonts w:ascii="Bookman Old Style" w:hAnsi="Bookman Old Style"/>
        </w:rPr>
        <w:t>currente de la siguiente manera:</w:t>
      </w:r>
    </w:p>
    <w:p w:rsidR="00FB7F69" w:rsidRPr="00C07B6B" w:rsidRDefault="00FB7F69" w:rsidP="00FB7F69">
      <w:pPr>
        <w:ind w:left="0"/>
        <w:jc w:val="both"/>
        <w:rPr>
          <w:rFonts w:ascii="Bookman Old Style" w:hAnsi="Bookman Old Style"/>
        </w:rPr>
      </w:pPr>
    </w:p>
    <w:p w:rsidR="00FB7F69" w:rsidRPr="00D84580" w:rsidRDefault="00FB7F69" w:rsidP="00FB7F69">
      <w:pPr>
        <w:pStyle w:val="Prrafodelista"/>
        <w:ind w:left="530" w:right="1134"/>
        <w:jc w:val="both"/>
        <w:rPr>
          <w:rFonts w:ascii="Bookman Old Style" w:hAnsi="Bookman Old Style"/>
          <w:i/>
          <w:sz w:val="22"/>
          <w:szCs w:val="22"/>
        </w:rPr>
      </w:pPr>
      <w:r w:rsidRPr="00D84580">
        <w:rPr>
          <w:rFonts w:ascii="Bookman Old Style" w:hAnsi="Bookman Old Style"/>
          <w:i/>
          <w:sz w:val="22"/>
          <w:szCs w:val="22"/>
        </w:rPr>
        <w:t xml:space="preserve">“La Ley 142 de 1994 previó en el Artículo 85 el tributo, estableciendo que la tarifa máxima de cada contribución no podrá ser superior al uno por ciento (1%) </w:t>
      </w:r>
      <w:r w:rsidRPr="00D84580">
        <w:rPr>
          <w:rFonts w:ascii="Bookman Old Style" w:hAnsi="Bookman Old Style"/>
          <w:i/>
          <w:sz w:val="22"/>
          <w:szCs w:val="22"/>
          <w:u w:val="single"/>
        </w:rPr>
        <w:t>del valor de los gastos de funcionamiento</w:t>
      </w:r>
      <w:r w:rsidRPr="00D84580">
        <w:rPr>
          <w:rFonts w:ascii="Bookman Old Style" w:hAnsi="Bookman Old Style"/>
          <w:i/>
          <w:sz w:val="22"/>
          <w:szCs w:val="22"/>
        </w:rPr>
        <w:t xml:space="preserve"> asociados al servicio sometido a regulación.</w:t>
      </w:r>
    </w:p>
    <w:p w:rsidR="00FB7F69" w:rsidRPr="00D84580" w:rsidRDefault="00FB7F69" w:rsidP="00FB7F69">
      <w:pPr>
        <w:pStyle w:val="Prrafodelista"/>
        <w:ind w:left="530" w:right="1134"/>
        <w:jc w:val="both"/>
        <w:rPr>
          <w:rFonts w:ascii="Bookman Old Style" w:hAnsi="Bookman Old Style"/>
          <w:i/>
          <w:sz w:val="22"/>
          <w:szCs w:val="22"/>
        </w:rPr>
      </w:pPr>
    </w:p>
    <w:p w:rsidR="00FB7F69" w:rsidRPr="00D84580" w:rsidRDefault="00FB7F69" w:rsidP="00FB7F69">
      <w:pPr>
        <w:pStyle w:val="Prrafodelista"/>
        <w:ind w:left="530" w:right="1134"/>
        <w:jc w:val="both"/>
        <w:rPr>
          <w:rFonts w:ascii="Bookman Old Style" w:hAnsi="Bookman Old Style"/>
          <w:i/>
          <w:sz w:val="22"/>
          <w:szCs w:val="22"/>
        </w:rPr>
      </w:pPr>
      <w:r w:rsidRPr="00D84580">
        <w:rPr>
          <w:rFonts w:ascii="Bookman Old Style" w:hAnsi="Bookman Old Style"/>
          <w:i/>
          <w:sz w:val="22"/>
          <w:szCs w:val="22"/>
        </w:rPr>
        <w:t>Así las cosas, es claro que todo acto administrativo que expida la CREG y que considere en la base gravable gastos que no sean de funcionamiento o aquellos que siéndolos no estén asociados al servicio, están excediendo el marco legal que regula su expedición y en ese orden de ideas adolecen de nulidad. En este estado se encuentra la Resolución Nro. 175 de 2011objeto de este recurso de reposición.”</w:t>
      </w:r>
    </w:p>
    <w:p w:rsidR="00FB7F69" w:rsidRPr="00C07B6B" w:rsidRDefault="00FB7F69" w:rsidP="00FB7F69">
      <w:pPr>
        <w:pStyle w:val="Prrafodelista"/>
        <w:ind w:left="530" w:right="1134"/>
        <w:jc w:val="both"/>
        <w:rPr>
          <w:rFonts w:ascii="Bookman Old Style" w:hAnsi="Bookman Old Style"/>
          <w:i/>
        </w:rPr>
      </w:pPr>
    </w:p>
    <w:p w:rsidR="00FB7F69" w:rsidRPr="009E03F7" w:rsidRDefault="00FB7F69" w:rsidP="00FB7F69">
      <w:pPr>
        <w:ind w:left="0"/>
        <w:jc w:val="both"/>
        <w:rPr>
          <w:rFonts w:ascii="Bookman Old Style" w:hAnsi="Bookman Old Style"/>
          <w:lang w:val="es-CO"/>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 xml:space="preserve">Señala el recurrente, que en el acto administrativo recurrido, no existe una determinación precisa de los elementos cuantitativos con los cuales la CREG determinó la forma de liquidación de la contribución. </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Este argumento</w:t>
      </w:r>
      <w:r w:rsidRPr="0023352B">
        <w:rPr>
          <w:rFonts w:ascii="Bookman Old Style" w:hAnsi="Bookman Old Style"/>
          <w:sz w:val="24"/>
          <w:szCs w:val="24"/>
        </w:rPr>
        <w:t xml:space="preserve"> confunde la falsa motivación con la falta de motivación, </w:t>
      </w:r>
      <w:r>
        <w:rPr>
          <w:rFonts w:ascii="Bookman Old Style" w:hAnsi="Bookman Old Style"/>
          <w:sz w:val="24"/>
          <w:szCs w:val="24"/>
        </w:rPr>
        <w:t>ya que este último se entiende como la omisión en hacer expresos o manifiestos en el acto administrativo los motivos del mismo. Lo anterior, debido a  que este no realiza un análisis de la realidad fáctica y jurídica del acto, con miras a establecer su veracidad, sino que se plantea un problema de valoración del cuerpo del acto o su contenido, sobre si se expresan o indican las razones de su expedición, como lo seria la falta de los elementos cuantitativos que éste aduce.</w:t>
      </w:r>
    </w:p>
    <w:p w:rsidR="00FB7F69" w:rsidRDefault="00FB7F69" w:rsidP="00FB7F69">
      <w:pPr>
        <w:pStyle w:val="Prrafodelista"/>
        <w:ind w:left="0"/>
        <w:jc w:val="both"/>
        <w:rPr>
          <w:rFonts w:ascii="Bookman Old Style" w:hAnsi="Bookman Old Style"/>
          <w:sz w:val="24"/>
          <w:szCs w:val="24"/>
        </w:rPr>
      </w:pPr>
    </w:p>
    <w:p w:rsidR="00FB7F69" w:rsidRPr="0023352B"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El recurrente desconoce, que no siempre es necesaria la motivación del acto para la validez del acto mismo, sin embargo, en el caso concreto además de estar motivado, los motivos existen y corresponden a los previstos en el ordenamiento jurídico, específicamente en el artículo 85.2 de la Ley 142 de 19994, al igual, los motivos se entienden implícitos en el acto mismo.</w:t>
      </w:r>
    </w:p>
    <w:p w:rsidR="00FB7F69" w:rsidRDefault="00FB7F69" w:rsidP="00FB7F69">
      <w:pPr>
        <w:pStyle w:val="Prrafodelista"/>
        <w:ind w:left="72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Así mismo, es importante señalar, que los elementos cuantitativos son los que se encuentran determinados en el artículo 85 de la Ley 142 de 1994, que es la que señala la forma como debe llevarse a cabo la liquidación de las contribuciones especiales. Señala la Ley:</w:t>
      </w:r>
    </w:p>
    <w:p w:rsidR="00FB7F69" w:rsidRPr="00D84580" w:rsidRDefault="00FB7F69" w:rsidP="00FB7F69">
      <w:pPr>
        <w:pStyle w:val="Prrafodelista"/>
        <w:ind w:left="720"/>
        <w:jc w:val="both"/>
        <w:rPr>
          <w:rFonts w:ascii="Bookman Old Style" w:hAnsi="Bookman Old Style"/>
          <w:sz w:val="22"/>
          <w:szCs w:val="22"/>
        </w:rPr>
      </w:pPr>
    </w:p>
    <w:p w:rsidR="00FB7F69" w:rsidRPr="00D84580" w:rsidRDefault="00FB7F69" w:rsidP="00FB7F69">
      <w:pPr>
        <w:pStyle w:val="Prrafodelista"/>
        <w:ind w:left="720" w:right="1134"/>
        <w:jc w:val="both"/>
        <w:rPr>
          <w:rFonts w:ascii="Bookman Old Style" w:hAnsi="Bookman Old Style"/>
          <w:i/>
          <w:sz w:val="22"/>
          <w:szCs w:val="22"/>
        </w:rPr>
      </w:pPr>
      <w:r w:rsidRPr="00D84580">
        <w:rPr>
          <w:rFonts w:ascii="Bookman Old Style" w:hAnsi="Bookman Old Style"/>
          <w:i/>
          <w:sz w:val="22"/>
          <w:szCs w:val="22"/>
        </w:rPr>
        <w:t>“</w:t>
      </w:r>
      <w:r w:rsidRPr="00D84580">
        <w:rPr>
          <w:rFonts w:ascii="Bookman Old Style" w:hAnsi="Bookman Old Style"/>
          <w:b/>
          <w:i/>
          <w:sz w:val="22"/>
          <w:szCs w:val="22"/>
        </w:rPr>
        <w:t>Artículo 85</w:t>
      </w:r>
    </w:p>
    <w:p w:rsidR="00FB7F69" w:rsidRPr="00D84580" w:rsidRDefault="00FB7F69" w:rsidP="00FB7F69">
      <w:pPr>
        <w:pStyle w:val="Prrafodelista"/>
        <w:ind w:left="720" w:right="1134"/>
        <w:jc w:val="both"/>
        <w:rPr>
          <w:rFonts w:ascii="Bookman Old Style" w:hAnsi="Bookman Old Style"/>
          <w:i/>
          <w:sz w:val="22"/>
          <w:szCs w:val="22"/>
        </w:rPr>
      </w:pPr>
    </w:p>
    <w:p w:rsidR="00FB7F69" w:rsidRPr="00D84580" w:rsidRDefault="00FB7F69" w:rsidP="00FB7F69">
      <w:pPr>
        <w:pStyle w:val="Prrafodelista"/>
        <w:ind w:left="720" w:right="1134"/>
        <w:jc w:val="both"/>
        <w:rPr>
          <w:rFonts w:ascii="Bookman Old Style" w:hAnsi="Bookman Old Style"/>
          <w:i/>
          <w:sz w:val="22"/>
          <w:szCs w:val="22"/>
        </w:rPr>
      </w:pPr>
      <w:r w:rsidRPr="00D84580">
        <w:rPr>
          <w:rFonts w:ascii="Bookman Old Style" w:hAnsi="Bookman Old Style"/>
          <w:i/>
          <w:sz w:val="22"/>
          <w:szCs w:val="22"/>
        </w:rPr>
        <w:t>(…)</w:t>
      </w:r>
    </w:p>
    <w:p w:rsidR="00FB7F69" w:rsidRPr="00D84580" w:rsidRDefault="00FB7F69" w:rsidP="00FB7F69">
      <w:pPr>
        <w:pStyle w:val="Prrafodelista"/>
        <w:ind w:left="720" w:right="1134"/>
        <w:jc w:val="both"/>
        <w:rPr>
          <w:rFonts w:ascii="Bookman Old Style" w:hAnsi="Bookman Old Style"/>
          <w:i/>
          <w:sz w:val="22"/>
          <w:szCs w:val="22"/>
        </w:rPr>
      </w:pPr>
    </w:p>
    <w:p w:rsidR="00FB7F69" w:rsidRPr="00D84580" w:rsidRDefault="00FB7F69" w:rsidP="00FB7F69">
      <w:pPr>
        <w:pStyle w:val="Prrafodelista"/>
        <w:ind w:left="720" w:right="1134"/>
        <w:jc w:val="both"/>
        <w:rPr>
          <w:rFonts w:ascii="Bookman Old Style" w:hAnsi="Bookman Old Style" w:cs="Arial"/>
          <w:i/>
          <w:sz w:val="22"/>
          <w:szCs w:val="22"/>
        </w:rPr>
      </w:pPr>
      <w:r w:rsidRPr="00D84580">
        <w:rPr>
          <w:rFonts w:ascii="Bookman Old Style" w:hAnsi="Bookman Old Style" w:cs="Arial"/>
          <w:i/>
          <w:sz w:val="22"/>
          <w:szCs w:val="22"/>
        </w:rPr>
        <w:t>85.1. Para definir los costos de los servicios que presten las Comisiones y la Superintendencia, se tendrán en cuenta todos los gastos de funcionamiento, y la depreciación, amortización u obsolescencia de sus activos, en el período anual respectivo.</w:t>
      </w:r>
    </w:p>
    <w:p w:rsidR="00FB7F69" w:rsidRPr="00D84580" w:rsidRDefault="00FB7F69" w:rsidP="00FB7F69">
      <w:pPr>
        <w:pStyle w:val="Prrafodelista"/>
        <w:ind w:left="720" w:right="1134"/>
        <w:jc w:val="both"/>
        <w:rPr>
          <w:rFonts w:ascii="Bookman Old Style" w:hAnsi="Bookman Old Style" w:cs="Arial"/>
          <w:i/>
          <w:sz w:val="22"/>
          <w:szCs w:val="22"/>
        </w:rPr>
      </w:pPr>
    </w:p>
    <w:p w:rsidR="00FB7F69" w:rsidRPr="00D84580" w:rsidRDefault="00FB7F69" w:rsidP="00FB7F69">
      <w:pPr>
        <w:pStyle w:val="Prrafodelista"/>
        <w:ind w:left="720" w:right="1134"/>
        <w:jc w:val="both"/>
        <w:rPr>
          <w:rFonts w:ascii="Bookman Old Style" w:hAnsi="Bookman Old Style" w:cs="Arial"/>
          <w:i/>
          <w:sz w:val="22"/>
          <w:szCs w:val="22"/>
        </w:rPr>
      </w:pPr>
      <w:r w:rsidRPr="00D84580">
        <w:rPr>
          <w:rFonts w:ascii="Bookman Old Style" w:hAnsi="Bookman Old Style" w:cs="Arial"/>
          <w:i/>
          <w:sz w:val="22"/>
          <w:szCs w:val="22"/>
        </w:rPr>
        <w:t>85.2. La superintendencia y las comisiones presupuestarán sus gastos cada año y cobrarán dentro de los límites que enseguida se señalan, solamente la tarifa que arroje el valor necesario para cubrir su presupuesto anual.</w:t>
      </w:r>
    </w:p>
    <w:p w:rsidR="00FB7F69" w:rsidRPr="00D84580" w:rsidRDefault="00FB7F69" w:rsidP="00FB7F69">
      <w:pPr>
        <w:pStyle w:val="Prrafodelista"/>
        <w:ind w:left="720" w:right="1134"/>
        <w:jc w:val="both"/>
        <w:rPr>
          <w:rFonts w:ascii="Bookman Old Style" w:hAnsi="Bookman Old Style" w:cs="Arial"/>
          <w:i/>
          <w:sz w:val="22"/>
          <w:szCs w:val="22"/>
        </w:rPr>
      </w:pPr>
    </w:p>
    <w:p w:rsidR="00FB7F69" w:rsidRPr="00D84580" w:rsidRDefault="00FB7F69" w:rsidP="00FB7F69">
      <w:pPr>
        <w:pStyle w:val="Prrafodelista"/>
        <w:ind w:left="720" w:right="1134"/>
        <w:jc w:val="both"/>
        <w:rPr>
          <w:rFonts w:ascii="Bookman Old Style" w:hAnsi="Bookman Old Style" w:cs="Arial"/>
          <w:i/>
          <w:sz w:val="22"/>
          <w:szCs w:val="22"/>
        </w:rPr>
      </w:pPr>
      <w:r w:rsidRPr="00D84580">
        <w:rPr>
          <w:rFonts w:ascii="Bookman Old Style" w:hAnsi="Bookman Old Style" w:cs="Arial"/>
          <w:i/>
          <w:sz w:val="22"/>
          <w:szCs w:val="22"/>
        </w:rPr>
        <w:t xml:space="preserve">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 </w:t>
      </w:r>
    </w:p>
    <w:p w:rsidR="00FB7F69" w:rsidRPr="00D84580" w:rsidRDefault="00FB7F69" w:rsidP="00FB7F69">
      <w:pPr>
        <w:pStyle w:val="Prrafodelista"/>
        <w:ind w:left="720" w:right="1134"/>
        <w:jc w:val="both"/>
        <w:rPr>
          <w:rFonts w:ascii="Bookman Old Style" w:hAnsi="Bookman Old Style" w:cs="Arial"/>
          <w:i/>
          <w:sz w:val="22"/>
          <w:szCs w:val="22"/>
        </w:rPr>
      </w:pPr>
    </w:p>
    <w:p w:rsidR="00FB7F69" w:rsidRPr="00D84580" w:rsidRDefault="00FB7F69" w:rsidP="00FB7F69">
      <w:pPr>
        <w:pStyle w:val="Prrafodelista"/>
        <w:ind w:left="720" w:right="1134"/>
        <w:jc w:val="both"/>
        <w:rPr>
          <w:rFonts w:ascii="Bookman Old Style" w:hAnsi="Bookman Old Style" w:cs="Arial"/>
          <w:i/>
          <w:sz w:val="22"/>
          <w:szCs w:val="22"/>
        </w:rPr>
      </w:pPr>
      <w:r w:rsidRPr="00D84580">
        <w:rPr>
          <w:rFonts w:ascii="Bookman Old Style" w:hAnsi="Bookman Old Style" w:cs="Arial"/>
          <w:i/>
          <w:sz w:val="22"/>
          <w:szCs w:val="22"/>
        </w:rPr>
        <w:t>(…)</w:t>
      </w:r>
    </w:p>
    <w:p w:rsidR="00FB7F69" w:rsidRPr="00D84580" w:rsidRDefault="00FB7F69" w:rsidP="00FB7F69">
      <w:pPr>
        <w:pStyle w:val="Prrafodelista"/>
        <w:ind w:left="720" w:right="1134"/>
        <w:jc w:val="both"/>
        <w:rPr>
          <w:rFonts w:ascii="Bookman Old Style" w:hAnsi="Bookman Old Style" w:cs="Arial"/>
          <w:i/>
          <w:sz w:val="22"/>
          <w:szCs w:val="22"/>
        </w:rPr>
      </w:pPr>
    </w:p>
    <w:p w:rsidR="00FB7F69" w:rsidRPr="00D84580" w:rsidRDefault="00FB7F69" w:rsidP="00FB7F69">
      <w:pPr>
        <w:pStyle w:val="Prrafodelista"/>
        <w:ind w:left="720" w:right="1134"/>
        <w:jc w:val="both"/>
        <w:rPr>
          <w:rFonts w:ascii="Bookman Old Style" w:hAnsi="Bookman Old Style" w:cs="Arial"/>
          <w:i/>
          <w:sz w:val="22"/>
          <w:szCs w:val="22"/>
        </w:rPr>
      </w:pPr>
      <w:r w:rsidRPr="00D84580">
        <w:rPr>
          <w:rFonts w:ascii="Bookman Old Style" w:hAnsi="Bookman Old Style" w:cs="Arial"/>
          <w:i/>
          <w:sz w:val="22"/>
          <w:szCs w:val="22"/>
        </w:rPr>
        <w:t>85.4. El cálculo de la suma a cargo de cada contribuyente, en cuanto a los costos de regulación, se hará teniendo en cuenta los costos de la comisión que regula el sector en el cual se desempeña; y el de los costos de vigilancia, atendiendo a los de la Superintendencia.</w:t>
      </w:r>
    </w:p>
    <w:p w:rsidR="00FB7F69" w:rsidRPr="00D84580" w:rsidRDefault="00FB7F69" w:rsidP="00FB7F69">
      <w:pPr>
        <w:pStyle w:val="Prrafodelista"/>
        <w:ind w:left="720" w:right="1134"/>
        <w:jc w:val="both"/>
        <w:rPr>
          <w:rFonts w:ascii="Bookman Old Style" w:hAnsi="Bookman Old Style" w:cs="Arial"/>
          <w:i/>
          <w:sz w:val="22"/>
          <w:szCs w:val="22"/>
        </w:rPr>
      </w:pPr>
    </w:p>
    <w:p w:rsidR="00FB7F69" w:rsidRPr="00D84580" w:rsidRDefault="00FB7F69" w:rsidP="00FB7F69">
      <w:pPr>
        <w:pStyle w:val="Prrafodelista"/>
        <w:ind w:left="720" w:right="1134"/>
        <w:jc w:val="both"/>
        <w:rPr>
          <w:rFonts w:ascii="Bookman Old Style" w:hAnsi="Bookman Old Style" w:cs="Arial"/>
          <w:i/>
          <w:sz w:val="22"/>
          <w:szCs w:val="22"/>
        </w:rPr>
      </w:pPr>
      <w:r w:rsidRPr="00D84580">
        <w:rPr>
          <w:rFonts w:ascii="Bookman Old Style" w:hAnsi="Bookman Old Style" w:cs="Arial"/>
          <w:i/>
          <w:sz w:val="22"/>
          <w:szCs w:val="22"/>
        </w:rPr>
        <w:t>(…)</w:t>
      </w:r>
    </w:p>
    <w:p w:rsidR="00FB7F69" w:rsidRPr="00D84580" w:rsidRDefault="00FB7F69" w:rsidP="00FB7F69">
      <w:pPr>
        <w:pStyle w:val="Prrafodelista"/>
        <w:ind w:left="720" w:right="1134"/>
        <w:jc w:val="both"/>
        <w:rPr>
          <w:rFonts w:ascii="Bookman Old Style" w:hAnsi="Bookman Old Style" w:cs="Arial"/>
          <w:i/>
        </w:rPr>
      </w:pPr>
    </w:p>
    <w:p w:rsidR="00FB7F69" w:rsidRPr="00D84580" w:rsidRDefault="00FB7F69" w:rsidP="00FB7F69">
      <w:pPr>
        <w:pStyle w:val="Prrafodelista"/>
        <w:ind w:left="720" w:right="1134"/>
        <w:jc w:val="both"/>
        <w:rPr>
          <w:rFonts w:ascii="Bookman Old Style" w:hAnsi="Bookman Old Style" w:cs="Arial"/>
          <w:sz w:val="22"/>
          <w:szCs w:val="22"/>
        </w:rPr>
      </w:pPr>
      <w:r w:rsidRPr="00D84580">
        <w:rPr>
          <w:rFonts w:ascii="Bookman Old Style" w:hAnsi="Bookman Old Style" w:cs="Arial"/>
          <w:b/>
          <w:bCs/>
          <w:i/>
          <w:sz w:val="22"/>
          <w:szCs w:val="22"/>
        </w:rPr>
        <w:t xml:space="preserve">Parágrafo 2º </w:t>
      </w:r>
      <w:r w:rsidRPr="00D84580">
        <w:rPr>
          <w:rFonts w:ascii="Bookman Old Style" w:hAnsi="Bookman Old Style" w:cs="Arial"/>
          <w:i/>
          <w:sz w:val="22"/>
          <w:szCs w:val="22"/>
        </w:rPr>
        <w:t xml:space="preserve">Al fijar las contribuciones especiales se eliminarán, de los gastos de funcionamiento, los gastos operativos; en las empresas </w:t>
      </w:r>
      <w:r w:rsidRPr="00D84580">
        <w:rPr>
          <w:rFonts w:ascii="Bookman Old Style" w:hAnsi="Bookman Old Style" w:cs="Arial"/>
          <w:i/>
          <w:sz w:val="22"/>
          <w:szCs w:val="22"/>
        </w:rPr>
        <w:lastRenderedPageBreak/>
        <w:t>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rsidR="00FB7F69" w:rsidRPr="00D84580" w:rsidRDefault="00FB7F69" w:rsidP="00FB7F69">
      <w:pPr>
        <w:pStyle w:val="Prrafodelista"/>
        <w:ind w:left="720"/>
        <w:jc w:val="both"/>
        <w:rPr>
          <w:rFonts w:ascii="Arial" w:hAnsi="Arial" w:cs="Arial"/>
          <w:sz w:val="22"/>
          <w:szCs w:val="22"/>
        </w:rPr>
      </w:pPr>
    </w:p>
    <w:p w:rsidR="00FB7F69" w:rsidRPr="00B56872" w:rsidRDefault="00FB7F69" w:rsidP="00FB7F69">
      <w:pPr>
        <w:pStyle w:val="Prrafodelista"/>
        <w:ind w:left="0"/>
        <w:jc w:val="both"/>
        <w:rPr>
          <w:sz w:val="24"/>
          <w:szCs w:val="24"/>
        </w:rPr>
      </w:pPr>
      <w:r>
        <w:rPr>
          <w:rFonts w:ascii="Bookman Old Style" w:hAnsi="Bookman Old Style"/>
          <w:sz w:val="24"/>
          <w:szCs w:val="24"/>
        </w:rPr>
        <w:t>De la misma forma, el artículo 21 de la Ley 143 de 1994establece la forma como debe realizarse la liquidación de la contribución especial de las empresas reguladas por la Comisión de Regulación de Energía y Gas –CREG-</w:t>
      </w:r>
    </w:p>
    <w:p w:rsidR="00FB7F69" w:rsidRPr="00721686" w:rsidRDefault="00FB7F69" w:rsidP="00FB7F69">
      <w:pPr>
        <w:autoSpaceDE w:val="0"/>
        <w:autoSpaceDN w:val="0"/>
        <w:adjustRightInd w:val="0"/>
        <w:ind w:right="1134"/>
        <w:jc w:val="both"/>
        <w:rPr>
          <w:rFonts w:ascii="Bookman Old Style" w:hAnsi="Bookman Old Style"/>
          <w:i/>
          <w:sz w:val="20"/>
          <w:szCs w:val="20"/>
        </w:rPr>
      </w:pPr>
    </w:p>
    <w:p w:rsidR="00FB7F69" w:rsidRPr="00D84580" w:rsidRDefault="00FB7F69" w:rsidP="00FB7F69">
      <w:pPr>
        <w:autoSpaceDE w:val="0"/>
        <w:autoSpaceDN w:val="0"/>
        <w:adjustRightInd w:val="0"/>
        <w:ind w:left="709" w:right="1134"/>
        <w:jc w:val="both"/>
        <w:rPr>
          <w:rFonts w:ascii="Bookman Old Style" w:hAnsi="Bookman Old Style" w:cs="Arial,Bold"/>
          <w:b/>
          <w:i/>
          <w:sz w:val="22"/>
          <w:szCs w:val="22"/>
        </w:rPr>
      </w:pPr>
      <w:r w:rsidRPr="00D84580">
        <w:rPr>
          <w:rFonts w:ascii="Bookman Old Style" w:hAnsi="Bookman Old Style" w:cs="Arial,Bold"/>
          <w:b/>
          <w:i/>
          <w:sz w:val="22"/>
          <w:szCs w:val="22"/>
        </w:rPr>
        <w:t xml:space="preserve">“ARTICULO 21. LIQUIDACION DE LA CONTRIBUCION PARA EL SECTOR ELECTRICO. </w:t>
      </w:r>
      <w:r w:rsidRPr="00D84580">
        <w:rPr>
          <w:rFonts w:ascii="Bookman Old Style" w:hAnsi="Bookman Old Style"/>
          <w:i/>
          <w:sz w:val="22"/>
          <w:szCs w:val="22"/>
        </w:rPr>
        <w:t>De conformidad con lo dispuesto en la Ley 143 de 1994; las entidades que desarrollen actividades en cualquiera de las etapas del servicio de energía eléctrica y que se encuentren sujetas a regulación, pondrán a disposición de la Comisión de Regulación de Energía y Gas, los estados financieros correspondientes al año anterior a aquél en que se haga el cobro, acompañados del dictamen del Revisor Fiscal.</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p>
    <w:p w:rsidR="00FB7F69" w:rsidRPr="00D84580" w:rsidRDefault="00FB7F69" w:rsidP="00FB7F69">
      <w:pPr>
        <w:autoSpaceDE w:val="0"/>
        <w:autoSpaceDN w:val="0"/>
        <w:adjustRightInd w:val="0"/>
        <w:ind w:left="709" w:right="1134"/>
        <w:jc w:val="both"/>
        <w:rPr>
          <w:rFonts w:ascii="Bookman Old Style" w:hAnsi="Bookman Old Style"/>
          <w:i/>
          <w:sz w:val="22"/>
          <w:szCs w:val="22"/>
        </w:rPr>
      </w:pPr>
      <w:r w:rsidRPr="00D84580">
        <w:rPr>
          <w:rFonts w:ascii="Bookman Old Style" w:hAnsi="Bookman Old Style"/>
          <w:i/>
          <w:sz w:val="22"/>
          <w:szCs w:val="22"/>
        </w:rPr>
        <w:t>Las empresas estatales harán entrega de tales estados financieros, a más tardar, el 31 de marzo de cada año. Por su parte, las empresas privadas lo harán, a más tardar, el 30 de abril del año respectivo.</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p>
    <w:p w:rsidR="00FB7F69" w:rsidRPr="00D84580" w:rsidRDefault="00FB7F69" w:rsidP="00FB7F69">
      <w:pPr>
        <w:autoSpaceDE w:val="0"/>
        <w:autoSpaceDN w:val="0"/>
        <w:adjustRightInd w:val="0"/>
        <w:ind w:left="709" w:right="1134"/>
        <w:jc w:val="both"/>
        <w:rPr>
          <w:rFonts w:ascii="Bookman Old Style" w:hAnsi="Bookman Old Style"/>
          <w:i/>
          <w:sz w:val="22"/>
          <w:szCs w:val="22"/>
        </w:rPr>
      </w:pPr>
      <w:r w:rsidRPr="00D84580">
        <w:rPr>
          <w:rFonts w:ascii="Bookman Old Style" w:hAnsi="Bookman Old Style" w:cs="Arial,Bold"/>
          <w:b/>
          <w:i/>
          <w:sz w:val="22"/>
          <w:szCs w:val="22"/>
        </w:rPr>
        <w:t xml:space="preserve">PARAGRAFO 1o. </w:t>
      </w:r>
      <w:r w:rsidRPr="00D84580">
        <w:rPr>
          <w:rFonts w:ascii="Bookman Old Style" w:hAnsi="Bookman Old Style"/>
          <w:i/>
          <w:sz w:val="22"/>
          <w:szCs w:val="22"/>
        </w:rPr>
        <w:t>Para fijar la contribución especial, se excluirán de los gastos de funcionamiento, los gastos operativos, las compras de electricidad, las compras de combustible y los peajes cuando hubiere lugar a ello, conforme a lo previsto en el artículo 22 de la Ley 143 de 1994.</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r w:rsidRPr="00D84580">
        <w:rPr>
          <w:rFonts w:ascii="Bookman Old Style" w:hAnsi="Bookman Old Style"/>
          <w:i/>
          <w:sz w:val="22"/>
          <w:szCs w:val="22"/>
        </w:rPr>
        <w:t>Para los efectos anteriores, la base gravable sobre la cual se liquida la contribución, estará conformada por:</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p>
    <w:p w:rsidR="00FB7F69" w:rsidRPr="00D84580" w:rsidRDefault="00FB7F69" w:rsidP="00FB7F69">
      <w:pPr>
        <w:pStyle w:val="Prrafodelista"/>
        <w:numPr>
          <w:ilvl w:val="0"/>
          <w:numId w:val="28"/>
        </w:numPr>
        <w:autoSpaceDE w:val="0"/>
        <w:autoSpaceDN w:val="0"/>
        <w:adjustRightInd w:val="0"/>
        <w:ind w:left="709" w:right="1134" w:firstLine="0"/>
        <w:contextualSpacing/>
        <w:jc w:val="both"/>
        <w:rPr>
          <w:rFonts w:ascii="Bookman Old Style" w:hAnsi="Bookman Old Style"/>
          <w:i/>
          <w:sz w:val="22"/>
          <w:szCs w:val="22"/>
        </w:rPr>
      </w:pPr>
      <w:r w:rsidRPr="00D84580">
        <w:rPr>
          <w:rFonts w:ascii="Bookman Old Style" w:hAnsi="Bookman Old Style"/>
          <w:i/>
          <w:sz w:val="22"/>
          <w:szCs w:val="22"/>
        </w:rPr>
        <w:t>La sumatoria de los gastos administrativos, las provisiones, agotamientos, depreciaciones, amortizaciones y otros gastos.</w:t>
      </w:r>
    </w:p>
    <w:p w:rsidR="00FB7F69" w:rsidRPr="00D84580" w:rsidRDefault="00FB7F69" w:rsidP="00FB7F69">
      <w:pPr>
        <w:pStyle w:val="Prrafodelista"/>
        <w:numPr>
          <w:ilvl w:val="0"/>
          <w:numId w:val="28"/>
        </w:numPr>
        <w:autoSpaceDE w:val="0"/>
        <w:autoSpaceDN w:val="0"/>
        <w:adjustRightInd w:val="0"/>
        <w:ind w:left="709" w:right="1134" w:firstLine="0"/>
        <w:contextualSpacing/>
        <w:jc w:val="both"/>
        <w:rPr>
          <w:rFonts w:ascii="Bookman Old Style" w:hAnsi="Bookman Old Style"/>
          <w:i/>
          <w:sz w:val="22"/>
          <w:szCs w:val="22"/>
        </w:rPr>
      </w:pPr>
      <w:r w:rsidRPr="00D84580">
        <w:rPr>
          <w:rFonts w:ascii="Bookman Old Style" w:hAnsi="Bookman Old Style"/>
          <w:i/>
          <w:sz w:val="22"/>
          <w:szCs w:val="22"/>
        </w:rPr>
        <w:t>Para la determinación de la base gravable, se tendrán en cuenta las definiciones contenidas en el Plan de Contabilidad para Entes Prestadores de Servicios Públicos Domiciliarios, expedido por la Superintendencia de Servicios Públicos Domiciliarios.</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p>
    <w:p w:rsidR="00FB7F69" w:rsidRPr="00D84580" w:rsidRDefault="00FB7F69" w:rsidP="00FB7F69">
      <w:pPr>
        <w:autoSpaceDE w:val="0"/>
        <w:autoSpaceDN w:val="0"/>
        <w:adjustRightInd w:val="0"/>
        <w:ind w:left="709" w:right="1134"/>
        <w:jc w:val="both"/>
        <w:rPr>
          <w:rFonts w:ascii="Bookman Old Style" w:hAnsi="Bookman Old Style"/>
          <w:i/>
          <w:sz w:val="22"/>
          <w:szCs w:val="22"/>
        </w:rPr>
      </w:pPr>
      <w:r w:rsidRPr="00D84580">
        <w:rPr>
          <w:rFonts w:ascii="Bookman Old Style" w:hAnsi="Bookman Old Style" w:cs="Arial,Bold"/>
          <w:b/>
          <w:i/>
          <w:sz w:val="22"/>
          <w:szCs w:val="22"/>
        </w:rPr>
        <w:t xml:space="preserve">PARAGRAFO 2o. </w:t>
      </w:r>
      <w:r w:rsidRPr="00D84580">
        <w:rPr>
          <w:rFonts w:ascii="Bookman Old Style" w:hAnsi="Bookman Old Style"/>
          <w:i/>
          <w:sz w:val="22"/>
          <w:szCs w:val="22"/>
        </w:rPr>
        <w:t>El monto de la contribución que le corresponde pagar a cada entidad o empresa del subsector de energía eléctrica, será liquidado por la Comisión de Regulación mediante acto administrativo que será notificado a las personas obligadas a su pago, con sujeción a las disposiciones del Código Contencioso Administrativo.</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p>
    <w:p w:rsidR="00FB7F69" w:rsidRPr="00D84580" w:rsidRDefault="00FB7F69" w:rsidP="00FB7F69">
      <w:pPr>
        <w:autoSpaceDE w:val="0"/>
        <w:autoSpaceDN w:val="0"/>
        <w:adjustRightInd w:val="0"/>
        <w:ind w:left="709" w:right="1134"/>
        <w:jc w:val="both"/>
        <w:rPr>
          <w:rFonts w:ascii="Bookman Old Style" w:hAnsi="Bookman Old Style"/>
          <w:i/>
          <w:sz w:val="22"/>
          <w:szCs w:val="22"/>
        </w:rPr>
      </w:pPr>
      <w:r w:rsidRPr="00D84580">
        <w:rPr>
          <w:rFonts w:ascii="Bookman Old Style" w:hAnsi="Bookman Old Style"/>
          <w:i/>
          <w:sz w:val="22"/>
          <w:szCs w:val="22"/>
        </w:rPr>
        <w:t xml:space="preserve">Una vez en firme las liquidaciones deberán ser canceladas dentro de los treinta (30) días </w:t>
      </w:r>
      <w:proofErr w:type="gramStart"/>
      <w:r w:rsidRPr="00D84580">
        <w:rPr>
          <w:rFonts w:ascii="Bookman Old Style" w:hAnsi="Bookman Old Style"/>
          <w:i/>
          <w:sz w:val="22"/>
          <w:szCs w:val="22"/>
        </w:rPr>
        <w:t>calendario siguientes</w:t>
      </w:r>
      <w:proofErr w:type="gramEnd"/>
      <w:r w:rsidRPr="00D84580">
        <w:rPr>
          <w:rFonts w:ascii="Bookman Old Style" w:hAnsi="Bookman Old Style"/>
          <w:i/>
          <w:sz w:val="22"/>
          <w:szCs w:val="22"/>
        </w:rPr>
        <w:t>. Se aplicará el mismo régimen de sanción por mora aplicable al impuesto sobre la renta y complementarios, sin perjuicio de las demás sanciones establecidas en la Ley 142 de 1994.</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p>
    <w:p w:rsidR="00FB7F69" w:rsidRPr="00D84580" w:rsidRDefault="00FB7F69" w:rsidP="00FB7F69">
      <w:pPr>
        <w:autoSpaceDE w:val="0"/>
        <w:autoSpaceDN w:val="0"/>
        <w:adjustRightInd w:val="0"/>
        <w:ind w:left="709" w:right="1134"/>
        <w:jc w:val="both"/>
        <w:rPr>
          <w:rFonts w:ascii="Bookman Old Style" w:hAnsi="Bookman Old Style"/>
          <w:i/>
          <w:sz w:val="22"/>
          <w:szCs w:val="22"/>
        </w:rPr>
      </w:pPr>
      <w:r w:rsidRPr="00D84580">
        <w:rPr>
          <w:rFonts w:ascii="Bookman Old Style" w:hAnsi="Bookman Old Style" w:cs="Arial,Bold"/>
          <w:b/>
          <w:i/>
          <w:sz w:val="22"/>
          <w:szCs w:val="22"/>
        </w:rPr>
        <w:t xml:space="preserve">PARAGRAFO 3o. </w:t>
      </w:r>
      <w:r w:rsidRPr="00D84580">
        <w:rPr>
          <w:rFonts w:ascii="Bookman Old Style" w:hAnsi="Bookman Old Style"/>
          <w:i/>
          <w:sz w:val="22"/>
          <w:szCs w:val="22"/>
        </w:rPr>
        <w:t>Los contribuyentes a más tardar el 28 de febrero de cada año, deberán cancelar a título de anticipo en las entidades financieras, que para el efecto informe la Comisión, el 60% del valor de la contribución liquidada el año inmediatamente anterior.</w:t>
      </w:r>
    </w:p>
    <w:p w:rsidR="00FB7F69" w:rsidRPr="00D84580" w:rsidRDefault="00FB7F69" w:rsidP="00FB7F69">
      <w:pPr>
        <w:autoSpaceDE w:val="0"/>
        <w:autoSpaceDN w:val="0"/>
        <w:adjustRightInd w:val="0"/>
        <w:ind w:left="709" w:right="1134"/>
        <w:jc w:val="both"/>
        <w:rPr>
          <w:rFonts w:ascii="Bookman Old Style" w:hAnsi="Bookman Old Style"/>
          <w:i/>
          <w:sz w:val="22"/>
          <w:szCs w:val="22"/>
        </w:rPr>
      </w:pPr>
    </w:p>
    <w:p w:rsidR="00FB7F69" w:rsidRPr="00D84580" w:rsidRDefault="00FB7F69" w:rsidP="00FB7F69">
      <w:pPr>
        <w:autoSpaceDE w:val="0"/>
        <w:autoSpaceDN w:val="0"/>
        <w:adjustRightInd w:val="0"/>
        <w:ind w:left="709" w:right="1134"/>
        <w:jc w:val="both"/>
        <w:rPr>
          <w:rFonts w:ascii="Bookman Old Style" w:hAnsi="Bookman Old Style"/>
          <w:i/>
          <w:sz w:val="22"/>
          <w:szCs w:val="22"/>
        </w:rPr>
      </w:pPr>
      <w:r w:rsidRPr="00D84580">
        <w:rPr>
          <w:rFonts w:ascii="Bookman Old Style" w:hAnsi="Bookman Old Style"/>
          <w:i/>
          <w:sz w:val="22"/>
          <w:szCs w:val="22"/>
        </w:rPr>
        <w:lastRenderedPageBreak/>
        <w:t>Las contribuciones deberán ser pagadas dentro del plazo señalado en el parágrafo anterior, descontando la suma consignada como anticipo.”</w:t>
      </w:r>
    </w:p>
    <w:p w:rsidR="00FB7F69" w:rsidRDefault="00FB7F69" w:rsidP="00FB7F69">
      <w:pPr>
        <w:pStyle w:val="Prrafodelista"/>
        <w:ind w:left="72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Los elementos del tributo se encuentran establecidos en la Ley, por lo que en ningún momento esta Comisión al momento de establecer la base gravable de la contribución ha realizado una</w:t>
      </w:r>
      <w:r w:rsidRPr="00174038">
        <w:t xml:space="preserve"> </w:t>
      </w:r>
      <w:r w:rsidRPr="00174038">
        <w:rPr>
          <w:rFonts w:ascii="Bookman Old Style" w:hAnsi="Bookman Old Style"/>
          <w:sz w:val="24"/>
          <w:szCs w:val="24"/>
        </w:rPr>
        <w:t xml:space="preserve">ampliación ilegal de </w:t>
      </w:r>
      <w:r>
        <w:rPr>
          <w:rFonts w:ascii="Bookman Old Style" w:hAnsi="Bookman Old Style"/>
          <w:sz w:val="24"/>
          <w:szCs w:val="24"/>
        </w:rPr>
        <w:t>ésta, como lo pretende hacer ver el recurrente.</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 xml:space="preserve">De la misma forma, el argumento expuesto en relación con que las Resoluciones CREG 142, 143 y 175 de 2011, no existe una determinación precisa de los elementos cuantitativos con los cuales la CREG determinó la forma de liquidación de la contribución, no es válido, toda vez que </w:t>
      </w:r>
      <w:r w:rsidRPr="00B56872">
        <w:rPr>
          <w:rFonts w:ascii="Bookman Old Style" w:hAnsi="Bookman Old Style"/>
          <w:sz w:val="24"/>
          <w:szCs w:val="24"/>
        </w:rPr>
        <w:t xml:space="preserve">el monto a cobrar a cada una de las empresas prestadoras de servicios públicos domiciliarios </w:t>
      </w:r>
      <w:r w:rsidRPr="00174038">
        <w:rPr>
          <w:rFonts w:ascii="Bookman Old Style" w:hAnsi="Bookman Old Style"/>
          <w:i/>
          <w:sz w:val="24"/>
          <w:szCs w:val="24"/>
        </w:rPr>
        <w:t>dependerá de la información contenida en los estados financieros</w:t>
      </w:r>
      <w:r w:rsidRPr="00B56872">
        <w:rPr>
          <w:rFonts w:ascii="Bookman Old Style" w:hAnsi="Bookman Old Style"/>
          <w:sz w:val="24"/>
          <w:szCs w:val="24"/>
        </w:rPr>
        <w:t xml:space="preserve"> puestos a disposición de la Comisiones, sin que en ningún caso pueda sobrepasar el 1% del valor determinado como base impositiva.</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sidRPr="00E917A3">
        <w:rPr>
          <w:rFonts w:ascii="Bookman Old Style" w:hAnsi="Bookman Old Style"/>
          <w:sz w:val="24"/>
          <w:szCs w:val="24"/>
        </w:rPr>
        <w:t>Lo anterior significa que la CREG, en ningún</w:t>
      </w:r>
      <w:r>
        <w:rPr>
          <w:rFonts w:ascii="Bookman Old Style" w:hAnsi="Bookman Old Style"/>
          <w:sz w:val="24"/>
          <w:szCs w:val="24"/>
        </w:rPr>
        <w:t xml:space="preserve"> momento fija los elementos del tributo, al igual que se sujeta a estas disposiciones en cuanto  a</w:t>
      </w:r>
      <w:r w:rsidRPr="00E917A3">
        <w:rPr>
          <w:rFonts w:ascii="Bookman Old Style" w:hAnsi="Bookman Old Style"/>
          <w:sz w:val="24"/>
          <w:szCs w:val="24"/>
        </w:rPr>
        <w:t>l procedimiento</w:t>
      </w:r>
      <w:r>
        <w:rPr>
          <w:rFonts w:ascii="Bookman Old Style" w:hAnsi="Bookman Old Style"/>
          <w:sz w:val="24"/>
          <w:szCs w:val="24"/>
        </w:rPr>
        <w:t xml:space="preserve"> que se llevará a cabo para liquidar la contribución, no obstante, mediante Documento CREG-113 del 20 de octubre de 2011 se señaló el procedimiento para el caso de la contribución del año 2011 llevó a cabo la Comisión de Regulación de Energía y Gas –CREG- en aplicación del precitado artículo 85, para calcular el factor que se aplicaría para liquidar la contribución especial. El documento se encuentra publicado en la página web de la CREG y hace el siguiente análisis cuantitativo que muestra la forma en que se llevó a cabo la liquidación:</w:t>
      </w:r>
    </w:p>
    <w:p w:rsidR="00FB7F69" w:rsidRDefault="00FB7F69" w:rsidP="00FB7F69">
      <w:pPr>
        <w:pStyle w:val="Prrafodelista"/>
        <w:ind w:left="720"/>
        <w:jc w:val="both"/>
        <w:rPr>
          <w:rFonts w:ascii="Bookman Old Style" w:hAnsi="Bookman Old Style"/>
          <w:sz w:val="24"/>
          <w:szCs w:val="24"/>
        </w:rPr>
      </w:pPr>
    </w:p>
    <w:p w:rsidR="00FB7F69" w:rsidRDefault="00FB7F69" w:rsidP="00FB7F69">
      <w:pPr>
        <w:pStyle w:val="Prrafodelista"/>
        <w:ind w:left="720"/>
        <w:rPr>
          <w:rFonts w:ascii="Bookman Old Style" w:hAnsi="Bookman Old Style"/>
          <w:sz w:val="24"/>
          <w:szCs w:val="24"/>
        </w:rPr>
      </w:pPr>
      <w:r w:rsidRPr="00E917A3">
        <w:rPr>
          <w:noProof/>
          <w:lang w:eastAsia="es-CO"/>
        </w:rPr>
        <w:drawing>
          <wp:inline distT="0" distB="0" distL="0" distR="0" wp14:anchorId="70EC58AE" wp14:editId="3612FC81">
            <wp:extent cx="4407409" cy="1524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6187" cy="1530493"/>
                    </a:xfrm>
                    <a:prstGeom prst="rect">
                      <a:avLst/>
                    </a:prstGeom>
                    <a:noFill/>
                    <a:ln>
                      <a:noFill/>
                    </a:ln>
                  </pic:spPr>
                </pic:pic>
              </a:graphicData>
            </a:graphic>
          </wp:inline>
        </w:drawing>
      </w:r>
    </w:p>
    <w:p w:rsidR="00FB7F69" w:rsidRDefault="00FB7F69" w:rsidP="00FB7F69">
      <w:pPr>
        <w:pStyle w:val="Prrafodelista"/>
        <w:ind w:left="720"/>
        <w:jc w:val="center"/>
        <w:rPr>
          <w:rFonts w:ascii="Bookman Old Style" w:hAnsi="Bookman Old Style"/>
          <w:sz w:val="24"/>
          <w:szCs w:val="24"/>
        </w:rPr>
      </w:pPr>
    </w:p>
    <w:p w:rsidR="00FB7F69" w:rsidRDefault="00FB7F69" w:rsidP="00FB7F69">
      <w:pPr>
        <w:pStyle w:val="Prrafodelista"/>
        <w:ind w:left="720"/>
        <w:rPr>
          <w:rFonts w:ascii="Bookman Old Style" w:hAnsi="Bookman Old Style"/>
          <w:sz w:val="24"/>
          <w:szCs w:val="24"/>
        </w:rPr>
      </w:pPr>
      <w:r w:rsidRPr="003309B3">
        <w:rPr>
          <w:noProof/>
          <w:lang w:eastAsia="es-CO"/>
        </w:rPr>
        <w:drawing>
          <wp:inline distT="0" distB="0" distL="0" distR="0" wp14:anchorId="116DACEB" wp14:editId="378F74DC">
            <wp:extent cx="4419600" cy="12001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0" cy="1200150"/>
                    </a:xfrm>
                    <a:prstGeom prst="rect">
                      <a:avLst/>
                    </a:prstGeom>
                    <a:noFill/>
                    <a:ln>
                      <a:noFill/>
                    </a:ln>
                  </pic:spPr>
                </pic:pic>
              </a:graphicData>
            </a:graphic>
          </wp:inline>
        </w:drawing>
      </w:r>
    </w:p>
    <w:p w:rsidR="00FB7F69" w:rsidRDefault="00FB7F69" w:rsidP="00FB7F69">
      <w:pPr>
        <w:pStyle w:val="Prrafodelista"/>
        <w:ind w:left="720"/>
        <w:jc w:val="both"/>
        <w:rPr>
          <w:rFonts w:ascii="Bookman Old Style" w:hAnsi="Bookman Old Style"/>
          <w:sz w:val="24"/>
          <w:szCs w:val="24"/>
        </w:rPr>
      </w:pPr>
    </w:p>
    <w:p w:rsidR="00D84580" w:rsidRDefault="00D84580"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Para el caso de las Empresas Públicas de Medellín, el cálculo de la contribución que se señaló en la resolución CREG-143 de 2011, teniendo en cuenta el factor ya explicado se obtuvo de la siguiente manera:</w:t>
      </w:r>
    </w:p>
    <w:p w:rsidR="00FB7F69" w:rsidRDefault="00FB7F69" w:rsidP="00FB7F69">
      <w:pPr>
        <w:pStyle w:val="Prrafodelista"/>
        <w:ind w:left="720"/>
        <w:jc w:val="both"/>
        <w:rPr>
          <w:rFonts w:ascii="Bookman Old Style" w:hAnsi="Bookman Old Style"/>
          <w:sz w:val="24"/>
          <w:szCs w:val="24"/>
        </w:rPr>
      </w:pPr>
    </w:p>
    <w:p w:rsidR="000C6857" w:rsidRDefault="000C6857" w:rsidP="00FB7F69">
      <w:pPr>
        <w:pStyle w:val="Prrafodelista"/>
        <w:ind w:left="720"/>
        <w:jc w:val="both"/>
        <w:rPr>
          <w:rFonts w:ascii="Bookman Old Style" w:hAnsi="Bookman Old Style"/>
          <w:sz w:val="24"/>
          <w:szCs w:val="24"/>
        </w:rPr>
      </w:pPr>
    </w:p>
    <w:p w:rsidR="00D84580" w:rsidRDefault="00D84580" w:rsidP="00FB7F69">
      <w:pPr>
        <w:pStyle w:val="Prrafodelista"/>
        <w:ind w:left="720"/>
        <w:jc w:val="both"/>
        <w:rPr>
          <w:rFonts w:ascii="Bookman Old Style" w:hAnsi="Bookman Old Style"/>
          <w:sz w:val="24"/>
          <w:szCs w:val="24"/>
        </w:rPr>
      </w:pPr>
    </w:p>
    <w:p w:rsidR="00FB7F69" w:rsidRPr="002B5BBE" w:rsidRDefault="00FB7F69" w:rsidP="00FB7F69">
      <w:pPr>
        <w:ind w:left="0"/>
        <w:rPr>
          <w:rFonts w:ascii="Bookman Old Style" w:hAnsi="Bookman Old Style"/>
          <w:b/>
          <w:sz w:val="20"/>
          <w:szCs w:val="20"/>
        </w:rPr>
      </w:pPr>
      <w:r w:rsidRPr="002B5BBE">
        <w:rPr>
          <w:rFonts w:ascii="Bookman Old Style" w:hAnsi="Bookman Old Style"/>
          <w:b/>
          <w:sz w:val="20"/>
          <w:szCs w:val="20"/>
        </w:rPr>
        <w:t xml:space="preserve">           GASTOS DE</w:t>
      </w:r>
    </w:p>
    <w:p w:rsidR="00FB7F69" w:rsidRPr="002B5BBE" w:rsidRDefault="00FB7F69" w:rsidP="00FB7F69">
      <w:pPr>
        <w:ind w:left="0"/>
        <w:rPr>
          <w:rFonts w:ascii="Bookman Old Style" w:hAnsi="Bookman Old Style"/>
          <w:b/>
          <w:sz w:val="20"/>
          <w:szCs w:val="20"/>
        </w:rPr>
      </w:pPr>
      <w:r w:rsidRPr="002B5BBE">
        <w:rPr>
          <w:rFonts w:ascii="Bookman Old Style" w:hAnsi="Bookman Old Style"/>
          <w:b/>
          <w:sz w:val="20"/>
          <w:szCs w:val="20"/>
        </w:rPr>
        <w:t xml:space="preserve">       ADMINISTRACIÓN       X              FACTOR            =                VALOR CONTRIBUCIÓN</w:t>
      </w:r>
    </w:p>
    <w:p w:rsidR="00FB7F69" w:rsidRPr="002B5BBE" w:rsidRDefault="00FB7F69" w:rsidP="00FB7F69">
      <w:pPr>
        <w:ind w:left="170"/>
        <w:jc w:val="both"/>
        <w:rPr>
          <w:rFonts w:ascii="Bookman Old Style" w:hAnsi="Bookman Old Style"/>
          <w:b/>
          <w:sz w:val="20"/>
          <w:szCs w:val="20"/>
        </w:rPr>
      </w:pPr>
      <w:r w:rsidRPr="002B5BBE">
        <w:rPr>
          <w:rFonts w:ascii="Bookman Old Style" w:hAnsi="Bookman Old Style"/>
          <w:b/>
          <w:sz w:val="20"/>
          <w:szCs w:val="20"/>
        </w:rPr>
        <w:t xml:space="preserve">                                                                                                          AÑO 2011</w:t>
      </w:r>
    </w:p>
    <w:p w:rsidR="00FB7F69" w:rsidRPr="002B5BBE" w:rsidRDefault="00FB7F69" w:rsidP="00FB7F69">
      <w:pPr>
        <w:ind w:left="0"/>
        <w:rPr>
          <w:rFonts w:ascii="Bookman Old Style" w:hAnsi="Bookman Old Style"/>
          <w:sz w:val="20"/>
          <w:szCs w:val="20"/>
        </w:rPr>
      </w:pPr>
      <w:r w:rsidRPr="002B5BBE">
        <w:rPr>
          <w:rFonts w:ascii="Bookman Old Style" w:hAnsi="Bookman Old Style"/>
          <w:sz w:val="20"/>
          <w:szCs w:val="20"/>
        </w:rPr>
        <w:t xml:space="preserve">     (</w:t>
      </w:r>
      <w:r w:rsidRPr="002B5BBE">
        <w:rPr>
          <w:rFonts w:ascii="Bookman Old Style" w:hAnsi="Bookman Old Style"/>
          <w:color w:val="000000"/>
          <w:sz w:val="20"/>
          <w:szCs w:val="20"/>
        </w:rPr>
        <w:t>$</w:t>
      </w:r>
      <w:r w:rsidRPr="002B5BBE">
        <w:rPr>
          <w:rFonts w:ascii="Bookman Old Style" w:hAnsi="Bookman Old Style"/>
          <w:sz w:val="20"/>
          <w:szCs w:val="20"/>
        </w:rPr>
        <w:t>476.513.202.746)                 (</w:t>
      </w:r>
      <w:r w:rsidRPr="002B5BBE">
        <w:rPr>
          <w:rFonts w:ascii="Bookman Old Style" w:hAnsi="Bookman Old Style"/>
          <w:color w:val="000000"/>
          <w:sz w:val="20"/>
          <w:szCs w:val="20"/>
        </w:rPr>
        <w:t>0,00764</w:t>
      </w:r>
      <w:r w:rsidRPr="002B5BBE">
        <w:rPr>
          <w:rFonts w:ascii="Bookman Old Style" w:hAnsi="Bookman Old Style"/>
          <w:sz w:val="20"/>
          <w:szCs w:val="20"/>
        </w:rPr>
        <w:t>)                             (</w:t>
      </w:r>
      <w:r w:rsidRPr="002B5BBE">
        <w:rPr>
          <w:rFonts w:ascii="Bookman Old Style" w:hAnsi="Bookman Old Style"/>
          <w:color w:val="000000"/>
          <w:sz w:val="20"/>
          <w:szCs w:val="20"/>
        </w:rPr>
        <w:t>$3.640.560.869</w:t>
      </w:r>
      <w:r w:rsidRPr="002B5BBE">
        <w:rPr>
          <w:rFonts w:ascii="Bookman Old Style" w:hAnsi="Bookman Old Style"/>
          <w:sz w:val="20"/>
          <w:szCs w:val="20"/>
        </w:rPr>
        <w:t xml:space="preserve">)  </w:t>
      </w:r>
    </w:p>
    <w:p w:rsidR="00FB7F69" w:rsidRDefault="00FB7F69" w:rsidP="00FB7F69">
      <w:pPr>
        <w:pStyle w:val="Prrafodelista"/>
        <w:ind w:left="720"/>
        <w:jc w:val="both"/>
        <w:rPr>
          <w:rFonts w:ascii="Bookman Old Style" w:hAnsi="Bookman Old Style"/>
          <w:sz w:val="24"/>
          <w:szCs w:val="24"/>
        </w:rPr>
      </w:pPr>
    </w:p>
    <w:p w:rsidR="00D84580" w:rsidRDefault="00D84580" w:rsidP="00FB7F69">
      <w:pPr>
        <w:pStyle w:val="Prrafodelista"/>
        <w:ind w:left="0"/>
        <w:jc w:val="both"/>
        <w:rPr>
          <w:rFonts w:ascii="Bookman Old Style" w:hAnsi="Bookman Old Style"/>
          <w:sz w:val="24"/>
          <w:szCs w:val="24"/>
        </w:rPr>
      </w:pPr>
    </w:p>
    <w:p w:rsidR="00D84580" w:rsidRDefault="00D84580"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Teniendo en cuenta que las resoluciones CREG 142 y CREG 143 de 2011 tuvieron que ser revocadas parcialmente por presentarse error aritmético en su cálculo, el factor se volvió a calcular de la siguiente forma:</w:t>
      </w:r>
    </w:p>
    <w:p w:rsidR="00FB7F69" w:rsidRDefault="00FB7F69" w:rsidP="00FB7F69">
      <w:pPr>
        <w:pStyle w:val="Prrafodelista"/>
        <w:ind w:left="720"/>
        <w:jc w:val="both"/>
        <w:rPr>
          <w:rFonts w:ascii="Bookman Old Style" w:hAnsi="Bookman Old Style"/>
          <w:sz w:val="24"/>
          <w:szCs w:val="24"/>
        </w:rPr>
      </w:pPr>
    </w:p>
    <w:p w:rsidR="00FB7F69" w:rsidRDefault="00FB7F69" w:rsidP="00FB7F69">
      <w:pPr>
        <w:pStyle w:val="Prrafodelista"/>
        <w:ind w:left="720"/>
        <w:jc w:val="both"/>
        <w:rPr>
          <w:rFonts w:ascii="Bookman Old Style" w:hAnsi="Bookman Old Style"/>
          <w:sz w:val="24"/>
          <w:szCs w:val="24"/>
        </w:rPr>
      </w:pPr>
      <w:r w:rsidRPr="00350ECC">
        <w:rPr>
          <w:noProof/>
          <w:lang w:eastAsia="es-CO"/>
        </w:rPr>
        <w:drawing>
          <wp:inline distT="0" distB="0" distL="0" distR="0" wp14:anchorId="1582EC53" wp14:editId="5AB0DBCE">
            <wp:extent cx="4467225" cy="17335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9926" cy="1734598"/>
                    </a:xfrm>
                    <a:prstGeom prst="rect">
                      <a:avLst/>
                    </a:prstGeom>
                    <a:noFill/>
                    <a:ln>
                      <a:noFill/>
                    </a:ln>
                  </pic:spPr>
                </pic:pic>
              </a:graphicData>
            </a:graphic>
          </wp:inline>
        </w:drawing>
      </w:r>
    </w:p>
    <w:p w:rsidR="00FB7F69" w:rsidRDefault="00FB7F69" w:rsidP="00FB7F69">
      <w:pPr>
        <w:pStyle w:val="Prrafodelista"/>
        <w:ind w:left="720"/>
        <w:jc w:val="both"/>
        <w:rPr>
          <w:rFonts w:ascii="Bookman Old Style" w:hAnsi="Bookman Old Style"/>
          <w:sz w:val="24"/>
          <w:szCs w:val="24"/>
        </w:rPr>
      </w:pPr>
    </w:p>
    <w:p w:rsidR="00FB7F69" w:rsidRPr="007C2921" w:rsidRDefault="00FB7F69" w:rsidP="00FB7F69">
      <w:pPr>
        <w:pStyle w:val="Prrafodelista"/>
        <w:ind w:left="720"/>
        <w:jc w:val="both"/>
        <w:rPr>
          <w:rFonts w:ascii="Bookman Old Style" w:hAnsi="Bookman Old Style"/>
          <w:sz w:val="24"/>
          <w:szCs w:val="24"/>
        </w:rPr>
      </w:pPr>
      <w:r w:rsidRPr="00350ECC">
        <w:rPr>
          <w:noProof/>
          <w:lang w:eastAsia="es-CO"/>
        </w:rPr>
        <w:drawing>
          <wp:inline distT="0" distB="0" distL="0" distR="0" wp14:anchorId="4DED5BC1" wp14:editId="25E5E6DD">
            <wp:extent cx="4467225" cy="12001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7225" cy="1200150"/>
                    </a:xfrm>
                    <a:prstGeom prst="rect">
                      <a:avLst/>
                    </a:prstGeom>
                    <a:noFill/>
                    <a:ln>
                      <a:noFill/>
                    </a:ln>
                  </pic:spPr>
                </pic:pic>
              </a:graphicData>
            </a:graphic>
          </wp:inline>
        </w:drawing>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Para el caso de las Empresas Públicas de Medellín, el cálculo de la contribución señalado en la resolución CREG-175 de 2011, teniendo en cuenta el factor ya explicado se obtuvo de la siguiente manera:</w:t>
      </w:r>
    </w:p>
    <w:p w:rsidR="00D84580" w:rsidRDefault="00D84580" w:rsidP="00FB7F69">
      <w:pPr>
        <w:pStyle w:val="Prrafodelista"/>
        <w:ind w:left="0"/>
        <w:jc w:val="both"/>
        <w:rPr>
          <w:rFonts w:ascii="Bookman Old Style" w:hAnsi="Bookman Old Style"/>
          <w:sz w:val="24"/>
          <w:szCs w:val="24"/>
        </w:rPr>
      </w:pPr>
    </w:p>
    <w:p w:rsidR="00FB7F69" w:rsidRPr="007C2921" w:rsidRDefault="00FB7F69" w:rsidP="00FB7F69">
      <w:pPr>
        <w:ind w:left="0"/>
        <w:jc w:val="both"/>
        <w:rPr>
          <w:rFonts w:ascii="Bookman Old Style" w:hAnsi="Bookman Old Style"/>
        </w:rPr>
      </w:pPr>
    </w:p>
    <w:p w:rsidR="00FB7F69" w:rsidRPr="002B5BBE" w:rsidRDefault="00FB7F69" w:rsidP="00FB7F69">
      <w:pPr>
        <w:ind w:left="0"/>
        <w:rPr>
          <w:rFonts w:ascii="Bookman Old Style" w:hAnsi="Bookman Old Style"/>
          <w:b/>
          <w:sz w:val="20"/>
          <w:szCs w:val="20"/>
        </w:rPr>
      </w:pPr>
      <w:r w:rsidRPr="002B5BBE">
        <w:rPr>
          <w:rFonts w:ascii="Bookman Old Style" w:hAnsi="Bookman Old Style"/>
          <w:b/>
          <w:sz w:val="20"/>
          <w:szCs w:val="20"/>
        </w:rPr>
        <w:t xml:space="preserve">           GASTOS DE</w:t>
      </w:r>
    </w:p>
    <w:p w:rsidR="00FB7F69" w:rsidRPr="002B5BBE" w:rsidRDefault="00FB7F69" w:rsidP="00FB7F69">
      <w:pPr>
        <w:ind w:left="0"/>
        <w:rPr>
          <w:rFonts w:ascii="Bookman Old Style" w:hAnsi="Bookman Old Style"/>
          <w:b/>
          <w:sz w:val="20"/>
          <w:szCs w:val="20"/>
        </w:rPr>
      </w:pPr>
      <w:r w:rsidRPr="002B5BBE">
        <w:rPr>
          <w:rFonts w:ascii="Bookman Old Style" w:hAnsi="Bookman Old Style"/>
          <w:b/>
          <w:sz w:val="20"/>
          <w:szCs w:val="20"/>
        </w:rPr>
        <w:t xml:space="preserve">       ADMINISTRACIÓN       X              FACTOR            =               VALOR CONTRIBUCIÓN</w:t>
      </w:r>
    </w:p>
    <w:p w:rsidR="00FB7F69" w:rsidRPr="002B5BBE" w:rsidRDefault="00FB7F69" w:rsidP="00FB7F69">
      <w:pPr>
        <w:ind w:left="170"/>
        <w:jc w:val="both"/>
        <w:rPr>
          <w:rFonts w:ascii="Bookman Old Style" w:hAnsi="Bookman Old Style"/>
          <w:b/>
          <w:sz w:val="20"/>
          <w:szCs w:val="20"/>
        </w:rPr>
      </w:pPr>
      <w:r w:rsidRPr="002B5BBE">
        <w:rPr>
          <w:rFonts w:ascii="Bookman Old Style" w:hAnsi="Bookman Old Style"/>
          <w:b/>
          <w:sz w:val="20"/>
          <w:szCs w:val="20"/>
        </w:rPr>
        <w:t xml:space="preserve">                                                                                                          AÑO 2011</w:t>
      </w:r>
    </w:p>
    <w:p w:rsidR="00FB7F69" w:rsidRPr="002B5BBE" w:rsidRDefault="00FB7F69" w:rsidP="00FB7F69">
      <w:pPr>
        <w:ind w:left="0"/>
        <w:rPr>
          <w:rFonts w:ascii="Bookman Old Style" w:hAnsi="Bookman Old Style"/>
          <w:sz w:val="20"/>
          <w:szCs w:val="20"/>
        </w:rPr>
      </w:pPr>
      <w:r w:rsidRPr="002B5BBE">
        <w:rPr>
          <w:rFonts w:ascii="Bookman Old Style" w:hAnsi="Bookman Old Style"/>
          <w:sz w:val="20"/>
          <w:szCs w:val="20"/>
        </w:rPr>
        <w:t xml:space="preserve">     (</w:t>
      </w:r>
      <w:r w:rsidRPr="002B5BBE">
        <w:rPr>
          <w:rFonts w:ascii="Bookman Old Style" w:hAnsi="Bookman Old Style"/>
          <w:color w:val="000000"/>
          <w:sz w:val="20"/>
          <w:szCs w:val="20"/>
        </w:rPr>
        <w:t>$</w:t>
      </w:r>
      <w:r w:rsidRPr="002B5BBE">
        <w:rPr>
          <w:rFonts w:ascii="Bookman Old Style" w:hAnsi="Bookman Old Style"/>
          <w:sz w:val="20"/>
          <w:szCs w:val="20"/>
        </w:rPr>
        <w:t xml:space="preserve">476.513.202.746)                 </w:t>
      </w:r>
      <w:r>
        <w:rPr>
          <w:rFonts w:ascii="Bookman Old Style" w:hAnsi="Bookman Old Style"/>
          <w:sz w:val="20"/>
          <w:szCs w:val="20"/>
        </w:rPr>
        <w:t xml:space="preserve">            </w:t>
      </w:r>
      <w:r w:rsidRPr="002B5BBE">
        <w:rPr>
          <w:rFonts w:ascii="Bookman Old Style" w:hAnsi="Bookman Old Style"/>
          <w:sz w:val="20"/>
          <w:szCs w:val="20"/>
        </w:rPr>
        <w:t>(</w:t>
      </w:r>
      <w:r w:rsidRPr="002B5BBE">
        <w:rPr>
          <w:rFonts w:ascii="Bookman Old Style" w:hAnsi="Bookman Old Style"/>
          <w:color w:val="000000"/>
          <w:sz w:val="20"/>
          <w:szCs w:val="20"/>
        </w:rPr>
        <w:t>0,757%</w:t>
      </w:r>
      <w:r w:rsidRPr="002B5BBE">
        <w:rPr>
          <w:rFonts w:ascii="Bookman Old Style" w:hAnsi="Bookman Old Style"/>
          <w:sz w:val="20"/>
          <w:szCs w:val="20"/>
        </w:rPr>
        <w:t xml:space="preserve">)                             </w:t>
      </w:r>
      <w:r>
        <w:rPr>
          <w:rFonts w:ascii="Bookman Old Style" w:hAnsi="Bookman Old Style"/>
          <w:sz w:val="20"/>
          <w:szCs w:val="20"/>
        </w:rPr>
        <w:t xml:space="preserve">    </w:t>
      </w:r>
      <w:r w:rsidRPr="002B5BBE">
        <w:rPr>
          <w:rFonts w:ascii="Bookman Old Style" w:hAnsi="Bookman Old Style"/>
          <w:sz w:val="20"/>
          <w:szCs w:val="20"/>
        </w:rPr>
        <w:t>(</w:t>
      </w:r>
      <w:r w:rsidRPr="002B5BBE">
        <w:rPr>
          <w:rFonts w:ascii="Bookman Old Style" w:hAnsi="Bookman Old Style"/>
          <w:color w:val="000000"/>
          <w:sz w:val="20"/>
          <w:szCs w:val="20"/>
        </w:rPr>
        <w:t>$3.607.204.945</w:t>
      </w:r>
      <w:r w:rsidRPr="002B5BBE">
        <w:rPr>
          <w:rFonts w:ascii="Bookman Old Style" w:hAnsi="Bookman Old Style"/>
          <w:sz w:val="20"/>
          <w:szCs w:val="20"/>
        </w:rPr>
        <w:t xml:space="preserve">)  </w:t>
      </w:r>
    </w:p>
    <w:p w:rsidR="00FB7F69" w:rsidRDefault="00FB7F69" w:rsidP="00FB7F69">
      <w:pPr>
        <w:ind w:left="0"/>
        <w:jc w:val="both"/>
        <w:rPr>
          <w:rFonts w:ascii="Bookman Old Style" w:hAnsi="Bookman Old Style"/>
        </w:rPr>
      </w:pPr>
    </w:p>
    <w:p w:rsidR="00D84580" w:rsidRDefault="00D84580" w:rsidP="00FB7F69">
      <w:pPr>
        <w:ind w:left="0"/>
        <w:jc w:val="both"/>
        <w:rPr>
          <w:rFonts w:ascii="Bookman Old Style" w:hAnsi="Bookman Old Style"/>
        </w:rPr>
      </w:pPr>
    </w:p>
    <w:p w:rsidR="00FB7F69" w:rsidRDefault="00FB7F69" w:rsidP="00FB7F69">
      <w:pPr>
        <w:ind w:left="0"/>
        <w:jc w:val="both"/>
        <w:rPr>
          <w:rFonts w:ascii="Bookman Old Style" w:hAnsi="Bookman Old Style"/>
        </w:rPr>
      </w:pPr>
      <w:r>
        <w:rPr>
          <w:rFonts w:ascii="Bookman Old Style" w:hAnsi="Bookman Old Style"/>
        </w:rPr>
        <w:t xml:space="preserve">Por lo anterior, debe señalarse que no es el Acto Administrativo en si mismo el que justifica su expedición, sino que su fundamento y justificación se encuentran señalados en las Leyes 142 y 143 de 1994. </w:t>
      </w:r>
    </w:p>
    <w:p w:rsidR="00FB7F69" w:rsidRPr="007C2921" w:rsidRDefault="00FB7F69" w:rsidP="00FB7F69">
      <w:pPr>
        <w:ind w:left="0"/>
        <w:jc w:val="both"/>
        <w:rPr>
          <w:rFonts w:ascii="Bookman Old Style" w:hAnsi="Bookman Old Style"/>
        </w:rPr>
      </w:pPr>
    </w:p>
    <w:p w:rsidR="00FB7F69" w:rsidRPr="002B5BBE" w:rsidRDefault="00FB7F69" w:rsidP="00FB7F69">
      <w:pPr>
        <w:pStyle w:val="Prrafodelista"/>
        <w:ind w:left="0"/>
        <w:jc w:val="both"/>
        <w:rPr>
          <w:rFonts w:ascii="Bookman Old Style" w:hAnsi="Bookman Old Style"/>
        </w:rPr>
      </w:pPr>
      <w:r>
        <w:rPr>
          <w:rFonts w:ascii="Bookman Old Style" w:hAnsi="Bookman Old Style"/>
          <w:sz w:val="24"/>
          <w:szCs w:val="24"/>
        </w:rPr>
        <w:t xml:space="preserve">Como segundo aspecto de la falsa motivación, señala el recurrente que el Estatuto Tributario exige una serie de información que deben contener las liquidaciones oficiales, y transcribe el </w:t>
      </w:r>
      <w:r w:rsidR="000C6857">
        <w:rPr>
          <w:rFonts w:ascii="Bookman Old Style" w:hAnsi="Bookman Old Style"/>
          <w:sz w:val="24"/>
          <w:szCs w:val="24"/>
        </w:rPr>
        <w:t>a</w:t>
      </w:r>
      <w:r>
        <w:rPr>
          <w:rFonts w:ascii="Bookman Old Style" w:hAnsi="Bookman Old Style"/>
          <w:sz w:val="24"/>
          <w:szCs w:val="24"/>
        </w:rPr>
        <w:t xml:space="preserve">rtículo 712 del Estatuto Tributario. Al respecto afirma que la liquidación objeto de recurso de reposición no desarrolla los elementos de cuantificación del tributo y que el hecho de señalar una suma determinada como base de liquidación no comporta la explicación siquiera sumaria de los elementos o cuentas o partidas que se incluyen o excluyen en </w:t>
      </w:r>
      <w:r>
        <w:rPr>
          <w:rFonts w:ascii="Bookman Old Style" w:hAnsi="Bookman Old Style"/>
          <w:sz w:val="24"/>
          <w:szCs w:val="24"/>
        </w:rPr>
        <w:lastRenderedPageBreak/>
        <w:t>dicha determinación, con lo que se prescinde de varios elementos de la liquidación oficial y se incurre en una causal de nulidad del Acto Administrativo.</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Al respecto, es importante señalar lo siguiente:</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Los tributos se clasifican en impuestos, tasas y contribuciones y se pueden definir de la siguiente forma, de acuerdo con la Sentencia C-545 de 1994 con ponencia del Magistrado Fabio Morón Díaz:</w:t>
      </w:r>
    </w:p>
    <w:p w:rsidR="00FB7F69" w:rsidRPr="004216F3" w:rsidRDefault="00FB7F69" w:rsidP="00FB7F69">
      <w:pPr>
        <w:pStyle w:val="NormalWeb"/>
        <w:jc w:val="both"/>
        <w:rPr>
          <w:rFonts w:ascii="Bookman Old Style" w:hAnsi="Bookman Old Style" w:cs="Arial"/>
          <w:iCs/>
        </w:rPr>
      </w:pPr>
      <w:r w:rsidRPr="004216F3">
        <w:rPr>
          <w:rFonts w:ascii="Bookman Old Style" w:hAnsi="Bookman Old Style"/>
        </w:rPr>
        <w:t xml:space="preserve">IMPUESTOS: </w:t>
      </w:r>
      <w:r>
        <w:rPr>
          <w:rFonts w:ascii="Bookman Old Style" w:hAnsi="Bookman Old Style"/>
        </w:rPr>
        <w:t>R</w:t>
      </w:r>
      <w:r w:rsidRPr="004216F3">
        <w:rPr>
          <w:rFonts w:ascii="Bookman Old Style" w:hAnsi="Bookman Old Style" w:cs="Arial"/>
          <w:iCs/>
        </w:rPr>
        <w:t>epresentan la obligación para el contribuyente de hacer un pago, sin que exista una retribución particular por parte del Estado.</w:t>
      </w:r>
    </w:p>
    <w:p w:rsidR="00FB7F69" w:rsidRPr="004216F3" w:rsidRDefault="00FB7F69" w:rsidP="00FB7F69">
      <w:pPr>
        <w:pStyle w:val="Prrafodelista"/>
        <w:ind w:left="0"/>
        <w:jc w:val="both"/>
        <w:rPr>
          <w:rFonts w:ascii="Bookman Old Style" w:hAnsi="Bookman Old Style"/>
          <w:sz w:val="24"/>
          <w:szCs w:val="24"/>
        </w:rPr>
      </w:pPr>
      <w:r w:rsidRPr="004216F3">
        <w:rPr>
          <w:rFonts w:ascii="Bookman Old Style" w:hAnsi="Bookman Old Style"/>
          <w:sz w:val="24"/>
          <w:szCs w:val="24"/>
        </w:rPr>
        <w:t xml:space="preserve">TASAS: </w:t>
      </w:r>
      <w:r>
        <w:rPr>
          <w:rFonts w:ascii="Bookman Old Style" w:hAnsi="Bookman Old Style" w:cs="Arial"/>
          <w:iCs/>
          <w:sz w:val="24"/>
          <w:szCs w:val="24"/>
        </w:rPr>
        <w:t>T</w:t>
      </w:r>
      <w:r w:rsidRPr="004216F3">
        <w:rPr>
          <w:rFonts w:ascii="Bookman Old Style" w:hAnsi="Bookman Old Style" w:cs="Arial"/>
          <w:iCs/>
          <w:sz w:val="24"/>
          <w:szCs w:val="24"/>
        </w:rPr>
        <w:t>ributo cuya obligación tiene como hecho generador la prestación efectiva y potencial de un servicio público individualizado en el contribuyente. Su producto no debe tener un destino ajeno al servicio que contribuye al presupuesto de la obligación."</w:t>
      </w:r>
    </w:p>
    <w:p w:rsidR="00FB7F69" w:rsidRDefault="00FB7F69" w:rsidP="00FB7F69">
      <w:pPr>
        <w:pStyle w:val="Prrafodelista"/>
        <w:ind w:left="0"/>
        <w:jc w:val="both"/>
        <w:rPr>
          <w:rFonts w:ascii="Bookman Old Style" w:hAnsi="Bookman Old Style"/>
          <w:sz w:val="24"/>
          <w:szCs w:val="24"/>
        </w:rPr>
      </w:pPr>
    </w:p>
    <w:p w:rsidR="00FB7F69" w:rsidRPr="004216F3" w:rsidRDefault="00FB7F69" w:rsidP="00FB7F69">
      <w:pPr>
        <w:pStyle w:val="Prrafodelista"/>
        <w:ind w:left="0"/>
        <w:jc w:val="both"/>
        <w:rPr>
          <w:rFonts w:ascii="Bookman Old Style" w:hAnsi="Bookman Old Style" w:cs="Arial"/>
          <w:iCs/>
          <w:sz w:val="24"/>
          <w:szCs w:val="24"/>
        </w:rPr>
      </w:pPr>
      <w:r w:rsidRPr="004216F3">
        <w:rPr>
          <w:rFonts w:ascii="Bookman Old Style" w:hAnsi="Bookman Old Style"/>
          <w:sz w:val="24"/>
          <w:szCs w:val="24"/>
        </w:rPr>
        <w:t>CONTRIBUCIONES:</w:t>
      </w:r>
      <w:r w:rsidRPr="004216F3">
        <w:rPr>
          <w:rFonts w:ascii="Bookman Old Style" w:hAnsi="Bookman Old Style" w:cs="Arial"/>
          <w:iCs/>
          <w:sz w:val="24"/>
          <w:szCs w:val="24"/>
        </w:rPr>
        <w:t xml:space="preserve"> </w:t>
      </w:r>
      <w:r>
        <w:rPr>
          <w:rFonts w:ascii="Bookman Old Style" w:hAnsi="Bookman Old Style" w:cs="Arial"/>
          <w:iCs/>
          <w:sz w:val="24"/>
          <w:szCs w:val="24"/>
        </w:rPr>
        <w:t>T</w:t>
      </w:r>
      <w:r w:rsidRPr="004216F3">
        <w:rPr>
          <w:rFonts w:ascii="Bookman Old Style" w:hAnsi="Bookman Old Style" w:cs="Arial"/>
          <w:iCs/>
          <w:sz w:val="24"/>
          <w:szCs w:val="24"/>
        </w:rPr>
        <w:t>odas las cargas fiscales al patrimonio particular, sustentadas en la potestad tributaria del Estado</w:t>
      </w:r>
      <w:r>
        <w:rPr>
          <w:rFonts w:ascii="Bookman Old Style" w:hAnsi="Bookman Old Style" w:cs="Arial"/>
          <w:iCs/>
          <w:sz w:val="24"/>
          <w:szCs w:val="24"/>
        </w:rPr>
        <w:t>.</w:t>
      </w:r>
    </w:p>
    <w:p w:rsidR="00FB7F69" w:rsidRPr="004216F3" w:rsidRDefault="00FB7F69" w:rsidP="00FB7F69">
      <w:pPr>
        <w:pStyle w:val="Prrafodelista"/>
        <w:ind w:left="0"/>
        <w:jc w:val="both"/>
        <w:rPr>
          <w:rFonts w:ascii="Bookman Old Style" w:hAnsi="Bookman Old Style"/>
          <w:sz w:val="24"/>
          <w:szCs w:val="24"/>
        </w:rPr>
      </w:pPr>
    </w:p>
    <w:p w:rsidR="00FB7F69" w:rsidRPr="004216F3" w:rsidRDefault="00FB7F69" w:rsidP="00FB7F69">
      <w:pPr>
        <w:pStyle w:val="Prrafodelista"/>
        <w:ind w:left="0"/>
        <w:jc w:val="both"/>
        <w:rPr>
          <w:rFonts w:ascii="Bookman Old Style" w:hAnsi="Bookman Old Style"/>
          <w:sz w:val="24"/>
          <w:szCs w:val="24"/>
        </w:rPr>
      </w:pPr>
      <w:r w:rsidRPr="004216F3">
        <w:rPr>
          <w:rFonts w:ascii="Bookman Old Style" w:hAnsi="Bookman Old Style"/>
          <w:sz w:val="24"/>
          <w:szCs w:val="24"/>
        </w:rPr>
        <w:t xml:space="preserve">CONTRIBUCIONES ESPECIALES: </w:t>
      </w:r>
      <w:r w:rsidRPr="004216F3">
        <w:rPr>
          <w:rFonts w:ascii="Bookman Old Style" w:hAnsi="Bookman Old Style" w:cs="Arial"/>
          <w:iCs/>
          <w:sz w:val="24"/>
          <w:szCs w:val="24"/>
        </w:rPr>
        <w:t>Es un pago por una inversión que b</w:t>
      </w:r>
      <w:r>
        <w:rPr>
          <w:rFonts w:ascii="Bookman Old Style" w:hAnsi="Bookman Old Style" w:cs="Arial"/>
          <w:iCs/>
          <w:sz w:val="24"/>
          <w:szCs w:val="24"/>
        </w:rPr>
        <w:t>eneficia a un grupo de personas.</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w:t>
      </w:r>
      <w:r w:rsidRPr="007B2AD2">
        <w:rPr>
          <w:rFonts w:ascii="Bookman Old Style" w:hAnsi="Bookman Old Style"/>
          <w:sz w:val="24"/>
          <w:szCs w:val="24"/>
        </w:rPr>
        <w:t>.</w:t>
      </w:r>
      <w:r>
        <w:rPr>
          <w:rFonts w:ascii="Bookman Old Style" w:hAnsi="Bookman Old Style"/>
          <w:sz w:val="24"/>
          <w:szCs w:val="24"/>
        </w:rPr>
        <w:t xml:space="preserve">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El artículo 712 del Estatuto Tributario, citado por el recurrente, señala el contenido que deberá contener la Liquidación de Revisión, entendiéndose por tal la que propone o elabora la Administración de Impuestos una vez el contribuyente ha presentado su respuesta al requerimiento especial, liquidación en la cual la DIAN modifica algunos valores inicialmente declarados por el contribuyente.</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 xml:space="preserve">Y se entiende por Requerimiento Especial, el Acto Administrativo que profiere la DIAN en el cual plantea las glosas que considera que el contribuyente debe corregir en vista que las inconsistencias es que este presuntamente incurrió al elaborar y presentar su declaración tributaria. Es por esto que el contenido de la Liquidación Oficial de Revisión, hace parte de un proceso de fiscalización de los tributos nacionales o territoriales, que realiza la administración tributaria propia de la discusión que se tiene del contenido de una declaración presentada por los contribuyentes. </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 xml:space="preserve">Lo anterior permite concluir que no existe falsa motivación, toda vez que el recurrente confunde los conceptos liquidación de revisión, con la liquidación de </w:t>
      </w:r>
      <w:r>
        <w:rPr>
          <w:rFonts w:ascii="Bookman Old Style" w:hAnsi="Bookman Old Style"/>
          <w:sz w:val="24"/>
          <w:szCs w:val="24"/>
        </w:rPr>
        <w:lastRenderedPageBreak/>
        <w:t>la contribución especial, así como el contenido que debe tener este acto administrativo, lo cual, demuestra que no existe una presunta omisión de los requisitos señalados en el artículo 712 del Estatuto Tributario, en la medida que éste no aplica para las contribuciones especiales que deben pagar las empresas reguladas por la Comisión de Regulación de Energía y Gas -CREG.</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Finalmente, señala el recurrente que la Resolución CREG-175 de 2011, omitió el nombre y razón del contribuyente, y atribuye este hecho a una posible mal entendida economía procesal por parte de la CREG, por cuanto se ha incluido del Acto Administrativo y no se ha expedido y notificado una resolución a cada una de las empresas, como, según Empresas Públicas de Medellín, procede legalmente, so pena de nulidad.</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Al respecto cabe manifestar que tanto la resolución que señala el factor con el cual se liquida el factor de las empresas reguladas, como la que señala el valor que cada una de esas empresas reguladas debe pagar a la CREG, son Actos Administrativos de carácter particular, pues tienen como destinatarios a cada una de las empresas las cuales se encuentran plenamente identificadas, por ello crean, modifican, extinguen o afectan situaciones jurídicas.</w:t>
      </w:r>
    </w:p>
    <w:p w:rsidR="00FB7F69" w:rsidRDefault="00FB7F69" w:rsidP="00FB7F69">
      <w:pPr>
        <w:pStyle w:val="Prrafodelista"/>
        <w:ind w:left="0"/>
        <w:jc w:val="both"/>
        <w:rPr>
          <w:rFonts w:ascii="Bookman Old Style" w:hAnsi="Bookman Old Style"/>
          <w:sz w:val="24"/>
          <w:szCs w:val="24"/>
        </w:rPr>
      </w:pPr>
    </w:p>
    <w:p w:rsidR="00FB7F69" w:rsidRDefault="00FB7F69" w:rsidP="00FB7F69">
      <w:pPr>
        <w:ind w:left="0"/>
        <w:jc w:val="both"/>
        <w:rPr>
          <w:rFonts w:ascii="Bookman Old Style" w:hAnsi="Bookman Old Style" w:cs="Arial"/>
          <w:lang w:eastAsia="es-CO"/>
        </w:rPr>
      </w:pPr>
      <w:r>
        <w:rPr>
          <w:rFonts w:ascii="Bookman Old Style" w:hAnsi="Bookman Old Style" w:cs="Arial"/>
          <w:bCs/>
          <w:lang w:val="es-CO" w:eastAsia="es-CO"/>
        </w:rPr>
        <w:t>De acuerdo con la Teoría General del</w:t>
      </w:r>
      <w:r>
        <w:rPr>
          <w:rFonts w:ascii="Bookman Old Style" w:hAnsi="Bookman Old Style" w:cs="Arial"/>
          <w:bCs/>
          <w:lang w:eastAsia="es-CO"/>
        </w:rPr>
        <w:t xml:space="preserve"> Acto Administrativo, e</w:t>
      </w:r>
      <w:r w:rsidRPr="00E93D06">
        <w:rPr>
          <w:rFonts w:ascii="Bookman Old Style" w:hAnsi="Bookman Old Style" w:cs="Arial"/>
          <w:lang w:eastAsia="es-CO"/>
        </w:rPr>
        <w:t>s</w:t>
      </w:r>
      <w:r>
        <w:rPr>
          <w:rFonts w:ascii="Bookman Old Style" w:hAnsi="Bookman Old Style" w:cs="Arial"/>
          <w:lang w:eastAsia="es-CO"/>
        </w:rPr>
        <w:t>te es</w:t>
      </w:r>
      <w:r w:rsidRPr="00E93D06">
        <w:rPr>
          <w:rFonts w:ascii="Bookman Old Style" w:hAnsi="Bookman Old Style" w:cs="Arial"/>
          <w:lang w:eastAsia="es-CO"/>
        </w:rPr>
        <w:t xml:space="preserve"> </w:t>
      </w:r>
      <w:r>
        <w:rPr>
          <w:rFonts w:ascii="Bookman Old Style" w:hAnsi="Bookman Old Style" w:cs="Arial"/>
          <w:lang w:eastAsia="es-CO"/>
        </w:rPr>
        <w:t>la</w:t>
      </w:r>
      <w:r w:rsidRPr="00E93D06">
        <w:rPr>
          <w:rFonts w:ascii="Bookman Old Style" w:hAnsi="Bookman Old Style" w:cs="Arial"/>
          <w:lang w:eastAsia="es-CO"/>
        </w:rPr>
        <w:t xml:space="preserve"> declaración de voluntad de una autoridad administrativa, proferida en la forma determinada por la ley o el reglamento, que estatuya sobre relaciones de derecho publico, en consideración a determinados motivos, con el fin de producir efectos jurídicos para la satisfacción de un interés administrativo y que contenga por objeto crear, modificar o extinguir una situación jurídica subjetiva.</w:t>
      </w:r>
    </w:p>
    <w:p w:rsidR="00FB7F69" w:rsidRDefault="00FB7F69" w:rsidP="00FB7F69">
      <w:pPr>
        <w:ind w:left="0"/>
        <w:jc w:val="both"/>
        <w:rPr>
          <w:rFonts w:ascii="Bookman Old Style" w:hAnsi="Bookman Old Style" w:cs="Arial"/>
          <w:lang w:eastAsia="es-CO"/>
        </w:rPr>
      </w:pPr>
    </w:p>
    <w:p w:rsidR="00FB7F69" w:rsidRDefault="00FB7F69" w:rsidP="00FB7F69">
      <w:pPr>
        <w:ind w:left="0"/>
        <w:jc w:val="both"/>
        <w:rPr>
          <w:rFonts w:ascii="Bookman Old Style" w:hAnsi="Bookman Old Style" w:cs="Arial"/>
          <w:lang w:eastAsia="es-CO"/>
        </w:rPr>
      </w:pPr>
      <w:r>
        <w:rPr>
          <w:rFonts w:ascii="Bookman Old Style" w:hAnsi="Bookman Old Style" w:cs="Arial"/>
          <w:lang w:eastAsia="es-CO"/>
        </w:rPr>
        <w:t>Dentro de la clasificación de los actos administrativos pueden ser de carácter general o de carácter particular y concreto así:</w:t>
      </w:r>
    </w:p>
    <w:p w:rsidR="00FB7F69" w:rsidRPr="00E93D06" w:rsidRDefault="00FB7F69" w:rsidP="00FB7F69">
      <w:pPr>
        <w:spacing w:before="120" w:after="120"/>
        <w:ind w:left="0"/>
        <w:jc w:val="both"/>
        <w:rPr>
          <w:rFonts w:ascii="Bookman Old Style" w:hAnsi="Bookman Old Style" w:cs="Arial"/>
          <w:lang w:eastAsia="es-CO"/>
        </w:rPr>
      </w:pPr>
      <w:r w:rsidRPr="00B67AC2">
        <w:rPr>
          <w:rFonts w:ascii="Bookman Old Style" w:hAnsi="Bookman Old Style" w:cs="Arial"/>
          <w:iCs/>
          <w:lang w:eastAsia="es-CO"/>
        </w:rPr>
        <w:t>Son actos administrativos de carácter general</w:t>
      </w:r>
      <w:r>
        <w:rPr>
          <w:rFonts w:ascii="Bookman Old Style" w:hAnsi="Bookman Old Style" w:cs="Arial"/>
          <w:lang w:eastAsia="es-CO"/>
        </w:rPr>
        <w:t xml:space="preserve"> los que </w:t>
      </w:r>
      <w:r w:rsidRPr="00E93D06">
        <w:rPr>
          <w:rFonts w:ascii="Bookman Old Style" w:hAnsi="Bookman Old Style" w:cs="Arial"/>
          <w:lang w:eastAsia="es-CO"/>
        </w:rPr>
        <w:t>recae</w:t>
      </w:r>
      <w:r>
        <w:rPr>
          <w:rFonts w:ascii="Bookman Old Style" w:hAnsi="Bookman Old Style" w:cs="Arial"/>
          <w:lang w:eastAsia="es-CO"/>
        </w:rPr>
        <w:t>n</w:t>
      </w:r>
      <w:r w:rsidRPr="00E93D06">
        <w:rPr>
          <w:rFonts w:ascii="Bookman Old Style" w:hAnsi="Bookman Old Style" w:cs="Arial"/>
          <w:lang w:eastAsia="es-CO"/>
        </w:rPr>
        <w:t xml:space="preserve"> sobre un grupo general o indeterminado de personas, </w:t>
      </w:r>
      <w:r>
        <w:rPr>
          <w:rFonts w:ascii="Bookman Old Style" w:hAnsi="Bookman Old Style" w:cs="Arial"/>
          <w:lang w:eastAsia="es-CO"/>
        </w:rPr>
        <w:t>o cuando</w:t>
      </w:r>
      <w:r w:rsidRPr="00E93D06">
        <w:rPr>
          <w:rFonts w:ascii="Bookman Old Style" w:hAnsi="Bookman Old Style" w:cs="Arial"/>
          <w:lang w:eastAsia="es-CO"/>
        </w:rPr>
        <w:t xml:space="preserve"> el texto del A</w:t>
      </w:r>
      <w:r>
        <w:rPr>
          <w:rFonts w:ascii="Bookman Old Style" w:hAnsi="Bookman Old Style" w:cs="Arial"/>
          <w:lang w:eastAsia="es-CO"/>
        </w:rPr>
        <w:t xml:space="preserve">cto </w:t>
      </w:r>
      <w:r w:rsidRPr="00E93D06">
        <w:rPr>
          <w:rFonts w:ascii="Bookman Old Style" w:hAnsi="Bookman Old Style" w:cs="Arial"/>
          <w:lang w:eastAsia="es-CO"/>
        </w:rPr>
        <w:t>A</w:t>
      </w:r>
      <w:r>
        <w:rPr>
          <w:rFonts w:ascii="Bookman Old Style" w:hAnsi="Bookman Old Style" w:cs="Arial"/>
          <w:lang w:eastAsia="es-CO"/>
        </w:rPr>
        <w:t>dministrativo</w:t>
      </w:r>
      <w:r w:rsidRPr="00E93D06">
        <w:rPr>
          <w:rFonts w:ascii="Bookman Old Style" w:hAnsi="Bookman Old Style" w:cs="Arial"/>
          <w:lang w:eastAsia="es-CO"/>
        </w:rPr>
        <w:t xml:space="preserve"> no especifica a quien va dirigido. </w:t>
      </w:r>
    </w:p>
    <w:p w:rsidR="00FB7F69" w:rsidRPr="0040024D" w:rsidRDefault="00FB7F69" w:rsidP="00FB7F69">
      <w:pPr>
        <w:pStyle w:val="Prrafodelista"/>
        <w:ind w:left="0"/>
        <w:jc w:val="both"/>
        <w:rPr>
          <w:rFonts w:ascii="Bookman Old Style" w:hAnsi="Bookman Old Style"/>
          <w:sz w:val="24"/>
          <w:szCs w:val="24"/>
        </w:rPr>
      </w:pPr>
      <w:r w:rsidRPr="0040024D">
        <w:rPr>
          <w:rFonts w:ascii="Bookman Old Style" w:hAnsi="Bookman Old Style" w:cs="Arial"/>
          <w:bCs/>
          <w:sz w:val="24"/>
          <w:szCs w:val="24"/>
          <w:lang w:eastAsia="es-CO"/>
        </w:rPr>
        <w:t>Son Actos Administrativos de carácter particular y concreto los que recaen sobre un sujeto</w:t>
      </w:r>
      <w:r w:rsidRPr="0040024D">
        <w:rPr>
          <w:rFonts w:ascii="Bookman Old Style" w:hAnsi="Bookman Old Style" w:cs="Arial"/>
          <w:b/>
          <w:bCs/>
          <w:sz w:val="24"/>
          <w:szCs w:val="24"/>
          <w:lang w:eastAsia="es-CO"/>
        </w:rPr>
        <w:t xml:space="preserve"> </w:t>
      </w:r>
      <w:r w:rsidRPr="0040024D">
        <w:rPr>
          <w:rFonts w:ascii="Bookman Old Style" w:hAnsi="Bookman Old Style" w:cs="Arial"/>
          <w:sz w:val="24"/>
          <w:szCs w:val="24"/>
          <w:lang w:eastAsia="es-CO"/>
        </w:rPr>
        <w:t xml:space="preserve">pasivo determinable, lo cual no significa que la administración únicamente deba hacer alusión a un solo individuo o persona, ya que puede recaer sobre 1 ó más personas y conservar las características de un acto administrativo particular, </w:t>
      </w:r>
      <w:r w:rsidRPr="0040024D">
        <w:rPr>
          <w:rFonts w:ascii="Bookman Old Style" w:hAnsi="Bookman Old Style" w:cs="Arial"/>
          <w:bCs/>
          <w:sz w:val="24"/>
          <w:szCs w:val="24"/>
          <w:lang w:eastAsia="es-CO"/>
        </w:rPr>
        <w:t>por citar un ejemplo, esto puede suceder c</w:t>
      </w:r>
      <w:r w:rsidRPr="0040024D">
        <w:rPr>
          <w:rFonts w:ascii="Bookman Old Style" w:hAnsi="Bookman Old Style" w:cs="Arial"/>
          <w:sz w:val="24"/>
          <w:szCs w:val="24"/>
          <w:lang w:eastAsia="es-CO"/>
        </w:rPr>
        <w:t>uando se otorga una pensión a una persona, o cuando se les da a más de una persona.</w:t>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Por lo tanto, siempre que los afectados por el acto estén nominalmente identificados, individualizados, el acto es particular independientemente del numero de personas afectadas. Sobre éste punto el Honorable Consejo de Estado ha expuesto:</w:t>
      </w:r>
    </w:p>
    <w:p w:rsidR="00FB7F69" w:rsidRDefault="00FB7F69" w:rsidP="00FB7F69">
      <w:pPr>
        <w:pStyle w:val="Prrafodelista"/>
        <w:ind w:left="0"/>
        <w:jc w:val="both"/>
        <w:rPr>
          <w:rFonts w:ascii="Bookman Old Style" w:hAnsi="Bookman Old Style"/>
          <w:sz w:val="24"/>
          <w:szCs w:val="24"/>
        </w:rPr>
      </w:pPr>
    </w:p>
    <w:p w:rsidR="00FB7F69" w:rsidRPr="00D84580" w:rsidRDefault="00FB7F69" w:rsidP="00FB7F69">
      <w:pPr>
        <w:pStyle w:val="Prrafodelista"/>
        <w:jc w:val="both"/>
        <w:rPr>
          <w:rFonts w:ascii="Bookman Old Style" w:hAnsi="Bookman Old Style"/>
          <w:i/>
          <w:sz w:val="22"/>
          <w:szCs w:val="22"/>
        </w:rPr>
      </w:pPr>
      <w:r w:rsidRPr="00D84580">
        <w:rPr>
          <w:rFonts w:ascii="Bookman Old Style" w:hAnsi="Bookman Old Style"/>
          <w:i/>
          <w:sz w:val="22"/>
          <w:szCs w:val="22"/>
        </w:rPr>
        <w:t xml:space="preserve">La diferencia entre los actos de contenido particular y general depende del grado de indeterminación que tengan los sujetos destinatarios del mismo, como lo ha precisado esta Sala: ‘Para diferenciar un acto administrativo general de uno particular es necesario tener presente los siguientes aspectos: El acto administrativo se entiende, entre otras perspectivas, como una decisión adoptada o expedida en función administrativa a través de la cual la autoridad crea, </w:t>
      </w:r>
      <w:r w:rsidRPr="00D84580">
        <w:rPr>
          <w:rFonts w:ascii="Bookman Old Style" w:hAnsi="Bookman Old Style"/>
          <w:i/>
          <w:sz w:val="22"/>
          <w:szCs w:val="22"/>
        </w:rPr>
        <w:lastRenderedPageBreak/>
        <w:t>modifica o extingue una posición de una persona o conjunto de personas determinadas o indeterminadas frente a una norma de derecho (situación jurídica). El acto singular o particular no necesariamente tiene un destinatario único, por cuanto puede ir dirigido tanto a una persona como a un grupo determinado de personas; en tanto que el acto general se expide siempre para un grupo indeterminado de personas a quienes se les crea, modifica o extingue una situación jurídica, dependiendo de las conductas o roles que ellas mismas asuman’.</w:t>
      </w:r>
      <w:r w:rsidRPr="00D84580">
        <w:rPr>
          <w:rStyle w:val="Refdenotaalpie"/>
          <w:rFonts w:ascii="Bookman Old Style" w:hAnsi="Bookman Old Style"/>
          <w:i/>
          <w:sz w:val="22"/>
          <w:szCs w:val="22"/>
        </w:rPr>
        <w:footnoteReference w:id="6"/>
      </w:r>
    </w:p>
    <w:p w:rsidR="00FB7F69" w:rsidRDefault="00FB7F69" w:rsidP="00FB7F69">
      <w:pPr>
        <w:pStyle w:val="Prrafodelista"/>
        <w:ind w:left="0"/>
        <w:jc w:val="both"/>
        <w:rPr>
          <w:rFonts w:ascii="Bookman Old Style" w:hAnsi="Bookman Old Style"/>
          <w:sz w:val="24"/>
          <w:szCs w:val="24"/>
        </w:rPr>
      </w:pPr>
    </w:p>
    <w:p w:rsidR="00FB7F69" w:rsidRDefault="00FB7F69" w:rsidP="00FB7F69">
      <w:pPr>
        <w:pStyle w:val="Prrafodelista"/>
        <w:ind w:left="0"/>
        <w:jc w:val="both"/>
        <w:rPr>
          <w:rFonts w:ascii="Bookman Old Style" w:hAnsi="Bookman Old Style"/>
          <w:sz w:val="24"/>
          <w:szCs w:val="24"/>
        </w:rPr>
      </w:pPr>
      <w:r>
        <w:rPr>
          <w:rFonts w:ascii="Bookman Old Style" w:hAnsi="Bookman Old Style"/>
          <w:sz w:val="24"/>
          <w:szCs w:val="24"/>
        </w:rPr>
        <w:t xml:space="preserve">El hecho de no expedir una resolución para cada una de las empresas, señalando el factor que se aplica y el valor de la contribución que deben pagar, no vicia de nulidad el acto administrativo, pues se trata de un acto administrativo expedido dentro de una misma actuación administrativa para todas las Entidades reguladas. Igualmente, este argumento no se encausa en la falsa motivación, ya que como se ha hecho referencia, no realiza un </w:t>
      </w:r>
      <w:r w:rsidRPr="00282A4B">
        <w:rPr>
          <w:rFonts w:ascii="Bookman Old Style" w:hAnsi="Bookman Old Style"/>
          <w:sz w:val="24"/>
          <w:szCs w:val="24"/>
        </w:rPr>
        <w:t>análisis de la realidad fáctica y jurídica del acto, con miras a establecer su veracidad, sino que se plantea un problema de valoración del cuerpo del acto</w:t>
      </w:r>
      <w:r>
        <w:rPr>
          <w:rFonts w:ascii="Bookman Old Style" w:hAnsi="Bookman Old Style"/>
          <w:sz w:val="24"/>
          <w:szCs w:val="24"/>
        </w:rPr>
        <w:t>, como de las formalidades para su expedición.</w:t>
      </w:r>
    </w:p>
    <w:p w:rsidR="00FB7F69" w:rsidRDefault="00FB7F69" w:rsidP="00FB7F69">
      <w:pPr>
        <w:pStyle w:val="Prrafodelista"/>
        <w:ind w:left="0"/>
        <w:jc w:val="both"/>
        <w:rPr>
          <w:rFonts w:ascii="Bookman Old Style" w:hAnsi="Bookman Old Style"/>
          <w:sz w:val="24"/>
          <w:szCs w:val="24"/>
        </w:rPr>
      </w:pPr>
    </w:p>
    <w:p w:rsidR="00FB7F69" w:rsidRDefault="00FB7F69" w:rsidP="000C6857">
      <w:pPr>
        <w:ind w:left="0"/>
        <w:jc w:val="both"/>
        <w:rPr>
          <w:rFonts w:ascii="Bookman Old Style" w:eastAsiaTheme="minorEastAsia" w:hAnsi="Bookman Old Style"/>
        </w:rPr>
      </w:pPr>
      <w:r w:rsidRPr="00D944AE">
        <w:rPr>
          <w:rFonts w:ascii="Bookman Old Style" w:eastAsiaTheme="minorEastAsia" w:hAnsi="Bookman Old Style"/>
        </w:rPr>
        <w:t>De acuerdo con lo anterior, se desestiman los argumentos expuestos por E</w:t>
      </w:r>
      <w:r>
        <w:rPr>
          <w:rFonts w:ascii="Bookman Old Style" w:eastAsiaTheme="minorEastAsia" w:hAnsi="Bookman Old Style"/>
        </w:rPr>
        <w:t xml:space="preserve">mpresas </w:t>
      </w:r>
      <w:r w:rsidRPr="00D944AE">
        <w:rPr>
          <w:rFonts w:ascii="Bookman Old Style" w:eastAsiaTheme="minorEastAsia" w:hAnsi="Bookman Old Style"/>
        </w:rPr>
        <w:t>P</w:t>
      </w:r>
      <w:r>
        <w:rPr>
          <w:rFonts w:ascii="Bookman Old Style" w:eastAsiaTheme="minorEastAsia" w:hAnsi="Bookman Old Style"/>
        </w:rPr>
        <w:t xml:space="preserve">úblicas de </w:t>
      </w:r>
      <w:r w:rsidRPr="00D944AE">
        <w:rPr>
          <w:rFonts w:ascii="Bookman Old Style" w:eastAsiaTheme="minorEastAsia" w:hAnsi="Bookman Old Style"/>
        </w:rPr>
        <w:t>M</w:t>
      </w:r>
      <w:r>
        <w:rPr>
          <w:rFonts w:ascii="Bookman Old Style" w:eastAsiaTheme="minorEastAsia" w:hAnsi="Bookman Old Style"/>
        </w:rPr>
        <w:t>edellín E.S.P</w:t>
      </w:r>
      <w:r w:rsidRPr="00D944AE">
        <w:rPr>
          <w:rFonts w:ascii="Bookman Old Style" w:eastAsiaTheme="minorEastAsia" w:hAnsi="Bookman Old Style"/>
        </w:rPr>
        <w:t xml:space="preserve"> y </w:t>
      </w:r>
      <w:r>
        <w:rPr>
          <w:rFonts w:ascii="Bookman Old Style" w:eastAsiaTheme="minorEastAsia" w:hAnsi="Bookman Old Style"/>
        </w:rPr>
        <w:t>se confirmará la resolución CREG-175 de 2011</w:t>
      </w:r>
      <w:r w:rsidRPr="00D944AE">
        <w:rPr>
          <w:rFonts w:ascii="Bookman Old Style" w:eastAsiaTheme="minorEastAsia" w:hAnsi="Bookman Old Style"/>
        </w:rPr>
        <w:t>.</w:t>
      </w:r>
    </w:p>
    <w:p w:rsidR="000C6857" w:rsidRPr="009E03F7" w:rsidRDefault="000C6857" w:rsidP="000C6857">
      <w:pPr>
        <w:ind w:left="0"/>
        <w:jc w:val="both"/>
        <w:rPr>
          <w:rFonts w:ascii="Bookman Old Style" w:hAnsi="Bookman Old Style" w:cs="Arial"/>
          <w:lang w:eastAsia="es-CO"/>
        </w:rPr>
      </w:pPr>
    </w:p>
    <w:p w:rsidR="00C219A0" w:rsidRPr="00ED3C17" w:rsidRDefault="00C219A0" w:rsidP="00C219A0">
      <w:pPr>
        <w:ind w:left="0"/>
        <w:jc w:val="both"/>
        <w:rPr>
          <w:rFonts w:ascii="Bookman Old Style" w:hAnsi="Bookman Old Style"/>
        </w:rPr>
      </w:pPr>
      <w:r w:rsidRPr="00ED3C17">
        <w:rPr>
          <w:rFonts w:ascii="Bookman Old Style" w:hAnsi="Bookman Old Style" w:cs="Arial"/>
          <w:spacing w:val="-3"/>
        </w:rPr>
        <w:t>La Comisión de Regulación de</w:t>
      </w:r>
      <w:r>
        <w:rPr>
          <w:rFonts w:ascii="Bookman Old Style" w:hAnsi="Bookman Old Style" w:cs="Arial"/>
          <w:spacing w:val="-3"/>
        </w:rPr>
        <w:t xml:space="preserve"> Energía y Gas, en su sesión 516</w:t>
      </w:r>
      <w:r w:rsidRPr="00ED3C17">
        <w:rPr>
          <w:rFonts w:ascii="Bookman Old Style" w:hAnsi="Bookman Old Style" w:cs="Arial"/>
          <w:spacing w:val="-3"/>
        </w:rPr>
        <w:t xml:space="preserve">, llevada a cabo </w:t>
      </w:r>
      <w:r>
        <w:rPr>
          <w:rFonts w:ascii="Bookman Old Style" w:hAnsi="Bookman Old Style" w:cs="Arial"/>
          <w:spacing w:val="-3"/>
        </w:rPr>
        <w:t xml:space="preserve">el día </w:t>
      </w:r>
      <w:r w:rsidR="000C6857">
        <w:rPr>
          <w:rFonts w:ascii="Bookman Old Style" w:hAnsi="Bookman Old Style" w:cs="Arial"/>
          <w:spacing w:val="-3"/>
        </w:rPr>
        <w:t>22</w:t>
      </w:r>
      <w:r w:rsidRPr="00ED3C17">
        <w:rPr>
          <w:rFonts w:ascii="Bookman Old Style" w:hAnsi="Bookman Old Style" w:cs="Arial"/>
          <w:spacing w:val="-3"/>
        </w:rPr>
        <w:t xml:space="preserve"> de marzo de 2012</w:t>
      </w:r>
      <w:r w:rsidRPr="00ED3C17">
        <w:rPr>
          <w:rFonts w:ascii="Bookman Old Style" w:hAnsi="Bookman Old Style"/>
        </w:rPr>
        <w:t>, acordó expedir esta resolución.</w:t>
      </w:r>
    </w:p>
    <w:p w:rsidR="00FB7F69" w:rsidRPr="002E4FCA" w:rsidRDefault="00FB7F69" w:rsidP="00FB7F69">
      <w:pPr>
        <w:ind w:left="0"/>
        <w:jc w:val="both"/>
        <w:rPr>
          <w:rFonts w:ascii="Bookman Old Style" w:hAnsi="Bookman Old Style" w:cs="Arial"/>
        </w:rPr>
      </w:pPr>
    </w:p>
    <w:p w:rsidR="00FB7F69" w:rsidRPr="002073B8" w:rsidRDefault="00FB7F69" w:rsidP="00FB7F69">
      <w:pPr>
        <w:ind w:left="0"/>
        <w:rPr>
          <w:rFonts w:ascii="Bookman Old Style" w:hAnsi="Bookman Old Style"/>
          <w:lang w:val="es-CO"/>
        </w:rPr>
      </w:pPr>
      <w:r>
        <w:rPr>
          <w:rFonts w:ascii="Bookman Old Style" w:hAnsi="Bookman Old Style"/>
          <w:spacing w:val="-3"/>
        </w:rPr>
        <w:t>Por las razones expuestas, la Comisión de Regulación de Energía y Gas -CREG-,</w:t>
      </w:r>
    </w:p>
    <w:p w:rsidR="00FB7F69" w:rsidRDefault="00FB7F69" w:rsidP="00FB7F69">
      <w:pPr>
        <w:tabs>
          <w:tab w:val="center" w:pos="4512"/>
        </w:tabs>
        <w:suppressAutoHyphens/>
        <w:ind w:left="0"/>
        <w:jc w:val="both"/>
        <w:rPr>
          <w:rFonts w:ascii="Bookman Old Style" w:hAnsi="Bookman Old Style"/>
          <w:b/>
          <w:spacing w:val="-3"/>
        </w:rPr>
      </w:pPr>
    </w:p>
    <w:p w:rsidR="00FB7F69" w:rsidRPr="00C051A8" w:rsidRDefault="00FB7F69" w:rsidP="00FB7F69">
      <w:pPr>
        <w:tabs>
          <w:tab w:val="center" w:pos="4512"/>
        </w:tabs>
        <w:suppressAutoHyphens/>
        <w:ind w:left="0"/>
        <w:jc w:val="both"/>
        <w:rPr>
          <w:rFonts w:ascii="Bookman Old Style" w:hAnsi="Bookman Old Style"/>
          <w:b/>
          <w:spacing w:val="-3"/>
        </w:rPr>
      </w:pPr>
    </w:p>
    <w:p w:rsidR="00FB7F69" w:rsidRPr="00C051A8" w:rsidRDefault="00FB7F69" w:rsidP="00FB7F69">
      <w:pPr>
        <w:tabs>
          <w:tab w:val="center" w:pos="4512"/>
        </w:tabs>
        <w:suppressAutoHyphens/>
        <w:ind w:left="170"/>
        <w:jc w:val="center"/>
        <w:rPr>
          <w:rFonts w:ascii="Bookman Old Style" w:hAnsi="Bookman Old Style"/>
          <w:b/>
          <w:spacing w:val="-3"/>
        </w:rPr>
      </w:pPr>
      <w:r w:rsidRPr="00C051A8">
        <w:rPr>
          <w:rFonts w:ascii="Bookman Old Style" w:hAnsi="Bookman Old Style"/>
          <w:b/>
          <w:spacing w:val="-3"/>
        </w:rPr>
        <w:t>R E S U E L V E:</w:t>
      </w:r>
    </w:p>
    <w:p w:rsidR="00FB7F69" w:rsidRDefault="00FB7F69" w:rsidP="00FB7F69">
      <w:pPr>
        <w:ind w:left="0"/>
        <w:jc w:val="both"/>
        <w:rPr>
          <w:rFonts w:ascii="Bookman Old Style" w:hAnsi="Bookman Old Style"/>
          <w:b/>
        </w:rPr>
      </w:pPr>
    </w:p>
    <w:p w:rsidR="00D84580" w:rsidRDefault="00D84580" w:rsidP="00FB7F69">
      <w:pPr>
        <w:ind w:left="0"/>
        <w:jc w:val="both"/>
        <w:rPr>
          <w:rFonts w:ascii="Bookman Old Style" w:hAnsi="Bookman Old Style"/>
          <w:b/>
        </w:rPr>
      </w:pPr>
    </w:p>
    <w:p w:rsidR="00FB7F69" w:rsidRDefault="00FB7F69" w:rsidP="000C6857">
      <w:pPr>
        <w:ind w:left="0"/>
        <w:jc w:val="both"/>
        <w:rPr>
          <w:rFonts w:ascii="Bookman Old Style" w:hAnsi="Bookman Old Style"/>
        </w:rPr>
      </w:pPr>
      <w:r w:rsidRPr="00C051A8">
        <w:rPr>
          <w:rFonts w:ascii="Bookman Old Style" w:hAnsi="Bookman Old Style"/>
          <w:b/>
        </w:rPr>
        <w:t>ARTÍCULO 1.</w:t>
      </w:r>
      <w:r w:rsidRPr="00C051A8">
        <w:rPr>
          <w:rFonts w:ascii="Bookman Old Style" w:hAnsi="Bookman Old Style"/>
        </w:rPr>
        <w:t xml:space="preserve"> </w:t>
      </w:r>
      <w:r>
        <w:rPr>
          <w:rFonts w:ascii="Bookman Old Style" w:hAnsi="Bookman Old Style"/>
          <w:b/>
        </w:rPr>
        <w:t xml:space="preserve">CONFIRMAR, </w:t>
      </w:r>
      <w:r>
        <w:rPr>
          <w:rFonts w:ascii="Bookman Old Style" w:hAnsi="Bookman Old Style"/>
        </w:rPr>
        <w:t>en todas sus partes, la resolución CREG-175 de 2011, con fundamento en las razones expuestas en la parte motiva de este proveído.</w:t>
      </w:r>
    </w:p>
    <w:p w:rsidR="00FB7F69" w:rsidRPr="00C051A8" w:rsidRDefault="00FB7F69" w:rsidP="000C6857">
      <w:pPr>
        <w:ind w:left="0"/>
        <w:jc w:val="both"/>
        <w:rPr>
          <w:rFonts w:ascii="Bookman Old Style" w:hAnsi="Bookman Old Style"/>
        </w:rPr>
      </w:pPr>
    </w:p>
    <w:p w:rsidR="00FB7F69" w:rsidRDefault="00FB7F69" w:rsidP="000C6857">
      <w:pPr>
        <w:ind w:left="0"/>
        <w:jc w:val="both"/>
        <w:rPr>
          <w:rFonts w:ascii="Bookman Old Style" w:hAnsi="Bookman Old Style"/>
        </w:rPr>
      </w:pPr>
      <w:r w:rsidRPr="00C051A8">
        <w:rPr>
          <w:rFonts w:ascii="Bookman Old Style" w:hAnsi="Bookman Old Style"/>
          <w:b/>
        </w:rPr>
        <w:t xml:space="preserve">ARTÍCULO </w:t>
      </w:r>
      <w:r>
        <w:rPr>
          <w:rFonts w:ascii="Bookman Old Style" w:hAnsi="Bookman Old Style"/>
          <w:b/>
        </w:rPr>
        <w:t>2</w:t>
      </w:r>
      <w:r w:rsidRPr="00C051A8">
        <w:rPr>
          <w:rFonts w:ascii="Bookman Old Style" w:hAnsi="Bookman Old Style"/>
          <w:b/>
        </w:rPr>
        <w:t>.</w:t>
      </w:r>
      <w:r w:rsidRPr="00C051A8">
        <w:rPr>
          <w:rFonts w:ascii="Bookman Old Style" w:hAnsi="Bookman Old Style"/>
        </w:rPr>
        <w:t xml:space="preserve"> </w:t>
      </w:r>
      <w:r w:rsidRPr="00C051A8">
        <w:rPr>
          <w:rFonts w:ascii="Bookman Old Style" w:hAnsi="Bookman Old Style"/>
        </w:rPr>
        <w:tab/>
      </w:r>
      <w:r>
        <w:rPr>
          <w:rFonts w:ascii="Bookman Old Style" w:hAnsi="Bookman Old Style"/>
        </w:rPr>
        <w:t xml:space="preserve">En virtud de lo anterior </w:t>
      </w:r>
      <w:r>
        <w:rPr>
          <w:rFonts w:ascii="Bookman Old Style" w:hAnsi="Bookman Old Style"/>
          <w:b/>
        </w:rPr>
        <w:t xml:space="preserve">SEÑALAR </w:t>
      </w:r>
      <w:r w:rsidRPr="00556CF9">
        <w:rPr>
          <w:rFonts w:ascii="Bookman Old Style" w:hAnsi="Bookman Old Style"/>
        </w:rPr>
        <w:t>que</w:t>
      </w:r>
      <w:r>
        <w:rPr>
          <w:rFonts w:ascii="Bookman Old Style" w:hAnsi="Bookman Old Style"/>
          <w:b/>
        </w:rPr>
        <w:t xml:space="preserve"> </w:t>
      </w:r>
      <w:r w:rsidRPr="00556CF9">
        <w:rPr>
          <w:rFonts w:ascii="Bookman Old Style" w:hAnsi="Bookman Old Style"/>
        </w:rPr>
        <w:t xml:space="preserve">la contribución especial </w:t>
      </w:r>
      <w:r>
        <w:rPr>
          <w:rFonts w:ascii="Bookman Old Style" w:hAnsi="Bookman Old Style"/>
        </w:rPr>
        <w:t xml:space="preserve">que deben pagar las EMPRESAS PÚBLICAS DE MEDELLÍN E.S.P., correspondiente a la contribución especial para el año 2011 </w:t>
      </w:r>
      <w:r>
        <w:rPr>
          <w:rFonts w:ascii="Bookman Old Style" w:hAnsi="Bookman Old Style"/>
          <w:b/>
        </w:rPr>
        <w:t xml:space="preserve"> </w:t>
      </w:r>
      <w:r>
        <w:rPr>
          <w:rFonts w:ascii="Bookman Old Style" w:hAnsi="Bookman Old Style"/>
        </w:rPr>
        <w:t>es por valor de TRES MIL SEISCIENTOS SIETE MILLONES DOSCIENTOS CUATRO MIL NOVECIENTOS CUARENTA Y CINCO PESOS M/CTE ($3.607.204.945).</w:t>
      </w:r>
    </w:p>
    <w:p w:rsidR="00FB7F69" w:rsidRDefault="00FB7F69" w:rsidP="000C6857">
      <w:pPr>
        <w:ind w:left="0"/>
        <w:jc w:val="both"/>
        <w:rPr>
          <w:rFonts w:ascii="Bookman Old Style" w:hAnsi="Bookman Old Style" w:cs="Arial"/>
          <w:color w:val="000000"/>
        </w:rPr>
      </w:pPr>
    </w:p>
    <w:p w:rsidR="00FB7F69" w:rsidRDefault="00FB7F69" w:rsidP="000C6857">
      <w:pPr>
        <w:ind w:left="0"/>
        <w:jc w:val="both"/>
        <w:rPr>
          <w:rFonts w:ascii="Bookman Old Style" w:hAnsi="Bookman Old Style" w:cs="Arial"/>
        </w:rPr>
      </w:pPr>
      <w:r w:rsidRPr="00C051A8">
        <w:rPr>
          <w:rFonts w:ascii="Bookman Old Style" w:hAnsi="Bookman Old Style"/>
          <w:b/>
        </w:rPr>
        <w:t xml:space="preserve">ARTÍCULO </w:t>
      </w:r>
      <w:r>
        <w:rPr>
          <w:rFonts w:ascii="Bookman Old Style" w:hAnsi="Bookman Old Style"/>
          <w:b/>
        </w:rPr>
        <w:t>3</w:t>
      </w:r>
      <w:r w:rsidRPr="00C051A8">
        <w:rPr>
          <w:rFonts w:ascii="Bookman Old Style" w:hAnsi="Bookman Old Style"/>
          <w:b/>
        </w:rPr>
        <w:t>.</w:t>
      </w:r>
      <w:r>
        <w:rPr>
          <w:rFonts w:ascii="Bookman Old Style" w:hAnsi="Bookman Old Style"/>
          <w:b/>
        </w:rPr>
        <w:t xml:space="preserve"> DECLARAR </w:t>
      </w:r>
      <w:r>
        <w:rPr>
          <w:rFonts w:ascii="Bookman Old Style" w:hAnsi="Bookman Old Style"/>
        </w:rPr>
        <w:t>que las EMPRESAS PÚBLICAS DE MEDELLÍN E.S.P.,</w:t>
      </w:r>
      <w:r>
        <w:rPr>
          <w:rFonts w:ascii="Bookman Old Style" w:hAnsi="Bookman Old Style" w:cs="Arial"/>
        </w:rPr>
        <w:t xml:space="preserve"> pagaron la suma de </w:t>
      </w:r>
      <w:r>
        <w:rPr>
          <w:rFonts w:ascii="Bookman Old Style" w:hAnsi="Bookman Old Style"/>
        </w:rPr>
        <w:t>TRES MIL SEISCIENTOS CUARENTA MILLONES QUINIENTOS SESENTA MIL OCHOCIENTOS SESENTA Y NUEVE PESOS M/CTE</w:t>
      </w:r>
      <w:r>
        <w:rPr>
          <w:rFonts w:ascii="Bookman Old Style" w:hAnsi="Bookman Old Style" w:cs="Arial"/>
        </w:rPr>
        <w:t xml:space="preserve"> ($</w:t>
      </w:r>
      <w:r w:rsidRPr="006C02AF">
        <w:rPr>
          <w:rFonts w:ascii="Bookman Old Style" w:hAnsi="Bookman Old Style" w:cs="Arial"/>
        </w:rPr>
        <w:t>3</w:t>
      </w:r>
      <w:r>
        <w:rPr>
          <w:rFonts w:ascii="Bookman Old Style" w:hAnsi="Bookman Old Style" w:cs="Arial"/>
        </w:rPr>
        <w:t>.</w:t>
      </w:r>
      <w:r w:rsidRPr="006C02AF">
        <w:rPr>
          <w:rFonts w:ascii="Bookman Old Style" w:hAnsi="Bookman Old Style" w:cs="Arial"/>
        </w:rPr>
        <w:t>640</w:t>
      </w:r>
      <w:r>
        <w:rPr>
          <w:rFonts w:ascii="Bookman Old Style" w:hAnsi="Bookman Old Style" w:cs="Arial"/>
        </w:rPr>
        <w:t>.</w:t>
      </w:r>
      <w:r w:rsidRPr="006C02AF">
        <w:rPr>
          <w:rFonts w:ascii="Bookman Old Style" w:hAnsi="Bookman Old Style" w:cs="Arial"/>
        </w:rPr>
        <w:t>560</w:t>
      </w:r>
      <w:r>
        <w:rPr>
          <w:rFonts w:ascii="Bookman Old Style" w:hAnsi="Bookman Old Style" w:cs="Arial"/>
        </w:rPr>
        <w:t>.</w:t>
      </w:r>
      <w:r w:rsidRPr="006C02AF">
        <w:rPr>
          <w:rFonts w:ascii="Bookman Old Style" w:hAnsi="Bookman Old Style" w:cs="Arial"/>
        </w:rPr>
        <w:t>869</w:t>
      </w:r>
      <w:r>
        <w:rPr>
          <w:rFonts w:ascii="Bookman Old Style" w:hAnsi="Bookman Old Style" w:cs="Arial"/>
        </w:rPr>
        <w:t xml:space="preserve">) por concepto de la contribución especial señalada en la resolución CREG-143 de 2011. </w:t>
      </w:r>
    </w:p>
    <w:p w:rsidR="00FB7F69" w:rsidRDefault="00FB7F69" w:rsidP="00FB7F69">
      <w:pPr>
        <w:ind w:left="170"/>
        <w:jc w:val="both"/>
        <w:rPr>
          <w:rFonts w:ascii="Bookman Old Style" w:hAnsi="Bookman Old Style" w:cs="Arial"/>
        </w:rPr>
      </w:pPr>
    </w:p>
    <w:p w:rsidR="000C6857" w:rsidRDefault="000C6857" w:rsidP="00FB7F69">
      <w:pPr>
        <w:ind w:left="170"/>
        <w:jc w:val="both"/>
        <w:rPr>
          <w:rFonts w:ascii="Bookman Old Style" w:hAnsi="Bookman Old Style"/>
          <w:b/>
        </w:rPr>
      </w:pPr>
    </w:p>
    <w:p w:rsidR="00FB7F69" w:rsidRDefault="00FB7F69" w:rsidP="000C6857">
      <w:pPr>
        <w:ind w:left="0"/>
        <w:jc w:val="both"/>
        <w:rPr>
          <w:rFonts w:ascii="Bookman Old Style" w:hAnsi="Bookman Old Style" w:cs="Arial"/>
        </w:rPr>
      </w:pPr>
      <w:r w:rsidRPr="00C051A8">
        <w:rPr>
          <w:rFonts w:ascii="Bookman Old Style" w:hAnsi="Bookman Old Style"/>
          <w:b/>
        </w:rPr>
        <w:t xml:space="preserve">ARTÍCULO </w:t>
      </w:r>
      <w:r>
        <w:rPr>
          <w:rFonts w:ascii="Bookman Old Style" w:hAnsi="Bookman Old Style"/>
          <w:b/>
        </w:rPr>
        <w:t>4</w:t>
      </w:r>
      <w:r w:rsidRPr="00C051A8">
        <w:rPr>
          <w:rFonts w:ascii="Bookman Old Style" w:hAnsi="Bookman Old Style"/>
          <w:b/>
        </w:rPr>
        <w:t>.</w:t>
      </w:r>
      <w:r>
        <w:rPr>
          <w:rFonts w:ascii="Bookman Old Style" w:hAnsi="Bookman Old Style"/>
          <w:b/>
        </w:rPr>
        <w:t xml:space="preserve"> DEVOLVER </w:t>
      </w:r>
      <w:r>
        <w:rPr>
          <w:rFonts w:ascii="Bookman Old Style" w:hAnsi="Bookman Old Style"/>
        </w:rPr>
        <w:t>a las EMPRESAS PÚBLICAS DE MEDELLÍN E.S.P., la suma de TREINTA Y TRES MILLONES TRESCIENTOS CINCUENTA Y CINCO MIL NOVECIENTOS VEINTICUATRO PESOS M/CTE ($</w:t>
      </w:r>
      <w:r w:rsidRPr="006C02AF">
        <w:rPr>
          <w:rFonts w:ascii="Bookman Old Style" w:hAnsi="Bookman Old Style"/>
        </w:rPr>
        <w:t>33</w:t>
      </w:r>
      <w:r>
        <w:rPr>
          <w:rFonts w:ascii="Bookman Old Style" w:hAnsi="Bookman Old Style"/>
        </w:rPr>
        <w:t>.</w:t>
      </w:r>
      <w:r w:rsidRPr="006C02AF">
        <w:rPr>
          <w:rFonts w:ascii="Bookman Old Style" w:hAnsi="Bookman Old Style"/>
        </w:rPr>
        <w:t>355</w:t>
      </w:r>
      <w:r>
        <w:rPr>
          <w:rFonts w:ascii="Bookman Old Style" w:hAnsi="Bookman Old Style"/>
        </w:rPr>
        <w:t>.</w:t>
      </w:r>
      <w:r w:rsidRPr="006C02AF">
        <w:rPr>
          <w:rFonts w:ascii="Bookman Old Style" w:hAnsi="Bookman Old Style"/>
        </w:rPr>
        <w:t>924</w:t>
      </w:r>
      <w:r>
        <w:rPr>
          <w:rFonts w:ascii="Bookman Old Style" w:hAnsi="Bookman Old Style"/>
        </w:rPr>
        <w:t>) por concepto del mayor valor pagado, de acuerdo con lo señalado en el artículo 5 de la resolución CREG-175 de 2011</w:t>
      </w:r>
      <w:r>
        <w:rPr>
          <w:rFonts w:ascii="Bookman Old Style" w:hAnsi="Bookman Old Style" w:cs="Arial"/>
        </w:rPr>
        <w:t>.</w:t>
      </w:r>
    </w:p>
    <w:p w:rsidR="00FB7F69" w:rsidRPr="000C6857" w:rsidRDefault="00FB7F69" w:rsidP="000C6857">
      <w:pPr>
        <w:ind w:left="0"/>
        <w:jc w:val="both"/>
        <w:rPr>
          <w:rFonts w:ascii="Bookman Old Style" w:hAnsi="Bookman Old Style" w:cs="Arial"/>
          <w:sz w:val="32"/>
        </w:rPr>
      </w:pPr>
    </w:p>
    <w:p w:rsidR="00FB7F69" w:rsidRDefault="00FB7F69" w:rsidP="000C6857">
      <w:pPr>
        <w:ind w:left="0"/>
        <w:jc w:val="both"/>
        <w:rPr>
          <w:rFonts w:ascii="Bookman Old Style" w:hAnsi="Bookman Old Style" w:cs="Arial"/>
        </w:rPr>
      </w:pPr>
      <w:r w:rsidRPr="00C051A8">
        <w:rPr>
          <w:rFonts w:ascii="Bookman Old Style" w:hAnsi="Bookman Old Style"/>
          <w:b/>
        </w:rPr>
        <w:t xml:space="preserve">ARTÍCULO </w:t>
      </w:r>
      <w:r>
        <w:rPr>
          <w:rFonts w:ascii="Bookman Old Style" w:hAnsi="Bookman Old Style"/>
          <w:b/>
        </w:rPr>
        <w:t>5</w:t>
      </w:r>
      <w:r w:rsidRPr="00C051A8">
        <w:rPr>
          <w:rFonts w:ascii="Bookman Old Style" w:hAnsi="Bookman Old Style"/>
          <w:b/>
        </w:rPr>
        <w:t>.</w:t>
      </w:r>
      <w:r>
        <w:rPr>
          <w:rFonts w:ascii="Bookman Old Style" w:hAnsi="Bookman Old Style"/>
          <w:b/>
        </w:rPr>
        <w:t xml:space="preserve"> NOTIFICAR </w:t>
      </w:r>
      <w:r>
        <w:rPr>
          <w:rFonts w:ascii="Bookman Old Style" w:hAnsi="Bookman Old Style"/>
        </w:rPr>
        <w:t>al representante legal de las EMPRESAS PÚBLICAS DE MEDELLÍN E.S.P.</w:t>
      </w:r>
      <w:r>
        <w:rPr>
          <w:rFonts w:ascii="Bookman Old Style" w:hAnsi="Bookman Old Style" w:cs="Arial"/>
        </w:rPr>
        <w:t xml:space="preserve"> el contenido de la presente resolución, conforme con lo establecido en los artículos 44 y 45 del Código Contencioso Administrativo.</w:t>
      </w:r>
    </w:p>
    <w:p w:rsidR="00FB7F69" w:rsidRPr="000C6857" w:rsidRDefault="00FB7F69" w:rsidP="000C6857">
      <w:pPr>
        <w:ind w:left="0"/>
        <w:jc w:val="both"/>
        <w:rPr>
          <w:rFonts w:ascii="Bookman Old Style" w:hAnsi="Bookman Old Style" w:cs="Arial"/>
          <w:sz w:val="32"/>
        </w:rPr>
      </w:pPr>
    </w:p>
    <w:p w:rsidR="00FB7F69" w:rsidRDefault="00FB7F69" w:rsidP="000C6857">
      <w:pPr>
        <w:ind w:left="0"/>
        <w:jc w:val="both"/>
        <w:rPr>
          <w:rFonts w:ascii="Bookman Old Style" w:hAnsi="Bookman Old Style"/>
        </w:rPr>
      </w:pPr>
      <w:r w:rsidRPr="00C051A8">
        <w:rPr>
          <w:rFonts w:ascii="Bookman Old Style" w:hAnsi="Bookman Old Style"/>
          <w:b/>
        </w:rPr>
        <w:t xml:space="preserve">ARTÍCULO </w:t>
      </w:r>
      <w:r>
        <w:rPr>
          <w:rFonts w:ascii="Bookman Old Style" w:hAnsi="Bookman Old Style"/>
          <w:b/>
        </w:rPr>
        <w:t>6</w:t>
      </w:r>
      <w:r w:rsidRPr="00C051A8">
        <w:rPr>
          <w:rFonts w:ascii="Bookman Old Style" w:hAnsi="Bookman Old Style"/>
          <w:b/>
        </w:rPr>
        <w:t>.</w:t>
      </w:r>
      <w:r>
        <w:rPr>
          <w:rFonts w:ascii="Bookman Old Style" w:hAnsi="Bookman Old Style"/>
          <w:b/>
        </w:rPr>
        <w:t xml:space="preserve"> </w:t>
      </w:r>
      <w:r w:rsidRPr="00E8432B">
        <w:rPr>
          <w:rFonts w:ascii="Bookman Old Style" w:hAnsi="Bookman Old Style"/>
        </w:rPr>
        <w:t>Contra la presente resolución no procede recurso alguno</w:t>
      </w:r>
      <w:r>
        <w:rPr>
          <w:rFonts w:ascii="Bookman Old Style" w:hAnsi="Bookman Old Style"/>
        </w:rPr>
        <w:t>, quedando por lo tanto agotada la vía gubernativa.</w:t>
      </w:r>
    </w:p>
    <w:p w:rsidR="00FB7F69" w:rsidRDefault="00FB7F69" w:rsidP="000C6857">
      <w:pPr>
        <w:ind w:left="0"/>
        <w:jc w:val="both"/>
        <w:rPr>
          <w:rFonts w:ascii="Bookman Old Style" w:hAnsi="Bookman Old Style" w:cs="Arial"/>
        </w:rPr>
      </w:pPr>
    </w:p>
    <w:p w:rsidR="00FB7F69" w:rsidRDefault="00FB7F69" w:rsidP="000C6857">
      <w:pPr>
        <w:ind w:left="0"/>
        <w:jc w:val="both"/>
        <w:rPr>
          <w:rFonts w:ascii="Bookman Old Style" w:hAnsi="Bookman Old Style" w:cs="Arial"/>
        </w:rPr>
      </w:pPr>
    </w:p>
    <w:p w:rsidR="00FB7F69" w:rsidRDefault="00FB7F69" w:rsidP="000C6857">
      <w:pPr>
        <w:ind w:left="0"/>
        <w:jc w:val="center"/>
        <w:rPr>
          <w:rFonts w:ascii="Bookman Old Style" w:hAnsi="Bookman Old Style" w:cs="Arial"/>
          <w:b/>
        </w:rPr>
      </w:pPr>
      <w:r w:rsidRPr="00E8432B">
        <w:rPr>
          <w:rFonts w:ascii="Bookman Old Style" w:hAnsi="Bookman Old Style" w:cs="Arial"/>
          <w:b/>
        </w:rPr>
        <w:t>NOTIFÍQUESE Y CÚMPLASE</w:t>
      </w:r>
    </w:p>
    <w:p w:rsidR="00FB7F69" w:rsidRDefault="00FB7F69" w:rsidP="000C6857">
      <w:pPr>
        <w:ind w:left="0"/>
        <w:jc w:val="center"/>
        <w:rPr>
          <w:rFonts w:ascii="Bookman Old Style" w:hAnsi="Bookman Old Style" w:cs="Arial"/>
          <w:b/>
        </w:rPr>
      </w:pPr>
    </w:p>
    <w:p w:rsidR="00FB7F69" w:rsidRDefault="00FB7F69" w:rsidP="000C6857">
      <w:pPr>
        <w:ind w:left="0"/>
        <w:rPr>
          <w:rFonts w:ascii="Bookman Old Style" w:hAnsi="Bookman Old Style" w:cs="Arial"/>
        </w:rPr>
      </w:pPr>
    </w:p>
    <w:p w:rsidR="00FB7F69" w:rsidRPr="0026257D" w:rsidRDefault="00FB7F69" w:rsidP="000C6857">
      <w:pPr>
        <w:ind w:left="0"/>
        <w:rPr>
          <w:rFonts w:ascii="Bookman Old Style" w:hAnsi="Bookman Old Style" w:cs="Arial"/>
        </w:rPr>
      </w:pPr>
      <w:r w:rsidRPr="0026257D">
        <w:rPr>
          <w:rFonts w:ascii="Bookman Old Style" w:hAnsi="Bookman Old Style" w:cs="Arial"/>
        </w:rPr>
        <w:t>Dada en Bogotá D.C, a los</w:t>
      </w:r>
    </w:p>
    <w:p w:rsidR="00FB7F69" w:rsidRDefault="00FB7F69" w:rsidP="000C6857">
      <w:pPr>
        <w:ind w:left="0"/>
        <w:jc w:val="both"/>
        <w:rPr>
          <w:rFonts w:ascii="Bookman Old Style" w:hAnsi="Bookman Old Style" w:cs="Arial"/>
          <w:b/>
        </w:rPr>
      </w:pPr>
    </w:p>
    <w:p w:rsidR="00FB7F69" w:rsidRPr="00E8432B" w:rsidRDefault="00FB7F69" w:rsidP="00FB7F69">
      <w:pPr>
        <w:ind w:left="0"/>
        <w:jc w:val="both"/>
        <w:rPr>
          <w:rFonts w:ascii="Bookman Old Style" w:hAnsi="Bookman Old Style" w:cs="Arial"/>
          <w:b/>
          <w:color w:val="000000"/>
        </w:rPr>
      </w:pPr>
    </w:p>
    <w:p w:rsidR="00FB7F69" w:rsidRDefault="00FB7F69" w:rsidP="00FB7F69">
      <w:pPr>
        <w:ind w:left="170"/>
        <w:jc w:val="both"/>
        <w:rPr>
          <w:rFonts w:ascii="Bookman Old Style" w:hAnsi="Bookman Old Style" w:cs="Arial"/>
          <w:color w:val="000000"/>
        </w:rPr>
      </w:pPr>
    </w:p>
    <w:p w:rsidR="00D84580" w:rsidRDefault="00D84580" w:rsidP="00FB7F69">
      <w:pPr>
        <w:ind w:left="170"/>
        <w:jc w:val="both"/>
        <w:rPr>
          <w:rFonts w:ascii="Bookman Old Style" w:hAnsi="Bookman Old Style" w:cs="Arial"/>
          <w:color w:val="000000"/>
        </w:rPr>
      </w:pPr>
    </w:p>
    <w:p w:rsidR="00FB7F69" w:rsidRPr="00C051A8" w:rsidRDefault="00FB7F69" w:rsidP="00FB7F69">
      <w:pPr>
        <w:ind w:left="170"/>
        <w:jc w:val="both"/>
        <w:rPr>
          <w:rFonts w:ascii="Bookman Old Style" w:hAnsi="Bookman Old Style" w:cs="Arial"/>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4828"/>
        <w:gridCol w:w="4528"/>
      </w:tblGrid>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Pr>
                <w:rFonts w:ascii="Bookman Old Style" w:hAnsi="Bookman Old Style" w:cs="Arial"/>
                <w:b/>
                <w:bCs/>
              </w:rPr>
              <w:t>TOMÁS GONZÁLEZ ESTRADA</w:t>
            </w:r>
          </w:p>
        </w:tc>
        <w:tc>
          <w:tcPr>
            <w:tcW w:w="4655" w:type="dxa"/>
            <w:hideMark/>
          </w:tcPr>
          <w:p w:rsidR="00FB7F69" w:rsidRPr="00C051A8" w:rsidRDefault="00FB7F69" w:rsidP="00617704">
            <w:pPr>
              <w:ind w:left="170"/>
              <w:jc w:val="center"/>
              <w:rPr>
                <w:rFonts w:ascii="Bookman Old Style" w:hAnsi="Bookman Old Style" w:cs="Arial"/>
                <w:color w:val="000000"/>
              </w:rPr>
            </w:pPr>
            <w:r>
              <w:rPr>
                <w:rFonts w:ascii="Bookman Old Style" w:hAnsi="Bookman Old Style" w:cs="Arial"/>
                <w:b/>
                <w:bCs/>
                <w:color w:val="000000"/>
              </w:rPr>
              <w:t>GERMÁN CASTRO FERREIRA</w:t>
            </w:r>
          </w:p>
        </w:tc>
      </w:tr>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rPr>
              <w:t>Viceministr</w:t>
            </w:r>
            <w:r>
              <w:rPr>
                <w:rFonts w:ascii="Bookman Old Style" w:hAnsi="Bookman Old Style" w:cs="Arial"/>
              </w:rPr>
              <w:t>o</w:t>
            </w:r>
            <w:r w:rsidRPr="00C051A8">
              <w:rPr>
                <w:rFonts w:ascii="Bookman Old Style" w:hAnsi="Bookman Old Style" w:cs="Arial"/>
              </w:rPr>
              <w:t xml:space="preserve"> de Energía</w:t>
            </w:r>
          </w:p>
        </w:tc>
        <w:tc>
          <w:tcPr>
            <w:tcW w:w="4655"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color w:val="000000"/>
              </w:rPr>
              <w:t>Director Ejecutivo</w:t>
            </w:r>
          </w:p>
        </w:tc>
      </w:tr>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color w:val="000000"/>
              </w:rPr>
              <w:t>Delegad</w:t>
            </w:r>
            <w:r>
              <w:rPr>
                <w:rFonts w:ascii="Bookman Old Style" w:hAnsi="Bookman Old Style" w:cs="Arial"/>
                <w:color w:val="000000"/>
              </w:rPr>
              <w:t>o</w:t>
            </w:r>
            <w:r w:rsidRPr="00C051A8">
              <w:rPr>
                <w:rFonts w:ascii="Bookman Old Style" w:hAnsi="Bookman Old Style" w:cs="Arial"/>
                <w:color w:val="000000"/>
              </w:rPr>
              <w:t xml:space="preserve"> del Ministro de Minas y Energía</w:t>
            </w:r>
            <w:r w:rsidRPr="00C051A8">
              <w:rPr>
                <w:rFonts w:ascii="Bookman Old Style" w:hAnsi="Bookman Old Style" w:cs="Arial"/>
                <w:color w:val="000000"/>
              </w:rPr>
              <w:br/>
              <w:t>Presidente</w:t>
            </w:r>
          </w:p>
        </w:tc>
        <w:tc>
          <w:tcPr>
            <w:tcW w:w="4655"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noProof/>
                <w:color w:val="000000"/>
                <w:lang w:val="es-CO" w:eastAsia="es-CO"/>
              </w:rPr>
              <w:drawing>
                <wp:inline distT="0" distB="0" distL="0" distR="0" wp14:anchorId="7B907AC8" wp14:editId="70C354D2">
                  <wp:extent cx="152400" cy="9525"/>
                  <wp:effectExtent l="1905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srcRect/>
                          <a:stretch>
                            <a:fillRect/>
                          </a:stretch>
                        </pic:blipFill>
                        <pic:spPr bwMode="auto">
                          <a:xfrm>
                            <a:off x="0" y="0"/>
                            <a:ext cx="152400" cy="9525"/>
                          </a:xfrm>
                          <a:prstGeom prst="rect">
                            <a:avLst/>
                          </a:prstGeom>
                          <a:noFill/>
                          <a:ln w="9525">
                            <a:noFill/>
                            <a:miter lim="800000"/>
                            <a:headEnd/>
                            <a:tailEnd/>
                          </a:ln>
                        </pic:spPr>
                      </pic:pic>
                    </a:graphicData>
                  </a:graphic>
                </wp:inline>
              </w:drawing>
            </w:r>
          </w:p>
        </w:tc>
      </w:tr>
    </w:tbl>
    <w:p w:rsidR="00FB7F69" w:rsidRDefault="00FB7F69" w:rsidP="00FB7F69">
      <w:pPr>
        <w:pStyle w:val="Sinespaciado"/>
        <w:jc w:val="both"/>
        <w:rPr>
          <w:rFonts w:ascii="Bookman Old Style" w:hAnsi="Bookman Old Style" w:cs="Arial"/>
          <w:sz w:val="24"/>
          <w:szCs w:val="24"/>
        </w:rPr>
      </w:pPr>
    </w:p>
    <w:p w:rsidR="00FB7F69" w:rsidRPr="00C051A8" w:rsidRDefault="00FB7F69" w:rsidP="00FB7F69">
      <w:pPr>
        <w:pStyle w:val="Sinespaciado"/>
        <w:jc w:val="both"/>
        <w:rPr>
          <w:rFonts w:ascii="Bookman Old Style" w:hAnsi="Bookman Old Style" w:cs="Arial"/>
          <w:sz w:val="24"/>
          <w:szCs w:val="24"/>
        </w:rPr>
      </w:pPr>
    </w:p>
    <w:p w:rsidR="006675CD" w:rsidRPr="00FB7F69" w:rsidRDefault="006675CD" w:rsidP="00FB7F69"/>
    <w:sectPr w:rsidR="006675CD" w:rsidRPr="00FB7F69"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16" w:rsidRDefault="00227116">
      <w:r>
        <w:separator/>
      </w:r>
    </w:p>
  </w:endnote>
  <w:endnote w:type="continuationSeparator" w:id="0">
    <w:p w:rsidR="00227116" w:rsidRDefault="0022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16" w:rsidRDefault="00227116">
      <w:r>
        <w:separator/>
      </w:r>
    </w:p>
  </w:footnote>
  <w:footnote w:type="continuationSeparator" w:id="0">
    <w:p w:rsidR="00227116" w:rsidRDefault="00227116">
      <w:r>
        <w:continuationSeparator/>
      </w:r>
    </w:p>
  </w:footnote>
  <w:footnote w:id="1">
    <w:p w:rsidR="00227116" w:rsidRPr="00E1283C" w:rsidRDefault="00227116" w:rsidP="00FB7F69">
      <w:pPr>
        <w:pStyle w:val="Textonotapie"/>
        <w:jc w:val="both"/>
        <w:rPr>
          <w:i/>
        </w:rPr>
      </w:pPr>
      <w:r>
        <w:rPr>
          <w:rStyle w:val="Refdenotaalpie"/>
        </w:rPr>
        <w:footnoteRef/>
      </w:r>
      <w:r>
        <w:t>Sobre este punto expone el Honorable Consejo de Estado</w:t>
      </w:r>
      <w:r w:rsidRPr="00E1283C">
        <w:rPr>
          <w:i/>
        </w:rPr>
        <w:t>:“…. ni en el Plan General de la Contabilidad Pública contenido en la Resolución 354 de 2007 de la Contaduría General de la Nación, ni en el Modelo Instrumental del Plan de Contabilidad para los Entes Prestadores de Servicios Públicos Domiciliarios, expedido por la Superintendencia de Servicios Públicos Domiciliarios, aparecen los “gastos de funcionamiento” como una clase de gastos, lo que revela que el concepto no ha sido considerado como criterio contable para agrupar los distintos conceptos de gastos.”</w:t>
      </w:r>
    </w:p>
  </w:footnote>
  <w:footnote w:id="2">
    <w:p w:rsidR="00227116" w:rsidRPr="00264E97" w:rsidRDefault="00227116" w:rsidP="00FB7F69">
      <w:pPr>
        <w:pStyle w:val="Textonotapie"/>
        <w:rPr>
          <w:lang w:val="es-CO"/>
        </w:rPr>
      </w:pPr>
      <w:r>
        <w:rPr>
          <w:rStyle w:val="Refdenotaalpie"/>
        </w:rPr>
        <w:footnoteRef/>
      </w:r>
      <w:r>
        <w:t xml:space="preserve"> </w:t>
      </w:r>
      <w:r>
        <w:rPr>
          <w:lang w:val="es-CO"/>
        </w:rPr>
        <w:t>Consejo de Estado, Sección Cuarta, Sentencias 16874 y 16650 de 2010.</w:t>
      </w:r>
    </w:p>
  </w:footnote>
  <w:footnote w:id="3">
    <w:p w:rsidR="00227116" w:rsidRPr="00D640C3" w:rsidRDefault="00227116" w:rsidP="00FB7F69">
      <w:pPr>
        <w:pStyle w:val="Textonotapie"/>
        <w:rPr>
          <w:lang w:val="es-CO"/>
        </w:rPr>
      </w:pPr>
      <w:r w:rsidRPr="00D640C3">
        <w:rPr>
          <w:rStyle w:val="Refdenotaalpie"/>
        </w:rPr>
        <w:footnoteRef/>
      </w:r>
      <w:r w:rsidRPr="00D640C3">
        <w:t xml:space="preserve"> Consejo de Estado, Sala de Consulta y Servicio Civil, César Hoyos Salazar, 8 de febrero 2001, Expediente 1323</w:t>
      </w:r>
    </w:p>
  </w:footnote>
  <w:footnote w:id="4">
    <w:p w:rsidR="00227116" w:rsidRPr="002B6AD0" w:rsidRDefault="00227116" w:rsidP="00FB7F69">
      <w:pPr>
        <w:pStyle w:val="Textonotapie"/>
      </w:pPr>
      <w:r>
        <w:rPr>
          <w:rStyle w:val="Refdenotaalpie"/>
        </w:rPr>
        <w:footnoteRef/>
      </w:r>
      <w:r>
        <w:t xml:space="preserve"> Consejo De Estado, Sala de lo contencioso administrativo, Sección cuarta, Consejero Ponente: William Giraldo </w:t>
      </w:r>
      <w:proofErr w:type="spellStart"/>
      <w:r>
        <w:t>Giraldo</w:t>
      </w:r>
      <w:proofErr w:type="spellEnd"/>
      <w:r>
        <w:t>, Bogotá, D.C..</w:t>
      </w:r>
      <w:proofErr w:type="gramStart"/>
      <w:r>
        <w:t>,</w:t>
      </w:r>
      <w:proofErr w:type="gramEnd"/>
      <w:r>
        <w:t xml:space="preserve"> cuatro (4) de febrero de dos mil diez (2010), Radicación: 25000-23-27-000-2006-01004-01-17206.</w:t>
      </w:r>
    </w:p>
  </w:footnote>
  <w:footnote w:id="5">
    <w:p w:rsidR="00227116" w:rsidRDefault="00227116" w:rsidP="00FB7F69">
      <w:pPr>
        <w:pStyle w:val="Textonotapie"/>
        <w:jc w:val="both"/>
      </w:pPr>
      <w:r>
        <w:rPr>
          <w:rStyle w:val="Refdenotaalpie"/>
        </w:rPr>
        <w:footnoteRef/>
      </w:r>
      <w:r>
        <w:t xml:space="preserve"> Consejo De Estado, Sala De Lo Contencioso Administrativo. Sección Cuarta, Consejero Ponente: Juan  Ángel Palacio  Hincapié Bogotá, D.C., octubre trece (13) de dos mil cinco (2005). radicación número: 11001-03-27-000-2002-00116-01(13631) acumulado con al número: 11001-03-27-000-2003-00073-01(14122)</w:t>
      </w:r>
    </w:p>
    <w:p w:rsidR="00227116" w:rsidRPr="008905B4" w:rsidRDefault="00227116" w:rsidP="00FB7F69">
      <w:pPr>
        <w:pStyle w:val="Textonotapie"/>
      </w:pPr>
    </w:p>
  </w:footnote>
  <w:footnote w:id="6">
    <w:p w:rsidR="00227116" w:rsidRPr="003D5A97" w:rsidRDefault="00227116" w:rsidP="00FB7F69">
      <w:pPr>
        <w:pStyle w:val="Textonotapie"/>
        <w:rPr>
          <w:b/>
        </w:rPr>
      </w:pPr>
      <w:r>
        <w:rPr>
          <w:rStyle w:val="Refdenotaalpie"/>
        </w:rPr>
        <w:footnoteRef/>
      </w:r>
      <w:r>
        <w:t xml:space="preserve"> </w:t>
      </w:r>
    </w:p>
    <w:p w:rsidR="00227116" w:rsidRPr="003D5A97" w:rsidRDefault="00227116" w:rsidP="00FB7F69">
      <w:pPr>
        <w:pStyle w:val="Textonotapie"/>
      </w:pPr>
      <w:r w:rsidRPr="003D5A97">
        <w:t>Consejo de estado</w:t>
      </w:r>
      <w:r>
        <w:t xml:space="preserve">, </w:t>
      </w:r>
      <w:r w:rsidRPr="003D5A97">
        <w:t>Sala de lo contencioso administrativo</w:t>
      </w:r>
      <w:r>
        <w:t xml:space="preserve">, </w:t>
      </w:r>
      <w:r w:rsidRPr="003D5A97">
        <w:t>Sección segunda</w:t>
      </w:r>
      <w:r>
        <w:t xml:space="preserve">, </w:t>
      </w:r>
      <w:r w:rsidRPr="003D5A97">
        <w:t>Subsección "</w:t>
      </w:r>
      <w:r>
        <w:t>A</w:t>
      </w:r>
      <w:r w:rsidRPr="003D5A97">
        <w:t>"</w:t>
      </w:r>
      <w:r>
        <w:t xml:space="preserve">, </w:t>
      </w:r>
      <w:r w:rsidRPr="003D5A97">
        <w:t>Consejero ponente: Alfonso Vargas Rincón</w:t>
      </w:r>
      <w:r>
        <w:t xml:space="preserve"> Bogotá, D.C</w:t>
      </w:r>
      <w:r w:rsidRPr="003D5A97">
        <w:t xml:space="preserve">, </w:t>
      </w:r>
      <w:r w:rsidRPr="003D5A97">
        <w:rPr>
          <w:lang w:val="es-MX"/>
        </w:rPr>
        <w:t>cuatro (4) de marzo de dos mil diez (2010)</w:t>
      </w:r>
      <w:r>
        <w:t xml:space="preserve"> </w:t>
      </w:r>
      <w:r w:rsidRPr="003D5A97">
        <w:t>Radicación número: 11001-03-25-000-2003-00360-01(3875-03)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16" w:rsidRDefault="00227116" w:rsidP="00951F79">
    <w:pPr>
      <w:pStyle w:val="Ttulo1"/>
      <w:ind w:right="6"/>
      <w:jc w:val="left"/>
      <w:rPr>
        <w:rFonts w:ascii="Bookman Old Style" w:hAnsi="Bookman Old Style" w:cs="Arial"/>
        <w:b w:val="0"/>
        <w:sz w:val="22"/>
        <w:szCs w:val="22"/>
      </w:rPr>
    </w:pPr>
  </w:p>
  <w:p w:rsidR="00227116" w:rsidRPr="00951F79" w:rsidRDefault="0022711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15035">
      <w:rPr>
        <w:rFonts w:ascii="Bookman Old Style" w:hAnsi="Bookman Old Style" w:cs="Arial"/>
        <w:b w:val="0"/>
        <w:noProof/>
        <w:sz w:val="22"/>
        <w:szCs w:val="22"/>
      </w:rPr>
      <w:t>26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15035">
      <w:fldChar w:fldCharType="begin"/>
    </w:r>
    <w:r w:rsidR="00C15035">
      <w:instrText xml:space="preserve"> NUMPAGES  \* MERGEFORMAT </w:instrText>
    </w:r>
    <w:r w:rsidR="00C15035">
      <w:fldChar w:fldCharType="separate"/>
    </w:r>
    <w:r w:rsidR="00C15035" w:rsidRPr="00C15035">
      <w:rPr>
        <w:rFonts w:ascii="Bookman Old Style" w:hAnsi="Bookman Old Style" w:cs="Arial"/>
        <w:b w:val="0"/>
        <w:noProof/>
        <w:sz w:val="22"/>
        <w:szCs w:val="22"/>
      </w:rPr>
      <w:t>26</w:t>
    </w:r>
    <w:r w:rsidR="00C15035">
      <w:rPr>
        <w:rFonts w:ascii="Bookman Old Style" w:hAnsi="Bookman Old Style" w:cs="Arial"/>
        <w:b w:val="0"/>
        <w:noProof/>
        <w:sz w:val="22"/>
        <w:szCs w:val="22"/>
      </w:rPr>
      <w:fldChar w:fldCharType="end"/>
    </w:r>
  </w:p>
  <w:p w:rsidR="00227116" w:rsidRDefault="00227116"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5330969" wp14:editId="21FCE36A">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227116" w:rsidP="00617704">
    <w:pPr>
      <w:ind w:left="0"/>
      <w:jc w:val="both"/>
      <w:rPr>
        <w:rFonts w:ascii="Bookman Old Style" w:hAnsi="Bookman Old Style" w:cs="Arial"/>
        <w:sz w:val="22"/>
        <w:szCs w:val="22"/>
      </w:rPr>
    </w:pPr>
    <w:r w:rsidRPr="00617704">
      <w:rPr>
        <w:rFonts w:ascii="Bookman Old Style" w:hAnsi="Bookman Old Style" w:cs="Arial"/>
        <w:sz w:val="22"/>
        <w:szCs w:val="22"/>
      </w:rPr>
      <w:t>Por medio de la cual se resuelve un recurso de reposición en contra de la Resolución CREG 175 de 2011</w:t>
    </w:r>
  </w:p>
  <w:p w:rsidR="00227116" w:rsidRPr="00CB5DD0" w:rsidRDefault="00227116"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16" w:rsidRDefault="00227116"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227116">
    <w:pPr>
      <w:pStyle w:val="Encabezado"/>
      <w:jc w:val="center"/>
      <w:rPr>
        <w:rFonts w:ascii="Arial" w:hAnsi="Arial" w:cs="Arial"/>
        <w:spacing w:val="20"/>
        <w:sz w:val="20"/>
      </w:rPr>
    </w:pPr>
  </w:p>
  <w:p w:rsidR="00227116" w:rsidRDefault="0022711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621F295" wp14:editId="3F642B26">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F8257D"/>
    <w:multiLevelType w:val="hybridMultilevel"/>
    <w:tmpl w:val="B5562946"/>
    <w:lvl w:ilvl="0" w:tplc="0CCE7BF4">
      <w:start w:val="3"/>
      <w:numFmt w:val="bullet"/>
      <w:lvlText w:val=""/>
      <w:lvlJc w:val="left"/>
      <w:pPr>
        <w:ind w:left="1077" w:hanging="360"/>
      </w:pPr>
      <w:rPr>
        <w:rFonts w:ascii="Symbol" w:eastAsia="Times New Roman" w:hAnsi="Symbol" w:cs="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5">
    <w:nsid w:val="15C96404"/>
    <w:multiLevelType w:val="hybridMultilevel"/>
    <w:tmpl w:val="D40A1D7E"/>
    <w:lvl w:ilvl="0" w:tplc="58E84DD8">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6">
    <w:nsid w:val="1EC23274"/>
    <w:multiLevelType w:val="hybridMultilevel"/>
    <w:tmpl w:val="72B63080"/>
    <w:lvl w:ilvl="0" w:tplc="EE90B4A8">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178213F"/>
    <w:multiLevelType w:val="hybridMultilevel"/>
    <w:tmpl w:val="CD9C77C2"/>
    <w:lvl w:ilvl="0" w:tplc="EDFEC6A6">
      <w:start w:val="1"/>
      <w:numFmt w:val="decimal"/>
      <w:lvlText w:val="%1."/>
      <w:lvlJc w:val="left"/>
      <w:pPr>
        <w:ind w:left="530" w:hanging="360"/>
      </w:pPr>
      <w:rPr>
        <w:rFonts w:hint="default"/>
        <w:sz w:val="24"/>
        <w:szCs w:val="24"/>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8">
    <w:nsid w:val="23831E60"/>
    <w:multiLevelType w:val="hybridMultilevel"/>
    <w:tmpl w:val="0882C4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7A4E1B"/>
    <w:multiLevelType w:val="hybridMultilevel"/>
    <w:tmpl w:val="773EEAE8"/>
    <w:lvl w:ilvl="0" w:tplc="6C825630">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EB5205D"/>
    <w:multiLevelType w:val="hybridMultilevel"/>
    <w:tmpl w:val="CE529B4A"/>
    <w:lvl w:ilvl="0" w:tplc="E7984822">
      <w:start w:val="1"/>
      <w:numFmt w:val="decimal"/>
      <w:lvlText w:val="%1."/>
      <w:lvlJc w:val="left"/>
      <w:pPr>
        <w:ind w:left="942" w:hanging="37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nsid w:val="30ED1F9A"/>
    <w:multiLevelType w:val="hybridMultilevel"/>
    <w:tmpl w:val="B3683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379783B"/>
    <w:multiLevelType w:val="hybridMultilevel"/>
    <w:tmpl w:val="86B095B8"/>
    <w:lvl w:ilvl="0" w:tplc="5E8450E4">
      <w:start w:val="1"/>
      <w:numFmt w:val="decimal"/>
      <w:lvlText w:val="2.%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051DE"/>
    <w:multiLevelType w:val="hybridMultilevel"/>
    <w:tmpl w:val="C1820B34"/>
    <w:lvl w:ilvl="0" w:tplc="680E6B46">
      <w:start w:val="3"/>
      <w:numFmt w:val="bullet"/>
      <w:lvlText w:val=""/>
      <w:lvlJc w:val="left"/>
      <w:pPr>
        <w:ind w:left="2520" w:hanging="360"/>
      </w:pPr>
      <w:rPr>
        <w:rFonts w:ascii="Symbol" w:eastAsia="Times New Roman" w:hAnsi="Symbol" w:cs="Times New Roman"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D0D2EA0"/>
    <w:multiLevelType w:val="hybridMultilevel"/>
    <w:tmpl w:val="0FAE0988"/>
    <w:lvl w:ilvl="0" w:tplc="688052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nsid w:val="58A16BC6"/>
    <w:multiLevelType w:val="hybridMultilevel"/>
    <w:tmpl w:val="F64A23B6"/>
    <w:lvl w:ilvl="0" w:tplc="DB0CF014">
      <w:start w:val="1"/>
      <w:numFmt w:val="decimal"/>
      <w:lvlText w:val="%1."/>
      <w:lvlJc w:val="left"/>
      <w:pPr>
        <w:ind w:left="942" w:hanging="37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6365781C"/>
    <w:multiLevelType w:val="hybridMultilevel"/>
    <w:tmpl w:val="D40A2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8060C8C"/>
    <w:multiLevelType w:val="hybridMultilevel"/>
    <w:tmpl w:val="379CB43E"/>
    <w:lvl w:ilvl="0" w:tplc="ADC85E46">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26">
    <w:nsid w:val="6ADF420A"/>
    <w:multiLevelType w:val="hybridMultilevel"/>
    <w:tmpl w:val="8D1E5926"/>
    <w:lvl w:ilvl="0" w:tplc="5EFC7B5A">
      <w:start w:val="1"/>
      <w:numFmt w:val="bullet"/>
      <w:lvlText w:val="•"/>
      <w:lvlJc w:val="left"/>
      <w:pPr>
        <w:tabs>
          <w:tab w:val="num" w:pos="720"/>
        </w:tabs>
        <w:ind w:left="720" w:hanging="360"/>
      </w:pPr>
      <w:rPr>
        <w:rFonts w:ascii="Arial" w:hAnsi="Arial" w:hint="default"/>
      </w:rPr>
    </w:lvl>
    <w:lvl w:ilvl="1" w:tplc="C254868A" w:tentative="1">
      <w:start w:val="1"/>
      <w:numFmt w:val="bullet"/>
      <w:lvlText w:val="•"/>
      <w:lvlJc w:val="left"/>
      <w:pPr>
        <w:tabs>
          <w:tab w:val="num" w:pos="1440"/>
        </w:tabs>
        <w:ind w:left="1440" w:hanging="360"/>
      </w:pPr>
      <w:rPr>
        <w:rFonts w:ascii="Arial" w:hAnsi="Arial" w:hint="default"/>
      </w:rPr>
    </w:lvl>
    <w:lvl w:ilvl="2" w:tplc="E0FE22D6" w:tentative="1">
      <w:start w:val="1"/>
      <w:numFmt w:val="bullet"/>
      <w:lvlText w:val="•"/>
      <w:lvlJc w:val="left"/>
      <w:pPr>
        <w:tabs>
          <w:tab w:val="num" w:pos="2160"/>
        </w:tabs>
        <w:ind w:left="2160" w:hanging="360"/>
      </w:pPr>
      <w:rPr>
        <w:rFonts w:ascii="Arial" w:hAnsi="Arial" w:hint="default"/>
      </w:rPr>
    </w:lvl>
    <w:lvl w:ilvl="3" w:tplc="F2B6E006" w:tentative="1">
      <w:start w:val="1"/>
      <w:numFmt w:val="bullet"/>
      <w:lvlText w:val="•"/>
      <w:lvlJc w:val="left"/>
      <w:pPr>
        <w:tabs>
          <w:tab w:val="num" w:pos="2880"/>
        </w:tabs>
        <w:ind w:left="2880" w:hanging="360"/>
      </w:pPr>
      <w:rPr>
        <w:rFonts w:ascii="Arial" w:hAnsi="Arial" w:hint="default"/>
      </w:rPr>
    </w:lvl>
    <w:lvl w:ilvl="4" w:tplc="F6A80D46" w:tentative="1">
      <w:start w:val="1"/>
      <w:numFmt w:val="bullet"/>
      <w:lvlText w:val="•"/>
      <w:lvlJc w:val="left"/>
      <w:pPr>
        <w:tabs>
          <w:tab w:val="num" w:pos="3600"/>
        </w:tabs>
        <w:ind w:left="3600" w:hanging="360"/>
      </w:pPr>
      <w:rPr>
        <w:rFonts w:ascii="Arial" w:hAnsi="Arial" w:hint="default"/>
      </w:rPr>
    </w:lvl>
    <w:lvl w:ilvl="5" w:tplc="B2502958" w:tentative="1">
      <w:start w:val="1"/>
      <w:numFmt w:val="bullet"/>
      <w:lvlText w:val="•"/>
      <w:lvlJc w:val="left"/>
      <w:pPr>
        <w:tabs>
          <w:tab w:val="num" w:pos="4320"/>
        </w:tabs>
        <w:ind w:left="4320" w:hanging="360"/>
      </w:pPr>
      <w:rPr>
        <w:rFonts w:ascii="Arial" w:hAnsi="Arial" w:hint="default"/>
      </w:rPr>
    </w:lvl>
    <w:lvl w:ilvl="6" w:tplc="62C6A440" w:tentative="1">
      <w:start w:val="1"/>
      <w:numFmt w:val="bullet"/>
      <w:lvlText w:val="•"/>
      <w:lvlJc w:val="left"/>
      <w:pPr>
        <w:tabs>
          <w:tab w:val="num" w:pos="5040"/>
        </w:tabs>
        <w:ind w:left="5040" w:hanging="360"/>
      </w:pPr>
      <w:rPr>
        <w:rFonts w:ascii="Arial" w:hAnsi="Arial" w:hint="default"/>
      </w:rPr>
    </w:lvl>
    <w:lvl w:ilvl="7" w:tplc="9DD213BA" w:tentative="1">
      <w:start w:val="1"/>
      <w:numFmt w:val="bullet"/>
      <w:lvlText w:val="•"/>
      <w:lvlJc w:val="left"/>
      <w:pPr>
        <w:tabs>
          <w:tab w:val="num" w:pos="5760"/>
        </w:tabs>
        <w:ind w:left="5760" w:hanging="360"/>
      </w:pPr>
      <w:rPr>
        <w:rFonts w:ascii="Arial" w:hAnsi="Arial" w:hint="default"/>
      </w:rPr>
    </w:lvl>
    <w:lvl w:ilvl="8" w:tplc="3C7E1E72" w:tentative="1">
      <w:start w:val="1"/>
      <w:numFmt w:val="bullet"/>
      <w:lvlText w:val="•"/>
      <w:lvlJc w:val="left"/>
      <w:pPr>
        <w:tabs>
          <w:tab w:val="num" w:pos="6480"/>
        </w:tabs>
        <w:ind w:left="6480" w:hanging="360"/>
      </w:pPr>
      <w:rPr>
        <w:rFonts w:ascii="Arial" w:hAnsi="Arial" w:hint="default"/>
      </w:rPr>
    </w:lvl>
  </w:abstractNum>
  <w:abstractNum w:abstractNumId="27">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5FC0DDC"/>
    <w:multiLevelType w:val="hybridMultilevel"/>
    <w:tmpl w:val="D766E370"/>
    <w:lvl w:ilvl="0" w:tplc="95AED278">
      <w:start w:val="1"/>
      <w:numFmt w:val="lowerLetter"/>
      <w:lvlText w:val="%1."/>
      <w:lvlJc w:val="left"/>
      <w:pPr>
        <w:ind w:left="530" w:hanging="360"/>
      </w:pPr>
      <w:rPr>
        <w:rFonts w:hint="default"/>
      </w:rPr>
    </w:lvl>
    <w:lvl w:ilvl="1" w:tplc="240A0019" w:tentative="1">
      <w:start w:val="1"/>
      <w:numFmt w:val="lowerLetter"/>
      <w:lvlText w:val="%2."/>
      <w:lvlJc w:val="left"/>
      <w:pPr>
        <w:ind w:left="1250" w:hanging="360"/>
      </w:pPr>
    </w:lvl>
    <w:lvl w:ilvl="2" w:tplc="240A001B" w:tentative="1">
      <w:start w:val="1"/>
      <w:numFmt w:val="lowerRoman"/>
      <w:lvlText w:val="%3."/>
      <w:lvlJc w:val="right"/>
      <w:pPr>
        <w:ind w:left="1970" w:hanging="180"/>
      </w:pPr>
    </w:lvl>
    <w:lvl w:ilvl="3" w:tplc="240A000F" w:tentative="1">
      <w:start w:val="1"/>
      <w:numFmt w:val="decimal"/>
      <w:lvlText w:val="%4."/>
      <w:lvlJc w:val="left"/>
      <w:pPr>
        <w:ind w:left="2690" w:hanging="360"/>
      </w:pPr>
    </w:lvl>
    <w:lvl w:ilvl="4" w:tplc="240A0019" w:tentative="1">
      <w:start w:val="1"/>
      <w:numFmt w:val="lowerLetter"/>
      <w:lvlText w:val="%5."/>
      <w:lvlJc w:val="left"/>
      <w:pPr>
        <w:ind w:left="3410" w:hanging="360"/>
      </w:pPr>
    </w:lvl>
    <w:lvl w:ilvl="5" w:tplc="240A001B" w:tentative="1">
      <w:start w:val="1"/>
      <w:numFmt w:val="lowerRoman"/>
      <w:lvlText w:val="%6."/>
      <w:lvlJc w:val="right"/>
      <w:pPr>
        <w:ind w:left="4130" w:hanging="180"/>
      </w:pPr>
    </w:lvl>
    <w:lvl w:ilvl="6" w:tplc="240A000F" w:tentative="1">
      <w:start w:val="1"/>
      <w:numFmt w:val="decimal"/>
      <w:lvlText w:val="%7."/>
      <w:lvlJc w:val="left"/>
      <w:pPr>
        <w:ind w:left="4850" w:hanging="360"/>
      </w:pPr>
    </w:lvl>
    <w:lvl w:ilvl="7" w:tplc="240A0019" w:tentative="1">
      <w:start w:val="1"/>
      <w:numFmt w:val="lowerLetter"/>
      <w:lvlText w:val="%8."/>
      <w:lvlJc w:val="left"/>
      <w:pPr>
        <w:ind w:left="5570" w:hanging="360"/>
      </w:pPr>
    </w:lvl>
    <w:lvl w:ilvl="8" w:tplc="240A001B" w:tentative="1">
      <w:start w:val="1"/>
      <w:numFmt w:val="lowerRoman"/>
      <w:lvlText w:val="%9."/>
      <w:lvlJc w:val="right"/>
      <w:pPr>
        <w:ind w:left="6290" w:hanging="180"/>
      </w:pPr>
    </w:lvl>
  </w:abstractNum>
  <w:abstractNum w:abstractNumId="29">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9"/>
  </w:num>
  <w:num w:numId="4">
    <w:abstractNumId w:val="9"/>
  </w:num>
  <w:num w:numId="5">
    <w:abstractNumId w:val="21"/>
  </w:num>
  <w:num w:numId="6">
    <w:abstractNumId w:val="1"/>
  </w:num>
  <w:num w:numId="7">
    <w:abstractNumId w:val="0"/>
  </w:num>
  <w:num w:numId="8">
    <w:abstractNumId w:val="23"/>
  </w:num>
  <w:num w:numId="9">
    <w:abstractNumId w:val="22"/>
  </w:num>
  <w:num w:numId="10">
    <w:abstractNumId w:val="18"/>
  </w:num>
  <w:num w:numId="11">
    <w:abstractNumId w:val="30"/>
  </w:num>
  <w:num w:numId="12">
    <w:abstractNumId w:val="27"/>
  </w:num>
  <w:num w:numId="13">
    <w:abstractNumId w:val="14"/>
  </w:num>
  <w:num w:numId="14">
    <w:abstractNumId w:val="5"/>
  </w:num>
  <w:num w:numId="15">
    <w:abstractNumId w:val="8"/>
  </w:num>
  <w:num w:numId="16">
    <w:abstractNumId w:val="7"/>
  </w:num>
  <w:num w:numId="17">
    <w:abstractNumId w:val="16"/>
  </w:num>
  <w:num w:numId="18">
    <w:abstractNumId w:val="25"/>
  </w:num>
  <w:num w:numId="19">
    <w:abstractNumId w:val="13"/>
  </w:num>
  <w:num w:numId="20">
    <w:abstractNumId w:val="15"/>
  </w:num>
  <w:num w:numId="21">
    <w:abstractNumId w:val="4"/>
  </w:num>
  <w:num w:numId="22">
    <w:abstractNumId w:val="19"/>
  </w:num>
  <w:num w:numId="23">
    <w:abstractNumId w:val="28"/>
  </w:num>
  <w:num w:numId="24">
    <w:abstractNumId w:val="24"/>
  </w:num>
  <w:num w:numId="25">
    <w:abstractNumId w:val="12"/>
  </w:num>
  <w:num w:numId="26">
    <w:abstractNumId w:val="10"/>
  </w:num>
  <w:num w:numId="27">
    <w:abstractNumId w:val="11"/>
  </w:num>
  <w:num w:numId="28">
    <w:abstractNumId w:val="20"/>
  </w:num>
  <w:num w:numId="29">
    <w:abstractNumId w:val="6"/>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70F4"/>
    <w:rsid w:val="00025383"/>
    <w:rsid w:val="00045A70"/>
    <w:rsid w:val="00047121"/>
    <w:rsid w:val="00063657"/>
    <w:rsid w:val="000660F1"/>
    <w:rsid w:val="000701C5"/>
    <w:rsid w:val="00073C48"/>
    <w:rsid w:val="00076643"/>
    <w:rsid w:val="00076680"/>
    <w:rsid w:val="00077A2B"/>
    <w:rsid w:val="0008073E"/>
    <w:rsid w:val="00083389"/>
    <w:rsid w:val="00083603"/>
    <w:rsid w:val="00087F5F"/>
    <w:rsid w:val="00091CDB"/>
    <w:rsid w:val="000A19AC"/>
    <w:rsid w:val="000A1F5E"/>
    <w:rsid w:val="000C6857"/>
    <w:rsid w:val="000D26F8"/>
    <w:rsid w:val="000D5E22"/>
    <w:rsid w:val="000E4BA9"/>
    <w:rsid w:val="00112D58"/>
    <w:rsid w:val="00117EE2"/>
    <w:rsid w:val="001232CD"/>
    <w:rsid w:val="00123F54"/>
    <w:rsid w:val="001332AC"/>
    <w:rsid w:val="00136A8E"/>
    <w:rsid w:val="001405C6"/>
    <w:rsid w:val="00141013"/>
    <w:rsid w:val="00162B93"/>
    <w:rsid w:val="00184AA7"/>
    <w:rsid w:val="00190880"/>
    <w:rsid w:val="00192CBF"/>
    <w:rsid w:val="00192FF1"/>
    <w:rsid w:val="001972AD"/>
    <w:rsid w:val="001A18CE"/>
    <w:rsid w:val="001A5F1B"/>
    <w:rsid w:val="001A758C"/>
    <w:rsid w:val="001B1C22"/>
    <w:rsid w:val="001B34C6"/>
    <w:rsid w:val="001C5355"/>
    <w:rsid w:val="001D7832"/>
    <w:rsid w:val="001E6C65"/>
    <w:rsid w:val="001F17FF"/>
    <w:rsid w:val="001F780F"/>
    <w:rsid w:val="002073B8"/>
    <w:rsid w:val="00211D34"/>
    <w:rsid w:val="00214F04"/>
    <w:rsid w:val="00227116"/>
    <w:rsid w:val="0023309C"/>
    <w:rsid w:val="0024490F"/>
    <w:rsid w:val="0025652B"/>
    <w:rsid w:val="00266CD6"/>
    <w:rsid w:val="002725F5"/>
    <w:rsid w:val="002852CB"/>
    <w:rsid w:val="00286AB0"/>
    <w:rsid w:val="002A2365"/>
    <w:rsid w:val="002B11E2"/>
    <w:rsid w:val="002B1E8F"/>
    <w:rsid w:val="002B24B8"/>
    <w:rsid w:val="002B5BBE"/>
    <w:rsid w:val="002C04A7"/>
    <w:rsid w:val="002C24A8"/>
    <w:rsid w:val="002D375C"/>
    <w:rsid w:val="002D3AE9"/>
    <w:rsid w:val="002D5E14"/>
    <w:rsid w:val="002E4FCA"/>
    <w:rsid w:val="002F0734"/>
    <w:rsid w:val="002F46E7"/>
    <w:rsid w:val="002F5196"/>
    <w:rsid w:val="002F768A"/>
    <w:rsid w:val="0030405F"/>
    <w:rsid w:val="003101DA"/>
    <w:rsid w:val="00314757"/>
    <w:rsid w:val="003211CE"/>
    <w:rsid w:val="003309B3"/>
    <w:rsid w:val="00336D06"/>
    <w:rsid w:val="00350ECC"/>
    <w:rsid w:val="0036394B"/>
    <w:rsid w:val="003709B5"/>
    <w:rsid w:val="0037171B"/>
    <w:rsid w:val="003759C2"/>
    <w:rsid w:val="00397365"/>
    <w:rsid w:val="003A31F6"/>
    <w:rsid w:val="003B3FC7"/>
    <w:rsid w:val="003B6778"/>
    <w:rsid w:val="003C3447"/>
    <w:rsid w:val="003C6DD4"/>
    <w:rsid w:val="003D076C"/>
    <w:rsid w:val="003D2C3F"/>
    <w:rsid w:val="003E555D"/>
    <w:rsid w:val="00401AB2"/>
    <w:rsid w:val="00415BAB"/>
    <w:rsid w:val="00415ED2"/>
    <w:rsid w:val="004216F3"/>
    <w:rsid w:val="00434D05"/>
    <w:rsid w:val="00435ACA"/>
    <w:rsid w:val="00442C7E"/>
    <w:rsid w:val="00443E1F"/>
    <w:rsid w:val="00446C8B"/>
    <w:rsid w:val="00447D79"/>
    <w:rsid w:val="0046483A"/>
    <w:rsid w:val="00465A28"/>
    <w:rsid w:val="00467C0B"/>
    <w:rsid w:val="0047122B"/>
    <w:rsid w:val="00473B7A"/>
    <w:rsid w:val="00483093"/>
    <w:rsid w:val="00484E2D"/>
    <w:rsid w:val="004A1CF6"/>
    <w:rsid w:val="004A2E88"/>
    <w:rsid w:val="004A5305"/>
    <w:rsid w:val="004A63E2"/>
    <w:rsid w:val="004D45B7"/>
    <w:rsid w:val="004D7634"/>
    <w:rsid w:val="005300D3"/>
    <w:rsid w:val="00544F82"/>
    <w:rsid w:val="0055084E"/>
    <w:rsid w:val="00556CF9"/>
    <w:rsid w:val="00593C4F"/>
    <w:rsid w:val="005946A8"/>
    <w:rsid w:val="00597E59"/>
    <w:rsid w:val="005A4407"/>
    <w:rsid w:val="005A59EF"/>
    <w:rsid w:val="005B5BE4"/>
    <w:rsid w:val="005D6AF6"/>
    <w:rsid w:val="00617704"/>
    <w:rsid w:val="00625DC6"/>
    <w:rsid w:val="00651821"/>
    <w:rsid w:val="00654384"/>
    <w:rsid w:val="00657CD2"/>
    <w:rsid w:val="00663D20"/>
    <w:rsid w:val="006675CD"/>
    <w:rsid w:val="0067106A"/>
    <w:rsid w:val="006710AF"/>
    <w:rsid w:val="00684D9B"/>
    <w:rsid w:val="00687C56"/>
    <w:rsid w:val="00697556"/>
    <w:rsid w:val="006A2E15"/>
    <w:rsid w:val="006A6322"/>
    <w:rsid w:val="006B4C2B"/>
    <w:rsid w:val="006B6D47"/>
    <w:rsid w:val="006C02AF"/>
    <w:rsid w:val="006C3E12"/>
    <w:rsid w:val="006C6918"/>
    <w:rsid w:val="006C6CE8"/>
    <w:rsid w:val="006F08E2"/>
    <w:rsid w:val="006F5186"/>
    <w:rsid w:val="006F6D95"/>
    <w:rsid w:val="006F7AAC"/>
    <w:rsid w:val="00706F13"/>
    <w:rsid w:val="007072E8"/>
    <w:rsid w:val="00712417"/>
    <w:rsid w:val="0071618D"/>
    <w:rsid w:val="00722C2D"/>
    <w:rsid w:val="00725BA4"/>
    <w:rsid w:val="00725FA4"/>
    <w:rsid w:val="00740446"/>
    <w:rsid w:val="007438A9"/>
    <w:rsid w:val="0074491E"/>
    <w:rsid w:val="00755783"/>
    <w:rsid w:val="00775964"/>
    <w:rsid w:val="007763DC"/>
    <w:rsid w:val="00776C34"/>
    <w:rsid w:val="007809FF"/>
    <w:rsid w:val="00795BFB"/>
    <w:rsid w:val="00796B49"/>
    <w:rsid w:val="007A540F"/>
    <w:rsid w:val="007B2760"/>
    <w:rsid w:val="007B30C4"/>
    <w:rsid w:val="007C2921"/>
    <w:rsid w:val="007C3AAF"/>
    <w:rsid w:val="007E379B"/>
    <w:rsid w:val="007E5258"/>
    <w:rsid w:val="00806C01"/>
    <w:rsid w:val="008148CC"/>
    <w:rsid w:val="008211A4"/>
    <w:rsid w:val="0083440D"/>
    <w:rsid w:val="00842572"/>
    <w:rsid w:val="00843511"/>
    <w:rsid w:val="0084375E"/>
    <w:rsid w:val="00873150"/>
    <w:rsid w:val="0087657D"/>
    <w:rsid w:val="008807D5"/>
    <w:rsid w:val="00880832"/>
    <w:rsid w:val="00880C11"/>
    <w:rsid w:val="0088221A"/>
    <w:rsid w:val="00886EE1"/>
    <w:rsid w:val="0088727D"/>
    <w:rsid w:val="00891BA1"/>
    <w:rsid w:val="00897C75"/>
    <w:rsid w:val="008D13AD"/>
    <w:rsid w:val="008D18E6"/>
    <w:rsid w:val="008D469B"/>
    <w:rsid w:val="008D54D1"/>
    <w:rsid w:val="008D7A9B"/>
    <w:rsid w:val="008F21F6"/>
    <w:rsid w:val="008F3710"/>
    <w:rsid w:val="008F3D28"/>
    <w:rsid w:val="00901A6A"/>
    <w:rsid w:val="00902045"/>
    <w:rsid w:val="00936470"/>
    <w:rsid w:val="00944E6A"/>
    <w:rsid w:val="00946888"/>
    <w:rsid w:val="00951F79"/>
    <w:rsid w:val="00974AB5"/>
    <w:rsid w:val="0098706D"/>
    <w:rsid w:val="00987432"/>
    <w:rsid w:val="00992C0E"/>
    <w:rsid w:val="009935FB"/>
    <w:rsid w:val="009C71C5"/>
    <w:rsid w:val="009C7370"/>
    <w:rsid w:val="009C76E6"/>
    <w:rsid w:val="009D0419"/>
    <w:rsid w:val="009D1513"/>
    <w:rsid w:val="009E03F7"/>
    <w:rsid w:val="009F062B"/>
    <w:rsid w:val="009F366C"/>
    <w:rsid w:val="009F4A54"/>
    <w:rsid w:val="009F4BEC"/>
    <w:rsid w:val="00A23EFD"/>
    <w:rsid w:val="00A25FD7"/>
    <w:rsid w:val="00A43AFF"/>
    <w:rsid w:val="00A63D69"/>
    <w:rsid w:val="00A7793A"/>
    <w:rsid w:val="00A81615"/>
    <w:rsid w:val="00A91BB2"/>
    <w:rsid w:val="00AA5706"/>
    <w:rsid w:val="00AB6AB7"/>
    <w:rsid w:val="00AD01E4"/>
    <w:rsid w:val="00AD0858"/>
    <w:rsid w:val="00AD0E56"/>
    <w:rsid w:val="00AE7340"/>
    <w:rsid w:val="00AF1BBD"/>
    <w:rsid w:val="00B00479"/>
    <w:rsid w:val="00B10207"/>
    <w:rsid w:val="00B138CD"/>
    <w:rsid w:val="00B141E7"/>
    <w:rsid w:val="00B144FC"/>
    <w:rsid w:val="00B46BCA"/>
    <w:rsid w:val="00B6218D"/>
    <w:rsid w:val="00B63E79"/>
    <w:rsid w:val="00B67AC2"/>
    <w:rsid w:val="00B87806"/>
    <w:rsid w:val="00B87EC9"/>
    <w:rsid w:val="00B9127F"/>
    <w:rsid w:val="00B978DC"/>
    <w:rsid w:val="00BA4817"/>
    <w:rsid w:val="00BC28AA"/>
    <w:rsid w:val="00BC38FD"/>
    <w:rsid w:val="00BE3449"/>
    <w:rsid w:val="00C00B83"/>
    <w:rsid w:val="00C034CB"/>
    <w:rsid w:val="00C051A8"/>
    <w:rsid w:val="00C054BC"/>
    <w:rsid w:val="00C07B6B"/>
    <w:rsid w:val="00C15035"/>
    <w:rsid w:val="00C16B95"/>
    <w:rsid w:val="00C17897"/>
    <w:rsid w:val="00C219A0"/>
    <w:rsid w:val="00C409D5"/>
    <w:rsid w:val="00C532BD"/>
    <w:rsid w:val="00C61EF3"/>
    <w:rsid w:val="00C6234B"/>
    <w:rsid w:val="00C63EAE"/>
    <w:rsid w:val="00C73897"/>
    <w:rsid w:val="00C750CA"/>
    <w:rsid w:val="00C7629F"/>
    <w:rsid w:val="00C76CBA"/>
    <w:rsid w:val="00C8661B"/>
    <w:rsid w:val="00C91049"/>
    <w:rsid w:val="00CA139A"/>
    <w:rsid w:val="00CA1B9D"/>
    <w:rsid w:val="00CA2107"/>
    <w:rsid w:val="00CA2899"/>
    <w:rsid w:val="00CA3103"/>
    <w:rsid w:val="00CA4006"/>
    <w:rsid w:val="00CA6136"/>
    <w:rsid w:val="00CA77FB"/>
    <w:rsid w:val="00CB26E6"/>
    <w:rsid w:val="00CB379B"/>
    <w:rsid w:val="00CB5DD0"/>
    <w:rsid w:val="00CC2BBE"/>
    <w:rsid w:val="00CC51D4"/>
    <w:rsid w:val="00CC5A42"/>
    <w:rsid w:val="00CC65DA"/>
    <w:rsid w:val="00CD08B3"/>
    <w:rsid w:val="00CD5AF2"/>
    <w:rsid w:val="00CE74EE"/>
    <w:rsid w:val="00CF032A"/>
    <w:rsid w:val="00CF1096"/>
    <w:rsid w:val="00CF21B9"/>
    <w:rsid w:val="00CF3DB0"/>
    <w:rsid w:val="00CF57CB"/>
    <w:rsid w:val="00CF6BF9"/>
    <w:rsid w:val="00D03800"/>
    <w:rsid w:val="00D065D3"/>
    <w:rsid w:val="00D14C94"/>
    <w:rsid w:val="00D271EE"/>
    <w:rsid w:val="00D342A6"/>
    <w:rsid w:val="00D431F0"/>
    <w:rsid w:val="00D464BF"/>
    <w:rsid w:val="00D53E26"/>
    <w:rsid w:val="00D57B58"/>
    <w:rsid w:val="00D74143"/>
    <w:rsid w:val="00D84580"/>
    <w:rsid w:val="00DC2D8D"/>
    <w:rsid w:val="00DD4F0E"/>
    <w:rsid w:val="00DD7CE1"/>
    <w:rsid w:val="00E05E0A"/>
    <w:rsid w:val="00E36613"/>
    <w:rsid w:val="00E534CF"/>
    <w:rsid w:val="00E60327"/>
    <w:rsid w:val="00E6127B"/>
    <w:rsid w:val="00E64AB7"/>
    <w:rsid w:val="00E70DAB"/>
    <w:rsid w:val="00E70E93"/>
    <w:rsid w:val="00E81CB4"/>
    <w:rsid w:val="00E8432B"/>
    <w:rsid w:val="00E8585B"/>
    <w:rsid w:val="00E917A3"/>
    <w:rsid w:val="00EA3F15"/>
    <w:rsid w:val="00EA7847"/>
    <w:rsid w:val="00EB3A2D"/>
    <w:rsid w:val="00EE0A5F"/>
    <w:rsid w:val="00EE2E6E"/>
    <w:rsid w:val="00EE731E"/>
    <w:rsid w:val="00EF401F"/>
    <w:rsid w:val="00F0218F"/>
    <w:rsid w:val="00F0759E"/>
    <w:rsid w:val="00F171C4"/>
    <w:rsid w:val="00F31DF3"/>
    <w:rsid w:val="00F4428F"/>
    <w:rsid w:val="00F73086"/>
    <w:rsid w:val="00F7411A"/>
    <w:rsid w:val="00F763C8"/>
    <w:rsid w:val="00F821A3"/>
    <w:rsid w:val="00F9314A"/>
    <w:rsid w:val="00FA15B4"/>
    <w:rsid w:val="00FA5C8E"/>
    <w:rsid w:val="00FB7F69"/>
    <w:rsid w:val="00FC58EF"/>
    <w:rsid w:val="00FC5982"/>
    <w:rsid w:val="00FD0329"/>
    <w:rsid w:val="00FD33DF"/>
    <w:rsid w:val="00FE2A94"/>
    <w:rsid w:val="00FE39D7"/>
    <w:rsid w:val="00FF48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Hipervnculo">
    <w:name w:val="Hyperlink"/>
    <w:basedOn w:val="Fuentedeprrafopredeter"/>
    <w:uiPriority w:val="99"/>
    <w:unhideWhenUsed/>
    <w:rsid w:val="0083440D"/>
    <w:rPr>
      <w:color w:val="0000FF"/>
      <w:u w:val="single"/>
    </w:rPr>
  </w:style>
  <w:style w:type="character" w:customStyle="1" w:styleId="textotitulonorma">
    <w:name w:val="textotitulonorma"/>
    <w:basedOn w:val="Fuentedeprrafopredeter"/>
    <w:rsid w:val="0083440D"/>
  </w:style>
  <w:style w:type="paragraph" w:customStyle="1" w:styleId="Car">
    <w:name w:val="Car"/>
    <w:basedOn w:val="Normal"/>
    <w:rsid w:val="00944E6A"/>
    <w:pPr>
      <w:spacing w:after="160" w:line="240" w:lineRule="exact"/>
      <w:ind w:left="0"/>
    </w:pPr>
    <w:rPr>
      <w:noProof/>
      <w:color w:val="000000"/>
      <w:sz w:val="20"/>
      <w:szCs w:val="20"/>
      <w:lang w:val="es-CO"/>
    </w:rPr>
  </w:style>
  <w:style w:type="paragraph" w:styleId="NormalWeb">
    <w:name w:val="Normal (Web)"/>
    <w:basedOn w:val="Normal"/>
    <w:uiPriority w:val="99"/>
    <w:unhideWhenUsed/>
    <w:rsid w:val="007809FF"/>
    <w:pPr>
      <w:spacing w:before="100" w:beforeAutospacing="1" w:after="100" w:afterAutospacing="1"/>
      <w:ind w:left="0"/>
    </w:pPr>
    <w:rPr>
      <w:lang w:val="es-CO" w:eastAsia="es-CO"/>
    </w:rPr>
  </w:style>
  <w:style w:type="paragraph" w:customStyle="1" w:styleId="Default">
    <w:name w:val="Default"/>
    <w:rsid w:val="00755783"/>
    <w:pPr>
      <w:autoSpaceDE w:val="0"/>
      <w:autoSpaceDN w:val="0"/>
      <w:adjustRightInd w:val="0"/>
    </w:pPr>
    <w:rPr>
      <w:rFonts w:ascii="Arial" w:eastAsiaTheme="minorHAnsi" w:hAnsi="Arial" w:cs="Arial"/>
      <w:color w:val="000000"/>
      <w:sz w:val="24"/>
      <w:szCs w:val="24"/>
      <w:lang w:val="es-CO" w:eastAsia="en-US"/>
    </w:rPr>
  </w:style>
  <w:style w:type="character" w:customStyle="1" w:styleId="PiedepginaCar">
    <w:name w:val="Pie de página Car"/>
    <w:basedOn w:val="Fuentedeprrafopredeter"/>
    <w:link w:val="Piedepgina"/>
    <w:uiPriority w:val="99"/>
    <w:rsid w:val="004216F3"/>
    <w:rPr>
      <w:sz w:val="24"/>
      <w:szCs w:val="24"/>
    </w:rPr>
  </w:style>
  <w:style w:type="paragraph" w:styleId="Textonotapie">
    <w:name w:val="footnote text"/>
    <w:basedOn w:val="Normal"/>
    <w:link w:val="TextonotapieCar"/>
    <w:uiPriority w:val="99"/>
    <w:semiHidden/>
    <w:unhideWhenUsed/>
    <w:rsid w:val="00FB7F69"/>
    <w:rPr>
      <w:sz w:val="20"/>
      <w:szCs w:val="20"/>
    </w:rPr>
  </w:style>
  <w:style w:type="character" w:customStyle="1" w:styleId="TextonotapieCar">
    <w:name w:val="Texto nota pie Car"/>
    <w:basedOn w:val="Fuentedeprrafopredeter"/>
    <w:link w:val="Textonotapie"/>
    <w:uiPriority w:val="99"/>
    <w:semiHidden/>
    <w:rsid w:val="00FB7F69"/>
  </w:style>
  <w:style w:type="character" w:styleId="Refdenotaalpie">
    <w:name w:val="footnote reference"/>
    <w:basedOn w:val="Fuentedeprrafopredeter"/>
    <w:uiPriority w:val="99"/>
    <w:semiHidden/>
    <w:unhideWhenUsed/>
    <w:rsid w:val="00FB7F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Hipervnculo">
    <w:name w:val="Hyperlink"/>
    <w:basedOn w:val="Fuentedeprrafopredeter"/>
    <w:uiPriority w:val="99"/>
    <w:unhideWhenUsed/>
    <w:rsid w:val="0083440D"/>
    <w:rPr>
      <w:color w:val="0000FF"/>
      <w:u w:val="single"/>
    </w:rPr>
  </w:style>
  <w:style w:type="character" w:customStyle="1" w:styleId="textotitulonorma">
    <w:name w:val="textotitulonorma"/>
    <w:basedOn w:val="Fuentedeprrafopredeter"/>
    <w:rsid w:val="0083440D"/>
  </w:style>
  <w:style w:type="paragraph" w:customStyle="1" w:styleId="Car">
    <w:name w:val="Car"/>
    <w:basedOn w:val="Normal"/>
    <w:rsid w:val="00944E6A"/>
    <w:pPr>
      <w:spacing w:after="160" w:line="240" w:lineRule="exact"/>
      <w:ind w:left="0"/>
    </w:pPr>
    <w:rPr>
      <w:noProof/>
      <w:color w:val="000000"/>
      <w:sz w:val="20"/>
      <w:szCs w:val="20"/>
      <w:lang w:val="es-CO"/>
    </w:rPr>
  </w:style>
  <w:style w:type="paragraph" w:styleId="NormalWeb">
    <w:name w:val="Normal (Web)"/>
    <w:basedOn w:val="Normal"/>
    <w:uiPriority w:val="99"/>
    <w:unhideWhenUsed/>
    <w:rsid w:val="007809FF"/>
    <w:pPr>
      <w:spacing w:before="100" w:beforeAutospacing="1" w:after="100" w:afterAutospacing="1"/>
      <w:ind w:left="0"/>
    </w:pPr>
    <w:rPr>
      <w:lang w:val="es-CO" w:eastAsia="es-CO"/>
    </w:rPr>
  </w:style>
  <w:style w:type="paragraph" w:customStyle="1" w:styleId="Default">
    <w:name w:val="Default"/>
    <w:rsid w:val="00755783"/>
    <w:pPr>
      <w:autoSpaceDE w:val="0"/>
      <w:autoSpaceDN w:val="0"/>
      <w:adjustRightInd w:val="0"/>
    </w:pPr>
    <w:rPr>
      <w:rFonts w:ascii="Arial" w:eastAsiaTheme="minorHAnsi" w:hAnsi="Arial" w:cs="Arial"/>
      <w:color w:val="000000"/>
      <w:sz w:val="24"/>
      <w:szCs w:val="24"/>
      <w:lang w:val="es-CO" w:eastAsia="en-US"/>
    </w:rPr>
  </w:style>
  <w:style w:type="character" w:customStyle="1" w:styleId="PiedepginaCar">
    <w:name w:val="Pie de página Car"/>
    <w:basedOn w:val="Fuentedeprrafopredeter"/>
    <w:link w:val="Piedepgina"/>
    <w:uiPriority w:val="99"/>
    <w:rsid w:val="004216F3"/>
    <w:rPr>
      <w:sz w:val="24"/>
      <w:szCs w:val="24"/>
    </w:rPr>
  </w:style>
  <w:style w:type="paragraph" w:styleId="Textonotapie">
    <w:name w:val="footnote text"/>
    <w:basedOn w:val="Normal"/>
    <w:link w:val="TextonotapieCar"/>
    <w:uiPriority w:val="99"/>
    <w:semiHidden/>
    <w:unhideWhenUsed/>
    <w:rsid w:val="00FB7F69"/>
    <w:rPr>
      <w:sz w:val="20"/>
      <w:szCs w:val="20"/>
    </w:rPr>
  </w:style>
  <w:style w:type="character" w:customStyle="1" w:styleId="TextonotapieCar">
    <w:name w:val="Texto nota pie Car"/>
    <w:basedOn w:val="Fuentedeprrafopredeter"/>
    <w:link w:val="Textonotapie"/>
    <w:uiPriority w:val="99"/>
    <w:semiHidden/>
    <w:rsid w:val="00FB7F69"/>
  </w:style>
  <w:style w:type="character" w:styleId="Refdenotaalpie">
    <w:name w:val="footnote reference"/>
    <w:basedOn w:val="Fuentedeprrafopredeter"/>
    <w:uiPriority w:val="99"/>
    <w:semiHidden/>
    <w:unhideWhenUsed/>
    <w:rsid w:val="00FB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5591">
      <w:bodyDiv w:val="1"/>
      <w:marLeft w:val="0"/>
      <w:marRight w:val="0"/>
      <w:marTop w:val="0"/>
      <w:marBottom w:val="0"/>
      <w:divBdr>
        <w:top w:val="none" w:sz="0" w:space="0" w:color="auto"/>
        <w:left w:val="none" w:sz="0" w:space="0" w:color="auto"/>
        <w:bottom w:val="none" w:sz="0" w:space="0" w:color="auto"/>
        <w:right w:val="none" w:sz="0" w:space="0" w:color="auto"/>
      </w:divBdr>
      <w:divsChild>
        <w:div w:id="210192809">
          <w:marLeft w:val="0"/>
          <w:marRight w:val="0"/>
          <w:marTop w:val="0"/>
          <w:marBottom w:val="0"/>
          <w:divBdr>
            <w:top w:val="none" w:sz="0" w:space="0" w:color="auto"/>
            <w:left w:val="none" w:sz="0" w:space="0" w:color="auto"/>
            <w:bottom w:val="none" w:sz="0" w:space="0" w:color="auto"/>
            <w:right w:val="none" w:sz="0" w:space="0" w:color="auto"/>
          </w:divBdr>
          <w:divsChild>
            <w:div w:id="17437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8026">
      <w:bodyDiv w:val="1"/>
      <w:marLeft w:val="0"/>
      <w:marRight w:val="0"/>
      <w:marTop w:val="0"/>
      <w:marBottom w:val="0"/>
      <w:divBdr>
        <w:top w:val="none" w:sz="0" w:space="0" w:color="auto"/>
        <w:left w:val="none" w:sz="0" w:space="0" w:color="auto"/>
        <w:bottom w:val="none" w:sz="0" w:space="0" w:color="auto"/>
        <w:right w:val="none" w:sz="0" w:space="0" w:color="auto"/>
      </w:divBdr>
      <w:divsChild>
        <w:div w:id="1169952349">
          <w:marLeft w:val="0"/>
          <w:marRight w:val="0"/>
          <w:marTop w:val="0"/>
          <w:marBottom w:val="0"/>
          <w:divBdr>
            <w:top w:val="none" w:sz="0" w:space="0" w:color="auto"/>
            <w:left w:val="none" w:sz="0" w:space="0" w:color="auto"/>
            <w:bottom w:val="none" w:sz="0" w:space="0" w:color="auto"/>
            <w:right w:val="none" w:sz="0" w:space="0" w:color="auto"/>
          </w:divBdr>
          <w:divsChild>
            <w:div w:id="514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5475">
      <w:bodyDiv w:val="1"/>
      <w:marLeft w:val="0"/>
      <w:marRight w:val="0"/>
      <w:marTop w:val="0"/>
      <w:marBottom w:val="0"/>
      <w:divBdr>
        <w:top w:val="none" w:sz="0" w:space="0" w:color="auto"/>
        <w:left w:val="none" w:sz="0" w:space="0" w:color="auto"/>
        <w:bottom w:val="none" w:sz="0" w:space="0" w:color="auto"/>
        <w:right w:val="none" w:sz="0" w:space="0" w:color="auto"/>
      </w:divBdr>
    </w:div>
    <w:div w:id="446589047">
      <w:bodyDiv w:val="1"/>
      <w:marLeft w:val="0"/>
      <w:marRight w:val="0"/>
      <w:marTop w:val="0"/>
      <w:marBottom w:val="0"/>
      <w:divBdr>
        <w:top w:val="none" w:sz="0" w:space="0" w:color="auto"/>
        <w:left w:val="none" w:sz="0" w:space="0" w:color="auto"/>
        <w:bottom w:val="none" w:sz="0" w:space="0" w:color="auto"/>
        <w:right w:val="none" w:sz="0" w:space="0" w:color="auto"/>
      </w:divBdr>
    </w:div>
    <w:div w:id="615865669">
      <w:bodyDiv w:val="1"/>
      <w:marLeft w:val="0"/>
      <w:marRight w:val="0"/>
      <w:marTop w:val="0"/>
      <w:marBottom w:val="0"/>
      <w:divBdr>
        <w:top w:val="none" w:sz="0" w:space="0" w:color="auto"/>
        <w:left w:val="none" w:sz="0" w:space="0" w:color="auto"/>
        <w:bottom w:val="none" w:sz="0" w:space="0" w:color="auto"/>
        <w:right w:val="none" w:sz="0" w:space="0" w:color="auto"/>
      </w:divBdr>
    </w:div>
    <w:div w:id="1086728768">
      <w:bodyDiv w:val="1"/>
      <w:marLeft w:val="0"/>
      <w:marRight w:val="0"/>
      <w:marTop w:val="0"/>
      <w:marBottom w:val="0"/>
      <w:divBdr>
        <w:top w:val="none" w:sz="0" w:space="0" w:color="auto"/>
        <w:left w:val="none" w:sz="0" w:space="0" w:color="auto"/>
        <w:bottom w:val="none" w:sz="0" w:space="0" w:color="auto"/>
        <w:right w:val="none" w:sz="0" w:space="0" w:color="auto"/>
      </w:divBdr>
    </w:div>
    <w:div w:id="1126394645">
      <w:bodyDiv w:val="1"/>
      <w:marLeft w:val="0"/>
      <w:marRight w:val="0"/>
      <w:marTop w:val="0"/>
      <w:marBottom w:val="0"/>
      <w:divBdr>
        <w:top w:val="none" w:sz="0" w:space="0" w:color="auto"/>
        <w:left w:val="none" w:sz="0" w:space="0" w:color="auto"/>
        <w:bottom w:val="none" w:sz="0" w:space="0" w:color="auto"/>
        <w:right w:val="none" w:sz="0" w:space="0" w:color="auto"/>
      </w:divBdr>
    </w:div>
    <w:div w:id="1181889976">
      <w:bodyDiv w:val="1"/>
      <w:marLeft w:val="0"/>
      <w:marRight w:val="0"/>
      <w:marTop w:val="0"/>
      <w:marBottom w:val="0"/>
      <w:divBdr>
        <w:top w:val="none" w:sz="0" w:space="0" w:color="auto"/>
        <w:left w:val="none" w:sz="0" w:space="0" w:color="auto"/>
        <w:bottom w:val="none" w:sz="0" w:space="0" w:color="auto"/>
        <w:right w:val="none" w:sz="0" w:space="0" w:color="auto"/>
      </w:divBdr>
      <w:divsChild>
        <w:div w:id="2060208542">
          <w:marLeft w:val="547"/>
          <w:marRight w:val="0"/>
          <w:marTop w:val="0"/>
          <w:marBottom w:val="0"/>
          <w:divBdr>
            <w:top w:val="none" w:sz="0" w:space="0" w:color="auto"/>
            <w:left w:val="none" w:sz="0" w:space="0" w:color="auto"/>
            <w:bottom w:val="none" w:sz="0" w:space="0" w:color="auto"/>
            <w:right w:val="none" w:sz="0" w:space="0" w:color="auto"/>
          </w:divBdr>
        </w:div>
      </w:divsChild>
    </w:div>
    <w:div w:id="1219590318">
      <w:bodyDiv w:val="1"/>
      <w:marLeft w:val="0"/>
      <w:marRight w:val="0"/>
      <w:marTop w:val="0"/>
      <w:marBottom w:val="0"/>
      <w:divBdr>
        <w:top w:val="none" w:sz="0" w:space="0" w:color="auto"/>
        <w:left w:val="none" w:sz="0" w:space="0" w:color="auto"/>
        <w:bottom w:val="none" w:sz="0" w:space="0" w:color="auto"/>
        <w:right w:val="none" w:sz="0" w:space="0" w:color="auto"/>
      </w:divBdr>
    </w:div>
    <w:div w:id="1288393914">
      <w:bodyDiv w:val="1"/>
      <w:marLeft w:val="0"/>
      <w:marRight w:val="0"/>
      <w:marTop w:val="0"/>
      <w:marBottom w:val="0"/>
      <w:divBdr>
        <w:top w:val="none" w:sz="0" w:space="0" w:color="auto"/>
        <w:left w:val="none" w:sz="0" w:space="0" w:color="auto"/>
        <w:bottom w:val="none" w:sz="0" w:space="0" w:color="auto"/>
        <w:right w:val="none" w:sz="0" w:space="0" w:color="auto"/>
      </w:divBdr>
      <w:divsChild>
        <w:div w:id="442190745">
          <w:marLeft w:val="0"/>
          <w:marRight w:val="0"/>
          <w:marTop w:val="0"/>
          <w:marBottom w:val="0"/>
          <w:divBdr>
            <w:top w:val="none" w:sz="0" w:space="0" w:color="auto"/>
            <w:left w:val="none" w:sz="0" w:space="0" w:color="auto"/>
            <w:bottom w:val="none" w:sz="0" w:space="0" w:color="auto"/>
            <w:right w:val="none" w:sz="0" w:space="0" w:color="auto"/>
          </w:divBdr>
          <w:divsChild>
            <w:div w:id="13369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file://C:\NXT4\document.legis?f=xhitlist$xhitlist_x=Advanced$xhitlist_vpc=first$xhitlist_xsl=querylink2.xsl$xhitlist_sel=id;path;content-type;home-title;item-bookmark$xhitlist_d=jurcol$xhitlist_q=%5bfield%20enlace:'bf1xefb3f5a7c96f4945a38865bd6b4a1d1cnf9'%5d$xhitlist_md=target-id=bf1xefb3f5a7c96f4945a38865bd6b4a1d1cnf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Escritorio\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0</TotalTime>
  <Pages>26</Pages>
  <Words>10663</Words>
  <Characters>58649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2012-03-27T22:38:00Z</cp:lastPrinted>
  <dcterms:created xsi:type="dcterms:W3CDTF">2012-03-30T15:21:00Z</dcterms:created>
  <dcterms:modified xsi:type="dcterms:W3CDTF">2012-03-30T15:21:00Z</dcterms:modified>
</cp:coreProperties>
</file>