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81CE3" w:rsidRDefault="00E2656C" w:rsidP="00631A51">
      <w:pPr>
        <w:pStyle w:val="Ttulo4"/>
        <w:tabs>
          <w:tab w:val="left" w:pos="0"/>
          <w:tab w:val="right" w:pos="9356"/>
        </w:tabs>
        <w:ind w:left="0"/>
        <w:rPr>
          <w:rFonts w:ascii="Bookman Old Style" w:hAnsi="Bookman Old Style"/>
          <w:b w:val="0"/>
          <w:bCs/>
          <w:color w:val="auto"/>
          <w:sz w:val="24"/>
          <w:szCs w:val="24"/>
        </w:rPr>
      </w:pPr>
      <w:bookmarkStart w:id="0" w:name="_GoBack"/>
      <w:bookmarkEnd w:id="0"/>
      <w:r>
        <w:rPr>
          <w:rFonts w:ascii="Bookman Old Style" w:hAnsi="Bookman Old Style"/>
          <w:b w:val="0"/>
          <w:bCs/>
          <w:color w:val="auto"/>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7pt;margin-top:-49.45pt;width:52.5pt;height:48.75pt;z-index:251657728" fillcolor="#0c9">
            <v:imagedata r:id="rId9" o:title=""/>
          </v:shape>
          <o:OLEObject Type="Embed" ProgID="PBrush" ShapeID="_x0000_s1026" DrawAspect="Content" ObjectID="_1435404080" r:id="rId10"/>
        </w:pict>
      </w:r>
    </w:p>
    <w:p w:rsidR="00625DC6" w:rsidRPr="00481CE3" w:rsidRDefault="00625DC6" w:rsidP="00631A51">
      <w:pPr>
        <w:pStyle w:val="Ttulo4"/>
        <w:tabs>
          <w:tab w:val="left" w:pos="0"/>
          <w:tab w:val="right" w:pos="9356"/>
        </w:tabs>
        <w:ind w:left="0"/>
        <w:rPr>
          <w:rFonts w:ascii="Bookman Old Style" w:hAnsi="Bookman Old Style"/>
          <w:b w:val="0"/>
          <w:bCs/>
          <w:color w:val="auto"/>
          <w:sz w:val="24"/>
          <w:szCs w:val="24"/>
        </w:rPr>
      </w:pPr>
    </w:p>
    <w:p w:rsidR="00B967A9" w:rsidRDefault="00B967A9" w:rsidP="00631A51">
      <w:pPr>
        <w:pStyle w:val="Ttulo4"/>
        <w:tabs>
          <w:tab w:val="left" w:pos="0"/>
          <w:tab w:val="right" w:pos="9356"/>
        </w:tabs>
        <w:ind w:left="0"/>
        <w:rPr>
          <w:rFonts w:ascii="Bookman Old Style" w:hAnsi="Bookman Old Style"/>
          <w:b w:val="0"/>
          <w:bCs/>
          <w:color w:val="auto"/>
          <w:sz w:val="24"/>
          <w:szCs w:val="24"/>
        </w:rPr>
      </w:pPr>
    </w:p>
    <w:p w:rsidR="00CA77FB" w:rsidRPr="00B967A9" w:rsidRDefault="00CA77FB" w:rsidP="00631A51">
      <w:pPr>
        <w:pStyle w:val="Ttulo4"/>
        <w:tabs>
          <w:tab w:val="left" w:pos="0"/>
          <w:tab w:val="right" w:pos="9356"/>
        </w:tabs>
        <w:ind w:left="0"/>
        <w:rPr>
          <w:rFonts w:ascii="Bookman Old Style" w:hAnsi="Bookman Old Style"/>
          <w:b w:val="0"/>
          <w:bCs/>
          <w:noProof/>
          <w:color w:val="auto"/>
          <w:sz w:val="24"/>
          <w:szCs w:val="24"/>
          <w:lang w:val="es-ES"/>
        </w:rPr>
      </w:pPr>
      <w:r w:rsidRPr="00B967A9">
        <w:rPr>
          <w:rFonts w:ascii="Bookman Old Style" w:hAnsi="Bookman Old Style"/>
          <w:b w:val="0"/>
          <w:bCs/>
          <w:color w:val="auto"/>
          <w:sz w:val="24"/>
          <w:szCs w:val="24"/>
        </w:rPr>
        <w:t>Ministerio de Minas y Energía</w:t>
      </w:r>
    </w:p>
    <w:p w:rsidR="00CA77FB" w:rsidRPr="00B967A9" w:rsidRDefault="00CA77FB" w:rsidP="00631A51">
      <w:pPr>
        <w:pStyle w:val="Ttulo4"/>
        <w:tabs>
          <w:tab w:val="left" w:pos="0"/>
          <w:tab w:val="right" w:pos="9356"/>
        </w:tabs>
        <w:ind w:left="0"/>
        <w:rPr>
          <w:rFonts w:ascii="Bookman Old Style" w:hAnsi="Bookman Old Style"/>
          <w:b w:val="0"/>
          <w:bCs/>
          <w:color w:val="auto"/>
          <w:sz w:val="24"/>
          <w:szCs w:val="24"/>
        </w:rPr>
      </w:pPr>
    </w:p>
    <w:p w:rsidR="00CA77FB" w:rsidRPr="00B967A9" w:rsidRDefault="00CA77FB" w:rsidP="00631A51">
      <w:pPr>
        <w:pStyle w:val="Ttulo3"/>
        <w:tabs>
          <w:tab w:val="left" w:pos="0"/>
          <w:tab w:val="right" w:pos="9356"/>
        </w:tabs>
        <w:ind w:left="0"/>
        <w:rPr>
          <w:rFonts w:ascii="Bookman Old Style" w:hAnsi="Bookman Old Style" w:cs="Arial"/>
          <w:color w:val="auto"/>
          <w:spacing w:val="20"/>
          <w:szCs w:val="24"/>
        </w:rPr>
      </w:pPr>
      <w:r w:rsidRPr="00B967A9">
        <w:rPr>
          <w:rFonts w:ascii="Bookman Old Style" w:hAnsi="Bookman Old Style" w:cs="Arial"/>
          <w:color w:val="auto"/>
          <w:spacing w:val="20"/>
          <w:szCs w:val="24"/>
        </w:rPr>
        <w:t>COMISIÓN DE REGULACIÓN DE ENERGÍA Y GAS</w:t>
      </w:r>
    </w:p>
    <w:p w:rsidR="00CA77FB" w:rsidRPr="00B967A9" w:rsidRDefault="00CA77FB" w:rsidP="00631A51">
      <w:pPr>
        <w:pStyle w:val="Ttulo5"/>
        <w:tabs>
          <w:tab w:val="left" w:pos="0"/>
          <w:tab w:val="right" w:pos="9356"/>
        </w:tabs>
        <w:ind w:left="0"/>
        <w:rPr>
          <w:rFonts w:ascii="Bookman Old Style" w:hAnsi="Bookman Old Style"/>
          <w:color w:val="auto"/>
          <w:sz w:val="24"/>
          <w:szCs w:val="24"/>
        </w:rPr>
      </w:pPr>
    </w:p>
    <w:p w:rsidR="00CA77FB" w:rsidRPr="00B967A9" w:rsidRDefault="00CA77FB" w:rsidP="00631A51">
      <w:pPr>
        <w:pStyle w:val="Ttulo5"/>
        <w:tabs>
          <w:tab w:val="left" w:pos="0"/>
          <w:tab w:val="right" w:pos="9356"/>
        </w:tabs>
        <w:ind w:left="0"/>
        <w:rPr>
          <w:rFonts w:ascii="Bookman Old Style" w:hAnsi="Bookman Old Style"/>
          <w:color w:val="auto"/>
          <w:sz w:val="24"/>
          <w:szCs w:val="24"/>
        </w:rPr>
      </w:pPr>
    </w:p>
    <w:p w:rsidR="00B967A9" w:rsidRPr="006875CB" w:rsidRDefault="00B967A9" w:rsidP="00631A51">
      <w:pPr>
        <w:pStyle w:val="Ttulo5"/>
        <w:tabs>
          <w:tab w:val="left" w:pos="0"/>
          <w:tab w:val="right" w:pos="9356"/>
        </w:tabs>
        <w:ind w:left="0"/>
        <w:rPr>
          <w:rFonts w:ascii="Bookman Old Style" w:hAnsi="Bookman Old Style"/>
          <w:sz w:val="24"/>
          <w:szCs w:val="24"/>
        </w:rPr>
      </w:pPr>
      <w:r w:rsidRPr="006875CB">
        <w:rPr>
          <w:rFonts w:ascii="Bookman Old Style" w:hAnsi="Bookman Old Style"/>
          <w:sz w:val="24"/>
          <w:szCs w:val="24"/>
        </w:rPr>
        <w:t>RESOLUCIÓN No.</w:t>
      </w:r>
      <w:r w:rsidRPr="006875CB">
        <w:rPr>
          <w:rFonts w:ascii="Bookman Old Style" w:hAnsi="Bookman Old Style"/>
          <w:color w:val="000000" w:themeColor="text1"/>
          <w:sz w:val="24"/>
          <w:szCs w:val="24"/>
          <w:lang w:val="es-ES"/>
        </w:rPr>
        <w:t xml:space="preserve">          </w:t>
      </w:r>
      <w:r w:rsidRPr="006875CB">
        <w:rPr>
          <w:rFonts w:ascii="Bookman Old Style" w:hAnsi="Bookman Old Style"/>
          <w:sz w:val="24"/>
          <w:szCs w:val="24"/>
        </w:rPr>
        <w:t>DE 201</w:t>
      </w:r>
      <w:r>
        <w:rPr>
          <w:rFonts w:ascii="Bookman Old Style" w:hAnsi="Bookman Old Style"/>
          <w:sz w:val="24"/>
          <w:szCs w:val="24"/>
        </w:rPr>
        <w:t>3</w:t>
      </w:r>
    </w:p>
    <w:p w:rsidR="00B967A9" w:rsidRDefault="00B967A9" w:rsidP="00631A51">
      <w:pPr>
        <w:pStyle w:val="Ttulo3"/>
        <w:tabs>
          <w:tab w:val="left" w:pos="0"/>
          <w:tab w:val="right" w:pos="9356"/>
        </w:tabs>
        <w:ind w:left="0"/>
        <w:rPr>
          <w:rFonts w:ascii="Bookman Old Style" w:hAnsi="Bookman Old Style"/>
          <w:b w:val="0"/>
          <w:color w:val="auto"/>
          <w:szCs w:val="24"/>
        </w:rPr>
      </w:pPr>
    </w:p>
    <w:p w:rsidR="00CA77FB" w:rsidRPr="00B967A9" w:rsidRDefault="00CA77FB" w:rsidP="00631A51">
      <w:pPr>
        <w:pStyle w:val="Ttulo3"/>
        <w:tabs>
          <w:tab w:val="left" w:pos="0"/>
          <w:tab w:val="right" w:pos="9356"/>
        </w:tabs>
        <w:ind w:left="0"/>
        <w:rPr>
          <w:rFonts w:ascii="Bookman Old Style" w:hAnsi="Bookman Old Style"/>
          <w:b w:val="0"/>
          <w:color w:val="auto"/>
          <w:szCs w:val="24"/>
        </w:rPr>
      </w:pPr>
      <w:r w:rsidRPr="00B967A9">
        <w:rPr>
          <w:rFonts w:ascii="Bookman Old Style" w:hAnsi="Bookman Old Style"/>
          <w:b w:val="0"/>
          <w:color w:val="auto"/>
          <w:szCs w:val="24"/>
        </w:rPr>
        <w:t>(                                  )</w:t>
      </w:r>
    </w:p>
    <w:p w:rsidR="00CA77FB" w:rsidRPr="00B967A9" w:rsidRDefault="00CA77FB" w:rsidP="00631A51">
      <w:pPr>
        <w:tabs>
          <w:tab w:val="left" w:pos="0"/>
          <w:tab w:val="right" w:pos="9356"/>
        </w:tabs>
        <w:ind w:left="0"/>
        <w:jc w:val="center"/>
        <w:rPr>
          <w:rFonts w:ascii="Bookman Old Style" w:hAnsi="Bookman Old Style"/>
          <w:lang w:val="es-ES_tradnl"/>
        </w:rPr>
      </w:pPr>
    </w:p>
    <w:p w:rsidR="00C200DA" w:rsidRDefault="00C200DA" w:rsidP="00631A51">
      <w:pPr>
        <w:tabs>
          <w:tab w:val="left" w:pos="0"/>
          <w:tab w:val="right" w:pos="9356"/>
        </w:tabs>
        <w:ind w:left="0"/>
        <w:jc w:val="center"/>
        <w:rPr>
          <w:rFonts w:ascii="Bookman Old Style" w:hAnsi="Bookman Old Style"/>
          <w:bCs/>
          <w:lang w:val="es-CO"/>
        </w:rPr>
      </w:pPr>
    </w:p>
    <w:p w:rsidR="00575E62" w:rsidRDefault="00575E62" w:rsidP="00631A51">
      <w:pPr>
        <w:tabs>
          <w:tab w:val="left" w:pos="0"/>
          <w:tab w:val="right" w:pos="9356"/>
        </w:tabs>
        <w:ind w:left="0"/>
        <w:jc w:val="center"/>
        <w:rPr>
          <w:rFonts w:ascii="Bookman Old Style" w:hAnsi="Bookman Old Style"/>
          <w:bCs/>
          <w:lang w:val="es-CO"/>
        </w:rPr>
      </w:pPr>
    </w:p>
    <w:p w:rsidR="008953F7" w:rsidRPr="00B967A9" w:rsidRDefault="008953F7" w:rsidP="00631A51">
      <w:pPr>
        <w:ind w:left="0"/>
        <w:jc w:val="center"/>
        <w:rPr>
          <w:rFonts w:ascii="Bookman Old Style" w:hAnsi="Bookman Old Style"/>
          <w:bCs/>
          <w:lang w:val="es-CO"/>
        </w:rPr>
      </w:pPr>
      <w:r w:rsidRPr="00B967A9">
        <w:rPr>
          <w:rFonts w:ascii="Bookman Old Style" w:hAnsi="Bookman Old Style"/>
          <w:bCs/>
          <w:lang w:val="es-CO"/>
        </w:rPr>
        <w:t>Por  la cual se resuelve el recurso de reposición interpuesto por la empresa Energía Social de la Costa S.A. E.S.P. contra la Resolución CREG 008 de 2013</w:t>
      </w:r>
    </w:p>
    <w:p w:rsidR="0025436A" w:rsidRPr="00481CE3" w:rsidRDefault="0025436A" w:rsidP="00631A51">
      <w:pPr>
        <w:tabs>
          <w:tab w:val="left" w:pos="0"/>
          <w:tab w:val="right" w:pos="9356"/>
        </w:tabs>
        <w:ind w:left="0"/>
        <w:jc w:val="center"/>
        <w:rPr>
          <w:rFonts w:ascii="Bookman Old Style" w:hAnsi="Bookman Old Style"/>
          <w:lang w:val="es-ES_tradnl"/>
        </w:rPr>
      </w:pPr>
    </w:p>
    <w:p w:rsidR="00C200DA" w:rsidRPr="00481CE3" w:rsidRDefault="00C200DA" w:rsidP="00631A51">
      <w:pPr>
        <w:tabs>
          <w:tab w:val="left" w:pos="0"/>
          <w:tab w:val="right" w:pos="9356"/>
        </w:tabs>
        <w:ind w:left="0"/>
        <w:jc w:val="center"/>
        <w:rPr>
          <w:rFonts w:ascii="Bookman Old Style" w:hAnsi="Bookman Old Style"/>
          <w:lang w:val="es-ES_tradnl"/>
        </w:rPr>
      </w:pPr>
    </w:p>
    <w:p w:rsidR="0025436A" w:rsidRPr="00B967A9" w:rsidRDefault="0025436A" w:rsidP="00631A51">
      <w:pPr>
        <w:ind w:left="0"/>
        <w:jc w:val="center"/>
        <w:rPr>
          <w:rFonts w:ascii="Bookman Old Style" w:hAnsi="Bookman Old Style" w:cs="Arial"/>
          <w:b/>
          <w:bCs/>
          <w:lang w:val="es-CO" w:eastAsia="es-CO"/>
        </w:rPr>
      </w:pPr>
      <w:r w:rsidRPr="00B967A9">
        <w:rPr>
          <w:rFonts w:ascii="Bookman Old Style" w:hAnsi="Bookman Old Style" w:cs="Arial"/>
          <w:b/>
          <w:bCs/>
          <w:lang w:val="es-CO" w:eastAsia="es-CO"/>
        </w:rPr>
        <w:t>LA COMISIÓN DE REGULACIÓN DE ENERGÍA Y GAS</w:t>
      </w:r>
    </w:p>
    <w:p w:rsidR="0025436A" w:rsidRPr="00481CE3" w:rsidRDefault="0025436A" w:rsidP="00631A51">
      <w:pPr>
        <w:tabs>
          <w:tab w:val="left" w:pos="0"/>
          <w:tab w:val="right" w:pos="9356"/>
        </w:tabs>
        <w:ind w:left="0"/>
        <w:jc w:val="center"/>
        <w:rPr>
          <w:rFonts w:ascii="Bookman Old Style" w:hAnsi="Bookman Old Style"/>
          <w:lang w:val="es-ES_tradnl"/>
        </w:rPr>
      </w:pPr>
    </w:p>
    <w:p w:rsidR="00B967A9" w:rsidRPr="00481CE3" w:rsidRDefault="00B967A9" w:rsidP="00631A51">
      <w:pPr>
        <w:tabs>
          <w:tab w:val="left" w:pos="0"/>
          <w:tab w:val="right" w:pos="9356"/>
        </w:tabs>
        <w:ind w:left="0"/>
        <w:jc w:val="center"/>
        <w:rPr>
          <w:rFonts w:ascii="Bookman Old Style" w:hAnsi="Bookman Old Style"/>
          <w:lang w:val="es-ES_tradnl"/>
        </w:rPr>
      </w:pPr>
    </w:p>
    <w:p w:rsidR="0071204B" w:rsidRPr="00B967A9" w:rsidRDefault="0071204B" w:rsidP="00631A51">
      <w:pPr>
        <w:pStyle w:val="Textoindependiente3"/>
        <w:ind w:left="0"/>
        <w:rPr>
          <w:rFonts w:ascii="Bookman Old Style" w:hAnsi="Bookman Old Style"/>
          <w:b w:val="0"/>
        </w:rPr>
      </w:pPr>
      <w:r w:rsidRPr="00B967A9">
        <w:rPr>
          <w:rFonts w:ascii="Bookman Old Style" w:hAnsi="Bookman Old Style"/>
          <w:b w:val="0"/>
        </w:rPr>
        <w:t xml:space="preserve">En ejercicio de sus atribuciones legales, en especial las conferidas por las </w:t>
      </w:r>
      <w:r w:rsidR="00B967A9">
        <w:rPr>
          <w:rFonts w:ascii="Bookman Old Style" w:hAnsi="Bookman Old Style"/>
          <w:b w:val="0"/>
        </w:rPr>
        <w:t>l</w:t>
      </w:r>
      <w:r w:rsidRPr="00B967A9">
        <w:rPr>
          <w:rFonts w:ascii="Bookman Old Style" w:hAnsi="Bookman Old Style"/>
          <w:b w:val="0"/>
        </w:rPr>
        <w:t>eyes 142 y 143 de 1994, y en desarrollo de los Decretos 1524 y 2253 de 1994, y</w:t>
      </w:r>
    </w:p>
    <w:p w:rsidR="0025436A" w:rsidRDefault="0025436A" w:rsidP="00631A51">
      <w:pPr>
        <w:tabs>
          <w:tab w:val="left" w:pos="0"/>
          <w:tab w:val="right" w:pos="9356"/>
        </w:tabs>
        <w:ind w:left="0"/>
        <w:jc w:val="center"/>
        <w:rPr>
          <w:rFonts w:ascii="Bookman Old Style" w:hAnsi="Bookman Old Style" w:cs="Arial"/>
          <w:lang w:val="es-CO" w:eastAsia="es-CO"/>
        </w:rPr>
      </w:pPr>
      <w:r w:rsidRPr="00B967A9">
        <w:rPr>
          <w:rFonts w:ascii="Bookman Old Style" w:hAnsi="Bookman Old Style" w:cs="Arial"/>
          <w:lang w:val="es-CO" w:eastAsia="es-CO"/>
        </w:rPr>
        <w:t xml:space="preserve"> </w:t>
      </w:r>
    </w:p>
    <w:p w:rsidR="00481CE3" w:rsidRPr="00B967A9" w:rsidRDefault="00481CE3" w:rsidP="00631A51">
      <w:pPr>
        <w:tabs>
          <w:tab w:val="left" w:pos="0"/>
          <w:tab w:val="right" w:pos="9356"/>
        </w:tabs>
        <w:ind w:left="0"/>
        <w:jc w:val="center"/>
        <w:rPr>
          <w:rFonts w:ascii="Bookman Old Style" w:hAnsi="Bookman Old Style" w:cs="Arial"/>
          <w:b/>
          <w:bCs/>
          <w:lang w:val="es-CO" w:eastAsia="es-CO"/>
        </w:rPr>
      </w:pPr>
    </w:p>
    <w:p w:rsidR="0025436A" w:rsidRPr="00B967A9" w:rsidRDefault="0025436A" w:rsidP="00631A51">
      <w:pPr>
        <w:ind w:left="0"/>
        <w:jc w:val="center"/>
        <w:rPr>
          <w:rFonts w:ascii="Bookman Old Style" w:hAnsi="Bookman Old Style" w:cs="Arial"/>
          <w:lang w:val="es-CO" w:eastAsia="es-CO"/>
        </w:rPr>
      </w:pPr>
      <w:r w:rsidRPr="00B967A9">
        <w:rPr>
          <w:rFonts w:ascii="Bookman Old Style" w:hAnsi="Bookman Old Style" w:cs="Arial"/>
          <w:b/>
          <w:bCs/>
          <w:lang w:val="es-CO" w:eastAsia="es-CO"/>
        </w:rPr>
        <w:t>C O N S I D E R A N D O  Q U E:</w:t>
      </w:r>
    </w:p>
    <w:p w:rsidR="005D4DB5" w:rsidRPr="00B967A9" w:rsidRDefault="005D4DB5" w:rsidP="00631A51">
      <w:pPr>
        <w:ind w:left="0"/>
        <w:jc w:val="both"/>
        <w:rPr>
          <w:rFonts w:ascii="Bookman Old Style" w:hAnsi="Bookman Old Style" w:cs="Arial"/>
          <w:lang w:val="es-CO" w:eastAsia="es-CO"/>
        </w:rPr>
      </w:pPr>
    </w:p>
    <w:p w:rsidR="0071204B" w:rsidRPr="00B967A9" w:rsidRDefault="0025436A" w:rsidP="00631A51">
      <w:pPr>
        <w:pStyle w:val="Textoindependiente21"/>
        <w:overflowPunct/>
        <w:autoSpaceDE/>
        <w:autoSpaceDN/>
        <w:adjustRightInd/>
        <w:textAlignment w:val="auto"/>
        <w:rPr>
          <w:rFonts w:ascii="Bookman Old Style" w:hAnsi="Bookman Old Style" w:cs="Arial"/>
          <w:sz w:val="24"/>
          <w:szCs w:val="24"/>
          <w:lang w:val="es-CO"/>
        </w:rPr>
      </w:pPr>
      <w:r w:rsidRPr="00B967A9">
        <w:rPr>
          <w:rFonts w:ascii="Bookman Old Style" w:hAnsi="Bookman Old Style" w:cs="Arial"/>
          <w:sz w:val="24"/>
          <w:szCs w:val="24"/>
          <w:lang w:val="es-CO" w:eastAsia="es-CO"/>
        </w:rPr>
        <w:br/>
      </w:r>
      <w:r w:rsidR="0071204B" w:rsidRPr="00B967A9">
        <w:rPr>
          <w:rFonts w:ascii="Bookman Old Style" w:hAnsi="Bookman Old Style" w:cs="Arial"/>
          <w:sz w:val="24"/>
          <w:szCs w:val="24"/>
          <w:lang w:val="es-CO"/>
        </w:rPr>
        <w:t>El numeral 73.11 del artículo 73 de la Ley 142 de 1994 atribuyó a la Comisión de Regulación de Energía y Gas la competencia para establecer las fórmulas para la fijación de las tarifas del servicio público domiciliario de energía eléctrica.</w:t>
      </w:r>
    </w:p>
    <w:p w:rsidR="00481CE3" w:rsidRDefault="00481CE3" w:rsidP="00631A51">
      <w:pPr>
        <w:ind w:left="0"/>
        <w:jc w:val="both"/>
        <w:rPr>
          <w:rFonts w:ascii="Bookman Old Style" w:hAnsi="Bookman Old Style"/>
        </w:rPr>
      </w:pPr>
    </w:p>
    <w:p w:rsidR="00504BA6" w:rsidRDefault="00504BA6" w:rsidP="00631A51">
      <w:pPr>
        <w:ind w:left="0"/>
        <w:jc w:val="both"/>
        <w:rPr>
          <w:rFonts w:ascii="Bookman Old Style" w:hAnsi="Bookman Old Style"/>
        </w:rPr>
      </w:pPr>
      <w:r>
        <w:rPr>
          <w:rFonts w:ascii="Bookman Old Style" w:hAnsi="Bookman Old Style"/>
        </w:rPr>
        <w:t>La Comisión</w:t>
      </w:r>
      <w:r w:rsidR="007B4E66">
        <w:rPr>
          <w:rFonts w:ascii="Bookman Old Style" w:hAnsi="Bookman Old Style"/>
        </w:rPr>
        <w:t>,</w:t>
      </w:r>
      <w:r w:rsidR="001261B1">
        <w:rPr>
          <w:rFonts w:ascii="Bookman Old Style" w:hAnsi="Bookman Old Style"/>
        </w:rPr>
        <w:t xml:space="preserve"> a través de las r</w:t>
      </w:r>
      <w:r>
        <w:rPr>
          <w:rFonts w:ascii="Bookman Old Style" w:hAnsi="Bookman Old Style"/>
        </w:rPr>
        <w:t>esoluciones CREG 101 de 2006 y 096 de 2011</w:t>
      </w:r>
      <w:r w:rsidR="007B4E66">
        <w:rPr>
          <w:rFonts w:ascii="Bookman Old Style" w:hAnsi="Bookman Old Style"/>
        </w:rPr>
        <w:t>,</w:t>
      </w:r>
      <w:r>
        <w:rPr>
          <w:rFonts w:ascii="Bookman Old Style" w:hAnsi="Bookman Old Style"/>
        </w:rPr>
        <w:t xml:space="preserve"> resolvió las solicitudes tarifarias presentadas por Energía Social de la Costa S.A. E.S.P. </w:t>
      </w:r>
      <w:r w:rsidR="001F2687">
        <w:rPr>
          <w:rFonts w:ascii="Bookman Old Style" w:hAnsi="Bookman Old Style"/>
        </w:rPr>
        <w:t>para garantizar la suficiencia financiera de la empresa por la atención exclusiva de usuarios de barrios subnormales que representan un mayor riesgo de cartera respecto a</w:t>
      </w:r>
      <w:r w:rsidR="007B4E66">
        <w:rPr>
          <w:rFonts w:ascii="Bookman Old Style" w:hAnsi="Bookman Old Style"/>
        </w:rPr>
        <w:t>l que enfrentan</w:t>
      </w:r>
      <w:r w:rsidR="001F2687">
        <w:rPr>
          <w:rFonts w:ascii="Bookman Old Style" w:hAnsi="Bookman Old Style"/>
        </w:rPr>
        <w:t xml:space="preserve"> los demás comercializadores de energía eléctrica que atienden usuarios regulados en el Sistema Interconectado Nacional, SIN.</w:t>
      </w:r>
    </w:p>
    <w:p w:rsidR="00504BA6" w:rsidRDefault="00504BA6" w:rsidP="00631A51">
      <w:pPr>
        <w:ind w:left="0"/>
        <w:jc w:val="both"/>
        <w:rPr>
          <w:rFonts w:ascii="Bookman Old Style" w:hAnsi="Bookman Old Style"/>
        </w:rPr>
      </w:pPr>
    </w:p>
    <w:p w:rsidR="001F2687" w:rsidRDefault="001261B1" w:rsidP="00631A51">
      <w:pPr>
        <w:ind w:left="0"/>
        <w:jc w:val="both"/>
        <w:rPr>
          <w:rFonts w:ascii="Bookman Old Style" w:hAnsi="Bookman Old Style"/>
        </w:rPr>
      </w:pPr>
      <w:r>
        <w:rPr>
          <w:rFonts w:ascii="Bookman Old Style" w:hAnsi="Bookman Old Style"/>
        </w:rPr>
        <w:t>De acuerdo con las r</w:t>
      </w:r>
      <w:r w:rsidR="001F2687">
        <w:rPr>
          <w:rFonts w:ascii="Bookman Old Style" w:hAnsi="Bookman Old Style"/>
        </w:rPr>
        <w:t>esoluciones CREG 101 de 2006 y 096 de 2011 se ajustó</w:t>
      </w:r>
      <w:r w:rsidR="001F2687" w:rsidRPr="001F2687">
        <w:rPr>
          <w:rFonts w:ascii="Bookman Old Style" w:hAnsi="Bookman Old Style"/>
        </w:rPr>
        <w:t xml:space="preserve"> la fórmula del </w:t>
      </w:r>
      <w:r w:rsidR="000149D5" w:rsidRPr="001F2687">
        <w:rPr>
          <w:rFonts w:ascii="Bookman Old Style" w:hAnsi="Bookman Old Style"/>
        </w:rPr>
        <w:t xml:space="preserve">cargo </w:t>
      </w:r>
      <w:r w:rsidR="001F2687" w:rsidRPr="001F2687">
        <w:rPr>
          <w:rFonts w:ascii="Bookman Old Style" w:hAnsi="Bookman Old Style"/>
        </w:rPr>
        <w:t xml:space="preserve">de </w:t>
      </w:r>
      <w:r w:rsidR="000149D5" w:rsidRPr="001F2687">
        <w:rPr>
          <w:rFonts w:ascii="Bookman Old Style" w:hAnsi="Bookman Old Style"/>
        </w:rPr>
        <w:t xml:space="preserve">comercialización </w:t>
      </w:r>
      <w:r w:rsidR="001F2687" w:rsidRPr="001F2687">
        <w:rPr>
          <w:rFonts w:ascii="Bookman Old Style" w:hAnsi="Bookman Old Style"/>
        </w:rPr>
        <w:t>(componente C</w:t>
      </w:r>
      <w:r w:rsidR="007B4E66">
        <w:rPr>
          <w:rFonts w:ascii="Bookman Old Style" w:hAnsi="Bookman Old Style"/>
        </w:rPr>
        <w:t xml:space="preserve"> de la fórmula tarifaria</w:t>
      </w:r>
      <w:r w:rsidR="001F2687" w:rsidRPr="001F2687">
        <w:rPr>
          <w:rFonts w:ascii="Bookman Old Style" w:hAnsi="Bookman Old Style"/>
        </w:rPr>
        <w:t>)</w:t>
      </w:r>
      <w:r w:rsidR="001F2687">
        <w:rPr>
          <w:rFonts w:ascii="Bookman Old Style" w:hAnsi="Bookman Old Style"/>
        </w:rPr>
        <w:t>,</w:t>
      </w:r>
      <w:r w:rsidR="001F2687" w:rsidRPr="001F2687">
        <w:rPr>
          <w:rFonts w:ascii="Bookman Old Style" w:hAnsi="Bookman Old Style"/>
        </w:rPr>
        <w:t xml:space="preserve"> aplicable para el conjunto de los </w:t>
      </w:r>
      <w:r w:rsidR="007B4E66">
        <w:rPr>
          <w:rFonts w:ascii="Bookman Old Style" w:hAnsi="Bookman Old Style"/>
        </w:rPr>
        <w:t>b</w:t>
      </w:r>
      <w:r w:rsidR="001F2687" w:rsidRPr="001F2687">
        <w:rPr>
          <w:rFonts w:ascii="Bookman Old Style" w:hAnsi="Bookman Old Style"/>
        </w:rPr>
        <w:t xml:space="preserve">arrios </w:t>
      </w:r>
      <w:r w:rsidR="007B4E66">
        <w:rPr>
          <w:rFonts w:ascii="Bookman Old Style" w:hAnsi="Bookman Old Style"/>
        </w:rPr>
        <w:t>s</w:t>
      </w:r>
      <w:r w:rsidR="001F2687" w:rsidRPr="001F2687">
        <w:rPr>
          <w:rFonts w:ascii="Bookman Old Style" w:hAnsi="Bookman Old Style"/>
        </w:rPr>
        <w:t>ubnormales atendidos por Energía Social de la Costa S.A. E.S.P.</w:t>
      </w:r>
      <w:r w:rsidR="001F2687">
        <w:rPr>
          <w:rFonts w:ascii="Bookman Old Style" w:hAnsi="Bookman Old Style"/>
        </w:rPr>
        <w:t xml:space="preserve">, por medio de un </w:t>
      </w:r>
      <w:r w:rsidR="000149D5" w:rsidRPr="001F2687">
        <w:rPr>
          <w:rFonts w:ascii="Bookman Old Style" w:hAnsi="Bookman Old Style"/>
        </w:rPr>
        <w:t xml:space="preserve">factor </w:t>
      </w:r>
      <w:r w:rsidR="001F2687" w:rsidRPr="001F2687">
        <w:rPr>
          <w:rFonts w:ascii="Bookman Old Style" w:hAnsi="Bookman Old Style"/>
        </w:rPr>
        <w:t xml:space="preserve">de </w:t>
      </w:r>
      <w:r w:rsidR="000149D5" w:rsidRPr="001F2687">
        <w:rPr>
          <w:rFonts w:ascii="Bookman Old Style" w:hAnsi="Bookman Old Style"/>
        </w:rPr>
        <w:t xml:space="preserve">riesgo </w:t>
      </w:r>
      <w:r w:rsidR="001F2687" w:rsidRPr="001F2687">
        <w:rPr>
          <w:rFonts w:ascii="Bookman Old Style" w:hAnsi="Bookman Old Style"/>
        </w:rPr>
        <w:t xml:space="preserve">de </w:t>
      </w:r>
      <w:r w:rsidR="000149D5" w:rsidRPr="001F2687">
        <w:rPr>
          <w:rFonts w:ascii="Bookman Old Style" w:hAnsi="Bookman Old Style"/>
        </w:rPr>
        <w:t>cartera</w:t>
      </w:r>
      <w:r w:rsidR="001F2687">
        <w:rPr>
          <w:rFonts w:ascii="Bookman Old Style" w:hAnsi="Bookman Old Style"/>
        </w:rPr>
        <w:t>, FRC</w:t>
      </w:r>
      <w:r w:rsidR="000149D5">
        <w:rPr>
          <w:rFonts w:ascii="Bookman Old Style" w:hAnsi="Bookman Old Style"/>
        </w:rPr>
        <w:t>, con el cual se reconoce a la empresa a través de un mayor recaudo de subsidios el 95% de lo que recaudaría en aplicación de la fórmula del cargo de comercialización vigente para los demás comercializadores que atienden usuarios regulados.</w:t>
      </w:r>
    </w:p>
    <w:p w:rsidR="00925723" w:rsidRDefault="00925723" w:rsidP="00631A51">
      <w:pPr>
        <w:ind w:left="0"/>
        <w:jc w:val="both"/>
        <w:rPr>
          <w:rFonts w:ascii="Bookman Old Style" w:hAnsi="Bookman Old Style"/>
        </w:rPr>
      </w:pPr>
    </w:p>
    <w:p w:rsidR="00481CE3" w:rsidRPr="00B967A9" w:rsidRDefault="00481CE3" w:rsidP="00631A51">
      <w:pPr>
        <w:ind w:left="0"/>
        <w:jc w:val="both"/>
        <w:rPr>
          <w:rFonts w:ascii="Bookman Old Style" w:hAnsi="Bookman Old Style"/>
        </w:rPr>
      </w:pPr>
      <w:r>
        <w:rPr>
          <w:rFonts w:ascii="Bookman Old Style" w:hAnsi="Bookman Old Style"/>
        </w:rPr>
        <w:t>De acuerdo con</w:t>
      </w:r>
      <w:r w:rsidRPr="00B967A9">
        <w:rPr>
          <w:rFonts w:ascii="Bookman Old Style" w:hAnsi="Bookman Old Style"/>
        </w:rPr>
        <w:t xml:space="preserve"> lo establecido </w:t>
      </w:r>
      <w:r>
        <w:rPr>
          <w:rFonts w:ascii="Bookman Old Style" w:hAnsi="Bookman Old Style"/>
        </w:rPr>
        <w:t>en</w:t>
      </w:r>
      <w:r w:rsidRPr="00B967A9">
        <w:rPr>
          <w:rFonts w:ascii="Bookman Old Style" w:hAnsi="Bookman Old Style"/>
        </w:rPr>
        <w:t xml:space="preserve"> el parágrafo 2 del artículo 2 de la Resolución CREG 101 de </w:t>
      </w:r>
      <w:r w:rsidRPr="00481CE3">
        <w:rPr>
          <w:rFonts w:ascii="Bookman Old Style" w:hAnsi="Bookman Old Style"/>
        </w:rPr>
        <w:t xml:space="preserve">2006, </w:t>
      </w:r>
      <w:r>
        <w:rPr>
          <w:rFonts w:ascii="Bookman Old Style" w:hAnsi="Bookman Old Style"/>
        </w:rPr>
        <w:t>p</w:t>
      </w:r>
      <w:r w:rsidRPr="00925723">
        <w:rPr>
          <w:rFonts w:ascii="Bookman Old Style" w:hAnsi="Bookman Old Style"/>
        </w:rPr>
        <w:t xml:space="preserve">ara el cálculo del </w:t>
      </w:r>
      <w:r>
        <w:rPr>
          <w:rFonts w:ascii="Bookman Old Style" w:hAnsi="Bookman Old Style"/>
        </w:rPr>
        <w:t xml:space="preserve">factor de riesgo de cartera, </w:t>
      </w:r>
      <w:r w:rsidRPr="00925723">
        <w:rPr>
          <w:rFonts w:ascii="Bookman Old Style" w:hAnsi="Bookman Old Style"/>
        </w:rPr>
        <w:t>FRC</w:t>
      </w:r>
      <w:r>
        <w:rPr>
          <w:rFonts w:ascii="Bookman Old Style" w:hAnsi="Bookman Old Style"/>
        </w:rPr>
        <w:t>,</w:t>
      </w:r>
      <w:r w:rsidRPr="00925723">
        <w:rPr>
          <w:rFonts w:ascii="Bookman Old Style" w:hAnsi="Bookman Old Style"/>
        </w:rPr>
        <w:t xml:space="preserve"> vigente </w:t>
      </w:r>
      <w:r w:rsidRPr="00925723">
        <w:rPr>
          <w:rFonts w:ascii="Bookman Old Style" w:hAnsi="Bookman Old Style"/>
        </w:rPr>
        <w:lastRenderedPageBreak/>
        <w:t>para el año t, la empresa deberá entregar a la CREG la información necesaria para su cálculo a más tardar el 10 de enero del año t</w:t>
      </w:r>
      <w:r w:rsidR="00925723">
        <w:rPr>
          <w:rFonts w:ascii="Bookman Old Style" w:hAnsi="Bookman Old Style"/>
        </w:rPr>
        <w:t>.</w:t>
      </w:r>
      <w:r w:rsidRPr="00925723">
        <w:rPr>
          <w:rFonts w:ascii="Bookman Old Style" w:hAnsi="Bookman Old Style"/>
        </w:rPr>
        <w:t xml:space="preserve"> En caso de no tener los cargos definitivos a esa fecha, la empresa debe enviar los provisionales.</w:t>
      </w:r>
    </w:p>
    <w:p w:rsidR="0071204B" w:rsidRPr="00B967A9" w:rsidRDefault="0071204B" w:rsidP="00631A51">
      <w:pPr>
        <w:ind w:left="0"/>
        <w:jc w:val="both"/>
        <w:rPr>
          <w:rFonts w:ascii="Bookman Old Style" w:hAnsi="Bookman Old Style"/>
        </w:rPr>
      </w:pPr>
    </w:p>
    <w:p w:rsidR="00481CE3" w:rsidRDefault="00481CE3" w:rsidP="00631A51">
      <w:pPr>
        <w:ind w:left="0"/>
        <w:jc w:val="both"/>
        <w:rPr>
          <w:rFonts w:ascii="Bookman Old Style" w:hAnsi="Bookman Old Style"/>
        </w:rPr>
      </w:pPr>
      <w:r w:rsidRPr="00B967A9">
        <w:rPr>
          <w:rFonts w:ascii="Bookman Old Style" w:hAnsi="Bookman Old Style"/>
        </w:rPr>
        <w:t xml:space="preserve">Según lo dispuesto en el artículo 5 de la Resolución CREG 096 de 2011, para el cálculo del FRC vigente para el año t, la empresa deberá reportar y soportar a la CREG los mecanismos utilizados para realizar compras durante el año t-1, al igual que los precios de la energía y las cantidades adquiridas </w:t>
      </w:r>
      <w:r>
        <w:rPr>
          <w:rFonts w:ascii="Bookman Old Style" w:hAnsi="Bookman Old Style"/>
        </w:rPr>
        <w:t>mediante</w:t>
      </w:r>
      <w:r w:rsidRPr="00B967A9">
        <w:rPr>
          <w:rFonts w:ascii="Bookman Old Style" w:hAnsi="Bookman Old Style"/>
        </w:rPr>
        <w:t xml:space="preserve"> cada mecanismo.</w:t>
      </w:r>
    </w:p>
    <w:p w:rsidR="00481CE3" w:rsidRPr="00B967A9" w:rsidRDefault="00481CE3" w:rsidP="00631A51">
      <w:pPr>
        <w:ind w:left="0"/>
        <w:jc w:val="both"/>
        <w:rPr>
          <w:rFonts w:ascii="Bookman Old Style" w:hAnsi="Bookman Old Style"/>
        </w:rPr>
      </w:pPr>
    </w:p>
    <w:p w:rsidR="0071204B" w:rsidRPr="00B967A9" w:rsidRDefault="0071204B" w:rsidP="00631A51">
      <w:pPr>
        <w:ind w:left="0"/>
        <w:jc w:val="both"/>
        <w:rPr>
          <w:rFonts w:ascii="Bookman Old Style" w:hAnsi="Bookman Old Style" w:cs="Arial"/>
        </w:rPr>
      </w:pPr>
      <w:r w:rsidRPr="00B967A9">
        <w:rPr>
          <w:rFonts w:ascii="Bookman Old Style" w:hAnsi="Bookman Old Style" w:cs="Arial"/>
        </w:rPr>
        <w:t>Mediante la comunicación con radicado CREG E-2013-000372</w:t>
      </w:r>
      <w:r w:rsidR="00481CE3">
        <w:rPr>
          <w:rFonts w:ascii="Bookman Old Style" w:hAnsi="Bookman Old Style" w:cs="Arial"/>
        </w:rPr>
        <w:t>,</w:t>
      </w:r>
      <w:r w:rsidRPr="00B967A9">
        <w:rPr>
          <w:rFonts w:ascii="Bookman Old Style" w:hAnsi="Bookman Old Style" w:cs="Arial"/>
        </w:rPr>
        <w:t xml:space="preserve"> recibida el 18 de enero de 2013, </w:t>
      </w:r>
      <w:r w:rsidRPr="00B967A9">
        <w:rPr>
          <w:rFonts w:ascii="Bookman Old Style" w:hAnsi="Bookman Old Style"/>
        </w:rPr>
        <w:t xml:space="preserve">la empresa Energía Social de La Costa S.A. E.S.P. </w:t>
      </w:r>
      <w:r w:rsidRPr="00B967A9">
        <w:rPr>
          <w:rFonts w:ascii="Bookman Old Style" w:hAnsi="Bookman Old Style" w:cs="Arial"/>
        </w:rPr>
        <w:t xml:space="preserve">entregó a la Comisión la información sobre el consumo facturado medio del año 2012, así como </w:t>
      </w:r>
      <w:r w:rsidR="000149D5">
        <w:rPr>
          <w:rFonts w:ascii="Bookman Old Style" w:hAnsi="Bookman Old Style" w:cs="Arial"/>
        </w:rPr>
        <w:t>las componentes del costo unitario de prestación del servicio</w:t>
      </w:r>
      <w:r w:rsidRPr="00B967A9">
        <w:rPr>
          <w:rFonts w:ascii="Bookman Old Style" w:hAnsi="Bookman Old Style" w:cs="Arial"/>
        </w:rPr>
        <w:t xml:space="preserve"> para enero de 2013 y demás información requerida para el cálculo del factor de riesgo de cartera a que se refieren las resoluciones CREG 101 de 2006 y 096 de 2011.</w:t>
      </w:r>
    </w:p>
    <w:p w:rsidR="00925723" w:rsidRDefault="00925723" w:rsidP="00631A51">
      <w:pPr>
        <w:ind w:left="0"/>
        <w:jc w:val="both"/>
        <w:rPr>
          <w:rFonts w:ascii="Bookman Old Style" w:hAnsi="Bookman Old Style"/>
        </w:rPr>
      </w:pPr>
    </w:p>
    <w:p w:rsidR="0071204B" w:rsidRPr="00B967A9" w:rsidRDefault="0071204B" w:rsidP="00631A51">
      <w:pPr>
        <w:ind w:left="0"/>
        <w:jc w:val="both"/>
        <w:rPr>
          <w:rFonts w:ascii="Bookman Old Style" w:hAnsi="Bookman Old Style"/>
        </w:rPr>
      </w:pPr>
      <w:r w:rsidRPr="00B967A9">
        <w:rPr>
          <w:rFonts w:ascii="Bookman Old Style" w:hAnsi="Bookman Old Style"/>
        </w:rPr>
        <w:t xml:space="preserve">En virtud de lo anterior, mediante la </w:t>
      </w:r>
      <w:r w:rsidR="00925723">
        <w:rPr>
          <w:rFonts w:ascii="Bookman Old Style" w:hAnsi="Bookman Old Style"/>
        </w:rPr>
        <w:t>R</w:t>
      </w:r>
      <w:r w:rsidRPr="00B967A9">
        <w:rPr>
          <w:rFonts w:ascii="Bookman Old Style" w:hAnsi="Bookman Old Style"/>
        </w:rPr>
        <w:t>esolución CREG 008 de 2013 la Comisión de Regulación de Energía y Gas aprobó el factor de riesgo de cartera y el cargo de comercialización aplicables en el año 2013 al conjunto de barrios subnormales atendidos por la empresa Energía Social de La Costa S.A. E.S.P.</w:t>
      </w:r>
    </w:p>
    <w:p w:rsidR="0071204B" w:rsidRPr="00B967A9" w:rsidRDefault="0071204B" w:rsidP="00631A51">
      <w:pPr>
        <w:ind w:left="0"/>
        <w:jc w:val="both"/>
        <w:rPr>
          <w:rFonts w:ascii="Bookman Old Style" w:hAnsi="Bookman Old Style"/>
        </w:rPr>
      </w:pPr>
    </w:p>
    <w:p w:rsidR="0071204B" w:rsidRPr="00B967A9" w:rsidRDefault="0071204B" w:rsidP="00631A51">
      <w:pPr>
        <w:ind w:left="0"/>
        <w:jc w:val="both"/>
        <w:rPr>
          <w:rFonts w:ascii="Bookman Old Style" w:hAnsi="Bookman Old Style"/>
          <w:i/>
        </w:rPr>
      </w:pPr>
      <w:r w:rsidRPr="00B967A9">
        <w:rPr>
          <w:rFonts w:ascii="Bookman Old Style" w:hAnsi="Bookman Old Style"/>
        </w:rPr>
        <w:t>Mediante comunicación del 17 de abril de 2013, radicada en la CREG con el número E-2013-003182</w:t>
      </w:r>
      <w:r w:rsidR="00925723">
        <w:rPr>
          <w:rFonts w:ascii="Bookman Old Style" w:hAnsi="Bookman Old Style"/>
        </w:rPr>
        <w:t>,</w:t>
      </w:r>
      <w:r w:rsidRPr="00B967A9">
        <w:rPr>
          <w:rFonts w:ascii="Bookman Old Style" w:hAnsi="Bookman Old Style"/>
        </w:rPr>
        <w:t xml:space="preserve"> y estando dentro del plazo otorgado por la Ley para ello, la empresa Energía Social de La Costa S.A. E.S.P. interpuso</w:t>
      </w:r>
      <w:r w:rsidR="00890277" w:rsidRPr="00B967A9">
        <w:rPr>
          <w:rFonts w:ascii="Bookman Old Style" w:hAnsi="Bookman Old Style"/>
        </w:rPr>
        <w:t xml:space="preserve"> recurso de reposición contra la</w:t>
      </w:r>
      <w:r w:rsidRPr="00B967A9">
        <w:rPr>
          <w:rFonts w:ascii="Bookman Old Style" w:hAnsi="Bookman Old Style"/>
        </w:rPr>
        <w:t xml:space="preserve"> Resolución CREG 008 de 2013</w:t>
      </w:r>
      <w:r w:rsidR="005B7674" w:rsidRPr="00B967A9">
        <w:rPr>
          <w:rFonts w:ascii="Bookman Old Style" w:hAnsi="Bookman Old Style"/>
        </w:rPr>
        <w:t xml:space="preserve"> con el fin de que</w:t>
      </w:r>
      <w:r w:rsidR="00925723">
        <w:rPr>
          <w:rFonts w:ascii="Bookman Old Style" w:hAnsi="Bookman Old Style"/>
        </w:rPr>
        <w:t xml:space="preserve"> </w:t>
      </w:r>
      <w:r w:rsidR="005B7674" w:rsidRPr="00B967A9">
        <w:rPr>
          <w:rFonts w:ascii="Bookman Old Style" w:hAnsi="Bookman Old Style"/>
          <w:i/>
        </w:rPr>
        <w:t xml:space="preserve">“(…)  la Comisión corrija el error de cálculo consistente en emplear un porcentaje de recaudo de los recursos de Fondo de Energía Social (FOES) y las ventas de energía facturadas que se consideran para el cálculo del factor de riesgo de cartera </w:t>
      </w:r>
      <w:r w:rsidR="005C3284" w:rsidRPr="00B967A9">
        <w:rPr>
          <w:rFonts w:ascii="Bookman Old Style" w:hAnsi="Bookman Old Style"/>
          <w:i/>
        </w:rPr>
        <w:t xml:space="preserve">a </w:t>
      </w:r>
      <w:r w:rsidR="005B7674" w:rsidRPr="00B967A9">
        <w:rPr>
          <w:rFonts w:ascii="Bookman Old Style" w:hAnsi="Bookman Old Style"/>
          <w:i/>
        </w:rPr>
        <w:t>calcular, y por otra parte el índice de productividad del sector eléctrico (IPSE), los cuales a su vez sirven para calcular el cargo de comercialización que aplica Energía Social en su mercado de comercialización constituido por Barrios Subnormales.”</w:t>
      </w:r>
    </w:p>
    <w:p w:rsidR="0071204B" w:rsidRPr="00B967A9" w:rsidRDefault="0071204B" w:rsidP="00631A51">
      <w:pPr>
        <w:ind w:left="0"/>
        <w:jc w:val="both"/>
        <w:rPr>
          <w:rFonts w:ascii="Bookman Old Style" w:hAnsi="Bookman Old Style"/>
        </w:rPr>
      </w:pPr>
    </w:p>
    <w:p w:rsidR="00C7551E" w:rsidRPr="00B967A9" w:rsidRDefault="0071204B" w:rsidP="00631A51">
      <w:pPr>
        <w:ind w:left="0"/>
        <w:jc w:val="both"/>
        <w:rPr>
          <w:rFonts w:ascii="Bookman Old Style" w:hAnsi="Bookman Old Style"/>
        </w:rPr>
      </w:pPr>
      <w:r w:rsidRPr="00B967A9">
        <w:rPr>
          <w:rFonts w:ascii="Bookman Old Style" w:hAnsi="Bookman Old Style"/>
        </w:rPr>
        <w:t xml:space="preserve">Procede entonces esta Comisión a revisar los fundamentos de hecho que </w:t>
      </w:r>
      <w:proofErr w:type="gramStart"/>
      <w:r w:rsidR="005C3284" w:rsidRPr="00B967A9">
        <w:rPr>
          <w:rFonts w:ascii="Bookman Old Style" w:hAnsi="Bookman Old Style"/>
        </w:rPr>
        <w:t>originan</w:t>
      </w:r>
      <w:proofErr w:type="gramEnd"/>
      <w:r w:rsidRPr="00B967A9">
        <w:rPr>
          <w:rFonts w:ascii="Bookman Old Style" w:hAnsi="Bookman Old Style"/>
        </w:rPr>
        <w:t xml:space="preserve"> el respectivo recurso para determinar si hay o no lugar a la corrección solicitada y en consecuencia realizar las modificaciones per</w:t>
      </w:r>
      <w:r w:rsidR="001843CD" w:rsidRPr="00B967A9">
        <w:rPr>
          <w:rFonts w:ascii="Bookman Old Style" w:hAnsi="Bookman Old Style"/>
        </w:rPr>
        <w:t>tinentes a la Resolución CREG 008 de 2013</w:t>
      </w:r>
      <w:r w:rsidRPr="00B967A9">
        <w:rPr>
          <w:rFonts w:ascii="Bookman Old Style" w:hAnsi="Bookman Old Style"/>
        </w:rPr>
        <w:t>.</w:t>
      </w:r>
    </w:p>
    <w:p w:rsidR="0071204B" w:rsidRPr="00B967A9" w:rsidRDefault="0071204B" w:rsidP="00631A51">
      <w:pPr>
        <w:ind w:left="0"/>
        <w:jc w:val="both"/>
        <w:rPr>
          <w:rFonts w:ascii="Bookman Old Style" w:hAnsi="Bookman Old Style"/>
        </w:rPr>
      </w:pPr>
    </w:p>
    <w:p w:rsidR="001843CD" w:rsidRPr="00B967A9" w:rsidRDefault="001843CD" w:rsidP="00631A51">
      <w:pPr>
        <w:ind w:left="0"/>
        <w:jc w:val="both"/>
        <w:rPr>
          <w:rFonts w:ascii="Bookman Old Style" w:hAnsi="Bookman Old Style"/>
          <w:b/>
        </w:rPr>
      </w:pPr>
      <w:r w:rsidRPr="00B967A9">
        <w:rPr>
          <w:rFonts w:ascii="Bookman Old Style" w:hAnsi="Bookman Old Style"/>
          <w:b/>
        </w:rPr>
        <w:t>FUNDAMENTO DE HECHO DEL RECURSO</w:t>
      </w:r>
    </w:p>
    <w:p w:rsidR="001843CD" w:rsidRPr="00B967A9" w:rsidRDefault="001843CD" w:rsidP="00631A51">
      <w:pPr>
        <w:ind w:left="0"/>
        <w:jc w:val="both"/>
        <w:rPr>
          <w:rFonts w:ascii="Bookman Old Style" w:hAnsi="Bookman Old Style"/>
          <w:b/>
        </w:rPr>
      </w:pPr>
    </w:p>
    <w:p w:rsidR="00663B47" w:rsidRPr="00B967A9" w:rsidRDefault="007C4182" w:rsidP="00631A51">
      <w:pPr>
        <w:pStyle w:val="Prrafodelista"/>
        <w:numPr>
          <w:ilvl w:val="0"/>
          <w:numId w:val="31"/>
        </w:numPr>
        <w:jc w:val="both"/>
        <w:rPr>
          <w:b/>
        </w:rPr>
      </w:pPr>
      <w:r>
        <w:rPr>
          <w:b/>
        </w:rPr>
        <w:t>Recursos</w:t>
      </w:r>
      <w:r w:rsidR="00663B47" w:rsidRPr="00B967A9">
        <w:rPr>
          <w:b/>
        </w:rPr>
        <w:t xml:space="preserve"> del Fondo de Energía Social</w:t>
      </w:r>
    </w:p>
    <w:p w:rsidR="00663B47" w:rsidRPr="007C4182" w:rsidRDefault="00663B47" w:rsidP="00631A51">
      <w:pPr>
        <w:ind w:left="0"/>
        <w:jc w:val="both"/>
        <w:rPr>
          <w:rFonts w:ascii="Bookman Old Style" w:hAnsi="Bookman Old Style"/>
        </w:rPr>
      </w:pPr>
    </w:p>
    <w:p w:rsidR="001843CD" w:rsidRPr="00B967A9" w:rsidRDefault="001843CD" w:rsidP="00631A51">
      <w:pPr>
        <w:ind w:left="0"/>
        <w:jc w:val="both"/>
        <w:rPr>
          <w:rFonts w:ascii="Bookman Old Style" w:hAnsi="Bookman Old Style"/>
        </w:rPr>
      </w:pPr>
      <w:r w:rsidRPr="00B967A9">
        <w:rPr>
          <w:rFonts w:ascii="Bookman Old Style" w:hAnsi="Bookman Old Style"/>
        </w:rPr>
        <w:t xml:space="preserve">El representante legal de la empresa Energía Social de La Costa S.A. E.S.P. sostiene en su escrito de reposición que el porcentaje de recaudo </w:t>
      </w:r>
      <w:r w:rsidR="007C4182">
        <w:rPr>
          <w:rFonts w:ascii="Bookman Old Style" w:hAnsi="Bookman Old Style"/>
        </w:rPr>
        <w:t xml:space="preserve">de recursos del </w:t>
      </w:r>
      <w:r w:rsidRPr="00B967A9">
        <w:rPr>
          <w:rFonts w:ascii="Bookman Old Style" w:hAnsi="Bookman Old Style"/>
        </w:rPr>
        <w:t>FOES presenta un error de cálculo para el año 2012, ya que se utilizó un porcentaje de 12,45%, el cual, de acuerdo con su criterio, es incorrecto porque no corresponde a los recursos que ingresaron a la empresa durante el año 2012 con base en los giros efectuados por el Ministerio de Minas y Energía.</w:t>
      </w:r>
    </w:p>
    <w:p w:rsidR="001843CD" w:rsidRPr="00B967A9" w:rsidRDefault="001843CD" w:rsidP="00631A51">
      <w:pPr>
        <w:ind w:left="0"/>
        <w:jc w:val="both"/>
        <w:rPr>
          <w:rFonts w:ascii="Bookman Old Style" w:hAnsi="Bookman Old Style"/>
        </w:rPr>
      </w:pPr>
    </w:p>
    <w:p w:rsidR="00575E62" w:rsidRDefault="00575E62" w:rsidP="00631A51">
      <w:pPr>
        <w:ind w:left="0"/>
        <w:jc w:val="both"/>
        <w:rPr>
          <w:rFonts w:ascii="Bookman Old Style" w:hAnsi="Bookman Old Style"/>
        </w:rPr>
      </w:pPr>
    </w:p>
    <w:p w:rsidR="00575E62" w:rsidRDefault="00575E62" w:rsidP="00631A51">
      <w:pPr>
        <w:ind w:left="0"/>
        <w:jc w:val="both"/>
        <w:rPr>
          <w:rFonts w:ascii="Bookman Old Style" w:hAnsi="Bookman Old Style"/>
        </w:rPr>
      </w:pPr>
    </w:p>
    <w:p w:rsidR="001843CD" w:rsidRPr="00B967A9" w:rsidRDefault="00663B47" w:rsidP="00631A51">
      <w:pPr>
        <w:ind w:left="0"/>
        <w:jc w:val="both"/>
        <w:rPr>
          <w:rFonts w:ascii="Bookman Old Style" w:hAnsi="Bookman Old Style"/>
        </w:rPr>
      </w:pPr>
      <w:r w:rsidRPr="00B967A9">
        <w:rPr>
          <w:rFonts w:ascii="Bookman Old Style" w:hAnsi="Bookman Old Style"/>
        </w:rPr>
        <w:t>Para Energía Social de la Costa</w:t>
      </w:r>
      <w:r w:rsidR="007C4182">
        <w:rPr>
          <w:rFonts w:ascii="Bookman Old Style" w:hAnsi="Bookman Old Style"/>
        </w:rPr>
        <w:t xml:space="preserve"> </w:t>
      </w:r>
      <w:r w:rsidR="007C4182" w:rsidRPr="00B967A9">
        <w:rPr>
          <w:rFonts w:ascii="Bookman Old Style" w:hAnsi="Bookman Old Style"/>
        </w:rPr>
        <w:t>S.A. E.S.P.</w:t>
      </w:r>
      <w:r w:rsidRPr="00B967A9">
        <w:rPr>
          <w:rFonts w:ascii="Bookman Old Style" w:hAnsi="Bookman Old Style"/>
        </w:rPr>
        <w:t xml:space="preserve"> los puntos que conducen al cálculo erróneo corresponden a:</w:t>
      </w:r>
    </w:p>
    <w:p w:rsidR="0071204B" w:rsidRPr="00B967A9" w:rsidRDefault="0071204B" w:rsidP="00631A51">
      <w:pPr>
        <w:ind w:left="0"/>
        <w:jc w:val="both"/>
        <w:rPr>
          <w:rFonts w:ascii="Bookman Old Style" w:hAnsi="Bookman Old Style"/>
        </w:rPr>
      </w:pPr>
    </w:p>
    <w:p w:rsidR="00663B47" w:rsidRPr="0029290B" w:rsidRDefault="00663B47" w:rsidP="00631A51">
      <w:pPr>
        <w:jc w:val="both"/>
        <w:rPr>
          <w:rFonts w:ascii="Bookman Old Style" w:hAnsi="Bookman Old Style"/>
          <w:i/>
          <w:sz w:val="20"/>
          <w:szCs w:val="20"/>
        </w:rPr>
      </w:pPr>
      <w:r w:rsidRPr="0029290B">
        <w:rPr>
          <w:rFonts w:ascii="Bookman Old Style" w:hAnsi="Bookman Old Style"/>
          <w:i/>
          <w:sz w:val="20"/>
          <w:szCs w:val="20"/>
        </w:rPr>
        <w:t>“</w:t>
      </w:r>
    </w:p>
    <w:p w:rsidR="00663B47" w:rsidRPr="0029290B" w:rsidRDefault="00663B47" w:rsidP="00631A51">
      <w:pPr>
        <w:pStyle w:val="Prrafodelista"/>
        <w:numPr>
          <w:ilvl w:val="0"/>
          <w:numId w:val="38"/>
        </w:numPr>
        <w:tabs>
          <w:tab w:val="left" w:pos="993"/>
        </w:tabs>
        <w:ind w:left="567" w:firstLine="0"/>
        <w:jc w:val="both"/>
        <w:rPr>
          <w:i/>
          <w:sz w:val="20"/>
        </w:rPr>
      </w:pPr>
      <w:r w:rsidRPr="0029290B">
        <w:rPr>
          <w:i/>
          <w:sz w:val="20"/>
        </w:rPr>
        <w:t>El valor considerado por la CREG como ingresos por FOES la suma de $ 25.867.520.491 pesos mientras que la suma correcta de FOES que ingresó durante 2012 en los giros efectuados por el Ministerio a la empresa por el giro de recursos es de $ 23.564.755.799 pesos.</w:t>
      </w:r>
    </w:p>
    <w:p w:rsidR="00663B47" w:rsidRPr="0029290B" w:rsidRDefault="00663B47" w:rsidP="00631A51">
      <w:pPr>
        <w:tabs>
          <w:tab w:val="left" w:pos="993"/>
        </w:tabs>
        <w:jc w:val="both"/>
        <w:rPr>
          <w:rFonts w:ascii="Bookman Old Style" w:hAnsi="Bookman Old Style"/>
          <w:i/>
          <w:sz w:val="20"/>
          <w:szCs w:val="20"/>
        </w:rPr>
      </w:pPr>
    </w:p>
    <w:p w:rsidR="00663B47" w:rsidRPr="0029290B" w:rsidRDefault="00663B47" w:rsidP="00631A51">
      <w:pPr>
        <w:pStyle w:val="Prrafodelista"/>
        <w:numPr>
          <w:ilvl w:val="0"/>
          <w:numId w:val="38"/>
        </w:numPr>
        <w:tabs>
          <w:tab w:val="left" w:pos="993"/>
        </w:tabs>
        <w:ind w:left="567" w:firstLine="0"/>
        <w:jc w:val="both"/>
        <w:rPr>
          <w:i/>
          <w:sz w:val="20"/>
        </w:rPr>
      </w:pPr>
      <w:r w:rsidRPr="0029290B">
        <w:rPr>
          <w:i/>
          <w:sz w:val="20"/>
        </w:rPr>
        <w:t>La Comisión incluye los recursos asignados a Energía Social por el Ministerio de Minas y Energía en la Resolución 90040 de 28 de enero de 2013, por un valor de $ 2.302.764.692 pesos.</w:t>
      </w:r>
    </w:p>
    <w:p w:rsidR="00663B47" w:rsidRPr="0029290B" w:rsidRDefault="00663B47" w:rsidP="00631A51">
      <w:pPr>
        <w:pStyle w:val="Prrafodelista"/>
        <w:tabs>
          <w:tab w:val="left" w:pos="993"/>
        </w:tabs>
        <w:ind w:left="567"/>
        <w:rPr>
          <w:i/>
          <w:sz w:val="20"/>
        </w:rPr>
      </w:pPr>
    </w:p>
    <w:p w:rsidR="00663B47" w:rsidRPr="0029290B" w:rsidRDefault="00663B47" w:rsidP="00631A51">
      <w:pPr>
        <w:pStyle w:val="Prrafodelista"/>
        <w:tabs>
          <w:tab w:val="left" w:pos="993"/>
        </w:tabs>
        <w:ind w:left="567"/>
        <w:jc w:val="both"/>
        <w:rPr>
          <w:i/>
          <w:sz w:val="20"/>
        </w:rPr>
      </w:pPr>
      <w:r w:rsidRPr="0029290B">
        <w:rPr>
          <w:i/>
          <w:sz w:val="20"/>
        </w:rPr>
        <w:t>Estos recursos ingresaron a las cuentas de Energía Social el 19 de febrero de 2013, de modo que es claro que estos recursos no hacen parte del ingreso por FOES recibido por la empresa durante el 2012, año que se evalúa para el cálculo del FRC.</w:t>
      </w:r>
    </w:p>
    <w:p w:rsidR="00663B47" w:rsidRPr="0029290B" w:rsidRDefault="00663B47" w:rsidP="00631A51">
      <w:pPr>
        <w:pStyle w:val="Prrafodelista"/>
        <w:tabs>
          <w:tab w:val="left" w:pos="993"/>
        </w:tabs>
        <w:ind w:left="567"/>
        <w:jc w:val="both"/>
        <w:rPr>
          <w:i/>
          <w:sz w:val="20"/>
        </w:rPr>
      </w:pPr>
    </w:p>
    <w:p w:rsidR="00663B47" w:rsidRPr="0029290B" w:rsidRDefault="00663B47" w:rsidP="00631A51">
      <w:pPr>
        <w:pStyle w:val="Prrafodelista"/>
        <w:numPr>
          <w:ilvl w:val="0"/>
          <w:numId w:val="38"/>
        </w:numPr>
        <w:tabs>
          <w:tab w:val="left" w:pos="993"/>
        </w:tabs>
        <w:ind w:left="567" w:firstLine="0"/>
        <w:jc w:val="both"/>
        <w:rPr>
          <w:i/>
          <w:sz w:val="20"/>
        </w:rPr>
      </w:pPr>
      <w:r w:rsidRPr="0029290B">
        <w:rPr>
          <w:i/>
          <w:sz w:val="20"/>
        </w:rPr>
        <w:t>En la tabla 6 del documento CREG 007 de 2013 se debe excluir la Resolución MME 90040 de 2013 y el correspondiente valor o monto entregado.</w:t>
      </w:r>
    </w:p>
    <w:p w:rsidR="00663B47" w:rsidRPr="0029290B" w:rsidRDefault="00663B47" w:rsidP="00631A51">
      <w:pPr>
        <w:pStyle w:val="Prrafodelista"/>
        <w:tabs>
          <w:tab w:val="left" w:pos="993"/>
        </w:tabs>
        <w:ind w:left="567"/>
        <w:jc w:val="both"/>
        <w:rPr>
          <w:i/>
          <w:sz w:val="20"/>
        </w:rPr>
      </w:pPr>
    </w:p>
    <w:p w:rsidR="00663B47" w:rsidRPr="0029290B" w:rsidRDefault="00663B47" w:rsidP="00631A51">
      <w:pPr>
        <w:pStyle w:val="Prrafodelista"/>
        <w:numPr>
          <w:ilvl w:val="0"/>
          <w:numId w:val="38"/>
        </w:numPr>
        <w:tabs>
          <w:tab w:val="left" w:pos="993"/>
        </w:tabs>
        <w:ind w:left="567" w:firstLine="0"/>
        <w:jc w:val="both"/>
        <w:rPr>
          <w:i/>
          <w:sz w:val="20"/>
        </w:rPr>
      </w:pPr>
      <w:r w:rsidRPr="0029290B">
        <w:rPr>
          <w:i/>
          <w:sz w:val="20"/>
        </w:rPr>
        <w:t>El porcentaje de recaudo inicial para 2013 (pg. 55 del documento soporte CREG 007 de 15 de febrero de 2013) se calcula considerando un porcentaje de recaudo FOES de 12,45%. Este porcentaje debe ser corregido utilizando el porcentaje correcto de 11,05%.</w:t>
      </w:r>
    </w:p>
    <w:p w:rsidR="00663B47" w:rsidRPr="0029290B" w:rsidRDefault="00663B47" w:rsidP="00631A51">
      <w:pPr>
        <w:pStyle w:val="Prrafodelista"/>
        <w:ind w:left="567"/>
        <w:rPr>
          <w:i/>
          <w:sz w:val="20"/>
        </w:rPr>
      </w:pPr>
    </w:p>
    <w:p w:rsidR="00663B47" w:rsidRPr="0029290B" w:rsidRDefault="00663B47" w:rsidP="00631A51">
      <w:pPr>
        <w:pStyle w:val="Prrafodelista"/>
        <w:ind w:left="567"/>
        <w:jc w:val="both"/>
        <w:rPr>
          <w:i/>
          <w:sz w:val="20"/>
        </w:rPr>
      </w:pPr>
      <w:r w:rsidRPr="0029290B">
        <w:rPr>
          <w:i/>
          <w:sz w:val="20"/>
        </w:rPr>
        <w:t>Dicho porcentaje resulta de dividir el valor correcto del ingreso por recursos FOES recibidos del Ministerio durante 2012 ($ 23.564.755.799 pesos) sobre el valor correcto del ingreso causado de Energía Social durante 2012 ($ 213.265.842.676 pesos) informado en la tabla 4 de nuestra comunicación del 30 de enero.</w:t>
      </w:r>
    </w:p>
    <w:p w:rsidR="00663B47" w:rsidRPr="0029290B" w:rsidRDefault="00663B47" w:rsidP="00631A51">
      <w:pPr>
        <w:pStyle w:val="Prrafodelista"/>
        <w:ind w:left="567"/>
        <w:jc w:val="both"/>
        <w:rPr>
          <w:i/>
          <w:sz w:val="20"/>
        </w:rPr>
      </w:pPr>
    </w:p>
    <w:p w:rsidR="00663B47" w:rsidRPr="0029290B" w:rsidRDefault="00663B47" w:rsidP="00631A51">
      <w:pPr>
        <w:pStyle w:val="Prrafodelista"/>
        <w:ind w:left="567"/>
        <w:jc w:val="both"/>
        <w:rPr>
          <w:i/>
          <w:sz w:val="20"/>
        </w:rPr>
      </w:pPr>
      <w:r w:rsidRPr="0029290B">
        <w:rPr>
          <w:i/>
          <w:sz w:val="20"/>
        </w:rPr>
        <w:t>El valor del ingreso causado debe ser corregido, dado que la Comisión utilizó el valor informado por Energía Social en la tabla 5 del anexo de la comunicación del 18 de enero de 2013, por $ 207.751.484.789 pesos</w:t>
      </w:r>
      <w:r w:rsidR="007C4182" w:rsidRPr="0029290B">
        <w:rPr>
          <w:i/>
          <w:sz w:val="20"/>
        </w:rPr>
        <w:t>”</w:t>
      </w:r>
      <w:r w:rsidRPr="0029290B">
        <w:rPr>
          <w:i/>
          <w:sz w:val="20"/>
        </w:rPr>
        <w:t>.</w:t>
      </w:r>
    </w:p>
    <w:p w:rsidR="00813CF8" w:rsidRPr="00B967A9" w:rsidRDefault="00813CF8" w:rsidP="00631A51">
      <w:pPr>
        <w:ind w:left="0"/>
        <w:jc w:val="both"/>
        <w:rPr>
          <w:rFonts w:ascii="Bookman Old Style" w:hAnsi="Bookman Old Style"/>
          <w:b/>
        </w:rPr>
      </w:pPr>
    </w:p>
    <w:p w:rsidR="00813CF8" w:rsidRPr="00B967A9" w:rsidRDefault="00813CF8" w:rsidP="00631A51">
      <w:pPr>
        <w:pStyle w:val="Prrafodelista"/>
        <w:numPr>
          <w:ilvl w:val="0"/>
          <w:numId w:val="31"/>
        </w:numPr>
        <w:jc w:val="both"/>
        <w:rPr>
          <w:b/>
        </w:rPr>
      </w:pPr>
      <w:r w:rsidRPr="00B967A9">
        <w:rPr>
          <w:b/>
        </w:rPr>
        <w:t xml:space="preserve">Energía facturada en </w:t>
      </w:r>
      <w:r w:rsidR="00AD6545">
        <w:rPr>
          <w:b/>
        </w:rPr>
        <w:t xml:space="preserve">el </w:t>
      </w:r>
      <w:r w:rsidRPr="00B967A9">
        <w:rPr>
          <w:b/>
        </w:rPr>
        <w:t>nivel de tensión 2</w:t>
      </w:r>
    </w:p>
    <w:p w:rsidR="00813CF8" w:rsidRPr="00AD6545" w:rsidRDefault="00813CF8" w:rsidP="00631A51">
      <w:pPr>
        <w:ind w:left="0"/>
        <w:jc w:val="both"/>
        <w:rPr>
          <w:rFonts w:ascii="Bookman Old Style" w:hAnsi="Bookman Old Style"/>
          <w:b/>
        </w:rPr>
      </w:pPr>
    </w:p>
    <w:p w:rsidR="0071204B" w:rsidRPr="00B967A9" w:rsidRDefault="00AD6545" w:rsidP="00631A51">
      <w:pPr>
        <w:ind w:left="0"/>
        <w:jc w:val="both"/>
        <w:rPr>
          <w:rFonts w:ascii="Bookman Old Style" w:hAnsi="Bookman Old Style"/>
          <w:lang w:val="es-CO"/>
        </w:rPr>
      </w:pPr>
      <w:r>
        <w:rPr>
          <w:rFonts w:ascii="Bookman Old Style" w:hAnsi="Bookman Old Style"/>
          <w:lang w:val="es-CO"/>
        </w:rPr>
        <w:t xml:space="preserve">De acuerdo con lo señalado por </w:t>
      </w:r>
      <w:r w:rsidR="00813CF8" w:rsidRPr="00B967A9">
        <w:rPr>
          <w:rFonts w:ascii="Bookman Old Style" w:hAnsi="Bookman Old Style"/>
          <w:lang w:val="es-CO"/>
        </w:rPr>
        <w:t xml:space="preserve">Energía </w:t>
      </w:r>
      <w:r>
        <w:rPr>
          <w:rFonts w:ascii="Bookman Old Style" w:hAnsi="Bookman Old Style"/>
          <w:lang w:val="es-CO"/>
        </w:rPr>
        <w:t>S</w:t>
      </w:r>
      <w:r w:rsidR="00813CF8" w:rsidRPr="00B967A9">
        <w:rPr>
          <w:rFonts w:ascii="Bookman Old Style" w:hAnsi="Bookman Old Style"/>
          <w:lang w:val="es-CO"/>
        </w:rPr>
        <w:t xml:space="preserve">ocial de la Costa </w:t>
      </w:r>
      <w:r w:rsidR="004E245A" w:rsidRPr="00B967A9">
        <w:rPr>
          <w:rFonts w:ascii="Bookman Old Style" w:hAnsi="Bookman Old Style"/>
          <w:lang w:val="es-CO"/>
        </w:rPr>
        <w:t>S.A. E.S.P.</w:t>
      </w:r>
      <w:r>
        <w:rPr>
          <w:rFonts w:ascii="Bookman Old Style" w:hAnsi="Bookman Old Style"/>
          <w:lang w:val="es-CO"/>
        </w:rPr>
        <w:t>,</w:t>
      </w:r>
      <w:r w:rsidR="004E245A" w:rsidRPr="00B967A9">
        <w:rPr>
          <w:rFonts w:ascii="Bookman Old Style" w:hAnsi="Bookman Old Style"/>
          <w:lang w:val="es-CO"/>
        </w:rPr>
        <w:t xml:space="preserve"> </w:t>
      </w:r>
      <w:r w:rsidR="00813CF8" w:rsidRPr="00B967A9">
        <w:rPr>
          <w:rFonts w:ascii="Bookman Old Style" w:hAnsi="Bookman Old Style"/>
          <w:lang w:val="es-CO"/>
        </w:rPr>
        <w:t xml:space="preserve">la </w:t>
      </w:r>
      <w:r w:rsidR="004E245A" w:rsidRPr="00B967A9">
        <w:rPr>
          <w:rFonts w:ascii="Bookman Old Style" w:hAnsi="Bookman Old Style"/>
          <w:lang w:val="es-CO"/>
        </w:rPr>
        <w:t xml:space="preserve">Comisión debería utilizar como ventas de nivel de tensión 2 las reportadas por la empresa en la comunicación con radicado CREG </w:t>
      </w:r>
      <w:r w:rsidR="004E245A" w:rsidRPr="00B967A9">
        <w:rPr>
          <w:rFonts w:ascii="Bookman Old Style" w:hAnsi="Bookman Old Style" w:cs="Arial"/>
        </w:rPr>
        <w:t xml:space="preserve">E-2013-000796 </w:t>
      </w:r>
      <w:r w:rsidR="004E245A" w:rsidRPr="00B967A9">
        <w:rPr>
          <w:rFonts w:ascii="Bookman Old Style" w:hAnsi="Bookman Old Style"/>
          <w:lang w:val="es-CO"/>
        </w:rPr>
        <w:t>del 1 de febrero de 2013</w:t>
      </w:r>
      <w:r>
        <w:rPr>
          <w:rFonts w:ascii="Bookman Old Style" w:hAnsi="Bookman Old Style"/>
          <w:lang w:val="es-CO"/>
        </w:rPr>
        <w:t>,</w:t>
      </w:r>
      <w:r w:rsidR="004E245A" w:rsidRPr="00B967A9">
        <w:rPr>
          <w:rFonts w:ascii="Bookman Old Style" w:hAnsi="Bookman Old Style"/>
          <w:lang w:val="es-CO"/>
        </w:rPr>
        <w:t xml:space="preserve"> correspondientes a 94.065.353 </w:t>
      </w:r>
      <w:proofErr w:type="spellStart"/>
      <w:r w:rsidR="004E245A" w:rsidRPr="00B967A9">
        <w:rPr>
          <w:rFonts w:ascii="Bookman Old Style" w:hAnsi="Bookman Old Style"/>
          <w:lang w:val="es-CO"/>
        </w:rPr>
        <w:t>kWh</w:t>
      </w:r>
      <w:proofErr w:type="spellEnd"/>
      <w:r w:rsidR="004E245A" w:rsidRPr="00B967A9">
        <w:rPr>
          <w:rFonts w:ascii="Bookman Old Style" w:hAnsi="Bookman Old Style"/>
          <w:lang w:val="es-CO"/>
        </w:rPr>
        <w:t>/año. Lo anterior es sustentado por la empresa bajo los siguientes argumentos:</w:t>
      </w:r>
    </w:p>
    <w:p w:rsidR="004E245A" w:rsidRPr="00B967A9" w:rsidRDefault="004E245A" w:rsidP="00631A51">
      <w:pPr>
        <w:ind w:left="0"/>
        <w:jc w:val="both"/>
        <w:rPr>
          <w:rFonts w:ascii="Bookman Old Style" w:hAnsi="Bookman Old Style"/>
          <w:lang w:val="es-CO"/>
        </w:rPr>
      </w:pPr>
    </w:p>
    <w:p w:rsidR="00AC272A" w:rsidRPr="0029290B" w:rsidRDefault="00AC272A" w:rsidP="00631A51">
      <w:pPr>
        <w:jc w:val="both"/>
        <w:rPr>
          <w:rFonts w:ascii="Bookman Old Style" w:hAnsi="Bookman Old Style"/>
          <w:i/>
          <w:sz w:val="20"/>
          <w:szCs w:val="20"/>
          <w:lang w:val="es-CO"/>
        </w:rPr>
      </w:pPr>
      <w:r w:rsidRPr="0029290B">
        <w:rPr>
          <w:rFonts w:ascii="Bookman Old Style" w:hAnsi="Bookman Old Style"/>
          <w:i/>
          <w:sz w:val="20"/>
          <w:szCs w:val="20"/>
          <w:lang w:val="es-CO"/>
        </w:rPr>
        <w:t xml:space="preserve">“La Comisión emplea para el cálculo del FRC de Energía Social para 2013 como ventas de energía facturadas en nivel 1 518.763.151 </w:t>
      </w:r>
      <w:proofErr w:type="spellStart"/>
      <w:r w:rsidRPr="0029290B">
        <w:rPr>
          <w:rFonts w:ascii="Bookman Old Style" w:hAnsi="Bookman Old Style"/>
          <w:i/>
          <w:sz w:val="20"/>
          <w:szCs w:val="20"/>
          <w:lang w:val="es-CO"/>
        </w:rPr>
        <w:t>kWh</w:t>
      </w:r>
      <w:proofErr w:type="spellEnd"/>
      <w:r w:rsidRPr="0029290B">
        <w:rPr>
          <w:rFonts w:ascii="Bookman Old Style" w:hAnsi="Bookman Old Style"/>
          <w:i/>
          <w:sz w:val="20"/>
          <w:szCs w:val="20"/>
          <w:lang w:val="es-CO"/>
        </w:rPr>
        <w:t xml:space="preserve">/año y 56.146.801 </w:t>
      </w:r>
      <w:proofErr w:type="spellStart"/>
      <w:r w:rsidRPr="0029290B">
        <w:rPr>
          <w:rFonts w:ascii="Bookman Old Style" w:hAnsi="Bookman Old Style"/>
          <w:i/>
          <w:sz w:val="20"/>
          <w:szCs w:val="20"/>
          <w:lang w:val="es-CO"/>
        </w:rPr>
        <w:t>kWh</w:t>
      </w:r>
      <w:proofErr w:type="spellEnd"/>
      <w:r w:rsidRPr="0029290B">
        <w:rPr>
          <w:rFonts w:ascii="Bookman Old Style" w:hAnsi="Bookman Old Style"/>
          <w:i/>
          <w:sz w:val="20"/>
          <w:szCs w:val="20"/>
          <w:lang w:val="es-CO"/>
        </w:rPr>
        <w:t>/año en nivel 2.</w:t>
      </w:r>
    </w:p>
    <w:p w:rsidR="00AC272A" w:rsidRPr="0029290B" w:rsidRDefault="00AC272A" w:rsidP="00631A51">
      <w:pPr>
        <w:jc w:val="both"/>
        <w:rPr>
          <w:rFonts w:ascii="Bookman Old Style" w:hAnsi="Bookman Old Style"/>
          <w:i/>
          <w:sz w:val="20"/>
          <w:szCs w:val="20"/>
          <w:lang w:val="es-CO"/>
        </w:rPr>
      </w:pPr>
    </w:p>
    <w:p w:rsidR="00AC272A" w:rsidRPr="0029290B" w:rsidRDefault="00AC272A" w:rsidP="00631A51">
      <w:pPr>
        <w:jc w:val="both"/>
        <w:rPr>
          <w:rFonts w:ascii="Bookman Old Style" w:hAnsi="Bookman Old Style"/>
          <w:i/>
          <w:sz w:val="20"/>
          <w:szCs w:val="20"/>
          <w:lang w:val="es-CO"/>
        </w:rPr>
      </w:pPr>
      <w:r w:rsidRPr="0029290B">
        <w:rPr>
          <w:rFonts w:ascii="Bookman Old Style" w:hAnsi="Bookman Old Style"/>
          <w:i/>
          <w:sz w:val="20"/>
          <w:szCs w:val="20"/>
          <w:lang w:val="es-CO"/>
        </w:rPr>
        <w:t xml:space="preserve">Si bien, para el nivel de tensión 1 la Comisión emplea el valor reportado por Energía Social, para el nivel de tensión 2 realiza un cálculo que difiere del valor real de las ventas de energía facturadas en 2012 por Energía Social y que fue reportado en la comunicación del 30 de enero pasado de 94.065.353 </w:t>
      </w:r>
      <w:proofErr w:type="spellStart"/>
      <w:r w:rsidRPr="0029290B">
        <w:rPr>
          <w:rFonts w:ascii="Bookman Old Style" w:hAnsi="Bookman Old Style"/>
          <w:i/>
          <w:sz w:val="20"/>
          <w:szCs w:val="20"/>
          <w:lang w:val="es-CO"/>
        </w:rPr>
        <w:t>kWh</w:t>
      </w:r>
      <w:proofErr w:type="spellEnd"/>
      <w:r w:rsidRPr="0029290B">
        <w:rPr>
          <w:rFonts w:ascii="Bookman Old Style" w:hAnsi="Bookman Old Style"/>
          <w:i/>
          <w:sz w:val="20"/>
          <w:szCs w:val="20"/>
          <w:lang w:val="es-CO"/>
        </w:rPr>
        <w:t>/año.</w:t>
      </w:r>
    </w:p>
    <w:p w:rsidR="00AC272A" w:rsidRPr="0029290B" w:rsidRDefault="00AC272A" w:rsidP="00631A51">
      <w:pPr>
        <w:jc w:val="both"/>
        <w:rPr>
          <w:rFonts w:ascii="Bookman Old Style" w:hAnsi="Bookman Old Style"/>
          <w:i/>
          <w:sz w:val="20"/>
          <w:szCs w:val="20"/>
          <w:lang w:val="es-CO"/>
        </w:rPr>
      </w:pPr>
    </w:p>
    <w:p w:rsidR="00AC272A" w:rsidRPr="0029290B" w:rsidRDefault="00AC272A" w:rsidP="00631A51">
      <w:pPr>
        <w:jc w:val="both"/>
        <w:rPr>
          <w:rFonts w:ascii="Bookman Old Style" w:hAnsi="Bookman Old Style"/>
          <w:i/>
          <w:sz w:val="20"/>
          <w:szCs w:val="20"/>
          <w:lang w:val="es-CO"/>
        </w:rPr>
      </w:pPr>
      <w:r w:rsidRPr="0029290B">
        <w:rPr>
          <w:rFonts w:ascii="Bookman Old Style" w:hAnsi="Bookman Old Style"/>
          <w:i/>
          <w:sz w:val="20"/>
          <w:szCs w:val="20"/>
          <w:lang w:val="es-CO"/>
        </w:rPr>
        <w:t>La diferencia radica en que la Comisión realiza un ajuste en las ventas de nivel de tensión 2, tomando como base la energía medida en las fronteras comerciales inscritas por Energía Social y las ventas de nivel de tensión 1 reportadas.</w:t>
      </w:r>
    </w:p>
    <w:p w:rsidR="00AC272A" w:rsidRPr="0029290B" w:rsidRDefault="00AC272A" w:rsidP="00631A51">
      <w:pPr>
        <w:jc w:val="both"/>
        <w:rPr>
          <w:rFonts w:ascii="Bookman Old Style" w:hAnsi="Bookman Old Style"/>
          <w:i/>
          <w:sz w:val="20"/>
          <w:szCs w:val="20"/>
          <w:lang w:val="es-CO"/>
        </w:rPr>
      </w:pPr>
    </w:p>
    <w:p w:rsidR="00AC272A" w:rsidRPr="0029290B" w:rsidRDefault="00AC272A" w:rsidP="00631A51">
      <w:pPr>
        <w:jc w:val="both"/>
        <w:rPr>
          <w:rFonts w:ascii="Bookman Old Style" w:hAnsi="Bookman Old Style"/>
          <w:i/>
          <w:sz w:val="20"/>
          <w:szCs w:val="20"/>
          <w:lang w:val="es-CO"/>
        </w:rPr>
      </w:pPr>
      <w:r w:rsidRPr="0029290B">
        <w:rPr>
          <w:rFonts w:ascii="Bookman Old Style" w:hAnsi="Bookman Old Style"/>
          <w:i/>
          <w:sz w:val="20"/>
          <w:szCs w:val="20"/>
          <w:lang w:val="es-CO"/>
        </w:rPr>
        <w:t>Sin embargo, este ajuste no considera las conciliaciones que se realizan entre Energía Social y ELECTRICARIBE, y que son consecuencia de la operativa de control de pérdidas desarrollada por el operador de red y por la normalización de barrios subnormales.</w:t>
      </w:r>
      <w:r w:rsidRPr="0029290B">
        <w:rPr>
          <w:rFonts w:ascii="Bookman Old Style" w:hAnsi="Bookman Old Style"/>
          <w:i/>
          <w:sz w:val="20"/>
          <w:szCs w:val="20"/>
          <w:lang w:val="es-CO"/>
        </w:rPr>
        <w:cr/>
      </w:r>
    </w:p>
    <w:p w:rsidR="00AC272A" w:rsidRPr="0029290B" w:rsidRDefault="00AC272A" w:rsidP="00631A51">
      <w:pPr>
        <w:jc w:val="both"/>
        <w:rPr>
          <w:rFonts w:ascii="Bookman Old Style" w:hAnsi="Bookman Old Style"/>
          <w:i/>
          <w:sz w:val="20"/>
          <w:szCs w:val="20"/>
          <w:lang w:val="es-CO"/>
        </w:rPr>
      </w:pPr>
      <w:r w:rsidRPr="0029290B">
        <w:rPr>
          <w:rFonts w:ascii="Bookman Old Style" w:hAnsi="Bookman Old Style"/>
          <w:i/>
          <w:sz w:val="20"/>
          <w:szCs w:val="20"/>
          <w:lang w:val="es-CO"/>
        </w:rPr>
        <w:lastRenderedPageBreak/>
        <w:t>En dicha operativa se realizan adecuaciones a las redes de niveles de tensión 2 y 1 a las que se conectan los barrios subnormales atendidos por Energía Social, razón por la cual los transformadores de los barrios subnormales intervenidos quedan conectados temporalmente a la red de ELECTRICARIBE o viceversa.</w:t>
      </w:r>
    </w:p>
    <w:p w:rsidR="00AC272A" w:rsidRPr="0029290B" w:rsidRDefault="00AC272A" w:rsidP="00631A51">
      <w:pPr>
        <w:jc w:val="both"/>
        <w:rPr>
          <w:rFonts w:ascii="Bookman Old Style" w:hAnsi="Bookman Old Style"/>
          <w:i/>
          <w:sz w:val="20"/>
          <w:szCs w:val="20"/>
          <w:lang w:val="es-CO"/>
        </w:rPr>
      </w:pPr>
    </w:p>
    <w:p w:rsidR="00AC272A" w:rsidRPr="0029290B" w:rsidRDefault="00AC272A" w:rsidP="00631A51">
      <w:pPr>
        <w:jc w:val="both"/>
        <w:rPr>
          <w:rFonts w:ascii="Bookman Old Style" w:hAnsi="Bookman Old Style"/>
          <w:i/>
          <w:sz w:val="20"/>
          <w:szCs w:val="20"/>
          <w:lang w:val="es-CO"/>
        </w:rPr>
      </w:pPr>
      <w:r w:rsidRPr="0029290B">
        <w:rPr>
          <w:rFonts w:ascii="Bookman Old Style" w:hAnsi="Bookman Old Style"/>
          <w:i/>
          <w:sz w:val="20"/>
          <w:szCs w:val="20"/>
          <w:lang w:val="es-CO"/>
        </w:rPr>
        <w:t>Sin embargo durante estas adecuaciones se instalan equipos de medida suplementarios que registran los consumos con el fin de realizar conciliaciones entre las dos empresas posteriormente, de forma</w:t>
      </w:r>
      <w:r w:rsidRPr="0029290B">
        <w:rPr>
          <w:rFonts w:ascii="Bookman Old Style" w:hAnsi="Bookman Old Style"/>
          <w:sz w:val="20"/>
          <w:szCs w:val="20"/>
        </w:rPr>
        <w:t xml:space="preserve"> </w:t>
      </w:r>
      <w:r w:rsidRPr="0029290B">
        <w:rPr>
          <w:rFonts w:ascii="Bookman Old Style" w:hAnsi="Bookman Old Style"/>
          <w:i/>
          <w:sz w:val="20"/>
          <w:szCs w:val="20"/>
          <w:lang w:val="es-CO"/>
        </w:rPr>
        <w:t>que se realice el balance de los consumos de los clientes de Energía Social que quedan como compras de ELECTRICARIBE en algunos casos, o en otros casos consumos de ELECTRICARIBE que quedan como compras de Energía Social, con el fin de que cada empresa pague sus correspondientes compras de energía y facturare los consumos correspondientes a sus clientes.</w:t>
      </w:r>
    </w:p>
    <w:p w:rsidR="00AC272A" w:rsidRPr="0029290B" w:rsidRDefault="00AC272A" w:rsidP="00631A51">
      <w:pPr>
        <w:jc w:val="both"/>
        <w:rPr>
          <w:rFonts w:ascii="Bookman Old Style" w:hAnsi="Bookman Old Style"/>
          <w:i/>
          <w:sz w:val="20"/>
          <w:szCs w:val="20"/>
          <w:lang w:val="es-CO"/>
        </w:rPr>
      </w:pPr>
    </w:p>
    <w:p w:rsidR="00AC272A" w:rsidRPr="0029290B" w:rsidRDefault="00AC272A" w:rsidP="00631A51">
      <w:pPr>
        <w:jc w:val="both"/>
        <w:rPr>
          <w:rFonts w:ascii="Bookman Old Style" w:hAnsi="Bookman Old Style"/>
          <w:i/>
          <w:sz w:val="20"/>
          <w:szCs w:val="20"/>
          <w:lang w:val="es-CO"/>
        </w:rPr>
      </w:pPr>
      <w:r w:rsidRPr="0029290B">
        <w:rPr>
          <w:rFonts w:ascii="Bookman Old Style" w:hAnsi="Bookman Old Style"/>
          <w:i/>
          <w:sz w:val="20"/>
          <w:szCs w:val="20"/>
          <w:lang w:val="es-CO"/>
        </w:rPr>
        <w:t xml:space="preserve">Durante los meses de enero y diciembre de 2012 se registró un neto de conciliaciones entre Energía Social y ELECTRICARIBE por las causas señaladas de 37.916.150 </w:t>
      </w:r>
      <w:proofErr w:type="spellStart"/>
      <w:r w:rsidRPr="0029290B">
        <w:rPr>
          <w:rFonts w:ascii="Bookman Old Style" w:hAnsi="Bookman Old Style"/>
          <w:i/>
          <w:sz w:val="20"/>
          <w:szCs w:val="20"/>
          <w:lang w:val="es-CO"/>
        </w:rPr>
        <w:t>kWh</w:t>
      </w:r>
      <w:proofErr w:type="spellEnd"/>
      <w:r w:rsidRPr="0029290B">
        <w:rPr>
          <w:rFonts w:ascii="Bookman Old Style" w:hAnsi="Bookman Old Style"/>
          <w:i/>
          <w:sz w:val="20"/>
          <w:szCs w:val="20"/>
          <w:lang w:val="es-CO"/>
        </w:rPr>
        <w:t xml:space="preserve">, que resulta de resta de las conciliaciones a favor de ECA por 49.332.124 </w:t>
      </w:r>
      <w:proofErr w:type="spellStart"/>
      <w:r w:rsidRPr="0029290B">
        <w:rPr>
          <w:rFonts w:ascii="Bookman Old Style" w:hAnsi="Bookman Old Style"/>
          <w:i/>
          <w:sz w:val="20"/>
          <w:szCs w:val="20"/>
          <w:lang w:val="es-CO"/>
        </w:rPr>
        <w:t>kWh</w:t>
      </w:r>
      <w:proofErr w:type="spellEnd"/>
      <w:r w:rsidRPr="0029290B">
        <w:rPr>
          <w:rFonts w:ascii="Bookman Old Style" w:hAnsi="Bookman Old Style"/>
          <w:i/>
          <w:sz w:val="20"/>
          <w:szCs w:val="20"/>
          <w:lang w:val="es-CO"/>
        </w:rPr>
        <w:t xml:space="preserve">/año, las conciliaciones a favor de Energía Social por 11.415.974 </w:t>
      </w:r>
      <w:proofErr w:type="spellStart"/>
      <w:r w:rsidRPr="0029290B">
        <w:rPr>
          <w:rFonts w:ascii="Bookman Old Style" w:hAnsi="Bookman Old Style"/>
          <w:i/>
          <w:sz w:val="20"/>
          <w:szCs w:val="20"/>
          <w:lang w:val="es-CO"/>
        </w:rPr>
        <w:t>kWh</w:t>
      </w:r>
      <w:proofErr w:type="spellEnd"/>
      <w:r w:rsidRPr="0029290B">
        <w:rPr>
          <w:rFonts w:ascii="Bookman Old Style" w:hAnsi="Bookman Old Style"/>
          <w:i/>
          <w:sz w:val="20"/>
          <w:szCs w:val="20"/>
          <w:lang w:val="es-CO"/>
        </w:rPr>
        <w:t>/año. Este valor neto corresponde a compras de energía realizadas por Energía Social.</w:t>
      </w:r>
    </w:p>
    <w:p w:rsidR="00AC272A" w:rsidRPr="0029290B" w:rsidRDefault="00AC272A" w:rsidP="00631A51">
      <w:pPr>
        <w:jc w:val="both"/>
        <w:rPr>
          <w:rFonts w:ascii="Bookman Old Style" w:hAnsi="Bookman Old Style"/>
          <w:i/>
          <w:sz w:val="20"/>
          <w:szCs w:val="20"/>
          <w:lang w:val="es-CO"/>
        </w:rPr>
      </w:pPr>
    </w:p>
    <w:p w:rsidR="00AC272A" w:rsidRPr="0029290B" w:rsidRDefault="00AC272A" w:rsidP="00631A51">
      <w:pPr>
        <w:jc w:val="both"/>
        <w:rPr>
          <w:rFonts w:ascii="Bookman Old Style" w:hAnsi="Bookman Old Style"/>
          <w:i/>
          <w:sz w:val="20"/>
          <w:szCs w:val="20"/>
          <w:lang w:val="es-CO"/>
        </w:rPr>
      </w:pPr>
      <w:r w:rsidRPr="0029290B">
        <w:rPr>
          <w:rFonts w:ascii="Bookman Old Style" w:hAnsi="Bookman Old Style"/>
          <w:i/>
          <w:sz w:val="20"/>
          <w:szCs w:val="20"/>
          <w:lang w:val="es-CO"/>
        </w:rPr>
        <w:t>Esta conciliación se realiza entre las dos empresas sin que se afecten las magnitudes registradas ante el mercado de energía mayorista, razón por la cual no están reflejadas en las lecturas de las fronteras comerciales reportadas a XM.</w:t>
      </w:r>
    </w:p>
    <w:p w:rsidR="00AC272A" w:rsidRPr="0029290B" w:rsidRDefault="00AC272A" w:rsidP="00631A51">
      <w:pPr>
        <w:jc w:val="both"/>
        <w:rPr>
          <w:rFonts w:ascii="Bookman Old Style" w:hAnsi="Bookman Old Style"/>
          <w:i/>
          <w:sz w:val="20"/>
          <w:szCs w:val="20"/>
          <w:lang w:val="es-CO"/>
        </w:rPr>
      </w:pPr>
    </w:p>
    <w:p w:rsidR="004E245A" w:rsidRPr="0029290B" w:rsidRDefault="00AC272A" w:rsidP="00631A51">
      <w:pPr>
        <w:jc w:val="both"/>
        <w:rPr>
          <w:rFonts w:ascii="Bookman Old Style" w:hAnsi="Bookman Old Style"/>
          <w:i/>
          <w:sz w:val="20"/>
          <w:szCs w:val="20"/>
          <w:lang w:val="es-CO"/>
        </w:rPr>
      </w:pPr>
      <w:r w:rsidRPr="0029290B">
        <w:rPr>
          <w:rFonts w:ascii="Bookman Old Style" w:hAnsi="Bookman Old Style"/>
          <w:i/>
          <w:sz w:val="20"/>
          <w:szCs w:val="20"/>
          <w:lang w:val="es-CO"/>
        </w:rPr>
        <w:t xml:space="preserve">Por lo anterior, la compra de energía total efectuada por Energía Social fue de 634.677.281 </w:t>
      </w:r>
      <w:proofErr w:type="spellStart"/>
      <w:r w:rsidRPr="0029290B">
        <w:rPr>
          <w:rFonts w:ascii="Bookman Old Style" w:hAnsi="Bookman Old Style"/>
          <w:i/>
          <w:sz w:val="20"/>
          <w:szCs w:val="20"/>
          <w:lang w:val="es-CO"/>
        </w:rPr>
        <w:t>kWh</w:t>
      </w:r>
      <w:proofErr w:type="spellEnd"/>
      <w:r w:rsidRPr="0029290B">
        <w:rPr>
          <w:rFonts w:ascii="Bookman Old Style" w:hAnsi="Bookman Old Style"/>
          <w:i/>
          <w:sz w:val="20"/>
          <w:szCs w:val="20"/>
          <w:lang w:val="es-CO"/>
        </w:rPr>
        <w:t>/año.”</w:t>
      </w:r>
    </w:p>
    <w:p w:rsidR="009112D2" w:rsidRPr="007C4182" w:rsidRDefault="009112D2" w:rsidP="00631A51">
      <w:pPr>
        <w:ind w:left="0"/>
        <w:jc w:val="both"/>
        <w:rPr>
          <w:rFonts w:ascii="Bookman Old Style" w:hAnsi="Bookman Old Style"/>
          <w:lang w:val="es-CO"/>
        </w:rPr>
      </w:pPr>
    </w:p>
    <w:p w:rsidR="009112D2" w:rsidRPr="007C4182" w:rsidRDefault="009112D2" w:rsidP="00631A51">
      <w:pPr>
        <w:pStyle w:val="Prrafodelista"/>
        <w:numPr>
          <w:ilvl w:val="0"/>
          <w:numId w:val="31"/>
        </w:numPr>
        <w:jc w:val="both"/>
        <w:rPr>
          <w:b/>
        </w:rPr>
      </w:pPr>
      <w:r w:rsidRPr="007C4182">
        <w:rPr>
          <w:b/>
        </w:rPr>
        <w:t>Factor de productividad</w:t>
      </w:r>
    </w:p>
    <w:p w:rsidR="009112D2" w:rsidRPr="00AD6545" w:rsidRDefault="009112D2" w:rsidP="00631A51">
      <w:pPr>
        <w:ind w:left="0"/>
        <w:jc w:val="both"/>
        <w:rPr>
          <w:rFonts w:ascii="Bookman Old Style" w:hAnsi="Bookman Old Style"/>
          <w:lang w:val="es-CO"/>
        </w:rPr>
      </w:pPr>
    </w:p>
    <w:p w:rsidR="00813CF8" w:rsidRPr="007C4182" w:rsidRDefault="009112D2" w:rsidP="00631A51">
      <w:pPr>
        <w:ind w:left="0"/>
        <w:jc w:val="both"/>
        <w:rPr>
          <w:rFonts w:ascii="Bookman Old Style" w:hAnsi="Bookman Old Style"/>
          <w:lang w:val="es-CO"/>
        </w:rPr>
      </w:pPr>
      <w:r w:rsidRPr="007C4182">
        <w:rPr>
          <w:rFonts w:ascii="Bookman Old Style" w:hAnsi="Bookman Old Style"/>
          <w:lang w:val="es-CO"/>
        </w:rPr>
        <w:t xml:space="preserve">La empresa Energía Social de la Costa </w:t>
      </w:r>
      <w:r w:rsidR="00AD6545" w:rsidRPr="00B967A9">
        <w:rPr>
          <w:rFonts w:ascii="Bookman Old Style" w:hAnsi="Bookman Old Style"/>
          <w:lang w:val="es-CO"/>
        </w:rPr>
        <w:t>S.A. E.S.P.</w:t>
      </w:r>
      <w:r w:rsidR="00AD6545">
        <w:rPr>
          <w:rFonts w:ascii="Bookman Old Style" w:hAnsi="Bookman Old Style"/>
          <w:lang w:val="es-CO"/>
        </w:rPr>
        <w:t xml:space="preserve"> </w:t>
      </w:r>
      <w:r w:rsidRPr="007C4182">
        <w:rPr>
          <w:rFonts w:ascii="Bookman Old Style" w:hAnsi="Bookman Old Style"/>
          <w:lang w:val="es-CO"/>
        </w:rPr>
        <w:t>considera que la aplicación de un índice de productividad del sector eléctrico del 5% para el año 2013 no se ajusta a la normatividad vigente. Los fundamentos de esta</w:t>
      </w:r>
      <w:r w:rsidR="00D60EDC" w:rsidRPr="007C4182">
        <w:rPr>
          <w:rFonts w:ascii="Bookman Old Style" w:hAnsi="Bookman Old Style"/>
          <w:lang w:val="es-CO"/>
        </w:rPr>
        <w:t xml:space="preserve"> objeción son:</w:t>
      </w:r>
    </w:p>
    <w:p w:rsidR="00D60EDC" w:rsidRPr="00AD6545" w:rsidRDefault="00D60EDC" w:rsidP="00631A51">
      <w:pPr>
        <w:ind w:left="0"/>
        <w:jc w:val="both"/>
        <w:rPr>
          <w:rFonts w:ascii="Bookman Old Style" w:hAnsi="Bookman Old Style"/>
          <w:lang w:val="es-CO"/>
        </w:rPr>
      </w:pPr>
    </w:p>
    <w:p w:rsidR="00D60EDC" w:rsidRPr="0029290B" w:rsidRDefault="00D60EDC" w:rsidP="00631A51">
      <w:pPr>
        <w:jc w:val="both"/>
        <w:rPr>
          <w:rFonts w:ascii="Bookman Old Style" w:hAnsi="Bookman Old Style"/>
          <w:i/>
          <w:sz w:val="20"/>
          <w:szCs w:val="20"/>
          <w:lang w:val="es-CO"/>
        </w:rPr>
      </w:pPr>
      <w:r w:rsidRPr="0029290B">
        <w:rPr>
          <w:rFonts w:ascii="Bookman Old Style" w:hAnsi="Bookman Old Style"/>
          <w:i/>
          <w:sz w:val="20"/>
          <w:szCs w:val="20"/>
          <w:lang w:val="es-CO"/>
        </w:rPr>
        <w:t>“2.2.3.1 Antecedentes en la Resolución 031 de 1997</w:t>
      </w:r>
    </w:p>
    <w:p w:rsidR="00BC5262" w:rsidRPr="0029290B" w:rsidRDefault="00BC5262" w:rsidP="00631A51">
      <w:pPr>
        <w:jc w:val="both"/>
        <w:rPr>
          <w:rFonts w:ascii="Bookman Old Style" w:hAnsi="Bookman Old Style"/>
          <w:i/>
          <w:sz w:val="20"/>
          <w:szCs w:val="20"/>
          <w:lang w:val="es-CO"/>
        </w:rPr>
      </w:pPr>
    </w:p>
    <w:p w:rsidR="00D60EDC" w:rsidRPr="0029290B" w:rsidRDefault="00D60EDC" w:rsidP="00631A51">
      <w:pPr>
        <w:jc w:val="both"/>
        <w:rPr>
          <w:rFonts w:ascii="Bookman Old Style" w:hAnsi="Bookman Old Style"/>
          <w:i/>
          <w:sz w:val="20"/>
          <w:szCs w:val="20"/>
          <w:lang w:val="es-CO"/>
        </w:rPr>
      </w:pPr>
      <w:r w:rsidRPr="0029290B">
        <w:rPr>
          <w:rFonts w:ascii="Bookman Old Style" w:hAnsi="Bookman Old Style"/>
          <w:i/>
          <w:sz w:val="20"/>
          <w:szCs w:val="20"/>
          <w:lang w:val="es-CO"/>
        </w:rPr>
        <w:t>La Resolución CREG 031 de 1997 estableció la fórmula tarifaria para el cálculo de</w:t>
      </w:r>
      <w:r w:rsidR="00900D8F">
        <w:rPr>
          <w:rFonts w:ascii="Bookman Old Style" w:hAnsi="Bookman Old Style"/>
          <w:i/>
          <w:sz w:val="20"/>
          <w:szCs w:val="20"/>
          <w:lang w:val="es-CO"/>
        </w:rPr>
        <w:t xml:space="preserve"> </w:t>
      </w:r>
      <w:r w:rsidRPr="0029290B">
        <w:rPr>
          <w:rFonts w:ascii="Bookman Old Style" w:hAnsi="Bookman Old Style"/>
          <w:i/>
          <w:sz w:val="20"/>
          <w:szCs w:val="20"/>
          <w:lang w:val="es-CO"/>
        </w:rPr>
        <w:t>l</w:t>
      </w:r>
      <w:r w:rsidR="00900D8F">
        <w:rPr>
          <w:rFonts w:ascii="Bookman Old Style" w:hAnsi="Bookman Old Style"/>
          <w:i/>
          <w:sz w:val="20"/>
          <w:szCs w:val="20"/>
          <w:lang w:val="es-CO"/>
        </w:rPr>
        <w:t>a</w:t>
      </w:r>
      <w:r w:rsidRPr="0029290B">
        <w:rPr>
          <w:rFonts w:ascii="Bookman Old Style" w:hAnsi="Bookman Old Style"/>
          <w:i/>
          <w:sz w:val="20"/>
          <w:szCs w:val="20"/>
          <w:lang w:val="es-CO"/>
        </w:rPr>
        <w:t xml:space="preserve"> prestación del servicio (CU) que se aplicó entre enero de 1998 y enero de 2008 dicha fórmula incorporó el índice de Productividad del Sector Eléctrico, desde fórmula tarifaria específica de cada empresa, como una variación acumulada para de regulación, del 1% anual.</w:t>
      </w:r>
    </w:p>
    <w:p w:rsidR="00D60EDC" w:rsidRPr="0029290B" w:rsidRDefault="00D60EDC" w:rsidP="00631A51">
      <w:pPr>
        <w:jc w:val="both"/>
        <w:rPr>
          <w:rFonts w:ascii="Bookman Old Style" w:hAnsi="Bookman Old Style"/>
          <w:i/>
          <w:sz w:val="20"/>
          <w:szCs w:val="20"/>
          <w:lang w:val="es-CO"/>
        </w:rPr>
      </w:pPr>
    </w:p>
    <w:p w:rsidR="00D60EDC" w:rsidRPr="0029290B" w:rsidRDefault="00D60EDC" w:rsidP="00631A51">
      <w:pPr>
        <w:jc w:val="both"/>
        <w:rPr>
          <w:rFonts w:ascii="Bookman Old Style" w:hAnsi="Bookman Old Style"/>
          <w:i/>
          <w:sz w:val="20"/>
          <w:szCs w:val="20"/>
          <w:lang w:val="es-CO"/>
        </w:rPr>
      </w:pPr>
      <w:r w:rsidRPr="0029290B">
        <w:rPr>
          <w:rFonts w:ascii="Bookman Old Style" w:hAnsi="Bookman Old Style"/>
          <w:i/>
          <w:sz w:val="20"/>
          <w:szCs w:val="20"/>
          <w:lang w:val="es-CO"/>
        </w:rPr>
        <w:t>Dicho índice se aplicó desde 1998 (primer año de vigencia de la Resolución CREG 031 de 1997), iniciando con un IPSE de 0%, el cual se incrementó anualmente en 1% anual hasta el año 2002, hasta llegar a 4%, sin que este límite máximo fuera mencionado explícitamente dentro de dicha resolución.</w:t>
      </w:r>
    </w:p>
    <w:p w:rsidR="00D60EDC" w:rsidRPr="0029290B" w:rsidRDefault="00D60EDC" w:rsidP="00631A51">
      <w:pPr>
        <w:jc w:val="both"/>
        <w:rPr>
          <w:rFonts w:ascii="Bookman Old Style" w:hAnsi="Bookman Old Style"/>
          <w:i/>
          <w:sz w:val="20"/>
          <w:szCs w:val="20"/>
          <w:lang w:val="es-CO"/>
        </w:rPr>
      </w:pPr>
    </w:p>
    <w:p w:rsidR="00D60EDC" w:rsidRPr="0029290B" w:rsidRDefault="00D60EDC" w:rsidP="00631A51">
      <w:pPr>
        <w:jc w:val="both"/>
        <w:rPr>
          <w:rFonts w:ascii="Bookman Old Style" w:hAnsi="Bookman Old Style"/>
          <w:i/>
          <w:sz w:val="20"/>
          <w:szCs w:val="20"/>
          <w:lang w:val="es-CO"/>
        </w:rPr>
      </w:pPr>
      <w:r w:rsidRPr="0029290B">
        <w:rPr>
          <w:rFonts w:ascii="Bookman Old Style" w:hAnsi="Bookman Old Style"/>
          <w:i/>
          <w:sz w:val="20"/>
          <w:szCs w:val="20"/>
          <w:lang w:val="es-CO"/>
        </w:rPr>
        <w:t>En 2003 ante la solicitud de concepto presentada por Empresas Públicas de Medellín sobre la continuidad en la aplicación de la fórmula establecida en el numeral 2.6 del anexo 1 de la Resolución 031 de 1997, la Comisión conceptuó lo siguiente:</w:t>
      </w:r>
    </w:p>
    <w:p w:rsidR="00D60EDC" w:rsidRPr="0029290B" w:rsidRDefault="00D60EDC" w:rsidP="00631A51">
      <w:pPr>
        <w:jc w:val="both"/>
        <w:rPr>
          <w:rFonts w:ascii="Bookman Old Style" w:hAnsi="Bookman Old Style"/>
          <w:i/>
          <w:sz w:val="20"/>
          <w:szCs w:val="20"/>
          <w:lang w:val="es-CO"/>
        </w:rPr>
      </w:pPr>
    </w:p>
    <w:p w:rsidR="00D60EDC" w:rsidRPr="0029290B" w:rsidRDefault="00D60EDC" w:rsidP="00631A51">
      <w:pPr>
        <w:tabs>
          <w:tab w:val="left" w:pos="9498"/>
        </w:tabs>
        <w:ind w:left="1134" w:right="567"/>
        <w:jc w:val="both"/>
        <w:rPr>
          <w:rFonts w:ascii="Bookman Old Style" w:hAnsi="Bookman Old Style"/>
          <w:i/>
          <w:sz w:val="20"/>
          <w:szCs w:val="20"/>
          <w:lang w:val="es-CO"/>
        </w:rPr>
      </w:pPr>
      <w:r w:rsidRPr="0029290B">
        <w:rPr>
          <w:rFonts w:ascii="Bookman Old Style" w:hAnsi="Bookman Old Style"/>
          <w:i/>
          <w:sz w:val="20"/>
          <w:szCs w:val="20"/>
          <w:lang w:val="es-CO"/>
        </w:rPr>
        <w:t>"... El numeral 2.6 del Anexo Numero Uno de la Resolución CREG 031 de 1997, determina que la variable IPSE corresponde a:</w:t>
      </w:r>
    </w:p>
    <w:p w:rsidR="00AD6545" w:rsidRPr="0029290B" w:rsidRDefault="00AD6545" w:rsidP="00631A51">
      <w:pPr>
        <w:tabs>
          <w:tab w:val="left" w:pos="9498"/>
        </w:tabs>
        <w:ind w:left="1134" w:right="567"/>
        <w:jc w:val="both"/>
        <w:rPr>
          <w:rFonts w:ascii="Bookman Old Style" w:hAnsi="Bookman Old Style"/>
          <w:i/>
          <w:sz w:val="20"/>
          <w:szCs w:val="20"/>
          <w:lang w:val="es-CO"/>
        </w:rPr>
      </w:pPr>
    </w:p>
    <w:p w:rsidR="00D60EDC" w:rsidRPr="0029290B" w:rsidRDefault="00D60EDC" w:rsidP="00631A51">
      <w:pPr>
        <w:tabs>
          <w:tab w:val="left" w:pos="9498"/>
        </w:tabs>
        <w:ind w:left="1134" w:right="567"/>
        <w:jc w:val="both"/>
        <w:rPr>
          <w:rFonts w:ascii="Bookman Old Style" w:hAnsi="Bookman Old Style"/>
          <w:i/>
          <w:sz w:val="20"/>
          <w:szCs w:val="20"/>
          <w:lang w:val="es-CO"/>
        </w:rPr>
      </w:pPr>
      <w:r w:rsidRPr="0029290B">
        <w:rPr>
          <w:rFonts w:ascii="Bookman Old Style" w:hAnsi="Bookman Old Style"/>
          <w:i/>
          <w:sz w:val="20"/>
          <w:szCs w:val="20"/>
          <w:lang w:val="es-CO"/>
        </w:rPr>
        <w:t>... la variación acumulada en el índice de Productividad del Sector Eléctrico, desde la vigencia de la fórmula tarifaria específica de cada empresa. Para el primer periodo de regulación, esta variación se asumirá como del 1% anual...</w:t>
      </w:r>
    </w:p>
    <w:p w:rsidR="00AD6545" w:rsidRPr="0029290B" w:rsidRDefault="00AD6545" w:rsidP="00631A51">
      <w:pPr>
        <w:tabs>
          <w:tab w:val="left" w:pos="9498"/>
        </w:tabs>
        <w:ind w:left="1134" w:right="567"/>
        <w:jc w:val="both"/>
        <w:rPr>
          <w:rFonts w:ascii="Bookman Old Style" w:hAnsi="Bookman Old Style"/>
          <w:i/>
          <w:sz w:val="20"/>
          <w:szCs w:val="20"/>
          <w:lang w:val="es-CO"/>
        </w:rPr>
      </w:pPr>
    </w:p>
    <w:p w:rsidR="00D60EDC" w:rsidRPr="0029290B" w:rsidRDefault="00D60EDC" w:rsidP="00631A51">
      <w:pPr>
        <w:tabs>
          <w:tab w:val="left" w:pos="9498"/>
        </w:tabs>
        <w:ind w:left="1134" w:right="567"/>
        <w:jc w:val="both"/>
        <w:rPr>
          <w:rFonts w:ascii="Bookman Old Style" w:hAnsi="Bookman Old Style"/>
          <w:i/>
          <w:sz w:val="20"/>
          <w:szCs w:val="20"/>
          <w:lang w:val="es-CO"/>
        </w:rPr>
      </w:pPr>
      <w:r w:rsidRPr="0029290B">
        <w:rPr>
          <w:rFonts w:ascii="Bookman Old Style" w:hAnsi="Bookman Old Style"/>
          <w:i/>
          <w:sz w:val="20"/>
          <w:szCs w:val="20"/>
          <w:lang w:val="es-CO"/>
        </w:rPr>
        <w:t>Por lo tanto, considerando que la norma mencionada previo el porcentaje únicamente p</w:t>
      </w:r>
      <w:r w:rsidR="00A01209" w:rsidRPr="0029290B">
        <w:rPr>
          <w:rFonts w:ascii="Bookman Old Style" w:hAnsi="Bookman Old Style"/>
          <w:i/>
          <w:sz w:val="20"/>
          <w:szCs w:val="20"/>
          <w:lang w:val="es-CO"/>
        </w:rPr>
        <w:t>ara el período de regulación (1°</w:t>
      </w:r>
      <w:r w:rsidRPr="0029290B">
        <w:rPr>
          <w:rFonts w:ascii="Bookman Old Style" w:hAnsi="Bookman Old Style"/>
          <w:i/>
          <w:sz w:val="20"/>
          <w:szCs w:val="20"/>
          <w:lang w:val="es-CO"/>
        </w:rPr>
        <w:t xml:space="preserve"> de enero 1998 - 31 de diciembre de 2002), para el año 2003, y hasta que se aprueben las nuevas fórmulas generales para determinar los costos de prestación del servicio, se continuarán aplicando las fórmulas vigentes, tal como lo establece la Ley 142 de 1994 en su </w:t>
      </w:r>
      <w:r w:rsidRPr="0029290B">
        <w:rPr>
          <w:rFonts w:ascii="Bookman Old Style" w:hAnsi="Bookman Old Style"/>
          <w:i/>
          <w:sz w:val="20"/>
          <w:szCs w:val="20"/>
          <w:lang w:val="es-CO"/>
        </w:rPr>
        <w:lastRenderedPageBreak/>
        <w:t>Artículo 126, pero realizando la actualización anual tomando la variable IPSE igual a cero (0)."</w:t>
      </w:r>
    </w:p>
    <w:p w:rsidR="0071204B" w:rsidRPr="0029290B" w:rsidRDefault="0071204B" w:rsidP="00631A51">
      <w:pPr>
        <w:jc w:val="both"/>
        <w:rPr>
          <w:rFonts w:ascii="Bookman Old Style" w:hAnsi="Bookman Old Style"/>
          <w:i/>
          <w:sz w:val="20"/>
          <w:szCs w:val="20"/>
          <w:lang w:val="es-CO"/>
        </w:rPr>
      </w:pPr>
    </w:p>
    <w:p w:rsidR="0071204B" w:rsidRPr="0029290B" w:rsidRDefault="00D60EDC" w:rsidP="00631A51">
      <w:pPr>
        <w:jc w:val="both"/>
        <w:rPr>
          <w:rFonts w:ascii="Bookman Old Style" w:hAnsi="Bookman Old Style"/>
          <w:i/>
          <w:sz w:val="20"/>
          <w:szCs w:val="20"/>
          <w:lang w:val="es-CO"/>
        </w:rPr>
      </w:pPr>
      <w:r w:rsidRPr="0029290B">
        <w:rPr>
          <w:rFonts w:ascii="Bookman Old Style" w:hAnsi="Bookman Old Style"/>
          <w:i/>
          <w:sz w:val="20"/>
          <w:szCs w:val="20"/>
          <w:lang w:val="es-CO"/>
        </w:rPr>
        <w:t>Se observa que en la Resolución 031 de 1997, se contempló lo establecido en el artículo 126 de la Ley 142 de 1994 en cuanto a la vigencia de la fórmula tarifaria, y para ello estableció en el artículo 4 lo siguiente:</w:t>
      </w:r>
    </w:p>
    <w:p w:rsidR="0071204B" w:rsidRPr="00575E62" w:rsidRDefault="0071204B" w:rsidP="00631A51">
      <w:pPr>
        <w:jc w:val="both"/>
        <w:rPr>
          <w:rFonts w:ascii="Bookman Old Style" w:hAnsi="Bookman Old Style"/>
          <w:i/>
          <w:sz w:val="18"/>
          <w:szCs w:val="20"/>
          <w:lang w:val="es-CO"/>
        </w:rPr>
      </w:pPr>
    </w:p>
    <w:p w:rsidR="00D60EDC" w:rsidRPr="0029290B" w:rsidRDefault="00D60EDC" w:rsidP="00631A51">
      <w:pPr>
        <w:tabs>
          <w:tab w:val="left" w:pos="9498"/>
        </w:tabs>
        <w:ind w:left="1134" w:right="567"/>
        <w:jc w:val="both"/>
        <w:rPr>
          <w:rFonts w:ascii="Bookman Old Style" w:hAnsi="Bookman Old Style"/>
          <w:i/>
          <w:sz w:val="20"/>
          <w:szCs w:val="20"/>
          <w:lang w:val="es-CO"/>
        </w:rPr>
      </w:pPr>
      <w:r w:rsidRPr="0029290B">
        <w:rPr>
          <w:rFonts w:ascii="Bookman Old Style" w:hAnsi="Bookman Old Style"/>
          <w:i/>
          <w:sz w:val="20"/>
          <w:szCs w:val="20"/>
          <w:lang w:val="es-CO"/>
        </w:rPr>
        <w:t>"Las fórmulas generales de costos y la metodología para determinar el costo base de comercialización, regirán por cinco años contados a partir del primero (1°) de enero de 1998 y hasta el 31 de diciembre del año 2002.</w:t>
      </w:r>
    </w:p>
    <w:p w:rsidR="00AD6545" w:rsidRPr="0029290B" w:rsidRDefault="00AD6545" w:rsidP="00631A51">
      <w:pPr>
        <w:tabs>
          <w:tab w:val="left" w:pos="9498"/>
        </w:tabs>
        <w:ind w:left="1134" w:right="567"/>
        <w:jc w:val="both"/>
        <w:rPr>
          <w:rFonts w:ascii="Bookman Old Style" w:hAnsi="Bookman Old Style"/>
          <w:i/>
          <w:sz w:val="20"/>
          <w:szCs w:val="20"/>
          <w:lang w:val="es-CO"/>
        </w:rPr>
      </w:pPr>
    </w:p>
    <w:p w:rsidR="00D60EDC" w:rsidRPr="0029290B" w:rsidRDefault="00D60EDC" w:rsidP="00631A51">
      <w:pPr>
        <w:tabs>
          <w:tab w:val="left" w:pos="9498"/>
        </w:tabs>
        <w:ind w:left="1134" w:right="567"/>
        <w:jc w:val="both"/>
        <w:rPr>
          <w:rFonts w:ascii="Bookman Old Style" w:hAnsi="Bookman Old Style"/>
          <w:i/>
          <w:sz w:val="20"/>
          <w:szCs w:val="20"/>
          <w:lang w:val="es-CO"/>
        </w:rPr>
      </w:pPr>
      <w:r w:rsidRPr="0029290B">
        <w:rPr>
          <w:rFonts w:ascii="Bookman Old Style" w:hAnsi="Bookman Old Style"/>
          <w:i/>
          <w:sz w:val="20"/>
          <w:szCs w:val="20"/>
          <w:lang w:val="es-CO"/>
        </w:rPr>
        <w:t>Vencido el período de vigencia de las fórmulas de costos y de la metodología de determinación del costo base de comercialización, continuaran rigiendo mientras la Comisión de Regulación de Energía y Gas no fije las nuevas."</w:t>
      </w:r>
    </w:p>
    <w:p w:rsidR="00D60EDC" w:rsidRPr="00575E62" w:rsidRDefault="00D60EDC" w:rsidP="00631A51">
      <w:pPr>
        <w:jc w:val="both"/>
        <w:rPr>
          <w:rFonts w:ascii="Bookman Old Style" w:hAnsi="Bookman Old Style"/>
          <w:i/>
          <w:sz w:val="16"/>
          <w:szCs w:val="20"/>
          <w:lang w:val="es-CO"/>
        </w:rPr>
      </w:pPr>
    </w:p>
    <w:p w:rsidR="00D60EDC" w:rsidRPr="0029290B" w:rsidRDefault="00D60EDC" w:rsidP="00631A51">
      <w:pPr>
        <w:jc w:val="both"/>
        <w:rPr>
          <w:rFonts w:ascii="Bookman Old Style" w:hAnsi="Bookman Old Style"/>
          <w:i/>
          <w:sz w:val="20"/>
          <w:szCs w:val="20"/>
          <w:lang w:val="es-CO"/>
        </w:rPr>
      </w:pPr>
      <w:r w:rsidRPr="0029290B">
        <w:rPr>
          <w:rFonts w:ascii="Bookman Old Style" w:hAnsi="Bookman Old Style"/>
          <w:i/>
          <w:sz w:val="20"/>
          <w:szCs w:val="20"/>
          <w:lang w:val="es-CO"/>
        </w:rPr>
        <w:t>Es importante tener en cuenta que en la Resolución 031 de 1997 no se hace referencia a un valor máximo del índice de productividad de 4%.</w:t>
      </w:r>
    </w:p>
    <w:p w:rsidR="0071204B" w:rsidRPr="0029290B" w:rsidRDefault="0071204B" w:rsidP="00631A51">
      <w:pPr>
        <w:jc w:val="both"/>
        <w:rPr>
          <w:rFonts w:ascii="Bookman Old Style" w:hAnsi="Bookman Old Style"/>
          <w:i/>
          <w:sz w:val="20"/>
          <w:szCs w:val="20"/>
          <w:lang w:val="es-CO"/>
        </w:rPr>
      </w:pPr>
    </w:p>
    <w:p w:rsidR="00D60EDC" w:rsidRPr="0029290B" w:rsidRDefault="00D60EDC" w:rsidP="00631A51">
      <w:pPr>
        <w:jc w:val="both"/>
        <w:rPr>
          <w:rFonts w:ascii="Bookman Old Style" w:hAnsi="Bookman Old Style"/>
          <w:i/>
          <w:sz w:val="20"/>
          <w:szCs w:val="20"/>
          <w:lang w:val="es-CO"/>
        </w:rPr>
      </w:pPr>
      <w:r w:rsidRPr="0029290B">
        <w:rPr>
          <w:rFonts w:ascii="Bookman Old Style" w:hAnsi="Bookman Old Style"/>
          <w:i/>
          <w:sz w:val="20"/>
          <w:szCs w:val="20"/>
          <w:lang w:val="es-CO"/>
        </w:rPr>
        <w:t>2.2.3.2 Antecedentes en la Resolución CREG 119 de 2007</w:t>
      </w:r>
    </w:p>
    <w:p w:rsidR="00BC5262" w:rsidRPr="00575E62" w:rsidRDefault="00BC5262" w:rsidP="00631A51">
      <w:pPr>
        <w:jc w:val="both"/>
        <w:rPr>
          <w:rFonts w:ascii="Bookman Old Style" w:hAnsi="Bookman Old Style"/>
          <w:i/>
          <w:sz w:val="18"/>
          <w:szCs w:val="20"/>
          <w:lang w:val="es-CO"/>
        </w:rPr>
      </w:pPr>
    </w:p>
    <w:p w:rsidR="00D60EDC" w:rsidRPr="0029290B" w:rsidRDefault="00D60EDC" w:rsidP="00631A51">
      <w:pPr>
        <w:jc w:val="both"/>
        <w:rPr>
          <w:rFonts w:ascii="Bookman Old Style" w:hAnsi="Bookman Old Style"/>
          <w:i/>
          <w:sz w:val="20"/>
          <w:szCs w:val="20"/>
          <w:lang w:val="es-CO"/>
        </w:rPr>
      </w:pPr>
      <w:r w:rsidRPr="0029290B">
        <w:rPr>
          <w:rFonts w:ascii="Bookman Old Style" w:hAnsi="Bookman Old Style"/>
          <w:i/>
          <w:sz w:val="20"/>
          <w:szCs w:val="20"/>
          <w:lang w:val="es-CO"/>
        </w:rPr>
        <w:t>La Resolución CREG 119 de 2007 aprobó la fórmula tarifaria para calcular los costos de prestación del servicio a los usuarios regulados en el sistema interconectado nacional que se ha aplicado desde febrero de 2008 hasta que la CREG expida una nueva fórmula tarifaria, de acuerdo con lo establecido en su artículo 20, en el cual da aplicación a lo establecido en el artículo 126 de la Ley 142 de 1994 respecto a la vigencia de las fórmulas tarifarias:</w:t>
      </w:r>
    </w:p>
    <w:p w:rsidR="00D60EDC" w:rsidRPr="00575E62" w:rsidRDefault="00D60EDC" w:rsidP="00631A51">
      <w:pPr>
        <w:jc w:val="both"/>
        <w:rPr>
          <w:rFonts w:ascii="Bookman Old Style" w:hAnsi="Bookman Old Style"/>
          <w:i/>
          <w:sz w:val="18"/>
          <w:szCs w:val="20"/>
          <w:lang w:val="es-CO"/>
        </w:rPr>
      </w:pPr>
    </w:p>
    <w:p w:rsidR="00D60EDC" w:rsidRPr="0029290B" w:rsidRDefault="00BC5262" w:rsidP="00631A51">
      <w:pPr>
        <w:ind w:left="1134" w:right="567"/>
        <w:jc w:val="both"/>
        <w:rPr>
          <w:rFonts w:ascii="Bookman Old Style" w:hAnsi="Bookman Old Style"/>
          <w:sz w:val="20"/>
          <w:szCs w:val="20"/>
        </w:rPr>
      </w:pPr>
      <w:r w:rsidRPr="0029290B">
        <w:rPr>
          <w:rFonts w:ascii="Bookman Old Style" w:hAnsi="Bookman Old Style"/>
          <w:i/>
          <w:sz w:val="20"/>
          <w:szCs w:val="20"/>
          <w:lang w:val="es-CO"/>
        </w:rPr>
        <w:t>"</w:t>
      </w:r>
      <w:r w:rsidRPr="0029290B">
        <w:rPr>
          <w:rFonts w:ascii="Bookman Old Style" w:hAnsi="Bookman Old Style"/>
          <w:b/>
          <w:i/>
          <w:sz w:val="20"/>
          <w:szCs w:val="20"/>
          <w:lang w:val="es-CO"/>
        </w:rPr>
        <w:t>V</w:t>
      </w:r>
      <w:proofErr w:type="spellStart"/>
      <w:r w:rsidR="00D60EDC" w:rsidRPr="0029290B">
        <w:rPr>
          <w:rFonts w:ascii="Bookman Old Style" w:hAnsi="Bookman Old Style"/>
          <w:b/>
          <w:i/>
          <w:sz w:val="20"/>
          <w:szCs w:val="20"/>
        </w:rPr>
        <w:t>igencia</w:t>
      </w:r>
      <w:proofErr w:type="spellEnd"/>
      <w:r w:rsidR="00D60EDC" w:rsidRPr="0029290B">
        <w:rPr>
          <w:rFonts w:ascii="Bookman Old Style" w:hAnsi="Bookman Old Style"/>
          <w:b/>
          <w:i/>
          <w:sz w:val="20"/>
          <w:szCs w:val="20"/>
        </w:rPr>
        <w:t xml:space="preserve"> de la Fórmula tarifaria: La Fórmula Tarifaria General regirá a partir del 1° de febrero de 2008 por un periodo de cinco años. Vencido dicho periodo, esta fórmula continuará rigiendo mientras la Comisión no fije una nueva</w:t>
      </w:r>
      <w:r w:rsidR="00D60EDC" w:rsidRPr="0029290B">
        <w:rPr>
          <w:rFonts w:ascii="Bookman Old Style" w:hAnsi="Bookman Old Style"/>
          <w:i/>
          <w:sz w:val="20"/>
          <w:szCs w:val="20"/>
        </w:rPr>
        <w:t>."</w:t>
      </w:r>
      <w:r w:rsidR="00D60EDC" w:rsidRPr="0029290B">
        <w:rPr>
          <w:rFonts w:ascii="Bookman Old Style" w:hAnsi="Bookman Old Style"/>
          <w:b/>
          <w:i/>
          <w:sz w:val="20"/>
          <w:szCs w:val="20"/>
        </w:rPr>
        <w:t xml:space="preserve"> </w:t>
      </w:r>
      <w:r w:rsidR="00D60EDC" w:rsidRPr="0029290B">
        <w:rPr>
          <w:rFonts w:ascii="Bookman Old Style" w:hAnsi="Bookman Old Style"/>
          <w:sz w:val="20"/>
          <w:szCs w:val="20"/>
        </w:rPr>
        <w:t>(</w:t>
      </w:r>
      <w:r w:rsidR="008233FC" w:rsidRPr="0029290B">
        <w:rPr>
          <w:rFonts w:ascii="Bookman Old Style" w:hAnsi="Bookman Old Style"/>
          <w:sz w:val="20"/>
          <w:szCs w:val="20"/>
        </w:rPr>
        <w:t>En</w:t>
      </w:r>
      <w:r w:rsidR="00D60EDC" w:rsidRPr="0029290B">
        <w:rPr>
          <w:rFonts w:ascii="Bookman Old Style" w:hAnsi="Bookman Old Style"/>
          <w:sz w:val="20"/>
          <w:szCs w:val="20"/>
        </w:rPr>
        <w:t xml:space="preserve"> negrita fuera de texto original)</w:t>
      </w:r>
    </w:p>
    <w:p w:rsidR="00D60EDC" w:rsidRPr="0029290B" w:rsidRDefault="00D60EDC" w:rsidP="00631A51">
      <w:pPr>
        <w:jc w:val="both"/>
        <w:rPr>
          <w:rFonts w:ascii="Bookman Old Style" w:hAnsi="Bookman Old Style"/>
          <w:i/>
          <w:sz w:val="20"/>
          <w:szCs w:val="20"/>
          <w:lang w:val="es-CO"/>
        </w:rPr>
      </w:pPr>
    </w:p>
    <w:p w:rsidR="00D60EDC" w:rsidRPr="0029290B" w:rsidRDefault="00D60EDC" w:rsidP="00631A51">
      <w:pPr>
        <w:jc w:val="both"/>
        <w:rPr>
          <w:rFonts w:ascii="Bookman Old Style" w:hAnsi="Bookman Old Style"/>
          <w:i/>
          <w:sz w:val="20"/>
          <w:szCs w:val="20"/>
          <w:lang w:val="es-CO"/>
        </w:rPr>
      </w:pPr>
      <w:r w:rsidRPr="0029290B">
        <w:rPr>
          <w:rFonts w:ascii="Bookman Old Style" w:hAnsi="Bookman Old Style"/>
          <w:i/>
          <w:sz w:val="20"/>
          <w:szCs w:val="20"/>
          <w:lang w:val="es-CO"/>
        </w:rPr>
        <w:t>El artículo 11 de la Resolución CREG 119 de 2007 establece la fórmula para el cálculo del costo de comercialización con un costo fijo (</w:t>
      </w:r>
      <w:proofErr w:type="spellStart"/>
      <w:r w:rsidRPr="0029290B">
        <w:rPr>
          <w:rFonts w:ascii="Bookman Old Style" w:hAnsi="Bookman Old Style"/>
          <w:i/>
          <w:sz w:val="20"/>
          <w:szCs w:val="20"/>
          <w:lang w:val="es-CO"/>
        </w:rPr>
        <w:t>Cfm</w:t>
      </w:r>
      <w:proofErr w:type="spellEnd"/>
      <w:r w:rsidRPr="0029290B">
        <w:rPr>
          <w:rFonts w:ascii="Bookman Old Style" w:hAnsi="Bookman Old Style"/>
          <w:i/>
          <w:sz w:val="20"/>
          <w:szCs w:val="20"/>
          <w:lang w:val="es-CO"/>
        </w:rPr>
        <w:t>) y otro variable (</w:t>
      </w:r>
      <w:proofErr w:type="spellStart"/>
      <w:r w:rsidRPr="0029290B">
        <w:rPr>
          <w:rFonts w:ascii="Bookman Old Style" w:hAnsi="Bookman Old Style"/>
          <w:i/>
          <w:sz w:val="20"/>
          <w:szCs w:val="20"/>
          <w:lang w:val="es-CO"/>
        </w:rPr>
        <w:t>Cm</w:t>
      </w:r>
      <w:proofErr w:type="gramStart"/>
      <w:r w:rsidRPr="0029290B">
        <w:rPr>
          <w:rFonts w:ascii="Bookman Old Style" w:hAnsi="Bookman Old Style"/>
          <w:i/>
          <w:sz w:val="20"/>
          <w:szCs w:val="20"/>
          <w:lang w:val="es-CO"/>
        </w:rPr>
        <w:t>,t</w:t>
      </w:r>
      <w:proofErr w:type="spellEnd"/>
      <w:proofErr w:type="gramEnd"/>
      <w:r w:rsidRPr="0029290B">
        <w:rPr>
          <w:rFonts w:ascii="Bookman Old Style" w:hAnsi="Bookman Old Style"/>
          <w:i/>
          <w:sz w:val="20"/>
          <w:szCs w:val="20"/>
          <w:lang w:val="es-CO"/>
        </w:rPr>
        <w:t xml:space="preserve"> ) y en el artículo 12 establece una transición para el costo de comercialización, en la cual define la variación acumulada del IPSE, de la siguiente forma:</w:t>
      </w:r>
    </w:p>
    <w:p w:rsidR="00A01209" w:rsidRPr="0029290B" w:rsidRDefault="00A01209" w:rsidP="00631A51">
      <w:pPr>
        <w:jc w:val="both"/>
        <w:rPr>
          <w:rFonts w:ascii="Bookman Old Style" w:hAnsi="Bookman Old Style"/>
          <w:i/>
          <w:sz w:val="20"/>
          <w:szCs w:val="20"/>
          <w:lang w:val="es-CO"/>
        </w:rPr>
      </w:pPr>
    </w:p>
    <w:p w:rsidR="00D60EDC" w:rsidRPr="0029290B" w:rsidRDefault="00A01209" w:rsidP="00631A51">
      <w:pPr>
        <w:ind w:left="1134" w:right="567"/>
        <w:jc w:val="both"/>
        <w:rPr>
          <w:rFonts w:ascii="Bookman Old Style" w:hAnsi="Bookman Old Style"/>
          <w:i/>
          <w:sz w:val="20"/>
          <w:szCs w:val="20"/>
          <w:lang w:val="es-CO"/>
        </w:rPr>
      </w:pPr>
      <w:r w:rsidRPr="0029290B">
        <w:rPr>
          <w:rFonts w:ascii="Bookman Old Style" w:hAnsi="Bookman Old Style"/>
          <w:i/>
          <w:sz w:val="20"/>
          <w:szCs w:val="20"/>
          <w:lang w:val="es-CO"/>
        </w:rPr>
        <w:t>"</w:t>
      </w:r>
      <w:r w:rsidRPr="0029290B">
        <w:rPr>
          <w:rFonts w:ascii="Bookman Old Style" w:eastAsia="Gulim" w:hAnsi="Bookman Old Style"/>
          <w:i/>
          <w:sz w:val="20"/>
          <w:szCs w:val="20"/>
          <w:lang w:val="es-CO"/>
        </w:rPr>
        <w:t>Δ</w:t>
      </w:r>
      <w:r w:rsidRPr="0029290B">
        <w:rPr>
          <w:rFonts w:ascii="Bookman Old Style" w:hAnsi="Bookman Old Style"/>
          <w:i/>
          <w:sz w:val="20"/>
          <w:szCs w:val="20"/>
          <w:lang w:val="es-CO"/>
        </w:rPr>
        <w:t>IPSE</w:t>
      </w:r>
      <w:r w:rsidR="00D60EDC" w:rsidRPr="0029290B">
        <w:rPr>
          <w:rFonts w:ascii="Bookman Old Style" w:hAnsi="Bookman Old Style"/>
          <w:i/>
          <w:sz w:val="20"/>
          <w:szCs w:val="20"/>
          <w:lang w:val="es-CO"/>
        </w:rPr>
        <w:t>; variación acumulada en el índice de Productividad del Sector Eléctrico. Esta variación se asumirá como del 1% anual."</w:t>
      </w:r>
    </w:p>
    <w:p w:rsidR="00A01209" w:rsidRPr="0029290B" w:rsidRDefault="00A01209" w:rsidP="00631A51">
      <w:pPr>
        <w:jc w:val="both"/>
        <w:rPr>
          <w:rFonts w:ascii="Bookman Old Style" w:hAnsi="Bookman Old Style"/>
          <w:i/>
          <w:sz w:val="20"/>
          <w:szCs w:val="20"/>
          <w:lang w:val="es-CO"/>
        </w:rPr>
      </w:pPr>
    </w:p>
    <w:p w:rsidR="00D60EDC" w:rsidRPr="0029290B" w:rsidRDefault="00D60EDC" w:rsidP="00631A51">
      <w:pPr>
        <w:jc w:val="both"/>
        <w:rPr>
          <w:rFonts w:ascii="Bookman Old Style" w:hAnsi="Bookman Old Style"/>
          <w:i/>
          <w:sz w:val="20"/>
          <w:szCs w:val="20"/>
          <w:lang w:val="es-CO"/>
        </w:rPr>
      </w:pPr>
      <w:r w:rsidRPr="0029290B">
        <w:rPr>
          <w:rFonts w:ascii="Bookman Old Style" w:hAnsi="Bookman Old Style"/>
          <w:i/>
          <w:sz w:val="20"/>
          <w:szCs w:val="20"/>
          <w:lang w:val="es-CO"/>
        </w:rPr>
        <w:t>En el Documento 102 de 2007 la Comisión respondió las inquietudes presentadas por los comercializadores en el proceso de discusión del proyecto de resolución para aprobar la fórmula tarifaria (Resolución CREG 056 de 2007). Específicamente a la solicitud de aclaración sobre la aplicación del índice de productividad IPSE, la Comisión dio la siguiente respuesta en el numeral 40:</w:t>
      </w:r>
    </w:p>
    <w:p w:rsidR="00A01209" w:rsidRPr="00575E62" w:rsidRDefault="00A01209" w:rsidP="00631A51">
      <w:pPr>
        <w:jc w:val="both"/>
        <w:rPr>
          <w:rFonts w:ascii="Bookman Old Style" w:hAnsi="Bookman Old Style"/>
          <w:i/>
          <w:sz w:val="18"/>
          <w:szCs w:val="20"/>
          <w:lang w:val="es-CO"/>
        </w:rPr>
      </w:pPr>
    </w:p>
    <w:p w:rsidR="00D60EDC" w:rsidRPr="0029290B" w:rsidRDefault="00D60EDC" w:rsidP="00631A51">
      <w:pPr>
        <w:ind w:left="1134" w:right="567"/>
        <w:jc w:val="both"/>
        <w:rPr>
          <w:rFonts w:ascii="Bookman Old Style" w:hAnsi="Bookman Old Style"/>
          <w:i/>
          <w:sz w:val="20"/>
          <w:szCs w:val="20"/>
        </w:rPr>
      </w:pPr>
      <w:r w:rsidRPr="0029290B">
        <w:rPr>
          <w:rFonts w:ascii="Bookman Old Style" w:hAnsi="Bookman Old Style"/>
          <w:i/>
          <w:sz w:val="20"/>
          <w:szCs w:val="20"/>
        </w:rPr>
        <w:t>"40. Debe aclararse si el Delta IPSE se reiniciará en 1% para el año 2008 o 2009 o se mantendrá la situación que se tiene actualmente con la Resolución CREG 031 de 1997. (CAC, CODENSA).</w:t>
      </w:r>
    </w:p>
    <w:p w:rsidR="004D75C6" w:rsidRPr="00575E62" w:rsidRDefault="004D75C6" w:rsidP="00631A51">
      <w:pPr>
        <w:ind w:left="1134" w:right="567"/>
        <w:jc w:val="both"/>
        <w:rPr>
          <w:rFonts w:ascii="Bookman Old Style" w:hAnsi="Bookman Old Style"/>
          <w:i/>
          <w:sz w:val="18"/>
          <w:szCs w:val="20"/>
        </w:rPr>
      </w:pPr>
    </w:p>
    <w:p w:rsidR="00D60EDC" w:rsidRPr="0029290B" w:rsidRDefault="00D60EDC" w:rsidP="00631A51">
      <w:pPr>
        <w:ind w:left="1134" w:right="567"/>
        <w:jc w:val="both"/>
        <w:rPr>
          <w:rFonts w:ascii="Bookman Old Style" w:hAnsi="Bookman Old Style"/>
          <w:i/>
          <w:sz w:val="20"/>
          <w:szCs w:val="20"/>
        </w:rPr>
      </w:pPr>
      <w:r w:rsidRPr="0029290B">
        <w:rPr>
          <w:rFonts w:ascii="Bookman Old Style" w:hAnsi="Bookman Old Style"/>
          <w:i/>
          <w:sz w:val="20"/>
          <w:szCs w:val="20"/>
        </w:rPr>
        <w:t>Como se encuentra previsto en e</w:t>
      </w:r>
      <w:r w:rsidR="00A01209" w:rsidRPr="0029290B">
        <w:rPr>
          <w:rFonts w:ascii="Bookman Old Style" w:hAnsi="Bookman Old Style"/>
          <w:i/>
          <w:sz w:val="20"/>
          <w:szCs w:val="20"/>
        </w:rPr>
        <w:t>l</w:t>
      </w:r>
      <w:r w:rsidRPr="0029290B">
        <w:rPr>
          <w:rFonts w:ascii="Bookman Old Style" w:hAnsi="Bookman Old Style"/>
          <w:i/>
          <w:sz w:val="20"/>
          <w:szCs w:val="20"/>
        </w:rPr>
        <w:t xml:space="preserve"> artículo 1 de la Resolución CREG 099 de 2007, en el periodo de transición los costos variables de comercialización corresponderán a los establecidos con base en la meto</w:t>
      </w:r>
      <w:r w:rsidR="00A01209" w:rsidRPr="0029290B">
        <w:rPr>
          <w:rFonts w:ascii="Bookman Old Style" w:hAnsi="Bookman Old Style"/>
          <w:i/>
          <w:sz w:val="20"/>
          <w:szCs w:val="20"/>
        </w:rPr>
        <w:t xml:space="preserve">dología de la Resolución CREG-031 de 1997. Para el caso del </w:t>
      </w:r>
      <w:r w:rsidR="004D6249" w:rsidRPr="0029290B">
        <w:rPr>
          <w:rFonts w:ascii="Bookman Old Style" w:eastAsia="Gulim" w:hAnsi="Bookman Old Style"/>
          <w:i/>
          <w:sz w:val="20"/>
          <w:szCs w:val="20"/>
          <w:lang w:val="es-CO"/>
        </w:rPr>
        <w:t>Δ</w:t>
      </w:r>
      <w:r w:rsidR="00A01209" w:rsidRPr="0029290B">
        <w:rPr>
          <w:rFonts w:ascii="Bookman Old Style" w:hAnsi="Bookman Old Style"/>
          <w:i/>
          <w:sz w:val="20"/>
          <w:szCs w:val="20"/>
          <w:lang w:val="es-CO"/>
        </w:rPr>
        <w:t>IPSE</w:t>
      </w:r>
      <w:r w:rsidRPr="0029290B">
        <w:rPr>
          <w:rFonts w:ascii="Bookman Old Style" w:hAnsi="Bookman Old Style"/>
          <w:i/>
          <w:sz w:val="20"/>
          <w:szCs w:val="20"/>
        </w:rPr>
        <w:t xml:space="preserve"> se está indicando que:</w:t>
      </w:r>
    </w:p>
    <w:p w:rsidR="004D75C6" w:rsidRPr="00575E62" w:rsidRDefault="004D75C6" w:rsidP="00631A51">
      <w:pPr>
        <w:ind w:left="1134" w:right="567"/>
        <w:jc w:val="both"/>
        <w:rPr>
          <w:rFonts w:ascii="Bookman Old Style" w:hAnsi="Bookman Old Style"/>
          <w:i/>
          <w:sz w:val="18"/>
          <w:szCs w:val="20"/>
        </w:rPr>
      </w:pPr>
    </w:p>
    <w:p w:rsidR="00D60EDC" w:rsidRPr="0029290B" w:rsidRDefault="00D60EDC" w:rsidP="00631A51">
      <w:pPr>
        <w:ind w:left="1134" w:right="567"/>
        <w:jc w:val="both"/>
        <w:rPr>
          <w:rFonts w:ascii="Bookman Old Style" w:hAnsi="Bookman Old Style"/>
          <w:i/>
          <w:sz w:val="20"/>
          <w:szCs w:val="20"/>
        </w:rPr>
      </w:pPr>
      <w:r w:rsidRPr="0029290B">
        <w:rPr>
          <w:rFonts w:ascii="Bookman Old Style" w:hAnsi="Bookman Old Style"/>
          <w:i/>
          <w:sz w:val="20"/>
          <w:szCs w:val="20"/>
        </w:rPr>
        <w:t>-</w:t>
      </w:r>
      <w:r w:rsidRPr="0029290B">
        <w:rPr>
          <w:rFonts w:ascii="Bookman Old Style" w:hAnsi="Bookman Old Style"/>
          <w:i/>
          <w:sz w:val="20"/>
          <w:szCs w:val="20"/>
        </w:rPr>
        <w:tab/>
        <w:t xml:space="preserve">Al momento de iniciar la aplicación de la resolución no hoy variación anual y por tanto </w:t>
      </w:r>
      <w:r w:rsidR="004D6249" w:rsidRPr="0029290B">
        <w:rPr>
          <w:rFonts w:ascii="Bookman Old Style" w:eastAsia="Gulim" w:hAnsi="Bookman Old Style"/>
          <w:i/>
          <w:sz w:val="20"/>
          <w:szCs w:val="20"/>
          <w:lang w:val="es-CO"/>
        </w:rPr>
        <w:t>Δ</w:t>
      </w:r>
      <w:r w:rsidR="00A01209" w:rsidRPr="0029290B">
        <w:rPr>
          <w:rFonts w:ascii="Bookman Old Style" w:hAnsi="Bookman Old Style"/>
          <w:i/>
          <w:sz w:val="20"/>
          <w:szCs w:val="20"/>
          <w:lang w:val="es-CO"/>
        </w:rPr>
        <w:t>IPSE</w:t>
      </w:r>
      <w:r w:rsidR="00A01209" w:rsidRPr="0029290B">
        <w:rPr>
          <w:rFonts w:ascii="Bookman Old Style" w:hAnsi="Bookman Old Style"/>
          <w:i/>
          <w:sz w:val="20"/>
          <w:szCs w:val="20"/>
        </w:rPr>
        <w:t xml:space="preserve"> </w:t>
      </w:r>
      <w:r w:rsidRPr="0029290B">
        <w:rPr>
          <w:rFonts w:ascii="Bookman Old Style" w:hAnsi="Bookman Old Style"/>
          <w:i/>
          <w:sz w:val="20"/>
          <w:szCs w:val="20"/>
        </w:rPr>
        <w:t>será cero.</w:t>
      </w:r>
    </w:p>
    <w:p w:rsidR="004D75C6" w:rsidRPr="0029290B" w:rsidRDefault="004D75C6" w:rsidP="00631A51">
      <w:pPr>
        <w:ind w:left="1134" w:right="567"/>
        <w:jc w:val="both"/>
        <w:rPr>
          <w:rFonts w:ascii="Bookman Old Style" w:hAnsi="Bookman Old Style"/>
          <w:i/>
          <w:sz w:val="20"/>
          <w:szCs w:val="20"/>
        </w:rPr>
      </w:pPr>
    </w:p>
    <w:p w:rsidR="00D60EDC" w:rsidRPr="0029290B" w:rsidRDefault="00D60EDC" w:rsidP="00631A51">
      <w:pPr>
        <w:ind w:left="1134" w:right="567"/>
        <w:jc w:val="both"/>
        <w:rPr>
          <w:rFonts w:ascii="Bookman Old Style" w:hAnsi="Bookman Old Style"/>
          <w:i/>
          <w:sz w:val="20"/>
          <w:szCs w:val="20"/>
        </w:rPr>
      </w:pPr>
      <w:r w:rsidRPr="0029290B">
        <w:rPr>
          <w:rFonts w:ascii="Bookman Old Style" w:hAnsi="Bookman Old Style"/>
          <w:i/>
          <w:sz w:val="20"/>
          <w:szCs w:val="20"/>
        </w:rPr>
        <w:t>-</w:t>
      </w:r>
      <w:r w:rsidRPr="0029290B">
        <w:rPr>
          <w:rFonts w:ascii="Bookman Old Style" w:hAnsi="Bookman Old Style"/>
          <w:i/>
          <w:sz w:val="20"/>
          <w:szCs w:val="20"/>
        </w:rPr>
        <w:tab/>
        <w:t>Una vez se cumpla el año, la Variación acumulada en el índice de Productividad del Sector Eléctrico, es del 1% anual.</w:t>
      </w:r>
    </w:p>
    <w:p w:rsidR="004D75C6" w:rsidRPr="0029290B" w:rsidRDefault="004D75C6" w:rsidP="00631A51">
      <w:pPr>
        <w:ind w:left="1134" w:right="567"/>
        <w:jc w:val="both"/>
        <w:rPr>
          <w:rFonts w:ascii="Bookman Old Style" w:hAnsi="Bookman Old Style"/>
          <w:i/>
          <w:sz w:val="20"/>
          <w:szCs w:val="20"/>
        </w:rPr>
      </w:pPr>
    </w:p>
    <w:p w:rsidR="00D60EDC" w:rsidRPr="0029290B" w:rsidRDefault="00D60EDC" w:rsidP="00631A51">
      <w:pPr>
        <w:ind w:left="1134" w:right="567"/>
        <w:jc w:val="both"/>
        <w:rPr>
          <w:rFonts w:ascii="Bookman Old Style" w:hAnsi="Bookman Old Style"/>
          <w:i/>
          <w:sz w:val="20"/>
          <w:szCs w:val="20"/>
        </w:rPr>
      </w:pPr>
      <w:r w:rsidRPr="0029290B">
        <w:rPr>
          <w:rFonts w:ascii="Bookman Old Style" w:hAnsi="Bookman Old Style"/>
          <w:i/>
          <w:sz w:val="20"/>
          <w:szCs w:val="20"/>
        </w:rPr>
        <w:t>-</w:t>
      </w:r>
      <w:r w:rsidRPr="0029290B">
        <w:rPr>
          <w:rFonts w:ascii="Bookman Old Style" w:hAnsi="Bookman Old Style"/>
          <w:i/>
          <w:sz w:val="20"/>
          <w:szCs w:val="20"/>
        </w:rPr>
        <w:tab/>
        <w:t xml:space="preserve">En relación con el IPSE, su valor corresponderá al que se encuentre vigente conforme la Resolución CREG 031 de 1997, esto es, el valor del IPSE se </w:t>
      </w:r>
      <w:r w:rsidRPr="0029290B">
        <w:rPr>
          <w:rFonts w:ascii="Bookman Old Style" w:hAnsi="Bookman Old Style"/>
          <w:i/>
          <w:sz w:val="20"/>
          <w:szCs w:val="20"/>
        </w:rPr>
        <w:lastRenderedPageBreak/>
        <w:t xml:space="preserve">mantiene en 0.4 (SIC), </w:t>
      </w:r>
      <w:r w:rsidRPr="0029290B">
        <w:rPr>
          <w:rFonts w:ascii="Bookman Old Style" w:hAnsi="Bookman Old Style"/>
          <w:i/>
          <w:sz w:val="20"/>
          <w:szCs w:val="20"/>
          <w:u w:val="single"/>
        </w:rPr>
        <w:t>concordante con la decisión tomada en el 2002 de no continuar con su disminución</w:t>
      </w:r>
      <w:r w:rsidRPr="0029290B">
        <w:rPr>
          <w:rFonts w:ascii="Bookman Old Style" w:hAnsi="Bookman Old Style"/>
          <w:i/>
          <w:sz w:val="20"/>
          <w:szCs w:val="20"/>
        </w:rPr>
        <w:t>."</w:t>
      </w:r>
    </w:p>
    <w:p w:rsidR="004D75C6" w:rsidRPr="0029290B" w:rsidRDefault="004D75C6" w:rsidP="00631A51">
      <w:pPr>
        <w:ind w:left="1134" w:right="567"/>
        <w:jc w:val="both"/>
        <w:rPr>
          <w:rFonts w:ascii="Bookman Old Style" w:hAnsi="Bookman Old Style"/>
          <w:i/>
          <w:sz w:val="20"/>
          <w:szCs w:val="20"/>
        </w:rPr>
      </w:pPr>
    </w:p>
    <w:p w:rsidR="00D60EDC" w:rsidRPr="0029290B" w:rsidRDefault="00D60EDC" w:rsidP="00631A51">
      <w:pPr>
        <w:ind w:left="1134" w:right="567"/>
        <w:jc w:val="both"/>
        <w:rPr>
          <w:rFonts w:ascii="Bookman Old Style" w:hAnsi="Bookman Old Style"/>
          <w:i/>
          <w:sz w:val="20"/>
          <w:szCs w:val="20"/>
        </w:rPr>
      </w:pPr>
      <w:r w:rsidRPr="0029290B">
        <w:rPr>
          <w:rFonts w:ascii="Bookman Old Style" w:hAnsi="Bookman Old Style"/>
          <w:i/>
          <w:sz w:val="20"/>
          <w:szCs w:val="20"/>
        </w:rPr>
        <w:t>(</w:t>
      </w:r>
      <w:proofErr w:type="gramStart"/>
      <w:r w:rsidRPr="0029290B">
        <w:rPr>
          <w:rFonts w:ascii="Bookman Old Style" w:hAnsi="Bookman Old Style"/>
          <w:i/>
          <w:sz w:val="20"/>
          <w:szCs w:val="20"/>
        </w:rPr>
        <w:t>texto</w:t>
      </w:r>
      <w:proofErr w:type="gramEnd"/>
      <w:r w:rsidRPr="0029290B">
        <w:rPr>
          <w:rFonts w:ascii="Bookman Old Style" w:hAnsi="Bookman Old Style"/>
          <w:i/>
          <w:sz w:val="20"/>
          <w:szCs w:val="20"/>
        </w:rPr>
        <w:t xml:space="preserve"> resaltado no aparece subrayado en el original)</w:t>
      </w:r>
    </w:p>
    <w:p w:rsidR="00A01209" w:rsidRPr="0029290B" w:rsidRDefault="00A01209" w:rsidP="00631A51">
      <w:pPr>
        <w:ind w:left="1416" w:right="1134"/>
        <w:jc w:val="both"/>
        <w:rPr>
          <w:rFonts w:ascii="Bookman Old Style" w:hAnsi="Bookman Old Style"/>
          <w:i/>
          <w:sz w:val="20"/>
          <w:szCs w:val="20"/>
        </w:rPr>
      </w:pPr>
    </w:p>
    <w:p w:rsidR="00D60EDC" w:rsidRPr="0029290B" w:rsidRDefault="00D60EDC" w:rsidP="00631A51">
      <w:pPr>
        <w:jc w:val="both"/>
        <w:rPr>
          <w:rFonts w:ascii="Bookman Old Style" w:hAnsi="Bookman Old Style"/>
          <w:i/>
          <w:sz w:val="20"/>
          <w:szCs w:val="20"/>
          <w:lang w:val="es-CO"/>
        </w:rPr>
      </w:pPr>
      <w:r w:rsidRPr="0029290B">
        <w:rPr>
          <w:rFonts w:ascii="Bookman Old Style" w:hAnsi="Bookman Old Style"/>
          <w:i/>
          <w:sz w:val="20"/>
          <w:szCs w:val="20"/>
          <w:lang w:val="es-CO"/>
        </w:rPr>
        <w:t>En la respuesta de la CREG a la pregunta 40 del documento CREG 102 de 2007, es claro que se hace referencia a que</w:t>
      </w:r>
      <w:r w:rsidR="00A01209" w:rsidRPr="0029290B">
        <w:rPr>
          <w:rFonts w:ascii="Bookman Old Style" w:hAnsi="Bookman Old Style"/>
          <w:i/>
          <w:sz w:val="20"/>
          <w:szCs w:val="20"/>
          <w:lang w:val="es-CO"/>
        </w:rPr>
        <w:t xml:space="preserve"> el valor del IPSE es del 0,04 </w:t>
      </w:r>
      <w:proofErr w:type="spellStart"/>
      <w:r w:rsidR="00A01209" w:rsidRPr="0029290B">
        <w:rPr>
          <w:rFonts w:ascii="Bookman Old Style" w:hAnsi="Bookman Old Style"/>
          <w:i/>
          <w:sz w:val="20"/>
          <w:szCs w:val="20"/>
          <w:lang w:val="es-CO"/>
        </w:rPr>
        <w:t>ó</w:t>
      </w:r>
      <w:proofErr w:type="spellEnd"/>
      <w:r w:rsidRPr="0029290B">
        <w:rPr>
          <w:rFonts w:ascii="Bookman Old Style" w:hAnsi="Bookman Old Style"/>
          <w:i/>
          <w:sz w:val="20"/>
          <w:szCs w:val="20"/>
          <w:lang w:val="es-CO"/>
        </w:rPr>
        <w:t xml:space="preserve"> del 4%.</w:t>
      </w:r>
    </w:p>
    <w:p w:rsidR="00D60EDC" w:rsidRPr="0029290B" w:rsidRDefault="00D60EDC" w:rsidP="00631A51">
      <w:pPr>
        <w:jc w:val="both"/>
        <w:rPr>
          <w:rFonts w:ascii="Bookman Old Style" w:hAnsi="Bookman Old Style"/>
          <w:i/>
          <w:sz w:val="20"/>
          <w:szCs w:val="20"/>
          <w:lang w:val="es-CO"/>
        </w:rPr>
      </w:pPr>
    </w:p>
    <w:p w:rsidR="00AF4B17" w:rsidRPr="0029290B" w:rsidRDefault="00AF4B17" w:rsidP="00631A51">
      <w:pPr>
        <w:jc w:val="both"/>
        <w:rPr>
          <w:rFonts w:ascii="Bookman Old Style" w:hAnsi="Bookman Old Style"/>
          <w:i/>
          <w:sz w:val="20"/>
          <w:szCs w:val="20"/>
          <w:lang w:val="es-CO"/>
        </w:rPr>
      </w:pPr>
      <w:r w:rsidRPr="0029290B">
        <w:rPr>
          <w:rFonts w:ascii="Bookman Old Style" w:hAnsi="Bookman Old Style"/>
          <w:i/>
          <w:sz w:val="20"/>
          <w:szCs w:val="20"/>
          <w:lang w:val="es-CO"/>
        </w:rPr>
        <w:t>2.2.3.3 Circular CREG 013 de 2008</w:t>
      </w:r>
    </w:p>
    <w:p w:rsidR="004D75C6" w:rsidRPr="0029290B" w:rsidRDefault="004D75C6" w:rsidP="00631A51">
      <w:pPr>
        <w:jc w:val="both"/>
        <w:rPr>
          <w:rFonts w:ascii="Bookman Old Style" w:hAnsi="Bookman Old Style"/>
          <w:i/>
          <w:sz w:val="20"/>
          <w:szCs w:val="20"/>
          <w:lang w:val="es-CO"/>
        </w:rPr>
      </w:pPr>
    </w:p>
    <w:p w:rsidR="00AF4B17" w:rsidRPr="0029290B" w:rsidRDefault="00AF4B17" w:rsidP="00631A51">
      <w:pPr>
        <w:jc w:val="both"/>
        <w:rPr>
          <w:rFonts w:ascii="Bookman Old Style" w:hAnsi="Bookman Old Style"/>
          <w:i/>
          <w:sz w:val="20"/>
          <w:szCs w:val="20"/>
          <w:lang w:val="es-CO"/>
        </w:rPr>
      </w:pPr>
      <w:r w:rsidRPr="0029290B">
        <w:rPr>
          <w:rFonts w:ascii="Bookman Old Style" w:hAnsi="Bookman Old Style"/>
          <w:i/>
          <w:sz w:val="20"/>
          <w:szCs w:val="20"/>
          <w:lang w:val="es-CO"/>
        </w:rPr>
        <w:t>Con esta Circular la CREG publicó el Documento "Respuestas a preguntas sobre la aplicación de la Resolución CREG 119 de 2007" para validar el entendimiento de dicha Resolución, en particular en la respuesta a la pregunta 11 hizo referencia al IPSE:</w:t>
      </w:r>
    </w:p>
    <w:p w:rsidR="00AF4B17" w:rsidRPr="0029290B" w:rsidRDefault="00AF4B17" w:rsidP="00631A51">
      <w:pPr>
        <w:jc w:val="both"/>
        <w:rPr>
          <w:rFonts w:ascii="Bookman Old Style" w:hAnsi="Bookman Old Style"/>
          <w:i/>
          <w:sz w:val="20"/>
          <w:szCs w:val="20"/>
          <w:lang w:val="es-CO"/>
        </w:rPr>
      </w:pPr>
    </w:p>
    <w:p w:rsidR="00AF4B17" w:rsidRPr="0029290B" w:rsidRDefault="00AF4B17" w:rsidP="00631A51">
      <w:pPr>
        <w:ind w:left="1134" w:right="567"/>
        <w:jc w:val="both"/>
        <w:rPr>
          <w:rFonts w:ascii="Bookman Old Style" w:hAnsi="Bookman Old Style"/>
          <w:i/>
          <w:sz w:val="20"/>
          <w:szCs w:val="20"/>
        </w:rPr>
      </w:pPr>
      <w:r w:rsidRPr="0029290B">
        <w:rPr>
          <w:rFonts w:ascii="Bookman Old Style" w:hAnsi="Bookman Old Style"/>
          <w:i/>
          <w:sz w:val="20"/>
          <w:szCs w:val="20"/>
        </w:rPr>
        <w:t xml:space="preserve">"11. En relación con el </w:t>
      </w:r>
      <w:r w:rsidRPr="0029290B">
        <w:rPr>
          <w:rFonts w:ascii="Bookman Old Style" w:eastAsia="Gulim" w:hAnsi="Bookman Old Style"/>
          <w:i/>
          <w:sz w:val="20"/>
          <w:szCs w:val="20"/>
          <w:lang w:val="es-CO"/>
        </w:rPr>
        <w:t>Δ</w:t>
      </w:r>
      <w:r w:rsidRPr="0029290B">
        <w:rPr>
          <w:rFonts w:ascii="Bookman Old Style" w:hAnsi="Bookman Old Style"/>
          <w:i/>
          <w:sz w:val="20"/>
          <w:szCs w:val="20"/>
          <w:lang w:val="es-CO"/>
        </w:rPr>
        <w:t>IPSE</w:t>
      </w:r>
      <w:r w:rsidRPr="0029290B">
        <w:rPr>
          <w:rFonts w:ascii="Bookman Old Style" w:hAnsi="Bookman Old Style"/>
          <w:i/>
          <w:sz w:val="20"/>
          <w:szCs w:val="20"/>
        </w:rPr>
        <w:t xml:space="preserve"> </w:t>
      </w:r>
      <w:r w:rsidR="008233FC" w:rsidRPr="0029290B">
        <w:rPr>
          <w:rFonts w:ascii="Bookman Old Style" w:hAnsi="Bookman Old Style"/>
          <w:i/>
          <w:sz w:val="20"/>
          <w:szCs w:val="20"/>
        </w:rPr>
        <w:t>la</w:t>
      </w:r>
      <w:r w:rsidRPr="0029290B">
        <w:rPr>
          <w:rFonts w:ascii="Bookman Old Style" w:hAnsi="Bookman Old Style"/>
          <w:i/>
          <w:sz w:val="20"/>
          <w:szCs w:val="20"/>
        </w:rPr>
        <w:t xml:space="preserve"> inquietud es si se va a iniciar nuevamente en el 2008 con un 1%, o sea un factor multiplicador (1- </w:t>
      </w:r>
      <w:proofErr w:type="gramStart"/>
      <w:r w:rsidR="008233FC" w:rsidRPr="0029290B">
        <w:rPr>
          <w:rFonts w:ascii="Bookman Old Style" w:eastAsia="Gulim" w:hAnsi="Bookman Old Style"/>
          <w:i/>
          <w:sz w:val="20"/>
          <w:szCs w:val="20"/>
          <w:lang w:val="es-CO"/>
        </w:rPr>
        <w:t>Δ</w:t>
      </w:r>
      <w:r w:rsidR="008233FC" w:rsidRPr="0029290B">
        <w:rPr>
          <w:rFonts w:ascii="Bookman Old Style" w:hAnsi="Bookman Old Style"/>
          <w:i/>
          <w:sz w:val="20"/>
          <w:szCs w:val="20"/>
          <w:lang w:val="es-CO"/>
        </w:rPr>
        <w:t>IPSE</w:t>
      </w:r>
      <w:r w:rsidR="008233FC" w:rsidRPr="0029290B">
        <w:rPr>
          <w:rFonts w:ascii="Bookman Old Style" w:hAnsi="Bookman Old Style"/>
          <w:i/>
          <w:sz w:val="20"/>
          <w:szCs w:val="20"/>
        </w:rPr>
        <w:t xml:space="preserve"> )</w:t>
      </w:r>
      <w:proofErr w:type="gramEnd"/>
      <w:r w:rsidR="008233FC" w:rsidRPr="0029290B">
        <w:rPr>
          <w:rFonts w:ascii="Bookman Old Style" w:hAnsi="Bookman Old Style"/>
          <w:i/>
          <w:sz w:val="20"/>
          <w:szCs w:val="20"/>
        </w:rPr>
        <w:t xml:space="preserve"> igual a 99% o</w:t>
      </w:r>
      <w:r w:rsidRPr="0029290B">
        <w:rPr>
          <w:rFonts w:ascii="Bookman Old Style" w:hAnsi="Bookman Old Style"/>
          <w:i/>
          <w:sz w:val="20"/>
          <w:szCs w:val="20"/>
        </w:rPr>
        <w:t xml:space="preserve"> se toma el acumulado que se venía aplicando hasta el 2007 de 4%. Igualmente, quisiéramos saber si hay definido algún tope máximo que deba llegar a alcanzar el factor </w:t>
      </w:r>
      <w:r w:rsidR="008233FC" w:rsidRPr="0029290B">
        <w:rPr>
          <w:rFonts w:ascii="Bookman Old Style" w:eastAsia="Gulim" w:hAnsi="Bookman Old Style"/>
          <w:i/>
          <w:sz w:val="20"/>
          <w:szCs w:val="20"/>
          <w:lang w:val="es-CO"/>
        </w:rPr>
        <w:t>Δ</w:t>
      </w:r>
      <w:r w:rsidR="008233FC" w:rsidRPr="0029290B">
        <w:rPr>
          <w:rFonts w:ascii="Bookman Old Style" w:hAnsi="Bookman Old Style"/>
          <w:i/>
          <w:sz w:val="20"/>
          <w:szCs w:val="20"/>
          <w:lang w:val="es-CO"/>
        </w:rPr>
        <w:t>IPSE</w:t>
      </w:r>
      <w:r w:rsidRPr="0029290B">
        <w:rPr>
          <w:rFonts w:ascii="Bookman Old Style" w:hAnsi="Bookman Old Style"/>
          <w:i/>
          <w:sz w:val="20"/>
          <w:szCs w:val="20"/>
        </w:rPr>
        <w:t>.</w:t>
      </w:r>
    </w:p>
    <w:p w:rsidR="008233FC" w:rsidRPr="0029290B" w:rsidRDefault="008233FC" w:rsidP="00631A51">
      <w:pPr>
        <w:ind w:left="1134" w:right="567"/>
        <w:jc w:val="both"/>
        <w:rPr>
          <w:rFonts w:ascii="Bookman Old Style" w:hAnsi="Bookman Old Style"/>
          <w:i/>
          <w:sz w:val="20"/>
          <w:szCs w:val="20"/>
        </w:rPr>
      </w:pPr>
    </w:p>
    <w:p w:rsidR="00AF4B17" w:rsidRPr="0029290B" w:rsidRDefault="00AF4B17" w:rsidP="00631A51">
      <w:pPr>
        <w:ind w:left="1134" w:right="567"/>
        <w:jc w:val="both"/>
        <w:rPr>
          <w:rFonts w:ascii="Bookman Old Style" w:hAnsi="Bookman Old Style"/>
          <w:i/>
          <w:sz w:val="20"/>
          <w:szCs w:val="20"/>
        </w:rPr>
      </w:pPr>
      <w:r w:rsidRPr="0029290B">
        <w:rPr>
          <w:rFonts w:ascii="Bookman Old Style" w:hAnsi="Bookman Old Style"/>
          <w:b/>
          <w:i/>
          <w:sz w:val="20"/>
          <w:szCs w:val="20"/>
        </w:rPr>
        <w:t>Respuesta:</w:t>
      </w:r>
      <w:r w:rsidRPr="0029290B">
        <w:rPr>
          <w:rFonts w:ascii="Bookman Old Style" w:hAnsi="Bookman Old Style"/>
          <w:i/>
          <w:sz w:val="20"/>
          <w:szCs w:val="20"/>
        </w:rPr>
        <w:t xml:space="preserve"> Como se encuentra previsto en el artículo 12 de la Resolución CREG 119 de 2007, en el periodo de transición los costos variables de comercialización corresponderán a los establecidos con base en la metodología de la Resolución CREG-031 de 1997. Para el caso del AÍFSS1 5e entiende que:</w:t>
      </w:r>
    </w:p>
    <w:p w:rsidR="00AF4B17" w:rsidRPr="0029290B" w:rsidRDefault="00AF4B17" w:rsidP="00631A51">
      <w:pPr>
        <w:ind w:left="1134" w:right="567"/>
        <w:jc w:val="both"/>
        <w:rPr>
          <w:rFonts w:ascii="Bookman Old Style" w:hAnsi="Bookman Old Style"/>
          <w:i/>
          <w:sz w:val="20"/>
          <w:szCs w:val="20"/>
        </w:rPr>
      </w:pPr>
      <w:r w:rsidRPr="0029290B">
        <w:rPr>
          <w:rFonts w:ascii="Bookman Old Style" w:hAnsi="Bookman Old Style"/>
          <w:i/>
          <w:sz w:val="20"/>
          <w:szCs w:val="20"/>
        </w:rPr>
        <w:t>-</w:t>
      </w:r>
      <w:r w:rsidRPr="0029290B">
        <w:rPr>
          <w:rFonts w:ascii="Bookman Old Style" w:hAnsi="Bookman Old Style"/>
          <w:i/>
          <w:sz w:val="20"/>
          <w:szCs w:val="20"/>
        </w:rPr>
        <w:tab/>
      </w:r>
      <w:r w:rsidRPr="0029290B">
        <w:rPr>
          <w:rFonts w:ascii="Bookman Old Style" w:hAnsi="Bookman Old Style"/>
          <w:b/>
          <w:i/>
          <w:sz w:val="20"/>
          <w:szCs w:val="20"/>
        </w:rPr>
        <w:t xml:space="preserve">Al momento de iniciar la aplicación de la resolución no hay variación anual acumulada y por tanto </w:t>
      </w:r>
      <w:r w:rsidR="008233FC" w:rsidRPr="0029290B">
        <w:rPr>
          <w:rFonts w:ascii="Bookman Old Style" w:eastAsia="Gulim" w:hAnsi="Bookman Old Style"/>
          <w:b/>
          <w:i/>
          <w:sz w:val="20"/>
          <w:szCs w:val="20"/>
          <w:lang w:val="es-CO"/>
        </w:rPr>
        <w:t>Δ</w:t>
      </w:r>
      <w:r w:rsidR="008233FC" w:rsidRPr="0029290B">
        <w:rPr>
          <w:rFonts w:ascii="Bookman Old Style" w:hAnsi="Bookman Old Style"/>
          <w:b/>
          <w:i/>
          <w:sz w:val="20"/>
          <w:szCs w:val="20"/>
          <w:lang w:val="es-CO"/>
        </w:rPr>
        <w:t xml:space="preserve">IPSE será </w:t>
      </w:r>
      <w:r w:rsidRPr="0029290B">
        <w:rPr>
          <w:rFonts w:ascii="Bookman Old Style" w:hAnsi="Bookman Old Style"/>
          <w:b/>
          <w:i/>
          <w:sz w:val="20"/>
          <w:szCs w:val="20"/>
        </w:rPr>
        <w:t xml:space="preserve"> cero.</w:t>
      </w:r>
      <w:r w:rsidR="008233FC" w:rsidRPr="0029290B">
        <w:rPr>
          <w:rFonts w:ascii="Bookman Old Style" w:hAnsi="Bookman Old Style"/>
          <w:b/>
          <w:i/>
          <w:sz w:val="20"/>
          <w:szCs w:val="20"/>
        </w:rPr>
        <w:t xml:space="preserve"> </w:t>
      </w:r>
      <w:r w:rsidR="008233FC" w:rsidRPr="0029290B">
        <w:rPr>
          <w:rFonts w:ascii="Bookman Old Style" w:hAnsi="Bookman Old Style"/>
          <w:sz w:val="20"/>
          <w:szCs w:val="20"/>
        </w:rPr>
        <w:t>(En negrita fuera de texto original)</w:t>
      </w:r>
    </w:p>
    <w:p w:rsidR="00AF4B17" w:rsidRPr="0029290B" w:rsidRDefault="00AF4B17" w:rsidP="00631A51">
      <w:pPr>
        <w:ind w:left="1134" w:right="567"/>
        <w:jc w:val="both"/>
        <w:rPr>
          <w:rFonts w:ascii="Bookman Old Style" w:hAnsi="Bookman Old Style"/>
          <w:i/>
          <w:sz w:val="20"/>
          <w:szCs w:val="20"/>
        </w:rPr>
      </w:pPr>
      <w:r w:rsidRPr="0029290B">
        <w:rPr>
          <w:rFonts w:ascii="Bookman Old Style" w:hAnsi="Bookman Old Style"/>
          <w:i/>
          <w:sz w:val="20"/>
          <w:szCs w:val="20"/>
        </w:rPr>
        <w:t>-</w:t>
      </w:r>
      <w:r w:rsidRPr="0029290B">
        <w:rPr>
          <w:rFonts w:ascii="Bookman Old Style" w:hAnsi="Bookman Old Style"/>
          <w:i/>
          <w:sz w:val="20"/>
          <w:szCs w:val="20"/>
        </w:rPr>
        <w:tab/>
        <w:t>Una vez se cumpla el año, la Variación acumulada en el índice de Productividad del Sector Eléctrico, es del 1% anual."</w:t>
      </w:r>
    </w:p>
    <w:p w:rsidR="008233FC" w:rsidRPr="0029290B" w:rsidRDefault="008233FC" w:rsidP="00631A51">
      <w:pPr>
        <w:jc w:val="both"/>
        <w:rPr>
          <w:rFonts w:ascii="Bookman Old Style" w:hAnsi="Bookman Old Style"/>
          <w:i/>
          <w:sz w:val="20"/>
          <w:szCs w:val="20"/>
        </w:rPr>
      </w:pPr>
    </w:p>
    <w:p w:rsidR="00AF4B17" w:rsidRPr="0029290B" w:rsidRDefault="00AF4B17" w:rsidP="00631A51">
      <w:pPr>
        <w:jc w:val="both"/>
        <w:rPr>
          <w:rFonts w:ascii="Bookman Old Style" w:hAnsi="Bookman Old Style"/>
          <w:i/>
          <w:sz w:val="20"/>
          <w:szCs w:val="20"/>
        </w:rPr>
      </w:pPr>
      <w:r w:rsidRPr="0029290B">
        <w:rPr>
          <w:rFonts w:ascii="Bookman Old Style" w:hAnsi="Bookman Old Style"/>
          <w:i/>
          <w:sz w:val="20"/>
          <w:szCs w:val="20"/>
        </w:rPr>
        <w:t xml:space="preserve">En este documento la CREG no estableció el límite de la variable </w:t>
      </w:r>
      <w:r w:rsidR="008233FC" w:rsidRPr="0029290B">
        <w:rPr>
          <w:rFonts w:ascii="Bookman Old Style" w:eastAsia="Gulim" w:hAnsi="Bookman Old Style"/>
          <w:i/>
          <w:sz w:val="20"/>
          <w:szCs w:val="20"/>
          <w:lang w:val="es-CO"/>
        </w:rPr>
        <w:t>Δ</w:t>
      </w:r>
      <w:r w:rsidR="008233FC" w:rsidRPr="0029290B">
        <w:rPr>
          <w:rFonts w:ascii="Bookman Old Style" w:hAnsi="Bookman Old Style"/>
          <w:i/>
          <w:sz w:val="20"/>
          <w:szCs w:val="20"/>
          <w:lang w:val="es-CO"/>
        </w:rPr>
        <w:t>IPSE</w:t>
      </w:r>
      <w:r w:rsidRPr="0029290B">
        <w:rPr>
          <w:rFonts w:ascii="Bookman Old Style" w:hAnsi="Bookman Old Style"/>
          <w:i/>
          <w:sz w:val="20"/>
          <w:szCs w:val="20"/>
        </w:rPr>
        <w:t>.</w:t>
      </w:r>
    </w:p>
    <w:p w:rsidR="008233FC" w:rsidRPr="0029290B" w:rsidRDefault="008233FC" w:rsidP="00631A51">
      <w:pPr>
        <w:jc w:val="both"/>
        <w:rPr>
          <w:rFonts w:ascii="Bookman Old Style" w:hAnsi="Bookman Old Style"/>
          <w:i/>
          <w:sz w:val="20"/>
          <w:szCs w:val="20"/>
        </w:rPr>
      </w:pPr>
    </w:p>
    <w:p w:rsidR="00AF4B17" w:rsidRPr="0029290B" w:rsidRDefault="00AF4B17" w:rsidP="00631A51">
      <w:pPr>
        <w:jc w:val="both"/>
        <w:rPr>
          <w:rFonts w:ascii="Bookman Old Style" w:hAnsi="Bookman Old Style"/>
          <w:i/>
          <w:sz w:val="20"/>
          <w:szCs w:val="20"/>
        </w:rPr>
      </w:pPr>
      <w:r w:rsidRPr="0029290B">
        <w:rPr>
          <w:rFonts w:ascii="Bookman Old Style" w:hAnsi="Bookman Old Style"/>
          <w:i/>
          <w:sz w:val="20"/>
          <w:szCs w:val="20"/>
        </w:rPr>
        <w:t>2.2.3.4 Argumentos para la no aplicación del factor de productividad del 5%</w:t>
      </w:r>
    </w:p>
    <w:p w:rsidR="00BC5262" w:rsidRPr="0029290B" w:rsidRDefault="00BC5262" w:rsidP="00631A51">
      <w:pPr>
        <w:jc w:val="both"/>
        <w:rPr>
          <w:rFonts w:ascii="Bookman Old Style" w:hAnsi="Bookman Old Style"/>
          <w:i/>
          <w:sz w:val="20"/>
          <w:szCs w:val="20"/>
        </w:rPr>
      </w:pPr>
    </w:p>
    <w:p w:rsidR="00AF4B17" w:rsidRPr="0029290B" w:rsidRDefault="00AF4B17" w:rsidP="00631A51">
      <w:pPr>
        <w:jc w:val="both"/>
        <w:rPr>
          <w:rFonts w:ascii="Bookman Old Style" w:hAnsi="Bookman Old Style"/>
          <w:i/>
          <w:sz w:val="20"/>
          <w:szCs w:val="20"/>
        </w:rPr>
      </w:pPr>
      <w:r w:rsidRPr="0029290B">
        <w:rPr>
          <w:rFonts w:ascii="Bookman Old Style" w:hAnsi="Bookman Old Style"/>
          <w:i/>
          <w:sz w:val="20"/>
          <w:szCs w:val="20"/>
        </w:rPr>
        <w:t xml:space="preserve">Ante la inquietud acerca del </w:t>
      </w:r>
      <w:r w:rsidR="008233FC" w:rsidRPr="0029290B">
        <w:rPr>
          <w:rFonts w:ascii="Bookman Old Style" w:eastAsia="Gulim" w:hAnsi="Bookman Old Style"/>
          <w:i/>
          <w:sz w:val="20"/>
          <w:szCs w:val="20"/>
          <w:lang w:val="es-CO"/>
        </w:rPr>
        <w:t>Δ</w:t>
      </w:r>
      <w:r w:rsidR="008233FC" w:rsidRPr="0029290B">
        <w:rPr>
          <w:rFonts w:ascii="Bookman Old Style" w:hAnsi="Bookman Old Style"/>
          <w:i/>
          <w:sz w:val="20"/>
          <w:szCs w:val="20"/>
          <w:lang w:val="es-CO"/>
        </w:rPr>
        <w:t>IPSE</w:t>
      </w:r>
      <w:r w:rsidRPr="0029290B">
        <w:rPr>
          <w:rFonts w:ascii="Bookman Old Style" w:hAnsi="Bookman Old Style"/>
          <w:i/>
          <w:sz w:val="20"/>
          <w:szCs w:val="20"/>
        </w:rPr>
        <w:t xml:space="preserve"> a aplicar en el cálculo del Costo Unitario de prestación del servicio durante el año 2013, surgen los siguientes elementos que hacen previsible que el factor a aplicar sea del 4%, así:</w:t>
      </w:r>
    </w:p>
    <w:p w:rsidR="00BC5262" w:rsidRPr="0029290B" w:rsidRDefault="00BC5262" w:rsidP="00631A51">
      <w:pPr>
        <w:jc w:val="both"/>
        <w:rPr>
          <w:rFonts w:ascii="Bookman Old Style" w:hAnsi="Bookman Old Style"/>
          <w:i/>
          <w:sz w:val="20"/>
          <w:szCs w:val="20"/>
        </w:rPr>
      </w:pPr>
    </w:p>
    <w:p w:rsidR="00AF4B17" w:rsidRPr="0029290B" w:rsidRDefault="00AF4B17" w:rsidP="00631A51">
      <w:pPr>
        <w:jc w:val="both"/>
        <w:rPr>
          <w:rFonts w:ascii="Bookman Old Style" w:hAnsi="Bookman Old Style"/>
          <w:i/>
          <w:sz w:val="20"/>
          <w:szCs w:val="20"/>
        </w:rPr>
      </w:pPr>
      <w:r w:rsidRPr="0029290B">
        <w:rPr>
          <w:rFonts w:ascii="Bookman Old Style" w:hAnsi="Bookman Old Style"/>
          <w:i/>
          <w:sz w:val="20"/>
          <w:szCs w:val="20"/>
        </w:rPr>
        <w:t>•</w:t>
      </w:r>
      <w:r w:rsidRPr="0029290B">
        <w:rPr>
          <w:rFonts w:ascii="Bookman Old Style" w:hAnsi="Bookman Old Style"/>
          <w:i/>
          <w:sz w:val="20"/>
          <w:szCs w:val="20"/>
        </w:rPr>
        <w:tab/>
        <w:t>La estimación realizada por la Comisión sobre los incrementos de productividad que pueden obtener las empresas no puede extenderse indefinidamente, tal como lo dio a entender la CREG con las decisiones adoptadas en 2002 y 2007.</w:t>
      </w:r>
    </w:p>
    <w:p w:rsidR="00BC5262" w:rsidRPr="0029290B" w:rsidRDefault="00BC5262" w:rsidP="00631A51">
      <w:pPr>
        <w:jc w:val="both"/>
        <w:rPr>
          <w:rFonts w:ascii="Bookman Old Style" w:hAnsi="Bookman Old Style"/>
          <w:i/>
          <w:sz w:val="20"/>
          <w:szCs w:val="20"/>
        </w:rPr>
      </w:pPr>
    </w:p>
    <w:p w:rsidR="008233FC" w:rsidRPr="0029290B" w:rsidRDefault="00AF4B17" w:rsidP="00631A51">
      <w:pPr>
        <w:jc w:val="both"/>
        <w:rPr>
          <w:rFonts w:ascii="Bookman Old Style" w:hAnsi="Bookman Old Style"/>
          <w:i/>
          <w:sz w:val="20"/>
          <w:szCs w:val="20"/>
        </w:rPr>
      </w:pPr>
      <w:r w:rsidRPr="0029290B">
        <w:rPr>
          <w:rFonts w:ascii="Bookman Old Style" w:hAnsi="Bookman Old Style"/>
          <w:i/>
          <w:sz w:val="20"/>
          <w:szCs w:val="20"/>
        </w:rPr>
        <w:t>•</w:t>
      </w:r>
      <w:r w:rsidRPr="0029290B">
        <w:rPr>
          <w:rFonts w:ascii="Bookman Old Style" w:hAnsi="Bookman Old Style"/>
          <w:i/>
          <w:sz w:val="20"/>
          <w:szCs w:val="20"/>
        </w:rPr>
        <w:tab/>
        <w:t xml:space="preserve">El factor de productividad es un mecanismo de muy alta potencia, que dentro del esquema de regulación por incentivos proporciona las señales a los </w:t>
      </w:r>
      <w:r w:rsidR="008233FC" w:rsidRPr="0029290B">
        <w:rPr>
          <w:rFonts w:ascii="Bookman Old Style" w:hAnsi="Bookman Old Style"/>
          <w:i/>
          <w:sz w:val="20"/>
          <w:szCs w:val="20"/>
        </w:rPr>
        <w:t>comercializadores</w:t>
      </w:r>
      <w:r w:rsidRPr="0029290B">
        <w:rPr>
          <w:rFonts w:ascii="Bookman Old Style" w:hAnsi="Bookman Old Style"/>
          <w:i/>
          <w:sz w:val="20"/>
          <w:szCs w:val="20"/>
        </w:rPr>
        <w:t xml:space="preserve"> para que mediante Incrementos de su productividad reduzcan sus costos. De hecho, el regulador supone que los </w:t>
      </w:r>
      <w:r w:rsidR="008233FC" w:rsidRPr="0029290B">
        <w:rPr>
          <w:rFonts w:ascii="Bookman Old Style" w:hAnsi="Bookman Old Style"/>
          <w:i/>
          <w:sz w:val="20"/>
          <w:szCs w:val="20"/>
        </w:rPr>
        <w:t>comercializadores</w:t>
      </w:r>
      <w:r w:rsidRPr="0029290B">
        <w:rPr>
          <w:rFonts w:ascii="Bookman Old Style" w:hAnsi="Bookman Old Style"/>
          <w:i/>
          <w:sz w:val="20"/>
          <w:szCs w:val="20"/>
        </w:rPr>
        <w:t xml:space="preserve"> pueden alcanzar la senda de reducción de costos que les es Impuesta, por lo que un error en su estimación puede dar lugar a insuficiencia financiera para las empresas.</w:t>
      </w:r>
      <w:r w:rsidR="008233FC" w:rsidRPr="0029290B">
        <w:rPr>
          <w:rFonts w:ascii="Bookman Old Style" w:hAnsi="Bookman Old Style"/>
          <w:i/>
          <w:sz w:val="20"/>
          <w:szCs w:val="20"/>
        </w:rPr>
        <w:t xml:space="preserve"> </w:t>
      </w:r>
    </w:p>
    <w:p w:rsidR="00BC5262" w:rsidRPr="0029290B" w:rsidRDefault="00BC5262" w:rsidP="00631A51">
      <w:pPr>
        <w:jc w:val="both"/>
        <w:rPr>
          <w:rFonts w:ascii="Bookman Old Style" w:hAnsi="Bookman Old Style"/>
          <w:i/>
          <w:sz w:val="20"/>
          <w:szCs w:val="20"/>
        </w:rPr>
      </w:pPr>
    </w:p>
    <w:p w:rsidR="008233FC" w:rsidRPr="0029290B" w:rsidRDefault="008233FC" w:rsidP="00631A51">
      <w:pPr>
        <w:jc w:val="both"/>
        <w:rPr>
          <w:rFonts w:ascii="Bookman Old Style" w:hAnsi="Bookman Old Style"/>
          <w:i/>
          <w:sz w:val="20"/>
          <w:szCs w:val="20"/>
        </w:rPr>
      </w:pPr>
      <w:r w:rsidRPr="0029290B">
        <w:rPr>
          <w:rFonts w:ascii="Bookman Old Style" w:hAnsi="Bookman Old Style"/>
          <w:i/>
          <w:sz w:val="20"/>
          <w:szCs w:val="20"/>
        </w:rPr>
        <w:t>•</w:t>
      </w:r>
      <w:r w:rsidRPr="0029290B">
        <w:rPr>
          <w:rFonts w:ascii="Bookman Old Style" w:hAnsi="Bookman Old Style"/>
          <w:i/>
          <w:sz w:val="20"/>
          <w:szCs w:val="20"/>
        </w:rPr>
        <w:tab/>
        <w:t>Se observa que continuar con la acumulación del factor de productividad, así sea por un año o por una fracción de este, significaría esfuerzos superiores a los que inicialmente la Comisión</w:t>
      </w:r>
      <w:r w:rsidRPr="0029290B">
        <w:rPr>
          <w:rFonts w:ascii="Bookman Old Style" w:hAnsi="Bookman Old Style"/>
          <w:sz w:val="20"/>
          <w:szCs w:val="20"/>
        </w:rPr>
        <w:t xml:space="preserve"> </w:t>
      </w:r>
      <w:r w:rsidRPr="0029290B">
        <w:rPr>
          <w:rFonts w:ascii="Bookman Old Style" w:hAnsi="Bookman Old Style"/>
          <w:i/>
          <w:sz w:val="20"/>
          <w:szCs w:val="20"/>
        </w:rPr>
        <w:t>evaluó que pueden lograr las empresas, y por ende son superiores a los concordantes con una condición de eficiencia, lo cual conduce sin duda a la aplicación de un cargo de comercialización que no permite recuperar los costos de prestación del servicio de Energía Social, en particular en la gestión comercial de un mercado que presenta los niveles de recaudo que se han explicado y justificado ante la Comisión.</w:t>
      </w:r>
    </w:p>
    <w:p w:rsidR="00BC5262" w:rsidRPr="0029290B" w:rsidRDefault="00BC5262" w:rsidP="00631A51">
      <w:pPr>
        <w:jc w:val="both"/>
        <w:rPr>
          <w:rFonts w:ascii="Bookman Old Style" w:hAnsi="Bookman Old Style"/>
          <w:i/>
          <w:sz w:val="20"/>
          <w:szCs w:val="20"/>
        </w:rPr>
      </w:pPr>
    </w:p>
    <w:p w:rsidR="008233FC" w:rsidRPr="0029290B" w:rsidRDefault="008233FC" w:rsidP="00631A51">
      <w:pPr>
        <w:jc w:val="both"/>
        <w:rPr>
          <w:rFonts w:ascii="Bookman Old Style" w:hAnsi="Bookman Old Style"/>
          <w:i/>
          <w:sz w:val="20"/>
          <w:szCs w:val="20"/>
        </w:rPr>
      </w:pPr>
      <w:r w:rsidRPr="0029290B">
        <w:rPr>
          <w:rFonts w:ascii="Bookman Old Style" w:hAnsi="Bookman Old Style"/>
          <w:i/>
          <w:sz w:val="20"/>
          <w:szCs w:val="20"/>
        </w:rPr>
        <w:t>•</w:t>
      </w:r>
      <w:r w:rsidRPr="0029290B">
        <w:rPr>
          <w:rFonts w:ascii="Bookman Old Style" w:hAnsi="Bookman Old Style"/>
          <w:i/>
          <w:sz w:val="20"/>
          <w:szCs w:val="20"/>
        </w:rPr>
        <w:tab/>
        <w:t>De hecho, es claro que el Incremento de 1% en el factor de productividad en 2013 es excesivo frente a la propuesta presentada por la Comisión en la Resolución 044 de 2012 de 0,71% anual.</w:t>
      </w:r>
    </w:p>
    <w:p w:rsidR="00BC5262" w:rsidRPr="0029290B" w:rsidRDefault="00BC5262" w:rsidP="00631A51">
      <w:pPr>
        <w:jc w:val="both"/>
        <w:rPr>
          <w:rFonts w:ascii="Bookman Old Style" w:hAnsi="Bookman Old Style"/>
          <w:i/>
          <w:sz w:val="20"/>
          <w:szCs w:val="20"/>
        </w:rPr>
      </w:pPr>
    </w:p>
    <w:p w:rsidR="008233FC" w:rsidRPr="0029290B" w:rsidRDefault="008233FC" w:rsidP="00631A51">
      <w:pPr>
        <w:jc w:val="both"/>
        <w:rPr>
          <w:rFonts w:ascii="Bookman Old Style" w:hAnsi="Bookman Old Style"/>
          <w:i/>
          <w:sz w:val="20"/>
          <w:szCs w:val="20"/>
        </w:rPr>
      </w:pPr>
      <w:r w:rsidRPr="0029290B">
        <w:rPr>
          <w:rFonts w:ascii="Bookman Old Style" w:hAnsi="Bookman Old Style"/>
          <w:i/>
          <w:sz w:val="20"/>
          <w:szCs w:val="20"/>
        </w:rPr>
        <w:lastRenderedPageBreak/>
        <w:t>•</w:t>
      </w:r>
      <w:r w:rsidRPr="0029290B">
        <w:rPr>
          <w:rFonts w:ascii="Bookman Old Style" w:hAnsi="Bookman Old Style"/>
          <w:i/>
          <w:sz w:val="20"/>
          <w:szCs w:val="20"/>
        </w:rPr>
        <w:tab/>
        <w:t xml:space="preserve">Lo anterior indica la necesidad de revisar para 2013 la acumulación del </w:t>
      </w:r>
      <w:r w:rsidRPr="0029290B">
        <w:rPr>
          <w:rFonts w:ascii="Bookman Old Style" w:eastAsia="Gulim" w:hAnsi="Bookman Old Style"/>
          <w:i/>
          <w:sz w:val="20"/>
          <w:szCs w:val="20"/>
          <w:lang w:val="es-CO"/>
        </w:rPr>
        <w:t>Δ</w:t>
      </w:r>
      <w:r w:rsidRPr="0029290B">
        <w:rPr>
          <w:rFonts w:ascii="Bookman Old Style" w:hAnsi="Bookman Old Style"/>
          <w:i/>
          <w:sz w:val="20"/>
          <w:szCs w:val="20"/>
          <w:lang w:val="es-CO"/>
        </w:rPr>
        <w:t>IPSE</w:t>
      </w:r>
      <w:r w:rsidRPr="0029290B">
        <w:rPr>
          <w:rFonts w:ascii="Bookman Old Style" w:hAnsi="Bookman Old Style"/>
          <w:i/>
          <w:sz w:val="20"/>
          <w:szCs w:val="20"/>
        </w:rPr>
        <w:t xml:space="preserve"> en 1% anual, teniendo en cuenta que bajo la propia interpretación de periodos anteriores, el valor aplicado para este índice debe ser de 4%, en la medida en que no existe una condición que diferencie de forma clara las transiciones del quinto al sexto año que se cumplieron en 2002 y en 2007, de la que se acaba de cumplir en 2012.</w:t>
      </w:r>
    </w:p>
    <w:p w:rsidR="00BC5262" w:rsidRPr="0029290B" w:rsidRDefault="00BC5262" w:rsidP="00631A51">
      <w:pPr>
        <w:jc w:val="both"/>
        <w:rPr>
          <w:rFonts w:ascii="Bookman Old Style" w:hAnsi="Bookman Old Style"/>
          <w:i/>
          <w:sz w:val="20"/>
          <w:szCs w:val="20"/>
        </w:rPr>
      </w:pPr>
    </w:p>
    <w:p w:rsidR="008233FC" w:rsidRPr="0029290B" w:rsidRDefault="008233FC" w:rsidP="00631A51">
      <w:pPr>
        <w:jc w:val="both"/>
        <w:rPr>
          <w:rFonts w:ascii="Bookman Old Style" w:hAnsi="Bookman Old Style"/>
          <w:i/>
          <w:sz w:val="20"/>
          <w:szCs w:val="20"/>
        </w:rPr>
      </w:pPr>
      <w:r w:rsidRPr="0029290B">
        <w:rPr>
          <w:rFonts w:ascii="Bookman Old Style" w:hAnsi="Bookman Old Style"/>
          <w:i/>
          <w:sz w:val="20"/>
          <w:szCs w:val="20"/>
        </w:rPr>
        <w:t>•</w:t>
      </w:r>
      <w:r w:rsidRPr="0029290B">
        <w:rPr>
          <w:rFonts w:ascii="Bookman Old Style" w:hAnsi="Bookman Old Style"/>
          <w:i/>
          <w:sz w:val="20"/>
          <w:szCs w:val="20"/>
        </w:rPr>
        <w:tab/>
        <w:t xml:space="preserve">Como se interpreta que ha sucedido en las dos revisiones anteriores de este tema, la definición de cinco (5) años de vigencia para la fórmula tarifaria de la Resolución CREG 119 de 2007 permite inferir que el máximo valor del </w:t>
      </w:r>
      <w:r w:rsidRPr="0029290B">
        <w:rPr>
          <w:rFonts w:ascii="Bookman Old Style" w:eastAsia="Gulim" w:hAnsi="Bookman Old Style"/>
          <w:i/>
          <w:sz w:val="20"/>
          <w:szCs w:val="20"/>
          <w:lang w:val="es-CO"/>
        </w:rPr>
        <w:t>Δ</w:t>
      </w:r>
      <w:r w:rsidRPr="0029290B">
        <w:rPr>
          <w:rFonts w:ascii="Bookman Old Style" w:hAnsi="Bookman Old Style"/>
          <w:i/>
          <w:sz w:val="20"/>
          <w:szCs w:val="20"/>
          <w:lang w:val="es-CO"/>
        </w:rPr>
        <w:t>IPSE</w:t>
      </w:r>
      <w:r w:rsidRPr="0029290B">
        <w:rPr>
          <w:rFonts w:ascii="Bookman Old Style" w:hAnsi="Bookman Old Style"/>
          <w:i/>
          <w:sz w:val="20"/>
          <w:szCs w:val="20"/>
        </w:rPr>
        <w:t xml:space="preserve"> es el del quinto año; es decir del 4%.</w:t>
      </w:r>
    </w:p>
    <w:p w:rsidR="00BC5262" w:rsidRPr="0029290B" w:rsidRDefault="00BC5262" w:rsidP="00631A51">
      <w:pPr>
        <w:jc w:val="both"/>
        <w:rPr>
          <w:rFonts w:ascii="Bookman Old Style" w:hAnsi="Bookman Old Style"/>
          <w:i/>
          <w:sz w:val="20"/>
          <w:szCs w:val="20"/>
        </w:rPr>
      </w:pPr>
    </w:p>
    <w:p w:rsidR="008233FC" w:rsidRPr="0029290B" w:rsidRDefault="008233FC" w:rsidP="00631A51">
      <w:pPr>
        <w:jc w:val="both"/>
        <w:rPr>
          <w:rFonts w:ascii="Bookman Old Style" w:hAnsi="Bookman Old Style"/>
          <w:i/>
          <w:sz w:val="20"/>
          <w:szCs w:val="20"/>
          <w:lang w:val="es-CO"/>
        </w:rPr>
      </w:pPr>
      <w:r w:rsidRPr="0029290B">
        <w:rPr>
          <w:rFonts w:ascii="Bookman Old Style" w:hAnsi="Bookman Old Style"/>
          <w:i/>
          <w:sz w:val="20"/>
          <w:szCs w:val="20"/>
        </w:rPr>
        <w:t>•</w:t>
      </w:r>
      <w:r w:rsidRPr="0029290B">
        <w:rPr>
          <w:rFonts w:ascii="Bookman Old Style" w:hAnsi="Bookman Old Style"/>
          <w:i/>
          <w:sz w:val="20"/>
          <w:szCs w:val="20"/>
        </w:rPr>
        <w:tab/>
        <w:t>En concordancia con las decisiones tomadas por la Comisión en 20</w:t>
      </w:r>
      <w:r w:rsidR="003E1727" w:rsidRPr="0029290B">
        <w:rPr>
          <w:rFonts w:ascii="Bookman Old Style" w:hAnsi="Bookman Old Style"/>
          <w:i/>
          <w:sz w:val="20"/>
          <w:szCs w:val="20"/>
        </w:rPr>
        <w:t xml:space="preserve">02 y 2008, el valor máximo del </w:t>
      </w:r>
      <w:r w:rsidR="003E1727" w:rsidRPr="0029290B">
        <w:rPr>
          <w:rFonts w:ascii="Bookman Old Style" w:eastAsia="Gulim" w:hAnsi="Bookman Old Style"/>
          <w:i/>
          <w:sz w:val="20"/>
          <w:szCs w:val="20"/>
        </w:rPr>
        <w:t>Δ</w:t>
      </w:r>
      <w:r w:rsidRPr="0029290B">
        <w:rPr>
          <w:rFonts w:ascii="Bookman Old Style" w:hAnsi="Bookman Old Style"/>
          <w:i/>
          <w:sz w:val="20"/>
          <w:szCs w:val="20"/>
        </w:rPr>
        <w:t>IPSE debe ser de 4%.</w:t>
      </w:r>
      <w:r w:rsidR="004D75C6" w:rsidRPr="0029290B">
        <w:rPr>
          <w:rFonts w:ascii="Bookman Old Style" w:hAnsi="Bookman Old Style"/>
          <w:i/>
          <w:sz w:val="20"/>
          <w:szCs w:val="20"/>
        </w:rPr>
        <w:t>”</w:t>
      </w:r>
    </w:p>
    <w:p w:rsidR="008233FC" w:rsidRPr="00B967A9" w:rsidRDefault="008233FC" w:rsidP="00631A51">
      <w:pPr>
        <w:ind w:left="0"/>
        <w:jc w:val="both"/>
        <w:rPr>
          <w:rFonts w:ascii="Bookman Old Style" w:hAnsi="Bookman Old Style"/>
          <w:b/>
        </w:rPr>
      </w:pPr>
    </w:p>
    <w:p w:rsidR="008233FC" w:rsidRPr="00481CE3" w:rsidRDefault="008233FC" w:rsidP="00631A51">
      <w:pPr>
        <w:ind w:left="0"/>
        <w:jc w:val="both"/>
        <w:rPr>
          <w:rFonts w:ascii="Bookman Old Style" w:hAnsi="Bookman Old Style"/>
          <w:b/>
        </w:rPr>
      </w:pPr>
      <w:r w:rsidRPr="00B967A9">
        <w:rPr>
          <w:rFonts w:ascii="Bookman Old Style" w:hAnsi="Bookman Old Style"/>
          <w:b/>
        </w:rPr>
        <w:t>SOLICITUDES A LA COMISIÓN</w:t>
      </w:r>
    </w:p>
    <w:p w:rsidR="008233FC" w:rsidRPr="00481CE3" w:rsidRDefault="008233FC" w:rsidP="00631A51">
      <w:pPr>
        <w:ind w:left="0"/>
        <w:jc w:val="both"/>
        <w:rPr>
          <w:rFonts w:ascii="Bookman Old Style" w:hAnsi="Bookman Old Style"/>
          <w:b/>
        </w:rPr>
      </w:pPr>
    </w:p>
    <w:p w:rsidR="00D60EDC" w:rsidRPr="00925723" w:rsidRDefault="0093600D" w:rsidP="00631A51">
      <w:pPr>
        <w:ind w:left="0"/>
        <w:jc w:val="both"/>
        <w:rPr>
          <w:rFonts w:ascii="Bookman Old Style" w:hAnsi="Bookman Old Style"/>
          <w:i/>
          <w:lang w:val="es-ES_tradnl"/>
        </w:rPr>
      </w:pPr>
      <w:r w:rsidRPr="00481CE3">
        <w:rPr>
          <w:rFonts w:ascii="Bookman Old Style" w:hAnsi="Bookman Old Style"/>
        </w:rPr>
        <w:t xml:space="preserve">Energía Social de la Costa S.A. E.S.P. </w:t>
      </w:r>
      <w:r w:rsidR="0029290B">
        <w:rPr>
          <w:rFonts w:ascii="Bookman Old Style" w:hAnsi="Bookman Old Style"/>
        </w:rPr>
        <w:t>presentó</w:t>
      </w:r>
      <w:r w:rsidR="0029290B" w:rsidRPr="00481CE3">
        <w:rPr>
          <w:rFonts w:ascii="Bookman Old Style" w:hAnsi="Bookman Old Style"/>
        </w:rPr>
        <w:t xml:space="preserve"> </w:t>
      </w:r>
      <w:r w:rsidRPr="00481CE3">
        <w:rPr>
          <w:rFonts w:ascii="Bookman Old Style" w:hAnsi="Bookman Old Style"/>
        </w:rPr>
        <w:t>las siguientes tres solicitudes en relación con la Resolución CREG 008 de 2013</w:t>
      </w:r>
      <w:r w:rsidR="0029290B">
        <w:rPr>
          <w:rFonts w:ascii="Bookman Old Style" w:hAnsi="Bookman Old Style"/>
        </w:rPr>
        <w:t>,</w:t>
      </w:r>
      <w:r w:rsidRPr="00481CE3">
        <w:rPr>
          <w:rFonts w:ascii="Bookman Old Style" w:hAnsi="Bookman Old Style"/>
        </w:rPr>
        <w:t xml:space="preserve"> </w:t>
      </w:r>
      <w:r w:rsidRPr="00481CE3">
        <w:rPr>
          <w:rFonts w:ascii="Bookman Old Style" w:hAnsi="Bookman Old Style"/>
          <w:i/>
        </w:rPr>
        <w:t>“Por la cual se aprueban el factor de riesgo de cartera y el cargo de comercialización aplicables en el año 2013 al conjunto de barrios subnormales atendidos por la empresa Energía Social de La Costa S.A. E.S.P.”</w:t>
      </w:r>
      <w:r w:rsidR="0029290B" w:rsidRPr="00493D27">
        <w:rPr>
          <w:rFonts w:ascii="Bookman Old Style" w:hAnsi="Bookman Old Style"/>
        </w:rPr>
        <w:t>:</w:t>
      </w:r>
    </w:p>
    <w:p w:rsidR="008233FC" w:rsidRDefault="008233FC" w:rsidP="00631A51">
      <w:pPr>
        <w:ind w:left="0"/>
        <w:jc w:val="both"/>
        <w:rPr>
          <w:rFonts w:ascii="Bookman Old Style" w:hAnsi="Bookman Old Style"/>
          <w:sz w:val="22"/>
        </w:rPr>
      </w:pPr>
    </w:p>
    <w:p w:rsidR="00493D27" w:rsidRPr="00493D27" w:rsidRDefault="00493D27" w:rsidP="00493D27">
      <w:pPr>
        <w:ind w:left="360"/>
        <w:jc w:val="both"/>
        <w:rPr>
          <w:rFonts w:ascii="Bookman Old Style" w:hAnsi="Bookman Old Style"/>
          <w:sz w:val="20"/>
          <w:szCs w:val="20"/>
        </w:rPr>
      </w:pPr>
      <w:r>
        <w:rPr>
          <w:rFonts w:ascii="Bookman Old Style" w:hAnsi="Bookman Old Style"/>
          <w:sz w:val="20"/>
          <w:szCs w:val="20"/>
        </w:rPr>
        <w:t>“</w:t>
      </w:r>
    </w:p>
    <w:p w:rsidR="0093600D" w:rsidRPr="00493D27" w:rsidRDefault="0093600D" w:rsidP="00493D27">
      <w:pPr>
        <w:pStyle w:val="Prrafodelista"/>
        <w:numPr>
          <w:ilvl w:val="0"/>
          <w:numId w:val="32"/>
        </w:numPr>
        <w:jc w:val="both"/>
        <w:rPr>
          <w:i/>
          <w:sz w:val="20"/>
        </w:rPr>
      </w:pPr>
      <w:r w:rsidRPr="00493D27">
        <w:rPr>
          <w:i/>
          <w:sz w:val="20"/>
        </w:rPr>
        <w:t>Corregir el porcentaje de recaudo del FOES empleando 11,05% como valor correcto para dicho parámetro.</w:t>
      </w:r>
    </w:p>
    <w:p w:rsidR="0093600D" w:rsidRPr="00493D27" w:rsidRDefault="0093600D" w:rsidP="00493D27">
      <w:pPr>
        <w:pStyle w:val="Prrafodelista"/>
        <w:ind w:left="720"/>
        <w:jc w:val="both"/>
        <w:rPr>
          <w:i/>
          <w:sz w:val="20"/>
        </w:rPr>
      </w:pPr>
    </w:p>
    <w:p w:rsidR="0093600D" w:rsidRPr="00493D27" w:rsidRDefault="0093600D" w:rsidP="00493D27">
      <w:pPr>
        <w:pStyle w:val="Prrafodelista"/>
        <w:numPr>
          <w:ilvl w:val="0"/>
          <w:numId w:val="32"/>
        </w:numPr>
        <w:jc w:val="both"/>
        <w:rPr>
          <w:i/>
          <w:sz w:val="20"/>
        </w:rPr>
      </w:pPr>
      <w:r w:rsidRPr="00493D27">
        <w:rPr>
          <w:i/>
          <w:sz w:val="20"/>
        </w:rPr>
        <w:t xml:space="preserve">Corregir las ventas de energía de nivel de tensión 2 empleando como valor correcto 94.065.353 </w:t>
      </w:r>
      <w:proofErr w:type="spellStart"/>
      <w:r w:rsidRPr="00493D27">
        <w:rPr>
          <w:i/>
          <w:sz w:val="20"/>
        </w:rPr>
        <w:t>kWh</w:t>
      </w:r>
      <w:proofErr w:type="spellEnd"/>
      <w:r w:rsidRPr="00493D27">
        <w:rPr>
          <w:i/>
          <w:sz w:val="20"/>
        </w:rPr>
        <w:t>/año para dicha variable.</w:t>
      </w:r>
    </w:p>
    <w:p w:rsidR="0093600D" w:rsidRPr="00493D27" w:rsidRDefault="0093600D" w:rsidP="00493D27">
      <w:pPr>
        <w:pStyle w:val="Prrafodelista"/>
        <w:ind w:left="360"/>
        <w:rPr>
          <w:i/>
          <w:sz w:val="20"/>
        </w:rPr>
      </w:pPr>
    </w:p>
    <w:p w:rsidR="008233FC" w:rsidRPr="00493D27" w:rsidRDefault="0093600D" w:rsidP="00493D27">
      <w:pPr>
        <w:pStyle w:val="Prrafodelista"/>
        <w:numPr>
          <w:ilvl w:val="0"/>
          <w:numId w:val="32"/>
        </w:numPr>
        <w:jc w:val="both"/>
        <w:rPr>
          <w:i/>
          <w:sz w:val="20"/>
        </w:rPr>
      </w:pPr>
      <w:r w:rsidRPr="00493D27">
        <w:rPr>
          <w:i/>
          <w:sz w:val="20"/>
        </w:rPr>
        <w:t>Corregir el Índice de productividad del sector eléctrico aplicado para 2013, empleando 4% como valor correcto para dicho parámetro.</w:t>
      </w:r>
      <w:r w:rsidR="00493D27">
        <w:rPr>
          <w:i/>
          <w:sz w:val="20"/>
        </w:rPr>
        <w:t>”</w:t>
      </w:r>
    </w:p>
    <w:p w:rsidR="008233FC" w:rsidRPr="00BC5262" w:rsidRDefault="008233FC" w:rsidP="00631A51">
      <w:pPr>
        <w:ind w:left="0"/>
        <w:jc w:val="both"/>
        <w:rPr>
          <w:rFonts w:ascii="Bookman Old Style" w:hAnsi="Bookman Old Style"/>
        </w:rPr>
      </w:pPr>
    </w:p>
    <w:p w:rsidR="008233FC" w:rsidRPr="00B967A9" w:rsidRDefault="008233FC" w:rsidP="00631A51">
      <w:pPr>
        <w:ind w:left="0"/>
        <w:jc w:val="both"/>
        <w:rPr>
          <w:rFonts w:ascii="Bookman Old Style" w:hAnsi="Bookman Old Style"/>
          <w:b/>
        </w:rPr>
      </w:pPr>
      <w:r w:rsidRPr="00B967A9">
        <w:rPr>
          <w:rFonts w:ascii="Bookman Old Style" w:hAnsi="Bookman Old Style"/>
          <w:b/>
        </w:rPr>
        <w:t>CONSIDERACIONES DE LA CREG</w:t>
      </w:r>
    </w:p>
    <w:p w:rsidR="008233FC" w:rsidRPr="00B967A9" w:rsidRDefault="008233FC" w:rsidP="00631A51">
      <w:pPr>
        <w:ind w:left="0"/>
        <w:jc w:val="both"/>
        <w:rPr>
          <w:rFonts w:ascii="Bookman Old Style" w:hAnsi="Bookman Old Style"/>
          <w:b/>
        </w:rPr>
      </w:pPr>
    </w:p>
    <w:p w:rsidR="00D60EDC" w:rsidRPr="00B967A9" w:rsidRDefault="0093600D" w:rsidP="00631A51">
      <w:pPr>
        <w:ind w:left="0"/>
        <w:jc w:val="both"/>
        <w:rPr>
          <w:rFonts w:ascii="Bookman Old Style" w:hAnsi="Bookman Old Style"/>
        </w:rPr>
      </w:pPr>
      <w:r w:rsidRPr="00B967A9">
        <w:rPr>
          <w:rFonts w:ascii="Bookman Old Style" w:hAnsi="Bookman Old Style"/>
        </w:rPr>
        <w:t>A continuación se presentan las consideraciones de la CREG en relación con cada una de las solicitudes realizadas por Energía Social de la Costa S.A. E.S.P.</w:t>
      </w:r>
    </w:p>
    <w:p w:rsidR="0093600D" w:rsidRPr="00B967A9" w:rsidRDefault="0093600D" w:rsidP="00631A51">
      <w:pPr>
        <w:ind w:left="0"/>
        <w:jc w:val="both"/>
        <w:rPr>
          <w:rFonts w:ascii="Bookman Old Style" w:hAnsi="Bookman Old Style"/>
        </w:rPr>
      </w:pPr>
    </w:p>
    <w:p w:rsidR="0093600D" w:rsidRPr="00B967A9" w:rsidRDefault="0093600D" w:rsidP="00631A51">
      <w:pPr>
        <w:pStyle w:val="Prrafodelista"/>
        <w:numPr>
          <w:ilvl w:val="0"/>
          <w:numId w:val="33"/>
        </w:numPr>
        <w:jc w:val="both"/>
        <w:rPr>
          <w:b/>
        </w:rPr>
      </w:pPr>
      <w:r w:rsidRPr="00B967A9">
        <w:rPr>
          <w:b/>
        </w:rPr>
        <w:t>Corregir el porcentaje de recaudo del FOES empleando 11,05% como valor correcto para dicho parámetro.</w:t>
      </w:r>
    </w:p>
    <w:p w:rsidR="0093600D" w:rsidRPr="00575E62" w:rsidRDefault="0093600D" w:rsidP="00631A51">
      <w:pPr>
        <w:ind w:left="0"/>
        <w:jc w:val="both"/>
        <w:rPr>
          <w:rFonts w:ascii="Bookman Old Style" w:hAnsi="Bookman Old Style"/>
          <w:sz w:val="18"/>
          <w:lang w:val="es-CO"/>
        </w:rPr>
      </w:pPr>
    </w:p>
    <w:p w:rsidR="007B4E66" w:rsidRDefault="0029290B" w:rsidP="00E24657">
      <w:pPr>
        <w:ind w:left="0"/>
        <w:jc w:val="both"/>
        <w:rPr>
          <w:rFonts w:ascii="Bookman Old Style" w:hAnsi="Bookman Old Style"/>
        </w:rPr>
      </w:pPr>
      <w:r>
        <w:rPr>
          <w:rFonts w:ascii="Bookman Old Style" w:hAnsi="Bookman Old Style"/>
        </w:rPr>
        <w:t xml:space="preserve">Como ya se expuso, </w:t>
      </w:r>
      <w:r w:rsidRPr="00B967A9">
        <w:rPr>
          <w:rFonts w:ascii="Bookman Old Style" w:hAnsi="Bookman Old Style"/>
        </w:rPr>
        <w:t xml:space="preserve">Energía Social de La Costa S.A. E.S.P. sostiene en su escrito de reposición que el porcentaje de recaudo </w:t>
      </w:r>
      <w:r>
        <w:rPr>
          <w:rFonts w:ascii="Bookman Old Style" w:hAnsi="Bookman Old Style"/>
        </w:rPr>
        <w:t xml:space="preserve">de recursos del </w:t>
      </w:r>
      <w:r w:rsidRPr="00B967A9">
        <w:rPr>
          <w:rFonts w:ascii="Bookman Old Style" w:hAnsi="Bookman Old Style"/>
        </w:rPr>
        <w:t>FOES presenta un error de cálculo para el año 2012</w:t>
      </w:r>
      <w:r>
        <w:rPr>
          <w:rFonts w:ascii="Bookman Old Style" w:hAnsi="Bookman Old Style"/>
        </w:rPr>
        <w:t>.</w:t>
      </w:r>
    </w:p>
    <w:p w:rsidR="007B4E66" w:rsidRPr="00575E62" w:rsidRDefault="007B4E66" w:rsidP="00E24657">
      <w:pPr>
        <w:ind w:left="0"/>
        <w:jc w:val="both"/>
        <w:rPr>
          <w:rFonts w:ascii="Bookman Old Style" w:hAnsi="Bookman Old Style"/>
          <w:sz w:val="16"/>
        </w:rPr>
      </w:pPr>
    </w:p>
    <w:p w:rsidR="00E24657" w:rsidRDefault="007E10BD" w:rsidP="00E24657">
      <w:pPr>
        <w:ind w:left="0"/>
        <w:jc w:val="both"/>
        <w:rPr>
          <w:rFonts w:ascii="Bookman Old Style" w:hAnsi="Bookman Old Style" w:cs="Arial"/>
        </w:rPr>
      </w:pPr>
      <w:r w:rsidRPr="00481CE3">
        <w:rPr>
          <w:rFonts w:ascii="Bookman Old Style" w:hAnsi="Bookman Old Style"/>
        </w:rPr>
        <w:t xml:space="preserve">Al respecto es preciso tener en cuenta que </w:t>
      </w:r>
      <w:r w:rsidR="007B4E66">
        <w:rPr>
          <w:rFonts w:ascii="Bookman Old Style" w:hAnsi="Bookman Old Style"/>
        </w:rPr>
        <w:t xml:space="preserve">de acuerdo con la Resolución CREG 101 de 2006 </w:t>
      </w:r>
      <w:r w:rsidR="00493D27">
        <w:rPr>
          <w:rFonts w:ascii="Bookman Old Style" w:hAnsi="Bookman Old Style"/>
        </w:rPr>
        <w:t>la Meta de Recaudo Proyectada para el año t</w:t>
      </w:r>
      <w:proofErr w:type="gramStart"/>
      <w:r w:rsidR="00493D27">
        <w:rPr>
          <w:rFonts w:ascii="Bookman Old Style" w:hAnsi="Bookman Old Style"/>
        </w:rPr>
        <w:t xml:space="preserve">, </w:t>
      </w:r>
      <m:oMath>
        <m:sSub>
          <m:sSubPr>
            <m:ctrlPr>
              <w:rPr>
                <w:rFonts w:ascii="Cambria Math" w:hAnsi="Cambria Math"/>
                <w:i/>
              </w:rPr>
            </m:ctrlPr>
          </m:sSubPr>
          <m:e>
            <m:r>
              <w:rPr>
                <w:rFonts w:ascii="Cambria Math" w:hAnsi="Cambria Math"/>
              </w:rPr>
              <m:t>MRP</m:t>
            </m:r>
          </m:e>
          <m:sub>
            <m:r>
              <w:rPr>
                <w:rFonts w:ascii="Cambria Math" w:hAnsi="Cambria Math"/>
              </w:rPr>
              <m:t>t</m:t>
            </m:r>
          </m:sub>
        </m:sSub>
      </m:oMath>
      <w:r w:rsidR="00493D27">
        <w:rPr>
          <w:rFonts w:ascii="Bookman Old Style" w:hAnsi="Bookman Old Style"/>
        </w:rPr>
        <w:t>,</w:t>
      </w:r>
      <w:proofErr w:type="gramEnd"/>
      <w:r w:rsidR="00493D27">
        <w:rPr>
          <w:rFonts w:ascii="Bookman Old Style" w:hAnsi="Bookman Old Style"/>
        </w:rPr>
        <w:t xml:space="preserve"> </w:t>
      </w:r>
      <w:r w:rsidR="00EF76EA">
        <w:rPr>
          <w:rFonts w:ascii="Bookman Old Style" w:hAnsi="Bookman Old Style"/>
        </w:rPr>
        <w:t>corresponde a la suma del recaudo de los usuarios</w:t>
      </w:r>
      <w:r w:rsidR="00EF76EA">
        <w:rPr>
          <w:rStyle w:val="Refdenotaalpie"/>
          <w:rFonts w:ascii="Bookman Old Style" w:hAnsi="Bookman Old Style"/>
        </w:rPr>
        <w:footnoteReference w:id="1"/>
      </w:r>
      <w:r w:rsidR="00EF76EA">
        <w:rPr>
          <w:rFonts w:ascii="Bookman Old Style" w:hAnsi="Bookman Old Style"/>
        </w:rPr>
        <w:t>, de l</w:t>
      </w:r>
      <w:r w:rsidR="00EF76EA" w:rsidRPr="007B4E66">
        <w:rPr>
          <w:rFonts w:ascii="Bookman Old Style" w:hAnsi="Bookman Old Style"/>
        </w:rPr>
        <w:t xml:space="preserve">os recursos provenientes del </w:t>
      </w:r>
      <w:r w:rsidR="007B4E66">
        <w:rPr>
          <w:rFonts w:ascii="Bookman Old Style" w:hAnsi="Bookman Old Style"/>
        </w:rPr>
        <w:t>Fondo de Solidaridad</w:t>
      </w:r>
      <w:r w:rsidR="00EF76EA" w:rsidRPr="007B4E66">
        <w:rPr>
          <w:rFonts w:ascii="Bookman Old Style" w:hAnsi="Bookman Old Style"/>
        </w:rPr>
        <w:t xml:space="preserve"> y </w:t>
      </w:r>
      <w:r w:rsidR="00EF76EA">
        <w:rPr>
          <w:rFonts w:ascii="Bookman Old Style" w:hAnsi="Bookman Old Style"/>
        </w:rPr>
        <w:t>de</w:t>
      </w:r>
      <w:r w:rsidR="00E24657">
        <w:rPr>
          <w:rFonts w:ascii="Bookman Old Style" w:hAnsi="Bookman Old Style"/>
        </w:rPr>
        <w:t xml:space="preserve"> los recursos provenientes de</w:t>
      </w:r>
      <w:r w:rsidR="00EF76EA">
        <w:rPr>
          <w:rFonts w:ascii="Bookman Old Style" w:hAnsi="Bookman Old Style"/>
        </w:rPr>
        <w:t xml:space="preserve">l </w:t>
      </w:r>
      <w:r w:rsidR="00EF76EA" w:rsidRPr="007B4E66">
        <w:rPr>
          <w:rFonts w:ascii="Bookman Old Style" w:hAnsi="Bookman Old Style"/>
        </w:rPr>
        <w:t>FOES</w:t>
      </w:r>
      <w:r w:rsidR="00E24657">
        <w:rPr>
          <w:rFonts w:ascii="Bookman Old Style" w:hAnsi="Bookman Old Style"/>
        </w:rPr>
        <w:t>. Los recursos del FOES para Energía Social de la Costa en el año 2012 incluye</w:t>
      </w:r>
      <w:r w:rsidR="007B4E66">
        <w:rPr>
          <w:rFonts w:ascii="Bookman Old Style" w:hAnsi="Bookman Old Style"/>
        </w:rPr>
        <w:t>n</w:t>
      </w:r>
      <w:r w:rsidR="00EF76EA">
        <w:rPr>
          <w:rFonts w:ascii="Bookman Old Style" w:hAnsi="Bookman Old Style"/>
        </w:rPr>
        <w:t xml:space="preserve"> </w:t>
      </w:r>
      <w:r w:rsidR="00E24657" w:rsidRPr="00B967A9">
        <w:rPr>
          <w:rFonts w:ascii="Bookman Old Style" w:hAnsi="Bookman Old Style" w:cs="Arial"/>
        </w:rPr>
        <w:t xml:space="preserve">los giros realizados por el Ministerio de Minas y Energía en cumplimiento de </w:t>
      </w:r>
      <w:r w:rsidR="00E24657">
        <w:rPr>
          <w:rFonts w:ascii="Bookman Old Style" w:hAnsi="Bookman Old Style" w:cs="Arial"/>
        </w:rPr>
        <w:t xml:space="preserve">lo </w:t>
      </w:r>
      <w:r w:rsidR="00E24657" w:rsidRPr="00B967A9">
        <w:rPr>
          <w:rFonts w:ascii="Bookman Old Style" w:hAnsi="Bookman Old Style" w:cs="Arial"/>
        </w:rPr>
        <w:t>ordenado por la Resolución MME 90040 de fecha 28 de enero de 2013</w:t>
      </w:r>
      <w:r w:rsidR="00E24657">
        <w:rPr>
          <w:rFonts w:ascii="Bookman Old Style" w:hAnsi="Bookman Old Style" w:cs="Arial"/>
        </w:rPr>
        <w:t>,</w:t>
      </w:r>
      <w:r w:rsidR="00E24657" w:rsidRPr="00B967A9">
        <w:rPr>
          <w:rFonts w:ascii="Bookman Old Style" w:hAnsi="Bookman Old Style" w:cs="Arial"/>
        </w:rPr>
        <w:t xml:space="preserve"> por un monto de $2.302.764.692, </w:t>
      </w:r>
      <w:r w:rsidR="00E24657">
        <w:rPr>
          <w:rFonts w:ascii="Bookman Old Style" w:hAnsi="Bookman Old Style" w:cs="Arial"/>
        </w:rPr>
        <w:t xml:space="preserve">ya que </w:t>
      </w:r>
      <w:r w:rsidR="00E24657" w:rsidRPr="00B967A9">
        <w:rPr>
          <w:rFonts w:ascii="Bookman Old Style" w:hAnsi="Bookman Old Style" w:cs="Arial"/>
        </w:rPr>
        <w:t xml:space="preserve">corresponden al pago de cartera de los meses de </w:t>
      </w:r>
      <w:r w:rsidR="00E24657" w:rsidRPr="00B967A9">
        <w:rPr>
          <w:rFonts w:ascii="Bookman Old Style" w:hAnsi="Bookman Old Style" w:cs="Arial"/>
        </w:rPr>
        <w:lastRenderedPageBreak/>
        <w:t>octubre y noviembre del año 2012</w:t>
      </w:r>
      <w:r w:rsidR="007B4E66">
        <w:rPr>
          <w:rFonts w:ascii="Bookman Old Style" w:hAnsi="Bookman Old Style" w:cs="Arial"/>
        </w:rPr>
        <w:t xml:space="preserve">. Lo anterior no obstante </w:t>
      </w:r>
      <w:proofErr w:type="gramStart"/>
      <w:r w:rsidR="007B4E66">
        <w:rPr>
          <w:rFonts w:ascii="Bookman Old Style" w:hAnsi="Bookman Old Style" w:cs="Arial"/>
        </w:rPr>
        <w:t>fueron</w:t>
      </w:r>
      <w:proofErr w:type="gramEnd"/>
      <w:r w:rsidR="007B4E66">
        <w:rPr>
          <w:rFonts w:ascii="Bookman Old Style" w:hAnsi="Bookman Old Style" w:cs="Arial"/>
        </w:rPr>
        <w:t xml:space="preserve"> </w:t>
      </w:r>
      <w:r w:rsidR="00E24657" w:rsidRPr="00B967A9">
        <w:rPr>
          <w:rFonts w:ascii="Bookman Old Style" w:hAnsi="Bookman Old Style" w:cs="Arial"/>
        </w:rPr>
        <w:t>desembolsados durante el año 2013.</w:t>
      </w:r>
    </w:p>
    <w:p w:rsidR="00575E62" w:rsidRPr="007B4E66" w:rsidRDefault="00575E62" w:rsidP="00E24657">
      <w:pPr>
        <w:ind w:left="0"/>
        <w:jc w:val="both"/>
        <w:rPr>
          <w:rFonts w:ascii="Bookman Old Style" w:hAnsi="Bookman Old Style"/>
        </w:rPr>
      </w:pPr>
    </w:p>
    <w:p w:rsidR="00E24657" w:rsidRPr="00B967A9" w:rsidRDefault="00E24657" w:rsidP="00E24657">
      <w:pPr>
        <w:ind w:left="0"/>
        <w:jc w:val="both"/>
        <w:rPr>
          <w:rFonts w:ascii="Bookman Old Style" w:hAnsi="Bookman Old Style" w:cs="Arial"/>
        </w:rPr>
      </w:pPr>
      <w:r>
        <w:rPr>
          <w:rFonts w:ascii="Bookman Old Style" w:hAnsi="Bookman Old Style" w:cs="Arial"/>
        </w:rPr>
        <w:t xml:space="preserve">Para cada año se puede presentar la situación </w:t>
      </w:r>
      <w:r w:rsidR="001261B1">
        <w:rPr>
          <w:rFonts w:ascii="Bookman Old Style" w:hAnsi="Bookman Old Style" w:cs="Arial"/>
        </w:rPr>
        <w:t xml:space="preserve">de </w:t>
      </w:r>
      <w:r>
        <w:rPr>
          <w:rFonts w:ascii="Bookman Old Style" w:hAnsi="Bookman Old Style" w:cs="Arial"/>
        </w:rPr>
        <w:t>que</w:t>
      </w:r>
      <w:r w:rsidR="001261B1">
        <w:rPr>
          <w:rFonts w:ascii="Bookman Old Style" w:hAnsi="Bookman Old Style" w:cs="Arial"/>
        </w:rPr>
        <w:t>,</w:t>
      </w:r>
      <w:r>
        <w:rPr>
          <w:rFonts w:ascii="Bookman Old Style" w:hAnsi="Bookman Old Style" w:cs="Arial"/>
        </w:rPr>
        <w:t xml:space="preserve"> una vez la Comisión aprueba</w:t>
      </w:r>
      <w:r w:rsidRPr="00E24657">
        <w:rPr>
          <w:rFonts w:ascii="Bookman Old Style" w:hAnsi="Bookman Old Style" w:cs="Arial"/>
        </w:rPr>
        <w:t xml:space="preserve"> el factor de riesgo de cartera y el cargo de comercialización aplicables al conjunto de barrios subnormales atendidos por la empresa Energía Social de La Costa S.A. E.S.P.</w:t>
      </w:r>
      <w:r>
        <w:rPr>
          <w:rFonts w:ascii="Bookman Old Style" w:hAnsi="Bookman Old Style" w:cs="Arial"/>
        </w:rPr>
        <w:t xml:space="preserve">, el </w:t>
      </w:r>
      <w:r w:rsidRPr="00AD6545">
        <w:rPr>
          <w:rFonts w:ascii="Bookman Old Style" w:hAnsi="Bookman Old Style" w:cs="Arial"/>
        </w:rPr>
        <w:t xml:space="preserve">Ministerio de Minas y Energía </w:t>
      </w:r>
      <w:r>
        <w:rPr>
          <w:rFonts w:ascii="Bookman Old Style" w:hAnsi="Bookman Old Style" w:cs="Arial"/>
        </w:rPr>
        <w:t>gire</w:t>
      </w:r>
      <w:r w:rsidRPr="00AD6545">
        <w:rPr>
          <w:rFonts w:ascii="Bookman Old Style" w:hAnsi="Bookman Old Style" w:cs="Arial"/>
        </w:rPr>
        <w:t xml:space="preserve"> recursos provenientes del FOES para el pago de cartera </w:t>
      </w:r>
      <w:r w:rsidR="001261B1">
        <w:rPr>
          <w:rFonts w:ascii="Bookman Old Style" w:hAnsi="Bookman Old Style" w:cs="Arial"/>
        </w:rPr>
        <w:t>del año interior</w:t>
      </w:r>
      <w:r w:rsidRPr="00BC5262">
        <w:rPr>
          <w:rFonts w:ascii="Bookman Old Style" w:hAnsi="Bookman Old Style" w:cs="Arial"/>
        </w:rPr>
        <w:t xml:space="preserve">, lo que implica que la empresa </w:t>
      </w:r>
      <w:r>
        <w:rPr>
          <w:rFonts w:ascii="Bookman Old Style" w:hAnsi="Bookman Old Style" w:cs="Arial"/>
        </w:rPr>
        <w:t xml:space="preserve">obtiene </w:t>
      </w:r>
      <w:r w:rsidRPr="00B967A9">
        <w:rPr>
          <w:rFonts w:ascii="Bookman Old Style" w:hAnsi="Bookman Old Style" w:cs="Arial"/>
        </w:rPr>
        <w:t xml:space="preserve">para esos años mayores niveles de recaudo respecto a los utilizados para aprobar los cargos de comercialización y los factores de riesgo de cartera. De acuerdo con lo anterior es evidente que en algunos casos la empresa se enfrenta a un menor riesgo de cartera </w:t>
      </w:r>
      <w:r w:rsidR="001261B1">
        <w:rPr>
          <w:rFonts w:ascii="Bookman Old Style" w:hAnsi="Bookman Old Style" w:cs="Arial"/>
        </w:rPr>
        <w:t>respecto del reconocido en las r</w:t>
      </w:r>
      <w:r w:rsidRPr="00B967A9">
        <w:rPr>
          <w:rFonts w:ascii="Bookman Old Style" w:hAnsi="Bookman Old Style" w:cs="Arial"/>
        </w:rPr>
        <w:t>esoluciones CREG 101 de 2006 y 096 de 2011.</w:t>
      </w:r>
    </w:p>
    <w:p w:rsidR="00493D27" w:rsidRDefault="00493D27" w:rsidP="00631A51">
      <w:pPr>
        <w:ind w:left="0"/>
        <w:jc w:val="both"/>
        <w:rPr>
          <w:rFonts w:ascii="Bookman Old Style" w:hAnsi="Bookman Old Style"/>
        </w:rPr>
      </w:pPr>
    </w:p>
    <w:p w:rsidR="00356461" w:rsidRPr="00B967A9" w:rsidRDefault="00356461" w:rsidP="00356461">
      <w:pPr>
        <w:ind w:left="0"/>
        <w:jc w:val="both"/>
        <w:rPr>
          <w:rFonts w:ascii="Bookman Old Style" w:hAnsi="Bookman Old Style" w:cs="Arial"/>
        </w:rPr>
      </w:pPr>
      <w:r w:rsidRPr="00B967A9">
        <w:rPr>
          <w:rFonts w:ascii="Bookman Old Style" w:hAnsi="Bookman Old Style" w:cs="Arial"/>
        </w:rPr>
        <w:t xml:space="preserve">En consecuencia, </w:t>
      </w:r>
      <w:r>
        <w:rPr>
          <w:rFonts w:ascii="Bookman Old Style" w:hAnsi="Bookman Old Style" w:cs="Arial"/>
        </w:rPr>
        <w:t>p</w:t>
      </w:r>
      <w:r>
        <w:rPr>
          <w:rFonts w:ascii="Bookman Old Style" w:hAnsi="Bookman Old Style"/>
        </w:rPr>
        <w:t xml:space="preserve">ara la correcta aplicación de la metodología establecida en las </w:t>
      </w:r>
      <w:r w:rsidR="001261B1">
        <w:rPr>
          <w:rFonts w:ascii="Bookman Old Style" w:hAnsi="Bookman Old Style" w:cs="Arial"/>
        </w:rPr>
        <w:t>r</w:t>
      </w:r>
      <w:r w:rsidRPr="00B967A9">
        <w:rPr>
          <w:rFonts w:ascii="Bookman Old Style" w:hAnsi="Bookman Old Style" w:cs="Arial"/>
        </w:rPr>
        <w:t>esoluciones CREG 101 de 2006 y 096 de 2011</w:t>
      </w:r>
      <w:r>
        <w:rPr>
          <w:rFonts w:ascii="Bookman Old Style" w:hAnsi="Bookman Old Style" w:cs="Arial"/>
        </w:rPr>
        <w:t xml:space="preserve"> es </w:t>
      </w:r>
      <w:r w:rsidRPr="00B967A9">
        <w:rPr>
          <w:rFonts w:ascii="Bookman Old Style" w:hAnsi="Bookman Old Style" w:cs="Arial"/>
        </w:rPr>
        <w:t xml:space="preserve">necesario tener en cuenta </w:t>
      </w:r>
      <w:r>
        <w:rPr>
          <w:rFonts w:ascii="Bookman Old Style" w:hAnsi="Bookman Old Style" w:cs="Arial"/>
        </w:rPr>
        <w:t>todos los giros de recursos de FOES para ese año o para años anteriores</w:t>
      </w:r>
      <w:r w:rsidRPr="00B967A9">
        <w:rPr>
          <w:rFonts w:ascii="Bookman Old Style" w:hAnsi="Bookman Old Style" w:cs="Arial"/>
        </w:rPr>
        <w:t xml:space="preserve"> y ajustar el cargo de comercialización y el FRC vigentes de tal manera que se incorporen, dentro del recaudo utilizado para el cálculo de estas variables, </w:t>
      </w:r>
      <w:r>
        <w:rPr>
          <w:rFonts w:ascii="Bookman Old Style" w:hAnsi="Bookman Old Style" w:cs="Arial"/>
        </w:rPr>
        <w:t xml:space="preserve">todos </w:t>
      </w:r>
      <w:r w:rsidRPr="00B967A9">
        <w:rPr>
          <w:rFonts w:ascii="Bookman Old Style" w:hAnsi="Bookman Old Style" w:cs="Arial"/>
        </w:rPr>
        <w:t>los giros realizados por el Ministerio.</w:t>
      </w:r>
    </w:p>
    <w:p w:rsidR="00356461" w:rsidRPr="00B967A9" w:rsidRDefault="00356461" w:rsidP="00356461">
      <w:pPr>
        <w:ind w:left="0"/>
        <w:jc w:val="both"/>
        <w:rPr>
          <w:rFonts w:ascii="Bookman Old Style" w:hAnsi="Bookman Old Style" w:cs="Arial"/>
        </w:rPr>
      </w:pPr>
    </w:p>
    <w:p w:rsidR="003B1A63" w:rsidRPr="00481CE3" w:rsidRDefault="00356461" w:rsidP="00631A51">
      <w:pPr>
        <w:ind w:left="0"/>
        <w:jc w:val="both"/>
        <w:rPr>
          <w:rFonts w:ascii="Bookman Old Style" w:hAnsi="Bookman Old Style"/>
        </w:rPr>
      </w:pPr>
      <w:r>
        <w:rPr>
          <w:rFonts w:ascii="Bookman Old Style" w:hAnsi="Bookman Old Style"/>
        </w:rPr>
        <w:t>Por lo anterior</w:t>
      </w:r>
      <w:r w:rsidR="007B4E66">
        <w:rPr>
          <w:rFonts w:ascii="Bookman Old Style" w:hAnsi="Bookman Old Style"/>
        </w:rPr>
        <w:t>,</w:t>
      </w:r>
      <w:r>
        <w:rPr>
          <w:rFonts w:ascii="Bookman Old Style" w:hAnsi="Bookman Old Style"/>
        </w:rPr>
        <w:t xml:space="preserve"> </w:t>
      </w:r>
      <w:r w:rsidR="007E10BD" w:rsidRPr="00481CE3">
        <w:rPr>
          <w:rFonts w:ascii="Bookman Old Style" w:hAnsi="Bookman Old Style"/>
        </w:rPr>
        <w:t>e</w:t>
      </w:r>
      <w:r w:rsidR="0072545F" w:rsidRPr="00481CE3">
        <w:rPr>
          <w:rFonts w:ascii="Bookman Old Style" w:hAnsi="Bookman Old Style"/>
        </w:rPr>
        <w:t xml:space="preserve">n el artículo 3 de la Resolución CREG 008 de 2013 se </w:t>
      </w:r>
      <w:r>
        <w:rPr>
          <w:rFonts w:ascii="Bookman Old Style" w:hAnsi="Bookman Old Style"/>
        </w:rPr>
        <w:t>adoptó</w:t>
      </w:r>
      <w:r w:rsidRPr="00481CE3">
        <w:rPr>
          <w:rFonts w:ascii="Bookman Old Style" w:hAnsi="Bookman Old Style"/>
        </w:rPr>
        <w:t xml:space="preserve"> </w:t>
      </w:r>
      <w:r w:rsidR="005860AA" w:rsidRPr="00481CE3">
        <w:rPr>
          <w:rFonts w:ascii="Bookman Old Style" w:hAnsi="Bookman Old Style"/>
        </w:rPr>
        <w:t>l</w:t>
      </w:r>
      <w:r>
        <w:rPr>
          <w:rFonts w:ascii="Bookman Old Style" w:hAnsi="Bookman Old Style"/>
        </w:rPr>
        <w:t>a</w:t>
      </w:r>
      <w:r w:rsidR="005860AA" w:rsidRPr="00481CE3">
        <w:rPr>
          <w:rFonts w:ascii="Bookman Old Style" w:hAnsi="Bookman Old Style"/>
        </w:rPr>
        <w:t xml:space="preserve"> siguiente</w:t>
      </w:r>
      <w:r>
        <w:rPr>
          <w:rFonts w:ascii="Bookman Old Style" w:hAnsi="Bookman Old Style"/>
        </w:rPr>
        <w:t xml:space="preserve"> disposición</w:t>
      </w:r>
      <w:r w:rsidR="0072545F" w:rsidRPr="00481CE3">
        <w:rPr>
          <w:rFonts w:ascii="Bookman Old Style" w:hAnsi="Bookman Old Style"/>
        </w:rPr>
        <w:t>:</w:t>
      </w:r>
    </w:p>
    <w:p w:rsidR="0072545F" w:rsidRPr="00481CE3" w:rsidRDefault="0072545F" w:rsidP="00631A51">
      <w:pPr>
        <w:ind w:left="0"/>
        <w:jc w:val="both"/>
        <w:rPr>
          <w:rFonts w:ascii="Bookman Old Style" w:hAnsi="Bookman Old Style"/>
        </w:rPr>
      </w:pPr>
    </w:p>
    <w:p w:rsidR="0072545F" w:rsidRPr="0029290B" w:rsidRDefault="0072545F" w:rsidP="00631A51">
      <w:pPr>
        <w:jc w:val="both"/>
        <w:rPr>
          <w:rFonts w:ascii="Bookman Old Style" w:hAnsi="Bookman Old Style"/>
          <w:i/>
          <w:sz w:val="20"/>
          <w:szCs w:val="20"/>
        </w:rPr>
      </w:pPr>
      <w:r w:rsidRPr="0029290B">
        <w:rPr>
          <w:rFonts w:ascii="Bookman Old Style" w:hAnsi="Bookman Old Style"/>
          <w:i/>
          <w:sz w:val="20"/>
          <w:szCs w:val="20"/>
        </w:rPr>
        <w:t xml:space="preserve">“ARTÍCULO 3. En el evento en que durante la vigencia de la presente Resolución el Ministerio de Minas y Energía le informe a esta Comisión el giro de recursos adicionales del FOES a la empresa Energía Social de La Costa S.A. E.S.P., </w:t>
      </w:r>
      <w:r w:rsidRPr="0029290B">
        <w:rPr>
          <w:rFonts w:ascii="Bookman Old Style" w:hAnsi="Bookman Old Style"/>
          <w:b/>
          <w:i/>
          <w:sz w:val="20"/>
          <w:szCs w:val="20"/>
        </w:rPr>
        <w:t>correspondientes al año 2012</w:t>
      </w:r>
      <w:r w:rsidRPr="0029290B">
        <w:rPr>
          <w:rFonts w:ascii="Bookman Old Style" w:hAnsi="Bookman Old Style"/>
          <w:i/>
          <w:sz w:val="20"/>
          <w:szCs w:val="20"/>
        </w:rPr>
        <w:t>, el factor de riesgo de cartera, FRC, así como el cargo de comercialización, C*, aplicables durante el año 2013, serán actualizados conforme a la metodología establecida en las resoluciones CREG 101 de 2006 y 096 de 2011.”</w:t>
      </w:r>
      <w:r w:rsidR="00A73B4E" w:rsidRPr="0029290B">
        <w:rPr>
          <w:rFonts w:ascii="Bookman Old Style" w:hAnsi="Bookman Old Style"/>
          <w:i/>
          <w:sz w:val="20"/>
          <w:szCs w:val="20"/>
        </w:rPr>
        <w:t xml:space="preserve"> </w:t>
      </w:r>
      <w:r w:rsidR="00A73B4E" w:rsidRPr="0029290B">
        <w:rPr>
          <w:rFonts w:ascii="Bookman Old Style" w:hAnsi="Bookman Old Style"/>
          <w:sz w:val="20"/>
          <w:szCs w:val="20"/>
        </w:rPr>
        <w:t>(En negrita fuera del texto original)</w:t>
      </w:r>
    </w:p>
    <w:p w:rsidR="005860AA" w:rsidRPr="00B967A9" w:rsidRDefault="005860AA" w:rsidP="00631A51">
      <w:pPr>
        <w:ind w:left="0"/>
        <w:jc w:val="both"/>
        <w:rPr>
          <w:rFonts w:ascii="Bookman Old Style" w:hAnsi="Bookman Old Style" w:cs="Arial"/>
        </w:rPr>
      </w:pPr>
    </w:p>
    <w:p w:rsidR="00A73B4E" w:rsidRPr="00B967A9" w:rsidRDefault="00356461" w:rsidP="00631A51">
      <w:pPr>
        <w:ind w:left="0"/>
        <w:jc w:val="both"/>
        <w:rPr>
          <w:rFonts w:ascii="Bookman Old Style" w:hAnsi="Bookman Old Style" w:cs="Arial"/>
        </w:rPr>
      </w:pPr>
      <w:r>
        <w:rPr>
          <w:rFonts w:ascii="Bookman Old Style" w:hAnsi="Bookman Old Style" w:cs="Arial"/>
        </w:rPr>
        <w:t>Por las razones anteriormente expuestas</w:t>
      </w:r>
      <w:r w:rsidR="000E0258" w:rsidRPr="00B967A9">
        <w:rPr>
          <w:rFonts w:ascii="Bookman Old Style" w:hAnsi="Bookman Old Style" w:cs="Arial"/>
        </w:rPr>
        <w:t xml:space="preserve"> se considera necesario </w:t>
      </w:r>
      <w:r w:rsidR="00B174D2" w:rsidRPr="00B967A9">
        <w:rPr>
          <w:rFonts w:ascii="Bookman Old Style" w:hAnsi="Bookman Old Style" w:cs="Arial"/>
        </w:rPr>
        <w:t xml:space="preserve">ajustar </w:t>
      </w:r>
      <w:r w:rsidR="00082937" w:rsidRPr="00B967A9">
        <w:rPr>
          <w:rFonts w:ascii="Bookman Old Style" w:hAnsi="Bookman Old Style" w:cs="Arial"/>
        </w:rPr>
        <w:t>el FRC</w:t>
      </w:r>
      <w:r w:rsidR="000E0258" w:rsidRPr="00B967A9">
        <w:rPr>
          <w:rFonts w:ascii="Bookman Old Style" w:hAnsi="Bookman Old Style" w:cs="Arial"/>
        </w:rPr>
        <w:t xml:space="preserve"> de la empresa</w:t>
      </w:r>
      <w:r w:rsidR="00082937" w:rsidRPr="00B967A9">
        <w:rPr>
          <w:rFonts w:ascii="Bookman Old Style" w:hAnsi="Bookman Old Style" w:cs="Arial"/>
        </w:rPr>
        <w:t>, así como el cargo de comercialización, aplicables durante el año 2013</w:t>
      </w:r>
      <w:r w:rsidR="00B174D2" w:rsidRPr="00B967A9">
        <w:rPr>
          <w:rFonts w:ascii="Bookman Old Style" w:hAnsi="Bookman Old Style" w:cs="Arial"/>
        </w:rPr>
        <w:t>,</w:t>
      </w:r>
      <w:r w:rsidR="00082937" w:rsidRPr="00B967A9">
        <w:rPr>
          <w:rFonts w:ascii="Bookman Old Style" w:hAnsi="Bookman Old Style" w:cs="Arial"/>
        </w:rPr>
        <w:t xml:space="preserve"> para incluir los giros realizados por el Ministerio de Minas y Energía para pagar cartera </w:t>
      </w:r>
      <w:r w:rsidR="00B174D2" w:rsidRPr="00B967A9">
        <w:rPr>
          <w:rFonts w:ascii="Bookman Old Style" w:hAnsi="Bookman Old Style" w:cs="Arial"/>
        </w:rPr>
        <w:t xml:space="preserve">de los usuarios de los barrios subnormales </w:t>
      </w:r>
      <w:r w:rsidR="00082937" w:rsidRPr="00B967A9">
        <w:rPr>
          <w:rFonts w:ascii="Bookman Old Style" w:hAnsi="Bookman Old Style" w:cs="Arial"/>
        </w:rPr>
        <w:t xml:space="preserve">correspondiente al año 2012. </w:t>
      </w:r>
    </w:p>
    <w:p w:rsidR="00A73B4E" w:rsidRPr="00B967A9" w:rsidRDefault="00A73B4E" w:rsidP="00631A51">
      <w:pPr>
        <w:ind w:left="0"/>
        <w:jc w:val="both"/>
        <w:rPr>
          <w:rFonts w:ascii="Bookman Old Style" w:hAnsi="Bookman Old Style" w:cs="Arial"/>
        </w:rPr>
      </w:pPr>
    </w:p>
    <w:p w:rsidR="008D0D4B" w:rsidRPr="00B967A9" w:rsidRDefault="00356461" w:rsidP="00631A51">
      <w:pPr>
        <w:ind w:left="0"/>
        <w:jc w:val="both"/>
        <w:rPr>
          <w:rFonts w:ascii="Bookman Old Style" w:hAnsi="Bookman Old Style"/>
        </w:rPr>
      </w:pPr>
      <w:r>
        <w:rPr>
          <w:rFonts w:ascii="Bookman Old Style" w:hAnsi="Bookman Old Style"/>
        </w:rPr>
        <w:t>Adicionalmente</w:t>
      </w:r>
      <w:r w:rsidR="007B4E66">
        <w:rPr>
          <w:rFonts w:ascii="Bookman Old Style" w:hAnsi="Bookman Old Style"/>
        </w:rPr>
        <w:t>,</w:t>
      </w:r>
      <w:r>
        <w:rPr>
          <w:rFonts w:ascii="Bookman Old Style" w:hAnsi="Bookman Old Style"/>
        </w:rPr>
        <w:t xml:space="preserve"> para el cálculo del porcentaje de recaudo del FOES se utiliza el valor en pesos de las ventas a usuario final</w:t>
      </w:r>
      <w:r w:rsidR="00FE46BD">
        <w:rPr>
          <w:rFonts w:ascii="Bookman Old Style" w:hAnsi="Bookman Old Style"/>
        </w:rPr>
        <w:t>. A</w:t>
      </w:r>
      <w:r>
        <w:rPr>
          <w:rFonts w:ascii="Bookman Old Style" w:hAnsi="Bookman Old Style"/>
        </w:rPr>
        <w:t xml:space="preserve">l respecto la empresa </w:t>
      </w:r>
      <w:r w:rsidR="008D0D4B" w:rsidRPr="00B967A9">
        <w:rPr>
          <w:rFonts w:ascii="Bookman Old Style" w:hAnsi="Bookman Old Style"/>
        </w:rPr>
        <w:t xml:space="preserve">señala que </w:t>
      </w:r>
      <w:r w:rsidR="00995B37">
        <w:rPr>
          <w:rFonts w:ascii="Bookman Old Style" w:hAnsi="Bookman Old Style"/>
        </w:rPr>
        <w:t xml:space="preserve">el valor </w:t>
      </w:r>
      <w:r w:rsidR="00F42DC2">
        <w:rPr>
          <w:rFonts w:ascii="Bookman Old Style" w:hAnsi="Bookman Old Style"/>
        </w:rPr>
        <w:t xml:space="preserve">utilizado </w:t>
      </w:r>
      <w:r w:rsidR="008D0D4B" w:rsidRPr="00B967A9">
        <w:rPr>
          <w:rFonts w:ascii="Bookman Old Style" w:hAnsi="Bookman Old Style"/>
        </w:rPr>
        <w:t xml:space="preserve">por la Comisión es incorrecto y en su lugar se debe utilizar el </w:t>
      </w:r>
      <w:r w:rsidR="00F42DC2">
        <w:rPr>
          <w:rFonts w:ascii="Bookman Old Style" w:hAnsi="Bookman Old Style"/>
        </w:rPr>
        <w:t xml:space="preserve">reportado mediante </w:t>
      </w:r>
      <w:r w:rsidR="008D0D4B" w:rsidRPr="00B967A9">
        <w:rPr>
          <w:rFonts w:ascii="Bookman Old Style" w:hAnsi="Bookman Old Style"/>
        </w:rPr>
        <w:t>la comunicación E</w:t>
      </w:r>
      <w:r w:rsidR="008D0D4B" w:rsidRPr="00B967A9">
        <w:rPr>
          <w:rFonts w:ascii="Bookman Old Style" w:hAnsi="Bookman Old Style"/>
        </w:rPr>
        <w:noBreakHyphen/>
        <w:t>2013</w:t>
      </w:r>
      <w:r w:rsidR="008D0D4B" w:rsidRPr="00B967A9">
        <w:rPr>
          <w:rFonts w:ascii="Bookman Old Style" w:hAnsi="Bookman Old Style"/>
        </w:rPr>
        <w:noBreakHyphen/>
        <w:t>000796</w:t>
      </w:r>
      <w:r w:rsidR="00995B37">
        <w:rPr>
          <w:rFonts w:ascii="Bookman Old Style" w:hAnsi="Bookman Old Style"/>
        </w:rPr>
        <w:t>,</w:t>
      </w:r>
      <w:r w:rsidR="008D0D4B" w:rsidRPr="00B967A9">
        <w:rPr>
          <w:rFonts w:ascii="Bookman Old Style" w:hAnsi="Bookman Old Style"/>
        </w:rPr>
        <w:t xml:space="preserve"> radicada en la Comisión el día 1 de febrero de 2013.</w:t>
      </w:r>
    </w:p>
    <w:p w:rsidR="008D0D4B" w:rsidRPr="00B967A9" w:rsidRDefault="008D0D4B" w:rsidP="00631A51">
      <w:pPr>
        <w:ind w:left="0"/>
        <w:jc w:val="both"/>
        <w:rPr>
          <w:rFonts w:ascii="Bookman Old Style" w:hAnsi="Bookman Old Style"/>
        </w:rPr>
      </w:pPr>
    </w:p>
    <w:p w:rsidR="00F20B67" w:rsidRPr="00B967A9" w:rsidRDefault="00F20B67" w:rsidP="00631A51">
      <w:pPr>
        <w:ind w:left="0"/>
        <w:jc w:val="both"/>
        <w:rPr>
          <w:rFonts w:ascii="Bookman Old Style" w:hAnsi="Bookman Old Style"/>
        </w:rPr>
      </w:pPr>
      <w:r w:rsidRPr="00B967A9">
        <w:rPr>
          <w:rFonts w:ascii="Bookman Old Style" w:hAnsi="Bookman Old Style"/>
        </w:rPr>
        <w:t>La Comisión</w:t>
      </w:r>
      <w:r w:rsidR="00995B37">
        <w:rPr>
          <w:rFonts w:ascii="Bookman Old Style" w:hAnsi="Bookman Old Style"/>
        </w:rPr>
        <w:t>,</w:t>
      </w:r>
      <w:r w:rsidRPr="00B967A9">
        <w:rPr>
          <w:rFonts w:ascii="Bookman Old Style" w:hAnsi="Bookman Old Style"/>
        </w:rPr>
        <w:t xml:space="preserve"> mediante el oficio con radicado S</w:t>
      </w:r>
      <w:r w:rsidRPr="00B967A9">
        <w:rPr>
          <w:rFonts w:ascii="Bookman Old Style" w:hAnsi="Bookman Old Style"/>
        </w:rPr>
        <w:noBreakHyphen/>
        <w:t>2013</w:t>
      </w:r>
      <w:r w:rsidRPr="00B967A9">
        <w:rPr>
          <w:rFonts w:ascii="Bookman Old Style" w:hAnsi="Bookman Old Style"/>
        </w:rPr>
        <w:noBreakHyphen/>
        <w:t>001593</w:t>
      </w:r>
      <w:r w:rsidR="00995B37">
        <w:rPr>
          <w:rFonts w:ascii="Bookman Old Style" w:hAnsi="Bookman Old Style"/>
        </w:rPr>
        <w:t>,</w:t>
      </w:r>
      <w:r w:rsidRPr="00B967A9">
        <w:rPr>
          <w:rFonts w:ascii="Bookman Old Style" w:hAnsi="Bookman Old Style"/>
        </w:rPr>
        <w:t xml:space="preserve"> solicitó aclaración </w:t>
      </w:r>
      <w:r w:rsidR="00995B37">
        <w:rPr>
          <w:rFonts w:ascii="Bookman Old Style" w:hAnsi="Bookman Old Style"/>
        </w:rPr>
        <w:t>de</w:t>
      </w:r>
      <w:r w:rsidRPr="00B967A9">
        <w:rPr>
          <w:rFonts w:ascii="Bookman Old Style" w:hAnsi="Bookman Old Style"/>
        </w:rPr>
        <w:t xml:space="preserve"> las ventas reportadas por la empresa mediante las comunicaciones </w:t>
      </w:r>
      <w:r w:rsidR="00995B37" w:rsidRPr="00B967A9">
        <w:rPr>
          <w:rFonts w:ascii="Bookman Old Style" w:hAnsi="Bookman Old Style"/>
        </w:rPr>
        <w:t>E</w:t>
      </w:r>
      <w:r w:rsidR="00995B37" w:rsidRPr="00B967A9">
        <w:rPr>
          <w:rFonts w:ascii="Bookman Old Style" w:hAnsi="Bookman Old Style"/>
        </w:rPr>
        <w:noBreakHyphen/>
        <w:t>2013</w:t>
      </w:r>
      <w:r w:rsidR="00995B37" w:rsidRPr="00B967A9">
        <w:rPr>
          <w:rFonts w:ascii="Bookman Old Style" w:hAnsi="Bookman Old Style"/>
        </w:rPr>
        <w:noBreakHyphen/>
        <w:t>000372</w:t>
      </w:r>
      <w:r w:rsidR="00995B37">
        <w:rPr>
          <w:rFonts w:ascii="Bookman Old Style" w:hAnsi="Bookman Old Style"/>
        </w:rPr>
        <w:t>,</w:t>
      </w:r>
      <w:r w:rsidR="00995B37" w:rsidRPr="00B967A9">
        <w:rPr>
          <w:rFonts w:ascii="Bookman Old Style" w:hAnsi="Bookman Old Style"/>
        </w:rPr>
        <w:t xml:space="preserve"> radicada el día 18 de enero de 2013</w:t>
      </w:r>
      <w:r w:rsidR="00995B37">
        <w:rPr>
          <w:rFonts w:ascii="Bookman Old Style" w:hAnsi="Bookman Old Style"/>
        </w:rPr>
        <w:t xml:space="preserve">, y </w:t>
      </w:r>
      <w:r w:rsidR="00995B37" w:rsidRPr="00B967A9">
        <w:rPr>
          <w:rFonts w:ascii="Bookman Old Style" w:hAnsi="Bookman Old Style"/>
        </w:rPr>
        <w:t>E</w:t>
      </w:r>
      <w:r w:rsidR="00995B37" w:rsidRPr="00B967A9">
        <w:rPr>
          <w:rFonts w:ascii="Bookman Old Style" w:hAnsi="Bookman Old Style"/>
        </w:rPr>
        <w:noBreakHyphen/>
        <w:t>2013</w:t>
      </w:r>
      <w:r w:rsidR="00995B37" w:rsidRPr="00B967A9">
        <w:rPr>
          <w:rFonts w:ascii="Bookman Old Style" w:hAnsi="Bookman Old Style"/>
        </w:rPr>
        <w:noBreakHyphen/>
        <w:t>000796</w:t>
      </w:r>
      <w:r w:rsidR="00995B37">
        <w:rPr>
          <w:rFonts w:ascii="Bookman Old Style" w:hAnsi="Bookman Old Style"/>
        </w:rPr>
        <w:t>,</w:t>
      </w:r>
      <w:r w:rsidR="00995B37" w:rsidRPr="00B967A9">
        <w:rPr>
          <w:rFonts w:ascii="Bookman Old Style" w:hAnsi="Bookman Old Style"/>
        </w:rPr>
        <w:t xml:space="preserve"> radicada el día 1 de febrero de 2013</w:t>
      </w:r>
      <w:r w:rsidRPr="00B967A9">
        <w:rPr>
          <w:rFonts w:ascii="Bookman Old Style" w:hAnsi="Bookman Old Style"/>
        </w:rPr>
        <w:t>. La empresa respondió el día 9 de mayo de 2013 mediante la comunicación con radicado E-2013-004032</w:t>
      </w:r>
      <w:r w:rsidR="00995B37">
        <w:rPr>
          <w:rFonts w:ascii="Bookman Old Style" w:hAnsi="Bookman Old Style"/>
        </w:rPr>
        <w:t>,</w:t>
      </w:r>
      <w:r w:rsidRPr="00B967A9">
        <w:rPr>
          <w:rFonts w:ascii="Bookman Old Style" w:hAnsi="Bookman Old Style"/>
        </w:rPr>
        <w:t xml:space="preserve"> </w:t>
      </w:r>
      <w:r w:rsidR="00995B37">
        <w:rPr>
          <w:rFonts w:ascii="Bookman Old Style" w:hAnsi="Bookman Old Style"/>
        </w:rPr>
        <w:t>sosteniéndose</w:t>
      </w:r>
      <w:r w:rsidRPr="00B967A9">
        <w:rPr>
          <w:rFonts w:ascii="Bookman Old Style" w:hAnsi="Bookman Old Style"/>
        </w:rPr>
        <w:t xml:space="preserve"> en que las ventas del año 2013 corresponden a las enviadas mediante la comunicación del día 1 de febrero de 2013. Al comparar </w:t>
      </w:r>
      <w:r w:rsidR="00995B37">
        <w:rPr>
          <w:rFonts w:ascii="Bookman Old Style" w:hAnsi="Bookman Old Style"/>
        </w:rPr>
        <w:t xml:space="preserve">la energía </w:t>
      </w:r>
      <w:r w:rsidRPr="00B967A9">
        <w:rPr>
          <w:rFonts w:ascii="Bookman Old Style" w:hAnsi="Bookman Old Style"/>
        </w:rPr>
        <w:t>utilizad</w:t>
      </w:r>
      <w:r w:rsidR="00995B37">
        <w:rPr>
          <w:rFonts w:ascii="Bookman Old Style" w:hAnsi="Bookman Old Style"/>
        </w:rPr>
        <w:t>a</w:t>
      </w:r>
      <w:r w:rsidRPr="00B967A9">
        <w:rPr>
          <w:rFonts w:ascii="Bookman Old Style" w:hAnsi="Bookman Old Style"/>
        </w:rPr>
        <w:t xml:space="preserve"> por </w:t>
      </w:r>
      <w:r w:rsidR="006A4F1A" w:rsidRPr="00B967A9">
        <w:rPr>
          <w:rFonts w:ascii="Bookman Old Style" w:hAnsi="Bookman Old Style"/>
        </w:rPr>
        <w:t xml:space="preserve">Energía Social </w:t>
      </w:r>
      <w:r w:rsidRPr="00B967A9">
        <w:rPr>
          <w:rFonts w:ascii="Bookman Old Style" w:hAnsi="Bookman Old Style"/>
        </w:rPr>
        <w:t xml:space="preserve">para calcular las ventas del año 2012 </w:t>
      </w:r>
      <w:r w:rsidR="006A4F1A">
        <w:rPr>
          <w:rFonts w:ascii="Bookman Old Style" w:hAnsi="Bookman Old Style"/>
        </w:rPr>
        <w:t>con la energía reportada</w:t>
      </w:r>
      <w:r w:rsidR="006A4F1A" w:rsidRPr="00B967A9">
        <w:rPr>
          <w:rFonts w:ascii="Bookman Old Style" w:hAnsi="Bookman Old Style"/>
        </w:rPr>
        <w:t xml:space="preserve"> </w:t>
      </w:r>
      <w:r w:rsidR="006A4F1A">
        <w:rPr>
          <w:rFonts w:ascii="Bookman Old Style" w:hAnsi="Bookman Old Style"/>
        </w:rPr>
        <w:t xml:space="preserve">por la misma empresa </w:t>
      </w:r>
      <w:r w:rsidR="006A4F1A" w:rsidRPr="00B967A9">
        <w:rPr>
          <w:rFonts w:ascii="Bookman Old Style" w:hAnsi="Bookman Old Style"/>
        </w:rPr>
        <w:t xml:space="preserve">al ASIC </w:t>
      </w:r>
      <w:r w:rsidRPr="00B967A9">
        <w:rPr>
          <w:rFonts w:ascii="Bookman Old Style" w:hAnsi="Bookman Old Style"/>
        </w:rPr>
        <w:t xml:space="preserve">se encuentra que estos </w:t>
      </w:r>
      <w:r w:rsidRPr="00B967A9">
        <w:rPr>
          <w:rFonts w:ascii="Bookman Old Style" w:hAnsi="Bookman Old Style"/>
        </w:rPr>
        <w:lastRenderedPageBreak/>
        <w:t xml:space="preserve">difieren en 37.918.425,53 </w:t>
      </w:r>
      <w:proofErr w:type="spellStart"/>
      <w:r w:rsidRPr="00B967A9">
        <w:rPr>
          <w:rFonts w:ascii="Bookman Old Style" w:hAnsi="Bookman Old Style"/>
        </w:rPr>
        <w:t>kWh</w:t>
      </w:r>
      <w:proofErr w:type="spellEnd"/>
      <w:r w:rsidR="00E04412">
        <w:rPr>
          <w:rFonts w:ascii="Bookman Old Style" w:hAnsi="Bookman Old Style"/>
        </w:rPr>
        <w:t xml:space="preserve">. Este valor es </w:t>
      </w:r>
      <w:r w:rsidRPr="00B967A9">
        <w:rPr>
          <w:rFonts w:ascii="Bookman Old Style" w:hAnsi="Bookman Old Style"/>
        </w:rPr>
        <w:t>cercan</w:t>
      </w:r>
      <w:r w:rsidR="00E04412">
        <w:rPr>
          <w:rFonts w:ascii="Bookman Old Style" w:hAnsi="Bookman Old Style"/>
        </w:rPr>
        <w:t>o</w:t>
      </w:r>
      <w:r w:rsidRPr="00B967A9">
        <w:rPr>
          <w:rFonts w:ascii="Bookman Old Style" w:hAnsi="Bookman Old Style"/>
        </w:rPr>
        <w:t xml:space="preserve"> al</w:t>
      </w:r>
      <w:r w:rsidR="00E04412">
        <w:rPr>
          <w:rFonts w:ascii="Bookman Old Style" w:hAnsi="Bookman Old Style"/>
        </w:rPr>
        <w:t xml:space="preserve"> </w:t>
      </w:r>
      <w:r w:rsidRPr="00B967A9">
        <w:rPr>
          <w:rFonts w:ascii="Bookman Old Style" w:hAnsi="Bookman Old Style"/>
        </w:rPr>
        <w:t xml:space="preserve">que </w:t>
      </w:r>
      <w:r w:rsidR="00E04412">
        <w:rPr>
          <w:rFonts w:ascii="Bookman Old Style" w:hAnsi="Bookman Old Style"/>
        </w:rPr>
        <w:t xml:space="preserve">la empresa </w:t>
      </w:r>
      <w:r w:rsidRPr="00B967A9">
        <w:rPr>
          <w:rFonts w:ascii="Bookman Old Style" w:hAnsi="Bookman Old Style"/>
        </w:rPr>
        <w:t xml:space="preserve">manifiesta corresponde a las conciliaciones por energía con </w:t>
      </w:r>
      <w:proofErr w:type="spellStart"/>
      <w:r w:rsidRPr="00B967A9">
        <w:rPr>
          <w:rFonts w:ascii="Bookman Old Style" w:hAnsi="Bookman Old Style"/>
        </w:rPr>
        <w:t>Electricaribe</w:t>
      </w:r>
      <w:proofErr w:type="spellEnd"/>
      <w:r w:rsidRPr="00B967A9">
        <w:rPr>
          <w:rFonts w:ascii="Bookman Old Style" w:hAnsi="Bookman Old Style"/>
        </w:rPr>
        <w:t>.</w:t>
      </w:r>
    </w:p>
    <w:p w:rsidR="00F20B67" w:rsidRPr="00B967A9" w:rsidRDefault="00F20B67" w:rsidP="00631A51">
      <w:pPr>
        <w:ind w:left="0"/>
        <w:jc w:val="both"/>
        <w:rPr>
          <w:rFonts w:ascii="Bookman Old Style" w:hAnsi="Bookman Old Style"/>
        </w:rPr>
      </w:pPr>
    </w:p>
    <w:p w:rsidR="00F20B67" w:rsidRPr="00B967A9" w:rsidRDefault="00F20B67" w:rsidP="00631A51">
      <w:pPr>
        <w:ind w:left="0"/>
        <w:jc w:val="both"/>
        <w:rPr>
          <w:rFonts w:ascii="Bookman Old Style" w:hAnsi="Bookman Old Style"/>
        </w:rPr>
      </w:pPr>
      <w:r w:rsidRPr="00B967A9">
        <w:rPr>
          <w:rFonts w:ascii="Bookman Old Style" w:hAnsi="Bookman Old Style"/>
        </w:rPr>
        <w:t xml:space="preserve">Al estimar </w:t>
      </w:r>
      <w:r w:rsidR="00F42DC2">
        <w:rPr>
          <w:rFonts w:ascii="Bookman Old Style" w:hAnsi="Bookman Old Style"/>
        </w:rPr>
        <w:t xml:space="preserve">el valor en pesos de </w:t>
      </w:r>
      <w:r w:rsidRPr="00B967A9">
        <w:rPr>
          <w:rFonts w:ascii="Bookman Old Style" w:hAnsi="Bookman Old Style"/>
        </w:rPr>
        <w:t xml:space="preserve">las ventas para el año 2012 con la energía registrada en el ASIC y las tarifas publicadas por la empresa en cumplimiento del artículo 125 de la Ley 142 de 1994 se encuentra que </w:t>
      </w:r>
      <w:r w:rsidR="00F42DC2">
        <w:rPr>
          <w:rFonts w:ascii="Bookman Old Style" w:hAnsi="Bookman Old Style"/>
        </w:rPr>
        <w:t xml:space="preserve">el valor de </w:t>
      </w:r>
      <w:r w:rsidRPr="00B967A9">
        <w:rPr>
          <w:rFonts w:ascii="Bookman Old Style" w:hAnsi="Bookman Old Style"/>
        </w:rPr>
        <w:t xml:space="preserve">las ventas </w:t>
      </w:r>
      <w:r w:rsidR="00F42DC2">
        <w:rPr>
          <w:rFonts w:ascii="Bookman Old Style" w:hAnsi="Bookman Old Style"/>
        </w:rPr>
        <w:t>es inferior</w:t>
      </w:r>
      <w:r w:rsidRPr="00B967A9">
        <w:rPr>
          <w:rFonts w:ascii="Bookman Old Style" w:hAnsi="Bookman Old Style"/>
        </w:rPr>
        <w:t xml:space="preserve"> a lo declarado por la empresa en la comunicación E</w:t>
      </w:r>
      <w:r w:rsidRPr="00B967A9">
        <w:rPr>
          <w:rFonts w:ascii="Bookman Old Style" w:hAnsi="Bookman Old Style"/>
        </w:rPr>
        <w:noBreakHyphen/>
        <w:t>2013</w:t>
      </w:r>
      <w:r w:rsidRPr="00B967A9">
        <w:rPr>
          <w:rFonts w:ascii="Bookman Old Style" w:hAnsi="Bookman Old Style"/>
        </w:rPr>
        <w:noBreakHyphen/>
        <w:t>000372</w:t>
      </w:r>
      <w:r w:rsidR="00E04412">
        <w:rPr>
          <w:rFonts w:ascii="Bookman Old Style" w:hAnsi="Bookman Old Style"/>
        </w:rPr>
        <w:t>,</w:t>
      </w:r>
      <w:r w:rsidRPr="00B967A9">
        <w:rPr>
          <w:rFonts w:ascii="Bookman Old Style" w:hAnsi="Bookman Old Style"/>
        </w:rPr>
        <w:t xml:space="preserve"> radicada el día 18 de enero de 2013, y </w:t>
      </w:r>
      <w:r w:rsidR="00E04412">
        <w:rPr>
          <w:rFonts w:ascii="Bookman Old Style" w:hAnsi="Bookman Old Style"/>
        </w:rPr>
        <w:t xml:space="preserve">en </w:t>
      </w:r>
      <w:r w:rsidRPr="00B967A9">
        <w:rPr>
          <w:rFonts w:ascii="Bookman Old Style" w:hAnsi="Bookman Old Style"/>
        </w:rPr>
        <w:t>la comunicación E</w:t>
      </w:r>
      <w:r w:rsidRPr="00B967A9">
        <w:rPr>
          <w:rFonts w:ascii="Bookman Old Style" w:hAnsi="Bookman Old Style"/>
        </w:rPr>
        <w:noBreakHyphen/>
        <w:t>2013</w:t>
      </w:r>
      <w:r w:rsidRPr="00B967A9">
        <w:rPr>
          <w:rFonts w:ascii="Bookman Old Style" w:hAnsi="Bookman Old Style"/>
        </w:rPr>
        <w:noBreakHyphen/>
        <w:t>000796</w:t>
      </w:r>
      <w:r w:rsidR="00E04412">
        <w:rPr>
          <w:rFonts w:ascii="Bookman Old Style" w:hAnsi="Bookman Old Style"/>
        </w:rPr>
        <w:t>,</w:t>
      </w:r>
      <w:r w:rsidRPr="00B967A9">
        <w:rPr>
          <w:rFonts w:ascii="Bookman Old Style" w:hAnsi="Bookman Old Style"/>
        </w:rPr>
        <w:t xml:space="preserve"> radicada en la Comisión el día 1 de febrero de 2013.</w:t>
      </w:r>
      <w:r w:rsidR="00F42DC2">
        <w:rPr>
          <w:rFonts w:ascii="Bookman Old Style" w:hAnsi="Bookman Old Style"/>
        </w:rPr>
        <w:t xml:space="preserve"> Es decir que el valor en pesos de las ventas reportad</w:t>
      </w:r>
      <w:r w:rsidR="00BE162C">
        <w:rPr>
          <w:rFonts w:ascii="Bookman Old Style" w:hAnsi="Bookman Old Style"/>
        </w:rPr>
        <w:t>o</w:t>
      </w:r>
      <w:r w:rsidR="00F42DC2">
        <w:rPr>
          <w:rFonts w:ascii="Bookman Old Style" w:hAnsi="Bookman Old Style"/>
        </w:rPr>
        <w:t xml:space="preserve"> por Energía Social de la Costa es superior al valor en pesos de las ventas de energía reportada</w:t>
      </w:r>
      <w:r w:rsidR="00BE162C">
        <w:rPr>
          <w:rFonts w:ascii="Bookman Old Style" w:hAnsi="Bookman Old Style"/>
        </w:rPr>
        <w:t>s</w:t>
      </w:r>
      <w:r w:rsidR="00F42DC2">
        <w:rPr>
          <w:rFonts w:ascii="Bookman Old Style" w:hAnsi="Bookman Old Style"/>
        </w:rPr>
        <w:t xml:space="preserve"> al ASIC y por lo tanto no debe ser corregido como se solicita en el recurso. </w:t>
      </w:r>
    </w:p>
    <w:p w:rsidR="008D0D4B" w:rsidRPr="00B967A9" w:rsidRDefault="008D0D4B" w:rsidP="00631A51">
      <w:pPr>
        <w:ind w:left="0"/>
        <w:jc w:val="both"/>
        <w:rPr>
          <w:rFonts w:ascii="Bookman Old Style" w:hAnsi="Bookman Old Style"/>
        </w:rPr>
      </w:pPr>
    </w:p>
    <w:p w:rsidR="007F2B09" w:rsidRPr="00B967A9" w:rsidRDefault="008D0D4B" w:rsidP="00631A51">
      <w:pPr>
        <w:ind w:left="0"/>
        <w:jc w:val="both"/>
        <w:rPr>
          <w:rFonts w:ascii="Bookman Old Style" w:hAnsi="Bookman Old Style" w:cs="Arial"/>
        </w:rPr>
      </w:pPr>
      <w:r w:rsidRPr="00B967A9">
        <w:rPr>
          <w:rFonts w:ascii="Bookman Old Style" w:hAnsi="Bookman Old Style" w:cs="Arial"/>
        </w:rPr>
        <w:t xml:space="preserve">Con base en lo anterior no se </w:t>
      </w:r>
      <w:r w:rsidR="007F2B09" w:rsidRPr="00B967A9">
        <w:rPr>
          <w:rFonts w:ascii="Bookman Old Style" w:hAnsi="Bookman Old Style" w:cs="Arial"/>
        </w:rPr>
        <w:t xml:space="preserve">encuentra procedente </w:t>
      </w:r>
      <w:r w:rsidRPr="00B967A9">
        <w:rPr>
          <w:rFonts w:ascii="Bookman Old Style" w:hAnsi="Bookman Old Style" w:cs="Arial"/>
        </w:rPr>
        <w:t xml:space="preserve">la solicitud realizada por Energía Social de la Costa </w:t>
      </w:r>
      <w:r w:rsidR="00E04412" w:rsidRPr="00B967A9">
        <w:rPr>
          <w:rFonts w:ascii="Bookman Old Style" w:hAnsi="Bookman Old Style"/>
        </w:rPr>
        <w:t>S.A. E.S.P.</w:t>
      </w:r>
      <w:r w:rsidR="00E04412">
        <w:rPr>
          <w:rFonts w:ascii="Bookman Old Style" w:hAnsi="Bookman Old Style"/>
        </w:rPr>
        <w:t xml:space="preserve"> </w:t>
      </w:r>
      <w:r w:rsidRPr="00B967A9">
        <w:rPr>
          <w:rFonts w:ascii="Bookman Old Style" w:hAnsi="Bookman Old Style" w:cs="Arial"/>
        </w:rPr>
        <w:t xml:space="preserve">para modificar el porcentaje de recaudo de </w:t>
      </w:r>
      <w:r w:rsidR="00E04412">
        <w:rPr>
          <w:rFonts w:ascii="Bookman Old Style" w:hAnsi="Bookman Old Style" w:cs="Arial"/>
        </w:rPr>
        <w:t xml:space="preserve">recursos del </w:t>
      </w:r>
      <w:r w:rsidRPr="00B967A9">
        <w:rPr>
          <w:rFonts w:ascii="Bookman Old Style" w:hAnsi="Bookman Old Style" w:cs="Arial"/>
        </w:rPr>
        <w:t>FOES</w:t>
      </w:r>
      <w:r w:rsidR="00FE46BD">
        <w:rPr>
          <w:rFonts w:ascii="Bookman Old Style" w:hAnsi="Bookman Old Style" w:cs="Arial"/>
        </w:rPr>
        <w:t>,</w:t>
      </w:r>
      <w:r w:rsidRPr="00B967A9">
        <w:rPr>
          <w:rFonts w:ascii="Bookman Old Style" w:hAnsi="Bookman Old Style" w:cs="Arial"/>
        </w:rPr>
        <w:t xml:space="preserve"> </w:t>
      </w:r>
      <w:r w:rsidR="007F2B09" w:rsidRPr="00B967A9">
        <w:rPr>
          <w:rFonts w:ascii="Bookman Old Style" w:hAnsi="Bookman Old Style" w:cs="Arial"/>
        </w:rPr>
        <w:t xml:space="preserve">toda vez que no existe un error en el valor del porcentaje de recaudo utilizado por la Comisión, sino que el recurrente no está tomando el valor real después de contabilizar los giros del Ministerio de Minas y Energía aplicables a la cartera del año 2012. </w:t>
      </w:r>
      <w:r w:rsidR="00BE162C">
        <w:rPr>
          <w:rFonts w:ascii="Bookman Old Style" w:hAnsi="Bookman Old Style" w:cs="Arial"/>
        </w:rPr>
        <w:t>Adicionalmente, en el caso del valor en pesos de las ventas</w:t>
      </w:r>
      <w:r w:rsidR="00C8620B">
        <w:rPr>
          <w:rFonts w:ascii="Bookman Old Style" w:hAnsi="Bookman Old Style" w:cs="Arial"/>
        </w:rPr>
        <w:t>,</w:t>
      </w:r>
      <w:r w:rsidR="00BE162C">
        <w:rPr>
          <w:rFonts w:ascii="Bookman Old Style" w:hAnsi="Bookman Old Style" w:cs="Arial"/>
        </w:rPr>
        <w:t xml:space="preserve"> utilizado para calcular el porcentaje de recaudo</w:t>
      </w:r>
      <w:r w:rsidR="00C8620B">
        <w:rPr>
          <w:rFonts w:ascii="Bookman Old Style" w:hAnsi="Bookman Old Style" w:cs="Arial"/>
        </w:rPr>
        <w:t>,</w:t>
      </w:r>
      <w:r w:rsidR="00BE162C">
        <w:rPr>
          <w:rFonts w:ascii="Bookman Old Style" w:hAnsi="Bookman Old Style" w:cs="Arial"/>
        </w:rPr>
        <w:t xml:space="preserve"> se </w:t>
      </w:r>
      <w:r w:rsidR="00C8620B">
        <w:rPr>
          <w:rFonts w:ascii="Bookman Old Style" w:hAnsi="Bookman Old Style" w:cs="Arial"/>
        </w:rPr>
        <w:t>hizo uso d</w:t>
      </w:r>
      <w:r w:rsidR="00BE162C">
        <w:rPr>
          <w:rFonts w:ascii="Bookman Old Style" w:hAnsi="Bookman Old Style" w:cs="Arial"/>
        </w:rPr>
        <w:t>el correspondiente a la</w:t>
      </w:r>
      <w:r w:rsidR="00907601">
        <w:rPr>
          <w:rFonts w:ascii="Bookman Old Style" w:hAnsi="Bookman Old Style" w:cs="Arial"/>
        </w:rPr>
        <w:t xml:space="preserve">s ventas de la </w:t>
      </w:r>
      <w:r w:rsidR="00BE162C">
        <w:rPr>
          <w:rFonts w:ascii="Bookman Old Style" w:hAnsi="Bookman Old Style" w:cs="Arial"/>
        </w:rPr>
        <w:t xml:space="preserve">energía liquidada en el ASIC. </w:t>
      </w:r>
    </w:p>
    <w:p w:rsidR="007F2B09" w:rsidRPr="00B967A9" w:rsidRDefault="007F2B09" w:rsidP="00631A51">
      <w:pPr>
        <w:ind w:left="0"/>
        <w:jc w:val="both"/>
        <w:rPr>
          <w:rFonts w:ascii="Bookman Old Style" w:hAnsi="Bookman Old Style" w:cs="Arial"/>
        </w:rPr>
      </w:pPr>
    </w:p>
    <w:p w:rsidR="008D0D4B" w:rsidRPr="00B967A9" w:rsidRDefault="008D0D4B" w:rsidP="00631A51">
      <w:pPr>
        <w:ind w:left="0"/>
        <w:jc w:val="both"/>
        <w:rPr>
          <w:rFonts w:ascii="Bookman Old Style" w:hAnsi="Bookman Old Style" w:cs="Arial"/>
        </w:rPr>
      </w:pPr>
      <w:r w:rsidRPr="00B967A9">
        <w:rPr>
          <w:rFonts w:ascii="Bookman Old Style" w:hAnsi="Bookman Old Style"/>
        </w:rPr>
        <w:t xml:space="preserve">De igual manera </w:t>
      </w:r>
      <w:r w:rsidR="007F2B09" w:rsidRPr="00B967A9">
        <w:rPr>
          <w:rFonts w:ascii="Bookman Old Style" w:hAnsi="Bookman Old Style"/>
        </w:rPr>
        <w:t xml:space="preserve">vale la pena advertir que </w:t>
      </w:r>
      <w:r w:rsidRPr="00B967A9">
        <w:rPr>
          <w:rFonts w:ascii="Bookman Old Style" w:hAnsi="Bookman Old Style"/>
        </w:rPr>
        <w:t xml:space="preserve">en caso </w:t>
      </w:r>
      <w:r w:rsidR="00E04412">
        <w:rPr>
          <w:rFonts w:ascii="Bookman Old Style" w:hAnsi="Bookman Old Style"/>
        </w:rPr>
        <w:t xml:space="preserve">de </w:t>
      </w:r>
      <w:r w:rsidRPr="00B967A9">
        <w:rPr>
          <w:rFonts w:ascii="Bookman Old Style" w:hAnsi="Bookman Old Style"/>
        </w:rPr>
        <w:t xml:space="preserve">que el Ministerio de Minas y Energía ordene el giro de recursos </w:t>
      </w:r>
      <w:r w:rsidRPr="00B967A9">
        <w:rPr>
          <w:rFonts w:ascii="Bookman Old Style" w:hAnsi="Bookman Old Style" w:cs="Arial"/>
        </w:rPr>
        <w:t>adicionales del FOES a la empresa Energía Social de La Costa S.A. E.S.P., correspondientes a</w:t>
      </w:r>
      <w:r w:rsidR="001261B1">
        <w:rPr>
          <w:rFonts w:ascii="Bookman Old Style" w:hAnsi="Bookman Old Style" w:cs="Arial"/>
        </w:rPr>
        <w:t>l año 2012</w:t>
      </w:r>
      <w:r w:rsidRPr="00B967A9">
        <w:rPr>
          <w:rFonts w:ascii="Bookman Old Style" w:hAnsi="Bookman Old Style" w:cs="Arial"/>
        </w:rPr>
        <w:t>, el factor de riesgo de cartera, FRC, así como el cargo de comercialización, C*, aplicables durante el año 2013, deberán ser actualizados conforme a la metodología establecida en las resoluciones CREG 101 de 2006 y 096 de 2011.</w:t>
      </w:r>
    </w:p>
    <w:p w:rsidR="008D0D4B" w:rsidRPr="00B967A9" w:rsidRDefault="008D0D4B" w:rsidP="00631A51">
      <w:pPr>
        <w:ind w:left="0"/>
        <w:jc w:val="both"/>
        <w:rPr>
          <w:rFonts w:ascii="Bookman Old Style" w:hAnsi="Bookman Old Style"/>
        </w:rPr>
      </w:pPr>
    </w:p>
    <w:p w:rsidR="008D0D4B" w:rsidRPr="00B967A9" w:rsidRDefault="008D0D4B" w:rsidP="00631A51">
      <w:pPr>
        <w:ind w:left="0"/>
        <w:jc w:val="both"/>
        <w:rPr>
          <w:rFonts w:ascii="Bookman Old Style" w:hAnsi="Bookman Old Style"/>
        </w:rPr>
      </w:pPr>
    </w:p>
    <w:p w:rsidR="002C5968" w:rsidRPr="00B967A9" w:rsidRDefault="002C5968" w:rsidP="00631A51">
      <w:pPr>
        <w:pStyle w:val="Prrafodelista"/>
        <w:numPr>
          <w:ilvl w:val="0"/>
          <w:numId w:val="33"/>
        </w:numPr>
        <w:jc w:val="both"/>
        <w:rPr>
          <w:b/>
        </w:rPr>
      </w:pPr>
      <w:r w:rsidRPr="00B967A9">
        <w:rPr>
          <w:b/>
        </w:rPr>
        <w:t xml:space="preserve">Corregir las ventas de energía de nivel de tensión 2 empleando como valor correcto 94.065.353 </w:t>
      </w:r>
      <w:proofErr w:type="spellStart"/>
      <w:r w:rsidRPr="00B967A9">
        <w:rPr>
          <w:b/>
        </w:rPr>
        <w:t>kWh</w:t>
      </w:r>
      <w:proofErr w:type="spellEnd"/>
      <w:r w:rsidRPr="00B967A9">
        <w:rPr>
          <w:b/>
        </w:rPr>
        <w:t>/año para dicha variable.</w:t>
      </w:r>
    </w:p>
    <w:p w:rsidR="00D60EDC" w:rsidRPr="00B967A9" w:rsidRDefault="00D60EDC" w:rsidP="00631A51">
      <w:pPr>
        <w:pStyle w:val="Prrafodelista"/>
        <w:jc w:val="both"/>
      </w:pPr>
    </w:p>
    <w:p w:rsidR="002C5968" w:rsidRPr="00B967A9" w:rsidRDefault="00F71A94" w:rsidP="00631A51">
      <w:pPr>
        <w:pStyle w:val="Prrafodelista"/>
        <w:jc w:val="both"/>
      </w:pPr>
      <w:r w:rsidRPr="00B967A9">
        <w:t xml:space="preserve">El principal argumento de Energía Social </w:t>
      </w:r>
      <w:r w:rsidR="00E04412">
        <w:t xml:space="preserve">de La Costa </w:t>
      </w:r>
      <w:r w:rsidRPr="00B967A9">
        <w:t xml:space="preserve">S.A. E.S.P. es que la Comisión toma como base la energía medida en las fronteras comerciales inscritas por la empresa ante el ASIC y no considera las conciliaciones que se realizan entre </w:t>
      </w:r>
      <w:r w:rsidR="00E04412">
        <w:t>la empresa</w:t>
      </w:r>
      <w:r w:rsidRPr="00B967A9">
        <w:t xml:space="preserve"> y </w:t>
      </w:r>
      <w:proofErr w:type="spellStart"/>
      <w:r w:rsidRPr="00B967A9">
        <w:t>Electricaribe</w:t>
      </w:r>
      <w:proofErr w:type="spellEnd"/>
      <w:r w:rsidRPr="00B967A9">
        <w:t xml:space="preserve"> S.A. E.S.P.</w:t>
      </w:r>
      <w:r w:rsidR="00E04412">
        <w:t xml:space="preserve"> De lo planteado en el escrito de reposición se entiende </w:t>
      </w:r>
      <w:r w:rsidR="00ED4C64" w:rsidRPr="00B967A9">
        <w:t xml:space="preserve">que se realizan </w:t>
      </w:r>
      <w:r w:rsidRPr="00B967A9">
        <w:t xml:space="preserve">conciliaciones entre las dos empresas sin </w:t>
      </w:r>
      <w:r w:rsidR="00ED4C64" w:rsidRPr="00B967A9">
        <w:t xml:space="preserve">que esto esté </w:t>
      </w:r>
      <w:r w:rsidR="007F2B09" w:rsidRPr="00B967A9">
        <w:t>previsto</w:t>
      </w:r>
      <w:r w:rsidR="00ED4C64" w:rsidRPr="00B967A9">
        <w:t xml:space="preserve"> en </w:t>
      </w:r>
      <w:r w:rsidRPr="00B967A9">
        <w:t>los procedimientos para reporte de información al ASIC y para liquidar y facturar las transacciones en el Mercado Mayorista de Energía</w:t>
      </w:r>
      <w:r w:rsidR="00F70E78" w:rsidRPr="00B967A9">
        <w:t>, MEM</w:t>
      </w:r>
      <w:r w:rsidRPr="00B967A9">
        <w:t>.</w:t>
      </w:r>
    </w:p>
    <w:p w:rsidR="00F71A94" w:rsidRPr="00B967A9" w:rsidRDefault="00F71A94" w:rsidP="00631A51">
      <w:pPr>
        <w:pStyle w:val="Prrafodelista"/>
        <w:jc w:val="both"/>
      </w:pPr>
    </w:p>
    <w:p w:rsidR="001E5E14" w:rsidRPr="007C4182" w:rsidRDefault="00E04412" w:rsidP="00631A51">
      <w:pPr>
        <w:pStyle w:val="Prrafodelista"/>
        <w:jc w:val="both"/>
      </w:pPr>
      <w:r w:rsidRPr="00B967A9">
        <w:t xml:space="preserve">Energía Social </w:t>
      </w:r>
      <w:r>
        <w:t xml:space="preserve">de La Costa </w:t>
      </w:r>
      <w:r w:rsidRPr="00B967A9">
        <w:t>S.A. E.S.P.</w:t>
      </w:r>
      <w:r>
        <w:t xml:space="preserve"> argumenta </w:t>
      </w:r>
      <w:r w:rsidR="00F71A94" w:rsidRPr="00B967A9">
        <w:t xml:space="preserve">en el recurso que </w:t>
      </w:r>
      <w:r w:rsidR="00F70E78" w:rsidRPr="00B967A9">
        <w:t>la</w:t>
      </w:r>
      <w:r>
        <w:t>s</w:t>
      </w:r>
      <w:r w:rsidR="00F70E78" w:rsidRPr="00B967A9">
        <w:t xml:space="preserve"> conciliaci</w:t>
      </w:r>
      <w:r>
        <w:t>o</w:t>
      </w:r>
      <w:r w:rsidR="00F70E78" w:rsidRPr="00B967A9">
        <w:t>n</w:t>
      </w:r>
      <w:r>
        <w:t>es</w:t>
      </w:r>
      <w:r w:rsidR="00F70E78" w:rsidRPr="00B967A9">
        <w:t xml:space="preserve"> se realiza</w:t>
      </w:r>
      <w:r>
        <w:t>n</w:t>
      </w:r>
      <w:r w:rsidR="00F70E78" w:rsidRPr="00B967A9">
        <w:t xml:space="preserve"> entre las dos empresas sin que </w:t>
      </w:r>
      <w:r w:rsidR="00631A51">
        <w:t xml:space="preserve">se </w:t>
      </w:r>
      <w:r w:rsidR="00F70E78" w:rsidRPr="00B967A9">
        <w:t>afecte</w:t>
      </w:r>
      <w:r w:rsidR="00631A51">
        <w:t>n</w:t>
      </w:r>
      <w:r w:rsidR="00F70E78" w:rsidRPr="00B967A9">
        <w:t xml:space="preserve"> las magnitudes en el MEM. </w:t>
      </w:r>
      <w:r w:rsidR="00631A51">
        <w:t xml:space="preserve">Por tratarse de empresas diferentes, para la Comisión no resulta clara esta argumentación, pues entiende que </w:t>
      </w:r>
      <w:r w:rsidR="00F70E78" w:rsidRPr="00B967A9">
        <w:t>se afecta</w:t>
      </w:r>
      <w:r w:rsidR="00631A51">
        <w:t>ría</w:t>
      </w:r>
      <w:r w:rsidR="00F70E78" w:rsidRPr="00B967A9">
        <w:t xml:space="preserve"> la liquidación del ASIC a cada una y por lo tanto los compromisos y obligaciones con otros agentes en el MEM. Adicionalmente, por la misma estructura del costo unitario de prestación del servicio se afecta</w:t>
      </w:r>
      <w:r w:rsidR="00631A51">
        <w:t>ría</w:t>
      </w:r>
      <w:r w:rsidR="00F70E78" w:rsidRPr="00B967A9">
        <w:t>n</w:t>
      </w:r>
      <w:r w:rsidR="00631A51">
        <w:t>,</w:t>
      </w:r>
      <w:r w:rsidR="00F70E78" w:rsidRPr="00B967A9">
        <w:t xml:space="preserve"> </w:t>
      </w:r>
      <w:r w:rsidR="00F32632" w:rsidRPr="00B967A9">
        <w:t xml:space="preserve">entre otras </w:t>
      </w:r>
      <w:r w:rsidR="00F70E78" w:rsidRPr="00B967A9">
        <w:t>variables</w:t>
      </w:r>
      <w:r w:rsidR="00631A51">
        <w:t>,</w:t>
      </w:r>
      <w:r w:rsidR="00F70E78" w:rsidRPr="00B967A9">
        <w:t xml:space="preserve"> </w:t>
      </w:r>
      <w:r w:rsidR="00F32632" w:rsidRPr="00B967A9">
        <w:t>la i) </w:t>
      </w:r>
      <w:r w:rsidR="00631A51">
        <w:t>f</w:t>
      </w:r>
      <w:r w:rsidR="00F70E78" w:rsidRPr="00B967A9">
        <w:t xml:space="preserve">racción de la </w:t>
      </w:r>
      <w:r w:rsidR="00631A51">
        <w:t>d</w:t>
      </w:r>
      <w:r w:rsidR="00F70E78" w:rsidRPr="00B967A9">
        <w:t xml:space="preserve">emanda </w:t>
      </w:r>
      <w:r w:rsidR="00631A51">
        <w:t>r</w:t>
      </w:r>
      <w:r w:rsidR="00F70E78" w:rsidRPr="00B967A9">
        <w:t xml:space="preserve">eal del </w:t>
      </w:r>
      <w:r w:rsidR="00631A51">
        <w:rPr>
          <w:rFonts w:cs="Arial"/>
          <w:iCs/>
        </w:rPr>
        <w:t>c</w:t>
      </w:r>
      <w:r w:rsidR="00F70E78" w:rsidRPr="00B967A9">
        <w:rPr>
          <w:rFonts w:cs="Arial"/>
          <w:iCs/>
        </w:rPr>
        <w:t xml:space="preserve">omercializador </w:t>
      </w:r>
      <w:r w:rsidR="00631A51">
        <w:rPr>
          <w:rFonts w:cs="Arial"/>
          <w:iCs/>
        </w:rPr>
        <w:t>m</w:t>
      </w:r>
      <w:r w:rsidR="00F70E78" w:rsidRPr="00B967A9">
        <w:rPr>
          <w:rFonts w:cs="Arial"/>
          <w:iCs/>
        </w:rPr>
        <w:t xml:space="preserve">inorista que corresponde a </w:t>
      </w:r>
      <w:r w:rsidR="00F70E78" w:rsidRPr="00B967A9">
        <w:t xml:space="preserve">las pérdidas de energía </w:t>
      </w:r>
      <w:r w:rsidR="00F70E78" w:rsidRPr="00B967A9">
        <w:rPr>
          <w:rFonts w:cs="Arial"/>
          <w:iCs/>
        </w:rPr>
        <w:t xml:space="preserve">por uso del </w:t>
      </w:r>
      <w:r w:rsidR="00F70E78" w:rsidRPr="00B967A9">
        <w:t>Sistema de Transmisión Nacional</w:t>
      </w:r>
      <w:r w:rsidR="00F70E78" w:rsidRPr="00B967A9">
        <w:rPr>
          <w:rFonts w:cs="Arial"/>
          <w:iCs/>
        </w:rPr>
        <w:t xml:space="preserve"> asignadas </w:t>
      </w:r>
      <w:r w:rsidR="00F70E78" w:rsidRPr="00B967A9">
        <w:rPr>
          <w:rFonts w:cs="Arial"/>
          <w:iCs/>
        </w:rPr>
        <w:lastRenderedPageBreak/>
        <w:t>por el ASIC durante el mes m-1</w:t>
      </w:r>
      <w:r w:rsidR="00F70E78" w:rsidRPr="00B967A9">
        <w:t>, conforme a la metodología vigente</w:t>
      </w:r>
      <w:r w:rsidR="00F32632" w:rsidRPr="00B967A9">
        <w:t xml:space="preserve">, </w:t>
      </w:r>
      <w:r w:rsidR="00F32632" w:rsidRPr="007C4182">
        <w:rPr>
          <w:position w:val="-12"/>
        </w:rPr>
        <w:object w:dxaOrig="1120" w:dyaOrig="360">
          <v:shape id="_x0000_i1026" type="#_x0000_t75" style="width:56.25pt;height:18pt" o:ole="">
            <v:imagedata r:id="rId11" o:title=""/>
          </v:shape>
          <o:OLEObject Type="Embed" ProgID="Equation.3" ShapeID="_x0000_i1026" DrawAspect="Content" ObjectID="_1435404077" r:id="rId12"/>
        </w:object>
      </w:r>
      <w:r w:rsidR="001E5E14" w:rsidRPr="007C4182">
        <w:t>;</w:t>
      </w:r>
      <w:r w:rsidR="00F32632" w:rsidRPr="007C4182">
        <w:t xml:space="preserve"> ii) el </w:t>
      </w:r>
      <w:r w:rsidR="00631A51">
        <w:t>c</w:t>
      </w:r>
      <w:r w:rsidR="00F32632" w:rsidRPr="007C4182">
        <w:t xml:space="preserve">osto total de restricciones expresado en pesos ($) asignados por el ASIC al </w:t>
      </w:r>
      <w:r w:rsidR="00631A51">
        <w:t>c</w:t>
      </w:r>
      <w:r w:rsidR="00F32632" w:rsidRPr="007C4182">
        <w:t xml:space="preserve">omercializador </w:t>
      </w:r>
      <w:r w:rsidR="00631A51">
        <w:t>m</w:t>
      </w:r>
      <w:r w:rsidR="00F32632" w:rsidRPr="007C4182">
        <w:t xml:space="preserve">inorista i en el mes </w:t>
      </w:r>
      <w:r w:rsidR="00F32632" w:rsidRPr="007C4182">
        <w:rPr>
          <w:i/>
        </w:rPr>
        <w:t xml:space="preserve">m-1, </w:t>
      </w:r>
      <w:r w:rsidR="00F32632" w:rsidRPr="007C4182">
        <w:rPr>
          <w:position w:val="-14"/>
        </w:rPr>
        <w:object w:dxaOrig="840" w:dyaOrig="380">
          <v:shape id="_x0000_i1027" type="#_x0000_t75" style="width:42pt;height:18.75pt" o:ole="">
            <v:imagedata r:id="rId13" o:title=""/>
          </v:shape>
          <o:OLEObject Type="Embed" ProgID="Equation.3" ShapeID="_x0000_i1027" DrawAspect="Content" ObjectID="_1435404078" r:id="rId14"/>
        </w:object>
      </w:r>
      <w:r w:rsidR="001E5E14" w:rsidRPr="007C4182">
        <w:t>;</w:t>
      </w:r>
      <w:r w:rsidR="00F32632" w:rsidRPr="007C4182">
        <w:t xml:space="preserve"> iii)</w:t>
      </w:r>
      <w:r w:rsidR="001E5E14" w:rsidRPr="007C4182">
        <w:t> </w:t>
      </w:r>
      <w:r w:rsidR="00F32632" w:rsidRPr="007C4182">
        <w:t xml:space="preserve">el </w:t>
      </w:r>
      <w:r w:rsidR="00631A51">
        <w:t>m</w:t>
      </w:r>
      <w:r w:rsidR="00F32632" w:rsidRPr="007C4182">
        <w:t xml:space="preserve">argen de </w:t>
      </w:r>
      <w:r w:rsidR="00631A51">
        <w:t>c</w:t>
      </w:r>
      <w:r w:rsidR="00F32632" w:rsidRPr="007C4182">
        <w:t>omercialización para</w:t>
      </w:r>
      <w:r w:rsidR="001E5E14" w:rsidRPr="007C4182">
        <w:t xml:space="preserve"> el </w:t>
      </w:r>
      <w:r w:rsidR="00631A51">
        <w:t>c</w:t>
      </w:r>
      <w:r w:rsidR="001E5E14" w:rsidRPr="007C4182">
        <w:t xml:space="preserve">omercializador </w:t>
      </w:r>
      <w:r w:rsidR="00631A51">
        <w:t>m</w:t>
      </w:r>
      <w:r w:rsidR="001E5E14" w:rsidRPr="007C4182">
        <w:t xml:space="preserve">inorista i y; iv) el costo máximo de traslado de compra de energía con mecanismos de mercado, </w:t>
      </w:r>
      <w:r w:rsidR="001E5E14" w:rsidRPr="007C4182">
        <w:rPr>
          <w:position w:val="-14"/>
        </w:rPr>
        <w:object w:dxaOrig="440" w:dyaOrig="380">
          <v:shape id="_x0000_i1028" type="#_x0000_t75" style="width:21.75pt;height:18.75pt" o:ole="">
            <v:imagedata r:id="rId15" o:title=""/>
          </v:shape>
          <o:OLEObject Type="Embed" ProgID="Equation.3" ShapeID="_x0000_i1028" DrawAspect="Content" ObjectID="_1435404079" r:id="rId16"/>
        </w:object>
      </w:r>
      <w:r w:rsidR="00F70E78" w:rsidRPr="007C4182">
        <w:t>.</w:t>
      </w:r>
      <w:r w:rsidR="001E5E14" w:rsidRPr="007C4182">
        <w:t xml:space="preserve"> </w:t>
      </w:r>
    </w:p>
    <w:p w:rsidR="001E5E14" w:rsidRPr="007C4182" w:rsidRDefault="001E5E14" w:rsidP="00631A51">
      <w:pPr>
        <w:pStyle w:val="Prrafodelista"/>
        <w:jc w:val="both"/>
      </w:pPr>
    </w:p>
    <w:p w:rsidR="002C5968" w:rsidRPr="00BC5262" w:rsidRDefault="001E5E14" w:rsidP="00631A51">
      <w:pPr>
        <w:pStyle w:val="Prrafodelista"/>
        <w:jc w:val="both"/>
      </w:pPr>
      <w:r w:rsidRPr="007C4182">
        <w:t>No reportar la información de la lectura de los medidores al ASIC, o no cumplir con las disposiciones normativas sobre medición de consumos afecta a todo el mercado en conjunto. Además</w:t>
      </w:r>
      <w:r w:rsidR="00631A51">
        <w:t>,</w:t>
      </w:r>
      <w:r w:rsidRPr="007C4182">
        <w:t xml:space="preserve"> </w:t>
      </w:r>
      <w:r w:rsidR="00C82F48" w:rsidRPr="007C4182">
        <w:t>los numerales 4 y 10</w:t>
      </w:r>
      <w:r w:rsidRPr="007C4182">
        <w:t xml:space="preserve"> del artículo 9 de la Resolución CREG 156 de 2011 es claro en establecer como obligación de los comercializadores con el MEM que los comercializadores deberán:</w:t>
      </w:r>
    </w:p>
    <w:p w:rsidR="001E5E14" w:rsidRPr="00B967A9" w:rsidRDefault="001E5E14" w:rsidP="00631A51">
      <w:pPr>
        <w:pStyle w:val="Prrafodelista"/>
        <w:jc w:val="both"/>
      </w:pPr>
    </w:p>
    <w:p w:rsidR="001E5E14" w:rsidRPr="00631A51" w:rsidRDefault="001E5E14" w:rsidP="00631A51">
      <w:pPr>
        <w:pStyle w:val="Prrafodelista"/>
        <w:ind w:left="567"/>
        <w:jc w:val="both"/>
        <w:rPr>
          <w:i/>
          <w:sz w:val="20"/>
        </w:rPr>
      </w:pPr>
      <w:r w:rsidRPr="00631A51">
        <w:rPr>
          <w:i/>
          <w:sz w:val="20"/>
        </w:rPr>
        <w:t>“</w:t>
      </w:r>
      <w:r w:rsidR="00C82F48" w:rsidRPr="00631A51">
        <w:rPr>
          <w:i/>
          <w:sz w:val="20"/>
        </w:rPr>
        <w:t xml:space="preserve">4. </w:t>
      </w:r>
      <w:r w:rsidRPr="00631A51">
        <w:rPr>
          <w:i/>
          <w:sz w:val="20"/>
        </w:rPr>
        <w:t>Suministrar al ASIC la información registrada en cada una de sus Fronteras Comerciales con la periodicidad y en los términos indicados en la Resolución CREG 006 de 2003, o aquellas que la modifiquen o sustituyan, así como la demás información que requiera el ASIC de conformidad con la regulación vigente.”</w:t>
      </w:r>
    </w:p>
    <w:p w:rsidR="00C82F48" w:rsidRPr="00631A51" w:rsidRDefault="00C82F48" w:rsidP="00631A51">
      <w:pPr>
        <w:pStyle w:val="Prrafodelista"/>
        <w:ind w:left="567"/>
        <w:jc w:val="both"/>
        <w:rPr>
          <w:i/>
          <w:sz w:val="20"/>
        </w:rPr>
      </w:pPr>
    </w:p>
    <w:p w:rsidR="00C82F48" w:rsidRPr="00631A51" w:rsidRDefault="00C82F48" w:rsidP="00631A51">
      <w:pPr>
        <w:pStyle w:val="Prrafodelista"/>
        <w:ind w:left="567"/>
        <w:jc w:val="both"/>
        <w:rPr>
          <w:i/>
          <w:sz w:val="20"/>
        </w:rPr>
      </w:pPr>
      <w:r w:rsidRPr="00631A51">
        <w:rPr>
          <w:i/>
          <w:sz w:val="20"/>
        </w:rPr>
        <w:t>“10. Cumplir en todas sus Fronteras Comerciales los requisitos del Código de Medida, definido en la Resolución CREG 025 de 1995, y las disposiciones sobre medición contenidas en el numeral 7 del Anexo General de la Resolución CREG 070 de 1998, o en las normas que las modifiquen o sustituyan.”</w:t>
      </w:r>
    </w:p>
    <w:p w:rsidR="00D60EDC" w:rsidRPr="00F62F1A" w:rsidRDefault="00D60EDC" w:rsidP="00631A51">
      <w:pPr>
        <w:ind w:left="0"/>
        <w:jc w:val="both"/>
        <w:rPr>
          <w:rFonts w:ascii="Bookman Old Style" w:hAnsi="Bookman Old Style"/>
          <w:sz w:val="32"/>
        </w:rPr>
      </w:pPr>
    </w:p>
    <w:p w:rsidR="00D60EDC" w:rsidRPr="00B967A9" w:rsidRDefault="001E5E14" w:rsidP="00631A51">
      <w:pPr>
        <w:ind w:left="0"/>
        <w:jc w:val="both"/>
        <w:rPr>
          <w:rFonts w:ascii="Bookman Old Style" w:hAnsi="Bookman Old Style"/>
        </w:rPr>
      </w:pPr>
      <w:r w:rsidRPr="00B967A9">
        <w:rPr>
          <w:rFonts w:ascii="Bookman Old Style" w:hAnsi="Bookman Old Style"/>
        </w:rPr>
        <w:t xml:space="preserve">Adicionalmente, el numeral 8 del artículo 8 de la </w:t>
      </w:r>
      <w:r w:rsidR="00631A51">
        <w:rPr>
          <w:rFonts w:ascii="Bookman Old Style" w:hAnsi="Bookman Old Style"/>
        </w:rPr>
        <w:t>R</w:t>
      </w:r>
      <w:r w:rsidRPr="00B967A9">
        <w:rPr>
          <w:rFonts w:ascii="Bookman Old Style" w:hAnsi="Bookman Old Style"/>
        </w:rPr>
        <w:t>esolución CREG 156 de 2011 establece que los comercializadores deberán:</w:t>
      </w:r>
    </w:p>
    <w:p w:rsidR="001E5E14" w:rsidRPr="00B967A9" w:rsidRDefault="001E5E14" w:rsidP="00631A51">
      <w:pPr>
        <w:ind w:left="0"/>
        <w:jc w:val="both"/>
        <w:rPr>
          <w:rFonts w:ascii="Bookman Old Style" w:hAnsi="Bookman Old Style"/>
        </w:rPr>
      </w:pPr>
    </w:p>
    <w:p w:rsidR="001E5E14" w:rsidRPr="00631A51" w:rsidRDefault="001E5E14" w:rsidP="00631A51">
      <w:pPr>
        <w:pStyle w:val="Textoindependiente"/>
        <w:tabs>
          <w:tab w:val="left" w:pos="2977"/>
          <w:tab w:val="left" w:pos="8789"/>
        </w:tabs>
        <w:suppressAutoHyphens/>
        <w:jc w:val="both"/>
        <w:rPr>
          <w:rFonts w:ascii="Bookman Old Style" w:hAnsi="Bookman Old Style"/>
          <w:i/>
          <w:sz w:val="20"/>
          <w:szCs w:val="20"/>
        </w:rPr>
      </w:pPr>
      <w:r w:rsidRPr="00631A51">
        <w:rPr>
          <w:rFonts w:ascii="Bookman Old Style" w:hAnsi="Bookman Old Style"/>
          <w:b w:val="0"/>
          <w:i/>
          <w:sz w:val="20"/>
          <w:szCs w:val="20"/>
        </w:rPr>
        <w:t>“</w:t>
      </w:r>
      <w:r w:rsidR="00C82F48" w:rsidRPr="00631A51">
        <w:rPr>
          <w:rFonts w:ascii="Bookman Old Style" w:hAnsi="Bookman Old Style"/>
          <w:b w:val="0"/>
          <w:i/>
          <w:sz w:val="20"/>
          <w:szCs w:val="20"/>
        </w:rPr>
        <w:t xml:space="preserve">8. </w:t>
      </w:r>
      <w:r w:rsidRPr="00631A51">
        <w:rPr>
          <w:rFonts w:ascii="Bookman Old Style" w:hAnsi="Bookman Old Style"/>
          <w:b w:val="0"/>
          <w:i/>
          <w:sz w:val="20"/>
          <w:szCs w:val="20"/>
        </w:rPr>
        <w:t>Cumplir el Código de Medida, definido en la Resolución CREG 025 de 1995, y las disposiciones sobre medición contenidas en el numeral 7 del Anexo General de la Resolución CREG 070 de 1998, o en las normas que las modifiquen o sustituyan”.</w:t>
      </w:r>
      <w:r w:rsidRPr="00631A51">
        <w:rPr>
          <w:rFonts w:ascii="Bookman Old Style" w:hAnsi="Bookman Old Style"/>
          <w:i/>
          <w:sz w:val="20"/>
          <w:szCs w:val="20"/>
        </w:rPr>
        <w:t xml:space="preserve"> </w:t>
      </w:r>
    </w:p>
    <w:p w:rsidR="001E5E14" w:rsidRPr="00F62F1A" w:rsidRDefault="001E5E14" w:rsidP="00631A51">
      <w:pPr>
        <w:ind w:left="0"/>
        <w:jc w:val="both"/>
        <w:rPr>
          <w:rFonts w:ascii="Bookman Old Style" w:hAnsi="Bookman Old Style"/>
          <w:sz w:val="32"/>
        </w:rPr>
      </w:pPr>
    </w:p>
    <w:p w:rsidR="00D60EDC" w:rsidRPr="00B967A9" w:rsidRDefault="001E5E14" w:rsidP="00631A51">
      <w:pPr>
        <w:ind w:left="0"/>
        <w:jc w:val="both"/>
        <w:rPr>
          <w:rFonts w:ascii="Bookman Old Style" w:hAnsi="Bookman Old Style"/>
        </w:rPr>
      </w:pPr>
      <w:r w:rsidRPr="00B967A9">
        <w:rPr>
          <w:rFonts w:ascii="Bookman Old Style" w:hAnsi="Bookman Old Style"/>
        </w:rPr>
        <w:t xml:space="preserve">En el Código de Medida vigente no se contempla la </w:t>
      </w:r>
      <w:r w:rsidR="007F2B09" w:rsidRPr="00B967A9">
        <w:rPr>
          <w:rFonts w:ascii="Bookman Old Style" w:hAnsi="Bookman Old Style"/>
        </w:rPr>
        <w:t xml:space="preserve">posibilidad de </w:t>
      </w:r>
      <w:r w:rsidRPr="00B967A9">
        <w:rPr>
          <w:rFonts w:ascii="Bookman Old Style" w:hAnsi="Bookman Old Style"/>
        </w:rPr>
        <w:t>realiza</w:t>
      </w:r>
      <w:r w:rsidR="007F2B09" w:rsidRPr="00B967A9">
        <w:rPr>
          <w:rFonts w:ascii="Bookman Old Style" w:hAnsi="Bookman Old Style"/>
        </w:rPr>
        <w:t>r</w:t>
      </w:r>
      <w:r w:rsidRPr="00B967A9">
        <w:rPr>
          <w:rFonts w:ascii="Bookman Old Style" w:hAnsi="Bookman Old Style"/>
        </w:rPr>
        <w:t xml:space="preserve"> conciliaciones entre agentes del mercado. Todo cambio debe ser </w:t>
      </w:r>
      <w:r w:rsidR="00631A51">
        <w:rPr>
          <w:rFonts w:ascii="Bookman Old Style" w:hAnsi="Bookman Old Style"/>
        </w:rPr>
        <w:t>efectuar</w:t>
      </w:r>
      <w:r w:rsidR="00631A51" w:rsidRPr="00B967A9">
        <w:rPr>
          <w:rFonts w:ascii="Bookman Old Style" w:hAnsi="Bookman Old Style"/>
        </w:rPr>
        <w:t xml:space="preserve"> </w:t>
      </w:r>
      <w:r w:rsidRPr="00B967A9">
        <w:rPr>
          <w:rFonts w:ascii="Bookman Old Style" w:hAnsi="Bookman Old Style"/>
        </w:rPr>
        <w:t xml:space="preserve">a través del ASIC para </w:t>
      </w:r>
      <w:r w:rsidR="00C82F48" w:rsidRPr="00B967A9">
        <w:rPr>
          <w:rFonts w:ascii="Bookman Old Style" w:hAnsi="Bookman Old Style"/>
        </w:rPr>
        <w:t xml:space="preserve">realizar de manera transparente </w:t>
      </w:r>
      <w:r w:rsidRPr="00B967A9">
        <w:rPr>
          <w:rFonts w:ascii="Bookman Old Style" w:hAnsi="Bookman Old Style"/>
        </w:rPr>
        <w:t>las reliquidaciones y ajustes a la facturación</w:t>
      </w:r>
      <w:r w:rsidR="00C82F48" w:rsidRPr="00B967A9">
        <w:rPr>
          <w:rFonts w:ascii="Bookman Old Style" w:hAnsi="Bookman Old Style"/>
        </w:rPr>
        <w:t>,</w:t>
      </w:r>
      <w:r w:rsidRPr="00B967A9">
        <w:rPr>
          <w:rFonts w:ascii="Bookman Old Style" w:hAnsi="Bookman Old Style"/>
        </w:rPr>
        <w:t xml:space="preserve"> a que haya lugar</w:t>
      </w:r>
      <w:r w:rsidR="00C82F48" w:rsidRPr="00B967A9">
        <w:rPr>
          <w:rFonts w:ascii="Bookman Old Style" w:hAnsi="Bookman Old Style"/>
        </w:rPr>
        <w:t>,</w:t>
      </w:r>
      <w:r w:rsidRPr="00B967A9">
        <w:rPr>
          <w:rFonts w:ascii="Bookman Old Style" w:hAnsi="Bookman Old Style"/>
        </w:rPr>
        <w:t xml:space="preserve"> con los demás </w:t>
      </w:r>
      <w:r w:rsidR="00C82F48" w:rsidRPr="00B967A9">
        <w:rPr>
          <w:rFonts w:ascii="Bookman Old Style" w:hAnsi="Bookman Old Style"/>
        </w:rPr>
        <w:t>agentes del mercado.</w:t>
      </w:r>
    </w:p>
    <w:p w:rsidR="00D60EDC" w:rsidRPr="00B967A9" w:rsidRDefault="00D60EDC" w:rsidP="00631A51">
      <w:pPr>
        <w:ind w:left="0"/>
        <w:jc w:val="both"/>
        <w:rPr>
          <w:rFonts w:ascii="Bookman Old Style" w:hAnsi="Bookman Old Style"/>
        </w:rPr>
      </w:pPr>
    </w:p>
    <w:p w:rsidR="008C0AEF" w:rsidRPr="00B967A9" w:rsidRDefault="008C0AEF" w:rsidP="00631A51">
      <w:pPr>
        <w:ind w:left="0"/>
        <w:jc w:val="both"/>
        <w:rPr>
          <w:rFonts w:ascii="Bookman Old Style" w:hAnsi="Bookman Old Style"/>
        </w:rPr>
      </w:pPr>
      <w:r w:rsidRPr="00B967A9">
        <w:rPr>
          <w:rFonts w:ascii="Bookman Old Style" w:hAnsi="Bookman Old Style"/>
        </w:rPr>
        <w:t xml:space="preserve">La situación que </w:t>
      </w:r>
      <w:r w:rsidR="00631A51" w:rsidRPr="00B967A9">
        <w:rPr>
          <w:rFonts w:ascii="Bookman Old Style" w:hAnsi="Bookman Old Style"/>
        </w:rPr>
        <w:t xml:space="preserve">la empresa </w:t>
      </w:r>
      <w:r w:rsidRPr="00B967A9">
        <w:rPr>
          <w:rFonts w:ascii="Bookman Old Style" w:hAnsi="Bookman Old Style"/>
        </w:rPr>
        <w:t xml:space="preserve">pone de presente en su recurso llama la atención de esta Comisión sobre un </w:t>
      </w:r>
      <w:r w:rsidR="00631A51">
        <w:rPr>
          <w:rFonts w:ascii="Bookman Old Style" w:hAnsi="Bookman Old Style"/>
        </w:rPr>
        <w:t>eventual</w:t>
      </w:r>
      <w:r w:rsidR="00631A51" w:rsidRPr="00B967A9">
        <w:rPr>
          <w:rFonts w:ascii="Bookman Old Style" w:hAnsi="Bookman Old Style"/>
        </w:rPr>
        <w:t xml:space="preserve"> </w:t>
      </w:r>
      <w:r w:rsidRPr="00B967A9">
        <w:rPr>
          <w:rFonts w:ascii="Bookman Old Style" w:hAnsi="Bookman Old Style"/>
        </w:rPr>
        <w:t>incumplimiento de la regulación vigente, relacionada con la información de fronteras comerciales que debe registrarse ante al ASIC, razón por la cual se informar</w:t>
      </w:r>
      <w:r w:rsidR="00631A51">
        <w:rPr>
          <w:rFonts w:ascii="Bookman Old Style" w:hAnsi="Bookman Old Style"/>
        </w:rPr>
        <w:t>á</w:t>
      </w:r>
      <w:r w:rsidRPr="00B967A9">
        <w:rPr>
          <w:rFonts w:ascii="Bookman Old Style" w:hAnsi="Bookman Old Style"/>
        </w:rPr>
        <w:t xml:space="preserve"> de los hechos mencionados por el recurrente en su escrito a la Superintendencia de Servicios Públicos Domiciliarios, para que proceden con </w:t>
      </w:r>
      <w:r w:rsidR="00631A51">
        <w:rPr>
          <w:rFonts w:ascii="Bookman Old Style" w:hAnsi="Bookman Old Style"/>
        </w:rPr>
        <w:t>las acciones</w:t>
      </w:r>
      <w:r w:rsidRPr="00B967A9">
        <w:rPr>
          <w:rFonts w:ascii="Bookman Old Style" w:hAnsi="Bookman Old Style"/>
        </w:rPr>
        <w:t xml:space="preserve"> correspondiente</w:t>
      </w:r>
      <w:r w:rsidR="00631A51">
        <w:rPr>
          <w:rFonts w:ascii="Bookman Old Style" w:hAnsi="Bookman Old Style"/>
        </w:rPr>
        <w:t>s,</w:t>
      </w:r>
      <w:r w:rsidRPr="00B967A9">
        <w:rPr>
          <w:rFonts w:ascii="Bookman Old Style" w:hAnsi="Bookman Old Style"/>
        </w:rPr>
        <w:t xml:space="preserve"> si a ello hubiera lugar.</w:t>
      </w:r>
    </w:p>
    <w:p w:rsidR="008C0AEF" w:rsidRPr="00B967A9" w:rsidRDefault="008C0AEF" w:rsidP="00631A51">
      <w:pPr>
        <w:ind w:left="0"/>
        <w:jc w:val="both"/>
        <w:rPr>
          <w:rFonts w:ascii="Bookman Old Style" w:hAnsi="Bookman Old Style"/>
        </w:rPr>
      </w:pPr>
    </w:p>
    <w:p w:rsidR="00D60EDC" w:rsidRPr="00B967A9" w:rsidRDefault="00C82F48" w:rsidP="00631A51">
      <w:pPr>
        <w:ind w:left="0"/>
        <w:jc w:val="both"/>
        <w:rPr>
          <w:rFonts w:ascii="Bookman Old Style" w:hAnsi="Bookman Old Style"/>
        </w:rPr>
      </w:pPr>
      <w:r w:rsidRPr="00B967A9">
        <w:rPr>
          <w:rFonts w:ascii="Bookman Old Style" w:hAnsi="Bookman Old Style"/>
        </w:rPr>
        <w:t>Dado que la información para la realización de liquidaciones y por lo tanto para el cobro a los usuarios debe ser la registrada ante el ASIC, y la energía cobrada a los usuarios no puede ser mayor a la registrada al ASIC, no</w:t>
      </w:r>
      <w:r w:rsidRPr="00B967A9">
        <w:rPr>
          <w:rFonts w:ascii="Bookman Old Style" w:hAnsi="Bookman Old Style" w:cs="Arial"/>
        </w:rPr>
        <w:t xml:space="preserve"> se </w:t>
      </w:r>
      <w:r w:rsidR="008C0AEF" w:rsidRPr="00B967A9">
        <w:rPr>
          <w:rFonts w:ascii="Bookman Old Style" w:hAnsi="Bookman Old Style" w:cs="Arial"/>
        </w:rPr>
        <w:t>encuentra procedente la solicitud del recurrente en cuanto a la corrección de</w:t>
      </w:r>
      <w:r w:rsidRPr="00B967A9">
        <w:rPr>
          <w:rFonts w:ascii="Bookman Old Style" w:hAnsi="Bookman Old Style" w:cs="Arial"/>
        </w:rPr>
        <w:t xml:space="preserve"> las ventas de energía de nivel de tensión 2 empleando como valor 94.065.353 </w:t>
      </w:r>
      <w:proofErr w:type="spellStart"/>
      <w:r w:rsidRPr="00B967A9">
        <w:rPr>
          <w:rFonts w:ascii="Bookman Old Style" w:hAnsi="Bookman Old Style" w:cs="Arial"/>
        </w:rPr>
        <w:t>kWh</w:t>
      </w:r>
      <w:proofErr w:type="spellEnd"/>
      <w:r w:rsidRPr="00B967A9">
        <w:rPr>
          <w:rFonts w:ascii="Bookman Old Style" w:hAnsi="Bookman Old Style" w:cs="Arial"/>
        </w:rPr>
        <w:t>/año para dicha variable</w:t>
      </w:r>
      <w:r w:rsidR="000509D1">
        <w:rPr>
          <w:rFonts w:ascii="Bookman Old Style" w:hAnsi="Bookman Old Style"/>
        </w:rPr>
        <w:t>.</w:t>
      </w:r>
      <w:r w:rsidR="008C0AEF" w:rsidRPr="00B967A9">
        <w:rPr>
          <w:rFonts w:ascii="Bookman Old Style" w:hAnsi="Bookman Old Style"/>
        </w:rPr>
        <w:t xml:space="preserve"> </w:t>
      </w:r>
      <w:r w:rsidR="000509D1">
        <w:rPr>
          <w:rFonts w:ascii="Bookman Old Style" w:hAnsi="Bookman Old Style"/>
        </w:rPr>
        <w:t>E</w:t>
      </w:r>
      <w:r w:rsidR="000509D1" w:rsidRPr="00B967A9">
        <w:rPr>
          <w:rFonts w:ascii="Bookman Old Style" w:hAnsi="Bookman Old Style"/>
        </w:rPr>
        <w:t xml:space="preserve">n </w:t>
      </w:r>
      <w:r w:rsidR="008C0AEF" w:rsidRPr="00B967A9">
        <w:rPr>
          <w:rFonts w:ascii="Bookman Old Style" w:hAnsi="Bookman Old Style"/>
        </w:rPr>
        <w:t>consecuencia no se modificar</w:t>
      </w:r>
      <w:r w:rsidR="000509D1">
        <w:rPr>
          <w:rFonts w:ascii="Bookman Old Style" w:hAnsi="Bookman Old Style"/>
        </w:rPr>
        <w:t>á</w:t>
      </w:r>
      <w:r w:rsidR="008C0AEF" w:rsidRPr="00B967A9">
        <w:rPr>
          <w:rFonts w:ascii="Bookman Old Style" w:hAnsi="Bookman Old Style"/>
        </w:rPr>
        <w:t xml:space="preserve"> el valor de los</w:t>
      </w:r>
      <w:r w:rsidR="000B47F4" w:rsidRPr="00B967A9">
        <w:rPr>
          <w:rFonts w:ascii="Bookman Old Style" w:hAnsi="Bookman Old Style"/>
        </w:rPr>
        <w:t xml:space="preserve"> 56.146.801 </w:t>
      </w:r>
      <w:proofErr w:type="spellStart"/>
      <w:r w:rsidR="000B47F4" w:rsidRPr="00B967A9">
        <w:rPr>
          <w:rFonts w:ascii="Bookman Old Style" w:hAnsi="Bookman Old Style"/>
        </w:rPr>
        <w:t>kWh</w:t>
      </w:r>
      <w:proofErr w:type="spellEnd"/>
      <w:r w:rsidR="000B47F4" w:rsidRPr="00B967A9">
        <w:rPr>
          <w:rFonts w:ascii="Bookman Old Style" w:hAnsi="Bookman Old Style"/>
        </w:rPr>
        <w:t>/años utilizados en la Resolución CREG 008 de 2013.</w:t>
      </w:r>
    </w:p>
    <w:p w:rsidR="00C7551E" w:rsidRDefault="00C7551E" w:rsidP="00631A51">
      <w:pPr>
        <w:ind w:left="0"/>
        <w:rPr>
          <w:rFonts w:ascii="Bookman Old Style" w:hAnsi="Bookman Old Style"/>
          <w:b/>
        </w:rPr>
      </w:pPr>
    </w:p>
    <w:p w:rsidR="001261B1" w:rsidRDefault="001261B1" w:rsidP="00631A51">
      <w:pPr>
        <w:ind w:left="0"/>
        <w:rPr>
          <w:rFonts w:ascii="Bookman Old Style" w:hAnsi="Bookman Old Style"/>
          <w:b/>
        </w:rPr>
      </w:pPr>
    </w:p>
    <w:p w:rsidR="00F62F1A" w:rsidRDefault="00F62F1A" w:rsidP="00631A51">
      <w:pPr>
        <w:ind w:left="0"/>
        <w:rPr>
          <w:rFonts w:ascii="Bookman Old Style" w:hAnsi="Bookman Old Style"/>
          <w:b/>
        </w:rPr>
      </w:pPr>
    </w:p>
    <w:p w:rsidR="00F62F1A" w:rsidRDefault="00F62F1A" w:rsidP="00631A51">
      <w:pPr>
        <w:ind w:left="0"/>
        <w:rPr>
          <w:rFonts w:ascii="Bookman Old Style" w:hAnsi="Bookman Old Style"/>
          <w:b/>
        </w:rPr>
      </w:pPr>
    </w:p>
    <w:p w:rsidR="000B47F4" w:rsidRPr="00F62F1A" w:rsidRDefault="000B47F4" w:rsidP="00631A51">
      <w:pPr>
        <w:pStyle w:val="Prrafodelista"/>
        <w:rPr>
          <w:b/>
          <w:sz w:val="12"/>
          <w:lang w:val="es-ES"/>
        </w:rPr>
      </w:pPr>
    </w:p>
    <w:p w:rsidR="000B47F4" w:rsidRPr="00B967A9" w:rsidRDefault="000B47F4" w:rsidP="00631A51">
      <w:pPr>
        <w:pStyle w:val="Prrafodelista"/>
        <w:numPr>
          <w:ilvl w:val="0"/>
          <w:numId w:val="33"/>
        </w:numPr>
        <w:jc w:val="both"/>
        <w:rPr>
          <w:b/>
        </w:rPr>
      </w:pPr>
      <w:r w:rsidRPr="00B967A9">
        <w:rPr>
          <w:b/>
        </w:rPr>
        <w:t xml:space="preserve">Corregir el </w:t>
      </w:r>
      <w:r w:rsidR="000509D1" w:rsidRPr="00B967A9">
        <w:rPr>
          <w:b/>
        </w:rPr>
        <w:t xml:space="preserve">índice </w:t>
      </w:r>
      <w:r w:rsidRPr="00B967A9">
        <w:rPr>
          <w:b/>
        </w:rPr>
        <w:t>de productividad del sector eléctrico aplicado para 2013, empleando 4% como valor correcto para dicho parámetro.</w:t>
      </w:r>
    </w:p>
    <w:p w:rsidR="000B47F4" w:rsidRPr="00BE162C" w:rsidRDefault="000B47F4" w:rsidP="00631A51">
      <w:pPr>
        <w:ind w:left="0"/>
        <w:jc w:val="both"/>
        <w:rPr>
          <w:rFonts w:ascii="Bookman Old Style" w:hAnsi="Bookman Old Style"/>
          <w:b/>
        </w:rPr>
      </w:pPr>
    </w:p>
    <w:p w:rsidR="000777C5" w:rsidRDefault="000777C5" w:rsidP="00631A51">
      <w:pPr>
        <w:ind w:left="0"/>
        <w:jc w:val="both"/>
        <w:rPr>
          <w:rFonts w:ascii="Bookman Old Style" w:hAnsi="Bookman Old Style"/>
        </w:rPr>
      </w:pPr>
      <w:r>
        <w:rPr>
          <w:rFonts w:ascii="Bookman Old Style" w:hAnsi="Bookman Old Style"/>
        </w:rPr>
        <w:t xml:space="preserve">Sostiene la </w:t>
      </w:r>
      <w:r w:rsidR="00F42991" w:rsidRPr="00B967A9">
        <w:rPr>
          <w:rFonts w:ascii="Bookman Old Style" w:hAnsi="Bookman Old Style"/>
        </w:rPr>
        <w:t>empresa</w:t>
      </w:r>
      <w:r>
        <w:rPr>
          <w:rFonts w:ascii="Bookman Old Style" w:hAnsi="Bookman Old Style"/>
        </w:rPr>
        <w:t xml:space="preserve"> en su escrito de reposición que </w:t>
      </w:r>
      <w:r w:rsidR="00DE2B04" w:rsidRPr="00B967A9">
        <w:rPr>
          <w:rFonts w:ascii="Bookman Old Style" w:hAnsi="Bookman Old Style"/>
        </w:rPr>
        <w:t xml:space="preserve">el índice </w:t>
      </w:r>
      <w:r>
        <w:rPr>
          <w:rFonts w:ascii="Bookman Old Style" w:hAnsi="Bookman Old Style"/>
        </w:rPr>
        <w:t xml:space="preserve">de productividad del 5% </w:t>
      </w:r>
      <w:r w:rsidR="00DE2B04" w:rsidRPr="00B967A9">
        <w:rPr>
          <w:rFonts w:ascii="Bookman Old Style" w:hAnsi="Bookman Old Style"/>
        </w:rPr>
        <w:t>aplicado en la Resolución CREG 008 de 2012 no se encuentra ajustado a la normatividad vigente</w:t>
      </w:r>
      <w:r w:rsidR="000B3742">
        <w:rPr>
          <w:rFonts w:ascii="Bookman Old Style" w:hAnsi="Bookman Old Style"/>
        </w:rPr>
        <w:t>.</w:t>
      </w:r>
    </w:p>
    <w:p w:rsidR="000777C5" w:rsidRDefault="000777C5" w:rsidP="00631A51">
      <w:pPr>
        <w:ind w:left="0"/>
        <w:jc w:val="both"/>
        <w:rPr>
          <w:rFonts w:ascii="Bookman Old Style" w:hAnsi="Bookman Old Style"/>
        </w:rPr>
      </w:pPr>
    </w:p>
    <w:p w:rsidR="000777C5" w:rsidRDefault="00D1032D" w:rsidP="00631A51">
      <w:pPr>
        <w:ind w:left="0"/>
        <w:jc w:val="both"/>
        <w:rPr>
          <w:rFonts w:ascii="Bookman Old Style" w:hAnsi="Bookman Old Style"/>
        </w:rPr>
      </w:pPr>
      <w:r>
        <w:rPr>
          <w:rFonts w:ascii="Bookman Old Style" w:hAnsi="Bookman Old Style"/>
        </w:rPr>
        <w:t>En consideración a lo anterior</w:t>
      </w:r>
      <w:r w:rsidR="00062BC5">
        <w:rPr>
          <w:rFonts w:ascii="Bookman Old Style" w:hAnsi="Bookman Old Style"/>
        </w:rPr>
        <w:t>,</w:t>
      </w:r>
      <w:r>
        <w:rPr>
          <w:rFonts w:ascii="Bookman Old Style" w:hAnsi="Bookman Old Style"/>
        </w:rPr>
        <w:t xml:space="preserve"> </w:t>
      </w:r>
      <w:r w:rsidR="000777C5">
        <w:rPr>
          <w:rFonts w:ascii="Bookman Old Style" w:hAnsi="Bookman Old Style"/>
        </w:rPr>
        <w:t xml:space="preserve">procede esta Comisión a </w:t>
      </w:r>
      <w:r w:rsidR="00F42991" w:rsidRPr="00481CE3">
        <w:rPr>
          <w:rFonts w:ascii="Bookman Old Style" w:hAnsi="Bookman Old Style"/>
        </w:rPr>
        <w:t>analiza</w:t>
      </w:r>
      <w:r w:rsidR="000777C5">
        <w:rPr>
          <w:rFonts w:ascii="Bookman Old Style" w:hAnsi="Bookman Old Style"/>
        </w:rPr>
        <w:t>r</w:t>
      </w:r>
      <w:r w:rsidR="00F42991" w:rsidRPr="00481CE3">
        <w:rPr>
          <w:rFonts w:ascii="Bookman Old Style" w:hAnsi="Bookman Old Style"/>
        </w:rPr>
        <w:t xml:space="preserve"> </w:t>
      </w:r>
      <w:r w:rsidR="00062BC5">
        <w:rPr>
          <w:rFonts w:ascii="Bookman Old Style" w:hAnsi="Bookman Old Style"/>
        </w:rPr>
        <w:t xml:space="preserve">el sustento normativo con fundamento en el cual se </w:t>
      </w:r>
      <w:r w:rsidR="00062BC5" w:rsidRPr="00925723">
        <w:rPr>
          <w:rFonts w:ascii="Bookman Old Style" w:hAnsi="Bookman Old Style"/>
        </w:rPr>
        <w:t>aplicó</w:t>
      </w:r>
      <w:r w:rsidR="00062BC5">
        <w:rPr>
          <w:rFonts w:ascii="Bookman Old Style" w:hAnsi="Bookman Old Style"/>
        </w:rPr>
        <w:t xml:space="preserve"> </w:t>
      </w:r>
      <w:r>
        <w:rPr>
          <w:rFonts w:ascii="Bookman Old Style" w:hAnsi="Bookman Old Style"/>
        </w:rPr>
        <w:t>e</w:t>
      </w:r>
      <w:r w:rsidR="00E87F2E">
        <w:rPr>
          <w:rFonts w:ascii="Bookman Old Style" w:hAnsi="Bookman Old Style"/>
        </w:rPr>
        <w:t>l</w:t>
      </w:r>
      <w:r>
        <w:rPr>
          <w:rFonts w:ascii="Bookman Old Style" w:hAnsi="Bookman Old Style"/>
        </w:rPr>
        <w:t xml:space="preserve"> </w:t>
      </w:r>
      <w:r w:rsidR="00DE2B04" w:rsidRPr="00925723">
        <w:rPr>
          <w:rFonts w:ascii="Bookman Old Style" w:hAnsi="Bookman Old Style"/>
        </w:rPr>
        <w:t xml:space="preserve">IPSE del 5% </w:t>
      </w:r>
      <w:r w:rsidR="00062BC5">
        <w:rPr>
          <w:rFonts w:ascii="Bookman Old Style" w:hAnsi="Bookman Old Style"/>
        </w:rPr>
        <w:t>en la Resolución CREG 008 de 2013.</w:t>
      </w:r>
    </w:p>
    <w:p w:rsidR="0087269D" w:rsidRDefault="0087269D" w:rsidP="00631A51">
      <w:pPr>
        <w:ind w:left="0"/>
        <w:jc w:val="both"/>
        <w:rPr>
          <w:rFonts w:ascii="Bookman Old Style" w:eastAsia="Gulim" w:hAnsi="Bookman Old Style"/>
        </w:rPr>
      </w:pPr>
    </w:p>
    <w:p w:rsidR="00E7600E" w:rsidRPr="00925723" w:rsidRDefault="00884D17" w:rsidP="00631A51">
      <w:pPr>
        <w:ind w:left="0"/>
        <w:jc w:val="both"/>
        <w:rPr>
          <w:rFonts w:ascii="Bookman Old Style" w:eastAsia="Gulim" w:hAnsi="Bookman Old Style"/>
        </w:rPr>
      </w:pPr>
      <w:r>
        <w:rPr>
          <w:rFonts w:ascii="Bookman Old Style" w:eastAsia="Gulim" w:hAnsi="Bookman Old Style"/>
        </w:rPr>
        <w:t>E</w:t>
      </w:r>
      <w:r w:rsidR="00E7600E" w:rsidRPr="00925723">
        <w:rPr>
          <w:rFonts w:ascii="Bookman Old Style" w:eastAsia="Gulim" w:hAnsi="Bookman Old Style"/>
        </w:rPr>
        <w:t>l artículo 1</w:t>
      </w:r>
      <w:r w:rsidR="000F27BF" w:rsidRPr="00925723">
        <w:rPr>
          <w:rFonts w:ascii="Bookman Old Style" w:eastAsia="Gulim" w:hAnsi="Bookman Old Style"/>
        </w:rPr>
        <w:t>2</w:t>
      </w:r>
      <w:r w:rsidR="00E7600E" w:rsidRPr="00925723">
        <w:rPr>
          <w:rFonts w:ascii="Bookman Old Style" w:eastAsia="Gulim" w:hAnsi="Bookman Old Style"/>
        </w:rPr>
        <w:t xml:space="preserve"> de la Resolución CREG 119 de 2007 establece </w:t>
      </w:r>
      <w:r w:rsidR="000F27BF" w:rsidRPr="00925723">
        <w:rPr>
          <w:rFonts w:ascii="Bookman Old Style" w:eastAsia="Gulim" w:hAnsi="Bookman Old Style"/>
        </w:rPr>
        <w:t>lo siguiente:</w:t>
      </w:r>
    </w:p>
    <w:p w:rsidR="000F27BF" w:rsidRPr="007C4182" w:rsidRDefault="000F27BF" w:rsidP="00631A51">
      <w:pPr>
        <w:ind w:left="0"/>
        <w:jc w:val="both"/>
        <w:rPr>
          <w:rFonts w:ascii="Bookman Old Style" w:eastAsia="Gulim" w:hAnsi="Bookman Old Style"/>
          <w:i/>
        </w:rPr>
      </w:pPr>
    </w:p>
    <w:p w:rsidR="000F27BF" w:rsidRDefault="000F27BF" w:rsidP="00DE6DCF">
      <w:pPr>
        <w:tabs>
          <w:tab w:val="left" w:pos="1418"/>
        </w:tabs>
        <w:jc w:val="both"/>
        <w:rPr>
          <w:rFonts w:ascii="Bookman Old Style" w:hAnsi="Bookman Old Style" w:cs="Arial"/>
          <w:i/>
          <w:sz w:val="20"/>
          <w:szCs w:val="20"/>
          <w:lang w:val="es-ES_tradnl"/>
        </w:rPr>
      </w:pPr>
      <w:r w:rsidRPr="00DE6DCF">
        <w:rPr>
          <w:rFonts w:ascii="Bookman Old Style" w:hAnsi="Bookman Old Style"/>
          <w:i/>
          <w:sz w:val="20"/>
          <w:szCs w:val="20"/>
        </w:rPr>
        <w:t>“</w:t>
      </w:r>
      <w:r w:rsidRPr="00DE6DCF">
        <w:rPr>
          <w:rFonts w:ascii="Bookman Old Style" w:hAnsi="Bookman Old Style"/>
          <w:b/>
          <w:i/>
          <w:sz w:val="20"/>
          <w:szCs w:val="20"/>
        </w:rPr>
        <w:t xml:space="preserve">Artículo 12. Transición para la aplicación de los costos de comercialización: </w:t>
      </w:r>
      <w:r w:rsidRPr="00DE6DCF">
        <w:rPr>
          <w:rFonts w:ascii="Bookman Old Style" w:hAnsi="Bookman Old Style"/>
          <w:i/>
          <w:sz w:val="20"/>
          <w:szCs w:val="20"/>
          <w:u w:val="single"/>
        </w:rPr>
        <w:t xml:space="preserve">Hasta tanto se defina </w:t>
      </w:r>
      <w:r w:rsidRPr="00DE6DCF">
        <w:rPr>
          <w:rFonts w:ascii="Bookman Old Style" w:hAnsi="Bookman Old Style"/>
          <w:i/>
          <w:sz w:val="20"/>
          <w:szCs w:val="20"/>
          <w:u w:val="single"/>
          <w:lang w:val="es-ES_tradnl"/>
        </w:rPr>
        <w:t xml:space="preserve">en regulación posterior, la metodología para la remuneración de la actividad de comercialización para el próximo Período Tarifario, </w:t>
      </w:r>
      <w:r w:rsidRPr="00DE6DCF">
        <w:rPr>
          <w:rFonts w:ascii="Bookman Old Style" w:hAnsi="Bookman Old Style"/>
          <w:i/>
          <w:sz w:val="20"/>
          <w:szCs w:val="20"/>
          <w:u w:val="single"/>
        </w:rPr>
        <w:t>los costos variables de comercialización de que trata el presente artículo corresponderán a los establecidos con base en la metodología de la Resolución CREG-031 de 1997, de acuerdo con la siguiente fórmula</w:t>
      </w:r>
      <w:r w:rsidRPr="00DE6DCF">
        <w:rPr>
          <w:rFonts w:ascii="Bookman Old Style" w:hAnsi="Bookman Old Style" w:cs="Arial"/>
          <w:i/>
          <w:sz w:val="20"/>
          <w:szCs w:val="20"/>
          <w:lang w:val="es-ES_tradnl"/>
        </w:rPr>
        <w:t>:</w:t>
      </w:r>
    </w:p>
    <w:p w:rsidR="004A6726" w:rsidRPr="00DE6DCF" w:rsidRDefault="004A6726" w:rsidP="00DE6DCF">
      <w:pPr>
        <w:tabs>
          <w:tab w:val="left" w:pos="1418"/>
        </w:tabs>
        <w:jc w:val="both"/>
        <w:rPr>
          <w:rFonts w:ascii="Bookman Old Style" w:hAnsi="Bookman Old Style" w:cs="Arial"/>
          <w:i/>
          <w:sz w:val="20"/>
          <w:szCs w:val="20"/>
          <w:lang w:val="es-ES_tradnl"/>
        </w:rPr>
      </w:pPr>
    </w:p>
    <w:p w:rsidR="00DE6DCF" w:rsidRPr="00907601" w:rsidRDefault="00E2656C" w:rsidP="00DE6DCF">
      <w:pPr>
        <w:tabs>
          <w:tab w:val="left" w:pos="1418"/>
        </w:tabs>
        <w:jc w:val="both"/>
        <w:rPr>
          <w:rFonts w:ascii="Bookman Old Style" w:hAnsi="Bookman Old Style" w:cs="Arial"/>
          <w:i/>
          <w:sz w:val="20"/>
          <w:szCs w:val="20"/>
          <w:lang w:val="es-ES_tradnl"/>
        </w:rPr>
      </w:pPr>
      <m:oMathPara>
        <m:oMath>
          <m:sSub>
            <m:sSubPr>
              <m:ctrlPr>
                <w:rPr>
                  <w:rFonts w:ascii="Cambria Math" w:hAnsi="Cambria Math" w:cs="Arial"/>
                  <w:i/>
                  <w:sz w:val="20"/>
                  <w:szCs w:val="20"/>
                  <w:lang w:val="es-ES_tradnl"/>
                </w:rPr>
              </m:ctrlPr>
            </m:sSubPr>
            <m:e>
              <m:r>
                <w:rPr>
                  <w:rFonts w:ascii="Cambria Math" w:hAnsi="Cambria Math" w:cs="Arial"/>
                  <w:sz w:val="20"/>
                  <w:szCs w:val="20"/>
                  <w:lang w:val="es-ES_tradnl"/>
                </w:rPr>
                <m:t>Cf</m:t>
              </m:r>
            </m:e>
            <m:sub>
              <m:r>
                <w:rPr>
                  <w:rFonts w:ascii="Cambria Math" w:hAnsi="Cambria Math" w:cs="Arial"/>
                  <w:sz w:val="20"/>
                  <w:szCs w:val="20"/>
                  <w:lang w:val="es-ES_tradnl"/>
                </w:rPr>
                <m:t>m</m:t>
              </m:r>
            </m:sub>
          </m:sSub>
          <m:r>
            <w:rPr>
              <w:rFonts w:ascii="Cambria Math" w:hAnsi="Cambria Math" w:cs="Arial"/>
              <w:sz w:val="20"/>
              <w:szCs w:val="20"/>
              <w:lang w:val="es-ES_tradnl"/>
            </w:rPr>
            <m:t>=0 (cero)</m:t>
          </m:r>
        </m:oMath>
      </m:oMathPara>
    </w:p>
    <w:p w:rsidR="000F27BF" w:rsidRDefault="000F27BF" w:rsidP="00DE6DCF">
      <w:pPr>
        <w:jc w:val="both"/>
        <w:rPr>
          <w:rFonts w:ascii="Bookman Old Style" w:hAnsi="Bookman Old Style"/>
          <w:i/>
          <w:sz w:val="20"/>
          <w:szCs w:val="20"/>
        </w:rPr>
      </w:pPr>
    </w:p>
    <w:p w:rsidR="00907601" w:rsidRPr="00907601" w:rsidRDefault="00E2656C" w:rsidP="00907601">
      <w:pPr>
        <w:tabs>
          <w:tab w:val="left" w:pos="1418"/>
        </w:tabs>
        <w:jc w:val="both"/>
        <w:rPr>
          <w:rFonts w:ascii="Bookman Old Style" w:hAnsi="Bookman Old Style" w:cs="Arial"/>
          <w:i/>
          <w:sz w:val="20"/>
          <w:szCs w:val="20"/>
          <w:lang w:val="es-ES_tradnl"/>
        </w:rPr>
      </w:pPr>
      <m:oMathPara>
        <m:oMath>
          <m:sSub>
            <m:sSubPr>
              <m:ctrlPr>
                <w:rPr>
                  <w:rFonts w:ascii="Cambria Math" w:hAnsi="Cambria Math" w:cs="Arial"/>
                  <w:i/>
                  <w:sz w:val="20"/>
                  <w:szCs w:val="20"/>
                  <w:lang w:val="es-ES_tradnl"/>
                </w:rPr>
              </m:ctrlPr>
            </m:sSubPr>
            <m:e>
              <m:r>
                <w:rPr>
                  <w:rFonts w:ascii="Cambria Math" w:hAnsi="Cambria Math" w:cs="Arial"/>
                  <w:sz w:val="20"/>
                  <w:szCs w:val="20"/>
                  <w:lang w:val="es-ES_tradnl"/>
                </w:rPr>
                <m:t>Cv</m:t>
              </m:r>
            </m:e>
            <m:sub>
              <m:r>
                <w:rPr>
                  <w:rFonts w:ascii="Cambria Math" w:hAnsi="Cambria Math" w:cs="Arial"/>
                  <w:sz w:val="20"/>
                  <w:szCs w:val="20"/>
                  <w:lang w:val="es-ES_tradnl"/>
                </w:rPr>
                <m:t>m,i</m:t>
              </m:r>
            </m:sub>
          </m:sSub>
          <m:r>
            <w:rPr>
              <w:rFonts w:ascii="Cambria Math" w:hAnsi="Cambria Math" w:cs="Arial"/>
              <w:sz w:val="20"/>
              <w:szCs w:val="20"/>
              <w:lang w:val="es-ES_tradnl"/>
            </w:rPr>
            <m:t>=</m:t>
          </m:r>
          <m:sSubSup>
            <m:sSubSupPr>
              <m:ctrlPr>
                <w:rPr>
                  <w:rFonts w:ascii="Cambria Math" w:hAnsi="Cambria Math" w:cs="Arial"/>
                  <w:i/>
                  <w:sz w:val="20"/>
                  <w:szCs w:val="20"/>
                  <w:lang w:val="es-ES_tradnl"/>
                </w:rPr>
              </m:ctrlPr>
            </m:sSubSupPr>
            <m:e>
              <m:r>
                <w:rPr>
                  <w:rFonts w:ascii="Cambria Math" w:hAnsi="Cambria Math" w:cs="Arial"/>
                  <w:sz w:val="20"/>
                  <w:szCs w:val="20"/>
                  <w:lang w:val="es-ES_tradnl"/>
                </w:rPr>
                <m:t>C</m:t>
              </m:r>
            </m:e>
            <m:sub>
              <m:r>
                <w:rPr>
                  <w:rFonts w:ascii="Cambria Math" w:hAnsi="Cambria Math" w:cs="Arial"/>
                  <w:sz w:val="20"/>
                  <w:szCs w:val="20"/>
                  <w:lang w:val="es-ES_tradnl"/>
                </w:rPr>
                <m:t>m,t</m:t>
              </m:r>
            </m:sub>
            <m:sup>
              <m:r>
                <w:rPr>
                  <w:rFonts w:ascii="Cambria Math" w:hAnsi="Cambria Math" w:cs="Arial"/>
                  <w:sz w:val="20"/>
                  <w:szCs w:val="20"/>
                  <w:lang w:val="es-ES_tradnl"/>
                </w:rPr>
                <m:t>*</m:t>
              </m:r>
            </m:sup>
          </m:sSubSup>
          <m:r>
            <w:rPr>
              <w:rFonts w:ascii="Cambria Math" w:hAnsi="Cambria Math" w:cs="Arial"/>
              <w:sz w:val="20"/>
              <w:szCs w:val="20"/>
              <w:lang w:val="es-ES_tradnl"/>
            </w:rPr>
            <m:t>+</m:t>
          </m:r>
          <m:f>
            <m:fPr>
              <m:ctrlPr>
                <w:rPr>
                  <w:rFonts w:ascii="Cambria Math" w:hAnsi="Cambria Math" w:cs="Arial"/>
                  <w:i/>
                  <w:sz w:val="20"/>
                  <w:szCs w:val="20"/>
                  <w:lang w:val="es-ES_tradnl"/>
                </w:rPr>
              </m:ctrlPr>
            </m:fPr>
            <m:num>
              <m:sSub>
                <m:sSubPr>
                  <m:ctrlPr>
                    <w:rPr>
                      <w:rFonts w:ascii="Cambria Math" w:hAnsi="Cambria Math" w:cs="Arial"/>
                      <w:i/>
                      <w:sz w:val="20"/>
                      <w:szCs w:val="20"/>
                      <w:lang w:val="es-ES_tradnl"/>
                    </w:rPr>
                  </m:ctrlPr>
                </m:sSubPr>
                <m:e>
                  <m:r>
                    <w:rPr>
                      <w:rFonts w:ascii="Cambria Math" w:hAnsi="Cambria Math" w:cs="Arial"/>
                      <w:sz w:val="20"/>
                      <w:szCs w:val="20"/>
                      <w:lang w:val="es-ES_tradnl"/>
                    </w:rPr>
                    <m:t>CER</m:t>
                  </m:r>
                </m:e>
                <m:sub>
                  <m:r>
                    <w:rPr>
                      <w:rFonts w:ascii="Cambria Math" w:hAnsi="Cambria Math" w:cs="Arial"/>
                      <w:sz w:val="20"/>
                      <w:szCs w:val="20"/>
                      <w:lang w:val="es-ES_tradnl"/>
                    </w:rPr>
                    <m:t>m-1,i</m:t>
                  </m:r>
                </m:sub>
              </m:sSub>
              <m:r>
                <w:rPr>
                  <w:rFonts w:ascii="Cambria Math" w:hAnsi="Cambria Math" w:cs="Arial"/>
                  <w:sz w:val="20"/>
                  <w:szCs w:val="20"/>
                  <w:lang w:val="es-ES_tradnl"/>
                </w:rPr>
                <m:t>+</m:t>
              </m:r>
              <m:sSub>
                <m:sSubPr>
                  <m:ctrlPr>
                    <w:rPr>
                      <w:rFonts w:ascii="Cambria Math" w:hAnsi="Cambria Math" w:cs="Arial"/>
                      <w:i/>
                      <w:sz w:val="20"/>
                      <w:szCs w:val="20"/>
                      <w:lang w:val="es-ES_tradnl"/>
                    </w:rPr>
                  </m:ctrlPr>
                </m:sSubPr>
                <m:e>
                  <m:r>
                    <w:rPr>
                      <w:rFonts w:ascii="Cambria Math" w:hAnsi="Cambria Math" w:cs="Arial"/>
                      <w:sz w:val="20"/>
                      <w:szCs w:val="20"/>
                      <w:lang w:val="es-ES_tradnl"/>
                    </w:rPr>
                    <m:t>CCD</m:t>
                  </m:r>
                </m:e>
                <m:sub>
                  <m:r>
                    <w:rPr>
                      <w:rFonts w:ascii="Cambria Math" w:hAnsi="Cambria Math" w:cs="Arial"/>
                      <w:sz w:val="20"/>
                      <w:szCs w:val="20"/>
                      <w:lang w:val="es-ES_tradnl"/>
                    </w:rPr>
                    <m:t>m-1,i</m:t>
                  </m:r>
                </m:sub>
              </m:sSub>
            </m:num>
            <m:den>
              <m:sSub>
                <m:sSubPr>
                  <m:ctrlPr>
                    <w:rPr>
                      <w:rFonts w:ascii="Cambria Math" w:hAnsi="Cambria Math" w:cs="Arial"/>
                      <w:i/>
                      <w:sz w:val="20"/>
                      <w:szCs w:val="20"/>
                      <w:lang w:val="es-ES_tradnl"/>
                    </w:rPr>
                  </m:ctrlPr>
                </m:sSubPr>
                <m:e>
                  <m:r>
                    <w:rPr>
                      <w:rFonts w:ascii="Cambria Math" w:hAnsi="Cambria Math" w:cs="Arial"/>
                      <w:sz w:val="20"/>
                      <w:szCs w:val="20"/>
                      <w:lang w:val="es-ES_tradnl"/>
                    </w:rPr>
                    <m:t>V</m:t>
                  </m:r>
                </m:e>
                <m:sub>
                  <m:r>
                    <w:rPr>
                      <w:rFonts w:ascii="Cambria Math" w:hAnsi="Cambria Math" w:cs="Arial"/>
                      <w:sz w:val="20"/>
                      <w:szCs w:val="20"/>
                      <w:lang w:val="es-ES_tradnl"/>
                    </w:rPr>
                    <m:t>m-1,i</m:t>
                  </m:r>
                </m:sub>
              </m:sSub>
            </m:den>
          </m:f>
          <m:r>
            <w:rPr>
              <w:rFonts w:ascii="Cambria Math" w:hAnsi="Cambria Math" w:cs="Arial"/>
              <w:sz w:val="20"/>
              <w:szCs w:val="20"/>
              <w:lang w:val="es-ES_tradnl"/>
            </w:rPr>
            <m:t>+</m:t>
          </m:r>
          <m:sSub>
            <m:sSubPr>
              <m:ctrlPr>
                <w:rPr>
                  <w:rFonts w:ascii="Cambria Math" w:hAnsi="Cambria Math" w:cs="Arial"/>
                  <w:i/>
                  <w:sz w:val="20"/>
                  <w:szCs w:val="20"/>
                  <w:lang w:val="es-ES_tradnl"/>
                </w:rPr>
              </m:ctrlPr>
            </m:sSubPr>
            <m:e>
              <m:r>
                <w:rPr>
                  <w:rFonts w:ascii="Cambria Math" w:hAnsi="Cambria Math" w:cs="Arial"/>
                  <w:sz w:val="20"/>
                  <w:szCs w:val="20"/>
                  <w:lang w:val="es-ES_tradnl"/>
                </w:rPr>
                <m:t>CG</m:t>
              </m:r>
            </m:e>
            <m:sub>
              <m:r>
                <w:rPr>
                  <w:rFonts w:ascii="Cambria Math" w:hAnsi="Cambria Math" w:cs="Arial"/>
                  <w:sz w:val="20"/>
                  <w:szCs w:val="20"/>
                  <w:lang w:val="es-ES_tradnl"/>
                </w:rPr>
                <m:t>m</m:t>
              </m:r>
            </m:sub>
          </m:sSub>
        </m:oMath>
      </m:oMathPara>
    </w:p>
    <w:p w:rsidR="000F27BF" w:rsidRPr="00DE6DCF" w:rsidRDefault="000F27BF" w:rsidP="00DE6DCF">
      <w:pPr>
        <w:jc w:val="center"/>
        <w:rPr>
          <w:rFonts w:ascii="Bookman Old Style" w:hAnsi="Bookman Old Style"/>
          <w:i/>
          <w:sz w:val="20"/>
          <w:szCs w:val="20"/>
        </w:rPr>
      </w:pPr>
    </w:p>
    <w:p w:rsidR="000F27BF" w:rsidRPr="00DE6DCF" w:rsidRDefault="000F27BF" w:rsidP="00DE6DCF">
      <w:pPr>
        <w:pStyle w:val="Textoindependiente3"/>
        <w:jc w:val="both"/>
        <w:rPr>
          <w:rFonts w:ascii="Bookman Old Style" w:hAnsi="Bookman Old Style"/>
          <w:b w:val="0"/>
          <w:i/>
          <w:sz w:val="20"/>
          <w:szCs w:val="20"/>
        </w:rPr>
      </w:pPr>
      <w:proofErr w:type="spellStart"/>
      <w:r w:rsidRPr="00DE6DCF">
        <w:rPr>
          <w:rFonts w:ascii="Bookman Old Style" w:hAnsi="Bookman Old Style"/>
          <w:b w:val="0"/>
          <w:i/>
          <w:sz w:val="20"/>
          <w:szCs w:val="20"/>
        </w:rPr>
        <w:t>Donde</w:t>
      </w:r>
      <w:proofErr w:type="spellEnd"/>
      <w:r w:rsidRPr="00DE6DCF">
        <w:rPr>
          <w:rFonts w:ascii="Bookman Old Style" w:hAnsi="Bookman Old Style"/>
          <w:b w:val="0"/>
          <w:i/>
          <w:sz w:val="20"/>
          <w:szCs w:val="20"/>
        </w:rPr>
        <w:t>:</w:t>
      </w:r>
    </w:p>
    <w:p w:rsidR="000F27BF" w:rsidRPr="00DE6DCF" w:rsidRDefault="000F27BF" w:rsidP="00DE6DCF">
      <w:pPr>
        <w:jc w:val="both"/>
        <w:rPr>
          <w:rFonts w:ascii="Bookman Old Style" w:hAnsi="Bookman Old Style" w:cs="Arial"/>
          <w:i/>
          <w:sz w:val="20"/>
          <w:szCs w:val="20"/>
        </w:rPr>
      </w:pPr>
    </w:p>
    <w:p w:rsidR="000F27BF" w:rsidRPr="00DE6DCF" w:rsidRDefault="00E2656C" w:rsidP="00DE6DCF">
      <w:pPr>
        <w:jc w:val="both"/>
        <w:rPr>
          <w:rFonts w:ascii="Bookman Old Style" w:hAnsi="Bookman Old Style" w:cs="Arial"/>
          <w:i/>
          <w:sz w:val="20"/>
          <w:szCs w:val="20"/>
        </w:rPr>
      </w:pPr>
      <m:oMath>
        <m:sSubSup>
          <m:sSubSupPr>
            <m:ctrlPr>
              <w:rPr>
                <w:rFonts w:ascii="Cambria Math" w:hAnsi="Cambria Math" w:cs="Arial"/>
                <w:i/>
                <w:sz w:val="20"/>
                <w:szCs w:val="20"/>
                <w:lang w:val="es-ES_tradnl"/>
              </w:rPr>
            </m:ctrlPr>
          </m:sSubSupPr>
          <m:e>
            <m:r>
              <w:rPr>
                <w:rFonts w:ascii="Cambria Math" w:hAnsi="Cambria Math" w:cs="Arial"/>
                <w:sz w:val="20"/>
                <w:szCs w:val="20"/>
                <w:lang w:val="es-ES_tradnl"/>
              </w:rPr>
              <m:t>C</m:t>
            </m:r>
          </m:e>
          <m:sub>
            <m:r>
              <w:rPr>
                <w:rFonts w:ascii="Cambria Math" w:hAnsi="Cambria Math" w:cs="Arial"/>
                <w:sz w:val="20"/>
                <w:szCs w:val="20"/>
                <w:lang w:val="es-ES_tradnl"/>
              </w:rPr>
              <m:t>m,t</m:t>
            </m:r>
          </m:sub>
          <m:sup>
            <m:r>
              <w:rPr>
                <w:rFonts w:ascii="Cambria Math" w:hAnsi="Cambria Math" w:cs="Arial"/>
                <w:sz w:val="20"/>
                <w:szCs w:val="20"/>
                <w:lang w:val="es-ES_tradnl"/>
              </w:rPr>
              <m:t>*</m:t>
            </m:r>
          </m:sup>
        </m:sSubSup>
      </m:oMath>
      <w:r w:rsidR="000F27BF" w:rsidRPr="00DE6DCF">
        <w:rPr>
          <w:rFonts w:ascii="Bookman Old Style" w:hAnsi="Bookman Old Style" w:cs="Arial"/>
          <w:i/>
          <w:sz w:val="20"/>
          <w:szCs w:val="20"/>
        </w:rPr>
        <w:t>:</w:t>
      </w:r>
      <w:r w:rsidR="000F27BF" w:rsidRPr="00DE6DCF">
        <w:rPr>
          <w:rFonts w:ascii="Bookman Old Style" w:hAnsi="Bookman Old Style" w:cs="Arial"/>
          <w:i/>
          <w:sz w:val="20"/>
          <w:szCs w:val="20"/>
        </w:rPr>
        <w:tab/>
        <w:t xml:space="preserve">Costo de comercialización definido de acuerdo con la siguiente expresión: </w:t>
      </w:r>
    </w:p>
    <w:p w:rsidR="000F27BF" w:rsidRPr="00DE6DCF" w:rsidRDefault="000F27BF" w:rsidP="00DE6DCF">
      <w:pPr>
        <w:jc w:val="both"/>
        <w:rPr>
          <w:rFonts w:ascii="Bookman Old Style" w:hAnsi="Bookman Old Style" w:cs="Arial"/>
          <w:b/>
          <w:bCs/>
          <w:i/>
          <w:sz w:val="20"/>
          <w:szCs w:val="20"/>
        </w:rPr>
      </w:pPr>
    </w:p>
    <w:p w:rsidR="0050721F" w:rsidRDefault="00E2656C" w:rsidP="00DE6DCF">
      <w:pPr>
        <w:jc w:val="center"/>
        <w:rPr>
          <w:rFonts w:ascii="Bookman Old Style" w:hAnsi="Bookman Old Style" w:cs="Arial"/>
          <w:i/>
          <w:sz w:val="20"/>
          <w:szCs w:val="20"/>
        </w:rPr>
      </w:pPr>
      <m:oMathPara>
        <m:oMath>
          <m:sSubSup>
            <m:sSubSupPr>
              <m:ctrlPr>
                <w:rPr>
                  <w:rFonts w:ascii="Cambria Math" w:hAnsi="Cambria Math" w:cs="Arial"/>
                  <w:i/>
                  <w:sz w:val="20"/>
                  <w:szCs w:val="20"/>
                  <w:lang w:val="es-ES_tradnl"/>
                </w:rPr>
              </m:ctrlPr>
            </m:sSubSupPr>
            <m:e>
              <m:r>
                <w:rPr>
                  <w:rFonts w:ascii="Cambria Math" w:hAnsi="Cambria Math" w:cs="Arial"/>
                  <w:sz w:val="20"/>
                  <w:szCs w:val="20"/>
                  <w:lang w:val="es-ES_tradnl"/>
                </w:rPr>
                <m:t>C</m:t>
              </m:r>
            </m:e>
            <m:sub>
              <m:r>
                <w:rPr>
                  <w:rFonts w:ascii="Cambria Math" w:hAnsi="Cambria Math" w:cs="Arial"/>
                  <w:sz w:val="20"/>
                  <w:szCs w:val="20"/>
                  <w:lang w:val="es-ES_tradnl"/>
                </w:rPr>
                <m:t>m,t</m:t>
              </m:r>
            </m:sub>
            <m:sup>
              <m:r>
                <w:rPr>
                  <w:rFonts w:ascii="Cambria Math" w:hAnsi="Cambria Math" w:cs="Arial"/>
                  <w:sz w:val="20"/>
                  <w:szCs w:val="20"/>
                  <w:lang w:val="es-ES_tradnl"/>
                </w:rPr>
                <m:t>*</m:t>
              </m:r>
            </m:sup>
          </m:sSubSup>
          <m:r>
            <w:rPr>
              <w:rFonts w:ascii="Cambria Math" w:hAnsi="Cambria Math" w:cs="Arial"/>
              <w:sz w:val="20"/>
              <w:szCs w:val="20"/>
              <w:lang w:val="es-ES_tradnl"/>
            </w:rPr>
            <m:t>=</m:t>
          </m:r>
          <m:f>
            <m:fPr>
              <m:ctrlPr>
                <w:rPr>
                  <w:rFonts w:ascii="Cambria Math" w:hAnsi="Cambria Math" w:cs="Arial"/>
                  <w:i/>
                  <w:sz w:val="20"/>
                  <w:szCs w:val="20"/>
                  <w:lang w:val="es-ES_tradnl"/>
                </w:rPr>
              </m:ctrlPr>
            </m:fPr>
            <m:num>
              <m:sSubSup>
                <m:sSubSupPr>
                  <m:ctrlPr>
                    <w:rPr>
                      <w:rFonts w:ascii="Cambria Math" w:hAnsi="Cambria Math" w:cs="Arial"/>
                      <w:i/>
                      <w:sz w:val="20"/>
                      <w:szCs w:val="20"/>
                      <w:lang w:val="es-ES_tradnl"/>
                    </w:rPr>
                  </m:ctrlPr>
                </m:sSubSupPr>
                <m:e>
                  <m:r>
                    <w:rPr>
                      <w:rFonts w:ascii="Cambria Math" w:hAnsi="Cambria Math" w:cs="Arial"/>
                      <w:sz w:val="20"/>
                      <w:szCs w:val="20"/>
                      <w:lang w:val="es-ES_tradnl"/>
                    </w:rPr>
                    <m:t>C</m:t>
                  </m:r>
                </m:e>
                <m:sub>
                  <m:r>
                    <w:rPr>
                      <w:rFonts w:ascii="Cambria Math" w:hAnsi="Cambria Math" w:cs="Arial"/>
                      <w:sz w:val="20"/>
                      <w:szCs w:val="20"/>
                      <w:lang w:val="es-ES_tradnl"/>
                    </w:rPr>
                    <m:t>0</m:t>
                  </m:r>
                </m:sub>
                <m:sup>
                  <m:r>
                    <w:rPr>
                      <w:rFonts w:ascii="Cambria Math" w:hAnsi="Cambria Math" w:cs="Arial"/>
                      <w:sz w:val="20"/>
                      <w:szCs w:val="20"/>
                      <w:lang w:val="es-ES_tradnl"/>
                    </w:rPr>
                    <m:t>*</m:t>
                  </m:r>
                </m:sup>
              </m:sSubSup>
            </m:num>
            <m:den>
              <m:sSub>
                <m:sSubPr>
                  <m:ctrlPr>
                    <w:rPr>
                      <w:rFonts w:ascii="Cambria Math" w:hAnsi="Cambria Math" w:cs="Arial"/>
                      <w:i/>
                      <w:sz w:val="20"/>
                      <w:szCs w:val="20"/>
                      <w:lang w:val="es-ES_tradnl"/>
                    </w:rPr>
                  </m:ctrlPr>
                </m:sSubPr>
                <m:e>
                  <m:r>
                    <w:rPr>
                      <w:rFonts w:ascii="Cambria Math" w:hAnsi="Cambria Math" w:cs="Arial"/>
                      <w:sz w:val="20"/>
                      <w:szCs w:val="20"/>
                      <w:lang w:val="es-ES_tradnl"/>
                    </w:rPr>
                    <m:t>CFM</m:t>
                  </m:r>
                </m:e>
                <m:sub>
                  <m:r>
                    <w:rPr>
                      <w:rFonts w:ascii="Cambria Math" w:hAnsi="Cambria Math" w:cs="Arial"/>
                      <w:sz w:val="20"/>
                      <w:szCs w:val="20"/>
                      <w:lang w:val="es-ES_tradnl"/>
                    </w:rPr>
                    <m:t>t-1</m:t>
                  </m:r>
                </m:sub>
              </m:sSub>
            </m:den>
          </m:f>
          <m:d>
            <m:dPr>
              <m:begChr m:val="["/>
              <m:endChr m:val="]"/>
              <m:ctrlPr>
                <w:rPr>
                  <w:rFonts w:ascii="Cambria Math" w:hAnsi="Cambria Math" w:cs="Arial"/>
                  <w:i/>
                  <w:sz w:val="20"/>
                  <w:szCs w:val="20"/>
                  <w:lang w:val="es-ES_tradnl"/>
                </w:rPr>
              </m:ctrlPr>
            </m:dPr>
            <m:e>
              <m:r>
                <w:rPr>
                  <w:rFonts w:ascii="Cambria Math" w:hAnsi="Cambria Math" w:cs="Arial"/>
                  <w:sz w:val="20"/>
                  <w:szCs w:val="20"/>
                  <w:lang w:val="es-ES_tradnl"/>
                </w:rPr>
                <m:t>1-∆IPSE</m:t>
              </m:r>
            </m:e>
          </m:d>
          <m:f>
            <m:fPr>
              <m:ctrlPr>
                <w:rPr>
                  <w:rFonts w:ascii="Cambria Math" w:hAnsi="Cambria Math" w:cs="Arial"/>
                  <w:i/>
                  <w:sz w:val="20"/>
                  <w:szCs w:val="20"/>
                  <w:lang w:val="es-ES_tradnl"/>
                </w:rPr>
              </m:ctrlPr>
            </m:fPr>
            <m:num>
              <m:sSub>
                <m:sSubPr>
                  <m:ctrlPr>
                    <w:rPr>
                      <w:rFonts w:ascii="Cambria Math" w:hAnsi="Cambria Math" w:cs="Arial"/>
                      <w:i/>
                      <w:sz w:val="20"/>
                      <w:szCs w:val="20"/>
                      <w:lang w:val="es-ES_tradnl"/>
                    </w:rPr>
                  </m:ctrlPr>
                </m:sSubPr>
                <m:e>
                  <m:r>
                    <w:rPr>
                      <w:rFonts w:ascii="Cambria Math" w:hAnsi="Cambria Math" w:cs="Arial"/>
                      <w:sz w:val="20"/>
                      <w:szCs w:val="20"/>
                      <w:lang w:val="es-ES_tradnl"/>
                    </w:rPr>
                    <m:t>IPC</m:t>
                  </m:r>
                </m:e>
                <m:sub>
                  <m:r>
                    <w:rPr>
                      <w:rFonts w:ascii="Cambria Math" w:hAnsi="Cambria Math" w:cs="Arial"/>
                      <w:sz w:val="20"/>
                      <w:szCs w:val="20"/>
                      <w:lang w:val="es-ES_tradnl"/>
                    </w:rPr>
                    <m:t>m-1</m:t>
                  </m:r>
                </m:sub>
              </m:sSub>
            </m:num>
            <m:den>
              <m:sSub>
                <m:sSubPr>
                  <m:ctrlPr>
                    <w:rPr>
                      <w:rFonts w:ascii="Cambria Math" w:hAnsi="Cambria Math" w:cs="Arial"/>
                      <w:i/>
                      <w:sz w:val="20"/>
                      <w:szCs w:val="20"/>
                      <w:lang w:val="es-ES_tradnl"/>
                    </w:rPr>
                  </m:ctrlPr>
                </m:sSubPr>
                <m:e>
                  <m:r>
                    <w:rPr>
                      <w:rFonts w:ascii="Cambria Math" w:hAnsi="Cambria Math" w:cs="Arial"/>
                      <w:sz w:val="20"/>
                      <w:szCs w:val="20"/>
                      <w:lang w:val="es-ES_tradnl"/>
                    </w:rPr>
                    <m:t>IPC</m:t>
                  </m:r>
                </m:e>
                <m:sub>
                  <m:r>
                    <w:rPr>
                      <w:rFonts w:ascii="Cambria Math" w:hAnsi="Cambria Math" w:cs="Arial"/>
                      <w:sz w:val="20"/>
                      <w:szCs w:val="20"/>
                      <w:lang w:val="es-ES_tradnl"/>
                    </w:rPr>
                    <m:t>0</m:t>
                  </m:r>
                </m:sub>
              </m:sSub>
            </m:den>
          </m:f>
        </m:oMath>
      </m:oMathPara>
    </w:p>
    <w:p w:rsidR="000F27BF" w:rsidRPr="00DE6DCF" w:rsidRDefault="000F27BF" w:rsidP="00DE6DCF">
      <w:pPr>
        <w:jc w:val="center"/>
        <w:rPr>
          <w:rFonts w:ascii="Bookman Old Style" w:hAnsi="Bookman Old Style" w:cs="Arial"/>
          <w:i/>
          <w:sz w:val="20"/>
          <w:szCs w:val="20"/>
        </w:rPr>
      </w:pPr>
    </w:p>
    <w:p w:rsidR="000F27BF" w:rsidRPr="00DE6DCF" w:rsidRDefault="000F27BF" w:rsidP="00DE6DCF">
      <w:pPr>
        <w:jc w:val="both"/>
        <w:rPr>
          <w:rFonts w:ascii="Bookman Old Style" w:hAnsi="Bookman Old Style" w:cs="Arial"/>
          <w:i/>
          <w:sz w:val="20"/>
          <w:szCs w:val="20"/>
        </w:rPr>
      </w:pPr>
      <w:r w:rsidRPr="00DE6DCF">
        <w:rPr>
          <w:rFonts w:ascii="Bookman Old Style" w:hAnsi="Bookman Old Style" w:cs="Arial"/>
          <w:i/>
          <w:sz w:val="20"/>
          <w:szCs w:val="20"/>
        </w:rPr>
        <w:t>Con:</w:t>
      </w:r>
    </w:p>
    <w:p w:rsidR="00DE6DCF" w:rsidRPr="00DE6DCF" w:rsidRDefault="00DE6DCF" w:rsidP="00DE6DCF">
      <w:pPr>
        <w:jc w:val="both"/>
        <w:rPr>
          <w:rFonts w:ascii="Bookman Old Style" w:hAnsi="Bookman Old Style" w:cs="Arial"/>
          <w:i/>
          <w:sz w:val="20"/>
          <w:szCs w:val="20"/>
        </w:rPr>
      </w:pPr>
    </w:p>
    <w:p w:rsidR="000F27BF" w:rsidRDefault="00E2656C" w:rsidP="00DE6DCF">
      <w:pPr>
        <w:ind w:left="1985" w:hanging="1419"/>
        <w:jc w:val="both"/>
        <w:rPr>
          <w:rFonts w:ascii="Bookman Old Style" w:hAnsi="Bookman Old Style" w:cs="Arial"/>
          <w:i/>
          <w:sz w:val="20"/>
          <w:szCs w:val="20"/>
        </w:rPr>
      </w:pPr>
      <m:oMath>
        <m:sSubSup>
          <m:sSubSupPr>
            <m:ctrlPr>
              <w:rPr>
                <w:rFonts w:ascii="Cambria Math" w:hAnsi="Cambria Math" w:cs="Arial"/>
                <w:i/>
                <w:sz w:val="20"/>
                <w:szCs w:val="20"/>
                <w:lang w:val="es-ES_tradnl"/>
              </w:rPr>
            </m:ctrlPr>
          </m:sSubSupPr>
          <m:e>
            <m:r>
              <w:rPr>
                <w:rFonts w:ascii="Cambria Math" w:hAnsi="Cambria Math" w:cs="Arial"/>
                <w:sz w:val="20"/>
                <w:szCs w:val="20"/>
                <w:lang w:val="es-ES_tradnl"/>
              </w:rPr>
              <m:t>C</m:t>
            </m:r>
          </m:e>
          <m:sub>
            <m:r>
              <w:rPr>
                <w:rFonts w:ascii="Cambria Math" w:hAnsi="Cambria Math" w:cs="Arial"/>
                <w:sz w:val="20"/>
                <w:szCs w:val="20"/>
                <w:lang w:val="es-ES_tradnl"/>
              </w:rPr>
              <m:t>0</m:t>
            </m:r>
          </m:sub>
          <m:sup>
            <m:r>
              <w:rPr>
                <w:rFonts w:ascii="Cambria Math" w:hAnsi="Cambria Math" w:cs="Arial"/>
                <w:sz w:val="20"/>
                <w:szCs w:val="20"/>
                <w:lang w:val="es-ES_tradnl"/>
              </w:rPr>
              <m:t>*</m:t>
            </m:r>
          </m:sup>
        </m:sSubSup>
      </m:oMath>
      <w:r w:rsidR="000F27BF" w:rsidRPr="00DE6DCF">
        <w:rPr>
          <w:rFonts w:ascii="Bookman Old Style" w:hAnsi="Bookman Old Style" w:cs="Arial"/>
          <w:i/>
          <w:sz w:val="20"/>
          <w:szCs w:val="20"/>
        </w:rPr>
        <w:t xml:space="preserve">: </w:t>
      </w:r>
      <w:r w:rsidR="00DE6DCF" w:rsidRPr="00DE6DCF">
        <w:rPr>
          <w:rFonts w:ascii="Bookman Old Style" w:hAnsi="Bookman Old Style" w:cs="Arial"/>
          <w:i/>
          <w:sz w:val="20"/>
          <w:szCs w:val="20"/>
        </w:rPr>
        <w:tab/>
      </w:r>
      <w:r w:rsidR="000F27BF" w:rsidRPr="00DE6DCF">
        <w:rPr>
          <w:rFonts w:ascii="Bookman Old Style" w:hAnsi="Bookman Old Style" w:cs="Arial"/>
          <w:i/>
          <w:iCs/>
          <w:sz w:val="20"/>
          <w:szCs w:val="20"/>
        </w:rPr>
        <w:t>El Costo Base de Comercialización expresado en $/Factura del Comercializador, determinado con base en lo dispuesto  en la Resolución CREG-031 de 1997.</w:t>
      </w:r>
    </w:p>
    <w:p w:rsidR="0050721F" w:rsidRPr="0050721F" w:rsidRDefault="0050721F" w:rsidP="00DE6DCF">
      <w:pPr>
        <w:ind w:left="1985" w:hanging="1419"/>
        <w:jc w:val="both"/>
        <w:rPr>
          <w:rFonts w:ascii="Bookman Old Style" w:hAnsi="Bookman Old Style" w:cs="Arial"/>
          <w:i/>
          <w:sz w:val="20"/>
          <w:szCs w:val="20"/>
        </w:rPr>
      </w:pPr>
    </w:p>
    <w:p w:rsidR="000F27BF" w:rsidRDefault="00E2656C" w:rsidP="00DE6DCF">
      <w:pPr>
        <w:ind w:left="1985" w:hanging="1419"/>
        <w:jc w:val="both"/>
        <w:rPr>
          <w:rFonts w:ascii="Bookman Old Style" w:hAnsi="Bookman Old Style" w:cs="Arial"/>
          <w:i/>
          <w:iCs/>
          <w:sz w:val="20"/>
          <w:szCs w:val="20"/>
        </w:rPr>
      </w:pPr>
      <m:oMath>
        <m:sSub>
          <m:sSubPr>
            <m:ctrlPr>
              <w:rPr>
                <w:rFonts w:ascii="Cambria Math" w:hAnsi="Cambria Math" w:cs="Arial"/>
                <w:i/>
                <w:sz w:val="20"/>
                <w:szCs w:val="20"/>
                <w:lang w:val="es-ES_tradnl"/>
              </w:rPr>
            </m:ctrlPr>
          </m:sSubPr>
          <m:e>
            <m:r>
              <w:rPr>
                <w:rFonts w:ascii="Cambria Math" w:hAnsi="Cambria Math" w:cs="Arial"/>
                <w:sz w:val="20"/>
                <w:szCs w:val="20"/>
                <w:lang w:val="es-ES_tradnl"/>
              </w:rPr>
              <m:t>CFM</m:t>
            </m:r>
          </m:e>
          <m:sub>
            <m:r>
              <w:rPr>
                <w:rFonts w:ascii="Cambria Math" w:hAnsi="Cambria Math" w:cs="Arial"/>
                <w:sz w:val="20"/>
                <w:szCs w:val="20"/>
                <w:lang w:val="es-ES_tradnl"/>
              </w:rPr>
              <m:t>t-1</m:t>
            </m:r>
          </m:sub>
        </m:sSub>
      </m:oMath>
      <w:r w:rsidR="000F27BF" w:rsidRPr="00DE6DCF">
        <w:rPr>
          <w:rFonts w:ascii="Bookman Old Style" w:hAnsi="Bookman Old Style" w:cs="Arial"/>
          <w:i/>
          <w:sz w:val="20"/>
          <w:szCs w:val="20"/>
        </w:rPr>
        <w:t>:</w:t>
      </w:r>
      <w:r w:rsidR="00DE6DCF" w:rsidRPr="00DE6DCF">
        <w:rPr>
          <w:rFonts w:ascii="Bookman Old Style" w:hAnsi="Bookman Old Style" w:cs="Arial"/>
          <w:i/>
          <w:sz w:val="20"/>
          <w:szCs w:val="20"/>
        </w:rPr>
        <w:tab/>
      </w:r>
      <w:r w:rsidR="000F27BF" w:rsidRPr="00DE6DCF">
        <w:rPr>
          <w:rFonts w:ascii="Bookman Old Style" w:hAnsi="Bookman Old Style" w:cs="Arial"/>
          <w:i/>
          <w:iCs/>
          <w:sz w:val="20"/>
          <w:szCs w:val="20"/>
        </w:rPr>
        <w:t xml:space="preserve">Consumo Facturado Medio del Comercializador Minorista en el año t-1 de los usuarios del Mercado de Comercialización correspondiente. (Total de </w:t>
      </w:r>
      <w:proofErr w:type="spellStart"/>
      <w:r w:rsidR="000F27BF" w:rsidRPr="00DE6DCF">
        <w:rPr>
          <w:rFonts w:ascii="Bookman Old Style" w:hAnsi="Bookman Old Style" w:cs="Arial"/>
          <w:i/>
          <w:iCs/>
          <w:sz w:val="20"/>
          <w:szCs w:val="20"/>
        </w:rPr>
        <w:t>kWh</w:t>
      </w:r>
      <w:proofErr w:type="spellEnd"/>
      <w:r w:rsidR="000F27BF" w:rsidRPr="00DE6DCF">
        <w:rPr>
          <w:rFonts w:ascii="Bookman Old Style" w:hAnsi="Bookman Old Style" w:cs="Arial"/>
          <w:i/>
          <w:iCs/>
          <w:sz w:val="20"/>
          <w:szCs w:val="20"/>
        </w:rPr>
        <w:t xml:space="preserve"> vendidos a usuarios regulados dividido entre el total de facturas expedidas a usuarios regulados, sin considerar las debidas a errores de facturación).  Las empresas deberán aplicar una transición gradual lineal para la exclusión de la demanda de usuarios no regulados del CFM de 6 meses. </w:t>
      </w:r>
    </w:p>
    <w:p w:rsidR="0050721F" w:rsidRPr="00DE6DCF" w:rsidRDefault="0050721F" w:rsidP="00DE6DCF">
      <w:pPr>
        <w:ind w:left="1985" w:hanging="1419"/>
        <w:jc w:val="both"/>
        <w:rPr>
          <w:rFonts w:ascii="Bookman Old Style" w:hAnsi="Bookman Old Style" w:cs="Arial"/>
          <w:i/>
          <w:iCs/>
          <w:sz w:val="20"/>
          <w:szCs w:val="20"/>
        </w:rPr>
      </w:pPr>
    </w:p>
    <w:p w:rsidR="000F27BF" w:rsidRDefault="0050721F" w:rsidP="00DE6DCF">
      <w:pPr>
        <w:ind w:left="1985" w:hanging="1419"/>
        <w:jc w:val="both"/>
        <w:rPr>
          <w:rFonts w:ascii="Bookman Old Style" w:hAnsi="Bookman Old Style" w:cs="Arial"/>
          <w:i/>
          <w:iCs/>
          <w:sz w:val="20"/>
          <w:szCs w:val="20"/>
          <w:u w:val="single"/>
        </w:rPr>
      </w:pPr>
      <m:oMath>
        <m:r>
          <w:rPr>
            <w:rFonts w:ascii="Cambria Math" w:hAnsi="Cambria Math" w:cs="Arial"/>
            <w:sz w:val="20"/>
            <w:szCs w:val="20"/>
            <w:lang w:val="es-ES_tradnl"/>
          </w:rPr>
          <m:t>∆IPSE</m:t>
        </m:r>
      </m:oMath>
      <w:r w:rsidR="000F27BF" w:rsidRPr="00DE6DCF">
        <w:rPr>
          <w:rFonts w:ascii="Bookman Old Style" w:hAnsi="Bookman Old Style" w:cs="Arial"/>
          <w:i/>
          <w:sz w:val="20"/>
          <w:szCs w:val="20"/>
        </w:rPr>
        <w:t>:</w:t>
      </w:r>
      <w:r w:rsidR="00DE6DCF" w:rsidRPr="00DE6DCF">
        <w:rPr>
          <w:rFonts w:ascii="Bookman Old Style" w:hAnsi="Bookman Old Style" w:cs="Arial"/>
          <w:i/>
          <w:sz w:val="20"/>
          <w:szCs w:val="20"/>
        </w:rPr>
        <w:tab/>
      </w:r>
      <w:r w:rsidR="000F27BF" w:rsidRPr="00DE6DCF">
        <w:rPr>
          <w:rFonts w:ascii="Bookman Old Style" w:hAnsi="Bookman Old Style" w:cs="Arial"/>
          <w:i/>
          <w:iCs/>
          <w:sz w:val="20"/>
          <w:szCs w:val="20"/>
          <w:u w:val="single"/>
        </w:rPr>
        <w:t>Variación acumulada en el Índice de Productividad del Sector Eléctrico. Esta variación se asumirá como del 1% anual.</w:t>
      </w:r>
    </w:p>
    <w:p w:rsidR="0050721F" w:rsidRPr="00DE6DCF" w:rsidRDefault="0050721F" w:rsidP="00DE6DCF">
      <w:pPr>
        <w:ind w:left="1985" w:hanging="1419"/>
        <w:jc w:val="both"/>
        <w:rPr>
          <w:rFonts w:ascii="Bookman Old Style" w:hAnsi="Bookman Old Style" w:cs="Arial"/>
          <w:i/>
          <w:sz w:val="20"/>
          <w:szCs w:val="20"/>
        </w:rPr>
      </w:pPr>
    </w:p>
    <w:p w:rsidR="000F27BF" w:rsidRDefault="00E2656C" w:rsidP="00DE6DCF">
      <w:pPr>
        <w:ind w:left="1985" w:hanging="1419"/>
        <w:jc w:val="both"/>
        <w:rPr>
          <w:rFonts w:ascii="Bookman Old Style" w:hAnsi="Bookman Old Style" w:cs="Arial"/>
          <w:i/>
          <w:iCs/>
          <w:sz w:val="20"/>
          <w:szCs w:val="20"/>
        </w:rPr>
      </w:pPr>
      <m:oMath>
        <m:sSub>
          <m:sSubPr>
            <m:ctrlPr>
              <w:rPr>
                <w:rFonts w:ascii="Cambria Math" w:hAnsi="Cambria Math" w:cs="Arial"/>
                <w:i/>
                <w:sz w:val="20"/>
                <w:szCs w:val="20"/>
                <w:lang w:val="es-ES_tradnl"/>
              </w:rPr>
            </m:ctrlPr>
          </m:sSubPr>
          <m:e>
            <m:r>
              <w:rPr>
                <w:rFonts w:ascii="Cambria Math" w:hAnsi="Cambria Math" w:cs="Arial"/>
                <w:sz w:val="20"/>
                <w:szCs w:val="20"/>
                <w:lang w:val="es-ES_tradnl"/>
              </w:rPr>
              <m:t>IPC</m:t>
            </m:r>
          </m:e>
          <m:sub>
            <m:r>
              <w:rPr>
                <w:rFonts w:ascii="Cambria Math" w:hAnsi="Cambria Math" w:cs="Arial"/>
                <w:sz w:val="20"/>
                <w:szCs w:val="20"/>
                <w:lang w:val="es-ES_tradnl"/>
              </w:rPr>
              <m:t>m-1</m:t>
            </m:r>
          </m:sub>
        </m:sSub>
      </m:oMath>
      <w:r w:rsidR="000F27BF" w:rsidRPr="00DE6DCF">
        <w:rPr>
          <w:rFonts w:ascii="Bookman Old Style" w:hAnsi="Bookman Old Style" w:cs="Arial"/>
          <w:i/>
          <w:sz w:val="20"/>
          <w:szCs w:val="20"/>
        </w:rPr>
        <w:t xml:space="preserve">: </w:t>
      </w:r>
      <w:r w:rsidR="00DE6DCF" w:rsidRPr="00DE6DCF">
        <w:rPr>
          <w:rFonts w:ascii="Bookman Old Style" w:hAnsi="Bookman Old Style" w:cs="Arial"/>
          <w:i/>
          <w:sz w:val="20"/>
          <w:szCs w:val="20"/>
        </w:rPr>
        <w:tab/>
      </w:r>
      <w:r w:rsidR="000F27BF" w:rsidRPr="00DE6DCF">
        <w:rPr>
          <w:rFonts w:ascii="Bookman Old Style" w:hAnsi="Bookman Old Style" w:cs="Arial"/>
          <w:i/>
          <w:iCs/>
          <w:sz w:val="20"/>
          <w:szCs w:val="20"/>
        </w:rPr>
        <w:t>Índice de Precios al Consumidor del mes m-1.</w:t>
      </w:r>
    </w:p>
    <w:p w:rsidR="0050721F" w:rsidRPr="00DE6DCF" w:rsidRDefault="0050721F" w:rsidP="00DE6DCF">
      <w:pPr>
        <w:ind w:left="1985" w:hanging="1419"/>
        <w:jc w:val="both"/>
        <w:rPr>
          <w:rFonts w:ascii="Bookman Old Style" w:hAnsi="Bookman Old Style" w:cs="Arial"/>
          <w:i/>
          <w:sz w:val="20"/>
          <w:szCs w:val="20"/>
        </w:rPr>
      </w:pPr>
    </w:p>
    <w:p w:rsidR="000F27BF" w:rsidRDefault="00E2656C" w:rsidP="00DE6DCF">
      <w:pPr>
        <w:ind w:left="1985" w:hanging="1419"/>
        <w:jc w:val="both"/>
        <w:rPr>
          <w:rFonts w:ascii="Bookman Old Style" w:hAnsi="Bookman Old Style" w:cs="Arial"/>
          <w:i/>
          <w:sz w:val="20"/>
          <w:szCs w:val="20"/>
        </w:rPr>
      </w:pPr>
      <m:oMath>
        <m:sSub>
          <m:sSubPr>
            <m:ctrlPr>
              <w:rPr>
                <w:rFonts w:ascii="Cambria Math" w:hAnsi="Cambria Math" w:cs="Arial"/>
                <w:i/>
                <w:sz w:val="20"/>
                <w:szCs w:val="20"/>
                <w:lang w:val="es-ES_tradnl"/>
              </w:rPr>
            </m:ctrlPr>
          </m:sSubPr>
          <m:e>
            <m:r>
              <w:rPr>
                <w:rFonts w:ascii="Cambria Math" w:hAnsi="Cambria Math" w:cs="Arial"/>
                <w:sz w:val="20"/>
                <w:szCs w:val="20"/>
                <w:lang w:val="es-ES_tradnl"/>
              </w:rPr>
              <m:t>IPC</m:t>
            </m:r>
          </m:e>
          <m:sub>
            <m:r>
              <w:rPr>
                <w:rFonts w:ascii="Cambria Math" w:hAnsi="Cambria Math" w:cs="Arial"/>
                <w:sz w:val="20"/>
                <w:szCs w:val="20"/>
                <w:lang w:val="es-ES_tradnl"/>
              </w:rPr>
              <m:t>0</m:t>
            </m:r>
          </m:sub>
        </m:sSub>
      </m:oMath>
      <w:r w:rsidR="000F27BF" w:rsidRPr="00DE6DCF">
        <w:rPr>
          <w:rFonts w:ascii="Bookman Old Style" w:hAnsi="Bookman Old Style" w:cs="Arial"/>
          <w:i/>
          <w:sz w:val="20"/>
          <w:szCs w:val="20"/>
        </w:rPr>
        <w:t xml:space="preserve">: </w:t>
      </w:r>
      <w:r w:rsidR="00DE6DCF" w:rsidRPr="00DE6DCF">
        <w:rPr>
          <w:rFonts w:ascii="Bookman Old Style" w:hAnsi="Bookman Old Style" w:cs="Arial"/>
          <w:i/>
          <w:sz w:val="20"/>
          <w:szCs w:val="20"/>
        </w:rPr>
        <w:tab/>
      </w:r>
      <w:r w:rsidR="000F27BF" w:rsidRPr="00DE6DCF">
        <w:rPr>
          <w:rFonts w:ascii="Bookman Old Style" w:hAnsi="Bookman Old Style" w:cs="Arial"/>
          <w:i/>
          <w:iCs/>
          <w:sz w:val="20"/>
          <w:szCs w:val="20"/>
        </w:rPr>
        <w:t>Índice de Precios al Consumidor del mes al que está referenciado el</w:t>
      </w:r>
      <w:r w:rsidR="000F27BF" w:rsidRPr="00DE6DCF">
        <w:rPr>
          <w:rFonts w:ascii="Bookman Old Style" w:hAnsi="Bookman Old Style" w:cs="Arial"/>
          <w:i/>
          <w:sz w:val="20"/>
          <w:szCs w:val="20"/>
        </w:rPr>
        <w:t xml:space="preserve"> C*</w:t>
      </w:r>
      <w:r w:rsidR="000F27BF" w:rsidRPr="00DE6DCF">
        <w:rPr>
          <w:rFonts w:ascii="Bookman Old Style" w:hAnsi="Bookman Old Style" w:cs="Arial"/>
          <w:i/>
          <w:sz w:val="20"/>
          <w:szCs w:val="20"/>
          <w:vertAlign w:val="subscript"/>
        </w:rPr>
        <w:t>0</w:t>
      </w:r>
      <w:r w:rsidR="000F27BF" w:rsidRPr="00DE6DCF">
        <w:rPr>
          <w:rFonts w:ascii="Bookman Old Style" w:hAnsi="Bookman Old Style" w:cs="Arial"/>
          <w:i/>
          <w:sz w:val="20"/>
          <w:szCs w:val="20"/>
        </w:rPr>
        <w:t>.</w:t>
      </w:r>
    </w:p>
    <w:p w:rsidR="0050721F" w:rsidRPr="00DE6DCF" w:rsidRDefault="0050721F" w:rsidP="00DE6DCF">
      <w:pPr>
        <w:ind w:left="1985" w:hanging="1419"/>
        <w:jc w:val="both"/>
        <w:rPr>
          <w:rFonts w:ascii="Bookman Old Style" w:hAnsi="Bookman Old Style" w:cs="Arial"/>
          <w:i/>
          <w:sz w:val="20"/>
          <w:szCs w:val="20"/>
        </w:rPr>
      </w:pPr>
    </w:p>
    <w:p w:rsidR="000F27BF" w:rsidRPr="00DE6DCF" w:rsidRDefault="00E2656C" w:rsidP="00DE6DCF">
      <w:pPr>
        <w:ind w:left="1985" w:hanging="1419"/>
        <w:jc w:val="both"/>
        <w:rPr>
          <w:rFonts w:ascii="Bookman Old Style" w:eastAsia="Gulim" w:hAnsi="Bookman Old Style"/>
          <w:i/>
          <w:sz w:val="20"/>
          <w:szCs w:val="20"/>
        </w:rPr>
      </w:pPr>
      <m:oMath>
        <m:sSub>
          <m:sSubPr>
            <m:ctrlPr>
              <w:rPr>
                <w:rFonts w:ascii="Cambria Math" w:hAnsi="Cambria Math" w:cs="Arial"/>
                <w:i/>
                <w:sz w:val="20"/>
                <w:szCs w:val="20"/>
                <w:lang w:val="es-ES_tradnl"/>
              </w:rPr>
            </m:ctrlPr>
          </m:sSubPr>
          <m:e>
            <m:r>
              <w:rPr>
                <w:rFonts w:ascii="Cambria Math" w:hAnsi="Cambria Math" w:cs="Arial"/>
                <w:sz w:val="20"/>
                <w:szCs w:val="20"/>
                <w:lang w:val="es-ES_tradnl"/>
              </w:rPr>
              <m:t>CG</m:t>
            </m:r>
          </m:e>
          <m:sub>
            <m:r>
              <w:rPr>
                <w:rFonts w:ascii="Cambria Math" w:hAnsi="Cambria Math" w:cs="Arial"/>
                <w:sz w:val="20"/>
                <w:szCs w:val="20"/>
                <w:lang w:val="es-ES_tradnl"/>
              </w:rPr>
              <m:t>m</m:t>
            </m:r>
          </m:sub>
        </m:sSub>
      </m:oMath>
      <w:r w:rsidR="000F27BF" w:rsidRPr="00DE6DCF">
        <w:rPr>
          <w:rFonts w:ascii="Bookman Old Style" w:hAnsi="Bookman Old Style"/>
          <w:i/>
          <w:iCs/>
          <w:sz w:val="20"/>
          <w:szCs w:val="20"/>
        </w:rPr>
        <w:t xml:space="preserve">: </w:t>
      </w:r>
      <w:r w:rsidR="00DE6DCF" w:rsidRPr="00DE6DCF">
        <w:rPr>
          <w:rFonts w:ascii="Bookman Old Style" w:hAnsi="Bookman Old Style"/>
          <w:i/>
          <w:iCs/>
          <w:sz w:val="20"/>
          <w:szCs w:val="20"/>
        </w:rPr>
        <w:tab/>
      </w:r>
      <w:r w:rsidR="000F27BF" w:rsidRPr="00DE6DCF">
        <w:rPr>
          <w:rFonts w:ascii="Bookman Old Style" w:hAnsi="Bookman Old Style"/>
          <w:i/>
          <w:sz w:val="20"/>
          <w:szCs w:val="20"/>
        </w:rPr>
        <w:t>Costos de Garantías en el Mercado Mayorista, expresados en $/</w:t>
      </w:r>
      <w:proofErr w:type="spellStart"/>
      <w:r w:rsidR="000F27BF" w:rsidRPr="00DE6DCF">
        <w:rPr>
          <w:rFonts w:ascii="Bookman Old Style" w:hAnsi="Bookman Old Style"/>
          <w:i/>
          <w:sz w:val="20"/>
          <w:szCs w:val="20"/>
        </w:rPr>
        <w:t>kWh</w:t>
      </w:r>
      <w:proofErr w:type="spellEnd"/>
      <w:r w:rsidR="000F27BF" w:rsidRPr="00DE6DCF">
        <w:rPr>
          <w:rFonts w:ascii="Bookman Old Style" w:hAnsi="Bookman Old Style"/>
          <w:i/>
          <w:sz w:val="20"/>
          <w:szCs w:val="20"/>
        </w:rPr>
        <w:t xml:space="preserve">, que se asignen al comercializador conforme la regulación vigente.  En la transición dichos costos corresponden a los que se ocasionan como consecuencia de la Resolución CREG 036 de 2006, o aquellas que la </w:t>
      </w:r>
      <w:r w:rsidR="000F27BF" w:rsidRPr="00DE6DCF">
        <w:rPr>
          <w:rFonts w:ascii="Bookman Old Style" w:hAnsi="Bookman Old Style" w:cs="Arial"/>
          <w:i/>
          <w:sz w:val="20"/>
          <w:szCs w:val="20"/>
        </w:rPr>
        <w:t>adicionen, modifiquen o sustituyan</w:t>
      </w:r>
      <w:r w:rsidR="000F27BF" w:rsidRPr="00DE6DCF">
        <w:rPr>
          <w:rFonts w:ascii="Bookman Old Style" w:hAnsi="Bookman Old Style"/>
          <w:i/>
          <w:sz w:val="20"/>
          <w:szCs w:val="20"/>
        </w:rPr>
        <w:t>.” (Subrayado fuera de texto original)</w:t>
      </w:r>
    </w:p>
    <w:p w:rsidR="00C91594" w:rsidRPr="00481CE3" w:rsidRDefault="00C91594" w:rsidP="004A6726">
      <w:pPr>
        <w:ind w:left="0"/>
        <w:jc w:val="both"/>
        <w:rPr>
          <w:rFonts w:ascii="Bookman Old Style" w:eastAsia="Gulim" w:hAnsi="Bookman Old Style"/>
        </w:rPr>
      </w:pPr>
    </w:p>
    <w:p w:rsidR="00213384" w:rsidRPr="00213384" w:rsidRDefault="00213384" w:rsidP="00213384">
      <w:pPr>
        <w:ind w:left="0"/>
        <w:jc w:val="both"/>
        <w:rPr>
          <w:rFonts w:ascii="Bookman Old Style" w:eastAsia="Gulim" w:hAnsi="Bookman Old Style"/>
        </w:rPr>
      </w:pPr>
      <w:r>
        <w:rPr>
          <w:rFonts w:ascii="Bookman Old Style" w:eastAsia="Gulim" w:hAnsi="Bookman Old Style"/>
        </w:rPr>
        <w:t>De acuerdo con lo anterior</w:t>
      </w:r>
      <w:r w:rsidRPr="00213384">
        <w:rPr>
          <w:rFonts w:ascii="Bookman Old Style" w:eastAsia="Gulim" w:hAnsi="Bookman Old Style"/>
        </w:rPr>
        <w:t xml:space="preserve"> es claro que hasta tanto se defina la metodología de remuneración de la actividad de comercialización los costos de la actividad se deberán calcular de acuerdo con la fórmula allí establecida y ésta incluye el ΔIPSE, variable que acumula una variación del 1% anual. </w:t>
      </w:r>
      <w:r>
        <w:rPr>
          <w:rFonts w:ascii="Bookman Old Style" w:eastAsia="Gulim" w:hAnsi="Bookman Old Style"/>
        </w:rPr>
        <w:t xml:space="preserve">Debe tenerse en cuenta </w:t>
      </w:r>
      <w:r w:rsidRPr="00213384">
        <w:rPr>
          <w:rFonts w:ascii="Bookman Old Style" w:eastAsia="Gulim" w:hAnsi="Bookman Old Style"/>
        </w:rPr>
        <w:t>que la definición de la variable no define un límite máximo para la misma.</w:t>
      </w:r>
    </w:p>
    <w:p w:rsidR="00213384" w:rsidRPr="00213384" w:rsidRDefault="00213384" w:rsidP="00213384">
      <w:pPr>
        <w:ind w:left="0"/>
        <w:jc w:val="both"/>
        <w:rPr>
          <w:rFonts w:ascii="Bookman Old Style" w:eastAsia="Gulim" w:hAnsi="Bookman Old Style"/>
        </w:rPr>
      </w:pPr>
    </w:p>
    <w:p w:rsidR="00213384" w:rsidRPr="00213384" w:rsidRDefault="00213384" w:rsidP="00213384">
      <w:pPr>
        <w:ind w:left="0" w:right="45"/>
        <w:jc w:val="both"/>
        <w:rPr>
          <w:rFonts w:ascii="Bookman Old Style" w:eastAsia="Gulim" w:hAnsi="Bookman Old Style"/>
        </w:rPr>
      </w:pPr>
      <w:r w:rsidRPr="00213384">
        <w:rPr>
          <w:rFonts w:ascii="Bookman Old Style" w:eastAsia="Gulim" w:hAnsi="Bookman Old Style"/>
        </w:rPr>
        <w:t>Adicionalmente, al referirse a la vigencia de la fórmula tarifaria general, el artículo 20 de la Resolución CREG 119 de 2007 establece que regirá a partir del 1° de febrero de 2008 por un periodo de cinco años, y vencido dicho período, esta fórmula continuará rigiendo mientras la Comisión no fije una nueva, en concordancia con lo dispuesto en el artículo 126 de la Ley 142 de 1994.</w:t>
      </w:r>
    </w:p>
    <w:p w:rsidR="00213384" w:rsidRPr="00213384" w:rsidRDefault="00213384" w:rsidP="00213384">
      <w:pPr>
        <w:ind w:left="0"/>
        <w:jc w:val="both"/>
        <w:rPr>
          <w:rFonts w:ascii="Bookman Old Style" w:eastAsia="Gulim" w:hAnsi="Bookman Old Style"/>
        </w:rPr>
      </w:pPr>
    </w:p>
    <w:p w:rsidR="00213384" w:rsidRPr="00213384" w:rsidRDefault="00213384" w:rsidP="00213384">
      <w:pPr>
        <w:ind w:left="0"/>
        <w:jc w:val="both"/>
        <w:rPr>
          <w:rFonts w:ascii="Bookman Old Style" w:eastAsia="Gulim" w:hAnsi="Bookman Old Style"/>
        </w:rPr>
      </w:pPr>
      <w:r w:rsidRPr="00213384">
        <w:rPr>
          <w:rFonts w:ascii="Bookman Old Style" w:eastAsia="Gulim" w:hAnsi="Bookman Old Style"/>
        </w:rPr>
        <w:t>De esta forma, no cabe interpretar que cada vez que se cumpla un período de cinco años de aplicación de la fórmula se deba dejar de aplicar los incrementos esperados en productividad.</w:t>
      </w:r>
    </w:p>
    <w:p w:rsidR="00C51E9B" w:rsidRPr="00925723" w:rsidRDefault="00C51E9B" w:rsidP="00631A51">
      <w:pPr>
        <w:ind w:left="0"/>
        <w:jc w:val="both"/>
        <w:rPr>
          <w:rFonts w:ascii="Bookman Old Style" w:eastAsia="Gulim" w:hAnsi="Bookman Old Style"/>
        </w:rPr>
      </w:pPr>
    </w:p>
    <w:p w:rsidR="00DC1FE6" w:rsidRDefault="00185C6C" w:rsidP="00631A51">
      <w:pPr>
        <w:ind w:left="0"/>
        <w:jc w:val="both"/>
        <w:rPr>
          <w:rFonts w:ascii="Bookman Old Style" w:eastAsia="Gulim" w:hAnsi="Bookman Old Style"/>
        </w:rPr>
      </w:pPr>
      <w:r>
        <w:rPr>
          <w:rFonts w:ascii="Bookman Old Style" w:eastAsia="Gulim" w:hAnsi="Bookman Old Style"/>
        </w:rPr>
        <w:t xml:space="preserve">Por lo anterior y como consecuencia de que </w:t>
      </w:r>
      <w:r w:rsidR="00DC1FE6">
        <w:rPr>
          <w:rFonts w:ascii="Bookman Old Style" w:eastAsia="Gulim" w:hAnsi="Bookman Old Style"/>
        </w:rPr>
        <w:t xml:space="preserve">la </w:t>
      </w:r>
      <w:r w:rsidR="0050721F">
        <w:rPr>
          <w:rFonts w:ascii="Bookman Old Style" w:eastAsia="Gulim" w:hAnsi="Bookman Old Style"/>
        </w:rPr>
        <w:t>R</w:t>
      </w:r>
      <w:r w:rsidR="00DC1FE6">
        <w:rPr>
          <w:rFonts w:ascii="Bookman Old Style" w:eastAsia="Gulim" w:hAnsi="Bookman Old Style"/>
        </w:rPr>
        <w:t xml:space="preserve">esolución CREG 119 de 2007 entró en vigencia el 20 de diciembre de 2007, fecha en la cual fue publicada en Diario oficial No </w:t>
      </w:r>
      <w:r w:rsidR="00DC1FE6" w:rsidRPr="00DC1FE6">
        <w:rPr>
          <w:rFonts w:ascii="Bookman Old Style" w:eastAsia="Gulim" w:hAnsi="Bookman Old Style"/>
        </w:rPr>
        <w:t>46.848</w:t>
      </w:r>
      <w:r w:rsidR="00DC1FE6">
        <w:rPr>
          <w:rFonts w:ascii="Bookman Old Style" w:eastAsia="Gulim" w:hAnsi="Bookman Old Style"/>
        </w:rPr>
        <w:t xml:space="preserve">, se tiene que a la fecha en que </w:t>
      </w:r>
      <w:r w:rsidR="00DC1FE6" w:rsidRPr="00DC1FE6">
        <w:rPr>
          <w:rFonts w:ascii="Bookman Old Style" w:eastAsia="Gulim" w:hAnsi="Bookman Old Style"/>
        </w:rPr>
        <w:t>se apr</w:t>
      </w:r>
      <w:r w:rsidR="00DC1FE6">
        <w:rPr>
          <w:rFonts w:ascii="Bookman Old Style" w:eastAsia="Gulim" w:hAnsi="Bookman Old Style"/>
        </w:rPr>
        <w:t>obó por parte de</w:t>
      </w:r>
      <w:r>
        <w:rPr>
          <w:rFonts w:ascii="Bookman Old Style" w:eastAsia="Gulim" w:hAnsi="Bookman Old Style"/>
        </w:rPr>
        <w:t xml:space="preserve"> </w:t>
      </w:r>
      <w:r w:rsidR="00DC1FE6">
        <w:rPr>
          <w:rFonts w:ascii="Bookman Old Style" w:eastAsia="Gulim" w:hAnsi="Bookman Old Style"/>
        </w:rPr>
        <w:t>l</w:t>
      </w:r>
      <w:r>
        <w:rPr>
          <w:rFonts w:ascii="Bookman Old Style" w:eastAsia="Gulim" w:hAnsi="Bookman Old Style"/>
        </w:rPr>
        <w:t>a</w:t>
      </w:r>
      <w:r w:rsidR="00DC1FE6">
        <w:rPr>
          <w:rFonts w:ascii="Bookman Old Style" w:eastAsia="Gulim" w:hAnsi="Bookman Old Style"/>
        </w:rPr>
        <w:t xml:space="preserve"> CREG </w:t>
      </w:r>
      <w:r w:rsidR="00DC1FE6" w:rsidRPr="00DC1FE6">
        <w:rPr>
          <w:rFonts w:ascii="Bookman Old Style" w:eastAsia="Gulim" w:hAnsi="Bookman Old Style"/>
        </w:rPr>
        <w:t>el factor de riesgo de cartera y el cargo de comercialización aplicables en el año 2013 al conjunto de barrios subnormales atendidos por la empresa Energía Social de La Costa S.A. E.S.P.</w:t>
      </w:r>
      <w:r w:rsidR="00DC1FE6">
        <w:rPr>
          <w:rFonts w:ascii="Bookman Old Style" w:eastAsia="Gulim" w:hAnsi="Bookman Old Style"/>
        </w:rPr>
        <w:t>, la v</w:t>
      </w:r>
      <w:r w:rsidR="00DC1FE6" w:rsidRPr="00DC1FE6">
        <w:rPr>
          <w:rFonts w:ascii="Bookman Old Style" w:eastAsia="Gulim" w:hAnsi="Bookman Old Style"/>
        </w:rPr>
        <w:t>ariación acumulada en el Índice de Productividad del Sector Eléctrico</w:t>
      </w:r>
      <w:r w:rsidR="00DC1FE6">
        <w:rPr>
          <w:rFonts w:ascii="Bookman Old Style" w:eastAsia="Gulim" w:hAnsi="Bookman Old Style"/>
        </w:rPr>
        <w:t xml:space="preserve"> e</w:t>
      </w:r>
      <w:r w:rsidR="00C977CE">
        <w:rPr>
          <w:rFonts w:ascii="Bookman Old Style" w:eastAsia="Gulim" w:hAnsi="Bookman Old Style"/>
        </w:rPr>
        <w:t xml:space="preserve">ra </w:t>
      </w:r>
      <w:r w:rsidR="00DC1FE6">
        <w:rPr>
          <w:rFonts w:ascii="Bookman Old Style" w:eastAsia="Gulim" w:hAnsi="Bookman Old Style"/>
        </w:rPr>
        <w:t>del 5</w:t>
      </w:r>
      <w:r w:rsidR="0050721F">
        <w:rPr>
          <w:rFonts w:ascii="Bookman Old Style" w:eastAsia="Gulim" w:hAnsi="Bookman Old Style"/>
        </w:rPr>
        <w:t>%, que corresponde al incremento del 1% anual desde la entrada en vigencia de la Resolución CREG 119 de 2007</w:t>
      </w:r>
      <w:r w:rsidR="00DC1FE6">
        <w:rPr>
          <w:rFonts w:ascii="Bookman Old Style" w:eastAsia="Gulim" w:hAnsi="Bookman Old Style"/>
        </w:rPr>
        <w:t>.</w:t>
      </w:r>
    </w:p>
    <w:p w:rsidR="0014323B" w:rsidRDefault="0014323B" w:rsidP="00631A51">
      <w:pPr>
        <w:ind w:left="0"/>
        <w:jc w:val="both"/>
        <w:rPr>
          <w:rFonts w:ascii="Bookman Old Style" w:eastAsia="Gulim" w:hAnsi="Bookman Old Style"/>
        </w:rPr>
      </w:pPr>
    </w:p>
    <w:p w:rsidR="00185C6C" w:rsidRDefault="00185C6C" w:rsidP="00631A51">
      <w:pPr>
        <w:ind w:left="0"/>
        <w:jc w:val="both"/>
        <w:rPr>
          <w:rFonts w:ascii="Bookman Old Style" w:eastAsia="Gulim" w:hAnsi="Bookman Old Style"/>
        </w:rPr>
      </w:pPr>
      <w:r>
        <w:rPr>
          <w:rFonts w:ascii="Bookman Old Style" w:eastAsia="Gulim" w:hAnsi="Bookman Old Style"/>
        </w:rPr>
        <w:t>En consideración a todo lo anterior debe concluirse que la aplicación del IPSE del 5% en la Resolución CREG 008 de 2013 está completamente ajustada a la regulación y normativa vigente</w:t>
      </w:r>
      <w:r w:rsidR="004A6726">
        <w:rPr>
          <w:rFonts w:ascii="Bookman Old Style" w:eastAsia="Gulim" w:hAnsi="Bookman Old Style"/>
        </w:rPr>
        <w:t>. P</w:t>
      </w:r>
      <w:r>
        <w:rPr>
          <w:rFonts w:ascii="Bookman Old Style" w:eastAsia="Gulim" w:hAnsi="Bookman Old Style"/>
        </w:rPr>
        <w:t xml:space="preserve">or lo tanto no se encuentra procedente el argumento esgrimido por la empresa. </w:t>
      </w:r>
    </w:p>
    <w:p w:rsidR="00185C6C" w:rsidRPr="007C4182" w:rsidRDefault="00185C6C" w:rsidP="00631A51">
      <w:pPr>
        <w:ind w:left="0"/>
        <w:jc w:val="both"/>
        <w:rPr>
          <w:rFonts w:ascii="Bookman Old Style" w:eastAsia="Gulim" w:hAnsi="Bookman Old Style"/>
        </w:rPr>
      </w:pPr>
    </w:p>
    <w:p w:rsidR="00185C6C" w:rsidRDefault="00185C6C" w:rsidP="00185C6C">
      <w:pPr>
        <w:ind w:left="0"/>
        <w:jc w:val="both"/>
        <w:rPr>
          <w:rFonts w:ascii="Bookman Old Style" w:eastAsia="Gulim" w:hAnsi="Bookman Old Style"/>
        </w:rPr>
      </w:pPr>
      <w:r>
        <w:rPr>
          <w:rFonts w:ascii="Bookman Old Style" w:eastAsia="Gulim" w:hAnsi="Bookman Old Style"/>
        </w:rPr>
        <w:t>Aunque e</w:t>
      </w:r>
      <w:r w:rsidR="00062BC5">
        <w:rPr>
          <w:rFonts w:ascii="Bookman Old Style" w:eastAsia="Gulim" w:hAnsi="Bookman Old Style"/>
        </w:rPr>
        <w:t>l</w:t>
      </w:r>
      <w:r w:rsidR="00062BC5" w:rsidRPr="00062BC5">
        <w:rPr>
          <w:rFonts w:ascii="Bookman Old Style" w:eastAsia="Gulim" w:hAnsi="Bookman Old Style"/>
        </w:rPr>
        <w:t xml:space="preserve"> recurrente expone en su escrito unos a</w:t>
      </w:r>
      <w:r w:rsidR="00C51E9B" w:rsidRPr="00062BC5">
        <w:rPr>
          <w:rFonts w:ascii="Bookman Old Style" w:eastAsia="Gulim" w:hAnsi="Bookman Old Style"/>
        </w:rPr>
        <w:t>rgumentos adicionales para la no aplicación del factor de productividad del 5%</w:t>
      </w:r>
      <w:r>
        <w:rPr>
          <w:rFonts w:ascii="Bookman Old Style" w:eastAsia="Gulim" w:hAnsi="Bookman Old Style"/>
        </w:rPr>
        <w:t xml:space="preserve">, debe anotarse que tales argumentos obedecen a consideraciones de la empresa sobre aspectos que deben desarrollarse en el marco de la comercialización de energía eléctrica y no son objeto de la decisión tomada por esta Comisión mediante la Resolución que se impugna.    </w:t>
      </w:r>
    </w:p>
    <w:p w:rsidR="00185C6C" w:rsidRDefault="00185C6C" w:rsidP="00185C6C">
      <w:pPr>
        <w:ind w:left="0"/>
        <w:jc w:val="both"/>
        <w:rPr>
          <w:rFonts w:ascii="Bookman Old Style" w:eastAsia="Gulim" w:hAnsi="Bookman Old Style"/>
        </w:rPr>
      </w:pPr>
    </w:p>
    <w:p w:rsidR="00185C6C" w:rsidRPr="004E2CF2" w:rsidRDefault="004E2CF2" w:rsidP="00185C6C">
      <w:pPr>
        <w:ind w:left="0"/>
        <w:jc w:val="both"/>
        <w:rPr>
          <w:rFonts w:ascii="Bookman Old Style" w:eastAsia="Gulim" w:hAnsi="Bookman Old Style"/>
          <w:lang w:val="es-CO"/>
        </w:rPr>
      </w:pPr>
      <w:r w:rsidRPr="004A6726">
        <w:rPr>
          <w:rFonts w:ascii="Bookman Old Style" w:eastAsia="Gulim" w:hAnsi="Bookman Old Style"/>
          <w:lang w:val="es-CO"/>
        </w:rPr>
        <w:t xml:space="preserve">La discusión sobre los aspectos mencionados </w:t>
      </w:r>
      <w:r w:rsidR="00185C6C" w:rsidRPr="004A6726">
        <w:rPr>
          <w:rFonts w:ascii="Bookman Old Style" w:eastAsia="Gulim" w:hAnsi="Bookman Old Style"/>
          <w:lang w:val="es-CO"/>
        </w:rPr>
        <w:t xml:space="preserve">corresponde a </w:t>
      </w:r>
      <w:r w:rsidRPr="004A6726">
        <w:rPr>
          <w:rFonts w:ascii="Bookman Old Style" w:eastAsia="Gulim" w:hAnsi="Bookman Old Style"/>
          <w:lang w:val="es-CO"/>
        </w:rPr>
        <w:t xml:space="preserve">los análisis que debe realizar la Comisión para expedir </w:t>
      </w:r>
      <w:r w:rsidR="00185C6C" w:rsidRPr="004A6726">
        <w:rPr>
          <w:rFonts w:ascii="Bookman Old Style" w:eastAsia="Gulim" w:hAnsi="Bookman Old Style"/>
          <w:lang w:val="es-CO"/>
        </w:rPr>
        <w:t>los criterios generales para determinar la remuneración de la actividad de comercialización de energía eléctrica a usuarios regulados en el Sistema Interconectado Nacional</w:t>
      </w:r>
      <w:r>
        <w:rPr>
          <w:rFonts w:ascii="Bookman Old Style" w:eastAsia="Gulim" w:hAnsi="Bookman Old Style"/>
          <w:lang w:val="es-CO"/>
        </w:rPr>
        <w:t xml:space="preserve">. Estos criterios fueron </w:t>
      </w:r>
      <w:r w:rsidRPr="004E2CF2">
        <w:rPr>
          <w:rFonts w:ascii="Bookman Old Style" w:eastAsia="Gulim" w:hAnsi="Bookman Old Style"/>
          <w:lang w:val="es-CO"/>
        </w:rPr>
        <w:t>publicados para consulta mediante la Resolución CREG 044 de 2013</w:t>
      </w:r>
      <w:r>
        <w:rPr>
          <w:rFonts w:ascii="Bookman Old Style" w:eastAsia="Gulim" w:hAnsi="Bookman Old Style"/>
          <w:lang w:val="es-CO"/>
        </w:rPr>
        <w:t xml:space="preserve"> y en consecuencia se revisarán durante dicho trámite</w:t>
      </w:r>
      <w:r w:rsidRPr="004E2CF2">
        <w:rPr>
          <w:rFonts w:ascii="Bookman Old Style" w:eastAsia="Gulim" w:hAnsi="Bookman Old Style"/>
          <w:lang w:val="es-CO"/>
        </w:rPr>
        <w:t>.</w:t>
      </w:r>
    </w:p>
    <w:p w:rsidR="00C51E9B" w:rsidRPr="00BA4674" w:rsidRDefault="00C51E9B" w:rsidP="00631A51">
      <w:pPr>
        <w:ind w:left="0"/>
        <w:jc w:val="both"/>
        <w:rPr>
          <w:rFonts w:ascii="Bookman Old Style" w:hAnsi="Bookman Old Style"/>
          <w:lang w:val="es-CO"/>
        </w:rPr>
      </w:pPr>
    </w:p>
    <w:p w:rsidR="00643979" w:rsidRPr="00B967A9" w:rsidRDefault="00643979" w:rsidP="00631A51">
      <w:pPr>
        <w:ind w:left="0"/>
        <w:jc w:val="both"/>
        <w:rPr>
          <w:rFonts w:ascii="Bookman Old Style" w:eastAsia="Gulim" w:hAnsi="Bookman Old Style"/>
        </w:rPr>
      </w:pPr>
      <w:r w:rsidRPr="00B967A9">
        <w:rPr>
          <w:rFonts w:ascii="Bookman Old Style" w:eastAsia="Gulim" w:hAnsi="Bookman Old Style"/>
        </w:rPr>
        <w:t xml:space="preserve">Después de analizar los argumentos presentados </w:t>
      </w:r>
      <w:r w:rsidR="008132ED" w:rsidRPr="00B967A9">
        <w:rPr>
          <w:rFonts w:ascii="Bookman Old Style" w:eastAsia="Gulim" w:hAnsi="Bookman Old Style"/>
        </w:rPr>
        <w:t xml:space="preserve">por la empresa </w:t>
      </w:r>
      <w:r w:rsidRPr="00B967A9">
        <w:rPr>
          <w:rFonts w:ascii="Bookman Old Style" w:eastAsia="Gulim" w:hAnsi="Bookman Old Style"/>
        </w:rPr>
        <w:t>no se accede a la petición presentada</w:t>
      </w:r>
      <w:r w:rsidR="00BA4674">
        <w:rPr>
          <w:rFonts w:ascii="Bookman Old Style" w:eastAsia="Gulim" w:hAnsi="Bookman Old Style"/>
        </w:rPr>
        <w:t>,</w:t>
      </w:r>
      <w:r w:rsidRPr="00B967A9">
        <w:rPr>
          <w:rFonts w:ascii="Bookman Old Style" w:eastAsia="Gulim" w:hAnsi="Bookman Old Style"/>
        </w:rPr>
        <w:t xml:space="preserve"> </w:t>
      </w:r>
      <w:r w:rsidR="008132ED" w:rsidRPr="00B967A9">
        <w:rPr>
          <w:rFonts w:ascii="Bookman Old Style" w:eastAsia="Gulim" w:hAnsi="Bookman Old Style"/>
        </w:rPr>
        <w:t xml:space="preserve">ya que </w:t>
      </w:r>
      <w:r w:rsidRPr="00B967A9">
        <w:rPr>
          <w:rFonts w:ascii="Bookman Old Style" w:eastAsia="Gulim" w:hAnsi="Bookman Old Style"/>
        </w:rPr>
        <w:t xml:space="preserve">el </w:t>
      </w:r>
      <w:r w:rsidR="008132ED" w:rsidRPr="00B967A9">
        <w:rPr>
          <w:rFonts w:ascii="Bookman Old Style" w:eastAsia="Gulim" w:hAnsi="Bookman Old Style"/>
        </w:rPr>
        <w:t xml:space="preserve">valor del 5% para la variable </w:t>
      </w:r>
      <w:r w:rsidR="008132ED" w:rsidRPr="00B967A9">
        <w:rPr>
          <w:rFonts w:ascii="Bookman Old Style" w:eastAsia="Gulim" w:hAnsi="Bookman Old Style"/>
          <w:i/>
        </w:rPr>
        <w:t>ΔIPSE</w:t>
      </w:r>
      <w:r w:rsidR="008132ED" w:rsidRPr="00B967A9">
        <w:rPr>
          <w:rFonts w:ascii="Bookman Old Style" w:eastAsia="Gulim" w:hAnsi="Bookman Old Style"/>
        </w:rPr>
        <w:t xml:space="preserve"> aplicada</w:t>
      </w:r>
      <w:r w:rsidRPr="00B967A9">
        <w:rPr>
          <w:rFonts w:ascii="Bookman Old Style" w:eastAsia="Gulim" w:hAnsi="Bookman Old Style"/>
        </w:rPr>
        <w:t xml:space="preserve"> para el año 2013 </w:t>
      </w:r>
      <w:r w:rsidR="00DF1CE5">
        <w:rPr>
          <w:rFonts w:ascii="Bookman Old Style" w:eastAsia="Gulim" w:hAnsi="Bookman Old Style"/>
        </w:rPr>
        <w:t xml:space="preserve">se </w:t>
      </w:r>
      <w:r w:rsidR="00DC1FE6">
        <w:rPr>
          <w:rFonts w:ascii="Bookman Old Style" w:eastAsia="Gulim" w:hAnsi="Bookman Old Style"/>
        </w:rPr>
        <w:t>encuentra</w:t>
      </w:r>
      <w:r w:rsidR="00DF1CE5">
        <w:rPr>
          <w:rFonts w:ascii="Bookman Old Style" w:eastAsia="Gulim" w:hAnsi="Bookman Old Style"/>
        </w:rPr>
        <w:t xml:space="preserve"> </w:t>
      </w:r>
      <w:r w:rsidR="006E736F">
        <w:rPr>
          <w:rFonts w:ascii="Bookman Old Style" w:eastAsia="Gulim" w:hAnsi="Bookman Old Style"/>
        </w:rPr>
        <w:t>ajustado</w:t>
      </w:r>
      <w:r w:rsidR="00DF1CE5">
        <w:rPr>
          <w:rFonts w:ascii="Bookman Old Style" w:eastAsia="Gulim" w:hAnsi="Bookman Old Style"/>
        </w:rPr>
        <w:t xml:space="preserve"> a la normativa vigente en especial  a lo establecido </w:t>
      </w:r>
      <w:r w:rsidRPr="006E736F">
        <w:rPr>
          <w:rFonts w:ascii="Bookman Old Style" w:eastAsia="Gulim" w:hAnsi="Bookman Old Style"/>
        </w:rPr>
        <w:t>en la Resolución CREG 119 de 2007.</w:t>
      </w:r>
    </w:p>
    <w:p w:rsidR="00C91594" w:rsidRPr="00B967A9" w:rsidRDefault="00C91594" w:rsidP="00631A51">
      <w:pPr>
        <w:ind w:left="0"/>
        <w:jc w:val="both"/>
        <w:rPr>
          <w:rFonts w:ascii="Bookman Old Style" w:hAnsi="Bookman Old Style"/>
        </w:rPr>
      </w:pPr>
    </w:p>
    <w:p w:rsidR="00F62F1A" w:rsidRDefault="00F62F1A" w:rsidP="00631A51">
      <w:pPr>
        <w:ind w:left="0"/>
        <w:jc w:val="both"/>
        <w:rPr>
          <w:rFonts w:ascii="Bookman Old Style" w:hAnsi="Bookman Old Style" w:cs="Arial"/>
          <w:szCs w:val="20"/>
          <w:lang w:val="es-ES_tradnl"/>
        </w:rPr>
      </w:pPr>
    </w:p>
    <w:p w:rsidR="00C91594" w:rsidRDefault="00575E62" w:rsidP="00631A51">
      <w:pPr>
        <w:ind w:left="0"/>
        <w:jc w:val="both"/>
        <w:rPr>
          <w:rFonts w:ascii="Bookman Old Style" w:hAnsi="Bookman Old Style" w:cs="Arial"/>
          <w:szCs w:val="20"/>
          <w:lang w:val="es-ES_tradnl"/>
        </w:rPr>
      </w:pPr>
      <w:r w:rsidRPr="00D03E47">
        <w:rPr>
          <w:rFonts w:ascii="Bookman Old Style" w:hAnsi="Bookman Old Style" w:cs="Arial"/>
          <w:szCs w:val="20"/>
          <w:lang w:val="es-ES_tradnl"/>
        </w:rPr>
        <w:t xml:space="preserve">La Comisión de Regulación de Energía y Gas, en su sesión </w:t>
      </w:r>
      <w:r w:rsidRPr="0012200E">
        <w:rPr>
          <w:rFonts w:ascii="Bookman Old Style" w:hAnsi="Bookman Old Style" w:cs="Arial"/>
          <w:szCs w:val="20"/>
          <w:lang w:val="es-ES_tradnl"/>
        </w:rPr>
        <w:t xml:space="preserve">No. </w:t>
      </w:r>
      <w:r>
        <w:rPr>
          <w:rFonts w:ascii="Bookman Old Style" w:hAnsi="Bookman Old Style" w:cs="Arial"/>
          <w:szCs w:val="20"/>
          <w:lang w:val="es-ES_tradnl"/>
        </w:rPr>
        <w:t>563</w:t>
      </w:r>
      <w:r w:rsidRPr="006C2F36">
        <w:rPr>
          <w:rFonts w:ascii="Bookman Old Style" w:hAnsi="Bookman Old Style" w:cs="Arial"/>
          <w:szCs w:val="20"/>
          <w:lang w:val="es-ES_tradnl"/>
        </w:rPr>
        <w:t xml:space="preserve">, </w:t>
      </w:r>
      <w:r w:rsidRPr="00D036CD">
        <w:rPr>
          <w:rFonts w:ascii="Bookman Old Style" w:hAnsi="Bookman Old Style" w:cs="Arial"/>
          <w:spacing w:val="-3"/>
        </w:rPr>
        <w:t>l</w:t>
      </w:r>
      <w:r>
        <w:rPr>
          <w:rFonts w:ascii="Bookman Old Style" w:hAnsi="Bookman Old Style" w:cs="Arial"/>
          <w:spacing w:val="-3"/>
        </w:rPr>
        <w:t>l</w:t>
      </w:r>
      <w:r w:rsidRPr="00D036CD">
        <w:rPr>
          <w:rFonts w:ascii="Bookman Old Style" w:hAnsi="Bookman Old Style" w:cs="Arial"/>
          <w:spacing w:val="-3"/>
        </w:rPr>
        <w:t xml:space="preserve">evada a cabo </w:t>
      </w:r>
      <w:r>
        <w:rPr>
          <w:rFonts w:ascii="Bookman Old Style" w:hAnsi="Bookman Old Style" w:cs="Arial"/>
          <w:spacing w:val="-3"/>
        </w:rPr>
        <w:t xml:space="preserve">el 21 </w:t>
      </w:r>
      <w:r w:rsidRPr="00D036CD">
        <w:rPr>
          <w:rFonts w:ascii="Bookman Old Style" w:hAnsi="Bookman Old Style" w:cs="Arial"/>
          <w:spacing w:val="-3"/>
        </w:rPr>
        <w:t xml:space="preserve">de </w:t>
      </w:r>
      <w:r>
        <w:rPr>
          <w:rFonts w:ascii="Bookman Old Style" w:hAnsi="Bookman Old Style" w:cs="Arial"/>
          <w:spacing w:val="-3"/>
        </w:rPr>
        <w:t>junio</w:t>
      </w:r>
      <w:r w:rsidRPr="00D036CD">
        <w:rPr>
          <w:rFonts w:ascii="Bookman Old Style" w:hAnsi="Bookman Old Style" w:cs="Arial"/>
          <w:spacing w:val="-3"/>
        </w:rPr>
        <w:t xml:space="preserve"> de 201</w:t>
      </w:r>
      <w:r>
        <w:rPr>
          <w:rFonts w:ascii="Bookman Old Style" w:hAnsi="Bookman Old Style" w:cs="Arial"/>
          <w:spacing w:val="-3"/>
        </w:rPr>
        <w:t>3</w:t>
      </w:r>
      <w:r w:rsidRPr="00D036CD">
        <w:rPr>
          <w:rFonts w:ascii="Bookman Old Style" w:hAnsi="Bookman Old Style" w:cs="Arial"/>
          <w:szCs w:val="20"/>
          <w:lang w:val="es-ES_tradnl"/>
        </w:rPr>
        <w:t>,</w:t>
      </w:r>
      <w:r w:rsidRPr="00D03E47">
        <w:rPr>
          <w:rFonts w:ascii="Bookman Old Style" w:hAnsi="Bookman Old Style" w:cs="Arial"/>
          <w:szCs w:val="20"/>
          <w:lang w:val="es-ES_tradnl"/>
        </w:rPr>
        <w:t xml:space="preserve"> aprobó</w:t>
      </w:r>
      <w:r>
        <w:rPr>
          <w:rFonts w:ascii="Bookman Old Style" w:hAnsi="Bookman Old Style" w:cs="Arial"/>
          <w:szCs w:val="20"/>
          <w:lang w:val="es-ES_tradnl"/>
        </w:rPr>
        <w:t xml:space="preserve"> expedir la presente Resolución.</w:t>
      </w:r>
    </w:p>
    <w:p w:rsidR="00575E62" w:rsidRDefault="00575E62" w:rsidP="00631A51">
      <w:pPr>
        <w:ind w:left="0"/>
        <w:jc w:val="both"/>
        <w:rPr>
          <w:rFonts w:ascii="Bookman Old Style" w:hAnsi="Bookman Old Style" w:cs="Arial"/>
          <w:szCs w:val="20"/>
          <w:lang w:val="es-ES_tradnl"/>
        </w:rPr>
      </w:pPr>
    </w:p>
    <w:p w:rsidR="00575E62" w:rsidRPr="00B967A9" w:rsidRDefault="00575E62" w:rsidP="00631A51">
      <w:pPr>
        <w:ind w:left="0"/>
        <w:jc w:val="both"/>
        <w:rPr>
          <w:rFonts w:ascii="Bookman Old Style" w:hAnsi="Bookman Old Style"/>
        </w:rPr>
      </w:pPr>
    </w:p>
    <w:p w:rsidR="00575E62" w:rsidRDefault="00575E62" w:rsidP="00631A51">
      <w:pPr>
        <w:jc w:val="center"/>
        <w:rPr>
          <w:rFonts w:ascii="Bookman Old Style" w:hAnsi="Bookman Old Style"/>
          <w:b/>
        </w:rPr>
      </w:pPr>
    </w:p>
    <w:p w:rsidR="00C7551E" w:rsidRPr="00B967A9" w:rsidRDefault="00C7551E" w:rsidP="00631A51">
      <w:pPr>
        <w:jc w:val="center"/>
        <w:rPr>
          <w:rFonts w:ascii="Bookman Old Style" w:hAnsi="Bookman Old Style"/>
          <w:b/>
        </w:rPr>
      </w:pPr>
      <w:r w:rsidRPr="00B967A9">
        <w:rPr>
          <w:rFonts w:ascii="Bookman Old Style" w:hAnsi="Bookman Old Style"/>
          <w:b/>
        </w:rPr>
        <w:t>R E S U E L V E:</w:t>
      </w:r>
    </w:p>
    <w:p w:rsidR="00C7551E" w:rsidRPr="00B967A9" w:rsidRDefault="00C7551E" w:rsidP="00631A51">
      <w:pPr>
        <w:ind w:left="0"/>
        <w:rPr>
          <w:rFonts w:ascii="Bookman Old Style" w:hAnsi="Bookman Old Style"/>
          <w:b/>
          <w:lang w:val="es-ES_tradnl"/>
        </w:rPr>
      </w:pPr>
    </w:p>
    <w:p w:rsidR="002435ED" w:rsidRPr="00B967A9" w:rsidRDefault="002435ED" w:rsidP="00631A51">
      <w:pPr>
        <w:ind w:left="0"/>
        <w:rPr>
          <w:rFonts w:ascii="Bookman Old Style" w:hAnsi="Bookman Old Style"/>
          <w:b/>
          <w:lang w:val="es-ES_tradnl"/>
        </w:rPr>
      </w:pPr>
    </w:p>
    <w:p w:rsidR="002435ED" w:rsidRPr="00B967A9" w:rsidRDefault="002435ED" w:rsidP="00631A51">
      <w:pPr>
        <w:tabs>
          <w:tab w:val="left" w:pos="0"/>
        </w:tabs>
        <w:ind w:left="0"/>
        <w:jc w:val="both"/>
        <w:rPr>
          <w:rFonts w:ascii="Bookman Old Style" w:hAnsi="Bookman Old Style" w:cs="Arial"/>
          <w:spacing w:val="-3"/>
        </w:rPr>
      </w:pPr>
      <w:r w:rsidRPr="00B967A9">
        <w:rPr>
          <w:rFonts w:ascii="Bookman Old Style" w:hAnsi="Bookman Old Style" w:cs="Arial"/>
          <w:b/>
          <w:spacing w:val="-3"/>
        </w:rPr>
        <w:t xml:space="preserve">Artículo 1. Decisión. </w:t>
      </w:r>
      <w:r w:rsidRPr="00B967A9">
        <w:rPr>
          <w:rFonts w:ascii="Bookman Old Style" w:hAnsi="Bookman Old Style" w:cs="Arial"/>
          <w:spacing w:val="-3"/>
        </w:rPr>
        <w:t>No reponer la Resolución CREG 008 de 201</w:t>
      </w:r>
      <w:r w:rsidR="00F20B67" w:rsidRPr="00B967A9">
        <w:rPr>
          <w:rFonts w:ascii="Bookman Old Style" w:hAnsi="Bookman Old Style" w:cs="Arial"/>
          <w:spacing w:val="-3"/>
        </w:rPr>
        <w:t>3</w:t>
      </w:r>
      <w:r w:rsidRPr="00B967A9">
        <w:rPr>
          <w:rFonts w:ascii="Bookman Old Style" w:hAnsi="Bookman Old Style" w:cs="Arial"/>
          <w:spacing w:val="-3"/>
        </w:rPr>
        <w:t>, “</w:t>
      </w:r>
      <w:r w:rsidRPr="00B967A9">
        <w:rPr>
          <w:rFonts w:ascii="Bookman Old Style" w:hAnsi="Bookman Old Style" w:cs="Arial"/>
        </w:rPr>
        <w:t>Por la cual se aprueban el factor de riesgo de cartera y el cargo de comercialización aplicables en el año 2013 al conjunto de barrios subnormales atendidos por la empresa Energía Social de La Costa S.A. E.S.P.</w:t>
      </w:r>
      <w:r w:rsidRPr="00B967A9">
        <w:rPr>
          <w:rFonts w:ascii="Bookman Old Style" w:hAnsi="Bookman Old Style" w:cs="Arial"/>
          <w:spacing w:val="-3"/>
        </w:rPr>
        <w:t>”</w:t>
      </w:r>
      <w:r w:rsidR="00BA4674">
        <w:rPr>
          <w:rFonts w:ascii="Bookman Old Style" w:hAnsi="Bookman Old Style" w:cs="Arial"/>
          <w:spacing w:val="-3"/>
        </w:rPr>
        <w:t>,</w:t>
      </w:r>
      <w:r w:rsidRPr="00B967A9">
        <w:rPr>
          <w:rFonts w:ascii="Bookman Old Style" w:hAnsi="Bookman Old Style" w:cs="Arial"/>
          <w:spacing w:val="-3"/>
        </w:rPr>
        <w:t xml:space="preserve"> por las razones expuestas en la parte motiva.</w:t>
      </w:r>
    </w:p>
    <w:p w:rsidR="002435ED" w:rsidRPr="00B967A9" w:rsidRDefault="002435ED" w:rsidP="00631A51">
      <w:pPr>
        <w:tabs>
          <w:tab w:val="left" w:pos="0"/>
        </w:tabs>
        <w:ind w:left="0"/>
        <w:jc w:val="both"/>
        <w:rPr>
          <w:rFonts w:ascii="Bookman Old Style" w:hAnsi="Bookman Old Style" w:cs="Arial"/>
          <w:bCs/>
          <w:spacing w:val="-4"/>
          <w:lang w:val="es-ES_tradnl"/>
        </w:rPr>
      </w:pPr>
    </w:p>
    <w:p w:rsidR="002435ED" w:rsidRPr="00B967A9" w:rsidRDefault="002435ED" w:rsidP="00631A51">
      <w:pPr>
        <w:ind w:left="0"/>
        <w:jc w:val="both"/>
        <w:rPr>
          <w:rFonts w:ascii="Bookman Old Style" w:hAnsi="Bookman Old Style" w:cs="Arial"/>
          <w:spacing w:val="-4"/>
        </w:rPr>
      </w:pPr>
      <w:r w:rsidRPr="00B967A9">
        <w:rPr>
          <w:rFonts w:ascii="Bookman Old Style" w:hAnsi="Bookman Old Style" w:cs="Arial"/>
          <w:b/>
          <w:bCs/>
          <w:spacing w:val="-4"/>
        </w:rPr>
        <w:t xml:space="preserve">Artículo 2. Notificaciones y Recursos. </w:t>
      </w:r>
      <w:r w:rsidRPr="00B967A9">
        <w:rPr>
          <w:rFonts w:ascii="Bookman Old Style" w:hAnsi="Bookman Old Style" w:cs="Arial"/>
          <w:spacing w:val="-4"/>
        </w:rPr>
        <w:t xml:space="preserve">La presente Resolución deberá notificarse a la empresa </w:t>
      </w:r>
      <w:r w:rsidRPr="00B967A9">
        <w:rPr>
          <w:rFonts w:ascii="Bookman Old Style" w:hAnsi="Bookman Old Style" w:cs="Arial"/>
        </w:rPr>
        <w:t>Energía Social de La Costa S.A. E.S.P.</w:t>
      </w:r>
      <w:r w:rsidRPr="00B967A9">
        <w:rPr>
          <w:rFonts w:ascii="Bookman Old Style" w:hAnsi="Bookman Old Style" w:cs="Arial"/>
          <w:spacing w:val="-4"/>
        </w:rPr>
        <w:t xml:space="preserve">, y publicarse en el </w:t>
      </w:r>
      <w:r w:rsidRPr="00B967A9">
        <w:rPr>
          <w:rFonts w:ascii="Bookman Old Style" w:hAnsi="Bookman Old Style" w:cs="Arial"/>
          <w:i/>
          <w:spacing w:val="-4"/>
        </w:rPr>
        <w:t>Diario Oficial</w:t>
      </w:r>
      <w:r w:rsidRPr="00B967A9">
        <w:rPr>
          <w:rFonts w:ascii="Bookman Old Style" w:hAnsi="Bookman Old Style" w:cs="Arial"/>
          <w:spacing w:val="-4"/>
        </w:rPr>
        <w:t>. Contra lo dispuesto en este acto no procede ningún recurso</w:t>
      </w:r>
      <w:r w:rsidR="002B0B13" w:rsidRPr="00B967A9">
        <w:rPr>
          <w:rFonts w:ascii="Bookman Old Style" w:hAnsi="Bookman Old Style" w:cs="Arial"/>
          <w:spacing w:val="-4"/>
        </w:rPr>
        <w:t xml:space="preserve"> por agotamiento de la vía gubernativa</w:t>
      </w:r>
      <w:r w:rsidRPr="00B967A9">
        <w:rPr>
          <w:rFonts w:ascii="Bookman Old Style" w:hAnsi="Bookman Old Style" w:cs="Arial"/>
          <w:spacing w:val="-4"/>
        </w:rPr>
        <w:t>.</w:t>
      </w:r>
    </w:p>
    <w:p w:rsidR="002435ED" w:rsidRPr="00B967A9" w:rsidRDefault="002435ED" w:rsidP="00631A51">
      <w:pPr>
        <w:rPr>
          <w:rFonts w:ascii="Bookman Old Style" w:hAnsi="Bookman Old Style" w:cs="Arial"/>
          <w:spacing w:val="-4"/>
          <w:sz w:val="20"/>
        </w:rPr>
      </w:pPr>
    </w:p>
    <w:p w:rsidR="002435ED" w:rsidRPr="00B967A9" w:rsidRDefault="002435ED" w:rsidP="00631A51">
      <w:pPr>
        <w:rPr>
          <w:rFonts w:ascii="Bookman Old Style" w:hAnsi="Bookman Old Style" w:cs="Arial"/>
          <w:spacing w:val="-4"/>
        </w:rPr>
      </w:pPr>
    </w:p>
    <w:p w:rsidR="002435ED" w:rsidRPr="00B967A9" w:rsidRDefault="002435ED" w:rsidP="00631A51">
      <w:pPr>
        <w:jc w:val="center"/>
        <w:rPr>
          <w:rFonts w:ascii="Bookman Old Style" w:hAnsi="Bookman Old Style" w:cs="Arial"/>
          <w:b/>
        </w:rPr>
      </w:pPr>
      <w:r w:rsidRPr="00B967A9">
        <w:rPr>
          <w:rFonts w:ascii="Bookman Old Style" w:hAnsi="Bookman Old Style" w:cs="Arial"/>
          <w:b/>
        </w:rPr>
        <w:t>NOTIFÍQUESE, PUBLÍQUESE Y CÚMPLASE,</w:t>
      </w:r>
    </w:p>
    <w:p w:rsidR="002435ED" w:rsidRPr="00B967A9" w:rsidRDefault="002435ED" w:rsidP="00631A51">
      <w:pPr>
        <w:rPr>
          <w:rFonts w:ascii="Bookman Old Style" w:hAnsi="Bookman Old Style" w:cs="Arial"/>
          <w:sz w:val="28"/>
        </w:rPr>
      </w:pPr>
    </w:p>
    <w:p w:rsidR="002435ED" w:rsidRPr="00B967A9" w:rsidRDefault="002435ED" w:rsidP="00631A51">
      <w:pPr>
        <w:ind w:left="0"/>
        <w:rPr>
          <w:rFonts w:ascii="Bookman Old Style" w:hAnsi="Bookman Old Style" w:cs="Arial"/>
        </w:rPr>
      </w:pPr>
      <w:r w:rsidRPr="00B967A9">
        <w:rPr>
          <w:rFonts w:ascii="Bookman Old Style" w:hAnsi="Bookman Old Style" w:cs="Arial"/>
        </w:rPr>
        <w:t>Dada en Bogotá, a los</w:t>
      </w:r>
    </w:p>
    <w:p w:rsidR="002435ED" w:rsidRPr="00B967A9" w:rsidRDefault="002435ED" w:rsidP="00631A51">
      <w:pPr>
        <w:ind w:left="0"/>
        <w:rPr>
          <w:rFonts w:ascii="Bookman Old Style" w:hAnsi="Bookman Old Style"/>
        </w:rPr>
      </w:pPr>
    </w:p>
    <w:p w:rsidR="002435ED" w:rsidRPr="00B967A9" w:rsidRDefault="002435ED" w:rsidP="00631A51">
      <w:pPr>
        <w:ind w:left="0"/>
        <w:rPr>
          <w:rFonts w:ascii="Bookman Old Style" w:hAnsi="Bookman Old Style"/>
        </w:rPr>
      </w:pPr>
    </w:p>
    <w:p w:rsidR="002435ED" w:rsidRPr="00B967A9" w:rsidRDefault="002435ED" w:rsidP="00631A51">
      <w:pPr>
        <w:ind w:left="0"/>
        <w:rPr>
          <w:rFonts w:ascii="Bookman Old Style" w:hAnsi="Bookman Old Style"/>
        </w:rPr>
      </w:pPr>
    </w:p>
    <w:p w:rsidR="002435ED" w:rsidRPr="00B967A9" w:rsidRDefault="002435ED" w:rsidP="00631A51">
      <w:pPr>
        <w:ind w:left="0"/>
        <w:rPr>
          <w:rFonts w:ascii="Bookman Old Style" w:hAnsi="Bookman Old Style"/>
        </w:rPr>
      </w:pPr>
    </w:p>
    <w:tbl>
      <w:tblPr>
        <w:tblW w:w="9693" w:type="dxa"/>
        <w:jc w:val="center"/>
        <w:tblInd w:w="-232" w:type="dxa"/>
        <w:tblLayout w:type="fixed"/>
        <w:tblCellMar>
          <w:left w:w="70" w:type="dxa"/>
          <w:right w:w="70" w:type="dxa"/>
        </w:tblCellMar>
        <w:tblLook w:val="04A0" w:firstRow="1" w:lastRow="0" w:firstColumn="1" w:lastColumn="0" w:noHBand="0" w:noVBand="1"/>
      </w:tblPr>
      <w:tblGrid>
        <w:gridCol w:w="4917"/>
        <w:gridCol w:w="4776"/>
      </w:tblGrid>
      <w:tr w:rsidR="002435ED" w:rsidRPr="00B967A9" w:rsidTr="005C3284">
        <w:trPr>
          <w:trHeight w:val="329"/>
          <w:jc w:val="center"/>
        </w:trPr>
        <w:tc>
          <w:tcPr>
            <w:tcW w:w="4917" w:type="dxa"/>
            <w:vAlign w:val="center"/>
          </w:tcPr>
          <w:p w:rsidR="002435ED" w:rsidRPr="00B967A9" w:rsidRDefault="002435ED" w:rsidP="00631A51">
            <w:pPr>
              <w:ind w:left="0"/>
              <w:jc w:val="center"/>
              <w:rPr>
                <w:rFonts w:ascii="Bookman Old Style" w:hAnsi="Bookman Old Style" w:cs="Arial"/>
                <w:b/>
                <w:spacing w:val="-3"/>
              </w:rPr>
            </w:pPr>
          </w:p>
          <w:p w:rsidR="002435ED" w:rsidRPr="00B967A9" w:rsidRDefault="002435ED" w:rsidP="00631A51">
            <w:pPr>
              <w:ind w:left="0"/>
              <w:jc w:val="center"/>
              <w:rPr>
                <w:rFonts w:ascii="Bookman Old Style" w:hAnsi="Bookman Old Style" w:cs="Arial"/>
                <w:b/>
                <w:spacing w:val="-3"/>
              </w:rPr>
            </w:pPr>
            <w:r w:rsidRPr="00B967A9">
              <w:rPr>
                <w:rFonts w:ascii="Bookman Old Style" w:hAnsi="Bookman Old Style" w:cs="Arial"/>
                <w:b/>
                <w:spacing w:val="-3"/>
              </w:rPr>
              <w:t>ORLANDO CABRALES SEGOVIA</w:t>
            </w:r>
          </w:p>
        </w:tc>
        <w:tc>
          <w:tcPr>
            <w:tcW w:w="4776" w:type="dxa"/>
            <w:vAlign w:val="center"/>
            <w:hideMark/>
          </w:tcPr>
          <w:p w:rsidR="002435ED" w:rsidRPr="00B967A9" w:rsidRDefault="002435ED" w:rsidP="00631A51">
            <w:pPr>
              <w:ind w:left="72"/>
              <w:jc w:val="center"/>
              <w:rPr>
                <w:rFonts w:ascii="Bookman Old Style" w:hAnsi="Bookman Old Style" w:cs="Arial"/>
                <w:b/>
                <w:spacing w:val="-3"/>
              </w:rPr>
            </w:pPr>
            <w:r w:rsidRPr="00B967A9">
              <w:rPr>
                <w:rFonts w:ascii="Bookman Old Style" w:hAnsi="Bookman Old Style" w:cs="Arial"/>
                <w:b/>
                <w:spacing w:val="-3"/>
              </w:rPr>
              <w:t>GERMÁN CASTRO FERREIRA</w:t>
            </w:r>
          </w:p>
        </w:tc>
      </w:tr>
      <w:tr w:rsidR="002435ED" w:rsidRPr="00B967A9" w:rsidTr="005C3284">
        <w:trPr>
          <w:jc w:val="center"/>
        </w:trPr>
        <w:tc>
          <w:tcPr>
            <w:tcW w:w="4917" w:type="dxa"/>
            <w:hideMark/>
          </w:tcPr>
          <w:p w:rsidR="002435ED" w:rsidRPr="00AB1E37" w:rsidRDefault="002435ED" w:rsidP="00631A51">
            <w:pPr>
              <w:snapToGrid w:val="0"/>
              <w:ind w:left="27"/>
              <w:jc w:val="center"/>
              <w:rPr>
                <w:rFonts w:ascii="Bookman Old Style" w:hAnsi="Bookman Old Style" w:cs="Arial"/>
              </w:rPr>
            </w:pPr>
            <w:r w:rsidRPr="00AB1E37">
              <w:rPr>
                <w:rFonts w:ascii="Bookman Old Style" w:hAnsi="Bookman Old Style" w:cs="Arial"/>
              </w:rPr>
              <w:t>Viceministro de Energía</w:t>
            </w:r>
            <w:r w:rsidRPr="00AB1E37">
              <w:rPr>
                <w:rFonts w:ascii="Bookman Old Style" w:hAnsi="Bookman Old Style" w:cs="Arial"/>
              </w:rPr>
              <w:br/>
              <w:t>Delegado del Ministro de Minas y Energía</w:t>
            </w:r>
          </w:p>
        </w:tc>
        <w:tc>
          <w:tcPr>
            <w:tcW w:w="4776" w:type="dxa"/>
            <w:hideMark/>
          </w:tcPr>
          <w:p w:rsidR="002435ED" w:rsidRPr="00AB1E37" w:rsidRDefault="002435ED" w:rsidP="00631A51">
            <w:pPr>
              <w:jc w:val="center"/>
              <w:rPr>
                <w:rFonts w:ascii="Bookman Old Style" w:hAnsi="Bookman Old Style" w:cs="Arial"/>
                <w:spacing w:val="-3"/>
              </w:rPr>
            </w:pPr>
            <w:r w:rsidRPr="00AB1E37">
              <w:rPr>
                <w:rFonts w:ascii="Bookman Old Style" w:hAnsi="Bookman Old Style" w:cs="Arial"/>
                <w:spacing w:val="-3"/>
              </w:rPr>
              <w:t>Director Ejecutivo</w:t>
            </w:r>
          </w:p>
        </w:tc>
      </w:tr>
      <w:tr w:rsidR="002435ED" w:rsidRPr="00B967A9" w:rsidTr="005C3284">
        <w:trPr>
          <w:jc w:val="center"/>
        </w:trPr>
        <w:tc>
          <w:tcPr>
            <w:tcW w:w="4917" w:type="dxa"/>
            <w:hideMark/>
          </w:tcPr>
          <w:p w:rsidR="002435ED" w:rsidRPr="00AB1E37" w:rsidRDefault="002435ED" w:rsidP="00AB1E37">
            <w:pPr>
              <w:snapToGrid w:val="0"/>
              <w:ind w:left="0"/>
              <w:jc w:val="center"/>
              <w:rPr>
                <w:rFonts w:ascii="Bookman Old Style" w:hAnsi="Bookman Old Style" w:cs="Arial"/>
              </w:rPr>
            </w:pPr>
            <w:r w:rsidRPr="00AB1E37">
              <w:rPr>
                <w:rFonts w:ascii="Bookman Old Style" w:hAnsi="Bookman Old Style" w:cs="Arial"/>
              </w:rPr>
              <w:t>Presidente</w:t>
            </w:r>
          </w:p>
        </w:tc>
        <w:tc>
          <w:tcPr>
            <w:tcW w:w="4776" w:type="dxa"/>
          </w:tcPr>
          <w:p w:rsidR="002435ED" w:rsidRPr="00AB1E37" w:rsidRDefault="002435ED" w:rsidP="00631A51">
            <w:pPr>
              <w:jc w:val="center"/>
              <w:rPr>
                <w:rFonts w:ascii="Bookman Old Style" w:hAnsi="Bookman Old Style" w:cs="Arial"/>
                <w:spacing w:val="-3"/>
                <w:u w:val="single"/>
              </w:rPr>
            </w:pPr>
          </w:p>
        </w:tc>
      </w:tr>
    </w:tbl>
    <w:p w:rsidR="0032778C" w:rsidRPr="00B967A9" w:rsidRDefault="0032778C" w:rsidP="00DE6DCF">
      <w:pPr>
        <w:ind w:left="0"/>
        <w:rPr>
          <w:rFonts w:ascii="Bookman Old Style" w:hAnsi="Bookman Old Style"/>
          <w:b/>
          <w:lang w:val="es-ES_tradnl"/>
        </w:rPr>
      </w:pPr>
    </w:p>
    <w:sectPr w:rsidR="0032778C" w:rsidRPr="00B967A9" w:rsidSect="00575E62">
      <w:headerReference w:type="default" r:id="rId17"/>
      <w:headerReference w:type="first" r:id="rId18"/>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C6C" w:rsidRDefault="00185C6C">
      <w:r>
        <w:separator/>
      </w:r>
    </w:p>
  </w:endnote>
  <w:endnote w:type="continuationSeparator" w:id="0">
    <w:p w:rsidR="00185C6C" w:rsidRDefault="0018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C6C" w:rsidRDefault="00185C6C">
      <w:r>
        <w:separator/>
      </w:r>
    </w:p>
  </w:footnote>
  <w:footnote w:type="continuationSeparator" w:id="0">
    <w:p w:rsidR="00185C6C" w:rsidRDefault="00185C6C">
      <w:r>
        <w:continuationSeparator/>
      </w:r>
    </w:p>
  </w:footnote>
  <w:footnote w:id="1">
    <w:p w:rsidR="00185C6C" w:rsidRPr="00BE162C" w:rsidRDefault="00185C6C">
      <w:pPr>
        <w:pStyle w:val="Textonotapie"/>
        <w:rPr>
          <w:rFonts w:ascii="Bookman Old Style" w:hAnsi="Bookman Old Style"/>
          <w:lang w:val="es-CO"/>
        </w:rPr>
      </w:pPr>
      <w:r w:rsidRPr="007B4E66">
        <w:rPr>
          <w:rStyle w:val="Refdenotaalpie"/>
          <w:rFonts w:ascii="Bookman Old Style" w:hAnsi="Bookman Old Style"/>
        </w:rPr>
        <w:footnoteRef/>
      </w:r>
      <w:r w:rsidRPr="007B4E66">
        <w:rPr>
          <w:rFonts w:ascii="Bookman Old Style" w:hAnsi="Bookman Old Style"/>
        </w:rPr>
        <w:t xml:space="preserve"> </w:t>
      </w:r>
      <w:r w:rsidRPr="007B4E66">
        <w:rPr>
          <w:rFonts w:ascii="Bookman Old Style" w:hAnsi="Bookman Old Style"/>
          <w:lang w:val="es-CO"/>
        </w:rPr>
        <w:t>El recaudo de los usuarios se toma de acuerdo con lo establecido en los artículos 1, 2, 3 y 4 de la Resolución CREG 096 de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C6C" w:rsidRDefault="00185C6C" w:rsidP="00951F79">
    <w:pPr>
      <w:pStyle w:val="Ttulo1"/>
      <w:ind w:right="6"/>
      <w:jc w:val="left"/>
      <w:rPr>
        <w:rFonts w:ascii="Bookman Old Style" w:hAnsi="Bookman Old Style" w:cs="Arial"/>
        <w:b w:val="0"/>
        <w:sz w:val="22"/>
        <w:szCs w:val="22"/>
      </w:rPr>
    </w:pPr>
  </w:p>
  <w:p w:rsidR="00185C6C" w:rsidRPr="00951F79" w:rsidRDefault="00185C6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fldChar w:fldCharType="begin"/>
    </w:r>
    <w:r>
      <w:instrText xml:space="preserve"> PAGE   \* MERGEFORMAT </w:instrText>
    </w:r>
    <w:r>
      <w:fldChar w:fldCharType="separate"/>
    </w:r>
    <w:r w:rsidR="00E2656C" w:rsidRPr="00E2656C">
      <w:rPr>
        <w:rFonts w:ascii="Bookman Old Style" w:hAnsi="Bookman Old Style" w:cs="Arial"/>
        <w:b w:val="0"/>
        <w:noProof/>
        <w:sz w:val="22"/>
        <w:szCs w:val="22"/>
      </w:rPr>
      <w:t>13</w:t>
    </w:r>
    <w:r>
      <w:rPr>
        <w:rFonts w:ascii="Bookman Old Style" w:hAnsi="Bookman Old Style" w:cs="Arial"/>
        <w:b w:val="0"/>
        <w:noProof/>
        <w:sz w:val="22"/>
        <w:szCs w:val="22"/>
      </w:rPr>
      <w:fldChar w:fldCharType="end"/>
    </w:r>
    <w:r w:rsidRPr="00654384">
      <w:rPr>
        <w:rFonts w:ascii="Bookman Old Style" w:hAnsi="Bookman Old Style" w:cs="Arial"/>
        <w:b w:val="0"/>
        <w:sz w:val="22"/>
        <w:szCs w:val="22"/>
      </w:rPr>
      <w:t>/</w:t>
    </w:r>
    <w:r w:rsidR="00E2656C">
      <w:fldChar w:fldCharType="begin"/>
    </w:r>
    <w:r w:rsidR="00E2656C">
      <w:instrText xml:space="preserve"> NUMPAGES  \* MERGEFORMAT </w:instrText>
    </w:r>
    <w:r w:rsidR="00E2656C">
      <w:fldChar w:fldCharType="separate"/>
    </w:r>
    <w:r w:rsidR="00E2656C" w:rsidRPr="00E2656C">
      <w:rPr>
        <w:rFonts w:ascii="Bookman Old Style" w:hAnsi="Bookman Old Style" w:cs="Arial"/>
        <w:b w:val="0"/>
        <w:noProof/>
        <w:sz w:val="22"/>
        <w:szCs w:val="22"/>
      </w:rPr>
      <w:t>13</w:t>
    </w:r>
    <w:r w:rsidR="00E2656C">
      <w:rPr>
        <w:rFonts w:ascii="Bookman Old Style" w:hAnsi="Bookman Old Style" w:cs="Arial"/>
        <w:b w:val="0"/>
        <w:noProof/>
        <w:sz w:val="22"/>
        <w:szCs w:val="22"/>
      </w:rPr>
      <w:fldChar w:fldCharType="end"/>
    </w:r>
  </w:p>
  <w:p w:rsidR="00185C6C" w:rsidRDefault="00185C6C"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3C84059" wp14:editId="3459453D">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85C6C" w:rsidRPr="00391DEF" w:rsidRDefault="00185C6C" w:rsidP="0071204B">
    <w:pPr>
      <w:ind w:left="0"/>
      <w:jc w:val="both"/>
      <w:rPr>
        <w:rFonts w:ascii="Bookman Old Style" w:hAnsi="Bookman Old Style"/>
        <w:bCs/>
        <w:sz w:val="22"/>
        <w:szCs w:val="22"/>
        <w:lang w:val="es-CO"/>
      </w:rPr>
    </w:pPr>
    <w:r w:rsidRPr="00391DEF">
      <w:rPr>
        <w:rFonts w:ascii="Bookman Old Style" w:hAnsi="Bookman Old Style"/>
        <w:sz w:val="22"/>
        <w:szCs w:val="22"/>
      </w:rPr>
      <w:t xml:space="preserve">Por </w:t>
    </w:r>
    <w:r w:rsidRPr="00391DEF">
      <w:rPr>
        <w:rFonts w:ascii="Bookman Old Style" w:hAnsi="Bookman Old Style"/>
        <w:bCs/>
        <w:sz w:val="22"/>
        <w:szCs w:val="22"/>
        <w:lang w:val="es-CO"/>
      </w:rPr>
      <w:t xml:space="preserve">la cual se resuelve el recurso de reposición interpuesto por la empresa Energía Social de la Costa S.A. E.S.P. </w:t>
    </w:r>
    <w:r>
      <w:rPr>
        <w:rFonts w:ascii="Bookman Old Style" w:hAnsi="Bookman Old Style"/>
        <w:bCs/>
        <w:sz w:val="22"/>
        <w:szCs w:val="22"/>
        <w:lang w:val="es-CO"/>
      </w:rPr>
      <w:t>contra la Resolución CREG 008 de 2013</w:t>
    </w:r>
  </w:p>
  <w:p w:rsidR="00185C6C" w:rsidRPr="0071204B" w:rsidRDefault="00185C6C" w:rsidP="00AD01E4">
    <w:pPr>
      <w:pBdr>
        <w:bottom w:val="single" w:sz="4" w:space="1" w:color="auto"/>
      </w:pBdr>
      <w:ind w:left="142" w:right="148"/>
      <w:rPr>
        <w:b/>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C6C" w:rsidRDefault="00185C6C"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185C6C" w:rsidRDefault="00185C6C">
    <w:pPr>
      <w:pStyle w:val="Encabezado"/>
      <w:jc w:val="center"/>
      <w:rPr>
        <w:rFonts w:ascii="Arial" w:hAnsi="Arial" w:cs="Arial"/>
        <w:spacing w:val="20"/>
        <w:sz w:val="20"/>
      </w:rPr>
    </w:pPr>
  </w:p>
  <w:p w:rsidR="00185C6C" w:rsidRDefault="00185C6C"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E367F3A" wp14:editId="5BBB893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023"/>
    <w:multiLevelType w:val="multilevel"/>
    <w:tmpl w:val="92A65A7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44B6E87"/>
    <w:multiLevelType w:val="hybridMultilevel"/>
    <w:tmpl w:val="37CCE7FC"/>
    <w:lvl w:ilvl="0" w:tplc="4E8CB4A6">
      <w:start w:val="1"/>
      <w:numFmt w:val="decimal"/>
      <w:lvlText w:val="%1."/>
      <w:lvlJc w:val="left"/>
      <w:pPr>
        <w:ind w:left="360" w:hanging="360"/>
      </w:pPr>
      <w:rPr>
        <w:rFonts w:hint="default"/>
        <w:b/>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
    <w:nsid w:val="0B3654D0"/>
    <w:multiLevelType w:val="hybridMultilevel"/>
    <w:tmpl w:val="8EB6411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2255887"/>
    <w:multiLevelType w:val="multilevel"/>
    <w:tmpl w:val="EC26049C"/>
    <w:lvl w:ilvl="0">
      <w:start w:val="1"/>
      <w:numFmt w:val="upperRoman"/>
      <w:lvlText w:val="%1."/>
      <w:lvlJc w:val="left"/>
      <w:pPr>
        <w:ind w:left="360" w:hanging="360"/>
      </w:pPr>
      <w:rPr>
        <w:rFonts w:hint="default"/>
      </w:rPr>
    </w:lvl>
    <w:lvl w:ilvl="1">
      <w:start w:val="3"/>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13A84C0F"/>
    <w:multiLevelType w:val="multilevel"/>
    <w:tmpl w:val="574A247A"/>
    <w:lvl w:ilvl="0">
      <w:start w:val="7"/>
      <w:numFmt w:val="decimal"/>
      <w:lvlText w:val="%1"/>
      <w:lvlJc w:val="left"/>
      <w:pPr>
        <w:ind w:left="645" w:hanging="645"/>
      </w:pPr>
      <w:rPr>
        <w:rFonts w:hint="default"/>
      </w:rPr>
    </w:lvl>
    <w:lvl w:ilvl="1">
      <w:start w:val="2"/>
      <w:numFmt w:val="decimal"/>
      <w:lvlText w:val="%1.%2"/>
      <w:lvlJc w:val="left"/>
      <w:pPr>
        <w:ind w:left="3413" w:hanging="720"/>
      </w:pPr>
      <w:rPr>
        <w:rFonts w:hint="default"/>
      </w:rPr>
    </w:lvl>
    <w:lvl w:ilvl="2">
      <w:start w:val="2"/>
      <w:numFmt w:val="decimal"/>
      <w:lvlText w:val="%1.%2.%3"/>
      <w:lvlJc w:val="left"/>
      <w:pPr>
        <w:ind w:left="6106" w:hanging="720"/>
      </w:pPr>
      <w:rPr>
        <w:rFonts w:hint="default"/>
      </w:rPr>
    </w:lvl>
    <w:lvl w:ilvl="3">
      <w:start w:val="1"/>
      <w:numFmt w:val="decimal"/>
      <w:lvlText w:val="%1.%2.%3.%4"/>
      <w:lvlJc w:val="left"/>
      <w:pPr>
        <w:ind w:left="9159" w:hanging="1080"/>
      </w:pPr>
      <w:rPr>
        <w:rFonts w:hint="default"/>
      </w:rPr>
    </w:lvl>
    <w:lvl w:ilvl="4">
      <w:start w:val="1"/>
      <w:numFmt w:val="decimal"/>
      <w:lvlText w:val="%1.%2.%3.%4.%5"/>
      <w:lvlJc w:val="left"/>
      <w:pPr>
        <w:ind w:left="11852" w:hanging="1080"/>
      </w:pPr>
      <w:rPr>
        <w:rFonts w:hint="default"/>
      </w:rPr>
    </w:lvl>
    <w:lvl w:ilvl="5">
      <w:start w:val="1"/>
      <w:numFmt w:val="decimal"/>
      <w:lvlText w:val="%1.%2.%3.%4.%5.%6"/>
      <w:lvlJc w:val="left"/>
      <w:pPr>
        <w:ind w:left="14905" w:hanging="1440"/>
      </w:pPr>
      <w:rPr>
        <w:rFonts w:hint="default"/>
      </w:rPr>
    </w:lvl>
    <w:lvl w:ilvl="6">
      <w:start w:val="1"/>
      <w:numFmt w:val="decimal"/>
      <w:lvlText w:val="%1.%2.%3.%4.%5.%6.%7"/>
      <w:lvlJc w:val="left"/>
      <w:pPr>
        <w:ind w:left="17958" w:hanging="1800"/>
      </w:pPr>
      <w:rPr>
        <w:rFonts w:hint="default"/>
      </w:rPr>
    </w:lvl>
    <w:lvl w:ilvl="7">
      <w:start w:val="1"/>
      <w:numFmt w:val="decimal"/>
      <w:lvlText w:val="%1.%2.%3.%4.%5.%6.%7.%8"/>
      <w:lvlJc w:val="left"/>
      <w:pPr>
        <w:ind w:left="20651" w:hanging="1800"/>
      </w:pPr>
      <w:rPr>
        <w:rFonts w:hint="default"/>
      </w:rPr>
    </w:lvl>
    <w:lvl w:ilvl="8">
      <w:start w:val="1"/>
      <w:numFmt w:val="decimal"/>
      <w:lvlText w:val="%1.%2.%3.%4.%5.%6.%7.%8.%9"/>
      <w:lvlJc w:val="left"/>
      <w:pPr>
        <w:ind w:left="23704" w:hanging="2160"/>
      </w:pPr>
      <w:rPr>
        <w:rFonts w:hint="default"/>
      </w:rPr>
    </w:lvl>
  </w:abstractNum>
  <w:abstractNum w:abstractNumId="5">
    <w:nsid w:val="14CF7D07"/>
    <w:multiLevelType w:val="hybridMultilevel"/>
    <w:tmpl w:val="3DF08B2C"/>
    <w:lvl w:ilvl="0" w:tplc="1F8ECDF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5F339CE"/>
    <w:multiLevelType w:val="hybridMultilevel"/>
    <w:tmpl w:val="CD420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CB57BE5"/>
    <w:multiLevelType w:val="hybridMultilevel"/>
    <w:tmpl w:val="1BDE9D14"/>
    <w:lvl w:ilvl="0" w:tplc="F85811FA">
      <w:start w:val="1"/>
      <w:numFmt w:val="decimal"/>
      <w:lvlText w:val="%1."/>
      <w:lvlJc w:val="left"/>
      <w:pPr>
        <w:ind w:left="1080" w:hanging="360"/>
      </w:pPr>
      <w:rPr>
        <w:rFonts w:ascii="Bookman Old Style" w:hAnsi="Bookman Old Style"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1E654439"/>
    <w:multiLevelType w:val="hybridMultilevel"/>
    <w:tmpl w:val="29C82BB4"/>
    <w:lvl w:ilvl="0" w:tplc="A8EC16EA">
      <w:start w:val="1"/>
      <w:numFmt w:val="lowerLetter"/>
      <w:lvlText w:val="%1."/>
      <w:lvlJc w:val="left"/>
      <w:pPr>
        <w:ind w:left="786" w:hanging="360"/>
      </w:pPr>
      <w:rPr>
        <w:rFonts w:hint="default"/>
      </w:rPr>
    </w:lvl>
    <w:lvl w:ilvl="1" w:tplc="240A0019">
      <w:start w:val="1"/>
      <w:numFmt w:val="lowerLetter"/>
      <w:lvlText w:val="%2."/>
      <w:lvlJc w:val="left"/>
      <w:pPr>
        <w:ind w:left="1506" w:hanging="360"/>
      </w:pPr>
    </w:lvl>
    <w:lvl w:ilvl="2" w:tplc="EC96E070">
      <w:start w:val="1"/>
      <w:numFmt w:val="decimal"/>
      <w:lvlText w:val="%3."/>
      <w:lvlJc w:val="left"/>
      <w:pPr>
        <w:ind w:left="2406" w:hanging="360"/>
      </w:pPr>
      <w:rPr>
        <w:rFonts w:hint="default"/>
      </w:r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9">
    <w:nsid w:val="207571CE"/>
    <w:multiLevelType w:val="hybridMultilevel"/>
    <w:tmpl w:val="91005694"/>
    <w:lvl w:ilvl="0" w:tplc="D5603E6E">
      <w:start w:val="1"/>
      <w:numFmt w:val="upperLetter"/>
      <w:lvlText w:val="%1)"/>
      <w:lvlJc w:val="left"/>
      <w:pPr>
        <w:ind w:left="720" w:hanging="360"/>
      </w:pPr>
      <w:rPr>
        <w:rFonts w:ascii="Arial" w:eastAsia="Times New Roman" w:hAnsi="Arial" w:cs="Arial"/>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0670F74"/>
    <w:multiLevelType w:val="multilevel"/>
    <w:tmpl w:val="F59CEB44"/>
    <w:lvl w:ilvl="0">
      <w:start w:val="7"/>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1EF64C2"/>
    <w:multiLevelType w:val="multilevel"/>
    <w:tmpl w:val="80F26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BE1EF3"/>
    <w:multiLevelType w:val="multilevel"/>
    <w:tmpl w:val="EC26049C"/>
    <w:lvl w:ilvl="0">
      <w:start w:val="1"/>
      <w:numFmt w:val="upperRoman"/>
      <w:lvlText w:val="%1."/>
      <w:lvlJc w:val="left"/>
      <w:pPr>
        <w:ind w:left="360" w:hanging="360"/>
      </w:pPr>
      <w:rPr>
        <w:rFonts w:hint="default"/>
      </w:rPr>
    </w:lvl>
    <w:lvl w:ilvl="1">
      <w:start w:val="3"/>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35A836A3"/>
    <w:multiLevelType w:val="hybridMultilevel"/>
    <w:tmpl w:val="6D968B06"/>
    <w:lvl w:ilvl="0" w:tplc="CC6E4D6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8D041EE"/>
    <w:multiLevelType w:val="hybridMultilevel"/>
    <w:tmpl w:val="1A907F50"/>
    <w:lvl w:ilvl="0" w:tplc="E5C65C00">
      <w:start w:val="1"/>
      <w:numFmt w:val="decimal"/>
      <w:lvlText w:val="Artículo %1."/>
      <w:lvlJc w:val="left"/>
      <w:pPr>
        <w:ind w:left="180" w:firstLine="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397D1F81"/>
    <w:multiLevelType w:val="hybridMultilevel"/>
    <w:tmpl w:val="80D2753E"/>
    <w:lvl w:ilvl="0" w:tplc="F3DA9B44">
      <w:start w:val="1"/>
      <w:numFmt w:val="lowerLetter"/>
      <w:lvlText w:val="%1."/>
      <w:lvlJc w:val="left"/>
      <w:pPr>
        <w:ind w:left="360" w:hanging="360"/>
      </w:pPr>
      <w:rPr>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3E795FF2"/>
    <w:multiLevelType w:val="multilevel"/>
    <w:tmpl w:val="80F26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AA3816"/>
    <w:multiLevelType w:val="hybridMultilevel"/>
    <w:tmpl w:val="CF2C4A42"/>
    <w:lvl w:ilvl="0" w:tplc="47C0EC50">
      <w:start w:val="1"/>
      <w:numFmt w:val="bullet"/>
      <w:lvlText w:val="•"/>
      <w:lvlJc w:val="left"/>
      <w:pPr>
        <w:tabs>
          <w:tab w:val="num" w:pos="720"/>
        </w:tabs>
        <w:ind w:left="720" w:hanging="360"/>
      </w:pPr>
      <w:rPr>
        <w:rFonts w:ascii="Times New Roman" w:hAnsi="Times New Roman" w:hint="default"/>
      </w:rPr>
    </w:lvl>
    <w:lvl w:ilvl="1" w:tplc="6E16A6E6" w:tentative="1">
      <w:start w:val="1"/>
      <w:numFmt w:val="bullet"/>
      <w:lvlText w:val="•"/>
      <w:lvlJc w:val="left"/>
      <w:pPr>
        <w:tabs>
          <w:tab w:val="num" w:pos="1440"/>
        </w:tabs>
        <w:ind w:left="1440" w:hanging="360"/>
      </w:pPr>
      <w:rPr>
        <w:rFonts w:ascii="Times New Roman" w:hAnsi="Times New Roman" w:hint="default"/>
      </w:rPr>
    </w:lvl>
    <w:lvl w:ilvl="2" w:tplc="2EACEE34" w:tentative="1">
      <w:start w:val="1"/>
      <w:numFmt w:val="bullet"/>
      <w:lvlText w:val="•"/>
      <w:lvlJc w:val="left"/>
      <w:pPr>
        <w:tabs>
          <w:tab w:val="num" w:pos="2160"/>
        </w:tabs>
        <w:ind w:left="2160" w:hanging="360"/>
      </w:pPr>
      <w:rPr>
        <w:rFonts w:ascii="Times New Roman" w:hAnsi="Times New Roman" w:hint="default"/>
      </w:rPr>
    </w:lvl>
    <w:lvl w:ilvl="3" w:tplc="088A0730" w:tentative="1">
      <w:start w:val="1"/>
      <w:numFmt w:val="bullet"/>
      <w:lvlText w:val="•"/>
      <w:lvlJc w:val="left"/>
      <w:pPr>
        <w:tabs>
          <w:tab w:val="num" w:pos="2880"/>
        </w:tabs>
        <w:ind w:left="2880" w:hanging="360"/>
      </w:pPr>
      <w:rPr>
        <w:rFonts w:ascii="Times New Roman" w:hAnsi="Times New Roman" w:hint="default"/>
      </w:rPr>
    </w:lvl>
    <w:lvl w:ilvl="4" w:tplc="FBA8F5A2" w:tentative="1">
      <w:start w:val="1"/>
      <w:numFmt w:val="bullet"/>
      <w:lvlText w:val="•"/>
      <w:lvlJc w:val="left"/>
      <w:pPr>
        <w:tabs>
          <w:tab w:val="num" w:pos="3600"/>
        </w:tabs>
        <w:ind w:left="3600" w:hanging="360"/>
      </w:pPr>
      <w:rPr>
        <w:rFonts w:ascii="Times New Roman" w:hAnsi="Times New Roman" w:hint="default"/>
      </w:rPr>
    </w:lvl>
    <w:lvl w:ilvl="5" w:tplc="CBA89C04" w:tentative="1">
      <w:start w:val="1"/>
      <w:numFmt w:val="bullet"/>
      <w:lvlText w:val="•"/>
      <w:lvlJc w:val="left"/>
      <w:pPr>
        <w:tabs>
          <w:tab w:val="num" w:pos="4320"/>
        </w:tabs>
        <w:ind w:left="4320" w:hanging="360"/>
      </w:pPr>
      <w:rPr>
        <w:rFonts w:ascii="Times New Roman" w:hAnsi="Times New Roman" w:hint="default"/>
      </w:rPr>
    </w:lvl>
    <w:lvl w:ilvl="6" w:tplc="AB429BCA" w:tentative="1">
      <w:start w:val="1"/>
      <w:numFmt w:val="bullet"/>
      <w:lvlText w:val="•"/>
      <w:lvlJc w:val="left"/>
      <w:pPr>
        <w:tabs>
          <w:tab w:val="num" w:pos="5040"/>
        </w:tabs>
        <w:ind w:left="5040" w:hanging="360"/>
      </w:pPr>
      <w:rPr>
        <w:rFonts w:ascii="Times New Roman" w:hAnsi="Times New Roman" w:hint="default"/>
      </w:rPr>
    </w:lvl>
    <w:lvl w:ilvl="7" w:tplc="1E18DD90" w:tentative="1">
      <w:start w:val="1"/>
      <w:numFmt w:val="bullet"/>
      <w:lvlText w:val="•"/>
      <w:lvlJc w:val="left"/>
      <w:pPr>
        <w:tabs>
          <w:tab w:val="num" w:pos="5760"/>
        </w:tabs>
        <w:ind w:left="5760" w:hanging="360"/>
      </w:pPr>
      <w:rPr>
        <w:rFonts w:ascii="Times New Roman" w:hAnsi="Times New Roman" w:hint="default"/>
      </w:rPr>
    </w:lvl>
    <w:lvl w:ilvl="8" w:tplc="8422B66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F98717A"/>
    <w:multiLevelType w:val="hybridMultilevel"/>
    <w:tmpl w:val="457296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18835F6"/>
    <w:multiLevelType w:val="hybridMultilevel"/>
    <w:tmpl w:val="9CBC6B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19408D6"/>
    <w:multiLevelType w:val="hybridMultilevel"/>
    <w:tmpl w:val="6D968B06"/>
    <w:lvl w:ilvl="0" w:tplc="CC6E4D6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87751E2"/>
    <w:multiLevelType w:val="hybridMultilevel"/>
    <w:tmpl w:val="0F569BEA"/>
    <w:lvl w:ilvl="0" w:tplc="F5D80C70">
      <w:start w:val="1"/>
      <w:numFmt w:val="lowerRoman"/>
      <w:lvlText w:val="%1)"/>
      <w:lvlJc w:val="left"/>
      <w:pPr>
        <w:ind w:left="128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0ED488A"/>
    <w:multiLevelType w:val="multilevel"/>
    <w:tmpl w:val="7CECE744"/>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23">
    <w:nsid w:val="52C76B56"/>
    <w:multiLevelType w:val="multilevel"/>
    <w:tmpl w:val="0C0A001F"/>
    <w:lvl w:ilvl="0">
      <w:start w:val="1"/>
      <w:numFmt w:val="decimal"/>
      <w:lvlText w:val="%1."/>
      <w:lvlJc w:val="left"/>
      <w:pPr>
        <w:ind w:left="5747" w:hanging="360"/>
      </w:pPr>
    </w:lvl>
    <w:lvl w:ilvl="1">
      <w:start w:val="1"/>
      <w:numFmt w:val="decimal"/>
      <w:lvlText w:val="%1.%2."/>
      <w:lvlJc w:val="left"/>
      <w:pPr>
        <w:ind w:left="6179" w:hanging="432"/>
      </w:pPr>
    </w:lvl>
    <w:lvl w:ilvl="2">
      <w:start w:val="1"/>
      <w:numFmt w:val="decimal"/>
      <w:lvlText w:val="%1.%2.%3."/>
      <w:lvlJc w:val="left"/>
      <w:pPr>
        <w:ind w:left="6611" w:hanging="504"/>
      </w:pPr>
    </w:lvl>
    <w:lvl w:ilvl="3">
      <w:start w:val="1"/>
      <w:numFmt w:val="decimal"/>
      <w:lvlText w:val="%1.%2.%3.%4."/>
      <w:lvlJc w:val="left"/>
      <w:pPr>
        <w:ind w:left="7115" w:hanging="648"/>
      </w:pPr>
    </w:lvl>
    <w:lvl w:ilvl="4">
      <w:start w:val="1"/>
      <w:numFmt w:val="decimal"/>
      <w:lvlText w:val="%1.%2.%3.%4.%5."/>
      <w:lvlJc w:val="left"/>
      <w:pPr>
        <w:ind w:left="7619" w:hanging="792"/>
      </w:pPr>
    </w:lvl>
    <w:lvl w:ilvl="5">
      <w:start w:val="1"/>
      <w:numFmt w:val="decimal"/>
      <w:lvlText w:val="%1.%2.%3.%4.%5.%6."/>
      <w:lvlJc w:val="left"/>
      <w:pPr>
        <w:ind w:left="8123" w:hanging="936"/>
      </w:pPr>
    </w:lvl>
    <w:lvl w:ilvl="6">
      <w:start w:val="1"/>
      <w:numFmt w:val="decimal"/>
      <w:lvlText w:val="%1.%2.%3.%4.%5.%6.%7."/>
      <w:lvlJc w:val="left"/>
      <w:pPr>
        <w:ind w:left="8627" w:hanging="1080"/>
      </w:pPr>
    </w:lvl>
    <w:lvl w:ilvl="7">
      <w:start w:val="1"/>
      <w:numFmt w:val="decimal"/>
      <w:lvlText w:val="%1.%2.%3.%4.%5.%6.%7.%8."/>
      <w:lvlJc w:val="left"/>
      <w:pPr>
        <w:ind w:left="9131" w:hanging="1224"/>
      </w:pPr>
    </w:lvl>
    <w:lvl w:ilvl="8">
      <w:start w:val="1"/>
      <w:numFmt w:val="decimal"/>
      <w:lvlText w:val="%1.%2.%3.%4.%5.%6.%7.%8.%9."/>
      <w:lvlJc w:val="left"/>
      <w:pPr>
        <w:ind w:left="9707" w:hanging="1440"/>
      </w:pPr>
    </w:lvl>
  </w:abstractNum>
  <w:abstractNum w:abstractNumId="24">
    <w:nsid w:val="54FB6F90"/>
    <w:multiLevelType w:val="hybridMultilevel"/>
    <w:tmpl w:val="8DBA9594"/>
    <w:lvl w:ilvl="0" w:tplc="EECA6C06">
      <w:start w:val="1"/>
      <w:numFmt w:val="lowerLetter"/>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5">
    <w:nsid w:val="55BC6231"/>
    <w:multiLevelType w:val="hybridMultilevel"/>
    <w:tmpl w:val="7EC4BF16"/>
    <w:lvl w:ilvl="0" w:tplc="332C8A58">
      <w:start w:val="1"/>
      <w:numFmt w:val="bullet"/>
      <w:lvlText w:val="•"/>
      <w:lvlJc w:val="left"/>
      <w:pPr>
        <w:tabs>
          <w:tab w:val="num" w:pos="720"/>
        </w:tabs>
        <w:ind w:left="720" w:hanging="360"/>
      </w:pPr>
      <w:rPr>
        <w:rFonts w:ascii="Arial" w:hAnsi="Arial" w:hint="default"/>
      </w:rPr>
    </w:lvl>
    <w:lvl w:ilvl="1" w:tplc="BD32C194" w:tentative="1">
      <w:start w:val="1"/>
      <w:numFmt w:val="bullet"/>
      <w:lvlText w:val="•"/>
      <w:lvlJc w:val="left"/>
      <w:pPr>
        <w:tabs>
          <w:tab w:val="num" w:pos="1440"/>
        </w:tabs>
        <w:ind w:left="1440" w:hanging="360"/>
      </w:pPr>
      <w:rPr>
        <w:rFonts w:ascii="Arial" w:hAnsi="Arial" w:hint="default"/>
      </w:rPr>
    </w:lvl>
    <w:lvl w:ilvl="2" w:tplc="DDEC4F1C" w:tentative="1">
      <w:start w:val="1"/>
      <w:numFmt w:val="bullet"/>
      <w:lvlText w:val="•"/>
      <w:lvlJc w:val="left"/>
      <w:pPr>
        <w:tabs>
          <w:tab w:val="num" w:pos="2160"/>
        </w:tabs>
        <w:ind w:left="2160" w:hanging="360"/>
      </w:pPr>
      <w:rPr>
        <w:rFonts w:ascii="Arial" w:hAnsi="Arial" w:hint="default"/>
      </w:rPr>
    </w:lvl>
    <w:lvl w:ilvl="3" w:tplc="6EA8ADD0" w:tentative="1">
      <w:start w:val="1"/>
      <w:numFmt w:val="bullet"/>
      <w:lvlText w:val="•"/>
      <w:lvlJc w:val="left"/>
      <w:pPr>
        <w:tabs>
          <w:tab w:val="num" w:pos="2880"/>
        </w:tabs>
        <w:ind w:left="2880" w:hanging="360"/>
      </w:pPr>
      <w:rPr>
        <w:rFonts w:ascii="Arial" w:hAnsi="Arial" w:hint="default"/>
      </w:rPr>
    </w:lvl>
    <w:lvl w:ilvl="4" w:tplc="93A48AAA" w:tentative="1">
      <w:start w:val="1"/>
      <w:numFmt w:val="bullet"/>
      <w:lvlText w:val="•"/>
      <w:lvlJc w:val="left"/>
      <w:pPr>
        <w:tabs>
          <w:tab w:val="num" w:pos="3600"/>
        </w:tabs>
        <w:ind w:left="3600" w:hanging="360"/>
      </w:pPr>
      <w:rPr>
        <w:rFonts w:ascii="Arial" w:hAnsi="Arial" w:hint="default"/>
      </w:rPr>
    </w:lvl>
    <w:lvl w:ilvl="5" w:tplc="1CE25626" w:tentative="1">
      <w:start w:val="1"/>
      <w:numFmt w:val="bullet"/>
      <w:lvlText w:val="•"/>
      <w:lvlJc w:val="left"/>
      <w:pPr>
        <w:tabs>
          <w:tab w:val="num" w:pos="4320"/>
        </w:tabs>
        <w:ind w:left="4320" w:hanging="360"/>
      </w:pPr>
      <w:rPr>
        <w:rFonts w:ascii="Arial" w:hAnsi="Arial" w:hint="default"/>
      </w:rPr>
    </w:lvl>
    <w:lvl w:ilvl="6" w:tplc="69E27D4E" w:tentative="1">
      <w:start w:val="1"/>
      <w:numFmt w:val="bullet"/>
      <w:lvlText w:val="•"/>
      <w:lvlJc w:val="left"/>
      <w:pPr>
        <w:tabs>
          <w:tab w:val="num" w:pos="5040"/>
        </w:tabs>
        <w:ind w:left="5040" w:hanging="360"/>
      </w:pPr>
      <w:rPr>
        <w:rFonts w:ascii="Arial" w:hAnsi="Arial" w:hint="default"/>
      </w:rPr>
    </w:lvl>
    <w:lvl w:ilvl="7" w:tplc="BE544514" w:tentative="1">
      <w:start w:val="1"/>
      <w:numFmt w:val="bullet"/>
      <w:lvlText w:val="•"/>
      <w:lvlJc w:val="left"/>
      <w:pPr>
        <w:tabs>
          <w:tab w:val="num" w:pos="5760"/>
        </w:tabs>
        <w:ind w:left="5760" w:hanging="360"/>
      </w:pPr>
      <w:rPr>
        <w:rFonts w:ascii="Arial" w:hAnsi="Arial" w:hint="default"/>
      </w:rPr>
    </w:lvl>
    <w:lvl w:ilvl="8" w:tplc="A70E6DAC" w:tentative="1">
      <w:start w:val="1"/>
      <w:numFmt w:val="bullet"/>
      <w:lvlText w:val="•"/>
      <w:lvlJc w:val="left"/>
      <w:pPr>
        <w:tabs>
          <w:tab w:val="num" w:pos="6480"/>
        </w:tabs>
        <w:ind w:left="6480" w:hanging="360"/>
      </w:pPr>
      <w:rPr>
        <w:rFonts w:ascii="Arial" w:hAnsi="Arial" w:hint="default"/>
      </w:rPr>
    </w:lvl>
  </w:abstractNum>
  <w:abstractNum w:abstractNumId="26">
    <w:nsid w:val="5B7A276D"/>
    <w:multiLevelType w:val="hybridMultilevel"/>
    <w:tmpl w:val="55BA5ADA"/>
    <w:lvl w:ilvl="0" w:tplc="CC6E4D6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5F202BAA"/>
    <w:multiLevelType w:val="hybridMultilevel"/>
    <w:tmpl w:val="B1B27938"/>
    <w:lvl w:ilvl="0" w:tplc="A8EC16EA">
      <w:start w:val="1"/>
      <w:numFmt w:val="lowerLetter"/>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FDC58B7"/>
    <w:multiLevelType w:val="hybridMultilevel"/>
    <w:tmpl w:val="825A3DEC"/>
    <w:lvl w:ilvl="0" w:tplc="64F0D2B8">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nsid w:val="65274D3D"/>
    <w:multiLevelType w:val="multilevel"/>
    <w:tmpl w:val="646C1490"/>
    <w:lvl w:ilvl="0">
      <w:start w:val="1"/>
      <w:numFmt w:val="decimal"/>
      <w:lvlText w:val="%1."/>
      <w:lvlJc w:val="left"/>
      <w:pPr>
        <w:tabs>
          <w:tab w:val="num" w:pos="720"/>
        </w:tabs>
        <w:ind w:left="720" w:hanging="360"/>
      </w:pPr>
      <w:rPr>
        <w:rFonts w:ascii="Bookman Old Style" w:eastAsia="Times New Roman" w:hAnsi="Bookman Old Style" w:cs="Times New Roman" w:hint="default"/>
      </w:rPr>
    </w:lvl>
    <w:lvl w:ilvl="1">
      <w:start w:val="1"/>
      <w:numFmt w:val="decimal"/>
      <w:isLgl/>
      <w:lvlText w:val="%1.%2"/>
      <w:lvlJc w:val="left"/>
      <w:pPr>
        <w:ind w:left="6107" w:hanging="720"/>
      </w:pPr>
      <w:rPr>
        <w:rFonts w:hint="default"/>
      </w:rPr>
    </w:lvl>
    <w:lvl w:ilvl="2">
      <w:start w:val="1"/>
      <w:numFmt w:val="decimal"/>
      <w:isLgl/>
      <w:lvlText w:val="%1.%2.%3"/>
      <w:lvlJc w:val="left"/>
      <w:pPr>
        <w:ind w:left="11134" w:hanging="720"/>
      </w:pPr>
      <w:rPr>
        <w:rFonts w:hint="default"/>
      </w:rPr>
    </w:lvl>
    <w:lvl w:ilvl="3">
      <w:start w:val="1"/>
      <w:numFmt w:val="decimal"/>
      <w:isLgl/>
      <w:lvlText w:val="%1.%2.%3.%4"/>
      <w:lvlJc w:val="left"/>
      <w:pPr>
        <w:ind w:left="16521" w:hanging="1080"/>
      </w:pPr>
      <w:rPr>
        <w:rFonts w:hint="default"/>
      </w:rPr>
    </w:lvl>
    <w:lvl w:ilvl="4">
      <w:start w:val="1"/>
      <w:numFmt w:val="decimal"/>
      <w:isLgl/>
      <w:lvlText w:val="%1.%2.%3.%4.%5"/>
      <w:lvlJc w:val="left"/>
      <w:pPr>
        <w:ind w:left="21548" w:hanging="1080"/>
      </w:pPr>
      <w:rPr>
        <w:rFonts w:hint="default"/>
      </w:rPr>
    </w:lvl>
    <w:lvl w:ilvl="5">
      <w:start w:val="1"/>
      <w:numFmt w:val="decimal"/>
      <w:isLgl/>
      <w:lvlText w:val="%1.%2.%3.%4.%5.%6"/>
      <w:lvlJc w:val="left"/>
      <w:pPr>
        <w:ind w:left="26935" w:hanging="1440"/>
      </w:pPr>
      <w:rPr>
        <w:rFonts w:hint="default"/>
      </w:rPr>
    </w:lvl>
    <w:lvl w:ilvl="6">
      <w:start w:val="1"/>
      <w:numFmt w:val="decimal"/>
      <w:isLgl/>
      <w:lvlText w:val="%1.%2.%3.%4.%5.%6.%7"/>
      <w:lvlJc w:val="left"/>
      <w:pPr>
        <w:ind w:left="32322" w:hanging="1800"/>
      </w:pPr>
      <w:rPr>
        <w:rFonts w:hint="default"/>
      </w:rPr>
    </w:lvl>
    <w:lvl w:ilvl="7">
      <w:start w:val="1"/>
      <w:numFmt w:val="decimal"/>
      <w:isLgl/>
      <w:lvlText w:val="%1.%2.%3.%4.%5.%6.%7.%8"/>
      <w:lvlJc w:val="left"/>
      <w:pPr>
        <w:ind w:left="-28187" w:hanging="1800"/>
      </w:pPr>
      <w:rPr>
        <w:rFonts w:hint="default"/>
      </w:rPr>
    </w:lvl>
    <w:lvl w:ilvl="8">
      <w:start w:val="1"/>
      <w:numFmt w:val="decimal"/>
      <w:isLgl/>
      <w:lvlText w:val="%1.%2.%3.%4.%5.%6.%7.%8.%9"/>
      <w:lvlJc w:val="left"/>
      <w:pPr>
        <w:ind w:left="-22800" w:hanging="2160"/>
      </w:pPr>
      <w:rPr>
        <w:rFonts w:hint="default"/>
      </w:rPr>
    </w:lvl>
  </w:abstractNum>
  <w:abstractNum w:abstractNumId="30">
    <w:nsid w:val="6B6F5AF0"/>
    <w:multiLevelType w:val="hybridMultilevel"/>
    <w:tmpl w:val="FF562442"/>
    <w:lvl w:ilvl="0" w:tplc="F85811FA">
      <w:start w:val="1"/>
      <w:numFmt w:val="decimal"/>
      <w:lvlText w:val="%1."/>
      <w:lvlJc w:val="left"/>
      <w:pPr>
        <w:ind w:left="360" w:hanging="360"/>
      </w:pPr>
      <w:rPr>
        <w:rFonts w:ascii="Bookman Old Style" w:hAnsi="Bookman Old Style" w:cs="Times New Roman"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nsid w:val="6C497F30"/>
    <w:multiLevelType w:val="hybridMultilevel"/>
    <w:tmpl w:val="F878D03A"/>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nsid w:val="6E7834CE"/>
    <w:multiLevelType w:val="hybridMultilevel"/>
    <w:tmpl w:val="3C921F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3432BD8"/>
    <w:multiLevelType w:val="hybridMultilevel"/>
    <w:tmpl w:val="D6CCF0FC"/>
    <w:lvl w:ilvl="0" w:tplc="3FA4CEDE">
      <w:start w:val="1"/>
      <w:numFmt w:val="decimal"/>
      <w:pStyle w:val="ARTICULOS"/>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22" w:hanging="360"/>
      </w:pPr>
    </w:lvl>
    <w:lvl w:ilvl="2" w:tplc="240A001B">
      <w:start w:val="1"/>
      <w:numFmt w:val="lowerRoman"/>
      <w:lvlText w:val="%3."/>
      <w:lvlJc w:val="right"/>
      <w:pPr>
        <w:ind w:left="742" w:hanging="180"/>
      </w:pPr>
    </w:lvl>
    <w:lvl w:ilvl="3" w:tplc="240A000F">
      <w:start w:val="1"/>
      <w:numFmt w:val="decimal"/>
      <w:lvlText w:val="%4."/>
      <w:lvlJc w:val="left"/>
      <w:pPr>
        <w:ind w:left="1462" w:hanging="360"/>
      </w:pPr>
    </w:lvl>
    <w:lvl w:ilvl="4" w:tplc="240A0019">
      <w:start w:val="1"/>
      <w:numFmt w:val="lowerLetter"/>
      <w:lvlText w:val="%5."/>
      <w:lvlJc w:val="left"/>
      <w:pPr>
        <w:ind w:left="2182" w:hanging="360"/>
      </w:pPr>
    </w:lvl>
    <w:lvl w:ilvl="5" w:tplc="240A001B">
      <w:start w:val="1"/>
      <w:numFmt w:val="lowerRoman"/>
      <w:lvlText w:val="%6."/>
      <w:lvlJc w:val="right"/>
      <w:pPr>
        <w:ind w:left="2902" w:hanging="180"/>
      </w:pPr>
    </w:lvl>
    <w:lvl w:ilvl="6" w:tplc="240A000F">
      <w:start w:val="1"/>
      <w:numFmt w:val="decimal"/>
      <w:lvlText w:val="%7."/>
      <w:lvlJc w:val="left"/>
      <w:pPr>
        <w:ind w:left="3622" w:hanging="360"/>
      </w:pPr>
    </w:lvl>
    <w:lvl w:ilvl="7" w:tplc="240A0019">
      <w:start w:val="1"/>
      <w:numFmt w:val="lowerLetter"/>
      <w:lvlText w:val="%8."/>
      <w:lvlJc w:val="left"/>
      <w:pPr>
        <w:ind w:left="4342" w:hanging="360"/>
      </w:pPr>
    </w:lvl>
    <w:lvl w:ilvl="8" w:tplc="240A001B">
      <w:start w:val="1"/>
      <w:numFmt w:val="lowerRoman"/>
      <w:lvlText w:val="%9."/>
      <w:lvlJc w:val="right"/>
      <w:pPr>
        <w:ind w:left="5062" w:hanging="180"/>
      </w:pPr>
    </w:lvl>
  </w:abstractNum>
  <w:abstractNum w:abstractNumId="34">
    <w:nsid w:val="79FC7E85"/>
    <w:multiLevelType w:val="hybridMultilevel"/>
    <w:tmpl w:val="00F4D6F6"/>
    <w:lvl w:ilvl="0" w:tplc="EF0C2206">
      <w:start w:val="1"/>
      <w:numFmt w:val="bulle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40"/>
        </w:tabs>
        <w:ind w:left="40" w:hanging="360"/>
      </w:pPr>
      <w:rPr>
        <w:rFonts w:hint="default"/>
      </w:rPr>
    </w:lvl>
    <w:lvl w:ilvl="2" w:tplc="0409001B">
      <w:start w:val="1"/>
      <w:numFmt w:val="lowerLetter"/>
      <w:lvlText w:val="%3)"/>
      <w:lvlJc w:val="left"/>
      <w:pPr>
        <w:tabs>
          <w:tab w:val="num" w:pos="360"/>
        </w:tabs>
        <w:ind w:left="360" w:hanging="360"/>
      </w:pPr>
      <w:rPr>
        <w:rFonts w:hint="default"/>
      </w:rPr>
    </w:lvl>
    <w:lvl w:ilvl="3" w:tplc="0409000F">
      <w:start w:val="1"/>
      <w:numFmt w:val="lowerLetter"/>
      <w:lvlText w:val="%4)"/>
      <w:lvlJc w:val="left"/>
      <w:pPr>
        <w:tabs>
          <w:tab w:val="num" w:pos="1480"/>
        </w:tabs>
        <w:ind w:left="1480" w:hanging="360"/>
      </w:pPr>
      <w:rPr>
        <w:rFonts w:hint="default"/>
      </w:rPr>
    </w:lvl>
    <w:lvl w:ilvl="4" w:tplc="04090019" w:tentative="1">
      <w:start w:val="1"/>
      <w:numFmt w:val="bullet"/>
      <w:lvlText w:val="o"/>
      <w:lvlJc w:val="left"/>
      <w:pPr>
        <w:tabs>
          <w:tab w:val="num" w:pos="2200"/>
        </w:tabs>
        <w:ind w:left="2200" w:hanging="360"/>
      </w:pPr>
      <w:rPr>
        <w:rFonts w:ascii="Courier New" w:hAnsi="Courier New" w:cs="Courier New" w:hint="default"/>
      </w:rPr>
    </w:lvl>
    <w:lvl w:ilvl="5" w:tplc="0409001B" w:tentative="1">
      <w:start w:val="1"/>
      <w:numFmt w:val="bullet"/>
      <w:lvlText w:val=""/>
      <w:lvlJc w:val="left"/>
      <w:pPr>
        <w:tabs>
          <w:tab w:val="num" w:pos="2920"/>
        </w:tabs>
        <w:ind w:left="2920" w:hanging="360"/>
      </w:pPr>
      <w:rPr>
        <w:rFonts w:ascii="Wingdings" w:hAnsi="Wingdings" w:hint="default"/>
      </w:rPr>
    </w:lvl>
    <w:lvl w:ilvl="6" w:tplc="0409000F" w:tentative="1">
      <w:start w:val="1"/>
      <w:numFmt w:val="bullet"/>
      <w:lvlText w:val=""/>
      <w:lvlJc w:val="left"/>
      <w:pPr>
        <w:tabs>
          <w:tab w:val="num" w:pos="3640"/>
        </w:tabs>
        <w:ind w:left="3640" w:hanging="360"/>
      </w:pPr>
      <w:rPr>
        <w:rFonts w:ascii="Symbol" w:hAnsi="Symbol" w:hint="default"/>
      </w:rPr>
    </w:lvl>
    <w:lvl w:ilvl="7" w:tplc="04090019" w:tentative="1">
      <w:start w:val="1"/>
      <w:numFmt w:val="bullet"/>
      <w:lvlText w:val="o"/>
      <w:lvlJc w:val="left"/>
      <w:pPr>
        <w:tabs>
          <w:tab w:val="num" w:pos="4360"/>
        </w:tabs>
        <w:ind w:left="4360" w:hanging="360"/>
      </w:pPr>
      <w:rPr>
        <w:rFonts w:ascii="Courier New" w:hAnsi="Courier New" w:cs="Courier New" w:hint="default"/>
      </w:rPr>
    </w:lvl>
    <w:lvl w:ilvl="8" w:tplc="0409001B" w:tentative="1">
      <w:start w:val="1"/>
      <w:numFmt w:val="bullet"/>
      <w:lvlText w:val=""/>
      <w:lvlJc w:val="left"/>
      <w:pPr>
        <w:tabs>
          <w:tab w:val="num" w:pos="5080"/>
        </w:tabs>
        <w:ind w:left="5080" w:hanging="360"/>
      </w:pPr>
      <w:rPr>
        <w:rFonts w:ascii="Wingdings" w:hAnsi="Wingdings" w:hint="default"/>
      </w:rPr>
    </w:lvl>
  </w:abstractNum>
  <w:abstractNum w:abstractNumId="35">
    <w:nsid w:val="7B62447E"/>
    <w:multiLevelType w:val="hybridMultilevel"/>
    <w:tmpl w:val="62E0857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E177A49"/>
    <w:multiLevelType w:val="hybridMultilevel"/>
    <w:tmpl w:val="2BF2521A"/>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2"/>
  </w:num>
  <w:num w:numId="4">
    <w:abstractNumId w:val="24"/>
  </w:num>
  <w:num w:numId="5">
    <w:abstractNumId w:val="1"/>
  </w:num>
  <w:num w:numId="6">
    <w:abstractNumId w:val="3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9"/>
  </w:num>
  <w:num w:numId="12">
    <w:abstractNumId w:val="6"/>
  </w:num>
  <w:num w:numId="13">
    <w:abstractNumId w:val="28"/>
  </w:num>
  <w:num w:numId="14">
    <w:abstractNumId w:val="9"/>
  </w:num>
  <w:num w:numId="15">
    <w:abstractNumId w:val="7"/>
  </w:num>
  <w:num w:numId="16">
    <w:abstractNumId w:val="8"/>
  </w:num>
  <w:num w:numId="17">
    <w:abstractNumId w:val="23"/>
  </w:num>
  <w:num w:numId="18">
    <w:abstractNumId w:val="3"/>
  </w:num>
  <w:num w:numId="19">
    <w:abstractNumId w:val="2"/>
  </w:num>
  <w:num w:numId="20">
    <w:abstractNumId w:val="30"/>
  </w:num>
  <w:num w:numId="21">
    <w:abstractNumId w:val="27"/>
  </w:num>
  <w:num w:numId="22">
    <w:abstractNumId w:val="12"/>
  </w:num>
  <w:num w:numId="23">
    <w:abstractNumId w:val="11"/>
  </w:num>
  <w:num w:numId="24">
    <w:abstractNumId w:val="16"/>
  </w:num>
  <w:num w:numId="25">
    <w:abstractNumId w:val="4"/>
  </w:num>
  <w:num w:numId="26">
    <w:abstractNumId w:val="10"/>
  </w:num>
  <w:num w:numId="27">
    <w:abstractNumId w:val="17"/>
  </w:num>
  <w:num w:numId="28">
    <w:abstractNumId w:val="25"/>
  </w:num>
  <w:num w:numId="29">
    <w:abstractNumId w:val="0"/>
  </w:num>
  <w:num w:numId="30">
    <w:abstractNumId w:val="5"/>
  </w:num>
  <w:num w:numId="31">
    <w:abstractNumId w:val="31"/>
  </w:num>
  <w:num w:numId="32">
    <w:abstractNumId w:val="13"/>
  </w:num>
  <w:num w:numId="33">
    <w:abstractNumId w:val="26"/>
  </w:num>
  <w:num w:numId="34">
    <w:abstractNumId w:val="22"/>
  </w:num>
  <w:num w:numId="35">
    <w:abstractNumId w:val="20"/>
  </w:num>
  <w:num w:numId="36">
    <w:abstractNumId w:val="15"/>
  </w:num>
  <w:num w:numId="37">
    <w:abstractNumId w:val="14"/>
  </w:num>
  <w:num w:numId="3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3C6"/>
    <w:rsid w:val="00006AE2"/>
    <w:rsid w:val="000076A1"/>
    <w:rsid w:val="00011A54"/>
    <w:rsid w:val="00012259"/>
    <w:rsid w:val="000149D5"/>
    <w:rsid w:val="0001694C"/>
    <w:rsid w:val="00021214"/>
    <w:rsid w:val="000242D6"/>
    <w:rsid w:val="00025383"/>
    <w:rsid w:val="00026198"/>
    <w:rsid w:val="00026A04"/>
    <w:rsid w:val="00040AB6"/>
    <w:rsid w:val="0004184B"/>
    <w:rsid w:val="00043E5B"/>
    <w:rsid w:val="00045940"/>
    <w:rsid w:val="000509D1"/>
    <w:rsid w:val="00050F4D"/>
    <w:rsid w:val="00053EB9"/>
    <w:rsid w:val="000629A9"/>
    <w:rsid w:val="00062BC5"/>
    <w:rsid w:val="00063657"/>
    <w:rsid w:val="00065C94"/>
    <w:rsid w:val="00066319"/>
    <w:rsid w:val="00076680"/>
    <w:rsid w:val="000768CB"/>
    <w:rsid w:val="000777C5"/>
    <w:rsid w:val="00077BB2"/>
    <w:rsid w:val="0008073E"/>
    <w:rsid w:val="00082937"/>
    <w:rsid w:val="00082F23"/>
    <w:rsid w:val="000859D0"/>
    <w:rsid w:val="00085E0D"/>
    <w:rsid w:val="000866E6"/>
    <w:rsid w:val="000868B9"/>
    <w:rsid w:val="00087ECF"/>
    <w:rsid w:val="000900F3"/>
    <w:rsid w:val="00091CDB"/>
    <w:rsid w:val="00096AFC"/>
    <w:rsid w:val="000A19AC"/>
    <w:rsid w:val="000A76A6"/>
    <w:rsid w:val="000B3742"/>
    <w:rsid w:val="000B47F4"/>
    <w:rsid w:val="000C4607"/>
    <w:rsid w:val="000D26F8"/>
    <w:rsid w:val="000D34B6"/>
    <w:rsid w:val="000D6742"/>
    <w:rsid w:val="000E0258"/>
    <w:rsid w:val="000E5160"/>
    <w:rsid w:val="000F1E33"/>
    <w:rsid w:val="000F24A8"/>
    <w:rsid w:val="000F27BF"/>
    <w:rsid w:val="00107603"/>
    <w:rsid w:val="00107D65"/>
    <w:rsid w:val="001162D0"/>
    <w:rsid w:val="001209D2"/>
    <w:rsid w:val="001261B1"/>
    <w:rsid w:val="0012650D"/>
    <w:rsid w:val="00130DAD"/>
    <w:rsid w:val="00131E85"/>
    <w:rsid w:val="00132915"/>
    <w:rsid w:val="00134791"/>
    <w:rsid w:val="001357B1"/>
    <w:rsid w:val="00136029"/>
    <w:rsid w:val="001405C6"/>
    <w:rsid w:val="00140DD9"/>
    <w:rsid w:val="00141013"/>
    <w:rsid w:val="00141F7D"/>
    <w:rsid w:val="00142E79"/>
    <w:rsid w:val="0014323B"/>
    <w:rsid w:val="00154AA8"/>
    <w:rsid w:val="001617FF"/>
    <w:rsid w:val="00163CE4"/>
    <w:rsid w:val="0016432A"/>
    <w:rsid w:val="001652C9"/>
    <w:rsid w:val="00165DDA"/>
    <w:rsid w:val="00167FC9"/>
    <w:rsid w:val="0017138F"/>
    <w:rsid w:val="00172F2C"/>
    <w:rsid w:val="00173E48"/>
    <w:rsid w:val="00174237"/>
    <w:rsid w:val="00174499"/>
    <w:rsid w:val="001823C0"/>
    <w:rsid w:val="001843CD"/>
    <w:rsid w:val="001846D6"/>
    <w:rsid w:val="00185C6C"/>
    <w:rsid w:val="00191A1D"/>
    <w:rsid w:val="00192CBF"/>
    <w:rsid w:val="00192FF1"/>
    <w:rsid w:val="001961AB"/>
    <w:rsid w:val="001963F3"/>
    <w:rsid w:val="001A5F1B"/>
    <w:rsid w:val="001A7B69"/>
    <w:rsid w:val="001B0EFB"/>
    <w:rsid w:val="001B1C22"/>
    <w:rsid w:val="001B34C6"/>
    <w:rsid w:val="001B5B88"/>
    <w:rsid w:val="001C6142"/>
    <w:rsid w:val="001C6B25"/>
    <w:rsid w:val="001D02B9"/>
    <w:rsid w:val="001D5466"/>
    <w:rsid w:val="001D7832"/>
    <w:rsid w:val="001E5E14"/>
    <w:rsid w:val="001E77AC"/>
    <w:rsid w:val="001F0ED6"/>
    <w:rsid w:val="001F14EC"/>
    <w:rsid w:val="001F2338"/>
    <w:rsid w:val="001F2687"/>
    <w:rsid w:val="001F355F"/>
    <w:rsid w:val="001F3F8C"/>
    <w:rsid w:val="00200483"/>
    <w:rsid w:val="00202108"/>
    <w:rsid w:val="00202442"/>
    <w:rsid w:val="00206DCD"/>
    <w:rsid w:val="00206F64"/>
    <w:rsid w:val="00211D34"/>
    <w:rsid w:val="00212A6C"/>
    <w:rsid w:val="00212A9D"/>
    <w:rsid w:val="00213384"/>
    <w:rsid w:val="00214F04"/>
    <w:rsid w:val="00217788"/>
    <w:rsid w:val="00217E3D"/>
    <w:rsid w:val="00223B23"/>
    <w:rsid w:val="002377B8"/>
    <w:rsid w:val="00241C00"/>
    <w:rsid w:val="002432E4"/>
    <w:rsid w:val="002435ED"/>
    <w:rsid w:val="00244F29"/>
    <w:rsid w:val="00245E3C"/>
    <w:rsid w:val="0024609C"/>
    <w:rsid w:val="0025436A"/>
    <w:rsid w:val="002627DD"/>
    <w:rsid w:val="0026305F"/>
    <w:rsid w:val="00264DF2"/>
    <w:rsid w:val="00266691"/>
    <w:rsid w:val="0026691B"/>
    <w:rsid w:val="00266CD6"/>
    <w:rsid w:val="00270778"/>
    <w:rsid w:val="00270FA6"/>
    <w:rsid w:val="0027599A"/>
    <w:rsid w:val="00282662"/>
    <w:rsid w:val="00285EEF"/>
    <w:rsid w:val="0028654F"/>
    <w:rsid w:val="0029290B"/>
    <w:rsid w:val="002A41E5"/>
    <w:rsid w:val="002A4B91"/>
    <w:rsid w:val="002B0B13"/>
    <w:rsid w:val="002B11E2"/>
    <w:rsid w:val="002B1EAA"/>
    <w:rsid w:val="002B1EC4"/>
    <w:rsid w:val="002B24B8"/>
    <w:rsid w:val="002B6450"/>
    <w:rsid w:val="002B71B4"/>
    <w:rsid w:val="002C1207"/>
    <w:rsid w:val="002C2456"/>
    <w:rsid w:val="002C5968"/>
    <w:rsid w:val="002D3AE9"/>
    <w:rsid w:val="002D7A2C"/>
    <w:rsid w:val="002E0B27"/>
    <w:rsid w:val="002F0734"/>
    <w:rsid w:val="002F46E7"/>
    <w:rsid w:val="002F5054"/>
    <w:rsid w:val="00306560"/>
    <w:rsid w:val="003101DA"/>
    <w:rsid w:val="003110D6"/>
    <w:rsid w:val="00311912"/>
    <w:rsid w:val="00311EB7"/>
    <w:rsid w:val="00311EFD"/>
    <w:rsid w:val="00314757"/>
    <w:rsid w:val="00316AAE"/>
    <w:rsid w:val="00316C16"/>
    <w:rsid w:val="00320B46"/>
    <w:rsid w:val="003211CE"/>
    <w:rsid w:val="00321EDD"/>
    <w:rsid w:val="00325D04"/>
    <w:rsid w:val="0032778C"/>
    <w:rsid w:val="003301C9"/>
    <w:rsid w:val="0033325E"/>
    <w:rsid w:val="00336A1E"/>
    <w:rsid w:val="0034358A"/>
    <w:rsid w:val="00351D5D"/>
    <w:rsid w:val="00353BF6"/>
    <w:rsid w:val="0035403A"/>
    <w:rsid w:val="00356461"/>
    <w:rsid w:val="0036394B"/>
    <w:rsid w:val="0036417D"/>
    <w:rsid w:val="00366405"/>
    <w:rsid w:val="003668E0"/>
    <w:rsid w:val="003709B5"/>
    <w:rsid w:val="00370F79"/>
    <w:rsid w:val="003710CD"/>
    <w:rsid w:val="003757CF"/>
    <w:rsid w:val="003759C2"/>
    <w:rsid w:val="00381B0D"/>
    <w:rsid w:val="003829B1"/>
    <w:rsid w:val="003849D1"/>
    <w:rsid w:val="00385417"/>
    <w:rsid w:val="003876A4"/>
    <w:rsid w:val="00394F68"/>
    <w:rsid w:val="00397365"/>
    <w:rsid w:val="003A31F6"/>
    <w:rsid w:val="003A5286"/>
    <w:rsid w:val="003A5FD2"/>
    <w:rsid w:val="003B1A63"/>
    <w:rsid w:val="003B3A90"/>
    <w:rsid w:val="003C3447"/>
    <w:rsid w:val="003C5A9C"/>
    <w:rsid w:val="003C7934"/>
    <w:rsid w:val="003D076C"/>
    <w:rsid w:val="003D4324"/>
    <w:rsid w:val="003D5973"/>
    <w:rsid w:val="003D765C"/>
    <w:rsid w:val="003D7F7B"/>
    <w:rsid w:val="003E1727"/>
    <w:rsid w:val="003E5463"/>
    <w:rsid w:val="003F0E85"/>
    <w:rsid w:val="003F14B2"/>
    <w:rsid w:val="003F5486"/>
    <w:rsid w:val="003F5864"/>
    <w:rsid w:val="003F6CA5"/>
    <w:rsid w:val="00400B06"/>
    <w:rsid w:val="004010B1"/>
    <w:rsid w:val="0040144A"/>
    <w:rsid w:val="00403DC9"/>
    <w:rsid w:val="00410475"/>
    <w:rsid w:val="00415BAB"/>
    <w:rsid w:val="00415ED2"/>
    <w:rsid w:val="00416DA3"/>
    <w:rsid w:val="0042068C"/>
    <w:rsid w:val="004229D5"/>
    <w:rsid w:val="00423C40"/>
    <w:rsid w:val="00442639"/>
    <w:rsid w:val="0044386C"/>
    <w:rsid w:val="00444265"/>
    <w:rsid w:val="004443FF"/>
    <w:rsid w:val="0045793B"/>
    <w:rsid w:val="004644FE"/>
    <w:rsid w:val="00470EB4"/>
    <w:rsid w:val="0047122B"/>
    <w:rsid w:val="00471D14"/>
    <w:rsid w:val="00473B7A"/>
    <w:rsid w:val="004742BA"/>
    <w:rsid w:val="004753A6"/>
    <w:rsid w:val="00477B38"/>
    <w:rsid w:val="00481CE3"/>
    <w:rsid w:val="00483008"/>
    <w:rsid w:val="00493D27"/>
    <w:rsid w:val="004960E9"/>
    <w:rsid w:val="00497E1C"/>
    <w:rsid w:val="004A2E88"/>
    <w:rsid w:val="004A5305"/>
    <w:rsid w:val="004A6726"/>
    <w:rsid w:val="004A7618"/>
    <w:rsid w:val="004B3C27"/>
    <w:rsid w:val="004B3D06"/>
    <w:rsid w:val="004B5B07"/>
    <w:rsid w:val="004B68CD"/>
    <w:rsid w:val="004C1A2C"/>
    <w:rsid w:val="004C279C"/>
    <w:rsid w:val="004C3351"/>
    <w:rsid w:val="004C6DD0"/>
    <w:rsid w:val="004D36BB"/>
    <w:rsid w:val="004D463A"/>
    <w:rsid w:val="004D4AFF"/>
    <w:rsid w:val="004D6249"/>
    <w:rsid w:val="004D75C6"/>
    <w:rsid w:val="004D7634"/>
    <w:rsid w:val="004E245A"/>
    <w:rsid w:val="004E2CF2"/>
    <w:rsid w:val="004E6991"/>
    <w:rsid w:val="004E7C7F"/>
    <w:rsid w:val="004F28B5"/>
    <w:rsid w:val="004F3F6F"/>
    <w:rsid w:val="004F748F"/>
    <w:rsid w:val="00500974"/>
    <w:rsid w:val="00502BDF"/>
    <w:rsid w:val="00504BA6"/>
    <w:rsid w:val="005070F6"/>
    <w:rsid w:val="0050721F"/>
    <w:rsid w:val="0051011B"/>
    <w:rsid w:val="00515C5A"/>
    <w:rsid w:val="00520AF1"/>
    <w:rsid w:val="005217F5"/>
    <w:rsid w:val="00522662"/>
    <w:rsid w:val="00525ACE"/>
    <w:rsid w:val="00526308"/>
    <w:rsid w:val="005300D3"/>
    <w:rsid w:val="00532717"/>
    <w:rsid w:val="00532FE4"/>
    <w:rsid w:val="0053368F"/>
    <w:rsid w:val="00544F82"/>
    <w:rsid w:val="005527BE"/>
    <w:rsid w:val="00556034"/>
    <w:rsid w:val="005616A5"/>
    <w:rsid w:val="00561D41"/>
    <w:rsid w:val="005625C9"/>
    <w:rsid w:val="00563993"/>
    <w:rsid w:val="00567456"/>
    <w:rsid w:val="00575E62"/>
    <w:rsid w:val="00580FCC"/>
    <w:rsid w:val="00584E2C"/>
    <w:rsid w:val="005860AA"/>
    <w:rsid w:val="00586DE9"/>
    <w:rsid w:val="00590E05"/>
    <w:rsid w:val="005912A8"/>
    <w:rsid w:val="005913ED"/>
    <w:rsid w:val="0059232A"/>
    <w:rsid w:val="00592F86"/>
    <w:rsid w:val="00593C4F"/>
    <w:rsid w:val="005946A8"/>
    <w:rsid w:val="005970E9"/>
    <w:rsid w:val="00597D43"/>
    <w:rsid w:val="005A0792"/>
    <w:rsid w:val="005A3A8D"/>
    <w:rsid w:val="005A4407"/>
    <w:rsid w:val="005A59EF"/>
    <w:rsid w:val="005B07FA"/>
    <w:rsid w:val="005B3107"/>
    <w:rsid w:val="005B3ED2"/>
    <w:rsid w:val="005B441F"/>
    <w:rsid w:val="005B4837"/>
    <w:rsid w:val="005B5A04"/>
    <w:rsid w:val="005B7674"/>
    <w:rsid w:val="005C18AA"/>
    <w:rsid w:val="005C274B"/>
    <w:rsid w:val="005C3059"/>
    <w:rsid w:val="005C3284"/>
    <w:rsid w:val="005C4895"/>
    <w:rsid w:val="005C6F94"/>
    <w:rsid w:val="005C7078"/>
    <w:rsid w:val="005C78E5"/>
    <w:rsid w:val="005D4DB5"/>
    <w:rsid w:val="005D5715"/>
    <w:rsid w:val="005E2A5D"/>
    <w:rsid w:val="005E3582"/>
    <w:rsid w:val="005E3600"/>
    <w:rsid w:val="005E58A5"/>
    <w:rsid w:val="005E5908"/>
    <w:rsid w:val="005F3B15"/>
    <w:rsid w:val="0060061F"/>
    <w:rsid w:val="00602598"/>
    <w:rsid w:val="00603888"/>
    <w:rsid w:val="006043E9"/>
    <w:rsid w:val="00605A27"/>
    <w:rsid w:val="00606C48"/>
    <w:rsid w:val="00611043"/>
    <w:rsid w:val="00613714"/>
    <w:rsid w:val="00614B07"/>
    <w:rsid w:val="00615946"/>
    <w:rsid w:val="00624E52"/>
    <w:rsid w:val="00625DC6"/>
    <w:rsid w:val="006274EE"/>
    <w:rsid w:val="00627C79"/>
    <w:rsid w:val="00627CBE"/>
    <w:rsid w:val="006308F6"/>
    <w:rsid w:val="00631776"/>
    <w:rsid w:val="00631A51"/>
    <w:rsid w:val="00632E0A"/>
    <w:rsid w:val="00633593"/>
    <w:rsid w:val="00640D72"/>
    <w:rsid w:val="0064252C"/>
    <w:rsid w:val="00642738"/>
    <w:rsid w:val="00642759"/>
    <w:rsid w:val="00643979"/>
    <w:rsid w:val="00643A71"/>
    <w:rsid w:val="0064687C"/>
    <w:rsid w:val="00651821"/>
    <w:rsid w:val="00654384"/>
    <w:rsid w:val="00654BD6"/>
    <w:rsid w:val="0065642D"/>
    <w:rsid w:val="00662678"/>
    <w:rsid w:val="00663727"/>
    <w:rsid w:val="00663851"/>
    <w:rsid w:val="00663B47"/>
    <w:rsid w:val="006675CD"/>
    <w:rsid w:val="00667F56"/>
    <w:rsid w:val="00670ECA"/>
    <w:rsid w:val="00671030"/>
    <w:rsid w:val="00682A9C"/>
    <w:rsid w:val="00684D9B"/>
    <w:rsid w:val="00686E0F"/>
    <w:rsid w:val="006945BB"/>
    <w:rsid w:val="00694D08"/>
    <w:rsid w:val="00696404"/>
    <w:rsid w:val="00697556"/>
    <w:rsid w:val="006A4F1A"/>
    <w:rsid w:val="006A7823"/>
    <w:rsid w:val="006B394D"/>
    <w:rsid w:val="006B4C2B"/>
    <w:rsid w:val="006B6D47"/>
    <w:rsid w:val="006B7756"/>
    <w:rsid w:val="006C094F"/>
    <w:rsid w:val="006C0C55"/>
    <w:rsid w:val="006C5205"/>
    <w:rsid w:val="006C5599"/>
    <w:rsid w:val="006C6B56"/>
    <w:rsid w:val="006D146E"/>
    <w:rsid w:val="006D4A51"/>
    <w:rsid w:val="006D4BEF"/>
    <w:rsid w:val="006E736F"/>
    <w:rsid w:val="006F3102"/>
    <w:rsid w:val="006F46FB"/>
    <w:rsid w:val="006F5506"/>
    <w:rsid w:val="006F6D95"/>
    <w:rsid w:val="0070063F"/>
    <w:rsid w:val="007040F4"/>
    <w:rsid w:val="00706F13"/>
    <w:rsid w:val="007072E8"/>
    <w:rsid w:val="00710C98"/>
    <w:rsid w:val="0071204B"/>
    <w:rsid w:val="0071618D"/>
    <w:rsid w:val="00716BF1"/>
    <w:rsid w:val="00716CF8"/>
    <w:rsid w:val="00723192"/>
    <w:rsid w:val="0072545F"/>
    <w:rsid w:val="00725FA4"/>
    <w:rsid w:val="00726027"/>
    <w:rsid w:val="007262FB"/>
    <w:rsid w:val="007345F6"/>
    <w:rsid w:val="00735D19"/>
    <w:rsid w:val="00740446"/>
    <w:rsid w:val="007438A9"/>
    <w:rsid w:val="0074491E"/>
    <w:rsid w:val="00750A7A"/>
    <w:rsid w:val="00751BA1"/>
    <w:rsid w:val="007525F2"/>
    <w:rsid w:val="00755730"/>
    <w:rsid w:val="00766C34"/>
    <w:rsid w:val="00770E3D"/>
    <w:rsid w:val="007714A7"/>
    <w:rsid w:val="00774B88"/>
    <w:rsid w:val="00775964"/>
    <w:rsid w:val="0077701E"/>
    <w:rsid w:val="00785AF0"/>
    <w:rsid w:val="0078657D"/>
    <w:rsid w:val="00795BFB"/>
    <w:rsid w:val="007A1F1B"/>
    <w:rsid w:val="007A5F74"/>
    <w:rsid w:val="007B1743"/>
    <w:rsid w:val="007B1C19"/>
    <w:rsid w:val="007B2760"/>
    <w:rsid w:val="007B3BD1"/>
    <w:rsid w:val="007B4E66"/>
    <w:rsid w:val="007B629C"/>
    <w:rsid w:val="007C0BEE"/>
    <w:rsid w:val="007C2629"/>
    <w:rsid w:val="007C4182"/>
    <w:rsid w:val="007C4A51"/>
    <w:rsid w:val="007C5B88"/>
    <w:rsid w:val="007C6689"/>
    <w:rsid w:val="007D39FE"/>
    <w:rsid w:val="007D40E8"/>
    <w:rsid w:val="007D4107"/>
    <w:rsid w:val="007D62C7"/>
    <w:rsid w:val="007D7E1B"/>
    <w:rsid w:val="007E08C3"/>
    <w:rsid w:val="007E10BD"/>
    <w:rsid w:val="007E205B"/>
    <w:rsid w:val="007E73F6"/>
    <w:rsid w:val="007F1324"/>
    <w:rsid w:val="007F2B09"/>
    <w:rsid w:val="007F4B0C"/>
    <w:rsid w:val="007F5610"/>
    <w:rsid w:val="007F664D"/>
    <w:rsid w:val="00801266"/>
    <w:rsid w:val="00801352"/>
    <w:rsid w:val="008045A8"/>
    <w:rsid w:val="00806C01"/>
    <w:rsid w:val="008132ED"/>
    <w:rsid w:val="00813CF8"/>
    <w:rsid w:val="008145E0"/>
    <w:rsid w:val="008148CC"/>
    <w:rsid w:val="008177CD"/>
    <w:rsid w:val="00820944"/>
    <w:rsid w:val="008211A4"/>
    <w:rsid w:val="00821AB0"/>
    <w:rsid w:val="008233FC"/>
    <w:rsid w:val="00826F73"/>
    <w:rsid w:val="008300DF"/>
    <w:rsid w:val="008304D0"/>
    <w:rsid w:val="00832633"/>
    <w:rsid w:val="008356AB"/>
    <w:rsid w:val="00835B87"/>
    <w:rsid w:val="00835D15"/>
    <w:rsid w:val="008366A2"/>
    <w:rsid w:val="008413D2"/>
    <w:rsid w:val="00847E04"/>
    <w:rsid w:val="008536F5"/>
    <w:rsid w:val="00854901"/>
    <w:rsid w:val="00856586"/>
    <w:rsid w:val="0086032D"/>
    <w:rsid w:val="00867E35"/>
    <w:rsid w:val="00872231"/>
    <w:rsid w:val="0087269D"/>
    <w:rsid w:val="008728E4"/>
    <w:rsid w:val="00873150"/>
    <w:rsid w:val="00873EA9"/>
    <w:rsid w:val="00875667"/>
    <w:rsid w:val="00875F7E"/>
    <w:rsid w:val="0087657D"/>
    <w:rsid w:val="008807D5"/>
    <w:rsid w:val="00880832"/>
    <w:rsid w:val="0088427E"/>
    <w:rsid w:val="00884D17"/>
    <w:rsid w:val="00886EE1"/>
    <w:rsid w:val="0088727D"/>
    <w:rsid w:val="00890277"/>
    <w:rsid w:val="008953F7"/>
    <w:rsid w:val="00895562"/>
    <w:rsid w:val="008964EB"/>
    <w:rsid w:val="00896BF6"/>
    <w:rsid w:val="00897C75"/>
    <w:rsid w:val="008A0944"/>
    <w:rsid w:val="008A2E4C"/>
    <w:rsid w:val="008B04FB"/>
    <w:rsid w:val="008B41B2"/>
    <w:rsid w:val="008C0A90"/>
    <w:rsid w:val="008C0AEF"/>
    <w:rsid w:val="008C1130"/>
    <w:rsid w:val="008C1BF4"/>
    <w:rsid w:val="008C49AA"/>
    <w:rsid w:val="008D0D4B"/>
    <w:rsid w:val="008D18E6"/>
    <w:rsid w:val="008D5586"/>
    <w:rsid w:val="008D6681"/>
    <w:rsid w:val="008D7120"/>
    <w:rsid w:val="008D75BB"/>
    <w:rsid w:val="008D77BC"/>
    <w:rsid w:val="008D7A9B"/>
    <w:rsid w:val="008E2B9F"/>
    <w:rsid w:val="008E3689"/>
    <w:rsid w:val="008E3EFA"/>
    <w:rsid w:val="008E6BB6"/>
    <w:rsid w:val="008E76AC"/>
    <w:rsid w:val="008F0878"/>
    <w:rsid w:val="008F21F6"/>
    <w:rsid w:val="008F4958"/>
    <w:rsid w:val="00900D8F"/>
    <w:rsid w:val="00902476"/>
    <w:rsid w:val="00907601"/>
    <w:rsid w:val="00907961"/>
    <w:rsid w:val="009112D2"/>
    <w:rsid w:val="00925723"/>
    <w:rsid w:val="009268AB"/>
    <w:rsid w:val="0093600D"/>
    <w:rsid w:val="00937255"/>
    <w:rsid w:val="00937853"/>
    <w:rsid w:val="0094154D"/>
    <w:rsid w:val="00951F79"/>
    <w:rsid w:val="009553D3"/>
    <w:rsid w:val="00955ABF"/>
    <w:rsid w:val="00962164"/>
    <w:rsid w:val="00971580"/>
    <w:rsid w:val="009716E2"/>
    <w:rsid w:val="00971FEF"/>
    <w:rsid w:val="00974AB5"/>
    <w:rsid w:val="00975ED5"/>
    <w:rsid w:val="00977635"/>
    <w:rsid w:val="00977A71"/>
    <w:rsid w:val="0098706D"/>
    <w:rsid w:val="009872A6"/>
    <w:rsid w:val="009935FB"/>
    <w:rsid w:val="00995B37"/>
    <w:rsid w:val="009A0DDD"/>
    <w:rsid w:val="009A45DE"/>
    <w:rsid w:val="009A77A1"/>
    <w:rsid w:val="009B4453"/>
    <w:rsid w:val="009B5299"/>
    <w:rsid w:val="009C2D16"/>
    <w:rsid w:val="009C37CF"/>
    <w:rsid w:val="009C4CC0"/>
    <w:rsid w:val="009D02EE"/>
    <w:rsid w:val="009D2A63"/>
    <w:rsid w:val="009E2BF4"/>
    <w:rsid w:val="009E46C6"/>
    <w:rsid w:val="009E49F2"/>
    <w:rsid w:val="009F0B6D"/>
    <w:rsid w:val="009F4A54"/>
    <w:rsid w:val="009F4BEC"/>
    <w:rsid w:val="009F583D"/>
    <w:rsid w:val="00A01209"/>
    <w:rsid w:val="00A01F07"/>
    <w:rsid w:val="00A02AAB"/>
    <w:rsid w:val="00A05201"/>
    <w:rsid w:val="00A13260"/>
    <w:rsid w:val="00A14929"/>
    <w:rsid w:val="00A155CE"/>
    <w:rsid w:val="00A15838"/>
    <w:rsid w:val="00A24F74"/>
    <w:rsid w:val="00A25FD7"/>
    <w:rsid w:val="00A27D33"/>
    <w:rsid w:val="00A32464"/>
    <w:rsid w:val="00A32D7C"/>
    <w:rsid w:val="00A43436"/>
    <w:rsid w:val="00A43AFF"/>
    <w:rsid w:val="00A43E71"/>
    <w:rsid w:val="00A46161"/>
    <w:rsid w:val="00A46FA7"/>
    <w:rsid w:val="00A5001B"/>
    <w:rsid w:val="00A538E6"/>
    <w:rsid w:val="00A54A44"/>
    <w:rsid w:val="00A67E9F"/>
    <w:rsid w:val="00A7103F"/>
    <w:rsid w:val="00A72AFF"/>
    <w:rsid w:val="00A73B4E"/>
    <w:rsid w:val="00A7793A"/>
    <w:rsid w:val="00A77CFB"/>
    <w:rsid w:val="00A84044"/>
    <w:rsid w:val="00A872BB"/>
    <w:rsid w:val="00A95384"/>
    <w:rsid w:val="00AA7E78"/>
    <w:rsid w:val="00AB1748"/>
    <w:rsid w:val="00AB1A80"/>
    <w:rsid w:val="00AB1E37"/>
    <w:rsid w:val="00AB3B0A"/>
    <w:rsid w:val="00AB3D77"/>
    <w:rsid w:val="00AB3F20"/>
    <w:rsid w:val="00AB6CA7"/>
    <w:rsid w:val="00AC15B9"/>
    <w:rsid w:val="00AC272A"/>
    <w:rsid w:val="00AC4AD2"/>
    <w:rsid w:val="00AC7245"/>
    <w:rsid w:val="00AD01E4"/>
    <w:rsid w:val="00AD0858"/>
    <w:rsid w:val="00AD21C2"/>
    <w:rsid w:val="00AD320C"/>
    <w:rsid w:val="00AD41E6"/>
    <w:rsid w:val="00AD6545"/>
    <w:rsid w:val="00AE27C9"/>
    <w:rsid w:val="00AE3BEE"/>
    <w:rsid w:val="00AE7340"/>
    <w:rsid w:val="00AF0D4A"/>
    <w:rsid w:val="00AF16BE"/>
    <w:rsid w:val="00AF1BBD"/>
    <w:rsid w:val="00AF2979"/>
    <w:rsid w:val="00AF39A0"/>
    <w:rsid w:val="00AF4B17"/>
    <w:rsid w:val="00B00162"/>
    <w:rsid w:val="00B001AA"/>
    <w:rsid w:val="00B04E51"/>
    <w:rsid w:val="00B05961"/>
    <w:rsid w:val="00B10207"/>
    <w:rsid w:val="00B12762"/>
    <w:rsid w:val="00B1353A"/>
    <w:rsid w:val="00B141E7"/>
    <w:rsid w:val="00B147EF"/>
    <w:rsid w:val="00B1591A"/>
    <w:rsid w:val="00B174D2"/>
    <w:rsid w:val="00B21A67"/>
    <w:rsid w:val="00B2233B"/>
    <w:rsid w:val="00B23E95"/>
    <w:rsid w:val="00B322B8"/>
    <w:rsid w:val="00B3463E"/>
    <w:rsid w:val="00B351B4"/>
    <w:rsid w:val="00B371A1"/>
    <w:rsid w:val="00B40C73"/>
    <w:rsid w:val="00B4452C"/>
    <w:rsid w:val="00B46775"/>
    <w:rsid w:val="00B46BCA"/>
    <w:rsid w:val="00B50819"/>
    <w:rsid w:val="00B508CC"/>
    <w:rsid w:val="00B52AD7"/>
    <w:rsid w:val="00B558D0"/>
    <w:rsid w:val="00B65A64"/>
    <w:rsid w:val="00B702B5"/>
    <w:rsid w:val="00B822DC"/>
    <w:rsid w:val="00B83801"/>
    <w:rsid w:val="00B87806"/>
    <w:rsid w:val="00B87EC9"/>
    <w:rsid w:val="00B913C9"/>
    <w:rsid w:val="00B927C4"/>
    <w:rsid w:val="00B967A9"/>
    <w:rsid w:val="00BA27FA"/>
    <w:rsid w:val="00BA4674"/>
    <w:rsid w:val="00BA49E4"/>
    <w:rsid w:val="00BA5C79"/>
    <w:rsid w:val="00BA7D01"/>
    <w:rsid w:val="00BB1D1A"/>
    <w:rsid w:val="00BB48AC"/>
    <w:rsid w:val="00BB6A0D"/>
    <w:rsid w:val="00BC118E"/>
    <w:rsid w:val="00BC38FD"/>
    <w:rsid w:val="00BC5262"/>
    <w:rsid w:val="00BC692B"/>
    <w:rsid w:val="00BD1DF8"/>
    <w:rsid w:val="00BE162C"/>
    <w:rsid w:val="00BE16DF"/>
    <w:rsid w:val="00BE1E4D"/>
    <w:rsid w:val="00BE5842"/>
    <w:rsid w:val="00BE607A"/>
    <w:rsid w:val="00BE6458"/>
    <w:rsid w:val="00BF0B6F"/>
    <w:rsid w:val="00BF170E"/>
    <w:rsid w:val="00BF1EBC"/>
    <w:rsid w:val="00BF3D5B"/>
    <w:rsid w:val="00BF4B3A"/>
    <w:rsid w:val="00BF7294"/>
    <w:rsid w:val="00BF76DC"/>
    <w:rsid w:val="00C0238E"/>
    <w:rsid w:val="00C034CB"/>
    <w:rsid w:val="00C04835"/>
    <w:rsid w:val="00C04D77"/>
    <w:rsid w:val="00C051A8"/>
    <w:rsid w:val="00C05380"/>
    <w:rsid w:val="00C054BC"/>
    <w:rsid w:val="00C06AEE"/>
    <w:rsid w:val="00C10617"/>
    <w:rsid w:val="00C10F21"/>
    <w:rsid w:val="00C123C3"/>
    <w:rsid w:val="00C1456D"/>
    <w:rsid w:val="00C15134"/>
    <w:rsid w:val="00C16435"/>
    <w:rsid w:val="00C174B0"/>
    <w:rsid w:val="00C17897"/>
    <w:rsid w:val="00C200DA"/>
    <w:rsid w:val="00C214E7"/>
    <w:rsid w:val="00C269D4"/>
    <w:rsid w:val="00C30098"/>
    <w:rsid w:val="00C31842"/>
    <w:rsid w:val="00C36521"/>
    <w:rsid w:val="00C409D5"/>
    <w:rsid w:val="00C4770B"/>
    <w:rsid w:val="00C51E9B"/>
    <w:rsid w:val="00C615EC"/>
    <w:rsid w:val="00C61AFE"/>
    <w:rsid w:val="00C6234B"/>
    <w:rsid w:val="00C627B8"/>
    <w:rsid w:val="00C63EAE"/>
    <w:rsid w:val="00C652B5"/>
    <w:rsid w:val="00C66EA8"/>
    <w:rsid w:val="00C675A9"/>
    <w:rsid w:val="00C709A6"/>
    <w:rsid w:val="00C725B5"/>
    <w:rsid w:val="00C7312C"/>
    <w:rsid w:val="00C7551E"/>
    <w:rsid w:val="00C75D44"/>
    <w:rsid w:val="00C76070"/>
    <w:rsid w:val="00C7629F"/>
    <w:rsid w:val="00C777FE"/>
    <w:rsid w:val="00C801B0"/>
    <w:rsid w:val="00C81DC6"/>
    <w:rsid w:val="00C82F48"/>
    <w:rsid w:val="00C85AAB"/>
    <w:rsid w:val="00C8620B"/>
    <w:rsid w:val="00C8661B"/>
    <w:rsid w:val="00C878BA"/>
    <w:rsid w:val="00C91594"/>
    <w:rsid w:val="00C92F32"/>
    <w:rsid w:val="00C9563D"/>
    <w:rsid w:val="00C977CE"/>
    <w:rsid w:val="00CA139A"/>
    <w:rsid w:val="00CA172B"/>
    <w:rsid w:val="00CA2899"/>
    <w:rsid w:val="00CA2C0B"/>
    <w:rsid w:val="00CA77FB"/>
    <w:rsid w:val="00CB379B"/>
    <w:rsid w:val="00CB5307"/>
    <w:rsid w:val="00CB5DD0"/>
    <w:rsid w:val="00CC1E51"/>
    <w:rsid w:val="00CC51D4"/>
    <w:rsid w:val="00CC51FB"/>
    <w:rsid w:val="00CC65DA"/>
    <w:rsid w:val="00CD113B"/>
    <w:rsid w:val="00CD4E37"/>
    <w:rsid w:val="00CE4736"/>
    <w:rsid w:val="00CE5C13"/>
    <w:rsid w:val="00CF21B9"/>
    <w:rsid w:val="00CF2485"/>
    <w:rsid w:val="00CF6BF9"/>
    <w:rsid w:val="00D002D1"/>
    <w:rsid w:val="00D00A33"/>
    <w:rsid w:val="00D03207"/>
    <w:rsid w:val="00D03800"/>
    <w:rsid w:val="00D040A0"/>
    <w:rsid w:val="00D04514"/>
    <w:rsid w:val="00D04F39"/>
    <w:rsid w:val="00D06584"/>
    <w:rsid w:val="00D065D3"/>
    <w:rsid w:val="00D07C88"/>
    <w:rsid w:val="00D1032D"/>
    <w:rsid w:val="00D11C4B"/>
    <w:rsid w:val="00D13A4D"/>
    <w:rsid w:val="00D14C94"/>
    <w:rsid w:val="00D30236"/>
    <w:rsid w:val="00D30700"/>
    <w:rsid w:val="00D3182C"/>
    <w:rsid w:val="00D33D16"/>
    <w:rsid w:val="00D342A6"/>
    <w:rsid w:val="00D36AA7"/>
    <w:rsid w:val="00D41D6F"/>
    <w:rsid w:val="00D464BF"/>
    <w:rsid w:val="00D53E26"/>
    <w:rsid w:val="00D557BF"/>
    <w:rsid w:val="00D55C3B"/>
    <w:rsid w:val="00D60EDC"/>
    <w:rsid w:val="00D64874"/>
    <w:rsid w:val="00D64CE8"/>
    <w:rsid w:val="00D7297C"/>
    <w:rsid w:val="00D72998"/>
    <w:rsid w:val="00D73A3F"/>
    <w:rsid w:val="00D80472"/>
    <w:rsid w:val="00D85052"/>
    <w:rsid w:val="00D85925"/>
    <w:rsid w:val="00D91934"/>
    <w:rsid w:val="00DA6B9E"/>
    <w:rsid w:val="00DA7899"/>
    <w:rsid w:val="00DB363C"/>
    <w:rsid w:val="00DB4D6A"/>
    <w:rsid w:val="00DB60EC"/>
    <w:rsid w:val="00DB7083"/>
    <w:rsid w:val="00DC1085"/>
    <w:rsid w:val="00DC1FE6"/>
    <w:rsid w:val="00DC2106"/>
    <w:rsid w:val="00DC4169"/>
    <w:rsid w:val="00DC55BF"/>
    <w:rsid w:val="00DD0518"/>
    <w:rsid w:val="00DD4C09"/>
    <w:rsid w:val="00DD4F0E"/>
    <w:rsid w:val="00DD5D12"/>
    <w:rsid w:val="00DE0463"/>
    <w:rsid w:val="00DE2B04"/>
    <w:rsid w:val="00DE377A"/>
    <w:rsid w:val="00DE6DCF"/>
    <w:rsid w:val="00DF137A"/>
    <w:rsid w:val="00DF1CE5"/>
    <w:rsid w:val="00E00AB8"/>
    <w:rsid w:val="00E02824"/>
    <w:rsid w:val="00E04412"/>
    <w:rsid w:val="00E04C8E"/>
    <w:rsid w:val="00E05E0A"/>
    <w:rsid w:val="00E10651"/>
    <w:rsid w:val="00E11936"/>
    <w:rsid w:val="00E13674"/>
    <w:rsid w:val="00E1655F"/>
    <w:rsid w:val="00E17B3F"/>
    <w:rsid w:val="00E20B1E"/>
    <w:rsid w:val="00E20EF1"/>
    <w:rsid w:val="00E21F8A"/>
    <w:rsid w:val="00E2319D"/>
    <w:rsid w:val="00E24657"/>
    <w:rsid w:val="00E262CC"/>
    <w:rsid w:val="00E2656C"/>
    <w:rsid w:val="00E27556"/>
    <w:rsid w:val="00E300B5"/>
    <w:rsid w:val="00E304EA"/>
    <w:rsid w:val="00E30D0A"/>
    <w:rsid w:val="00E33814"/>
    <w:rsid w:val="00E354E7"/>
    <w:rsid w:val="00E355A3"/>
    <w:rsid w:val="00E378A3"/>
    <w:rsid w:val="00E45222"/>
    <w:rsid w:val="00E455A7"/>
    <w:rsid w:val="00E45E07"/>
    <w:rsid w:val="00E5346B"/>
    <w:rsid w:val="00E534CF"/>
    <w:rsid w:val="00E53F95"/>
    <w:rsid w:val="00E542AE"/>
    <w:rsid w:val="00E55833"/>
    <w:rsid w:val="00E55D4D"/>
    <w:rsid w:val="00E60F42"/>
    <w:rsid w:val="00E61023"/>
    <w:rsid w:val="00E611E2"/>
    <w:rsid w:val="00E64256"/>
    <w:rsid w:val="00E670F7"/>
    <w:rsid w:val="00E673FB"/>
    <w:rsid w:val="00E718AF"/>
    <w:rsid w:val="00E75F9A"/>
    <w:rsid w:val="00E7600E"/>
    <w:rsid w:val="00E81CB4"/>
    <w:rsid w:val="00E83A4F"/>
    <w:rsid w:val="00E8466E"/>
    <w:rsid w:val="00E8585B"/>
    <w:rsid w:val="00E866F5"/>
    <w:rsid w:val="00E87253"/>
    <w:rsid w:val="00E87F2E"/>
    <w:rsid w:val="00E90ED4"/>
    <w:rsid w:val="00E915E8"/>
    <w:rsid w:val="00E929FD"/>
    <w:rsid w:val="00E950E4"/>
    <w:rsid w:val="00E9512D"/>
    <w:rsid w:val="00EA04CC"/>
    <w:rsid w:val="00EA35DD"/>
    <w:rsid w:val="00EA3F15"/>
    <w:rsid w:val="00EA6FEB"/>
    <w:rsid w:val="00EA74B0"/>
    <w:rsid w:val="00EA750A"/>
    <w:rsid w:val="00EA7847"/>
    <w:rsid w:val="00EA7B09"/>
    <w:rsid w:val="00EB189B"/>
    <w:rsid w:val="00EB1D84"/>
    <w:rsid w:val="00EB30BF"/>
    <w:rsid w:val="00EB3CA5"/>
    <w:rsid w:val="00EB4884"/>
    <w:rsid w:val="00EB51DF"/>
    <w:rsid w:val="00EC0DF3"/>
    <w:rsid w:val="00EC201A"/>
    <w:rsid w:val="00ED4C64"/>
    <w:rsid w:val="00EE1286"/>
    <w:rsid w:val="00EE1C66"/>
    <w:rsid w:val="00EE2E6E"/>
    <w:rsid w:val="00EE2F2B"/>
    <w:rsid w:val="00EE2F2F"/>
    <w:rsid w:val="00EE605A"/>
    <w:rsid w:val="00EE6077"/>
    <w:rsid w:val="00EF1573"/>
    <w:rsid w:val="00EF411B"/>
    <w:rsid w:val="00EF43F4"/>
    <w:rsid w:val="00EF76EA"/>
    <w:rsid w:val="00F02751"/>
    <w:rsid w:val="00F06A59"/>
    <w:rsid w:val="00F0759E"/>
    <w:rsid w:val="00F15B80"/>
    <w:rsid w:val="00F16AEF"/>
    <w:rsid w:val="00F20B67"/>
    <w:rsid w:val="00F20ED3"/>
    <w:rsid w:val="00F22F16"/>
    <w:rsid w:val="00F259A8"/>
    <w:rsid w:val="00F305D2"/>
    <w:rsid w:val="00F32632"/>
    <w:rsid w:val="00F349A6"/>
    <w:rsid w:val="00F37350"/>
    <w:rsid w:val="00F428BC"/>
    <w:rsid w:val="00F42991"/>
    <w:rsid w:val="00F42DC2"/>
    <w:rsid w:val="00F47D14"/>
    <w:rsid w:val="00F5542E"/>
    <w:rsid w:val="00F56448"/>
    <w:rsid w:val="00F62F1A"/>
    <w:rsid w:val="00F635AD"/>
    <w:rsid w:val="00F70354"/>
    <w:rsid w:val="00F70779"/>
    <w:rsid w:val="00F70E78"/>
    <w:rsid w:val="00F71A94"/>
    <w:rsid w:val="00F72AE6"/>
    <w:rsid w:val="00F72D6A"/>
    <w:rsid w:val="00F7691B"/>
    <w:rsid w:val="00F803A6"/>
    <w:rsid w:val="00F821A3"/>
    <w:rsid w:val="00F82D50"/>
    <w:rsid w:val="00F87F13"/>
    <w:rsid w:val="00F9314A"/>
    <w:rsid w:val="00F97E94"/>
    <w:rsid w:val="00FA0B75"/>
    <w:rsid w:val="00FA1A0B"/>
    <w:rsid w:val="00FB075D"/>
    <w:rsid w:val="00FB38BE"/>
    <w:rsid w:val="00FB7EEA"/>
    <w:rsid w:val="00FC58EF"/>
    <w:rsid w:val="00FC67A7"/>
    <w:rsid w:val="00FC6CFC"/>
    <w:rsid w:val="00FD33DF"/>
    <w:rsid w:val="00FD3D26"/>
    <w:rsid w:val="00FD5370"/>
    <w:rsid w:val="00FE0C28"/>
    <w:rsid w:val="00FE1D46"/>
    <w:rsid w:val="00FE2729"/>
    <w:rsid w:val="00FE39D7"/>
    <w:rsid w:val="00FE46BD"/>
    <w:rsid w:val="00FE7176"/>
    <w:rsid w:val="00FF5775"/>
    <w:rsid w:val="00FF6E76"/>
    <w:rsid w:val="00FF758F"/>
    <w:rsid w:val="00FF76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70063F"/>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2D7A2C"/>
    <w:pPr>
      <w:ind w:left="0"/>
    </w:pPr>
    <w:rPr>
      <w:rFonts w:ascii="Bookman Old Style" w:hAnsi="Bookman Old Style"/>
      <w:szCs w:val="20"/>
      <w:lang w:val="es-CO"/>
    </w:rPr>
  </w:style>
  <w:style w:type="character" w:customStyle="1" w:styleId="PrrafodelistaCar">
    <w:name w:val="Párrafo de lista Car"/>
    <w:link w:val="Prrafodelista"/>
    <w:rsid w:val="002D7A2C"/>
    <w:rPr>
      <w:rFonts w:ascii="Bookman Old Style" w:hAnsi="Bookman Old Style"/>
      <w:sz w:val="24"/>
      <w:lang w:eastAsia="es-ES"/>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70063F"/>
    <w:rPr>
      <w:rFonts w:ascii="Calibri" w:eastAsia="Times New Roman" w:hAnsi="Calibri" w:cs="Times New Roman"/>
      <w:sz w:val="24"/>
      <w:szCs w:val="24"/>
      <w:lang w:val="es-ES" w:eastAsia="es-ES"/>
    </w:rPr>
  </w:style>
  <w:style w:type="character" w:customStyle="1" w:styleId="PiedepginaCar">
    <w:name w:val="Pie de página Car"/>
    <w:link w:val="Piedepgina"/>
    <w:semiHidden/>
    <w:rsid w:val="0070063F"/>
    <w:rPr>
      <w:sz w:val="24"/>
      <w:szCs w:val="24"/>
      <w:lang w:val="es-ES" w:eastAsia="es-ES"/>
    </w:rPr>
  </w:style>
  <w:style w:type="character" w:styleId="Hipervnculo">
    <w:name w:val="Hyperlink"/>
    <w:uiPriority w:val="99"/>
    <w:semiHidden/>
    <w:unhideWhenUsed/>
    <w:rsid w:val="00C4770B"/>
    <w:rPr>
      <w:color w:val="0000FF"/>
      <w:u w:val="single"/>
    </w:rPr>
  </w:style>
  <w:style w:type="paragraph" w:styleId="NormalWeb">
    <w:name w:val="Normal (Web)"/>
    <w:basedOn w:val="Normal"/>
    <w:uiPriority w:val="99"/>
    <w:unhideWhenUsed/>
    <w:rsid w:val="00D07C88"/>
    <w:pPr>
      <w:spacing w:before="100" w:beforeAutospacing="1" w:after="100" w:afterAutospacing="1"/>
      <w:ind w:left="0"/>
    </w:pPr>
    <w:rPr>
      <w:color w:val="000000"/>
      <w:lang w:val="es-CO" w:eastAsia="es-CO"/>
    </w:rPr>
  </w:style>
  <w:style w:type="paragraph" w:customStyle="1" w:styleId="CM63">
    <w:name w:val="CM63"/>
    <w:basedOn w:val="Normal"/>
    <w:next w:val="Normal"/>
    <w:uiPriority w:val="99"/>
    <w:rsid w:val="00696404"/>
    <w:pPr>
      <w:autoSpaceDE w:val="0"/>
      <w:autoSpaceDN w:val="0"/>
      <w:adjustRightInd w:val="0"/>
      <w:ind w:left="0"/>
    </w:pPr>
    <w:rPr>
      <w:rFonts w:ascii="Arial" w:hAnsi="Arial" w:cs="Arial"/>
      <w:lang w:val="es-CO" w:eastAsia="es-CO"/>
    </w:rPr>
  </w:style>
  <w:style w:type="character" w:styleId="Refdecomentario">
    <w:name w:val="annotation reference"/>
    <w:uiPriority w:val="99"/>
    <w:semiHidden/>
    <w:unhideWhenUsed/>
    <w:rsid w:val="00370F79"/>
    <w:rPr>
      <w:sz w:val="16"/>
      <w:szCs w:val="16"/>
    </w:rPr>
  </w:style>
  <w:style w:type="paragraph" w:styleId="Textocomentario">
    <w:name w:val="annotation text"/>
    <w:basedOn w:val="Normal"/>
    <w:link w:val="TextocomentarioCar"/>
    <w:uiPriority w:val="99"/>
    <w:semiHidden/>
    <w:unhideWhenUsed/>
    <w:rsid w:val="00370F79"/>
    <w:rPr>
      <w:sz w:val="20"/>
      <w:szCs w:val="20"/>
    </w:rPr>
  </w:style>
  <w:style w:type="character" w:customStyle="1" w:styleId="TextocomentarioCar">
    <w:name w:val="Texto comentario Car"/>
    <w:link w:val="Textocomentario"/>
    <w:uiPriority w:val="99"/>
    <w:semiHidden/>
    <w:rsid w:val="00370F79"/>
    <w:rPr>
      <w:lang w:val="es-ES" w:eastAsia="es-ES"/>
    </w:rPr>
  </w:style>
  <w:style w:type="paragraph" w:styleId="Asuntodelcomentario">
    <w:name w:val="annotation subject"/>
    <w:basedOn w:val="Textocomentario"/>
    <w:next w:val="Textocomentario"/>
    <w:link w:val="AsuntodelcomentarioCar"/>
    <w:uiPriority w:val="99"/>
    <w:semiHidden/>
    <w:unhideWhenUsed/>
    <w:rsid w:val="00370F79"/>
    <w:rPr>
      <w:b/>
      <w:bCs/>
    </w:rPr>
  </w:style>
  <w:style w:type="character" w:customStyle="1" w:styleId="AsuntodelcomentarioCar">
    <w:name w:val="Asunto del comentario Car"/>
    <w:link w:val="Asuntodelcomentario"/>
    <w:uiPriority w:val="99"/>
    <w:semiHidden/>
    <w:rsid w:val="00370F79"/>
    <w:rPr>
      <w:b/>
      <w:bCs/>
      <w:lang w:val="es-ES" w:eastAsia="es-ES"/>
    </w:rPr>
  </w:style>
  <w:style w:type="paragraph" w:customStyle="1" w:styleId="xl27">
    <w:name w:val="xl27"/>
    <w:basedOn w:val="Normal"/>
    <w:rsid w:val="0053368F"/>
    <w:pPr>
      <w:spacing w:before="100" w:beforeAutospacing="1" w:after="100" w:afterAutospacing="1"/>
      <w:ind w:left="0"/>
      <w:jc w:val="both"/>
    </w:pPr>
    <w:rPr>
      <w:rFonts w:ascii="Bookman Old Style" w:eastAsia="Arial Unicode MS" w:hAnsi="Bookman Old Style" w:cs="Arial"/>
    </w:rPr>
  </w:style>
  <w:style w:type="character" w:customStyle="1" w:styleId="ARTICULOSCar">
    <w:name w:val="ARTICULOS Car"/>
    <w:link w:val="ARTICULOS"/>
    <w:locked/>
    <w:rsid w:val="00FB38BE"/>
    <w:rPr>
      <w:rFonts w:ascii="Bookman Old Style" w:hAnsi="Bookman Old Style"/>
      <w:bCs/>
      <w:sz w:val="24"/>
      <w:szCs w:val="24"/>
      <w:lang w:val="es-ES" w:eastAsia="es-ES"/>
    </w:rPr>
  </w:style>
  <w:style w:type="paragraph" w:customStyle="1" w:styleId="ARTICULOS">
    <w:name w:val="ARTICULOS"/>
    <w:basedOn w:val="Normal"/>
    <w:link w:val="ARTICULOSCar"/>
    <w:qFormat/>
    <w:rsid w:val="00FB38BE"/>
    <w:pPr>
      <w:widowControl w:val="0"/>
      <w:numPr>
        <w:numId w:val="1"/>
      </w:numPr>
      <w:adjustRightInd w:val="0"/>
      <w:jc w:val="both"/>
    </w:pPr>
    <w:rPr>
      <w:rFonts w:ascii="Bookman Old Style" w:hAnsi="Bookman Old Style"/>
      <w:bCs/>
    </w:rPr>
  </w:style>
  <w:style w:type="paragraph" w:customStyle="1" w:styleId="Default">
    <w:name w:val="Default"/>
    <w:rsid w:val="00F22F16"/>
    <w:pPr>
      <w:autoSpaceDE w:val="0"/>
      <w:autoSpaceDN w:val="0"/>
      <w:adjustRightInd w:val="0"/>
    </w:pPr>
    <w:rPr>
      <w:rFonts w:ascii="Arial" w:hAnsi="Arial" w:cs="Arial"/>
      <w:color w:val="000000"/>
      <w:sz w:val="24"/>
      <w:szCs w:val="24"/>
    </w:rPr>
  </w:style>
  <w:style w:type="paragraph" w:customStyle="1" w:styleId="Estilo8">
    <w:name w:val="Estilo8"/>
    <w:basedOn w:val="Normal"/>
    <w:qFormat/>
    <w:rsid w:val="00E33814"/>
    <w:pPr>
      <w:ind w:left="0"/>
    </w:pPr>
    <w:rPr>
      <w:rFonts w:ascii="Arial" w:hAnsi="Arial" w:cs="Arial"/>
      <w:sz w:val="22"/>
      <w:szCs w:val="22"/>
      <w:lang w:val="es-ES_tradnl" w:eastAsia="es-CO"/>
    </w:rPr>
  </w:style>
  <w:style w:type="character" w:styleId="Textodelmarcadordeposicin">
    <w:name w:val="Placeholder Text"/>
    <w:basedOn w:val="Fuentedeprrafopredeter"/>
    <w:uiPriority w:val="99"/>
    <w:semiHidden/>
    <w:rsid w:val="00C16435"/>
    <w:rPr>
      <w:color w:val="808080"/>
    </w:rPr>
  </w:style>
  <w:style w:type="paragraph" w:styleId="TDC4">
    <w:name w:val="toc 4"/>
    <w:basedOn w:val="Normal"/>
    <w:next w:val="Normal"/>
    <w:autoRedefine/>
    <w:uiPriority w:val="39"/>
    <w:semiHidden/>
    <w:unhideWhenUsed/>
    <w:rsid w:val="001C6142"/>
    <w:pPr>
      <w:spacing w:after="100"/>
      <w:ind w:left="720"/>
    </w:pPr>
  </w:style>
  <w:style w:type="paragraph" w:styleId="TDC5">
    <w:name w:val="toc 5"/>
    <w:basedOn w:val="Normal"/>
    <w:next w:val="Normal"/>
    <w:autoRedefine/>
    <w:uiPriority w:val="39"/>
    <w:semiHidden/>
    <w:unhideWhenUsed/>
    <w:rsid w:val="001C6142"/>
    <w:pPr>
      <w:spacing w:after="100"/>
      <w:ind w:left="960"/>
    </w:pPr>
  </w:style>
  <w:style w:type="character" w:styleId="Hipervnculovisitado">
    <w:name w:val="FollowedHyperlink"/>
    <w:basedOn w:val="Fuentedeprrafopredeter"/>
    <w:uiPriority w:val="99"/>
    <w:semiHidden/>
    <w:unhideWhenUsed/>
    <w:rsid w:val="00EA04CC"/>
    <w:rPr>
      <w:color w:val="800080" w:themeColor="followedHyperlink"/>
      <w:u w:val="single"/>
    </w:rPr>
  </w:style>
  <w:style w:type="paragraph" w:customStyle="1" w:styleId="TextoTtulo3">
    <w:name w:val="Texto Título 3"/>
    <w:basedOn w:val="Normal"/>
    <w:rsid w:val="00FF76CF"/>
    <w:pPr>
      <w:tabs>
        <w:tab w:val="left" w:pos="-2835"/>
        <w:tab w:val="left" w:pos="-1800"/>
      </w:tabs>
      <w:spacing w:after="60" w:line="264" w:lineRule="auto"/>
      <w:ind w:left="1304" w:right="720" w:firstLine="170"/>
      <w:jc w:val="both"/>
    </w:pPr>
    <w:rPr>
      <w:rFonts w:cs="Arial"/>
      <w:sz w:val="22"/>
      <w:szCs w:val="20"/>
      <w:lang w:val="es-AR"/>
    </w:rPr>
  </w:style>
  <w:style w:type="paragraph" w:customStyle="1" w:styleId="MTDisplayEquation">
    <w:name w:val="MTDisplayEquation"/>
    <w:basedOn w:val="Normal"/>
    <w:next w:val="Normal"/>
    <w:rsid w:val="00EB4884"/>
    <w:pPr>
      <w:tabs>
        <w:tab w:val="center" w:pos="4460"/>
        <w:tab w:val="right" w:pos="8920"/>
      </w:tabs>
      <w:overflowPunct w:val="0"/>
      <w:autoSpaceDE w:val="0"/>
      <w:autoSpaceDN w:val="0"/>
      <w:adjustRightInd w:val="0"/>
      <w:spacing w:after="220" w:line="280" w:lineRule="atLeast"/>
      <w:ind w:left="0" w:firstLine="720"/>
      <w:jc w:val="both"/>
      <w:textAlignment w:val="baseline"/>
    </w:pPr>
    <w:rPr>
      <w:rFonts w:ascii="Arial" w:hAnsi="Arial"/>
      <w:spacing w:val="4"/>
      <w:sz w:val="20"/>
      <w:szCs w:val="20"/>
      <w:lang w:val="es-AR" w:eastAsia="en-US"/>
    </w:rPr>
  </w:style>
  <w:style w:type="paragraph" w:customStyle="1" w:styleId="Prop3">
    <w:name w:val="Prop3"/>
    <w:basedOn w:val="Ttulo4"/>
    <w:rsid w:val="006F5506"/>
    <w:pPr>
      <w:overflowPunct w:val="0"/>
      <w:autoSpaceDE w:val="0"/>
      <w:autoSpaceDN w:val="0"/>
      <w:adjustRightInd w:val="0"/>
      <w:spacing w:after="240" w:line="288" w:lineRule="exact"/>
      <w:ind w:left="720"/>
      <w:jc w:val="left"/>
      <w:textAlignment w:val="baseline"/>
    </w:pPr>
    <w:rPr>
      <w:rFonts w:cs="Times New Roman"/>
      <w:snapToGrid/>
      <w:color w:val="auto"/>
      <w:spacing w:val="4"/>
      <w:lang w:val="en-US" w:eastAsia="en-US"/>
    </w:rPr>
  </w:style>
  <w:style w:type="paragraph" w:customStyle="1" w:styleId="CM27">
    <w:name w:val="CM27"/>
    <w:basedOn w:val="Default"/>
    <w:next w:val="Default"/>
    <w:uiPriority w:val="99"/>
    <w:rsid w:val="00EB3CA5"/>
    <w:rPr>
      <w:color w:val="auto"/>
    </w:rPr>
  </w:style>
  <w:style w:type="character" w:customStyle="1" w:styleId="CharStyle15">
    <w:name w:val="Char Style 15"/>
    <w:basedOn w:val="Fuentedeprrafopredeter"/>
    <w:link w:val="Style14"/>
    <w:uiPriority w:val="99"/>
    <w:rsid w:val="00710C98"/>
    <w:rPr>
      <w:rFonts w:ascii="Arial" w:hAnsi="Arial" w:cs="Arial"/>
      <w:sz w:val="18"/>
      <w:szCs w:val="18"/>
      <w:shd w:val="clear" w:color="auto" w:fill="FFFFFF"/>
    </w:rPr>
  </w:style>
  <w:style w:type="paragraph" w:customStyle="1" w:styleId="Style14">
    <w:name w:val="Style 14"/>
    <w:basedOn w:val="Normal"/>
    <w:link w:val="CharStyle15"/>
    <w:uiPriority w:val="99"/>
    <w:rsid w:val="00710C98"/>
    <w:pPr>
      <w:widowControl w:val="0"/>
      <w:shd w:val="clear" w:color="auto" w:fill="FFFFFF"/>
      <w:spacing w:line="240" w:lineRule="atLeast"/>
      <w:ind w:left="0" w:hanging="720"/>
    </w:pPr>
    <w:rPr>
      <w:rFonts w:ascii="Arial" w:hAnsi="Arial" w:cs="Arial"/>
      <w:sz w:val="18"/>
      <w:szCs w:val="18"/>
      <w:lang w:val="es-CO" w:eastAsia="es-CO"/>
    </w:rPr>
  </w:style>
  <w:style w:type="paragraph" w:customStyle="1" w:styleId="CM29">
    <w:name w:val="CM29"/>
    <w:basedOn w:val="Default"/>
    <w:next w:val="Default"/>
    <w:uiPriority w:val="99"/>
    <w:rsid w:val="004D4AFF"/>
    <w:rPr>
      <w:color w:val="auto"/>
    </w:rPr>
  </w:style>
  <w:style w:type="paragraph" w:styleId="Textonotapie">
    <w:name w:val="footnote text"/>
    <w:basedOn w:val="Normal"/>
    <w:link w:val="TextonotapieCar"/>
    <w:semiHidden/>
    <w:rsid w:val="00B1591A"/>
    <w:pPr>
      <w:ind w:left="0"/>
      <w:jc w:val="both"/>
    </w:pPr>
    <w:rPr>
      <w:rFonts w:ascii="Arial" w:hAnsi="Arial"/>
      <w:sz w:val="20"/>
      <w:szCs w:val="20"/>
      <w:lang w:val="es-ES_tradnl"/>
    </w:rPr>
  </w:style>
  <w:style w:type="character" w:customStyle="1" w:styleId="TextonotapieCar">
    <w:name w:val="Texto nota pie Car"/>
    <w:basedOn w:val="Fuentedeprrafopredeter"/>
    <w:link w:val="Textonotapie"/>
    <w:uiPriority w:val="99"/>
    <w:semiHidden/>
    <w:rsid w:val="00B1591A"/>
    <w:rPr>
      <w:rFonts w:ascii="Arial" w:hAnsi="Arial"/>
      <w:lang w:val="es-ES_tradnl" w:eastAsia="es-ES"/>
    </w:rPr>
  </w:style>
  <w:style w:type="character" w:styleId="Refdenotaalpie">
    <w:name w:val="footnote reference"/>
    <w:semiHidden/>
    <w:rsid w:val="00B1591A"/>
    <w:rPr>
      <w:vertAlign w:val="superscript"/>
    </w:rPr>
  </w:style>
  <w:style w:type="paragraph" w:customStyle="1" w:styleId="Citas">
    <w:name w:val="Citas"/>
    <w:basedOn w:val="Normal"/>
    <w:rsid w:val="002D7A2C"/>
    <w:pPr>
      <w:ind w:left="708" w:right="618"/>
      <w:jc w:val="both"/>
    </w:pPr>
    <w:rPr>
      <w:rFonts w:ascii="Bookman Old Style" w:hAnsi="Bookman Old Style" w:cs="Arial"/>
      <w:i/>
      <w:iCs/>
      <w:szCs w:val="20"/>
    </w:rPr>
  </w:style>
  <w:style w:type="paragraph" w:styleId="Textonotaalfinal">
    <w:name w:val="endnote text"/>
    <w:basedOn w:val="Normal"/>
    <w:link w:val="TextonotaalfinalCar"/>
    <w:uiPriority w:val="99"/>
    <w:semiHidden/>
    <w:unhideWhenUsed/>
    <w:rsid w:val="00FA0B75"/>
    <w:pPr>
      <w:ind w:left="0"/>
      <w:jc w:val="both"/>
    </w:pPr>
    <w:rPr>
      <w:rFonts w:ascii="Arial" w:hAnsi="Arial"/>
      <w:sz w:val="20"/>
      <w:szCs w:val="20"/>
      <w:lang w:val="es-ES_tradnl"/>
    </w:rPr>
  </w:style>
  <w:style w:type="character" w:customStyle="1" w:styleId="TextonotaalfinalCar">
    <w:name w:val="Texto nota al final Car"/>
    <w:basedOn w:val="Fuentedeprrafopredeter"/>
    <w:link w:val="Textonotaalfinal"/>
    <w:uiPriority w:val="99"/>
    <w:semiHidden/>
    <w:rsid w:val="00FA0B75"/>
    <w:rPr>
      <w:rFonts w:ascii="Arial" w:hAnsi="Arial"/>
      <w:lang w:val="es-ES_tradnl" w:eastAsia="es-ES"/>
    </w:rPr>
  </w:style>
  <w:style w:type="paragraph" w:customStyle="1" w:styleId="Textoindependiente21">
    <w:name w:val="Texto independiente 21"/>
    <w:basedOn w:val="Normal"/>
    <w:rsid w:val="0071204B"/>
    <w:pPr>
      <w:overflowPunct w:val="0"/>
      <w:autoSpaceDE w:val="0"/>
      <w:autoSpaceDN w:val="0"/>
      <w:adjustRightInd w:val="0"/>
      <w:ind w:left="0"/>
      <w:jc w:val="both"/>
      <w:textAlignment w:val="baseline"/>
    </w:pPr>
    <w:rPr>
      <w:rFonts w:ascii="Arial" w:hAnsi="Arial"/>
      <w:sz w:val="22"/>
      <w:szCs w:val="20"/>
      <w:lang w:val="es-ES_tradnl"/>
    </w:rPr>
  </w:style>
  <w:style w:type="paragraph" w:styleId="Revisin">
    <w:name w:val="Revision"/>
    <w:hidden/>
    <w:uiPriority w:val="99"/>
    <w:semiHidden/>
    <w:rsid w:val="007B4E66"/>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70063F"/>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2D7A2C"/>
    <w:pPr>
      <w:ind w:left="0"/>
    </w:pPr>
    <w:rPr>
      <w:rFonts w:ascii="Bookman Old Style" w:hAnsi="Bookman Old Style"/>
      <w:szCs w:val="20"/>
      <w:lang w:val="es-CO"/>
    </w:rPr>
  </w:style>
  <w:style w:type="character" w:customStyle="1" w:styleId="PrrafodelistaCar">
    <w:name w:val="Párrafo de lista Car"/>
    <w:link w:val="Prrafodelista"/>
    <w:rsid w:val="002D7A2C"/>
    <w:rPr>
      <w:rFonts w:ascii="Bookman Old Style" w:hAnsi="Bookman Old Style"/>
      <w:sz w:val="24"/>
      <w:lang w:eastAsia="es-ES"/>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70063F"/>
    <w:rPr>
      <w:rFonts w:ascii="Calibri" w:eastAsia="Times New Roman" w:hAnsi="Calibri" w:cs="Times New Roman"/>
      <w:sz w:val="24"/>
      <w:szCs w:val="24"/>
      <w:lang w:val="es-ES" w:eastAsia="es-ES"/>
    </w:rPr>
  </w:style>
  <w:style w:type="character" w:customStyle="1" w:styleId="PiedepginaCar">
    <w:name w:val="Pie de página Car"/>
    <w:link w:val="Piedepgina"/>
    <w:semiHidden/>
    <w:rsid w:val="0070063F"/>
    <w:rPr>
      <w:sz w:val="24"/>
      <w:szCs w:val="24"/>
      <w:lang w:val="es-ES" w:eastAsia="es-ES"/>
    </w:rPr>
  </w:style>
  <w:style w:type="character" w:styleId="Hipervnculo">
    <w:name w:val="Hyperlink"/>
    <w:uiPriority w:val="99"/>
    <w:semiHidden/>
    <w:unhideWhenUsed/>
    <w:rsid w:val="00C4770B"/>
    <w:rPr>
      <w:color w:val="0000FF"/>
      <w:u w:val="single"/>
    </w:rPr>
  </w:style>
  <w:style w:type="paragraph" w:styleId="NormalWeb">
    <w:name w:val="Normal (Web)"/>
    <w:basedOn w:val="Normal"/>
    <w:uiPriority w:val="99"/>
    <w:unhideWhenUsed/>
    <w:rsid w:val="00D07C88"/>
    <w:pPr>
      <w:spacing w:before="100" w:beforeAutospacing="1" w:after="100" w:afterAutospacing="1"/>
      <w:ind w:left="0"/>
    </w:pPr>
    <w:rPr>
      <w:color w:val="000000"/>
      <w:lang w:val="es-CO" w:eastAsia="es-CO"/>
    </w:rPr>
  </w:style>
  <w:style w:type="paragraph" w:customStyle="1" w:styleId="CM63">
    <w:name w:val="CM63"/>
    <w:basedOn w:val="Normal"/>
    <w:next w:val="Normal"/>
    <w:uiPriority w:val="99"/>
    <w:rsid w:val="00696404"/>
    <w:pPr>
      <w:autoSpaceDE w:val="0"/>
      <w:autoSpaceDN w:val="0"/>
      <w:adjustRightInd w:val="0"/>
      <w:ind w:left="0"/>
    </w:pPr>
    <w:rPr>
      <w:rFonts w:ascii="Arial" w:hAnsi="Arial" w:cs="Arial"/>
      <w:lang w:val="es-CO" w:eastAsia="es-CO"/>
    </w:rPr>
  </w:style>
  <w:style w:type="character" w:styleId="Refdecomentario">
    <w:name w:val="annotation reference"/>
    <w:uiPriority w:val="99"/>
    <w:semiHidden/>
    <w:unhideWhenUsed/>
    <w:rsid w:val="00370F79"/>
    <w:rPr>
      <w:sz w:val="16"/>
      <w:szCs w:val="16"/>
    </w:rPr>
  </w:style>
  <w:style w:type="paragraph" w:styleId="Textocomentario">
    <w:name w:val="annotation text"/>
    <w:basedOn w:val="Normal"/>
    <w:link w:val="TextocomentarioCar"/>
    <w:uiPriority w:val="99"/>
    <w:semiHidden/>
    <w:unhideWhenUsed/>
    <w:rsid w:val="00370F79"/>
    <w:rPr>
      <w:sz w:val="20"/>
      <w:szCs w:val="20"/>
    </w:rPr>
  </w:style>
  <w:style w:type="character" w:customStyle="1" w:styleId="TextocomentarioCar">
    <w:name w:val="Texto comentario Car"/>
    <w:link w:val="Textocomentario"/>
    <w:uiPriority w:val="99"/>
    <w:semiHidden/>
    <w:rsid w:val="00370F79"/>
    <w:rPr>
      <w:lang w:val="es-ES" w:eastAsia="es-ES"/>
    </w:rPr>
  </w:style>
  <w:style w:type="paragraph" w:styleId="Asuntodelcomentario">
    <w:name w:val="annotation subject"/>
    <w:basedOn w:val="Textocomentario"/>
    <w:next w:val="Textocomentario"/>
    <w:link w:val="AsuntodelcomentarioCar"/>
    <w:uiPriority w:val="99"/>
    <w:semiHidden/>
    <w:unhideWhenUsed/>
    <w:rsid w:val="00370F79"/>
    <w:rPr>
      <w:b/>
      <w:bCs/>
    </w:rPr>
  </w:style>
  <w:style w:type="character" w:customStyle="1" w:styleId="AsuntodelcomentarioCar">
    <w:name w:val="Asunto del comentario Car"/>
    <w:link w:val="Asuntodelcomentario"/>
    <w:uiPriority w:val="99"/>
    <w:semiHidden/>
    <w:rsid w:val="00370F79"/>
    <w:rPr>
      <w:b/>
      <w:bCs/>
      <w:lang w:val="es-ES" w:eastAsia="es-ES"/>
    </w:rPr>
  </w:style>
  <w:style w:type="paragraph" w:customStyle="1" w:styleId="xl27">
    <w:name w:val="xl27"/>
    <w:basedOn w:val="Normal"/>
    <w:rsid w:val="0053368F"/>
    <w:pPr>
      <w:spacing w:before="100" w:beforeAutospacing="1" w:after="100" w:afterAutospacing="1"/>
      <w:ind w:left="0"/>
      <w:jc w:val="both"/>
    </w:pPr>
    <w:rPr>
      <w:rFonts w:ascii="Bookman Old Style" w:eastAsia="Arial Unicode MS" w:hAnsi="Bookman Old Style" w:cs="Arial"/>
    </w:rPr>
  </w:style>
  <w:style w:type="character" w:customStyle="1" w:styleId="ARTICULOSCar">
    <w:name w:val="ARTICULOS Car"/>
    <w:link w:val="ARTICULOS"/>
    <w:locked/>
    <w:rsid w:val="00FB38BE"/>
    <w:rPr>
      <w:rFonts w:ascii="Bookman Old Style" w:hAnsi="Bookman Old Style"/>
      <w:bCs/>
      <w:sz w:val="24"/>
      <w:szCs w:val="24"/>
      <w:lang w:val="es-ES" w:eastAsia="es-ES"/>
    </w:rPr>
  </w:style>
  <w:style w:type="paragraph" w:customStyle="1" w:styleId="ARTICULOS">
    <w:name w:val="ARTICULOS"/>
    <w:basedOn w:val="Normal"/>
    <w:link w:val="ARTICULOSCar"/>
    <w:qFormat/>
    <w:rsid w:val="00FB38BE"/>
    <w:pPr>
      <w:widowControl w:val="0"/>
      <w:numPr>
        <w:numId w:val="1"/>
      </w:numPr>
      <w:adjustRightInd w:val="0"/>
      <w:jc w:val="both"/>
    </w:pPr>
    <w:rPr>
      <w:rFonts w:ascii="Bookman Old Style" w:hAnsi="Bookman Old Style"/>
      <w:bCs/>
    </w:rPr>
  </w:style>
  <w:style w:type="paragraph" w:customStyle="1" w:styleId="Default">
    <w:name w:val="Default"/>
    <w:rsid w:val="00F22F16"/>
    <w:pPr>
      <w:autoSpaceDE w:val="0"/>
      <w:autoSpaceDN w:val="0"/>
      <w:adjustRightInd w:val="0"/>
    </w:pPr>
    <w:rPr>
      <w:rFonts w:ascii="Arial" w:hAnsi="Arial" w:cs="Arial"/>
      <w:color w:val="000000"/>
      <w:sz w:val="24"/>
      <w:szCs w:val="24"/>
    </w:rPr>
  </w:style>
  <w:style w:type="paragraph" w:customStyle="1" w:styleId="Estilo8">
    <w:name w:val="Estilo8"/>
    <w:basedOn w:val="Normal"/>
    <w:qFormat/>
    <w:rsid w:val="00E33814"/>
    <w:pPr>
      <w:ind w:left="0"/>
    </w:pPr>
    <w:rPr>
      <w:rFonts w:ascii="Arial" w:hAnsi="Arial" w:cs="Arial"/>
      <w:sz w:val="22"/>
      <w:szCs w:val="22"/>
      <w:lang w:val="es-ES_tradnl" w:eastAsia="es-CO"/>
    </w:rPr>
  </w:style>
  <w:style w:type="character" w:styleId="Textodelmarcadordeposicin">
    <w:name w:val="Placeholder Text"/>
    <w:basedOn w:val="Fuentedeprrafopredeter"/>
    <w:uiPriority w:val="99"/>
    <w:semiHidden/>
    <w:rsid w:val="00C16435"/>
    <w:rPr>
      <w:color w:val="808080"/>
    </w:rPr>
  </w:style>
  <w:style w:type="paragraph" w:styleId="TDC4">
    <w:name w:val="toc 4"/>
    <w:basedOn w:val="Normal"/>
    <w:next w:val="Normal"/>
    <w:autoRedefine/>
    <w:uiPriority w:val="39"/>
    <w:semiHidden/>
    <w:unhideWhenUsed/>
    <w:rsid w:val="001C6142"/>
    <w:pPr>
      <w:spacing w:after="100"/>
      <w:ind w:left="720"/>
    </w:pPr>
  </w:style>
  <w:style w:type="paragraph" w:styleId="TDC5">
    <w:name w:val="toc 5"/>
    <w:basedOn w:val="Normal"/>
    <w:next w:val="Normal"/>
    <w:autoRedefine/>
    <w:uiPriority w:val="39"/>
    <w:semiHidden/>
    <w:unhideWhenUsed/>
    <w:rsid w:val="001C6142"/>
    <w:pPr>
      <w:spacing w:after="100"/>
      <w:ind w:left="960"/>
    </w:pPr>
  </w:style>
  <w:style w:type="character" w:styleId="Hipervnculovisitado">
    <w:name w:val="FollowedHyperlink"/>
    <w:basedOn w:val="Fuentedeprrafopredeter"/>
    <w:uiPriority w:val="99"/>
    <w:semiHidden/>
    <w:unhideWhenUsed/>
    <w:rsid w:val="00EA04CC"/>
    <w:rPr>
      <w:color w:val="800080" w:themeColor="followedHyperlink"/>
      <w:u w:val="single"/>
    </w:rPr>
  </w:style>
  <w:style w:type="paragraph" w:customStyle="1" w:styleId="TextoTtulo3">
    <w:name w:val="Texto Título 3"/>
    <w:basedOn w:val="Normal"/>
    <w:rsid w:val="00FF76CF"/>
    <w:pPr>
      <w:tabs>
        <w:tab w:val="left" w:pos="-2835"/>
        <w:tab w:val="left" w:pos="-1800"/>
      </w:tabs>
      <w:spacing w:after="60" w:line="264" w:lineRule="auto"/>
      <w:ind w:left="1304" w:right="720" w:firstLine="170"/>
      <w:jc w:val="both"/>
    </w:pPr>
    <w:rPr>
      <w:rFonts w:cs="Arial"/>
      <w:sz w:val="22"/>
      <w:szCs w:val="20"/>
      <w:lang w:val="es-AR"/>
    </w:rPr>
  </w:style>
  <w:style w:type="paragraph" w:customStyle="1" w:styleId="MTDisplayEquation">
    <w:name w:val="MTDisplayEquation"/>
    <w:basedOn w:val="Normal"/>
    <w:next w:val="Normal"/>
    <w:rsid w:val="00EB4884"/>
    <w:pPr>
      <w:tabs>
        <w:tab w:val="center" w:pos="4460"/>
        <w:tab w:val="right" w:pos="8920"/>
      </w:tabs>
      <w:overflowPunct w:val="0"/>
      <w:autoSpaceDE w:val="0"/>
      <w:autoSpaceDN w:val="0"/>
      <w:adjustRightInd w:val="0"/>
      <w:spacing w:after="220" w:line="280" w:lineRule="atLeast"/>
      <w:ind w:left="0" w:firstLine="720"/>
      <w:jc w:val="both"/>
      <w:textAlignment w:val="baseline"/>
    </w:pPr>
    <w:rPr>
      <w:rFonts w:ascii="Arial" w:hAnsi="Arial"/>
      <w:spacing w:val="4"/>
      <w:sz w:val="20"/>
      <w:szCs w:val="20"/>
      <w:lang w:val="es-AR" w:eastAsia="en-US"/>
    </w:rPr>
  </w:style>
  <w:style w:type="paragraph" w:customStyle="1" w:styleId="Prop3">
    <w:name w:val="Prop3"/>
    <w:basedOn w:val="Ttulo4"/>
    <w:rsid w:val="006F5506"/>
    <w:pPr>
      <w:overflowPunct w:val="0"/>
      <w:autoSpaceDE w:val="0"/>
      <w:autoSpaceDN w:val="0"/>
      <w:adjustRightInd w:val="0"/>
      <w:spacing w:after="240" w:line="288" w:lineRule="exact"/>
      <w:ind w:left="720"/>
      <w:jc w:val="left"/>
      <w:textAlignment w:val="baseline"/>
    </w:pPr>
    <w:rPr>
      <w:rFonts w:cs="Times New Roman"/>
      <w:snapToGrid/>
      <w:color w:val="auto"/>
      <w:spacing w:val="4"/>
      <w:lang w:val="en-US" w:eastAsia="en-US"/>
    </w:rPr>
  </w:style>
  <w:style w:type="paragraph" w:customStyle="1" w:styleId="CM27">
    <w:name w:val="CM27"/>
    <w:basedOn w:val="Default"/>
    <w:next w:val="Default"/>
    <w:uiPriority w:val="99"/>
    <w:rsid w:val="00EB3CA5"/>
    <w:rPr>
      <w:color w:val="auto"/>
    </w:rPr>
  </w:style>
  <w:style w:type="character" w:customStyle="1" w:styleId="CharStyle15">
    <w:name w:val="Char Style 15"/>
    <w:basedOn w:val="Fuentedeprrafopredeter"/>
    <w:link w:val="Style14"/>
    <w:uiPriority w:val="99"/>
    <w:rsid w:val="00710C98"/>
    <w:rPr>
      <w:rFonts w:ascii="Arial" w:hAnsi="Arial" w:cs="Arial"/>
      <w:sz w:val="18"/>
      <w:szCs w:val="18"/>
      <w:shd w:val="clear" w:color="auto" w:fill="FFFFFF"/>
    </w:rPr>
  </w:style>
  <w:style w:type="paragraph" w:customStyle="1" w:styleId="Style14">
    <w:name w:val="Style 14"/>
    <w:basedOn w:val="Normal"/>
    <w:link w:val="CharStyle15"/>
    <w:uiPriority w:val="99"/>
    <w:rsid w:val="00710C98"/>
    <w:pPr>
      <w:widowControl w:val="0"/>
      <w:shd w:val="clear" w:color="auto" w:fill="FFFFFF"/>
      <w:spacing w:line="240" w:lineRule="atLeast"/>
      <w:ind w:left="0" w:hanging="720"/>
    </w:pPr>
    <w:rPr>
      <w:rFonts w:ascii="Arial" w:hAnsi="Arial" w:cs="Arial"/>
      <w:sz w:val="18"/>
      <w:szCs w:val="18"/>
      <w:lang w:val="es-CO" w:eastAsia="es-CO"/>
    </w:rPr>
  </w:style>
  <w:style w:type="paragraph" w:customStyle="1" w:styleId="CM29">
    <w:name w:val="CM29"/>
    <w:basedOn w:val="Default"/>
    <w:next w:val="Default"/>
    <w:uiPriority w:val="99"/>
    <w:rsid w:val="004D4AFF"/>
    <w:rPr>
      <w:color w:val="auto"/>
    </w:rPr>
  </w:style>
  <w:style w:type="paragraph" w:styleId="Textonotapie">
    <w:name w:val="footnote text"/>
    <w:basedOn w:val="Normal"/>
    <w:link w:val="TextonotapieCar"/>
    <w:semiHidden/>
    <w:rsid w:val="00B1591A"/>
    <w:pPr>
      <w:ind w:left="0"/>
      <w:jc w:val="both"/>
    </w:pPr>
    <w:rPr>
      <w:rFonts w:ascii="Arial" w:hAnsi="Arial"/>
      <w:sz w:val="20"/>
      <w:szCs w:val="20"/>
      <w:lang w:val="es-ES_tradnl"/>
    </w:rPr>
  </w:style>
  <w:style w:type="character" w:customStyle="1" w:styleId="TextonotapieCar">
    <w:name w:val="Texto nota pie Car"/>
    <w:basedOn w:val="Fuentedeprrafopredeter"/>
    <w:link w:val="Textonotapie"/>
    <w:uiPriority w:val="99"/>
    <w:semiHidden/>
    <w:rsid w:val="00B1591A"/>
    <w:rPr>
      <w:rFonts w:ascii="Arial" w:hAnsi="Arial"/>
      <w:lang w:val="es-ES_tradnl" w:eastAsia="es-ES"/>
    </w:rPr>
  </w:style>
  <w:style w:type="character" w:styleId="Refdenotaalpie">
    <w:name w:val="footnote reference"/>
    <w:semiHidden/>
    <w:rsid w:val="00B1591A"/>
    <w:rPr>
      <w:vertAlign w:val="superscript"/>
    </w:rPr>
  </w:style>
  <w:style w:type="paragraph" w:customStyle="1" w:styleId="Citas">
    <w:name w:val="Citas"/>
    <w:basedOn w:val="Normal"/>
    <w:rsid w:val="002D7A2C"/>
    <w:pPr>
      <w:ind w:left="708" w:right="618"/>
      <w:jc w:val="both"/>
    </w:pPr>
    <w:rPr>
      <w:rFonts w:ascii="Bookman Old Style" w:hAnsi="Bookman Old Style" w:cs="Arial"/>
      <w:i/>
      <w:iCs/>
      <w:szCs w:val="20"/>
    </w:rPr>
  </w:style>
  <w:style w:type="paragraph" w:styleId="Textonotaalfinal">
    <w:name w:val="endnote text"/>
    <w:basedOn w:val="Normal"/>
    <w:link w:val="TextonotaalfinalCar"/>
    <w:uiPriority w:val="99"/>
    <w:semiHidden/>
    <w:unhideWhenUsed/>
    <w:rsid w:val="00FA0B75"/>
    <w:pPr>
      <w:ind w:left="0"/>
      <w:jc w:val="both"/>
    </w:pPr>
    <w:rPr>
      <w:rFonts w:ascii="Arial" w:hAnsi="Arial"/>
      <w:sz w:val="20"/>
      <w:szCs w:val="20"/>
      <w:lang w:val="es-ES_tradnl"/>
    </w:rPr>
  </w:style>
  <w:style w:type="character" w:customStyle="1" w:styleId="TextonotaalfinalCar">
    <w:name w:val="Texto nota al final Car"/>
    <w:basedOn w:val="Fuentedeprrafopredeter"/>
    <w:link w:val="Textonotaalfinal"/>
    <w:uiPriority w:val="99"/>
    <w:semiHidden/>
    <w:rsid w:val="00FA0B75"/>
    <w:rPr>
      <w:rFonts w:ascii="Arial" w:hAnsi="Arial"/>
      <w:lang w:val="es-ES_tradnl" w:eastAsia="es-ES"/>
    </w:rPr>
  </w:style>
  <w:style w:type="paragraph" w:customStyle="1" w:styleId="Textoindependiente21">
    <w:name w:val="Texto independiente 21"/>
    <w:basedOn w:val="Normal"/>
    <w:rsid w:val="0071204B"/>
    <w:pPr>
      <w:overflowPunct w:val="0"/>
      <w:autoSpaceDE w:val="0"/>
      <w:autoSpaceDN w:val="0"/>
      <w:adjustRightInd w:val="0"/>
      <w:ind w:left="0"/>
      <w:jc w:val="both"/>
      <w:textAlignment w:val="baseline"/>
    </w:pPr>
    <w:rPr>
      <w:rFonts w:ascii="Arial" w:hAnsi="Arial"/>
      <w:sz w:val="22"/>
      <w:szCs w:val="20"/>
      <w:lang w:val="es-ES_tradnl"/>
    </w:rPr>
  </w:style>
  <w:style w:type="paragraph" w:styleId="Revisin">
    <w:name w:val="Revision"/>
    <w:hidden/>
    <w:uiPriority w:val="99"/>
    <w:semiHidden/>
    <w:rsid w:val="007B4E6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0067">
      <w:bodyDiv w:val="1"/>
      <w:marLeft w:val="0"/>
      <w:marRight w:val="0"/>
      <w:marTop w:val="0"/>
      <w:marBottom w:val="0"/>
      <w:divBdr>
        <w:top w:val="none" w:sz="0" w:space="0" w:color="auto"/>
        <w:left w:val="none" w:sz="0" w:space="0" w:color="auto"/>
        <w:bottom w:val="none" w:sz="0" w:space="0" w:color="auto"/>
        <w:right w:val="none" w:sz="0" w:space="0" w:color="auto"/>
      </w:divBdr>
    </w:div>
    <w:div w:id="228421387">
      <w:bodyDiv w:val="1"/>
      <w:marLeft w:val="0"/>
      <w:marRight w:val="0"/>
      <w:marTop w:val="0"/>
      <w:marBottom w:val="0"/>
      <w:divBdr>
        <w:top w:val="none" w:sz="0" w:space="0" w:color="auto"/>
        <w:left w:val="none" w:sz="0" w:space="0" w:color="auto"/>
        <w:bottom w:val="none" w:sz="0" w:space="0" w:color="auto"/>
        <w:right w:val="none" w:sz="0" w:space="0" w:color="auto"/>
      </w:divBdr>
    </w:div>
    <w:div w:id="309409679">
      <w:bodyDiv w:val="1"/>
      <w:marLeft w:val="0"/>
      <w:marRight w:val="0"/>
      <w:marTop w:val="0"/>
      <w:marBottom w:val="0"/>
      <w:divBdr>
        <w:top w:val="none" w:sz="0" w:space="0" w:color="auto"/>
        <w:left w:val="none" w:sz="0" w:space="0" w:color="auto"/>
        <w:bottom w:val="none" w:sz="0" w:space="0" w:color="auto"/>
        <w:right w:val="none" w:sz="0" w:space="0" w:color="auto"/>
      </w:divBdr>
    </w:div>
    <w:div w:id="330452008">
      <w:bodyDiv w:val="1"/>
      <w:marLeft w:val="0"/>
      <w:marRight w:val="0"/>
      <w:marTop w:val="0"/>
      <w:marBottom w:val="0"/>
      <w:divBdr>
        <w:top w:val="none" w:sz="0" w:space="0" w:color="auto"/>
        <w:left w:val="none" w:sz="0" w:space="0" w:color="auto"/>
        <w:bottom w:val="none" w:sz="0" w:space="0" w:color="auto"/>
        <w:right w:val="none" w:sz="0" w:space="0" w:color="auto"/>
      </w:divBdr>
    </w:div>
    <w:div w:id="37257976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16081478">
          <w:marLeft w:val="0"/>
          <w:marRight w:val="0"/>
          <w:marTop w:val="0"/>
          <w:marBottom w:val="0"/>
          <w:divBdr>
            <w:top w:val="none" w:sz="0" w:space="0" w:color="auto"/>
            <w:left w:val="none" w:sz="0" w:space="0" w:color="auto"/>
            <w:bottom w:val="none" w:sz="0" w:space="0" w:color="auto"/>
            <w:right w:val="none" w:sz="0" w:space="0" w:color="auto"/>
          </w:divBdr>
        </w:div>
        <w:div w:id="545870213">
          <w:marLeft w:val="0"/>
          <w:marRight w:val="0"/>
          <w:marTop w:val="0"/>
          <w:marBottom w:val="0"/>
          <w:divBdr>
            <w:top w:val="none" w:sz="0" w:space="0" w:color="auto"/>
            <w:left w:val="none" w:sz="0" w:space="0" w:color="auto"/>
            <w:bottom w:val="none" w:sz="0" w:space="0" w:color="auto"/>
            <w:right w:val="none" w:sz="0" w:space="0" w:color="auto"/>
          </w:divBdr>
        </w:div>
      </w:divsChild>
    </w:div>
    <w:div w:id="396437165">
      <w:bodyDiv w:val="1"/>
      <w:marLeft w:val="0"/>
      <w:marRight w:val="0"/>
      <w:marTop w:val="0"/>
      <w:marBottom w:val="0"/>
      <w:divBdr>
        <w:top w:val="none" w:sz="0" w:space="0" w:color="auto"/>
        <w:left w:val="none" w:sz="0" w:space="0" w:color="auto"/>
        <w:bottom w:val="none" w:sz="0" w:space="0" w:color="auto"/>
        <w:right w:val="none" w:sz="0" w:space="0" w:color="auto"/>
      </w:divBdr>
    </w:div>
    <w:div w:id="450324424">
      <w:bodyDiv w:val="1"/>
      <w:marLeft w:val="0"/>
      <w:marRight w:val="0"/>
      <w:marTop w:val="0"/>
      <w:marBottom w:val="0"/>
      <w:divBdr>
        <w:top w:val="none" w:sz="0" w:space="0" w:color="auto"/>
        <w:left w:val="none" w:sz="0" w:space="0" w:color="auto"/>
        <w:bottom w:val="none" w:sz="0" w:space="0" w:color="auto"/>
        <w:right w:val="none" w:sz="0" w:space="0" w:color="auto"/>
      </w:divBdr>
    </w:div>
    <w:div w:id="451096776">
      <w:bodyDiv w:val="1"/>
      <w:marLeft w:val="0"/>
      <w:marRight w:val="0"/>
      <w:marTop w:val="0"/>
      <w:marBottom w:val="0"/>
      <w:divBdr>
        <w:top w:val="none" w:sz="0" w:space="0" w:color="auto"/>
        <w:left w:val="none" w:sz="0" w:space="0" w:color="auto"/>
        <w:bottom w:val="none" w:sz="0" w:space="0" w:color="auto"/>
        <w:right w:val="none" w:sz="0" w:space="0" w:color="auto"/>
      </w:divBdr>
    </w:div>
    <w:div w:id="508719641">
      <w:bodyDiv w:val="1"/>
      <w:marLeft w:val="0"/>
      <w:marRight w:val="0"/>
      <w:marTop w:val="0"/>
      <w:marBottom w:val="0"/>
      <w:divBdr>
        <w:top w:val="none" w:sz="0" w:space="0" w:color="auto"/>
        <w:left w:val="none" w:sz="0" w:space="0" w:color="auto"/>
        <w:bottom w:val="none" w:sz="0" w:space="0" w:color="auto"/>
        <w:right w:val="none" w:sz="0" w:space="0" w:color="auto"/>
      </w:divBdr>
      <w:divsChild>
        <w:div w:id="780950875">
          <w:marLeft w:val="547"/>
          <w:marRight w:val="0"/>
          <w:marTop w:val="0"/>
          <w:marBottom w:val="0"/>
          <w:divBdr>
            <w:top w:val="none" w:sz="0" w:space="0" w:color="auto"/>
            <w:left w:val="none" w:sz="0" w:space="0" w:color="auto"/>
            <w:bottom w:val="none" w:sz="0" w:space="0" w:color="auto"/>
            <w:right w:val="none" w:sz="0" w:space="0" w:color="auto"/>
          </w:divBdr>
        </w:div>
      </w:divsChild>
    </w:div>
    <w:div w:id="592208977">
      <w:bodyDiv w:val="1"/>
      <w:marLeft w:val="0"/>
      <w:marRight w:val="0"/>
      <w:marTop w:val="0"/>
      <w:marBottom w:val="0"/>
      <w:divBdr>
        <w:top w:val="none" w:sz="0" w:space="0" w:color="auto"/>
        <w:left w:val="none" w:sz="0" w:space="0" w:color="auto"/>
        <w:bottom w:val="none" w:sz="0" w:space="0" w:color="auto"/>
        <w:right w:val="none" w:sz="0" w:space="0" w:color="auto"/>
      </w:divBdr>
    </w:div>
    <w:div w:id="649478173">
      <w:bodyDiv w:val="1"/>
      <w:marLeft w:val="0"/>
      <w:marRight w:val="0"/>
      <w:marTop w:val="0"/>
      <w:marBottom w:val="0"/>
      <w:divBdr>
        <w:top w:val="none" w:sz="0" w:space="0" w:color="auto"/>
        <w:left w:val="none" w:sz="0" w:space="0" w:color="auto"/>
        <w:bottom w:val="none" w:sz="0" w:space="0" w:color="auto"/>
        <w:right w:val="none" w:sz="0" w:space="0" w:color="auto"/>
      </w:divBdr>
    </w:div>
    <w:div w:id="712770408">
      <w:bodyDiv w:val="1"/>
      <w:marLeft w:val="0"/>
      <w:marRight w:val="0"/>
      <w:marTop w:val="0"/>
      <w:marBottom w:val="0"/>
      <w:divBdr>
        <w:top w:val="none" w:sz="0" w:space="0" w:color="auto"/>
        <w:left w:val="none" w:sz="0" w:space="0" w:color="auto"/>
        <w:bottom w:val="none" w:sz="0" w:space="0" w:color="auto"/>
        <w:right w:val="none" w:sz="0" w:space="0" w:color="auto"/>
      </w:divBdr>
    </w:div>
    <w:div w:id="799498012">
      <w:bodyDiv w:val="1"/>
      <w:marLeft w:val="0"/>
      <w:marRight w:val="0"/>
      <w:marTop w:val="0"/>
      <w:marBottom w:val="0"/>
      <w:divBdr>
        <w:top w:val="none" w:sz="0" w:space="0" w:color="auto"/>
        <w:left w:val="none" w:sz="0" w:space="0" w:color="auto"/>
        <w:bottom w:val="none" w:sz="0" w:space="0" w:color="auto"/>
        <w:right w:val="none" w:sz="0" w:space="0" w:color="auto"/>
      </w:divBdr>
    </w:div>
    <w:div w:id="812333872">
      <w:bodyDiv w:val="1"/>
      <w:marLeft w:val="0"/>
      <w:marRight w:val="0"/>
      <w:marTop w:val="0"/>
      <w:marBottom w:val="0"/>
      <w:divBdr>
        <w:top w:val="none" w:sz="0" w:space="0" w:color="auto"/>
        <w:left w:val="none" w:sz="0" w:space="0" w:color="auto"/>
        <w:bottom w:val="none" w:sz="0" w:space="0" w:color="auto"/>
        <w:right w:val="none" w:sz="0" w:space="0" w:color="auto"/>
      </w:divBdr>
    </w:div>
    <w:div w:id="865171997">
      <w:bodyDiv w:val="1"/>
      <w:marLeft w:val="0"/>
      <w:marRight w:val="0"/>
      <w:marTop w:val="0"/>
      <w:marBottom w:val="0"/>
      <w:divBdr>
        <w:top w:val="none" w:sz="0" w:space="0" w:color="auto"/>
        <w:left w:val="none" w:sz="0" w:space="0" w:color="auto"/>
        <w:bottom w:val="none" w:sz="0" w:space="0" w:color="auto"/>
        <w:right w:val="none" w:sz="0" w:space="0" w:color="auto"/>
      </w:divBdr>
    </w:div>
    <w:div w:id="945120286">
      <w:bodyDiv w:val="1"/>
      <w:marLeft w:val="0"/>
      <w:marRight w:val="0"/>
      <w:marTop w:val="0"/>
      <w:marBottom w:val="0"/>
      <w:divBdr>
        <w:top w:val="none" w:sz="0" w:space="0" w:color="auto"/>
        <w:left w:val="none" w:sz="0" w:space="0" w:color="auto"/>
        <w:bottom w:val="none" w:sz="0" w:space="0" w:color="auto"/>
        <w:right w:val="none" w:sz="0" w:space="0" w:color="auto"/>
      </w:divBdr>
    </w:div>
    <w:div w:id="1004939658">
      <w:bodyDiv w:val="1"/>
      <w:marLeft w:val="0"/>
      <w:marRight w:val="0"/>
      <w:marTop w:val="0"/>
      <w:marBottom w:val="0"/>
      <w:divBdr>
        <w:top w:val="none" w:sz="0" w:space="0" w:color="auto"/>
        <w:left w:val="none" w:sz="0" w:space="0" w:color="auto"/>
        <w:bottom w:val="none" w:sz="0" w:space="0" w:color="auto"/>
        <w:right w:val="none" w:sz="0" w:space="0" w:color="auto"/>
      </w:divBdr>
    </w:div>
    <w:div w:id="1012873150">
      <w:bodyDiv w:val="1"/>
      <w:marLeft w:val="0"/>
      <w:marRight w:val="0"/>
      <w:marTop w:val="0"/>
      <w:marBottom w:val="0"/>
      <w:divBdr>
        <w:top w:val="none" w:sz="0" w:space="0" w:color="auto"/>
        <w:left w:val="none" w:sz="0" w:space="0" w:color="auto"/>
        <w:bottom w:val="none" w:sz="0" w:space="0" w:color="auto"/>
        <w:right w:val="none" w:sz="0" w:space="0" w:color="auto"/>
      </w:divBdr>
    </w:div>
    <w:div w:id="1056247744">
      <w:bodyDiv w:val="1"/>
      <w:marLeft w:val="0"/>
      <w:marRight w:val="0"/>
      <w:marTop w:val="0"/>
      <w:marBottom w:val="0"/>
      <w:divBdr>
        <w:top w:val="none" w:sz="0" w:space="0" w:color="auto"/>
        <w:left w:val="none" w:sz="0" w:space="0" w:color="auto"/>
        <w:bottom w:val="none" w:sz="0" w:space="0" w:color="auto"/>
        <w:right w:val="none" w:sz="0" w:space="0" w:color="auto"/>
      </w:divBdr>
    </w:div>
    <w:div w:id="1065494655">
      <w:bodyDiv w:val="1"/>
      <w:marLeft w:val="0"/>
      <w:marRight w:val="0"/>
      <w:marTop w:val="0"/>
      <w:marBottom w:val="0"/>
      <w:divBdr>
        <w:top w:val="none" w:sz="0" w:space="0" w:color="auto"/>
        <w:left w:val="none" w:sz="0" w:space="0" w:color="auto"/>
        <w:bottom w:val="none" w:sz="0" w:space="0" w:color="auto"/>
        <w:right w:val="none" w:sz="0" w:space="0" w:color="auto"/>
      </w:divBdr>
    </w:div>
    <w:div w:id="1253665430">
      <w:bodyDiv w:val="1"/>
      <w:marLeft w:val="0"/>
      <w:marRight w:val="0"/>
      <w:marTop w:val="0"/>
      <w:marBottom w:val="0"/>
      <w:divBdr>
        <w:top w:val="none" w:sz="0" w:space="0" w:color="auto"/>
        <w:left w:val="none" w:sz="0" w:space="0" w:color="auto"/>
        <w:bottom w:val="none" w:sz="0" w:space="0" w:color="auto"/>
        <w:right w:val="none" w:sz="0" w:space="0" w:color="auto"/>
      </w:divBdr>
    </w:div>
    <w:div w:id="1452942275">
      <w:bodyDiv w:val="1"/>
      <w:marLeft w:val="0"/>
      <w:marRight w:val="0"/>
      <w:marTop w:val="0"/>
      <w:marBottom w:val="0"/>
      <w:divBdr>
        <w:top w:val="none" w:sz="0" w:space="0" w:color="auto"/>
        <w:left w:val="none" w:sz="0" w:space="0" w:color="auto"/>
        <w:bottom w:val="none" w:sz="0" w:space="0" w:color="auto"/>
        <w:right w:val="none" w:sz="0" w:space="0" w:color="auto"/>
      </w:divBdr>
    </w:div>
    <w:div w:id="1912812177">
      <w:bodyDiv w:val="1"/>
      <w:marLeft w:val="0"/>
      <w:marRight w:val="0"/>
      <w:marTop w:val="0"/>
      <w:marBottom w:val="0"/>
      <w:divBdr>
        <w:top w:val="none" w:sz="0" w:space="0" w:color="auto"/>
        <w:left w:val="none" w:sz="0" w:space="0" w:color="auto"/>
        <w:bottom w:val="none" w:sz="0" w:space="0" w:color="auto"/>
        <w:right w:val="none" w:sz="0" w:space="0" w:color="auto"/>
      </w:divBdr>
    </w:div>
    <w:div w:id="1940671494">
      <w:bodyDiv w:val="1"/>
      <w:marLeft w:val="0"/>
      <w:marRight w:val="0"/>
      <w:marTop w:val="0"/>
      <w:marBottom w:val="0"/>
      <w:divBdr>
        <w:top w:val="none" w:sz="0" w:space="0" w:color="auto"/>
        <w:left w:val="none" w:sz="0" w:space="0" w:color="auto"/>
        <w:bottom w:val="none" w:sz="0" w:space="0" w:color="auto"/>
        <w:right w:val="none" w:sz="0" w:space="0" w:color="auto"/>
      </w:divBdr>
    </w:div>
    <w:div w:id="1973175735">
      <w:bodyDiv w:val="1"/>
      <w:marLeft w:val="0"/>
      <w:marRight w:val="0"/>
      <w:marTop w:val="0"/>
      <w:marBottom w:val="0"/>
      <w:divBdr>
        <w:top w:val="none" w:sz="0" w:space="0" w:color="auto"/>
        <w:left w:val="none" w:sz="0" w:space="0" w:color="auto"/>
        <w:bottom w:val="none" w:sz="0" w:space="0" w:color="auto"/>
        <w:right w:val="none" w:sz="0" w:space="0" w:color="auto"/>
      </w:divBdr>
    </w:div>
    <w:div w:id="2013684558">
      <w:bodyDiv w:val="1"/>
      <w:marLeft w:val="0"/>
      <w:marRight w:val="0"/>
      <w:marTop w:val="0"/>
      <w:marBottom w:val="0"/>
      <w:divBdr>
        <w:top w:val="none" w:sz="0" w:space="0" w:color="auto"/>
        <w:left w:val="none" w:sz="0" w:space="0" w:color="auto"/>
        <w:bottom w:val="none" w:sz="0" w:space="0" w:color="auto"/>
        <w:right w:val="none" w:sz="0" w:space="0" w:color="auto"/>
      </w:divBdr>
    </w:div>
    <w:div w:id="2125155689">
      <w:bodyDiv w:val="1"/>
      <w:marLeft w:val="0"/>
      <w:marRight w:val="0"/>
      <w:marTop w:val="0"/>
      <w:marBottom w:val="0"/>
      <w:divBdr>
        <w:top w:val="none" w:sz="0" w:space="0" w:color="auto"/>
        <w:left w:val="none" w:sz="0" w:space="0" w:color="auto"/>
        <w:bottom w:val="none" w:sz="0" w:space="0" w:color="auto"/>
        <w:right w:val="none" w:sz="0" w:space="0" w:color="auto"/>
      </w:divBdr>
      <w:divsChild>
        <w:div w:id="361784450">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C0884-D6EA-4783-A4FA-7E277555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13</Pages>
  <Words>5679</Words>
  <Characters>31236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2013-06-25T21:29:00Z</cp:lastPrinted>
  <dcterms:created xsi:type="dcterms:W3CDTF">2013-07-15T19:35:00Z</dcterms:created>
  <dcterms:modified xsi:type="dcterms:W3CDTF">2013-07-15T19:35:00Z</dcterms:modified>
</cp:coreProperties>
</file>