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77777777" w:rsidR="00CA77FB" w:rsidRPr="00DC49F3" w:rsidRDefault="004A15FF" w:rsidP="003501F2">
      <w:pPr>
        <w:pStyle w:val="Encabezado"/>
        <w:tabs>
          <w:tab w:val="clear" w:pos="8504"/>
          <w:tab w:val="left" w:pos="0"/>
          <w:tab w:val="right" w:pos="9356"/>
        </w:tabs>
        <w:spacing w:before="600" w:after="0"/>
        <w:jc w:val="center"/>
        <w:rPr>
          <w:rFonts w:ascii="Arial" w:hAnsi="Arial" w:cs="Arial"/>
          <w:b/>
          <w:bCs/>
          <w:noProof/>
          <w:szCs w:val="24"/>
          <w:lang w:val="es-ES"/>
        </w:rPr>
      </w:pPr>
      <w:r>
        <w:rPr>
          <w:rFonts w:ascii="Arial" w:hAnsi="Arial" w:cs="Arial"/>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4.55pt;margin-top:-33.75pt;width:38.35pt;height:39.05pt;z-index:251658240" fillcolor="#0c9">
            <v:imagedata r:id="rId11" o:title=""/>
          </v:shape>
          <o:OLEObject Type="Embed" ProgID="PBrush" ShapeID="_x0000_s2050" DrawAspect="Content" ObjectID="_1731159546" r:id="rId12"/>
        </w:object>
      </w:r>
      <w:r w:rsidR="00CA77FB" w:rsidRPr="00DC49F3">
        <w:rPr>
          <w:rFonts w:ascii="Arial" w:hAnsi="Arial" w:cs="Arial"/>
          <w:bCs/>
          <w:szCs w:val="24"/>
        </w:rPr>
        <w:t>Ministerio de Minas y Energía</w:t>
      </w:r>
    </w:p>
    <w:p w14:paraId="39C03CFE" w14:textId="77777777" w:rsidR="00CA77FB" w:rsidRPr="00DC49F3" w:rsidRDefault="00CA77FB" w:rsidP="003501F2">
      <w:pPr>
        <w:pStyle w:val="Ttulo3"/>
        <w:keepNext w:val="0"/>
        <w:tabs>
          <w:tab w:val="left" w:pos="0"/>
          <w:tab w:val="right" w:pos="9356"/>
        </w:tabs>
        <w:spacing w:before="480" w:after="0"/>
        <w:rPr>
          <w:rFonts w:ascii="Arial" w:hAnsi="Arial" w:cs="Arial"/>
          <w:spacing w:val="20"/>
          <w:szCs w:val="24"/>
        </w:rPr>
      </w:pPr>
      <w:r w:rsidRPr="00DC49F3">
        <w:rPr>
          <w:rFonts w:ascii="Arial" w:hAnsi="Arial" w:cs="Arial"/>
          <w:spacing w:val="20"/>
          <w:szCs w:val="24"/>
        </w:rPr>
        <w:t>COMISIÓN DE REGULACIÓN DE ENERGÍA Y GAS</w:t>
      </w:r>
    </w:p>
    <w:p w14:paraId="1EF0B417" w14:textId="58878F59" w:rsidR="00CA77FB" w:rsidRPr="00DC49F3" w:rsidRDefault="00CA77FB" w:rsidP="003501F2">
      <w:pPr>
        <w:pStyle w:val="Ttulo5"/>
        <w:keepNext w:val="0"/>
        <w:tabs>
          <w:tab w:val="left" w:pos="0"/>
          <w:tab w:val="right" w:pos="9356"/>
        </w:tabs>
        <w:spacing w:before="480" w:after="0"/>
        <w:rPr>
          <w:sz w:val="24"/>
          <w:szCs w:val="24"/>
        </w:rPr>
      </w:pPr>
      <w:r w:rsidRPr="004A15FF">
        <w:rPr>
          <w:szCs w:val="28"/>
        </w:rPr>
        <w:t xml:space="preserve">RESOLUCIÓN No. </w:t>
      </w:r>
      <w:r w:rsidR="00516E6B" w:rsidRPr="00516E6B">
        <w:rPr>
          <w:szCs w:val="28"/>
        </w:rPr>
        <w:t>501 065</w:t>
      </w:r>
      <w:r w:rsidR="00795BFB" w:rsidRPr="00516E6B">
        <w:rPr>
          <w:szCs w:val="28"/>
        </w:rPr>
        <w:t xml:space="preserve"> </w:t>
      </w:r>
      <w:r w:rsidRPr="00516E6B">
        <w:rPr>
          <w:szCs w:val="28"/>
        </w:rPr>
        <w:t xml:space="preserve">DE </w:t>
      </w:r>
      <w:r w:rsidR="00E57D8E" w:rsidRPr="00516E6B">
        <w:rPr>
          <w:szCs w:val="28"/>
        </w:rPr>
        <w:t>2022</w:t>
      </w:r>
    </w:p>
    <w:p w14:paraId="1339ABB4" w14:textId="5FC48759" w:rsidR="00CA77FB" w:rsidRPr="00DC49F3" w:rsidRDefault="00CA77FB" w:rsidP="003501F2">
      <w:pPr>
        <w:pStyle w:val="Ttulo3"/>
        <w:keepNext w:val="0"/>
        <w:tabs>
          <w:tab w:val="left" w:pos="0"/>
          <w:tab w:val="right" w:pos="9356"/>
        </w:tabs>
        <w:spacing w:before="480" w:after="0"/>
        <w:rPr>
          <w:rFonts w:ascii="Arial" w:hAnsi="Arial" w:cs="Arial"/>
          <w:b w:val="0"/>
          <w:szCs w:val="24"/>
        </w:rPr>
      </w:pPr>
      <w:proofErr w:type="gramStart"/>
      <w:r w:rsidRPr="00516E6B">
        <w:rPr>
          <w:rFonts w:ascii="Arial" w:hAnsi="Arial" w:cs="Arial"/>
          <w:bCs/>
          <w:sz w:val="32"/>
          <w:szCs w:val="32"/>
        </w:rPr>
        <w:t xml:space="preserve">(  </w:t>
      </w:r>
      <w:proofErr w:type="gramEnd"/>
      <w:r w:rsidRPr="00516E6B">
        <w:rPr>
          <w:rFonts w:ascii="Arial" w:hAnsi="Arial" w:cs="Arial"/>
          <w:bCs/>
          <w:sz w:val="32"/>
          <w:szCs w:val="32"/>
        </w:rPr>
        <w:t xml:space="preserve">      </w:t>
      </w:r>
      <w:r w:rsidR="00516E6B" w:rsidRPr="00516E6B">
        <w:rPr>
          <w:rFonts w:ascii="Arial" w:hAnsi="Arial" w:cs="Arial"/>
          <w:bCs/>
          <w:sz w:val="32"/>
          <w:szCs w:val="32"/>
        </w:rPr>
        <w:t>11 NOV. 2022</w:t>
      </w:r>
      <w:r w:rsidRPr="00516E6B">
        <w:rPr>
          <w:rFonts w:ascii="Arial" w:hAnsi="Arial" w:cs="Arial"/>
          <w:bCs/>
          <w:sz w:val="32"/>
          <w:szCs w:val="32"/>
        </w:rPr>
        <w:t xml:space="preserve">  </w:t>
      </w:r>
      <w:r w:rsidRPr="00516E6B">
        <w:rPr>
          <w:rFonts w:ascii="Arial" w:hAnsi="Arial" w:cs="Arial"/>
          <w:bCs/>
          <w:szCs w:val="24"/>
        </w:rPr>
        <w:t xml:space="preserve">     )</w:t>
      </w:r>
    </w:p>
    <w:p w14:paraId="52264937" w14:textId="04963514" w:rsidR="003A0B61" w:rsidRPr="00DC49F3" w:rsidRDefault="003A0B61" w:rsidP="003501F2">
      <w:pPr>
        <w:spacing w:before="480" w:after="0"/>
        <w:jc w:val="center"/>
        <w:rPr>
          <w:rFonts w:ascii="Arial" w:hAnsi="Arial" w:cs="Arial"/>
        </w:rPr>
      </w:pPr>
      <w:r w:rsidRPr="00DC49F3">
        <w:rPr>
          <w:rFonts w:ascii="Arial" w:hAnsi="Arial" w:cs="Arial"/>
        </w:rPr>
        <w:t xml:space="preserve">Por la cual se actualiza la base de activos </w:t>
      </w:r>
      <w:r w:rsidR="006371C6" w:rsidRPr="00DC49F3">
        <w:rPr>
          <w:rFonts w:ascii="Arial" w:hAnsi="Arial" w:cs="Arial"/>
        </w:rPr>
        <w:t>del Grupo</w:t>
      </w:r>
      <w:r w:rsidRPr="00DC49F3">
        <w:rPr>
          <w:rFonts w:ascii="Arial" w:hAnsi="Arial" w:cs="Arial"/>
        </w:rPr>
        <w:t xml:space="preserve"> Energía Bogotá S.A. E.S.P. y se modifican los parámetros necesarios para determinar su remuneración en el Sistema de Transmisión Nacional.</w:t>
      </w:r>
    </w:p>
    <w:p w14:paraId="132EC36A" w14:textId="77777777" w:rsidR="003A0B61" w:rsidRPr="00DC49F3" w:rsidRDefault="003A0B61" w:rsidP="003501F2">
      <w:pPr>
        <w:spacing w:before="360" w:after="0"/>
        <w:jc w:val="center"/>
        <w:rPr>
          <w:rFonts w:ascii="Arial" w:hAnsi="Arial" w:cs="Arial"/>
          <w:b/>
        </w:rPr>
      </w:pPr>
      <w:r w:rsidRPr="00DC49F3">
        <w:rPr>
          <w:rFonts w:ascii="Arial" w:hAnsi="Arial" w:cs="Arial"/>
          <w:b/>
        </w:rPr>
        <w:t>LA COMISIÓN DE REGULACIÓN DE ENERGÍA Y GAS</w:t>
      </w:r>
    </w:p>
    <w:p w14:paraId="32340FF8" w14:textId="3E92F11B" w:rsidR="003A0B61" w:rsidRPr="00DC49F3" w:rsidRDefault="003A0B61" w:rsidP="003501F2">
      <w:pPr>
        <w:spacing w:before="360" w:after="0"/>
        <w:jc w:val="center"/>
        <w:rPr>
          <w:rFonts w:ascii="Arial" w:hAnsi="Arial" w:cs="Arial"/>
        </w:rPr>
      </w:pPr>
      <w:r w:rsidRPr="00DC49F3">
        <w:rPr>
          <w:rFonts w:ascii="Arial" w:hAnsi="Arial" w:cs="Arial"/>
        </w:rPr>
        <w:t>En ejercicio de sus atribuciones constitucionales y legales, en especial las conferidas por las Leyes 142 y 143 de 1994, y en desarrollo de los Decretos 1524 y 2253 de 1994</w:t>
      </w:r>
      <w:r w:rsidR="001A7058">
        <w:rPr>
          <w:rFonts w:ascii="Arial" w:hAnsi="Arial" w:cs="Arial"/>
        </w:rPr>
        <w:t>,</w:t>
      </w:r>
      <w:r w:rsidRPr="00DC49F3">
        <w:rPr>
          <w:rFonts w:ascii="Arial" w:hAnsi="Arial" w:cs="Arial"/>
        </w:rPr>
        <w:t xml:space="preserve"> y 1260 de 2013, y</w:t>
      </w:r>
    </w:p>
    <w:p w14:paraId="25FAAE03" w14:textId="77777777" w:rsidR="003A0B61" w:rsidRPr="00DC49F3" w:rsidRDefault="003A0B61" w:rsidP="003501F2">
      <w:pPr>
        <w:spacing w:before="360" w:after="0"/>
        <w:jc w:val="center"/>
        <w:rPr>
          <w:rFonts w:ascii="Arial" w:hAnsi="Arial" w:cs="Arial"/>
          <w:b/>
          <w:spacing w:val="60"/>
        </w:rPr>
      </w:pPr>
      <w:r w:rsidRPr="00DC49F3">
        <w:rPr>
          <w:rFonts w:ascii="Arial" w:hAnsi="Arial" w:cs="Arial"/>
          <w:b/>
          <w:spacing w:val="60"/>
        </w:rPr>
        <w:t>CONSIDERANDO QUE:</w:t>
      </w:r>
    </w:p>
    <w:p w14:paraId="768B1340" w14:textId="23BD56DB" w:rsidR="003A0B61" w:rsidRPr="00DC49F3" w:rsidRDefault="003A0B61" w:rsidP="003501F2">
      <w:pPr>
        <w:spacing w:before="360" w:after="0"/>
        <w:rPr>
          <w:rFonts w:ascii="Arial" w:hAnsi="Arial" w:cs="Arial"/>
        </w:rPr>
      </w:pPr>
      <w:r w:rsidRPr="00DC49F3">
        <w:rPr>
          <w:rFonts w:ascii="Arial" w:hAnsi="Arial" w:cs="Arial"/>
        </w:rPr>
        <w:t>De acuerdo con lo previsto en el literal d) del artículo 23 y en el artículo 41, ambos de la Ley 143 de 1994, es función de la Comisión de Regulación de Energía y Gas, CREG, fijar las tarifas por el acceso y uso de las redes eléctricas.</w:t>
      </w:r>
    </w:p>
    <w:p w14:paraId="3915C3FA" w14:textId="28885214" w:rsidR="003A0B61" w:rsidRPr="00DC49F3" w:rsidRDefault="003A0B61" w:rsidP="003A0B61">
      <w:pPr>
        <w:spacing w:before="240" w:after="0"/>
        <w:rPr>
          <w:rFonts w:ascii="Arial" w:hAnsi="Arial" w:cs="Arial"/>
          <w:spacing w:val="-3"/>
        </w:rPr>
      </w:pPr>
      <w:r w:rsidRPr="00DC49F3">
        <w:rPr>
          <w:rFonts w:ascii="Arial" w:hAnsi="Arial" w:cs="Arial"/>
          <w:spacing w:val="-3"/>
        </w:rPr>
        <w:t xml:space="preserve">Mediante la Resolución CREG 011 de 2009 se definieron la metodología y las fórmulas tarifarias para la remuneración de la actividad de transmisión de energía eléctrica en el STN. </w:t>
      </w:r>
    </w:p>
    <w:p w14:paraId="51C24DF1" w14:textId="462454F3" w:rsidR="003A0B61" w:rsidRPr="00DC49F3" w:rsidRDefault="00E962AC" w:rsidP="003A0B61">
      <w:pPr>
        <w:spacing w:before="240" w:after="0"/>
        <w:rPr>
          <w:rFonts w:ascii="Arial" w:hAnsi="Arial" w:cs="Arial"/>
          <w:spacing w:val="-3"/>
        </w:rPr>
      </w:pPr>
      <w:r w:rsidRPr="00DC49F3">
        <w:rPr>
          <w:rFonts w:ascii="Arial" w:hAnsi="Arial" w:cs="Arial"/>
        </w:rPr>
        <w:t>Mediante la Resolución CREG 110 de 2010</w:t>
      </w:r>
      <w:r w:rsidR="00947B74" w:rsidRPr="00DC49F3">
        <w:rPr>
          <w:rFonts w:ascii="Arial" w:hAnsi="Arial" w:cs="Arial"/>
        </w:rPr>
        <w:t xml:space="preserve"> se aprobó la base de activos y los parámetros necesarios para determinar la remuneración del Grupo Energía Bogotá S.A. E.S.P.</w:t>
      </w:r>
      <w:r w:rsidR="00FC5522" w:rsidRPr="00DC49F3">
        <w:rPr>
          <w:rFonts w:ascii="Arial" w:hAnsi="Arial" w:cs="Arial"/>
        </w:rPr>
        <w:t>, GEB,</w:t>
      </w:r>
      <w:r w:rsidR="00947B74" w:rsidRPr="00DC49F3">
        <w:rPr>
          <w:rFonts w:ascii="Arial" w:hAnsi="Arial" w:cs="Arial"/>
        </w:rPr>
        <w:t xml:space="preserve"> en el Sistema de Transmisión Nacional</w:t>
      </w:r>
      <w:r w:rsidRPr="00DC49F3">
        <w:rPr>
          <w:rFonts w:ascii="Arial" w:hAnsi="Arial" w:cs="Arial"/>
        </w:rPr>
        <w:t xml:space="preserve">, </w:t>
      </w:r>
      <w:r w:rsidR="00947B74" w:rsidRPr="00DC49F3">
        <w:rPr>
          <w:rFonts w:ascii="Arial" w:hAnsi="Arial" w:cs="Arial"/>
        </w:rPr>
        <w:t>l</w:t>
      </w:r>
      <w:r w:rsidR="007B093F" w:rsidRPr="00DC49F3">
        <w:rPr>
          <w:rFonts w:ascii="Arial" w:hAnsi="Arial" w:cs="Arial"/>
        </w:rPr>
        <w:t>os</w:t>
      </w:r>
      <w:r w:rsidR="00947B74" w:rsidRPr="00DC49F3">
        <w:rPr>
          <w:rFonts w:ascii="Arial" w:hAnsi="Arial" w:cs="Arial"/>
        </w:rPr>
        <w:t xml:space="preserve"> cual</w:t>
      </w:r>
      <w:r w:rsidR="007B093F" w:rsidRPr="00DC49F3">
        <w:rPr>
          <w:rFonts w:ascii="Arial" w:hAnsi="Arial" w:cs="Arial"/>
        </w:rPr>
        <w:t>es</w:t>
      </w:r>
      <w:r w:rsidR="00947B74" w:rsidRPr="00DC49F3">
        <w:rPr>
          <w:rFonts w:ascii="Arial" w:hAnsi="Arial" w:cs="Arial"/>
        </w:rPr>
        <w:t xml:space="preserve"> ha</w:t>
      </w:r>
      <w:r w:rsidR="007B093F" w:rsidRPr="00DC49F3">
        <w:rPr>
          <w:rFonts w:ascii="Arial" w:hAnsi="Arial" w:cs="Arial"/>
        </w:rPr>
        <w:t>n</w:t>
      </w:r>
      <w:r w:rsidR="00947B74" w:rsidRPr="00DC49F3">
        <w:rPr>
          <w:rFonts w:ascii="Arial" w:hAnsi="Arial" w:cs="Arial"/>
        </w:rPr>
        <w:t xml:space="preserve"> sido </w:t>
      </w:r>
      <w:r w:rsidRPr="00DC49F3">
        <w:rPr>
          <w:rFonts w:ascii="Arial" w:hAnsi="Arial" w:cs="Arial"/>
        </w:rPr>
        <w:t>modificad</w:t>
      </w:r>
      <w:r w:rsidR="007B093F" w:rsidRPr="00DC49F3">
        <w:rPr>
          <w:rFonts w:ascii="Arial" w:hAnsi="Arial" w:cs="Arial"/>
        </w:rPr>
        <w:t>os</w:t>
      </w:r>
      <w:r w:rsidRPr="00DC49F3">
        <w:rPr>
          <w:rFonts w:ascii="Arial" w:hAnsi="Arial" w:cs="Arial"/>
        </w:rPr>
        <w:t xml:space="preserve"> por las resoluciones CREG 010 de 2015, 078 de </w:t>
      </w:r>
      <w:r w:rsidR="00914907" w:rsidRPr="00DC49F3">
        <w:rPr>
          <w:rFonts w:ascii="Arial" w:hAnsi="Arial" w:cs="Arial"/>
        </w:rPr>
        <w:t>2016, 049 y 131 de 2019</w:t>
      </w:r>
      <w:r w:rsidR="001A7058">
        <w:rPr>
          <w:rFonts w:ascii="Arial" w:hAnsi="Arial" w:cs="Arial"/>
        </w:rPr>
        <w:t>,</w:t>
      </w:r>
      <w:r w:rsidR="00914907" w:rsidRPr="00DC49F3">
        <w:rPr>
          <w:rFonts w:ascii="Arial" w:hAnsi="Arial" w:cs="Arial"/>
        </w:rPr>
        <w:t xml:space="preserve"> y 501 043 de 2022</w:t>
      </w:r>
      <w:r w:rsidRPr="00DC49F3">
        <w:rPr>
          <w:rFonts w:ascii="Arial" w:hAnsi="Arial" w:cs="Arial"/>
        </w:rPr>
        <w:t>.</w:t>
      </w:r>
    </w:p>
    <w:p w14:paraId="56D4AB10" w14:textId="782317C9" w:rsidR="003A0B61" w:rsidRPr="00DC49F3" w:rsidRDefault="003A0B61" w:rsidP="003A0B61">
      <w:pPr>
        <w:spacing w:before="240" w:after="0"/>
        <w:rPr>
          <w:rFonts w:ascii="Arial" w:hAnsi="Arial" w:cs="Arial"/>
          <w:spacing w:val="-3"/>
        </w:rPr>
      </w:pPr>
      <w:r w:rsidRPr="00DC49F3">
        <w:rPr>
          <w:rFonts w:ascii="Arial" w:hAnsi="Arial" w:cs="Arial"/>
          <w:spacing w:val="-3"/>
        </w:rPr>
        <w:t>El artículo 6 de la Resolución CREG 022 de 2001, modificado por la</w:t>
      </w:r>
      <w:r w:rsidR="00881A3D" w:rsidRPr="00DC49F3">
        <w:rPr>
          <w:rFonts w:ascii="Arial" w:hAnsi="Arial" w:cs="Arial"/>
          <w:spacing w:val="-3"/>
        </w:rPr>
        <w:t xml:space="preserve"> R</w:t>
      </w:r>
      <w:r w:rsidRPr="00DC49F3">
        <w:rPr>
          <w:rFonts w:ascii="Arial" w:hAnsi="Arial" w:cs="Arial"/>
          <w:spacing w:val="-3"/>
        </w:rPr>
        <w:t>esoluci</w:t>
      </w:r>
      <w:r w:rsidR="00881A3D" w:rsidRPr="00DC49F3">
        <w:rPr>
          <w:rFonts w:ascii="Arial" w:hAnsi="Arial" w:cs="Arial"/>
          <w:spacing w:val="-3"/>
        </w:rPr>
        <w:t>ón</w:t>
      </w:r>
      <w:r w:rsidRPr="00DC49F3">
        <w:rPr>
          <w:rFonts w:ascii="Arial" w:hAnsi="Arial" w:cs="Arial"/>
          <w:spacing w:val="-3"/>
        </w:rPr>
        <w:t xml:space="preserve"> CREG </w:t>
      </w:r>
      <w:r w:rsidR="00881A3D" w:rsidRPr="00DC49F3">
        <w:rPr>
          <w:rFonts w:ascii="Arial" w:hAnsi="Arial" w:cs="Arial"/>
          <w:spacing w:val="-3"/>
        </w:rPr>
        <w:t>193</w:t>
      </w:r>
      <w:r w:rsidRPr="00DC49F3">
        <w:rPr>
          <w:rFonts w:ascii="Arial" w:hAnsi="Arial" w:cs="Arial"/>
          <w:spacing w:val="-3"/>
        </w:rPr>
        <w:t xml:space="preserve"> de 20</w:t>
      </w:r>
      <w:r w:rsidR="00C24418" w:rsidRPr="00DC49F3">
        <w:rPr>
          <w:rFonts w:ascii="Arial" w:hAnsi="Arial" w:cs="Arial"/>
          <w:spacing w:val="-3"/>
        </w:rPr>
        <w:t>20</w:t>
      </w:r>
      <w:r w:rsidRPr="00DC49F3">
        <w:rPr>
          <w:rFonts w:ascii="Arial" w:hAnsi="Arial" w:cs="Arial"/>
          <w:spacing w:val="-3"/>
        </w:rPr>
        <w:t>, establece:</w:t>
      </w:r>
    </w:p>
    <w:p w14:paraId="588DABE9" w14:textId="77777777" w:rsidR="0039330E" w:rsidRPr="00DC49F3" w:rsidRDefault="003A0B61" w:rsidP="005C4CBC">
      <w:pPr>
        <w:ind w:left="284"/>
        <w:rPr>
          <w:rFonts w:ascii="Arial" w:hAnsi="Arial" w:cs="Arial"/>
          <w:i/>
          <w:sz w:val="22"/>
          <w:szCs w:val="22"/>
          <w:lang w:val="es-CO"/>
        </w:rPr>
      </w:pPr>
      <w:r w:rsidRPr="00DC49F3">
        <w:rPr>
          <w:rFonts w:ascii="Arial" w:hAnsi="Arial" w:cs="Arial"/>
          <w:i/>
          <w:sz w:val="22"/>
          <w:szCs w:val="22"/>
          <w:lang w:val="es-CO"/>
        </w:rPr>
        <w:t>“</w:t>
      </w:r>
      <w:r w:rsidR="0039330E" w:rsidRPr="00DC49F3">
        <w:rPr>
          <w:rFonts w:ascii="Arial" w:hAnsi="Arial" w:cs="Arial"/>
          <w:b/>
          <w:i/>
          <w:sz w:val="22"/>
          <w:szCs w:val="22"/>
          <w:lang w:val="es-CO"/>
        </w:rPr>
        <w:t>Artículo 6. Ampliaciones de las instalaciones del STN</w:t>
      </w:r>
      <w:r w:rsidR="0039330E" w:rsidRPr="00DC49F3">
        <w:rPr>
          <w:rFonts w:ascii="Arial" w:hAnsi="Arial" w:cs="Arial"/>
          <w:i/>
          <w:sz w:val="22"/>
          <w:szCs w:val="22"/>
          <w:lang w:val="es-CO"/>
        </w:rPr>
        <w:t>. Los siguientes tipos de proyectos se denominarán ampliaciones de las instalaciones del STN, y para su ejecución no será obligatorio recurrir a los procesos de selección descritos en esta resolución:</w:t>
      </w:r>
    </w:p>
    <w:p w14:paraId="4E08EFE2"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montaje de nuevos circuitos sobre estructuras existentes, junto con los activos requeridos para su conexión al STN;</w:t>
      </w:r>
    </w:p>
    <w:p w14:paraId="47E7985A"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cambio en la configuración de subestaciones existentes;</w:t>
      </w:r>
    </w:p>
    <w:p w14:paraId="1ACC9A13"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montaje de nuevas bahías de transformador con tensión igual o superior a 220 kV que utilice un Operador de Red para conectarse al STN en subestaciones con configuración de anillo o de interruptor y medio;</w:t>
      </w:r>
    </w:p>
    <w:p w14:paraId="363F9B87"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lastRenderedPageBreak/>
        <w:t>bahías para compensaciones fijas;</w:t>
      </w:r>
    </w:p>
    <w:p w14:paraId="413E4E9A"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equipos para control de tensión;</w:t>
      </w:r>
    </w:p>
    <w:p w14:paraId="0E5A4B81"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esquemas de separación de áreas, ESA;</w:t>
      </w:r>
    </w:p>
    <w:p w14:paraId="390F5A5F"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cambio de conductores en líneas existentes o de bahías en subestaciones, por otros activos de mayores especificaciones a las consideradas en la definición de las unidades constructivas existentes;</w:t>
      </w:r>
    </w:p>
    <w:p w14:paraId="1D0AC56E"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sz w:val="22"/>
          <w:szCs w:val="22"/>
        </w:rPr>
        <w:t>implementación de Unidades Constructivas que componen los Centros de Supervisión y Maniobra del STN; y</w:t>
      </w:r>
    </w:p>
    <w:p w14:paraId="4144DB69" w14:textId="77777777" w:rsidR="0039330E" w:rsidRPr="00DC49F3" w:rsidRDefault="0039330E" w:rsidP="005F3543">
      <w:pPr>
        <w:pStyle w:val="Prrafodelista"/>
        <w:numPr>
          <w:ilvl w:val="0"/>
          <w:numId w:val="37"/>
        </w:numPr>
        <w:spacing w:before="120" w:after="120"/>
        <w:ind w:left="567" w:hanging="284"/>
        <w:rPr>
          <w:rFonts w:ascii="Arial" w:hAnsi="Arial" w:cs="Arial"/>
          <w:i/>
          <w:sz w:val="22"/>
          <w:szCs w:val="22"/>
        </w:rPr>
      </w:pPr>
      <w:r w:rsidRPr="00DC49F3">
        <w:rPr>
          <w:rFonts w:ascii="Arial" w:hAnsi="Arial" w:cs="Arial"/>
          <w:i/>
          <w:iCs/>
          <w:sz w:val="22"/>
          <w:szCs w:val="22"/>
        </w:rPr>
        <w:t>instalación de módulos de compensación o sistemas flexibles de transmisión de corriente alterna, FACTS, en subestaciones o en líneas.</w:t>
      </w:r>
    </w:p>
    <w:p w14:paraId="09A22BCE" w14:textId="77777777" w:rsidR="0039330E" w:rsidRPr="00DC49F3" w:rsidRDefault="0039330E" w:rsidP="005F3543">
      <w:pPr>
        <w:ind w:left="284"/>
        <w:rPr>
          <w:rFonts w:ascii="Arial" w:hAnsi="Arial" w:cs="Arial"/>
          <w:i/>
          <w:sz w:val="22"/>
          <w:szCs w:val="22"/>
          <w:lang w:val="es-CO"/>
        </w:rPr>
      </w:pPr>
      <w:r w:rsidRPr="00DC49F3">
        <w:rPr>
          <w:rFonts w:ascii="Arial" w:hAnsi="Arial" w:cs="Arial"/>
          <w:i/>
          <w:sz w:val="22"/>
          <w:szCs w:val="22"/>
          <w:lang w:val="es-CO"/>
        </w:rPr>
        <w:t>Estas ampliaciones pueden ejecutarse en instalaciones que ya estén en operación, o en proyectos adjudicados mediante procesos de selección para los que ya esté en firme la resolución que hace oficial el ingreso anual esperado de estos proyectos. Con este fin, deberán hacer parte del Plan de Expansión de Referencia, de acuerdo con lo dispuesto en el artículo 3 de la presente Resolución, y en esta medida su ejecución podrá ser objetada.</w:t>
      </w:r>
    </w:p>
    <w:p w14:paraId="2D773D74" w14:textId="77777777" w:rsidR="0039330E" w:rsidRPr="00DC49F3" w:rsidRDefault="0039330E" w:rsidP="005F3543">
      <w:pPr>
        <w:ind w:left="284"/>
        <w:rPr>
          <w:rFonts w:ascii="Arial" w:hAnsi="Arial" w:cs="Arial"/>
          <w:i/>
          <w:sz w:val="22"/>
          <w:szCs w:val="22"/>
          <w:lang w:val="es-CO"/>
        </w:rPr>
      </w:pPr>
      <w:r w:rsidRPr="00DC49F3">
        <w:rPr>
          <w:rFonts w:ascii="Arial" w:hAnsi="Arial" w:cs="Arial"/>
          <w:i/>
          <w:sz w:val="22"/>
          <w:szCs w:val="22"/>
          <w:lang w:val="es-CO"/>
        </w:rPr>
        <w:t xml:space="preserve">De ser incluida la respectiva ampliación en el Plan de Expansión de Referencia, será desarrollada por el transmisor que representa o vaya a representar ante el Liquidador y Administrador de Cuentas, LAC, los activos objeto de la ampliación. En caso de que el transmisor no desee desarrollar el proyecto, se adelantará un proceso que garantice la libre concurrencia en condiciones de igualdad, cumpliendo con las disposiciones establecidas en el artículo 4 de la presente Resolución. </w:t>
      </w:r>
    </w:p>
    <w:p w14:paraId="527D46C8" w14:textId="77777777" w:rsidR="0039330E" w:rsidRPr="00DC49F3" w:rsidRDefault="0039330E" w:rsidP="005F3543">
      <w:pPr>
        <w:ind w:left="284"/>
        <w:rPr>
          <w:rFonts w:ascii="Arial" w:hAnsi="Arial" w:cs="Arial"/>
          <w:i/>
          <w:sz w:val="22"/>
          <w:szCs w:val="22"/>
          <w:lang w:val="es-CO"/>
        </w:rPr>
      </w:pPr>
      <w:r w:rsidRPr="00DC49F3">
        <w:rPr>
          <w:rFonts w:ascii="Arial" w:hAnsi="Arial" w:cs="Arial"/>
          <w:b/>
          <w:i/>
          <w:sz w:val="22"/>
          <w:szCs w:val="22"/>
          <w:lang w:val="es-CO"/>
        </w:rPr>
        <w:t xml:space="preserve">Parágrafo 1. </w:t>
      </w:r>
      <w:r w:rsidRPr="00DC49F3">
        <w:rPr>
          <w:rFonts w:ascii="Arial" w:hAnsi="Arial" w:cs="Arial"/>
          <w:i/>
          <w:sz w:val="22"/>
          <w:szCs w:val="22"/>
          <w:lang w:val="es-CO"/>
        </w:rPr>
        <w:t>Para su remuneración, los activos construidos como ampliaciones se reclasificarán según las Unidades Constructivas existentes, UC, cuando este fuere el caso, y se adicionarán aquellas cuya construcción fue necesaria para conectar la ampliación al STN. Para todo lo anterior se aplicará la metodología vigente para la remuneración de la actividad de transmisión.</w:t>
      </w:r>
    </w:p>
    <w:p w14:paraId="2B1156FA" w14:textId="77777777" w:rsidR="0039330E" w:rsidRPr="00DC49F3" w:rsidRDefault="0039330E" w:rsidP="005F3543">
      <w:pPr>
        <w:pStyle w:val="Cita"/>
        <w:ind w:left="284"/>
      </w:pPr>
      <w:r w:rsidRPr="00DC49F3">
        <w:t>En caso de requerirse, los nuevos activos se asimilarán</w:t>
      </w:r>
      <w:r w:rsidRPr="00DC49F3" w:rsidDel="004456C8">
        <w:t xml:space="preserve"> </w:t>
      </w:r>
      <w:r w:rsidRPr="00DC49F3">
        <w:t xml:space="preserve">a las UC existentes y podrán tener valores menores o mayores que estas. Cuando la ampliación corresponda a menos del 70% del valor de la UC asimilable o esté entre el 110% y el 150% de este valor, el TN deberá indicar el porcentaje al que corresponde la ampliación. </w:t>
      </w:r>
    </w:p>
    <w:p w14:paraId="27D78FA9" w14:textId="77777777" w:rsidR="00066C66" w:rsidRPr="00DC49F3" w:rsidRDefault="0039330E" w:rsidP="005F3543">
      <w:pPr>
        <w:ind w:left="284"/>
        <w:rPr>
          <w:rFonts w:ascii="Arial" w:hAnsi="Arial" w:cs="Arial"/>
          <w:i/>
          <w:sz w:val="22"/>
          <w:szCs w:val="22"/>
          <w:lang w:val="es-CO"/>
        </w:rPr>
      </w:pPr>
      <w:r w:rsidRPr="00DC49F3">
        <w:rPr>
          <w:rFonts w:ascii="Arial" w:hAnsi="Arial" w:cs="Arial"/>
          <w:i/>
          <w:sz w:val="22"/>
          <w:szCs w:val="22"/>
          <w:lang w:val="es-CO"/>
        </w:rPr>
        <w:t xml:space="preserve">En todos los casos, la solicitud de remuneración que presente el transmisor a la </w:t>
      </w:r>
      <w:proofErr w:type="gramStart"/>
      <w:r w:rsidRPr="00DC49F3">
        <w:rPr>
          <w:rFonts w:ascii="Arial" w:hAnsi="Arial" w:cs="Arial"/>
          <w:i/>
          <w:sz w:val="22"/>
          <w:szCs w:val="22"/>
          <w:lang w:val="es-CO"/>
        </w:rPr>
        <w:t>CREG,</w:t>
      </w:r>
      <w:proofErr w:type="gramEnd"/>
      <w:r w:rsidRPr="00DC49F3">
        <w:rPr>
          <w:rFonts w:ascii="Arial" w:hAnsi="Arial" w:cs="Arial"/>
          <w:i/>
          <w:sz w:val="22"/>
          <w:szCs w:val="22"/>
          <w:lang w:val="es-CO"/>
        </w:rPr>
        <w:t xml:space="preserve"> deberá acompañarse con la justificación del porcentaje que representa el valor de la UC instalada, frente al valor de la UC definida en la regulación</w:t>
      </w:r>
      <w:r w:rsidR="003A0B61" w:rsidRPr="00DC49F3">
        <w:rPr>
          <w:rFonts w:ascii="Arial" w:hAnsi="Arial" w:cs="Arial"/>
          <w:i/>
          <w:sz w:val="22"/>
          <w:szCs w:val="22"/>
          <w:lang w:val="es-CO"/>
        </w:rPr>
        <w:t xml:space="preserve">. </w:t>
      </w:r>
    </w:p>
    <w:p w14:paraId="6F19B226" w14:textId="64262EA0" w:rsidR="003A0B61" w:rsidRPr="00DC49F3" w:rsidRDefault="003A0B61" w:rsidP="005F3543">
      <w:pPr>
        <w:ind w:left="284"/>
        <w:rPr>
          <w:rFonts w:ascii="Arial" w:hAnsi="Arial" w:cs="Arial"/>
          <w:i/>
          <w:sz w:val="22"/>
          <w:szCs w:val="22"/>
          <w:lang w:val="es-CO"/>
        </w:rPr>
      </w:pPr>
      <w:r w:rsidRPr="00DC49F3">
        <w:rPr>
          <w:rFonts w:ascii="Arial" w:hAnsi="Arial" w:cs="Arial"/>
          <w:i/>
          <w:sz w:val="22"/>
          <w:szCs w:val="22"/>
          <w:lang w:val="es-CO"/>
        </w:rPr>
        <w:t>(…)</w:t>
      </w:r>
    </w:p>
    <w:p w14:paraId="38E04A37" w14:textId="5A67B6DF" w:rsidR="003A0B61" w:rsidRPr="00DC49F3" w:rsidRDefault="003A0B61" w:rsidP="003A0B61">
      <w:pPr>
        <w:spacing w:before="240" w:after="0"/>
        <w:rPr>
          <w:rFonts w:ascii="Arial" w:hAnsi="Arial" w:cs="Arial"/>
          <w:spacing w:val="-3"/>
        </w:rPr>
      </w:pPr>
      <w:r w:rsidRPr="00DC49F3">
        <w:rPr>
          <w:rFonts w:ascii="Arial" w:hAnsi="Arial" w:cs="Arial"/>
          <w:spacing w:val="-3"/>
        </w:rPr>
        <w:t>De acuerdo con el artículo 7 de la Resolución CREG 011 de 2009</w:t>
      </w:r>
      <w:r w:rsidR="001A7058">
        <w:rPr>
          <w:rFonts w:ascii="Arial" w:hAnsi="Arial" w:cs="Arial"/>
          <w:spacing w:val="-3"/>
        </w:rPr>
        <w:t>,</w:t>
      </w:r>
      <w:r w:rsidRPr="00DC49F3">
        <w:rPr>
          <w:rFonts w:ascii="Arial" w:hAnsi="Arial" w:cs="Arial"/>
          <w:spacing w:val="-3"/>
        </w:rPr>
        <w:t xml:space="preserve"> el ingreso anual del transmisor, IAT, “(…) </w:t>
      </w:r>
      <w:r w:rsidRPr="00DC49F3">
        <w:rPr>
          <w:rFonts w:ascii="Arial" w:hAnsi="Arial" w:cs="Arial"/>
          <w:i/>
          <w:spacing w:val="-3"/>
        </w:rPr>
        <w:t>solo se ajustará si la CREG llegare a modificar los valores de la Unidades Constructivas, cuando se modifique el valor del AOM reconocido o cuando, en cumplimiento de la regulación vigente, se excluyan Activos de Uso en operación, ingresen nuevos Activos de Uso o se remplacen las Unidades Constructivas instaladas por otras de clasificación diferente de acuerdo con lo establecido en el Artículo 6 de la presente Resolución.</w:t>
      </w:r>
      <w:r w:rsidRPr="00DC49F3">
        <w:rPr>
          <w:rFonts w:ascii="Arial" w:hAnsi="Arial" w:cs="Arial"/>
          <w:spacing w:val="-3"/>
        </w:rPr>
        <w:t>”</w:t>
      </w:r>
    </w:p>
    <w:p w14:paraId="6A2E985A" w14:textId="751B6C00" w:rsidR="00B77167" w:rsidRPr="00DC49F3" w:rsidRDefault="008471A8" w:rsidP="003A0B61">
      <w:pPr>
        <w:spacing w:before="240" w:after="0"/>
        <w:rPr>
          <w:rFonts w:ascii="Arial" w:hAnsi="Arial" w:cs="Arial"/>
        </w:rPr>
      </w:pPr>
      <w:r w:rsidRPr="00DC49F3">
        <w:rPr>
          <w:rFonts w:ascii="Arial" w:hAnsi="Arial" w:cs="Arial"/>
        </w:rPr>
        <w:t xml:space="preserve">Mediante el </w:t>
      </w:r>
      <w:r w:rsidR="001B608F" w:rsidRPr="00DC49F3">
        <w:rPr>
          <w:rFonts w:ascii="Arial" w:hAnsi="Arial" w:cs="Arial"/>
        </w:rPr>
        <w:t>Plan de Expansión de Referencia Generación - Transmisión 20</w:t>
      </w:r>
      <w:r w:rsidR="00B77167" w:rsidRPr="00DC49F3">
        <w:rPr>
          <w:rFonts w:ascii="Arial" w:hAnsi="Arial" w:cs="Arial"/>
        </w:rPr>
        <w:t>20</w:t>
      </w:r>
      <w:r w:rsidR="001B608F" w:rsidRPr="00DC49F3">
        <w:rPr>
          <w:rFonts w:ascii="Arial" w:hAnsi="Arial" w:cs="Arial"/>
        </w:rPr>
        <w:t>-20</w:t>
      </w:r>
      <w:r w:rsidR="00B77167" w:rsidRPr="00DC49F3">
        <w:rPr>
          <w:rFonts w:ascii="Arial" w:hAnsi="Arial" w:cs="Arial"/>
        </w:rPr>
        <w:t>34</w:t>
      </w:r>
      <w:r w:rsidR="001B608F" w:rsidRPr="00DC49F3">
        <w:rPr>
          <w:rFonts w:ascii="Arial" w:hAnsi="Arial" w:cs="Arial"/>
        </w:rPr>
        <w:t xml:space="preserve">, se </w:t>
      </w:r>
      <w:r w:rsidR="00B77167" w:rsidRPr="00DC49F3">
        <w:rPr>
          <w:rFonts w:ascii="Arial" w:hAnsi="Arial" w:cs="Arial"/>
        </w:rPr>
        <w:t>recomienda la instalación de equipos tipo FACTS en los dos circuitos de la línea Ternera – Candelaria 220 kV. Además, mediante la Resolución 000384 de 2020</w:t>
      </w:r>
      <w:r w:rsidR="00C91065" w:rsidRPr="00DC49F3">
        <w:rPr>
          <w:rFonts w:ascii="Arial" w:hAnsi="Arial" w:cs="Arial"/>
        </w:rPr>
        <w:t xml:space="preserve">, la UPME resuelve: </w:t>
      </w:r>
    </w:p>
    <w:p w14:paraId="0D3D81AA" w14:textId="28F29AFF" w:rsidR="00B77167" w:rsidRPr="00DC49F3" w:rsidRDefault="00C91065" w:rsidP="005F3543">
      <w:pPr>
        <w:pStyle w:val="Cita"/>
        <w:ind w:left="284"/>
      </w:pPr>
      <w:r w:rsidRPr="00DC49F3">
        <w:t xml:space="preserve">ARTÍCULO PRIMERO. Identificar el proyecto “Instalación de dispositivos tipo FACTS serie SSSC en los dos circuitos de la línea Ternera – Candelaria 220 kV” como Proyecto Urgente en los términos de la Resolución MME 90604 de 5 de junio de 2014 y la Resolución CREG </w:t>
      </w:r>
      <w:r w:rsidRPr="00DC49F3">
        <w:lastRenderedPageBreak/>
        <w:t>093 de 2014. La ejecución del proyecto se realizará en el marco de lo dispuesto en la Resolución CREG 022 de 2001, modificada entre otras por la Resolución CREG 193 de 2020.</w:t>
      </w:r>
    </w:p>
    <w:p w14:paraId="5553E3F3" w14:textId="74525A9F" w:rsidR="00220E8D" w:rsidRPr="00DC49F3" w:rsidRDefault="00220E8D" w:rsidP="003A0B61">
      <w:pPr>
        <w:spacing w:before="240" w:after="0"/>
        <w:rPr>
          <w:rFonts w:ascii="Arial" w:hAnsi="Arial" w:cs="Arial"/>
        </w:rPr>
      </w:pPr>
      <w:r w:rsidRPr="00DC49F3">
        <w:rPr>
          <w:rFonts w:ascii="Arial" w:hAnsi="Arial" w:cs="Arial"/>
        </w:rPr>
        <w:t>De acuerdo con lo previsto en la Resolución CREG 022 de 2001</w:t>
      </w:r>
      <w:r w:rsidR="001A7058">
        <w:rPr>
          <w:rFonts w:ascii="Arial" w:hAnsi="Arial" w:cs="Arial"/>
        </w:rPr>
        <w:t>,</w:t>
      </w:r>
      <w:r w:rsidRPr="00DC49F3">
        <w:rPr>
          <w:rFonts w:ascii="Arial" w:hAnsi="Arial" w:cs="Arial"/>
        </w:rPr>
        <w:t xml:space="preserve"> y en respuesta a la solicitud de la UPME, GEB manifestó su interés en desarrollar el proyecto, por lo que la UPME</w:t>
      </w:r>
      <w:r w:rsidR="001A7058">
        <w:rPr>
          <w:rFonts w:ascii="Arial" w:hAnsi="Arial" w:cs="Arial"/>
        </w:rPr>
        <w:t>,</w:t>
      </w:r>
      <w:r w:rsidRPr="00DC49F3">
        <w:rPr>
          <w:rFonts w:ascii="Arial" w:hAnsi="Arial" w:cs="Arial"/>
        </w:rPr>
        <w:t xml:space="preserve"> en la comunicación 20211520004441</w:t>
      </w:r>
      <w:r w:rsidR="001A7058">
        <w:rPr>
          <w:rFonts w:ascii="Arial" w:hAnsi="Arial" w:cs="Arial"/>
        </w:rPr>
        <w:t>,</w:t>
      </w:r>
      <w:r w:rsidRPr="00DC49F3">
        <w:rPr>
          <w:rFonts w:ascii="Arial" w:hAnsi="Arial" w:cs="Arial"/>
        </w:rPr>
        <w:t xml:space="preserve"> le informa a GEB lo siguiente:</w:t>
      </w:r>
    </w:p>
    <w:p w14:paraId="14025B80" w14:textId="54EC6997" w:rsidR="00220E8D" w:rsidRPr="00DC49F3" w:rsidRDefault="00220E8D" w:rsidP="005F3543">
      <w:pPr>
        <w:pStyle w:val="Cita"/>
        <w:ind w:left="284"/>
      </w:pPr>
      <w:r w:rsidRPr="00DC49F3">
        <w:t>(…) Grupo Energía Bogotá S.A. E.S.P. deberá proceder con la ejecución de dicho proyecto como “Ampliación” en los términos dispuestos en la Resolución CREG 022 de 2001 y sus modificaciones y con Fecha de Entrada en Operación correspondiente al 31 de octubre de 2021.</w:t>
      </w:r>
    </w:p>
    <w:p w14:paraId="79A35F4A" w14:textId="77777777" w:rsidR="00B46ABB" w:rsidRPr="00DC49F3" w:rsidRDefault="00B7038E" w:rsidP="003A0B61">
      <w:pPr>
        <w:spacing w:before="240" w:after="0"/>
        <w:rPr>
          <w:rFonts w:ascii="Arial" w:hAnsi="Arial" w:cs="Arial"/>
        </w:rPr>
      </w:pPr>
      <w:r w:rsidRPr="00DC49F3">
        <w:rPr>
          <w:rFonts w:ascii="Arial" w:hAnsi="Arial" w:cs="Arial"/>
        </w:rPr>
        <w:t>El</w:t>
      </w:r>
      <w:r w:rsidR="003A0B61" w:rsidRPr="00DC49F3">
        <w:rPr>
          <w:rFonts w:ascii="Arial" w:hAnsi="Arial" w:cs="Arial"/>
        </w:rPr>
        <w:t xml:space="preserve"> </w:t>
      </w:r>
      <w:r w:rsidRPr="00DC49F3">
        <w:rPr>
          <w:rFonts w:ascii="Arial" w:hAnsi="Arial" w:cs="Arial"/>
        </w:rPr>
        <w:t>Grupo Energía Bogotá</w:t>
      </w:r>
      <w:r w:rsidR="003A0B61" w:rsidRPr="00DC49F3">
        <w:rPr>
          <w:rFonts w:ascii="Arial" w:hAnsi="Arial" w:cs="Arial"/>
        </w:rPr>
        <w:t xml:space="preserve"> S.A. E.S.P., mediante la comunicación radicada en la CREG con el número </w:t>
      </w:r>
      <w:r w:rsidR="00B46ABB" w:rsidRPr="00DC49F3">
        <w:rPr>
          <w:rFonts w:ascii="Arial" w:hAnsi="Arial" w:cs="Arial"/>
        </w:rPr>
        <w:t>E-2022-003458</w:t>
      </w:r>
      <w:r w:rsidR="003A0B61" w:rsidRPr="00DC49F3">
        <w:rPr>
          <w:rFonts w:ascii="Arial" w:hAnsi="Arial" w:cs="Arial"/>
        </w:rPr>
        <w:t xml:space="preserve">, </w:t>
      </w:r>
      <w:r w:rsidR="00B46ABB" w:rsidRPr="00DC49F3">
        <w:rPr>
          <w:rFonts w:ascii="Arial" w:hAnsi="Arial" w:cs="Arial"/>
        </w:rPr>
        <w:t>presenta la siguiente solicitud:</w:t>
      </w:r>
    </w:p>
    <w:p w14:paraId="05CE2DE1" w14:textId="620B35E3" w:rsidR="00B46ABB" w:rsidRPr="00DC49F3" w:rsidRDefault="00B46ABB" w:rsidP="005F3543">
      <w:pPr>
        <w:pStyle w:val="Cita"/>
        <w:ind w:left="284"/>
      </w:pPr>
      <w:r w:rsidRPr="00DC49F3">
        <w:t>(…) nos permitimos presentar la solicitud de inclusión en la base de activos de Grupo Energía Bogotá – GEB, aprobados con la Resolución CREG 131 de 2019 o posterior, de las unidades constructivas establecidas por asimilación para el proyecto de instalación de dispositivos tipo FACTS SSSC en los dos circuitos de la línea Candelaria – Ternera 220 kV, a fin de que sean remuneradas a GEB mediante cargos por uso regulado.</w:t>
      </w:r>
    </w:p>
    <w:p w14:paraId="2CACC492" w14:textId="1089FB79" w:rsidR="000E30E6" w:rsidRPr="00DC49F3" w:rsidRDefault="00B46ABB" w:rsidP="00B46ABB">
      <w:pPr>
        <w:spacing w:before="240" w:after="0"/>
        <w:rPr>
          <w:rFonts w:ascii="Arial" w:hAnsi="Arial" w:cs="Arial"/>
        </w:rPr>
      </w:pPr>
      <w:r w:rsidRPr="00DC49F3">
        <w:rPr>
          <w:rFonts w:ascii="Arial" w:hAnsi="Arial" w:cs="Arial"/>
        </w:rPr>
        <w:t xml:space="preserve">La empresa solicita que, con base en lo establecido en el parágrafo 1 del artículo 6 de la Resolución CREG 022 de 2001, los equipos instalados se asimilen a la unidad constructiva CP211, Bahía más Módulo de Compensación Serie, 3x22 </w:t>
      </w:r>
      <w:proofErr w:type="spellStart"/>
      <w:r w:rsidRPr="00DC49F3">
        <w:rPr>
          <w:rFonts w:ascii="Arial" w:hAnsi="Arial" w:cs="Arial"/>
        </w:rPr>
        <w:t>MVAr</w:t>
      </w:r>
      <w:proofErr w:type="spellEnd"/>
      <w:r w:rsidRPr="00DC49F3">
        <w:rPr>
          <w:rFonts w:ascii="Arial" w:hAnsi="Arial" w:cs="Arial"/>
        </w:rPr>
        <w:t>, que hace parte de las unidades constructivas definidas en el numeral 3.1.2 del ane</w:t>
      </w:r>
      <w:r w:rsidR="001A7058">
        <w:rPr>
          <w:rFonts w:ascii="Arial" w:hAnsi="Arial" w:cs="Arial"/>
        </w:rPr>
        <w:t>x</w:t>
      </w:r>
      <w:r w:rsidRPr="00DC49F3">
        <w:rPr>
          <w:rFonts w:ascii="Arial" w:hAnsi="Arial" w:cs="Arial"/>
        </w:rPr>
        <w:t xml:space="preserve">o general de la Resolución CREG 011 de 2009. </w:t>
      </w:r>
    </w:p>
    <w:p w14:paraId="77863945" w14:textId="75BCED5F" w:rsidR="003A0B61" w:rsidRPr="00DC49F3" w:rsidRDefault="003A0B61" w:rsidP="003A0B61">
      <w:pPr>
        <w:spacing w:before="240" w:after="0"/>
        <w:rPr>
          <w:rFonts w:ascii="Arial" w:hAnsi="Arial" w:cs="Arial"/>
          <w:spacing w:val="-3"/>
          <w:lang w:val="es-CO"/>
        </w:rPr>
      </w:pPr>
      <w:r w:rsidRPr="00DC49F3">
        <w:rPr>
          <w:rFonts w:ascii="Arial" w:hAnsi="Arial" w:cs="Arial"/>
          <w:spacing w:val="-3"/>
          <w:lang w:val="es-CO"/>
        </w:rPr>
        <w:t xml:space="preserve">La empresa también adjunta </w:t>
      </w:r>
      <w:r w:rsidR="00E16B97" w:rsidRPr="00DC49F3">
        <w:rPr>
          <w:rFonts w:ascii="Arial" w:hAnsi="Arial" w:cs="Arial"/>
          <w:spacing w:val="-3"/>
          <w:lang w:val="es-CO"/>
        </w:rPr>
        <w:t xml:space="preserve">la </w:t>
      </w:r>
      <w:r w:rsidRPr="00DC49F3">
        <w:rPr>
          <w:rFonts w:ascii="Arial" w:hAnsi="Arial" w:cs="Arial"/>
          <w:spacing w:val="-3"/>
          <w:lang w:val="es-CO"/>
        </w:rPr>
        <w:t>comunicaci</w:t>
      </w:r>
      <w:r w:rsidR="00B46ABB" w:rsidRPr="00DC49F3">
        <w:rPr>
          <w:rFonts w:ascii="Arial" w:hAnsi="Arial" w:cs="Arial"/>
          <w:spacing w:val="-3"/>
          <w:lang w:val="es-CO"/>
        </w:rPr>
        <w:t>ón</w:t>
      </w:r>
      <w:r w:rsidRPr="00DC49F3">
        <w:rPr>
          <w:rFonts w:ascii="Arial" w:hAnsi="Arial" w:cs="Arial"/>
          <w:spacing w:val="-3"/>
          <w:lang w:val="es-CO"/>
        </w:rPr>
        <w:t xml:space="preserve"> </w:t>
      </w:r>
      <w:r w:rsidR="00BF3CE8" w:rsidRPr="00DC49F3">
        <w:rPr>
          <w:rFonts w:ascii="Arial" w:hAnsi="Arial" w:cs="Arial"/>
          <w:spacing w:val="-3"/>
          <w:lang w:val="es-CO"/>
        </w:rPr>
        <w:t xml:space="preserve">enviada a </w:t>
      </w:r>
      <w:r w:rsidRPr="00DC49F3">
        <w:rPr>
          <w:rFonts w:ascii="Arial" w:hAnsi="Arial" w:cs="Arial"/>
          <w:spacing w:val="-3"/>
          <w:lang w:val="es-CO"/>
        </w:rPr>
        <w:t>XM</w:t>
      </w:r>
      <w:r w:rsidR="001A7058">
        <w:rPr>
          <w:rFonts w:ascii="Arial" w:hAnsi="Arial" w:cs="Arial"/>
          <w:spacing w:val="-3"/>
          <w:lang w:val="es-CO"/>
        </w:rPr>
        <w:t xml:space="preserve"> S.A. E.S.P.</w:t>
      </w:r>
      <w:r w:rsidRPr="00DC49F3">
        <w:rPr>
          <w:rFonts w:ascii="Arial" w:hAnsi="Arial" w:cs="Arial"/>
          <w:spacing w:val="-3"/>
          <w:lang w:val="es-CO"/>
        </w:rPr>
        <w:t xml:space="preserve">, donde </w:t>
      </w:r>
      <w:r w:rsidR="00BF3CE8" w:rsidRPr="00DC49F3">
        <w:rPr>
          <w:rFonts w:ascii="Arial" w:hAnsi="Arial" w:cs="Arial"/>
          <w:spacing w:val="-3"/>
          <w:lang w:val="es-CO"/>
        </w:rPr>
        <w:t xml:space="preserve">se </w:t>
      </w:r>
      <w:r w:rsidRPr="00DC49F3">
        <w:rPr>
          <w:rFonts w:ascii="Arial" w:hAnsi="Arial" w:cs="Arial"/>
          <w:spacing w:val="-3"/>
          <w:lang w:val="es-CO"/>
        </w:rPr>
        <w:t xml:space="preserve">informa de la </w:t>
      </w:r>
      <w:r w:rsidR="00D838D9" w:rsidRPr="00DC49F3">
        <w:rPr>
          <w:rFonts w:ascii="Arial" w:hAnsi="Arial" w:cs="Arial"/>
          <w:spacing w:val="-3"/>
          <w:lang w:val="es-CO"/>
        </w:rPr>
        <w:t>declaración de entrada</w:t>
      </w:r>
      <w:r w:rsidRPr="00DC49F3">
        <w:rPr>
          <w:rFonts w:ascii="Arial" w:hAnsi="Arial" w:cs="Arial"/>
          <w:spacing w:val="-3"/>
          <w:lang w:val="es-CO"/>
        </w:rPr>
        <w:t xml:space="preserve"> en operación comercial del proyecto</w:t>
      </w:r>
      <w:r w:rsidR="00BF3CE8" w:rsidRPr="00DC49F3">
        <w:rPr>
          <w:rFonts w:ascii="Arial" w:hAnsi="Arial" w:cs="Arial"/>
          <w:spacing w:val="-3"/>
          <w:lang w:val="es-CO"/>
        </w:rPr>
        <w:t xml:space="preserve"> </w:t>
      </w:r>
      <w:r w:rsidR="00D838D9" w:rsidRPr="00DC49F3">
        <w:rPr>
          <w:rFonts w:ascii="Arial" w:hAnsi="Arial" w:cs="Arial"/>
          <w:spacing w:val="-3"/>
          <w:lang w:val="es-CO"/>
        </w:rPr>
        <w:t>a partir de las 21:00 horas del 27</w:t>
      </w:r>
      <w:r w:rsidR="00315D1F" w:rsidRPr="00DC49F3">
        <w:rPr>
          <w:rFonts w:ascii="Arial" w:hAnsi="Arial" w:cs="Arial"/>
          <w:spacing w:val="-3"/>
          <w:lang w:val="es-CO"/>
        </w:rPr>
        <w:t xml:space="preserve"> de </w:t>
      </w:r>
      <w:r w:rsidR="00D838D9" w:rsidRPr="00DC49F3">
        <w:rPr>
          <w:rFonts w:ascii="Arial" w:hAnsi="Arial" w:cs="Arial"/>
          <w:spacing w:val="-3"/>
          <w:lang w:val="es-CO"/>
        </w:rPr>
        <w:t>ene</w:t>
      </w:r>
      <w:r w:rsidR="00315D1F" w:rsidRPr="00DC49F3">
        <w:rPr>
          <w:rFonts w:ascii="Arial" w:hAnsi="Arial" w:cs="Arial"/>
          <w:spacing w:val="-3"/>
          <w:lang w:val="es-CO"/>
        </w:rPr>
        <w:t xml:space="preserve">ro de </w:t>
      </w:r>
      <w:r w:rsidRPr="00DC49F3">
        <w:rPr>
          <w:rFonts w:ascii="Arial" w:hAnsi="Arial" w:cs="Arial"/>
          <w:spacing w:val="-3"/>
          <w:lang w:val="es-CO"/>
        </w:rPr>
        <w:t>20</w:t>
      </w:r>
      <w:r w:rsidR="00315D1F" w:rsidRPr="00DC49F3">
        <w:rPr>
          <w:rFonts w:ascii="Arial" w:hAnsi="Arial" w:cs="Arial"/>
          <w:spacing w:val="-3"/>
          <w:lang w:val="es-CO"/>
        </w:rPr>
        <w:t>2</w:t>
      </w:r>
      <w:r w:rsidR="00D838D9" w:rsidRPr="00DC49F3">
        <w:rPr>
          <w:rFonts w:ascii="Arial" w:hAnsi="Arial" w:cs="Arial"/>
          <w:spacing w:val="-3"/>
          <w:lang w:val="es-CO"/>
        </w:rPr>
        <w:t>2</w:t>
      </w:r>
      <w:r w:rsidRPr="00DC49F3">
        <w:rPr>
          <w:rFonts w:ascii="Arial" w:hAnsi="Arial" w:cs="Arial"/>
          <w:spacing w:val="-3"/>
          <w:lang w:val="es-CO"/>
        </w:rPr>
        <w:t>.</w:t>
      </w:r>
    </w:p>
    <w:p w14:paraId="734FF809" w14:textId="634A6783" w:rsidR="003A0B61" w:rsidRPr="00DC49F3" w:rsidRDefault="003A0B61" w:rsidP="003A0B61">
      <w:pPr>
        <w:spacing w:before="240" w:after="0"/>
        <w:rPr>
          <w:rFonts w:ascii="Arial" w:hAnsi="Arial" w:cs="Arial"/>
          <w:spacing w:val="-3"/>
          <w:lang w:val="es-CO"/>
        </w:rPr>
      </w:pPr>
      <w:r w:rsidRPr="00DC49F3">
        <w:rPr>
          <w:rFonts w:ascii="Arial" w:hAnsi="Arial" w:cs="Arial"/>
          <w:spacing w:val="-3"/>
          <w:lang w:val="es-CO"/>
        </w:rPr>
        <w:t xml:space="preserve">Mediante auto del </w:t>
      </w:r>
      <w:r w:rsidR="00F5517B" w:rsidRPr="00DC49F3">
        <w:rPr>
          <w:rFonts w:ascii="Arial" w:hAnsi="Arial" w:cs="Arial"/>
          <w:spacing w:val="-3"/>
          <w:lang w:val="es-CO"/>
        </w:rPr>
        <w:t>2</w:t>
      </w:r>
      <w:r w:rsidR="00F5517B">
        <w:rPr>
          <w:rFonts w:ascii="Arial" w:hAnsi="Arial" w:cs="Arial"/>
          <w:spacing w:val="-3"/>
          <w:lang w:val="es-CO"/>
        </w:rPr>
        <w:t>5</w:t>
      </w:r>
      <w:r w:rsidR="00F5517B" w:rsidRPr="00DC49F3">
        <w:rPr>
          <w:rFonts w:ascii="Arial" w:hAnsi="Arial" w:cs="Arial"/>
          <w:spacing w:val="-3"/>
          <w:lang w:val="es-CO"/>
        </w:rPr>
        <w:t xml:space="preserve"> </w:t>
      </w:r>
      <w:r w:rsidR="009F578D" w:rsidRPr="00DC49F3">
        <w:rPr>
          <w:rFonts w:ascii="Arial" w:hAnsi="Arial" w:cs="Arial"/>
          <w:spacing w:val="-3"/>
          <w:lang w:val="es-CO"/>
        </w:rPr>
        <w:t>de octubre</w:t>
      </w:r>
      <w:r w:rsidRPr="00DC49F3">
        <w:rPr>
          <w:rFonts w:ascii="Arial" w:hAnsi="Arial" w:cs="Arial"/>
          <w:spacing w:val="-3"/>
          <w:lang w:val="es-CO"/>
        </w:rPr>
        <w:t xml:space="preserve"> de 20</w:t>
      </w:r>
      <w:r w:rsidR="00143BE1" w:rsidRPr="00DC49F3">
        <w:rPr>
          <w:rFonts w:ascii="Arial" w:hAnsi="Arial" w:cs="Arial"/>
          <w:spacing w:val="-3"/>
          <w:lang w:val="es-CO"/>
        </w:rPr>
        <w:t>2</w:t>
      </w:r>
      <w:r w:rsidR="00D838D9" w:rsidRPr="00DC49F3">
        <w:rPr>
          <w:rFonts w:ascii="Arial" w:hAnsi="Arial" w:cs="Arial"/>
          <w:spacing w:val="-3"/>
          <w:lang w:val="es-CO"/>
        </w:rPr>
        <w:t>2</w:t>
      </w:r>
      <w:r w:rsidRPr="00DC49F3">
        <w:rPr>
          <w:rFonts w:ascii="Arial" w:hAnsi="Arial" w:cs="Arial"/>
          <w:spacing w:val="-3"/>
          <w:lang w:val="es-CO"/>
        </w:rPr>
        <w:t xml:space="preserve">, la Comisión </w:t>
      </w:r>
      <w:r w:rsidR="00A17427" w:rsidRPr="00DC49F3">
        <w:rPr>
          <w:rFonts w:ascii="Arial" w:hAnsi="Arial" w:cs="Arial"/>
          <w:spacing w:val="-3"/>
          <w:lang w:val="es-CO"/>
        </w:rPr>
        <w:t>inició</w:t>
      </w:r>
      <w:r w:rsidRPr="00DC49F3">
        <w:rPr>
          <w:rFonts w:ascii="Arial" w:hAnsi="Arial" w:cs="Arial"/>
          <w:spacing w:val="-3"/>
          <w:lang w:val="es-CO"/>
        </w:rPr>
        <w:t xml:space="preserve"> la actuación administrativa tendiente a actualizar el ingreso anual de la actividad de transmisión </w:t>
      </w:r>
      <w:r w:rsidR="006371C6" w:rsidRPr="00DC49F3">
        <w:rPr>
          <w:rFonts w:ascii="Arial" w:hAnsi="Arial" w:cs="Arial"/>
          <w:spacing w:val="-3"/>
          <w:lang w:val="es-CO"/>
        </w:rPr>
        <w:t>del Grupo</w:t>
      </w:r>
      <w:r w:rsidRPr="00DC49F3">
        <w:rPr>
          <w:rFonts w:ascii="Arial" w:hAnsi="Arial" w:cs="Arial"/>
          <w:spacing w:val="-3"/>
          <w:lang w:val="es-CO"/>
        </w:rPr>
        <w:t xml:space="preserve"> Energía Bogotá S.A. E.S.P., y ordenó la apertura del respectivo expediente que fue distinguido con el número 20</w:t>
      </w:r>
      <w:r w:rsidR="00143BE1" w:rsidRPr="00DC49F3">
        <w:rPr>
          <w:rFonts w:ascii="Arial" w:hAnsi="Arial" w:cs="Arial"/>
          <w:spacing w:val="-3"/>
          <w:lang w:val="es-CO"/>
        </w:rPr>
        <w:t>2</w:t>
      </w:r>
      <w:r w:rsidR="00D838D9" w:rsidRPr="00DC49F3">
        <w:rPr>
          <w:rFonts w:ascii="Arial" w:hAnsi="Arial" w:cs="Arial"/>
          <w:spacing w:val="-3"/>
          <w:lang w:val="es-CO"/>
        </w:rPr>
        <w:t>2</w:t>
      </w:r>
      <w:r w:rsidRPr="00DC49F3">
        <w:rPr>
          <w:rFonts w:ascii="Arial" w:hAnsi="Arial" w:cs="Arial"/>
          <w:spacing w:val="-3"/>
          <w:lang w:val="es-CO"/>
        </w:rPr>
        <w:t>-0</w:t>
      </w:r>
      <w:r w:rsidR="00D838D9" w:rsidRPr="00DC49F3">
        <w:rPr>
          <w:rFonts w:ascii="Arial" w:hAnsi="Arial" w:cs="Arial"/>
          <w:spacing w:val="-3"/>
          <w:lang w:val="es-CO"/>
        </w:rPr>
        <w:t>088</w:t>
      </w:r>
      <w:r w:rsidRPr="00DC49F3">
        <w:rPr>
          <w:rFonts w:ascii="Arial" w:hAnsi="Arial" w:cs="Arial"/>
          <w:spacing w:val="-3"/>
          <w:lang w:val="es-CO"/>
        </w:rPr>
        <w:t>. De lo anterior se informó a la empresa mediante comunicación con radicado CREG S</w:t>
      </w:r>
      <w:r w:rsidRPr="00DC49F3">
        <w:rPr>
          <w:rFonts w:ascii="Arial" w:hAnsi="Arial" w:cs="Arial"/>
          <w:spacing w:val="-3"/>
          <w:lang w:val="es-CO"/>
        </w:rPr>
        <w:noBreakHyphen/>
        <w:t>20</w:t>
      </w:r>
      <w:r w:rsidR="00143BE1" w:rsidRPr="00DC49F3">
        <w:rPr>
          <w:rFonts w:ascii="Arial" w:hAnsi="Arial" w:cs="Arial"/>
          <w:spacing w:val="-3"/>
          <w:lang w:val="es-CO"/>
        </w:rPr>
        <w:t>2</w:t>
      </w:r>
      <w:r w:rsidR="00D838D9" w:rsidRPr="00DC49F3">
        <w:rPr>
          <w:rFonts w:ascii="Arial" w:hAnsi="Arial" w:cs="Arial"/>
          <w:spacing w:val="-3"/>
          <w:lang w:val="es-CO"/>
        </w:rPr>
        <w:t>2</w:t>
      </w:r>
      <w:r w:rsidRPr="00DC49F3">
        <w:rPr>
          <w:rFonts w:ascii="Arial" w:hAnsi="Arial" w:cs="Arial"/>
          <w:spacing w:val="-3"/>
          <w:lang w:val="es-CO"/>
        </w:rPr>
        <w:t>-00</w:t>
      </w:r>
      <w:r w:rsidR="00F5517B">
        <w:rPr>
          <w:rFonts w:ascii="Arial" w:hAnsi="Arial" w:cs="Arial"/>
          <w:spacing w:val="-3"/>
          <w:lang w:val="es-CO"/>
        </w:rPr>
        <w:t>5010</w:t>
      </w:r>
      <w:r w:rsidRPr="00DC49F3">
        <w:rPr>
          <w:rFonts w:ascii="Arial" w:hAnsi="Arial" w:cs="Arial"/>
          <w:spacing w:val="-3"/>
          <w:lang w:val="es-CO"/>
        </w:rPr>
        <w:t>.</w:t>
      </w:r>
    </w:p>
    <w:p w14:paraId="5DEB67BB" w14:textId="5BD5AFDB" w:rsidR="003A0B61" w:rsidRPr="00DC49F3" w:rsidRDefault="007D420E" w:rsidP="003A0B61">
      <w:pPr>
        <w:spacing w:before="240" w:after="0"/>
        <w:rPr>
          <w:rFonts w:ascii="Arial" w:hAnsi="Arial" w:cs="Arial"/>
          <w:spacing w:val="-3"/>
          <w:lang w:val="es-CO"/>
        </w:rPr>
      </w:pPr>
      <w:r w:rsidRPr="00DC49F3">
        <w:rPr>
          <w:rFonts w:ascii="Arial" w:hAnsi="Arial" w:cs="Arial"/>
          <w:spacing w:val="-3"/>
          <w:lang w:val="es-CO"/>
        </w:rPr>
        <w:t>E</w:t>
      </w:r>
      <w:r w:rsidR="003A0B61" w:rsidRPr="00DC49F3">
        <w:rPr>
          <w:rFonts w:ascii="Arial" w:hAnsi="Arial" w:cs="Arial"/>
          <w:spacing w:val="-3"/>
          <w:lang w:val="es-CO"/>
        </w:rPr>
        <w:t xml:space="preserve">n cumplimiento de lo establecido en el artículo 37 del Código de Procedimiento Administrativo y de lo Contencioso Administrativo, la CREG publicó en el </w:t>
      </w:r>
      <w:r w:rsidR="003A0B61" w:rsidRPr="00DC49F3">
        <w:rPr>
          <w:rFonts w:ascii="Arial" w:hAnsi="Arial" w:cs="Arial"/>
          <w:i/>
          <w:spacing w:val="-3"/>
          <w:lang w:val="es-CO"/>
        </w:rPr>
        <w:t>Diario Oficial</w:t>
      </w:r>
      <w:r w:rsidR="003A0B61" w:rsidRPr="00DC49F3">
        <w:rPr>
          <w:rFonts w:ascii="Arial" w:hAnsi="Arial" w:cs="Arial"/>
          <w:spacing w:val="-3"/>
          <w:lang w:val="es-CO"/>
        </w:rPr>
        <w:t xml:space="preserve"> y en la página web de la entidad un resumen de la solicitud</w:t>
      </w:r>
      <w:r w:rsidR="001A7058">
        <w:rPr>
          <w:rFonts w:ascii="Arial" w:hAnsi="Arial" w:cs="Arial"/>
          <w:spacing w:val="-3"/>
          <w:lang w:val="es-CO"/>
        </w:rPr>
        <w:t>,</w:t>
      </w:r>
      <w:r w:rsidR="003A0B61" w:rsidRPr="00DC49F3">
        <w:rPr>
          <w:rFonts w:ascii="Arial" w:hAnsi="Arial" w:cs="Arial"/>
          <w:spacing w:val="-3"/>
          <w:lang w:val="es-CO"/>
        </w:rPr>
        <w:t xml:space="preserve"> con el fin de que los terceros interesados pudieran intervenir en la actuación administrativa.</w:t>
      </w:r>
    </w:p>
    <w:p w14:paraId="1B60844B" w14:textId="3871F6FD" w:rsidR="00D838D9" w:rsidRPr="00DC49F3" w:rsidRDefault="00D838D9" w:rsidP="00B22EFB">
      <w:pPr>
        <w:tabs>
          <w:tab w:val="center" w:pos="4680"/>
        </w:tabs>
        <w:spacing w:before="240" w:after="0"/>
        <w:rPr>
          <w:rFonts w:ascii="Arial" w:hAnsi="Arial" w:cs="Arial"/>
          <w:spacing w:val="-3"/>
        </w:rPr>
      </w:pPr>
      <w:r w:rsidRPr="00DC49F3">
        <w:rPr>
          <w:rFonts w:ascii="Arial" w:hAnsi="Arial" w:cs="Arial"/>
          <w:spacing w:val="-3"/>
        </w:rPr>
        <w:t>En el documento soporte de esta resolución, se analiza la solicitud de GEB y se calcula el porcentaje a reconocer para las unidades constructivas solicitadas, de acuerdo con lo señalado en el parágrafo 1 de la Resolución CREG 022 de 2001.</w:t>
      </w:r>
    </w:p>
    <w:p w14:paraId="0265D0B2" w14:textId="579F317D" w:rsidR="00B22EFB" w:rsidRPr="00DC49F3" w:rsidRDefault="00D838D9" w:rsidP="003A0B61">
      <w:pPr>
        <w:tabs>
          <w:tab w:val="center" w:pos="4680"/>
        </w:tabs>
        <w:spacing w:before="240" w:after="0"/>
        <w:rPr>
          <w:rFonts w:ascii="Arial" w:hAnsi="Arial" w:cs="Arial"/>
          <w:spacing w:val="-3"/>
        </w:rPr>
      </w:pPr>
      <w:r w:rsidRPr="00DC49F3">
        <w:rPr>
          <w:rFonts w:ascii="Arial" w:hAnsi="Arial" w:cs="Arial"/>
          <w:spacing w:val="-3"/>
        </w:rPr>
        <w:t>Con base en lo anterior, s</w:t>
      </w:r>
      <w:r w:rsidR="00F97F50" w:rsidRPr="00DC49F3">
        <w:rPr>
          <w:rFonts w:ascii="Arial" w:hAnsi="Arial" w:cs="Arial"/>
          <w:spacing w:val="-3"/>
        </w:rPr>
        <w:t xml:space="preserve">e propone incluir </w:t>
      </w:r>
      <w:r w:rsidR="002C4C52" w:rsidRPr="00DC49F3">
        <w:rPr>
          <w:rFonts w:ascii="Arial" w:hAnsi="Arial" w:cs="Arial"/>
          <w:spacing w:val="-3"/>
        </w:rPr>
        <w:t xml:space="preserve">como ampliación, </w:t>
      </w:r>
      <w:r w:rsidR="00F97F50" w:rsidRPr="00DC49F3">
        <w:rPr>
          <w:rFonts w:ascii="Arial" w:hAnsi="Arial" w:cs="Arial"/>
          <w:spacing w:val="-3"/>
        </w:rPr>
        <w:t xml:space="preserve">en la base de activos </w:t>
      </w:r>
      <w:r w:rsidR="004E0B17" w:rsidRPr="00DC49F3">
        <w:rPr>
          <w:rFonts w:ascii="Arial" w:hAnsi="Arial" w:cs="Arial"/>
          <w:spacing w:val="-3"/>
        </w:rPr>
        <w:t xml:space="preserve">del </w:t>
      </w:r>
      <w:r w:rsidR="004E0B17" w:rsidRPr="00DC49F3">
        <w:rPr>
          <w:rFonts w:ascii="Arial" w:hAnsi="Arial" w:cs="Arial"/>
        </w:rPr>
        <w:t>Grupo Energía Bogotá S.A. E.S.P.</w:t>
      </w:r>
      <w:r w:rsidR="002C4C52" w:rsidRPr="00DC49F3">
        <w:rPr>
          <w:rFonts w:ascii="Arial" w:hAnsi="Arial" w:cs="Arial"/>
        </w:rPr>
        <w:t>,</w:t>
      </w:r>
      <w:r w:rsidR="004E0B17" w:rsidRPr="00DC49F3">
        <w:rPr>
          <w:rFonts w:ascii="Arial" w:hAnsi="Arial" w:cs="Arial"/>
          <w:spacing w:val="-3"/>
        </w:rPr>
        <w:t xml:space="preserve"> las nuevas UC instaladas </w:t>
      </w:r>
      <w:r w:rsidR="001170CF" w:rsidRPr="00DC49F3">
        <w:rPr>
          <w:rFonts w:ascii="Arial" w:hAnsi="Arial" w:cs="Arial"/>
          <w:spacing w:val="-3"/>
        </w:rPr>
        <w:t xml:space="preserve">en la subestación </w:t>
      </w:r>
      <w:proofErr w:type="spellStart"/>
      <w:r w:rsidRPr="00DC49F3">
        <w:rPr>
          <w:rFonts w:ascii="Arial" w:hAnsi="Arial" w:cs="Arial"/>
          <w:spacing w:val="-3"/>
        </w:rPr>
        <w:t>Termocandelaria</w:t>
      </w:r>
      <w:proofErr w:type="spellEnd"/>
      <w:r w:rsidR="001A7058">
        <w:rPr>
          <w:rFonts w:ascii="Arial" w:hAnsi="Arial" w:cs="Arial"/>
          <w:spacing w:val="-3"/>
        </w:rPr>
        <w:t>,</w:t>
      </w:r>
      <w:r w:rsidR="001170CF" w:rsidRPr="00DC49F3">
        <w:rPr>
          <w:rFonts w:ascii="Arial" w:hAnsi="Arial" w:cs="Arial"/>
          <w:spacing w:val="-3"/>
        </w:rPr>
        <w:t xml:space="preserve"> </w:t>
      </w:r>
      <w:r w:rsidR="004E0B17" w:rsidRPr="00DC49F3">
        <w:rPr>
          <w:rFonts w:ascii="Arial" w:hAnsi="Arial" w:cs="Arial"/>
          <w:spacing w:val="-3"/>
        </w:rPr>
        <w:t xml:space="preserve">reconociendo </w:t>
      </w:r>
      <w:r w:rsidRPr="00DC49F3">
        <w:rPr>
          <w:rFonts w:ascii="Arial" w:hAnsi="Arial" w:cs="Arial"/>
          <w:spacing w:val="-3"/>
        </w:rPr>
        <w:t>un porcentaje de las unidades constructivas a las cuales se asimilan los nuevos activos</w:t>
      </w:r>
      <w:r w:rsidR="00C45921" w:rsidRPr="00DC49F3">
        <w:rPr>
          <w:rFonts w:ascii="Arial" w:hAnsi="Arial" w:cs="Arial"/>
          <w:spacing w:val="-3"/>
        </w:rPr>
        <w:t>.</w:t>
      </w:r>
    </w:p>
    <w:p w14:paraId="27966752" w14:textId="282E463B" w:rsidR="004974D8" w:rsidRPr="00DC49F3" w:rsidRDefault="004974D8" w:rsidP="004974D8">
      <w:pPr>
        <w:tabs>
          <w:tab w:val="center" w:pos="4680"/>
        </w:tabs>
        <w:spacing w:before="240" w:after="0"/>
        <w:rPr>
          <w:rFonts w:ascii="Arial" w:hAnsi="Arial" w:cs="Arial"/>
          <w:spacing w:val="-3"/>
        </w:rPr>
      </w:pPr>
      <w:r w:rsidRPr="00DC49F3">
        <w:rPr>
          <w:rFonts w:ascii="Arial" w:hAnsi="Arial" w:cs="Arial"/>
          <w:spacing w:val="-3"/>
        </w:rPr>
        <w:t>Con base en los análisis efectuados y aplicando la metodología contenida en la Resolución CREG 011 de 2009</w:t>
      </w:r>
      <w:r w:rsidR="001A7058">
        <w:rPr>
          <w:rFonts w:ascii="Arial" w:hAnsi="Arial" w:cs="Arial"/>
          <w:spacing w:val="-3"/>
        </w:rPr>
        <w:t>,</w:t>
      </w:r>
      <w:r w:rsidRPr="00DC49F3">
        <w:rPr>
          <w:rFonts w:ascii="Arial" w:hAnsi="Arial" w:cs="Arial"/>
          <w:spacing w:val="-3"/>
        </w:rPr>
        <w:t xml:space="preserve"> se realizaron los ajustes pertinentes para </w:t>
      </w:r>
      <w:r w:rsidRPr="00DC49F3">
        <w:rPr>
          <w:rFonts w:ascii="Arial" w:hAnsi="Arial" w:cs="Arial"/>
        </w:rPr>
        <w:t>actualizar el ingreso anual de la actividad de transmisión del Grupo Energía Bogotá S.A. E.S.P.</w:t>
      </w:r>
      <w:r w:rsidRPr="00DC49F3">
        <w:rPr>
          <w:rFonts w:ascii="Arial" w:hAnsi="Arial" w:cs="Arial"/>
          <w:spacing w:val="-3"/>
        </w:rPr>
        <w:t>, por las obras mencionadas.</w:t>
      </w:r>
    </w:p>
    <w:p w14:paraId="6CFF13F6" w14:textId="6D97FC9F" w:rsidR="003A0B61" w:rsidRPr="00DC49F3" w:rsidRDefault="003A0B61" w:rsidP="003A0B61">
      <w:pPr>
        <w:tabs>
          <w:tab w:val="center" w:pos="4680"/>
        </w:tabs>
        <w:spacing w:before="240" w:after="0"/>
        <w:rPr>
          <w:rFonts w:ascii="Arial" w:hAnsi="Arial" w:cs="Arial"/>
          <w:spacing w:val="-3"/>
        </w:rPr>
      </w:pPr>
      <w:r w:rsidRPr="00DC49F3">
        <w:rPr>
          <w:rFonts w:ascii="Arial" w:hAnsi="Arial" w:cs="Arial"/>
          <w:spacing w:val="-3"/>
        </w:rPr>
        <w:lastRenderedPageBreak/>
        <w:t xml:space="preserve">Teniendo en cuenta lo anterior, a partir de la aplicación de la metodología contenida en la Resolución CREG 011 de 2009, se calculan las siguientes variables principales: </w:t>
      </w:r>
    </w:p>
    <w:p w14:paraId="717293CA" w14:textId="0CAE5799" w:rsidR="003A0B61" w:rsidRPr="00DC49F3" w:rsidRDefault="00981AFD" w:rsidP="003A0B61">
      <w:pPr>
        <w:tabs>
          <w:tab w:val="center" w:pos="4680"/>
        </w:tabs>
        <w:spacing w:before="240" w:after="0"/>
        <w:jc w:val="center"/>
        <w:rPr>
          <w:rFonts w:ascii="Arial" w:hAnsi="Arial" w:cs="Arial"/>
          <w:spacing w:val="-3"/>
        </w:rPr>
      </w:pPr>
      <w:r w:rsidRPr="00DC49F3">
        <w:rPr>
          <w:rFonts w:ascii="Arial" w:hAnsi="Arial" w:cs="Arial"/>
          <w:noProof/>
        </w:rPr>
        <w:drawing>
          <wp:inline distT="0" distB="0" distL="0" distR="0" wp14:anchorId="37E151AA" wp14:editId="12338BC9">
            <wp:extent cx="4895850" cy="1676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1676400"/>
                    </a:xfrm>
                    <a:prstGeom prst="rect">
                      <a:avLst/>
                    </a:prstGeom>
                    <a:noFill/>
                    <a:ln>
                      <a:noFill/>
                    </a:ln>
                  </pic:spPr>
                </pic:pic>
              </a:graphicData>
            </a:graphic>
          </wp:inline>
        </w:drawing>
      </w:r>
    </w:p>
    <w:p w14:paraId="539C9B6D" w14:textId="70ED1356" w:rsidR="003A0B61" w:rsidRPr="00DC49F3" w:rsidRDefault="003A0B61" w:rsidP="003A0B61">
      <w:pPr>
        <w:tabs>
          <w:tab w:val="center" w:pos="4680"/>
        </w:tabs>
        <w:spacing w:before="240" w:after="0"/>
        <w:rPr>
          <w:rFonts w:ascii="Arial" w:hAnsi="Arial" w:cs="Arial"/>
          <w:spacing w:val="-3"/>
        </w:rPr>
      </w:pPr>
      <w:r w:rsidRPr="00DC49F3">
        <w:rPr>
          <w:rFonts w:ascii="Arial" w:hAnsi="Arial" w:cs="Arial"/>
          <w:spacing w:val="-3"/>
        </w:rPr>
        <w:t>La Comisión de Regulación de Energía y Gas</w:t>
      </w:r>
      <w:r w:rsidR="001A7058">
        <w:rPr>
          <w:rFonts w:ascii="Arial" w:hAnsi="Arial" w:cs="Arial"/>
          <w:spacing w:val="-3"/>
        </w:rPr>
        <w:t>,</w:t>
      </w:r>
      <w:r w:rsidRPr="00DC49F3">
        <w:rPr>
          <w:rFonts w:ascii="Arial" w:hAnsi="Arial" w:cs="Arial"/>
          <w:spacing w:val="-3"/>
        </w:rPr>
        <w:t xml:space="preserve"> en su sesión </w:t>
      </w:r>
      <w:r w:rsidR="005F3543">
        <w:rPr>
          <w:rFonts w:ascii="Arial" w:hAnsi="Arial" w:cs="Arial"/>
          <w:spacing w:val="-3"/>
        </w:rPr>
        <w:t xml:space="preserve">1209 del 11 </w:t>
      </w:r>
      <w:r w:rsidRPr="00DC49F3">
        <w:rPr>
          <w:rFonts w:ascii="Arial" w:hAnsi="Arial" w:cs="Arial"/>
          <w:spacing w:val="-3"/>
        </w:rPr>
        <w:t xml:space="preserve">de </w:t>
      </w:r>
      <w:r w:rsidR="005F3543">
        <w:rPr>
          <w:rFonts w:ascii="Arial" w:hAnsi="Arial" w:cs="Arial"/>
          <w:spacing w:val="-3"/>
        </w:rPr>
        <w:t>noviembre</w:t>
      </w:r>
      <w:r w:rsidRPr="00DC49F3">
        <w:rPr>
          <w:rFonts w:ascii="Arial" w:hAnsi="Arial" w:cs="Arial"/>
          <w:spacing w:val="-3"/>
        </w:rPr>
        <w:t xml:space="preserve"> de 202</w:t>
      </w:r>
      <w:r w:rsidR="00D25A9F" w:rsidRPr="00DC49F3">
        <w:rPr>
          <w:rFonts w:ascii="Arial" w:hAnsi="Arial" w:cs="Arial"/>
          <w:spacing w:val="-3"/>
        </w:rPr>
        <w:t>2</w:t>
      </w:r>
      <w:r w:rsidR="001A7058">
        <w:rPr>
          <w:rFonts w:ascii="Arial" w:hAnsi="Arial" w:cs="Arial"/>
          <w:spacing w:val="-3"/>
        </w:rPr>
        <w:t>,</w:t>
      </w:r>
      <w:r w:rsidRPr="00DC49F3">
        <w:rPr>
          <w:rFonts w:ascii="Arial" w:hAnsi="Arial" w:cs="Arial"/>
          <w:spacing w:val="-3"/>
        </w:rPr>
        <w:t xml:space="preserve"> aprobó actualizar la base de activos </w:t>
      </w:r>
      <w:r w:rsidR="006371C6" w:rsidRPr="00DC49F3">
        <w:rPr>
          <w:rFonts w:ascii="Arial" w:hAnsi="Arial" w:cs="Arial"/>
          <w:spacing w:val="-3"/>
        </w:rPr>
        <w:t>del Grupo</w:t>
      </w:r>
      <w:r w:rsidRPr="00DC49F3">
        <w:rPr>
          <w:rFonts w:ascii="Arial" w:hAnsi="Arial" w:cs="Arial"/>
          <w:spacing w:val="-3"/>
        </w:rPr>
        <w:t xml:space="preserve"> Energía Bogotá S.A. E.S.P. y </w:t>
      </w:r>
      <w:r w:rsidRPr="00DC49F3">
        <w:rPr>
          <w:rFonts w:ascii="Arial" w:hAnsi="Arial" w:cs="Arial"/>
        </w:rPr>
        <w:t>expedir la presente resolución</w:t>
      </w:r>
      <w:r w:rsidRPr="00DC49F3">
        <w:rPr>
          <w:rFonts w:ascii="Arial" w:hAnsi="Arial" w:cs="Arial"/>
          <w:spacing w:val="-3"/>
        </w:rPr>
        <w:t>.</w:t>
      </w:r>
    </w:p>
    <w:p w14:paraId="0FFCDFE2" w14:textId="77777777" w:rsidR="003A0B61" w:rsidRPr="00DC49F3" w:rsidRDefault="003A0B61" w:rsidP="00A91809">
      <w:pPr>
        <w:keepNext/>
        <w:spacing w:before="480" w:after="0"/>
        <w:jc w:val="center"/>
        <w:rPr>
          <w:rFonts w:ascii="Arial" w:hAnsi="Arial" w:cs="Arial"/>
          <w:b/>
          <w:spacing w:val="60"/>
        </w:rPr>
      </w:pPr>
      <w:r w:rsidRPr="00DC49F3">
        <w:rPr>
          <w:rFonts w:ascii="Arial" w:hAnsi="Arial" w:cs="Arial"/>
          <w:b/>
          <w:spacing w:val="60"/>
        </w:rPr>
        <w:t>RESUELVE:</w:t>
      </w:r>
    </w:p>
    <w:p w14:paraId="01E1B90A" w14:textId="3EC188B7" w:rsidR="003A0B61" w:rsidRPr="00DC49F3" w:rsidRDefault="003A0B61" w:rsidP="003A0B61">
      <w:pPr>
        <w:pStyle w:val="Prrafodelista"/>
        <w:numPr>
          <w:ilvl w:val="0"/>
          <w:numId w:val="34"/>
        </w:numPr>
        <w:spacing w:after="0"/>
        <w:rPr>
          <w:rFonts w:ascii="Arial" w:hAnsi="Arial" w:cs="Arial"/>
        </w:rPr>
      </w:pPr>
      <w:r w:rsidRPr="00DC49F3">
        <w:rPr>
          <w:rFonts w:ascii="Arial" w:hAnsi="Arial" w:cs="Arial"/>
        </w:rPr>
        <w:t xml:space="preserve">Modificar la base de activos </w:t>
      </w:r>
      <w:r w:rsidR="006371C6" w:rsidRPr="00DC49F3">
        <w:rPr>
          <w:rFonts w:ascii="Arial" w:hAnsi="Arial" w:cs="Arial"/>
        </w:rPr>
        <w:t>del Grupo</w:t>
      </w:r>
      <w:r w:rsidRPr="00DC49F3">
        <w:rPr>
          <w:rFonts w:ascii="Arial" w:hAnsi="Arial" w:cs="Arial"/>
        </w:rPr>
        <w:t xml:space="preserve"> Energía Bogotá S.A. E.S.P., aprobada en el artículo 3 de la Resolución CREG 11</w:t>
      </w:r>
      <w:r w:rsidR="00AD5E2F" w:rsidRPr="00DC49F3">
        <w:rPr>
          <w:rFonts w:ascii="Arial" w:hAnsi="Arial" w:cs="Arial"/>
        </w:rPr>
        <w:t>0</w:t>
      </w:r>
      <w:r w:rsidRPr="00DC49F3">
        <w:rPr>
          <w:rFonts w:ascii="Arial" w:hAnsi="Arial" w:cs="Arial"/>
        </w:rPr>
        <w:t xml:space="preserve"> de 2010, </w:t>
      </w:r>
      <w:r w:rsidR="00754B2D" w:rsidRPr="00DC49F3">
        <w:rPr>
          <w:rFonts w:ascii="Arial" w:hAnsi="Arial" w:cs="Arial"/>
        </w:rPr>
        <w:t xml:space="preserve">adicionando los siguientes registros al numeral </w:t>
      </w:r>
      <w:r w:rsidR="00754B2D" w:rsidRPr="00DC49F3">
        <w:rPr>
          <w:rFonts w:ascii="Arial" w:hAnsi="Arial" w:cs="Arial"/>
          <w:i/>
          <w:iCs/>
        </w:rPr>
        <w:t>1 Subestaciones</w:t>
      </w:r>
      <w:r w:rsidRPr="00DC49F3">
        <w:rPr>
          <w:rFonts w:ascii="Arial" w:hAnsi="Arial" w:cs="Arial"/>
        </w:rPr>
        <w:t>:</w:t>
      </w:r>
    </w:p>
    <w:p w14:paraId="31335081" w14:textId="21A69871" w:rsidR="003A0B61" w:rsidRPr="00DC49F3" w:rsidRDefault="003A0B61" w:rsidP="00754B2D">
      <w:pPr>
        <w:spacing w:before="0" w:after="0"/>
        <w:ind w:left="357" w:hanging="357"/>
        <w:rPr>
          <w:rFonts w:ascii="Arial" w:hAnsi="Arial" w:cs="Arial"/>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846"/>
        <w:gridCol w:w="2835"/>
        <w:gridCol w:w="992"/>
        <w:gridCol w:w="1276"/>
      </w:tblGrid>
      <w:tr w:rsidR="003A0B61" w:rsidRPr="00DC49F3" w14:paraId="12E81A88" w14:textId="77777777" w:rsidTr="001427D1">
        <w:trPr>
          <w:trHeight w:val="326"/>
          <w:tblHeader/>
          <w:jc w:val="center"/>
        </w:trPr>
        <w:tc>
          <w:tcPr>
            <w:tcW w:w="846" w:type="dxa"/>
            <w:vAlign w:val="center"/>
          </w:tcPr>
          <w:p w14:paraId="6CE45524" w14:textId="77777777" w:rsidR="003A0B61" w:rsidRPr="00DC49F3" w:rsidRDefault="003A0B61" w:rsidP="00D82EEF">
            <w:pPr>
              <w:keepNext/>
              <w:spacing w:before="40" w:after="40"/>
              <w:jc w:val="center"/>
              <w:rPr>
                <w:rFonts w:ascii="Arial" w:hAnsi="Arial" w:cs="Arial"/>
                <w:b/>
                <w:bCs/>
                <w:i/>
                <w:color w:val="000000"/>
                <w:sz w:val="20"/>
                <w:szCs w:val="18"/>
              </w:rPr>
            </w:pPr>
            <w:r w:rsidRPr="00DC49F3">
              <w:rPr>
                <w:rFonts w:ascii="Arial" w:hAnsi="Arial" w:cs="Arial"/>
                <w:b/>
                <w:bCs/>
                <w:i/>
                <w:color w:val="000000"/>
                <w:sz w:val="20"/>
                <w:szCs w:val="18"/>
              </w:rPr>
              <w:t>No.</w:t>
            </w:r>
          </w:p>
        </w:tc>
        <w:tc>
          <w:tcPr>
            <w:tcW w:w="2835" w:type="dxa"/>
            <w:shd w:val="clear" w:color="auto" w:fill="auto"/>
            <w:noWrap/>
            <w:vAlign w:val="center"/>
            <w:hideMark/>
          </w:tcPr>
          <w:p w14:paraId="0EA344B6" w14:textId="77777777" w:rsidR="003A0B61" w:rsidRPr="00DC49F3" w:rsidRDefault="003A0B61" w:rsidP="00D82EEF">
            <w:pPr>
              <w:keepNext/>
              <w:spacing w:before="40" w:after="40"/>
              <w:jc w:val="center"/>
              <w:rPr>
                <w:rFonts w:ascii="Arial" w:hAnsi="Arial" w:cs="Arial"/>
                <w:b/>
                <w:bCs/>
                <w:i/>
                <w:color w:val="000000"/>
                <w:sz w:val="20"/>
                <w:szCs w:val="18"/>
              </w:rPr>
            </w:pPr>
            <w:r w:rsidRPr="00DC49F3">
              <w:rPr>
                <w:rFonts w:ascii="Arial" w:hAnsi="Arial" w:cs="Arial"/>
                <w:b/>
                <w:bCs/>
                <w:i/>
                <w:color w:val="000000"/>
                <w:sz w:val="20"/>
                <w:szCs w:val="18"/>
              </w:rPr>
              <w:t>Subestación</w:t>
            </w:r>
          </w:p>
        </w:tc>
        <w:tc>
          <w:tcPr>
            <w:tcW w:w="992" w:type="dxa"/>
            <w:shd w:val="clear" w:color="auto" w:fill="auto"/>
            <w:noWrap/>
            <w:vAlign w:val="center"/>
            <w:hideMark/>
          </w:tcPr>
          <w:p w14:paraId="288FACB2" w14:textId="77777777" w:rsidR="003A0B61" w:rsidRPr="00DC49F3" w:rsidRDefault="003A0B61" w:rsidP="00D82EEF">
            <w:pPr>
              <w:keepNext/>
              <w:spacing w:before="40" w:after="40"/>
              <w:jc w:val="center"/>
              <w:rPr>
                <w:rFonts w:ascii="Arial" w:hAnsi="Arial" w:cs="Arial"/>
                <w:b/>
                <w:bCs/>
                <w:i/>
                <w:color w:val="000000"/>
                <w:sz w:val="20"/>
                <w:szCs w:val="18"/>
              </w:rPr>
            </w:pPr>
            <w:r w:rsidRPr="00DC49F3">
              <w:rPr>
                <w:rFonts w:ascii="Arial" w:hAnsi="Arial" w:cs="Arial"/>
                <w:b/>
                <w:bCs/>
                <w:i/>
                <w:color w:val="000000"/>
                <w:sz w:val="20"/>
                <w:szCs w:val="18"/>
              </w:rPr>
              <w:t>UC</w:t>
            </w:r>
          </w:p>
        </w:tc>
        <w:tc>
          <w:tcPr>
            <w:tcW w:w="1276" w:type="dxa"/>
            <w:shd w:val="clear" w:color="auto" w:fill="auto"/>
            <w:noWrap/>
            <w:vAlign w:val="center"/>
            <w:hideMark/>
          </w:tcPr>
          <w:p w14:paraId="2AE0F372" w14:textId="77777777" w:rsidR="003A0B61" w:rsidRPr="00DC49F3" w:rsidRDefault="003A0B61" w:rsidP="00D82EEF">
            <w:pPr>
              <w:keepNext/>
              <w:spacing w:before="40" w:after="40"/>
              <w:jc w:val="center"/>
              <w:rPr>
                <w:rFonts w:ascii="Arial" w:hAnsi="Arial" w:cs="Arial"/>
                <w:b/>
                <w:bCs/>
                <w:i/>
                <w:color w:val="000000"/>
                <w:sz w:val="20"/>
                <w:szCs w:val="18"/>
              </w:rPr>
            </w:pPr>
            <w:r w:rsidRPr="00DC49F3">
              <w:rPr>
                <w:rFonts w:ascii="Arial" w:hAnsi="Arial" w:cs="Arial"/>
                <w:b/>
                <w:bCs/>
                <w:i/>
                <w:color w:val="000000"/>
                <w:sz w:val="20"/>
                <w:szCs w:val="18"/>
              </w:rPr>
              <w:t>PU</w:t>
            </w:r>
          </w:p>
        </w:tc>
      </w:tr>
      <w:tr w:rsidR="00754B2D" w:rsidRPr="00DC49F3" w14:paraId="11D88190" w14:textId="77777777" w:rsidTr="00165C14">
        <w:trPr>
          <w:trHeight w:val="283"/>
          <w:jc w:val="center"/>
        </w:trPr>
        <w:tc>
          <w:tcPr>
            <w:tcW w:w="846" w:type="dxa"/>
          </w:tcPr>
          <w:p w14:paraId="6D4E9D22" w14:textId="100D4F4D" w:rsidR="00754B2D" w:rsidRPr="00DC49F3" w:rsidRDefault="00754B2D" w:rsidP="00754B2D">
            <w:pPr>
              <w:spacing w:before="40" w:after="40"/>
              <w:ind w:left="-70" w:right="-71"/>
              <w:jc w:val="center"/>
              <w:rPr>
                <w:rFonts w:ascii="Arial" w:hAnsi="Arial" w:cs="Arial"/>
                <w:i/>
                <w:iCs/>
                <w:color w:val="000000"/>
                <w:sz w:val="20"/>
                <w:szCs w:val="20"/>
              </w:rPr>
            </w:pPr>
            <w:r w:rsidRPr="00DC49F3">
              <w:rPr>
                <w:rFonts w:ascii="Arial" w:hAnsi="Arial" w:cs="Arial"/>
                <w:i/>
                <w:iCs/>
                <w:sz w:val="20"/>
                <w:szCs w:val="20"/>
              </w:rPr>
              <w:t>109</w:t>
            </w:r>
          </w:p>
        </w:tc>
        <w:tc>
          <w:tcPr>
            <w:tcW w:w="2835" w:type="dxa"/>
            <w:shd w:val="clear" w:color="auto" w:fill="auto"/>
            <w:noWrap/>
          </w:tcPr>
          <w:p w14:paraId="7BEF175C" w14:textId="6B94F3E0" w:rsidR="00754B2D" w:rsidRPr="00DC49F3" w:rsidRDefault="00754B2D" w:rsidP="00754B2D">
            <w:pPr>
              <w:spacing w:before="40" w:after="40"/>
              <w:jc w:val="center"/>
              <w:rPr>
                <w:rFonts w:ascii="Arial" w:hAnsi="Arial" w:cs="Arial"/>
                <w:i/>
                <w:iCs/>
                <w:color w:val="000000"/>
                <w:sz w:val="20"/>
                <w:szCs w:val="20"/>
              </w:rPr>
            </w:pPr>
            <w:r w:rsidRPr="00DC49F3">
              <w:rPr>
                <w:rFonts w:ascii="Arial" w:hAnsi="Arial" w:cs="Arial"/>
                <w:i/>
                <w:iCs/>
                <w:sz w:val="20"/>
                <w:szCs w:val="20"/>
              </w:rPr>
              <w:t>TERMOCANDELARIA</w:t>
            </w:r>
          </w:p>
        </w:tc>
        <w:tc>
          <w:tcPr>
            <w:tcW w:w="992" w:type="dxa"/>
            <w:shd w:val="clear" w:color="auto" w:fill="auto"/>
            <w:noWrap/>
          </w:tcPr>
          <w:p w14:paraId="1E6027EC" w14:textId="2126F4EE" w:rsidR="00754B2D" w:rsidRPr="00DC49F3" w:rsidRDefault="00754B2D" w:rsidP="00754B2D">
            <w:pPr>
              <w:spacing w:before="40" w:after="40"/>
              <w:ind w:left="-66" w:right="-66"/>
              <w:jc w:val="center"/>
              <w:rPr>
                <w:rFonts w:ascii="Arial" w:hAnsi="Arial" w:cs="Arial"/>
                <w:i/>
                <w:iCs/>
                <w:color w:val="000000"/>
                <w:sz w:val="20"/>
                <w:szCs w:val="20"/>
              </w:rPr>
            </w:pPr>
            <w:r w:rsidRPr="00DC49F3">
              <w:rPr>
                <w:rFonts w:ascii="Arial" w:hAnsi="Arial" w:cs="Arial"/>
                <w:i/>
                <w:iCs/>
                <w:sz w:val="20"/>
                <w:szCs w:val="20"/>
              </w:rPr>
              <w:t>CP211</w:t>
            </w:r>
          </w:p>
        </w:tc>
        <w:tc>
          <w:tcPr>
            <w:tcW w:w="1276" w:type="dxa"/>
            <w:shd w:val="clear" w:color="auto" w:fill="auto"/>
            <w:noWrap/>
          </w:tcPr>
          <w:p w14:paraId="69E85A2E" w14:textId="7F69C46F" w:rsidR="00754B2D" w:rsidRPr="00DC49F3" w:rsidRDefault="00754B2D" w:rsidP="00754B2D">
            <w:pPr>
              <w:spacing w:before="40" w:after="40"/>
              <w:ind w:left="-64"/>
              <w:jc w:val="center"/>
              <w:rPr>
                <w:rFonts w:ascii="Arial" w:hAnsi="Arial" w:cs="Arial"/>
                <w:i/>
                <w:iCs/>
                <w:color w:val="000000"/>
                <w:sz w:val="20"/>
                <w:szCs w:val="20"/>
              </w:rPr>
            </w:pPr>
            <w:r w:rsidRPr="00DC49F3">
              <w:rPr>
                <w:rFonts w:ascii="Arial" w:hAnsi="Arial" w:cs="Arial"/>
                <w:i/>
                <w:iCs/>
                <w:sz w:val="20"/>
                <w:szCs w:val="20"/>
              </w:rPr>
              <w:t>0,64004</w:t>
            </w:r>
          </w:p>
        </w:tc>
      </w:tr>
      <w:tr w:rsidR="00754B2D" w:rsidRPr="00DC49F3" w14:paraId="54E7074D" w14:textId="77777777" w:rsidTr="00165C14">
        <w:trPr>
          <w:trHeight w:val="283"/>
          <w:jc w:val="center"/>
        </w:trPr>
        <w:tc>
          <w:tcPr>
            <w:tcW w:w="846" w:type="dxa"/>
          </w:tcPr>
          <w:p w14:paraId="39EF258A" w14:textId="35961777" w:rsidR="00754B2D" w:rsidRPr="00DC49F3" w:rsidRDefault="00754B2D" w:rsidP="00754B2D">
            <w:pPr>
              <w:spacing w:before="40" w:after="40"/>
              <w:ind w:left="-70" w:right="-71"/>
              <w:jc w:val="center"/>
              <w:rPr>
                <w:rFonts w:ascii="Arial" w:hAnsi="Arial" w:cs="Arial"/>
                <w:i/>
                <w:iCs/>
                <w:color w:val="000000"/>
                <w:sz w:val="20"/>
                <w:szCs w:val="20"/>
              </w:rPr>
            </w:pPr>
            <w:r w:rsidRPr="00DC49F3">
              <w:rPr>
                <w:rFonts w:ascii="Arial" w:hAnsi="Arial" w:cs="Arial"/>
                <w:i/>
                <w:iCs/>
                <w:sz w:val="20"/>
                <w:szCs w:val="20"/>
              </w:rPr>
              <w:t>110</w:t>
            </w:r>
          </w:p>
        </w:tc>
        <w:tc>
          <w:tcPr>
            <w:tcW w:w="2835" w:type="dxa"/>
            <w:shd w:val="clear" w:color="auto" w:fill="auto"/>
            <w:noWrap/>
          </w:tcPr>
          <w:p w14:paraId="267FE9C3" w14:textId="0C449A43" w:rsidR="00754B2D" w:rsidRPr="00DC49F3" w:rsidRDefault="00754B2D" w:rsidP="00754B2D">
            <w:pPr>
              <w:spacing w:before="40" w:after="40"/>
              <w:jc w:val="center"/>
              <w:rPr>
                <w:rFonts w:ascii="Arial" w:hAnsi="Arial" w:cs="Arial"/>
                <w:i/>
                <w:iCs/>
                <w:sz w:val="20"/>
                <w:szCs w:val="20"/>
              </w:rPr>
            </w:pPr>
            <w:r w:rsidRPr="00DC49F3">
              <w:rPr>
                <w:rFonts w:ascii="Arial" w:hAnsi="Arial" w:cs="Arial"/>
                <w:i/>
                <w:iCs/>
                <w:sz w:val="20"/>
                <w:szCs w:val="20"/>
              </w:rPr>
              <w:t>TERMOCANDELARIA</w:t>
            </w:r>
          </w:p>
        </w:tc>
        <w:tc>
          <w:tcPr>
            <w:tcW w:w="992" w:type="dxa"/>
            <w:shd w:val="clear" w:color="auto" w:fill="auto"/>
            <w:noWrap/>
          </w:tcPr>
          <w:p w14:paraId="1437B463" w14:textId="7DF7EE85" w:rsidR="00754B2D" w:rsidRPr="00DC49F3" w:rsidRDefault="00754B2D" w:rsidP="00754B2D">
            <w:pPr>
              <w:spacing w:before="40" w:after="40"/>
              <w:ind w:left="-66" w:right="-66"/>
              <w:jc w:val="center"/>
              <w:rPr>
                <w:rFonts w:ascii="Arial" w:hAnsi="Arial" w:cs="Arial"/>
                <w:i/>
                <w:iCs/>
                <w:color w:val="000000"/>
                <w:sz w:val="20"/>
                <w:szCs w:val="20"/>
              </w:rPr>
            </w:pPr>
            <w:r w:rsidRPr="00DC49F3">
              <w:rPr>
                <w:rFonts w:ascii="Arial" w:hAnsi="Arial" w:cs="Arial"/>
                <w:i/>
                <w:iCs/>
                <w:sz w:val="20"/>
                <w:szCs w:val="20"/>
              </w:rPr>
              <w:t>CP211</w:t>
            </w:r>
          </w:p>
        </w:tc>
        <w:tc>
          <w:tcPr>
            <w:tcW w:w="1276" w:type="dxa"/>
            <w:shd w:val="clear" w:color="auto" w:fill="auto"/>
            <w:noWrap/>
          </w:tcPr>
          <w:p w14:paraId="380FE593" w14:textId="5CFEFD2B" w:rsidR="00754B2D" w:rsidRPr="00DC49F3" w:rsidRDefault="00754B2D" w:rsidP="00754B2D">
            <w:pPr>
              <w:spacing w:before="40" w:after="40"/>
              <w:ind w:left="-64"/>
              <w:jc w:val="center"/>
              <w:rPr>
                <w:rFonts w:ascii="Arial" w:hAnsi="Arial" w:cs="Arial"/>
                <w:i/>
                <w:iCs/>
                <w:color w:val="000000"/>
                <w:sz w:val="20"/>
                <w:szCs w:val="20"/>
              </w:rPr>
            </w:pPr>
            <w:r w:rsidRPr="00DC49F3">
              <w:rPr>
                <w:rFonts w:ascii="Arial" w:hAnsi="Arial" w:cs="Arial"/>
                <w:i/>
                <w:iCs/>
                <w:sz w:val="20"/>
                <w:szCs w:val="20"/>
              </w:rPr>
              <w:t>0,64004</w:t>
            </w:r>
          </w:p>
        </w:tc>
      </w:tr>
      <w:tr w:rsidR="00754B2D" w:rsidRPr="00DC49F3" w14:paraId="027F3811" w14:textId="77777777" w:rsidTr="00165C14">
        <w:trPr>
          <w:trHeight w:val="283"/>
          <w:jc w:val="center"/>
        </w:trPr>
        <w:tc>
          <w:tcPr>
            <w:tcW w:w="846" w:type="dxa"/>
          </w:tcPr>
          <w:p w14:paraId="3E0FF914" w14:textId="59C9DBCD" w:rsidR="00754B2D" w:rsidRPr="00DC49F3" w:rsidRDefault="00754B2D" w:rsidP="00754B2D">
            <w:pPr>
              <w:spacing w:before="40" w:after="40"/>
              <w:ind w:left="-70" w:right="-71"/>
              <w:jc w:val="center"/>
              <w:rPr>
                <w:rFonts w:ascii="Arial" w:hAnsi="Arial" w:cs="Arial"/>
                <w:i/>
                <w:iCs/>
                <w:color w:val="000000"/>
                <w:sz w:val="20"/>
                <w:szCs w:val="20"/>
              </w:rPr>
            </w:pPr>
            <w:r w:rsidRPr="00DC49F3">
              <w:rPr>
                <w:rFonts w:ascii="Arial" w:hAnsi="Arial" w:cs="Arial"/>
                <w:i/>
                <w:iCs/>
                <w:sz w:val="20"/>
                <w:szCs w:val="20"/>
              </w:rPr>
              <w:t>111</w:t>
            </w:r>
          </w:p>
        </w:tc>
        <w:tc>
          <w:tcPr>
            <w:tcW w:w="2835" w:type="dxa"/>
            <w:shd w:val="clear" w:color="auto" w:fill="auto"/>
            <w:noWrap/>
          </w:tcPr>
          <w:p w14:paraId="05D34185" w14:textId="5DA221C6" w:rsidR="00754B2D" w:rsidRPr="00DC49F3" w:rsidRDefault="00754B2D" w:rsidP="00754B2D">
            <w:pPr>
              <w:spacing w:before="40" w:after="40"/>
              <w:jc w:val="center"/>
              <w:rPr>
                <w:rFonts w:ascii="Arial" w:hAnsi="Arial" w:cs="Arial"/>
                <w:i/>
                <w:iCs/>
                <w:sz w:val="20"/>
                <w:szCs w:val="20"/>
              </w:rPr>
            </w:pPr>
            <w:r w:rsidRPr="00DC49F3">
              <w:rPr>
                <w:rFonts w:ascii="Arial" w:hAnsi="Arial" w:cs="Arial"/>
                <w:i/>
                <w:iCs/>
                <w:sz w:val="20"/>
                <w:szCs w:val="20"/>
              </w:rPr>
              <w:t>TERMOCANDELARIA</w:t>
            </w:r>
          </w:p>
        </w:tc>
        <w:tc>
          <w:tcPr>
            <w:tcW w:w="992" w:type="dxa"/>
            <w:shd w:val="clear" w:color="auto" w:fill="auto"/>
            <w:noWrap/>
          </w:tcPr>
          <w:p w14:paraId="14854936" w14:textId="232281C7" w:rsidR="00754B2D" w:rsidRPr="00DC49F3" w:rsidRDefault="00754B2D" w:rsidP="00754B2D">
            <w:pPr>
              <w:spacing w:before="40" w:after="40"/>
              <w:ind w:left="-66" w:right="-66"/>
              <w:jc w:val="center"/>
              <w:rPr>
                <w:rFonts w:ascii="Arial" w:hAnsi="Arial" w:cs="Arial"/>
                <w:i/>
                <w:iCs/>
                <w:color w:val="000000"/>
                <w:sz w:val="20"/>
                <w:szCs w:val="20"/>
              </w:rPr>
            </w:pPr>
            <w:r w:rsidRPr="00DC49F3">
              <w:rPr>
                <w:rFonts w:ascii="Arial" w:hAnsi="Arial" w:cs="Arial"/>
                <w:i/>
                <w:iCs/>
                <w:sz w:val="20"/>
                <w:szCs w:val="20"/>
              </w:rPr>
              <w:t>CP211</w:t>
            </w:r>
          </w:p>
        </w:tc>
        <w:tc>
          <w:tcPr>
            <w:tcW w:w="1276" w:type="dxa"/>
            <w:shd w:val="clear" w:color="auto" w:fill="auto"/>
            <w:noWrap/>
          </w:tcPr>
          <w:p w14:paraId="58565171" w14:textId="1AEDABDE" w:rsidR="00754B2D" w:rsidRPr="00DC49F3" w:rsidRDefault="00754B2D" w:rsidP="00754B2D">
            <w:pPr>
              <w:spacing w:before="40" w:after="40"/>
              <w:ind w:left="-64"/>
              <w:jc w:val="center"/>
              <w:rPr>
                <w:rFonts w:ascii="Arial" w:hAnsi="Arial" w:cs="Arial"/>
                <w:i/>
                <w:iCs/>
                <w:color w:val="000000"/>
                <w:sz w:val="20"/>
                <w:szCs w:val="20"/>
              </w:rPr>
            </w:pPr>
            <w:r w:rsidRPr="00DC49F3">
              <w:rPr>
                <w:rFonts w:ascii="Arial" w:hAnsi="Arial" w:cs="Arial"/>
                <w:i/>
                <w:iCs/>
                <w:sz w:val="20"/>
                <w:szCs w:val="20"/>
              </w:rPr>
              <w:t>0,64004</w:t>
            </w:r>
          </w:p>
        </w:tc>
      </w:tr>
      <w:tr w:rsidR="00754B2D" w:rsidRPr="00DC49F3" w14:paraId="0FB2D9CE" w14:textId="77777777" w:rsidTr="00165C14">
        <w:trPr>
          <w:trHeight w:val="283"/>
          <w:jc w:val="center"/>
        </w:trPr>
        <w:tc>
          <w:tcPr>
            <w:tcW w:w="846" w:type="dxa"/>
          </w:tcPr>
          <w:p w14:paraId="659699BF" w14:textId="7E1E7BEA" w:rsidR="00754B2D" w:rsidRPr="00DC49F3" w:rsidRDefault="00754B2D" w:rsidP="00754B2D">
            <w:pPr>
              <w:spacing w:before="40" w:after="40"/>
              <w:ind w:left="-70" w:right="-71"/>
              <w:jc w:val="center"/>
              <w:rPr>
                <w:rFonts w:ascii="Arial" w:hAnsi="Arial" w:cs="Arial"/>
                <w:i/>
                <w:iCs/>
                <w:color w:val="000000"/>
                <w:sz w:val="20"/>
                <w:szCs w:val="20"/>
              </w:rPr>
            </w:pPr>
            <w:r w:rsidRPr="00DC49F3">
              <w:rPr>
                <w:rFonts w:ascii="Arial" w:hAnsi="Arial" w:cs="Arial"/>
                <w:i/>
                <w:iCs/>
                <w:sz w:val="20"/>
                <w:szCs w:val="20"/>
              </w:rPr>
              <w:t>112</w:t>
            </w:r>
          </w:p>
        </w:tc>
        <w:tc>
          <w:tcPr>
            <w:tcW w:w="2835" w:type="dxa"/>
            <w:shd w:val="clear" w:color="auto" w:fill="auto"/>
            <w:noWrap/>
          </w:tcPr>
          <w:p w14:paraId="5D952FB8" w14:textId="69C8E99F" w:rsidR="00754B2D" w:rsidRPr="00DC49F3" w:rsidRDefault="00754B2D" w:rsidP="00754B2D">
            <w:pPr>
              <w:spacing w:before="40" w:after="40"/>
              <w:jc w:val="center"/>
              <w:rPr>
                <w:rFonts w:ascii="Arial" w:hAnsi="Arial" w:cs="Arial"/>
                <w:i/>
                <w:iCs/>
                <w:sz w:val="20"/>
                <w:szCs w:val="20"/>
              </w:rPr>
            </w:pPr>
            <w:r w:rsidRPr="00DC49F3">
              <w:rPr>
                <w:rFonts w:ascii="Arial" w:hAnsi="Arial" w:cs="Arial"/>
                <w:i/>
                <w:iCs/>
                <w:sz w:val="20"/>
                <w:szCs w:val="20"/>
              </w:rPr>
              <w:t>TERMOCANDELARIA</w:t>
            </w:r>
          </w:p>
        </w:tc>
        <w:tc>
          <w:tcPr>
            <w:tcW w:w="992" w:type="dxa"/>
            <w:shd w:val="clear" w:color="auto" w:fill="auto"/>
            <w:noWrap/>
          </w:tcPr>
          <w:p w14:paraId="3F5495F0" w14:textId="2521D603" w:rsidR="00754B2D" w:rsidRPr="00DC49F3" w:rsidRDefault="00754B2D" w:rsidP="00754B2D">
            <w:pPr>
              <w:spacing w:before="40" w:after="40"/>
              <w:ind w:left="-66" w:right="-66"/>
              <w:jc w:val="center"/>
              <w:rPr>
                <w:rFonts w:ascii="Arial" w:hAnsi="Arial" w:cs="Arial"/>
                <w:i/>
                <w:iCs/>
                <w:color w:val="000000"/>
                <w:sz w:val="20"/>
                <w:szCs w:val="20"/>
              </w:rPr>
            </w:pPr>
            <w:r w:rsidRPr="00DC49F3">
              <w:rPr>
                <w:rFonts w:ascii="Arial" w:hAnsi="Arial" w:cs="Arial"/>
                <w:i/>
                <w:iCs/>
                <w:sz w:val="20"/>
                <w:szCs w:val="20"/>
              </w:rPr>
              <w:t>CP211</w:t>
            </w:r>
          </w:p>
        </w:tc>
        <w:tc>
          <w:tcPr>
            <w:tcW w:w="1276" w:type="dxa"/>
            <w:shd w:val="clear" w:color="auto" w:fill="auto"/>
            <w:noWrap/>
          </w:tcPr>
          <w:p w14:paraId="2B08E7D6" w14:textId="333E30C2" w:rsidR="00754B2D" w:rsidRPr="00DC49F3" w:rsidRDefault="00754B2D" w:rsidP="00754B2D">
            <w:pPr>
              <w:spacing w:before="40" w:after="40"/>
              <w:ind w:left="-64"/>
              <w:jc w:val="center"/>
              <w:rPr>
                <w:rFonts w:ascii="Arial" w:hAnsi="Arial" w:cs="Arial"/>
                <w:i/>
                <w:iCs/>
                <w:color w:val="000000"/>
                <w:sz w:val="20"/>
                <w:szCs w:val="20"/>
              </w:rPr>
            </w:pPr>
            <w:r w:rsidRPr="00DC49F3">
              <w:rPr>
                <w:rFonts w:ascii="Arial" w:hAnsi="Arial" w:cs="Arial"/>
                <w:i/>
                <w:iCs/>
                <w:sz w:val="20"/>
                <w:szCs w:val="20"/>
              </w:rPr>
              <w:t>0,64004</w:t>
            </w:r>
          </w:p>
        </w:tc>
      </w:tr>
    </w:tbl>
    <w:p w14:paraId="1AE29668" w14:textId="506F1B85" w:rsidR="003A0B61" w:rsidRPr="00DC49F3" w:rsidRDefault="003A0B61" w:rsidP="003A0B61">
      <w:pPr>
        <w:pStyle w:val="Prrafodelista"/>
        <w:numPr>
          <w:ilvl w:val="0"/>
          <w:numId w:val="34"/>
        </w:numPr>
        <w:spacing w:after="0"/>
        <w:rPr>
          <w:rFonts w:ascii="Arial" w:hAnsi="Arial" w:cs="Arial"/>
        </w:rPr>
      </w:pPr>
      <w:r w:rsidRPr="00DC49F3">
        <w:rPr>
          <w:rFonts w:ascii="Arial" w:hAnsi="Arial" w:cs="Arial"/>
        </w:rPr>
        <w:t xml:space="preserve">Modificar el artículo 1 de la Resolución CREG </w:t>
      </w:r>
      <w:r w:rsidR="005200A6" w:rsidRPr="00DC49F3">
        <w:rPr>
          <w:rFonts w:ascii="Arial" w:hAnsi="Arial" w:cs="Arial"/>
        </w:rPr>
        <w:t>110 de 2010</w:t>
      </w:r>
      <w:r w:rsidRPr="00DC49F3">
        <w:rPr>
          <w:rFonts w:ascii="Arial" w:hAnsi="Arial" w:cs="Arial"/>
        </w:rPr>
        <w:t>, el cual quedará así:</w:t>
      </w:r>
    </w:p>
    <w:p w14:paraId="01B0D02D" w14:textId="1DF68A88" w:rsidR="003A0B61" w:rsidRPr="00DC49F3" w:rsidRDefault="003A0B61" w:rsidP="005F3543">
      <w:pPr>
        <w:spacing w:before="240" w:after="0"/>
        <w:ind w:left="426"/>
        <w:rPr>
          <w:rFonts w:ascii="Arial" w:hAnsi="Arial" w:cs="Arial"/>
          <w:i/>
        </w:rPr>
      </w:pPr>
      <w:r w:rsidRPr="00DC49F3">
        <w:rPr>
          <w:rFonts w:ascii="Arial" w:hAnsi="Arial" w:cs="Arial"/>
          <w:b/>
          <w:i/>
          <w:spacing w:val="-3"/>
        </w:rPr>
        <w:t>Artículo 1.</w:t>
      </w:r>
      <w:r w:rsidRPr="00DC49F3">
        <w:rPr>
          <w:rFonts w:ascii="Arial" w:hAnsi="Arial" w:cs="Arial"/>
          <w:b/>
          <w:i/>
          <w:spacing w:val="-3"/>
        </w:rPr>
        <w:tab/>
      </w:r>
      <w:r w:rsidRPr="00DC49F3">
        <w:rPr>
          <w:rFonts w:ascii="Arial" w:hAnsi="Arial" w:cs="Arial"/>
          <w:b/>
          <w:i/>
        </w:rPr>
        <w:t xml:space="preserve">Ingreso Anual. </w:t>
      </w:r>
      <w:r w:rsidRPr="00DC49F3">
        <w:rPr>
          <w:rFonts w:ascii="Arial" w:hAnsi="Arial" w:cs="Arial"/>
          <w:i/>
        </w:rPr>
        <w:t>El Ingreso Anual (</w:t>
      </w:r>
      <w:proofErr w:type="spellStart"/>
      <w:r w:rsidRPr="00DC49F3">
        <w:rPr>
          <w:rFonts w:ascii="Arial" w:hAnsi="Arial" w:cs="Arial"/>
          <w:i/>
        </w:rPr>
        <w:t>IAT</w:t>
      </w:r>
      <w:r w:rsidRPr="00DC49F3">
        <w:rPr>
          <w:rFonts w:ascii="Arial" w:hAnsi="Arial" w:cs="Arial"/>
          <w:i/>
          <w:vertAlign w:val="subscript"/>
        </w:rPr>
        <w:t>j</w:t>
      </w:r>
      <w:proofErr w:type="spellEnd"/>
      <w:r w:rsidRPr="00DC49F3">
        <w:rPr>
          <w:rFonts w:ascii="Arial" w:hAnsi="Arial" w:cs="Arial"/>
          <w:i/>
        </w:rPr>
        <w:t>) por los activos representados por Grupo Energía Bogotá S.A. E.S.P. en el Sistema de Transmisión Nacional, calculado en la forma establecida en la Resolución CREG 011 de 2009, es el siguiente:</w:t>
      </w:r>
    </w:p>
    <w:p w14:paraId="61AF2272" w14:textId="497F3E0E" w:rsidR="00250A0F" w:rsidRPr="00DC49F3" w:rsidRDefault="00754B2D" w:rsidP="003A0B61">
      <w:pPr>
        <w:spacing w:before="240" w:after="0"/>
        <w:jc w:val="center"/>
        <w:rPr>
          <w:rFonts w:ascii="Arial" w:hAnsi="Arial" w:cs="Arial"/>
          <w:i/>
          <w:sz w:val="36"/>
        </w:rPr>
      </w:pPr>
      <w:r w:rsidRPr="00DC49F3">
        <w:rPr>
          <w:rFonts w:ascii="Arial" w:hAnsi="Arial" w:cs="Arial"/>
          <w:noProof/>
        </w:rPr>
        <w:drawing>
          <wp:inline distT="0" distB="0" distL="0" distR="0" wp14:anchorId="6BB36AA8" wp14:editId="7C4C680F">
            <wp:extent cx="3867150" cy="5651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565150"/>
                    </a:xfrm>
                    <a:prstGeom prst="rect">
                      <a:avLst/>
                    </a:prstGeom>
                    <a:noFill/>
                    <a:ln>
                      <a:noFill/>
                    </a:ln>
                  </pic:spPr>
                </pic:pic>
              </a:graphicData>
            </a:graphic>
          </wp:inline>
        </w:drawing>
      </w:r>
    </w:p>
    <w:p w14:paraId="562C0F18" w14:textId="6FB2AD7B" w:rsidR="003A0B61" w:rsidRPr="00DC49F3" w:rsidRDefault="003A0B61" w:rsidP="003A0B61">
      <w:pPr>
        <w:pStyle w:val="Prrafodelista"/>
        <w:numPr>
          <w:ilvl w:val="0"/>
          <w:numId w:val="34"/>
        </w:numPr>
        <w:spacing w:after="0"/>
        <w:rPr>
          <w:rFonts w:ascii="Arial" w:hAnsi="Arial" w:cs="Arial"/>
        </w:rPr>
      </w:pPr>
      <w:r w:rsidRPr="00DC49F3">
        <w:rPr>
          <w:rFonts w:ascii="Arial" w:hAnsi="Arial" w:cs="Arial"/>
          <w:lang w:val="es-ES"/>
        </w:rPr>
        <w:t xml:space="preserve">Modificar el artículo 4 de la Resolución CREG </w:t>
      </w:r>
      <w:r w:rsidR="005200A6" w:rsidRPr="00DC49F3">
        <w:rPr>
          <w:rFonts w:ascii="Arial" w:hAnsi="Arial" w:cs="Arial"/>
          <w:lang w:val="es-ES"/>
        </w:rPr>
        <w:t>110 de 2010</w:t>
      </w:r>
      <w:r w:rsidRPr="00DC49F3">
        <w:rPr>
          <w:rFonts w:ascii="Arial" w:hAnsi="Arial" w:cs="Arial"/>
          <w:lang w:val="es-ES"/>
        </w:rPr>
        <w:t>, el cual quedará así:</w:t>
      </w:r>
    </w:p>
    <w:p w14:paraId="4575654C" w14:textId="63BB5E70" w:rsidR="003A0B61" w:rsidRPr="00DC49F3" w:rsidRDefault="003A0B61" w:rsidP="005F3543">
      <w:pPr>
        <w:spacing w:before="240" w:after="0"/>
        <w:ind w:left="426"/>
        <w:rPr>
          <w:rFonts w:ascii="Arial" w:hAnsi="Arial" w:cs="Arial"/>
          <w:i/>
        </w:rPr>
      </w:pPr>
      <w:r w:rsidRPr="00DC49F3">
        <w:rPr>
          <w:rFonts w:ascii="Arial" w:hAnsi="Arial" w:cs="Arial"/>
          <w:b/>
          <w:i/>
        </w:rPr>
        <w:t>Artículo 4. Costo de Reposición de los Activos Eléctricos.</w:t>
      </w:r>
      <w:r w:rsidRPr="00DC49F3">
        <w:rPr>
          <w:rFonts w:ascii="Arial" w:hAnsi="Arial" w:cs="Arial"/>
          <w:i/>
        </w:rPr>
        <w:t xml:space="preserve"> El costo de reposición de los activos eléctricos (</w:t>
      </w:r>
      <w:proofErr w:type="spellStart"/>
      <w:r w:rsidRPr="00DC49F3">
        <w:rPr>
          <w:rFonts w:ascii="Arial" w:hAnsi="Arial" w:cs="Arial"/>
          <w:i/>
        </w:rPr>
        <w:t>CRE</w:t>
      </w:r>
      <w:r w:rsidRPr="00DC49F3">
        <w:rPr>
          <w:rFonts w:ascii="Arial" w:hAnsi="Arial" w:cs="Arial"/>
          <w:i/>
          <w:vertAlign w:val="subscript"/>
        </w:rPr>
        <w:t>j</w:t>
      </w:r>
      <w:proofErr w:type="spellEnd"/>
      <w:r w:rsidRPr="00DC49F3">
        <w:rPr>
          <w:rFonts w:ascii="Arial" w:hAnsi="Arial" w:cs="Arial"/>
          <w:i/>
        </w:rPr>
        <w:t>) remunerados mediante cargos por uso a Grupo Energía Bogotá S.A. E.S.P., calculado con la base de activos a la que hace referencia el artículo 3 de la presente Resolución y de acuerdo con lo señalado en la Resolución CREG 011 de 2009 es:</w:t>
      </w:r>
    </w:p>
    <w:p w14:paraId="06D49C73" w14:textId="296CD2DC" w:rsidR="00C0096D" w:rsidRPr="00DC49F3" w:rsidRDefault="00754B2D" w:rsidP="003A0B61">
      <w:pPr>
        <w:spacing w:before="240" w:after="0"/>
        <w:jc w:val="center"/>
        <w:rPr>
          <w:rFonts w:ascii="Arial" w:hAnsi="Arial" w:cs="Arial"/>
        </w:rPr>
      </w:pPr>
      <w:r w:rsidRPr="00DC49F3">
        <w:rPr>
          <w:rFonts w:ascii="Arial" w:hAnsi="Arial" w:cs="Arial"/>
          <w:noProof/>
        </w:rPr>
        <w:lastRenderedPageBreak/>
        <w:drawing>
          <wp:inline distT="0" distB="0" distL="0" distR="0" wp14:anchorId="0A0DE7B4" wp14:editId="50C01356">
            <wp:extent cx="4895850" cy="62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628650"/>
                    </a:xfrm>
                    <a:prstGeom prst="rect">
                      <a:avLst/>
                    </a:prstGeom>
                    <a:noFill/>
                    <a:ln>
                      <a:noFill/>
                    </a:ln>
                  </pic:spPr>
                </pic:pic>
              </a:graphicData>
            </a:graphic>
          </wp:inline>
        </w:drawing>
      </w:r>
    </w:p>
    <w:p w14:paraId="6E845C40" w14:textId="77777777" w:rsidR="003A0B61" w:rsidRPr="00DC49F3" w:rsidRDefault="003A0B61" w:rsidP="005F3543">
      <w:pPr>
        <w:spacing w:before="240" w:after="0"/>
        <w:ind w:left="426"/>
        <w:rPr>
          <w:rFonts w:ascii="Arial" w:hAnsi="Arial" w:cs="Arial"/>
          <w:i/>
        </w:rPr>
      </w:pPr>
      <w:bookmarkStart w:id="0" w:name="_Ref188082874"/>
      <w:r w:rsidRPr="00DC49F3">
        <w:rPr>
          <w:rFonts w:ascii="Arial" w:hAnsi="Arial" w:cs="Arial"/>
          <w:i/>
        </w:rPr>
        <w:t>La base de activos y los valores aquí aprobados resultan de las variables y de la información que se identifican en la parte motiva de este acto y de las contenidas en el documento soporte.</w:t>
      </w:r>
      <w:bookmarkEnd w:id="0"/>
      <w:r w:rsidRPr="00DC49F3">
        <w:rPr>
          <w:rFonts w:ascii="Arial" w:hAnsi="Arial" w:cs="Arial"/>
          <w:i/>
        </w:rPr>
        <w:t>”</w:t>
      </w:r>
    </w:p>
    <w:p w14:paraId="66D3EE52" w14:textId="2C68316D" w:rsidR="003A0B61" w:rsidRPr="0009212D" w:rsidRDefault="003A0B61" w:rsidP="0009212D">
      <w:pPr>
        <w:pStyle w:val="Artculo"/>
      </w:pPr>
      <w:r w:rsidRPr="0009212D">
        <w:t>La presente Resolución deberá notificarse a</w:t>
      </w:r>
      <w:r w:rsidR="00050D9F" w:rsidRPr="0009212D">
        <w:t>l</w:t>
      </w:r>
      <w:r w:rsidRPr="0009212D">
        <w:t xml:space="preserve"> </w:t>
      </w:r>
      <w:r w:rsidR="00F5517B">
        <w:t xml:space="preserve">representante legal del </w:t>
      </w:r>
      <w:r w:rsidRPr="0009212D">
        <w:t xml:space="preserve">Grupo Energía Bogotá S.A. E.S.P. y publicarse en el </w:t>
      </w:r>
      <w:r w:rsidRPr="005F3543">
        <w:rPr>
          <w:i/>
          <w:iCs/>
        </w:rPr>
        <w:t>Diario Oficial</w:t>
      </w:r>
      <w:r w:rsidRPr="0009212D">
        <w:t>. Contra lo dispuesto en este acto procede el recurso de reposición, el cual se podrá interponer ante la Dirección Ejecutiva de la CREG dentro de los cinco (5) días hábiles siguientes a la fecha de su notificación.</w:t>
      </w:r>
    </w:p>
    <w:p w14:paraId="76D621A7" w14:textId="77777777" w:rsidR="003A0B61" w:rsidRPr="00DC49F3" w:rsidRDefault="003A0B61" w:rsidP="002634EE">
      <w:pPr>
        <w:spacing w:before="360" w:after="0"/>
        <w:jc w:val="center"/>
        <w:rPr>
          <w:rFonts w:ascii="Arial" w:hAnsi="Arial" w:cs="Arial"/>
          <w:b/>
          <w:bCs/>
          <w:spacing w:val="-3"/>
        </w:rPr>
      </w:pPr>
      <w:r w:rsidRPr="00DC49F3">
        <w:rPr>
          <w:rFonts w:ascii="Arial" w:hAnsi="Arial" w:cs="Arial"/>
          <w:b/>
          <w:bCs/>
        </w:rPr>
        <w:t>NOTIFÍQUESE, PUBLÍQUESE Y CÚMPLASE</w:t>
      </w:r>
    </w:p>
    <w:p w14:paraId="55025B05" w14:textId="4C345F0A" w:rsidR="003A0B61" w:rsidRPr="00DC49F3" w:rsidRDefault="003A0B61" w:rsidP="00F05E07">
      <w:pPr>
        <w:spacing w:before="360" w:after="0"/>
        <w:rPr>
          <w:rFonts w:ascii="Arial" w:hAnsi="Arial" w:cs="Arial"/>
          <w:spacing w:val="-3"/>
        </w:rPr>
      </w:pPr>
      <w:r w:rsidRPr="00DC49F3">
        <w:rPr>
          <w:rFonts w:ascii="Arial" w:hAnsi="Arial" w:cs="Arial"/>
          <w:spacing w:val="-3"/>
        </w:rPr>
        <w:t xml:space="preserve">Dada en Bogotá, D.C. a </w:t>
      </w:r>
      <w:r w:rsidR="00516E6B">
        <w:rPr>
          <w:rFonts w:ascii="Arial" w:hAnsi="Arial" w:cs="Arial"/>
          <w:spacing w:val="-3"/>
        </w:rPr>
        <w:t>los 11 días de</w:t>
      </w:r>
      <w:r w:rsidR="004A15FF">
        <w:rPr>
          <w:rFonts w:ascii="Arial" w:hAnsi="Arial" w:cs="Arial"/>
          <w:spacing w:val="-3"/>
        </w:rPr>
        <w:t xml:space="preserve">l mes </w:t>
      </w:r>
      <w:proofErr w:type="gramStart"/>
      <w:r w:rsidR="004A15FF">
        <w:rPr>
          <w:rFonts w:ascii="Arial" w:hAnsi="Arial" w:cs="Arial"/>
          <w:spacing w:val="-3"/>
        </w:rPr>
        <w:t>de  noviembre</w:t>
      </w:r>
      <w:proofErr w:type="gramEnd"/>
      <w:r w:rsidR="004A15FF">
        <w:rPr>
          <w:rFonts w:ascii="Arial" w:hAnsi="Arial" w:cs="Arial"/>
          <w:spacing w:val="-3"/>
        </w:rPr>
        <w:t xml:space="preserve"> de 2022</w:t>
      </w:r>
    </w:p>
    <w:p w14:paraId="1315BF01" w14:textId="1D1A7DA0" w:rsidR="003343FE" w:rsidRPr="00DC49F3" w:rsidRDefault="003343FE" w:rsidP="003A0B61">
      <w:pPr>
        <w:spacing w:before="240" w:after="0"/>
        <w:rPr>
          <w:rFonts w:ascii="Arial" w:hAnsi="Arial" w:cs="Arial"/>
        </w:rPr>
      </w:pPr>
    </w:p>
    <w:p w14:paraId="444D55B7" w14:textId="77777777" w:rsidR="00950BFC" w:rsidRPr="00DC49F3" w:rsidRDefault="00950BFC" w:rsidP="003A0B61">
      <w:pPr>
        <w:spacing w:before="240" w:after="0"/>
        <w:rPr>
          <w:rFonts w:ascii="Arial" w:hAnsi="Arial" w:cs="Arial"/>
        </w:rPr>
      </w:pPr>
    </w:p>
    <w:tbl>
      <w:tblPr>
        <w:tblW w:w="9639" w:type="dxa"/>
        <w:jc w:val="center"/>
        <w:tblCellSpacing w:w="0" w:type="dxa"/>
        <w:tblCellMar>
          <w:left w:w="0" w:type="dxa"/>
          <w:right w:w="0" w:type="dxa"/>
        </w:tblCellMar>
        <w:tblLook w:val="04A0" w:firstRow="1" w:lastRow="0" w:firstColumn="1" w:lastColumn="0" w:noHBand="0" w:noVBand="1"/>
      </w:tblPr>
      <w:tblGrid>
        <w:gridCol w:w="4962"/>
        <w:gridCol w:w="4677"/>
      </w:tblGrid>
      <w:tr w:rsidR="005F3543" w:rsidRPr="00DC49F3" w14:paraId="0364671F" w14:textId="77777777" w:rsidTr="0086711E">
        <w:trPr>
          <w:tblCellSpacing w:w="0" w:type="dxa"/>
          <w:jc w:val="center"/>
        </w:trPr>
        <w:tc>
          <w:tcPr>
            <w:tcW w:w="4962" w:type="dxa"/>
          </w:tcPr>
          <w:p w14:paraId="65DE2AD7" w14:textId="4510077B" w:rsidR="005F3543" w:rsidRPr="00DC49F3" w:rsidRDefault="005F3543" w:rsidP="005F3543">
            <w:pPr>
              <w:spacing w:before="0" w:after="0"/>
              <w:ind w:left="66"/>
              <w:jc w:val="center"/>
              <w:rPr>
                <w:rFonts w:ascii="Arial" w:hAnsi="Arial" w:cs="Arial"/>
                <w:b/>
              </w:rPr>
            </w:pPr>
            <w:r w:rsidRPr="00DC49F3">
              <w:rPr>
                <w:rFonts w:ascii="Arial" w:hAnsi="Arial" w:cs="Arial"/>
                <w:b/>
              </w:rPr>
              <w:t xml:space="preserve">BELIZZA JANET RUIZ MENDOZA </w:t>
            </w:r>
          </w:p>
        </w:tc>
        <w:tc>
          <w:tcPr>
            <w:tcW w:w="4677" w:type="dxa"/>
          </w:tcPr>
          <w:p w14:paraId="171E6063" w14:textId="3EEE89BD" w:rsidR="005F3543" w:rsidRPr="00DC49F3" w:rsidRDefault="005F3543" w:rsidP="005F3543">
            <w:pPr>
              <w:spacing w:before="0" w:after="0"/>
              <w:ind w:left="69"/>
              <w:jc w:val="center"/>
              <w:rPr>
                <w:rFonts w:ascii="Arial" w:hAnsi="Arial" w:cs="Arial"/>
                <w:b/>
              </w:rPr>
            </w:pPr>
            <w:r>
              <w:rPr>
                <w:rFonts w:cs="Arial"/>
                <w:b/>
              </w:rPr>
              <w:t>JORGE ALBERTO VALENCIA MARÍN</w:t>
            </w:r>
          </w:p>
        </w:tc>
      </w:tr>
      <w:tr w:rsidR="005F3543" w:rsidRPr="00DC49F3" w14:paraId="2768DC86" w14:textId="77777777" w:rsidTr="005F3543">
        <w:trPr>
          <w:tblCellSpacing w:w="0" w:type="dxa"/>
          <w:jc w:val="center"/>
        </w:trPr>
        <w:tc>
          <w:tcPr>
            <w:tcW w:w="4962" w:type="dxa"/>
            <w:hideMark/>
          </w:tcPr>
          <w:p w14:paraId="3DD4C9BB" w14:textId="7F0CF256" w:rsidR="005F3543" w:rsidRPr="00DC49F3" w:rsidRDefault="005F3543" w:rsidP="005F3543">
            <w:pPr>
              <w:spacing w:before="0" w:after="0"/>
              <w:ind w:left="66"/>
              <w:jc w:val="center"/>
              <w:rPr>
                <w:rFonts w:ascii="Arial" w:eastAsia="Arial Unicode MS" w:hAnsi="Arial" w:cs="Arial"/>
                <w:color w:val="000000"/>
              </w:rPr>
            </w:pPr>
            <w:r w:rsidRPr="00DC49F3">
              <w:rPr>
                <w:rFonts w:ascii="Arial" w:hAnsi="Arial" w:cs="Arial"/>
              </w:rPr>
              <w:t xml:space="preserve">Viceministra de Energía, delegada de la </w:t>
            </w:r>
            <w:proofErr w:type="gramStart"/>
            <w:r w:rsidRPr="00DC49F3">
              <w:rPr>
                <w:rFonts w:ascii="Arial" w:hAnsi="Arial" w:cs="Arial"/>
              </w:rPr>
              <w:t>Ministra</w:t>
            </w:r>
            <w:proofErr w:type="gramEnd"/>
            <w:r w:rsidRPr="00DC49F3">
              <w:rPr>
                <w:rFonts w:ascii="Arial" w:hAnsi="Arial" w:cs="Arial"/>
              </w:rPr>
              <w:t xml:space="preserve"> de Minas y Energía</w:t>
            </w:r>
          </w:p>
        </w:tc>
        <w:tc>
          <w:tcPr>
            <w:tcW w:w="4677" w:type="dxa"/>
          </w:tcPr>
          <w:p w14:paraId="274BF0FD" w14:textId="6026E728" w:rsidR="005F3543" w:rsidRPr="00DC49F3" w:rsidRDefault="005F3543" w:rsidP="005F3543">
            <w:pPr>
              <w:spacing w:before="0" w:after="0"/>
              <w:jc w:val="center"/>
              <w:rPr>
                <w:rFonts w:ascii="Arial" w:eastAsia="Arial Unicode MS" w:hAnsi="Arial" w:cs="Arial"/>
                <w:color w:val="000000"/>
              </w:rPr>
            </w:pPr>
            <w:r w:rsidRPr="00966673">
              <w:rPr>
                <w:rFonts w:cs="Arial"/>
              </w:rPr>
              <w:t>Director Ejecutiv</w:t>
            </w:r>
            <w:r>
              <w:rPr>
                <w:rFonts w:cs="Arial"/>
              </w:rPr>
              <w:t xml:space="preserve">o </w:t>
            </w:r>
          </w:p>
        </w:tc>
      </w:tr>
      <w:tr w:rsidR="005F3543" w:rsidRPr="00DC49F3" w14:paraId="027EDF92" w14:textId="77777777" w:rsidTr="0086711E">
        <w:trPr>
          <w:tblCellSpacing w:w="0" w:type="dxa"/>
          <w:jc w:val="center"/>
        </w:trPr>
        <w:tc>
          <w:tcPr>
            <w:tcW w:w="4962" w:type="dxa"/>
            <w:hideMark/>
          </w:tcPr>
          <w:p w14:paraId="7CE0C682" w14:textId="77777777" w:rsidR="005F3543" w:rsidRPr="00DC49F3" w:rsidRDefault="005F3543" w:rsidP="005F3543">
            <w:pPr>
              <w:spacing w:before="0" w:after="0"/>
              <w:ind w:left="66"/>
              <w:jc w:val="center"/>
              <w:rPr>
                <w:rFonts w:ascii="Arial" w:eastAsia="Arial Unicode MS" w:hAnsi="Arial" w:cs="Arial"/>
                <w:color w:val="000000"/>
              </w:rPr>
            </w:pPr>
            <w:r w:rsidRPr="00DC49F3">
              <w:rPr>
                <w:rFonts w:ascii="Arial" w:hAnsi="Arial" w:cs="Arial"/>
              </w:rPr>
              <w:t>Presidente</w:t>
            </w:r>
          </w:p>
        </w:tc>
        <w:tc>
          <w:tcPr>
            <w:tcW w:w="4677" w:type="dxa"/>
          </w:tcPr>
          <w:p w14:paraId="562C7484" w14:textId="77777777" w:rsidR="005F3543" w:rsidRPr="00DC49F3" w:rsidRDefault="005F3543" w:rsidP="005F3543">
            <w:pPr>
              <w:spacing w:before="0" w:after="0"/>
              <w:jc w:val="center"/>
              <w:rPr>
                <w:rFonts w:ascii="Arial" w:eastAsia="Arial Unicode MS" w:hAnsi="Arial" w:cs="Arial"/>
                <w:color w:val="000000"/>
              </w:rPr>
            </w:pPr>
          </w:p>
        </w:tc>
      </w:tr>
    </w:tbl>
    <w:p w14:paraId="1B7802A7" w14:textId="77777777" w:rsidR="007C127E" w:rsidRPr="00DC49F3" w:rsidRDefault="007C127E" w:rsidP="005F3543">
      <w:pPr>
        <w:spacing w:before="240" w:after="0"/>
        <w:ind w:right="425"/>
        <w:rPr>
          <w:rFonts w:ascii="Arial" w:hAnsi="Arial" w:cs="Arial"/>
        </w:rPr>
      </w:pPr>
    </w:p>
    <w:sectPr w:rsidR="007C127E" w:rsidRPr="00DC49F3" w:rsidSect="000B7990">
      <w:headerReference w:type="default" r:id="rId16"/>
      <w:headerReference w:type="first" r:id="rId17"/>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8D3A" w14:textId="77777777" w:rsidR="000E04C9" w:rsidRDefault="000E04C9">
      <w:r>
        <w:separator/>
      </w:r>
    </w:p>
    <w:p w14:paraId="1373B0CE" w14:textId="77777777" w:rsidR="000E04C9" w:rsidRDefault="000E04C9"/>
    <w:p w14:paraId="5852944B" w14:textId="77777777" w:rsidR="000E04C9" w:rsidRDefault="000E04C9" w:rsidP="00C851C0"/>
  </w:endnote>
  <w:endnote w:type="continuationSeparator" w:id="0">
    <w:p w14:paraId="44853372" w14:textId="77777777" w:rsidR="000E04C9" w:rsidRDefault="000E04C9">
      <w:r>
        <w:continuationSeparator/>
      </w:r>
    </w:p>
    <w:p w14:paraId="451377E7" w14:textId="77777777" w:rsidR="000E04C9" w:rsidRDefault="000E04C9"/>
    <w:p w14:paraId="16EBAA71" w14:textId="77777777" w:rsidR="000E04C9" w:rsidRDefault="000E04C9" w:rsidP="00C851C0"/>
  </w:endnote>
  <w:endnote w:type="continuationNotice" w:id="1">
    <w:p w14:paraId="30133755" w14:textId="77777777" w:rsidR="000E04C9" w:rsidRDefault="000E04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8082" w14:textId="77777777" w:rsidR="000E04C9" w:rsidRDefault="000E04C9">
      <w:r>
        <w:separator/>
      </w:r>
    </w:p>
    <w:p w14:paraId="7986DB0F" w14:textId="77777777" w:rsidR="000E04C9" w:rsidRDefault="000E04C9"/>
    <w:p w14:paraId="458EB480" w14:textId="77777777" w:rsidR="000E04C9" w:rsidRDefault="000E04C9" w:rsidP="00C851C0"/>
  </w:footnote>
  <w:footnote w:type="continuationSeparator" w:id="0">
    <w:p w14:paraId="7D267CE4" w14:textId="77777777" w:rsidR="000E04C9" w:rsidRDefault="000E04C9">
      <w:r>
        <w:continuationSeparator/>
      </w:r>
    </w:p>
    <w:p w14:paraId="489239E1" w14:textId="77777777" w:rsidR="000E04C9" w:rsidRDefault="000E04C9"/>
    <w:p w14:paraId="2CC33ABD" w14:textId="77777777" w:rsidR="000E04C9" w:rsidRDefault="000E04C9" w:rsidP="00C851C0"/>
  </w:footnote>
  <w:footnote w:type="continuationNotice" w:id="1">
    <w:p w14:paraId="2338E05B" w14:textId="77777777" w:rsidR="000E04C9" w:rsidRDefault="000E04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257874C2" w:rsidR="009C1EF5" w:rsidRPr="00234EBC" w:rsidRDefault="009C1EF5" w:rsidP="002560C5">
    <w:pPr>
      <w:pStyle w:val="Ttulo1"/>
      <w:numPr>
        <w:ilvl w:val="0"/>
        <w:numId w:val="0"/>
      </w:numPr>
      <w:ind w:right="6"/>
      <w:jc w:val="left"/>
      <w:rPr>
        <w:rFonts w:ascii="Arial" w:hAnsi="Arial" w:cs="Arial"/>
        <w:b w:val="0"/>
        <w:sz w:val="22"/>
        <w:szCs w:val="22"/>
      </w:rPr>
    </w:pPr>
    <w:r w:rsidRPr="00234EBC">
      <w:rPr>
        <w:rFonts w:ascii="Arial" w:hAnsi="Arial" w:cs="Arial"/>
        <w:b w:val="0"/>
        <w:sz w:val="22"/>
        <w:szCs w:val="22"/>
      </w:rPr>
      <w:t xml:space="preserve">RESOLUCIÓN </w:t>
    </w:r>
    <w:proofErr w:type="gramStart"/>
    <w:r w:rsidRPr="00234EBC">
      <w:rPr>
        <w:rFonts w:ascii="Arial" w:hAnsi="Arial" w:cs="Arial"/>
        <w:b w:val="0"/>
        <w:sz w:val="22"/>
        <w:szCs w:val="22"/>
      </w:rPr>
      <w:t xml:space="preserve">No.  </w:t>
    </w:r>
    <w:r w:rsidR="00516E6B">
      <w:rPr>
        <w:rFonts w:ascii="Arial" w:hAnsi="Arial" w:cs="Arial"/>
        <w:b w:val="0"/>
        <w:sz w:val="22"/>
        <w:szCs w:val="22"/>
      </w:rPr>
      <w:t xml:space="preserve"> </w:t>
    </w:r>
    <w:proofErr w:type="gramEnd"/>
    <w:r w:rsidR="00516E6B">
      <w:rPr>
        <w:rFonts w:ascii="Arial" w:hAnsi="Arial" w:cs="Arial"/>
        <w:b w:val="0"/>
        <w:sz w:val="22"/>
        <w:szCs w:val="22"/>
        <w:u w:val="single"/>
      </w:rPr>
      <w:t xml:space="preserve">  501 065    </w:t>
    </w:r>
    <w:r w:rsidRPr="00234EBC">
      <w:rPr>
        <w:rFonts w:ascii="Arial" w:hAnsi="Arial" w:cs="Arial"/>
        <w:b w:val="0"/>
        <w:sz w:val="22"/>
        <w:szCs w:val="22"/>
      </w:rPr>
      <w:tab/>
      <w:t xml:space="preserve">DE </w:t>
    </w:r>
    <w:r w:rsidR="00516E6B">
      <w:rPr>
        <w:rFonts w:ascii="Arial" w:hAnsi="Arial" w:cs="Arial"/>
        <w:b w:val="0"/>
        <w:sz w:val="22"/>
        <w:szCs w:val="22"/>
        <w:u w:val="single"/>
      </w:rPr>
      <w:t xml:space="preserve">  11 NOV. 2022   </w:t>
    </w:r>
    <w:r w:rsidRPr="00234EBC">
      <w:rPr>
        <w:rFonts w:ascii="Arial" w:hAnsi="Arial" w:cs="Arial"/>
        <w:b w:val="0"/>
        <w:sz w:val="22"/>
        <w:szCs w:val="22"/>
      </w:rPr>
      <w:tab/>
      <w:t xml:space="preserve">HOJA No. </w:t>
    </w:r>
    <w:r w:rsidRPr="00234EBC">
      <w:rPr>
        <w:rFonts w:ascii="Arial" w:hAnsi="Arial" w:cs="Arial"/>
        <w:b w:val="0"/>
        <w:sz w:val="22"/>
        <w:szCs w:val="22"/>
      </w:rPr>
      <w:fldChar w:fldCharType="begin"/>
    </w:r>
    <w:r w:rsidRPr="00234EBC">
      <w:rPr>
        <w:rFonts w:ascii="Arial" w:hAnsi="Arial" w:cs="Arial"/>
        <w:b w:val="0"/>
        <w:sz w:val="22"/>
        <w:szCs w:val="22"/>
      </w:rPr>
      <w:instrText xml:space="preserve"> PAGE   \* MERGEFORMAT </w:instrText>
    </w:r>
    <w:r w:rsidRPr="00234EBC">
      <w:rPr>
        <w:rFonts w:ascii="Arial" w:hAnsi="Arial" w:cs="Arial"/>
        <w:b w:val="0"/>
        <w:sz w:val="22"/>
        <w:szCs w:val="22"/>
      </w:rPr>
      <w:fldChar w:fldCharType="separate"/>
    </w:r>
    <w:r w:rsidRPr="00234EBC">
      <w:rPr>
        <w:rFonts w:ascii="Arial" w:hAnsi="Arial" w:cs="Arial"/>
        <w:b w:val="0"/>
        <w:noProof/>
        <w:sz w:val="22"/>
        <w:szCs w:val="22"/>
      </w:rPr>
      <w:t>3</w:t>
    </w:r>
    <w:r w:rsidRPr="00234EBC">
      <w:rPr>
        <w:rFonts w:ascii="Arial" w:hAnsi="Arial" w:cs="Arial"/>
        <w:b w:val="0"/>
        <w:sz w:val="22"/>
        <w:szCs w:val="22"/>
      </w:rPr>
      <w:fldChar w:fldCharType="end"/>
    </w:r>
    <w:r w:rsidRPr="00234EBC">
      <w:rPr>
        <w:rFonts w:ascii="Arial" w:hAnsi="Arial" w:cs="Arial"/>
        <w:b w:val="0"/>
        <w:sz w:val="22"/>
        <w:szCs w:val="22"/>
      </w:rPr>
      <w:t>/</w:t>
    </w:r>
    <w:r w:rsidR="004974D8" w:rsidRPr="00234EBC">
      <w:rPr>
        <w:rFonts w:ascii="Arial" w:hAnsi="Arial" w:cs="Arial"/>
      </w:rPr>
      <w:fldChar w:fldCharType="begin"/>
    </w:r>
    <w:r w:rsidR="004974D8" w:rsidRPr="00234EBC">
      <w:rPr>
        <w:rFonts w:ascii="Arial" w:hAnsi="Arial" w:cs="Arial"/>
      </w:rPr>
      <w:instrText>NUMPAGES  \* MERGEFORMAT</w:instrText>
    </w:r>
    <w:r w:rsidR="004974D8" w:rsidRPr="00234EBC">
      <w:rPr>
        <w:rFonts w:ascii="Arial" w:hAnsi="Arial" w:cs="Arial"/>
      </w:rPr>
      <w:fldChar w:fldCharType="separate"/>
    </w:r>
    <w:r w:rsidRPr="00234EBC">
      <w:rPr>
        <w:rFonts w:ascii="Arial" w:hAnsi="Arial" w:cs="Arial"/>
        <w:b w:val="0"/>
        <w:noProof/>
        <w:sz w:val="22"/>
        <w:szCs w:val="22"/>
      </w:rPr>
      <w:t>7</w:t>
    </w:r>
    <w:r w:rsidR="004974D8" w:rsidRPr="00234EBC">
      <w:rPr>
        <w:rFonts w:ascii="Arial" w:hAnsi="Arial" w:cs="Arial"/>
        <w:b w:val="0"/>
        <w:noProof/>
        <w:sz w:val="22"/>
        <w:szCs w:val="22"/>
      </w:rPr>
      <w:fldChar w:fldCharType="end"/>
    </w:r>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8CC04"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1A0E63C7" w:rsidR="009C1EF5" w:rsidRPr="00B77167" w:rsidRDefault="00C82A5A" w:rsidP="00721ED5">
    <w:pPr>
      <w:pBdr>
        <w:bottom w:val="single" w:sz="4" w:space="1" w:color="auto"/>
      </w:pBdr>
      <w:spacing w:after="0"/>
      <w:rPr>
        <w:rFonts w:ascii="Arial" w:hAnsi="Arial" w:cs="Arial"/>
        <w:sz w:val="20"/>
        <w:szCs w:val="20"/>
      </w:rPr>
    </w:pPr>
    <w:r w:rsidRPr="00B77167">
      <w:rPr>
        <w:rFonts w:ascii="Arial" w:hAnsi="Arial" w:cs="Arial"/>
        <w:sz w:val="20"/>
        <w:szCs w:val="20"/>
      </w:rPr>
      <w:t>Por la cual se actualiza la base de activos del Grupo Energía Bogotá S.A. E.S.P. y se modifican los parámetros necesarios para determinar su remuneración en el Sistema de Transmisión Nacional</w:t>
    </w:r>
    <w:r w:rsidR="00810B35" w:rsidRPr="00B77167">
      <w:rPr>
        <w:rFonts w:ascii="Arial" w:hAnsi="Arial" w:cs="Arial"/>
        <w:sz w:val="20"/>
        <w:szCs w:val="20"/>
      </w:rPr>
      <w:t>.</w:t>
    </w:r>
  </w:p>
  <w:p w14:paraId="35167E0B" w14:textId="3AEE410A" w:rsidR="00B1673F" w:rsidRDefault="00B1673F" w:rsidP="00721ED5">
    <w:pPr>
      <w:spacing w:before="0" w:after="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2800"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4B3906"/>
    <w:multiLevelType w:val="hybridMultilevel"/>
    <w:tmpl w:val="CD364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6853DE"/>
    <w:multiLevelType w:val="hybridMultilevel"/>
    <w:tmpl w:val="81A64FF0"/>
    <w:lvl w:ilvl="0" w:tplc="B76C1F0E">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AC60B6"/>
    <w:multiLevelType w:val="hybridMultilevel"/>
    <w:tmpl w:val="082A82F0"/>
    <w:lvl w:ilvl="0" w:tplc="240A0017">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71F30B1"/>
    <w:multiLevelType w:val="hybridMultilevel"/>
    <w:tmpl w:val="58145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1F5A652F"/>
    <w:multiLevelType w:val="hybridMultilevel"/>
    <w:tmpl w:val="1602C4BA"/>
    <w:lvl w:ilvl="0" w:tplc="90E0712C">
      <w:numFmt w:val="bullet"/>
      <w:lvlText w:val=""/>
      <w:lvlJc w:val="left"/>
      <w:pPr>
        <w:ind w:left="927" w:hanging="360"/>
      </w:pPr>
      <w:rPr>
        <w:rFonts w:ascii="Symbol" w:eastAsia="Times New Roman" w:hAnsi="Symbol"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0" w15:restartNumberingAfterBreak="0">
    <w:nsid w:val="26DD22E6"/>
    <w:multiLevelType w:val="hybridMultilevel"/>
    <w:tmpl w:val="1A487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9A471B"/>
    <w:multiLevelType w:val="hybridMultilevel"/>
    <w:tmpl w:val="468A78CA"/>
    <w:lvl w:ilvl="0" w:tplc="4DA05A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3C2754"/>
    <w:multiLevelType w:val="hybridMultilevel"/>
    <w:tmpl w:val="0D245F9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B227C7"/>
    <w:multiLevelType w:val="hybridMultilevel"/>
    <w:tmpl w:val="5326332E"/>
    <w:lvl w:ilvl="0" w:tplc="D37E29F8">
      <w:start w:val="25"/>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EA50BC"/>
    <w:multiLevelType w:val="hybridMultilevel"/>
    <w:tmpl w:val="08946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AC0FD1"/>
    <w:multiLevelType w:val="multilevel"/>
    <w:tmpl w:val="4E36FF48"/>
    <w:lvl w:ilvl="0">
      <w:start w:val="1"/>
      <w:numFmt w:val="decimal"/>
      <w:pStyle w:val="Artculo"/>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423C3640"/>
    <w:multiLevelType w:val="hybridMultilevel"/>
    <w:tmpl w:val="C72466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439D1BF3"/>
    <w:multiLevelType w:val="hybridMultilevel"/>
    <w:tmpl w:val="EE62EE4E"/>
    <w:lvl w:ilvl="0" w:tplc="FCDE9B04">
      <w:start w:val="207"/>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5D2B1B"/>
    <w:multiLevelType w:val="hybridMultilevel"/>
    <w:tmpl w:val="B40E1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CD5185"/>
    <w:multiLevelType w:val="hybridMultilevel"/>
    <w:tmpl w:val="6C963302"/>
    <w:lvl w:ilvl="0" w:tplc="4DFAE6DE">
      <w:start w:val="28"/>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471EEB"/>
    <w:multiLevelType w:val="multilevel"/>
    <w:tmpl w:val="7F48610C"/>
    <w:name w:val="Nueva lista 3"/>
    <w:lvl w:ilvl="0">
      <w:start w:val="1"/>
      <w:numFmt w:val="decimal"/>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1CD7EDD"/>
    <w:multiLevelType w:val="hybridMultilevel"/>
    <w:tmpl w:val="6664666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14336D"/>
    <w:multiLevelType w:val="hybridMultilevel"/>
    <w:tmpl w:val="4FA618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D9F643B"/>
    <w:multiLevelType w:val="hybridMultilevel"/>
    <w:tmpl w:val="F648E0BE"/>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9" w15:restartNumberingAfterBreak="0">
    <w:nsid w:val="5E52444B"/>
    <w:multiLevelType w:val="hybridMultilevel"/>
    <w:tmpl w:val="6136A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4A41CE"/>
    <w:multiLevelType w:val="hybridMultilevel"/>
    <w:tmpl w:val="78E4608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3044E84"/>
    <w:multiLevelType w:val="hybridMultilevel"/>
    <w:tmpl w:val="A616055A"/>
    <w:lvl w:ilvl="0" w:tplc="6A48E1BC">
      <w:start w:val="762"/>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4D411F"/>
    <w:multiLevelType w:val="hybridMultilevel"/>
    <w:tmpl w:val="878EE742"/>
    <w:lvl w:ilvl="0" w:tplc="C9FC638C">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3"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BCE1CA3"/>
    <w:multiLevelType w:val="hybridMultilevel"/>
    <w:tmpl w:val="082A82F0"/>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D757C89"/>
    <w:multiLevelType w:val="hybridMultilevel"/>
    <w:tmpl w:val="52C6C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C609E9"/>
    <w:multiLevelType w:val="hybridMultilevel"/>
    <w:tmpl w:val="0360B968"/>
    <w:lvl w:ilvl="0" w:tplc="66A8B02C">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0405547">
    <w:abstractNumId w:val="1"/>
  </w:num>
  <w:num w:numId="2" w16cid:durableId="929122188">
    <w:abstractNumId w:val="11"/>
  </w:num>
  <w:num w:numId="3" w16cid:durableId="239222292">
    <w:abstractNumId w:val="27"/>
  </w:num>
  <w:num w:numId="4" w16cid:durableId="1551065325">
    <w:abstractNumId w:val="23"/>
  </w:num>
  <w:num w:numId="5" w16cid:durableId="479998672">
    <w:abstractNumId w:val="35"/>
  </w:num>
  <w:num w:numId="6" w16cid:durableId="1847861509">
    <w:abstractNumId w:val="6"/>
  </w:num>
  <w:num w:numId="7" w16cid:durableId="1329286577">
    <w:abstractNumId w:val="12"/>
  </w:num>
  <w:num w:numId="8" w16cid:durableId="693382134">
    <w:abstractNumId w:val="38"/>
  </w:num>
  <w:num w:numId="9" w16cid:durableId="77993529">
    <w:abstractNumId w:val="3"/>
  </w:num>
  <w:num w:numId="10" w16cid:durableId="192309775">
    <w:abstractNumId w:val="29"/>
  </w:num>
  <w:num w:numId="11" w16cid:durableId="2103449767">
    <w:abstractNumId w:val="24"/>
  </w:num>
  <w:num w:numId="12" w16cid:durableId="1970279894">
    <w:abstractNumId w:val="4"/>
  </w:num>
  <w:num w:numId="13" w16cid:durableId="1759673084">
    <w:abstractNumId w:val="16"/>
  </w:num>
  <w:num w:numId="14" w16cid:durableId="1085761909">
    <w:abstractNumId w:val="26"/>
  </w:num>
  <w:num w:numId="15" w16cid:durableId="1829903588">
    <w:abstractNumId w:val="35"/>
  </w:num>
  <w:num w:numId="16" w16cid:durableId="62992349">
    <w:abstractNumId w:val="35"/>
  </w:num>
  <w:num w:numId="17" w16cid:durableId="1344935168">
    <w:abstractNumId w:val="35"/>
  </w:num>
  <w:num w:numId="18" w16cid:durableId="1610814398">
    <w:abstractNumId w:val="35"/>
  </w:num>
  <w:num w:numId="19" w16cid:durableId="424303212">
    <w:abstractNumId w:val="7"/>
  </w:num>
  <w:num w:numId="20" w16cid:durableId="962612099">
    <w:abstractNumId w:val="19"/>
  </w:num>
  <w:num w:numId="21" w16cid:durableId="1949656213">
    <w:abstractNumId w:val="37"/>
  </w:num>
  <w:num w:numId="22" w16cid:durableId="2111775097">
    <w:abstractNumId w:val="36"/>
  </w:num>
  <w:num w:numId="23" w16cid:durableId="830755366">
    <w:abstractNumId w:val="21"/>
  </w:num>
  <w:num w:numId="24" w16cid:durableId="664284226">
    <w:abstractNumId w:val="10"/>
  </w:num>
  <w:num w:numId="25" w16cid:durableId="1709335975">
    <w:abstractNumId w:val="14"/>
  </w:num>
  <w:num w:numId="26" w16cid:durableId="465582191">
    <w:abstractNumId w:val="30"/>
  </w:num>
  <w:num w:numId="27" w16cid:durableId="137915339">
    <w:abstractNumId w:val="23"/>
  </w:num>
  <w:num w:numId="28" w16cid:durableId="258097865">
    <w:abstractNumId w:val="13"/>
  </w:num>
  <w:num w:numId="29" w16cid:durableId="1430662890">
    <w:abstractNumId w:val="2"/>
  </w:num>
  <w:num w:numId="30" w16cid:durableId="2078549842">
    <w:abstractNumId w:val="28"/>
  </w:num>
  <w:num w:numId="31" w16cid:durableId="20322629">
    <w:abstractNumId w:val="9"/>
  </w:num>
  <w:num w:numId="32" w16cid:durableId="1809711235">
    <w:abstractNumId w:val="31"/>
  </w:num>
  <w:num w:numId="33" w16cid:durableId="339158446">
    <w:abstractNumId w:val="25"/>
  </w:num>
  <w:num w:numId="34" w16cid:durableId="1063871221">
    <w:abstractNumId w:val="17"/>
  </w:num>
  <w:num w:numId="35" w16cid:durableId="767387929">
    <w:abstractNumId w:val="32"/>
  </w:num>
  <w:num w:numId="36" w16cid:durableId="680158920">
    <w:abstractNumId w:val="22"/>
  </w:num>
  <w:num w:numId="37" w16cid:durableId="1588735867">
    <w:abstractNumId w:val="5"/>
  </w:num>
  <w:num w:numId="38" w16cid:durableId="1107430216">
    <w:abstractNumId w:val="34"/>
  </w:num>
  <w:num w:numId="39" w16cid:durableId="1852597062">
    <w:abstractNumId w:val="20"/>
  </w:num>
  <w:num w:numId="40" w16cid:durableId="1018511089">
    <w:abstractNumId w:val="15"/>
  </w:num>
  <w:num w:numId="41" w16cid:durableId="1737892358">
    <w:abstractNumId w:val="35"/>
  </w:num>
  <w:num w:numId="42" w16cid:durableId="53800700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906"/>
    <w:rsid w:val="00005326"/>
    <w:rsid w:val="000056FB"/>
    <w:rsid w:val="00006585"/>
    <w:rsid w:val="00006AE2"/>
    <w:rsid w:val="00006EF5"/>
    <w:rsid w:val="000076A1"/>
    <w:rsid w:val="00010C31"/>
    <w:rsid w:val="0001188A"/>
    <w:rsid w:val="0001209B"/>
    <w:rsid w:val="00012259"/>
    <w:rsid w:val="00012D6A"/>
    <w:rsid w:val="0001368F"/>
    <w:rsid w:val="00015F4C"/>
    <w:rsid w:val="00016B85"/>
    <w:rsid w:val="00017104"/>
    <w:rsid w:val="00017396"/>
    <w:rsid w:val="000203BE"/>
    <w:rsid w:val="000203C6"/>
    <w:rsid w:val="00020B42"/>
    <w:rsid w:val="0002117B"/>
    <w:rsid w:val="00022832"/>
    <w:rsid w:val="00023275"/>
    <w:rsid w:val="00023841"/>
    <w:rsid w:val="00024EEB"/>
    <w:rsid w:val="00025383"/>
    <w:rsid w:val="00025D05"/>
    <w:rsid w:val="000268D6"/>
    <w:rsid w:val="00027C0A"/>
    <w:rsid w:val="00027C0E"/>
    <w:rsid w:val="00032C8E"/>
    <w:rsid w:val="00033717"/>
    <w:rsid w:val="00034669"/>
    <w:rsid w:val="00034F65"/>
    <w:rsid w:val="0003547A"/>
    <w:rsid w:val="0003568E"/>
    <w:rsid w:val="000356FD"/>
    <w:rsid w:val="000359E0"/>
    <w:rsid w:val="0003695A"/>
    <w:rsid w:val="00040250"/>
    <w:rsid w:val="00042A98"/>
    <w:rsid w:val="000432E2"/>
    <w:rsid w:val="00043DDA"/>
    <w:rsid w:val="000446EC"/>
    <w:rsid w:val="00045094"/>
    <w:rsid w:val="000457D4"/>
    <w:rsid w:val="00045D3D"/>
    <w:rsid w:val="00050D9F"/>
    <w:rsid w:val="0005171B"/>
    <w:rsid w:val="00051D1F"/>
    <w:rsid w:val="00053BE6"/>
    <w:rsid w:val="00055984"/>
    <w:rsid w:val="00056ECE"/>
    <w:rsid w:val="0005705F"/>
    <w:rsid w:val="0005740C"/>
    <w:rsid w:val="00057D60"/>
    <w:rsid w:val="00063454"/>
    <w:rsid w:val="00063657"/>
    <w:rsid w:val="00066C66"/>
    <w:rsid w:val="00067894"/>
    <w:rsid w:val="00070FFB"/>
    <w:rsid w:val="0007160D"/>
    <w:rsid w:val="000718BC"/>
    <w:rsid w:val="00071E46"/>
    <w:rsid w:val="0007354C"/>
    <w:rsid w:val="0007409E"/>
    <w:rsid w:val="00076680"/>
    <w:rsid w:val="00076A1D"/>
    <w:rsid w:val="000771FB"/>
    <w:rsid w:val="000805D1"/>
    <w:rsid w:val="0008073E"/>
    <w:rsid w:val="0008115D"/>
    <w:rsid w:val="000821D9"/>
    <w:rsid w:val="00082B34"/>
    <w:rsid w:val="00082FE9"/>
    <w:rsid w:val="000831AC"/>
    <w:rsid w:val="000837A5"/>
    <w:rsid w:val="00083AA8"/>
    <w:rsid w:val="00084F74"/>
    <w:rsid w:val="000857D1"/>
    <w:rsid w:val="000858CD"/>
    <w:rsid w:val="0008751B"/>
    <w:rsid w:val="0008776A"/>
    <w:rsid w:val="0009104E"/>
    <w:rsid w:val="0009196C"/>
    <w:rsid w:val="00091CDB"/>
    <w:rsid w:val="0009212D"/>
    <w:rsid w:val="000930F3"/>
    <w:rsid w:val="000952BC"/>
    <w:rsid w:val="00095EA2"/>
    <w:rsid w:val="000A11FA"/>
    <w:rsid w:val="000A1319"/>
    <w:rsid w:val="000A19AC"/>
    <w:rsid w:val="000A1ADD"/>
    <w:rsid w:val="000A38CC"/>
    <w:rsid w:val="000A4691"/>
    <w:rsid w:val="000A58E4"/>
    <w:rsid w:val="000B2EC9"/>
    <w:rsid w:val="000B3167"/>
    <w:rsid w:val="000B3688"/>
    <w:rsid w:val="000B5936"/>
    <w:rsid w:val="000B65BD"/>
    <w:rsid w:val="000B7990"/>
    <w:rsid w:val="000C06AF"/>
    <w:rsid w:val="000C1951"/>
    <w:rsid w:val="000C1DE0"/>
    <w:rsid w:val="000C266A"/>
    <w:rsid w:val="000C549E"/>
    <w:rsid w:val="000C5565"/>
    <w:rsid w:val="000C5DF4"/>
    <w:rsid w:val="000C64D6"/>
    <w:rsid w:val="000C6881"/>
    <w:rsid w:val="000C743D"/>
    <w:rsid w:val="000C7488"/>
    <w:rsid w:val="000C784A"/>
    <w:rsid w:val="000C78FC"/>
    <w:rsid w:val="000D08E3"/>
    <w:rsid w:val="000D1E36"/>
    <w:rsid w:val="000D26F8"/>
    <w:rsid w:val="000D2A00"/>
    <w:rsid w:val="000D35DA"/>
    <w:rsid w:val="000D360A"/>
    <w:rsid w:val="000D36AF"/>
    <w:rsid w:val="000D36D0"/>
    <w:rsid w:val="000D3884"/>
    <w:rsid w:val="000D3FC2"/>
    <w:rsid w:val="000D42B9"/>
    <w:rsid w:val="000D5201"/>
    <w:rsid w:val="000D5C79"/>
    <w:rsid w:val="000E04C9"/>
    <w:rsid w:val="000E2A42"/>
    <w:rsid w:val="000E30E6"/>
    <w:rsid w:val="000E3CB9"/>
    <w:rsid w:val="000E3D26"/>
    <w:rsid w:val="000E438C"/>
    <w:rsid w:val="000E7F3C"/>
    <w:rsid w:val="000F27EF"/>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206"/>
    <w:rsid w:val="001106AF"/>
    <w:rsid w:val="001115FD"/>
    <w:rsid w:val="00111B3C"/>
    <w:rsid w:val="001129C7"/>
    <w:rsid w:val="00112F16"/>
    <w:rsid w:val="001147FF"/>
    <w:rsid w:val="00114B6F"/>
    <w:rsid w:val="00115D15"/>
    <w:rsid w:val="001170CF"/>
    <w:rsid w:val="001177E6"/>
    <w:rsid w:val="00120EEE"/>
    <w:rsid w:val="00122BA4"/>
    <w:rsid w:val="00126B7F"/>
    <w:rsid w:val="0012783F"/>
    <w:rsid w:val="00130D85"/>
    <w:rsid w:val="001323D6"/>
    <w:rsid w:val="00132FE3"/>
    <w:rsid w:val="001333FC"/>
    <w:rsid w:val="0013384D"/>
    <w:rsid w:val="00133EC9"/>
    <w:rsid w:val="001344C2"/>
    <w:rsid w:val="0013526C"/>
    <w:rsid w:val="00135C1F"/>
    <w:rsid w:val="00136F57"/>
    <w:rsid w:val="001405C6"/>
    <w:rsid w:val="0014064C"/>
    <w:rsid w:val="00141013"/>
    <w:rsid w:val="00142021"/>
    <w:rsid w:val="0014208F"/>
    <w:rsid w:val="0014220A"/>
    <w:rsid w:val="0014256F"/>
    <w:rsid w:val="00142AE7"/>
    <w:rsid w:val="0014363D"/>
    <w:rsid w:val="00143BE1"/>
    <w:rsid w:val="00144681"/>
    <w:rsid w:val="00145736"/>
    <w:rsid w:val="001459D6"/>
    <w:rsid w:val="001478B5"/>
    <w:rsid w:val="00151239"/>
    <w:rsid w:val="00151A0F"/>
    <w:rsid w:val="0015228B"/>
    <w:rsid w:val="00152D9A"/>
    <w:rsid w:val="00152E0C"/>
    <w:rsid w:val="0015338C"/>
    <w:rsid w:val="001533B7"/>
    <w:rsid w:val="001541F3"/>
    <w:rsid w:val="00154D0C"/>
    <w:rsid w:val="001560A7"/>
    <w:rsid w:val="00157B49"/>
    <w:rsid w:val="00160BCF"/>
    <w:rsid w:val="00161084"/>
    <w:rsid w:val="001636C5"/>
    <w:rsid w:val="00164E00"/>
    <w:rsid w:val="00166193"/>
    <w:rsid w:val="00166AA9"/>
    <w:rsid w:val="00166B53"/>
    <w:rsid w:val="001710F9"/>
    <w:rsid w:val="00171B59"/>
    <w:rsid w:val="001762DD"/>
    <w:rsid w:val="00177652"/>
    <w:rsid w:val="001778BC"/>
    <w:rsid w:val="00177D48"/>
    <w:rsid w:val="0018241F"/>
    <w:rsid w:val="001827DF"/>
    <w:rsid w:val="00184170"/>
    <w:rsid w:val="00185BB0"/>
    <w:rsid w:val="00185F79"/>
    <w:rsid w:val="001876F9"/>
    <w:rsid w:val="00190C2D"/>
    <w:rsid w:val="00192CBF"/>
    <w:rsid w:val="00192FF1"/>
    <w:rsid w:val="0019373B"/>
    <w:rsid w:val="00194947"/>
    <w:rsid w:val="001949D2"/>
    <w:rsid w:val="00194C52"/>
    <w:rsid w:val="00194CF7"/>
    <w:rsid w:val="0019667F"/>
    <w:rsid w:val="00196D8C"/>
    <w:rsid w:val="00197F32"/>
    <w:rsid w:val="001A1422"/>
    <w:rsid w:val="001A2B6E"/>
    <w:rsid w:val="001A3643"/>
    <w:rsid w:val="001A39D5"/>
    <w:rsid w:val="001A44FC"/>
    <w:rsid w:val="001A5F1B"/>
    <w:rsid w:val="001A6488"/>
    <w:rsid w:val="001A6E91"/>
    <w:rsid w:val="001A7058"/>
    <w:rsid w:val="001A7613"/>
    <w:rsid w:val="001B03F7"/>
    <w:rsid w:val="001B05A4"/>
    <w:rsid w:val="001B17F4"/>
    <w:rsid w:val="001B1C22"/>
    <w:rsid w:val="001B1F55"/>
    <w:rsid w:val="001B3456"/>
    <w:rsid w:val="001B34C6"/>
    <w:rsid w:val="001B6055"/>
    <w:rsid w:val="001B608F"/>
    <w:rsid w:val="001C0C42"/>
    <w:rsid w:val="001C2018"/>
    <w:rsid w:val="001C36F4"/>
    <w:rsid w:val="001C3877"/>
    <w:rsid w:val="001C4A3C"/>
    <w:rsid w:val="001D0772"/>
    <w:rsid w:val="001D31E0"/>
    <w:rsid w:val="001D3333"/>
    <w:rsid w:val="001D4C99"/>
    <w:rsid w:val="001D516B"/>
    <w:rsid w:val="001D7832"/>
    <w:rsid w:val="001E3911"/>
    <w:rsid w:val="001E485E"/>
    <w:rsid w:val="001E692F"/>
    <w:rsid w:val="001F13C8"/>
    <w:rsid w:val="001F2C5B"/>
    <w:rsid w:val="001F2FD8"/>
    <w:rsid w:val="001F3551"/>
    <w:rsid w:val="001F4256"/>
    <w:rsid w:val="001F5AFE"/>
    <w:rsid w:val="001F780F"/>
    <w:rsid w:val="002012D8"/>
    <w:rsid w:val="002015A0"/>
    <w:rsid w:val="00201B74"/>
    <w:rsid w:val="002038CE"/>
    <w:rsid w:val="002039D6"/>
    <w:rsid w:val="00204D82"/>
    <w:rsid w:val="0020533E"/>
    <w:rsid w:val="00205F99"/>
    <w:rsid w:val="00206349"/>
    <w:rsid w:val="00207D99"/>
    <w:rsid w:val="00210436"/>
    <w:rsid w:val="00210DC1"/>
    <w:rsid w:val="00211391"/>
    <w:rsid w:val="0021157A"/>
    <w:rsid w:val="00211D34"/>
    <w:rsid w:val="0021304E"/>
    <w:rsid w:val="002133FA"/>
    <w:rsid w:val="00214231"/>
    <w:rsid w:val="00214328"/>
    <w:rsid w:val="00214F04"/>
    <w:rsid w:val="00217A4B"/>
    <w:rsid w:val="00217D47"/>
    <w:rsid w:val="00220E8D"/>
    <w:rsid w:val="00221BED"/>
    <w:rsid w:val="00222C8F"/>
    <w:rsid w:val="00223E50"/>
    <w:rsid w:val="0022483E"/>
    <w:rsid w:val="0022498D"/>
    <w:rsid w:val="00224FC9"/>
    <w:rsid w:val="00226F74"/>
    <w:rsid w:val="00227061"/>
    <w:rsid w:val="00227A72"/>
    <w:rsid w:val="00227C8F"/>
    <w:rsid w:val="00227E1E"/>
    <w:rsid w:val="00231D67"/>
    <w:rsid w:val="0023338E"/>
    <w:rsid w:val="00234EBC"/>
    <w:rsid w:val="002352B9"/>
    <w:rsid w:val="0023598E"/>
    <w:rsid w:val="0023621E"/>
    <w:rsid w:val="002367F5"/>
    <w:rsid w:val="00237EDC"/>
    <w:rsid w:val="00240640"/>
    <w:rsid w:val="00242A95"/>
    <w:rsid w:val="00242F2B"/>
    <w:rsid w:val="002436B9"/>
    <w:rsid w:val="00243A0A"/>
    <w:rsid w:val="00243DBF"/>
    <w:rsid w:val="002441CD"/>
    <w:rsid w:val="002444FF"/>
    <w:rsid w:val="00245E5D"/>
    <w:rsid w:val="00250A0F"/>
    <w:rsid w:val="0025525F"/>
    <w:rsid w:val="00255960"/>
    <w:rsid w:val="002560C5"/>
    <w:rsid w:val="00256D30"/>
    <w:rsid w:val="00256DBC"/>
    <w:rsid w:val="00256EA4"/>
    <w:rsid w:val="002571C8"/>
    <w:rsid w:val="002578B3"/>
    <w:rsid w:val="002579DC"/>
    <w:rsid w:val="00257A41"/>
    <w:rsid w:val="002603B0"/>
    <w:rsid w:val="00260906"/>
    <w:rsid w:val="00261479"/>
    <w:rsid w:val="00261CF7"/>
    <w:rsid w:val="00262248"/>
    <w:rsid w:val="0026282C"/>
    <w:rsid w:val="002631B1"/>
    <w:rsid w:val="002634EE"/>
    <w:rsid w:val="00264F14"/>
    <w:rsid w:val="0026521A"/>
    <w:rsid w:val="002654BA"/>
    <w:rsid w:val="002657E2"/>
    <w:rsid w:val="00266CD6"/>
    <w:rsid w:val="002673AC"/>
    <w:rsid w:val="00270C4A"/>
    <w:rsid w:val="0027278C"/>
    <w:rsid w:val="00273484"/>
    <w:rsid w:val="002739BD"/>
    <w:rsid w:val="00274C95"/>
    <w:rsid w:val="00275BBC"/>
    <w:rsid w:val="00275DAB"/>
    <w:rsid w:val="00275F7E"/>
    <w:rsid w:val="00276059"/>
    <w:rsid w:val="00277C89"/>
    <w:rsid w:val="00280F65"/>
    <w:rsid w:val="00281C7F"/>
    <w:rsid w:val="002821BE"/>
    <w:rsid w:val="002836E2"/>
    <w:rsid w:val="00283A91"/>
    <w:rsid w:val="00285671"/>
    <w:rsid w:val="0028662C"/>
    <w:rsid w:val="002903C0"/>
    <w:rsid w:val="002903D1"/>
    <w:rsid w:val="00290FF0"/>
    <w:rsid w:val="00291726"/>
    <w:rsid w:val="00291F1D"/>
    <w:rsid w:val="002920D9"/>
    <w:rsid w:val="002922A7"/>
    <w:rsid w:val="00292FE9"/>
    <w:rsid w:val="00295857"/>
    <w:rsid w:val="00295ACD"/>
    <w:rsid w:val="00296434"/>
    <w:rsid w:val="0029698E"/>
    <w:rsid w:val="002A0468"/>
    <w:rsid w:val="002A128C"/>
    <w:rsid w:val="002A49E5"/>
    <w:rsid w:val="002A51EF"/>
    <w:rsid w:val="002A782A"/>
    <w:rsid w:val="002A7D62"/>
    <w:rsid w:val="002B0F02"/>
    <w:rsid w:val="002B11E2"/>
    <w:rsid w:val="002B1B4C"/>
    <w:rsid w:val="002B24B8"/>
    <w:rsid w:val="002B48D0"/>
    <w:rsid w:val="002B5E3C"/>
    <w:rsid w:val="002B71B1"/>
    <w:rsid w:val="002B798E"/>
    <w:rsid w:val="002C01FA"/>
    <w:rsid w:val="002C226C"/>
    <w:rsid w:val="002C23FF"/>
    <w:rsid w:val="002C3488"/>
    <w:rsid w:val="002C4C52"/>
    <w:rsid w:val="002C5023"/>
    <w:rsid w:val="002C5612"/>
    <w:rsid w:val="002C7252"/>
    <w:rsid w:val="002D12D7"/>
    <w:rsid w:val="002D1BBA"/>
    <w:rsid w:val="002D1BFA"/>
    <w:rsid w:val="002D3AE9"/>
    <w:rsid w:val="002D3CE7"/>
    <w:rsid w:val="002D4510"/>
    <w:rsid w:val="002D765E"/>
    <w:rsid w:val="002D77FC"/>
    <w:rsid w:val="002D7D6C"/>
    <w:rsid w:val="002E09F5"/>
    <w:rsid w:val="002E1770"/>
    <w:rsid w:val="002E19C0"/>
    <w:rsid w:val="002E1AF2"/>
    <w:rsid w:val="002E1F65"/>
    <w:rsid w:val="002E2229"/>
    <w:rsid w:val="002E2655"/>
    <w:rsid w:val="002E4581"/>
    <w:rsid w:val="002E635C"/>
    <w:rsid w:val="002E7997"/>
    <w:rsid w:val="002F026E"/>
    <w:rsid w:val="002F0734"/>
    <w:rsid w:val="002F22EB"/>
    <w:rsid w:val="002F3712"/>
    <w:rsid w:val="002F46E7"/>
    <w:rsid w:val="002F72DB"/>
    <w:rsid w:val="002F75C0"/>
    <w:rsid w:val="002F7B19"/>
    <w:rsid w:val="003008A1"/>
    <w:rsid w:val="00302CAC"/>
    <w:rsid w:val="00302EFB"/>
    <w:rsid w:val="0030336F"/>
    <w:rsid w:val="003040BE"/>
    <w:rsid w:val="0030641B"/>
    <w:rsid w:val="003066B8"/>
    <w:rsid w:val="00306F7F"/>
    <w:rsid w:val="00307E9C"/>
    <w:rsid w:val="00307F8B"/>
    <w:rsid w:val="00307F96"/>
    <w:rsid w:val="003101DA"/>
    <w:rsid w:val="003111C3"/>
    <w:rsid w:val="00312443"/>
    <w:rsid w:val="00312DDD"/>
    <w:rsid w:val="00313B84"/>
    <w:rsid w:val="00314757"/>
    <w:rsid w:val="00315689"/>
    <w:rsid w:val="00315CD0"/>
    <w:rsid w:val="00315D1F"/>
    <w:rsid w:val="003163BC"/>
    <w:rsid w:val="00317410"/>
    <w:rsid w:val="003211CE"/>
    <w:rsid w:val="0032190A"/>
    <w:rsid w:val="00321B6E"/>
    <w:rsid w:val="0032714E"/>
    <w:rsid w:val="00327412"/>
    <w:rsid w:val="00327443"/>
    <w:rsid w:val="00330DD4"/>
    <w:rsid w:val="00330E17"/>
    <w:rsid w:val="00331C8C"/>
    <w:rsid w:val="0033319F"/>
    <w:rsid w:val="003343C8"/>
    <w:rsid w:val="003343FE"/>
    <w:rsid w:val="003344C3"/>
    <w:rsid w:val="0033564E"/>
    <w:rsid w:val="00335EAC"/>
    <w:rsid w:val="0033715F"/>
    <w:rsid w:val="003373A2"/>
    <w:rsid w:val="00337C84"/>
    <w:rsid w:val="00341928"/>
    <w:rsid w:val="003473A2"/>
    <w:rsid w:val="003501F2"/>
    <w:rsid w:val="00350A8C"/>
    <w:rsid w:val="00350DE4"/>
    <w:rsid w:val="00351E6B"/>
    <w:rsid w:val="00352C2F"/>
    <w:rsid w:val="0035403A"/>
    <w:rsid w:val="003555DF"/>
    <w:rsid w:val="00361BAC"/>
    <w:rsid w:val="00361EF5"/>
    <w:rsid w:val="0036394B"/>
    <w:rsid w:val="003639BB"/>
    <w:rsid w:val="003650A6"/>
    <w:rsid w:val="00366AC7"/>
    <w:rsid w:val="00366DB6"/>
    <w:rsid w:val="003671B0"/>
    <w:rsid w:val="0036724C"/>
    <w:rsid w:val="0036763F"/>
    <w:rsid w:val="0037005C"/>
    <w:rsid w:val="00370325"/>
    <w:rsid w:val="003706AD"/>
    <w:rsid w:val="003709B5"/>
    <w:rsid w:val="0037156B"/>
    <w:rsid w:val="00371D40"/>
    <w:rsid w:val="003735E3"/>
    <w:rsid w:val="003742B8"/>
    <w:rsid w:val="00374855"/>
    <w:rsid w:val="0037566A"/>
    <w:rsid w:val="003759C2"/>
    <w:rsid w:val="00376A70"/>
    <w:rsid w:val="0037710B"/>
    <w:rsid w:val="00377FCD"/>
    <w:rsid w:val="003800A1"/>
    <w:rsid w:val="00380F32"/>
    <w:rsid w:val="00381AAD"/>
    <w:rsid w:val="00383AB4"/>
    <w:rsid w:val="00384161"/>
    <w:rsid w:val="00385A73"/>
    <w:rsid w:val="00386A9A"/>
    <w:rsid w:val="00387C27"/>
    <w:rsid w:val="00390681"/>
    <w:rsid w:val="0039127D"/>
    <w:rsid w:val="0039155D"/>
    <w:rsid w:val="0039172F"/>
    <w:rsid w:val="003923CF"/>
    <w:rsid w:val="0039240B"/>
    <w:rsid w:val="00392A7C"/>
    <w:rsid w:val="0039330E"/>
    <w:rsid w:val="0039337E"/>
    <w:rsid w:val="00393F9F"/>
    <w:rsid w:val="0039489C"/>
    <w:rsid w:val="00395DA5"/>
    <w:rsid w:val="00396389"/>
    <w:rsid w:val="0039666B"/>
    <w:rsid w:val="00397365"/>
    <w:rsid w:val="00397DA6"/>
    <w:rsid w:val="003A0389"/>
    <w:rsid w:val="003A09A2"/>
    <w:rsid w:val="003A0B61"/>
    <w:rsid w:val="003A1451"/>
    <w:rsid w:val="003A1A65"/>
    <w:rsid w:val="003A31F6"/>
    <w:rsid w:val="003A3A6C"/>
    <w:rsid w:val="003A3E98"/>
    <w:rsid w:val="003A4D67"/>
    <w:rsid w:val="003A6FE1"/>
    <w:rsid w:val="003B1627"/>
    <w:rsid w:val="003B1DFC"/>
    <w:rsid w:val="003B2C98"/>
    <w:rsid w:val="003B3EF0"/>
    <w:rsid w:val="003B4485"/>
    <w:rsid w:val="003B4F63"/>
    <w:rsid w:val="003B534A"/>
    <w:rsid w:val="003B75C7"/>
    <w:rsid w:val="003B79D4"/>
    <w:rsid w:val="003B7AE8"/>
    <w:rsid w:val="003C0474"/>
    <w:rsid w:val="003C156A"/>
    <w:rsid w:val="003C242C"/>
    <w:rsid w:val="003C3447"/>
    <w:rsid w:val="003C4072"/>
    <w:rsid w:val="003C66E3"/>
    <w:rsid w:val="003C7822"/>
    <w:rsid w:val="003D0607"/>
    <w:rsid w:val="003D076C"/>
    <w:rsid w:val="003D1367"/>
    <w:rsid w:val="003D160E"/>
    <w:rsid w:val="003D1FD8"/>
    <w:rsid w:val="003D34F9"/>
    <w:rsid w:val="003D38E3"/>
    <w:rsid w:val="003D6335"/>
    <w:rsid w:val="003D7344"/>
    <w:rsid w:val="003E01CE"/>
    <w:rsid w:val="003E0745"/>
    <w:rsid w:val="003E090C"/>
    <w:rsid w:val="003E2664"/>
    <w:rsid w:val="003E3442"/>
    <w:rsid w:val="003E3CED"/>
    <w:rsid w:val="003E5626"/>
    <w:rsid w:val="003E7112"/>
    <w:rsid w:val="003E7817"/>
    <w:rsid w:val="003E78B5"/>
    <w:rsid w:val="003F1778"/>
    <w:rsid w:val="003F3905"/>
    <w:rsid w:val="003F54A4"/>
    <w:rsid w:val="003F65FB"/>
    <w:rsid w:val="003F70F2"/>
    <w:rsid w:val="003F77E3"/>
    <w:rsid w:val="003F7F77"/>
    <w:rsid w:val="00400A3D"/>
    <w:rsid w:val="004013AF"/>
    <w:rsid w:val="0040199C"/>
    <w:rsid w:val="00402C03"/>
    <w:rsid w:val="00405029"/>
    <w:rsid w:val="0040781C"/>
    <w:rsid w:val="00407A25"/>
    <w:rsid w:val="00407C33"/>
    <w:rsid w:val="00410552"/>
    <w:rsid w:val="004135D1"/>
    <w:rsid w:val="004151D9"/>
    <w:rsid w:val="00415255"/>
    <w:rsid w:val="0041597A"/>
    <w:rsid w:val="00415BAB"/>
    <w:rsid w:val="00415ED2"/>
    <w:rsid w:val="00416E9F"/>
    <w:rsid w:val="00417189"/>
    <w:rsid w:val="00420205"/>
    <w:rsid w:val="0042068C"/>
    <w:rsid w:val="00421E96"/>
    <w:rsid w:val="00423679"/>
    <w:rsid w:val="004237FF"/>
    <w:rsid w:val="00424FE3"/>
    <w:rsid w:val="004255DF"/>
    <w:rsid w:val="00425A70"/>
    <w:rsid w:val="00425E93"/>
    <w:rsid w:val="00425F7D"/>
    <w:rsid w:val="004272FF"/>
    <w:rsid w:val="00431492"/>
    <w:rsid w:val="004315C7"/>
    <w:rsid w:val="004323B1"/>
    <w:rsid w:val="00432822"/>
    <w:rsid w:val="00437081"/>
    <w:rsid w:val="00440840"/>
    <w:rsid w:val="00440DC7"/>
    <w:rsid w:val="00441C8E"/>
    <w:rsid w:val="00441FD9"/>
    <w:rsid w:val="004429D9"/>
    <w:rsid w:val="00442CCF"/>
    <w:rsid w:val="0044318E"/>
    <w:rsid w:val="00443B35"/>
    <w:rsid w:val="00446813"/>
    <w:rsid w:val="00446BEE"/>
    <w:rsid w:val="00446C55"/>
    <w:rsid w:val="0045009B"/>
    <w:rsid w:val="004508F2"/>
    <w:rsid w:val="00450A9D"/>
    <w:rsid w:val="00451303"/>
    <w:rsid w:val="0045178C"/>
    <w:rsid w:val="00452577"/>
    <w:rsid w:val="004526AC"/>
    <w:rsid w:val="0045293D"/>
    <w:rsid w:val="0045463B"/>
    <w:rsid w:val="00455DAE"/>
    <w:rsid w:val="00455E26"/>
    <w:rsid w:val="00456622"/>
    <w:rsid w:val="004575B9"/>
    <w:rsid w:val="00457D41"/>
    <w:rsid w:val="00460F4E"/>
    <w:rsid w:val="00461628"/>
    <w:rsid w:val="00461D9A"/>
    <w:rsid w:val="00465187"/>
    <w:rsid w:val="00466988"/>
    <w:rsid w:val="0047092D"/>
    <w:rsid w:val="0047122B"/>
    <w:rsid w:val="00472125"/>
    <w:rsid w:val="00472720"/>
    <w:rsid w:val="00473B7A"/>
    <w:rsid w:val="00474922"/>
    <w:rsid w:val="004758EA"/>
    <w:rsid w:val="004771D9"/>
    <w:rsid w:val="004779B4"/>
    <w:rsid w:val="00477A77"/>
    <w:rsid w:val="0048185E"/>
    <w:rsid w:val="00481F5D"/>
    <w:rsid w:val="0048216C"/>
    <w:rsid w:val="00482D44"/>
    <w:rsid w:val="0048350C"/>
    <w:rsid w:val="004836D4"/>
    <w:rsid w:val="00483D96"/>
    <w:rsid w:val="00485CA3"/>
    <w:rsid w:val="00487B4A"/>
    <w:rsid w:val="00490CC9"/>
    <w:rsid w:val="00492230"/>
    <w:rsid w:val="00492C4A"/>
    <w:rsid w:val="00493ADB"/>
    <w:rsid w:val="004957FD"/>
    <w:rsid w:val="00495EFD"/>
    <w:rsid w:val="004960E9"/>
    <w:rsid w:val="00497384"/>
    <w:rsid w:val="004974D8"/>
    <w:rsid w:val="00497DC9"/>
    <w:rsid w:val="004A15FF"/>
    <w:rsid w:val="004A2E88"/>
    <w:rsid w:val="004A5305"/>
    <w:rsid w:val="004A6144"/>
    <w:rsid w:val="004A6D92"/>
    <w:rsid w:val="004B132B"/>
    <w:rsid w:val="004B13C6"/>
    <w:rsid w:val="004B1460"/>
    <w:rsid w:val="004B1EC2"/>
    <w:rsid w:val="004B41C9"/>
    <w:rsid w:val="004B5935"/>
    <w:rsid w:val="004B71A5"/>
    <w:rsid w:val="004B7FAF"/>
    <w:rsid w:val="004C0257"/>
    <w:rsid w:val="004C0564"/>
    <w:rsid w:val="004C05BC"/>
    <w:rsid w:val="004C0E93"/>
    <w:rsid w:val="004C687E"/>
    <w:rsid w:val="004D040D"/>
    <w:rsid w:val="004D182B"/>
    <w:rsid w:val="004D4089"/>
    <w:rsid w:val="004D4B8C"/>
    <w:rsid w:val="004D5A3A"/>
    <w:rsid w:val="004D5C6B"/>
    <w:rsid w:val="004D6BC4"/>
    <w:rsid w:val="004D7178"/>
    <w:rsid w:val="004D72B2"/>
    <w:rsid w:val="004D7634"/>
    <w:rsid w:val="004D76EE"/>
    <w:rsid w:val="004E0B17"/>
    <w:rsid w:val="004E1214"/>
    <w:rsid w:val="004E196A"/>
    <w:rsid w:val="004E1C30"/>
    <w:rsid w:val="004E410F"/>
    <w:rsid w:val="004E4A05"/>
    <w:rsid w:val="004E55D4"/>
    <w:rsid w:val="004E5EAA"/>
    <w:rsid w:val="004E611A"/>
    <w:rsid w:val="004E650C"/>
    <w:rsid w:val="004E78FF"/>
    <w:rsid w:val="004E7CF3"/>
    <w:rsid w:val="004F0852"/>
    <w:rsid w:val="004F165C"/>
    <w:rsid w:val="004F177E"/>
    <w:rsid w:val="004F17CA"/>
    <w:rsid w:val="004F3DF8"/>
    <w:rsid w:val="004F4F9B"/>
    <w:rsid w:val="004F5BC3"/>
    <w:rsid w:val="004F5F72"/>
    <w:rsid w:val="004F6360"/>
    <w:rsid w:val="004F6460"/>
    <w:rsid w:val="004F737D"/>
    <w:rsid w:val="004F7CA0"/>
    <w:rsid w:val="005010CF"/>
    <w:rsid w:val="005044C6"/>
    <w:rsid w:val="005046DF"/>
    <w:rsid w:val="00505381"/>
    <w:rsid w:val="00505B76"/>
    <w:rsid w:val="00506AFF"/>
    <w:rsid w:val="00506E54"/>
    <w:rsid w:val="00507DC6"/>
    <w:rsid w:val="00511171"/>
    <w:rsid w:val="00511F57"/>
    <w:rsid w:val="0051288E"/>
    <w:rsid w:val="00515D56"/>
    <w:rsid w:val="0051635B"/>
    <w:rsid w:val="00516B3B"/>
    <w:rsid w:val="00516E6B"/>
    <w:rsid w:val="00517400"/>
    <w:rsid w:val="00520010"/>
    <w:rsid w:val="005200A6"/>
    <w:rsid w:val="0052110A"/>
    <w:rsid w:val="00521271"/>
    <w:rsid w:val="0052144F"/>
    <w:rsid w:val="00523913"/>
    <w:rsid w:val="00523A96"/>
    <w:rsid w:val="00525389"/>
    <w:rsid w:val="00525583"/>
    <w:rsid w:val="00525697"/>
    <w:rsid w:val="00525AEE"/>
    <w:rsid w:val="00526330"/>
    <w:rsid w:val="00526A6A"/>
    <w:rsid w:val="00526C8C"/>
    <w:rsid w:val="0052720E"/>
    <w:rsid w:val="0052725A"/>
    <w:rsid w:val="00527E43"/>
    <w:rsid w:val="005300D3"/>
    <w:rsid w:val="0053057E"/>
    <w:rsid w:val="0053058C"/>
    <w:rsid w:val="00533E34"/>
    <w:rsid w:val="0053520D"/>
    <w:rsid w:val="00536925"/>
    <w:rsid w:val="00540944"/>
    <w:rsid w:val="0054109E"/>
    <w:rsid w:val="00542731"/>
    <w:rsid w:val="00542A10"/>
    <w:rsid w:val="00543038"/>
    <w:rsid w:val="00543B0C"/>
    <w:rsid w:val="00544F82"/>
    <w:rsid w:val="00545DA9"/>
    <w:rsid w:val="005460E7"/>
    <w:rsid w:val="00546568"/>
    <w:rsid w:val="00546CD5"/>
    <w:rsid w:val="005509D2"/>
    <w:rsid w:val="00550C38"/>
    <w:rsid w:val="00551C12"/>
    <w:rsid w:val="00554C96"/>
    <w:rsid w:val="00555BA6"/>
    <w:rsid w:val="00555F0E"/>
    <w:rsid w:val="00557262"/>
    <w:rsid w:val="005575E9"/>
    <w:rsid w:val="00557C8A"/>
    <w:rsid w:val="00560A68"/>
    <w:rsid w:val="0056183A"/>
    <w:rsid w:val="005620E8"/>
    <w:rsid w:val="005628C1"/>
    <w:rsid w:val="00562E83"/>
    <w:rsid w:val="00563E79"/>
    <w:rsid w:val="0056428B"/>
    <w:rsid w:val="00564B67"/>
    <w:rsid w:val="00564B8B"/>
    <w:rsid w:val="00564EDF"/>
    <w:rsid w:val="0056570C"/>
    <w:rsid w:val="00566685"/>
    <w:rsid w:val="005673AC"/>
    <w:rsid w:val="00567424"/>
    <w:rsid w:val="00570CC7"/>
    <w:rsid w:val="005711EC"/>
    <w:rsid w:val="005714A3"/>
    <w:rsid w:val="00571C46"/>
    <w:rsid w:val="00571CB4"/>
    <w:rsid w:val="00571D26"/>
    <w:rsid w:val="00573708"/>
    <w:rsid w:val="00574008"/>
    <w:rsid w:val="005750F5"/>
    <w:rsid w:val="00581850"/>
    <w:rsid w:val="00582012"/>
    <w:rsid w:val="005843A4"/>
    <w:rsid w:val="00585A2E"/>
    <w:rsid w:val="00585CF8"/>
    <w:rsid w:val="00585EEC"/>
    <w:rsid w:val="00586CF2"/>
    <w:rsid w:val="00590FA3"/>
    <w:rsid w:val="005912D1"/>
    <w:rsid w:val="0059145D"/>
    <w:rsid w:val="00593C4F"/>
    <w:rsid w:val="005943AA"/>
    <w:rsid w:val="005946A8"/>
    <w:rsid w:val="00595129"/>
    <w:rsid w:val="0059537B"/>
    <w:rsid w:val="0059586E"/>
    <w:rsid w:val="005A01FB"/>
    <w:rsid w:val="005A0394"/>
    <w:rsid w:val="005A0E0C"/>
    <w:rsid w:val="005A35ED"/>
    <w:rsid w:val="005A3DF8"/>
    <w:rsid w:val="005A3E1C"/>
    <w:rsid w:val="005A4407"/>
    <w:rsid w:val="005A59EF"/>
    <w:rsid w:val="005A5B8B"/>
    <w:rsid w:val="005A648D"/>
    <w:rsid w:val="005A676C"/>
    <w:rsid w:val="005B00C3"/>
    <w:rsid w:val="005B08DD"/>
    <w:rsid w:val="005B1C7E"/>
    <w:rsid w:val="005B2098"/>
    <w:rsid w:val="005B30DF"/>
    <w:rsid w:val="005B5626"/>
    <w:rsid w:val="005B6324"/>
    <w:rsid w:val="005B6CB3"/>
    <w:rsid w:val="005B6E70"/>
    <w:rsid w:val="005C00E9"/>
    <w:rsid w:val="005C14A4"/>
    <w:rsid w:val="005C1C0B"/>
    <w:rsid w:val="005C1C67"/>
    <w:rsid w:val="005C2146"/>
    <w:rsid w:val="005C3BAA"/>
    <w:rsid w:val="005C4CBC"/>
    <w:rsid w:val="005C51B8"/>
    <w:rsid w:val="005C6976"/>
    <w:rsid w:val="005C7781"/>
    <w:rsid w:val="005C7824"/>
    <w:rsid w:val="005D0A73"/>
    <w:rsid w:val="005D1C05"/>
    <w:rsid w:val="005D1DE8"/>
    <w:rsid w:val="005D352F"/>
    <w:rsid w:val="005D533D"/>
    <w:rsid w:val="005D5BC6"/>
    <w:rsid w:val="005E138A"/>
    <w:rsid w:val="005E2B7C"/>
    <w:rsid w:val="005E4914"/>
    <w:rsid w:val="005F3416"/>
    <w:rsid w:val="005F3543"/>
    <w:rsid w:val="005F39CA"/>
    <w:rsid w:val="005F4A28"/>
    <w:rsid w:val="005F4F2F"/>
    <w:rsid w:val="005F526D"/>
    <w:rsid w:val="005F6EA9"/>
    <w:rsid w:val="005F6F41"/>
    <w:rsid w:val="005F7013"/>
    <w:rsid w:val="00601DDF"/>
    <w:rsid w:val="0060260C"/>
    <w:rsid w:val="00604A98"/>
    <w:rsid w:val="006056FC"/>
    <w:rsid w:val="00605DA0"/>
    <w:rsid w:val="00606FEE"/>
    <w:rsid w:val="00610A14"/>
    <w:rsid w:val="0061112B"/>
    <w:rsid w:val="00611B5C"/>
    <w:rsid w:val="00614138"/>
    <w:rsid w:val="00614509"/>
    <w:rsid w:val="0061581B"/>
    <w:rsid w:val="00616160"/>
    <w:rsid w:val="006164E4"/>
    <w:rsid w:val="006166B9"/>
    <w:rsid w:val="00616B17"/>
    <w:rsid w:val="00617E6D"/>
    <w:rsid w:val="00620164"/>
    <w:rsid w:val="006203E4"/>
    <w:rsid w:val="00620FCF"/>
    <w:rsid w:val="006212C0"/>
    <w:rsid w:val="00622B67"/>
    <w:rsid w:val="00623032"/>
    <w:rsid w:val="006236DF"/>
    <w:rsid w:val="00625D9F"/>
    <w:rsid w:val="00625DC6"/>
    <w:rsid w:val="006263B4"/>
    <w:rsid w:val="0062729D"/>
    <w:rsid w:val="00627335"/>
    <w:rsid w:val="006327E7"/>
    <w:rsid w:val="00632871"/>
    <w:rsid w:val="0063551F"/>
    <w:rsid w:val="00635B22"/>
    <w:rsid w:val="00636835"/>
    <w:rsid w:val="006371C6"/>
    <w:rsid w:val="00637F1B"/>
    <w:rsid w:val="00641554"/>
    <w:rsid w:val="0064343E"/>
    <w:rsid w:val="006438F9"/>
    <w:rsid w:val="0064391D"/>
    <w:rsid w:val="00644E86"/>
    <w:rsid w:val="00645BF9"/>
    <w:rsid w:val="00646366"/>
    <w:rsid w:val="00646756"/>
    <w:rsid w:val="00647048"/>
    <w:rsid w:val="00647FA3"/>
    <w:rsid w:val="006508AB"/>
    <w:rsid w:val="00650D7D"/>
    <w:rsid w:val="00651154"/>
    <w:rsid w:val="006516F4"/>
    <w:rsid w:val="00651821"/>
    <w:rsid w:val="00651A48"/>
    <w:rsid w:val="00651BBF"/>
    <w:rsid w:val="00651C8E"/>
    <w:rsid w:val="006528E5"/>
    <w:rsid w:val="00654384"/>
    <w:rsid w:val="00654E96"/>
    <w:rsid w:val="006622B2"/>
    <w:rsid w:val="00665786"/>
    <w:rsid w:val="00665868"/>
    <w:rsid w:val="00666A1D"/>
    <w:rsid w:val="006673D1"/>
    <w:rsid w:val="006675CD"/>
    <w:rsid w:val="00667AD5"/>
    <w:rsid w:val="00670229"/>
    <w:rsid w:val="0067238D"/>
    <w:rsid w:val="006740B2"/>
    <w:rsid w:val="00674313"/>
    <w:rsid w:val="006747D5"/>
    <w:rsid w:val="0067569D"/>
    <w:rsid w:val="00675985"/>
    <w:rsid w:val="006763C9"/>
    <w:rsid w:val="00677E6A"/>
    <w:rsid w:val="006801CC"/>
    <w:rsid w:val="00680BFA"/>
    <w:rsid w:val="00683EB3"/>
    <w:rsid w:val="00684D9B"/>
    <w:rsid w:val="0068510A"/>
    <w:rsid w:val="00685BCB"/>
    <w:rsid w:val="00690CEF"/>
    <w:rsid w:val="006916E2"/>
    <w:rsid w:val="0069245B"/>
    <w:rsid w:val="00694E6C"/>
    <w:rsid w:val="00696F0D"/>
    <w:rsid w:val="00697363"/>
    <w:rsid w:val="00697556"/>
    <w:rsid w:val="006A1CA8"/>
    <w:rsid w:val="006A1EB6"/>
    <w:rsid w:val="006A2BF9"/>
    <w:rsid w:val="006A2EDF"/>
    <w:rsid w:val="006A4B56"/>
    <w:rsid w:val="006A616B"/>
    <w:rsid w:val="006A72C7"/>
    <w:rsid w:val="006B0B87"/>
    <w:rsid w:val="006B10D7"/>
    <w:rsid w:val="006B1FDF"/>
    <w:rsid w:val="006B4081"/>
    <w:rsid w:val="006B4647"/>
    <w:rsid w:val="006B4C2B"/>
    <w:rsid w:val="006B5DFE"/>
    <w:rsid w:val="006B6139"/>
    <w:rsid w:val="006B6194"/>
    <w:rsid w:val="006B661E"/>
    <w:rsid w:val="006B6AD5"/>
    <w:rsid w:val="006B6D47"/>
    <w:rsid w:val="006B7078"/>
    <w:rsid w:val="006B719A"/>
    <w:rsid w:val="006C0011"/>
    <w:rsid w:val="006C0769"/>
    <w:rsid w:val="006C1FD7"/>
    <w:rsid w:val="006C262B"/>
    <w:rsid w:val="006C3E16"/>
    <w:rsid w:val="006C4912"/>
    <w:rsid w:val="006C5AFE"/>
    <w:rsid w:val="006C7715"/>
    <w:rsid w:val="006C7AF6"/>
    <w:rsid w:val="006D1517"/>
    <w:rsid w:val="006D2747"/>
    <w:rsid w:val="006D30B1"/>
    <w:rsid w:val="006D4D77"/>
    <w:rsid w:val="006D5E04"/>
    <w:rsid w:val="006E0123"/>
    <w:rsid w:val="006E0A54"/>
    <w:rsid w:val="006E155D"/>
    <w:rsid w:val="006E1EEA"/>
    <w:rsid w:val="006E4298"/>
    <w:rsid w:val="006E4C15"/>
    <w:rsid w:val="006E4F1F"/>
    <w:rsid w:val="006E5FC3"/>
    <w:rsid w:val="006E72FE"/>
    <w:rsid w:val="006F268E"/>
    <w:rsid w:val="006F2EC8"/>
    <w:rsid w:val="006F33A3"/>
    <w:rsid w:val="006F3970"/>
    <w:rsid w:val="006F4824"/>
    <w:rsid w:val="006F56D0"/>
    <w:rsid w:val="006F5E13"/>
    <w:rsid w:val="006F6B59"/>
    <w:rsid w:val="006F6D95"/>
    <w:rsid w:val="006F7CFE"/>
    <w:rsid w:val="007019A4"/>
    <w:rsid w:val="00702937"/>
    <w:rsid w:val="00705F85"/>
    <w:rsid w:val="00706F13"/>
    <w:rsid w:val="00706F46"/>
    <w:rsid w:val="007072E8"/>
    <w:rsid w:val="007076FB"/>
    <w:rsid w:val="00710FF1"/>
    <w:rsid w:val="007127EF"/>
    <w:rsid w:val="007134B4"/>
    <w:rsid w:val="00714A31"/>
    <w:rsid w:val="0071618D"/>
    <w:rsid w:val="00717C93"/>
    <w:rsid w:val="0072116F"/>
    <w:rsid w:val="00721534"/>
    <w:rsid w:val="00721A52"/>
    <w:rsid w:val="00721D5B"/>
    <w:rsid w:val="00721ED5"/>
    <w:rsid w:val="00722B3D"/>
    <w:rsid w:val="00723A41"/>
    <w:rsid w:val="00723CF0"/>
    <w:rsid w:val="0072463D"/>
    <w:rsid w:val="00724792"/>
    <w:rsid w:val="00724A10"/>
    <w:rsid w:val="00724C58"/>
    <w:rsid w:val="00725FA4"/>
    <w:rsid w:val="00727B2C"/>
    <w:rsid w:val="00730103"/>
    <w:rsid w:val="00730129"/>
    <w:rsid w:val="00730F10"/>
    <w:rsid w:val="00731511"/>
    <w:rsid w:val="00732E0B"/>
    <w:rsid w:val="00732FDC"/>
    <w:rsid w:val="007330DC"/>
    <w:rsid w:val="00733DD7"/>
    <w:rsid w:val="007340CC"/>
    <w:rsid w:val="00734187"/>
    <w:rsid w:val="00734C73"/>
    <w:rsid w:val="00735DBB"/>
    <w:rsid w:val="00740446"/>
    <w:rsid w:val="00740C8E"/>
    <w:rsid w:val="007438A9"/>
    <w:rsid w:val="00743E7F"/>
    <w:rsid w:val="0074482F"/>
    <w:rsid w:val="0074491E"/>
    <w:rsid w:val="00745C85"/>
    <w:rsid w:val="007461C0"/>
    <w:rsid w:val="00746E56"/>
    <w:rsid w:val="007475E2"/>
    <w:rsid w:val="007511E4"/>
    <w:rsid w:val="00751EEB"/>
    <w:rsid w:val="00754B2D"/>
    <w:rsid w:val="0075578E"/>
    <w:rsid w:val="007602F3"/>
    <w:rsid w:val="00761244"/>
    <w:rsid w:val="0076163F"/>
    <w:rsid w:val="0076247A"/>
    <w:rsid w:val="00762FB0"/>
    <w:rsid w:val="00763175"/>
    <w:rsid w:val="00763381"/>
    <w:rsid w:val="0076488C"/>
    <w:rsid w:val="00764CB3"/>
    <w:rsid w:val="0076701B"/>
    <w:rsid w:val="00767391"/>
    <w:rsid w:val="007705CD"/>
    <w:rsid w:val="00774ABE"/>
    <w:rsid w:val="00775964"/>
    <w:rsid w:val="0077639F"/>
    <w:rsid w:val="007765FE"/>
    <w:rsid w:val="007766B3"/>
    <w:rsid w:val="00777163"/>
    <w:rsid w:val="00781E1A"/>
    <w:rsid w:val="00781EBA"/>
    <w:rsid w:val="00782822"/>
    <w:rsid w:val="00785664"/>
    <w:rsid w:val="00785678"/>
    <w:rsid w:val="00787E5A"/>
    <w:rsid w:val="00790375"/>
    <w:rsid w:val="007910F2"/>
    <w:rsid w:val="007923A0"/>
    <w:rsid w:val="007928B7"/>
    <w:rsid w:val="00793207"/>
    <w:rsid w:val="00793C5D"/>
    <w:rsid w:val="00794E2E"/>
    <w:rsid w:val="00795373"/>
    <w:rsid w:val="00795BFB"/>
    <w:rsid w:val="007969B5"/>
    <w:rsid w:val="00797D92"/>
    <w:rsid w:val="00797DB9"/>
    <w:rsid w:val="007A060C"/>
    <w:rsid w:val="007A5E57"/>
    <w:rsid w:val="007A75EE"/>
    <w:rsid w:val="007B093F"/>
    <w:rsid w:val="007B0FAC"/>
    <w:rsid w:val="007B100F"/>
    <w:rsid w:val="007B1CF5"/>
    <w:rsid w:val="007B21B7"/>
    <w:rsid w:val="007B2760"/>
    <w:rsid w:val="007B2802"/>
    <w:rsid w:val="007B2BBA"/>
    <w:rsid w:val="007B357B"/>
    <w:rsid w:val="007B47C4"/>
    <w:rsid w:val="007B53E9"/>
    <w:rsid w:val="007B564B"/>
    <w:rsid w:val="007B5CF2"/>
    <w:rsid w:val="007B71EE"/>
    <w:rsid w:val="007B77CE"/>
    <w:rsid w:val="007B7F5E"/>
    <w:rsid w:val="007C127E"/>
    <w:rsid w:val="007C1B10"/>
    <w:rsid w:val="007C1F1A"/>
    <w:rsid w:val="007C2407"/>
    <w:rsid w:val="007C585E"/>
    <w:rsid w:val="007C5B24"/>
    <w:rsid w:val="007C6563"/>
    <w:rsid w:val="007C79E3"/>
    <w:rsid w:val="007D21CD"/>
    <w:rsid w:val="007D420E"/>
    <w:rsid w:val="007D49D7"/>
    <w:rsid w:val="007D5836"/>
    <w:rsid w:val="007D69D2"/>
    <w:rsid w:val="007D6B92"/>
    <w:rsid w:val="007E0099"/>
    <w:rsid w:val="007E02C4"/>
    <w:rsid w:val="007E09A4"/>
    <w:rsid w:val="007E1112"/>
    <w:rsid w:val="007E3D47"/>
    <w:rsid w:val="007E4A8E"/>
    <w:rsid w:val="007E5792"/>
    <w:rsid w:val="007E5B81"/>
    <w:rsid w:val="007E66B1"/>
    <w:rsid w:val="007E6A5A"/>
    <w:rsid w:val="007E6C4A"/>
    <w:rsid w:val="007E71A4"/>
    <w:rsid w:val="007E7A97"/>
    <w:rsid w:val="007F0253"/>
    <w:rsid w:val="007F1280"/>
    <w:rsid w:val="007F5750"/>
    <w:rsid w:val="007F6527"/>
    <w:rsid w:val="007F6C99"/>
    <w:rsid w:val="007F7C1B"/>
    <w:rsid w:val="00800D21"/>
    <w:rsid w:val="00801F33"/>
    <w:rsid w:val="00802255"/>
    <w:rsid w:val="00802DA5"/>
    <w:rsid w:val="00802E44"/>
    <w:rsid w:val="00803071"/>
    <w:rsid w:val="0080401E"/>
    <w:rsid w:val="008040FB"/>
    <w:rsid w:val="008043BB"/>
    <w:rsid w:val="00804D0D"/>
    <w:rsid w:val="00804D2E"/>
    <w:rsid w:val="008062AD"/>
    <w:rsid w:val="00806549"/>
    <w:rsid w:val="00806C01"/>
    <w:rsid w:val="00807D22"/>
    <w:rsid w:val="00810A93"/>
    <w:rsid w:val="00810B35"/>
    <w:rsid w:val="00811D3E"/>
    <w:rsid w:val="00812BAE"/>
    <w:rsid w:val="0081468B"/>
    <w:rsid w:val="008148CC"/>
    <w:rsid w:val="008162D1"/>
    <w:rsid w:val="008167FC"/>
    <w:rsid w:val="008170E2"/>
    <w:rsid w:val="00817731"/>
    <w:rsid w:val="008211A4"/>
    <w:rsid w:val="00821986"/>
    <w:rsid w:val="00822961"/>
    <w:rsid w:val="0082311D"/>
    <w:rsid w:val="008237CA"/>
    <w:rsid w:val="00823C9E"/>
    <w:rsid w:val="008240DB"/>
    <w:rsid w:val="00824A74"/>
    <w:rsid w:val="008251BC"/>
    <w:rsid w:val="00826E96"/>
    <w:rsid w:val="008270D5"/>
    <w:rsid w:val="008276D9"/>
    <w:rsid w:val="00830FF0"/>
    <w:rsid w:val="0083140E"/>
    <w:rsid w:val="008318F6"/>
    <w:rsid w:val="00831A7D"/>
    <w:rsid w:val="00832D90"/>
    <w:rsid w:val="00834EFB"/>
    <w:rsid w:val="00837AD4"/>
    <w:rsid w:val="008413A4"/>
    <w:rsid w:val="00841D80"/>
    <w:rsid w:val="00842049"/>
    <w:rsid w:val="00842644"/>
    <w:rsid w:val="00842868"/>
    <w:rsid w:val="00842BD5"/>
    <w:rsid w:val="008434EE"/>
    <w:rsid w:val="00843DAD"/>
    <w:rsid w:val="008444C9"/>
    <w:rsid w:val="00845BAD"/>
    <w:rsid w:val="0084693A"/>
    <w:rsid w:val="008471A8"/>
    <w:rsid w:val="008511DC"/>
    <w:rsid w:val="00851CD1"/>
    <w:rsid w:val="00854203"/>
    <w:rsid w:val="0085640E"/>
    <w:rsid w:val="008567D4"/>
    <w:rsid w:val="00857229"/>
    <w:rsid w:val="00861829"/>
    <w:rsid w:val="008625B3"/>
    <w:rsid w:val="00862E48"/>
    <w:rsid w:val="00863A37"/>
    <w:rsid w:val="00863AB8"/>
    <w:rsid w:val="00864C35"/>
    <w:rsid w:val="00864F48"/>
    <w:rsid w:val="00866DF9"/>
    <w:rsid w:val="0086711E"/>
    <w:rsid w:val="00870417"/>
    <w:rsid w:val="0087143B"/>
    <w:rsid w:val="008723DD"/>
    <w:rsid w:val="00873150"/>
    <w:rsid w:val="00873FF9"/>
    <w:rsid w:val="00874329"/>
    <w:rsid w:val="00874613"/>
    <w:rsid w:val="00875B5E"/>
    <w:rsid w:val="00876557"/>
    <w:rsid w:val="0087657D"/>
    <w:rsid w:val="008771B8"/>
    <w:rsid w:val="008800E4"/>
    <w:rsid w:val="008807D5"/>
    <w:rsid w:val="00880832"/>
    <w:rsid w:val="00881A25"/>
    <w:rsid w:val="00881A3D"/>
    <w:rsid w:val="008822EA"/>
    <w:rsid w:val="0088369F"/>
    <w:rsid w:val="008836A4"/>
    <w:rsid w:val="0088389F"/>
    <w:rsid w:val="00884D80"/>
    <w:rsid w:val="00886D19"/>
    <w:rsid w:val="00886EE1"/>
    <w:rsid w:val="0088727D"/>
    <w:rsid w:val="00887927"/>
    <w:rsid w:val="00887F31"/>
    <w:rsid w:val="008902C7"/>
    <w:rsid w:val="00892F2C"/>
    <w:rsid w:val="0089340F"/>
    <w:rsid w:val="008944D2"/>
    <w:rsid w:val="00894B89"/>
    <w:rsid w:val="00895326"/>
    <w:rsid w:val="0089612C"/>
    <w:rsid w:val="00896F62"/>
    <w:rsid w:val="00897423"/>
    <w:rsid w:val="00897C27"/>
    <w:rsid w:val="00897C75"/>
    <w:rsid w:val="008A0E24"/>
    <w:rsid w:val="008A0F70"/>
    <w:rsid w:val="008A1221"/>
    <w:rsid w:val="008A1461"/>
    <w:rsid w:val="008A18DE"/>
    <w:rsid w:val="008A1EDB"/>
    <w:rsid w:val="008A2565"/>
    <w:rsid w:val="008A3B48"/>
    <w:rsid w:val="008A4148"/>
    <w:rsid w:val="008A4BD9"/>
    <w:rsid w:val="008A6101"/>
    <w:rsid w:val="008A66C8"/>
    <w:rsid w:val="008A6BE9"/>
    <w:rsid w:val="008A7669"/>
    <w:rsid w:val="008A766D"/>
    <w:rsid w:val="008A7861"/>
    <w:rsid w:val="008B1869"/>
    <w:rsid w:val="008B1D1C"/>
    <w:rsid w:val="008B21A6"/>
    <w:rsid w:val="008B2CEF"/>
    <w:rsid w:val="008B2EAF"/>
    <w:rsid w:val="008B3AEF"/>
    <w:rsid w:val="008B502D"/>
    <w:rsid w:val="008B61E5"/>
    <w:rsid w:val="008B6760"/>
    <w:rsid w:val="008B6CFD"/>
    <w:rsid w:val="008C1097"/>
    <w:rsid w:val="008C1130"/>
    <w:rsid w:val="008C1914"/>
    <w:rsid w:val="008C3591"/>
    <w:rsid w:val="008C419D"/>
    <w:rsid w:val="008C4758"/>
    <w:rsid w:val="008C54CC"/>
    <w:rsid w:val="008C6406"/>
    <w:rsid w:val="008C6841"/>
    <w:rsid w:val="008C6D97"/>
    <w:rsid w:val="008C7A64"/>
    <w:rsid w:val="008D0647"/>
    <w:rsid w:val="008D13D1"/>
    <w:rsid w:val="008D18E6"/>
    <w:rsid w:val="008D1DC5"/>
    <w:rsid w:val="008D2566"/>
    <w:rsid w:val="008D2C6D"/>
    <w:rsid w:val="008D3144"/>
    <w:rsid w:val="008D4760"/>
    <w:rsid w:val="008D6D03"/>
    <w:rsid w:val="008D7A9B"/>
    <w:rsid w:val="008E0060"/>
    <w:rsid w:val="008E0A28"/>
    <w:rsid w:val="008E0BF5"/>
    <w:rsid w:val="008E0F2A"/>
    <w:rsid w:val="008E121C"/>
    <w:rsid w:val="008E15A4"/>
    <w:rsid w:val="008E1E53"/>
    <w:rsid w:val="008E40FE"/>
    <w:rsid w:val="008E4655"/>
    <w:rsid w:val="008E4F4C"/>
    <w:rsid w:val="008E57B9"/>
    <w:rsid w:val="008E6687"/>
    <w:rsid w:val="008E6D31"/>
    <w:rsid w:val="008E7091"/>
    <w:rsid w:val="008E7692"/>
    <w:rsid w:val="008E76AC"/>
    <w:rsid w:val="008E76D4"/>
    <w:rsid w:val="008F03AC"/>
    <w:rsid w:val="008F1019"/>
    <w:rsid w:val="008F1EB1"/>
    <w:rsid w:val="008F1FDC"/>
    <w:rsid w:val="008F21F6"/>
    <w:rsid w:val="008F28CB"/>
    <w:rsid w:val="008F2EB0"/>
    <w:rsid w:val="008F44D5"/>
    <w:rsid w:val="008F6FA2"/>
    <w:rsid w:val="008F72E0"/>
    <w:rsid w:val="008F77A3"/>
    <w:rsid w:val="008F7990"/>
    <w:rsid w:val="00900680"/>
    <w:rsid w:val="00900D1A"/>
    <w:rsid w:val="00900D5E"/>
    <w:rsid w:val="00900E75"/>
    <w:rsid w:val="00901457"/>
    <w:rsid w:val="00901DFC"/>
    <w:rsid w:val="00902F64"/>
    <w:rsid w:val="00903386"/>
    <w:rsid w:val="009043F0"/>
    <w:rsid w:val="009049C5"/>
    <w:rsid w:val="00904A12"/>
    <w:rsid w:val="00906A2D"/>
    <w:rsid w:val="00906C61"/>
    <w:rsid w:val="009113F1"/>
    <w:rsid w:val="00911F4D"/>
    <w:rsid w:val="0091359D"/>
    <w:rsid w:val="00914907"/>
    <w:rsid w:val="00914F06"/>
    <w:rsid w:val="009165C7"/>
    <w:rsid w:val="00917201"/>
    <w:rsid w:val="00917367"/>
    <w:rsid w:val="00917439"/>
    <w:rsid w:val="00920663"/>
    <w:rsid w:val="00921D03"/>
    <w:rsid w:val="00922533"/>
    <w:rsid w:val="00923B14"/>
    <w:rsid w:val="00925993"/>
    <w:rsid w:val="00926475"/>
    <w:rsid w:val="0092686B"/>
    <w:rsid w:val="00927E22"/>
    <w:rsid w:val="00930543"/>
    <w:rsid w:val="00931ADD"/>
    <w:rsid w:val="00931BC6"/>
    <w:rsid w:val="00931E01"/>
    <w:rsid w:val="0093297A"/>
    <w:rsid w:val="00932B77"/>
    <w:rsid w:val="0093373C"/>
    <w:rsid w:val="00935218"/>
    <w:rsid w:val="00936488"/>
    <w:rsid w:val="009364F2"/>
    <w:rsid w:val="00937315"/>
    <w:rsid w:val="009378A7"/>
    <w:rsid w:val="0094100A"/>
    <w:rsid w:val="0094147E"/>
    <w:rsid w:val="00941EBB"/>
    <w:rsid w:val="00942327"/>
    <w:rsid w:val="009427D5"/>
    <w:rsid w:val="0094299F"/>
    <w:rsid w:val="0094356E"/>
    <w:rsid w:val="00943CA7"/>
    <w:rsid w:val="00944E53"/>
    <w:rsid w:val="0094513B"/>
    <w:rsid w:val="00946187"/>
    <w:rsid w:val="009462BC"/>
    <w:rsid w:val="00947B74"/>
    <w:rsid w:val="00950BFC"/>
    <w:rsid w:val="009515E9"/>
    <w:rsid w:val="0095183F"/>
    <w:rsid w:val="00951925"/>
    <w:rsid w:val="00951F79"/>
    <w:rsid w:val="009529A6"/>
    <w:rsid w:val="00954404"/>
    <w:rsid w:val="00954C36"/>
    <w:rsid w:val="00954EB1"/>
    <w:rsid w:val="00955F64"/>
    <w:rsid w:val="00956377"/>
    <w:rsid w:val="00957503"/>
    <w:rsid w:val="00960324"/>
    <w:rsid w:val="00961863"/>
    <w:rsid w:val="00961EAC"/>
    <w:rsid w:val="0096279C"/>
    <w:rsid w:val="009628CC"/>
    <w:rsid w:val="00962972"/>
    <w:rsid w:val="00962BDA"/>
    <w:rsid w:val="0096342A"/>
    <w:rsid w:val="009644F8"/>
    <w:rsid w:val="00964BE8"/>
    <w:rsid w:val="00967498"/>
    <w:rsid w:val="00967D25"/>
    <w:rsid w:val="00970276"/>
    <w:rsid w:val="009703FA"/>
    <w:rsid w:val="00971CC1"/>
    <w:rsid w:val="009733BB"/>
    <w:rsid w:val="00974136"/>
    <w:rsid w:val="0097499D"/>
    <w:rsid w:val="00974AB5"/>
    <w:rsid w:val="00975624"/>
    <w:rsid w:val="00976EC7"/>
    <w:rsid w:val="00976FD7"/>
    <w:rsid w:val="00981AFD"/>
    <w:rsid w:val="009820D7"/>
    <w:rsid w:val="00982701"/>
    <w:rsid w:val="0098286E"/>
    <w:rsid w:val="00982A7B"/>
    <w:rsid w:val="00982FE1"/>
    <w:rsid w:val="009843A8"/>
    <w:rsid w:val="009844C9"/>
    <w:rsid w:val="009851BF"/>
    <w:rsid w:val="009851CD"/>
    <w:rsid w:val="00986A5E"/>
    <w:rsid w:val="0098706D"/>
    <w:rsid w:val="009873CC"/>
    <w:rsid w:val="0098764A"/>
    <w:rsid w:val="00987BDD"/>
    <w:rsid w:val="0099054D"/>
    <w:rsid w:val="00991B54"/>
    <w:rsid w:val="009935FB"/>
    <w:rsid w:val="009961D4"/>
    <w:rsid w:val="00996E66"/>
    <w:rsid w:val="009971F5"/>
    <w:rsid w:val="00997985"/>
    <w:rsid w:val="00997E69"/>
    <w:rsid w:val="009A0187"/>
    <w:rsid w:val="009A0748"/>
    <w:rsid w:val="009A0A35"/>
    <w:rsid w:val="009A1AEB"/>
    <w:rsid w:val="009A1DBD"/>
    <w:rsid w:val="009A235E"/>
    <w:rsid w:val="009A3863"/>
    <w:rsid w:val="009A3DAA"/>
    <w:rsid w:val="009A4CBF"/>
    <w:rsid w:val="009A4D1C"/>
    <w:rsid w:val="009A4F41"/>
    <w:rsid w:val="009B079A"/>
    <w:rsid w:val="009B1328"/>
    <w:rsid w:val="009B1C54"/>
    <w:rsid w:val="009B303D"/>
    <w:rsid w:val="009B3238"/>
    <w:rsid w:val="009B45B2"/>
    <w:rsid w:val="009B4F8D"/>
    <w:rsid w:val="009B509F"/>
    <w:rsid w:val="009B56D5"/>
    <w:rsid w:val="009B5752"/>
    <w:rsid w:val="009B57F5"/>
    <w:rsid w:val="009B7D6C"/>
    <w:rsid w:val="009C15AD"/>
    <w:rsid w:val="009C167B"/>
    <w:rsid w:val="009C17D3"/>
    <w:rsid w:val="009C1933"/>
    <w:rsid w:val="009C1EF5"/>
    <w:rsid w:val="009C2AF0"/>
    <w:rsid w:val="009C2E90"/>
    <w:rsid w:val="009C3DB8"/>
    <w:rsid w:val="009C422B"/>
    <w:rsid w:val="009C4259"/>
    <w:rsid w:val="009C5BC8"/>
    <w:rsid w:val="009C6FF8"/>
    <w:rsid w:val="009C71DA"/>
    <w:rsid w:val="009C73A9"/>
    <w:rsid w:val="009C7500"/>
    <w:rsid w:val="009C7987"/>
    <w:rsid w:val="009C7F29"/>
    <w:rsid w:val="009D191F"/>
    <w:rsid w:val="009D2443"/>
    <w:rsid w:val="009D2A09"/>
    <w:rsid w:val="009D2B19"/>
    <w:rsid w:val="009D418B"/>
    <w:rsid w:val="009D4626"/>
    <w:rsid w:val="009D5565"/>
    <w:rsid w:val="009D75F9"/>
    <w:rsid w:val="009E06C2"/>
    <w:rsid w:val="009E1320"/>
    <w:rsid w:val="009E1EB8"/>
    <w:rsid w:val="009E3023"/>
    <w:rsid w:val="009E3D1C"/>
    <w:rsid w:val="009E5113"/>
    <w:rsid w:val="009E5521"/>
    <w:rsid w:val="009E5968"/>
    <w:rsid w:val="009E5B91"/>
    <w:rsid w:val="009E5BC5"/>
    <w:rsid w:val="009E6A93"/>
    <w:rsid w:val="009E6C3E"/>
    <w:rsid w:val="009E7922"/>
    <w:rsid w:val="009F0489"/>
    <w:rsid w:val="009F0CEE"/>
    <w:rsid w:val="009F15BD"/>
    <w:rsid w:val="009F252B"/>
    <w:rsid w:val="009F457C"/>
    <w:rsid w:val="009F4749"/>
    <w:rsid w:val="009F47F4"/>
    <w:rsid w:val="009F4A54"/>
    <w:rsid w:val="009F4BEC"/>
    <w:rsid w:val="009F4F37"/>
    <w:rsid w:val="009F553B"/>
    <w:rsid w:val="009F578D"/>
    <w:rsid w:val="009F5874"/>
    <w:rsid w:val="009F59FE"/>
    <w:rsid w:val="009F7FBB"/>
    <w:rsid w:val="00A01B8C"/>
    <w:rsid w:val="00A04413"/>
    <w:rsid w:val="00A045AB"/>
    <w:rsid w:val="00A04D18"/>
    <w:rsid w:val="00A0515F"/>
    <w:rsid w:val="00A061FC"/>
    <w:rsid w:val="00A06735"/>
    <w:rsid w:val="00A06C25"/>
    <w:rsid w:val="00A0708C"/>
    <w:rsid w:val="00A07643"/>
    <w:rsid w:val="00A10393"/>
    <w:rsid w:val="00A107E5"/>
    <w:rsid w:val="00A10857"/>
    <w:rsid w:val="00A11576"/>
    <w:rsid w:val="00A11989"/>
    <w:rsid w:val="00A12211"/>
    <w:rsid w:val="00A122C5"/>
    <w:rsid w:val="00A137D4"/>
    <w:rsid w:val="00A144D4"/>
    <w:rsid w:val="00A17427"/>
    <w:rsid w:val="00A1772B"/>
    <w:rsid w:val="00A2261B"/>
    <w:rsid w:val="00A23DA6"/>
    <w:rsid w:val="00A240CB"/>
    <w:rsid w:val="00A242DE"/>
    <w:rsid w:val="00A2447C"/>
    <w:rsid w:val="00A24CB4"/>
    <w:rsid w:val="00A25FD7"/>
    <w:rsid w:val="00A2616D"/>
    <w:rsid w:val="00A26DEA"/>
    <w:rsid w:val="00A307F8"/>
    <w:rsid w:val="00A33B34"/>
    <w:rsid w:val="00A366F9"/>
    <w:rsid w:val="00A3773C"/>
    <w:rsid w:val="00A40669"/>
    <w:rsid w:val="00A40880"/>
    <w:rsid w:val="00A43041"/>
    <w:rsid w:val="00A4362D"/>
    <w:rsid w:val="00A43739"/>
    <w:rsid w:val="00A43AFF"/>
    <w:rsid w:val="00A454E3"/>
    <w:rsid w:val="00A45CF7"/>
    <w:rsid w:val="00A4612D"/>
    <w:rsid w:val="00A46303"/>
    <w:rsid w:val="00A50F78"/>
    <w:rsid w:val="00A50FF1"/>
    <w:rsid w:val="00A51DA4"/>
    <w:rsid w:val="00A52D39"/>
    <w:rsid w:val="00A532D3"/>
    <w:rsid w:val="00A537A1"/>
    <w:rsid w:val="00A55865"/>
    <w:rsid w:val="00A564A5"/>
    <w:rsid w:val="00A60C76"/>
    <w:rsid w:val="00A60F91"/>
    <w:rsid w:val="00A619C0"/>
    <w:rsid w:val="00A6294F"/>
    <w:rsid w:val="00A62CF6"/>
    <w:rsid w:val="00A635C8"/>
    <w:rsid w:val="00A6411B"/>
    <w:rsid w:val="00A643E7"/>
    <w:rsid w:val="00A645DF"/>
    <w:rsid w:val="00A6492A"/>
    <w:rsid w:val="00A6571F"/>
    <w:rsid w:val="00A66313"/>
    <w:rsid w:val="00A706B8"/>
    <w:rsid w:val="00A731C3"/>
    <w:rsid w:val="00A74502"/>
    <w:rsid w:val="00A74AD1"/>
    <w:rsid w:val="00A76498"/>
    <w:rsid w:val="00A7793A"/>
    <w:rsid w:val="00A80C05"/>
    <w:rsid w:val="00A80C7B"/>
    <w:rsid w:val="00A82091"/>
    <w:rsid w:val="00A827B5"/>
    <w:rsid w:val="00A83B99"/>
    <w:rsid w:val="00A83E2E"/>
    <w:rsid w:val="00A83EE1"/>
    <w:rsid w:val="00A8497A"/>
    <w:rsid w:val="00A84B9E"/>
    <w:rsid w:val="00A85C52"/>
    <w:rsid w:val="00A87A26"/>
    <w:rsid w:val="00A90A5A"/>
    <w:rsid w:val="00A91809"/>
    <w:rsid w:val="00A92906"/>
    <w:rsid w:val="00A95099"/>
    <w:rsid w:val="00A956C0"/>
    <w:rsid w:val="00A95BAC"/>
    <w:rsid w:val="00A979B5"/>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383A"/>
    <w:rsid w:val="00AB46ED"/>
    <w:rsid w:val="00AB566F"/>
    <w:rsid w:val="00AB604C"/>
    <w:rsid w:val="00AB630C"/>
    <w:rsid w:val="00AB6CA7"/>
    <w:rsid w:val="00AB6D57"/>
    <w:rsid w:val="00AB6DD5"/>
    <w:rsid w:val="00AC0BD4"/>
    <w:rsid w:val="00AC1500"/>
    <w:rsid w:val="00AC1E5F"/>
    <w:rsid w:val="00AC3B82"/>
    <w:rsid w:val="00AC3EF0"/>
    <w:rsid w:val="00AC41A3"/>
    <w:rsid w:val="00AC422F"/>
    <w:rsid w:val="00AC45AE"/>
    <w:rsid w:val="00AC4EDF"/>
    <w:rsid w:val="00AC5F01"/>
    <w:rsid w:val="00AC620D"/>
    <w:rsid w:val="00AC64D9"/>
    <w:rsid w:val="00AC6B4B"/>
    <w:rsid w:val="00AD01E4"/>
    <w:rsid w:val="00AD0858"/>
    <w:rsid w:val="00AD1511"/>
    <w:rsid w:val="00AD17E6"/>
    <w:rsid w:val="00AD3516"/>
    <w:rsid w:val="00AD4D6E"/>
    <w:rsid w:val="00AD5E2F"/>
    <w:rsid w:val="00AD7B3E"/>
    <w:rsid w:val="00AD7D7C"/>
    <w:rsid w:val="00AE02E3"/>
    <w:rsid w:val="00AE1231"/>
    <w:rsid w:val="00AE168C"/>
    <w:rsid w:val="00AE2B11"/>
    <w:rsid w:val="00AE4C04"/>
    <w:rsid w:val="00AE5145"/>
    <w:rsid w:val="00AE7340"/>
    <w:rsid w:val="00AF0BB5"/>
    <w:rsid w:val="00AF0C52"/>
    <w:rsid w:val="00AF148B"/>
    <w:rsid w:val="00AF1BBD"/>
    <w:rsid w:val="00AF246E"/>
    <w:rsid w:val="00AF29D5"/>
    <w:rsid w:val="00AF43C5"/>
    <w:rsid w:val="00AF53F4"/>
    <w:rsid w:val="00AF794B"/>
    <w:rsid w:val="00B002E2"/>
    <w:rsid w:val="00B02659"/>
    <w:rsid w:val="00B03620"/>
    <w:rsid w:val="00B04948"/>
    <w:rsid w:val="00B052C2"/>
    <w:rsid w:val="00B06FFE"/>
    <w:rsid w:val="00B07204"/>
    <w:rsid w:val="00B077F9"/>
    <w:rsid w:val="00B10207"/>
    <w:rsid w:val="00B11C73"/>
    <w:rsid w:val="00B11EAF"/>
    <w:rsid w:val="00B141E7"/>
    <w:rsid w:val="00B15349"/>
    <w:rsid w:val="00B16417"/>
    <w:rsid w:val="00B1673F"/>
    <w:rsid w:val="00B16B69"/>
    <w:rsid w:val="00B16FD2"/>
    <w:rsid w:val="00B173EB"/>
    <w:rsid w:val="00B22A0A"/>
    <w:rsid w:val="00B22EFB"/>
    <w:rsid w:val="00B23C0A"/>
    <w:rsid w:val="00B2435A"/>
    <w:rsid w:val="00B24B88"/>
    <w:rsid w:val="00B25B86"/>
    <w:rsid w:val="00B26197"/>
    <w:rsid w:val="00B26280"/>
    <w:rsid w:val="00B265A1"/>
    <w:rsid w:val="00B3194B"/>
    <w:rsid w:val="00B31D3C"/>
    <w:rsid w:val="00B3344F"/>
    <w:rsid w:val="00B3466A"/>
    <w:rsid w:val="00B351B4"/>
    <w:rsid w:val="00B351FA"/>
    <w:rsid w:val="00B35960"/>
    <w:rsid w:val="00B40D0D"/>
    <w:rsid w:val="00B41C94"/>
    <w:rsid w:val="00B41DF4"/>
    <w:rsid w:val="00B4232B"/>
    <w:rsid w:val="00B42917"/>
    <w:rsid w:val="00B42993"/>
    <w:rsid w:val="00B42C9E"/>
    <w:rsid w:val="00B43325"/>
    <w:rsid w:val="00B43898"/>
    <w:rsid w:val="00B4409C"/>
    <w:rsid w:val="00B46ABB"/>
    <w:rsid w:val="00B46BCA"/>
    <w:rsid w:val="00B47356"/>
    <w:rsid w:val="00B47528"/>
    <w:rsid w:val="00B478AA"/>
    <w:rsid w:val="00B52415"/>
    <w:rsid w:val="00B554FE"/>
    <w:rsid w:val="00B55692"/>
    <w:rsid w:val="00B55C0A"/>
    <w:rsid w:val="00B56028"/>
    <w:rsid w:val="00B565C7"/>
    <w:rsid w:val="00B5711A"/>
    <w:rsid w:val="00B57D8C"/>
    <w:rsid w:val="00B600A4"/>
    <w:rsid w:val="00B600FD"/>
    <w:rsid w:val="00B60421"/>
    <w:rsid w:val="00B60E1D"/>
    <w:rsid w:val="00B61D64"/>
    <w:rsid w:val="00B61E17"/>
    <w:rsid w:val="00B62678"/>
    <w:rsid w:val="00B64F3D"/>
    <w:rsid w:val="00B65F61"/>
    <w:rsid w:val="00B665CD"/>
    <w:rsid w:val="00B700FB"/>
    <w:rsid w:val="00B7038E"/>
    <w:rsid w:val="00B710D7"/>
    <w:rsid w:val="00B716B9"/>
    <w:rsid w:val="00B72E5C"/>
    <w:rsid w:val="00B744B8"/>
    <w:rsid w:val="00B75663"/>
    <w:rsid w:val="00B76A1F"/>
    <w:rsid w:val="00B76FE6"/>
    <w:rsid w:val="00B77167"/>
    <w:rsid w:val="00B77482"/>
    <w:rsid w:val="00B77CD0"/>
    <w:rsid w:val="00B8018B"/>
    <w:rsid w:val="00B80902"/>
    <w:rsid w:val="00B80A4C"/>
    <w:rsid w:val="00B80A53"/>
    <w:rsid w:val="00B8131D"/>
    <w:rsid w:val="00B825C2"/>
    <w:rsid w:val="00B82619"/>
    <w:rsid w:val="00B82883"/>
    <w:rsid w:val="00B82DE0"/>
    <w:rsid w:val="00B84993"/>
    <w:rsid w:val="00B84C00"/>
    <w:rsid w:val="00B85325"/>
    <w:rsid w:val="00B85425"/>
    <w:rsid w:val="00B85FD4"/>
    <w:rsid w:val="00B862DA"/>
    <w:rsid w:val="00B87565"/>
    <w:rsid w:val="00B87806"/>
    <w:rsid w:val="00B87EC9"/>
    <w:rsid w:val="00B90CA6"/>
    <w:rsid w:val="00B91F5D"/>
    <w:rsid w:val="00B9240D"/>
    <w:rsid w:val="00B92EBB"/>
    <w:rsid w:val="00B93640"/>
    <w:rsid w:val="00B93FF5"/>
    <w:rsid w:val="00B949AB"/>
    <w:rsid w:val="00B94C9E"/>
    <w:rsid w:val="00B94D33"/>
    <w:rsid w:val="00B9505A"/>
    <w:rsid w:val="00B95B1A"/>
    <w:rsid w:val="00BA01FF"/>
    <w:rsid w:val="00BA070B"/>
    <w:rsid w:val="00BA13ED"/>
    <w:rsid w:val="00BA2E21"/>
    <w:rsid w:val="00BA3864"/>
    <w:rsid w:val="00BA38B0"/>
    <w:rsid w:val="00BA3CD7"/>
    <w:rsid w:val="00BA3E5E"/>
    <w:rsid w:val="00BA4149"/>
    <w:rsid w:val="00BA4427"/>
    <w:rsid w:val="00BA4B4D"/>
    <w:rsid w:val="00BA5137"/>
    <w:rsid w:val="00BA74E1"/>
    <w:rsid w:val="00BB0455"/>
    <w:rsid w:val="00BB156F"/>
    <w:rsid w:val="00BB19A1"/>
    <w:rsid w:val="00BB29F0"/>
    <w:rsid w:val="00BB6133"/>
    <w:rsid w:val="00BB6691"/>
    <w:rsid w:val="00BB751A"/>
    <w:rsid w:val="00BB778C"/>
    <w:rsid w:val="00BC24A1"/>
    <w:rsid w:val="00BC38FD"/>
    <w:rsid w:val="00BC3C53"/>
    <w:rsid w:val="00BC3C89"/>
    <w:rsid w:val="00BC4C9E"/>
    <w:rsid w:val="00BC5BEC"/>
    <w:rsid w:val="00BC5C73"/>
    <w:rsid w:val="00BD169E"/>
    <w:rsid w:val="00BD28F0"/>
    <w:rsid w:val="00BD30D2"/>
    <w:rsid w:val="00BD3EB5"/>
    <w:rsid w:val="00BD4A2B"/>
    <w:rsid w:val="00BD6191"/>
    <w:rsid w:val="00BD7269"/>
    <w:rsid w:val="00BD72C1"/>
    <w:rsid w:val="00BD7B76"/>
    <w:rsid w:val="00BE064B"/>
    <w:rsid w:val="00BE2586"/>
    <w:rsid w:val="00BE479B"/>
    <w:rsid w:val="00BE47BE"/>
    <w:rsid w:val="00BE4A70"/>
    <w:rsid w:val="00BE511F"/>
    <w:rsid w:val="00BE52B5"/>
    <w:rsid w:val="00BE6240"/>
    <w:rsid w:val="00BE6451"/>
    <w:rsid w:val="00BE6D1B"/>
    <w:rsid w:val="00BE6FCB"/>
    <w:rsid w:val="00BE731E"/>
    <w:rsid w:val="00BF020D"/>
    <w:rsid w:val="00BF3CE8"/>
    <w:rsid w:val="00BF4A8F"/>
    <w:rsid w:val="00BF5A0E"/>
    <w:rsid w:val="00BF69C9"/>
    <w:rsid w:val="00BF737C"/>
    <w:rsid w:val="00BF7F5D"/>
    <w:rsid w:val="00C0096D"/>
    <w:rsid w:val="00C01684"/>
    <w:rsid w:val="00C01DF8"/>
    <w:rsid w:val="00C02231"/>
    <w:rsid w:val="00C02BA1"/>
    <w:rsid w:val="00C02D7C"/>
    <w:rsid w:val="00C030AB"/>
    <w:rsid w:val="00C034CB"/>
    <w:rsid w:val="00C03D13"/>
    <w:rsid w:val="00C04BD3"/>
    <w:rsid w:val="00C0509B"/>
    <w:rsid w:val="00C051A8"/>
    <w:rsid w:val="00C05240"/>
    <w:rsid w:val="00C05489"/>
    <w:rsid w:val="00C054BC"/>
    <w:rsid w:val="00C059D0"/>
    <w:rsid w:val="00C06851"/>
    <w:rsid w:val="00C07859"/>
    <w:rsid w:val="00C07D28"/>
    <w:rsid w:val="00C10433"/>
    <w:rsid w:val="00C10F5C"/>
    <w:rsid w:val="00C1142D"/>
    <w:rsid w:val="00C11B7D"/>
    <w:rsid w:val="00C11F53"/>
    <w:rsid w:val="00C12F3B"/>
    <w:rsid w:val="00C1355E"/>
    <w:rsid w:val="00C14033"/>
    <w:rsid w:val="00C14CF5"/>
    <w:rsid w:val="00C158D4"/>
    <w:rsid w:val="00C170C2"/>
    <w:rsid w:val="00C17547"/>
    <w:rsid w:val="00C17897"/>
    <w:rsid w:val="00C202E9"/>
    <w:rsid w:val="00C2199B"/>
    <w:rsid w:val="00C21A7C"/>
    <w:rsid w:val="00C22ACF"/>
    <w:rsid w:val="00C23CE0"/>
    <w:rsid w:val="00C23D5E"/>
    <w:rsid w:val="00C24418"/>
    <w:rsid w:val="00C24D55"/>
    <w:rsid w:val="00C273C7"/>
    <w:rsid w:val="00C30D93"/>
    <w:rsid w:val="00C312D2"/>
    <w:rsid w:val="00C3136D"/>
    <w:rsid w:val="00C316D5"/>
    <w:rsid w:val="00C32B95"/>
    <w:rsid w:val="00C32CD4"/>
    <w:rsid w:val="00C357DB"/>
    <w:rsid w:val="00C362A6"/>
    <w:rsid w:val="00C367C9"/>
    <w:rsid w:val="00C36AE6"/>
    <w:rsid w:val="00C3760F"/>
    <w:rsid w:val="00C37C61"/>
    <w:rsid w:val="00C40052"/>
    <w:rsid w:val="00C405EB"/>
    <w:rsid w:val="00C409D5"/>
    <w:rsid w:val="00C40B13"/>
    <w:rsid w:val="00C415A6"/>
    <w:rsid w:val="00C41CD2"/>
    <w:rsid w:val="00C435C3"/>
    <w:rsid w:val="00C43B06"/>
    <w:rsid w:val="00C43FAE"/>
    <w:rsid w:val="00C44133"/>
    <w:rsid w:val="00C4460E"/>
    <w:rsid w:val="00C44B9B"/>
    <w:rsid w:val="00C44CC9"/>
    <w:rsid w:val="00C44E5F"/>
    <w:rsid w:val="00C45921"/>
    <w:rsid w:val="00C4660B"/>
    <w:rsid w:val="00C46B05"/>
    <w:rsid w:val="00C4722C"/>
    <w:rsid w:val="00C50334"/>
    <w:rsid w:val="00C51486"/>
    <w:rsid w:val="00C51595"/>
    <w:rsid w:val="00C51B7C"/>
    <w:rsid w:val="00C52727"/>
    <w:rsid w:val="00C5312C"/>
    <w:rsid w:val="00C60976"/>
    <w:rsid w:val="00C60C51"/>
    <w:rsid w:val="00C61B63"/>
    <w:rsid w:val="00C6234B"/>
    <w:rsid w:val="00C6290B"/>
    <w:rsid w:val="00C639EB"/>
    <w:rsid w:val="00C63EAE"/>
    <w:rsid w:val="00C656EE"/>
    <w:rsid w:val="00C66540"/>
    <w:rsid w:val="00C676CE"/>
    <w:rsid w:val="00C70E01"/>
    <w:rsid w:val="00C71D9D"/>
    <w:rsid w:val="00C7248A"/>
    <w:rsid w:val="00C72E6A"/>
    <w:rsid w:val="00C73260"/>
    <w:rsid w:val="00C735DB"/>
    <w:rsid w:val="00C748DF"/>
    <w:rsid w:val="00C74B5F"/>
    <w:rsid w:val="00C7540C"/>
    <w:rsid w:val="00C75F5B"/>
    <w:rsid w:val="00C7629F"/>
    <w:rsid w:val="00C76AEF"/>
    <w:rsid w:val="00C771BE"/>
    <w:rsid w:val="00C77250"/>
    <w:rsid w:val="00C8004D"/>
    <w:rsid w:val="00C823AC"/>
    <w:rsid w:val="00C82A5A"/>
    <w:rsid w:val="00C83796"/>
    <w:rsid w:val="00C8393A"/>
    <w:rsid w:val="00C847C0"/>
    <w:rsid w:val="00C851C0"/>
    <w:rsid w:val="00C8531E"/>
    <w:rsid w:val="00C856E8"/>
    <w:rsid w:val="00C85990"/>
    <w:rsid w:val="00C8661B"/>
    <w:rsid w:val="00C87F56"/>
    <w:rsid w:val="00C91065"/>
    <w:rsid w:val="00C93835"/>
    <w:rsid w:val="00C939C5"/>
    <w:rsid w:val="00C93C63"/>
    <w:rsid w:val="00C94925"/>
    <w:rsid w:val="00C95040"/>
    <w:rsid w:val="00C9528B"/>
    <w:rsid w:val="00C95539"/>
    <w:rsid w:val="00C95C54"/>
    <w:rsid w:val="00C96974"/>
    <w:rsid w:val="00C97581"/>
    <w:rsid w:val="00C979BF"/>
    <w:rsid w:val="00CA03C8"/>
    <w:rsid w:val="00CA0630"/>
    <w:rsid w:val="00CA0DFD"/>
    <w:rsid w:val="00CA0E09"/>
    <w:rsid w:val="00CA139A"/>
    <w:rsid w:val="00CA19FA"/>
    <w:rsid w:val="00CA2899"/>
    <w:rsid w:val="00CA33A2"/>
    <w:rsid w:val="00CA3A3D"/>
    <w:rsid w:val="00CA3AA6"/>
    <w:rsid w:val="00CA3EF3"/>
    <w:rsid w:val="00CA4880"/>
    <w:rsid w:val="00CA51FC"/>
    <w:rsid w:val="00CA555C"/>
    <w:rsid w:val="00CA5FFD"/>
    <w:rsid w:val="00CA7025"/>
    <w:rsid w:val="00CA77FB"/>
    <w:rsid w:val="00CA793D"/>
    <w:rsid w:val="00CA7942"/>
    <w:rsid w:val="00CB026C"/>
    <w:rsid w:val="00CB0C67"/>
    <w:rsid w:val="00CB12A4"/>
    <w:rsid w:val="00CB1A93"/>
    <w:rsid w:val="00CB2886"/>
    <w:rsid w:val="00CB3293"/>
    <w:rsid w:val="00CB379B"/>
    <w:rsid w:val="00CB3BF4"/>
    <w:rsid w:val="00CB4074"/>
    <w:rsid w:val="00CB454A"/>
    <w:rsid w:val="00CB4F88"/>
    <w:rsid w:val="00CB5DD0"/>
    <w:rsid w:val="00CC06BA"/>
    <w:rsid w:val="00CC0B2A"/>
    <w:rsid w:val="00CC269A"/>
    <w:rsid w:val="00CC4AD9"/>
    <w:rsid w:val="00CC51D4"/>
    <w:rsid w:val="00CC65DA"/>
    <w:rsid w:val="00CC6C62"/>
    <w:rsid w:val="00CC794C"/>
    <w:rsid w:val="00CD0572"/>
    <w:rsid w:val="00CD0A83"/>
    <w:rsid w:val="00CD1043"/>
    <w:rsid w:val="00CD13F3"/>
    <w:rsid w:val="00CD14B9"/>
    <w:rsid w:val="00CD1962"/>
    <w:rsid w:val="00CD2512"/>
    <w:rsid w:val="00CD46B3"/>
    <w:rsid w:val="00CD692C"/>
    <w:rsid w:val="00CD6C8C"/>
    <w:rsid w:val="00CE0AB0"/>
    <w:rsid w:val="00CE11CC"/>
    <w:rsid w:val="00CE18A4"/>
    <w:rsid w:val="00CE2AA7"/>
    <w:rsid w:val="00CE31D4"/>
    <w:rsid w:val="00CE4916"/>
    <w:rsid w:val="00CE5AA0"/>
    <w:rsid w:val="00CF0103"/>
    <w:rsid w:val="00CF1006"/>
    <w:rsid w:val="00CF174F"/>
    <w:rsid w:val="00CF18FA"/>
    <w:rsid w:val="00CF1921"/>
    <w:rsid w:val="00CF21B9"/>
    <w:rsid w:val="00CF2930"/>
    <w:rsid w:val="00CF2A2D"/>
    <w:rsid w:val="00CF43EE"/>
    <w:rsid w:val="00CF6BF9"/>
    <w:rsid w:val="00D00748"/>
    <w:rsid w:val="00D01783"/>
    <w:rsid w:val="00D02A5C"/>
    <w:rsid w:val="00D03800"/>
    <w:rsid w:val="00D065D3"/>
    <w:rsid w:val="00D10A1E"/>
    <w:rsid w:val="00D10DD2"/>
    <w:rsid w:val="00D11C4B"/>
    <w:rsid w:val="00D12AEC"/>
    <w:rsid w:val="00D134BB"/>
    <w:rsid w:val="00D13799"/>
    <w:rsid w:val="00D14142"/>
    <w:rsid w:val="00D14A27"/>
    <w:rsid w:val="00D14C94"/>
    <w:rsid w:val="00D14D6D"/>
    <w:rsid w:val="00D1520F"/>
    <w:rsid w:val="00D15613"/>
    <w:rsid w:val="00D20C48"/>
    <w:rsid w:val="00D215E1"/>
    <w:rsid w:val="00D21DE7"/>
    <w:rsid w:val="00D21DF3"/>
    <w:rsid w:val="00D231C8"/>
    <w:rsid w:val="00D2408C"/>
    <w:rsid w:val="00D24B79"/>
    <w:rsid w:val="00D256FA"/>
    <w:rsid w:val="00D25A9F"/>
    <w:rsid w:val="00D26057"/>
    <w:rsid w:val="00D26D63"/>
    <w:rsid w:val="00D27672"/>
    <w:rsid w:val="00D27F49"/>
    <w:rsid w:val="00D30BC3"/>
    <w:rsid w:val="00D31C4A"/>
    <w:rsid w:val="00D328B9"/>
    <w:rsid w:val="00D32F94"/>
    <w:rsid w:val="00D334F7"/>
    <w:rsid w:val="00D3421B"/>
    <w:rsid w:val="00D342A6"/>
    <w:rsid w:val="00D343C4"/>
    <w:rsid w:val="00D34440"/>
    <w:rsid w:val="00D3458A"/>
    <w:rsid w:val="00D347C3"/>
    <w:rsid w:val="00D35358"/>
    <w:rsid w:val="00D35A33"/>
    <w:rsid w:val="00D3636B"/>
    <w:rsid w:val="00D36A6A"/>
    <w:rsid w:val="00D37634"/>
    <w:rsid w:val="00D400F9"/>
    <w:rsid w:val="00D40F05"/>
    <w:rsid w:val="00D41024"/>
    <w:rsid w:val="00D428AA"/>
    <w:rsid w:val="00D443BE"/>
    <w:rsid w:val="00D45CA6"/>
    <w:rsid w:val="00D464BF"/>
    <w:rsid w:val="00D46635"/>
    <w:rsid w:val="00D467D9"/>
    <w:rsid w:val="00D47574"/>
    <w:rsid w:val="00D52BDB"/>
    <w:rsid w:val="00D5356B"/>
    <w:rsid w:val="00D53E26"/>
    <w:rsid w:val="00D553D3"/>
    <w:rsid w:val="00D557EE"/>
    <w:rsid w:val="00D57074"/>
    <w:rsid w:val="00D60EE3"/>
    <w:rsid w:val="00D60EE7"/>
    <w:rsid w:val="00D62F75"/>
    <w:rsid w:val="00D630BE"/>
    <w:rsid w:val="00D6322D"/>
    <w:rsid w:val="00D65EBE"/>
    <w:rsid w:val="00D70E00"/>
    <w:rsid w:val="00D70E31"/>
    <w:rsid w:val="00D711B2"/>
    <w:rsid w:val="00D72DA3"/>
    <w:rsid w:val="00D755F8"/>
    <w:rsid w:val="00D76752"/>
    <w:rsid w:val="00D77688"/>
    <w:rsid w:val="00D802A1"/>
    <w:rsid w:val="00D8159D"/>
    <w:rsid w:val="00D829B1"/>
    <w:rsid w:val="00D82EEF"/>
    <w:rsid w:val="00D8377A"/>
    <w:rsid w:val="00D838D9"/>
    <w:rsid w:val="00D84D15"/>
    <w:rsid w:val="00D85297"/>
    <w:rsid w:val="00D85B77"/>
    <w:rsid w:val="00D87054"/>
    <w:rsid w:val="00D87308"/>
    <w:rsid w:val="00D9080F"/>
    <w:rsid w:val="00D94CCE"/>
    <w:rsid w:val="00D95055"/>
    <w:rsid w:val="00D95400"/>
    <w:rsid w:val="00D95AA4"/>
    <w:rsid w:val="00D979E4"/>
    <w:rsid w:val="00DA0339"/>
    <w:rsid w:val="00DA41D9"/>
    <w:rsid w:val="00DA42CD"/>
    <w:rsid w:val="00DA5C09"/>
    <w:rsid w:val="00DA61BD"/>
    <w:rsid w:val="00DA653F"/>
    <w:rsid w:val="00DA6EF0"/>
    <w:rsid w:val="00DA78EC"/>
    <w:rsid w:val="00DA7B6D"/>
    <w:rsid w:val="00DB020A"/>
    <w:rsid w:val="00DB0714"/>
    <w:rsid w:val="00DB0E8A"/>
    <w:rsid w:val="00DB0EF5"/>
    <w:rsid w:val="00DB182C"/>
    <w:rsid w:val="00DB2582"/>
    <w:rsid w:val="00DB3315"/>
    <w:rsid w:val="00DB390F"/>
    <w:rsid w:val="00DB5402"/>
    <w:rsid w:val="00DB62A2"/>
    <w:rsid w:val="00DB7B86"/>
    <w:rsid w:val="00DC02C0"/>
    <w:rsid w:val="00DC0F46"/>
    <w:rsid w:val="00DC1AB9"/>
    <w:rsid w:val="00DC22D8"/>
    <w:rsid w:val="00DC2DB9"/>
    <w:rsid w:val="00DC30E6"/>
    <w:rsid w:val="00DC32A9"/>
    <w:rsid w:val="00DC3445"/>
    <w:rsid w:val="00DC3BD1"/>
    <w:rsid w:val="00DC4047"/>
    <w:rsid w:val="00DC49F3"/>
    <w:rsid w:val="00DC4BB6"/>
    <w:rsid w:val="00DC61DA"/>
    <w:rsid w:val="00DC756E"/>
    <w:rsid w:val="00DC75EF"/>
    <w:rsid w:val="00DC7B09"/>
    <w:rsid w:val="00DD096C"/>
    <w:rsid w:val="00DD236B"/>
    <w:rsid w:val="00DD2769"/>
    <w:rsid w:val="00DD328C"/>
    <w:rsid w:val="00DD3302"/>
    <w:rsid w:val="00DD3943"/>
    <w:rsid w:val="00DD4F0E"/>
    <w:rsid w:val="00DD54ED"/>
    <w:rsid w:val="00DD5F22"/>
    <w:rsid w:val="00DD763B"/>
    <w:rsid w:val="00DE0C49"/>
    <w:rsid w:val="00DE1D45"/>
    <w:rsid w:val="00DE26A0"/>
    <w:rsid w:val="00DE2E3D"/>
    <w:rsid w:val="00DE4ACD"/>
    <w:rsid w:val="00DE67BD"/>
    <w:rsid w:val="00DE6F65"/>
    <w:rsid w:val="00DE74ED"/>
    <w:rsid w:val="00DE7847"/>
    <w:rsid w:val="00DE7B7E"/>
    <w:rsid w:val="00DE7CFB"/>
    <w:rsid w:val="00DF07D1"/>
    <w:rsid w:val="00DF0BF0"/>
    <w:rsid w:val="00DF1CB4"/>
    <w:rsid w:val="00DF367F"/>
    <w:rsid w:val="00DF376D"/>
    <w:rsid w:val="00DF3CA2"/>
    <w:rsid w:val="00DF3EF4"/>
    <w:rsid w:val="00DF5747"/>
    <w:rsid w:val="00DF6A7B"/>
    <w:rsid w:val="00DF71DC"/>
    <w:rsid w:val="00DF753B"/>
    <w:rsid w:val="00DF7651"/>
    <w:rsid w:val="00DF78A4"/>
    <w:rsid w:val="00DF7E9D"/>
    <w:rsid w:val="00E002F6"/>
    <w:rsid w:val="00E01375"/>
    <w:rsid w:val="00E01463"/>
    <w:rsid w:val="00E01A6B"/>
    <w:rsid w:val="00E01CC7"/>
    <w:rsid w:val="00E027BC"/>
    <w:rsid w:val="00E02991"/>
    <w:rsid w:val="00E03B99"/>
    <w:rsid w:val="00E04E12"/>
    <w:rsid w:val="00E04F2F"/>
    <w:rsid w:val="00E052C8"/>
    <w:rsid w:val="00E05E0A"/>
    <w:rsid w:val="00E05FB4"/>
    <w:rsid w:val="00E060BE"/>
    <w:rsid w:val="00E062E2"/>
    <w:rsid w:val="00E067E2"/>
    <w:rsid w:val="00E07AC5"/>
    <w:rsid w:val="00E10452"/>
    <w:rsid w:val="00E10E29"/>
    <w:rsid w:val="00E13A76"/>
    <w:rsid w:val="00E16AAC"/>
    <w:rsid w:val="00E16B97"/>
    <w:rsid w:val="00E2266F"/>
    <w:rsid w:val="00E24857"/>
    <w:rsid w:val="00E25479"/>
    <w:rsid w:val="00E26F95"/>
    <w:rsid w:val="00E27337"/>
    <w:rsid w:val="00E27608"/>
    <w:rsid w:val="00E30423"/>
    <w:rsid w:val="00E3092E"/>
    <w:rsid w:val="00E32863"/>
    <w:rsid w:val="00E3419F"/>
    <w:rsid w:val="00E348B6"/>
    <w:rsid w:val="00E36456"/>
    <w:rsid w:val="00E3651B"/>
    <w:rsid w:val="00E40697"/>
    <w:rsid w:val="00E40B05"/>
    <w:rsid w:val="00E41C11"/>
    <w:rsid w:val="00E4302C"/>
    <w:rsid w:val="00E4334D"/>
    <w:rsid w:val="00E433C6"/>
    <w:rsid w:val="00E442C8"/>
    <w:rsid w:val="00E44594"/>
    <w:rsid w:val="00E44D6B"/>
    <w:rsid w:val="00E45320"/>
    <w:rsid w:val="00E474A8"/>
    <w:rsid w:val="00E47724"/>
    <w:rsid w:val="00E47A98"/>
    <w:rsid w:val="00E512DA"/>
    <w:rsid w:val="00E521C9"/>
    <w:rsid w:val="00E534CF"/>
    <w:rsid w:val="00E538D3"/>
    <w:rsid w:val="00E54130"/>
    <w:rsid w:val="00E553F7"/>
    <w:rsid w:val="00E56D4F"/>
    <w:rsid w:val="00E56F33"/>
    <w:rsid w:val="00E5777D"/>
    <w:rsid w:val="00E57794"/>
    <w:rsid w:val="00E57D8E"/>
    <w:rsid w:val="00E609EA"/>
    <w:rsid w:val="00E61918"/>
    <w:rsid w:val="00E62A1F"/>
    <w:rsid w:val="00E64159"/>
    <w:rsid w:val="00E65533"/>
    <w:rsid w:val="00E656EB"/>
    <w:rsid w:val="00E66A24"/>
    <w:rsid w:val="00E66EF8"/>
    <w:rsid w:val="00E6757C"/>
    <w:rsid w:val="00E67912"/>
    <w:rsid w:val="00E70525"/>
    <w:rsid w:val="00E71517"/>
    <w:rsid w:val="00E72226"/>
    <w:rsid w:val="00E726AD"/>
    <w:rsid w:val="00E73CF4"/>
    <w:rsid w:val="00E759AB"/>
    <w:rsid w:val="00E76552"/>
    <w:rsid w:val="00E77C52"/>
    <w:rsid w:val="00E80AA0"/>
    <w:rsid w:val="00E81AA5"/>
    <w:rsid w:val="00E81CB4"/>
    <w:rsid w:val="00E82735"/>
    <w:rsid w:val="00E82A33"/>
    <w:rsid w:val="00E8393E"/>
    <w:rsid w:val="00E83D66"/>
    <w:rsid w:val="00E83DD8"/>
    <w:rsid w:val="00E83F58"/>
    <w:rsid w:val="00E8418B"/>
    <w:rsid w:val="00E848F3"/>
    <w:rsid w:val="00E8585B"/>
    <w:rsid w:val="00E85953"/>
    <w:rsid w:val="00E862E0"/>
    <w:rsid w:val="00E86C55"/>
    <w:rsid w:val="00E87CCE"/>
    <w:rsid w:val="00E87F41"/>
    <w:rsid w:val="00E90E21"/>
    <w:rsid w:val="00E92880"/>
    <w:rsid w:val="00E9330F"/>
    <w:rsid w:val="00E962AC"/>
    <w:rsid w:val="00E968D0"/>
    <w:rsid w:val="00E97083"/>
    <w:rsid w:val="00E973B0"/>
    <w:rsid w:val="00E9776F"/>
    <w:rsid w:val="00EA20BE"/>
    <w:rsid w:val="00EA32D9"/>
    <w:rsid w:val="00EA396E"/>
    <w:rsid w:val="00EA3F15"/>
    <w:rsid w:val="00EA5FCF"/>
    <w:rsid w:val="00EA69C9"/>
    <w:rsid w:val="00EA7847"/>
    <w:rsid w:val="00EA7BB7"/>
    <w:rsid w:val="00EB16F4"/>
    <w:rsid w:val="00EB29E1"/>
    <w:rsid w:val="00EB2AD3"/>
    <w:rsid w:val="00EB2F92"/>
    <w:rsid w:val="00EB352A"/>
    <w:rsid w:val="00EB3D1E"/>
    <w:rsid w:val="00EB432F"/>
    <w:rsid w:val="00EB4C2F"/>
    <w:rsid w:val="00EB500D"/>
    <w:rsid w:val="00EB5054"/>
    <w:rsid w:val="00EC0085"/>
    <w:rsid w:val="00EC24EC"/>
    <w:rsid w:val="00EC3565"/>
    <w:rsid w:val="00EC40A1"/>
    <w:rsid w:val="00EC5748"/>
    <w:rsid w:val="00EC5A4B"/>
    <w:rsid w:val="00EC688C"/>
    <w:rsid w:val="00ED0150"/>
    <w:rsid w:val="00ED0D19"/>
    <w:rsid w:val="00ED130C"/>
    <w:rsid w:val="00ED2AFF"/>
    <w:rsid w:val="00ED46E1"/>
    <w:rsid w:val="00ED5D82"/>
    <w:rsid w:val="00ED5FF2"/>
    <w:rsid w:val="00ED68FF"/>
    <w:rsid w:val="00ED7DB3"/>
    <w:rsid w:val="00EE14D6"/>
    <w:rsid w:val="00EE1951"/>
    <w:rsid w:val="00EE1A46"/>
    <w:rsid w:val="00EE259D"/>
    <w:rsid w:val="00EE2E6E"/>
    <w:rsid w:val="00EE36B2"/>
    <w:rsid w:val="00EE3FCD"/>
    <w:rsid w:val="00EE4FE4"/>
    <w:rsid w:val="00EE5D30"/>
    <w:rsid w:val="00EE5E86"/>
    <w:rsid w:val="00EE5F87"/>
    <w:rsid w:val="00EE5FCC"/>
    <w:rsid w:val="00EE62C0"/>
    <w:rsid w:val="00EE64AA"/>
    <w:rsid w:val="00EE6F85"/>
    <w:rsid w:val="00EE76C0"/>
    <w:rsid w:val="00EF3279"/>
    <w:rsid w:val="00EF36B3"/>
    <w:rsid w:val="00EF390A"/>
    <w:rsid w:val="00EF442D"/>
    <w:rsid w:val="00EF7848"/>
    <w:rsid w:val="00F0030B"/>
    <w:rsid w:val="00F0035C"/>
    <w:rsid w:val="00F00B67"/>
    <w:rsid w:val="00F00C90"/>
    <w:rsid w:val="00F01EB4"/>
    <w:rsid w:val="00F02C0E"/>
    <w:rsid w:val="00F0357C"/>
    <w:rsid w:val="00F044B6"/>
    <w:rsid w:val="00F04810"/>
    <w:rsid w:val="00F049C4"/>
    <w:rsid w:val="00F04C88"/>
    <w:rsid w:val="00F04C90"/>
    <w:rsid w:val="00F04F0D"/>
    <w:rsid w:val="00F05923"/>
    <w:rsid w:val="00F05E07"/>
    <w:rsid w:val="00F06CF1"/>
    <w:rsid w:val="00F0759E"/>
    <w:rsid w:val="00F11188"/>
    <w:rsid w:val="00F11688"/>
    <w:rsid w:val="00F13E43"/>
    <w:rsid w:val="00F14B79"/>
    <w:rsid w:val="00F16881"/>
    <w:rsid w:val="00F16A43"/>
    <w:rsid w:val="00F178D8"/>
    <w:rsid w:val="00F17914"/>
    <w:rsid w:val="00F17B18"/>
    <w:rsid w:val="00F224BD"/>
    <w:rsid w:val="00F231C2"/>
    <w:rsid w:val="00F2375C"/>
    <w:rsid w:val="00F246AE"/>
    <w:rsid w:val="00F2506A"/>
    <w:rsid w:val="00F26E7B"/>
    <w:rsid w:val="00F270E9"/>
    <w:rsid w:val="00F2718C"/>
    <w:rsid w:val="00F27561"/>
    <w:rsid w:val="00F27893"/>
    <w:rsid w:val="00F304FE"/>
    <w:rsid w:val="00F30572"/>
    <w:rsid w:val="00F30906"/>
    <w:rsid w:val="00F3147E"/>
    <w:rsid w:val="00F3199B"/>
    <w:rsid w:val="00F35F07"/>
    <w:rsid w:val="00F35F0C"/>
    <w:rsid w:val="00F35F1B"/>
    <w:rsid w:val="00F37A1B"/>
    <w:rsid w:val="00F40882"/>
    <w:rsid w:val="00F415E0"/>
    <w:rsid w:val="00F44682"/>
    <w:rsid w:val="00F46780"/>
    <w:rsid w:val="00F50305"/>
    <w:rsid w:val="00F50AC4"/>
    <w:rsid w:val="00F51218"/>
    <w:rsid w:val="00F51A86"/>
    <w:rsid w:val="00F51C53"/>
    <w:rsid w:val="00F52701"/>
    <w:rsid w:val="00F532BA"/>
    <w:rsid w:val="00F539CD"/>
    <w:rsid w:val="00F54493"/>
    <w:rsid w:val="00F5517B"/>
    <w:rsid w:val="00F5566F"/>
    <w:rsid w:val="00F559EF"/>
    <w:rsid w:val="00F55A19"/>
    <w:rsid w:val="00F56125"/>
    <w:rsid w:val="00F57709"/>
    <w:rsid w:val="00F57CCB"/>
    <w:rsid w:val="00F6105A"/>
    <w:rsid w:val="00F6205E"/>
    <w:rsid w:val="00F62A1B"/>
    <w:rsid w:val="00F63C2B"/>
    <w:rsid w:val="00F64373"/>
    <w:rsid w:val="00F678DC"/>
    <w:rsid w:val="00F70043"/>
    <w:rsid w:val="00F72B25"/>
    <w:rsid w:val="00F72B61"/>
    <w:rsid w:val="00F73E95"/>
    <w:rsid w:val="00F74C38"/>
    <w:rsid w:val="00F7693A"/>
    <w:rsid w:val="00F76BB6"/>
    <w:rsid w:val="00F76C1D"/>
    <w:rsid w:val="00F7760D"/>
    <w:rsid w:val="00F77B04"/>
    <w:rsid w:val="00F77D2D"/>
    <w:rsid w:val="00F800C1"/>
    <w:rsid w:val="00F80317"/>
    <w:rsid w:val="00F8199C"/>
    <w:rsid w:val="00F821A3"/>
    <w:rsid w:val="00F838A0"/>
    <w:rsid w:val="00F84552"/>
    <w:rsid w:val="00F84896"/>
    <w:rsid w:val="00F86028"/>
    <w:rsid w:val="00F86162"/>
    <w:rsid w:val="00F8748F"/>
    <w:rsid w:val="00F878E2"/>
    <w:rsid w:val="00F91043"/>
    <w:rsid w:val="00F91C11"/>
    <w:rsid w:val="00F91E5F"/>
    <w:rsid w:val="00F9246F"/>
    <w:rsid w:val="00F9309A"/>
    <w:rsid w:val="00F9314A"/>
    <w:rsid w:val="00F940B2"/>
    <w:rsid w:val="00F9449D"/>
    <w:rsid w:val="00F94E61"/>
    <w:rsid w:val="00F95AF6"/>
    <w:rsid w:val="00F95D08"/>
    <w:rsid w:val="00F97186"/>
    <w:rsid w:val="00F9742E"/>
    <w:rsid w:val="00F975A8"/>
    <w:rsid w:val="00F97F50"/>
    <w:rsid w:val="00FA1462"/>
    <w:rsid w:val="00FA148D"/>
    <w:rsid w:val="00FA5BD7"/>
    <w:rsid w:val="00FA75EC"/>
    <w:rsid w:val="00FB19E8"/>
    <w:rsid w:val="00FB1DA9"/>
    <w:rsid w:val="00FB24A5"/>
    <w:rsid w:val="00FB2A38"/>
    <w:rsid w:val="00FB34B6"/>
    <w:rsid w:val="00FB397E"/>
    <w:rsid w:val="00FB41DE"/>
    <w:rsid w:val="00FB4D42"/>
    <w:rsid w:val="00FB5CA9"/>
    <w:rsid w:val="00FB5EC8"/>
    <w:rsid w:val="00FB61D1"/>
    <w:rsid w:val="00FB6C27"/>
    <w:rsid w:val="00FB7A02"/>
    <w:rsid w:val="00FC21CE"/>
    <w:rsid w:val="00FC25E4"/>
    <w:rsid w:val="00FC4B39"/>
    <w:rsid w:val="00FC4BFD"/>
    <w:rsid w:val="00FC4D23"/>
    <w:rsid w:val="00FC524D"/>
    <w:rsid w:val="00FC5522"/>
    <w:rsid w:val="00FC5798"/>
    <w:rsid w:val="00FC58EF"/>
    <w:rsid w:val="00FC5ADC"/>
    <w:rsid w:val="00FC64D4"/>
    <w:rsid w:val="00FC783B"/>
    <w:rsid w:val="00FD1049"/>
    <w:rsid w:val="00FD1785"/>
    <w:rsid w:val="00FD30C0"/>
    <w:rsid w:val="00FD33DF"/>
    <w:rsid w:val="00FD3CBE"/>
    <w:rsid w:val="00FD56F6"/>
    <w:rsid w:val="00FE058E"/>
    <w:rsid w:val="00FE304A"/>
    <w:rsid w:val="00FE38A0"/>
    <w:rsid w:val="00FE39D7"/>
    <w:rsid w:val="00FE460F"/>
    <w:rsid w:val="00FE4ECD"/>
    <w:rsid w:val="00FE6205"/>
    <w:rsid w:val="00FE771C"/>
    <w:rsid w:val="00FE7BCD"/>
    <w:rsid w:val="00FE7EAA"/>
    <w:rsid w:val="00FF0A41"/>
    <w:rsid w:val="00FF2D46"/>
    <w:rsid w:val="00FF3178"/>
    <w:rsid w:val="00FF4689"/>
    <w:rsid w:val="00FF75C5"/>
    <w:rsid w:val="00FF7A97"/>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Prrafodelista"/>
    <w:link w:val="ArtculoCar"/>
    <w:qFormat/>
    <w:rsid w:val="0009212D"/>
    <w:pPr>
      <w:numPr>
        <w:numId w:val="34"/>
      </w:numPr>
      <w:spacing w:after="0"/>
    </w:pPr>
    <w:rPr>
      <w:rFonts w:ascii="Arial" w:hAnsi="Arial" w:cs="Arial"/>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09212D"/>
    <w:rPr>
      <w:rFonts w:ascii="Arial" w:hAnsi="Arial" w:cs="Arial"/>
      <w:sz w:val="24"/>
      <w:lang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C91065"/>
    <w:pPr>
      <w:spacing w:after="0"/>
      <w:ind w:left="142"/>
    </w:pPr>
    <w:rPr>
      <w:rFonts w:ascii="Arial" w:eastAsia="Calibri" w:hAnsi="Arial" w:cs="Arial"/>
      <w:i/>
      <w:iCs/>
      <w:color w:val="000000"/>
      <w:sz w:val="22"/>
      <w:lang w:val="es-CO" w:eastAsia="en-US"/>
    </w:rPr>
  </w:style>
  <w:style w:type="character" w:customStyle="1" w:styleId="CitaCar">
    <w:name w:val="Cita Car"/>
    <w:basedOn w:val="Fuentedeprrafopredeter"/>
    <w:link w:val="Cita"/>
    <w:uiPriority w:val="29"/>
    <w:rsid w:val="00C91065"/>
    <w:rPr>
      <w:rFonts w:ascii="Arial" w:eastAsia="Calibri" w:hAnsi="Arial" w:cs="Arial"/>
      <w:i/>
      <w:iCs/>
      <w:color w:val="000000"/>
      <w:sz w:val="22"/>
      <w:szCs w:val="24"/>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155464091">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02932525">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27236114">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4973321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05870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03120570">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6479252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76897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3852362">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0729251">
      <w:bodyDiv w:val="1"/>
      <w:marLeft w:val="0"/>
      <w:marRight w:val="0"/>
      <w:marTop w:val="0"/>
      <w:marBottom w:val="0"/>
      <w:divBdr>
        <w:top w:val="none" w:sz="0" w:space="0" w:color="auto"/>
        <w:left w:val="none" w:sz="0" w:space="0" w:color="auto"/>
        <w:bottom w:val="none" w:sz="0" w:space="0" w:color="auto"/>
        <w:right w:val="none" w:sz="0" w:space="0" w:color="auto"/>
      </w:divBdr>
    </w:div>
    <w:div w:id="153415054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4582682">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834490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8628797">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62821070">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5f09a1d649a1a56552f70dae63334316">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745aba5e5ab6402163137e963f7bd53e"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2.xml><?xml version="1.0" encoding="utf-8"?>
<ds:datastoreItem xmlns:ds="http://schemas.openxmlformats.org/officeDocument/2006/customXml" ds:itemID="{55B37BBF-3A80-4B36-83CC-8D1B470D89CF}">
  <ds:schemaRefs>
    <ds:schemaRef ds:uri="http://schemas.microsoft.com/office/2006/documentManagement/types"/>
    <ds:schemaRef ds:uri="http://purl.org/dc/terms/"/>
    <ds:schemaRef ds:uri="823549ac-5763-4310-a6a3-38a04dbd999e"/>
    <ds:schemaRef ds:uri="http://schemas.microsoft.com/office/infopath/2007/PartnerControls"/>
    <ds:schemaRef ds:uri="http://www.w3.org/XML/1998/namespace"/>
    <ds:schemaRef ds:uri="http://purl.org/dc/dcmitype/"/>
    <ds:schemaRef ds:uri="6696398c-3b07-4514-a9e2-f08a08f63f4b"/>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customXml/itemProps4.xml><?xml version="1.0" encoding="utf-8"?>
<ds:datastoreItem xmlns:ds="http://schemas.openxmlformats.org/officeDocument/2006/customXml" ds:itemID="{9A02BEB2-CF8A-4E7F-820D-C4754C11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203</TotalTime>
  <Pages>5</Pages>
  <Words>1843</Words>
  <Characters>9309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19</cp:revision>
  <cp:lastPrinted>2022-11-28T21:53:00Z</cp:lastPrinted>
  <dcterms:created xsi:type="dcterms:W3CDTF">2022-10-24T14:43:00Z</dcterms:created>
  <dcterms:modified xsi:type="dcterms:W3CDTF">2022-11-28T21:53:00Z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