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5535A" w14:textId="77777777" w:rsidR="00D126E3" w:rsidRPr="006B4647" w:rsidRDefault="002D1890"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F015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75962493" r:id="rId9"/>
        </w:object>
      </w:r>
    </w:p>
    <w:p w14:paraId="0FFB676F" w14:textId="77777777"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14:paraId="3ABBC898" w14:textId="77777777"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510B4832" w14:textId="77777777"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14:paraId="38DD8792" w14:textId="77777777"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25A6CAFA" w14:textId="77777777" w:rsidR="00D126E3" w:rsidRPr="003234E2" w:rsidRDefault="00D126E3" w:rsidP="00D126E3">
      <w:pPr>
        <w:pStyle w:val="Ttulo5"/>
        <w:tabs>
          <w:tab w:val="left" w:pos="0"/>
          <w:tab w:val="right" w:pos="9498"/>
        </w:tabs>
        <w:ind w:left="0" w:right="-142"/>
        <w:rPr>
          <w:rFonts w:ascii="Bookman Old Style" w:hAnsi="Bookman Old Style"/>
          <w:sz w:val="22"/>
          <w:szCs w:val="24"/>
        </w:rPr>
      </w:pPr>
    </w:p>
    <w:p w14:paraId="0AC5919F" w14:textId="77777777" w:rsidR="00D126E3" w:rsidRPr="007507BF" w:rsidRDefault="00D126E3" w:rsidP="00D126E3">
      <w:pPr>
        <w:pStyle w:val="Ttulo5"/>
        <w:tabs>
          <w:tab w:val="left" w:pos="0"/>
          <w:tab w:val="right" w:pos="9498"/>
        </w:tabs>
        <w:ind w:left="0" w:right="-142"/>
        <w:rPr>
          <w:rFonts w:ascii="Bookman Old Style" w:hAnsi="Bookman Old Style"/>
          <w:sz w:val="22"/>
          <w:szCs w:val="24"/>
        </w:rPr>
      </w:pPr>
    </w:p>
    <w:p w14:paraId="58702819" w14:textId="77777777"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634EB8">
        <w:rPr>
          <w:rFonts w:ascii="Bookman Old Style" w:hAnsi="Bookman Old Style"/>
          <w:sz w:val="24"/>
          <w:szCs w:val="24"/>
        </w:rPr>
        <w:t>7</w:t>
      </w:r>
    </w:p>
    <w:p w14:paraId="61BF2EC8" w14:textId="77777777"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14:paraId="7E72977A" w14:textId="77777777"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14:paraId="0D2A27F2" w14:textId="77777777" w:rsidR="00D126E3" w:rsidRPr="007507BF" w:rsidRDefault="00D126E3" w:rsidP="00D126E3">
      <w:pPr>
        <w:tabs>
          <w:tab w:val="left" w:pos="0"/>
          <w:tab w:val="right" w:pos="9498"/>
        </w:tabs>
        <w:ind w:left="0" w:right="-142"/>
        <w:jc w:val="center"/>
        <w:rPr>
          <w:rFonts w:ascii="Bookman Old Style" w:hAnsi="Bookman Old Style"/>
          <w:sz w:val="20"/>
          <w:lang w:val="es-ES_tradnl"/>
        </w:rPr>
      </w:pPr>
    </w:p>
    <w:p w14:paraId="09C1142B" w14:textId="4F2F62CD" w:rsidR="00A42FAF" w:rsidRDefault="00A42FAF" w:rsidP="00D126E3">
      <w:pPr>
        <w:tabs>
          <w:tab w:val="right" w:pos="9498"/>
        </w:tabs>
        <w:ind w:left="0" w:right="-142"/>
        <w:rPr>
          <w:rFonts w:ascii="Bookman Old Style" w:hAnsi="Bookman Old Style"/>
          <w:bCs/>
          <w:sz w:val="22"/>
          <w:lang w:val="es-CO"/>
        </w:rPr>
      </w:pPr>
    </w:p>
    <w:p w14:paraId="515E8660" w14:textId="77777777" w:rsidR="00DA3ED9" w:rsidRPr="007507BF" w:rsidRDefault="00DA3ED9" w:rsidP="00D126E3">
      <w:pPr>
        <w:tabs>
          <w:tab w:val="right" w:pos="9498"/>
        </w:tabs>
        <w:ind w:left="0" w:right="-142"/>
        <w:rPr>
          <w:rFonts w:ascii="Bookman Old Style" w:hAnsi="Bookman Old Style"/>
          <w:bCs/>
          <w:sz w:val="22"/>
          <w:lang w:val="es-CO"/>
        </w:rPr>
      </w:pPr>
    </w:p>
    <w:p w14:paraId="3255ECF7" w14:textId="77777777"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EA33A0">
        <w:rPr>
          <w:rFonts w:ascii="Bookman Old Style" w:hAnsi="Bookman Old Style"/>
          <w:bCs/>
          <w:lang w:val="es-CO"/>
        </w:rPr>
        <w:t xml:space="preserve">Gas </w:t>
      </w:r>
      <w:proofErr w:type="spellStart"/>
      <w:r w:rsidR="00EA33A0">
        <w:rPr>
          <w:rFonts w:ascii="Bookman Old Style" w:hAnsi="Bookman Old Style"/>
          <w:bCs/>
          <w:lang w:val="es-CO"/>
        </w:rPr>
        <w:t>Pac</w:t>
      </w:r>
      <w:proofErr w:type="spellEnd"/>
      <w:r w:rsidR="00701412">
        <w:rPr>
          <w:rFonts w:ascii="Bookman Old Style" w:hAnsi="Bookman Old Style"/>
          <w:bCs/>
          <w:lang w:val="es-CO"/>
        </w:rPr>
        <w:t xml:space="preserve"> </w:t>
      </w:r>
      <w:r w:rsidR="00EC3BB2">
        <w:rPr>
          <w:rFonts w:ascii="Bookman Old Style" w:hAnsi="Bookman Old Style"/>
          <w:bCs/>
          <w:lang w:val="es-CO"/>
        </w:rPr>
        <w:t>S.A.</w:t>
      </w:r>
      <w:r w:rsidR="00701412">
        <w:rPr>
          <w:rFonts w:ascii="Bookman Old Style" w:hAnsi="Bookman Old Style"/>
          <w:bCs/>
          <w:lang w:val="es-CO"/>
        </w:rPr>
        <w:t>S.</w:t>
      </w:r>
      <w:r w:rsidR="00EC3BB2">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sidR="00EA33A0">
        <w:rPr>
          <w:rFonts w:ascii="Bookman Old Style" w:hAnsi="Bookman Old Style"/>
          <w:bCs/>
          <w:lang w:val="es-CO"/>
        </w:rPr>
        <w:t>168</w:t>
      </w:r>
      <w:r w:rsidR="00634EB8">
        <w:rPr>
          <w:rFonts w:ascii="Bookman Old Style" w:hAnsi="Bookman Old Style"/>
          <w:bCs/>
          <w:lang w:val="es-CO"/>
        </w:rPr>
        <w:t xml:space="preserve"> de 2017</w:t>
      </w:r>
    </w:p>
    <w:p w14:paraId="25707C46" w14:textId="77777777"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14:paraId="675C5A46" w14:textId="77777777"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14:paraId="5D002F42" w14:textId="77777777" w:rsidR="00D126E3" w:rsidRPr="003234E2" w:rsidRDefault="00D126E3" w:rsidP="00067308">
      <w:pPr>
        <w:ind w:left="0"/>
        <w:rPr>
          <w:rFonts w:ascii="Bookman Old Style" w:hAnsi="Bookman Old Style"/>
          <w:bCs/>
          <w:sz w:val="22"/>
          <w:lang w:val="es-CO"/>
        </w:rPr>
      </w:pPr>
    </w:p>
    <w:p w14:paraId="6B21CC2B" w14:textId="77777777"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14:paraId="0AA27B9F" w14:textId="77777777" w:rsidR="00EC3BB2" w:rsidRPr="003234E2" w:rsidRDefault="00EC3BB2" w:rsidP="00EC3BB2">
      <w:pPr>
        <w:tabs>
          <w:tab w:val="right" w:pos="9498"/>
        </w:tabs>
        <w:ind w:left="0" w:right="-142"/>
        <w:jc w:val="center"/>
        <w:rPr>
          <w:rFonts w:ascii="Bookman Old Style" w:hAnsi="Bookman Old Style" w:cs="Arial"/>
          <w:sz w:val="22"/>
        </w:rPr>
      </w:pPr>
    </w:p>
    <w:p w14:paraId="166D28C1" w14:textId="77777777" w:rsidR="00D126E3" w:rsidRPr="003234E2" w:rsidRDefault="00D126E3" w:rsidP="00D126E3">
      <w:pPr>
        <w:tabs>
          <w:tab w:val="right" w:pos="9498"/>
        </w:tabs>
        <w:ind w:left="0" w:right="-142"/>
        <w:jc w:val="both"/>
        <w:rPr>
          <w:rFonts w:ascii="Bookman Old Style" w:hAnsi="Bookman Old Style" w:cs="Arial"/>
          <w:sz w:val="22"/>
        </w:rPr>
      </w:pPr>
    </w:p>
    <w:p w14:paraId="74C12B1C" w14:textId="77777777"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14:paraId="319FB773" w14:textId="77777777" w:rsidR="00D126E3" w:rsidRPr="003234E2" w:rsidRDefault="00D126E3" w:rsidP="00D126E3">
      <w:pPr>
        <w:tabs>
          <w:tab w:val="right" w:pos="9498"/>
        </w:tabs>
        <w:ind w:left="0" w:right="-142"/>
        <w:jc w:val="center"/>
        <w:rPr>
          <w:rFonts w:ascii="Bookman Old Style" w:hAnsi="Bookman Old Style" w:cs="Arial"/>
          <w:b/>
          <w:sz w:val="20"/>
        </w:rPr>
      </w:pPr>
    </w:p>
    <w:p w14:paraId="574D8E5E" w14:textId="77777777" w:rsidR="00D126E3" w:rsidRDefault="00D126E3" w:rsidP="00D126E3">
      <w:pPr>
        <w:tabs>
          <w:tab w:val="right" w:pos="9498"/>
        </w:tabs>
        <w:ind w:left="0" w:right="-142"/>
        <w:jc w:val="center"/>
        <w:rPr>
          <w:rFonts w:ascii="Bookman Old Style" w:hAnsi="Bookman Old Style" w:cs="Arial"/>
          <w:b/>
        </w:rPr>
      </w:pPr>
    </w:p>
    <w:p w14:paraId="555B92F3" w14:textId="77777777"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14:paraId="35215636" w14:textId="77777777" w:rsidR="00EA33A0" w:rsidRDefault="00EA33A0" w:rsidP="00EA33A0">
      <w:pPr>
        <w:pStyle w:val="Textoindependiente2"/>
        <w:spacing w:after="0" w:line="240" w:lineRule="auto"/>
        <w:ind w:left="0" w:right="-142"/>
        <w:jc w:val="both"/>
        <w:rPr>
          <w:rFonts w:ascii="Bookman Old Style" w:hAnsi="Bookman Old Style" w:cs="Arial"/>
          <w:spacing w:val="-5"/>
          <w:lang w:val="es-CO" w:eastAsia="en-US"/>
        </w:rPr>
      </w:pPr>
    </w:p>
    <w:p w14:paraId="5AF5189A" w14:textId="77777777"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14:paraId="07BDB4A0" w14:textId="77777777"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p>
    <w:p w14:paraId="13C70816" w14:textId="77777777"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14:paraId="558E030A" w14:textId="77777777" w:rsidR="00EA33A0" w:rsidRPr="00EA33A0" w:rsidRDefault="00EA33A0" w:rsidP="00EA33A0">
      <w:pPr>
        <w:ind w:left="0"/>
        <w:jc w:val="both"/>
        <w:rPr>
          <w:rFonts w:ascii="Bookman Old Style" w:hAnsi="Bookman Old Style" w:cs="Arial"/>
          <w:spacing w:val="-5"/>
          <w:lang w:val="es-CO" w:eastAsia="en-US"/>
        </w:rPr>
      </w:pPr>
    </w:p>
    <w:p w14:paraId="441788AC" w14:textId="77777777"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14:paraId="55E319DB" w14:textId="77777777" w:rsidR="00EA33A0" w:rsidRPr="00EA33A0" w:rsidRDefault="00EA33A0" w:rsidP="00EA33A0">
      <w:pPr>
        <w:ind w:left="0"/>
        <w:jc w:val="both"/>
        <w:rPr>
          <w:rFonts w:ascii="Bookman Old Style" w:hAnsi="Bookman Old Style" w:cs="Arial"/>
          <w:spacing w:val="-5"/>
          <w:lang w:val="es-CO" w:eastAsia="en-US"/>
        </w:rPr>
      </w:pPr>
    </w:p>
    <w:p w14:paraId="0463CB91" w14:textId="77777777"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14:paraId="03852776" w14:textId="77777777" w:rsidR="00EA33A0" w:rsidRPr="00EA33A0" w:rsidRDefault="00EA33A0" w:rsidP="00EA33A0">
      <w:pPr>
        <w:jc w:val="both"/>
        <w:rPr>
          <w:rFonts w:ascii="Bookman Old Style" w:hAnsi="Bookman Old Style" w:cs="Arial"/>
          <w:sz w:val="22"/>
          <w:szCs w:val="22"/>
        </w:rPr>
      </w:pPr>
    </w:p>
    <w:p w14:paraId="26478CAC" w14:textId="56D0D091" w:rsidR="00EA33A0" w:rsidRPr="00EE0EFC" w:rsidRDefault="00EE0EFC" w:rsidP="00EA33A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14:paraId="21EC5BCF" w14:textId="77777777" w:rsidR="00EA33A0" w:rsidRPr="00EA33A0" w:rsidRDefault="00EA33A0" w:rsidP="00EA33A0">
      <w:pPr>
        <w:rPr>
          <w:rFonts w:ascii="Bookman Old Style" w:hAnsi="Bookman Old Style"/>
          <w:sz w:val="22"/>
          <w:szCs w:val="22"/>
        </w:rPr>
      </w:pPr>
      <w:r w:rsidRPr="00EA33A0">
        <w:rPr>
          <w:rFonts w:ascii="Bookman Old Style" w:hAnsi="Bookman Old Style"/>
          <w:sz w:val="22"/>
          <w:szCs w:val="22"/>
        </w:rPr>
        <w:t>donde,</w:t>
      </w:r>
    </w:p>
    <w:p w14:paraId="038AC5F5" w14:textId="77777777" w:rsidR="00EA33A0" w:rsidRPr="00EA33A0" w:rsidRDefault="00EA33A0" w:rsidP="00EA33A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A33A0" w:rsidRPr="00281AFF" w14:paraId="379E1577" w14:textId="77777777" w:rsidTr="00281AFF">
        <w:tc>
          <w:tcPr>
            <w:tcW w:w="1242" w:type="dxa"/>
            <w:shd w:val="clear" w:color="auto" w:fill="auto"/>
          </w:tcPr>
          <w:p w14:paraId="7DD8EC7E" w14:textId="214FDE6D" w:rsidR="00EA33A0" w:rsidRPr="00281AFF" w:rsidRDefault="00EE0EFC" w:rsidP="00281AFF">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A33A0" w:rsidRPr="00281AFF">
              <w:rPr>
                <w:rFonts w:ascii="Bookman Old Style" w:hAnsi="Bookman Old Style"/>
                <w:sz w:val="22"/>
                <w:szCs w:val="22"/>
              </w:rPr>
              <w:t>:</w:t>
            </w:r>
          </w:p>
        </w:tc>
        <w:tc>
          <w:tcPr>
            <w:tcW w:w="7088" w:type="dxa"/>
            <w:shd w:val="clear" w:color="auto" w:fill="auto"/>
          </w:tcPr>
          <w:p w14:paraId="05F58939" w14:textId="77777777" w:rsidR="00EA33A0" w:rsidRPr="00281AFF" w:rsidRDefault="00EA33A0" w:rsidP="00281AFF">
            <w:pPr>
              <w:ind w:left="0"/>
              <w:jc w:val="both"/>
              <w:rPr>
                <w:rFonts w:ascii="Bookman Old Style" w:hAnsi="Bookman Old Style"/>
                <w:sz w:val="22"/>
                <w:szCs w:val="22"/>
              </w:rPr>
            </w:pPr>
            <w:r w:rsidRPr="00281AFF">
              <w:rPr>
                <w:rFonts w:ascii="Bookman Old Style" w:hAnsi="Bookman Old Style" w:cs="Arial"/>
                <w:sz w:val="22"/>
                <w:szCs w:val="22"/>
              </w:rPr>
              <w:t xml:space="preserve">Capacidad disponible de compra del distribuidor </w:t>
            </w:r>
            <w:r w:rsidRPr="00281AFF">
              <w:rPr>
                <w:rFonts w:ascii="Bookman Old Style" w:hAnsi="Bookman Old Style" w:cs="Arial"/>
                <w:i/>
                <w:sz w:val="22"/>
                <w:szCs w:val="22"/>
              </w:rPr>
              <w:t>i</w:t>
            </w:r>
            <w:r w:rsidRPr="00281AFF">
              <w:rPr>
                <w:rFonts w:ascii="Bookman Old Style" w:hAnsi="Bookman Old Style" w:cs="Arial"/>
                <w:sz w:val="22"/>
                <w:szCs w:val="22"/>
              </w:rPr>
              <w:t xml:space="preserve">, para el periodo de compra </w:t>
            </w:r>
            <w:r w:rsidRPr="00281AFF">
              <w:rPr>
                <w:rFonts w:ascii="Bookman Old Style" w:hAnsi="Bookman Old Style" w:cs="Arial"/>
                <w:i/>
                <w:sz w:val="22"/>
                <w:szCs w:val="22"/>
              </w:rPr>
              <w:t>t</w:t>
            </w:r>
            <w:r w:rsidRPr="00281AFF">
              <w:rPr>
                <w:rFonts w:ascii="Bookman Old Style" w:hAnsi="Bookman Old Style" w:cs="Arial"/>
                <w:sz w:val="22"/>
                <w:szCs w:val="22"/>
              </w:rPr>
              <w:t xml:space="preserve">, calculada para el mes </w:t>
            </w:r>
            <w:r w:rsidRPr="00281AFF">
              <w:rPr>
                <w:rFonts w:ascii="Bookman Old Style" w:hAnsi="Bookman Old Style" w:cs="Arial"/>
                <w:i/>
                <w:sz w:val="22"/>
                <w:szCs w:val="22"/>
              </w:rPr>
              <w:t>m</w:t>
            </w:r>
            <w:r w:rsidRPr="00281AFF">
              <w:rPr>
                <w:rFonts w:ascii="Bookman Old Style" w:hAnsi="Bookman Old Style" w:cs="Arial"/>
                <w:sz w:val="22"/>
                <w:szCs w:val="22"/>
              </w:rPr>
              <w:t>, medida en kilogramos.</w:t>
            </w:r>
          </w:p>
        </w:tc>
      </w:tr>
      <w:tr w:rsidR="00EA33A0" w:rsidRPr="00281AFF" w14:paraId="573974FE" w14:textId="77777777" w:rsidTr="00281AFF">
        <w:tc>
          <w:tcPr>
            <w:tcW w:w="1242" w:type="dxa"/>
            <w:shd w:val="clear" w:color="auto" w:fill="auto"/>
          </w:tcPr>
          <w:p w14:paraId="46AA5431" w14:textId="65C1B777" w:rsidR="00EA33A0" w:rsidRPr="00281AFF" w:rsidRDefault="002D1890" w:rsidP="00281AFF">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A33A0" w:rsidRPr="00281AFF">
              <w:rPr>
                <w:rFonts w:ascii="Bookman Old Style" w:hAnsi="Bookman Old Style"/>
                <w:sz w:val="22"/>
                <w:szCs w:val="22"/>
              </w:rPr>
              <w:t>:</w:t>
            </w:r>
          </w:p>
        </w:tc>
        <w:tc>
          <w:tcPr>
            <w:tcW w:w="7088" w:type="dxa"/>
            <w:shd w:val="clear" w:color="auto" w:fill="auto"/>
          </w:tcPr>
          <w:p w14:paraId="0F6CAD1A" w14:textId="77777777" w:rsidR="00EA33A0" w:rsidRPr="00281AFF" w:rsidRDefault="00EA33A0" w:rsidP="00281AFF">
            <w:pPr>
              <w:ind w:left="34" w:firstLine="4"/>
              <w:jc w:val="both"/>
              <w:rPr>
                <w:rFonts w:ascii="Bookman Old Style" w:hAnsi="Bookman Old Style"/>
                <w:sz w:val="22"/>
                <w:szCs w:val="22"/>
              </w:rPr>
            </w:pPr>
            <w:r w:rsidRPr="00281AFF">
              <w:rPr>
                <w:rFonts w:ascii="Bookman Old Style" w:hAnsi="Bookman Old Style" w:cs="Arial"/>
                <w:sz w:val="22"/>
                <w:szCs w:val="22"/>
              </w:rPr>
              <w:t>Capacidad de compra del distribuidor i, para el periodo de compra t, medida en kilogramos.</w:t>
            </w:r>
          </w:p>
        </w:tc>
      </w:tr>
      <w:tr w:rsidR="00EA33A0" w:rsidRPr="00281AFF" w14:paraId="6809AD85" w14:textId="77777777" w:rsidTr="00281AFF">
        <w:tc>
          <w:tcPr>
            <w:tcW w:w="1242" w:type="dxa"/>
            <w:shd w:val="clear" w:color="auto" w:fill="auto"/>
          </w:tcPr>
          <w:p w14:paraId="524A171A" w14:textId="5FFF081F" w:rsidR="00EA33A0" w:rsidRPr="00281AFF" w:rsidRDefault="002D1890" w:rsidP="00281AFF">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A33A0" w:rsidRPr="00281AFF">
              <w:rPr>
                <w:rFonts w:ascii="Bookman Old Style" w:hAnsi="Bookman Old Style"/>
                <w:sz w:val="22"/>
                <w:szCs w:val="22"/>
              </w:rPr>
              <w:t>:</w:t>
            </w:r>
          </w:p>
        </w:tc>
        <w:tc>
          <w:tcPr>
            <w:tcW w:w="7088" w:type="dxa"/>
            <w:shd w:val="clear" w:color="auto" w:fill="auto"/>
          </w:tcPr>
          <w:p w14:paraId="7F6530AF" w14:textId="77777777" w:rsidR="00EA33A0" w:rsidRPr="00281AFF" w:rsidRDefault="00EA33A0" w:rsidP="00281AFF">
            <w:pPr>
              <w:ind w:left="0"/>
              <w:jc w:val="both"/>
              <w:rPr>
                <w:rFonts w:ascii="Bookman Old Style" w:hAnsi="Bookman Old Style" w:cs="Arial"/>
                <w:sz w:val="22"/>
                <w:szCs w:val="22"/>
              </w:rPr>
            </w:pPr>
            <w:r w:rsidRPr="00281AFF">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A33A0" w:rsidRPr="00281AFF" w14:paraId="41341884" w14:textId="77777777" w:rsidTr="00281AFF">
        <w:tc>
          <w:tcPr>
            <w:tcW w:w="1242" w:type="dxa"/>
            <w:shd w:val="clear" w:color="auto" w:fill="auto"/>
          </w:tcPr>
          <w:p w14:paraId="5652C293" w14:textId="27397FEC" w:rsidR="00EA33A0" w:rsidRPr="00281AFF" w:rsidRDefault="002D1890" w:rsidP="00281AFF">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A33A0" w:rsidRPr="00281AFF">
              <w:rPr>
                <w:rFonts w:ascii="Bookman Old Style" w:hAnsi="Bookman Old Style"/>
                <w:sz w:val="22"/>
                <w:szCs w:val="22"/>
              </w:rPr>
              <w:t>:</w:t>
            </w:r>
          </w:p>
        </w:tc>
        <w:tc>
          <w:tcPr>
            <w:tcW w:w="7088" w:type="dxa"/>
            <w:shd w:val="clear" w:color="auto" w:fill="auto"/>
          </w:tcPr>
          <w:p w14:paraId="3FFF5386" w14:textId="17634F0D" w:rsidR="00EA33A0" w:rsidRPr="00281AFF" w:rsidRDefault="00EA33A0" w:rsidP="00281AFF">
            <w:pPr>
              <w:ind w:left="0"/>
              <w:jc w:val="both"/>
              <w:rPr>
                <w:rFonts w:ascii="Bookman Old Style" w:hAnsi="Bookman Old Style"/>
                <w:sz w:val="22"/>
                <w:szCs w:val="22"/>
              </w:rPr>
            </w:pPr>
            <w:r w:rsidRPr="00281AFF">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281AFF">
              <w:rPr>
                <w:rFonts w:ascii="Bookman Old Style" w:hAnsi="Bookman Old Style"/>
                <w:sz w:val="22"/>
                <w:szCs w:val="22"/>
              </w:rPr>
              <w:t xml:space="preserve"> será igual a cero (0).</w:t>
            </w:r>
          </w:p>
        </w:tc>
      </w:tr>
      <w:tr w:rsidR="00EA33A0" w:rsidRPr="00281AFF" w14:paraId="498D174F" w14:textId="77777777" w:rsidTr="00281AFF">
        <w:tc>
          <w:tcPr>
            <w:tcW w:w="1242" w:type="dxa"/>
            <w:shd w:val="clear" w:color="auto" w:fill="auto"/>
          </w:tcPr>
          <w:p w14:paraId="069D5BD2" w14:textId="0F2A3444" w:rsidR="00EA33A0" w:rsidRPr="00281AFF" w:rsidRDefault="00EE0EFC" w:rsidP="00281AFF">
            <w:pPr>
              <w:ind w:left="0"/>
              <w:rPr>
                <w:rFonts w:ascii="Bookman Old Style" w:hAnsi="Bookman Old Style"/>
                <w:sz w:val="22"/>
                <w:szCs w:val="22"/>
              </w:rPr>
            </w:pPr>
            <m:oMath>
              <m:r>
                <w:rPr>
                  <w:rFonts w:ascii="Cambria Math" w:hAnsi="Cambria Math"/>
                  <w:sz w:val="22"/>
                  <w:szCs w:val="22"/>
                </w:rPr>
                <m:t>m</m:t>
              </m:r>
            </m:oMath>
            <w:r w:rsidR="00EA33A0" w:rsidRPr="00281AFF">
              <w:rPr>
                <w:rFonts w:ascii="Bookman Old Style" w:hAnsi="Bookman Old Style" w:cs="Arial"/>
                <w:sz w:val="22"/>
                <w:szCs w:val="22"/>
              </w:rPr>
              <w:t>:</w:t>
            </w:r>
          </w:p>
        </w:tc>
        <w:tc>
          <w:tcPr>
            <w:tcW w:w="7088" w:type="dxa"/>
            <w:shd w:val="clear" w:color="auto" w:fill="auto"/>
          </w:tcPr>
          <w:p w14:paraId="5DD82EED" w14:textId="77777777" w:rsidR="00EA33A0" w:rsidRPr="00281AFF" w:rsidRDefault="00EA33A0" w:rsidP="00281AFF">
            <w:pPr>
              <w:ind w:left="0"/>
              <w:jc w:val="both"/>
              <w:rPr>
                <w:rFonts w:ascii="Bookman Old Style" w:hAnsi="Bookman Old Style"/>
                <w:sz w:val="22"/>
                <w:szCs w:val="22"/>
              </w:rPr>
            </w:pPr>
            <w:r w:rsidRPr="00281AFF">
              <w:rPr>
                <w:rFonts w:ascii="Bookman Old Style" w:hAnsi="Bookman Old Style" w:cs="Arial"/>
                <w:sz w:val="22"/>
                <w:szCs w:val="22"/>
              </w:rPr>
              <w:t>Mes de cálculo de la capacidad disponible de compra.</w:t>
            </w:r>
          </w:p>
        </w:tc>
      </w:tr>
      <w:tr w:rsidR="00EA33A0" w:rsidRPr="00281AFF" w14:paraId="40BC386A" w14:textId="77777777" w:rsidTr="00281AFF">
        <w:tc>
          <w:tcPr>
            <w:tcW w:w="1242" w:type="dxa"/>
            <w:shd w:val="clear" w:color="auto" w:fill="auto"/>
          </w:tcPr>
          <w:p w14:paraId="44C40A0A" w14:textId="41FEF6DD" w:rsidR="00EA33A0" w:rsidRPr="00281AFF" w:rsidRDefault="00EE0EFC" w:rsidP="00281AFF">
            <w:pPr>
              <w:ind w:left="0"/>
              <w:rPr>
                <w:rFonts w:ascii="Bookman Old Style" w:hAnsi="Bookman Old Style"/>
                <w:sz w:val="22"/>
                <w:szCs w:val="22"/>
              </w:rPr>
            </w:pPr>
            <m:oMath>
              <m:r>
                <w:rPr>
                  <w:rFonts w:ascii="Cambria Math" w:hAnsi="Cambria Math"/>
                  <w:sz w:val="22"/>
                  <w:szCs w:val="22"/>
                </w:rPr>
                <m:t>t</m:t>
              </m:r>
            </m:oMath>
            <w:r w:rsidR="00EA33A0" w:rsidRPr="00281AFF">
              <w:rPr>
                <w:rFonts w:ascii="Bookman Old Style" w:hAnsi="Bookman Old Style" w:cs="Arial"/>
                <w:sz w:val="22"/>
                <w:szCs w:val="22"/>
              </w:rPr>
              <w:t>:</w:t>
            </w:r>
          </w:p>
        </w:tc>
        <w:tc>
          <w:tcPr>
            <w:tcW w:w="7088" w:type="dxa"/>
            <w:shd w:val="clear" w:color="auto" w:fill="auto"/>
          </w:tcPr>
          <w:p w14:paraId="2FC20164" w14:textId="3C3A26F1" w:rsidR="00EA33A0" w:rsidRPr="00281AFF" w:rsidRDefault="00EA33A0" w:rsidP="00281AFF">
            <w:pPr>
              <w:ind w:left="0"/>
              <w:jc w:val="both"/>
              <w:rPr>
                <w:rFonts w:ascii="Bookman Old Style" w:hAnsi="Bookman Old Style"/>
                <w:sz w:val="22"/>
                <w:szCs w:val="22"/>
              </w:rPr>
            </w:pPr>
            <w:r w:rsidRPr="00281AFF">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281AFF">
              <w:rPr>
                <w:rFonts w:ascii="Bookman Old Style" w:hAnsi="Bookman Old Style"/>
                <w:sz w:val="22"/>
                <w:szCs w:val="22"/>
              </w:rPr>
              <w:t>.</w:t>
            </w:r>
          </w:p>
        </w:tc>
      </w:tr>
    </w:tbl>
    <w:p w14:paraId="0FCD013E" w14:textId="77777777" w:rsidR="00EA33A0" w:rsidRPr="00EA33A0" w:rsidRDefault="00EA33A0" w:rsidP="00EA33A0">
      <w:pPr>
        <w:ind w:left="1134"/>
        <w:rPr>
          <w:rFonts w:ascii="Bookman Old Style" w:hAnsi="Bookman Old Style"/>
          <w:sz w:val="22"/>
          <w:szCs w:val="22"/>
        </w:rPr>
      </w:pPr>
    </w:p>
    <w:p w14:paraId="46B56CFB" w14:textId="77777777" w:rsidR="00EA33A0" w:rsidRPr="00EA33A0" w:rsidRDefault="00EA33A0" w:rsidP="00EA33A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14:paraId="3922C1A2" w14:textId="77777777" w:rsidR="00EA33A0" w:rsidRPr="00EA33A0" w:rsidRDefault="00EA33A0" w:rsidP="00EA33A0">
      <w:pPr>
        <w:ind w:left="1272" w:hanging="705"/>
        <w:jc w:val="both"/>
        <w:rPr>
          <w:rFonts w:ascii="Bookman Old Style" w:hAnsi="Bookman Old Style" w:cs="Arial"/>
          <w:sz w:val="22"/>
          <w:szCs w:val="22"/>
        </w:rPr>
      </w:pPr>
    </w:p>
    <w:p w14:paraId="056B45A3" w14:textId="562D1DB6" w:rsidR="00EA33A0" w:rsidRPr="00EE0EFC" w:rsidRDefault="002D1890" w:rsidP="00EA33A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14:paraId="7F5B3343" w14:textId="77777777" w:rsidR="00EA33A0" w:rsidRPr="00EA33A0" w:rsidRDefault="00EA33A0" w:rsidP="00EA33A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A33A0" w:rsidRPr="00281AFF" w14:paraId="17EFF030" w14:textId="77777777" w:rsidTr="00281AFF">
        <w:tc>
          <w:tcPr>
            <w:tcW w:w="1271" w:type="dxa"/>
            <w:shd w:val="clear" w:color="auto" w:fill="auto"/>
          </w:tcPr>
          <w:p w14:paraId="68CA8241" w14:textId="6FA35D85" w:rsidR="00EA33A0" w:rsidRPr="00281AFF" w:rsidRDefault="002D1890" w:rsidP="00281AFF">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A33A0" w:rsidRPr="00281AFF">
              <w:rPr>
                <w:rFonts w:ascii="Bookman Old Style" w:hAnsi="Bookman Old Style"/>
                <w:sz w:val="22"/>
                <w:szCs w:val="22"/>
              </w:rPr>
              <w:t>:</w:t>
            </w:r>
          </w:p>
        </w:tc>
        <w:tc>
          <w:tcPr>
            <w:tcW w:w="6921" w:type="dxa"/>
            <w:shd w:val="clear" w:color="auto" w:fill="auto"/>
          </w:tcPr>
          <w:p w14:paraId="3BF3EDA0" w14:textId="77777777" w:rsidR="00EA33A0" w:rsidRPr="00281AFF" w:rsidRDefault="00EA33A0" w:rsidP="00281AFF">
            <w:pPr>
              <w:ind w:left="0"/>
              <w:jc w:val="both"/>
              <w:rPr>
                <w:rFonts w:ascii="Bookman Old Style" w:hAnsi="Bookman Old Style" w:cs="Arial"/>
                <w:sz w:val="22"/>
                <w:szCs w:val="22"/>
              </w:rPr>
            </w:pPr>
            <w:r w:rsidRPr="00281AFF">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A33A0" w:rsidRPr="00281AFF" w14:paraId="30644D25" w14:textId="77777777" w:rsidTr="00281AFF">
        <w:tc>
          <w:tcPr>
            <w:tcW w:w="1271" w:type="dxa"/>
            <w:shd w:val="clear" w:color="auto" w:fill="auto"/>
          </w:tcPr>
          <w:p w14:paraId="6ADE2BD7" w14:textId="54D25FA8" w:rsidR="00EA33A0" w:rsidRPr="00281AFF" w:rsidRDefault="002D1890" w:rsidP="00281AFF">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A33A0" w:rsidRPr="00281AFF">
              <w:rPr>
                <w:rFonts w:ascii="Bookman Old Style" w:hAnsi="Bookman Old Style" w:cs="Arial"/>
                <w:sz w:val="22"/>
                <w:szCs w:val="22"/>
              </w:rPr>
              <w:t>:</w:t>
            </w:r>
          </w:p>
        </w:tc>
        <w:tc>
          <w:tcPr>
            <w:tcW w:w="6921" w:type="dxa"/>
            <w:shd w:val="clear" w:color="auto" w:fill="auto"/>
          </w:tcPr>
          <w:p w14:paraId="6844BF1B" w14:textId="77777777" w:rsidR="00EA33A0" w:rsidRPr="00281AFF" w:rsidRDefault="00EA33A0" w:rsidP="00281AFF">
            <w:pPr>
              <w:ind w:left="0"/>
              <w:jc w:val="both"/>
              <w:rPr>
                <w:rFonts w:ascii="Bookman Old Style" w:hAnsi="Bookman Old Style" w:cs="Arial"/>
                <w:sz w:val="22"/>
                <w:szCs w:val="22"/>
              </w:rPr>
            </w:pPr>
            <w:r w:rsidRPr="00281AFF">
              <w:rPr>
                <w:rFonts w:ascii="Bookman Old Style" w:hAnsi="Bookman Old Style" w:cs="Arial"/>
                <w:sz w:val="22"/>
                <w:szCs w:val="22"/>
              </w:rPr>
              <w:t>Factor de equivalencia de envasado en cilindros y tanques estacionarios, corresponde a: 0,3.</w:t>
            </w:r>
          </w:p>
        </w:tc>
      </w:tr>
      <w:tr w:rsidR="00EA33A0" w:rsidRPr="00281AFF" w14:paraId="0F992303" w14:textId="77777777" w:rsidTr="00281AFF">
        <w:tc>
          <w:tcPr>
            <w:tcW w:w="1271" w:type="dxa"/>
            <w:shd w:val="clear" w:color="auto" w:fill="auto"/>
          </w:tcPr>
          <w:p w14:paraId="12F05238" w14:textId="6B527DAB" w:rsidR="00EA33A0" w:rsidRPr="00281AFF" w:rsidRDefault="00EE0EFC" w:rsidP="00281AFF">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A33A0" w:rsidRPr="00281AFF">
              <w:rPr>
                <w:rFonts w:ascii="Bookman Old Style" w:hAnsi="Bookman Old Style"/>
                <w:sz w:val="22"/>
                <w:szCs w:val="22"/>
              </w:rPr>
              <w:t>:</w:t>
            </w:r>
          </w:p>
        </w:tc>
        <w:tc>
          <w:tcPr>
            <w:tcW w:w="6921" w:type="dxa"/>
            <w:shd w:val="clear" w:color="auto" w:fill="auto"/>
          </w:tcPr>
          <w:p w14:paraId="288EF6A7" w14:textId="77777777" w:rsidR="00EA33A0" w:rsidRPr="00281AFF" w:rsidRDefault="00EA33A0" w:rsidP="00281AFF">
            <w:pPr>
              <w:ind w:left="0"/>
              <w:jc w:val="both"/>
              <w:rPr>
                <w:rFonts w:ascii="Bookman Old Style" w:hAnsi="Bookman Old Style" w:cs="Arial"/>
                <w:sz w:val="22"/>
                <w:szCs w:val="22"/>
              </w:rPr>
            </w:pPr>
            <w:r w:rsidRPr="00281AFF">
              <w:rPr>
                <w:rFonts w:ascii="Bookman Old Style" w:hAnsi="Bookman Old Style" w:cs="Arial"/>
                <w:sz w:val="22"/>
                <w:szCs w:val="22"/>
              </w:rPr>
              <w:t xml:space="preserve">Capacidad total de envase en cilindros de propiedad del distribuidor </w:t>
            </w:r>
            <w:r w:rsidRPr="00281AFF">
              <w:rPr>
                <w:rFonts w:ascii="Bookman Old Style" w:hAnsi="Bookman Old Style" w:cs="Arial"/>
                <w:i/>
                <w:sz w:val="22"/>
                <w:szCs w:val="22"/>
              </w:rPr>
              <w:t>i</w:t>
            </w:r>
            <w:r w:rsidRPr="00281AFF">
              <w:rPr>
                <w:rFonts w:ascii="Bookman Old Style" w:hAnsi="Bookman Old Style" w:cs="Arial"/>
                <w:sz w:val="22"/>
                <w:szCs w:val="22"/>
              </w:rPr>
              <w:t xml:space="preserve">, en el periodo </w:t>
            </w:r>
            <w:r w:rsidRPr="00281AFF">
              <w:rPr>
                <w:rFonts w:ascii="Bookman Old Style" w:hAnsi="Bookman Old Style" w:cs="Arial"/>
                <w:i/>
                <w:sz w:val="22"/>
                <w:szCs w:val="22"/>
              </w:rPr>
              <w:t>t</w:t>
            </w:r>
            <w:r w:rsidRPr="00281AFF">
              <w:rPr>
                <w:rFonts w:ascii="Bookman Old Style" w:hAnsi="Bookman Old Style" w:cs="Arial"/>
                <w:sz w:val="22"/>
                <w:szCs w:val="22"/>
              </w:rPr>
              <w:t>, medida en kilogramos, de acuerdo con la información reportada al SUI.</w:t>
            </w:r>
          </w:p>
        </w:tc>
      </w:tr>
      <w:tr w:rsidR="00EA33A0" w:rsidRPr="00281AFF" w14:paraId="3FC009BA" w14:textId="77777777" w:rsidTr="00281AFF">
        <w:tc>
          <w:tcPr>
            <w:tcW w:w="1271" w:type="dxa"/>
            <w:shd w:val="clear" w:color="auto" w:fill="auto"/>
          </w:tcPr>
          <w:p w14:paraId="00E0E25D" w14:textId="43F8F05E" w:rsidR="00EA33A0" w:rsidRPr="00281AFF" w:rsidRDefault="00EE0EFC" w:rsidP="00281AFF">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A33A0" w:rsidRPr="00281AFF">
              <w:rPr>
                <w:rFonts w:ascii="Bookman Old Style" w:hAnsi="Bookman Old Style" w:cs="Arial"/>
                <w:sz w:val="22"/>
                <w:szCs w:val="22"/>
              </w:rPr>
              <w:t>:</w:t>
            </w:r>
          </w:p>
        </w:tc>
        <w:tc>
          <w:tcPr>
            <w:tcW w:w="6921" w:type="dxa"/>
            <w:shd w:val="clear" w:color="auto" w:fill="auto"/>
          </w:tcPr>
          <w:p w14:paraId="4E58CD12" w14:textId="77777777" w:rsidR="00EA33A0" w:rsidRPr="00281AFF" w:rsidRDefault="00EA33A0" w:rsidP="00281AFF">
            <w:pPr>
              <w:ind w:left="0"/>
              <w:jc w:val="both"/>
              <w:rPr>
                <w:rFonts w:ascii="Bookman Old Style" w:hAnsi="Bookman Old Style" w:cs="Arial"/>
                <w:sz w:val="22"/>
                <w:szCs w:val="22"/>
              </w:rPr>
            </w:pPr>
            <w:r w:rsidRPr="00281AFF">
              <w:rPr>
                <w:rFonts w:ascii="Bookman Old Style" w:hAnsi="Bookman Old Style" w:cs="Arial"/>
                <w:sz w:val="22"/>
                <w:szCs w:val="22"/>
              </w:rPr>
              <w:t xml:space="preserve">Capacidad total de tanques estacionarios atendidos por el distribuidor </w:t>
            </w:r>
            <w:r w:rsidRPr="00281AFF">
              <w:rPr>
                <w:rFonts w:ascii="Bookman Old Style" w:hAnsi="Bookman Old Style" w:cs="Arial"/>
                <w:i/>
                <w:sz w:val="22"/>
                <w:szCs w:val="22"/>
              </w:rPr>
              <w:t xml:space="preserve">i, </w:t>
            </w:r>
            <w:r w:rsidRPr="00281AFF">
              <w:rPr>
                <w:rFonts w:ascii="Bookman Old Style" w:hAnsi="Bookman Old Style" w:cs="Arial"/>
                <w:sz w:val="22"/>
                <w:szCs w:val="22"/>
              </w:rPr>
              <w:t xml:space="preserve">en el periodo </w:t>
            </w:r>
            <w:r w:rsidRPr="00281AFF">
              <w:rPr>
                <w:rFonts w:ascii="Bookman Old Style" w:hAnsi="Bookman Old Style" w:cs="Arial"/>
                <w:i/>
                <w:sz w:val="22"/>
                <w:szCs w:val="22"/>
              </w:rPr>
              <w:t>t</w:t>
            </w:r>
            <w:r w:rsidRPr="00281AFF">
              <w:rPr>
                <w:rFonts w:ascii="Bookman Old Style" w:hAnsi="Bookman Old Style" w:cs="Arial"/>
                <w:sz w:val="22"/>
                <w:szCs w:val="22"/>
              </w:rPr>
              <w:t>, medida en kilogramos, de acuerdo con la información reportada al SUI.</w:t>
            </w:r>
          </w:p>
        </w:tc>
      </w:tr>
    </w:tbl>
    <w:p w14:paraId="4541EFE0" w14:textId="77777777" w:rsidR="00EA33A0" w:rsidRPr="00EA33A0" w:rsidRDefault="00EA33A0" w:rsidP="00EA33A0">
      <w:pPr>
        <w:ind w:left="1272" w:hanging="705"/>
        <w:jc w:val="both"/>
        <w:rPr>
          <w:rFonts w:ascii="Bookman Old Style" w:hAnsi="Bookman Old Style" w:cs="Arial"/>
          <w:sz w:val="22"/>
          <w:szCs w:val="22"/>
        </w:rPr>
      </w:pPr>
    </w:p>
    <w:p w14:paraId="0D9C2CE9" w14:textId="77777777"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14:paraId="3B739387" w14:textId="77777777" w:rsidR="00EA33A0" w:rsidRPr="00EA33A0" w:rsidRDefault="00EA33A0" w:rsidP="00EA33A0">
      <w:pPr>
        <w:jc w:val="both"/>
        <w:rPr>
          <w:rFonts w:ascii="Bookman Old Style" w:hAnsi="Bookman Old Style" w:cs="Arial"/>
          <w:sz w:val="22"/>
          <w:szCs w:val="22"/>
        </w:rPr>
      </w:pPr>
    </w:p>
    <w:p w14:paraId="5BEF7450" w14:textId="59A2DDC6" w:rsidR="00EA33A0" w:rsidRPr="00EE0EFC" w:rsidRDefault="00EE0EFC" w:rsidP="00EA33A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14:paraId="0C4E0BD7" w14:textId="77777777" w:rsidR="00EA33A0" w:rsidRPr="00EA33A0" w:rsidRDefault="00EA33A0" w:rsidP="00EA33A0">
      <w:pPr>
        <w:ind w:left="709" w:firstLine="566"/>
        <w:jc w:val="both"/>
        <w:rPr>
          <w:rFonts w:ascii="Bookman Old Style" w:hAnsi="Bookman Old Style"/>
          <w:sz w:val="22"/>
          <w:szCs w:val="22"/>
        </w:rPr>
      </w:pPr>
    </w:p>
    <w:p w14:paraId="2928E45D" w14:textId="68A668D4" w:rsidR="00EA33A0" w:rsidRDefault="00EA33A0" w:rsidP="00EA33A0">
      <w:pPr>
        <w:ind w:left="709" w:firstLine="566"/>
        <w:jc w:val="both"/>
        <w:rPr>
          <w:rFonts w:ascii="Bookman Old Style" w:hAnsi="Bookman Old Style"/>
          <w:sz w:val="22"/>
          <w:szCs w:val="22"/>
        </w:rPr>
      </w:pPr>
      <w:r w:rsidRPr="00EA33A0">
        <w:rPr>
          <w:rFonts w:ascii="Bookman Old Style" w:hAnsi="Bookman Old Style"/>
          <w:sz w:val="22"/>
          <w:szCs w:val="22"/>
        </w:rPr>
        <w:t>donde,</w:t>
      </w:r>
    </w:p>
    <w:p w14:paraId="53106B20" w14:textId="77777777" w:rsidR="003356D8" w:rsidRPr="00EA33A0" w:rsidRDefault="003356D8" w:rsidP="00EA33A0">
      <w:pPr>
        <w:ind w:left="709" w:firstLine="566"/>
        <w:jc w:val="both"/>
        <w:rPr>
          <w:rFonts w:ascii="Bookman Old Style" w:hAnsi="Bookman Old Style"/>
          <w:sz w:val="22"/>
          <w:szCs w:val="22"/>
        </w:rPr>
      </w:pPr>
    </w:p>
    <w:tbl>
      <w:tblPr>
        <w:tblW w:w="8080" w:type="dxa"/>
        <w:tblInd w:w="1242" w:type="dxa"/>
        <w:tblLook w:val="04A0" w:firstRow="1" w:lastRow="0" w:firstColumn="1" w:lastColumn="0" w:noHBand="0" w:noVBand="1"/>
      </w:tblPr>
      <w:tblGrid>
        <w:gridCol w:w="1659"/>
        <w:gridCol w:w="6421"/>
      </w:tblGrid>
      <w:tr w:rsidR="00EA33A0" w:rsidRPr="00281AFF" w14:paraId="2319B3FA" w14:textId="77777777" w:rsidTr="00281AFF">
        <w:trPr>
          <w:trHeight w:val="966"/>
        </w:trPr>
        <w:tc>
          <w:tcPr>
            <w:tcW w:w="1659" w:type="dxa"/>
            <w:shd w:val="clear" w:color="auto" w:fill="auto"/>
            <w:hideMark/>
          </w:tcPr>
          <w:p w14:paraId="20CD9289" w14:textId="47704561" w:rsidR="00EA33A0" w:rsidRPr="00281AFF" w:rsidRDefault="00EE0EFC" w:rsidP="00281AFF">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A33A0" w:rsidRPr="00281AFF">
              <w:rPr>
                <w:rFonts w:ascii="Bookman Old Style" w:hAnsi="Bookman Old Style"/>
                <w:sz w:val="22"/>
                <w:szCs w:val="22"/>
              </w:rPr>
              <w:t>:</w:t>
            </w:r>
          </w:p>
        </w:tc>
        <w:tc>
          <w:tcPr>
            <w:tcW w:w="6421" w:type="dxa"/>
            <w:shd w:val="clear" w:color="auto" w:fill="auto"/>
            <w:hideMark/>
          </w:tcPr>
          <w:p w14:paraId="51A0DBB6" w14:textId="5CA91475" w:rsidR="00EA33A0" w:rsidRPr="00281AFF" w:rsidRDefault="00EA33A0" w:rsidP="003356D8">
            <w:pPr>
              <w:ind w:left="0"/>
              <w:jc w:val="both"/>
              <w:rPr>
                <w:rFonts w:ascii="Bookman Old Style" w:hAnsi="Bookman Old Style"/>
                <w:sz w:val="22"/>
                <w:szCs w:val="22"/>
                <w:lang w:val="es-CO"/>
              </w:rPr>
            </w:pPr>
            <w:r w:rsidRPr="00281AFF">
              <w:rPr>
                <w:rFonts w:ascii="Bookman Old Style" w:hAnsi="Bookman Old Style"/>
                <w:sz w:val="22"/>
                <w:szCs w:val="22"/>
              </w:rPr>
              <w:t>Capacidad total de envase en cilindros de propiedad del distribuidor i, en el periodo t, medida en kilogramos, registrado en el SUI.</w:t>
            </w:r>
          </w:p>
        </w:tc>
      </w:tr>
      <w:tr w:rsidR="00EA33A0" w:rsidRPr="00281AFF" w14:paraId="23450BF9" w14:textId="77777777" w:rsidTr="00281AFF">
        <w:trPr>
          <w:trHeight w:val="1359"/>
        </w:trPr>
        <w:tc>
          <w:tcPr>
            <w:tcW w:w="1659" w:type="dxa"/>
            <w:shd w:val="clear" w:color="auto" w:fill="auto"/>
            <w:hideMark/>
          </w:tcPr>
          <w:p w14:paraId="2C1A5603" w14:textId="4D1B57CC" w:rsidR="00EA33A0" w:rsidRPr="00281AFF" w:rsidRDefault="00EE0EFC" w:rsidP="00281AFF">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A33A0" w:rsidRPr="00281AFF">
              <w:rPr>
                <w:rFonts w:ascii="Bookman Old Style" w:hAnsi="Bookman Old Style"/>
                <w:sz w:val="22"/>
                <w:szCs w:val="22"/>
                <w:lang w:val="es-CO"/>
              </w:rPr>
              <w:t>:</w:t>
            </w:r>
          </w:p>
        </w:tc>
        <w:tc>
          <w:tcPr>
            <w:tcW w:w="6421" w:type="dxa"/>
            <w:shd w:val="clear" w:color="auto" w:fill="auto"/>
            <w:hideMark/>
          </w:tcPr>
          <w:p w14:paraId="096282EA" w14:textId="77777777" w:rsidR="00EA33A0" w:rsidRPr="00281AFF" w:rsidRDefault="00EA33A0" w:rsidP="00281AFF">
            <w:pPr>
              <w:ind w:left="0"/>
              <w:jc w:val="both"/>
              <w:rPr>
                <w:rFonts w:ascii="Bookman Old Style" w:hAnsi="Bookman Old Style"/>
                <w:sz w:val="22"/>
                <w:szCs w:val="22"/>
                <w:lang w:val="es-CO"/>
              </w:rPr>
            </w:pPr>
            <w:r w:rsidRPr="00281AFF">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14:paraId="2AE91571" w14:textId="77777777" w:rsidR="00EA33A0" w:rsidRPr="00EA33A0" w:rsidRDefault="00EA33A0" w:rsidP="00EA33A0">
      <w:pPr>
        <w:ind w:left="2694" w:hanging="2127"/>
        <w:jc w:val="both"/>
        <w:rPr>
          <w:rFonts w:ascii="Bookman Old Style" w:hAnsi="Bookman Old Style"/>
          <w:sz w:val="22"/>
          <w:szCs w:val="22"/>
        </w:rPr>
      </w:pPr>
    </w:p>
    <w:p w14:paraId="4AE85C8D" w14:textId="1F0FE10A" w:rsidR="00EA33A0" w:rsidRPr="00EE0EFC" w:rsidRDefault="00EE0EFC" w:rsidP="00EA33A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14:paraId="4F337885" w14:textId="77777777" w:rsidR="00EA33A0" w:rsidRPr="00EA33A0" w:rsidRDefault="00EA33A0" w:rsidP="00EA33A0">
      <w:pPr>
        <w:ind w:left="2694" w:hanging="2127"/>
        <w:jc w:val="both"/>
        <w:rPr>
          <w:rFonts w:ascii="Bookman Old Style" w:hAnsi="Bookman Old Style"/>
          <w:iCs/>
          <w:sz w:val="22"/>
          <w:szCs w:val="22"/>
        </w:rPr>
      </w:pPr>
    </w:p>
    <w:p w14:paraId="04A3645B" w14:textId="77777777" w:rsidR="00EA33A0" w:rsidRPr="00EA33A0" w:rsidRDefault="00EA33A0" w:rsidP="00EA33A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A33A0" w:rsidRPr="00EA33A0" w14:paraId="6A26E7BC" w14:textId="77777777" w:rsidTr="00A5623A">
        <w:trPr>
          <w:trHeight w:val="1359"/>
        </w:trPr>
        <w:tc>
          <w:tcPr>
            <w:tcW w:w="1418" w:type="dxa"/>
            <w:shd w:val="clear" w:color="auto" w:fill="auto"/>
            <w:tcMar>
              <w:top w:w="15" w:type="dxa"/>
              <w:left w:w="108" w:type="dxa"/>
              <w:bottom w:w="0" w:type="dxa"/>
              <w:right w:w="108" w:type="dxa"/>
            </w:tcMar>
            <w:hideMark/>
          </w:tcPr>
          <w:p w14:paraId="0B4DA8F7" w14:textId="74762000" w:rsidR="00EA33A0" w:rsidRPr="00EA33A0" w:rsidRDefault="00EE0EFC"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14:paraId="3D57BE28"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EA33A0" w:rsidRPr="00EA33A0" w14:paraId="1F39F4F4" w14:textId="77777777" w:rsidTr="00A5623A">
        <w:trPr>
          <w:trHeight w:val="1021"/>
        </w:trPr>
        <w:tc>
          <w:tcPr>
            <w:tcW w:w="1418" w:type="dxa"/>
            <w:shd w:val="clear" w:color="auto" w:fill="auto"/>
            <w:tcMar>
              <w:top w:w="15" w:type="dxa"/>
              <w:left w:w="108" w:type="dxa"/>
              <w:bottom w:w="0" w:type="dxa"/>
              <w:right w:w="108" w:type="dxa"/>
            </w:tcMar>
            <w:hideMark/>
          </w:tcPr>
          <w:p w14:paraId="71950404" w14:textId="5642CA5B" w:rsidR="00EA33A0" w:rsidRPr="00EA33A0" w:rsidRDefault="00EE0EFC"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14:paraId="7CC7FCCB"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EA33A0" w:rsidRPr="00EA33A0" w14:paraId="67A7CD20" w14:textId="77777777" w:rsidTr="00A5623A">
        <w:trPr>
          <w:trHeight w:val="524"/>
        </w:trPr>
        <w:tc>
          <w:tcPr>
            <w:tcW w:w="1418" w:type="dxa"/>
            <w:shd w:val="clear" w:color="auto" w:fill="auto"/>
            <w:tcMar>
              <w:top w:w="15" w:type="dxa"/>
              <w:left w:w="108" w:type="dxa"/>
              <w:bottom w:w="0" w:type="dxa"/>
              <w:right w:w="108" w:type="dxa"/>
            </w:tcMar>
            <w:hideMark/>
          </w:tcPr>
          <w:p w14:paraId="0D76FC33" w14:textId="05F2CB77" w:rsidR="00EA33A0" w:rsidRPr="00EA33A0" w:rsidRDefault="00EE0EFC" w:rsidP="00EA33A0">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14:paraId="28B5F5EA"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EA33A0" w:rsidRPr="00EA33A0" w14:paraId="5458EBB4" w14:textId="77777777" w:rsidTr="00A5623A">
        <w:trPr>
          <w:trHeight w:val="416"/>
        </w:trPr>
        <w:tc>
          <w:tcPr>
            <w:tcW w:w="1418" w:type="dxa"/>
            <w:shd w:val="clear" w:color="auto" w:fill="auto"/>
            <w:tcMar>
              <w:top w:w="15" w:type="dxa"/>
              <w:left w:w="108" w:type="dxa"/>
              <w:bottom w:w="0" w:type="dxa"/>
              <w:right w:w="108" w:type="dxa"/>
            </w:tcMar>
            <w:hideMark/>
          </w:tcPr>
          <w:p w14:paraId="2B752A87" w14:textId="1529E0EB" w:rsidR="00EA33A0" w:rsidRPr="00EA33A0" w:rsidRDefault="00EE0EFC"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14:paraId="48ED5815"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14:paraId="72573C91" w14:textId="77777777" w:rsidR="00EA33A0" w:rsidRPr="00EA33A0" w:rsidRDefault="00EA33A0" w:rsidP="00EA33A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A33A0" w:rsidRPr="00EA33A0" w14:paraId="22E38ABD" w14:textId="77777777" w:rsidTr="00A5623A">
        <w:trPr>
          <w:trHeight w:val="1021"/>
        </w:trPr>
        <w:tc>
          <w:tcPr>
            <w:tcW w:w="2040" w:type="dxa"/>
            <w:shd w:val="clear" w:color="auto" w:fill="auto"/>
            <w:tcMar>
              <w:top w:w="15" w:type="dxa"/>
              <w:left w:w="108" w:type="dxa"/>
              <w:bottom w:w="0" w:type="dxa"/>
              <w:right w:w="108" w:type="dxa"/>
            </w:tcMar>
            <w:hideMark/>
          </w:tcPr>
          <w:p w14:paraId="17BB8143" w14:textId="75FA90BE" w:rsidR="00EA33A0" w:rsidRPr="00EA33A0" w:rsidRDefault="00EE0EFC"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A33A0"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14:paraId="0F5AA11D"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tc>
      </w:tr>
    </w:tbl>
    <w:p w14:paraId="0E4E26CA" w14:textId="6C864F56" w:rsidR="00EA33A0" w:rsidRPr="00EE0EFC" w:rsidRDefault="00EE0EFC" w:rsidP="00EA33A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14:paraId="6732DAB6" w14:textId="77777777" w:rsidR="00EA33A0" w:rsidRPr="00EA33A0" w:rsidRDefault="00EA33A0" w:rsidP="00EA33A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A33A0" w:rsidRPr="00EA33A0" w14:paraId="26DA03A2" w14:textId="77777777" w:rsidTr="00A5623A">
        <w:trPr>
          <w:trHeight w:val="1359"/>
        </w:trPr>
        <w:tc>
          <w:tcPr>
            <w:tcW w:w="1276" w:type="dxa"/>
            <w:shd w:val="clear" w:color="auto" w:fill="auto"/>
            <w:tcMar>
              <w:top w:w="15" w:type="dxa"/>
              <w:left w:w="108" w:type="dxa"/>
              <w:bottom w:w="0" w:type="dxa"/>
              <w:right w:w="108" w:type="dxa"/>
            </w:tcMar>
            <w:hideMark/>
          </w:tcPr>
          <w:p w14:paraId="24FD7553" w14:textId="6D188375" w:rsidR="00EA33A0" w:rsidRPr="00EA33A0" w:rsidRDefault="00EE0EFC"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A33A0"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14:paraId="2A8AB8A3"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EA33A0" w:rsidRPr="00EA33A0" w14:paraId="0A221CAA" w14:textId="77777777" w:rsidTr="00A5623A">
        <w:trPr>
          <w:trHeight w:val="1021"/>
        </w:trPr>
        <w:tc>
          <w:tcPr>
            <w:tcW w:w="1276" w:type="dxa"/>
            <w:shd w:val="clear" w:color="auto" w:fill="auto"/>
            <w:tcMar>
              <w:top w:w="15" w:type="dxa"/>
              <w:left w:w="108" w:type="dxa"/>
              <w:bottom w:w="0" w:type="dxa"/>
              <w:right w:w="108" w:type="dxa"/>
            </w:tcMar>
            <w:hideMark/>
          </w:tcPr>
          <w:p w14:paraId="14CA1D18" w14:textId="6DC88ECA" w:rsidR="00EA33A0" w:rsidRPr="00EA33A0" w:rsidRDefault="00EE0EFC"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A33A0"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14:paraId="28CAE0E3"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EA33A0" w:rsidRPr="00EA33A0" w14:paraId="02F6B816" w14:textId="77777777" w:rsidTr="00A5623A">
        <w:trPr>
          <w:trHeight w:val="416"/>
        </w:trPr>
        <w:tc>
          <w:tcPr>
            <w:tcW w:w="1276" w:type="dxa"/>
            <w:shd w:val="clear" w:color="auto" w:fill="auto"/>
            <w:tcMar>
              <w:top w:w="15" w:type="dxa"/>
              <w:left w:w="108" w:type="dxa"/>
              <w:bottom w:w="0" w:type="dxa"/>
              <w:right w:w="108" w:type="dxa"/>
            </w:tcMar>
            <w:hideMark/>
          </w:tcPr>
          <w:p w14:paraId="59B26213" w14:textId="08B69EB7" w:rsidR="00EA33A0" w:rsidRPr="00EA33A0" w:rsidRDefault="00EE0EFC"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A33A0"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14:paraId="2B695536" w14:textId="77777777"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14:paraId="4E00D1B3" w14:textId="77777777" w:rsidR="00EA33A0" w:rsidRPr="00EA33A0" w:rsidRDefault="00EA33A0" w:rsidP="00EA33A0">
      <w:pPr>
        <w:ind w:left="2694" w:hanging="2127"/>
        <w:jc w:val="both"/>
        <w:rPr>
          <w:rFonts w:ascii="Bookman Old Style" w:hAnsi="Bookman Old Style"/>
          <w:sz w:val="22"/>
          <w:szCs w:val="22"/>
        </w:rPr>
      </w:pPr>
    </w:p>
    <w:p w14:paraId="1079923B" w14:textId="77777777"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14:paraId="22EB8F84" w14:textId="77777777" w:rsidR="00EA33A0" w:rsidRPr="00EA33A0" w:rsidRDefault="00EA33A0" w:rsidP="00EA33A0">
      <w:pPr>
        <w:jc w:val="both"/>
        <w:rPr>
          <w:rFonts w:ascii="Bookman Old Style" w:hAnsi="Bookman Old Style" w:cs="Arial"/>
          <w:sz w:val="22"/>
          <w:szCs w:val="22"/>
        </w:rPr>
      </w:pPr>
    </w:p>
    <w:p w14:paraId="41ED89A1" w14:textId="1399AE7E" w:rsidR="00EA33A0" w:rsidRPr="00EE0EFC" w:rsidRDefault="00EE0EFC" w:rsidP="00EA33A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14:paraId="50C5B4B0" w14:textId="77777777"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A33A0" w:rsidRPr="00281AFF" w14:paraId="356B1B73" w14:textId="77777777" w:rsidTr="00281AFF">
        <w:tc>
          <w:tcPr>
            <w:tcW w:w="1418" w:type="dxa"/>
            <w:shd w:val="clear" w:color="auto" w:fill="auto"/>
          </w:tcPr>
          <w:p w14:paraId="4BB19D8D" w14:textId="41A0F98B" w:rsidR="00EA33A0" w:rsidRPr="00281AFF" w:rsidRDefault="00EE0EFC" w:rsidP="00281AFF">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A33A0" w:rsidRPr="00281AFF">
              <w:rPr>
                <w:rFonts w:ascii="Bookman Old Style" w:hAnsi="Bookman Old Style" w:cs="Arial"/>
                <w:sz w:val="22"/>
                <w:szCs w:val="22"/>
              </w:rPr>
              <w:t>:</w:t>
            </w:r>
          </w:p>
        </w:tc>
        <w:tc>
          <w:tcPr>
            <w:tcW w:w="6804" w:type="dxa"/>
            <w:shd w:val="clear" w:color="auto" w:fill="auto"/>
          </w:tcPr>
          <w:p w14:paraId="77F60D5A" w14:textId="77777777" w:rsidR="00EA33A0" w:rsidRPr="00281AFF" w:rsidRDefault="00EA33A0" w:rsidP="00281AFF">
            <w:pPr>
              <w:ind w:left="-108"/>
              <w:jc w:val="both"/>
              <w:rPr>
                <w:rFonts w:ascii="Bookman Old Style" w:hAnsi="Bookman Old Style" w:cs="Arial"/>
                <w:sz w:val="22"/>
                <w:szCs w:val="22"/>
              </w:rPr>
            </w:pPr>
            <w:r w:rsidRPr="00281AFF">
              <w:rPr>
                <w:rFonts w:ascii="Bookman Old Style" w:hAnsi="Bookman Old Style" w:cs="Arial"/>
                <w:sz w:val="22"/>
                <w:szCs w:val="22"/>
              </w:rPr>
              <w:t xml:space="preserve">Capacidad total de tanques estacionarios atendidos por el distribuidor </w:t>
            </w:r>
            <w:r w:rsidRPr="00281AFF">
              <w:rPr>
                <w:rFonts w:ascii="Bookman Old Style" w:hAnsi="Bookman Old Style" w:cs="Arial"/>
                <w:i/>
                <w:sz w:val="22"/>
                <w:szCs w:val="22"/>
              </w:rPr>
              <w:t xml:space="preserve">i, </w:t>
            </w:r>
            <w:r w:rsidRPr="00281AFF">
              <w:rPr>
                <w:rFonts w:ascii="Bookman Old Style" w:hAnsi="Bookman Old Style" w:cs="Arial"/>
                <w:sz w:val="22"/>
                <w:szCs w:val="22"/>
              </w:rPr>
              <w:t xml:space="preserve">en el periodo </w:t>
            </w:r>
            <w:r w:rsidRPr="00281AFF">
              <w:rPr>
                <w:rFonts w:ascii="Bookman Old Style" w:hAnsi="Bookman Old Style" w:cs="Arial"/>
                <w:i/>
                <w:sz w:val="22"/>
                <w:szCs w:val="22"/>
              </w:rPr>
              <w:t>t</w:t>
            </w:r>
            <w:r w:rsidRPr="00281AFF">
              <w:rPr>
                <w:rFonts w:ascii="Bookman Old Style" w:hAnsi="Bookman Old Style" w:cs="Arial"/>
                <w:sz w:val="22"/>
                <w:szCs w:val="22"/>
              </w:rPr>
              <w:t>, medida en kilogramos, de acuerdo con la información reportada al SUI.</w:t>
            </w:r>
          </w:p>
        </w:tc>
      </w:tr>
      <w:tr w:rsidR="00EA33A0" w:rsidRPr="00281AFF" w14:paraId="2845354D" w14:textId="77777777" w:rsidTr="00281AFF">
        <w:tc>
          <w:tcPr>
            <w:tcW w:w="1418" w:type="dxa"/>
            <w:shd w:val="clear" w:color="auto" w:fill="auto"/>
          </w:tcPr>
          <w:p w14:paraId="6908D807" w14:textId="038A37F6" w:rsidR="00EA33A0" w:rsidRPr="00281AFF" w:rsidRDefault="00EE0EFC" w:rsidP="00281AFF">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A33A0" w:rsidRPr="00281AFF">
              <w:rPr>
                <w:rFonts w:ascii="Bookman Old Style" w:hAnsi="Bookman Old Style" w:cs="Arial"/>
                <w:sz w:val="22"/>
                <w:szCs w:val="22"/>
              </w:rPr>
              <w:t>:</w:t>
            </w:r>
          </w:p>
        </w:tc>
        <w:tc>
          <w:tcPr>
            <w:tcW w:w="6804" w:type="dxa"/>
            <w:shd w:val="clear" w:color="auto" w:fill="auto"/>
          </w:tcPr>
          <w:p w14:paraId="135468CD" w14:textId="77777777" w:rsidR="00EA33A0" w:rsidRPr="00281AFF" w:rsidRDefault="00EA33A0" w:rsidP="00281AFF">
            <w:pPr>
              <w:ind w:left="-108"/>
              <w:jc w:val="both"/>
              <w:rPr>
                <w:rFonts w:ascii="Bookman Old Style" w:hAnsi="Bookman Old Style" w:cs="Arial"/>
                <w:sz w:val="22"/>
                <w:szCs w:val="22"/>
              </w:rPr>
            </w:pPr>
            <w:r w:rsidRPr="00281AFF">
              <w:rPr>
                <w:rFonts w:ascii="Bookman Old Style" w:hAnsi="Bookman Old Style"/>
                <w:sz w:val="22"/>
                <w:szCs w:val="22"/>
              </w:rPr>
              <w:t xml:space="preserve">Capacidad de cada uno de los tanques estacionarios atendidos por el distribuidor </w:t>
            </w:r>
            <w:r w:rsidRPr="00281AFF">
              <w:rPr>
                <w:rFonts w:ascii="Bookman Old Style" w:hAnsi="Bookman Old Style"/>
                <w:i/>
                <w:sz w:val="22"/>
                <w:szCs w:val="22"/>
              </w:rPr>
              <w:t>i</w:t>
            </w:r>
            <w:r w:rsidRPr="00281AFF">
              <w:rPr>
                <w:rFonts w:ascii="Bookman Old Style" w:hAnsi="Bookman Old Style"/>
                <w:sz w:val="22"/>
                <w:szCs w:val="22"/>
              </w:rPr>
              <w:t>, galones, de acuerdo con la información publicada en el SUI.</w:t>
            </w:r>
          </w:p>
        </w:tc>
      </w:tr>
      <w:tr w:rsidR="00EA33A0" w:rsidRPr="00281AFF" w14:paraId="20C3BB00" w14:textId="77777777" w:rsidTr="00281AFF">
        <w:tc>
          <w:tcPr>
            <w:tcW w:w="1418" w:type="dxa"/>
            <w:shd w:val="clear" w:color="auto" w:fill="auto"/>
          </w:tcPr>
          <w:p w14:paraId="021A80A0" w14:textId="0A5D0549" w:rsidR="00EA33A0" w:rsidRPr="00281AFF" w:rsidRDefault="00EE0EFC" w:rsidP="00281AFF">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A33A0" w:rsidRPr="00281AFF">
              <w:rPr>
                <w:rFonts w:ascii="Bookman Old Style" w:hAnsi="Bookman Old Style" w:cs="Arial"/>
                <w:sz w:val="22"/>
                <w:szCs w:val="22"/>
              </w:rPr>
              <w:t>:</w:t>
            </w:r>
          </w:p>
        </w:tc>
        <w:tc>
          <w:tcPr>
            <w:tcW w:w="6804" w:type="dxa"/>
            <w:shd w:val="clear" w:color="auto" w:fill="auto"/>
          </w:tcPr>
          <w:p w14:paraId="4DC52FB3" w14:textId="77777777" w:rsidR="00EA33A0" w:rsidRPr="00281AFF" w:rsidRDefault="00EA33A0" w:rsidP="00281AFF">
            <w:pPr>
              <w:ind w:left="-108"/>
              <w:jc w:val="both"/>
              <w:rPr>
                <w:rFonts w:ascii="Bookman Old Style" w:hAnsi="Bookman Old Style" w:cs="Arial"/>
                <w:sz w:val="22"/>
                <w:szCs w:val="22"/>
              </w:rPr>
            </w:pPr>
            <w:r w:rsidRPr="00281AFF">
              <w:rPr>
                <w:rFonts w:ascii="Bookman Old Style" w:hAnsi="Bookman Old Style" w:cs="Arial"/>
                <w:sz w:val="22"/>
                <w:szCs w:val="22"/>
              </w:rPr>
              <w:t xml:space="preserve">Número de tanques estacionarios atendidos por el distribuidor </w:t>
            </w:r>
            <w:r w:rsidRPr="00281AFF">
              <w:rPr>
                <w:rFonts w:ascii="Bookman Old Style" w:hAnsi="Bookman Old Style" w:cs="Arial"/>
                <w:i/>
                <w:sz w:val="22"/>
                <w:szCs w:val="22"/>
              </w:rPr>
              <w:t>i</w:t>
            </w:r>
            <w:r w:rsidRPr="00281AFF">
              <w:rPr>
                <w:rFonts w:ascii="Bookman Old Style" w:hAnsi="Bookman Old Style" w:cs="Arial"/>
                <w:sz w:val="22"/>
                <w:szCs w:val="22"/>
              </w:rPr>
              <w:t xml:space="preserve">, con una capacidad </w:t>
            </w:r>
            <w:r w:rsidRPr="00281AFF">
              <w:rPr>
                <w:rFonts w:ascii="Bookman Old Style" w:hAnsi="Bookman Old Style" w:cs="Arial"/>
                <w:i/>
                <w:sz w:val="22"/>
                <w:szCs w:val="22"/>
              </w:rPr>
              <w:t>CV</w:t>
            </w:r>
            <w:r w:rsidRPr="00281AFF">
              <w:rPr>
                <w:rFonts w:ascii="Bookman Old Style" w:hAnsi="Bookman Old Style" w:cs="Arial"/>
                <w:sz w:val="22"/>
                <w:szCs w:val="22"/>
              </w:rPr>
              <w:t xml:space="preserve">, de acuerdo con la información reportada al SUI. </w:t>
            </w:r>
          </w:p>
        </w:tc>
      </w:tr>
      <w:tr w:rsidR="00EA33A0" w:rsidRPr="00281AFF" w14:paraId="5BF00A30" w14:textId="77777777" w:rsidTr="00281AFF">
        <w:tc>
          <w:tcPr>
            <w:tcW w:w="1418" w:type="dxa"/>
            <w:shd w:val="clear" w:color="auto" w:fill="auto"/>
          </w:tcPr>
          <w:p w14:paraId="0FE9B8BC" w14:textId="584FDDD2" w:rsidR="00EA33A0" w:rsidRPr="00281AFF" w:rsidRDefault="00EE0EFC" w:rsidP="00281AFF">
            <w:pPr>
              <w:ind w:left="0"/>
              <w:jc w:val="both"/>
              <w:rPr>
                <w:rFonts w:ascii="Bookman Old Style" w:hAnsi="Bookman Old Style" w:cs="Arial"/>
                <w:sz w:val="22"/>
                <w:szCs w:val="22"/>
              </w:rPr>
            </w:pPr>
            <m:oMath>
              <m:r>
                <w:rPr>
                  <w:rFonts w:ascii="Cambria Math" w:hAnsi="Cambria Math" w:cs="Arial"/>
                  <w:sz w:val="22"/>
                  <w:szCs w:val="22"/>
                </w:rPr>
                <m:t>2,10</m:t>
              </m:r>
            </m:oMath>
            <w:r w:rsidR="00EA33A0" w:rsidRPr="00281AFF">
              <w:rPr>
                <w:rFonts w:ascii="Bookman Old Style" w:hAnsi="Bookman Old Style" w:cs="Arial"/>
                <w:sz w:val="22"/>
                <w:szCs w:val="22"/>
              </w:rPr>
              <w:t>:</w:t>
            </w:r>
          </w:p>
        </w:tc>
        <w:tc>
          <w:tcPr>
            <w:tcW w:w="6804" w:type="dxa"/>
            <w:shd w:val="clear" w:color="auto" w:fill="auto"/>
          </w:tcPr>
          <w:p w14:paraId="1460AD96" w14:textId="77777777" w:rsidR="00EA33A0" w:rsidRPr="00281AFF" w:rsidRDefault="00EA33A0" w:rsidP="00281AFF">
            <w:pPr>
              <w:ind w:left="-108"/>
              <w:jc w:val="both"/>
              <w:rPr>
                <w:rFonts w:ascii="Bookman Old Style" w:hAnsi="Bookman Old Style" w:cs="Arial"/>
                <w:sz w:val="22"/>
                <w:szCs w:val="22"/>
              </w:rPr>
            </w:pPr>
            <w:r w:rsidRPr="00281AFF">
              <w:rPr>
                <w:rFonts w:ascii="Bookman Old Style" w:hAnsi="Bookman Old Style" w:cs="Arial"/>
                <w:sz w:val="22"/>
                <w:szCs w:val="22"/>
              </w:rPr>
              <w:t xml:space="preserve">Factor de conversión kilogramos por galón. </w:t>
            </w:r>
          </w:p>
        </w:tc>
      </w:tr>
      <w:tr w:rsidR="00EA33A0" w:rsidRPr="00281AFF" w14:paraId="1388972A" w14:textId="77777777" w:rsidTr="00281AFF">
        <w:trPr>
          <w:trHeight w:val="356"/>
        </w:trPr>
        <w:tc>
          <w:tcPr>
            <w:tcW w:w="1418" w:type="dxa"/>
            <w:shd w:val="clear" w:color="auto" w:fill="auto"/>
          </w:tcPr>
          <w:p w14:paraId="22C3C435" w14:textId="18EE9212" w:rsidR="00EA33A0" w:rsidRPr="00281AFF" w:rsidRDefault="00EE0EFC" w:rsidP="00281AFF">
            <w:pPr>
              <w:ind w:left="708" w:hanging="708"/>
              <w:jc w:val="both"/>
              <w:rPr>
                <w:rFonts w:ascii="Bookman Old Style" w:hAnsi="Bookman Old Style" w:cs="Arial"/>
                <w:sz w:val="22"/>
                <w:szCs w:val="22"/>
              </w:rPr>
            </w:pPr>
            <m:oMath>
              <m:r>
                <w:rPr>
                  <w:rFonts w:ascii="Cambria Math" w:hAnsi="Cambria Math" w:cs="Arial"/>
                  <w:sz w:val="22"/>
                  <w:szCs w:val="22"/>
                </w:rPr>
                <m:t>6</m:t>
              </m:r>
            </m:oMath>
            <w:r w:rsidR="00EA33A0" w:rsidRPr="00281AFF">
              <w:rPr>
                <w:rFonts w:ascii="Bookman Old Style" w:hAnsi="Bookman Old Style" w:cs="Arial"/>
                <w:sz w:val="22"/>
                <w:szCs w:val="22"/>
              </w:rPr>
              <w:t>:</w:t>
            </w:r>
          </w:p>
        </w:tc>
        <w:tc>
          <w:tcPr>
            <w:tcW w:w="6804" w:type="dxa"/>
            <w:shd w:val="clear" w:color="auto" w:fill="auto"/>
          </w:tcPr>
          <w:p w14:paraId="4B4AE6E4" w14:textId="77777777" w:rsidR="00EA33A0" w:rsidRPr="00281AFF" w:rsidRDefault="00EA33A0" w:rsidP="00281AFF">
            <w:pPr>
              <w:ind w:left="-108"/>
              <w:jc w:val="both"/>
              <w:rPr>
                <w:rFonts w:ascii="Bookman Old Style" w:hAnsi="Bookman Old Style" w:cs="Arial"/>
                <w:sz w:val="22"/>
                <w:szCs w:val="22"/>
              </w:rPr>
            </w:pPr>
            <w:r w:rsidRPr="00281AFF">
              <w:rPr>
                <w:rFonts w:ascii="Bookman Old Style" w:hAnsi="Bookman Old Style" w:cs="Arial"/>
                <w:sz w:val="22"/>
                <w:szCs w:val="22"/>
              </w:rPr>
              <w:t>Número de meses del periodo de compra.</w:t>
            </w:r>
          </w:p>
        </w:tc>
      </w:tr>
    </w:tbl>
    <w:p w14:paraId="7A1BF408" w14:textId="77777777" w:rsidR="00EA33A0" w:rsidRPr="00EA33A0" w:rsidRDefault="00EA33A0" w:rsidP="00EA33A0">
      <w:pPr>
        <w:jc w:val="both"/>
        <w:rPr>
          <w:rFonts w:ascii="Bookman Old Style" w:hAnsi="Bookman Old Style" w:cs="Arial"/>
          <w:b/>
          <w:sz w:val="22"/>
          <w:szCs w:val="22"/>
        </w:rPr>
      </w:pPr>
    </w:p>
    <w:p w14:paraId="1D6DC594" w14:textId="77777777"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14:paraId="17417D2F" w14:textId="77777777" w:rsidR="00EA33A0" w:rsidRPr="00EA33A0" w:rsidRDefault="00EA33A0" w:rsidP="00EA33A0">
      <w:pPr>
        <w:ind w:right="142"/>
        <w:jc w:val="both"/>
        <w:rPr>
          <w:rFonts w:ascii="Bookman Old Style" w:hAnsi="Bookman Old Style" w:cs="Arial"/>
          <w:sz w:val="22"/>
          <w:szCs w:val="22"/>
        </w:rPr>
      </w:pPr>
    </w:p>
    <w:p w14:paraId="466C3350" w14:textId="77777777" w:rsidR="00EA33A0" w:rsidRPr="00EA33A0" w:rsidRDefault="00EA33A0" w:rsidP="00EA33A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14:paraId="3FF96997" w14:textId="77777777" w:rsidR="00EA33A0" w:rsidRPr="00EA33A0" w:rsidRDefault="00EA33A0" w:rsidP="00EA33A0">
      <w:pPr>
        <w:ind w:left="0"/>
        <w:jc w:val="both"/>
        <w:rPr>
          <w:rFonts w:ascii="Bookman Old Style" w:hAnsi="Bookman Old Style" w:cs="Arial"/>
          <w:spacing w:val="-5"/>
          <w:lang w:val="es-CO" w:eastAsia="en-US"/>
        </w:rPr>
      </w:pPr>
    </w:p>
    <w:p w14:paraId="5E54A46A" w14:textId="77777777"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14:paraId="70345930" w14:textId="77777777" w:rsidR="00EA33A0" w:rsidRPr="00EA33A0" w:rsidRDefault="00EA33A0" w:rsidP="00EA33A0">
      <w:pPr>
        <w:ind w:left="0"/>
        <w:jc w:val="both"/>
        <w:rPr>
          <w:rFonts w:ascii="Bookman Old Style" w:hAnsi="Bookman Old Style" w:cs="Arial"/>
          <w:spacing w:val="-5"/>
          <w:lang w:val="es-CO" w:eastAsia="en-US"/>
        </w:rPr>
      </w:pPr>
    </w:p>
    <w:p w14:paraId="234E68BF" w14:textId="77777777" w:rsidR="00EA33A0" w:rsidRPr="00EA33A0" w:rsidRDefault="00EA33A0" w:rsidP="00EA33A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14:paraId="121526DB" w14:textId="77777777" w:rsidR="00EA33A0" w:rsidRPr="00EA33A0" w:rsidRDefault="00EA33A0" w:rsidP="00EA33A0">
      <w:pPr>
        <w:ind w:left="0"/>
        <w:jc w:val="both"/>
        <w:rPr>
          <w:rFonts w:ascii="Bookman Old Style" w:eastAsia="MS Mincho" w:hAnsi="Bookman Old Style" w:cs="Arial"/>
          <w:lang w:val="es-CO" w:eastAsia="en-US"/>
        </w:rPr>
      </w:pPr>
    </w:p>
    <w:p w14:paraId="50804D44"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14:paraId="6520FBE6" w14:textId="77777777" w:rsidR="00EA33A0" w:rsidRPr="00EA33A0" w:rsidRDefault="00EA33A0" w:rsidP="00EA33A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14:paraId="3D6C8A5C" w14:textId="77777777"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14:paraId="0804C32B"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14:paraId="39BFF0A2"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14:paraId="137F508B"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1641A83C"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14:paraId="6FDFC110"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75FE76A6"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14:paraId="3E1AB79D"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2202DEE0"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14:paraId="632CECDF"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4D881B60"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14:paraId="798F0F15"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00429756"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14:paraId="15B477B7"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4761672C"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14:paraId="7EBFD3F6"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203373A3"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14:paraId="70E80403"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0FEED217"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14:paraId="57FE7E84"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594876B4"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14:paraId="4BFEAEAF"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04803A82" w14:textId="77777777"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14:paraId="465132EA" w14:textId="77777777" w:rsidR="00EA33A0" w:rsidRPr="00EA33A0" w:rsidRDefault="00EA33A0" w:rsidP="00EA33A0">
      <w:pPr>
        <w:ind w:left="0"/>
        <w:jc w:val="both"/>
        <w:rPr>
          <w:rFonts w:ascii="Bookman Old Style" w:eastAsia="MS Mincho" w:hAnsi="Bookman Old Style" w:cs="Arial"/>
          <w:sz w:val="22"/>
          <w:szCs w:val="22"/>
          <w:lang w:val="es-ES_tradnl" w:eastAsia="en-US"/>
        </w:rPr>
      </w:pPr>
    </w:p>
    <w:p w14:paraId="341B22DC" w14:textId="77777777"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14:paraId="10152253" w14:textId="77777777" w:rsidR="00EA33A0" w:rsidRPr="00EA33A0" w:rsidRDefault="00EA33A0" w:rsidP="00EA33A0">
      <w:pPr>
        <w:ind w:left="0"/>
        <w:jc w:val="both"/>
        <w:rPr>
          <w:rFonts w:ascii="Bookman Old Style" w:hAnsi="Bookman Old Style" w:cs="Arial"/>
          <w:spacing w:val="-5"/>
          <w:lang w:val="es-CO" w:eastAsia="en-US"/>
        </w:rPr>
      </w:pPr>
    </w:p>
    <w:p w14:paraId="15D279CF" w14:textId="77777777"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14:paraId="4697C1C1" w14:textId="77777777" w:rsidR="00EA33A0" w:rsidRPr="00EA33A0" w:rsidRDefault="00EA33A0" w:rsidP="00EA33A0">
      <w:pPr>
        <w:ind w:left="0"/>
        <w:jc w:val="both"/>
        <w:rPr>
          <w:rFonts w:ascii="Bookman Old Style" w:hAnsi="Bookman Old Style" w:cs="Arial"/>
          <w:spacing w:val="-5"/>
          <w:lang w:val="es-CO" w:eastAsia="en-US"/>
        </w:rPr>
      </w:pPr>
    </w:p>
    <w:p w14:paraId="46F0F4DC" w14:textId="77777777"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14:paraId="24EE7D68" w14:textId="77777777" w:rsidR="00EA33A0" w:rsidRPr="00EA33A0" w:rsidRDefault="00EA33A0" w:rsidP="00EA33A0">
      <w:pPr>
        <w:ind w:left="284" w:right="284"/>
        <w:jc w:val="both"/>
        <w:rPr>
          <w:rFonts w:ascii="Bookman Old Style" w:hAnsi="Bookman Old Style" w:cs="Arial"/>
          <w:spacing w:val="-5"/>
          <w:sz w:val="22"/>
          <w:szCs w:val="22"/>
          <w:lang w:val="es-CO" w:eastAsia="en-US"/>
        </w:rPr>
      </w:pPr>
    </w:p>
    <w:p w14:paraId="6C4DBE51" w14:textId="77777777"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14:paraId="7D8B2AD3" w14:textId="77777777" w:rsidR="00EA33A0" w:rsidRPr="00EA33A0" w:rsidRDefault="00EA33A0" w:rsidP="00EA33A0">
      <w:pPr>
        <w:ind w:left="284" w:right="284"/>
        <w:jc w:val="both"/>
        <w:rPr>
          <w:rFonts w:ascii="Bookman Old Style" w:hAnsi="Bookman Old Style" w:cs="Arial"/>
          <w:spacing w:val="-5"/>
          <w:sz w:val="22"/>
          <w:szCs w:val="22"/>
          <w:lang w:val="es-CO" w:eastAsia="en-US"/>
        </w:rPr>
      </w:pPr>
    </w:p>
    <w:p w14:paraId="5EF6D52A" w14:textId="77777777"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14:paraId="3E5C977B" w14:textId="77777777" w:rsidR="00EA33A0" w:rsidRPr="00EA33A0" w:rsidRDefault="00EA33A0" w:rsidP="00EA33A0">
      <w:pPr>
        <w:ind w:left="284" w:right="284"/>
        <w:jc w:val="both"/>
        <w:rPr>
          <w:rFonts w:ascii="Bookman Old Style" w:hAnsi="Bookman Old Style" w:cs="Arial"/>
          <w:spacing w:val="-5"/>
          <w:sz w:val="22"/>
          <w:szCs w:val="22"/>
          <w:lang w:val="es-CO" w:eastAsia="en-US"/>
        </w:rPr>
      </w:pPr>
    </w:p>
    <w:p w14:paraId="012C20C1" w14:textId="77777777" w:rsidR="00EA33A0" w:rsidRPr="00EA33A0" w:rsidRDefault="00EA33A0" w:rsidP="00EA33A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14:paraId="14F14224" w14:textId="77777777" w:rsidR="00EA33A0" w:rsidRPr="00EA33A0" w:rsidRDefault="00EA33A0" w:rsidP="00EA33A0">
      <w:pPr>
        <w:ind w:left="284" w:right="284"/>
        <w:jc w:val="both"/>
        <w:rPr>
          <w:rFonts w:ascii="Bookman Old Style" w:hAnsi="Bookman Old Style" w:cs="Arial"/>
          <w:spacing w:val="-5"/>
          <w:sz w:val="22"/>
          <w:szCs w:val="22"/>
          <w:u w:val="single"/>
          <w:lang w:val="es-CO" w:eastAsia="en-US"/>
        </w:rPr>
      </w:pPr>
    </w:p>
    <w:p w14:paraId="06831123" w14:textId="77777777"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14:paraId="6D351137" w14:textId="77777777" w:rsidR="00EA33A0" w:rsidRPr="00EA33A0" w:rsidRDefault="00EA33A0" w:rsidP="00EA33A0">
      <w:pPr>
        <w:ind w:left="0"/>
        <w:jc w:val="both"/>
        <w:rPr>
          <w:rFonts w:ascii="Bookman Old Style" w:hAnsi="Bookman Old Style" w:cs="Arial"/>
          <w:spacing w:val="-5"/>
          <w:lang w:val="es-CO" w:eastAsia="en-US"/>
        </w:rPr>
      </w:pPr>
    </w:p>
    <w:p w14:paraId="27E25498" w14:textId="77777777"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14:paraId="30D412C7" w14:textId="77777777" w:rsidR="00EA33A0" w:rsidRPr="00EA33A0" w:rsidRDefault="00EA33A0" w:rsidP="00EA33A0">
      <w:pPr>
        <w:ind w:left="0"/>
        <w:jc w:val="both"/>
        <w:rPr>
          <w:rFonts w:ascii="Bookman Old Style" w:hAnsi="Bookman Old Style" w:cs="Arial"/>
          <w:spacing w:val="-5"/>
          <w:lang w:val="es-CO" w:eastAsia="en-US"/>
        </w:rPr>
      </w:pPr>
    </w:p>
    <w:p w14:paraId="52E121AD" w14:textId="77777777" w:rsidR="00EA33A0" w:rsidRPr="00EA33A0" w:rsidRDefault="00EA33A0" w:rsidP="00EA33A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14:paraId="21D5CB55" w14:textId="77777777" w:rsidR="00EA33A0" w:rsidRPr="00EA33A0" w:rsidRDefault="00EA33A0" w:rsidP="00EA33A0">
      <w:pPr>
        <w:widowControl w:val="0"/>
        <w:adjustRightInd w:val="0"/>
        <w:ind w:left="284" w:right="284"/>
        <w:jc w:val="both"/>
        <w:textAlignment w:val="baseline"/>
        <w:rPr>
          <w:rFonts w:ascii="Bookman Old Style" w:hAnsi="Bookman Old Style" w:cs="Arial"/>
          <w:color w:val="000000"/>
          <w:sz w:val="22"/>
          <w:szCs w:val="22"/>
          <w:lang w:val="es-CO" w:eastAsia="es-CO"/>
        </w:rPr>
      </w:pPr>
    </w:p>
    <w:p w14:paraId="21E63B6C" w14:textId="77777777" w:rsidR="00EA33A0" w:rsidRPr="00EA33A0" w:rsidRDefault="00EA33A0" w:rsidP="00EA33A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14:paraId="188252E9" w14:textId="77777777" w:rsidR="00EA33A0" w:rsidRPr="00EA33A0" w:rsidRDefault="00EA33A0" w:rsidP="00EA33A0">
      <w:pPr>
        <w:widowControl w:val="0"/>
        <w:adjustRightInd w:val="0"/>
        <w:ind w:left="284" w:right="284"/>
        <w:jc w:val="both"/>
        <w:textAlignment w:val="baseline"/>
        <w:rPr>
          <w:rFonts w:ascii="Bookman Old Style" w:hAnsi="Bookman Old Style" w:cs="Arial"/>
          <w:color w:val="000000"/>
          <w:sz w:val="22"/>
          <w:szCs w:val="22"/>
          <w:lang w:val="es-CO" w:eastAsia="es-CO"/>
        </w:rPr>
      </w:pPr>
    </w:p>
    <w:p w14:paraId="5AB382B8" w14:textId="77777777" w:rsidR="00EA33A0" w:rsidRPr="00EA33A0" w:rsidRDefault="00EA33A0" w:rsidP="00EA33A0">
      <w:pPr>
        <w:widowControl w:val="0"/>
        <w:numPr>
          <w:ilvl w:val="0"/>
          <w:numId w:val="37"/>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14:paraId="33AAB106" w14:textId="77777777" w:rsidR="00EA33A0" w:rsidRPr="00EA33A0" w:rsidRDefault="00EA33A0" w:rsidP="00EA33A0">
      <w:pPr>
        <w:widowControl w:val="0"/>
        <w:numPr>
          <w:ilvl w:val="0"/>
          <w:numId w:val="37"/>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14:paraId="36560766" w14:textId="77777777" w:rsidR="00EA33A0" w:rsidRPr="00EA33A0" w:rsidRDefault="00EA33A0" w:rsidP="00EA33A0">
      <w:pPr>
        <w:widowControl w:val="0"/>
        <w:numPr>
          <w:ilvl w:val="0"/>
          <w:numId w:val="37"/>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14:paraId="1D66B431" w14:textId="77777777" w:rsidR="00EA33A0" w:rsidRPr="00EA33A0" w:rsidRDefault="00EA33A0" w:rsidP="00EA33A0">
      <w:pPr>
        <w:widowControl w:val="0"/>
        <w:numPr>
          <w:ilvl w:val="0"/>
          <w:numId w:val="37"/>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14:paraId="081B7101" w14:textId="77777777" w:rsidR="00EA33A0" w:rsidRPr="00EA33A0" w:rsidRDefault="00EA33A0" w:rsidP="00EA33A0">
      <w:pPr>
        <w:ind w:left="0"/>
        <w:jc w:val="both"/>
        <w:rPr>
          <w:rFonts w:ascii="Bookman Old Style" w:hAnsi="Bookman Old Style" w:cs="Arial"/>
          <w:spacing w:val="-5"/>
          <w:lang w:val="es-CO" w:eastAsia="en-US"/>
        </w:rPr>
      </w:pPr>
    </w:p>
    <w:p w14:paraId="1FCAE57E"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w:t>
      </w:r>
      <w:r w:rsidRPr="00EA33A0">
        <w:rPr>
          <w:rFonts w:ascii="Bookman Old Style" w:hAnsi="Bookman Old Style"/>
          <w:lang w:val="es-ES_tradnl"/>
        </w:rPr>
        <w:lastRenderedPageBreak/>
        <w:t>cilindros marcados que cada agente ha introducido al mercado para atender sus usuarios. Lo anterior, atendiendo la información de cilindros marcados de cada agente que debe reportar al SUI de conformidad de las resoluciones CREG 045 de 2008 y CREG 177 de 2011.</w:t>
      </w:r>
    </w:p>
    <w:p w14:paraId="45D2DA1B"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14:paraId="450614A7" w14:textId="44EA83EA"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w:t>
      </w:r>
      <w:r w:rsidR="009757CA">
        <w:rPr>
          <w:rFonts w:ascii="Bookman Old Style" w:hAnsi="Bookman Old Style"/>
          <w:lang w:val="es-ES_tradnl"/>
        </w:rPr>
        <w:t>ntregada por la interventoría A</w:t>
      </w:r>
      <w:r w:rsidRPr="00EA33A0">
        <w:rPr>
          <w:rFonts w:ascii="Bookman Old Style" w:hAnsi="Bookman Old Style"/>
          <w:lang w:val="es-ES_tradnl"/>
        </w:rPr>
        <w:t>C</w:t>
      </w:r>
      <w:r w:rsidR="009757CA">
        <w:rPr>
          <w:rFonts w:ascii="Bookman Old Style" w:hAnsi="Bookman Old Style"/>
          <w:lang w:val="es-ES_tradnl"/>
        </w:rPr>
        <w:t>I</w:t>
      </w:r>
      <w:r w:rsidRPr="00EA33A0">
        <w:rPr>
          <w:rFonts w:ascii="Bookman Old Style" w:hAnsi="Bookman Old Style"/>
          <w:lang w:val="es-ES_tradnl"/>
        </w:rPr>
        <w:t>,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14:paraId="15531227"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14:paraId="2EEC2096" w14:textId="77777777" w:rsidR="00EA33A0" w:rsidRPr="00EA33A0" w:rsidRDefault="00EA33A0" w:rsidP="00EA33A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14:paraId="33AAD9BC" w14:textId="77777777" w:rsidR="00EA33A0" w:rsidRPr="00EA33A0" w:rsidRDefault="00EA33A0" w:rsidP="00EA33A0">
      <w:pPr>
        <w:ind w:left="-142" w:right="-142"/>
        <w:jc w:val="both"/>
        <w:rPr>
          <w:rFonts w:ascii="Bookman Old Style" w:hAnsi="Bookman Old Style"/>
          <w:szCs w:val="27"/>
        </w:rPr>
      </w:pPr>
    </w:p>
    <w:p w14:paraId="3C6FC076" w14:textId="77777777" w:rsidR="00EA33A0" w:rsidRPr="00EA33A0" w:rsidRDefault="00EA33A0" w:rsidP="00EA33A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14:paraId="26374D6E" w14:textId="77777777" w:rsidR="00EA33A0" w:rsidRPr="00EA33A0" w:rsidRDefault="00EA33A0" w:rsidP="00EA33A0">
      <w:pPr>
        <w:ind w:left="0"/>
        <w:jc w:val="both"/>
        <w:rPr>
          <w:rFonts w:ascii="Bookman Old Style" w:eastAsia="Calibri" w:hAnsi="Bookman Old Style"/>
          <w:lang w:val="es-CO" w:eastAsia="en-US"/>
        </w:rPr>
      </w:pPr>
    </w:p>
    <w:p w14:paraId="32A23148"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proofErr w:type="spellStart"/>
      <w:r w:rsidRPr="00EA33A0">
        <w:rPr>
          <w:rFonts w:ascii="Bookman Old Style" w:hAnsi="Bookman Old Style"/>
          <w:lang w:val="es-ES_tradnl"/>
        </w:rPr>
        <w:t>icha</w:t>
      </w:r>
      <w:proofErr w:type="spellEnd"/>
      <w:r w:rsidRPr="00EA33A0">
        <w:rPr>
          <w:rFonts w:ascii="Bookman Old Style" w:hAnsi="Bookman Old Style"/>
          <w:lang w:val="es-ES_tradnl"/>
        </w:rPr>
        <w:t xml:space="preserve">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14:paraId="1349531A"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14:paraId="7F05CBE8"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w:t>
      </w:r>
      <w:r w:rsidRPr="00EA33A0">
        <w:rPr>
          <w:rFonts w:ascii="Bookman Old Style" w:hAnsi="Bookman Old Style"/>
          <w:lang w:val="es-ES_tradnl"/>
        </w:rPr>
        <w:lastRenderedPageBreak/>
        <w:t xml:space="preserve">en los términos de los artículos 8 y 9 de la Resolución </w:t>
      </w:r>
      <w:r w:rsidR="003A4D1B">
        <w:rPr>
          <w:rFonts w:ascii="Bookman Old Style" w:hAnsi="Bookman Old Style"/>
          <w:lang w:val="es-ES_tradnl"/>
        </w:rPr>
        <w:t>CREG 063 de 2013 para el tercer</w:t>
      </w:r>
      <w:r w:rsidRPr="00EA33A0">
        <w:rPr>
          <w:rFonts w:ascii="Bookman Old Style" w:hAnsi="Bookman Old Style"/>
          <w:lang w:val="es-ES_tradnl"/>
        </w:rPr>
        <w:t xml:space="preserve"> periodo de compra.</w:t>
      </w:r>
    </w:p>
    <w:p w14:paraId="1C6C7DB7"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14:paraId="091FA7D5"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14:paraId="1E763B65"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14:paraId="38D16131"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14:paraId="538A63ED" w14:textId="77777777" w:rsidR="00EA33A0" w:rsidRPr="00EA33A0" w:rsidRDefault="00EA33A0" w:rsidP="00EA33A0">
      <w:pPr>
        <w:ind w:left="0"/>
        <w:jc w:val="both"/>
        <w:rPr>
          <w:rFonts w:ascii="Bookman Old Style" w:hAnsi="Bookman Old Style"/>
          <w:szCs w:val="27"/>
        </w:rPr>
      </w:pPr>
    </w:p>
    <w:p w14:paraId="7F284DBD"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14:paraId="483B5946" w14:textId="77777777" w:rsidR="00EA33A0" w:rsidRPr="00EA33A0" w:rsidRDefault="00EA33A0" w:rsidP="00EA33A0">
      <w:pPr>
        <w:ind w:left="284" w:right="284"/>
        <w:jc w:val="both"/>
        <w:rPr>
          <w:rFonts w:ascii="Bookman Old Style" w:hAnsi="Bookman Old Style"/>
          <w:i/>
          <w:sz w:val="22"/>
          <w:szCs w:val="22"/>
        </w:rPr>
      </w:pPr>
    </w:p>
    <w:p w14:paraId="27DCB7F6"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14:paraId="598A1090"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14:paraId="20AA46FF" w14:textId="77777777" w:rsidR="00EA33A0" w:rsidRPr="00EA33A0" w:rsidRDefault="00EA33A0" w:rsidP="00EA33A0">
      <w:pPr>
        <w:ind w:left="284" w:right="284"/>
        <w:jc w:val="both"/>
        <w:rPr>
          <w:rFonts w:ascii="Bookman Old Style" w:hAnsi="Bookman Old Style"/>
          <w:i/>
          <w:sz w:val="22"/>
          <w:szCs w:val="22"/>
        </w:rPr>
      </w:pPr>
    </w:p>
    <w:p w14:paraId="3F726094"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14:paraId="21EFF398" w14:textId="77777777" w:rsidR="00EA33A0" w:rsidRPr="00EA33A0" w:rsidRDefault="00EA33A0" w:rsidP="00EA33A0">
      <w:pPr>
        <w:ind w:left="284" w:right="284"/>
        <w:jc w:val="both"/>
        <w:rPr>
          <w:rFonts w:ascii="Bookman Old Style" w:hAnsi="Bookman Old Style"/>
          <w:i/>
          <w:sz w:val="22"/>
          <w:szCs w:val="22"/>
        </w:rPr>
      </w:pPr>
    </w:p>
    <w:p w14:paraId="0D60E24B"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14:paraId="58D60314" w14:textId="77777777" w:rsidR="00EA33A0" w:rsidRPr="00EA33A0" w:rsidRDefault="00EA33A0" w:rsidP="00EA33A0">
      <w:pPr>
        <w:ind w:left="284" w:right="284"/>
        <w:jc w:val="both"/>
        <w:rPr>
          <w:rFonts w:ascii="Bookman Old Style" w:hAnsi="Bookman Old Style"/>
          <w:i/>
          <w:sz w:val="22"/>
          <w:szCs w:val="22"/>
        </w:rPr>
      </w:pPr>
    </w:p>
    <w:p w14:paraId="2540FA12"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w:t>
      </w:r>
      <w:r w:rsidRPr="00EA33A0">
        <w:rPr>
          <w:rFonts w:ascii="Bookman Old Style" w:hAnsi="Bookman Old Style"/>
          <w:i/>
          <w:sz w:val="22"/>
          <w:szCs w:val="22"/>
        </w:rPr>
        <w:lastRenderedPageBreak/>
        <w:t>enviada en ocasiones anteriores. Las siguientes son las observaciones generales que se tienen con respecto a dicha información.</w:t>
      </w:r>
    </w:p>
    <w:p w14:paraId="48C65C48" w14:textId="77777777" w:rsidR="00EA33A0" w:rsidRPr="00EA33A0" w:rsidRDefault="00EA33A0" w:rsidP="00EA33A0">
      <w:pPr>
        <w:ind w:left="284" w:right="284"/>
        <w:jc w:val="both"/>
        <w:rPr>
          <w:rFonts w:ascii="Bookman Old Style" w:hAnsi="Bookman Old Style"/>
          <w:i/>
          <w:sz w:val="22"/>
          <w:szCs w:val="22"/>
        </w:rPr>
      </w:pPr>
    </w:p>
    <w:p w14:paraId="7CCF0487"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CILINDROS</w:t>
      </w:r>
    </w:p>
    <w:p w14:paraId="2CEDAF19" w14:textId="77777777" w:rsidR="00EA33A0" w:rsidRPr="00EA33A0" w:rsidRDefault="00EA33A0" w:rsidP="00EA33A0">
      <w:pPr>
        <w:ind w:left="284" w:right="284"/>
        <w:jc w:val="both"/>
        <w:rPr>
          <w:rFonts w:ascii="Bookman Old Style" w:hAnsi="Bookman Old Style"/>
          <w:i/>
          <w:sz w:val="22"/>
          <w:szCs w:val="22"/>
        </w:rPr>
      </w:pPr>
    </w:p>
    <w:p w14:paraId="356315E5"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Se realizó una depuración de la información de cilindros registrados en la base de datos migrada del SICMA, y de la reportada por las empresas por medio del formato 6009 ‘INFORMACIÓN TÉCNICA PARQUE DE CILINDROS MARCADOS’, encontrándose lo siguiente:</w:t>
      </w:r>
    </w:p>
    <w:p w14:paraId="354BB46E" w14:textId="77777777" w:rsidR="00EA33A0" w:rsidRPr="00EA33A0" w:rsidRDefault="00EA33A0" w:rsidP="00EA33A0">
      <w:pPr>
        <w:ind w:left="284" w:right="284"/>
        <w:jc w:val="both"/>
        <w:rPr>
          <w:rFonts w:ascii="Bookman Old Style" w:hAnsi="Bookman Old Style"/>
          <w:i/>
          <w:sz w:val="22"/>
          <w:szCs w:val="22"/>
        </w:rPr>
      </w:pPr>
    </w:p>
    <w:p w14:paraId="3455A951"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14:paraId="554D5B98" w14:textId="77777777" w:rsidR="00EA33A0" w:rsidRPr="00EA33A0" w:rsidRDefault="00EA33A0" w:rsidP="00EA33A0">
      <w:pPr>
        <w:ind w:left="284" w:right="284"/>
        <w:jc w:val="both"/>
        <w:rPr>
          <w:rFonts w:ascii="Bookman Old Style" w:hAnsi="Bookman Old Style"/>
          <w:i/>
          <w:sz w:val="22"/>
          <w:szCs w:val="22"/>
        </w:rPr>
      </w:pPr>
    </w:p>
    <w:p w14:paraId="13BFC7E3"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14:paraId="3F6417FF" w14:textId="77777777" w:rsidR="00EA33A0" w:rsidRPr="00EA33A0" w:rsidRDefault="00EA33A0" w:rsidP="00EA33A0">
      <w:pPr>
        <w:ind w:left="284" w:right="284"/>
        <w:jc w:val="both"/>
        <w:rPr>
          <w:rFonts w:ascii="Bookman Old Style" w:hAnsi="Bookman Old Style"/>
          <w:i/>
          <w:sz w:val="22"/>
          <w:szCs w:val="22"/>
        </w:rPr>
      </w:pPr>
    </w:p>
    <w:p w14:paraId="7DF964E1"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14:paraId="63A0045F" w14:textId="77777777" w:rsidR="00EA33A0" w:rsidRPr="00EA33A0" w:rsidRDefault="00EA33A0" w:rsidP="00EA33A0">
      <w:pPr>
        <w:ind w:left="284" w:right="284"/>
        <w:jc w:val="both"/>
        <w:rPr>
          <w:rFonts w:ascii="Bookman Old Style" w:hAnsi="Bookman Old Style"/>
          <w:i/>
          <w:sz w:val="22"/>
          <w:szCs w:val="22"/>
        </w:rPr>
      </w:pPr>
    </w:p>
    <w:p w14:paraId="0CD49B70"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w:t>
      </w:r>
    </w:p>
    <w:p w14:paraId="535BD2E1" w14:textId="77777777" w:rsidR="00EA33A0" w:rsidRPr="00EA33A0" w:rsidRDefault="00EA33A0" w:rsidP="00EA33A0">
      <w:pPr>
        <w:ind w:left="284" w:right="284"/>
        <w:jc w:val="both"/>
        <w:rPr>
          <w:rFonts w:ascii="Bookman Old Style" w:hAnsi="Bookman Old Style"/>
          <w:i/>
          <w:sz w:val="22"/>
          <w:szCs w:val="22"/>
        </w:rPr>
      </w:pPr>
    </w:p>
    <w:p w14:paraId="04B5EE9D"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14:paraId="528FAD96" w14:textId="77777777" w:rsidR="00EA33A0" w:rsidRPr="00EA33A0" w:rsidRDefault="00EA33A0" w:rsidP="00EA33A0">
      <w:pPr>
        <w:ind w:left="284" w:right="284"/>
        <w:jc w:val="both"/>
        <w:rPr>
          <w:rFonts w:ascii="Bookman Old Style" w:hAnsi="Bookman Old Style"/>
          <w:i/>
          <w:sz w:val="22"/>
          <w:szCs w:val="22"/>
        </w:rPr>
      </w:pPr>
    </w:p>
    <w:p w14:paraId="6D03484E"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14:paraId="31F9B8FF" w14:textId="77777777" w:rsidR="00EA33A0" w:rsidRPr="00EA33A0" w:rsidRDefault="00EA33A0" w:rsidP="00EA33A0">
      <w:pPr>
        <w:ind w:left="284" w:right="284"/>
        <w:jc w:val="both"/>
        <w:rPr>
          <w:rFonts w:ascii="Bookman Old Style" w:hAnsi="Bookman Old Style"/>
          <w:i/>
          <w:sz w:val="22"/>
          <w:szCs w:val="22"/>
        </w:rPr>
      </w:pPr>
    </w:p>
    <w:p w14:paraId="543ACE66"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14:paraId="6F0D0EFF"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14:paraId="630534B6"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14:paraId="59C40F7E" w14:textId="77777777" w:rsidR="00EA33A0" w:rsidRPr="00EA33A0" w:rsidRDefault="00EA33A0" w:rsidP="00EA33A0">
      <w:pPr>
        <w:ind w:left="284" w:right="284"/>
        <w:jc w:val="both"/>
        <w:rPr>
          <w:rFonts w:ascii="Bookman Old Style" w:hAnsi="Bookman Old Style"/>
          <w:i/>
          <w:sz w:val="22"/>
          <w:szCs w:val="22"/>
        </w:rPr>
      </w:pPr>
    </w:p>
    <w:p w14:paraId="51934BC2"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14:paraId="1ACE3C67" w14:textId="77777777" w:rsidR="00EA33A0" w:rsidRPr="00EA33A0" w:rsidRDefault="00EA33A0" w:rsidP="00EA33A0">
      <w:pPr>
        <w:ind w:left="284" w:right="284"/>
        <w:jc w:val="both"/>
        <w:rPr>
          <w:rFonts w:ascii="Bookman Old Style" w:hAnsi="Bookman Old Style"/>
          <w:i/>
          <w:sz w:val="22"/>
          <w:szCs w:val="22"/>
        </w:rPr>
      </w:pPr>
    </w:p>
    <w:p w14:paraId="74EFF69C"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14:paraId="34D4AB8B" w14:textId="77777777" w:rsidR="00EA33A0" w:rsidRPr="00EA33A0" w:rsidRDefault="00EA33A0" w:rsidP="00EA33A0">
      <w:pPr>
        <w:ind w:left="284" w:right="284"/>
        <w:jc w:val="both"/>
        <w:rPr>
          <w:rFonts w:ascii="Bookman Old Style" w:hAnsi="Bookman Old Style"/>
          <w:i/>
          <w:sz w:val="22"/>
          <w:szCs w:val="22"/>
        </w:rPr>
      </w:pPr>
    </w:p>
    <w:p w14:paraId="5DC5CA7D"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14:paraId="07F5F2D5"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14:paraId="01718B8E"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14:paraId="7C038692" w14:textId="77777777" w:rsidR="00EA33A0" w:rsidRPr="00EA33A0" w:rsidRDefault="00EA33A0" w:rsidP="00EA33A0">
      <w:pPr>
        <w:ind w:left="284" w:right="284"/>
        <w:jc w:val="both"/>
        <w:rPr>
          <w:rFonts w:ascii="Bookman Old Style" w:hAnsi="Bookman Old Style"/>
          <w:i/>
          <w:szCs w:val="27"/>
        </w:rPr>
      </w:pPr>
    </w:p>
    <w:p w14:paraId="2E4E93E4" w14:textId="77777777" w:rsidR="00EA33A0" w:rsidRPr="00EA33A0" w:rsidRDefault="00EA33A0" w:rsidP="00EA33A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14:paraId="178C52CB" w14:textId="77777777" w:rsidR="00EA33A0" w:rsidRPr="00EA33A0" w:rsidRDefault="00EA33A0" w:rsidP="00EA33A0">
      <w:pPr>
        <w:ind w:left="0"/>
        <w:jc w:val="both"/>
        <w:rPr>
          <w:rFonts w:ascii="Bookman Old Style" w:hAnsi="Bookman Old Style"/>
          <w:szCs w:val="27"/>
        </w:rPr>
      </w:pPr>
    </w:p>
    <w:p w14:paraId="7D50FBBA"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w:t>
      </w:r>
      <w:r w:rsidRPr="00EA33A0">
        <w:rPr>
          <w:rFonts w:ascii="Bookman Old Style" w:hAnsi="Bookman Old Style"/>
          <w:i/>
          <w:sz w:val="22"/>
          <w:szCs w:val="22"/>
        </w:rPr>
        <w:lastRenderedPageBreak/>
        <w:t xml:space="preserve">Proyectos hasta julio de 2012 e información de Tanques Estacionarios recolectada mediante el Formato C10 ‘Información Tanques Estacionarios’ de conformidad a la circular SSPD-CREG 001 de 2004, para calcular la capacidad de compra de la que trata el artículo 8 de la Resolución CREG063 de 2016, aplicable al primer semestre del año 2018, con corte de consulta de información 17 de septiembre de 2017. </w:t>
      </w:r>
    </w:p>
    <w:p w14:paraId="26D60170" w14:textId="77777777" w:rsidR="00EA33A0" w:rsidRPr="00EA33A0" w:rsidRDefault="00EA33A0" w:rsidP="00EA33A0">
      <w:pPr>
        <w:ind w:left="284" w:right="284"/>
        <w:jc w:val="both"/>
        <w:rPr>
          <w:rFonts w:ascii="Bookman Old Style" w:hAnsi="Bookman Old Style"/>
          <w:i/>
          <w:sz w:val="22"/>
          <w:szCs w:val="22"/>
        </w:rPr>
      </w:pPr>
    </w:p>
    <w:p w14:paraId="7B01EAB1"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14:paraId="139593AC" w14:textId="77777777" w:rsidR="00EA33A0" w:rsidRPr="00EA33A0" w:rsidRDefault="00EA33A0" w:rsidP="00EA33A0">
      <w:pPr>
        <w:ind w:left="284" w:right="284"/>
        <w:jc w:val="both"/>
        <w:rPr>
          <w:rFonts w:ascii="Bookman Old Style" w:hAnsi="Bookman Old Style"/>
          <w:i/>
          <w:sz w:val="22"/>
          <w:szCs w:val="22"/>
        </w:rPr>
      </w:pPr>
    </w:p>
    <w:p w14:paraId="6C4EDB43" w14:textId="77777777"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14:paraId="283E98DF" w14:textId="77777777" w:rsidR="00EA33A0" w:rsidRPr="00EA33A0" w:rsidRDefault="00EA33A0" w:rsidP="00EA33A0">
      <w:pPr>
        <w:ind w:left="284" w:right="284"/>
        <w:jc w:val="both"/>
        <w:rPr>
          <w:rFonts w:ascii="Bookman Old Style" w:hAnsi="Bookman Old Style"/>
          <w:i/>
          <w:sz w:val="22"/>
          <w:szCs w:val="22"/>
        </w:rPr>
      </w:pPr>
    </w:p>
    <w:p w14:paraId="047B5C7C" w14:textId="77777777" w:rsidR="00EA33A0" w:rsidRPr="00EA33A0" w:rsidRDefault="00EA33A0" w:rsidP="00EA33A0">
      <w:pPr>
        <w:numPr>
          <w:ilvl w:val="0"/>
          <w:numId w:val="39"/>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14:paraId="57C9D545" w14:textId="77777777" w:rsidR="00EA33A0" w:rsidRPr="00EA33A0" w:rsidRDefault="00EA33A0" w:rsidP="00EA33A0">
      <w:pPr>
        <w:ind w:left="644" w:right="284"/>
        <w:jc w:val="both"/>
        <w:rPr>
          <w:rFonts w:ascii="Bookman Old Style" w:hAnsi="Bookman Old Style"/>
          <w:i/>
          <w:sz w:val="22"/>
          <w:szCs w:val="22"/>
        </w:rPr>
      </w:pPr>
      <w:r w:rsidRPr="00EA33A0">
        <w:rPr>
          <w:rFonts w:ascii="Bookman Old Style" w:hAnsi="Bookman Old Style"/>
          <w:i/>
          <w:sz w:val="22"/>
          <w:szCs w:val="22"/>
        </w:rPr>
        <w:t>(…)</w:t>
      </w:r>
    </w:p>
    <w:p w14:paraId="7507A443" w14:textId="77777777" w:rsidR="00EA33A0" w:rsidRPr="00EA33A0" w:rsidRDefault="00EA33A0" w:rsidP="00EA33A0">
      <w:pPr>
        <w:ind w:left="644" w:right="284"/>
        <w:jc w:val="both"/>
        <w:rPr>
          <w:rFonts w:ascii="Bookman Old Style" w:hAnsi="Bookman Old Style"/>
          <w:i/>
          <w:sz w:val="22"/>
          <w:szCs w:val="22"/>
        </w:rPr>
      </w:pPr>
    </w:p>
    <w:p w14:paraId="41358345" w14:textId="77777777" w:rsidR="00EA33A0" w:rsidRPr="00EA33A0" w:rsidRDefault="00EA33A0" w:rsidP="00EA33A0">
      <w:pPr>
        <w:numPr>
          <w:ilvl w:val="0"/>
          <w:numId w:val="39"/>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14:paraId="3CF9BB51" w14:textId="77777777" w:rsidR="00EA33A0" w:rsidRPr="00EA33A0" w:rsidRDefault="00EA33A0" w:rsidP="00EA33A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EA33A0" w:rsidRPr="00EA33A0" w14:paraId="3F21851D" w14:textId="77777777" w:rsidTr="00A5623A">
        <w:trPr>
          <w:trHeight w:val="506"/>
          <w:jc w:val="center"/>
        </w:trPr>
        <w:tc>
          <w:tcPr>
            <w:tcW w:w="1701" w:type="dxa"/>
            <w:tcBorders>
              <w:top w:val="single" w:sz="4" w:space="0" w:color="000000"/>
              <w:left w:val="single" w:sz="4" w:space="0" w:color="000000"/>
              <w:bottom w:val="single" w:sz="4" w:space="0" w:color="000000"/>
            </w:tcBorders>
            <w:shd w:val="clear" w:color="auto" w:fill="auto"/>
          </w:tcPr>
          <w:p w14:paraId="5393F6AE"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14:paraId="6E6B4C65"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255EC112"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EA33A0" w:rsidRPr="00EA33A0" w14:paraId="227E6F4C"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03FC7E82"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14:paraId="088DF3F5"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48D4B05B"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EA33A0" w:rsidRPr="00EA33A0" w14:paraId="1B36AC48"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67808116"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14:paraId="47E517F6"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14:paraId="3AD51295"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EA33A0" w:rsidRPr="00EA33A0" w14:paraId="0D020A9C"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1B7C0AF1"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14:paraId="00BC8FA7"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5CDFB3D0"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EA33A0" w:rsidRPr="00EA33A0" w14:paraId="53E59E07"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225DABA9"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14:paraId="7E8F3394"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56BAB604"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EA33A0" w:rsidRPr="00EA33A0" w14:paraId="39E41EA9"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2AEC65EF"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14:paraId="4A0F512C"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48A9EC89"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EA33A0" w:rsidRPr="00EA33A0" w14:paraId="29C8E618"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7F78F988"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14:paraId="5F09C2D3"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14841290"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EA33A0" w:rsidRPr="00EA33A0" w14:paraId="1C33D79D"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1B300103"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14:paraId="1BA37ED9"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6A460B7E"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EA33A0" w:rsidRPr="00EA33A0" w14:paraId="55EA67AD" w14:textId="77777777"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14:paraId="0BE358A9" w14:textId="77777777"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14:paraId="2BCD0ED5"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14:paraId="74BEC722"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14:paraId="1C98294C" w14:textId="77777777" w:rsidR="00EA33A0" w:rsidRPr="00EA33A0" w:rsidRDefault="00EA33A0" w:rsidP="00EA33A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14:paraId="14750D19" w14:textId="77777777" w:rsidR="00EA33A0" w:rsidRPr="00EA33A0" w:rsidRDefault="00EA33A0" w:rsidP="00EA33A0">
      <w:pPr>
        <w:ind w:left="644" w:right="284"/>
        <w:jc w:val="both"/>
        <w:rPr>
          <w:rFonts w:ascii="Bookman Old Style" w:hAnsi="Bookman Old Style"/>
          <w:i/>
          <w:sz w:val="22"/>
          <w:szCs w:val="22"/>
        </w:rPr>
      </w:pPr>
      <w:r w:rsidRPr="00EA33A0">
        <w:rPr>
          <w:rFonts w:ascii="Bookman Old Style" w:hAnsi="Bookman Old Style"/>
          <w:i/>
          <w:sz w:val="22"/>
          <w:szCs w:val="22"/>
        </w:rPr>
        <w:lastRenderedPageBreak/>
        <w:t>De esta manera, se envió requerimiento individual a las siguientes empresas, manifestando expresamente la no inclusión de cilindros con capacidades diferentes a las anteriormente referenciadas (…)</w:t>
      </w:r>
    </w:p>
    <w:p w14:paraId="69842C4E" w14:textId="77777777" w:rsidR="00EA33A0" w:rsidRPr="00EA33A0" w:rsidRDefault="00EA33A0" w:rsidP="00EA33A0">
      <w:pPr>
        <w:ind w:left="644" w:right="284"/>
        <w:jc w:val="both"/>
        <w:rPr>
          <w:rFonts w:ascii="Bookman Old Style" w:hAnsi="Bookman Old Style"/>
          <w:i/>
          <w:sz w:val="22"/>
          <w:szCs w:val="22"/>
          <w:lang w:val="es-CO"/>
        </w:rPr>
      </w:pPr>
    </w:p>
    <w:p w14:paraId="0EA49D55" w14:textId="77777777" w:rsidR="00EA33A0" w:rsidRPr="00EA33A0" w:rsidRDefault="00EA33A0" w:rsidP="00EA33A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14:paraId="5C34760E" w14:textId="77777777" w:rsidR="00EA33A0" w:rsidRPr="00EA33A0" w:rsidRDefault="00EA33A0" w:rsidP="00EA33A0">
      <w:pPr>
        <w:ind w:left="0" w:right="284"/>
        <w:jc w:val="both"/>
        <w:rPr>
          <w:rFonts w:ascii="Bookman Old Style" w:eastAsia="Calibri" w:hAnsi="Bookman Old Style" w:cs="Arial"/>
          <w:i/>
          <w:sz w:val="22"/>
          <w:szCs w:val="22"/>
          <w:lang w:val="es-CO" w:eastAsia="en-US"/>
        </w:rPr>
      </w:pPr>
    </w:p>
    <w:p w14:paraId="63A1EF6B" w14:textId="77777777" w:rsidR="00EA33A0" w:rsidRPr="00EA33A0" w:rsidRDefault="00EA33A0" w:rsidP="00EA33A0">
      <w:pPr>
        <w:numPr>
          <w:ilvl w:val="0"/>
          <w:numId w:val="39"/>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14:paraId="566AD122" w14:textId="77777777" w:rsidR="00EA33A0" w:rsidRPr="00EA33A0" w:rsidRDefault="00EA33A0" w:rsidP="00EA33A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EA33A0" w:rsidRPr="00EA33A0" w14:paraId="3842CB56" w14:textId="77777777" w:rsidTr="00A5623A">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14:paraId="5AE5E974" w14:textId="77777777" w:rsidR="00EA33A0" w:rsidRPr="00EA33A0" w:rsidRDefault="00EA33A0" w:rsidP="00EA33A0">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14:paraId="4139FAC1" w14:textId="77777777" w:rsidR="00EA33A0" w:rsidRPr="00EA33A0" w:rsidRDefault="00EA33A0" w:rsidP="00EA33A0">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A25D" w14:textId="77777777" w:rsidR="00EA33A0" w:rsidRPr="00EA33A0" w:rsidRDefault="00EA33A0" w:rsidP="00EA33A0">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EA33A0" w:rsidRPr="00EA33A0" w14:paraId="5B9205C3" w14:textId="77777777" w:rsidTr="00A5623A">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14:paraId="757F7E40" w14:textId="77777777" w:rsidR="00EA33A0" w:rsidRPr="00EA33A0" w:rsidRDefault="00EA33A0" w:rsidP="00EA33A0">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14:paraId="371B5F8D" w14:textId="77777777" w:rsidR="00EA33A0" w:rsidRPr="00EA33A0" w:rsidRDefault="00EA33A0" w:rsidP="00EA33A0">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D7944" w14:textId="77777777" w:rsidR="00EA33A0" w:rsidRPr="00EA33A0" w:rsidRDefault="00EA33A0" w:rsidP="00EA33A0">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EA33A0" w:rsidRPr="00EA33A0" w14:paraId="055CAFCF" w14:textId="77777777" w:rsidTr="00A5623A">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14:paraId="0BF3DE70" w14:textId="77777777" w:rsidR="00EA33A0" w:rsidRPr="00EA33A0" w:rsidRDefault="00EA33A0" w:rsidP="00EA33A0">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14:paraId="25A924F0" w14:textId="77777777" w:rsidR="00EA33A0" w:rsidRPr="00EA33A0" w:rsidRDefault="00EA33A0" w:rsidP="00EA33A0">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AD225" w14:textId="77777777" w:rsidR="00EA33A0" w:rsidRPr="00EA33A0" w:rsidRDefault="00EA33A0" w:rsidP="00EA33A0">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EA33A0" w:rsidRPr="00EA33A0" w14:paraId="46EB4410" w14:textId="77777777" w:rsidTr="00A5623A">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14:paraId="4FD14DEC" w14:textId="77777777" w:rsidR="00EA33A0" w:rsidRPr="00EA33A0" w:rsidRDefault="00EA33A0" w:rsidP="00EA33A0">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14:paraId="2BA739A4" w14:textId="77777777" w:rsidR="00EA33A0" w:rsidRPr="00EA33A0" w:rsidRDefault="00EA33A0" w:rsidP="00EA33A0">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B196D" w14:textId="77777777" w:rsidR="00EA33A0" w:rsidRPr="00EA33A0" w:rsidRDefault="00EA33A0" w:rsidP="00EA33A0">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14:paraId="4A9EEF01" w14:textId="77777777" w:rsidR="00EA33A0" w:rsidRPr="00EA33A0" w:rsidRDefault="00EA33A0" w:rsidP="00EA33A0">
      <w:pPr>
        <w:ind w:left="0" w:right="284"/>
        <w:jc w:val="both"/>
        <w:rPr>
          <w:rFonts w:ascii="Bookman Old Style" w:eastAsia="Calibri" w:hAnsi="Bookman Old Style" w:cs="Arial"/>
          <w:sz w:val="22"/>
          <w:szCs w:val="22"/>
          <w:lang w:val="es-CO" w:eastAsia="en-US"/>
        </w:rPr>
      </w:pPr>
    </w:p>
    <w:p w14:paraId="4E43E75C" w14:textId="77777777" w:rsidR="00EA33A0" w:rsidRPr="00EA33A0" w:rsidRDefault="00EA33A0" w:rsidP="00EA33A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14:paraId="1E0F80C7" w14:textId="77777777" w:rsidR="00EA33A0" w:rsidRPr="00EA33A0" w:rsidRDefault="00EA33A0" w:rsidP="00EA33A0">
      <w:pPr>
        <w:ind w:left="284" w:right="284"/>
        <w:jc w:val="both"/>
        <w:rPr>
          <w:rFonts w:ascii="Bookman Old Style" w:eastAsia="Calibri" w:hAnsi="Bookman Old Style" w:cs="Arial"/>
          <w:i/>
          <w:sz w:val="22"/>
          <w:szCs w:val="22"/>
          <w:lang w:val="es-CO" w:eastAsia="en-US"/>
        </w:rPr>
      </w:pPr>
    </w:p>
    <w:p w14:paraId="53CC094A" w14:textId="77777777" w:rsidR="00EA33A0" w:rsidRPr="00EA33A0" w:rsidRDefault="00EA33A0" w:rsidP="00EA33A0">
      <w:pPr>
        <w:numPr>
          <w:ilvl w:val="0"/>
          <w:numId w:val="39"/>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14:paraId="558D4229" w14:textId="77777777" w:rsidR="00EA33A0" w:rsidRPr="00EA33A0" w:rsidRDefault="00EA33A0" w:rsidP="00EA33A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EA33A0" w:rsidRPr="00EA33A0" w14:paraId="6ADED1DF" w14:textId="77777777" w:rsidTr="00A5623A">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14:paraId="272FF66A"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760CF9FA" w14:textId="77777777"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EA33A0" w:rsidRPr="00EA33A0" w14:paraId="4364E49B"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01264124"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339DAF90"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EA33A0" w:rsidRPr="00EA33A0" w14:paraId="0DD84A43"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10A2E39E"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5402E356"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EA33A0" w:rsidRPr="00EA33A0" w14:paraId="3DA26408"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3DA5B505"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191E6200"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EA33A0" w:rsidRPr="00EA33A0" w14:paraId="4B285C04"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19E44C11"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6646F4C0"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EA33A0" w:rsidRPr="00EA33A0" w14:paraId="3F67A7A7"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665EDF5D"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60ABF1C9"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EA33A0" w:rsidRPr="00EA33A0" w14:paraId="678C0458"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06978046"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7D209F4B"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EA33A0" w:rsidRPr="00EA33A0" w14:paraId="18D2CA49"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018F86CE"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lastRenderedPageBreak/>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7A333059"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EA33A0" w:rsidRPr="00EA33A0" w14:paraId="75DAEB77" w14:textId="77777777"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14:paraId="69A70C96" w14:textId="77777777"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489ACDED" w14:textId="77777777"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14:paraId="6A88236C" w14:textId="77777777"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14:paraId="03C3D55B" w14:textId="77777777" w:rsidR="00EC3BB2" w:rsidRDefault="00EC3BB2" w:rsidP="00EA33A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sidR="001F7F3A">
        <w:rPr>
          <w:rFonts w:ascii="Bookman Old Style" w:hAnsi="Bookman Old Style" w:cs="Arial"/>
          <w:spacing w:val="-5"/>
          <w:lang w:val="es-CO" w:eastAsia="en-US"/>
        </w:rPr>
        <w:t xml:space="preserve">ución CREG 063 de 2016, mediante la Resolución CREG </w:t>
      </w:r>
      <w:r w:rsidR="00EA33A0">
        <w:rPr>
          <w:rFonts w:ascii="Bookman Old Style" w:hAnsi="Bookman Old Style" w:cs="Arial"/>
          <w:spacing w:val="-5"/>
          <w:lang w:val="es-CO" w:eastAsia="en-US"/>
        </w:rPr>
        <w:t>168</w:t>
      </w:r>
      <w:r w:rsidR="001F7F3A">
        <w:rPr>
          <w:rFonts w:ascii="Bookman Old Style" w:hAnsi="Bookman Old Style" w:cs="Arial"/>
          <w:spacing w:val="-5"/>
          <w:lang w:val="es-CO" w:eastAsia="en-US"/>
        </w:rPr>
        <w:t xml:space="preserve"> de 2017, </w:t>
      </w:r>
      <w:r w:rsidR="001F7F3A" w:rsidRPr="00634EB8">
        <w:rPr>
          <w:rFonts w:ascii="Bookman Old Style" w:eastAsia="MS Mincho" w:hAnsi="Bookman Old Style" w:cs="Arial"/>
          <w:lang w:eastAsia="en-US"/>
        </w:rPr>
        <w:t xml:space="preserve">aplicable para el </w:t>
      </w:r>
      <w:r w:rsidR="00EA33A0">
        <w:rPr>
          <w:rFonts w:ascii="Bookman Old Style" w:eastAsia="MS Mincho" w:hAnsi="Bookman Old Style" w:cs="Arial"/>
          <w:lang w:eastAsia="en-US"/>
        </w:rPr>
        <w:t>tercer</w:t>
      </w:r>
      <w:r w:rsidR="001F7F3A" w:rsidRPr="00634EB8">
        <w:rPr>
          <w:rFonts w:ascii="Bookman Old Style" w:eastAsia="MS Mincho" w:hAnsi="Bookman Old Style" w:cs="Arial"/>
          <w:lang w:eastAsia="en-US"/>
        </w:rPr>
        <w:t xml:space="preserve"> período de compr</w:t>
      </w:r>
      <w:r w:rsidR="001F7F3A">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sidR="001F7F3A">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14:paraId="0ADCC5D9" w14:textId="77777777" w:rsidR="00EC3BB2" w:rsidRPr="00EC3BB2" w:rsidRDefault="00EC3BB2" w:rsidP="001F7F3A">
      <w:pPr>
        <w:pStyle w:val="Textoindependiente2"/>
        <w:spacing w:after="0" w:line="240" w:lineRule="auto"/>
        <w:ind w:left="0" w:right="-142"/>
        <w:jc w:val="both"/>
        <w:rPr>
          <w:rFonts w:ascii="Bookman Old Style" w:hAnsi="Bookman Old Style" w:cs="Arial"/>
          <w:spacing w:val="-5"/>
          <w:lang w:val="es-CO" w:eastAsia="en-US"/>
        </w:rPr>
      </w:pPr>
    </w:p>
    <w:p w14:paraId="529EDBBD" w14:textId="77777777"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EA33A0">
        <w:rPr>
          <w:rFonts w:ascii="Bookman Old Style" w:hAnsi="Bookman Old Style" w:cs="Arial"/>
          <w:spacing w:val="-5"/>
          <w:lang w:val="es-CO" w:eastAsia="en-US"/>
        </w:rPr>
        <w:t>168</w:t>
      </w:r>
      <w:r w:rsidR="00FE6180">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se estableció en su artículo 1º lo siguiente:</w:t>
      </w:r>
    </w:p>
    <w:p w14:paraId="3360CD8F" w14:textId="77777777" w:rsidR="00EC3BB2" w:rsidRPr="00FE6180" w:rsidRDefault="00EC3BB2" w:rsidP="00EC3BB2">
      <w:pPr>
        <w:ind w:left="-142" w:right="-142"/>
        <w:jc w:val="both"/>
        <w:rPr>
          <w:rFonts w:ascii="Arial" w:eastAsia="MS Mincho" w:hAnsi="Arial" w:cs="Arial"/>
          <w:sz w:val="22"/>
          <w:szCs w:val="22"/>
          <w:lang w:val="es-CO" w:eastAsia="en-US"/>
        </w:rPr>
      </w:pPr>
    </w:p>
    <w:p w14:paraId="23BAB002" w14:textId="77777777" w:rsidR="001F7F3A" w:rsidRPr="001F7F3A" w:rsidRDefault="00EC3BB2" w:rsidP="001F7F3A">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w:t>
      </w:r>
      <w:r w:rsidR="001F7F3A" w:rsidRPr="001F7F3A">
        <w:rPr>
          <w:rFonts w:ascii="Bookman Old Style" w:eastAsia="MS Mincho" w:hAnsi="Bookman Old Style" w:cs="Arial"/>
          <w:b/>
          <w:sz w:val="20"/>
          <w:szCs w:val="20"/>
          <w:lang w:eastAsia="en-US"/>
        </w:rPr>
        <w:t xml:space="preserve">Artículo 1. Capacidad de Compra: </w:t>
      </w:r>
      <w:r w:rsidR="00EA33A0"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14:paraId="4BFEF406" w14:textId="77777777" w:rsidR="001F7F3A" w:rsidRPr="001F7F3A" w:rsidRDefault="001F7F3A" w:rsidP="001F7F3A">
      <w:pPr>
        <w:ind w:left="0" w:right="-91"/>
        <w:jc w:val="both"/>
        <w:rPr>
          <w:rFonts w:ascii="Bookman Old Style" w:eastAsia="MS Mincho" w:hAnsi="Bookman Old Style" w:cs="Arial"/>
          <w:sz w:val="20"/>
          <w:szCs w:val="20"/>
          <w:lang w:eastAsia="en-US"/>
        </w:rPr>
      </w:pPr>
    </w:p>
    <w:tbl>
      <w:tblPr>
        <w:tblW w:w="8233" w:type="dxa"/>
        <w:jc w:val="center"/>
        <w:tblCellMar>
          <w:left w:w="70" w:type="dxa"/>
          <w:right w:w="70" w:type="dxa"/>
        </w:tblCellMar>
        <w:tblLook w:val="04A0" w:firstRow="1" w:lastRow="0" w:firstColumn="1" w:lastColumn="0" w:noHBand="0" w:noVBand="1"/>
      </w:tblPr>
      <w:tblGrid>
        <w:gridCol w:w="1414"/>
        <w:gridCol w:w="5118"/>
        <w:gridCol w:w="1701"/>
      </w:tblGrid>
      <w:tr w:rsidR="001F7F3A" w:rsidRPr="001F7F3A" w14:paraId="10A63D0C" w14:textId="77777777" w:rsidTr="009757CA">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465F8" w14:textId="77777777" w:rsidR="001F7F3A" w:rsidRPr="001F7F3A" w:rsidRDefault="001F7F3A" w:rsidP="001F7F3A">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18" w:type="dxa"/>
            <w:tcBorders>
              <w:top w:val="single" w:sz="4" w:space="0" w:color="auto"/>
              <w:left w:val="nil"/>
              <w:bottom w:val="single" w:sz="4" w:space="0" w:color="auto"/>
              <w:right w:val="single" w:sz="4" w:space="0" w:color="auto"/>
            </w:tcBorders>
            <w:shd w:val="clear" w:color="auto" w:fill="auto"/>
            <w:noWrap/>
            <w:vAlign w:val="center"/>
          </w:tcPr>
          <w:p w14:paraId="6B28A220" w14:textId="77777777" w:rsidR="001F7F3A" w:rsidRPr="001F7F3A" w:rsidRDefault="001F7F3A" w:rsidP="001F7F3A">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E086F6" w14:textId="47A266B5" w:rsidR="001F7F3A" w:rsidRPr="001F7F3A" w:rsidRDefault="001F7F3A" w:rsidP="001F7F3A">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EA33A0" w:rsidRPr="004B2371" w14:paraId="03425431" w14:textId="77777777" w:rsidTr="009757CA">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tcPr>
          <w:p w14:paraId="5480B93E" w14:textId="77777777" w:rsidR="00EA33A0" w:rsidRPr="00EA33A0" w:rsidRDefault="00EA33A0" w:rsidP="00EA33A0">
            <w:pPr>
              <w:rPr>
                <w:rFonts w:ascii="Bookman Old Style" w:hAnsi="Bookman Old Style"/>
                <w:sz w:val="22"/>
                <w:szCs w:val="22"/>
              </w:rPr>
            </w:pPr>
            <w:r w:rsidRPr="00EA33A0">
              <w:rPr>
                <w:rFonts w:ascii="Bookman Old Style" w:hAnsi="Bookman Old Style"/>
                <w:sz w:val="22"/>
                <w:szCs w:val="22"/>
              </w:rPr>
              <w:t>27812</w:t>
            </w:r>
          </w:p>
        </w:tc>
        <w:tc>
          <w:tcPr>
            <w:tcW w:w="5118" w:type="dxa"/>
            <w:tcBorders>
              <w:top w:val="single" w:sz="4" w:space="0" w:color="auto"/>
              <w:left w:val="nil"/>
              <w:bottom w:val="single" w:sz="4" w:space="0" w:color="auto"/>
              <w:right w:val="single" w:sz="4" w:space="0" w:color="auto"/>
            </w:tcBorders>
            <w:shd w:val="clear" w:color="auto" w:fill="auto"/>
            <w:noWrap/>
          </w:tcPr>
          <w:p w14:paraId="694F6F17" w14:textId="77777777" w:rsidR="00EA33A0" w:rsidRPr="00EA33A0" w:rsidRDefault="00EA33A0" w:rsidP="00A5623A">
            <w:pPr>
              <w:rPr>
                <w:rFonts w:ascii="Bookman Old Style" w:hAnsi="Bookman Old Style"/>
                <w:sz w:val="22"/>
                <w:szCs w:val="22"/>
              </w:rPr>
            </w:pPr>
            <w:r w:rsidRPr="00EA33A0">
              <w:rPr>
                <w:rFonts w:ascii="Bookman Old Style" w:hAnsi="Bookman Old Style"/>
                <w:sz w:val="22"/>
                <w:szCs w:val="22"/>
              </w:rPr>
              <w:t>GAS PAC S.A.S. ESP.</w:t>
            </w:r>
          </w:p>
        </w:tc>
        <w:tc>
          <w:tcPr>
            <w:tcW w:w="1701" w:type="dxa"/>
            <w:tcBorders>
              <w:top w:val="single" w:sz="4" w:space="0" w:color="auto"/>
              <w:left w:val="nil"/>
              <w:bottom w:val="single" w:sz="4" w:space="0" w:color="auto"/>
              <w:right w:val="single" w:sz="4" w:space="0" w:color="auto"/>
            </w:tcBorders>
            <w:shd w:val="clear" w:color="auto" w:fill="auto"/>
            <w:noWrap/>
          </w:tcPr>
          <w:p w14:paraId="2765B0F4" w14:textId="77777777" w:rsidR="00EA33A0" w:rsidRPr="00EA33A0" w:rsidRDefault="00EA33A0" w:rsidP="00EA33A0">
            <w:pPr>
              <w:rPr>
                <w:rFonts w:ascii="Bookman Old Style" w:hAnsi="Bookman Old Style"/>
                <w:sz w:val="22"/>
                <w:szCs w:val="22"/>
              </w:rPr>
            </w:pPr>
            <w:r w:rsidRPr="00EA33A0">
              <w:rPr>
                <w:rFonts w:ascii="Bookman Old Style" w:hAnsi="Bookman Old Style"/>
                <w:sz w:val="22"/>
                <w:szCs w:val="22"/>
              </w:rPr>
              <w:t>304.817</w:t>
            </w:r>
          </w:p>
        </w:tc>
      </w:tr>
    </w:tbl>
    <w:p w14:paraId="22A47D39" w14:textId="77777777" w:rsidR="00EC3BB2" w:rsidRPr="00EC3BB2" w:rsidRDefault="00EC3BB2" w:rsidP="001F7F3A">
      <w:pPr>
        <w:ind w:left="284" w:right="284"/>
        <w:jc w:val="both"/>
        <w:rPr>
          <w:rFonts w:ascii="Bookman Old Style" w:eastAsia="MS Mincho" w:hAnsi="Bookman Old Style" w:cs="Arial"/>
          <w:sz w:val="20"/>
          <w:szCs w:val="20"/>
          <w:lang w:val="es-CO" w:eastAsia="en-US"/>
        </w:rPr>
      </w:pPr>
    </w:p>
    <w:p w14:paraId="1B64A7A3" w14:textId="77777777" w:rsidR="00EC3BB2" w:rsidRPr="00EC3BB2" w:rsidRDefault="00EC3BB2" w:rsidP="00BD1622">
      <w:pPr>
        <w:ind w:left="284" w:right="284"/>
        <w:jc w:val="both"/>
        <w:rPr>
          <w:rFonts w:ascii="Bookman Old Style" w:eastAsia="MS Mincho" w:hAnsi="Bookman Old Style" w:cs="Arial"/>
          <w:sz w:val="20"/>
          <w:szCs w:val="20"/>
          <w:lang w:val="es-CO" w:eastAsia="en-US"/>
        </w:rPr>
      </w:pPr>
    </w:p>
    <w:p w14:paraId="7F7FDDF8" w14:textId="77777777" w:rsidR="00EC3BB2" w:rsidRDefault="00EA33A0" w:rsidP="00EA33A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001F7F3A" w:rsidRPr="001F7F3A">
        <w:rPr>
          <w:rFonts w:ascii="Bookman Old Style" w:eastAsia="MS Mincho" w:hAnsi="Bookman Old Style" w:cs="Arial"/>
          <w:sz w:val="20"/>
          <w:szCs w:val="20"/>
          <w:lang w:eastAsia="en-US"/>
        </w:rPr>
        <w:t>.</w:t>
      </w:r>
      <w:r w:rsidR="001F7F3A">
        <w:rPr>
          <w:rFonts w:ascii="Bookman Old Style" w:eastAsia="MS Mincho" w:hAnsi="Bookman Old Style" w:cs="Arial"/>
          <w:sz w:val="20"/>
          <w:szCs w:val="20"/>
          <w:lang w:eastAsia="en-US"/>
        </w:rPr>
        <w:t>”</w:t>
      </w:r>
    </w:p>
    <w:p w14:paraId="6773776A" w14:textId="77777777" w:rsidR="001F7F3A" w:rsidRPr="00EC3BB2" w:rsidRDefault="001F7F3A" w:rsidP="00BD1622">
      <w:pPr>
        <w:tabs>
          <w:tab w:val="right" w:pos="9498"/>
        </w:tabs>
        <w:ind w:left="284" w:right="284"/>
        <w:jc w:val="both"/>
        <w:rPr>
          <w:rFonts w:ascii="Bookman Old Style" w:hAnsi="Bookman Old Style" w:cs="Arial"/>
          <w:sz w:val="20"/>
          <w:szCs w:val="20"/>
        </w:rPr>
      </w:pPr>
    </w:p>
    <w:p w14:paraId="53B91551" w14:textId="77777777"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14:paraId="7E73AF45" w14:textId="77777777"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14:paraId="3717EB05" w14:textId="77777777"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14:paraId="2B9FE986" w14:textId="77777777"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14:paraId="30CE70D4" w14:textId="77777777"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sidR="001D1395">
        <w:rPr>
          <w:rFonts w:ascii="Bookman Old Style" w:hAnsi="Bookman Old Style" w:cs="Arial"/>
          <w:spacing w:val="-5"/>
          <w:lang w:val="es-CO" w:eastAsia="en-US"/>
        </w:rPr>
        <w:t xml:space="preserve">a través de comunicación </w:t>
      </w:r>
      <w:r w:rsidR="001F7F3A">
        <w:rPr>
          <w:rFonts w:ascii="Bookman Old Style" w:hAnsi="Bookman Old Style" w:cs="Arial"/>
          <w:spacing w:val="-5"/>
          <w:lang w:val="es-CO" w:eastAsia="en-US"/>
        </w:rPr>
        <w:t>c</w:t>
      </w:r>
      <w:r w:rsidR="00C45A78">
        <w:rPr>
          <w:rFonts w:ascii="Bookman Old Style" w:hAnsi="Bookman Old Style" w:cs="Arial"/>
          <w:spacing w:val="-5"/>
          <w:lang w:val="es-CO" w:eastAsia="en-US"/>
        </w:rPr>
        <w:t>on radicado número E-2017-</w:t>
      </w:r>
      <w:r w:rsidR="00EA33A0">
        <w:rPr>
          <w:rFonts w:ascii="Bookman Old Style" w:hAnsi="Bookman Old Style" w:cs="Arial"/>
          <w:spacing w:val="-5"/>
          <w:lang w:val="es-CO" w:eastAsia="en-US"/>
        </w:rPr>
        <w:t>010984</w:t>
      </w:r>
      <w:r w:rsidRPr="00EC3BB2">
        <w:rPr>
          <w:rFonts w:ascii="Bookman Old Style" w:hAnsi="Bookman Old Style" w:cs="Arial"/>
          <w:spacing w:val="-5"/>
          <w:lang w:val="es-CO" w:eastAsia="en-US"/>
        </w:rPr>
        <w:t xml:space="preserve">, </w:t>
      </w:r>
      <w:r w:rsidR="001F7F3A">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sidR="00EA33A0">
        <w:rPr>
          <w:rFonts w:ascii="Bookman Old Style" w:hAnsi="Bookman Old Style" w:cs="Arial"/>
          <w:spacing w:val="-5"/>
          <w:lang w:val="es-CO" w:eastAsia="en-US"/>
        </w:rPr>
        <w:t xml:space="preserve">epresentante legal de la empresa Gas </w:t>
      </w:r>
      <w:proofErr w:type="spellStart"/>
      <w:r w:rsidR="00EA33A0">
        <w:rPr>
          <w:rFonts w:ascii="Bookman Old Style" w:hAnsi="Bookman Old Style" w:cs="Arial"/>
          <w:spacing w:val="-5"/>
          <w:lang w:val="es-CO" w:eastAsia="en-US"/>
        </w:rPr>
        <w:t>Pac</w:t>
      </w:r>
      <w:proofErr w:type="spellEnd"/>
      <w:r w:rsidR="00EA33A0">
        <w:rPr>
          <w:rFonts w:ascii="Bookman Old Style" w:hAnsi="Bookman Old Style" w:cs="Arial"/>
          <w:spacing w:val="-5"/>
          <w:lang w:val="es-CO" w:eastAsia="en-US"/>
        </w:rPr>
        <w:t xml:space="preserve"> </w:t>
      </w:r>
      <w:r w:rsidR="00701412">
        <w:rPr>
          <w:rFonts w:ascii="Bookman Old Style" w:hAnsi="Bookman Old Style" w:cs="Arial"/>
          <w:spacing w:val="-5"/>
          <w:lang w:val="es-CO" w:eastAsia="en-US"/>
        </w:rPr>
        <w:t>S.A.S</w:t>
      </w:r>
      <w:r w:rsidRPr="00EC3BB2">
        <w:rPr>
          <w:rFonts w:ascii="Bookman Old Style" w:hAnsi="Bookman Old Style" w:cs="Arial"/>
          <w:spacing w:val="-5"/>
          <w:lang w:val="es-CO" w:eastAsia="en-US"/>
        </w:rPr>
        <w:t>. E.S.P. interpuso recurso de reposici</w:t>
      </w:r>
      <w:r w:rsidR="001F7F3A">
        <w:rPr>
          <w:rFonts w:ascii="Bookman Old Style" w:hAnsi="Bookman Old Style" w:cs="Arial"/>
          <w:spacing w:val="-5"/>
          <w:lang w:val="es-CO" w:eastAsia="en-US"/>
        </w:rPr>
        <w:t xml:space="preserve">ón </w:t>
      </w:r>
      <w:r w:rsidR="001D1395">
        <w:rPr>
          <w:rFonts w:ascii="Bookman Old Style" w:hAnsi="Bookman Old Style" w:cs="Arial"/>
          <w:spacing w:val="-5"/>
          <w:lang w:val="es-CO" w:eastAsia="en-US"/>
        </w:rPr>
        <w:t xml:space="preserve">y en subsidio apelación </w:t>
      </w:r>
      <w:r w:rsidR="001F7F3A">
        <w:rPr>
          <w:rFonts w:ascii="Bookman Old Style" w:hAnsi="Bookman Old Style" w:cs="Arial"/>
          <w:spacing w:val="-5"/>
          <w:lang w:val="es-CO" w:eastAsia="en-US"/>
        </w:rPr>
        <w:t xml:space="preserve">contra </w:t>
      </w:r>
      <w:r w:rsidR="00C45A78">
        <w:rPr>
          <w:rFonts w:ascii="Bookman Old Style" w:hAnsi="Bookman Old Style" w:cs="Arial"/>
          <w:spacing w:val="-5"/>
          <w:lang w:val="es-CO" w:eastAsia="en-US"/>
        </w:rPr>
        <w:t xml:space="preserve">la Resolución CREG </w:t>
      </w:r>
      <w:r w:rsidR="00EA33A0">
        <w:rPr>
          <w:rFonts w:ascii="Bookman Old Style" w:hAnsi="Bookman Old Style" w:cs="Arial"/>
          <w:spacing w:val="-5"/>
          <w:lang w:val="es-CO" w:eastAsia="en-US"/>
        </w:rPr>
        <w:t>168</w:t>
      </w:r>
      <w:r w:rsidR="001F7F3A">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para lo cual realiza las siguientes solicitudes:</w:t>
      </w:r>
    </w:p>
    <w:p w14:paraId="7ACB42DD" w14:textId="77777777" w:rsidR="00EC3BB2" w:rsidRPr="00EC3BB2" w:rsidRDefault="00EC3BB2" w:rsidP="00EC3BB2">
      <w:pPr>
        <w:widowControl w:val="0"/>
        <w:tabs>
          <w:tab w:val="right" w:pos="9498"/>
        </w:tabs>
        <w:adjustRightInd w:val="0"/>
        <w:ind w:left="0" w:right="-142"/>
        <w:jc w:val="both"/>
        <w:rPr>
          <w:rFonts w:ascii="Arial" w:hAnsi="Arial" w:cs="Arial"/>
          <w:i/>
          <w:sz w:val="22"/>
          <w:szCs w:val="22"/>
        </w:rPr>
      </w:pPr>
    </w:p>
    <w:p w14:paraId="62D10DEC" w14:textId="77777777" w:rsidR="00A5623A" w:rsidRDefault="00EC3BB2" w:rsidP="00A5623A">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A5623A">
        <w:rPr>
          <w:rFonts w:ascii="Bookman Old Style" w:hAnsi="Bookman Old Style" w:cs="Arial"/>
          <w:i/>
          <w:sz w:val="20"/>
          <w:szCs w:val="20"/>
        </w:rPr>
        <w:t>1.</w:t>
      </w:r>
      <w:r w:rsidR="00A5623A">
        <w:rPr>
          <w:rFonts w:ascii="Bookman Old Style" w:hAnsi="Bookman Old Style" w:cs="Arial"/>
          <w:i/>
          <w:sz w:val="20"/>
          <w:szCs w:val="20"/>
        </w:rPr>
        <w:tab/>
        <w:t xml:space="preserve"> Que se</w:t>
      </w:r>
      <w:r w:rsidR="00A5623A" w:rsidRPr="00A5623A">
        <w:rPr>
          <w:rFonts w:ascii="Bookman Old Style" w:hAnsi="Bookman Old Style" w:cs="Arial"/>
          <w:i/>
          <w:sz w:val="20"/>
          <w:szCs w:val="20"/>
        </w:rPr>
        <w:t xml:space="preserve"> reconozca el aumento de la capacidad de compra debido a la operación de tanques estacionarios en 21.922 kilogramos adicionales</w:t>
      </w:r>
      <w:r w:rsidR="00A5623A">
        <w:rPr>
          <w:rFonts w:ascii="Bookman Old Style" w:hAnsi="Bookman Old Style" w:cs="Arial"/>
          <w:i/>
          <w:sz w:val="20"/>
          <w:szCs w:val="20"/>
        </w:rPr>
        <w:t xml:space="preserve"> </w:t>
      </w:r>
      <w:r w:rsidR="00A5623A" w:rsidRPr="00A5623A">
        <w:rPr>
          <w:rFonts w:ascii="Bookman Old Style" w:hAnsi="Bookman Old Style" w:cs="Arial"/>
          <w:i/>
          <w:sz w:val="20"/>
          <w:szCs w:val="20"/>
        </w:rPr>
        <w:t>a la cantidad reconocida en la Resolución CREG 168 de 2017.</w:t>
      </w:r>
    </w:p>
    <w:p w14:paraId="090FF778" w14:textId="77777777" w:rsidR="00A5623A" w:rsidRPr="00A5623A" w:rsidRDefault="00A5623A" w:rsidP="00A5623A">
      <w:pPr>
        <w:ind w:left="284" w:right="284"/>
        <w:jc w:val="both"/>
        <w:rPr>
          <w:rFonts w:ascii="Bookman Old Style" w:hAnsi="Bookman Old Style" w:cs="Arial"/>
          <w:i/>
          <w:sz w:val="20"/>
          <w:szCs w:val="20"/>
        </w:rPr>
      </w:pPr>
    </w:p>
    <w:p w14:paraId="44957D2D" w14:textId="77777777" w:rsidR="00A5623A" w:rsidRDefault="00A5623A" w:rsidP="00A5623A">
      <w:pPr>
        <w:ind w:left="284" w:right="284"/>
        <w:jc w:val="both"/>
        <w:rPr>
          <w:rFonts w:ascii="Bookman Old Style" w:hAnsi="Bookman Old Style" w:cs="Arial"/>
          <w:i/>
          <w:sz w:val="20"/>
          <w:szCs w:val="20"/>
        </w:rPr>
      </w:pPr>
      <w:r w:rsidRPr="00A5623A">
        <w:rPr>
          <w:rFonts w:ascii="Bookman Old Style" w:hAnsi="Bookman Old Style" w:cs="Arial"/>
          <w:i/>
          <w:sz w:val="20"/>
          <w:szCs w:val="20"/>
        </w:rPr>
        <w:t>2.</w:t>
      </w:r>
      <w:r w:rsidRPr="00A5623A">
        <w:rPr>
          <w:rFonts w:ascii="Bookman Old Style" w:hAnsi="Bookman Old Style" w:cs="Arial"/>
          <w:i/>
          <w:sz w:val="20"/>
          <w:szCs w:val="20"/>
        </w:rPr>
        <w:tab/>
        <w:t xml:space="preserve"> En caso de no ser reconocida la capacidad de compra sobre la totalidad de los tanques estacionarios reportados corte al 31 de octubre del corriente, se solicita se reconozca una capacidad de compra adicional, la cual sea atendida con producto importado a través de nuestro comercializador mayorista importador</w:t>
      </w:r>
      <w:r>
        <w:rPr>
          <w:rFonts w:ascii="Bookman Old Style" w:hAnsi="Bookman Old Style" w:cs="Arial"/>
          <w:i/>
          <w:sz w:val="20"/>
          <w:szCs w:val="20"/>
        </w:rPr>
        <w:t xml:space="preserve"> </w:t>
      </w:r>
      <w:r w:rsidRPr="00A5623A">
        <w:rPr>
          <w:rFonts w:ascii="Bookman Old Style" w:hAnsi="Bookman Old Style" w:cs="Arial"/>
          <w:i/>
          <w:sz w:val="20"/>
          <w:szCs w:val="20"/>
        </w:rPr>
        <w:t>u</w:t>
      </w:r>
      <w:r>
        <w:rPr>
          <w:rFonts w:ascii="Bookman Old Style" w:hAnsi="Bookman Old Style" w:cs="Arial"/>
          <w:i/>
          <w:sz w:val="20"/>
          <w:szCs w:val="20"/>
        </w:rPr>
        <w:t xml:space="preserve"> </w:t>
      </w:r>
      <w:r w:rsidRPr="00A5623A">
        <w:rPr>
          <w:rFonts w:ascii="Bookman Old Style" w:hAnsi="Bookman Old Style" w:cs="Arial"/>
          <w:i/>
          <w:sz w:val="20"/>
          <w:szCs w:val="20"/>
        </w:rPr>
        <w:t>otras fuentes de producción.</w:t>
      </w:r>
      <w:r>
        <w:rPr>
          <w:rFonts w:ascii="Bookman Old Style" w:hAnsi="Bookman Old Style" w:cs="Arial"/>
          <w:i/>
          <w:sz w:val="20"/>
          <w:szCs w:val="20"/>
        </w:rPr>
        <w:t xml:space="preserve">  (…)</w:t>
      </w:r>
    </w:p>
    <w:p w14:paraId="35F0053C" w14:textId="77777777" w:rsidR="00A5623A" w:rsidRDefault="00A5623A" w:rsidP="00A5623A">
      <w:pPr>
        <w:ind w:left="284" w:right="284"/>
        <w:jc w:val="both"/>
        <w:rPr>
          <w:rFonts w:ascii="Bookman Old Style" w:hAnsi="Bookman Old Style" w:cs="Arial"/>
          <w:i/>
          <w:sz w:val="20"/>
          <w:szCs w:val="20"/>
        </w:rPr>
      </w:pPr>
    </w:p>
    <w:p w14:paraId="54059920" w14:textId="77777777" w:rsidR="00A5623A" w:rsidRDefault="00A5623A" w:rsidP="00A5623A">
      <w:pPr>
        <w:ind w:left="284" w:right="284"/>
        <w:jc w:val="both"/>
        <w:rPr>
          <w:rFonts w:ascii="Bookman Old Style" w:hAnsi="Bookman Old Style" w:cs="Arial"/>
          <w:i/>
          <w:sz w:val="20"/>
          <w:szCs w:val="20"/>
        </w:rPr>
      </w:pPr>
      <w:r w:rsidRPr="00A5623A">
        <w:rPr>
          <w:rFonts w:ascii="Bookman Old Style" w:hAnsi="Bookman Old Style" w:cs="Arial"/>
          <w:i/>
          <w:sz w:val="20"/>
          <w:szCs w:val="20"/>
        </w:rPr>
        <w:t xml:space="preserve">Para el reconocimiento de la capacidad de compra adicional se solicita se tenga en cuenta la diferencia de tanques estacionarios reportados entre el 10 de septiembre de 2017 y </w:t>
      </w:r>
      <w:proofErr w:type="spellStart"/>
      <w:r w:rsidRPr="00A5623A">
        <w:rPr>
          <w:rFonts w:ascii="Bookman Old Style" w:hAnsi="Bookman Old Style" w:cs="Arial"/>
          <w:i/>
          <w:sz w:val="20"/>
          <w:szCs w:val="20"/>
        </w:rPr>
        <w:t>el</w:t>
      </w:r>
      <w:proofErr w:type="spellEnd"/>
      <w:r w:rsidRPr="00A5623A">
        <w:rPr>
          <w:rFonts w:ascii="Bookman Old Style" w:hAnsi="Bookman Old Style" w:cs="Arial"/>
          <w:i/>
          <w:sz w:val="20"/>
          <w:szCs w:val="20"/>
        </w:rPr>
        <w:t xml:space="preserve"> </w:t>
      </w:r>
      <w:proofErr w:type="spellStart"/>
      <w:r w:rsidRPr="00A5623A">
        <w:rPr>
          <w:rFonts w:ascii="Bookman Old Style" w:hAnsi="Bookman Old Style" w:cs="Arial"/>
          <w:i/>
          <w:sz w:val="20"/>
          <w:szCs w:val="20"/>
        </w:rPr>
        <w:t>lO</w:t>
      </w:r>
      <w:proofErr w:type="spellEnd"/>
      <w:r>
        <w:rPr>
          <w:rFonts w:ascii="Bookman Old Style" w:hAnsi="Bookman Old Style" w:cs="Arial"/>
          <w:i/>
          <w:sz w:val="20"/>
          <w:szCs w:val="20"/>
        </w:rPr>
        <w:t xml:space="preserve"> </w:t>
      </w:r>
      <w:r w:rsidRPr="00A5623A">
        <w:rPr>
          <w:rFonts w:ascii="Bookman Old Style" w:hAnsi="Bookman Old Style" w:cs="Arial"/>
          <w:i/>
          <w:sz w:val="20"/>
          <w:szCs w:val="20"/>
        </w:rPr>
        <w:t>de</w:t>
      </w:r>
      <w:r>
        <w:rPr>
          <w:rFonts w:ascii="Bookman Old Style" w:hAnsi="Bookman Old Style" w:cs="Arial"/>
          <w:i/>
          <w:sz w:val="20"/>
          <w:szCs w:val="20"/>
        </w:rPr>
        <w:t xml:space="preserve"> </w:t>
      </w:r>
      <w:r w:rsidRPr="00A5623A">
        <w:rPr>
          <w:rFonts w:ascii="Bookman Old Style" w:hAnsi="Bookman Old Style" w:cs="Arial"/>
          <w:i/>
          <w:sz w:val="20"/>
          <w:szCs w:val="20"/>
        </w:rPr>
        <w:t>octubre</w:t>
      </w:r>
      <w:r>
        <w:rPr>
          <w:rFonts w:ascii="Bookman Old Style" w:hAnsi="Bookman Old Style" w:cs="Arial"/>
          <w:i/>
          <w:sz w:val="20"/>
          <w:szCs w:val="20"/>
        </w:rPr>
        <w:t xml:space="preserve"> </w:t>
      </w:r>
      <w:r w:rsidRPr="00A5623A">
        <w:rPr>
          <w:rFonts w:ascii="Bookman Old Style" w:hAnsi="Bookman Old Style" w:cs="Arial"/>
          <w:i/>
          <w:sz w:val="20"/>
          <w:szCs w:val="20"/>
        </w:rPr>
        <w:t>de 2017, es decir: 137 tanques</w:t>
      </w:r>
      <w:r>
        <w:rPr>
          <w:rFonts w:ascii="Bookman Old Style" w:hAnsi="Bookman Old Style" w:cs="Arial"/>
          <w:i/>
          <w:sz w:val="20"/>
          <w:szCs w:val="20"/>
        </w:rPr>
        <w:t xml:space="preserve"> </w:t>
      </w:r>
      <w:r w:rsidRPr="00A5623A">
        <w:rPr>
          <w:rFonts w:ascii="Bookman Old Style" w:hAnsi="Bookman Old Style" w:cs="Arial"/>
          <w:i/>
          <w:sz w:val="20"/>
          <w:szCs w:val="20"/>
        </w:rPr>
        <w:t>de diferentes capacidades que representan 21.922 kilos adicionales mensuales</w:t>
      </w:r>
      <w:r>
        <w:rPr>
          <w:rFonts w:ascii="Bookman Old Style" w:hAnsi="Bookman Old Style" w:cs="Arial"/>
          <w:i/>
          <w:sz w:val="20"/>
          <w:szCs w:val="20"/>
        </w:rPr>
        <w:t xml:space="preserve"> </w:t>
      </w:r>
      <w:r w:rsidRPr="00A5623A">
        <w:rPr>
          <w:rFonts w:ascii="Bookman Old Style" w:hAnsi="Bookman Old Style" w:cs="Arial"/>
          <w:i/>
          <w:sz w:val="20"/>
          <w:szCs w:val="20"/>
        </w:rPr>
        <w:t>a la capacidad de compra aprobada en la Resolución CREG 168 de 2017.</w:t>
      </w:r>
    </w:p>
    <w:p w14:paraId="75D041A7" w14:textId="77777777" w:rsidR="00A5623A" w:rsidRPr="00A5623A" w:rsidRDefault="00A5623A" w:rsidP="00A5623A">
      <w:pPr>
        <w:ind w:left="284" w:right="284"/>
        <w:jc w:val="both"/>
        <w:rPr>
          <w:rFonts w:ascii="Bookman Old Style" w:hAnsi="Bookman Old Style" w:cs="Arial"/>
          <w:i/>
          <w:sz w:val="20"/>
          <w:szCs w:val="20"/>
        </w:rPr>
      </w:pPr>
    </w:p>
    <w:p w14:paraId="5173AC7C" w14:textId="77777777" w:rsidR="00A5623A" w:rsidRPr="00A5623A" w:rsidRDefault="00A5623A" w:rsidP="00A5623A">
      <w:pPr>
        <w:ind w:left="284" w:right="284"/>
        <w:jc w:val="both"/>
        <w:rPr>
          <w:rFonts w:ascii="Bookman Old Style" w:hAnsi="Bookman Old Style" w:cs="Arial"/>
          <w:i/>
          <w:sz w:val="20"/>
          <w:szCs w:val="20"/>
        </w:rPr>
      </w:pPr>
      <w:r w:rsidRPr="00A5623A">
        <w:rPr>
          <w:rFonts w:ascii="Bookman Old Style" w:hAnsi="Bookman Old Style" w:cs="Arial"/>
          <w:i/>
          <w:sz w:val="20"/>
          <w:szCs w:val="20"/>
        </w:rPr>
        <w:lastRenderedPageBreak/>
        <w:t>La solicitud se fundamenta en lo siguiente:</w:t>
      </w:r>
    </w:p>
    <w:p w14:paraId="5DAD04F6" w14:textId="77777777" w:rsidR="00A5623A" w:rsidRDefault="00A5623A" w:rsidP="00A5623A">
      <w:pPr>
        <w:ind w:left="284" w:right="284"/>
        <w:jc w:val="both"/>
        <w:rPr>
          <w:rFonts w:ascii="Bookman Old Style" w:hAnsi="Bookman Old Style" w:cs="Arial"/>
          <w:i/>
          <w:sz w:val="20"/>
          <w:szCs w:val="20"/>
        </w:rPr>
      </w:pPr>
    </w:p>
    <w:p w14:paraId="51A42B21" w14:textId="77777777" w:rsidR="00A5623A" w:rsidRDefault="00A5623A" w:rsidP="00A5623A">
      <w:pPr>
        <w:ind w:left="284" w:right="284"/>
        <w:jc w:val="both"/>
        <w:rPr>
          <w:rFonts w:ascii="Bookman Old Style" w:hAnsi="Bookman Old Style" w:cs="Arial"/>
          <w:i/>
          <w:sz w:val="20"/>
          <w:szCs w:val="20"/>
        </w:rPr>
      </w:pPr>
      <w:r w:rsidRPr="00A5623A">
        <w:rPr>
          <w:rFonts w:ascii="Bookman Old Style" w:hAnsi="Bookman Old Style" w:cs="Arial"/>
          <w:i/>
          <w:sz w:val="20"/>
          <w:szCs w:val="20"/>
        </w:rPr>
        <w:t>1.</w:t>
      </w:r>
      <w:r w:rsidRPr="00A5623A">
        <w:rPr>
          <w:rFonts w:ascii="Bookman Old Style" w:hAnsi="Bookman Old Style" w:cs="Arial"/>
          <w:i/>
          <w:sz w:val="20"/>
          <w:szCs w:val="20"/>
        </w:rPr>
        <w:tab/>
        <w:t xml:space="preserve"> Para estos 137 tanques estacionarios adicionales a los del pri</w:t>
      </w:r>
      <w:r>
        <w:rPr>
          <w:rFonts w:ascii="Bookman Old Style" w:hAnsi="Bookman Old Style" w:cs="Arial"/>
          <w:i/>
          <w:sz w:val="20"/>
          <w:szCs w:val="20"/>
        </w:rPr>
        <w:t>mer semestre de este año ya se h</w:t>
      </w:r>
      <w:r w:rsidRPr="00A5623A">
        <w:rPr>
          <w:rFonts w:ascii="Bookman Old Style" w:hAnsi="Bookman Old Style" w:cs="Arial"/>
          <w:i/>
          <w:sz w:val="20"/>
          <w:szCs w:val="20"/>
        </w:rPr>
        <w:t>an realizado compromisos de suministro</w:t>
      </w:r>
      <w:r>
        <w:rPr>
          <w:rFonts w:ascii="Bookman Old Style" w:hAnsi="Bookman Old Style" w:cs="Arial"/>
          <w:i/>
          <w:sz w:val="20"/>
          <w:szCs w:val="20"/>
        </w:rPr>
        <w:t xml:space="preserve"> </w:t>
      </w:r>
      <w:r w:rsidRPr="00A5623A">
        <w:rPr>
          <w:rFonts w:ascii="Bookman Old Style" w:hAnsi="Bookman Old Style" w:cs="Arial"/>
          <w:i/>
          <w:sz w:val="20"/>
          <w:szCs w:val="20"/>
        </w:rPr>
        <w:t>y atención del servicio público para el 2018.</w:t>
      </w:r>
    </w:p>
    <w:p w14:paraId="2217820F" w14:textId="77777777" w:rsidR="00A5623A" w:rsidRPr="00A5623A" w:rsidRDefault="00A5623A" w:rsidP="00A5623A">
      <w:pPr>
        <w:ind w:left="284" w:right="284"/>
        <w:jc w:val="both"/>
        <w:rPr>
          <w:rFonts w:ascii="Bookman Old Style" w:hAnsi="Bookman Old Style" w:cs="Arial"/>
          <w:i/>
          <w:sz w:val="20"/>
          <w:szCs w:val="20"/>
        </w:rPr>
      </w:pPr>
    </w:p>
    <w:p w14:paraId="7AE53098" w14:textId="77777777" w:rsidR="00A5623A" w:rsidRDefault="00A5623A" w:rsidP="00A5623A">
      <w:pPr>
        <w:ind w:left="284" w:right="284"/>
        <w:jc w:val="both"/>
        <w:rPr>
          <w:rFonts w:ascii="Bookman Old Style" w:hAnsi="Bookman Old Style" w:cs="Arial"/>
          <w:i/>
          <w:sz w:val="20"/>
          <w:szCs w:val="20"/>
        </w:rPr>
      </w:pPr>
      <w:r w:rsidRPr="00A5623A">
        <w:rPr>
          <w:rFonts w:ascii="Bookman Old Style" w:hAnsi="Bookman Old Style" w:cs="Arial"/>
          <w:i/>
          <w:sz w:val="20"/>
          <w:szCs w:val="20"/>
        </w:rPr>
        <w:t>2.</w:t>
      </w:r>
      <w:r w:rsidRPr="00A5623A">
        <w:rPr>
          <w:rFonts w:ascii="Bookman Old Style" w:hAnsi="Bookman Old Style" w:cs="Arial"/>
          <w:i/>
          <w:sz w:val="20"/>
          <w:szCs w:val="20"/>
        </w:rPr>
        <w:tab/>
        <w:t xml:space="preserve"> Actualmente existen cantidades en el mercado disponibles para la compra proveniente de la importación u</w:t>
      </w:r>
      <w:r>
        <w:rPr>
          <w:rFonts w:ascii="Bookman Old Style" w:hAnsi="Bookman Old Style" w:cs="Arial"/>
          <w:i/>
          <w:sz w:val="20"/>
          <w:szCs w:val="20"/>
        </w:rPr>
        <w:t xml:space="preserve"> </w:t>
      </w:r>
      <w:r w:rsidRPr="00A5623A">
        <w:rPr>
          <w:rFonts w:ascii="Bookman Old Style" w:hAnsi="Bookman Old Style" w:cs="Arial"/>
          <w:i/>
          <w:sz w:val="20"/>
          <w:szCs w:val="20"/>
        </w:rPr>
        <w:t>otras fuentes de</w:t>
      </w:r>
      <w:r>
        <w:rPr>
          <w:rFonts w:ascii="Bookman Old Style" w:hAnsi="Bookman Old Style" w:cs="Arial"/>
          <w:i/>
          <w:sz w:val="20"/>
          <w:szCs w:val="20"/>
        </w:rPr>
        <w:t xml:space="preserve"> </w:t>
      </w:r>
      <w:r w:rsidRPr="00A5623A">
        <w:rPr>
          <w:rFonts w:ascii="Bookman Old Style" w:hAnsi="Bookman Old Style" w:cs="Arial"/>
          <w:i/>
          <w:sz w:val="20"/>
          <w:szCs w:val="20"/>
        </w:rPr>
        <w:t>producción</w:t>
      </w:r>
      <w:r>
        <w:rPr>
          <w:rFonts w:ascii="Bookman Old Style" w:hAnsi="Bookman Old Style" w:cs="Arial"/>
          <w:i/>
          <w:sz w:val="20"/>
          <w:szCs w:val="20"/>
        </w:rPr>
        <w:t xml:space="preserve"> </w:t>
      </w:r>
      <w:r w:rsidRPr="00A5623A">
        <w:rPr>
          <w:rFonts w:ascii="Bookman Old Style" w:hAnsi="Bookman Old Style" w:cs="Arial"/>
          <w:i/>
          <w:sz w:val="20"/>
          <w:szCs w:val="20"/>
        </w:rPr>
        <w:t>y de acuerdo con esta capacidad de compra adicional podríamos adquirir este producto.</w:t>
      </w:r>
    </w:p>
    <w:p w14:paraId="45862B6F" w14:textId="77777777" w:rsidR="00A5623A" w:rsidRPr="00A5623A" w:rsidRDefault="00A5623A" w:rsidP="00A5623A">
      <w:pPr>
        <w:ind w:left="284" w:right="284"/>
        <w:jc w:val="both"/>
        <w:rPr>
          <w:rFonts w:ascii="Bookman Old Style" w:hAnsi="Bookman Old Style" w:cs="Arial"/>
          <w:i/>
          <w:sz w:val="20"/>
          <w:szCs w:val="20"/>
        </w:rPr>
      </w:pPr>
    </w:p>
    <w:p w14:paraId="473D10AC" w14:textId="77777777" w:rsidR="00A5623A" w:rsidRDefault="00A5623A" w:rsidP="00A5623A">
      <w:pPr>
        <w:ind w:left="284" w:right="284"/>
        <w:jc w:val="both"/>
        <w:rPr>
          <w:rFonts w:ascii="Bookman Old Style" w:hAnsi="Bookman Old Style" w:cs="Arial"/>
          <w:i/>
          <w:sz w:val="20"/>
          <w:szCs w:val="20"/>
        </w:rPr>
      </w:pPr>
      <w:r w:rsidRPr="00A5623A">
        <w:rPr>
          <w:rFonts w:ascii="Bookman Old Style" w:hAnsi="Bookman Old Style" w:cs="Arial"/>
          <w:i/>
          <w:sz w:val="20"/>
          <w:szCs w:val="20"/>
        </w:rPr>
        <w:t>3.</w:t>
      </w:r>
      <w:r w:rsidRPr="00A5623A">
        <w:rPr>
          <w:rFonts w:ascii="Bookman Old Style" w:hAnsi="Bookman Old Style" w:cs="Arial"/>
          <w:i/>
          <w:sz w:val="20"/>
          <w:szCs w:val="20"/>
        </w:rPr>
        <w:tab/>
        <w:t xml:space="preserve"> El plan comercial de crecimiento se puso en marcha este semestre cuando se lograron los recursos a través del sistema financiero y </w:t>
      </w:r>
      <w:r>
        <w:rPr>
          <w:rFonts w:ascii="Bookman Old Style" w:hAnsi="Bookman Old Style" w:cs="Arial"/>
          <w:i/>
          <w:sz w:val="20"/>
          <w:szCs w:val="20"/>
        </w:rPr>
        <w:t>la realidad en</w:t>
      </w:r>
      <w:r>
        <w:rPr>
          <w:rFonts w:ascii="Bookman Old Style" w:hAnsi="Bookman Old Style" w:cs="Arial"/>
          <w:i/>
          <w:sz w:val="20"/>
          <w:szCs w:val="20"/>
        </w:rPr>
        <w:tab/>
        <w:t>la existencia de cantidades de</w:t>
      </w:r>
      <w:r>
        <w:rPr>
          <w:rFonts w:ascii="Bookman Old Style" w:hAnsi="Bookman Old Style" w:cs="Arial"/>
          <w:i/>
          <w:sz w:val="20"/>
          <w:szCs w:val="20"/>
        </w:rPr>
        <w:tab/>
        <w:t>producto por la importación.</w:t>
      </w:r>
    </w:p>
    <w:p w14:paraId="0CB57E0A" w14:textId="77777777" w:rsidR="00A5623A" w:rsidRDefault="00A5623A" w:rsidP="00A5623A">
      <w:pPr>
        <w:ind w:left="284" w:right="284"/>
        <w:jc w:val="both"/>
        <w:rPr>
          <w:rFonts w:ascii="Bookman Old Style" w:hAnsi="Bookman Old Style" w:cs="Arial"/>
          <w:i/>
          <w:sz w:val="20"/>
          <w:szCs w:val="20"/>
        </w:rPr>
      </w:pPr>
    </w:p>
    <w:p w14:paraId="29B0FA29" w14:textId="77777777" w:rsidR="00EC3BB2" w:rsidRPr="00B165BF" w:rsidRDefault="00A5623A" w:rsidP="00A5623A">
      <w:pPr>
        <w:ind w:left="284" w:right="284"/>
        <w:jc w:val="both"/>
        <w:rPr>
          <w:rFonts w:ascii="Bookman Old Style" w:hAnsi="Bookman Old Style" w:cs="Arial"/>
          <w:i/>
          <w:sz w:val="20"/>
          <w:szCs w:val="20"/>
        </w:rPr>
      </w:pPr>
      <w:r>
        <w:rPr>
          <w:rFonts w:ascii="Bookman Old Style" w:hAnsi="Bookman Old Style" w:cs="Arial"/>
          <w:i/>
          <w:sz w:val="20"/>
          <w:szCs w:val="20"/>
        </w:rPr>
        <w:t>C</w:t>
      </w:r>
      <w:r w:rsidRPr="00A5623A">
        <w:rPr>
          <w:rFonts w:ascii="Bookman Old Style" w:hAnsi="Bookman Old Style" w:cs="Arial"/>
          <w:i/>
          <w:sz w:val="20"/>
          <w:szCs w:val="20"/>
        </w:rPr>
        <w:t>on l</w:t>
      </w:r>
      <w:r>
        <w:rPr>
          <w:rFonts w:ascii="Bookman Old Style" w:hAnsi="Bookman Old Style" w:cs="Arial"/>
          <w:i/>
          <w:sz w:val="20"/>
          <w:szCs w:val="20"/>
        </w:rPr>
        <w:t xml:space="preserve">o anterior le </w:t>
      </w:r>
      <w:r w:rsidRPr="00A5623A">
        <w:rPr>
          <w:rFonts w:ascii="Bookman Old Style" w:hAnsi="Bookman Old Style" w:cs="Arial"/>
          <w:i/>
          <w:sz w:val="20"/>
          <w:szCs w:val="20"/>
        </w:rPr>
        <w:t>solicitamos que</w:t>
      </w:r>
      <w:r w:rsidRPr="00A5623A">
        <w:rPr>
          <w:rFonts w:ascii="Bookman Old Style" w:hAnsi="Bookman Old Style" w:cs="Arial"/>
          <w:i/>
          <w:sz w:val="20"/>
          <w:szCs w:val="20"/>
        </w:rPr>
        <w:tab/>
        <w:t>las cantidade</w:t>
      </w:r>
      <w:r>
        <w:rPr>
          <w:rFonts w:ascii="Bookman Old Style" w:hAnsi="Bookman Old Style" w:cs="Arial"/>
          <w:i/>
          <w:sz w:val="20"/>
          <w:szCs w:val="20"/>
        </w:rPr>
        <w:t>s</w:t>
      </w:r>
      <w:r>
        <w:rPr>
          <w:rFonts w:ascii="Bookman Old Style" w:hAnsi="Bookman Old Style" w:cs="Arial"/>
          <w:i/>
          <w:sz w:val="20"/>
          <w:szCs w:val="20"/>
        </w:rPr>
        <w:tab/>
        <w:t xml:space="preserve">adicionales generadas por los </w:t>
      </w:r>
      <w:r w:rsidRPr="00A5623A">
        <w:rPr>
          <w:rFonts w:ascii="Bookman Old Style" w:hAnsi="Bookman Old Style" w:cs="Arial"/>
          <w:i/>
          <w:sz w:val="20"/>
          <w:szCs w:val="20"/>
        </w:rPr>
        <w:t>nuevos tanques estacionarios sean reconocidas en una</w:t>
      </w:r>
      <w:r>
        <w:rPr>
          <w:rFonts w:ascii="Bookman Old Style" w:hAnsi="Bookman Old Style" w:cs="Arial"/>
          <w:i/>
          <w:sz w:val="20"/>
          <w:szCs w:val="20"/>
        </w:rPr>
        <w:t xml:space="preserve"> </w:t>
      </w:r>
      <w:r w:rsidRPr="00A5623A">
        <w:rPr>
          <w:rFonts w:ascii="Bookman Old Style" w:hAnsi="Bookman Old Style" w:cs="Arial"/>
          <w:i/>
          <w:sz w:val="20"/>
          <w:szCs w:val="20"/>
        </w:rPr>
        <w:t>capacidad disponible de compra adicional que se cubrirá con la compra</w:t>
      </w:r>
      <w:r>
        <w:rPr>
          <w:rFonts w:ascii="Bookman Old Style" w:hAnsi="Bookman Old Style" w:cs="Arial"/>
          <w:i/>
          <w:sz w:val="20"/>
          <w:szCs w:val="20"/>
        </w:rPr>
        <w:t xml:space="preserve"> </w:t>
      </w:r>
      <w:r w:rsidRPr="00A5623A">
        <w:rPr>
          <w:rFonts w:ascii="Bookman Old Style" w:hAnsi="Bookman Old Style" w:cs="Arial"/>
          <w:i/>
          <w:sz w:val="20"/>
          <w:szCs w:val="20"/>
        </w:rPr>
        <w:t>de GLP importado u</w:t>
      </w:r>
      <w:r>
        <w:rPr>
          <w:rFonts w:ascii="Bookman Old Style" w:hAnsi="Bookman Old Style" w:cs="Arial"/>
          <w:i/>
          <w:sz w:val="20"/>
          <w:szCs w:val="20"/>
        </w:rPr>
        <w:t xml:space="preserve"> </w:t>
      </w:r>
      <w:r w:rsidRPr="00A5623A">
        <w:rPr>
          <w:rFonts w:ascii="Bookman Old Style" w:hAnsi="Bookman Old Style" w:cs="Arial"/>
          <w:i/>
          <w:sz w:val="20"/>
          <w:szCs w:val="20"/>
        </w:rPr>
        <w:t>otras fuentes de producción.</w:t>
      </w:r>
      <w:r w:rsidR="00203D9A" w:rsidRPr="00B165BF">
        <w:rPr>
          <w:rFonts w:ascii="Bookman Old Style" w:hAnsi="Bookman Old Style" w:cs="Arial"/>
          <w:i/>
          <w:sz w:val="20"/>
          <w:szCs w:val="20"/>
        </w:rPr>
        <w:t>”</w:t>
      </w:r>
    </w:p>
    <w:p w14:paraId="0579B709" w14:textId="77777777" w:rsidR="00EC3BB2" w:rsidRPr="00EC3BB2" w:rsidRDefault="00EC3BB2" w:rsidP="00EC3BB2">
      <w:pPr>
        <w:widowControl w:val="0"/>
        <w:tabs>
          <w:tab w:val="right" w:pos="9498"/>
        </w:tabs>
        <w:adjustRightInd w:val="0"/>
        <w:ind w:left="0" w:right="-142"/>
        <w:jc w:val="both"/>
        <w:rPr>
          <w:rFonts w:ascii="Arial" w:hAnsi="Arial" w:cs="Arial"/>
          <w:sz w:val="22"/>
          <w:szCs w:val="22"/>
        </w:rPr>
      </w:pPr>
    </w:p>
    <w:p w14:paraId="296F9A54" w14:textId="77777777" w:rsidR="006E5ED9" w:rsidRDefault="006E5ED9" w:rsidP="006E5ED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A5623A">
        <w:rPr>
          <w:rFonts w:ascii="Bookman Old Style" w:hAnsi="Bookman Old Style" w:cs="Arial"/>
          <w:spacing w:val="-5"/>
          <w:lang w:val="es-CO" w:eastAsia="en-US"/>
        </w:rPr>
        <w:t>168</w:t>
      </w:r>
      <w:r w:rsidR="001E7937">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fue notificada a </w:t>
      </w:r>
      <w:r w:rsidR="00A5623A">
        <w:rPr>
          <w:rFonts w:ascii="Bookman Old Style" w:hAnsi="Bookman Old Style" w:cs="Arial"/>
          <w:spacing w:val="-5"/>
          <w:lang w:val="es-CO" w:eastAsia="en-US"/>
        </w:rPr>
        <w:t xml:space="preserve">Gas </w:t>
      </w:r>
      <w:proofErr w:type="spellStart"/>
      <w:r w:rsidR="00A5623A">
        <w:rPr>
          <w:rFonts w:ascii="Bookman Old Style" w:hAnsi="Bookman Old Style" w:cs="Arial"/>
          <w:spacing w:val="-5"/>
          <w:lang w:val="es-CO" w:eastAsia="en-US"/>
        </w:rPr>
        <w:t>Pac</w:t>
      </w:r>
      <w:proofErr w:type="spellEnd"/>
      <w:r w:rsidRPr="00EC3BB2">
        <w:rPr>
          <w:rFonts w:ascii="Bookman Old Style" w:hAnsi="Bookman Old Style" w:cs="Arial"/>
          <w:spacing w:val="-5"/>
          <w:lang w:val="es-CO" w:eastAsia="en-US"/>
        </w:rPr>
        <w:t xml:space="preserve"> mediante </w:t>
      </w:r>
      <w:r>
        <w:rPr>
          <w:rFonts w:ascii="Bookman Old Style" w:hAnsi="Bookman Old Style" w:cs="Arial"/>
          <w:spacing w:val="-5"/>
          <w:lang w:val="es-CO" w:eastAsia="en-US"/>
        </w:rPr>
        <w:t>not</w:t>
      </w:r>
      <w:r w:rsidR="008E51A6">
        <w:rPr>
          <w:rFonts w:ascii="Bookman Old Style" w:hAnsi="Bookman Old Style" w:cs="Arial"/>
          <w:spacing w:val="-5"/>
          <w:lang w:val="es-CO" w:eastAsia="en-US"/>
        </w:rPr>
        <w:t>ificación person</w:t>
      </w:r>
      <w:r w:rsidR="00701412">
        <w:rPr>
          <w:rFonts w:ascii="Bookman Old Style" w:hAnsi="Bookman Old Style" w:cs="Arial"/>
          <w:spacing w:val="-5"/>
          <w:lang w:val="es-CO" w:eastAsia="en-US"/>
        </w:rPr>
        <w:t>al I-2017-</w:t>
      </w:r>
      <w:r w:rsidR="00A5623A">
        <w:rPr>
          <w:rFonts w:ascii="Bookman Old Style" w:hAnsi="Bookman Old Style" w:cs="Arial"/>
          <w:spacing w:val="-5"/>
          <w:lang w:val="es-CO" w:eastAsia="en-US"/>
        </w:rPr>
        <w:t>00619</w:t>
      </w:r>
      <w:r>
        <w:rPr>
          <w:rFonts w:ascii="Bookman Old Style" w:hAnsi="Bookman Old Style" w:cs="Arial"/>
          <w:spacing w:val="-5"/>
          <w:lang w:val="es-CO" w:eastAsia="en-US"/>
        </w:rPr>
        <w:t xml:space="preserve"> de </w:t>
      </w:r>
      <w:r w:rsidR="00A5623A">
        <w:rPr>
          <w:rFonts w:ascii="Bookman Old Style" w:hAnsi="Bookman Old Style" w:cs="Arial"/>
          <w:spacing w:val="-5"/>
          <w:lang w:val="es-CO" w:eastAsia="en-US"/>
        </w:rPr>
        <w:t>22</w:t>
      </w:r>
      <w:r w:rsidR="008E51A6">
        <w:rPr>
          <w:rFonts w:ascii="Bookman Old Style" w:hAnsi="Bookman Old Style" w:cs="Arial"/>
          <w:spacing w:val="-5"/>
          <w:lang w:val="es-CO" w:eastAsia="en-US"/>
        </w:rPr>
        <w:t xml:space="preserve"> de </w:t>
      </w:r>
      <w:r w:rsidR="00A5623A">
        <w:rPr>
          <w:rFonts w:ascii="Bookman Old Style" w:hAnsi="Bookman Old Style" w:cs="Arial"/>
          <w:spacing w:val="-5"/>
          <w:lang w:val="es-CO" w:eastAsia="en-US"/>
        </w:rPr>
        <w:t>noviembre</w:t>
      </w:r>
      <w:r w:rsidR="008E51A6">
        <w:rPr>
          <w:rFonts w:ascii="Bookman Old Style" w:hAnsi="Bookman Old Style" w:cs="Arial"/>
          <w:spacing w:val="-5"/>
          <w:lang w:val="es-CO" w:eastAsia="en-US"/>
        </w:rPr>
        <w:t xml:space="preserve"> de 2017</w:t>
      </w:r>
      <w:r>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14:paraId="39805BFD" w14:textId="77777777" w:rsidR="006E5ED9" w:rsidRPr="00EC3BB2" w:rsidRDefault="006E5ED9" w:rsidP="006E5ED9">
      <w:pPr>
        <w:pStyle w:val="Textoindependiente2"/>
        <w:spacing w:after="0" w:line="240" w:lineRule="auto"/>
        <w:ind w:left="-142" w:right="-142"/>
        <w:jc w:val="both"/>
        <w:rPr>
          <w:rFonts w:ascii="Bookman Old Style" w:hAnsi="Bookman Old Style" w:cs="Arial"/>
          <w:spacing w:val="-5"/>
          <w:lang w:val="es-CO" w:eastAsia="en-US"/>
        </w:rPr>
      </w:pPr>
    </w:p>
    <w:p w14:paraId="0C55B9BA" w14:textId="77777777" w:rsidR="00CD67E2" w:rsidRDefault="006E5ED9" w:rsidP="00E8042D">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C64244">
        <w:rPr>
          <w:rFonts w:ascii="Bookman Old Style" w:hAnsi="Bookman Old Style" w:cs="Arial"/>
          <w:spacing w:val="-5"/>
          <w:lang w:val="es-CO" w:eastAsia="en-US"/>
        </w:rPr>
        <w:t>30</w:t>
      </w:r>
      <w:r>
        <w:rPr>
          <w:rFonts w:ascii="Bookman Old Style" w:hAnsi="Bookman Old Style" w:cs="Arial"/>
          <w:spacing w:val="-5"/>
          <w:lang w:val="es-CO" w:eastAsia="en-US"/>
        </w:rPr>
        <w:t xml:space="preserve"> de </w:t>
      </w:r>
      <w:r w:rsidR="00C64244">
        <w:rPr>
          <w:rFonts w:ascii="Bookman Old Style" w:hAnsi="Bookman Old Style" w:cs="Arial"/>
          <w:spacing w:val="-5"/>
          <w:lang w:val="es-CO" w:eastAsia="en-US"/>
        </w:rPr>
        <w:t>noviembre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w:t>
      </w:r>
      <w:r w:rsidR="008E51A6">
        <w:rPr>
          <w:rFonts w:ascii="Bookman Old Style" w:hAnsi="Bookman Old Style" w:cs="Arial"/>
          <w:spacing w:val="-5"/>
          <w:lang w:val="es-CO" w:eastAsia="en-US"/>
        </w:rPr>
        <w:t xml:space="preserve"> 2017</w:t>
      </w:r>
      <w:r w:rsidRPr="00EC3BB2">
        <w:rPr>
          <w:rFonts w:ascii="Bookman Old Style" w:hAnsi="Bookman Old Style" w:cs="Arial"/>
          <w:spacing w:val="-5"/>
          <w:lang w:val="es-CO" w:eastAsia="en-US"/>
        </w:rPr>
        <w:t xml:space="preserve">.  </w:t>
      </w:r>
    </w:p>
    <w:p w14:paraId="4FC2CC9E" w14:textId="77777777" w:rsidR="008E51A6" w:rsidRDefault="008E51A6" w:rsidP="00E8042D">
      <w:pPr>
        <w:pStyle w:val="Textoindependiente2"/>
        <w:spacing w:after="0" w:line="240" w:lineRule="auto"/>
        <w:ind w:left="-142" w:right="-142"/>
        <w:jc w:val="both"/>
        <w:rPr>
          <w:rFonts w:ascii="Bookman Old Style" w:hAnsi="Bookman Old Style" w:cs="Arial"/>
          <w:spacing w:val="-5"/>
          <w:lang w:val="es-CO" w:eastAsia="en-US"/>
        </w:rPr>
      </w:pPr>
    </w:p>
    <w:p w14:paraId="7F309E24" w14:textId="77777777"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14:paraId="072FB5A1" w14:textId="77777777" w:rsidR="00D126E3" w:rsidRDefault="00D126E3" w:rsidP="00D126E3">
      <w:pPr>
        <w:widowControl w:val="0"/>
        <w:tabs>
          <w:tab w:val="right" w:pos="9498"/>
        </w:tabs>
        <w:adjustRightInd w:val="0"/>
        <w:ind w:left="0" w:right="-142"/>
        <w:jc w:val="both"/>
        <w:rPr>
          <w:rFonts w:ascii="Bookman Old Style" w:hAnsi="Bookman Old Style" w:cs="Arial"/>
          <w:lang w:val="es-CO"/>
        </w:rPr>
      </w:pPr>
    </w:p>
    <w:p w14:paraId="4C57A05A" w14:textId="77777777"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14:paraId="58AF85BE" w14:textId="77777777" w:rsidR="00D126E3" w:rsidRDefault="00D126E3" w:rsidP="00D126E3">
      <w:pPr>
        <w:widowControl w:val="0"/>
        <w:tabs>
          <w:tab w:val="right" w:pos="9498"/>
        </w:tabs>
        <w:adjustRightInd w:val="0"/>
        <w:ind w:left="0" w:right="-142"/>
        <w:jc w:val="both"/>
        <w:rPr>
          <w:rFonts w:ascii="Bookman Old Style" w:hAnsi="Bookman Old Style" w:cs="Arial"/>
        </w:rPr>
      </w:pPr>
    </w:p>
    <w:p w14:paraId="60AABD30" w14:textId="77777777" w:rsidR="00D126E3" w:rsidRDefault="00E8042D"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C64244">
        <w:rPr>
          <w:rFonts w:ascii="Bookman Old Style" w:hAnsi="Bookman Old Style"/>
          <w:szCs w:val="27"/>
        </w:rPr>
        <w:t xml:space="preserve">Gas </w:t>
      </w:r>
      <w:proofErr w:type="spellStart"/>
      <w:r w:rsidR="00C64244">
        <w:rPr>
          <w:rFonts w:ascii="Bookman Old Style" w:hAnsi="Bookman Old Style"/>
          <w:szCs w:val="27"/>
        </w:rPr>
        <w:t>Pac</w:t>
      </w:r>
      <w:proofErr w:type="spellEnd"/>
      <w:r w:rsidR="002A452D">
        <w:rPr>
          <w:rFonts w:ascii="Bookman Old Style" w:hAnsi="Bookman Old Style"/>
          <w:szCs w:val="27"/>
        </w:rPr>
        <w:t xml:space="preserve"> hacen referencia a lo siguiente:</w:t>
      </w:r>
    </w:p>
    <w:p w14:paraId="1128BB3F" w14:textId="77777777" w:rsidR="002A452D" w:rsidRPr="002A452D" w:rsidRDefault="002A452D" w:rsidP="002A452D">
      <w:pPr>
        <w:ind w:left="284" w:right="284"/>
        <w:jc w:val="both"/>
        <w:rPr>
          <w:rFonts w:ascii="Bookman Old Style" w:hAnsi="Bookman Old Style" w:cs="Arial"/>
          <w:i/>
          <w:sz w:val="22"/>
          <w:szCs w:val="22"/>
        </w:rPr>
      </w:pPr>
    </w:p>
    <w:p w14:paraId="62A42D70" w14:textId="77777777" w:rsidR="00C64244" w:rsidRDefault="00D126E3" w:rsidP="00C64244">
      <w:pPr>
        <w:pStyle w:val="Textoindependiente2"/>
        <w:spacing w:after="0" w:line="240" w:lineRule="auto"/>
        <w:ind w:left="284" w:right="284"/>
        <w:jc w:val="both"/>
        <w:rPr>
          <w:rFonts w:ascii="Bookman Old Style" w:hAnsi="Bookman Old Style" w:cs="Arial"/>
          <w:i/>
          <w:sz w:val="20"/>
          <w:szCs w:val="20"/>
        </w:rPr>
      </w:pPr>
      <w:r w:rsidRPr="00203D9A">
        <w:rPr>
          <w:rFonts w:ascii="Bookman Old Style" w:hAnsi="Bookman Old Style" w:cs="Arial"/>
          <w:i/>
          <w:sz w:val="20"/>
          <w:szCs w:val="20"/>
        </w:rPr>
        <w:t>“</w:t>
      </w:r>
      <w:r w:rsidR="00A059D3">
        <w:rPr>
          <w:rFonts w:ascii="Bookman Old Style" w:hAnsi="Bookman Old Style" w:cs="Arial"/>
          <w:i/>
          <w:sz w:val="20"/>
          <w:szCs w:val="20"/>
        </w:rPr>
        <w:t>(…)</w:t>
      </w:r>
      <w:r w:rsidR="00C64244">
        <w:rPr>
          <w:rFonts w:ascii="Bookman Old Style" w:hAnsi="Bookman Old Style" w:cs="Arial"/>
          <w:i/>
          <w:sz w:val="20"/>
          <w:szCs w:val="20"/>
        </w:rPr>
        <w:t>2. Reporte de información de activos.</w:t>
      </w:r>
    </w:p>
    <w:p w14:paraId="4F6FFB73"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160E5BD9"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w:t>
      </w:r>
    </w:p>
    <w:p w14:paraId="3FE64AFB"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00D74D0A"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En segundo lugar, el mecanismo de la capacidad de compra basada en las inversiones de las empresas tiene su aplicabilidad en la información que para el</w:t>
      </w:r>
      <w:r>
        <w:rPr>
          <w:rFonts w:ascii="Bookman Old Style" w:hAnsi="Bookman Old Style" w:cs="Arial"/>
          <w:i/>
          <w:sz w:val="20"/>
          <w:szCs w:val="20"/>
        </w:rPr>
        <w:t xml:space="preserve"> </w:t>
      </w:r>
      <w:r w:rsidRPr="00C64244">
        <w:rPr>
          <w:rFonts w:ascii="Bookman Old Style" w:hAnsi="Bookman Old Style" w:cs="Arial"/>
          <w:i/>
          <w:sz w:val="20"/>
          <w:szCs w:val="20"/>
        </w:rPr>
        <w:t>efecto</w:t>
      </w:r>
      <w:r>
        <w:rPr>
          <w:rFonts w:ascii="Bookman Old Style" w:hAnsi="Bookman Old Style" w:cs="Arial"/>
          <w:i/>
          <w:sz w:val="20"/>
          <w:szCs w:val="20"/>
        </w:rPr>
        <w:t xml:space="preserve"> </w:t>
      </w:r>
      <w:r w:rsidRPr="00C64244">
        <w:rPr>
          <w:rFonts w:ascii="Bookman Old Style" w:hAnsi="Bookman Old Style" w:cs="Arial"/>
          <w:i/>
          <w:sz w:val="20"/>
          <w:szCs w:val="20"/>
        </w:rPr>
        <w:t>de</w:t>
      </w:r>
      <w:r>
        <w:rPr>
          <w:rFonts w:ascii="Bookman Old Style" w:hAnsi="Bookman Old Style" w:cs="Arial"/>
          <w:i/>
          <w:sz w:val="20"/>
          <w:szCs w:val="20"/>
        </w:rPr>
        <w:t xml:space="preserve"> </w:t>
      </w:r>
      <w:r w:rsidRPr="00C64244">
        <w:rPr>
          <w:rFonts w:ascii="Bookman Old Style" w:hAnsi="Bookman Old Style" w:cs="Arial"/>
          <w:i/>
          <w:sz w:val="20"/>
          <w:szCs w:val="20"/>
        </w:rPr>
        <w:t>supervisión</w:t>
      </w:r>
      <w:r>
        <w:rPr>
          <w:rFonts w:ascii="Bookman Old Style" w:hAnsi="Bookman Old Style" w:cs="Arial"/>
          <w:i/>
          <w:sz w:val="20"/>
          <w:szCs w:val="20"/>
        </w:rPr>
        <w:t xml:space="preserve"> </w:t>
      </w:r>
      <w:r w:rsidRPr="00C64244">
        <w:rPr>
          <w:rFonts w:ascii="Bookman Old Style" w:hAnsi="Bookman Old Style" w:cs="Arial"/>
          <w:i/>
          <w:sz w:val="20"/>
          <w:szCs w:val="20"/>
        </w:rPr>
        <w:t>y</w:t>
      </w:r>
      <w:r>
        <w:rPr>
          <w:rFonts w:ascii="Bookman Old Style" w:hAnsi="Bookman Old Style" w:cs="Arial"/>
          <w:i/>
          <w:sz w:val="20"/>
          <w:szCs w:val="20"/>
        </w:rPr>
        <w:t xml:space="preserve"> </w:t>
      </w:r>
      <w:r w:rsidRPr="00C64244">
        <w:rPr>
          <w:rFonts w:ascii="Bookman Old Style" w:hAnsi="Bookman Old Style" w:cs="Arial"/>
          <w:i/>
          <w:sz w:val="20"/>
          <w:szCs w:val="20"/>
        </w:rPr>
        <w:t>con</w:t>
      </w:r>
      <w:r>
        <w:rPr>
          <w:rFonts w:ascii="Bookman Old Style" w:hAnsi="Bookman Old Style" w:cs="Arial"/>
          <w:i/>
          <w:sz w:val="20"/>
          <w:szCs w:val="20"/>
        </w:rPr>
        <w:t xml:space="preserve">trol reportan las empresas. De </w:t>
      </w:r>
      <w:proofErr w:type="gramStart"/>
      <w:r>
        <w:rPr>
          <w:rFonts w:ascii="Bookman Old Style" w:hAnsi="Bookman Old Style" w:cs="Arial"/>
          <w:i/>
          <w:sz w:val="20"/>
          <w:szCs w:val="20"/>
        </w:rPr>
        <w:t>hecho</w:t>
      </w:r>
      <w:proofErr w:type="gramEnd"/>
      <w:r w:rsidRPr="00C64244">
        <w:rPr>
          <w:rFonts w:ascii="Bookman Old Style" w:hAnsi="Bookman Old Style" w:cs="Arial"/>
          <w:i/>
          <w:sz w:val="20"/>
          <w:szCs w:val="20"/>
        </w:rPr>
        <w:t xml:space="preserve"> el artículo </w:t>
      </w:r>
      <w:r>
        <w:rPr>
          <w:rFonts w:ascii="Bookman Old Style" w:hAnsi="Bookman Old Style" w:cs="Arial"/>
          <w:i/>
          <w:sz w:val="20"/>
          <w:szCs w:val="20"/>
        </w:rPr>
        <w:t xml:space="preserve">10 </w:t>
      </w:r>
      <w:r w:rsidRPr="00C64244">
        <w:rPr>
          <w:rFonts w:ascii="Bookman Old Style" w:hAnsi="Bookman Old Style" w:cs="Arial"/>
          <w:i/>
          <w:sz w:val="20"/>
          <w:szCs w:val="20"/>
        </w:rPr>
        <w:t>de la Resolución GREG 023 de 2008 define la obligación de los</w:t>
      </w:r>
      <w:r>
        <w:rPr>
          <w:rFonts w:ascii="Bookman Old Style" w:hAnsi="Bookman Old Style" w:cs="Arial"/>
          <w:i/>
          <w:sz w:val="20"/>
          <w:szCs w:val="20"/>
        </w:rPr>
        <w:t xml:space="preserve"> </w:t>
      </w:r>
      <w:r w:rsidRPr="00C64244">
        <w:rPr>
          <w:rFonts w:ascii="Bookman Old Style" w:hAnsi="Bookman Old Style" w:cs="Arial"/>
          <w:i/>
          <w:sz w:val="20"/>
          <w:szCs w:val="20"/>
        </w:rPr>
        <w:t>distribuidores de reportar en el GUI la información relacionada con sus activos.</w:t>
      </w:r>
    </w:p>
    <w:p w14:paraId="5EB3218B" w14:textId="77777777" w:rsidR="00C64244" w:rsidRPr="00A77F07" w:rsidRDefault="00C64244" w:rsidP="00C64244">
      <w:pPr>
        <w:pStyle w:val="Textoindependiente2"/>
        <w:spacing w:after="0" w:line="240" w:lineRule="auto"/>
        <w:ind w:left="284" w:right="284"/>
        <w:jc w:val="both"/>
        <w:rPr>
          <w:rFonts w:ascii="Bookman Old Style" w:hAnsi="Bookman Old Style" w:cs="Arial"/>
          <w:i/>
          <w:sz w:val="20"/>
          <w:szCs w:val="20"/>
        </w:rPr>
      </w:pPr>
    </w:p>
    <w:p w14:paraId="191AB215"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Los reportes de información se encuentran reglamentados por la Resolución SSPD No. 20141300040755 que en este año fue modificada por la Circular conjunta SSPD-CREG No. 01 de 2017.</w:t>
      </w:r>
    </w:p>
    <w:p w14:paraId="302E93BD"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05E697C6"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 xml:space="preserve">La modificación de la resolución básicamente se refiere a la modificación de los reportes de los tanques estacionarios que han adquirido las empresas en el semestre, </w:t>
      </w:r>
      <w:proofErr w:type="gramStart"/>
      <w:r w:rsidRPr="00C64244">
        <w:rPr>
          <w:rFonts w:ascii="Bookman Old Style" w:hAnsi="Bookman Old Style" w:cs="Arial"/>
          <w:i/>
          <w:sz w:val="20"/>
          <w:szCs w:val="20"/>
        </w:rPr>
        <w:t>así:</w:t>
      </w:r>
      <w:r w:rsidR="00A77F07" w:rsidRPr="00A77F07">
        <w:rPr>
          <w:rFonts w:ascii="Bookman Old Style" w:hAnsi="Bookman Old Style" w:cs="Arial"/>
          <w:i/>
          <w:sz w:val="20"/>
          <w:szCs w:val="20"/>
        </w:rPr>
        <w:t>.</w:t>
      </w:r>
      <w:proofErr w:type="gramEnd"/>
      <w:r>
        <w:rPr>
          <w:rFonts w:ascii="Bookman Old Style" w:hAnsi="Bookman Old Style" w:cs="Arial"/>
          <w:i/>
          <w:sz w:val="20"/>
          <w:szCs w:val="20"/>
        </w:rPr>
        <w:t xml:space="preserve"> (….)</w:t>
      </w:r>
    </w:p>
    <w:p w14:paraId="7A593FCC"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4CF17024"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La incorporación de nuevas fechas para el reporte de la información de tanques estacionarios por cada empresa tiene el objetivo de reconocer los activos que efectivamente atiende el distribuidor, y que repercutirá en la determinación de la capacidad de compra. Este es la razón principal de la ampliación que es recogida en los considerandos de la misma circular.</w:t>
      </w:r>
    </w:p>
    <w:p w14:paraId="6567F8CE"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60C0EDF8"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Las oportunidades de reportes de información son trimestrales iniciando en este año desde el mes de octubre, debido a la fecha de publicación de la circular que fue en el mes de julio el día 25. Por lo anterior, no es aceptable para GAS PAC S.A.S ESP que la CREG desconozca los reportes del mes de octubre siendo estos los que consecutivamente debían realizarse y contienen la información más precisa para determinar la demanda y capacidad de almacenamiento de la empresa.</w:t>
      </w:r>
    </w:p>
    <w:p w14:paraId="64763BF4"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26E6D8F5"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Igualmente, durante todo el año la empresa estuvo impulsando ante las entidades respectivas que se modificará las fechas de los reportes de información. Esto principalmente porque se entiende que el esquema tiene coherencia si semestralmente se revisa la información de los crecimientos reflejados en los reportes de las inversiones realizadas, de lo contrario el mercado se estresa y se limita su desarrollo, lo cual se ha entendido que además de no ser un acto legal no es el objetivo de la CREG.</w:t>
      </w:r>
    </w:p>
    <w:p w14:paraId="011DF644"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757D3836"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Es por lo anterior que es necesario que la CREG actualice la información reportada con las inversiones reales y que a la fecha ya tienen las respectivas contrataciones con los usuarios para el 2018 en coherencia con lo dispuesto por la Corte Constitucional</w:t>
      </w:r>
      <w:r>
        <w:rPr>
          <w:rFonts w:ascii="Bookman Old Style" w:hAnsi="Bookman Old Style" w:cs="Arial"/>
          <w:i/>
          <w:sz w:val="20"/>
          <w:szCs w:val="20"/>
        </w:rPr>
        <w:t xml:space="preserve"> (…)</w:t>
      </w:r>
    </w:p>
    <w:p w14:paraId="5FE26195"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0AC68126"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3. Cálculo de la capacidad de compra</w:t>
      </w:r>
    </w:p>
    <w:p w14:paraId="7C55577B"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710A113A"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El artículo</w:t>
      </w:r>
      <w:r>
        <w:rPr>
          <w:rFonts w:ascii="Bookman Old Style" w:hAnsi="Bookman Old Style" w:cs="Arial"/>
          <w:i/>
          <w:sz w:val="20"/>
          <w:szCs w:val="20"/>
        </w:rPr>
        <w:t xml:space="preserve"> 9 </w:t>
      </w:r>
      <w:r w:rsidRPr="00C64244">
        <w:rPr>
          <w:rFonts w:ascii="Bookman Old Style" w:hAnsi="Bookman Old Style" w:cs="Arial"/>
          <w:i/>
          <w:sz w:val="20"/>
          <w:szCs w:val="20"/>
        </w:rPr>
        <w:t>de la Resolución CREG 063 de 2016 dispone lo siguiente:</w:t>
      </w:r>
      <w:r>
        <w:rPr>
          <w:rFonts w:ascii="Bookman Old Style" w:hAnsi="Bookman Old Style" w:cs="Arial"/>
          <w:i/>
          <w:sz w:val="20"/>
          <w:szCs w:val="20"/>
        </w:rPr>
        <w:t xml:space="preserve"> (…)</w:t>
      </w:r>
    </w:p>
    <w:p w14:paraId="2A43CE8A"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06575057"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Esta interpretación tiene total sentido frente a la obligación de reportar la información en el mes de octubre de tanques estacionarios, puesto que de lo contrario la CREG no estaría tomando la información real y actual para la determinación de dicha capacidad.</w:t>
      </w:r>
    </w:p>
    <w:p w14:paraId="5EB1C2AA"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6485E246" w14:textId="77777777" w:rsidR="00C64244" w:rsidRP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Sin embargo, para</w:t>
      </w:r>
      <w:r>
        <w:rPr>
          <w:rFonts w:ascii="Bookman Old Style" w:hAnsi="Bookman Old Style" w:cs="Arial"/>
          <w:i/>
          <w:sz w:val="20"/>
          <w:szCs w:val="20"/>
        </w:rPr>
        <w:t xml:space="preserve"> </w:t>
      </w:r>
      <w:r w:rsidRPr="00C64244">
        <w:rPr>
          <w:rFonts w:ascii="Bookman Old Style" w:hAnsi="Bookman Old Style" w:cs="Arial"/>
          <w:i/>
          <w:sz w:val="20"/>
          <w:szCs w:val="20"/>
        </w:rPr>
        <w:t>la</w:t>
      </w:r>
      <w:r>
        <w:rPr>
          <w:rFonts w:ascii="Bookman Old Style" w:hAnsi="Bookman Old Style" w:cs="Arial"/>
          <w:i/>
          <w:sz w:val="20"/>
          <w:szCs w:val="20"/>
        </w:rPr>
        <w:t xml:space="preserve"> </w:t>
      </w:r>
      <w:r w:rsidRPr="00C64244">
        <w:rPr>
          <w:rFonts w:ascii="Bookman Old Style" w:hAnsi="Bookman Old Style" w:cs="Arial"/>
          <w:i/>
          <w:sz w:val="20"/>
          <w:szCs w:val="20"/>
        </w:rPr>
        <w:t>Resolución</w:t>
      </w:r>
      <w:r>
        <w:rPr>
          <w:rFonts w:ascii="Bookman Old Style" w:hAnsi="Bookman Old Style" w:cs="Arial"/>
          <w:i/>
          <w:sz w:val="20"/>
          <w:szCs w:val="20"/>
        </w:rPr>
        <w:t xml:space="preserve"> </w:t>
      </w:r>
      <w:r w:rsidRPr="00C64244">
        <w:rPr>
          <w:rFonts w:ascii="Bookman Old Style" w:hAnsi="Bookman Old Style" w:cs="Arial"/>
          <w:i/>
          <w:sz w:val="20"/>
          <w:szCs w:val="20"/>
        </w:rPr>
        <w:t>CREG 168 de 2017 la CREG</w:t>
      </w:r>
      <w:r>
        <w:rPr>
          <w:rFonts w:ascii="Bookman Old Style" w:hAnsi="Bookman Old Style" w:cs="Arial"/>
          <w:i/>
          <w:sz w:val="20"/>
          <w:szCs w:val="20"/>
        </w:rPr>
        <w:t xml:space="preserve"> </w:t>
      </w:r>
      <w:r w:rsidRPr="00C64244">
        <w:rPr>
          <w:rFonts w:ascii="Bookman Old Style" w:hAnsi="Bookman Old Style" w:cs="Arial"/>
          <w:i/>
          <w:sz w:val="20"/>
          <w:szCs w:val="20"/>
        </w:rPr>
        <w:t>tuvo en cuenta la información hasta el 10 de septiembre del corriente, con lo que naturalmente no tiene en cuenta las inversiones que se han realizado durante cuatro meses en el año.</w:t>
      </w:r>
    </w:p>
    <w:p w14:paraId="7F46948E"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51BE18D3"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r w:rsidRPr="00C64244">
        <w:rPr>
          <w:rFonts w:ascii="Bookman Old Style" w:hAnsi="Bookman Old Style" w:cs="Arial"/>
          <w:i/>
          <w:sz w:val="20"/>
          <w:szCs w:val="20"/>
        </w:rPr>
        <w:t>Esta decisión de la CREG carece de coherencia con la mo</w:t>
      </w:r>
      <w:r>
        <w:rPr>
          <w:rFonts w:ascii="Bookman Old Style" w:hAnsi="Bookman Old Style" w:cs="Arial"/>
          <w:i/>
          <w:sz w:val="20"/>
          <w:szCs w:val="20"/>
        </w:rPr>
        <w:t>dificación de la Resolución SSPD</w:t>
      </w:r>
      <w:r w:rsidRPr="00C64244">
        <w:rPr>
          <w:rFonts w:ascii="Bookman Old Style" w:hAnsi="Bookman Old Style" w:cs="Arial"/>
          <w:i/>
          <w:sz w:val="20"/>
          <w:szCs w:val="20"/>
        </w:rPr>
        <w:t>. 20141300040755 mediante</w:t>
      </w:r>
      <w:r>
        <w:rPr>
          <w:rFonts w:ascii="Bookman Old Style" w:hAnsi="Bookman Old Style" w:cs="Arial"/>
          <w:i/>
          <w:sz w:val="20"/>
          <w:szCs w:val="20"/>
        </w:rPr>
        <w:t xml:space="preserve"> </w:t>
      </w:r>
      <w:r w:rsidRPr="00C64244">
        <w:rPr>
          <w:rFonts w:ascii="Bookman Old Style" w:hAnsi="Bookman Old Style" w:cs="Arial"/>
          <w:i/>
          <w:sz w:val="20"/>
          <w:szCs w:val="20"/>
        </w:rPr>
        <w:t>la</w:t>
      </w:r>
      <w:r>
        <w:rPr>
          <w:rFonts w:ascii="Bookman Old Style" w:hAnsi="Bookman Old Style" w:cs="Arial"/>
          <w:i/>
          <w:sz w:val="20"/>
          <w:szCs w:val="20"/>
        </w:rPr>
        <w:t xml:space="preserve"> Circular conjunta SSPD</w:t>
      </w:r>
      <w:r w:rsidRPr="00C64244">
        <w:rPr>
          <w:rFonts w:ascii="Bookman Old Style" w:hAnsi="Bookman Old Style" w:cs="Arial"/>
          <w:i/>
          <w:sz w:val="20"/>
          <w:szCs w:val="20"/>
        </w:rPr>
        <w:t xml:space="preserve"> CREG No. 01 de</w:t>
      </w:r>
      <w:r>
        <w:rPr>
          <w:rFonts w:ascii="Bookman Old Style" w:hAnsi="Bookman Old Style" w:cs="Arial"/>
          <w:i/>
          <w:sz w:val="20"/>
          <w:szCs w:val="20"/>
        </w:rPr>
        <w:t xml:space="preserve"> </w:t>
      </w:r>
      <w:r w:rsidRPr="00C64244">
        <w:rPr>
          <w:rFonts w:ascii="Bookman Old Style" w:hAnsi="Bookman Old Style" w:cs="Arial"/>
          <w:i/>
          <w:sz w:val="20"/>
          <w:szCs w:val="20"/>
        </w:rPr>
        <w:t>2017, puesto</w:t>
      </w:r>
      <w:r>
        <w:rPr>
          <w:rFonts w:ascii="Bookman Old Style" w:hAnsi="Bookman Old Style" w:cs="Arial"/>
          <w:i/>
          <w:sz w:val="20"/>
          <w:szCs w:val="20"/>
        </w:rPr>
        <w:t xml:space="preserve"> </w:t>
      </w:r>
      <w:r w:rsidRPr="00C64244">
        <w:rPr>
          <w:rFonts w:ascii="Bookman Old Style" w:hAnsi="Bookman Old Style" w:cs="Arial"/>
          <w:i/>
          <w:sz w:val="20"/>
          <w:szCs w:val="20"/>
        </w:rPr>
        <w:t>que</w:t>
      </w:r>
      <w:r>
        <w:rPr>
          <w:rFonts w:ascii="Bookman Old Style" w:hAnsi="Bookman Old Style" w:cs="Arial"/>
          <w:i/>
          <w:sz w:val="20"/>
          <w:szCs w:val="20"/>
        </w:rPr>
        <w:t xml:space="preserve"> </w:t>
      </w:r>
      <w:r w:rsidRPr="00C64244">
        <w:rPr>
          <w:rFonts w:ascii="Bookman Old Style" w:hAnsi="Bookman Old Style" w:cs="Arial"/>
          <w:i/>
          <w:sz w:val="20"/>
          <w:szCs w:val="20"/>
        </w:rPr>
        <w:t>esta modificación aprobó la</w:t>
      </w:r>
      <w:r>
        <w:rPr>
          <w:rFonts w:ascii="Bookman Old Style" w:hAnsi="Bookman Old Style" w:cs="Arial"/>
          <w:i/>
          <w:sz w:val="20"/>
          <w:szCs w:val="20"/>
        </w:rPr>
        <w:t xml:space="preserve"> </w:t>
      </w:r>
      <w:r w:rsidRPr="00C64244">
        <w:rPr>
          <w:rFonts w:ascii="Bookman Old Style" w:hAnsi="Bookman Old Style" w:cs="Arial"/>
          <w:i/>
          <w:sz w:val="20"/>
          <w:szCs w:val="20"/>
        </w:rPr>
        <w:t>actualización de la información para el mes de octubre. Con ello la CREG tiene el deber legal de aplicar la mejor información disponible para la definición de</w:t>
      </w:r>
      <w:r>
        <w:rPr>
          <w:rFonts w:ascii="Bookman Old Style" w:hAnsi="Bookman Old Style" w:cs="Arial"/>
          <w:i/>
          <w:sz w:val="20"/>
          <w:szCs w:val="20"/>
        </w:rPr>
        <w:t xml:space="preserve"> </w:t>
      </w:r>
      <w:r w:rsidRPr="00C64244">
        <w:rPr>
          <w:rFonts w:ascii="Bookman Old Style" w:hAnsi="Bookman Old Style" w:cs="Arial"/>
          <w:i/>
          <w:sz w:val="20"/>
          <w:szCs w:val="20"/>
        </w:rPr>
        <w:t>la</w:t>
      </w:r>
      <w:r>
        <w:rPr>
          <w:rFonts w:ascii="Bookman Old Style" w:hAnsi="Bookman Old Style" w:cs="Arial"/>
          <w:i/>
          <w:sz w:val="20"/>
          <w:szCs w:val="20"/>
        </w:rPr>
        <w:t xml:space="preserve"> </w:t>
      </w:r>
      <w:r w:rsidRPr="00C64244">
        <w:rPr>
          <w:rFonts w:ascii="Bookman Old Style" w:hAnsi="Bookman Old Style" w:cs="Arial"/>
          <w:i/>
          <w:sz w:val="20"/>
          <w:szCs w:val="20"/>
        </w:rPr>
        <w:t>capacidad de compra, lo cual representa</w:t>
      </w:r>
      <w:r>
        <w:rPr>
          <w:rFonts w:ascii="Bookman Old Style" w:hAnsi="Bookman Old Style" w:cs="Arial"/>
          <w:i/>
          <w:sz w:val="20"/>
          <w:szCs w:val="20"/>
        </w:rPr>
        <w:t xml:space="preserve"> </w:t>
      </w:r>
      <w:r w:rsidRPr="00C64244">
        <w:rPr>
          <w:rFonts w:ascii="Bookman Old Style" w:hAnsi="Bookman Old Style" w:cs="Arial"/>
          <w:i/>
          <w:sz w:val="20"/>
          <w:szCs w:val="20"/>
        </w:rPr>
        <w:t>al final las cantidades que se</w:t>
      </w:r>
      <w:r>
        <w:rPr>
          <w:rFonts w:ascii="Bookman Old Style" w:hAnsi="Bookman Old Style" w:cs="Arial"/>
          <w:i/>
          <w:sz w:val="20"/>
          <w:szCs w:val="20"/>
        </w:rPr>
        <w:t xml:space="preserve"> </w:t>
      </w:r>
      <w:r w:rsidRPr="00C64244">
        <w:rPr>
          <w:rFonts w:ascii="Bookman Old Style" w:hAnsi="Bookman Old Style" w:cs="Arial"/>
          <w:i/>
          <w:sz w:val="20"/>
          <w:szCs w:val="20"/>
        </w:rPr>
        <w:t>pueden adquirir en el mercado</w:t>
      </w:r>
      <w:r>
        <w:rPr>
          <w:rFonts w:ascii="Bookman Old Style" w:hAnsi="Bookman Old Style" w:cs="Arial"/>
          <w:i/>
          <w:sz w:val="20"/>
          <w:szCs w:val="20"/>
        </w:rPr>
        <w:t xml:space="preserve"> </w:t>
      </w:r>
      <w:r w:rsidRPr="00C64244">
        <w:rPr>
          <w:rFonts w:ascii="Bookman Old Style" w:hAnsi="Bookman Old Style" w:cs="Arial"/>
          <w:i/>
          <w:sz w:val="20"/>
          <w:szCs w:val="20"/>
        </w:rPr>
        <w:t>y</w:t>
      </w:r>
      <w:r>
        <w:rPr>
          <w:rFonts w:ascii="Bookman Old Style" w:hAnsi="Bookman Old Style" w:cs="Arial"/>
          <w:i/>
          <w:sz w:val="20"/>
          <w:szCs w:val="20"/>
        </w:rPr>
        <w:t xml:space="preserve"> </w:t>
      </w:r>
      <w:r w:rsidRPr="00C64244">
        <w:rPr>
          <w:rFonts w:ascii="Bookman Old Style" w:hAnsi="Bookman Old Style" w:cs="Arial"/>
          <w:i/>
          <w:sz w:val="20"/>
          <w:szCs w:val="20"/>
        </w:rPr>
        <w:t>con ello consolidar el crecimiento constante de las empresas.</w:t>
      </w:r>
    </w:p>
    <w:p w14:paraId="04CB3FA1"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0454C953"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4. Efectos de no tener en cuenta la información real de GAS PAC</w:t>
      </w:r>
    </w:p>
    <w:p w14:paraId="43BC33B8" w14:textId="77777777" w:rsidR="00C64244" w:rsidRDefault="00C64244" w:rsidP="00C64244">
      <w:pPr>
        <w:pStyle w:val="Textoindependiente2"/>
        <w:spacing w:after="0" w:line="240" w:lineRule="auto"/>
        <w:ind w:left="284" w:right="284"/>
        <w:jc w:val="both"/>
        <w:rPr>
          <w:rFonts w:ascii="Bookman Old Style" w:hAnsi="Bookman Old Style" w:cs="Arial"/>
          <w:i/>
          <w:sz w:val="20"/>
          <w:szCs w:val="20"/>
        </w:rPr>
      </w:pPr>
    </w:p>
    <w:p w14:paraId="2618E706" w14:textId="77777777" w:rsidR="008921D8" w:rsidRDefault="00C64244" w:rsidP="008921D8">
      <w:pPr>
        <w:pStyle w:val="Textoindependiente2"/>
        <w:numPr>
          <w:ilvl w:val="1"/>
          <w:numId w:val="39"/>
        </w:numPr>
        <w:spacing w:after="0" w:line="240" w:lineRule="auto"/>
        <w:ind w:right="284"/>
        <w:jc w:val="both"/>
        <w:rPr>
          <w:rFonts w:ascii="Bookman Old Style" w:hAnsi="Bookman Old Style" w:cs="Arial"/>
          <w:i/>
          <w:sz w:val="20"/>
          <w:szCs w:val="20"/>
        </w:rPr>
      </w:pPr>
      <w:r>
        <w:rPr>
          <w:rFonts w:ascii="Bookman Old Style" w:hAnsi="Bookman Old Style" w:cs="Arial"/>
          <w:i/>
          <w:sz w:val="20"/>
          <w:szCs w:val="20"/>
        </w:rPr>
        <w:t>Falta de coherencia en la medida regulatoria.</w:t>
      </w:r>
    </w:p>
    <w:p w14:paraId="2463881B"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19692CC2" w14:textId="77777777" w:rsidR="008921D8" w:rsidRP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No tomar la información de</w:t>
      </w:r>
      <w:r>
        <w:rPr>
          <w:rFonts w:ascii="Bookman Old Style" w:hAnsi="Bookman Old Style" w:cs="Arial"/>
          <w:i/>
          <w:sz w:val="20"/>
          <w:szCs w:val="20"/>
        </w:rPr>
        <w:t xml:space="preserve"> </w:t>
      </w:r>
      <w:r w:rsidRPr="008921D8">
        <w:rPr>
          <w:rFonts w:ascii="Bookman Old Style" w:hAnsi="Bookman Old Style" w:cs="Arial"/>
          <w:i/>
          <w:sz w:val="20"/>
          <w:szCs w:val="20"/>
        </w:rPr>
        <w:t>inversiones</w:t>
      </w:r>
      <w:r>
        <w:rPr>
          <w:rFonts w:ascii="Bookman Old Style" w:hAnsi="Bookman Old Style" w:cs="Arial"/>
          <w:i/>
          <w:sz w:val="20"/>
          <w:szCs w:val="20"/>
        </w:rPr>
        <w:t xml:space="preserve"> </w:t>
      </w:r>
      <w:r w:rsidRPr="008921D8">
        <w:rPr>
          <w:rFonts w:ascii="Bookman Old Style" w:hAnsi="Bookman Old Style" w:cs="Arial"/>
          <w:i/>
          <w:sz w:val="20"/>
          <w:szCs w:val="20"/>
        </w:rPr>
        <w:t>o</w:t>
      </w:r>
      <w:r>
        <w:rPr>
          <w:rFonts w:ascii="Bookman Old Style" w:hAnsi="Bookman Old Style" w:cs="Arial"/>
          <w:i/>
          <w:sz w:val="20"/>
          <w:szCs w:val="20"/>
        </w:rPr>
        <w:t xml:space="preserve"> </w:t>
      </w:r>
      <w:r w:rsidRPr="008921D8">
        <w:rPr>
          <w:rFonts w:ascii="Bookman Old Style" w:hAnsi="Bookman Old Style" w:cs="Arial"/>
          <w:i/>
          <w:sz w:val="20"/>
          <w:szCs w:val="20"/>
        </w:rPr>
        <w:t>de activos reportada que al mes de octubre de 2017 lo consideramos como violatorio de la misma medida regulatoria</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de la eficiencia tarifaria.</w:t>
      </w:r>
    </w:p>
    <w:p w14:paraId="72E6C3BF"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19F07C36"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La</w:t>
      </w:r>
      <w:r>
        <w:rPr>
          <w:rFonts w:ascii="Bookman Old Style" w:hAnsi="Bookman Old Style" w:cs="Arial"/>
          <w:i/>
          <w:sz w:val="20"/>
          <w:szCs w:val="20"/>
        </w:rPr>
        <w:t xml:space="preserve"> </w:t>
      </w:r>
      <w:r w:rsidRPr="008921D8">
        <w:rPr>
          <w:rFonts w:ascii="Bookman Old Style" w:hAnsi="Bookman Old Style" w:cs="Arial"/>
          <w:i/>
          <w:sz w:val="20"/>
          <w:szCs w:val="20"/>
        </w:rPr>
        <w:t xml:space="preserve">medida </w:t>
      </w:r>
      <w:proofErr w:type="spellStart"/>
      <w:r w:rsidRPr="008921D8">
        <w:rPr>
          <w:rFonts w:ascii="Bookman Old Style" w:hAnsi="Bookman Old Style" w:cs="Arial"/>
          <w:i/>
          <w:sz w:val="20"/>
          <w:szCs w:val="20"/>
        </w:rPr>
        <w:t>requlatoria</w:t>
      </w:r>
      <w:proofErr w:type="spellEnd"/>
      <w:r w:rsidRPr="008921D8">
        <w:rPr>
          <w:rFonts w:ascii="Bookman Old Style" w:hAnsi="Bookman Old Style" w:cs="Arial"/>
          <w:i/>
          <w:sz w:val="20"/>
          <w:szCs w:val="20"/>
        </w:rPr>
        <w:t xml:space="preserve"> de</w:t>
      </w:r>
      <w:r>
        <w:rPr>
          <w:rFonts w:ascii="Bookman Old Style" w:hAnsi="Bookman Old Style" w:cs="Arial"/>
          <w:i/>
          <w:sz w:val="20"/>
          <w:szCs w:val="20"/>
        </w:rPr>
        <w:t xml:space="preserve"> </w:t>
      </w:r>
      <w:r w:rsidRPr="008921D8">
        <w:rPr>
          <w:rFonts w:ascii="Bookman Old Style" w:hAnsi="Bookman Old Style" w:cs="Arial"/>
          <w:i/>
          <w:sz w:val="20"/>
          <w:szCs w:val="20"/>
        </w:rPr>
        <w:t>la</w:t>
      </w:r>
      <w:r>
        <w:rPr>
          <w:rFonts w:ascii="Bookman Old Style" w:hAnsi="Bookman Old Style" w:cs="Arial"/>
          <w:i/>
          <w:sz w:val="20"/>
          <w:szCs w:val="20"/>
        </w:rPr>
        <w:t xml:space="preserve"> </w:t>
      </w:r>
      <w:r w:rsidRPr="008921D8">
        <w:rPr>
          <w:rFonts w:ascii="Bookman Old Style" w:hAnsi="Bookman Old Style" w:cs="Arial"/>
          <w:i/>
          <w:sz w:val="20"/>
          <w:szCs w:val="20"/>
        </w:rPr>
        <w:t>capacidad de comprase fundamenta en asignar las cantidades según los activos disponibles para ello, con</w:t>
      </w:r>
      <w:r>
        <w:rPr>
          <w:rFonts w:ascii="Bookman Old Style" w:hAnsi="Bookman Old Style" w:cs="Arial"/>
          <w:i/>
          <w:sz w:val="20"/>
          <w:szCs w:val="20"/>
        </w:rPr>
        <w:t xml:space="preserve"> </w:t>
      </w:r>
      <w:r w:rsidRPr="008921D8">
        <w:rPr>
          <w:rFonts w:ascii="Bookman Old Style" w:hAnsi="Bookman Old Style" w:cs="Arial"/>
          <w:i/>
          <w:sz w:val="20"/>
          <w:szCs w:val="20"/>
        </w:rPr>
        <w:t>el fin de evitar el desvío de cantidades</w:t>
      </w:r>
      <w:r>
        <w:rPr>
          <w:rFonts w:ascii="Bookman Old Style" w:hAnsi="Bookman Old Style" w:cs="Arial"/>
          <w:i/>
          <w:sz w:val="20"/>
          <w:szCs w:val="20"/>
        </w:rPr>
        <w:t xml:space="preserve"> </w:t>
      </w:r>
      <w:r w:rsidRPr="008921D8">
        <w:rPr>
          <w:rFonts w:ascii="Bookman Old Style" w:hAnsi="Bookman Old Style" w:cs="Arial"/>
          <w:i/>
          <w:sz w:val="20"/>
          <w:szCs w:val="20"/>
        </w:rPr>
        <w:t>a</w:t>
      </w:r>
      <w:r>
        <w:rPr>
          <w:rFonts w:ascii="Bookman Old Style" w:hAnsi="Bookman Old Style" w:cs="Arial"/>
          <w:i/>
          <w:sz w:val="20"/>
          <w:szCs w:val="20"/>
        </w:rPr>
        <w:t xml:space="preserve"> </w:t>
      </w:r>
      <w:r w:rsidRPr="008921D8">
        <w:rPr>
          <w:rFonts w:ascii="Bookman Old Style" w:hAnsi="Bookman Old Style" w:cs="Arial"/>
          <w:i/>
          <w:sz w:val="20"/>
          <w:szCs w:val="20"/>
        </w:rPr>
        <w:t>otros mercados no formalizados,</w:t>
      </w:r>
      <w:r>
        <w:rPr>
          <w:rFonts w:ascii="Bookman Old Style" w:hAnsi="Bookman Old Style" w:cs="Arial"/>
          <w:i/>
          <w:sz w:val="20"/>
          <w:szCs w:val="20"/>
        </w:rPr>
        <w:t xml:space="preserve"> </w:t>
      </w:r>
      <w:r w:rsidRPr="008921D8">
        <w:rPr>
          <w:rFonts w:ascii="Bookman Old Style" w:hAnsi="Bookman Old Style" w:cs="Arial"/>
          <w:i/>
          <w:sz w:val="20"/>
          <w:szCs w:val="20"/>
        </w:rPr>
        <w:t>creando una medida discri</w:t>
      </w:r>
      <w:r>
        <w:rPr>
          <w:rFonts w:ascii="Bookman Old Style" w:hAnsi="Bookman Old Style" w:cs="Arial"/>
          <w:i/>
          <w:sz w:val="20"/>
          <w:szCs w:val="20"/>
        </w:rPr>
        <w:t>minatoria entre las empresas. P</w:t>
      </w:r>
      <w:r w:rsidRPr="008921D8">
        <w:rPr>
          <w:rFonts w:ascii="Bookman Old Style" w:hAnsi="Bookman Old Style" w:cs="Arial"/>
          <w:i/>
          <w:sz w:val="20"/>
          <w:szCs w:val="20"/>
        </w:rPr>
        <w:t>ero dicha medida tiene como base los activos reales</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disponi</w:t>
      </w:r>
      <w:r>
        <w:rPr>
          <w:rFonts w:ascii="Bookman Old Style" w:hAnsi="Bookman Old Style" w:cs="Arial"/>
          <w:i/>
          <w:sz w:val="20"/>
          <w:szCs w:val="20"/>
        </w:rPr>
        <w:t>bles que se depuran por la SSPD</w:t>
      </w:r>
      <w:r w:rsidRPr="008921D8">
        <w:rPr>
          <w:rFonts w:ascii="Bookman Old Style" w:hAnsi="Bookman Old Style" w:cs="Arial"/>
          <w:i/>
          <w:sz w:val="20"/>
          <w:szCs w:val="20"/>
        </w:rPr>
        <w:t xml:space="preserve"> pero que reconoce las inversiones periódicas de las empresas.</w:t>
      </w:r>
    </w:p>
    <w:p w14:paraId="39D9E6FA" w14:textId="77777777" w:rsidR="008921D8" w:rsidRP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777EE9F8"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Es decir, encontramos que no tomar la información del mes de octubre del corriente contraviene las mismas consideraciones del esquema de capacidad de compra</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 xml:space="preserve">definiciones jurisprudenciales </w:t>
      </w:r>
      <w:r>
        <w:rPr>
          <w:rFonts w:ascii="Bookman Old Style" w:hAnsi="Bookman Old Style" w:cs="Arial"/>
          <w:i/>
          <w:sz w:val="20"/>
          <w:szCs w:val="20"/>
        </w:rPr>
        <w:t>(…)</w:t>
      </w:r>
    </w:p>
    <w:p w14:paraId="5AE2D789"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4B739A21"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 xml:space="preserve">Para </w:t>
      </w:r>
      <w:r w:rsidRPr="008921D8">
        <w:rPr>
          <w:rFonts w:ascii="Bookman Old Style" w:hAnsi="Bookman Old Style" w:cs="Arial"/>
          <w:i/>
          <w:sz w:val="20"/>
          <w:szCs w:val="20"/>
        </w:rPr>
        <w:t>la eficiente y adecuada prestación del servicio se requiere de las constantes inversiones que</w:t>
      </w:r>
      <w:r>
        <w:rPr>
          <w:rFonts w:ascii="Bookman Old Style" w:hAnsi="Bookman Old Style" w:cs="Arial"/>
          <w:i/>
          <w:sz w:val="20"/>
          <w:szCs w:val="20"/>
        </w:rPr>
        <w:t xml:space="preserve"> </w:t>
      </w:r>
      <w:r w:rsidRPr="008921D8">
        <w:rPr>
          <w:rFonts w:ascii="Bookman Old Style" w:hAnsi="Bookman Old Style" w:cs="Arial"/>
          <w:i/>
          <w:sz w:val="20"/>
          <w:szCs w:val="20"/>
        </w:rPr>
        <w:t>por su puesto debe realizar el distribuidor, las cuales deben ser garantizadas para la</w:t>
      </w:r>
      <w:r>
        <w:rPr>
          <w:rFonts w:ascii="Bookman Old Style" w:hAnsi="Bookman Old Style" w:cs="Arial"/>
          <w:i/>
          <w:sz w:val="20"/>
          <w:szCs w:val="20"/>
        </w:rPr>
        <w:t xml:space="preserve"> </w:t>
      </w:r>
      <w:r w:rsidRPr="008921D8">
        <w:rPr>
          <w:rFonts w:ascii="Bookman Old Style" w:hAnsi="Bookman Old Style" w:cs="Arial"/>
          <w:i/>
          <w:sz w:val="20"/>
          <w:szCs w:val="20"/>
        </w:rPr>
        <w:t>prestación del servicio por parte del regulador. En esa misma línea de continuidad</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eficiencia</w:t>
      </w:r>
      <w:r>
        <w:rPr>
          <w:rFonts w:ascii="Bookman Old Style" w:hAnsi="Bookman Old Style" w:cs="Arial"/>
          <w:i/>
          <w:sz w:val="20"/>
          <w:szCs w:val="20"/>
        </w:rPr>
        <w:t xml:space="preserve"> la C</w:t>
      </w:r>
      <w:r w:rsidRPr="008921D8">
        <w:rPr>
          <w:rFonts w:ascii="Bookman Old Style" w:hAnsi="Bookman Old Style" w:cs="Arial"/>
          <w:i/>
          <w:sz w:val="20"/>
          <w:szCs w:val="20"/>
        </w:rPr>
        <w:t xml:space="preserve">REG </w:t>
      </w:r>
      <w:r>
        <w:rPr>
          <w:rFonts w:ascii="Bookman Old Style" w:hAnsi="Bookman Old Style" w:cs="Arial"/>
          <w:i/>
          <w:sz w:val="20"/>
          <w:szCs w:val="20"/>
        </w:rPr>
        <w:t xml:space="preserve">toma </w:t>
      </w:r>
      <w:r w:rsidRPr="008921D8">
        <w:rPr>
          <w:rFonts w:ascii="Bookman Old Style" w:hAnsi="Bookman Old Style" w:cs="Arial"/>
          <w:i/>
          <w:sz w:val="20"/>
          <w:szCs w:val="20"/>
        </w:rPr>
        <w:t>la información que se actualiza en las fe</w:t>
      </w:r>
      <w:r>
        <w:rPr>
          <w:rFonts w:ascii="Bookman Old Style" w:hAnsi="Bookman Old Style" w:cs="Arial"/>
          <w:i/>
          <w:sz w:val="20"/>
          <w:szCs w:val="20"/>
        </w:rPr>
        <w:t>chas dispuestas por la SSPD y así</w:t>
      </w:r>
      <w:r w:rsidRPr="008921D8">
        <w:rPr>
          <w:rFonts w:ascii="Bookman Old Style" w:hAnsi="Bookman Old Style" w:cs="Arial"/>
          <w:i/>
          <w:sz w:val="20"/>
          <w:szCs w:val="20"/>
        </w:rPr>
        <w:t xml:space="preserve"> hace coherente su medida con la atención del servicio y el cubrimiento del mercado en las cantidades qu</w:t>
      </w:r>
      <w:r>
        <w:rPr>
          <w:rFonts w:ascii="Bookman Old Style" w:hAnsi="Bookman Old Style" w:cs="Arial"/>
          <w:i/>
          <w:sz w:val="20"/>
          <w:szCs w:val="20"/>
        </w:rPr>
        <w:t xml:space="preserve">e realmente tiene GAS PAC </w:t>
      </w:r>
      <w:r w:rsidRPr="008921D8">
        <w:rPr>
          <w:rFonts w:ascii="Bookman Old Style" w:hAnsi="Bookman Old Style" w:cs="Arial"/>
          <w:i/>
          <w:sz w:val="20"/>
          <w:szCs w:val="20"/>
        </w:rPr>
        <w:t>comprometidas con sus clientes. Es así que actualmente se tienen contratos para</w:t>
      </w:r>
      <w:r>
        <w:rPr>
          <w:rFonts w:ascii="Bookman Old Style" w:hAnsi="Bookman Old Style" w:cs="Arial"/>
          <w:i/>
          <w:sz w:val="20"/>
          <w:szCs w:val="20"/>
        </w:rPr>
        <w:t xml:space="preserve"> </w:t>
      </w:r>
      <w:r w:rsidRPr="008921D8">
        <w:rPr>
          <w:rFonts w:ascii="Bookman Old Style" w:hAnsi="Bookman Old Style" w:cs="Arial"/>
          <w:i/>
          <w:sz w:val="20"/>
          <w:szCs w:val="20"/>
        </w:rPr>
        <w:t>el</w:t>
      </w:r>
      <w:r>
        <w:rPr>
          <w:rFonts w:ascii="Bookman Old Style" w:hAnsi="Bookman Old Style" w:cs="Arial"/>
          <w:i/>
          <w:sz w:val="20"/>
          <w:szCs w:val="20"/>
        </w:rPr>
        <w:t xml:space="preserve"> </w:t>
      </w:r>
      <w:r w:rsidRPr="008921D8">
        <w:rPr>
          <w:rFonts w:ascii="Bookman Old Style" w:hAnsi="Bookman Old Style" w:cs="Arial"/>
          <w:i/>
          <w:sz w:val="20"/>
          <w:szCs w:val="20"/>
        </w:rPr>
        <w:t>2018</w:t>
      </w:r>
      <w:r>
        <w:rPr>
          <w:rFonts w:ascii="Bookman Old Style" w:hAnsi="Bookman Old Style" w:cs="Arial"/>
          <w:i/>
          <w:sz w:val="20"/>
          <w:szCs w:val="20"/>
        </w:rPr>
        <w:t xml:space="preserve"> </w:t>
      </w:r>
      <w:r w:rsidRPr="008921D8">
        <w:rPr>
          <w:rFonts w:ascii="Bookman Old Style" w:hAnsi="Bookman Old Style" w:cs="Arial"/>
          <w:i/>
          <w:sz w:val="20"/>
          <w:szCs w:val="20"/>
        </w:rPr>
        <w:t>con</w:t>
      </w:r>
      <w:r>
        <w:rPr>
          <w:rFonts w:ascii="Bookman Old Style" w:hAnsi="Bookman Old Style" w:cs="Arial"/>
          <w:i/>
          <w:sz w:val="20"/>
          <w:szCs w:val="20"/>
        </w:rPr>
        <w:t xml:space="preserve"> </w:t>
      </w:r>
      <w:r w:rsidRPr="008921D8">
        <w:rPr>
          <w:rFonts w:ascii="Bookman Old Style" w:hAnsi="Bookman Old Style" w:cs="Arial"/>
          <w:i/>
          <w:sz w:val="20"/>
          <w:szCs w:val="20"/>
        </w:rPr>
        <w:t>un</w:t>
      </w:r>
      <w:r>
        <w:rPr>
          <w:rFonts w:ascii="Bookman Old Style" w:hAnsi="Bookman Old Style" w:cs="Arial"/>
          <w:i/>
          <w:sz w:val="20"/>
          <w:szCs w:val="20"/>
        </w:rPr>
        <w:t xml:space="preserve"> </w:t>
      </w:r>
      <w:r w:rsidRPr="008921D8">
        <w:rPr>
          <w:rFonts w:ascii="Bookman Old Style" w:hAnsi="Bookman Old Style" w:cs="Arial"/>
          <w:i/>
          <w:sz w:val="20"/>
          <w:szCs w:val="20"/>
        </w:rPr>
        <w:t>total</w:t>
      </w:r>
      <w:r>
        <w:rPr>
          <w:rFonts w:ascii="Bookman Old Style" w:hAnsi="Bookman Old Style" w:cs="Arial"/>
          <w:i/>
          <w:sz w:val="20"/>
          <w:szCs w:val="20"/>
        </w:rPr>
        <w:t xml:space="preserve"> </w:t>
      </w:r>
      <w:r w:rsidRPr="008921D8">
        <w:rPr>
          <w:rFonts w:ascii="Bookman Old Style" w:hAnsi="Bookman Old Style" w:cs="Arial"/>
          <w:i/>
          <w:sz w:val="20"/>
          <w:szCs w:val="20"/>
        </w:rPr>
        <w:t>de</w:t>
      </w:r>
      <w:r>
        <w:rPr>
          <w:rFonts w:ascii="Bookman Old Style" w:hAnsi="Bookman Old Style" w:cs="Arial"/>
          <w:i/>
          <w:sz w:val="20"/>
          <w:szCs w:val="20"/>
        </w:rPr>
        <w:t xml:space="preserve"> </w:t>
      </w:r>
      <w:r w:rsidRPr="008921D8">
        <w:rPr>
          <w:rFonts w:ascii="Bookman Old Style" w:hAnsi="Bookman Old Style" w:cs="Arial"/>
          <w:i/>
          <w:sz w:val="20"/>
          <w:szCs w:val="20"/>
        </w:rPr>
        <w:t>544</w:t>
      </w:r>
      <w:r>
        <w:rPr>
          <w:rFonts w:ascii="Bookman Old Style" w:hAnsi="Bookman Old Style" w:cs="Arial"/>
          <w:i/>
          <w:sz w:val="20"/>
          <w:szCs w:val="20"/>
        </w:rPr>
        <w:t xml:space="preserve"> </w:t>
      </w:r>
      <w:r w:rsidRPr="008921D8">
        <w:rPr>
          <w:rFonts w:ascii="Bookman Old Style" w:hAnsi="Bookman Old Style" w:cs="Arial"/>
          <w:i/>
          <w:sz w:val="20"/>
          <w:szCs w:val="20"/>
        </w:rPr>
        <w:t>tanques</w:t>
      </w:r>
      <w:r>
        <w:rPr>
          <w:rFonts w:ascii="Bookman Old Style" w:hAnsi="Bookman Old Style" w:cs="Arial"/>
          <w:i/>
          <w:sz w:val="20"/>
          <w:szCs w:val="20"/>
        </w:rPr>
        <w:t xml:space="preserve"> </w:t>
      </w:r>
      <w:r w:rsidRPr="008921D8">
        <w:rPr>
          <w:rFonts w:ascii="Bookman Old Style" w:hAnsi="Bookman Old Style" w:cs="Arial"/>
          <w:i/>
          <w:sz w:val="20"/>
          <w:szCs w:val="20"/>
        </w:rPr>
        <w:t>estacionarios</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si esta cantidad de tanques no se contemplan en el cálculo</w:t>
      </w:r>
      <w:r>
        <w:rPr>
          <w:rFonts w:ascii="Bookman Old Style" w:hAnsi="Bookman Old Style" w:cs="Arial"/>
          <w:i/>
          <w:sz w:val="20"/>
          <w:szCs w:val="20"/>
        </w:rPr>
        <w:t xml:space="preserve"> </w:t>
      </w:r>
      <w:r w:rsidRPr="008921D8">
        <w:rPr>
          <w:rFonts w:ascii="Bookman Old Style" w:hAnsi="Bookman Old Style" w:cs="Arial"/>
          <w:i/>
          <w:sz w:val="20"/>
          <w:szCs w:val="20"/>
        </w:rPr>
        <w:t>no</w:t>
      </w:r>
      <w:r>
        <w:rPr>
          <w:rFonts w:ascii="Bookman Old Style" w:hAnsi="Bookman Old Style" w:cs="Arial"/>
          <w:i/>
          <w:sz w:val="20"/>
          <w:szCs w:val="20"/>
        </w:rPr>
        <w:t xml:space="preserve"> </w:t>
      </w:r>
      <w:r w:rsidRPr="008921D8">
        <w:rPr>
          <w:rFonts w:ascii="Bookman Old Style" w:hAnsi="Bookman Old Style" w:cs="Arial"/>
          <w:i/>
          <w:sz w:val="20"/>
          <w:szCs w:val="20"/>
        </w:rPr>
        <w:t>podrán ser atendidos por la empresa afectando así: </w:t>
      </w:r>
    </w:p>
    <w:p w14:paraId="2CECCB64"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13438848" w14:textId="77777777" w:rsidR="008921D8" w:rsidRP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1.</w:t>
      </w:r>
      <w:r w:rsidRPr="008921D8">
        <w:rPr>
          <w:rFonts w:ascii="Bookman Old Style" w:hAnsi="Bookman Old Style" w:cs="Arial"/>
          <w:i/>
          <w:sz w:val="20"/>
          <w:szCs w:val="20"/>
        </w:rPr>
        <w:tab/>
        <w:t xml:space="preserve"> La continuidad en la prestación del servicio esencial.</w:t>
      </w:r>
    </w:p>
    <w:p w14:paraId="20CFFA8A" w14:textId="77777777" w:rsidR="008921D8" w:rsidRP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2.</w:t>
      </w:r>
      <w:r w:rsidRPr="008921D8">
        <w:rPr>
          <w:rFonts w:ascii="Bookman Old Style" w:hAnsi="Bookman Old Style" w:cs="Arial"/>
          <w:i/>
          <w:sz w:val="20"/>
          <w:szCs w:val="20"/>
        </w:rPr>
        <w:tab/>
        <w:t xml:space="preserve"> La eficiencia en inversión en la compra de nuevos activos.</w:t>
      </w:r>
    </w:p>
    <w:p w14:paraId="65CB4571" w14:textId="77777777" w:rsidR="008921D8" w:rsidRP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3.</w:t>
      </w:r>
      <w:r w:rsidRPr="008921D8">
        <w:rPr>
          <w:rFonts w:ascii="Bookman Old Style" w:hAnsi="Bookman Old Style" w:cs="Arial"/>
          <w:i/>
          <w:sz w:val="20"/>
          <w:szCs w:val="20"/>
        </w:rPr>
        <w:tab/>
        <w:t xml:space="preserve"> La eficiencia del plan comercial para fidelizar clientes.</w:t>
      </w:r>
    </w:p>
    <w:p w14:paraId="4233DA90"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5A54B056"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Al final, si</w:t>
      </w:r>
      <w:r>
        <w:rPr>
          <w:rFonts w:ascii="Bookman Old Style" w:hAnsi="Bookman Old Style" w:cs="Arial"/>
          <w:i/>
          <w:sz w:val="20"/>
          <w:szCs w:val="20"/>
        </w:rPr>
        <w:t xml:space="preserve"> </w:t>
      </w:r>
      <w:r w:rsidRPr="008921D8">
        <w:rPr>
          <w:rFonts w:ascii="Bookman Old Style" w:hAnsi="Bookman Old Style" w:cs="Arial"/>
          <w:i/>
          <w:sz w:val="20"/>
          <w:szCs w:val="20"/>
        </w:rPr>
        <w:t>la</w:t>
      </w:r>
      <w:r>
        <w:rPr>
          <w:rFonts w:ascii="Bookman Old Style" w:hAnsi="Bookman Old Style" w:cs="Arial"/>
          <w:i/>
          <w:sz w:val="20"/>
          <w:szCs w:val="20"/>
        </w:rPr>
        <w:t xml:space="preserve"> CREG </w:t>
      </w:r>
      <w:r w:rsidRPr="008921D8">
        <w:rPr>
          <w:rFonts w:ascii="Bookman Old Style" w:hAnsi="Bookman Old Style" w:cs="Arial"/>
          <w:i/>
          <w:sz w:val="20"/>
          <w:szCs w:val="20"/>
        </w:rPr>
        <w:t>no ajusta su información afectará de manera directa</w:t>
      </w:r>
      <w:r>
        <w:rPr>
          <w:rFonts w:ascii="Bookman Old Style" w:hAnsi="Bookman Old Style" w:cs="Arial"/>
          <w:i/>
          <w:sz w:val="20"/>
          <w:szCs w:val="20"/>
        </w:rPr>
        <w:t xml:space="preserve"> </w:t>
      </w:r>
      <w:r w:rsidRPr="008921D8">
        <w:rPr>
          <w:rFonts w:ascii="Bookman Old Style" w:hAnsi="Bookman Old Style" w:cs="Arial"/>
          <w:i/>
          <w:sz w:val="20"/>
          <w:szCs w:val="20"/>
        </w:rPr>
        <w:t>la prestación del servicio</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nos llevará al</w:t>
      </w:r>
      <w:r>
        <w:rPr>
          <w:rFonts w:ascii="Bookman Old Style" w:hAnsi="Bookman Old Style" w:cs="Arial"/>
          <w:i/>
          <w:sz w:val="20"/>
          <w:szCs w:val="20"/>
        </w:rPr>
        <w:t xml:space="preserve"> </w:t>
      </w:r>
      <w:r w:rsidRPr="008921D8">
        <w:rPr>
          <w:rFonts w:ascii="Bookman Old Style" w:hAnsi="Bookman Old Style" w:cs="Arial"/>
          <w:i/>
          <w:sz w:val="20"/>
          <w:szCs w:val="20"/>
        </w:rPr>
        <w:t>incumplimiento de los compromisos que se han adquirido de manera anticipada. Yale la pena mencionar que la GREG ha sido reiterativa en que la medida de la capacidad de compra tiene inmersa la necesidad de</w:t>
      </w:r>
      <w:r>
        <w:rPr>
          <w:rFonts w:ascii="Bookman Old Style" w:hAnsi="Bookman Old Style" w:cs="Arial"/>
          <w:i/>
          <w:sz w:val="20"/>
          <w:szCs w:val="20"/>
        </w:rPr>
        <w:t xml:space="preserve"> </w:t>
      </w:r>
      <w:r w:rsidRPr="008921D8">
        <w:rPr>
          <w:rFonts w:ascii="Bookman Old Style" w:hAnsi="Bookman Old Style" w:cs="Arial"/>
          <w:i/>
          <w:sz w:val="20"/>
          <w:szCs w:val="20"/>
        </w:rPr>
        <w:t>las</w:t>
      </w:r>
      <w:r>
        <w:rPr>
          <w:rFonts w:ascii="Bookman Old Style" w:hAnsi="Bookman Old Style" w:cs="Arial"/>
          <w:i/>
          <w:sz w:val="20"/>
          <w:szCs w:val="20"/>
        </w:rPr>
        <w:t xml:space="preserve"> </w:t>
      </w:r>
      <w:r w:rsidRPr="008921D8">
        <w:rPr>
          <w:rFonts w:ascii="Bookman Old Style" w:hAnsi="Bookman Old Style" w:cs="Arial"/>
          <w:i/>
          <w:sz w:val="20"/>
          <w:szCs w:val="20"/>
        </w:rPr>
        <w:t>empresas</w:t>
      </w:r>
      <w:r>
        <w:rPr>
          <w:rFonts w:ascii="Bookman Old Style" w:hAnsi="Bookman Old Style" w:cs="Arial"/>
          <w:i/>
          <w:sz w:val="20"/>
          <w:szCs w:val="20"/>
        </w:rPr>
        <w:t xml:space="preserve"> </w:t>
      </w:r>
      <w:r w:rsidRPr="008921D8">
        <w:rPr>
          <w:rFonts w:ascii="Bookman Old Style" w:hAnsi="Bookman Old Style" w:cs="Arial"/>
          <w:i/>
          <w:sz w:val="20"/>
          <w:szCs w:val="20"/>
        </w:rPr>
        <w:t>de</w:t>
      </w:r>
      <w:r>
        <w:rPr>
          <w:rFonts w:ascii="Bookman Old Style" w:hAnsi="Bookman Old Style" w:cs="Arial"/>
          <w:i/>
          <w:sz w:val="20"/>
          <w:szCs w:val="20"/>
        </w:rPr>
        <w:t xml:space="preserve"> </w:t>
      </w:r>
      <w:r w:rsidRPr="008921D8">
        <w:rPr>
          <w:rFonts w:ascii="Bookman Old Style" w:hAnsi="Bookman Old Style" w:cs="Arial"/>
          <w:i/>
          <w:sz w:val="20"/>
          <w:szCs w:val="20"/>
        </w:rPr>
        <w:t>anticipar inversiones</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con</w:t>
      </w:r>
      <w:r>
        <w:rPr>
          <w:rFonts w:ascii="Bookman Old Style" w:hAnsi="Bookman Old Style" w:cs="Arial"/>
          <w:i/>
          <w:sz w:val="20"/>
          <w:szCs w:val="20"/>
        </w:rPr>
        <w:t xml:space="preserve"> </w:t>
      </w:r>
      <w:r w:rsidRPr="008921D8">
        <w:rPr>
          <w:rFonts w:ascii="Bookman Old Style" w:hAnsi="Bookman Old Style" w:cs="Arial"/>
          <w:i/>
          <w:sz w:val="20"/>
          <w:szCs w:val="20"/>
        </w:rPr>
        <w:t>este</w:t>
      </w:r>
      <w:r>
        <w:rPr>
          <w:rFonts w:ascii="Bookman Old Style" w:hAnsi="Bookman Old Style" w:cs="Arial"/>
          <w:i/>
          <w:sz w:val="20"/>
          <w:szCs w:val="20"/>
        </w:rPr>
        <w:t xml:space="preserve"> presupuesto GAS PAC</w:t>
      </w:r>
      <w:r w:rsidRPr="008921D8">
        <w:rPr>
          <w:rFonts w:ascii="Bookman Old Style" w:hAnsi="Bookman Old Style" w:cs="Arial"/>
          <w:i/>
          <w:sz w:val="20"/>
          <w:szCs w:val="20"/>
        </w:rPr>
        <w:t xml:space="preserve"> ajustó su plan final comercial.</w:t>
      </w:r>
    </w:p>
    <w:p w14:paraId="7DFDADE7" w14:textId="77777777" w:rsidR="008921D8" w:rsidRP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08056EE2"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F</w:t>
      </w:r>
      <w:r w:rsidRPr="008921D8">
        <w:rPr>
          <w:rFonts w:ascii="Bookman Old Style" w:hAnsi="Bookman Old Style" w:cs="Arial"/>
          <w:i/>
          <w:sz w:val="20"/>
          <w:szCs w:val="20"/>
        </w:rPr>
        <w:t>inalmente,</w:t>
      </w:r>
      <w:r>
        <w:rPr>
          <w:rFonts w:ascii="Bookman Old Style" w:hAnsi="Bookman Old Style" w:cs="Arial"/>
          <w:i/>
          <w:sz w:val="20"/>
          <w:szCs w:val="20"/>
        </w:rPr>
        <w:t xml:space="preserve"> </w:t>
      </w:r>
      <w:r w:rsidRPr="008921D8">
        <w:rPr>
          <w:rFonts w:ascii="Bookman Old Style" w:hAnsi="Bookman Old Style" w:cs="Arial"/>
          <w:i/>
          <w:sz w:val="20"/>
          <w:szCs w:val="20"/>
        </w:rPr>
        <w:t>ante la f</w:t>
      </w:r>
      <w:r>
        <w:rPr>
          <w:rFonts w:ascii="Bookman Old Style" w:hAnsi="Bookman Old Style" w:cs="Arial"/>
          <w:i/>
          <w:sz w:val="20"/>
          <w:szCs w:val="20"/>
        </w:rPr>
        <w:t xml:space="preserve">alta de coherencia entre la CREG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la</w:t>
      </w:r>
      <w:r>
        <w:rPr>
          <w:rFonts w:ascii="Bookman Old Style" w:hAnsi="Bookman Old Style" w:cs="Arial"/>
          <w:i/>
          <w:sz w:val="20"/>
          <w:szCs w:val="20"/>
        </w:rPr>
        <w:t xml:space="preserve"> SSPD</w:t>
      </w:r>
      <w:r w:rsidRPr="008921D8">
        <w:rPr>
          <w:rFonts w:ascii="Bookman Old Style" w:hAnsi="Bookman Old Style" w:cs="Arial"/>
          <w:i/>
          <w:sz w:val="20"/>
          <w:szCs w:val="20"/>
        </w:rPr>
        <w:t xml:space="preserve"> contraria el propósito mismo de la regulación puesto que la medida contra la informalidad se basa en la capaci</w:t>
      </w:r>
      <w:r>
        <w:rPr>
          <w:rFonts w:ascii="Bookman Old Style" w:hAnsi="Bookman Old Style" w:cs="Arial"/>
          <w:i/>
          <w:sz w:val="20"/>
          <w:szCs w:val="20"/>
        </w:rPr>
        <w:t>dad real de GAS PAC</w:t>
      </w:r>
      <w:r w:rsidRPr="008921D8">
        <w:rPr>
          <w:rFonts w:ascii="Bookman Old Style" w:hAnsi="Bookman Old Style" w:cs="Arial"/>
          <w:i/>
          <w:sz w:val="20"/>
          <w:szCs w:val="20"/>
        </w:rPr>
        <w:t xml:space="preserve"> y la Resolución GREG 168 de 2017</w:t>
      </w:r>
      <w:r>
        <w:rPr>
          <w:rFonts w:ascii="Bookman Old Style" w:hAnsi="Bookman Old Style" w:cs="Arial"/>
          <w:i/>
          <w:sz w:val="20"/>
          <w:szCs w:val="20"/>
        </w:rPr>
        <w:t xml:space="preserve"> </w:t>
      </w:r>
      <w:r w:rsidRPr="008921D8">
        <w:rPr>
          <w:rFonts w:ascii="Bookman Old Style" w:hAnsi="Bookman Old Style" w:cs="Arial"/>
          <w:i/>
          <w:sz w:val="20"/>
          <w:szCs w:val="20"/>
        </w:rPr>
        <w:t>no refleja esa información real de la empresa sino una información desactualizada.</w:t>
      </w:r>
    </w:p>
    <w:p w14:paraId="537B803C"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43F3571D" w14:textId="77777777" w:rsidR="008921D8" w:rsidRPr="008921D8" w:rsidRDefault="008921D8" w:rsidP="008921D8">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4.2 Restringe el crecimiento de GAS PAC</w:t>
      </w:r>
    </w:p>
    <w:p w14:paraId="6961BACA"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6547CD9E"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r w:rsidRPr="008921D8">
        <w:rPr>
          <w:rFonts w:ascii="Bookman Old Style" w:hAnsi="Bookman Old Style" w:cs="Arial"/>
          <w:i/>
          <w:sz w:val="20"/>
          <w:szCs w:val="20"/>
        </w:rPr>
        <w:t>La medida según</w:t>
      </w:r>
      <w:r>
        <w:rPr>
          <w:rFonts w:ascii="Bookman Old Style" w:hAnsi="Bookman Old Style" w:cs="Arial"/>
          <w:i/>
          <w:sz w:val="20"/>
          <w:szCs w:val="20"/>
        </w:rPr>
        <w:t xml:space="preserve"> </w:t>
      </w:r>
      <w:r w:rsidRPr="008921D8">
        <w:rPr>
          <w:rFonts w:ascii="Bookman Old Style" w:hAnsi="Bookman Old Style" w:cs="Arial"/>
          <w:i/>
          <w:sz w:val="20"/>
          <w:szCs w:val="20"/>
        </w:rPr>
        <w:t>la</w:t>
      </w:r>
      <w:r>
        <w:rPr>
          <w:rFonts w:ascii="Bookman Old Style" w:hAnsi="Bookman Old Style" w:cs="Arial"/>
          <w:i/>
          <w:sz w:val="20"/>
          <w:szCs w:val="20"/>
        </w:rPr>
        <w:t xml:space="preserve"> C</w:t>
      </w:r>
      <w:r w:rsidRPr="008921D8">
        <w:rPr>
          <w:rFonts w:ascii="Bookman Old Style" w:hAnsi="Bookman Old Style" w:cs="Arial"/>
          <w:i/>
          <w:sz w:val="20"/>
          <w:szCs w:val="20"/>
        </w:rPr>
        <w:t>REG</w:t>
      </w:r>
      <w:r>
        <w:rPr>
          <w:rFonts w:ascii="Bookman Old Style" w:hAnsi="Bookman Old Style" w:cs="Arial"/>
          <w:i/>
          <w:sz w:val="20"/>
          <w:szCs w:val="20"/>
        </w:rPr>
        <w:t xml:space="preserve"> </w:t>
      </w:r>
      <w:r w:rsidRPr="008921D8">
        <w:rPr>
          <w:rFonts w:ascii="Bookman Old Style" w:hAnsi="Bookman Old Style" w:cs="Arial"/>
          <w:i/>
          <w:sz w:val="20"/>
          <w:szCs w:val="20"/>
        </w:rPr>
        <w:t>no</w:t>
      </w:r>
      <w:r>
        <w:rPr>
          <w:rFonts w:ascii="Bookman Old Style" w:hAnsi="Bookman Old Style" w:cs="Arial"/>
          <w:i/>
          <w:sz w:val="20"/>
          <w:szCs w:val="20"/>
        </w:rPr>
        <w:t xml:space="preserve"> </w:t>
      </w:r>
      <w:r w:rsidRPr="008921D8">
        <w:rPr>
          <w:rFonts w:ascii="Bookman Old Style" w:hAnsi="Bookman Old Style" w:cs="Arial"/>
          <w:i/>
          <w:sz w:val="20"/>
          <w:szCs w:val="20"/>
        </w:rPr>
        <w:t>pretende restringir el crecimiento del mercado, pero al no tener</w:t>
      </w:r>
      <w:r>
        <w:rPr>
          <w:rFonts w:ascii="Bookman Old Style" w:hAnsi="Bookman Old Style" w:cs="Arial"/>
          <w:i/>
          <w:sz w:val="20"/>
          <w:szCs w:val="20"/>
        </w:rPr>
        <w:t xml:space="preserve"> </w:t>
      </w:r>
      <w:r w:rsidRPr="008921D8">
        <w:rPr>
          <w:rFonts w:ascii="Bookman Old Style" w:hAnsi="Bookman Old Style" w:cs="Arial"/>
          <w:i/>
          <w:sz w:val="20"/>
          <w:szCs w:val="20"/>
        </w:rPr>
        <w:t>en cuenta la información de</w:t>
      </w:r>
      <w:r>
        <w:rPr>
          <w:rFonts w:ascii="Bookman Old Style" w:hAnsi="Bookman Old Style" w:cs="Arial"/>
          <w:i/>
          <w:sz w:val="20"/>
          <w:szCs w:val="20"/>
        </w:rPr>
        <w:t xml:space="preserve"> </w:t>
      </w:r>
      <w:r w:rsidRPr="008921D8">
        <w:rPr>
          <w:rFonts w:ascii="Bookman Old Style" w:hAnsi="Bookman Old Style" w:cs="Arial"/>
          <w:i/>
          <w:sz w:val="20"/>
          <w:szCs w:val="20"/>
        </w:rPr>
        <w:t>octubre</w:t>
      </w:r>
      <w:r>
        <w:rPr>
          <w:rFonts w:ascii="Bookman Old Style" w:hAnsi="Bookman Old Style" w:cs="Arial"/>
          <w:i/>
          <w:sz w:val="20"/>
          <w:szCs w:val="20"/>
        </w:rPr>
        <w:t xml:space="preserve"> </w:t>
      </w:r>
      <w:r w:rsidRPr="008921D8">
        <w:rPr>
          <w:rFonts w:ascii="Bookman Old Style" w:hAnsi="Bookman Old Style" w:cs="Arial"/>
          <w:i/>
          <w:sz w:val="20"/>
          <w:szCs w:val="20"/>
        </w:rPr>
        <w:t>en la práctica lo está haciendo. Yale la pena mencionar que este fue un llamado</w:t>
      </w:r>
      <w:r>
        <w:rPr>
          <w:rFonts w:ascii="Bookman Old Style" w:hAnsi="Bookman Old Style" w:cs="Arial"/>
          <w:i/>
          <w:sz w:val="20"/>
          <w:szCs w:val="20"/>
        </w:rPr>
        <w:t xml:space="preserve"> </w:t>
      </w:r>
      <w:r w:rsidRPr="008921D8">
        <w:rPr>
          <w:rFonts w:ascii="Bookman Old Style" w:hAnsi="Bookman Old Style" w:cs="Arial"/>
          <w:i/>
          <w:sz w:val="20"/>
          <w:szCs w:val="20"/>
        </w:rPr>
        <w:t xml:space="preserve">de atención de la </w:t>
      </w:r>
      <w:r>
        <w:rPr>
          <w:rFonts w:ascii="Bookman Old Style" w:hAnsi="Bookman Old Style" w:cs="Arial"/>
          <w:i/>
          <w:sz w:val="20"/>
          <w:szCs w:val="20"/>
        </w:rPr>
        <w:t>sic</w:t>
      </w:r>
      <w:r w:rsidRPr="008921D8">
        <w:rPr>
          <w:rFonts w:ascii="Bookman Old Style" w:hAnsi="Bookman Old Style" w:cs="Arial"/>
          <w:i/>
          <w:sz w:val="20"/>
          <w:szCs w:val="20"/>
        </w:rPr>
        <w:t xml:space="preserve"> en</w:t>
      </w:r>
      <w:r>
        <w:rPr>
          <w:rFonts w:ascii="Bookman Old Style" w:hAnsi="Bookman Old Style" w:cs="Arial"/>
          <w:i/>
          <w:sz w:val="20"/>
          <w:szCs w:val="20"/>
        </w:rPr>
        <w:t xml:space="preserve"> su concepto de competencia, así (…)</w:t>
      </w:r>
    </w:p>
    <w:p w14:paraId="0EA8185E"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p>
    <w:p w14:paraId="61BB8C30" w14:textId="77777777" w:rsidR="008921D8" w:rsidRDefault="008921D8" w:rsidP="008921D8">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Se</w:t>
      </w:r>
      <w:r w:rsidRPr="008921D8">
        <w:rPr>
          <w:rFonts w:ascii="Bookman Old Style" w:hAnsi="Bookman Old Style" w:cs="Arial"/>
          <w:i/>
          <w:sz w:val="20"/>
          <w:szCs w:val="20"/>
        </w:rPr>
        <w:t xml:space="preserve"> observa que al no tener en cuenta la mejor información disponible para la fecha en la cual lo determina la entidad de control y no las empresas, contraviene la recomendación de la </w:t>
      </w:r>
      <w:r>
        <w:rPr>
          <w:rFonts w:ascii="Bookman Old Style" w:hAnsi="Bookman Old Style" w:cs="Arial"/>
          <w:i/>
          <w:sz w:val="20"/>
          <w:szCs w:val="20"/>
        </w:rPr>
        <w:t>SIC</w:t>
      </w:r>
      <w:r w:rsidRPr="008921D8">
        <w:rPr>
          <w:rFonts w:ascii="Bookman Old Style" w:hAnsi="Bookman Old Style" w:cs="Arial"/>
          <w:i/>
          <w:sz w:val="20"/>
          <w:szCs w:val="20"/>
        </w:rPr>
        <w:t>, puesto que el resultado es que contrae la inversión realizada anticipadamente</w:t>
      </w:r>
      <w:r>
        <w:rPr>
          <w:rFonts w:ascii="Bookman Old Style" w:hAnsi="Bookman Old Style" w:cs="Arial"/>
          <w:i/>
          <w:sz w:val="20"/>
          <w:szCs w:val="20"/>
        </w:rPr>
        <w:t xml:space="preserve"> </w:t>
      </w:r>
      <w:r w:rsidRPr="008921D8">
        <w:rPr>
          <w:rFonts w:ascii="Bookman Old Style" w:hAnsi="Bookman Old Style" w:cs="Arial"/>
          <w:i/>
          <w:sz w:val="20"/>
          <w:szCs w:val="20"/>
        </w:rPr>
        <w:t>a</w:t>
      </w:r>
      <w:r>
        <w:rPr>
          <w:rFonts w:ascii="Bookman Old Style" w:hAnsi="Bookman Old Style" w:cs="Arial"/>
          <w:i/>
          <w:sz w:val="20"/>
          <w:szCs w:val="20"/>
        </w:rPr>
        <w:t xml:space="preserve"> </w:t>
      </w:r>
      <w:r w:rsidRPr="008921D8">
        <w:rPr>
          <w:rFonts w:ascii="Bookman Old Style" w:hAnsi="Bookman Old Style" w:cs="Arial"/>
          <w:i/>
          <w:sz w:val="20"/>
          <w:szCs w:val="20"/>
        </w:rPr>
        <w:t>la</w:t>
      </w:r>
      <w:r>
        <w:rPr>
          <w:rFonts w:ascii="Bookman Old Style" w:hAnsi="Bookman Old Style" w:cs="Arial"/>
          <w:i/>
          <w:sz w:val="20"/>
          <w:szCs w:val="20"/>
        </w:rPr>
        <w:t xml:space="preserve"> </w:t>
      </w:r>
      <w:r w:rsidRPr="008921D8">
        <w:rPr>
          <w:rFonts w:ascii="Bookman Old Style" w:hAnsi="Bookman Old Style" w:cs="Arial"/>
          <w:i/>
          <w:sz w:val="20"/>
          <w:szCs w:val="20"/>
        </w:rPr>
        <w:t>puesta en servicio, con la cual se adquirieron compromisos de suministro</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no se podrán cumplir porque no se tendrá el reconocimiento de la misma por el regulador. Al final el balance entre la oferta</w:t>
      </w:r>
      <w:r>
        <w:rPr>
          <w:rFonts w:ascii="Bookman Old Style" w:hAnsi="Bookman Old Style" w:cs="Arial"/>
          <w:i/>
          <w:sz w:val="20"/>
          <w:szCs w:val="20"/>
        </w:rPr>
        <w:t xml:space="preserve"> </w:t>
      </w:r>
      <w:r w:rsidRPr="008921D8">
        <w:rPr>
          <w:rFonts w:ascii="Bookman Old Style" w:hAnsi="Bookman Old Style" w:cs="Arial"/>
          <w:i/>
          <w:sz w:val="20"/>
          <w:szCs w:val="20"/>
        </w:rPr>
        <w:t>y</w:t>
      </w:r>
      <w:r>
        <w:rPr>
          <w:rFonts w:ascii="Bookman Old Style" w:hAnsi="Bookman Old Style" w:cs="Arial"/>
          <w:i/>
          <w:sz w:val="20"/>
          <w:szCs w:val="20"/>
        </w:rPr>
        <w:t xml:space="preserve"> </w:t>
      </w:r>
      <w:r w:rsidRPr="008921D8">
        <w:rPr>
          <w:rFonts w:ascii="Bookman Old Style" w:hAnsi="Bookman Old Style" w:cs="Arial"/>
          <w:i/>
          <w:sz w:val="20"/>
          <w:szCs w:val="20"/>
        </w:rPr>
        <w:t>la demanda tendrá un desequilibrio puesto que para el primer semestre</w:t>
      </w:r>
      <w:r>
        <w:rPr>
          <w:rFonts w:ascii="Bookman Old Style" w:hAnsi="Bookman Old Style" w:cs="Arial"/>
          <w:i/>
          <w:sz w:val="20"/>
          <w:szCs w:val="20"/>
        </w:rPr>
        <w:t xml:space="preserve"> </w:t>
      </w:r>
      <w:r w:rsidRPr="008921D8">
        <w:rPr>
          <w:rFonts w:ascii="Bookman Old Style" w:hAnsi="Bookman Old Style" w:cs="Arial"/>
          <w:i/>
          <w:sz w:val="20"/>
          <w:szCs w:val="20"/>
        </w:rPr>
        <w:t>del 2018</w:t>
      </w:r>
      <w:r>
        <w:rPr>
          <w:rFonts w:ascii="Bookman Old Style" w:hAnsi="Bookman Old Style" w:cs="Arial"/>
          <w:i/>
          <w:sz w:val="20"/>
          <w:szCs w:val="20"/>
        </w:rPr>
        <w:t xml:space="preserve"> GAS PAC</w:t>
      </w:r>
      <w:r w:rsidR="007A6EEB">
        <w:rPr>
          <w:rFonts w:ascii="Bookman Old Style" w:hAnsi="Bookman Old Style" w:cs="Arial"/>
          <w:i/>
          <w:sz w:val="20"/>
          <w:szCs w:val="20"/>
        </w:rPr>
        <w:t xml:space="preserve"> tendría mayor demanda </w:t>
      </w:r>
      <w:r w:rsidRPr="008921D8">
        <w:rPr>
          <w:rFonts w:ascii="Bookman Old Style" w:hAnsi="Bookman Old Style" w:cs="Arial"/>
          <w:i/>
          <w:sz w:val="20"/>
          <w:szCs w:val="20"/>
        </w:rPr>
        <w:t xml:space="preserve">justificada con activos que será desatendida porque la </w:t>
      </w:r>
      <w:r w:rsidR="007A6EEB">
        <w:rPr>
          <w:rFonts w:ascii="Bookman Old Style" w:hAnsi="Bookman Old Style" w:cs="Arial"/>
          <w:i/>
          <w:sz w:val="20"/>
          <w:szCs w:val="20"/>
        </w:rPr>
        <w:t>CREG</w:t>
      </w:r>
      <w:r w:rsidRPr="008921D8">
        <w:rPr>
          <w:rFonts w:ascii="Bookman Old Style" w:hAnsi="Bookman Old Style" w:cs="Arial"/>
          <w:i/>
          <w:sz w:val="20"/>
          <w:szCs w:val="20"/>
        </w:rPr>
        <w:t xml:space="preserve"> no tuvo en cuenta la información que se reportó en la fecha designada por la </w:t>
      </w:r>
      <w:r w:rsidR="007A6EEB">
        <w:rPr>
          <w:rFonts w:ascii="Bookman Old Style" w:hAnsi="Bookman Old Style" w:cs="Arial"/>
          <w:i/>
          <w:sz w:val="20"/>
          <w:szCs w:val="20"/>
        </w:rPr>
        <w:t>SSPD.</w:t>
      </w:r>
    </w:p>
    <w:p w14:paraId="72FDF68F" w14:textId="77777777" w:rsidR="007A6EEB" w:rsidRPr="007A6EEB" w:rsidRDefault="007A6EEB" w:rsidP="007A6EEB">
      <w:pPr>
        <w:pStyle w:val="Textoindependiente2"/>
        <w:spacing w:after="0" w:line="240" w:lineRule="auto"/>
        <w:ind w:left="284" w:right="284"/>
        <w:jc w:val="both"/>
        <w:rPr>
          <w:rFonts w:ascii="Bookman Old Style" w:hAnsi="Bookman Old Style" w:cs="Arial"/>
          <w:i/>
          <w:sz w:val="20"/>
          <w:szCs w:val="20"/>
        </w:rPr>
      </w:pPr>
      <w:r w:rsidRPr="007A6EEB">
        <w:rPr>
          <w:rFonts w:ascii="Bookman Old Style" w:hAnsi="Bookman Old Style" w:cs="Arial"/>
          <w:i/>
          <w:sz w:val="20"/>
          <w:szCs w:val="20"/>
        </w:rPr>
        <w:t>En calidad de distribuidor es nuestra responsabilidad reportar la cantidad de tanques que se han adquirido y mantenido para la prestación del servicio ante el SUI. La SSPD ha definido unos periodos para la apertura y permiso del cargue de información relacionada con los tanques estacionarios.</w:t>
      </w:r>
    </w:p>
    <w:p w14:paraId="13E8C616" w14:textId="77777777" w:rsidR="007A6EEB" w:rsidRDefault="007A6EEB" w:rsidP="007A6EEB">
      <w:pPr>
        <w:pStyle w:val="Textoindependiente2"/>
        <w:spacing w:after="0" w:line="240" w:lineRule="auto"/>
        <w:ind w:left="284" w:right="284"/>
        <w:jc w:val="both"/>
        <w:rPr>
          <w:rFonts w:ascii="Bookman Old Style" w:hAnsi="Bookman Old Style" w:cs="Arial"/>
          <w:i/>
          <w:sz w:val="20"/>
          <w:szCs w:val="20"/>
        </w:rPr>
      </w:pPr>
    </w:p>
    <w:p w14:paraId="6403F077" w14:textId="77777777" w:rsidR="005C1184" w:rsidRPr="00D74048" w:rsidRDefault="007A6EEB" w:rsidP="007A6EEB">
      <w:pPr>
        <w:pStyle w:val="Textoindependiente2"/>
        <w:spacing w:after="0" w:line="240" w:lineRule="auto"/>
        <w:ind w:left="284" w:right="284"/>
        <w:jc w:val="both"/>
        <w:rPr>
          <w:rFonts w:ascii="Bookman Old Style" w:hAnsi="Bookman Old Style" w:cs="Arial"/>
          <w:i/>
          <w:sz w:val="20"/>
          <w:szCs w:val="20"/>
        </w:rPr>
      </w:pPr>
      <w:r w:rsidRPr="007A6EEB">
        <w:rPr>
          <w:rFonts w:ascii="Bookman Old Style" w:hAnsi="Bookman Old Style" w:cs="Arial"/>
          <w:i/>
          <w:sz w:val="20"/>
          <w:szCs w:val="20"/>
        </w:rPr>
        <w:t>GAS PAC S.A.S ESP reportó con cierre al 10 de octubre d</w:t>
      </w:r>
      <w:r>
        <w:rPr>
          <w:rFonts w:ascii="Bookman Old Style" w:hAnsi="Bookman Old Style" w:cs="Arial"/>
          <w:i/>
          <w:sz w:val="20"/>
          <w:szCs w:val="20"/>
        </w:rPr>
        <w:t>e 2017 (…)</w:t>
      </w:r>
      <w:r w:rsidR="00BC4777">
        <w:rPr>
          <w:rFonts w:ascii="Bookman Old Style" w:hAnsi="Bookman Old Style" w:cs="Arial"/>
          <w:i/>
          <w:sz w:val="20"/>
          <w:szCs w:val="20"/>
        </w:rPr>
        <w:t>”</w:t>
      </w:r>
    </w:p>
    <w:p w14:paraId="062CE119" w14:textId="77777777" w:rsidR="005C1184" w:rsidRPr="00CD67E2" w:rsidRDefault="005C1184" w:rsidP="005C1184">
      <w:pPr>
        <w:ind w:left="0" w:right="284"/>
        <w:jc w:val="both"/>
        <w:rPr>
          <w:rFonts w:ascii="Bookman Old Style" w:hAnsi="Bookman Old Style" w:cs="Arial"/>
          <w:i/>
          <w:sz w:val="22"/>
          <w:szCs w:val="22"/>
        </w:rPr>
      </w:pPr>
    </w:p>
    <w:p w14:paraId="02C423B9" w14:textId="77777777"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14:paraId="399B270E" w14:textId="77777777" w:rsidR="008E7B7D" w:rsidRDefault="008E7B7D" w:rsidP="00C942BF">
      <w:pPr>
        <w:pStyle w:val="Textoindependiente2"/>
        <w:spacing w:after="0" w:line="240" w:lineRule="auto"/>
        <w:ind w:left="0" w:right="-142"/>
        <w:jc w:val="both"/>
        <w:rPr>
          <w:rFonts w:ascii="Bookman Old Style" w:hAnsi="Bookman Old Style"/>
          <w:szCs w:val="27"/>
        </w:rPr>
      </w:pPr>
    </w:p>
    <w:p w14:paraId="10361C6F" w14:textId="77777777" w:rsidR="007A6EEB" w:rsidRPr="007A6EEB" w:rsidRDefault="008E7B7D" w:rsidP="007A6EE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7A6EEB">
        <w:rPr>
          <w:rFonts w:ascii="Bookman Old Style" w:hAnsi="Bookman Old Style"/>
          <w:szCs w:val="27"/>
        </w:rPr>
        <w:t>168</w:t>
      </w:r>
      <w:r w:rsidR="00C942BF">
        <w:rPr>
          <w:rFonts w:ascii="Bookman Old Style" w:hAnsi="Bookman Old Style"/>
          <w:szCs w:val="27"/>
        </w:rPr>
        <w:t xml:space="preserve"> de 2017</w:t>
      </w:r>
      <w:r>
        <w:rPr>
          <w:rFonts w:ascii="Bookman Old Style" w:hAnsi="Bookman Old Style"/>
          <w:szCs w:val="27"/>
        </w:rPr>
        <w:t xml:space="preserve">, a </w:t>
      </w:r>
      <w:r w:rsidR="00FF62B5">
        <w:rPr>
          <w:rFonts w:ascii="Bookman Old Style" w:hAnsi="Bookman Old Style"/>
          <w:szCs w:val="27"/>
        </w:rPr>
        <w:t>e</w:t>
      </w:r>
      <w:r>
        <w:rPr>
          <w:rFonts w:ascii="Bookman Old Style" w:hAnsi="Bookman Old Style"/>
          <w:szCs w:val="27"/>
        </w:rPr>
        <w:t xml:space="preserve">fectos de que esta Comisión </w:t>
      </w:r>
      <w:r w:rsidR="00C942BF">
        <w:rPr>
          <w:rFonts w:ascii="Bookman Old Style" w:hAnsi="Bookman Old Style"/>
          <w:szCs w:val="27"/>
        </w:rPr>
        <w:t>revise la</w:t>
      </w:r>
      <w:r w:rsidRPr="00B42221">
        <w:rPr>
          <w:rFonts w:ascii="Bookman Old Style" w:hAnsi="Bookman Old Style"/>
          <w:szCs w:val="27"/>
        </w:rPr>
        <w:t xml:space="preserve"> definición de la capacidad de compra para la </w:t>
      </w:r>
      <w:r w:rsidR="007A6EEB">
        <w:rPr>
          <w:rFonts w:ascii="Bookman Old Style" w:hAnsi="Bookman Old Style"/>
          <w:szCs w:val="27"/>
        </w:rPr>
        <w:t xml:space="preserve">empresa Gas </w:t>
      </w:r>
      <w:proofErr w:type="spellStart"/>
      <w:r w:rsidR="007A6EEB">
        <w:rPr>
          <w:rFonts w:ascii="Bookman Old Style" w:hAnsi="Bookman Old Style"/>
          <w:szCs w:val="27"/>
        </w:rPr>
        <w:t>Pac</w:t>
      </w:r>
      <w:proofErr w:type="spellEnd"/>
      <w:r w:rsidR="00C942BF">
        <w:rPr>
          <w:rFonts w:ascii="Bookman Old Style" w:hAnsi="Bookman Old Style"/>
          <w:szCs w:val="27"/>
        </w:rPr>
        <w:t>, toda vez que considera que existen diferencias en la información</w:t>
      </w:r>
      <w:r w:rsidR="00BC4777">
        <w:rPr>
          <w:rFonts w:ascii="Bookman Old Style" w:hAnsi="Bookman Old Style"/>
          <w:szCs w:val="27"/>
        </w:rPr>
        <w:t>, principalmente a nivel</w:t>
      </w:r>
      <w:r w:rsidR="00C942BF">
        <w:rPr>
          <w:rFonts w:ascii="Bookman Old Style" w:hAnsi="Bookman Old Style"/>
          <w:szCs w:val="27"/>
        </w:rPr>
        <w:t xml:space="preserve"> de </w:t>
      </w:r>
      <w:r w:rsidR="00666015">
        <w:rPr>
          <w:rFonts w:ascii="Bookman Old Style" w:hAnsi="Bookman Old Style"/>
          <w:szCs w:val="27"/>
        </w:rPr>
        <w:t xml:space="preserve">los </w:t>
      </w:r>
      <w:r w:rsidR="00C942BF">
        <w:rPr>
          <w:rFonts w:ascii="Bookman Old Style" w:hAnsi="Bookman Old Style"/>
          <w:szCs w:val="27"/>
        </w:rPr>
        <w:t>tanques estaciona</w:t>
      </w:r>
      <w:r w:rsidR="00666015">
        <w:rPr>
          <w:rFonts w:ascii="Bookman Old Style" w:hAnsi="Bookman Old Style"/>
          <w:szCs w:val="27"/>
        </w:rPr>
        <w:t>rios reportados en el SUI que fueron tenidos</w:t>
      </w:r>
      <w:r w:rsidR="00C942BF">
        <w:rPr>
          <w:rFonts w:ascii="Bookman Old Style" w:hAnsi="Bookman Old Style"/>
          <w:szCs w:val="27"/>
        </w:rPr>
        <w:t xml:space="preserve"> en cuenta por la CREG para realizar dicho cálculo. </w:t>
      </w:r>
      <w:r w:rsidR="007A6EEB">
        <w:rPr>
          <w:rFonts w:ascii="Bookman Old Style" w:hAnsi="Bookman Old Style"/>
          <w:szCs w:val="27"/>
        </w:rPr>
        <w:t xml:space="preserve">En este sentido, el </w:t>
      </w:r>
      <w:r w:rsidR="007A6EEB">
        <w:rPr>
          <w:rFonts w:ascii="Bookman Old Style" w:hAnsi="Bookman Old Style"/>
          <w:szCs w:val="27"/>
        </w:rPr>
        <w:lastRenderedPageBreak/>
        <w:t>argumento de la empresa se centra en justificar que la definición de la capacidad de compra debe llevarse a cabo con el reporte de tanques estacionarios hechos por la empresa en la fecha de 10 de octubre de 2017 ateniendo lo dispuesto en la Circular Conjunta CREG SSPD No. 01 de 2017.</w:t>
      </w:r>
    </w:p>
    <w:p w14:paraId="06ED785D" w14:textId="77777777" w:rsidR="00A77F07" w:rsidRDefault="00A77F07" w:rsidP="00BC4777">
      <w:pPr>
        <w:pStyle w:val="Textoindependiente2"/>
        <w:spacing w:after="0" w:line="240" w:lineRule="auto"/>
        <w:ind w:left="-142" w:right="-142"/>
        <w:jc w:val="both"/>
        <w:rPr>
          <w:rFonts w:ascii="Bookman Old Style" w:hAnsi="Bookman Old Style"/>
          <w:szCs w:val="27"/>
        </w:rPr>
      </w:pPr>
    </w:p>
    <w:p w14:paraId="5F2F3770" w14:textId="77777777" w:rsidR="00E55F70" w:rsidRDefault="00BC4777" w:rsidP="00BC47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w:t>
      </w:r>
      <w:r w:rsidR="00FF62B5">
        <w:rPr>
          <w:rFonts w:ascii="Bookman Old Style" w:hAnsi="Bookman Old Style"/>
          <w:szCs w:val="27"/>
        </w:rPr>
        <w:t xml:space="preserve"> se debe tener en cuenta que esta Comisi</w:t>
      </w:r>
      <w:r w:rsidR="00A77F07">
        <w:rPr>
          <w:rFonts w:ascii="Bookman Old Style" w:hAnsi="Bookman Old Style"/>
          <w:szCs w:val="27"/>
        </w:rPr>
        <w:t>ón llevó</w:t>
      </w:r>
      <w:r w:rsidR="00FF62B5">
        <w:rPr>
          <w:rFonts w:ascii="Bookman Old Style" w:hAnsi="Bookman Old Style"/>
          <w:szCs w:val="27"/>
        </w:rPr>
        <w:t xml:space="preserve"> a cabo la definición de la capacidad de compra de la recurrente con base en </w:t>
      </w:r>
      <w:r w:rsidR="00FF62B5" w:rsidRPr="00FF62B5">
        <w:rPr>
          <w:rFonts w:ascii="Bookman Old Style" w:hAnsi="Bookman Old Style"/>
          <w:szCs w:val="27"/>
        </w:rPr>
        <w:t>la información del Sistema Único de Información – SUI</w:t>
      </w:r>
      <w:r w:rsidR="00FE6180">
        <w:rPr>
          <w:rFonts w:ascii="Bookman Old Style" w:hAnsi="Bookman Old Style"/>
          <w:szCs w:val="27"/>
        </w:rPr>
        <w:t xml:space="preserve"> remitida a la Comisión por parte de la Superintendencia de Servicios Públicos Domiciliarios</w:t>
      </w:r>
      <w:r w:rsidR="00FF62B5" w:rsidRPr="00FF62B5">
        <w:rPr>
          <w:rFonts w:ascii="Bookman Old Style" w:hAnsi="Bookman Old Style"/>
          <w:szCs w:val="27"/>
        </w:rPr>
        <w:t xml:space="preserve">, así como </w:t>
      </w:r>
      <w:r w:rsidR="00FF62B5">
        <w:rPr>
          <w:rFonts w:ascii="Bookman Old Style" w:hAnsi="Bookman Old Style"/>
          <w:szCs w:val="27"/>
        </w:rPr>
        <w:t xml:space="preserve">atendiendo </w:t>
      </w:r>
      <w:r w:rsidR="00FF62B5" w:rsidRPr="00FF62B5">
        <w:rPr>
          <w:rFonts w:ascii="Bookman Old Style" w:hAnsi="Bookman Old Style"/>
          <w:szCs w:val="27"/>
        </w:rPr>
        <w:t>el procedimiento previsto en el artículo 8 de la Resolución CREG 063 de 2016</w:t>
      </w:r>
      <w:r w:rsidR="00FF62B5">
        <w:rPr>
          <w:rFonts w:ascii="Bookman Old Style" w:hAnsi="Bookman Old Style"/>
          <w:szCs w:val="27"/>
        </w:rPr>
        <w:t xml:space="preserve">, lo cual se refleja en </w:t>
      </w:r>
      <w:r w:rsidR="00FF62B5" w:rsidRPr="00FF62B5">
        <w:rPr>
          <w:rFonts w:ascii="Bookman Old Style" w:hAnsi="Bookman Old Style"/>
          <w:szCs w:val="27"/>
        </w:rPr>
        <w:t>la Re</w:t>
      </w:r>
      <w:r w:rsidR="00FF62B5">
        <w:rPr>
          <w:rFonts w:ascii="Bookman Old Style" w:hAnsi="Bookman Old Style"/>
          <w:szCs w:val="27"/>
        </w:rPr>
        <w:t xml:space="preserve">solución CREG </w:t>
      </w:r>
      <w:r w:rsidR="007A6EEB">
        <w:rPr>
          <w:rFonts w:ascii="Bookman Old Style" w:hAnsi="Bookman Old Style"/>
          <w:szCs w:val="27"/>
        </w:rPr>
        <w:t>168</w:t>
      </w:r>
      <w:r w:rsidR="00E55F70">
        <w:rPr>
          <w:rFonts w:ascii="Bookman Old Style" w:hAnsi="Bookman Old Style"/>
          <w:szCs w:val="27"/>
        </w:rPr>
        <w:t xml:space="preserve"> de 2017</w:t>
      </w:r>
      <w:r w:rsidR="00FF62B5">
        <w:rPr>
          <w:rFonts w:ascii="Bookman Old Style" w:hAnsi="Bookman Old Style"/>
          <w:szCs w:val="27"/>
        </w:rPr>
        <w:t xml:space="preserve"> y su anexo</w:t>
      </w:r>
      <w:r w:rsidR="00FF62B5" w:rsidRPr="00FF62B5">
        <w:rPr>
          <w:rFonts w:ascii="Bookman Old Style" w:hAnsi="Bookman Old Style"/>
          <w:szCs w:val="27"/>
        </w:rPr>
        <w:t>.</w:t>
      </w:r>
      <w:r w:rsidR="00FF62B5">
        <w:rPr>
          <w:rFonts w:ascii="Bookman Old Style" w:hAnsi="Bookman Old Style"/>
          <w:szCs w:val="27"/>
        </w:rPr>
        <w:t xml:space="preserve"> </w:t>
      </w:r>
    </w:p>
    <w:p w14:paraId="316EB19C" w14:textId="77777777" w:rsidR="00666015" w:rsidRDefault="00666015" w:rsidP="00E55F70">
      <w:pPr>
        <w:pStyle w:val="Textoindependiente2"/>
        <w:spacing w:after="0" w:line="240" w:lineRule="auto"/>
        <w:ind w:left="-142" w:right="-142"/>
        <w:jc w:val="both"/>
        <w:rPr>
          <w:rFonts w:ascii="Bookman Old Style" w:hAnsi="Bookman Old Style"/>
          <w:szCs w:val="27"/>
        </w:rPr>
      </w:pPr>
    </w:p>
    <w:p w14:paraId="7EA0730D" w14:textId="660E3670" w:rsidR="007A6EEB" w:rsidRPr="00732E3E" w:rsidRDefault="00E55F70" w:rsidP="00732E3E">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00732E3E"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w:t>
      </w:r>
      <w:r w:rsidR="009757CA">
        <w:rPr>
          <w:rFonts w:ascii="Bookman Old Style" w:hAnsi="Bookman Old Style"/>
          <w:szCs w:val="27"/>
        </w:rPr>
        <w:t>ntregada por la interventoría A</w:t>
      </w:r>
      <w:r w:rsidR="00732E3E" w:rsidRPr="00732E3E">
        <w:rPr>
          <w:rFonts w:ascii="Bookman Old Style" w:hAnsi="Bookman Old Style"/>
          <w:szCs w:val="27"/>
        </w:rPr>
        <w:t>C</w:t>
      </w:r>
      <w:r w:rsidR="009757CA">
        <w:rPr>
          <w:rFonts w:ascii="Bookman Old Style" w:hAnsi="Bookman Old Style"/>
          <w:szCs w:val="27"/>
        </w:rPr>
        <w:t>I</w:t>
      </w:r>
      <w:r w:rsidR="00732E3E" w:rsidRPr="00732E3E">
        <w:rPr>
          <w:rFonts w:ascii="Bookman Old Style" w:hAnsi="Bookman Old Style"/>
          <w:szCs w:val="27"/>
        </w:rPr>
        <w:t>,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sidR="00732E3E">
        <w:rPr>
          <w:rFonts w:ascii="Bookman Old Style" w:hAnsi="Bookman Old Style"/>
          <w:szCs w:val="27"/>
        </w:rPr>
        <w:t>ormación del SICMA y del SICUN)</w:t>
      </w:r>
      <w:r w:rsidR="00732E3E"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14:paraId="6C6AC191" w14:textId="77777777" w:rsidR="00E55F70" w:rsidRDefault="00E55F70" w:rsidP="00732E3E">
      <w:pPr>
        <w:pStyle w:val="Textoindependiente2"/>
        <w:spacing w:after="0" w:line="240" w:lineRule="auto"/>
        <w:ind w:left="0" w:right="-142"/>
        <w:jc w:val="both"/>
        <w:rPr>
          <w:rFonts w:ascii="Bookman Old Style" w:hAnsi="Bookman Old Style"/>
          <w:szCs w:val="27"/>
        </w:rPr>
      </w:pPr>
    </w:p>
    <w:p w14:paraId="5690BDA7" w14:textId="77777777" w:rsidR="00732E3E" w:rsidRPr="00EA33A0" w:rsidRDefault="00732E3E" w:rsidP="00732E3E">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14:paraId="09C891C1" w14:textId="77777777" w:rsidR="00732E3E" w:rsidRPr="00EA33A0" w:rsidRDefault="00732E3E" w:rsidP="00732E3E">
      <w:pPr>
        <w:ind w:left="0"/>
        <w:jc w:val="both"/>
        <w:rPr>
          <w:rFonts w:ascii="Bookman Old Style" w:hAnsi="Bookman Old Style"/>
          <w:szCs w:val="27"/>
        </w:rPr>
      </w:pPr>
    </w:p>
    <w:p w14:paraId="6E8C43AC" w14:textId="77777777"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14:paraId="160CFDEC" w14:textId="77777777" w:rsidR="00732E3E" w:rsidRPr="00EA33A0" w:rsidRDefault="00732E3E" w:rsidP="00732E3E">
      <w:pPr>
        <w:ind w:left="284" w:right="284"/>
        <w:jc w:val="both"/>
        <w:rPr>
          <w:rFonts w:ascii="Bookman Old Style" w:hAnsi="Bookman Old Style"/>
          <w:i/>
          <w:sz w:val="22"/>
          <w:szCs w:val="22"/>
        </w:rPr>
      </w:pPr>
    </w:p>
    <w:p w14:paraId="0B75F186" w14:textId="77777777"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14:paraId="46BF4A4A" w14:textId="77777777"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14:paraId="3391E3F5" w14:textId="77777777" w:rsidR="00732E3E" w:rsidRPr="00EA33A0" w:rsidRDefault="00732E3E" w:rsidP="00732E3E">
      <w:pPr>
        <w:ind w:left="284" w:right="284"/>
        <w:jc w:val="both"/>
        <w:rPr>
          <w:rFonts w:ascii="Bookman Old Style" w:hAnsi="Bookman Old Style"/>
          <w:i/>
          <w:sz w:val="22"/>
          <w:szCs w:val="22"/>
        </w:rPr>
      </w:pPr>
    </w:p>
    <w:p w14:paraId="7EE2F721" w14:textId="77777777"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14:paraId="642FB7FA" w14:textId="77777777" w:rsidR="00732E3E" w:rsidRPr="00EA33A0" w:rsidRDefault="00732E3E" w:rsidP="00732E3E">
      <w:pPr>
        <w:ind w:left="284" w:right="284"/>
        <w:jc w:val="both"/>
        <w:rPr>
          <w:rFonts w:ascii="Bookman Old Style" w:hAnsi="Bookman Old Style"/>
          <w:i/>
          <w:sz w:val="22"/>
          <w:szCs w:val="22"/>
        </w:rPr>
      </w:pPr>
    </w:p>
    <w:p w14:paraId="15B1EFED" w14:textId="77777777"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14:paraId="664E2578" w14:textId="77777777" w:rsidR="00732E3E" w:rsidRPr="00EA33A0" w:rsidRDefault="00732E3E" w:rsidP="00732E3E">
      <w:pPr>
        <w:ind w:left="284" w:right="284"/>
        <w:jc w:val="both"/>
        <w:rPr>
          <w:rFonts w:ascii="Bookman Old Style" w:hAnsi="Bookman Old Style"/>
          <w:i/>
          <w:sz w:val="22"/>
          <w:szCs w:val="22"/>
        </w:rPr>
      </w:pPr>
    </w:p>
    <w:p w14:paraId="5F006CA5" w14:textId="77777777" w:rsidR="0009782B"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lastRenderedPageBreak/>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14:paraId="2E54E00B" w14:textId="77777777" w:rsidR="00732E3E" w:rsidRDefault="00732E3E" w:rsidP="00732E3E">
      <w:pPr>
        <w:pStyle w:val="Textoindependiente2"/>
        <w:spacing w:after="0" w:line="240" w:lineRule="auto"/>
        <w:ind w:left="0" w:right="-142"/>
        <w:jc w:val="both"/>
        <w:rPr>
          <w:rFonts w:ascii="Bookman Old Style" w:hAnsi="Bookman Old Style"/>
          <w:i/>
          <w:sz w:val="22"/>
          <w:szCs w:val="22"/>
        </w:rPr>
      </w:pPr>
    </w:p>
    <w:p w14:paraId="0923C145" w14:textId="77777777" w:rsidR="00732E3E" w:rsidRPr="00732E3E" w:rsidRDefault="00732E3E" w:rsidP="00732E3E">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14:paraId="3BBA1B2E" w14:textId="77777777" w:rsidR="00732E3E" w:rsidRDefault="00732E3E" w:rsidP="00732E3E">
      <w:pPr>
        <w:pStyle w:val="Textoindependiente2"/>
        <w:spacing w:after="0" w:line="240" w:lineRule="auto"/>
        <w:ind w:left="-142" w:right="-142"/>
        <w:jc w:val="both"/>
        <w:rPr>
          <w:rFonts w:ascii="Bookman Old Style" w:hAnsi="Bookman Old Style"/>
          <w:szCs w:val="27"/>
        </w:rPr>
      </w:pPr>
    </w:p>
    <w:p w14:paraId="6DB18681" w14:textId="77777777" w:rsidR="000B6DCD" w:rsidRDefault="0009782B" w:rsidP="00732E3E">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Una vez revisada la definición de la cap</w:t>
      </w:r>
      <w:r w:rsidR="00A77F07">
        <w:rPr>
          <w:rFonts w:ascii="Bookman Old Style" w:hAnsi="Bookman Old Style"/>
          <w:szCs w:val="27"/>
        </w:rPr>
        <w:t xml:space="preserve">acidad de compra para la </w:t>
      </w:r>
      <w:r w:rsidR="00732E3E">
        <w:rPr>
          <w:rFonts w:ascii="Bookman Old Style" w:hAnsi="Bookman Old Style"/>
          <w:szCs w:val="27"/>
        </w:rPr>
        <w:t xml:space="preserve">empresa Gas </w:t>
      </w:r>
      <w:proofErr w:type="spellStart"/>
      <w:r w:rsidR="00732E3E">
        <w:rPr>
          <w:rFonts w:ascii="Bookman Old Style" w:hAnsi="Bookman Old Style"/>
          <w:szCs w:val="27"/>
        </w:rPr>
        <w:t>Pac</w:t>
      </w:r>
      <w:proofErr w:type="spellEnd"/>
      <w:r w:rsidR="000B6DCD">
        <w:rPr>
          <w:rFonts w:ascii="Bookman Old Style" w:hAnsi="Bookman Old Style"/>
          <w:szCs w:val="27"/>
        </w:rPr>
        <w:t xml:space="preserve">, se establece que esta Comisión llevó a cabo en debida forma </w:t>
      </w:r>
      <w:r w:rsidR="002A483C">
        <w:rPr>
          <w:rFonts w:ascii="Bookman Old Style" w:hAnsi="Bookman Old Style"/>
          <w:szCs w:val="27"/>
        </w:rPr>
        <w:t xml:space="preserve">dicha definición </w:t>
      </w:r>
      <w:r w:rsidR="000B6DCD">
        <w:rPr>
          <w:rFonts w:ascii="Bookman Old Style" w:hAnsi="Bookman Old Style"/>
          <w:szCs w:val="27"/>
        </w:rPr>
        <w:t>atendiendo el procedimiento previsto en la Resolución CREG 063 de 2016 y la información del Sistema Único de Información – SUI</w:t>
      </w:r>
      <w:r w:rsidR="002A483C">
        <w:rPr>
          <w:rFonts w:ascii="Bookman Old Style" w:hAnsi="Bookman Old Style"/>
          <w:szCs w:val="27"/>
        </w:rPr>
        <w:t xml:space="preserve"> con base en la formación remitida por la Superintendencia de Servicios Públicos Domiciliarios</w:t>
      </w:r>
      <w:r w:rsidR="000B6DCD">
        <w:rPr>
          <w:rFonts w:ascii="Bookman Old Style" w:hAnsi="Bookman Old Style"/>
          <w:szCs w:val="27"/>
        </w:rPr>
        <w:t>.</w:t>
      </w:r>
    </w:p>
    <w:p w14:paraId="4E81F80D" w14:textId="77777777" w:rsidR="000B6DCD" w:rsidRDefault="000B6DCD" w:rsidP="00606747">
      <w:pPr>
        <w:pStyle w:val="Textoindependiente2"/>
        <w:spacing w:after="0" w:line="240" w:lineRule="auto"/>
        <w:ind w:left="-142" w:right="-142"/>
        <w:jc w:val="both"/>
        <w:rPr>
          <w:rFonts w:ascii="Bookman Old Style" w:hAnsi="Bookman Old Style"/>
          <w:szCs w:val="27"/>
        </w:rPr>
      </w:pPr>
    </w:p>
    <w:p w14:paraId="6B15E7DB" w14:textId="77777777" w:rsidR="000B6DCD" w:rsidRDefault="00364922" w:rsidP="00E71CD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sentido,</w:t>
      </w:r>
      <w:r w:rsidR="000B6DCD">
        <w:rPr>
          <w:rFonts w:ascii="Bookman Old Style" w:hAnsi="Bookman Old Style"/>
          <w:szCs w:val="27"/>
        </w:rPr>
        <w:t xml:space="preserve"> los argumentos de la empresa </w:t>
      </w:r>
      <w:r w:rsidR="0006184B">
        <w:rPr>
          <w:rFonts w:ascii="Bookman Old Style" w:hAnsi="Bookman Old Style"/>
          <w:szCs w:val="27"/>
        </w:rPr>
        <w:t>y la información en que esta se soporta</w:t>
      </w:r>
      <w:r>
        <w:rPr>
          <w:rFonts w:ascii="Bookman Old Style" w:hAnsi="Bookman Old Style"/>
          <w:szCs w:val="27"/>
        </w:rPr>
        <w:t>, en particular el soporte de cargue al SUI que se adjunta como pantallazo</w:t>
      </w:r>
      <w:r w:rsidR="005E005D">
        <w:rPr>
          <w:rFonts w:ascii="Bookman Old Style" w:hAnsi="Bookman Old Style"/>
          <w:szCs w:val="27"/>
        </w:rPr>
        <w:t xml:space="preserve"> con fecha de 10 de octubre de 2017</w:t>
      </w:r>
      <w:r>
        <w:rPr>
          <w:rFonts w:ascii="Bookman Old Style" w:hAnsi="Bookman Old Style"/>
          <w:szCs w:val="27"/>
        </w:rPr>
        <w:t>,</w:t>
      </w:r>
      <w:r w:rsidR="0006184B">
        <w:rPr>
          <w:rFonts w:ascii="Bookman Old Style" w:hAnsi="Bookman Old Style"/>
          <w:szCs w:val="27"/>
        </w:rPr>
        <w:t xml:space="preserve"> </w:t>
      </w:r>
      <w:r w:rsidR="000B6DCD">
        <w:rPr>
          <w:rFonts w:ascii="Bookman Old Style" w:hAnsi="Bookman Old Style"/>
          <w:szCs w:val="27"/>
        </w:rPr>
        <w:t>no son procedentes a efectos de modificar lo resue</w:t>
      </w:r>
      <w:r w:rsidR="005E005D">
        <w:rPr>
          <w:rFonts w:ascii="Bookman Old Style" w:hAnsi="Bookman Old Style"/>
          <w:szCs w:val="27"/>
        </w:rPr>
        <w:t>lto en la Resolución CREG 168</w:t>
      </w:r>
      <w:r w:rsidR="000B6DCD">
        <w:rPr>
          <w:rFonts w:ascii="Bookman Old Style" w:hAnsi="Bookman Old Style"/>
          <w:szCs w:val="27"/>
        </w:rPr>
        <w:t xml:space="preserve"> de 2017, toda vez que la información del SUI en materia de tanques estacionarios debió ser reportada a la Superintendencia de Servicios Públicos Domiciliarios en cumplimiento de las obligaciones previstas en la Ley y la regulación</w:t>
      </w:r>
      <w:r w:rsidR="000B6DCD">
        <w:rPr>
          <w:rStyle w:val="Refdenotaalpie"/>
          <w:rFonts w:ascii="Bookman Old Style" w:hAnsi="Bookman Old Style"/>
          <w:szCs w:val="27"/>
        </w:rPr>
        <w:footnoteReference w:id="8"/>
      </w:r>
      <w:r w:rsidR="000B6DCD">
        <w:rPr>
          <w:rFonts w:ascii="Bookman Old Style" w:hAnsi="Bookman Old Style"/>
          <w:szCs w:val="27"/>
        </w:rPr>
        <w:t xml:space="preserve"> en materia de reporte de información, así como dentro de los términos y plazos previstos en las circulares conjuntas expedidas por la CREG y la S</w:t>
      </w:r>
      <w:r w:rsidR="0006184B">
        <w:rPr>
          <w:rFonts w:ascii="Bookman Old Style" w:hAnsi="Bookman Old Style"/>
          <w:szCs w:val="27"/>
        </w:rPr>
        <w:t>uperintendencia para el efecto</w:t>
      </w:r>
      <w:r w:rsidR="005E005D">
        <w:rPr>
          <w:rFonts w:ascii="Bookman Old Style" w:hAnsi="Bookman Old Style"/>
          <w:szCs w:val="27"/>
        </w:rPr>
        <w:t>, los cuales correspondían de acuerdo con la fecha de corte a lo dispuesto en la Circular Conjunta CREG – SSPD 001 de 2004</w:t>
      </w:r>
      <w:r w:rsidR="0006184B">
        <w:rPr>
          <w:rFonts w:ascii="Bookman Old Style" w:hAnsi="Bookman Old Style"/>
          <w:szCs w:val="27"/>
        </w:rPr>
        <w:t xml:space="preserve">. </w:t>
      </w:r>
    </w:p>
    <w:p w14:paraId="426CB44B" w14:textId="77777777" w:rsidR="00FE6180" w:rsidRDefault="00FE6180" w:rsidP="002A483C">
      <w:pPr>
        <w:pStyle w:val="Textoindependiente2"/>
        <w:spacing w:after="0" w:line="240" w:lineRule="auto"/>
        <w:ind w:left="-142" w:right="-142"/>
        <w:jc w:val="both"/>
        <w:rPr>
          <w:rFonts w:ascii="Bookman Old Style" w:hAnsi="Bookman Old Style"/>
          <w:szCs w:val="27"/>
        </w:rPr>
      </w:pPr>
    </w:p>
    <w:p w14:paraId="5F4D8546" w14:textId="77777777" w:rsidR="002A483C" w:rsidRDefault="002A483C" w:rsidP="002A483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xml:space="preserve">, como es el caso de los agentes distribuidores para efectos de la determinación de la capacidad de compra. </w:t>
      </w:r>
    </w:p>
    <w:p w14:paraId="3BFEBB14" w14:textId="77777777" w:rsidR="002A483C" w:rsidRDefault="002A483C" w:rsidP="000B6DCD">
      <w:pPr>
        <w:pStyle w:val="Textoindependiente2"/>
        <w:spacing w:after="0" w:line="240" w:lineRule="auto"/>
        <w:ind w:left="-142" w:right="-142"/>
        <w:jc w:val="both"/>
        <w:rPr>
          <w:rFonts w:ascii="Bookman Old Style" w:hAnsi="Bookman Old Style"/>
          <w:szCs w:val="27"/>
        </w:rPr>
      </w:pPr>
    </w:p>
    <w:p w14:paraId="365BB047" w14:textId="77777777" w:rsidR="00F64F1B" w:rsidRDefault="0006184B" w:rsidP="000B6DCD">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szCs w:val="27"/>
        </w:rPr>
        <w:t xml:space="preserve">Por el contrario, </w:t>
      </w:r>
      <w:r w:rsidR="00905FB0">
        <w:rPr>
          <w:rFonts w:ascii="Bookman Old Style" w:hAnsi="Bookman Old Style"/>
          <w:szCs w:val="27"/>
        </w:rPr>
        <w:t>el tener en cuenta dicha información</w:t>
      </w:r>
      <w:r w:rsidR="000B6DCD">
        <w:rPr>
          <w:rFonts w:ascii="Bookman Old Style" w:hAnsi="Bookman Old Style"/>
          <w:szCs w:val="27"/>
        </w:rPr>
        <w:t xml:space="preserve"> desconocería dichas obligaciones </w:t>
      </w:r>
      <w:r w:rsidR="009152B5">
        <w:rPr>
          <w:rFonts w:ascii="Bookman Old Style" w:hAnsi="Bookman Old Style" w:cs="Arial"/>
          <w:spacing w:val="-5"/>
          <w:lang w:val="es-CO" w:eastAsia="en-US"/>
        </w:rPr>
        <w:t xml:space="preserve">en relación con tener actualizado </w:t>
      </w:r>
      <w:r w:rsidR="000B6DCD">
        <w:rPr>
          <w:rFonts w:ascii="Bookman Old Style" w:hAnsi="Bookman Old Style" w:cs="Arial"/>
          <w:spacing w:val="-5"/>
          <w:lang w:val="es-CO" w:eastAsia="en-US"/>
        </w:rPr>
        <w:t xml:space="preserve">el reporte de esta información, de la misma forma que </w:t>
      </w:r>
      <w:r w:rsidR="009152B5">
        <w:rPr>
          <w:rFonts w:ascii="Bookman Old Style" w:hAnsi="Bookman Old Style" w:cs="Arial"/>
          <w:spacing w:val="-5"/>
          <w:lang w:val="es-CO" w:eastAsia="en-US"/>
        </w:rPr>
        <w:t>se estaría dando un tratamiento diferencial injustificado frente a la forma en que se llevó a cabo la definición de la capacidad de compra a los demás agentes bajo ninguna justificación</w:t>
      </w:r>
      <w:r w:rsidR="00E9028F">
        <w:rPr>
          <w:rFonts w:ascii="Bookman Old Style" w:hAnsi="Bookman Old Style" w:cs="Arial"/>
          <w:spacing w:val="-5"/>
          <w:lang w:val="es-CO" w:eastAsia="en-US"/>
        </w:rPr>
        <w:t xml:space="preserve"> legalmente válida y razonable</w:t>
      </w:r>
      <w:r w:rsidR="00F64F1B">
        <w:rPr>
          <w:rFonts w:ascii="Bookman Old Style" w:hAnsi="Bookman Old Style" w:cs="Arial"/>
          <w:spacing w:val="-5"/>
          <w:lang w:val="es-CO" w:eastAsia="en-US"/>
        </w:rPr>
        <w:t xml:space="preserve">, </w:t>
      </w:r>
      <w:r w:rsidR="00F64F1B" w:rsidRPr="00F64F1B">
        <w:rPr>
          <w:rFonts w:ascii="Bookman Old Style" w:hAnsi="Bookman Old Style" w:cs="Arial"/>
          <w:spacing w:val="-5"/>
          <w:lang w:val="es-CO" w:eastAsia="en-US"/>
        </w:rPr>
        <w:t xml:space="preserve">lo cual iría igualmente en contra del principio general del derecho </w:t>
      </w:r>
      <w:proofErr w:type="spellStart"/>
      <w:r w:rsidR="00F64F1B" w:rsidRPr="00F64F1B">
        <w:rPr>
          <w:rFonts w:ascii="Bookman Old Style" w:hAnsi="Bookman Old Style" w:cs="Arial"/>
          <w:i/>
          <w:spacing w:val="-5"/>
          <w:lang w:val="es-CO" w:eastAsia="en-US"/>
        </w:rPr>
        <w:t>nemo</w:t>
      </w:r>
      <w:proofErr w:type="spellEnd"/>
      <w:r w:rsidR="00F64F1B" w:rsidRPr="00F64F1B">
        <w:rPr>
          <w:rFonts w:ascii="Bookman Old Style" w:hAnsi="Bookman Old Style" w:cs="Arial"/>
          <w:i/>
          <w:spacing w:val="-5"/>
          <w:lang w:val="es-CO" w:eastAsia="en-US"/>
        </w:rPr>
        <w:t xml:space="preserve"> </w:t>
      </w:r>
      <w:proofErr w:type="spellStart"/>
      <w:r w:rsidR="00F64F1B" w:rsidRPr="00F64F1B">
        <w:rPr>
          <w:rFonts w:ascii="Bookman Old Style" w:hAnsi="Bookman Old Style" w:cs="Arial"/>
          <w:i/>
          <w:spacing w:val="-5"/>
          <w:lang w:val="es-CO" w:eastAsia="en-US"/>
        </w:rPr>
        <w:t>auditur</w:t>
      </w:r>
      <w:proofErr w:type="spellEnd"/>
      <w:r w:rsidR="00F64F1B" w:rsidRPr="00F64F1B">
        <w:rPr>
          <w:rFonts w:ascii="Bookman Old Style" w:hAnsi="Bookman Old Style" w:cs="Arial"/>
          <w:i/>
          <w:spacing w:val="-5"/>
          <w:lang w:val="es-CO" w:eastAsia="en-US"/>
        </w:rPr>
        <w:t xml:space="preserve"> </w:t>
      </w:r>
      <w:proofErr w:type="spellStart"/>
      <w:r w:rsidR="00F64F1B" w:rsidRPr="00F64F1B">
        <w:rPr>
          <w:rFonts w:ascii="Bookman Old Style" w:hAnsi="Bookman Old Style" w:cs="Arial"/>
          <w:i/>
          <w:spacing w:val="-5"/>
          <w:lang w:val="es-CO" w:eastAsia="en-US"/>
        </w:rPr>
        <w:t>propiam</w:t>
      </w:r>
      <w:proofErr w:type="spellEnd"/>
      <w:r w:rsidR="00F64F1B" w:rsidRPr="00F64F1B">
        <w:rPr>
          <w:rFonts w:ascii="Bookman Old Style" w:hAnsi="Bookman Old Style" w:cs="Arial"/>
          <w:i/>
          <w:spacing w:val="-5"/>
          <w:lang w:val="es-CO" w:eastAsia="en-US"/>
        </w:rPr>
        <w:t xml:space="preserve"> </w:t>
      </w:r>
      <w:proofErr w:type="spellStart"/>
      <w:r w:rsidR="00F64F1B" w:rsidRPr="00F64F1B">
        <w:rPr>
          <w:rFonts w:ascii="Bookman Old Style" w:hAnsi="Bookman Old Style" w:cs="Arial"/>
          <w:i/>
          <w:spacing w:val="-5"/>
          <w:lang w:val="es-CO" w:eastAsia="en-US"/>
        </w:rPr>
        <w:t>turpitudinem</w:t>
      </w:r>
      <w:proofErr w:type="spellEnd"/>
      <w:r w:rsidR="00F64F1B" w:rsidRPr="00F64F1B">
        <w:rPr>
          <w:rFonts w:ascii="Bookman Old Style" w:hAnsi="Bookman Old Style" w:cs="Arial"/>
          <w:i/>
          <w:spacing w:val="-5"/>
          <w:lang w:val="es-CO" w:eastAsia="en-US"/>
        </w:rPr>
        <w:t xml:space="preserve"> </w:t>
      </w:r>
      <w:proofErr w:type="spellStart"/>
      <w:r w:rsidR="00F64F1B" w:rsidRPr="00F64F1B">
        <w:rPr>
          <w:rFonts w:ascii="Bookman Old Style" w:hAnsi="Bookman Old Style" w:cs="Arial"/>
          <w:i/>
          <w:spacing w:val="-5"/>
          <w:lang w:val="es-CO" w:eastAsia="en-US"/>
        </w:rPr>
        <w:t>allegans</w:t>
      </w:r>
      <w:proofErr w:type="spellEnd"/>
      <w:r w:rsidR="00F64F1B"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sidR="00F64F1B">
        <w:rPr>
          <w:rFonts w:ascii="Bookman Old Style" w:hAnsi="Bookman Old Style" w:cs="Arial"/>
          <w:spacing w:val="-5"/>
          <w:lang w:val="es-CO" w:eastAsia="en-US"/>
        </w:rPr>
        <w:t>.</w:t>
      </w:r>
    </w:p>
    <w:p w14:paraId="76866E9A" w14:textId="77777777" w:rsidR="00C32652" w:rsidRDefault="00C32652" w:rsidP="002A483C">
      <w:pPr>
        <w:pStyle w:val="Textoindependiente2"/>
        <w:spacing w:after="0" w:line="240" w:lineRule="auto"/>
        <w:ind w:left="0" w:right="-142"/>
        <w:jc w:val="both"/>
        <w:rPr>
          <w:rFonts w:ascii="Bookman Old Style" w:hAnsi="Bookman Old Style" w:cs="Arial"/>
          <w:spacing w:val="-5"/>
          <w:lang w:val="es-CO" w:eastAsia="en-US"/>
        </w:rPr>
      </w:pPr>
    </w:p>
    <w:p w14:paraId="1E4E0FD8" w14:textId="77777777" w:rsidR="00C32652" w:rsidRPr="00C32652" w:rsidRDefault="00C32652" w:rsidP="00C32652">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Ahora, el</w:t>
      </w:r>
      <w:r w:rsidRPr="00C32652">
        <w:rPr>
          <w:rFonts w:ascii="Bookman Old Style" w:hAnsi="Bookman Old Style" w:cs="Arial"/>
          <w:spacing w:val="-5"/>
          <w:lang w:val="es-CO" w:eastAsia="en-US"/>
        </w:rPr>
        <w:t xml:space="preserve"> artículo 9 de la Resolución CREG 063 de 2016, ajustado por el artículo 1 de la Resolución CREG 227 de 2016 establece lo siguiente:</w:t>
      </w:r>
    </w:p>
    <w:p w14:paraId="33C29BB9" w14:textId="77777777" w:rsidR="00C32652" w:rsidRPr="00C32652" w:rsidRDefault="00C32652" w:rsidP="00C32652">
      <w:pPr>
        <w:tabs>
          <w:tab w:val="left" w:pos="-720"/>
          <w:tab w:val="left" w:pos="1276"/>
        </w:tabs>
        <w:suppressAutoHyphens/>
        <w:overflowPunct w:val="0"/>
        <w:autoSpaceDE w:val="0"/>
        <w:ind w:left="0"/>
        <w:jc w:val="both"/>
        <w:textAlignment w:val="baseline"/>
        <w:rPr>
          <w:rFonts w:ascii="Bookman Old Style" w:hAnsi="Bookman Old Style" w:cs="Arial"/>
          <w:b/>
          <w:szCs w:val="20"/>
        </w:rPr>
      </w:pPr>
    </w:p>
    <w:p w14:paraId="4BDCE245" w14:textId="77777777" w:rsidR="00C32652" w:rsidRPr="00B165BF" w:rsidRDefault="00B165BF" w:rsidP="00C3265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u w:val="single"/>
          <w:lang w:val="es-ES_tradnl" w:eastAsia="ar-SA"/>
        </w:rPr>
      </w:pPr>
      <w:r w:rsidRPr="00B165BF">
        <w:rPr>
          <w:rFonts w:ascii="Bookman Old Style" w:hAnsi="Bookman Old Style" w:cs="Arial"/>
          <w:b/>
          <w:sz w:val="22"/>
          <w:szCs w:val="22"/>
        </w:rPr>
        <w:t xml:space="preserve">“Artículo 9. </w:t>
      </w:r>
      <w:r w:rsidR="00C32652" w:rsidRPr="00B165BF">
        <w:rPr>
          <w:rFonts w:ascii="Bookman Old Style" w:hAnsi="Bookman Old Style" w:cs="Arial"/>
          <w:sz w:val="22"/>
          <w:szCs w:val="22"/>
          <w:lang w:val="es-ES_tradnl" w:eastAsia="ar-SA"/>
        </w:rPr>
        <w:t xml:space="preserve"> </w:t>
      </w:r>
      <w:r w:rsidR="00C32652" w:rsidRPr="00B165BF">
        <w:rPr>
          <w:rFonts w:ascii="Bookman Old Style" w:hAnsi="Bookman Old Style" w:cs="Arial"/>
          <w:b/>
          <w:sz w:val="22"/>
          <w:szCs w:val="22"/>
          <w:lang w:val="es-ES_tradnl" w:eastAsia="ar-SA"/>
        </w:rPr>
        <w:t>Determinación y publicación de la capacidad de compra.</w:t>
      </w:r>
      <w:r w:rsidR="00C32652" w:rsidRPr="00B165BF">
        <w:rPr>
          <w:rFonts w:ascii="Bookman Old Style" w:hAnsi="Bookman Old Style" w:cs="Arial"/>
          <w:sz w:val="22"/>
          <w:szCs w:val="22"/>
          <w:lang w:val="es-ES_tradnl" w:eastAsia="ar-SA"/>
        </w:rPr>
        <w:t xml:space="preserve"> Atendiendo lo dispuesto en el artículo anterior, la CREG determinará mediante </w:t>
      </w:r>
      <w:r w:rsidR="00C32652" w:rsidRPr="00B165BF">
        <w:rPr>
          <w:rFonts w:ascii="Bookman Old Style" w:hAnsi="Bookman Old Style" w:cs="Arial"/>
          <w:sz w:val="22"/>
          <w:szCs w:val="22"/>
          <w:lang w:val="es-ES_tradnl" w:eastAsia="ar-SA"/>
        </w:rPr>
        <w:lastRenderedPageBreak/>
        <w:t xml:space="preserve">acto administrativo particular y publicará mediante circular, con anterioridad al inicio de cada periodo de compra, la capacidad de compra de cada distribuidor, </w:t>
      </w:r>
      <w:r w:rsidR="00C32652" w:rsidRPr="00B165BF">
        <w:rPr>
          <w:rFonts w:ascii="Bookman Old Style" w:hAnsi="Bookman Old Style" w:cs="Arial"/>
          <w:sz w:val="22"/>
          <w:szCs w:val="22"/>
          <w:u w:val="single"/>
          <w:lang w:val="es-ES_tradnl" w:eastAsia="ar-SA"/>
        </w:rPr>
        <w:t xml:space="preserve">con información reportada al SUI, hasta el día 10 del mes correspondiente. </w:t>
      </w:r>
    </w:p>
    <w:p w14:paraId="73E157A4" w14:textId="77777777" w:rsidR="00C32652" w:rsidRPr="00B165BF" w:rsidRDefault="00C32652" w:rsidP="00C3265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14:paraId="26EC21F8" w14:textId="77777777" w:rsidR="00C32652" w:rsidRPr="00B165BF" w:rsidRDefault="00C32652" w:rsidP="00C3265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165BF">
        <w:rPr>
          <w:rFonts w:ascii="Bookman Old Style" w:hAnsi="Bookman Old Style" w:cs="Arial"/>
          <w:b/>
          <w:sz w:val="22"/>
          <w:szCs w:val="22"/>
          <w:lang w:val="es-ES_tradnl" w:eastAsia="ar-SA"/>
        </w:rPr>
        <w:t>Parágrafo</w:t>
      </w:r>
      <w:r w:rsidRPr="00B165BF">
        <w:rPr>
          <w:rFonts w:ascii="Bookman Old Style" w:hAnsi="Bookman Old Style" w:cs="Arial"/>
          <w:sz w:val="22"/>
          <w:szCs w:val="22"/>
          <w:lang w:val="es-ES_tradnl" w:eastAsia="ar-SA"/>
        </w:rPr>
        <w:t xml:space="preserve">. En el caso de celebrar contratos con periodos superiores a los dos siguientes publicados, se podrá solicitar a la CREG la estimación de una capacidad de compra con una vigencia superior.” (Resaltado fuera de texto) </w:t>
      </w:r>
    </w:p>
    <w:p w14:paraId="4BDFF671" w14:textId="77777777" w:rsidR="00C32652" w:rsidRPr="00C32652" w:rsidRDefault="00C32652" w:rsidP="00C32652">
      <w:pPr>
        <w:ind w:left="-142" w:right="-142"/>
        <w:jc w:val="both"/>
        <w:rPr>
          <w:rFonts w:ascii="Arial" w:eastAsia="MS Mincho" w:hAnsi="Arial" w:cs="Arial"/>
          <w:lang w:val="es-CO" w:eastAsia="en-US"/>
        </w:rPr>
      </w:pPr>
    </w:p>
    <w:p w14:paraId="69FE3499" w14:textId="77777777"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r w:rsidRPr="00C32652">
        <w:rPr>
          <w:rFonts w:ascii="Bookman Old Style" w:hAnsi="Bookman Old Style" w:cs="Arial"/>
          <w:spacing w:val="-5"/>
          <w:lang w:val="es-CO" w:eastAsia="en-US"/>
        </w:rPr>
        <w:t xml:space="preserve">Para efectos de dar inicio a las actuaciones administrativas </w:t>
      </w:r>
      <w:r>
        <w:rPr>
          <w:rFonts w:ascii="Bookman Old Style" w:hAnsi="Bookman Old Style" w:cs="Arial"/>
          <w:spacing w:val="-5"/>
          <w:lang w:val="es-CO" w:eastAsia="en-US"/>
        </w:rPr>
        <w:t>con el fin</w:t>
      </w:r>
      <w:r w:rsidRPr="00C32652">
        <w:rPr>
          <w:rFonts w:ascii="Bookman Old Style" w:hAnsi="Bookman Old Style" w:cs="Arial"/>
          <w:spacing w:val="-5"/>
          <w:lang w:val="es-CO" w:eastAsia="en-US"/>
        </w:rPr>
        <w:t xml:space="preserve"> de definir las capacidades de compra de los distribuidores de GLP a que hace referencia la Resolución CREG 063 de 2016, esta Comisión mediante comunicación dirigida a la Superintendencia de Servicios Públicos solicita la información oficial del Sistema Único de Información – SUI de reporte de cilindros y tanques estacionarios. </w:t>
      </w:r>
    </w:p>
    <w:p w14:paraId="5834D2D5" w14:textId="77777777"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p>
    <w:p w14:paraId="7D891BE1" w14:textId="77777777"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r w:rsidRPr="00C32652">
        <w:rPr>
          <w:rFonts w:ascii="Bookman Old Style" w:hAnsi="Bookman Old Style" w:cs="Arial"/>
          <w:spacing w:val="-5"/>
          <w:lang w:val="es-CO" w:eastAsia="en-US"/>
        </w:rPr>
        <w:t xml:space="preserve">De acuerdo con lo anterior, esta Comisión entiende de lo establecido en esta disposición </w:t>
      </w:r>
      <w:proofErr w:type="gramStart"/>
      <w:r w:rsidRPr="00C32652">
        <w:rPr>
          <w:rFonts w:ascii="Bookman Old Style" w:hAnsi="Bookman Old Style" w:cs="Arial"/>
          <w:spacing w:val="-5"/>
          <w:lang w:val="es-CO" w:eastAsia="en-US"/>
        </w:rPr>
        <w:t>que</w:t>
      </w:r>
      <w:proofErr w:type="gramEnd"/>
      <w:r w:rsidRPr="00C32652">
        <w:rPr>
          <w:rFonts w:ascii="Bookman Old Style" w:hAnsi="Bookman Old Style" w:cs="Arial"/>
          <w:spacing w:val="-5"/>
          <w:lang w:val="es-CO" w:eastAsia="en-US"/>
        </w:rPr>
        <w:t xml:space="preserve"> si la fecha en que se solicita esta información por parte de la CREG es</w:t>
      </w:r>
      <w:r>
        <w:rPr>
          <w:rFonts w:ascii="Bookman Old Style" w:hAnsi="Bookman Old Style" w:cs="Arial"/>
          <w:spacing w:val="-5"/>
          <w:lang w:val="es-CO" w:eastAsia="en-US"/>
        </w:rPr>
        <w:t xml:space="preserve"> con posterioridad al 10 del mes, en el caso particular de las actuaciones administrativas para el </w:t>
      </w:r>
      <w:r w:rsidR="00654AED">
        <w:rPr>
          <w:rFonts w:ascii="Bookman Old Style" w:hAnsi="Bookman Old Style" w:cs="Arial"/>
          <w:spacing w:val="-5"/>
          <w:lang w:val="es-CO" w:eastAsia="en-US"/>
        </w:rPr>
        <w:t>tercer</w:t>
      </w:r>
      <w:r>
        <w:rPr>
          <w:rFonts w:ascii="Bookman Old Style" w:hAnsi="Bookman Old Style" w:cs="Arial"/>
          <w:spacing w:val="-5"/>
          <w:lang w:val="es-CO" w:eastAsia="en-US"/>
        </w:rPr>
        <w:t xml:space="preserve"> período de compra que es el mes de </w:t>
      </w:r>
      <w:r w:rsidR="00654AED">
        <w:rPr>
          <w:rFonts w:ascii="Bookman Old Style" w:hAnsi="Bookman Old Style" w:cs="Arial"/>
          <w:spacing w:val="-5"/>
          <w:lang w:val="es-CO" w:eastAsia="en-US"/>
        </w:rPr>
        <w:t>agosto</w:t>
      </w:r>
      <w:r w:rsidRPr="00C32652">
        <w:rPr>
          <w:rFonts w:ascii="Bookman Old Style" w:hAnsi="Bookman Old Style" w:cs="Arial"/>
          <w:spacing w:val="-5"/>
          <w:lang w:val="es-CO" w:eastAsia="en-US"/>
        </w:rPr>
        <w:t>, sin que supere el 10 de</w:t>
      </w:r>
      <w:r w:rsidR="00654AED">
        <w:rPr>
          <w:rFonts w:ascii="Bookman Old Style" w:hAnsi="Bookman Old Style" w:cs="Arial"/>
          <w:spacing w:val="-5"/>
          <w:lang w:val="es-CO" w:eastAsia="en-US"/>
        </w:rPr>
        <w:t>l mes siguiente (i.e. septiembre</w:t>
      </w:r>
      <w:r>
        <w:rPr>
          <w:rFonts w:ascii="Bookman Old Style" w:hAnsi="Bookman Old Style" w:cs="Arial"/>
          <w:spacing w:val="-5"/>
          <w:lang w:val="es-CO" w:eastAsia="en-US"/>
        </w:rPr>
        <w:t>)</w:t>
      </w:r>
      <w:r w:rsidRPr="00C32652">
        <w:rPr>
          <w:rFonts w:ascii="Bookman Old Style" w:hAnsi="Bookman Old Style" w:cs="Arial"/>
          <w:spacing w:val="-5"/>
          <w:lang w:val="es-CO" w:eastAsia="en-US"/>
        </w:rPr>
        <w:t>, la primera de estas fechas</w:t>
      </w:r>
      <w:r>
        <w:rPr>
          <w:rFonts w:ascii="Bookman Old Style" w:hAnsi="Bookman Old Style" w:cs="Arial"/>
          <w:spacing w:val="-5"/>
          <w:lang w:val="es-CO" w:eastAsia="en-US"/>
        </w:rPr>
        <w:t xml:space="preserve"> (i.e. </w:t>
      </w:r>
      <w:r w:rsidR="00654AED">
        <w:rPr>
          <w:rFonts w:ascii="Bookman Old Style" w:hAnsi="Bookman Old Style" w:cs="Arial"/>
          <w:spacing w:val="-5"/>
          <w:lang w:val="es-CO" w:eastAsia="en-US"/>
        </w:rPr>
        <w:t>agosto</w:t>
      </w:r>
      <w:r>
        <w:rPr>
          <w:rFonts w:ascii="Bookman Old Style" w:hAnsi="Bookman Old Style" w:cs="Arial"/>
          <w:spacing w:val="-5"/>
          <w:lang w:val="es-CO" w:eastAsia="en-US"/>
        </w:rPr>
        <w:t>)</w:t>
      </w:r>
      <w:r w:rsidRPr="00C32652">
        <w:rPr>
          <w:rFonts w:ascii="Bookman Old Style" w:hAnsi="Bookman Old Style" w:cs="Arial"/>
          <w:spacing w:val="-5"/>
          <w:lang w:val="es-CO" w:eastAsia="en-US"/>
        </w:rPr>
        <w:t xml:space="preserve"> se entiende como la fecha del mes correspondiente. En este sentido, dicha información</w:t>
      </w:r>
      <w:r>
        <w:rPr>
          <w:rFonts w:ascii="Bookman Old Style" w:hAnsi="Bookman Old Style" w:cs="Arial"/>
          <w:spacing w:val="-5"/>
          <w:lang w:val="es-CO" w:eastAsia="en-US"/>
        </w:rPr>
        <w:t xml:space="preserve"> para el caso de las actuaciones administrativas del </w:t>
      </w:r>
      <w:r w:rsidR="003A4D1B">
        <w:rPr>
          <w:rFonts w:ascii="Bookman Old Style" w:hAnsi="Bookman Old Style" w:cs="Arial"/>
          <w:spacing w:val="-5"/>
          <w:lang w:val="es-CO" w:eastAsia="en-US"/>
        </w:rPr>
        <w:t>tercer</w:t>
      </w:r>
      <w:r>
        <w:rPr>
          <w:rFonts w:ascii="Bookman Old Style" w:hAnsi="Bookman Old Style" w:cs="Arial"/>
          <w:spacing w:val="-5"/>
          <w:lang w:val="es-CO" w:eastAsia="en-US"/>
        </w:rPr>
        <w:t xml:space="preserve"> período</w:t>
      </w:r>
      <w:r w:rsidRPr="00C32652">
        <w:rPr>
          <w:rFonts w:ascii="Bookman Old Style" w:hAnsi="Bookman Old Style" w:cs="Arial"/>
          <w:spacing w:val="-5"/>
          <w:lang w:val="es-CO" w:eastAsia="en-US"/>
        </w:rPr>
        <w:t xml:space="preserve"> recoge el reporte de la información de activos tanto de tanques estacionarios de acuerdo con lo estipulado en la circular conjunta SSPD – CREG 001 de 2004, la cual tiene como fecha límite el 25 de enero de cada año, así como el reporte de información de cilindros, la cual tiene como plazo máximo el día 15 de cada mes de acuerdo con lo establecido en la Resolución SSPD 2014300040755 de 2014. </w:t>
      </w:r>
    </w:p>
    <w:p w14:paraId="0FFF732A" w14:textId="77777777"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p>
    <w:p w14:paraId="55F1BF70" w14:textId="77777777" w:rsidR="00FE6180" w:rsidRDefault="00FE6180" w:rsidP="00FE6180">
      <w:pPr>
        <w:pStyle w:val="Textoindependiente2"/>
        <w:spacing w:after="0" w:line="240" w:lineRule="auto"/>
        <w:ind w:left="-142" w:right="-142"/>
        <w:jc w:val="both"/>
        <w:rPr>
          <w:rFonts w:ascii="Bookman Old Style" w:hAnsi="Bookman Old Style" w:cs="Arial"/>
          <w:spacing w:val="-5"/>
          <w:lang w:val="es-CO" w:eastAsia="en-US"/>
        </w:rPr>
      </w:pPr>
      <w:r w:rsidRPr="00C32652">
        <w:rPr>
          <w:rFonts w:ascii="Bookman Old Style" w:hAnsi="Bookman Old Style" w:cs="Arial"/>
          <w:spacing w:val="-5"/>
          <w:lang w:val="es-CO" w:eastAsia="en-US"/>
        </w:rPr>
        <w:t>Esto, sin perjuicio de que dentro de la información que sea remitida a la Comisión por parte de la Superintendencia de Servicios Públicos Domiciliarios en atención a la solicitud que se realiza se incluyan modificaciones y/o ajustes al SUI que sean consideradas como ajustadas a las normas sobre reporte de información por parte de dicha superintendencia y corresponda a información válida dentro de este sistema de información.</w:t>
      </w:r>
      <w:r>
        <w:rPr>
          <w:rFonts w:ascii="Bookman Old Style" w:hAnsi="Bookman Old Style" w:cs="Arial"/>
          <w:spacing w:val="-5"/>
          <w:lang w:val="es-CO" w:eastAsia="en-US"/>
        </w:rPr>
        <w:t xml:space="preserve"> Frente a esto último, tal como lo expone la Superintendencia de Servicios Públicos Domiciliarios en sus comunicaciones, esta tuvo en cuenta la información reportada al SUI a </w:t>
      </w:r>
      <w:r w:rsidR="00654AED">
        <w:rPr>
          <w:rFonts w:ascii="Bookman Old Style" w:hAnsi="Bookman Old Style" w:cs="Arial"/>
          <w:spacing w:val="-5"/>
          <w:lang w:val="es-CO" w:eastAsia="en-US"/>
        </w:rPr>
        <w:t>17</w:t>
      </w:r>
      <w:r>
        <w:rPr>
          <w:rFonts w:ascii="Bookman Old Style" w:hAnsi="Bookman Old Style" w:cs="Arial"/>
          <w:spacing w:val="-5"/>
          <w:lang w:val="es-CO" w:eastAsia="en-US"/>
        </w:rPr>
        <w:t xml:space="preserve"> de </w:t>
      </w:r>
      <w:r w:rsidR="00654AED">
        <w:rPr>
          <w:rFonts w:ascii="Bookman Old Style" w:hAnsi="Bookman Old Style" w:cs="Arial"/>
          <w:spacing w:val="-5"/>
          <w:lang w:val="es-CO" w:eastAsia="en-US"/>
        </w:rPr>
        <w:t>septiembre</w:t>
      </w:r>
      <w:r>
        <w:rPr>
          <w:rFonts w:ascii="Bookman Old Style" w:hAnsi="Bookman Old Style" w:cs="Arial"/>
          <w:spacing w:val="-5"/>
          <w:lang w:val="es-CO" w:eastAsia="en-US"/>
        </w:rPr>
        <w:t xml:space="preserve"> de 2017. </w:t>
      </w:r>
    </w:p>
    <w:p w14:paraId="364A19D5" w14:textId="77777777" w:rsidR="00FE6180" w:rsidRDefault="00FE6180" w:rsidP="00FE6180">
      <w:pPr>
        <w:pStyle w:val="Textoindependiente2"/>
        <w:spacing w:after="0" w:line="240" w:lineRule="auto"/>
        <w:ind w:left="-142" w:right="-142"/>
        <w:jc w:val="both"/>
        <w:rPr>
          <w:rFonts w:ascii="Bookman Old Style" w:hAnsi="Bookman Old Style" w:cs="Arial"/>
          <w:spacing w:val="-5"/>
          <w:lang w:val="es-CO" w:eastAsia="en-US"/>
        </w:rPr>
      </w:pPr>
    </w:p>
    <w:p w14:paraId="53CDDAAB" w14:textId="77777777" w:rsidR="00654AED" w:rsidRDefault="00654AED" w:rsidP="00654AE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w:t>
      </w:r>
      <w:r w:rsidR="00820683">
        <w:rPr>
          <w:rFonts w:ascii="Bookman Old Style" w:hAnsi="Bookman Old Style"/>
          <w:szCs w:val="27"/>
        </w:rPr>
        <w:t xml:space="preserve">, </w:t>
      </w:r>
      <w:r>
        <w:rPr>
          <w:rFonts w:ascii="Bookman Old Style" w:hAnsi="Bookman Old Style"/>
          <w:szCs w:val="27"/>
        </w:rPr>
        <w:t xml:space="preserve">en relación con la afectación a la libre competencia de la empresa Gas </w:t>
      </w:r>
      <w:proofErr w:type="spellStart"/>
      <w:r>
        <w:rPr>
          <w:rFonts w:ascii="Bookman Old Style" w:hAnsi="Bookman Old Style"/>
          <w:szCs w:val="27"/>
        </w:rPr>
        <w:t>Pac</w:t>
      </w:r>
      <w:proofErr w:type="spellEnd"/>
      <w:r>
        <w:rPr>
          <w:rFonts w:ascii="Bookman Old Style" w:hAnsi="Bookman Old Style"/>
          <w:szCs w:val="27"/>
        </w:rPr>
        <w:t xml:space="preserve"> y el desconocimiento a lo expuesto por la Superintendencia de Industria y Comercio en la respuesta a la remisión hecha por esta Comisión frente a la regulación de la Resolución CREG 063 de 2016 sobre abogacía de la competencia,  </w:t>
      </w:r>
      <w:r w:rsidRPr="00337175">
        <w:rPr>
          <w:rFonts w:ascii="Bookman Old Style" w:hAnsi="Bookman Old Style"/>
          <w:szCs w:val="27"/>
        </w:rPr>
        <w:t xml:space="preserve">se debe tener en cuenta que estos cuestionamientos </w:t>
      </w:r>
      <w:r>
        <w:rPr>
          <w:rFonts w:ascii="Bookman Old Style" w:hAnsi="Bookman Old Style"/>
          <w:szCs w:val="27"/>
        </w:rPr>
        <w:t xml:space="preserve">están asociados a la medida general relativa a la capacidad de compra, la cual corresponde </w:t>
      </w:r>
      <w:r w:rsidRPr="00337175">
        <w:rPr>
          <w:rFonts w:ascii="Bookman Old Style" w:hAnsi="Bookman Old Style"/>
          <w:szCs w:val="27"/>
        </w:rPr>
        <w:t>con la expedición de la Resolución CREG 063 de 2016</w:t>
      </w:r>
      <w:r>
        <w:rPr>
          <w:rFonts w:ascii="Bookman Old Style" w:hAnsi="Bookman Old Style"/>
          <w:szCs w:val="27"/>
        </w:rPr>
        <w:t>, los cuales</w:t>
      </w:r>
      <w:r w:rsidRPr="00337175">
        <w:rPr>
          <w:rFonts w:ascii="Bookman Old Style" w:hAnsi="Bookman Old Style"/>
          <w:szCs w:val="27"/>
        </w:rPr>
        <w:t xml:space="preserve"> fueron analizados y expuestos por parte de esta Comisión dentro del proceso de consulta de dicho acto administrativo y fueron consignados en dicha resolución, así como en el documento soporte 030 de 2016</w:t>
      </w:r>
      <w:r>
        <w:rPr>
          <w:rFonts w:ascii="Bookman Old Style" w:hAnsi="Bookman Old Style"/>
          <w:szCs w:val="27"/>
        </w:rPr>
        <w:t xml:space="preserve"> ateniendo el mecanismo de la abogacía de la competencia</w:t>
      </w:r>
      <w:r w:rsidRPr="00337175">
        <w:rPr>
          <w:rFonts w:ascii="Bookman Old Style" w:hAnsi="Bookman Old Style"/>
          <w:szCs w:val="27"/>
        </w:rPr>
        <w:t>.</w:t>
      </w:r>
      <w:r>
        <w:rPr>
          <w:rFonts w:ascii="Bookman Old Style" w:hAnsi="Bookman Old Style"/>
          <w:szCs w:val="27"/>
        </w:rPr>
        <w:t xml:space="preserve"> </w:t>
      </w:r>
    </w:p>
    <w:p w14:paraId="1B4AA73E" w14:textId="77777777" w:rsidR="00654AED" w:rsidRDefault="00654AED" w:rsidP="00654AED">
      <w:pPr>
        <w:ind w:left="0" w:right="-142"/>
        <w:jc w:val="both"/>
        <w:rPr>
          <w:rFonts w:ascii="Bookman Old Style" w:hAnsi="Bookman Old Style"/>
          <w:szCs w:val="27"/>
        </w:rPr>
      </w:pPr>
    </w:p>
    <w:p w14:paraId="19FEB630" w14:textId="77777777" w:rsidR="00654AED" w:rsidRDefault="00654AED" w:rsidP="00654AED">
      <w:pPr>
        <w:ind w:left="-142" w:right="-142"/>
        <w:jc w:val="both"/>
        <w:rPr>
          <w:rFonts w:ascii="Bookman Old Style" w:hAnsi="Bookman Old Style"/>
          <w:lang w:val="es-ES_tradnl"/>
        </w:rPr>
      </w:pPr>
      <w:r w:rsidRPr="00337175">
        <w:rPr>
          <w:rFonts w:ascii="Bookman Old Style" w:hAnsi="Bookman Old Style"/>
          <w:szCs w:val="27"/>
        </w:rPr>
        <w:t>En relación con esto, se debe tener en cuenta que en dicho documento esta Comisión analizó extensamente los argumentos relacionados con una posible afe</w:t>
      </w:r>
      <w:r>
        <w:rPr>
          <w:rFonts w:ascii="Bookman Old Style" w:hAnsi="Bookman Old Style"/>
          <w:szCs w:val="27"/>
        </w:rPr>
        <w:t xml:space="preserve">ctación a la libre competencia, así como el cumplimiento de lo </w:t>
      </w:r>
      <w:r w:rsidRPr="00337175">
        <w:rPr>
          <w:rFonts w:ascii="Bookman Old Style" w:hAnsi="Bookman Old Style"/>
          <w:lang w:val="es-ES_tradnl"/>
        </w:rPr>
        <w:t xml:space="preserve">establecido en el </w:t>
      </w:r>
      <w:r w:rsidRPr="00337175">
        <w:rPr>
          <w:rFonts w:ascii="Bookman Old Style" w:hAnsi="Bookman Old Style"/>
          <w:lang w:val="es-ES_tradnl"/>
        </w:rPr>
        <w:lastRenderedPageBreak/>
        <w:t>artículo 4 del Decreto 2897 de 2010, reglamentario de la Ley 1340 de 2009</w:t>
      </w:r>
      <w:r w:rsidRPr="00337175">
        <w:rPr>
          <w:rFonts w:ascii="Bookman Old Style" w:hAnsi="Bookman Old Style"/>
          <w:vertAlign w:val="superscript"/>
          <w:lang w:val="es-ES_tradnl"/>
        </w:rPr>
        <w:footnoteReference w:id="9"/>
      </w:r>
      <w:r>
        <w:rPr>
          <w:rFonts w:ascii="Bookman Old Style" w:hAnsi="Bookman Old Style"/>
          <w:lang w:val="es-ES_tradnl"/>
        </w:rPr>
        <w:t xml:space="preserve">, así como la atención de los comentarios y recomendaciones que sobre este proyecto regulatorio realizó la Superintendencia de Industria y Comercio. </w:t>
      </w:r>
    </w:p>
    <w:p w14:paraId="5BA01FE9" w14:textId="77777777" w:rsidR="00654AED" w:rsidRDefault="00654AED" w:rsidP="00654AED">
      <w:pPr>
        <w:ind w:left="-142" w:right="-142"/>
        <w:jc w:val="both"/>
        <w:rPr>
          <w:rFonts w:ascii="Bookman Old Style" w:hAnsi="Bookman Old Style"/>
          <w:lang w:val="es-ES_tradnl"/>
        </w:rPr>
      </w:pPr>
    </w:p>
    <w:p w14:paraId="28F50AA2" w14:textId="77777777" w:rsidR="00654AED" w:rsidRDefault="00654AED" w:rsidP="00654AED">
      <w:pPr>
        <w:ind w:left="-142" w:right="-142"/>
        <w:jc w:val="both"/>
        <w:rPr>
          <w:rFonts w:ascii="Bookman Old Style" w:hAnsi="Bookman Old Style"/>
          <w:lang w:val="es-ES_tradnl"/>
        </w:rPr>
      </w:pPr>
      <w:r w:rsidRPr="00E91AFB">
        <w:rPr>
          <w:rFonts w:ascii="Bookman Old Style" w:hAnsi="Bookman Old Style"/>
          <w:lang w:val="es-ES_tradnl"/>
        </w:rPr>
        <w:t>Tal como se expone en la resolución objeto de impugnación, el cuestionario que allí se expone se hace a efectos de precisar que dicho acto administrativo corresponde a la definición de situaciones administrativas particulares y concretas como parte de la aplicación de los artículos 8 y 9 de la Resolución CREG 063 de 2016.</w:t>
      </w:r>
      <w:r>
        <w:rPr>
          <w:rFonts w:ascii="Bookman Old Style" w:hAnsi="Bookman Old Style"/>
          <w:lang w:val="es-ES_tradnl"/>
        </w:rPr>
        <w:t xml:space="preserve"> La restricción a la competencia obedece a la media contenida en la Resolución CREG 063 de 2016 relativa a la capacidad de compra, la cual surtió el trámite de abogacía de la competencia correspondiente en los términos de la Ley 1340 de 2009 y sus decretos reglamentarios, por lo que los actos particulares corresponden a una aplicación de dicha medida general en una situación particular y concreta. </w:t>
      </w:r>
    </w:p>
    <w:p w14:paraId="5BA5AC49" w14:textId="77777777" w:rsidR="00654AED" w:rsidRDefault="00654AED" w:rsidP="00654AED">
      <w:pPr>
        <w:pStyle w:val="Textoindependiente2"/>
        <w:spacing w:after="0" w:line="240" w:lineRule="auto"/>
        <w:ind w:left="-142" w:right="-142"/>
        <w:jc w:val="both"/>
        <w:rPr>
          <w:rFonts w:ascii="Bookman Old Style" w:hAnsi="Bookman Old Style"/>
          <w:szCs w:val="27"/>
        </w:rPr>
      </w:pPr>
    </w:p>
    <w:p w14:paraId="7DCF58A3" w14:textId="77777777" w:rsidR="00654AED" w:rsidRDefault="00654AED" w:rsidP="00654AED">
      <w:pPr>
        <w:ind w:left="-142" w:right="-142"/>
        <w:jc w:val="both"/>
        <w:rPr>
          <w:rFonts w:ascii="Bookman Old Style" w:hAnsi="Bookman Old Style"/>
          <w:szCs w:val="27"/>
          <w:lang w:val="es-CO"/>
        </w:rPr>
      </w:pPr>
      <w:r>
        <w:rPr>
          <w:rFonts w:ascii="Bookman Old Style" w:hAnsi="Bookman Old Style"/>
          <w:szCs w:val="27"/>
          <w:lang w:val="es-CO"/>
        </w:rPr>
        <w:t xml:space="preserve">Finalmente, con respecto a la posibilidad de que se vea afectada la prestación del servicio de los mercados atendidos por Gas </w:t>
      </w:r>
      <w:proofErr w:type="spellStart"/>
      <w:r>
        <w:rPr>
          <w:rFonts w:ascii="Bookman Old Style" w:hAnsi="Bookman Old Style"/>
          <w:szCs w:val="27"/>
          <w:lang w:val="es-CO"/>
        </w:rPr>
        <w:t>Pac</w:t>
      </w:r>
      <w:proofErr w:type="spellEnd"/>
      <w:r>
        <w:rPr>
          <w:rFonts w:ascii="Bookman Old Style" w:hAnsi="Bookman Old Style"/>
          <w:szCs w:val="27"/>
          <w:lang w:val="es-CO"/>
        </w:rPr>
        <w:t xml:space="preserve"> en la medida que no sea definida la capacidad de compra en los términos solicitados por la empresa, se debe precisar que estos no corresponden a la realidad e indirectamente buscan justificar la expedición de la decisión de carácter regulatorio en beneficio de un agente en específico.</w:t>
      </w:r>
    </w:p>
    <w:p w14:paraId="1688698B" w14:textId="77777777" w:rsidR="00654AED" w:rsidRDefault="00654AED" w:rsidP="00654AED">
      <w:pPr>
        <w:ind w:left="0" w:right="-142"/>
        <w:jc w:val="both"/>
        <w:rPr>
          <w:rFonts w:ascii="Bookman Old Style" w:hAnsi="Bookman Old Style"/>
          <w:szCs w:val="27"/>
          <w:lang w:val="es-CO"/>
        </w:rPr>
      </w:pPr>
    </w:p>
    <w:p w14:paraId="0A45A495" w14:textId="77777777" w:rsidR="00654AED" w:rsidRDefault="00654AED" w:rsidP="00654AED">
      <w:pPr>
        <w:ind w:left="-142" w:right="-142"/>
        <w:jc w:val="both"/>
        <w:rPr>
          <w:rFonts w:ascii="Bookman Old Style" w:hAnsi="Bookman Old Style"/>
          <w:szCs w:val="27"/>
          <w:lang w:val="es-CO"/>
        </w:rPr>
      </w:pPr>
      <w:r>
        <w:rPr>
          <w:rFonts w:ascii="Bookman Old Style" w:hAnsi="Bookman Old Style"/>
          <w:szCs w:val="27"/>
          <w:lang w:val="es-CO"/>
        </w:rPr>
        <w:t xml:space="preserve">En este sentido, dentro de los análisis expuestos a la Comisión a efectos de aprobar la Resolución CREG 168 de 2017, esta Comisión advierte un análisis de impacto el cual abarca la continuidad en la prestación eficiente del servicio de acuerdo con lo previsto en la Ley 142 de 1994, teniendo en cuenta que el marco de las actividades de distribución y comercialización minorista de GLP se sustentan en el marco de la libre competencia, atendiendo un esquema de libertad vigilada previsto en la Resolución CREG 001  de 2009, el cual comprende la posibilidad de que cualquier agente puede prestar el servicio en el país y que los usuarios cuentan con libertad de escoger a su prestador del servicio; concluyendo que existe una </w:t>
      </w:r>
      <w:proofErr w:type="spellStart"/>
      <w:r>
        <w:rPr>
          <w:rFonts w:ascii="Bookman Old Style" w:hAnsi="Bookman Old Style"/>
          <w:szCs w:val="27"/>
          <w:lang w:val="es-CO"/>
        </w:rPr>
        <w:t>desafiabilidad</w:t>
      </w:r>
      <w:proofErr w:type="spellEnd"/>
      <w:r>
        <w:rPr>
          <w:rFonts w:ascii="Bookman Old Style" w:hAnsi="Bookman Old Style"/>
          <w:szCs w:val="27"/>
          <w:lang w:val="es-CO"/>
        </w:rPr>
        <w:t xml:space="preserve"> de los mercados, incluyendo aquellos que son atendidos por la recurrente. </w:t>
      </w:r>
    </w:p>
    <w:p w14:paraId="2CC7AC9D" w14:textId="77777777" w:rsidR="00654AED" w:rsidRDefault="00654AED" w:rsidP="00654AED">
      <w:pPr>
        <w:ind w:left="-142" w:right="-142"/>
        <w:jc w:val="both"/>
        <w:rPr>
          <w:rFonts w:ascii="Bookman Old Style" w:hAnsi="Bookman Old Style"/>
          <w:szCs w:val="27"/>
          <w:lang w:val="es-CO"/>
        </w:rPr>
      </w:pPr>
    </w:p>
    <w:p w14:paraId="19107BA9" w14:textId="260605B3" w:rsidR="003B72EE" w:rsidRDefault="00654AED" w:rsidP="003B72EE">
      <w:pPr>
        <w:ind w:left="-142" w:right="-142"/>
        <w:jc w:val="both"/>
        <w:rPr>
          <w:rFonts w:ascii="Bookman Old Style" w:hAnsi="Bookman Old Style"/>
          <w:szCs w:val="27"/>
          <w:lang w:val="es-CO"/>
        </w:rPr>
      </w:pPr>
      <w:r>
        <w:rPr>
          <w:rFonts w:ascii="Bookman Old Style" w:hAnsi="Bookman Old Style"/>
          <w:szCs w:val="27"/>
          <w:lang w:val="es-CO"/>
        </w:rPr>
        <w:t>Dicho análisis de impacto, se sustenta en una evaluació</w:t>
      </w:r>
      <w:r w:rsidR="009757CA">
        <w:rPr>
          <w:rFonts w:ascii="Bookman Old Style" w:hAnsi="Bookman Old Style"/>
          <w:szCs w:val="27"/>
          <w:lang w:val="es-CO"/>
        </w:rPr>
        <w:t xml:space="preserve">n de </w:t>
      </w:r>
      <w:proofErr w:type="spellStart"/>
      <w:r w:rsidR="009757CA">
        <w:rPr>
          <w:rFonts w:ascii="Bookman Old Style" w:hAnsi="Bookman Old Style"/>
          <w:szCs w:val="27"/>
          <w:lang w:val="es-CO"/>
        </w:rPr>
        <w:t>desafiabilidad</w:t>
      </w:r>
      <w:proofErr w:type="spellEnd"/>
      <w:r w:rsidR="009757CA">
        <w:rPr>
          <w:rFonts w:ascii="Bookman Old Style" w:hAnsi="Bookman Old Style"/>
          <w:szCs w:val="27"/>
          <w:lang w:val="es-CO"/>
        </w:rPr>
        <w:t xml:space="preserve"> de mercados realizada</w:t>
      </w:r>
      <w:r>
        <w:rPr>
          <w:rFonts w:ascii="Bookman Old Style" w:hAnsi="Bookman Old Style"/>
          <w:szCs w:val="27"/>
          <w:lang w:val="es-CO"/>
        </w:rPr>
        <w:t xml:space="preserve"> </w:t>
      </w:r>
      <w:r w:rsidR="009757CA">
        <w:rPr>
          <w:rFonts w:ascii="Bookman Old Style" w:hAnsi="Bookman Old Style"/>
          <w:szCs w:val="27"/>
          <w:lang w:val="es-CO"/>
        </w:rPr>
        <w:t>a</w:t>
      </w:r>
      <w:r w:rsidR="003B72EE" w:rsidRPr="003B72EE">
        <w:rPr>
          <w:rFonts w:ascii="Bookman Old Style" w:hAnsi="Bookman Old Style"/>
          <w:szCs w:val="27"/>
          <w:lang w:val="es-CO"/>
        </w:rPr>
        <w:t xml:space="preserve"> partir de la información de ventas de distribuidores minorista repo</w:t>
      </w:r>
      <w:r w:rsidR="003B72EE">
        <w:rPr>
          <w:rFonts w:ascii="Bookman Old Style" w:hAnsi="Bookman Old Style"/>
          <w:szCs w:val="27"/>
          <w:lang w:val="es-CO"/>
        </w:rPr>
        <w:t>rtada al SUI durante el primer semestre del año 2017</w:t>
      </w:r>
      <w:r w:rsidR="003B72EE" w:rsidRPr="003B72EE">
        <w:rPr>
          <w:rFonts w:ascii="Bookman Old Style" w:hAnsi="Bookman Old Style"/>
          <w:szCs w:val="27"/>
          <w:lang w:val="es-CO"/>
        </w:rPr>
        <w:t xml:space="preserve"> y la información de capac</w:t>
      </w:r>
      <w:r w:rsidR="003B72EE">
        <w:rPr>
          <w:rFonts w:ascii="Bookman Old Style" w:hAnsi="Bookman Old Style"/>
          <w:szCs w:val="27"/>
          <w:lang w:val="es-CO"/>
        </w:rPr>
        <w:t>idad de compra vigente para el tercer</w:t>
      </w:r>
      <w:r w:rsidR="003B72EE" w:rsidRPr="003B72EE">
        <w:rPr>
          <w:rFonts w:ascii="Bookman Old Style" w:hAnsi="Bookman Old Style"/>
          <w:szCs w:val="27"/>
          <w:lang w:val="es-CO"/>
        </w:rPr>
        <w:t xml:space="preserve"> periodo de compra, se prorratea la capacidad de compra por distribuidor y por departamento a fin de obtener una capacidad de compra departamental estimada. </w:t>
      </w:r>
    </w:p>
    <w:p w14:paraId="2864C502" w14:textId="77777777" w:rsidR="003B72EE" w:rsidRDefault="003B72EE" w:rsidP="003B72EE">
      <w:pPr>
        <w:ind w:left="-142" w:right="-142"/>
        <w:jc w:val="both"/>
        <w:rPr>
          <w:rFonts w:ascii="Bookman Old Style" w:hAnsi="Bookman Old Style"/>
          <w:szCs w:val="27"/>
          <w:lang w:val="es-CO"/>
        </w:rPr>
      </w:pPr>
    </w:p>
    <w:p w14:paraId="3CE6A38F" w14:textId="77777777" w:rsidR="003B72EE" w:rsidRPr="00820480" w:rsidRDefault="003B72EE" w:rsidP="003B72EE">
      <w:pPr>
        <w:ind w:left="-142" w:right="-142"/>
        <w:jc w:val="both"/>
        <w:rPr>
          <w:rFonts w:ascii="Bookman Old Style" w:eastAsia="Calibri" w:hAnsi="Bookman Old Style"/>
          <w:lang w:val="es-CO" w:eastAsia="en-US"/>
        </w:rPr>
      </w:pPr>
      <w:r w:rsidRPr="008F38C0">
        <w:rPr>
          <w:rFonts w:ascii="Bookman Old Style" w:eastAsia="Calibri" w:hAnsi="Bookman Old Style"/>
          <w:lang w:val="es-CO" w:eastAsia="en-US"/>
        </w:rPr>
        <w:t xml:space="preserve">De acuerdo con la información </w:t>
      </w:r>
      <w:r>
        <w:rPr>
          <w:rFonts w:ascii="Bookman Old Style" w:eastAsia="Calibri" w:hAnsi="Bookman Old Style"/>
          <w:lang w:val="es-CO" w:eastAsia="en-US"/>
        </w:rPr>
        <w:t xml:space="preserve">reportada al SUI la empresa Gas </w:t>
      </w:r>
      <w:proofErr w:type="spellStart"/>
      <w:r>
        <w:rPr>
          <w:rFonts w:ascii="Bookman Old Style" w:eastAsia="Calibri" w:hAnsi="Bookman Old Style"/>
          <w:lang w:val="es-CO" w:eastAsia="en-US"/>
        </w:rPr>
        <w:t>Pac</w:t>
      </w:r>
      <w:proofErr w:type="spellEnd"/>
      <w:r>
        <w:rPr>
          <w:rFonts w:ascii="Bookman Old Style" w:eastAsia="Calibri" w:hAnsi="Bookman Old Style"/>
          <w:lang w:val="es-CO" w:eastAsia="en-US"/>
        </w:rPr>
        <w:t xml:space="preserve"> S.A.S. E.S.P. atiende usuarios en los departamentos de Bogotá D.C., Cauca, Cundinamarca, Meta y Nariño. </w:t>
      </w:r>
      <w:r>
        <w:rPr>
          <w:rFonts w:ascii="Bookman Old Style" w:hAnsi="Bookman Old Style"/>
          <w:szCs w:val="27"/>
          <w:lang w:val="es-CO"/>
        </w:rPr>
        <w:t>Para el caso de los</w:t>
      </w:r>
      <w:r w:rsidRPr="003B72EE">
        <w:rPr>
          <w:rFonts w:ascii="Bookman Old Style" w:hAnsi="Bookman Old Style"/>
          <w:szCs w:val="27"/>
          <w:lang w:val="es-CO"/>
        </w:rPr>
        <w:t xml:space="preserve"> departamento</w:t>
      </w:r>
      <w:r>
        <w:rPr>
          <w:rFonts w:ascii="Bookman Old Style" w:hAnsi="Bookman Old Style"/>
          <w:szCs w:val="27"/>
          <w:lang w:val="es-CO"/>
        </w:rPr>
        <w:t>s</w:t>
      </w:r>
      <w:r w:rsidRPr="003B72EE">
        <w:rPr>
          <w:rFonts w:ascii="Bookman Old Style" w:hAnsi="Bookman Old Style"/>
          <w:szCs w:val="27"/>
          <w:lang w:val="es-CO"/>
        </w:rPr>
        <w:t xml:space="preserve"> </w:t>
      </w:r>
      <w:r>
        <w:rPr>
          <w:rFonts w:ascii="Bookman Old Style" w:hAnsi="Bookman Old Style"/>
          <w:szCs w:val="27"/>
          <w:lang w:val="es-CO"/>
        </w:rPr>
        <w:t>en mención</w:t>
      </w:r>
      <w:r w:rsidRPr="003B72EE">
        <w:rPr>
          <w:rFonts w:ascii="Bookman Old Style" w:hAnsi="Bookman Old Style"/>
          <w:szCs w:val="27"/>
          <w:lang w:val="es-CO"/>
        </w:rPr>
        <w:t xml:space="preserve"> se obtienen los siguientes valores:</w:t>
      </w:r>
    </w:p>
    <w:p w14:paraId="771D89E0" w14:textId="77777777" w:rsidR="003B72EE" w:rsidRDefault="003B72EE" w:rsidP="008F38C0">
      <w:pPr>
        <w:ind w:left="-142" w:right="-142"/>
        <w:jc w:val="both"/>
        <w:rPr>
          <w:rFonts w:ascii="Bookman Old Style" w:hAnsi="Bookman Old Style"/>
          <w:szCs w:val="27"/>
          <w:lang w:val="es-CO"/>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1"/>
        <w:gridCol w:w="3036"/>
        <w:gridCol w:w="2268"/>
      </w:tblGrid>
      <w:tr w:rsidR="003B72EE" w:rsidRPr="003B72EE" w14:paraId="1D356E28" w14:textId="77777777" w:rsidTr="00820480">
        <w:trPr>
          <w:trHeight w:val="300"/>
          <w:tblHeader/>
          <w:jc w:val="center"/>
        </w:trPr>
        <w:tc>
          <w:tcPr>
            <w:tcW w:w="1921" w:type="dxa"/>
            <w:shd w:val="clear" w:color="auto" w:fill="auto"/>
            <w:noWrap/>
            <w:vAlign w:val="center"/>
            <w:hideMark/>
          </w:tcPr>
          <w:p w14:paraId="433F49EA" w14:textId="402B4EA7" w:rsidR="003B72EE" w:rsidRPr="00820480" w:rsidRDefault="009757CA" w:rsidP="003B72EE">
            <w:pPr>
              <w:ind w:left="0"/>
              <w:rPr>
                <w:rFonts w:ascii="Bookman Old Style" w:hAnsi="Bookman Old Style"/>
                <w:b/>
                <w:lang w:val="es-CO" w:eastAsia="es-CO"/>
              </w:rPr>
            </w:pPr>
            <w:r w:rsidRPr="009757CA">
              <w:rPr>
                <w:rFonts w:ascii="Bookman Old Style" w:hAnsi="Bookman Old Style"/>
                <w:b/>
                <w:lang w:val="es-CO" w:eastAsia="es-CO"/>
              </w:rPr>
              <w:t>Departamento</w:t>
            </w:r>
          </w:p>
        </w:tc>
        <w:tc>
          <w:tcPr>
            <w:tcW w:w="3036" w:type="dxa"/>
            <w:shd w:val="clear" w:color="auto" w:fill="auto"/>
            <w:noWrap/>
            <w:vAlign w:val="center"/>
            <w:hideMark/>
          </w:tcPr>
          <w:p w14:paraId="6E037371" w14:textId="77777777" w:rsidR="003B72EE" w:rsidRPr="00820480" w:rsidRDefault="003B72EE" w:rsidP="00820480">
            <w:pPr>
              <w:ind w:left="0"/>
              <w:jc w:val="center"/>
              <w:rPr>
                <w:rFonts w:ascii="Bookman Old Style" w:hAnsi="Bookman Old Style"/>
                <w:b/>
                <w:bCs/>
                <w:color w:val="000000"/>
                <w:lang w:val="es-CO" w:eastAsia="es-CO"/>
              </w:rPr>
            </w:pPr>
            <w:r w:rsidRPr="00820480">
              <w:rPr>
                <w:rFonts w:ascii="Bookman Old Style" w:hAnsi="Bookman Old Style"/>
                <w:b/>
                <w:bCs/>
                <w:color w:val="000000"/>
                <w:lang w:val="es-CO" w:eastAsia="es-CO"/>
              </w:rPr>
              <w:t>Capacidad de compra (kg/semestre)</w:t>
            </w:r>
          </w:p>
        </w:tc>
        <w:tc>
          <w:tcPr>
            <w:tcW w:w="2268" w:type="dxa"/>
            <w:shd w:val="clear" w:color="auto" w:fill="auto"/>
            <w:noWrap/>
            <w:vAlign w:val="center"/>
            <w:hideMark/>
          </w:tcPr>
          <w:p w14:paraId="1570A34D" w14:textId="77777777" w:rsidR="003B72EE" w:rsidRPr="00820480" w:rsidRDefault="003B72EE" w:rsidP="00820480">
            <w:pPr>
              <w:ind w:left="0"/>
              <w:jc w:val="center"/>
              <w:rPr>
                <w:rFonts w:ascii="Bookman Old Style" w:hAnsi="Bookman Old Style"/>
                <w:b/>
                <w:bCs/>
                <w:color w:val="000000"/>
                <w:lang w:val="es-CO" w:eastAsia="es-CO"/>
              </w:rPr>
            </w:pPr>
            <w:r w:rsidRPr="00820480">
              <w:rPr>
                <w:rFonts w:ascii="Bookman Old Style" w:hAnsi="Bookman Old Style"/>
                <w:b/>
                <w:bCs/>
                <w:color w:val="000000"/>
                <w:lang w:val="es-CO" w:eastAsia="es-CO"/>
              </w:rPr>
              <w:t>Ventas (kg/semestre)</w:t>
            </w:r>
          </w:p>
        </w:tc>
      </w:tr>
      <w:tr w:rsidR="00F0307F" w:rsidRPr="003B72EE" w14:paraId="5DEBFA96" w14:textId="77777777" w:rsidTr="00820480">
        <w:trPr>
          <w:trHeight w:val="300"/>
          <w:jc w:val="center"/>
        </w:trPr>
        <w:tc>
          <w:tcPr>
            <w:tcW w:w="1921" w:type="dxa"/>
            <w:shd w:val="clear" w:color="auto" w:fill="auto"/>
            <w:noWrap/>
            <w:vAlign w:val="bottom"/>
            <w:hideMark/>
          </w:tcPr>
          <w:p w14:paraId="25CFBC51" w14:textId="77777777" w:rsidR="003B72EE" w:rsidRPr="00820480" w:rsidRDefault="003B72EE" w:rsidP="003B72EE">
            <w:pPr>
              <w:ind w:left="0"/>
              <w:rPr>
                <w:rFonts w:ascii="Bookman Old Style" w:hAnsi="Bookman Old Style"/>
                <w:color w:val="000000"/>
                <w:lang w:val="es-CO" w:eastAsia="es-CO"/>
              </w:rPr>
            </w:pPr>
            <w:r>
              <w:rPr>
                <w:rFonts w:ascii="Bookman Old Style" w:hAnsi="Bookman Old Style"/>
                <w:color w:val="000000"/>
                <w:lang w:val="es-CO" w:eastAsia="es-CO"/>
              </w:rPr>
              <w:t>Bogotá</w:t>
            </w:r>
            <w:r w:rsidRPr="00820480">
              <w:rPr>
                <w:rFonts w:ascii="Bookman Old Style" w:hAnsi="Bookman Old Style"/>
                <w:color w:val="000000"/>
                <w:lang w:val="es-CO" w:eastAsia="es-CO"/>
              </w:rPr>
              <w:t>, D.C.</w:t>
            </w:r>
          </w:p>
        </w:tc>
        <w:tc>
          <w:tcPr>
            <w:tcW w:w="3036" w:type="dxa"/>
            <w:shd w:val="clear" w:color="auto" w:fill="auto"/>
            <w:noWrap/>
            <w:vAlign w:val="bottom"/>
            <w:hideMark/>
          </w:tcPr>
          <w:p w14:paraId="2D78235A"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30.998.990</w:t>
            </w:r>
          </w:p>
        </w:tc>
        <w:tc>
          <w:tcPr>
            <w:tcW w:w="2268" w:type="dxa"/>
            <w:shd w:val="clear" w:color="auto" w:fill="auto"/>
            <w:noWrap/>
            <w:vAlign w:val="bottom"/>
            <w:hideMark/>
          </w:tcPr>
          <w:p w14:paraId="74F108D0"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22.411.978</w:t>
            </w:r>
          </w:p>
        </w:tc>
      </w:tr>
      <w:tr w:rsidR="00F0307F" w:rsidRPr="003B72EE" w14:paraId="54B5F1EF" w14:textId="77777777" w:rsidTr="00820480">
        <w:trPr>
          <w:trHeight w:val="300"/>
          <w:jc w:val="center"/>
        </w:trPr>
        <w:tc>
          <w:tcPr>
            <w:tcW w:w="1921" w:type="dxa"/>
            <w:shd w:val="clear" w:color="auto" w:fill="auto"/>
            <w:noWrap/>
            <w:vAlign w:val="bottom"/>
            <w:hideMark/>
          </w:tcPr>
          <w:p w14:paraId="40F94367" w14:textId="77777777" w:rsidR="003B72EE" w:rsidRPr="00820480" w:rsidRDefault="003B72EE" w:rsidP="003B72EE">
            <w:pPr>
              <w:ind w:left="0"/>
              <w:rPr>
                <w:rFonts w:ascii="Bookman Old Style" w:hAnsi="Bookman Old Style"/>
                <w:color w:val="000000"/>
                <w:lang w:val="es-CO" w:eastAsia="es-CO"/>
              </w:rPr>
            </w:pPr>
            <w:r w:rsidRPr="00820480">
              <w:rPr>
                <w:rFonts w:ascii="Bookman Old Style" w:hAnsi="Bookman Old Style"/>
                <w:color w:val="000000"/>
                <w:lang w:val="es-CO" w:eastAsia="es-CO"/>
              </w:rPr>
              <w:t>Cauca</w:t>
            </w:r>
          </w:p>
        </w:tc>
        <w:tc>
          <w:tcPr>
            <w:tcW w:w="3036" w:type="dxa"/>
            <w:shd w:val="clear" w:color="auto" w:fill="auto"/>
            <w:noWrap/>
            <w:vAlign w:val="bottom"/>
            <w:hideMark/>
          </w:tcPr>
          <w:p w14:paraId="359BAA60"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11.304.078</w:t>
            </w:r>
          </w:p>
        </w:tc>
        <w:tc>
          <w:tcPr>
            <w:tcW w:w="2268" w:type="dxa"/>
            <w:shd w:val="clear" w:color="auto" w:fill="auto"/>
            <w:noWrap/>
            <w:vAlign w:val="bottom"/>
            <w:hideMark/>
          </w:tcPr>
          <w:p w14:paraId="2FE3E431"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8.314.889</w:t>
            </w:r>
          </w:p>
        </w:tc>
      </w:tr>
      <w:tr w:rsidR="00F0307F" w:rsidRPr="003B72EE" w14:paraId="1C76A38C" w14:textId="77777777" w:rsidTr="00820480">
        <w:trPr>
          <w:trHeight w:val="300"/>
          <w:jc w:val="center"/>
        </w:trPr>
        <w:tc>
          <w:tcPr>
            <w:tcW w:w="1921" w:type="dxa"/>
            <w:shd w:val="clear" w:color="auto" w:fill="auto"/>
            <w:noWrap/>
            <w:vAlign w:val="bottom"/>
            <w:hideMark/>
          </w:tcPr>
          <w:p w14:paraId="630F3843" w14:textId="77777777" w:rsidR="003B72EE" w:rsidRPr="00820480" w:rsidRDefault="003B72EE" w:rsidP="003B72EE">
            <w:pPr>
              <w:ind w:left="0"/>
              <w:rPr>
                <w:rFonts w:ascii="Bookman Old Style" w:hAnsi="Bookman Old Style"/>
                <w:color w:val="000000"/>
                <w:lang w:val="es-CO" w:eastAsia="es-CO"/>
              </w:rPr>
            </w:pPr>
            <w:r w:rsidRPr="00820480">
              <w:rPr>
                <w:rFonts w:ascii="Bookman Old Style" w:hAnsi="Bookman Old Style"/>
                <w:color w:val="000000"/>
                <w:lang w:val="es-CO" w:eastAsia="es-CO"/>
              </w:rPr>
              <w:lastRenderedPageBreak/>
              <w:t>Cundinamarca</w:t>
            </w:r>
          </w:p>
        </w:tc>
        <w:tc>
          <w:tcPr>
            <w:tcW w:w="3036" w:type="dxa"/>
            <w:shd w:val="clear" w:color="auto" w:fill="auto"/>
            <w:noWrap/>
            <w:vAlign w:val="bottom"/>
            <w:hideMark/>
          </w:tcPr>
          <w:p w14:paraId="59EE4565"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47.801.295</w:t>
            </w:r>
          </w:p>
        </w:tc>
        <w:tc>
          <w:tcPr>
            <w:tcW w:w="2268" w:type="dxa"/>
            <w:shd w:val="clear" w:color="auto" w:fill="auto"/>
            <w:noWrap/>
            <w:vAlign w:val="bottom"/>
            <w:hideMark/>
          </w:tcPr>
          <w:p w14:paraId="24E9127A"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34.196.152</w:t>
            </w:r>
          </w:p>
        </w:tc>
      </w:tr>
      <w:tr w:rsidR="00F0307F" w:rsidRPr="003B72EE" w14:paraId="13DA9BBE" w14:textId="77777777" w:rsidTr="00820480">
        <w:trPr>
          <w:trHeight w:val="300"/>
          <w:jc w:val="center"/>
        </w:trPr>
        <w:tc>
          <w:tcPr>
            <w:tcW w:w="1921" w:type="dxa"/>
            <w:shd w:val="clear" w:color="auto" w:fill="auto"/>
            <w:noWrap/>
            <w:vAlign w:val="bottom"/>
            <w:hideMark/>
          </w:tcPr>
          <w:p w14:paraId="0E6CE171" w14:textId="77777777" w:rsidR="003B72EE" w:rsidRPr="00820480" w:rsidRDefault="003B72EE" w:rsidP="003B72EE">
            <w:pPr>
              <w:ind w:left="0"/>
              <w:rPr>
                <w:rFonts w:ascii="Bookman Old Style" w:hAnsi="Bookman Old Style"/>
                <w:color w:val="000000"/>
                <w:lang w:val="es-CO" w:eastAsia="es-CO"/>
              </w:rPr>
            </w:pPr>
            <w:r w:rsidRPr="00820480">
              <w:rPr>
                <w:rFonts w:ascii="Bookman Old Style" w:hAnsi="Bookman Old Style"/>
                <w:color w:val="000000"/>
                <w:lang w:val="es-CO" w:eastAsia="es-CO"/>
              </w:rPr>
              <w:t>Meta</w:t>
            </w:r>
          </w:p>
        </w:tc>
        <w:tc>
          <w:tcPr>
            <w:tcW w:w="3036" w:type="dxa"/>
            <w:shd w:val="clear" w:color="auto" w:fill="auto"/>
            <w:noWrap/>
            <w:vAlign w:val="bottom"/>
            <w:hideMark/>
          </w:tcPr>
          <w:p w14:paraId="02116CA5"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10.460.902</w:t>
            </w:r>
          </w:p>
        </w:tc>
        <w:tc>
          <w:tcPr>
            <w:tcW w:w="2268" w:type="dxa"/>
            <w:shd w:val="clear" w:color="auto" w:fill="auto"/>
            <w:noWrap/>
            <w:vAlign w:val="bottom"/>
            <w:hideMark/>
          </w:tcPr>
          <w:p w14:paraId="71819915"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7.589.458</w:t>
            </w:r>
          </w:p>
        </w:tc>
      </w:tr>
      <w:tr w:rsidR="00F0307F" w:rsidRPr="003B72EE" w14:paraId="4D45E5E9" w14:textId="77777777" w:rsidTr="00820480">
        <w:trPr>
          <w:trHeight w:val="300"/>
          <w:jc w:val="center"/>
        </w:trPr>
        <w:tc>
          <w:tcPr>
            <w:tcW w:w="1921" w:type="dxa"/>
            <w:shd w:val="clear" w:color="auto" w:fill="auto"/>
            <w:noWrap/>
            <w:vAlign w:val="bottom"/>
            <w:hideMark/>
          </w:tcPr>
          <w:p w14:paraId="44957BCD" w14:textId="77777777" w:rsidR="003B72EE" w:rsidRPr="00820480" w:rsidRDefault="003B72EE" w:rsidP="003B72EE">
            <w:pPr>
              <w:ind w:left="0"/>
              <w:rPr>
                <w:rFonts w:ascii="Bookman Old Style" w:hAnsi="Bookman Old Style"/>
                <w:color w:val="000000"/>
                <w:lang w:val="es-CO" w:eastAsia="es-CO"/>
              </w:rPr>
            </w:pPr>
            <w:r w:rsidRPr="00820480">
              <w:rPr>
                <w:rFonts w:ascii="Bookman Old Style" w:hAnsi="Bookman Old Style"/>
                <w:color w:val="000000"/>
                <w:lang w:val="es-CO" w:eastAsia="es-CO"/>
              </w:rPr>
              <w:t>Nariño</w:t>
            </w:r>
          </w:p>
        </w:tc>
        <w:tc>
          <w:tcPr>
            <w:tcW w:w="3036" w:type="dxa"/>
            <w:shd w:val="clear" w:color="auto" w:fill="auto"/>
            <w:noWrap/>
            <w:vAlign w:val="bottom"/>
            <w:hideMark/>
          </w:tcPr>
          <w:p w14:paraId="35BB2EA8"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25.210.503</w:t>
            </w:r>
          </w:p>
        </w:tc>
        <w:tc>
          <w:tcPr>
            <w:tcW w:w="2268" w:type="dxa"/>
            <w:shd w:val="clear" w:color="auto" w:fill="auto"/>
            <w:noWrap/>
            <w:vAlign w:val="bottom"/>
            <w:hideMark/>
          </w:tcPr>
          <w:p w14:paraId="68F9ABEF" w14:textId="77777777" w:rsidR="003B72EE" w:rsidRPr="00820480" w:rsidRDefault="003B72EE" w:rsidP="009757CA">
            <w:pPr>
              <w:ind w:left="0"/>
              <w:jc w:val="center"/>
              <w:rPr>
                <w:rFonts w:ascii="Bookman Old Style" w:hAnsi="Bookman Old Style"/>
                <w:color w:val="000000"/>
                <w:lang w:val="es-CO" w:eastAsia="es-CO"/>
              </w:rPr>
            </w:pPr>
            <w:r w:rsidRPr="00820480">
              <w:rPr>
                <w:rFonts w:ascii="Bookman Old Style" w:hAnsi="Bookman Old Style"/>
                <w:color w:val="000000"/>
                <w:lang w:val="es-CO" w:eastAsia="es-CO"/>
              </w:rPr>
              <w:t>24.873.483</w:t>
            </w:r>
          </w:p>
        </w:tc>
      </w:tr>
    </w:tbl>
    <w:p w14:paraId="0D91FFAD" w14:textId="12BC74BB" w:rsidR="003B72EE" w:rsidRPr="009757CA" w:rsidRDefault="009757CA" w:rsidP="009757CA">
      <w:pPr>
        <w:ind w:left="-142" w:right="-142"/>
        <w:jc w:val="center"/>
        <w:rPr>
          <w:rFonts w:ascii="Bookman Old Style" w:hAnsi="Bookman Old Style"/>
          <w:sz w:val="20"/>
          <w:szCs w:val="27"/>
          <w:lang w:val="es-CO"/>
        </w:rPr>
      </w:pPr>
      <w:r w:rsidRPr="009757CA">
        <w:rPr>
          <w:rFonts w:ascii="Bookman Old Style" w:hAnsi="Bookman Old Style"/>
          <w:sz w:val="20"/>
          <w:szCs w:val="27"/>
          <w:lang w:val="es-CO"/>
        </w:rPr>
        <w:t>Fuente: SUI. Cálculos: CREG</w:t>
      </w:r>
    </w:p>
    <w:p w14:paraId="350A5622" w14:textId="77777777" w:rsidR="003B72EE" w:rsidRDefault="003B72EE" w:rsidP="008F38C0">
      <w:pPr>
        <w:ind w:left="-142" w:right="-142"/>
        <w:jc w:val="both"/>
        <w:rPr>
          <w:rFonts w:ascii="Bookman Old Style" w:hAnsi="Bookman Old Style"/>
          <w:szCs w:val="27"/>
          <w:lang w:val="es-CO"/>
        </w:rPr>
      </w:pPr>
    </w:p>
    <w:p w14:paraId="52FAD65D" w14:textId="3D49B9A8" w:rsidR="008F38C0" w:rsidRDefault="00820480" w:rsidP="003B72EE">
      <w:pPr>
        <w:ind w:left="-142" w:right="-142"/>
        <w:jc w:val="both"/>
        <w:rPr>
          <w:rFonts w:ascii="Bookman Old Style" w:eastAsia="Calibri" w:hAnsi="Bookman Old Style"/>
          <w:lang w:val="es-CO" w:eastAsia="en-US"/>
        </w:rPr>
      </w:pPr>
      <w:r>
        <w:rPr>
          <w:rFonts w:ascii="Bookman Old Style" w:eastAsia="Calibri" w:hAnsi="Bookman Old Style"/>
          <w:lang w:val="es-CO" w:eastAsia="en-US"/>
        </w:rPr>
        <w:t>Atendiendo</w:t>
      </w:r>
      <w:r w:rsidR="003B72EE">
        <w:rPr>
          <w:rFonts w:ascii="Bookman Old Style" w:eastAsia="Calibri" w:hAnsi="Bookman Old Style"/>
          <w:lang w:val="es-CO" w:eastAsia="en-US"/>
        </w:rPr>
        <w:t xml:space="preserve"> el análisis de </w:t>
      </w:r>
      <w:proofErr w:type="spellStart"/>
      <w:r w:rsidR="003B72EE">
        <w:rPr>
          <w:rFonts w:ascii="Bookman Old Style" w:eastAsia="Calibri" w:hAnsi="Bookman Old Style"/>
          <w:lang w:val="es-CO" w:eastAsia="en-US"/>
        </w:rPr>
        <w:t>desafiabilidad</w:t>
      </w:r>
      <w:proofErr w:type="spellEnd"/>
      <w:r w:rsidR="003B72EE">
        <w:rPr>
          <w:rFonts w:ascii="Bookman Old Style" w:eastAsia="Calibri" w:hAnsi="Bookman Old Style"/>
          <w:lang w:val="es-CO" w:eastAsia="en-US"/>
        </w:rPr>
        <w:t xml:space="preserve"> de mercados para todos los departamentos atendidos se encuentra que la capacidad de compra agregada para cada departamento es superior a las ventas históricas registradas. </w:t>
      </w:r>
    </w:p>
    <w:p w14:paraId="7BFE7D95" w14:textId="77777777" w:rsidR="003B72EE" w:rsidRPr="008F38C0" w:rsidRDefault="003B72EE" w:rsidP="003B72EE">
      <w:pPr>
        <w:ind w:left="-142" w:right="-142"/>
        <w:jc w:val="both"/>
        <w:rPr>
          <w:rFonts w:ascii="Bookman Old Style" w:eastAsia="Calibri" w:hAnsi="Bookman Old Style"/>
          <w:lang w:val="es-CO" w:eastAsia="en-US"/>
        </w:rPr>
      </w:pPr>
    </w:p>
    <w:p w14:paraId="6D24A820" w14:textId="175E11AF" w:rsidR="00654AED" w:rsidRPr="000B38E4" w:rsidRDefault="003B72EE" w:rsidP="00830ABF">
      <w:pPr>
        <w:ind w:left="-142" w:right="-142"/>
        <w:jc w:val="both"/>
        <w:rPr>
          <w:rFonts w:ascii="Bookman Old Style" w:eastAsia="Calibri" w:hAnsi="Bookman Old Style"/>
          <w:sz w:val="16"/>
          <w:szCs w:val="16"/>
          <w:lang w:val="es-CO" w:eastAsia="en-US"/>
        </w:rPr>
      </w:pPr>
      <w:r>
        <w:rPr>
          <w:rFonts w:ascii="Bookman Old Style" w:hAnsi="Bookman Old Style"/>
          <w:szCs w:val="27"/>
          <w:lang w:val="es-CO"/>
        </w:rPr>
        <w:t>Lo anterior indica que</w:t>
      </w:r>
      <w:r w:rsidR="00654AED">
        <w:rPr>
          <w:rFonts w:ascii="Bookman Old Style" w:hAnsi="Bookman Old Style"/>
          <w:szCs w:val="27"/>
          <w:lang w:val="es-CO"/>
        </w:rPr>
        <w:t xml:space="preserve">, existen otros prestadores con capacidad de compra que pueden llevar a cabo la prestación del servicio y pueden llevar a cabo la </w:t>
      </w:r>
      <w:proofErr w:type="spellStart"/>
      <w:r w:rsidR="00654AED">
        <w:rPr>
          <w:rFonts w:ascii="Bookman Old Style" w:hAnsi="Bookman Old Style"/>
          <w:szCs w:val="27"/>
          <w:lang w:val="es-CO"/>
        </w:rPr>
        <w:t>desafiabilidad</w:t>
      </w:r>
      <w:proofErr w:type="spellEnd"/>
      <w:r w:rsidR="00654AED">
        <w:rPr>
          <w:rFonts w:ascii="Bookman Old Style" w:hAnsi="Bookman Old Style"/>
          <w:szCs w:val="27"/>
          <w:lang w:val="es-CO"/>
        </w:rPr>
        <w:t xml:space="preserve"> de mercados de otros agentes, incluyendo el caso de la recurrente o por la ausencia de otro prestador. </w:t>
      </w:r>
    </w:p>
    <w:p w14:paraId="3252BC27" w14:textId="77777777" w:rsidR="00830ABF" w:rsidRDefault="00830ABF" w:rsidP="00654AED">
      <w:pPr>
        <w:ind w:left="-142" w:right="-142"/>
        <w:jc w:val="both"/>
        <w:rPr>
          <w:rFonts w:ascii="Bookman Old Style" w:hAnsi="Bookman Old Style"/>
          <w:szCs w:val="27"/>
          <w:lang w:val="es-CO"/>
        </w:rPr>
      </w:pPr>
    </w:p>
    <w:p w14:paraId="2B08E6A2" w14:textId="77777777" w:rsidR="00654AED" w:rsidRDefault="00654AED" w:rsidP="00654AED">
      <w:pPr>
        <w:ind w:left="-142" w:right="-142"/>
        <w:jc w:val="both"/>
        <w:rPr>
          <w:rFonts w:ascii="Bookman Old Style" w:hAnsi="Bookman Old Style"/>
          <w:szCs w:val="27"/>
          <w:lang w:val="es-CO"/>
        </w:rPr>
      </w:pPr>
      <w:r>
        <w:rPr>
          <w:rFonts w:ascii="Bookman Old Style" w:hAnsi="Bookman Old Style"/>
          <w:szCs w:val="27"/>
          <w:lang w:val="es-CO"/>
        </w:rPr>
        <w:t>En este sentido, la regulación y las decisiones adoptadas por esta Comisión no se hacen atendiendo fines, beneficios o buscando la protección de un agente en particular, sino las mismas se ajustan a los fines y objetivos en el marco de la Ley 142 de 1994 como lo son el garantizar la continuidad y prestación del servicio de manera eficiente.</w:t>
      </w:r>
    </w:p>
    <w:p w14:paraId="0F848CC0" w14:textId="77777777" w:rsidR="00654AED" w:rsidRDefault="00654AED" w:rsidP="00654AED">
      <w:pPr>
        <w:ind w:left="-142" w:right="-142"/>
        <w:jc w:val="both"/>
        <w:rPr>
          <w:rFonts w:ascii="Bookman Old Style" w:hAnsi="Bookman Old Style"/>
          <w:szCs w:val="27"/>
          <w:lang w:val="es-CO"/>
        </w:rPr>
      </w:pPr>
    </w:p>
    <w:p w14:paraId="6B18688E" w14:textId="77777777" w:rsidR="00654AED" w:rsidRPr="001B2C28" w:rsidRDefault="00654AED" w:rsidP="00654AED">
      <w:pPr>
        <w:ind w:left="-142" w:right="-142"/>
        <w:jc w:val="both"/>
        <w:rPr>
          <w:rFonts w:ascii="Bookman Old Style" w:hAnsi="Bookman Old Style"/>
          <w:szCs w:val="27"/>
          <w:lang w:val="es-CO"/>
        </w:rPr>
      </w:pPr>
      <w:r>
        <w:rPr>
          <w:rFonts w:ascii="Bookman Old Style" w:hAnsi="Bookman Old Style"/>
          <w:szCs w:val="27"/>
          <w:lang w:val="es-CO"/>
        </w:rPr>
        <w:t xml:space="preserve">Así mismo, se debe recordar al recurrente </w:t>
      </w:r>
      <w:proofErr w:type="gramStart"/>
      <w:r>
        <w:rPr>
          <w:rFonts w:ascii="Bookman Old Style" w:hAnsi="Bookman Old Style"/>
          <w:szCs w:val="27"/>
          <w:lang w:val="es-CO"/>
        </w:rPr>
        <w:t>que</w:t>
      </w:r>
      <w:proofErr w:type="gramEnd"/>
      <w:r>
        <w:rPr>
          <w:rFonts w:ascii="Bookman Old Style" w:hAnsi="Bookman Old Style"/>
          <w:szCs w:val="27"/>
          <w:lang w:val="es-CO"/>
        </w:rPr>
        <w:t xml:space="preserve"> de acuerdo con </w:t>
      </w:r>
      <w:r w:rsidRPr="001B2C28">
        <w:rPr>
          <w:rFonts w:ascii="Bookman Old Style" w:hAnsi="Bookman Old Style"/>
          <w:szCs w:val="27"/>
          <w:lang w:val="es-CO"/>
        </w:rPr>
        <w:t>lo previsto en la regulación, la Resolución CREG 023 de 2008, por la cual se establece el reglamento de distribución y comercialización minorista de GLP, establece dentro de las obligaciones de los distribuidores</w:t>
      </w:r>
      <w:r>
        <w:rPr>
          <w:rFonts w:ascii="Bookman Old Style" w:hAnsi="Bookman Old Style"/>
          <w:szCs w:val="27"/>
          <w:lang w:val="es-CO"/>
        </w:rPr>
        <w:t xml:space="preserve"> está</w:t>
      </w:r>
      <w:r w:rsidRPr="001B2C28">
        <w:rPr>
          <w:rFonts w:ascii="Bookman Old Style" w:hAnsi="Bookman Old Style"/>
          <w:szCs w:val="27"/>
          <w:lang w:val="es-CO"/>
        </w:rPr>
        <w:t xml:space="preserve">: </w:t>
      </w:r>
    </w:p>
    <w:p w14:paraId="22700261" w14:textId="77777777" w:rsidR="00654AED" w:rsidRPr="007A3A09" w:rsidRDefault="00654AED" w:rsidP="00654AED">
      <w:pPr>
        <w:pStyle w:val="Textoindependiente"/>
        <w:contextualSpacing/>
      </w:pPr>
    </w:p>
    <w:p w14:paraId="3E180134" w14:textId="77777777" w:rsidR="00654AED" w:rsidRPr="001B2C28" w:rsidRDefault="00654AED" w:rsidP="00654AED">
      <w:pPr>
        <w:ind w:left="284" w:right="284"/>
        <w:jc w:val="both"/>
        <w:rPr>
          <w:rFonts w:ascii="Bookman Old Style" w:hAnsi="Bookman Old Style"/>
          <w:sz w:val="20"/>
          <w:szCs w:val="20"/>
          <w:lang w:val="es-CO"/>
        </w:rPr>
      </w:pPr>
      <w:r>
        <w:rPr>
          <w:rFonts w:ascii="Bookman Old Style" w:hAnsi="Bookman Old Style"/>
          <w:sz w:val="20"/>
          <w:szCs w:val="20"/>
          <w:lang w:val="es-CO"/>
        </w:rPr>
        <w:t>“(…) Artículo 6</w:t>
      </w:r>
      <w:r w:rsidRPr="001B2C28">
        <w:rPr>
          <w:rFonts w:ascii="Bookman Old Style" w:hAnsi="Bookman Old Style"/>
          <w:sz w:val="20"/>
          <w:szCs w:val="20"/>
          <w:lang w:val="es-CO"/>
        </w:rPr>
        <w:t>. OBLIGACIONES GENERALES DEL DISTRIBUIDOR.</w:t>
      </w:r>
      <w:r>
        <w:rPr>
          <w:rFonts w:ascii="Bookman Old Style" w:hAnsi="Bookman Old Style"/>
          <w:sz w:val="20"/>
          <w:szCs w:val="20"/>
          <w:lang w:val="es-CO"/>
        </w:rPr>
        <w:t xml:space="preserve"> </w:t>
      </w:r>
      <w:r w:rsidRPr="001B2C28">
        <w:rPr>
          <w:rFonts w:ascii="Bookman Old Style" w:hAnsi="Bookman Old Style"/>
          <w:sz w:val="20"/>
          <w:szCs w:val="20"/>
          <w:lang w:val="es-CO"/>
        </w:rPr>
        <w:t>Las empresas que realicen la actividad de Distribución del Servicio Público Domiciliario de GLP están obligadas a: (…)</w:t>
      </w:r>
    </w:p>
    <w:p w14:paraId="39F30A0C" w14:textId="77777777" w:rsidR="00654AED" w:rsidRPr="001B2C28" w:rsidRDefault="00654AED" w:rsidP="00654AED">
      <w:pPr>
        <w:ind w:left="284" w:right="284"/>
        <w:jc w:val="both"/>
        <w:rPr>
          <w:rFonts w:ascii="Bookman Old Style" w:hAnsi="Bookman Old Style"/>
          <w:sz w:val="20"/>
          <w:szCs w:val="20"/>
          <w:lang w:val="es-CO"/>
        </w:rPr>
      </w:pPr>
    </w:p>
    <w:p w14:paraId="3BD54640" w14:textId="77777777" w:rsidR="00654AED" w:rsidRPr="00633DE4" w:rsidRDefault="00654AED" w:rsidP="00654AED">
      <w:pPr>
        <w:ind w:left="284" w:right="284"/>
        <w:jc w:val="both"/>
        <w:rPr>
          <w:rFonts w:ascii="Bookman Old Style" w:hAnsi="Bookman Old Style"/>
          <w:sz w:val="20"/>
          <w:szCs w:val="20"/>
          <w:lang w:val="es-CO"/>
        </w:rPr>
      </w:pPr>
      <w:r w:rsidRPr="00747196">
        <w:rPr>
          <w:rFonts w:ascii="Bookman Old Style" w:hAnsi="Bookman Old Style"/>
          <w:b/>
          <w:sz w:val="20"/>
          <w:szCs w:val="20"/>
          <w:u w:val="single"/>
          <w:lang w:val="es-CO"/>
        </w:rPr>
        <w:t>2.</w:t>
      </w:r>
      <w:r w:rsidRPr="00747196">
        <w:rPr>
          <w:rFonts w:ascii="Bookman Old Style" w:hAnsi="Bookman Old Style"/>
          <w:b/>
          <w:sz w:val="20"/>
          <w:szCs w:val="20"/>
          <w:u w:val="single"/>
          <w:lang w:val="es-CO"/>
        </w:rPr>
        <w:tab/>
        <w:t xml:space="preserve">Abastecer de manera confiable su mercado, por lo </w:t>
      </w:r>
      <w:proofErr w:type="gramStart"/>
      <w:r w:rsidRPr="00747196">
        <w:rPr>
          <w:rFonts w:ascii="Bookman Old Style" w:hAnsi="Bookman Old Style"/>
          <w:b/>
          <w:sz w:val="20"/>
          <w:szCs w:val="20"/>
          <w:u w:val="single"/>
          <w:lang w:val="es-CO"/>
        </w:rPr>
        <w:t>tanto</w:t>
      </w:r>
      <w:proofErr w:type="gramEnd"/>
      <w:r w:rsidRPr="00747196">
        <w:rPr>
          <w:rFonts w:ascii="Bookman Old Style" w:hAnsi="Bookman Old Style"/>
          <w:b/>
          <w:sz w:val="20"/>
          <w:szCs w:val="20"/>
          <w:u w:val="single"/>
          <w:lang w:val="es-CO"/>
        </w:rPr>
        <w:t xml:space="preserve"> debe ubicar las fuentes de suministro de producto y los medios adecuados para su transporte. En el evento en que el distribuidor suspenda o restrinja el suministro del servicio, tanto el usuario como el comercializador minorista podrán dar por resuelto el contrato de prestación del servicio </w:t>
      </w:r>
      <w:proofErr w:type="spellStart"/>
      <w:r w:rsidRPr="00747196">
        <w:rPr>
          <w:rFonts w:ascii="Bookman Old Style" w:hAnsi="Bookman Old Style"/>
          <w:b/>
          <w:sz w:val="20"/>
          <w:szCs w:val="20"/>
          <w:u w:val="single"/>
          <w:lang w:val="es-CO"/>
        </w:rPr>
        <w:t>ó</w:t>
      </w:r>
      <w:proofErr w:type="spellEnd"/>
      <w:r w:rsidRPr="00747196">
        <w:rPr>
          <w:rFonts w:ascii="Bookman Old Style" w:hAnsi="Bookman Old Style"/>
          <w:b/>
          <w:sz w:val="20"/>
          <w:szCs w:val="20"/>
          <w:u w:val="single"/>
          <w:lang w:val="es-CO"/>
        </w:rPr>
        <w:t xml:space="preserve"> el contrato de suministro de GLP envasado, según sea el caso, sin perjuicio de las disposiciones establecidas en los mismos y de las sanciones que le imponga la autoridad de control y vigilancia, si a ello hubiere lugar</w:t>
      </w:r>
      <w:r>
        <w:rPr>
          <w:rFonts w:ascii="Bookman Old Style" w:hAnsi="Bookman Old Style"/>
          <w:sz w:val="20"/>
          <w:szCs w:val="20"/>
          <w:lang w:val="es-CO"/>
        </w:rPr>
        <w:t>. (…)” (Resaltado fuera de texto)</w:t>
      </w:r>
    </w:p>
    <w:p w14:paraId="7FF4E18F" w14:textId="77777777" w:rsidR="00654AED" w:rsidRDefault="00654AED" w:rsidP="00654AED">
      <w:pPr>
        <w:pStyle w:val="Textoindependiente2"/>
        <w:spacing w:after="0" w:line="240" w:lineRule="auto"/>
        <w:ind w:left="-142" w:right="-142"/>
        <w:jc w:val="both"/>
        <w:rPr>
          <w:rFonts w:ascii="Bookman Old Style" w:hAnsi="Bookman Old Style" w:cs="Arial"/>
          <w:spacing w:val="-5"/>
          <w:lang w:val="es-CO" w:eastAsia="en-US"/>
        </w:rPr>
      </w:pPr>
    </w:p>
    <w:p w14:paraId="707E22C2" w14:textId="77777777" w:rsidR="00D126E3" w:rsidRPr="00C84DF8" w:rsidRDefault="00830ABF" w:rsidP="00C84DF8">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De acuerdo con lo anteriormente expuesto</w:t>
      </w:r>
      <w:r w:rsidR="009152B5">
        <w:rPr>
          <w:rFonts w:ascii="Bookman Old Style" w:hAnsi="Bookman Old Style" w:cs="Arial"/>
          <w:spacing w:val="-5"/>
          <w:lang w:val="es-CO" w:eastAsia="en-US"/>
        </w:rPr>
        <w:t xml:space="preserve">, </w:t>
      </w:r>
      <w:r w:rsidR="00C84DF8">
        <w:rPr>
          <w:rFonts w:ascii="Bookman Old Style" w:hAnsi="Bookman Old Style" w:cs="Arial"/>
          <w:spacing w:val="-5"/>
          <w:lang w:val="es-CO" w:eastAsia="en-US"/>
        </w:rPr>
        <w:t xml:space="preserve">se reitera que para el caso de la expedición de la Resolución </w:t>
      </w:r>
      <w:r w:rsidR="003A4D1B">
        <w:rPr>
          <w:rFonts w:ascii="Bookman Old Style" w:hAnsi="Bookman Old Style" w:cs="Arial"/>
          <w:spacing w:val="-5"/>
          <w:lang w:val="es-CO" w:eastAsia="en-US"/>
        </w:rPr>
        <w:t>168</w:t>
      </w:r>
      <w:r w:rsidR="00C84DF8">
        <w:rPr>
          <w:rFonts w:ascii="Bookman Old Style" w:hAnsi="Bookman Old Style" w:cs="Arial"/>
          <w:spacing w:val="-5"/>
          <w:lang w:val="es-CO" w:eastAsia="en-US"/>
        </w:rPr>
        <w:t xml:space="preserve"> de 2017, la misma se realizó </w:t>
      </w:r>
      <w:r w:rsidR="00C84DF8" w:rsidRPr="00C84DF8">
        <w:rPr>
          <w:rFonts w:ascii="Bookman Old Style" w:hAnsi="Bookman Old Style" w:cs="Arial"/>
          <w:spacing w:val="-5"/>
          <w:lang w:val="es-CO" w:eastAsia="en-US"/>
        </w:rPr>
        <w:t>atendiendo el procedimiento previsto en la Resolución CREG 063 de 2016 y la información del Sistema Único de Información – SUI con base en la formación remitida por la Superintendencia de S</w:t>
      </w:r>
      <w:r w:rsidR="00C84DF8">
        <w:rPr>
          <w:rFonts w:ascii="Bookman Old Style" w:hAnsi="Bookman Old Style" w:cs="Arial"/>
          <w:spacing w:val="-5"/>
          <w:lang w:val="es-CO" w:eastAsia="en-US"/>
        </w:rPr>
        <w:t xml:space="preserve">ervicios Públicos Domiciliarios, razón por la cual, </w:t>
      </w:r>
      <w:r w:rsidR="000B6DCD">
        <w:rPr>
          <w:rFonts w:ascii="Bookman Old Style" w:hAnsi="Bookman Old Style" w:cs="Arial"/>
          <w:spacing w:val="-5"/>
          <w:lang w:val="es-CO" w:eastAsia="en-US"/>
        </w:rPr>
        <w:t xml:space="preserve">los argumentos expuestos por la recurrente no son procedentes y por lo tanto, no conllevan a </w:t>
      </w:r>
      <w:r w:rsidR="009152B5">
        <w:rPr>
          <w:rFonts w:ascii="Bookman Old Style" w:hAnsi="Bookman Old Style" w:cs="Arial"/>
          <w:spacing w:val="-5"/>
          <w:lang w:val="es-CO" w:eastAsia="en-US"/>
        </w:rPr>
        <w:t xml:space="preserve">modificar </w:t>
      </w:r>
      <w:r w:rsidR="000B6DCD">
        <w:rPr>
          <w:rFonts w:ascii="Bookman Old Style" w:hAnsi="Bookman Old Style" w:cs="Arial"/>
          <w:spacing w:val="-5"/>
          <w:lang w:val="es-CO" w:eastAsia="en-US"/>
        </w:rPr>
        <w:t xml:space="preserve">o revocar </w:t>
      </w:r>
      <w:r w:rsidR="009152B5">
        <w:rPr>
          <w:rFonts w:ascii="Bookman Old Style" w:hAnsi="Bookman Old Style" w:cs="Arial"/>
          <w:spacing w:val="-5"/>
          <w:lang w:val="es-CO" w:eastAsia="en-US"/>
        </w:rPr>
        <w:t>lo re</w:t>
      </w:r>
      <w:r w:rsidR="00905FB0">
        <w:rPr>
          <w:rFonts w:ascii="Bookman Old Style" w:hAnsi="Bookman Old Style" w:cs="Arial"/>
          <w:spacing w:val="-5"/>
          <w:lang w:val="es-CO" w:eastAsia="en-US"/>
        </w:rPr>
        <w:t xml:space="preserve">suelto en </w:t>
      </w:r>
      <w:r w:rsidR="00C84DF8">
        <w:rPr>
          <w:rFonts w:ascii="Bookman Old Style" w:hAnsi="Bookman Old Style" w:cs="Arial"/>
          <w:spacing w:val="-5"/>
          <w:lang w:val="es-CO" w:eastAsia="en-US"/>
        </w:rPr>
        <w:t>dicho acto administrativo</w:t>
      </w:r>
      <w:r w:rsidR="006069BF">
        <w:rPr>
          <w:rFonts w:ascii="Bookman Old Style" w:hAnsi="Bookman Old Style"/>
          <w:szCs w:val="27"/>
        </w:rPr>
        <w:t xml:space="preserve">. </w:t>
      </w:r>
    </w:p>
    <w:p w14:paraId="32085767" w14:textId="77777777" w:rsidR="00C44304" w:rsidRDefault="00C44304" w:rsidP="00905FB0">
      <w:pPr>
        <w:pStyle w:val="Textoindependiente2"/>
        <w:spacing w:after="0" w:line="240" w:lineRule="auto"/>
        <w:ind w:left="0" w:right="-142"/>
        <w:jc w:val="both"/>
        <w:rPr>
          <w:rFonts w:ascii="Bookman Old Style" w:hAnsi="Bookman Old Style"/>
          <w:szCs w:val="27"/>
        </w:rPr>
      </w:pPr>
    </w:p>
    <w:p w14:paraId="428C6E3C" w14:textId="510BB92B" w:rsidR="00830ABF" w:rsidRDefault="00FE6180" w:rsidP="00820480">
      <w:pPr>
        <w:pStyle w:val="Textoindependiente2"/>
        <w:spacing w:after="0" w:line="240" w:lineRule="auto"/>
        <w:ind w:left="-142" w:right="-142"/>
        <w:jc w:val="both"/>
        <w:rPr>
          <w:rFonts w:ascii="Bookman Old Style" w:hAnsi="Bookman Old Style"/>
          <w:szCs w:val="27"/>
        </w:rPr>
      </w:pPr>
      <w:r w:rsidRPr="00FE6180">
        <w:rPr>
          <w:rFonts w:ascii="Bookman Old Style" w:hAnsi="Bookman Old Style"/>
          <w:szCs w:val="27"/>
        </w:rPr>
        <w:t xml:space="preserve">Una vez expuestos los anteriores argumentos, la Comisión de Regulación de Energía y Gas, en su sesión No. </w:t>
      </w:r>
      <w:r w:rsidR="00E2737D">
        <w:rPr>
          <w:rFonts w:ascii="Bookman Old Style" w:hAnsi="Bookman Old Style"/>
          <w:szCs w:val="27"/>
        </w:rPr>
        <w:t>826</w:t>
      </w:r>
      <w:r w:rsidRPr="00FE6180">
        <w:rPr>
          <w:rFonts w:ascii="Bookman Old Style" w:hAnsi="Bookman Old Style"/>
          <w:szCs w:val="27"/>
        </w:rPr>
        <w:t xml:space="preserve"> del </w:t>
      </w:r>
      <w:r w:rsidR="00E2737D">
        <w:rPr>
          <w:rFonts w:ascii="Bookman Old Style" w:hAnsi="Bookman Old Style"/>
          <w:szCs w:val="27"/>
        </w:rPr>
        <w:t>18</w:t>
      </w:r>
      <w:r w:rsidR="00C84DF8">
        <w:rPr>
          <w:rFonts w:ascii="Bookman Old Style" w:hAnsi="Bookman Old Style"/>
          <w:szCs w:val="27"/>
        </w:rPr>
        <w:t xml:space="preserve"> de </w:t>
      </w:r>
      <w:r w:rsidR="00830ABF">
        <w:rPr>
          <w:rFonts w:ascii="Bookman Old Style" w:hAnsi="Bookman Old Style"/>
          <w:szCs w:val="27"/>
        </w:rPr>
        <w:t>diciembre</w:t>
      </w:r>
      <w:r w:rsidRPr="00FE6180">
        <w:rPr>
          <w:rFonts w:ascii="Bookman Old Style" w:hAnsi="Bookman Old Style"/>
          <w:szCs w:val="27"/>
        </w:rPr>
        <w:t xml:space="preserve"> de 2017, acordó expedir la presente </w:t>
      </w:r>
      <w:r w:rsidRPr="00FE6180">
        <w:rPr>
          <w:rFonts w:ascii="Bookman Old Style" w:hAnsi="Bookman Old Style" w:cs="Arial"/>
          <w:spacing w:val="-5"/>
          <w:lang w:val="es-CO" w:eastAsia="en-US"/>
        </w:rPr>
        <w:t>resolución</w:t>
      </w:r>
      <w:r w:rsidRPr="00FE6180">
        <w:rPr>
          <w:rFonts w:ascii="Bookman Old Style" w:hAnsi="Bookman Old Style"/>
          <w:szCs w:val="27"/>
        </w:rPr>
        <w:t xml:space="preserve"> mediante la cual se resuelve el recurso de repo</w:t>
      </w:r>
      <w:r w:rsidR="00C84DF8">
        <w:rPr>
          <w:rFonts w:ascii="Bookman Old Style" w:hAnsi="Bookman Old Style"/>
          <w:szCs w:val="27"/>
        </w:rPr>
        <w:t xml:space="preserve">sición interpuesto por </w:t>
      </w:r>
      <w:r w:rsidR="00830ABF">
        <w:rPr>
          <w:rFonts w:ascii="Bookman Old Style" w:hAnsi="Bookman Old Style"/>
          <w:szCs w:val="27"/>
        </w:rPr>
        <w:t xml:space="preserve">Gas </w:t>
      </w:r>
      <w:proofErr w:type="spellStart"/>
      <w:r w:rsidR="00830ABF">
        <w:rPr>
          <w:rFonts w:ascii="Bookman Old Style" w:hAnsi="Bookman Old Style"/>
          <w:szCs w:val="27"/>
        </w:rPr>
        <w:t>Pac</w:t>
      </w:r>
      <w:proofErr w:type="spellEnd"/>
      <w:r w:rsidR="00C84DF8">
        <w:rPr>
          <w:rFonts w:ascii="Bookman Old Style" w:hAnsi="Bookman Old Style"/>
          <w:szCs w:val="27"/>
        </w:rPr>
        <w:t xml:space="preserve"> </w:t>
      </w:r>
      <w:r>
        <w:rPr>
          <w:rFonts w:ascii="Bookman Old Style" w:hAnsi="Bookman Old Style"/>
          <w:szCs w:val="27"/>
        </w:rPr>
        <w:t>S.A.S. E.S.P.</w:t>
      </w:r>
      <w:r w:rsidRPr="00FE6180">
        <w:rPr>
          <w:rFonts w:ascii="Bookman Old Style" w:hAnsi="Bookman Old Style"/>
          <w:szCs w:val="27"/>
        </w:rPr>
        <w:t xml:space="preserve"> contra la Resolución CREG </w:t>
      </w:r>
      <w:r w:rsidR="00830ABF">
        <w:rPr>
          <w:rFonts w:ascii="Bookman Old Style" w:hAnsi="Bookman Old Style"/>
          <w:szCs w:val="27"/>
        </w:rPr>
        <w:t>168</w:t>
      </w:r>
      <w:r w:rsidRPr="00FE6180">
        <w:rPr>
          <w:rFonts w:ascii="Bookman Old Style" w:hAnsi="Bookman Old Style"/>
          <w:szCs w:val="27"/>
        </w:rPr>
        <w:t xml:space="preserve"> de 2017.</w:t>
      </w:r>
    </w:p>
    <w:p w14:paraId="49CB7A2A" w14:textId="77777777" w:rsidR="003356D8" w:rsidRPr="00820480" w:rsidRDefault="003356D8" w:rsidP="00820480">
      <w:pPr>
        <w:pStyle w:val="Textoindependiente2"/>
        <w:spacing w:after="0" w:line="240" w:lineRule="auto"/>
        <w:ind w:left="-142" w:right="-142"/>
        <w:jc w:val="both"/>
        <w:rPr>
          <w:rFonts w:ascii="Bookman Old Style" w:hAnsi="Bookman Old Style"/>
          <w:szCs w:val="27"/>
        </w:rPr>
      </w:pPr>
    </w:p>
    <w:p w14:paraId="206DD7E7" w14:textId="77777777" w:rsidR="00B15591" w:rsidRPr="00B15591" w:rsidRDefault="00C44304" w:rsidP="00B15591">
      <w:pPr>
        <w:tabs>
          <w:tab w:val="right" w:pos="9498"/>
        </w:tabs>
        <w:ind w:left="0" w:right="-142"/>
        <w:jc w:val="center"/>
        <w:rPr>
          <w:rFonts w:ascii="Bookman Old Style" w:hAnsi="Bookman Old Style" w:cs="Arial"/>
        </w:rPr>
      </w:pPr>
      <w:r w:rsidRPr="00945A3C">
        <w:rPr>
          <w:rFonts w:ascii="Bookman Old Style" w:hAnsi="Bookman Old Style" w:cs="Arial"/>
          <w:b/>
          <w:spacing w:val="80"/>
        </w:rPr>
        <w:lastRenderedPageBreak/>
        <w:t>RESUELVE</w:t>
      </w:r>
      <w:r w:rsidRPr="00945A3C">
        <w:rPr>
          <w:rFonts w:ascii="Bookman Old Style" w:hAnsi="Bookman Old Style" w:cs="Arial"/>
        </w:rPr>
        <w:t>:</w:t>
      </w:r>
    </w:p>
    <w:p w14:paraId="3100862C" w14:textId="77777777" w:rsidR="00B15591" w:rsidRDefault="00B15591" w:rsidP="00B15591">
      <w:pPr>
        <w:tabs>
          <w:tab w:val="right" w:pos="9498"/>
        </w:tabs>
        <w:ind w:left="0" w:right="-142"/>
        <w:jc w:val="both"/>
        <w:rPr>
          <w:rFonts w:ascii="Bookman Old Style" w:hAnsi="Bookman Old Style" w:cs="Arial"/>
          <w:b/>
          <w:spacing w:val="-3"/>
          <w:sz w:val="20"/>
        </w:rPr>
      </w:pPr>
    </w:p>
    <w:p w14:paraId="7C2803DF" w14:textId="77777777" w:rsidR="00C32652" w:rsidRPr="003234E2" w:rsidRDefault="00C32652" w:rsidP="00B15591">
      <w:pPr>
        <w:tabs>
          <w:tab w:val="right" w:pos="9498"/>
        </w:tabs>
        <w:ind w:left="0" w:right="-142"/>
        <w:jc w:val="both"/>
        <w:rPr>
          <w:rFonts w:ascii="Bookman Old Style" w:hAnsi="Bookman Old Style" w:cs="Arial"/>
          <w:b/>
          <w:spacing w:val="-3"/>
          <w:sz w:val="20"/>
        </w:rPr>
      </w:pPr>
    </w:p>
    <w:p w14:paraId="26298391" w14:textId="77777777" w:rsidR="00B15591" w:rsidRPr="003E59E7" w:rsidRDefault="00B15591" w:rsidP="00830ABF">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Pr>
          <w:rFonts w:ascii="Bookman Old Style" w:hAnsi="Bookman Old Style"/>
          <w:szCs w:val="27"/>
        </w:rPr>
        <w:t>N</w:t>
      </w:r>
      <w:r w:rsidRPr="00241733">
        <w:rPr>
          <w:rFonts w:ascii="Bookman Old Style" w:hAnsi="Bookman Old Style"/>
          <w:szCs w:val="27"/>
        </w:rPr>
        <w:t>o reponer</w:t>
      </w:r>
      <w:r w:rsidRPr="00241733">
        <w:rPr>
          <w:rFonts w:ascii="Bookman Old Style" w:hAnsi="Bookman Old Style"/>
          <w:b/>
          <w:szCs w:val="27"/>
        </w:rPr>
        <w:t xml:space="preserve"> </w:t>
      </w:r>
      <w:r w:rsidRPr="003E59E7">
        <w:rPr>
          <w:rFonts w:ascii="Bookman Old Style" w:hAnsi="Bookman Old Style"/>
          <w:szCs w:val="27"/>
        </w:rPr>
        <w:t xml:space="preserve">y confirmar en su integridad la Resolución CREG </w:t>
      </w:r>
      <w:r w:rsidR="003A4D1B">
        <w:rPr>
          <w:rFonts w:ascii="Bookman Old Style" w:hAnsi="Bookman Old Style"/>
          <w:szCs w:val="27"/>
        </w:rPr>
        <w:t>168</w:t>
      </w:r>
      <w:r>
        <w:rPr>
          <w:rFonts w:ascii="Bookman Old Style" w:hAnsi="Bookman Old Style"/>
          <w:szCs w:val="27"/>
        </w:rPr>
        <w:t xml:space="preserve"> de 2017 en relación con la definición de la capacidad de compra de la empresa </w:t>
      </w:r>
      <w:r w:rsidR="003A4D1B">
        <w:rPr>
          <w:rFonts w:ascii="Bookman Old Style" w:hAnsi="Bookman Old Style"/>
          <w:szCs w:val="27"/>
        </w:rPr>
        <w:t xml:space="preserve">Gas </w:t>
      </w:r>
      <w:proofErr w:type="spellStart"/>
      <w:r w:rsidR="003A4D1B">
        <w:rPr>
          <w:rFonts w:ascii="Bookman Old Style" w:hAnsi="Bookman Old Style"/>
          <w:szCs w:val="27"/>
        </w:rPr>
        <w:t>Pac</w:t>
      </w:r>
      <w:proofErr w:type="spellEnd"/>
      <w:r w:rsidR="00E71CDD">
        <w:rPr>
          <w:rFonts w:ascii="Bookman Old Style" w:hAnsi="Bookman Old Style"/>
          <w:szCs w:val="27"/>
        </w:rPr>
        <w:t xml:space="preserve"> S.A.S</w:t>
      </w:r>
      <w:r>
        <w:rPr>
          <w:rFonts w:ascii="Bookman Old Style" w:hAnsi="Bookman Old Style"/>
          <w:szCs w:val="27"/>
        </w:rPr>
        <w:t>. E.S.P.</w:t>
      </w:r>
      <w:r w:rsidRPr="003E59E7">
        <w:rPr>
          <w:rFonts w:ascii="Bookman Old Style" w:hAnsi="Bookman Old Style"/>
          <w:szCs w:val="27"/>
        </w:rPr>
        <w:t xml:space="preserve"> </w:t>
      </w:r>
      <w:r>
        <w:rPr>
          <w:rFonts w:ascii="Bookman Old Style" w:hAnsi="Bookman Old Style"/>
          <w:szCs w:val="27"/>
        </w:rPr>
        <w:t>de acuerdo con la parte motiva de la presente Resolución.</w:t>
      </w:r>
    </w:p>
    <w:p w14:paraId="21A90767" w14:textId="77777777" w:rsidR="00820683" w:rsidRDefault="00820683" w:rsidP="00B15591">
      <w:pPr>
        <w:tabs>
          <w:tab w:val="right" w:pos="9498"/>
        </w:tabs>
        <w:ind w:left="0" w:right="-142"/>
        <w:jc w:val="both"/>
        <w:rPr>
          <w:rFonts w:ascii="Bookman Old Style" w:hAnsi="Bookman Old Style" w:cs="Arial"/>
          <w:b/>
          <w:bCs/>
          <w:color w:val="666666"/>
          <w:sz w:val="27"/>
          <w:szCs w:val="27"/>
          <w:lang w:val="es-CO" w:eastAsia="es-CO"/>
        </w:rPr>
      </w:pPr>
    </w:p>
    <w:p w14:paraId="6C8DB6F5" w14:textId="77777777" w:rsidR="00C32652" w:rsidRPr="004A44D2" w:rsidRDefault="00830ABF" w:rsidP="004A44D2">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2</w:t>
      </w:r>
      <w:r w:rsidR="00B15591" w:rsidRPr="003E59E7">
        <w:rPr>
          <w:rFonts w:ascii="Bookman Old Style" w:hAnsi="Bookman Old Style"/>
          <w:b/>
          <w:szCs w:val="27"/>
        </w:rPr>
        <w:t>.</w:t>
      </w:r>
      <w:r w:rsidR="00B15591">
        <w:rPr>
          <w:rFonts w:ascii="Bookman Old Style" w:hAnsi="Bookman Old Style"/>
          <w:szCs w:val="27"/>
        </w:rPr>
        <w:t xml:space="preserve"> La presente r</w:t>
      </w:r>
      <w:r w:rsidR="00B15591" w:rsidRPr="003E59E7">
        <w:rPr>
          <w:rFonts w:ascii="Bookman Old Style" w:hAnsi="Bookman Old Style"/>
          <w:szCs w:val="27"/>
        </w:rPr>
        <w:t xml:space="preserve">esolución deberá notificarse a </w:t>
      </w:r>
      <w:r>
        <w:rPr>
          <w:rFonts w:ascii="Bookman Old Style" w:hAnsi="Bookman Old Style"/>
          <w:szCs w:val="27"/>
        </w:rPr>
        <w:t xml:space="preserve">Gas </w:t>
      </w:r>
      <w:proofErr w:type="spellStart"/>
      <w:r>
        <w:rPr>
          <w:rFonts w:ascii="Bookman Old Style" w:hAnsi="Bookman Old Style"/>
          <w:szCs w:val="27"/>
        </w:rPr>
        <w:t>Pac</w:t>
      </w:r>
      <w:proofErr w:type="spellEnd"/>
      <w:r w:rsidR="00820683">
        <w:rPr>
          <w:rFonts w:ascii="Bookman Old Style" w:hAnsi="Bookman Old Style"/>
          <w:szCs w:val="27"/>
        </w:rPr>
        <w:t xml:space="preserve"> S.A.S. </w:t>
      </w:r>
      <w:r w:rsidR="00B15591">
        <w:rPr>
          <w:rFonts w:ascii="Bookman Old Style" w:hAnsi="Bookman Old Style"/>
          <w:szCs w:val="27"/>
        </w:rPr>
        <w:t xml:space="preserve">E.S.P. </w:t>
      </w:r>
      <w:r w:rsidR="00B15591" w:rsidRPr="00067308">
        <w:rPr>
          <w:rFonts w:ascii="Bookman Old Style" w:hAnsi="Bookman Old Style"/>
          <w:szCs w:val="27"/>
        </w:rPr>
        <w:t>Contra lo aquí dispuesto no procede recurso alguno por haber finalizado la actuación administrativa correspondiente a la presentación de recursos previsto en la Ley.</w:t>
      </w:r>
    </w:p>
    <w:p w14:paraId="13B0CC38" w14:textId="77777777" w:rsidR="00FE6180" w:rsidRPr="003234E2" w:rsidRDefault="00FE6180" w:rsidP="00B15591">
      <w:pPr>
        <w:tabs>
          <w:tab w:val="right" w:pos="9498"/>
        </w:tabs>
        <w:ind w:left="0" w:right="-142"/>
        <w:rPr>
          <w:rFonts w:ascii="Bookman Old Style" w:hAnsi="Bookman Old Style" w:cs="Arial"/>
          <w:sz w:val="22"/>
        </w:rPr>
      </w:pPr>
    </w:p>
    <w:p w14:paraId="00973386" w14:textId="77777777" w:rsidR="00B15591" w:rsidRPr="005023D3" w:rsidRDefault="00B15591" w:rsidP="00B15591">
      <w:pPr>
        <w:ind w:left="-181"/>
        <w:jc w:val="center"/>
        <w:rPr>
          <w:rFonts w:ascii="Bookman Old Style" w:hAnsi="Bookman Old Style" w:cs="Arial"/>
          <w:b/>
        </w:rPr>
      </w:pPr>
      <w:r>
        <w:rPr>
          <w:rFonts w:ascii="Bookman Old Style" w:hAnsi="Bookman Old Style" w:cs="Arial"/>
          <w:b/>
        </w:rPr>
        <w:t xml:space="preserve">     NOTIFÍQUESE </w:t>
      </w:r>
      <w:r w:rsidRPr="005023D3">
        <w:rPr>
          <w:rFonts w:ascii="Bookman Old Style" w:hAnsi="Bookman Old Style" w:cs="Arial"/>
          <w:b/>
        </w:rPr>
        <w:t>Y CÚMPLASE,</w:t>
      </w:r>
    </w:p>
    <w:p w14:paraId="43A0517A" w14:textId="77777777" w:rsidR="00B15591" w:rsidRPr="003234E2" w:rsidRDefault="00B15591" w:rsidP="00B15591">
      <w:pPr>
        <w:ind w:left="0"/>
        <w:rPr>
          <w:rFonts w:ascii="Bookman Old Style" w:hAnsi="Bookman Old Style" w:cs="Arial"/>
          <w:sz w:val="20"/>
          <w:szCs w:val="20"/>
        </w:rPr>
      </w:pPr>
    </w:p>
    <w:p w14:paraId="78629F31" w14:textId="77777777" w:rsidR="00B15591" w:rsidRDefault="00B15591" w:rsidP="00FE6180">
      <w:pPr>
        <w:ind w:left="0"/>
        <w:rPr>
          <w:rFonts w:ascii="Bookman Old Style" w:hAnsi="Bookman Old Style" w:cs="Arial"/>
          <w:szCs w:val="20"/>
        </w:rPr>
      </w:pPr>
      <w:r w:rsidRPr="005023D3">
        <w:rPr>
          <w:rFonts w:ascii="Bookman Old Style" w:hAnsi="Bookman Old Style" w:cs="Arial"/>
          <w:szCs w:val="20"/>
        </w:rPr>
        <w:t>Dada en Bogotá, D.C.</w:t>
      </w:r>
    </w:p>
    <w:p w14:paraId="7A82195A" w14:textId="77777777" w:rsidR="00830ABF" w:rsidRDefault="00830ABF" w:rsidP="00FE6180">
      <w:pPr>
        <w:ind w:left="0"/>
        <w:rPr>
          <w:rFonts w:ascii="Bookman Old Style" w:hAnsi="Bookman Old Style" w:cs="Arial"/>
          <w:szCs w:val="20"/>
        </w:rPr>
      </w:pPr>
    </w:p>
    <w:p w14:paraId="6C1389F4" w14:textId="77777777" w:rsidR="00830ABF" w:rsidRDefault="00830ABF" w:rsidP="00FE6180">
      <w:pPr>
        <w:ind w:left="0"/>
        <w:rPr>
          <w:rFonts w:ascii="Bookman Old Style" w:hAnsi="Bookman Old Style" w:cs="Arial"/>
          <w:szCs w:val="20"/>
        </w:rPr>
      </w:pPr>
    </w:p>
    <w:p w14:paraId="44A04403" w14:textId="77777777" w:rsidR="00E2737D" w:rsidRDefault="00E2737D" w:rsidP="00FE6180">
      <w:pPr>
        <w:ind w:left="0"/>
        <w:rPr>
          <w:rFonts w:ascii="Bookman Old Style" w:hAnsi="Bookman Old Style" w:cs="Arial"/>
          <w:szCs w:val="20"/>
        </w:rPr>
      </w:pPr>
    </w:p>
    <w:p w14:paraId="535DEFFF" w14:textId="77777777" w:rsidR="00830ABF" w:rsidRDefault="00830ABF" w:rsidP="00FE6180">
      <w:pPr>
        <w:ind w:left="0"/>
        <w:rPr>
          <w:rFonts w:ascii="Bookman Old Style" w:hAnsi="Bookman Old Style" w:cs="Arial"/>
          <w:szCs w:val="20"/>
        </w:rPr>
      </w:pPr>
    </w:p>
    <w:p w14:paraId="55CCD95C" w14:textId="77777777" w:rsidR="00830ABF" w:rsidRDefault="00830ABF" w:rsidP="00FE6180">
      <w:pPr>
        <w:ind w:left="0"/>
        <w:rPr>
          <w:rFonts w:ascii="Bookman Old Style" w:hAnsi="Bookman Old Style" w:cs="Arial"/>
          <w:szCs w:val="20"/>
        </w:rPr>
      </w:pPr>
    </w:p>
    <w:tbl>
      <w:tblPr>
        <w:tblW w:w="8789" w:type="dxa"/>
        <w:jc w:val="center"/>
        <w:tblCellSpacing w:w="0" w:type="dxa"/>
        <w:tblCellMar>
          <w:left w:w="0" w:type="dxa"/>
          <w:right w:w="0" w:type="dxa"/>
        </w:tblCellMar>
        <w:tblLook w:val="04A0" w:firstRow="1" w:lastRow="0" w:firstColumn="1" w:lastColumn="0" w:noHBand="0" w:noVBand="1"/>
      </w:tblPr>
      <w:tblGrid>
        <w:gridCol w:w="4820"/>
        <w:gridCol w:w="3969"/>
      </w:tblGrid>
      <w:tr w:rsidR="00E2737D" w:rsidRPr="009377CA" w14:paraId="04190A50" w14:textId="77777777" w:rsidTr="003356D8">
        <w:trPr>
          <w:tblCellSpacing w:w="0" w:type="dxa"/>
          <w:jc w:val="center"/>
        </w:trPr>
        <w:tc>
          <w:tcPr>
            <w:tcW w:w="4820" w:type="dxa"/>
          </w:tcPr>
          <w:p w14:paraId="2EBB8274" w14:textId="77777777" w:rsidR="00E2737D" w:rsidRPr="009377CA" w:rsidRDefault="00E2737D" w:rsidP="008316C9">
            <w:pPr>
              <w:ind w:left="66"/>
              <w:jc w:val="center"/>
              <w:rPr>
                <w:rFonts w:ascii="Bookman Old Style" w:hAnsi="Bookman Old Style" w:cs="Arial"/>
                <w:b/>
                <w:spacing w:val="-3"/>
              </w:rPr>
            </w:pPr>
            <w:r w:rsidRPr="009377CA">
              <w:rPr>
                <w:rFonts w:ascii="Bookman Old Style" w:hAnsi="Bookman Old Style" w:cs="Arial"/>
                <w:b/>
                <w:spacing w:val="-3"/>
              </w:rPr>
              <w:t>GERMÁN ARCE ZAPATA</w:t>
            </w:r>
          </w:p>
          <w:p w14:paraId="6A88626C" w14:textId="77777777" w:rsidR="00E2737D" w:rsidRPr="009377CA" w:rsidRDefault="00E2737D" w:rsidP="008316C9">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14:paraId="0D34B19D" w14:textId="77777777" w:rsidR="00E2737D" w:rsidRPr="009377CA" w:rsidRDefault="00E2737D" w:rsidP="008316C9">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14:paraId="398E887C" w14:textId="77777777" w:rsidR="00E2737D" w:rsidRPr="009377CA" w:rsidRDefault="00E2737D" w:rsidP="008316C9">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14:paraId="2C16DC95" w14:textId="77777777" w:rsidR="00E2737D" w:rsidRPr="009377CA" w:rsidRDefault="00E2737D" w:rsidP="008316C9">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14:paraId="4FAD4BCB" w14:textId="77777777" w:rsidR="00830ABF" w:rsidRDefault="00830ABF" w:rsidP="00FE6180">
      <w:pPr>
        <w:ind w:left="0"/>
        <w:rPr>
          <w:rFonts w:ascii="Bookman Old Style" w:hAnsi="Bookman Old Style" w:cs="Arial"/>
          <w:szCs w:val="20"/>
        </w:rPr>
      </w:pPr>
    </w:p>
    <w:p w14:paraId="46419572" w14:textId="77777777" w:rsidR="00830ABF" w:rsidRDefault="00830ABF" w:rsidP="00FE6180">
      <w:pPr>
        <w:ind w:left="0"/>
        <w:rPr>
          <w:rFonts w:ascii="Bookman Old Style" w:hAnsi="Bookman Old Style" w:cs="Arial"/>
          <w:szCs w:val="20"/>
        </w:rPr>
      </w:pPr>
    </w:p>
    <w:p w14:paraId="5D0F0310" w14:textId="77777777" w:rsidR="00820683" w:rsidRDefault="00820683" w:rsidP="00FE6180">
      <w:pPr>
        <w:ind w:left="0"/>
        <w:rPr>
          <w:rFonts w:ascii="Bookman Old Style" w:hAnsi="Bookman Old Style" w:cs="Arial"/>
          <w:szCs w:val="20"/>
        </w:rPr>
      </w:pPr>
    </w:p>
    <w:p w14:paraId="23F5760C" w14:textId="77777777" w:rsidR="00B15591" w:rsidRPr="002A01F2" w:rsidRDefault="00B15591" w:rsidP="00B15591">
      <w:pPr>
        <w:rPr>
          <w:rFonts w:ascii="Bookman Old Style" w:hAnsi="Bookman Old Style" w:cs="Arial"/>
          <w:sz w:val="18"/>
          <w:szCs w:val="20"/>
        </w:rPr>
      </w:pPr>
    </w:p>
    <w:p w14:paraId="1ABE8028" w14:textId="77777777" w:rsidR="00B15591" w:rsidRDefault="00B15591" w:rsidP="00B15591">
      <w:pPr>
        <w:ind w:left="0"/>
        <w:rPr>
          <w:rFonts w:ascii="Bookman Old Style" w:hAnsi="Bookman Old Style" w:cs="Arial"/>
          <w:sz w:val="22"/>
          <w:szCs w:val="20"/>
        </w:rPr>
      </w:pPr>
    </w:p>
    <w:p w14:paraId="1947312F" w14:textId="77777777" w:rsidR="00B15591" w:rsidRPr="00FE2D9D" w:rsidRDefault="00B15591" w:rsidP="00B15591">
      <w:pPr>
        <w:ind w:left="0"/>
        <w:rPr>
          <w:rFonts w:ascii="Bookman Old Style" w:hAnsi="Bookman Old Style" w:cs="Arial"/>
          <w:sz w:val="22"/>
          <w:szCs w:val="20"/>
        </w:rPr>
      </w:pPr>
    </w:p>
    <w:p w14:paraId="5B36A9D2" w14:textId="77777777" w:rsidR="00B15591" w:rsidRPr="00FE2D9D" w:rsidRDefault="00B15591" w:rsidP="00B15591">
      <w:pPr>
        <w:rPr>
          <w:rFonts w:ascii="Bookman Old Style" w:hAnsi="Bookman Old Style" w:cs="Arial"/>
          <w:szCs w:val="20"/>
        </w:rPr>
      </w:pPr>
    </w:p>
    <w:p w14:paraId="5B1DBDA5" w14:textId="77777777" w:rsidR="00B15591" w:rsidRPr="00945A3C" w:rsidRDefault="00B15591" w:rsidP="00C44304">
      <w:pPr>
        <w:tabs>
          <w:tab w:val="right" w:pos="9498"/>
        </w:tabs>
        <w:ind w:left="0" w:right="-142"/>
        <w:jc w:val="center"/>
        <w:rPr>
          <w:rFonts w:ascii="Bookman Old Style" w:hAnsi="Bookman Old Style" w:cs="Arial"/>
        </w:rPr>
      </w:pPr>
    </w:p>
    <w:sectPr w:rsidR="00B15591" w:rsidRPr="00945A3C" w:rsidSect="00D549B1">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89A13" w14:textId="77777777" w:rsidR="00984110" w:rsidRDefault="00984110">
      <w:r>
        <w:separator/>
      </w:r>
    </w:p>
  </w:endnote>
  <w:endnote w:type="continuationSeparator" w:id="0">
    <w:p w14:paraId="61D67A4C" w14:textId="77777777" w:rsidR="00984110" w:rsidRDefault="0098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853EE" w14:textId="77777777" w:rsidR="00984110" w:rsidRDefault="00984110">
      <w:r>
        <w:separator/>
      </w:r>
    </w:p>
  </w:footnote>
  <w:footnote w:type="continuationSeparator" w:id="0">
    <w:p w14:paraId="0DD3BBF1" w14:textId="77777777" w:rsidR="00984110" w:rsidRDefault="00984110">
      <w:r>
        <w:continuationSeparator/>
      </w:r>
    </w:p>
  </w:footnote>
  <w:footnote w:id="1">
    <w:p w14:paraId="437D201A" w14:textId="77777777" w:rsidR="00A5623A" w:rsidRPr="005C1BCA" w:rsidRDefault="00A5623A" w:rsidP="00EA33A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14:paraId="32455745" w14:textId="77777777" w:rsidR="00A5623A" w:rsidRPr="00FD101E" w:rsidRDefault="00A5623A" w:rsidP="00EA33A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14:paraId="2931B308" w14:textId="77777777" w:rsidR="00A5623A" w:rsidRPr="00FD101E" w:rsidRDefault="00A5623A" w:rsidP="00EA33A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14:paraId="72ADFFE3" w14:textId="77777777"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14:paraId="183E9A55" w14:textId="77777777"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14:paraId="34B373E4" w14:textId="77777777"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14:paraId="6371B077" w14:textId="77777777"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14:paraId="1B8BBFBE" w14:textId="77777777" w:rsidR="00A5623A" w:rsidRPr="00575874" w:rsidRDefault="00A5623A" w:rsidP="00EA33A0">
      <w:pPr>
        <w:pStyle w:val="Textonotapie"/>
      </w:pPr>
    </w:p>
  </w:footnote>
  <w:footnote w:id="3">
    <w:p w14:paraId="5B478ED3" w14:textId="77777777" w:rsidR="00A5623A" w:rsidRPr="005B07AE" w:rsidRDefault="00A5623A" w:rsidP="00EA33A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14:paraId="633F1455" w14:textId="77777777" w:rsidR="00A5623A" w:rsidRPr="00CA077E" w:rsidRDefault="00A5623A" w:rsidP="00EA33A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14:paraId="05FBFF5D" w14:textId="77777777" w:rsidR="00A5623A" w:rsidRPr="00CA077E" w:rsidRDefault="00A5623A" w:rsidP="00EA33A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14:paraId="2F803747" w14:textId="77777777" w:rsidR="00A5623A" w:rsidRPr="00FC2C01" w:rsidRDefault="00A5623A" w:rsidP="006E5ED9">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Pr>
          <w:rFonts w:ascii="Bookman Old Style" w:hAnsi="Bookman Old Style" w:cs="Arial"/>
          <w:sz w:val="16"/>
          <w:szCs w:val="16"/>
        </w:rPr>
        <w:t>Artículo</w:t>
      </w:r>
      <w:r w:rsidRPr="00FC2C01">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14:paraId="64D563E0" w14:textId="77777777" w:rsidR="00A5623A" w:rsidRPr="00FC2C01" w:rsidRDefault="00A5623A" w:rsidP="006E5ED9">
      <w:pPr>
        <w:pStyle w:val="Textonotapie"/>
        <w:jc w:val="both"/>
        <w:rPr>
          <w:rFonts w:ascii="Bookman Old Style" w:hAnsi="Bookman Old Style" w:cs="Arial"/>
          <w:sz w:val="16"/>
          <w:szCs w:val="16"/>
        </w:rPr>
      </w:pPr>
    </w:p>
    <w:p w14:paraId="69657458" w14:textId="77777777" w:rsidR="00A5623A" w:rsidRPr="00CD67E2" w:rsidRDefault="00A5623A" w:rsidP="006E5ED9">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7">
    <w:p w14:paraId="742D4A5A" w14:textId="77777777" w:rsidR="00A5623A" w:rsidRPr="00FA7CDB" w:rsidRDefault="00A5623A" w:rsidP="00CD67E2">
      <w:pPr>
        <w:pStyle w:val="Textonotapie"/>
        <w:jc w:val="both"/>
        <w:rPr>
          <w:rFonts w:ascii="Bookman Old Style" w:hAnsi="Bookman Old Style" w:cs="Arial"/>
          <w:sz w:val="16"/>
          <w:szCs w:val="16"/>
        </w:rPr>
      </w:pPr>
    </w:p>
    <w:p w14:paraId="088A5E9A" w14:textId="77777777" w:rsidR="00A5623A" w:rsidRPr="00FA7CDB" w:rsidRDefault="00A5623A"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14:paraId="3F5BEFD2" w14:textId="77777777" w:rsidR="00A5623A" w:rsidRPr="00FA7CDB" w:rsidRDefault="00A5623A"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14:paraId="450C15C5" w14:textId="77777777" w:rsidR="00A5623A" w:rsidRPr="00FA7CDB" w:rsidRDefault="00A5623A"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14:paraId="7BABEF2B" w14:textId="77777777" w:rsidR="00A5623A" w:rsidRPr="00FA7CDB" w:rsidRDefault="00A5623A"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14:paraId="0E034534" w14:textId="77777777" w:rsidR="00A5623A" w:rsidRDefault="00A5623A"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14:paraId="2E8283AE" w14:textId="77777777" w:rsidR="00A5623A" w:rsidRPr="000B6DCD" w:rsidRDefault="00A5623A">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 w:id="9">
    <w:p w14:paraId="60026EFE" w14:textId="77777777" w:rsidR="00654AED" w:rsidRPr="00137978" w:rsidRDefault="00654AED" w:rsidP="00654AED">
      <w:pPr>
        <w:pStyle w:val="Textonotapie"/>
        <w:jc w:val="both"/>
      </w:pPr>
      <w:r w:rsidRPr="00137978">
        <w:rPr>
          <w:rFonts w:ascii="Bookman Old Style" w:hAnsi="Bookman Old Style" w:cs="Arial"/>
          <w:sz w:val="16"/>
          <w:szCs w:val="16"/>
        </w:rPr>
        <w:footnoteRef/>
      </w:r>
      <w:r w:rsidRPr="00137978">
        <w:rPr>
          <w:rFonts w:ascii="Bookman Old Style" w:hAnsi="Bookman Old Style" w:cs="Arial"/>
          <w:sz w:val="16"/>
          <w:szCs w:val="16"/>
        </w:rPr>
        <w:t xml:space="preserve"> Se debe precisar que estas disposiciones se encuentran recogidas actualmente en los numerales 2.2.</w:t>
      </w:r>
      <w:r>
        <w:rPr>
          <w:rFonts w:ascii="Bookman Old Style" w:hAnsi="Bookman Old Style" w:cs="Arial"/>
          <w:sz w:val="16"/>
          <w:szCs w:val="16"/>
        </w:rPr>
        <w:t>30</w:t>
      </w:r>
      <w:r w:rsidRPr="00137978">
        <w:rPr>
          <w:rFonts w:ascii="Bookman Old Style" w:hAnsi="Bookman Old Style" w:cs="Arial"/>
          <w:sz w:val="16"/>
          <w:szCs w:val="16"/>
        </w:rPr>
        <w:t>.1 y siguientes del Decreto 1078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B9B4" w14:textId="77777777" w:rsidR="00A5623A" w:rsidRDefault="00A5623A" w:rsidP="00951F79">
    <w:pPr>
      <w:pStyle w:val="Ttulo1"/>
      <w:ind w:right="6"/>
      <w:jc w:val="left"/>
      <w:rPr>
        <w:rFonts w:ascii="Bookman Old Style" w:hAnsi="Bookman Old Style" w:cs="Arial"/>
        <w:b w:val="0"/>
        <w:sz w:val="22"/>
        <w:szCs w:val="22"/>
      </w:rPr>
    </w:pPr>
  </w:p>
  <w:p w14:paraId="468616C4" w14:textId="049EAE2D" w:rsidR="00A5623A" w:rsidRPr="00951F79" w:rsidRDefault="00A5623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D1890">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D1890">
      <w:fldChar w:fldCharType="begin"/>
    </w:r>
    <w:r w:rsidR="002D1890">
      <w:instrText xml:space="preserve"> NUMPAGES  \* MERGEFORMAT </w:instrText>
    </w:r>
    <w:r w:rsidR="002D1890">
      <w:fldChar w:fldCharType="separate"/>
    </w:r>
    <w:r w:rsidR="002D1890" w:rsidRPr="002D1890">
      <w:rPr>
        <w:rFonts w:ascii="Bookman Old Style" w:hAnsi="Bookman Old Style" w:cs="Arial"/>
        <w:b w:val="0"/>
        <w:noProof/>
        <w:sz w:val="22"/>
        <w:szCs w:val="22"/>
      </w:rPr>
      <w:t>21</w:t>
    </w:r>
    <w:r w:rsidR="002D1890">
      <w:rPr>
        <w:rFonts w:ascii="Bookman Old Style" w:hAnsi="Bookman Old Style" w:cs="Arial"/>
        <w:b w:val="0"/>
        <w:noProof/>
        <w:sz w:val="22"/>
        <w:szCs w:val="22"/>
      </w:rPr>
      <w:fldChar w:fldCharType="end"/>
    </w:r>
  </w:p>
  <w:p w14:paraId="21243805" w14:textId="3BD4BA61" w:rsidR="00A5623A" w:rsidRDefault="00EE0EF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14:anchorId="10C46223" wp14:editId="6736C948">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612D"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14:paraId="0585D0FE" w14:textId="77777777" w:rsidR="00A5623A" w:rsidRPr="00616D65" w:rsidRDefault="00A5623A"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008921D8">
      <w:rPr>
        <w:rFonts w:ascii="Bookman Old Style" w:hAnsi="Bookman Old Style" w:cs="Arial"/>
        <w:sz w:val="22"/>
        <w:szCs w:val="22"/>
      </w:rPr>
      <w:t xml:space="preserve">Gas </w:t>
    </w:r>
    <w:proofErr w:type="spellStart"/>
    <w:r w:rsidR="008921D8">
      <w:rPr>
        <w:rFonts w:ascii="Bookman Old Style" w:hAnsi="Bookman Old Style" w:cs="Arial"/>
        <w:sz w:val="22"/>
        <w:szCs w:val="22"/>
      </w:rPr>
      <w:t>Pac</w:t>
    </w:r>
    <w:proofErr w:type="spellEnd"/>
    <w:r>
      <w:rPr>
        <w:rFonts w:ascii="Bookman Old Style" w:hAnsi="Bookman Old Style" w:cs="Arial"/>
        <w:sz w:val="22"/>
        <w:szCs w:val="22"/>
      </w:rPr>
      <w:t xml:space="preserve"> S.A.S.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w:t>
    </w:r>
    <w:r w:rsidR="008921D8">
      <w:rPr>
        <w:rFonts w:ascii="Bookman Old Style" w:hAnsi="Bookman Old Style" w:cs="Arial"/>
        <w:sz w:val="22"/>
        <w:szCs w:val="22"/>
      </w:rPr>
      <w:t>168</w:t>
    </w:r>
    <w:r>
      <w:rPr>
        <w:rFonts w:ascii="Bookman Old Style" w:hAnsi="Bookman Old Style" w:cs="Arial"/>
        <w:sz w:val="22"/>
        <w:szCs w:val="22"/>
      </w:rPr>
      <w:t xml:space="preserve"> de 2017.</w:t>
    </w:r>
  </w:p>
  <w:p w14:paraId="79AF4416" w14:textId="5FC042DB" w:rsidR="00A5623A" w:rsidRPr="00730C9E" w:rsidRDefault="00EE0EFC"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14:anchorId="58F59495" wp14:editId="01602035">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C669A"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9B8E" w14:textId="77777777" w:rsidR="00A5623A" w:rsidRDefault="00A5623A"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05FD43D9" w14:textId="77777777" w:rsidR="00A5623A" w:rsidRDefault="00A5623A">
    <w:pPr>
      <w:pStyle w:val="Encabezado"/>
      <w:jc w:val="center"/>
      <w:rPr>
        <w:rFonts w:ascii="Arial" w:hAnsi="Arial" w:cs="Arial"/>
        <w:spacing w:val="20"/>
        <w:sz w:val="20"/>
      </w:rPr>
    </w:pPr>
  </w:p>
  <w:p w14:paraId="60208437" w14:textId="73370320" w:rsidR="00A5623A" w:rsidRDefault="00EE0EF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14:anchorId="6051F6FD" wp14:editId="0B0C5574">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90D8"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6540D8"/>
    <w:multiLevelType w:val="hybridMultilevel"/>
    <w:tmpl w:val="03DC8F86"/>
    <w:lvl w:ilvl="0" w:tplc="064C137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3F3E5C18"/>
    <w:multiLevelType w:val="hybridMultilevel"/>
    <w:tmpl w:val="7610DD26"/>
    <w:lvl w:ilvl="0" w:tplc="0442B70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1"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6"/>
  </w:num>
  <w:num w:numId="4">
    <w:abstractNumId w:val="12"/>
  </w:num>
  <w:num w:numId="5">
    <w:abstractNumId w:val="25"/>
  </w:num>
  <w:num w:numId="6">
    <w:abstractNumId w:val="3"/>
  </w:num>
  <w:num w:numId="7">
    <w:abstractNumId w:val="2"/>
  </w:num>
  <w:num w:numId="8">
    <w:abstractNumId w:val="29"/>
  </w:num>
  <w:num w:numId="9">
    <w:abstractNumId w:val="26"/>
  </w:num>
  <w:num w:numId="10">
    <w:abstractNumId w:val="20"/>
  </w:num>
  <w:num w:numId="11">
    <w:abstractNumId w:val="37"/>
  </w:num>
  <w:num w:numId="12">
    <w:abstractNumId w:val="34"/>
  </w:num>
  <w:num w:numId="13">
    <w:abstractNumId w:val="15"/>
  </w:num>
  <w:num w:numId="14">
    <w:abstractNumId w:val="1"/>
  </w:num>
  <w:num w:numId="15">
    <w:abstractNumId w:val="21"/>
  </w:num>
  <w:num w:numId="16">
    <w:abstractNumId w:val="0"/>
  </w:num>
  <w:num w:numId="17">
    <w:abstractNumId w:val="35"/>
  </w:num>
  <w:num w:numId="18">
    <w:abstractNumId w:val="8"/>
  </w:num>
  <w:num w:numId="19">
    <w:abstractNumId w:val="22"/>
  </w:num>
  <w:num w:numId="20">
    <w:abstractNumId w:val="23"/>
  </w:num>
  <w:num w:numId="21">
    <w:abstractNumId w:val="33"/>
  </w:num>
  <w:num w:numId="22">
    <w:abstractNumId w:val="27"/>
  </w:num>
  <w:num w:numId="23">
    <w:abstractNumId w:val="32"/>
  </w:num>
  <w:num w:numId="24">
    <w:abstractNumId w:val="11"/>
  </w:num>
  <w:num w:numId="25">
    <w:abstractNumId w:val="9"/>
  </w:num>
  <w:num w:numId="26">
    <w:abstractNumId w:val="24"/>
  </w:num>
  <w:num w:numId="27">
    <w:abstractNumId w:val="6"/>
  </w:num>
  <w:num w:numId="28">
    <w:abstractNumId w:val="7"/>
  </w:num>
  <w:num w:numId="29">
    <w:abstractNumId w:val="13"/>
  </w:num>
  <w:num w:numId="30">
    <w:abstractNumId w:val="31"/>
  </w:num>
  <w:num w:numId="31">
    <w:abstractNumId w:val="10"/>
  </w:num>
  <w:num w:numId="32">
    <w:abstractNumId w:val="16"/>
  </w:num>
  <w:num w:numId="33">
    <w:abstractNumId w:val="30"/>
  </w:num>
  <w:num w:numId="34">
    <w:abstractNumId w:val="38"/>
  </w:num>
  <w:num w:numId="35">
    <w:abstractNumId w:val="4"/>
  </w:num>
  <w:num w:numId="36">
    <w:abstractNumId w:val="14"/>
  </w:num>
  <w:num w:numId="37">
    <w:abstractNumId w:val="28"/>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F40"/>
    <w:rsid w:val="000432F7"/>
    <w:rsid w:val="00043B4E"/>
    <w:rsid w:val="0004674A"/>
    <w:rsid w:val="000537E8"/>
    <w:rsid w:val="00060D57"/>
    <w:rsid w:val="0006184B"/>
    <w:rsid w:val="000623A6"/>
    <w:rsid w:val="00063657"/>
    <w:rsid w:val="00065504"/>
    <w:rsid w:val="000657E2"/>
    <w:rsid w:val="00066D23"/>
    <w:rsid w:val="00067308"/>
    <w:rsid w:val="00070222"/>
    <w:rsid w:val="00070B2B"/>
    <w:rsid w:val="00072400"/>
    <w:rsid w:val="0007402F"/>
    <w:rsid w:val="0007548D"/>
    <w:rsid w:val="000761CE"/>
    <w:rsid w:val="00076680"/>
    <w:rsid w:val="00076A1D"/>
    <w:rsid w:val="0008073E"/>
    <w:rsid w:val="00084B8C"/>
    <w:rsid w:val="000867FA"/>
    <w:rsid w:val="00087733"/>
    <w:rsid w:val="00091CDB"/>
    <w:rsid w:val="00092215"/>
    <w:rsid w:val="00096E1F"/>
    <w:rsid w:val="00097013"/>
    <w:rsid w:val="0009782B"/>
    <w:rsid w:val="000A061F"/>
    <w:rsid w:val="000A19AC"/>
    <w:rsid w:val="000B03C2"/>
    <w:rsid w:val="000B20EA"/>
    <w:rsid w:val="000B27E6"/>
    <w:rsid w:val="000B48BF"/>
    <w:rsid w:val="000B4B19"/>
    <w:rsid w:val="000B667A"/>
    <w:rsid w:val="000B6DCD"/>
    <w:rsid w:val="000C27EB"/>
    <w:rsid w:val="000C6FE5"/>
    <w:rsid w:val="000D22D4"/>
    <w:rsid w:val="000D26F8"/>
    <w:rsid w:val="000E01B8"/>
    <w:rsid w:val="000F1132"/>
    <w:rsid w:val="000F410B"/>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4D93"/>
    <w:rsid w:val="0016590D"/>
    <w:rsid w:val="00166C73"/>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C22"/>
    <w:rsid w:val="001B34C6"/>
    <w:rsid w:val="001B5CDD"/>
    <w:rsid w:val="001B6003"/>
    <w:rsid w:val="001B61EB"/>
    <w:rsid w:val="001D033A"/>
    <w:rsid w:val="001D1395"/>
    <w:rsid w:val="001D48AE"/>
    <w:rsid w:val="001D7832"/>
    <w:rsid w:val="001E0774"/>
    <w:rsid w:val="001E27EF"/>
    <w:rsid w:val="001E42F6"/>
    <w:rsid w:val="001E70A9"/>
    <w:rsid w:val="001E7937"/>
    <w:rsid w:val="001F091E"/>
    <w:rsid w:val="001F4E31"/>
    <w:rsid w:val="001F501A"/>
    <w:rsid w:val="001F7F3A"/>
    <w:rsid w:val="0020108D"/>
    <w:rsid w:val="00202EAD"/>
    <w:rsid w:val="00203D9A"/>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28AF"/>
    <w:rsid w:val="00253E07"/>
    <w:rsid w:val="002606C2"/>
    <w:rsid w:val="002606F0"/>
    <w:rsid w:val="00260CE3"/>
    <w:rsid w:val="00266CD6"/>
    <w:rsid w:val="002709FC"/>
    <w:rsid w:val="00273C18"/>
    <w:rsid w:val="00275DAB"/>
    <w:rsid w:val="002817D6"/>
    <w:rsid w:val="00281AFF"/>
    <w:rsid w:val="002870E7"/>
    <w:rsid w:val="0029597D"/>
    <w:rsid w:val="00295B70"/>
    <w:rsid w:val="00297D3E"/>
    <w:rsid w:val="002A01F2"/>
    <w:rsid w:val="002A452D"/>
    <w:rsid w:val="002A483C"/>
    <w:rsid w:val="002A4E70"/>
    <w:rsid w:val="002A579E"/>
    <w:rsid w:val="002A782A"/>
    <w:rsid w:val="002A7F80"/>
    <w:rsid w:val="002B11E2"/>
    <w:rsid w:val="002B24B8"/>
    <w:rsid w:val="002B3063"/>
    <w:rsid w:val="002B38EF"/>
    <w:rsid w:val="002B3CF4"/>
    <w:rsid w:val="002B43F8"/>
    <w:rsid w:val="002D1890"/>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6D8"/>
    <w:rsid w:val="00335916"/>
    <w:rsid w:val="00341341"/>
    <w:rsid w:val="00346E50"/>
    <w:rsid w:val="0035403A"/>
    <w:rsid w:val="003638D6"/>
    <w:rsid w:val="0036394B"/>
    <w:rsid w:val="00364922"/>
    <w:rsid w:val="00366D5C"/>
    <w:rsid w:val="0036751E"/>
    <w:rsid w:val="003709B5"/>
    <w:rsid w:val="00373D56"/>
    <w:rsid w:val="00374471"/>
    <w:rsid w:val="003759C2"/>
    <w:rsid w:val="00376A8A"/>
    <w:rsid w:val="00381139"/>
    <w:rsid w:val="0038380F"/>
    <w:rsid w:val="003846C6"/>
    <w:rsid w:val="0038623A"/>
    <w:rsid w:val="0039315E"/>
    <w:rsid w:val="00393F0D"/>
    <w:rsid w:val="003943C4"/>
    <w:rsid w:val="00397365"/>
    <w:rsid w:val="003A1B22"/>
    <w:rsid w:val="003A31F6"/>
    <w:rsid w:val="003A3AAF"/>
    <w:rsid w:val="003A4D1B"/>
    <w:rsid w:val="003B10B0"/>
    <w:rsid w:val="003B10B9"/>
    <w:rsid w:val="003B17FC"/>
    <w:rsid w:val="003B4844"/>
    <w:rsid w:val="003B6A60"/>
    <w:rsid w:val="003B72EE"/>
    <w:rsid w:val="003B769B"/>
    <w:rsid w:val="003C157F"/>
    <w:rsid w:val="003C1AEF"/>
    <w:rsid w:val="003C3447"/>
    <w:rsid w:val="003C35A2"/>
    <w:rsid w:val="003C5787"/>
    <w:rsid w:val="003D076C"/>
    <w:rsid w:val="003D2A46"/>
    <w:rsid w:val="003D47BD"/>
    <w:rsid w:val="003D5E91"/>
    <w:rsid w:val="003E26E3"/>
    <w:rsid w:val="003E3304"/>
    <w:rsid w:val="003E4875"/>
    <w:rsid w:val="003E59E7"/>
    <w:rsid w:val="003E78B5"/>
    <w:rsid w:val="003F023F"/>
    <w:rsid w:val="003F1C37"/>
    <w:rsid w:val="003F3E5B"/>
    <w:rsid w:val="003F53CF"/>
    <w:rsid w:val="003F6ACE"/>
    <w:rsid w:val="003F6FB4"/>
    <w:rsid w:val="00404DA1"/>
    <w:rsid w:val="00407E99"/>
    <w:rsid w:val="00412BB6"/>
    <w:rsid w:val="00412FB3"/>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1434"/>
    <w:rsid w:val="004526E0"/>
    <w:rsid w:val="004532A9"/>
    <w:rsid w:val="00454019"/>
    <w:rsid w:val="004550BE"/>
    <w:rsid w:val="004551B3"/>
    <w:rsid w:val="00456FE2"/>
    <w:rsid w:val="00457D70"/>
    <w:rsid w:val="0046024D"/>
    <w:rsid w:val="0046176B"/>
    <w:rsid w:val="00463F18"/>
    <w:rsid w:val="004708A3"/>
    <w:rsid w:val="0047122B"/>
    <w:rsid w:val="00473B7A"/>
    <w:rsid w:val="0047410D"/>
    <w:rsid w:val="00481A57"/>
    <w:rsid w:val="00483A01"/>
    <w:rsid w:val="00490647"/>
    <w:rsid w:val="00491E18"/>
    <w:rsid w:val="004926FE"/>
    <w:rsid w:val="00493726"/>
    <w:rsid w:val="00495A52"/>
    <w:rsid w:val="004960E9"/>
    <w:rsid w:val="004A2E88"/>
    <w:rsid w:val="004A44D2"/>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7D1F"/>
    <w:rsid w:val="0050015E"/>
    <w:rsid w:val="00503267"/>
    <w:rsid w:val="0051257C"/>
    <w:rsid w:val="00513865"/>
    <w:rsid w:val="00515932"/>
    <w:rsid w:val="005217A1"/>
    <w:rsid w:val="005300D3"/>
    <w:rsid w:val="00535B16"/>
    <w:rsid w:val="00536323"/>
    <w:rsid w:val="0054284F"/>
    <w:rsid w:val="00544F82"/>
    <w:rsid w:val="005457C2"/>
    <w:rsid w:val="00547183"/>
    <w:rsid w:val="005544E8"/>
    <w:rsid w:val="00554FFF"/>
    <w:rsid w:val="00557C22"/>
    <w:rsid w:val="00567915"/>
    <w:rsid w:val="00573970"/>
    <w:rsid w:val="00573C98"/>
    <w:rsid w:val="005750EF"/>
    <w:rsid w:val="00581094"/>
    <w:rsid w:val="0058201E"/>
    <w:rsid w:val="00593C4F"/>
    <w:rsid w:val="005946A8"/>
    <w:rsid w:val="00596B5A"/>
    <w:rsid w:val="00596EEA"/>
    <w:rsid w:val="00596EFA"/>
    <w:rsid w:val="005972F1"/>
    <w:rsid w:val="005A1309"/>
    <w:rsid w:val="005A4407"/>
    <w:rsid w:val="005A59EF"/>
    <w:rsid w:val="005A6E1A"/>
    <w:rsid w:val="005B1B14"/>
    <w:rsid w:val="005C1184"/>
    <w:rsid w:val="005C41AF"/>
    <w:rsid w:val="005C568C"/>
    <w:rsid w:val="005C6BB2"/>
    <w:rsid w:val="005C6E8F"/>
    <w:rsid w:val="005D77A0"/>
    <w:rsid w:val="005E005D"/>
    <w:rsid w:val="005E035F"/>
    <w:rsid w:val="005E253A"/>
    <w:rsid w:val="005E260A"/>
    <w:rsid w:val="005E42A6"/>
    <w:rsid w:val="005E44A9"/>
    <w:rsid w:val="005E7350"/>
    <w:rsid w:val="005F26E0"/>
    <w:rsid w:val="005F49DD"/>
    <w:rsid w:val="005F4BB9"/>
    <w:rsid w:val="005F5F07"/>
    <w:rsid w:val="005F6F41"/>
    <w:rsid w:val="005F7184"/>
    <w:rsid w:val="00606747"/>
    <w:rsid w:val="006069BF"/>
    <w:rsid w:val="00606FD6"/>
    <w:rsid w:val="00616D65"/>
    <w:rsid w:val="0062102E"/>
    <w:rsid w:val="00621590"/>
    <w:rsid w:val="006234BC"/>
    <w:rsid w:val="00625DC6"/>
    <w:rsid w:val="00627986"/>
    <w:rsid w:val="00630F5A"/>
    <w:rsid w:val="00631E8F"/>
    <w:rsid w:val="00634EB8"/>
    <w:rsid w:val="0063616A"/>
    <w:rsid w:val="00640301"/>
    <w:rsid w:val="00642281"/>
    <w:rsid w:val="0064391D"/>
    <w:rsid w:val="0064486D"/>
    <w:rsid w:val="00645549"/>
    <w:rsid w:val="00647A97"/>
    <w:rsid w:val="00651821"/>
    <w:rsid w:val="00654384"/>
    <w:rsid w:val="00654AED"/>
    <w:rsid w:val="00654D63"/>
    <w:rsid w:val="00655884"/>
    <w:rsid w:val="00660346"/>
    <w:rsid w:val="006605EA"/>
    <w:rsid w:val="00663D4F"/>
    <w:rsid w:val="00666015"/>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2624"/>
    <w:rsid w:val="006C5AFE"/>
    <w:rsid w:val="006C709E"/>
    <w:rsid w:val="006D3C10"/>
    <w:rsid w:val="006D3E42"/>
    <w:rsid w:val="006D5418"/>
    <w:rsid w:val="006D6139"/>
    <w:rsid w:val="006D79D9"/>
    <w:rsid w:val="006E5ED9"/>
    <w:rsid w:val="006E6198"/>
    <w:rsid w:val="006E73A5"/>
    <w:rsid w:val="006F193C"/>
    <w:rsid w:val="006F1D41"/>
    <w:rsid w:val="006F3BDC"/>
    <w:rsid w:val="006F586A"/>
    <w:rsid w:val="006F6D95"/>
    <w:rsid w:val="006F73FB"/>
    <w:rsid w:val="006F7765"/>
    <w:rsid w:val="00701412"/>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2E3E"/>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3152"/>
    <w:rsid w:val="00795983"/>
    <w:rsid w:val="00795BFB"/>
    <w:rsid w:val="00796875"/>
    <w:rsid w:val="007974F9"/>
    <w:rsid w:val="007A0FE6"/>
    <w:rsid w:val="007A2F35"/>
    <w:rsid w:val="007A6EEB"/>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20480"/>
    <w:rsid w:val="00820683"/>
    <w:rsid w:val="00820A7B"/>
    <w:rsid w:val="008211A4"/>
    <w:rsid w:val="00823A07"/>
    <w:rsid w:val="00830ABF"/>
    <w:rsid w:val="008316C9"/>
    <w:rsid w:val="00832398"/>
    <w:rsid w:val="00833BEE"/>
    <w:rsid w:val="008348CB"/>
    <w:rsid w:val="00836006"/>
    <w:rsid w:val="00850F85"/>
    <w:rsid w:val="00854C37"/>
    <w:rsid w:val="0085598C"/>
    <w:rsid w:val="00857721"/>
    <w:rsid w:val="00862B36"/>
    <w:rsid w:val="00864289"/>
    <w:rsid w:val="00865BD4"/>
    <w:rsid w:val="008679A0"/>
    <w:rsid w:val="00873150"/>
    <w:rsid w:val="0087657D"/>
    <w:rsid w:val="008807D5"/>
    <w:rsid w:val="00880832"/>
    <w:rsid w:val="00882263"/>
    <w:rsid w:val="00883C72"/>
    <w:rsid w:val="00885F45"/>
    <w:rsid w:val="00886EE1"/>
    <w:rsid w:val="0088727D"/>
    <w:rsid w:val="008921D8"/>
    <w:rsid w:val="00895F71"/>
    <w:rsid w:val="0089643C"/>
    <w:rsid w:val="00897C75"/>
    <w:rsid w:val="008A0383"/>
    <w:rsid w:val="008A2456"/>
    <w:rsid w:val="008A4076"/>
    <w:rsid w:val="008A657A"/>
    <w:rsid w:val="008B413B"/>
    <w:rsid w:val="008B721E"/>
    <w:rsid w:val="008C1130"/>
    <w:rsid w:val="008C6CE5"/>
    <w:rsid w:val="008C7B20"/>
    <w:rsid w:val="008D0995"/>
    <w:rsid w:val="008D18E6"/>
    <w:rsid w:val="008D191F"/>
    <w:rsid w:val="008D2C00"/>
    <w:rsid w:val="008D464B"/>
    <w:rsid w:val="008D675E"/>
    <w:rsid w:val="008D7A9B"/>
    <w:rsid w:val="008E02E1"/>
    <w:rsid w:val="008E2BF5"/>
    <w:rsid w:val="008E378C"/>
    <w:rsid w:val="008E51A6"/>
    <w:rsid w:val="008E61CB"/>
    <w:rsid w:val="008E7049"/>
    <w:rsid w:val="008E76AC"/>
    <w:rsid w:val="008E7B7D"/>
    <w:rsid w:val="008F1017"/>
    <w:rsid w:val="008F21F6"/>
    <w:rsid w:val="008F2A14"/>
    <w:rsid w:val="008F38C0"/>
    <w:rsid w:val="008F3972"/>
    <w:rsid w:val="008F3D3A"/>
    <w:rsid w:val="009011F4"/>
    <w:rsid w:val="00902D87"/>
    <w:rsid w:val="0090417A"/>
    <w:rsid w:val="00905FB0"/>
    <w:rsid w:val="00913905"/>
    <w:rsid w:val="009152B5"/>
    <w:rsid w:val="00916247"/>
    <w:rsid w:val="00917874"/>
    <w:rsid w:val="0092279E"/>
    <w:rsid w:val="00922CA7"/>
    <w:rsid w:val="009246BD"/>
    <w:rsid w:val="009269A7"/>
    <w:rsid w:val="009270E0"/>
    <w:rsid w:val="00927FA3"/>
    <w:rsid w:val="00931F7E"/>
    <w:rsid w:val="0093345C"/>
    <w:rsid w:val="00936888"/>
    <w:rsid w:val="0093708C"/>
    <w:rsid w:val="00937565"/>
    <w:rsid w:val="009410CB"/>
    <w:rsid w:val="009438AD"/>
    <w:rsid w:val="00945A3C"/>
    <w:rsid w:val="00951F79"/>
    <w:rsid w:val="00952ADF"/>
    <w:rsid w:val="00952F4A"/>
    <w:rsid w:val="00960049"/>
    <w:rsid w:val="00960FB7"/>
    <w:rsid w:val="00962962"/>
    <w:rsid w:val="00967121"/>
    <w:rsid w:val="00967468"/>
    <w:rsid w:val="00971FF2"/>
    <w:rsid w:val="00973049"/>
    <w:rsid w:val="009742E8"/>
    <w:rsid w:val="00974AB5"/>
    <w:rsid w:val="009757CA"/>
    <w:rsid w:val="00980704"/>
    <w:rsid w:val="0098213C"/>
    <w:rsid w:val="00984110"/>
    <w:rsid w:val="00985A22"/>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4C9E"/>
    <w:rsid w:val="009D53A9"/>
    <w:rsid w:val="009D56A3"/>
    <w:rsid w:val="009E11C8"/>
    <w:rsid w:val="009E2F5E"/>
    <w:rsid w:val="009E7A7F"/>
    <w:rsid w:val="009F0D98"/>
    <w:rsid w:val="009F3A34"/>
    <w:rsid w:val="009F4A3B"/>
    <w:rsid w:val="009F4A54"/>
    <w:rsid w:val="009F4B06"/>
    <w:rsid w:val="009F4BEC"/>
    <w:rsid w:val="00A059D3"/>
    <w:rsid w:val="00A10A0B"/>
    <w:rsid w:val="00A1296D"/>
    <w:rsid w:val="00A16385"/>
    <w:rsid w:val="00A21A33"/>
    <w:rsid w:val="00A22D58"/>
    <w:rsid w:val="00A23A1B"/>
    <w:rsid w:val="00A25FD7"/>
    <w:rsid w:val="00A30197"/>
    <w:rsid w:val="00A35FEF"/>
    <w:rsid w:val="00A40EC5"/>
    <w:rsid w:val="00A42FAB"/>
    <w:rsid w:val="00A42FAF"/>
    <w:rsid w:val="00A433C5"/>
    <w:rsid w:val="00A43AFF"/>
    <w:rsid w:val="00A478A0"/>
    <w:rsid w:val="00A47F3A"/>
    <w:rsid w:val="00A5373F"/>
    <w:rsid w:val="00A54052"/>
    <w:rsid w:val="00A5623A"/>
    <w:rsid w:val="00A631A3"/>
    <w:rsid w:val="00A654DC"/>
    <w:rsid w:val="00A70F81"/>
    <w:rsid w:val="00A74AF2"/>
    <w:rsid w:val="00A7793A"/>
    <w:rsid w:val="00A77F07"/>
    <w:rsid w:val="00A87B7A"/>
    <w:rsid w:val="00AA4CC7"/>
    <w:rsid w:val="00AA4F68"/>
    <w:rsid w:val="00AA5E8E"/>
    <w:rsid w:val="00AB2A7D"/>
    <w:rsid w:val="00AB2ACC"/>
    <w:rsid w:val="00AB6CA7"/>
    <w:rsid w:val="00AB6CE2"/>
    <w:rsid w:val="00AC453E"/>
    <w:rsid w:val="00AC5856"/>
    <w:rsid w:val="00AC7A58"/>
    <w:rsid w:val="00AD01E4"/>
    <w:rsid w:val="00AD0844"/>
    <w:rsid w:val="00AD0858"/>
    <w:rsid w:val="00AD1559"/>
    <w:rsid w:val="00AD4DB6"/>
    <w:rsid w:val="00AD5E02"/>
    <w:rsid w:val="00AE22C5"/>
    <w:rsid w:val="00AE556C"/>
    <w:rsid w:val="00AE7340"/>
    <w:rsid w:val="00AE7DA4"/>
    <w:rsid w:val="00AF1558"/>
    <w:rsid w:val="00AF1BBD"/>
    <w:rsid w:val="00AF3B72"/>
    <w:rsid w:val="00AF6DEF"/>
    <w:rsid w:val="00B01B73"/>
    <w:rsid w:val="00B040DA"/>
    <w:rsid w:val="00B04B81"/>
    <w:rsid w:val="00B05626"/>
    <w:rsid w:val="00B05914"/>
    <w:rsid w:val="00B10207"/>
    <w:rsid w:val="00B13E74"/>
    <w:rsid w:val="00B141E7"/>
    <w:rsid w:val="00B15591"/>
    <w:rsid w:val="00B155C4"/>
    <w:rsid w:val="00B165BF"/>
    <w:rsid w:val="00B23A09"/>
    <w:rsid w:val="00B309B2"/>
    <w:rsid w:val="00B31959"/>
    <w:rsid w:val="00B351B4"/>
    <w:rsid w:val="00B36FE8"/>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3338"/>
    <w:rsid w:val="00BA67CD"/>
    <w:rsid w:val="00BB076C"/>
    <w:rsid w:val="00BC2BE8"/>
    <w:rsid w:val="00BC38FD"/>
    <w:rsid w:val="00BC4777"/>
    <w:rsid w:val="00BC4AE4"/>
    <w:rsid w:val="00BC794F"/>
    <w:rsid w:val="00BD0898"/>
    <w:rsid w:val="00BD1622"/>
    <w:rsid w:val="00BD3267"/>
    <w:rsid w:val="00BE1698"/>
    <w:rsid w:val="00BF35DB"/>
    <w:rsid w:val="00BF4008"/>
    <w:rsid w:val="00BF4A20"/>
    <w:rsid w:val="00C013F0"/>
    <w:rsid w:val="00C034CB"/>
    <w:rsid w:val="00C051A8"/>
    <w:rsid w:val="00C054BC"/>
    <w:rsid w:val="00C0554D"/>
    <w:rsid w:val="00C05DAC"/>
    <w:rsid w:val="00C122C4"/>
    <w:rsid w:val="00C13E0B"/>
    <w:rsid w:val="00C15CDD"/>
    <w:rsid w:val="00C17897"/>
    <w:rsid w:val="00C17DB0"/>
    <w:rsid w:val="00C20BF7"/>
    <w:rsid w:val="00C22517"/>
    <w:rsid w:val="00C225E7"/>
    <w:rsid w:val="00C322F9"/>
    <w:rsid w:val="00C32652"/>
    <w:rsid w:val="00C350E9"/>
    <w:rsid w:val="00C35B2B"/>
    <w:rsid w:val="00C3612F"/>
    <w:rsid w:val="00C400BD"/>
    <w:rsid w:val="00C409D5"/>
    <w:rsid w:val="00C4104C"/>
    <w:rsid w:val="00C435C3"/>
    <w:rsid w:val="00C44304"/>
    <w:rsid w:val="00C45A78"/>
    <w:rsid w:val="00C53E81"/>
    <w:rsid w:val="00C609F5"/>
    <w:rsid w:val="00C6234B"/>
    <w:rsid w:val="00C62D01"/>
    <w:rsid w:val="00C63EAE"/>
    <w:rsid w:val="00C64244"/>
    <w:rsid w:val="00C64697"/>
    <w:rsid w:val="00C70A73"/>
    <w:rsid w:val="00C721CE"/>
    <w:rsid w:val="00C7430C"/>
    <w:rsid w:val="00C7629F"/>
    <w:rsid w:val="00C820DC"/>
    <w:rsid w:val="00C84DF8"/>
    <w:rsid w:val="00C85364"/>
    <w:rsid w:val="00C8661B"/>
    <w:rsid w:val="00C942BF"/>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C6763"/>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3ACF"/>
    <w:rsid w:val="00D14C94"/>
    <w:rsid w:val="00D16F2E"/>
    <w:rsid w:val="00D20911"/>
    <w:rsid w:val="00D27114"/>
    <w:rsid w:val="00D313EC"/>
    <w:rsid w:val="00D32669"/>
    <w:rsid w:val="00D342A6"/>
    <w:rsid w:val="00D344FE"/>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048"/>
    <w:rsid w:val="00D74A42"/>
    <w:rsid w:val="00D74BAC"/>
    <w:rsid w:val="00D83101"/>
    <w:rsid w:val="00D84F46"/>
    <w:rsid w:val="00D92EC6"/>
    <w:rsid w:val="00D95493"/>
    <w:rsid w:val="00D96E9A"/>
    <w:rsid w:val="00DA0D65"/>
    <w:rsid w:val="00DA3ED9"/>
    <w:rsid w:val="00DA4135"/>
    <w:rsid w:val="00DA4BB6"/>
    <w:rsid w:val="00DB122B"/>
    <w:rsid w:val="00DB763F"/>
    <w:rsid w:val="00DB7AC1"/>
    <w:rsid w:val="00DC2818"/>
    <w:rsid w:val="00DC2D17"/>
    <w:rsid w:val="00DC3340"/>
    <w:rsid w:val="00DC334D"/>
    <w:rsid w:val="00DD3CE8"/>
    <w:rsid w:val="00DD4F0E"/>
    <w:rsid w:val="00DE1006"/>
    <w:rsid w:val="00DE4017"/>
    <w:rsid w:val="00DF070D"/>
    <w:rsid w:val="00DF0BF0"/>
    <w:rsid w:val="00DF465D"/>
    <w:rsid w:val="00DF4E15"/>
    <w:rsid w:val="00DF4F58"/>
    <w:rsid w:val="00E0158D"/>
    <w:rsid w:val="00E0456C"/>
    <w:rsid w:val="00E05E0A"/>
    <w:rsid w:val="00E06ECE"/>
    <w:rsid w:val="00E101ED"/>
    <w:rsid w:val="00E14E26"/>
    <w:rsid w:val="00E15D29"/>
    <w:rsid w:val="00E20A83"/>
    <w:rsid w:val="00E20AA8"/>
    <w:rsid w:val="00E21057"/>
    <w:rsid w:val="00E233B4"/>
    <w:rsid w:val="00E2737D"/>
    <w:rsid w:val="00E3198B"/>
    <w:rsid w:val="00E35D4F"/>
    <w:rsid w:val="00E37248"/>
    <w:rsid w:val="00E37400"/>
    <w:rsid w:val="00E41DFD"/>
    <w:rsid w:val="00E436A8"/>
    <w:rsid w:val="00E43916"/>
    <w:rsid w:val="00E534CF"/>
    <w:rsid w:val="00E55F70"/>
    <w:rsid w:val="00E56ED5"/>
    <w:rsid w:val="00E57338"/>
    <w:rsid w:val="00E61467"/>
    <w:rsid w:val="00E61DA0"/>
    <w:rsid w:val="00E7046A"/>
    <w:rsid w:val="00E71CDD"/>
    <w:rsid w:val="00E72868"/>
    <w:rsid w:val="00E72C5E"/>
    <w:rsid w:val="00E8042D"/>
    <w:rsid w:val="00E81CB4"/>
    <w:rsid w:val="00E8585B"/>
    <w:rsid w:val="00E877F1"/>
    <w:rsid w:val="00E9028F"/>
    <w:rsid w:val="00E958BA"/>
    <w:rsid w:val="00EA20EE"/>
    <w:rsid w:val="00EA33A0"/>
    <w:rsid w:val="00EA3F15"/>
    <w:rsid w:val="00EA7847"/>
    <w:rsid w:val="00EB1916"/>
    <w:rsid w:val="00EB2614"/>
    <w:rsid w:val="00EB3344"/>
    <w:rsid w:val="00EB4BA1"/>
    <w:rsid w:val="00EB54E4"/>
    <w:rsid w:val="00EC28B2"/>
    <w:rsid w:val="00EC3BB2"/>
    <w:rsid w:val="00ED028D"/>
    <w:rsid w:val="00ED048C"/>
    <w:rsid w:val="00ED1F55"/>
    <w:rsid w:val="00ED5722"/>
    <w:rsid w:val="00EE0EFC"/>
    <w:rsid w:val="00EE25CE"/>
    <w:rsid w:val="00EE2E6E"/>
    <w:rsid w:val="00EF78A2"/>
    <w:rsid w:val="00F0000A"/>
    <w:rsid w:val="00F01F07"/>
    <w:rsid w:val="00F0307F"/>
    <w:rsid w:val="00F03154"/>
    <w:rsid w:val="00F0499E"/>
    <w:rsid w:val="00F06BB2"/>
    <w:rsid w:val="00F0759E"/>
    <w:rsid w:val="00F14B80"/>
    <w:rsid w:val="00F16F1A"/>
    <w:rsid w:val="00F205F5"/>
    <w:rsid w:val="00F22B1C"/>
    <w:rsid w:val="00F22E25"/>
    <w:rsid w:val="00F30C51"/>
    <w:rsid w:val="00F30F7F"/>
    <w:rsid w:val="00F31FCD"/>
    <w:rsid w:val="00F35523"/>
    <w:rsid w:val="00F369F8"/>
    <w:rsid w:val="00F37CD2"/>
    <w:rsid w:val="00F4350B"/>
    <w:rsid w:val="00F43F5B"/>
    <w:rsid w:val="00F452BE"/>
    <w:rsid w:val="00F471E0"/>
    <w:rsid w:val="00F509F9"/>
    <w:rsid w:val="00F50EDA"/>
    <w:rsid w:val="00F5143E"/>
    <w:rsid w:val="00F53BD8"/>
    <w:rsid w:val="00F57246"/>
    <w:rsid w:val="00F64F1B"/>
    <w:rsid w:val="00F75127"/>
    <w:rsid w:val="00F75280"/>
    <w:rsid w:val="00F81EF0"/>
    <w:rsid w:val="00F821A3"/>
    <w:rsid w:val="00F9314A"/>
    <w:rsid w:val="00F94CEE"/>
    <w:rsid w:val="00F95C9F"/>
    <w:rsid w:val="00FA049B"/>
    <w:rsid w:val="00FA717D"/>
    <w:rsid w:val="00FA7CDB"/>
    <w:rsid w:val="00FB5E09"/>
    <w:rsid w:val="00FB6E4D"/>
    <w:rsid w:val="00FC462E"/>
    <w:rsid w:val="00FC55EF"/>
    <w:rsid w:val="00FC58EF"/>
    <w:rsid w:val="00FD33DF"/>
    <w:rsid w:val="00FD6BF7"/>
    <w:rsid w:val="00FD7259"/>
    <w:rsid w:val="00FE01D4"/>
    <w:rsid w:val="00FE1FDD"/>
    <w:rsid w:val="00FE29BB"/>
    <w:rsid w:val="00FE2D9D"/>
    <w:rsid w:val="00FE39D7"/>
    <w:rsid w:val="00FE3F15"/>
    <w:rsid w:val="00FE6180"/>
    <w:rsid w:val="00FF0148"/>
    <w:rsid w:val="00FF1CBF"/>
    <w:rsid w:val="00FF2AEA"/>
    <w:rsid w:val="00FF62B5"/>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4E5292"/>
  <w15:chartTrackingRefBased/>
  <w15:docId w15:val="{6BA97170-531A-43B4-A6FB-B9D0506B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Puesto">
    <w:name w:val="Puesto"/>
    <w:aliases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Exact">
    <w:name w:val="Char Style 3 Exact"/>
    <w:uiPriority w:val="99"/>
    <w:rsid w:val="008E51A6"/>
    <w:rPr>
      <w:rFonts w:ascii="Arial" w:hAnsi="Arial" w:cs="Arial"/>
      <w:sz w:val="21"/>
      <w:szCs w:val="21"/>
      <w:u w:val="none"/>
    </w:rPr>
  </w:style>
  <w:style w:type="character" w:customStyle="1" w:styleId="CharStyle10">
    <w:name w:val="Char Style 10"/>
    <w:link w:val="Style2"/>
    <w:uiPriority w:val="99"/>
    <w:rsid w:val="008E51A6"/>
    <w:rPr>
      <w:rFonts w:ascii="Arial" w:hAnsi="Arial" w:cs="Arial"/>
      <w:sz w:val="21"/>
      <w:szCs w:val="21"/>
      <w:shd w:val="clear" w:color="auto" w:fill="FFFFFF"/>
    </w:rPr>
  </w:style>
  <w:style w:type="paragraph" w:customStyle="1" w:styleId="Style2">
    <w:name w:val="Style 2"/>
    <w:basedOn w:val="Normal"/>
    <w:link w:val="CharStyle10"/>
    <w:uiPriority w:val="99"/>
    <w:rsid w:val="008E51A6"/>
    <w:pPr>
      <w:widowControl w:val="0"/>
      <w:shd w:val="clear" w:color="auto" w:fill="FFFFFF"/>
      <w:spacing w:before="780" w:line="240" w:lineRule="atLeast"/>
      <w:ind w:left="0" w:hanging="360"/>
      <w:jc w:val="both"/>
    </w:pPr>
    <w:rPr>
      <w:rFonts w:ascii="Arial" w:hAnsi="Arial" w:cs="Arial"/>
      <w:sz w:val="21"/>
      <w:szCs w:val="21"/>
      <w:lang w:val="es-CO" w:eastAsia="es-CO"/>
    </w:rPr>
  </w:style>
  <w:style w:type="table" w:customStyle="1" w:styleId="Tablaconcuadrcula31">
    <w:name w:val="Tabla con cuadrícula31"/>
    <w:basedOn w:val="Tablanormal"/>
    <w:next w:val="Tablaconcuadrcula"/>
    <w:uiPriority w:val="59"/>
    <w:rsid w:val="00EA33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34859356">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EA6A8-AEA0-426C-B908-D17597D4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21</Pages>
  <Words>9219</Words>
  <Characters>48404</Characters>
  <Application>Microsoft Office Word</Application>
  <DocSecurity>0</DocSecurity>
  <Lines>403</Lines>
  <Paragraphs>115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2017-12-20T16:39:00Z</cp:lastPrinted>
  <dcterms:created xsi:type="dcterms:W3CDTF">2017-12-28T15:35:00Z</dcterms:created>
  <dcterms:modified xsi:type="dcterms:W3CDTF">2017-12-28T15:35:00Z</dcterms:modified>
</cp:coreProperties>
</file>