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012259" w:rsidRDefault="00A71287"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15pt;margin-top:-53.35pt;width:52.5pt;height:48.75pt;z-index:251657728" fillcolor="#0c9">
            <v:imagedata r:id="rId9" o:title=""/>
          </v:shape>
          <o:OLEObject Type="Embed" ProgID="PBrush" ShapeID="_x0000_s1026" DrawAspect="Content" ObjectID="_1442932331" r:id="rId10"/>
        </w:pict>
      </w:r>
    </w:p>
    <w:p w:rsidR="00625DC6" w:rsidRPr="00012259" w:rsidRDefault="00625DC6" w:rsidP="00012259">
      <w:pPr>
        <w:pStyle w:val="Encabezado"/>
        <w:tabs>
          <w:tab w:val="clear" w:pos="8504"/>
          <w:tab w:val="left" w:pos="0"/>
          <w:tab w:val="right" w:pos="9356"/>
        </w:tabs>
        <w:ind w:left="0"/>
        <w:jc w:val="both"/>
        <w:rPr>
          <w:rFonts w:ascii="Bookman Old Style" w:hAnsi="Bookman Old Style"/>
          <w:szCs w:val="24"/>
        </w:rPr>
      </w:pPr>
    </w:p>
    <w:p w:rsidR="00CA77FB" w:rsidRPr="00012259" w:rsidRDefault="00CA77FB" w:rsidP="00012259">
      <w:pPr>
        <w:pStyle w:val="Ttulo4"/>
        <w:tabs>
          <w:tab w:val="left" w:pos="0"/>
          <w:tab w:val="right" w:pos="9356"/>
        </w:tabs>
        <w:ind w:left="0"/>
        <w:rPr>
          <w:rFonts w:ascii="Bookman Old Style" w:hAnsi="Bookman Old Style"/>
          <w:b w:val="0"/>
          <w:bCs/>
          <w:noProof/>
          <w:sz w:val="24"/>
          <w:szCs w:val="24"/>
          <w:lang w:val="es-ES"/>
        </w:rPr>
      </w:pPr>
      <w:r w:rsidRPr="00012259">
        <w:rPr>
          <w:rFonts w:ascii="Bookman Old Style" w:hAnsi="Bookman Old Style"/>
          <w:b w:val="0"/>
          <w:bCs/>
          <w:sz w:val="24"/>
          <w:szCs w:val="24"/>
        </w:rPr>
        <w:t>Ministerio de Minas y Energía</w:t>
      </w:r>
    </w:p>
    <w:p w:rsidR="00CA77FB" w:rsidRPr="00012259" w:rsidRDefault="00CA77FB" w:rsidP="00012259">
      <w:pPr>
        <w:pStyle w:val="Ttulo4"/>
        <w:tabs>
          <w:tab w:val="left" w:pos="0"/>
          <w:tab w:val="right" w:pos="9356"/>
        </w:tabs>
        <w:ind w:left="0"/>
        <w:rPr>
          <w:rFonts w:ascii="Bookman Old Style" w:hAnsi="Bookman Old Style"/>
          <w:b w:val="0"/>
          <w:bCs/>
          <w:sz w:val="24"/>
          <w:szCs w:val="24"/>
        </w:rPr>
      </w:pPr>
    </w:p>
    <w:p w:rsidR="00CA77FB" w:rsidRPr="00012259" w:rsidRDefault="00CA77FB" w:rsidP="00012259">
      <w:pPr>
        <w:pStyle w:val="Ttulo3"/>
        <w:tabs>
          <w:tab w:val="left" w:pos="0"/>
          <w:tab w:val="right" w:pos="9356"/>
        </w:tabs>
        <w:ind w:left="0"/>
        <w:rPr>
          <w:rFonts w:ascii="Bookman Old Style" w:hAnsi="Bookman Old Style" w:cs="Arial"/>
          <w:spacing w:val="20"/>
          <w:szCs w:val="24"/>
        </w:rPr>
      </w:pPr>
      <w:r w:rsidRPr="00012259">
        <w:rPr>
          <w:rFonts w:ascii="Bookman Old Style" w:hAnsi="Bookman Old Style" w:cs="Arial"/>
          <w:spacing w:val="20"/>
          <w:szCs w:val="24"/>
        </w:rPr>
        <w:t>COMISIÓN DE REGULACIÓN DE ENERGÍA Y GAS</w:t>
      </w:r>
    </w:p>
    <w:p w:rsidR="00CA77FB" w:rsidRPr="00012259" w:rsidRDefault="00CA77FB" w:rsidP="00012259">
      <w:pPr>
        <w:pStyle w:val="Ttulo5"/>
        <w:tabs>
          <w:tab w:val="left" w:pos="0"/>
          <w:tab w:val="right" w:pos="9356"/>
        </w:tabs>
        <w:ind w:left="0"/>
        <w:rPr>
          <w:rFonts w:ascii="Bookman Old Style" w:hAnsi="Bookman Old Style"/>
          <w:sz w:val="24"/>
          <w:szCs w:val="24"/>
        </w:rPr>
      </w:pPr>
    </w:p>
    <w:p w:rsidR="00CA77FB" w:rsidRPr="00012259" w:rsidRDefault="00CA77FB" w:rsidP="00012259">
      <w:pPr>
        <w:pStyle w:val="Ttulo5"/>
        <w:tabs>
          <w:tab w:val="left" w:pos="0"/>
          <w:tab w:val="right" w:pos="9356"/>
        </w:tabs>
        <w:ind w:left="0"/>
        <w:rPr>
          <w:rFonts w:ascii="Bookman Old Style" w:hAnsi="Bookman Old Style"/>
          <w:sz w:val="24"/>
          <w:szCs w:val="24"/>
        </w:rPr>
      </w:pPr>
    </w:p>
    <w:p w:rsidR="00CA77FB" w:rsidRPr="00012259" w:rsidRDefault="00CA77FB" w:rsidP="00012259">
      <w:pPr>
        <w:pStyle w:val="Ttulo5"/>
        <w:tabs>
          <w:tab w:val="left" w:pos="0"/>
          <w:tab w:val="right" w:pos="9356"/>
        </w:tabs>
        <w:ind w:left="0"/>
        <w:rPr>
          <w:rFonts w:ascii="Bookman Old Style" w:hAnsi="Bookman Old Style"/>
          <w:sz w:val="24"/>
          <w:szCs w:val="24"/>
        </w:rPr>
      </w:pPr>
      <w:r w:rsidRPr="00012259">
        <w:rPr>
          <w:rFonts w:ascii="Bookman Old Style" w:hAnsi="Bookman Old Style"/>
          <w:sz w:val="24"/>
          <w:szCs w:val="24"/>
        </w:rPr>
        <w:t xml:space="preserve">RESOLUCIÓN No. </w:t>
      </w:r>
      <w:r w:rsidR="00795BFB" w:rsidRPr="00012259">
        <w:rPr>
          <w:rFonts w:ascii="Bookman Old Style" w:hAnsi="Bookman Old Style"/>
          <w:sz w:val="24"/>
          <w:szCs w:val="24"/>
        </w:rPr>
        <w:t xml:space="preserve">                  </w:t>
      </w:r>
      <w:r w:rsidRPr="00012259">
        <w:rPr>
          <w:rFonts w:ascii="Bookman Old Style" w:hAnsi="Bookman Old Style"/>
          <w:sz w:val="24"/>
          <w:szCs w:val="24"/>
        </w:rPr>
        <w:t>DE 20</w:t>
      </w:r>
      <w:r w:rsidR="00795BFB" w:rsidRPr="00012259">
        <w:rPr>
          <w:rFonts w:ascii="Bookman Old Style" w:hAnsi="Bookman Old Style"/>
          <w:sz w:val="24"/>
          <w:szCs w:val="24"/>
        </w:rPr>
        <w:t>1</w:t>
      </w:r>
      <w:r w:rsidR="00980F7B">
        <w:rPr>
          <w:rFonts w:ascii="Bookman Old Style" w:hAnsi="Bookman Old Style"/>
          <w:sz w:val="24"/>
          <w:szCs w:val="24"/>
        </w:rPr>
        <w:t>3</w:t>
      </w:r>
    </w:p>
    <w:p w:rsidR="00CA77FB" w:rsidRPr="00012259"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A77FB" w:rsidRPr="00012259" w:rsidRDefault="00CA77FB" w:rsidP="00012259">
      <w:pPr>
        <w:pStyle w:val="Ttulo3"/>
        <w:tabs>
          <w:tab w:val="left" w:pos="0"/>
          <w:tab w:val="right" w:pos="9356"/>
        </w:tabs>
        <w:ind w:left="0"/>
        <w:rPr>
          <w:rFonts w:ascii="Bookman Old Style" w:hAnsi="Bookman Old Style"/>
          <w:b w:val="0"/>
          <w:szCs w:val="24"/>
        </w:rPr>
      </w:pPr>
      <w:r w:rsidRPr="00012259">
        <w:rPr>
          <w:rFonts w:ascii="Bookman Old Style" w:hAnsi="Bookman Old Style"/>
          <w:b w:val="0"/>
          <w:szCs w:val="24"/>
        </w:rPr>
        <w:t>(                                  )</w:t>
      </w:r>
    </w:p>
    <w:p w:rsidR="00CA77FB" w:rsidRPr="00012259" w:rsidRDefault="00CA77FB" w:rsidP="00012259">
      <w:pPr>
        <w:tabs>
          <w:tab w:val="left" w:pos="0"/>
          <w:tab w:val="right" w:pos="9356"/>
        </w:tabs>
        <w:ind w:left="0"/>
        <w:jc w:val="center"/>
        <w:rPr>
          <w:rFonts w:ascii="Bookman Old Style" w:hAnsi="Bookman Old Style"/>
          <w:lang w:val="es-ES_tradnl"/>
        </w:rPr>
      </w:pPr>
    </w:p>
    <w:p w:rsidR="00C034CB" w:rsidRDefault="00C034CB" w:rsidP="00012259">
      <w:pPr>
        <w:ind w:left="0"/>
        <w:rPr>
          <w:rFonts w:ascii="Bookman Old Style" w:hAnsi="Bookman Old Style"/>
          <w:bCs/>
          <w:lang w:val="es-CO"/>
        </w:rPr>
      </w:pPr>
    </w:p>
    <w:p w:rsidR="0070063F" w:rsidRPr="0070063F" w:rsidRDefault="0070063F" w:rsidP="00DC6515">
      <w:pPr>
        <w:ind w:left="0"/>
        <w:jc w:val="both"/>
        <w:rPr>
          <w:rFonts w:ascii="Bookman Old Style" w:hAnsi="Bookman Old Style"/>
        </w:rPr>
      </w:pPr>
      <w:r w:rsidRPr="0070063F">
        <w:rPr>
          <w:rFonts w:ascii="Bookman Old Style" w:hAnsi="Bookman Old Style"/>
          <w:lang w:eastAsia="es-CO"/>
        </w:rPr>
        <w:t xml:space="preserve">Por la cual se ordena publicar </w:t>
      </w:r>
      <w:r w:rsidR="001C041F">
        <w:rPr>
          <w:rFonts w:ascii="Bookman Old Style" w:hAnsi="Bookman Old Style"/>
          <w:lang w:eastAsia="es-CO"/>
        </w:rPr>
        <w:t xml:space="preserve">el proyecto de resolución por medio del cual se </w:t>
      </w:r>
      <w:r w:rsidR="0051113C">
        <w:rPr>
          <w:rFonts w:ascii="Bookman Old Style" w:hAnsi="Bookman Old Style"/>
          <w:lang w:eastAsia="es-CO"/>
        </w:rPr>
        <w:t xml:space="preserve">modifica el artículo </w:t>
      </w:r>
      <w:r w:rsidR="00165BA1">
        <w:rPr>
          <w:rFonts w:ascii="Bookman Old Style" w:hAnsi="Bookman Old Style"/>
          <w:lang w:eastAsia="es-CO"/>
        </w:rPr>
        <w:t>5</w:t>
      </w:r>
      <w:r w:rsidR="0051113C">
        <w:rPr>
          <w:rFonts w:ascii="Bookman Old Style" w:hAnsi="Bookman Old Style"/>
          <w:lang w:eastAsia="es-CO"/>
        </w:rPr>
        <w:t xml:space="preserve"> y se </w:t>
      </w:r>
      <w:r w:rsidR="001C041F">
        <w:rPr>
          <w:rFonts w:ascii="Bookman Old Style" w:hAnsi="Bookman Old Style"/>
          <w:lang w:eastAsia="es-CO"/>
        </w:rPr>
        <w:t>adiciona</w:t>
      </w:r>
      <w:r w:rsidR="00617FF7">
        <w:rPr>
          <w:rFonts w:ascii="Bookman Old Style" w:hAnsi="Bookman Old Style"/>
          <w:lang w:eastAsia="es-CO"/>
        </w:rPr>
        <w:t xml:space="preserve">n </w:t>
      </w:r>
      <w:r w:rsidR="00D76FD2">
        <w:rPr>
          <w:rFonts w:ascii="Bookman Old Style" w:hAnsi="Bookman Old Style"/>
          <w:lang w:eastAsia="es-CO"/>
        </w:rPr>
        <w:t xml:space="preserve">dos </w:t>
      </w:r>
      <w:r w:rsidR="00121310">
        <w:rPr>
          <w:rFonts w:ascii="Bookman Old Style" w:hAnsi="Bookman Old Style"/>
          <w:lang w:eastAsia="es-CO"/>
        </w:rPr>
        <w:t>artículo</w:t>
      </w:r>
      <w:r w:rsidR="00D76FD2">
        <w:rPr>
          <w:rFonts w:ascii="Bookman Old Style" w:hAnsi="Bookman Old Style"/>
          <w:lang w:eastAsia="es-CO"/>
        </w:rPr>
        <w:t>s</w:t>
      </w:r>
      <w:r w:rsidR="00121310">
        <w:rPr>
          <w:rFonts w:ascii="Bookman Old Style" w:hAnsi="Bookman Old Style"/>
          <w:lang w:eastAsia="es-CO"/>
        </w:rPr>
        <w:t xml:space="preserve"> </w:t>
      </w:r>
      <w:r w:rsidR="00DC6515">
        <w:rPr>
          <w:rFonts w:ascii="Bookman Old Style" w:hAnsi="Bookman Old Style"/>
          <w:lang w:eastAsia="es-CO"/>
        </w:rPr>
        <w:t>a</w:t>
      </w:r>
      <w:r w:rsidR="00165BA1">
        <w:rPr>
          <w:rFonts w:ascii="Bookman Old Style" w:hAnsi="Bookman Old Style"/>
          <w:lang w:eastAsia="es-CO"/>
        </w:rPr>
        <w:t>l</w:t>
      </w:r>
      <w:r w:rsidR="00DC6515">
        <w:rPr>
          <w:rFonts w:ascii="Bookman Old Style" w:hAnsi="Bookman Old Style"/>
          <w:lang w:eastAsia="es-CO"/>
        </w:rPr>
        <w:t xml:space="preserve"> </w:t>
      </w:r>
      <w:r w:rsidRPr="0070063F">
        <w:rPr>
          <w:rFonts w:ascii="Bookman Old Style" w:hAnsi="Bookman Old Style"/>
          <w:lang w:eastAsia="es-CO"/>
        </w:rPr>
        <w:t xml:space="preserve">proyecto de </w:t>
      </w:r>
      <w:r w:rsidR="005206C8">
        <w:rPr>
          <w:rFonts w:ascii="Bookman Old Style" w:hAnsi="Bookman Old Style"/>
          <w:lang w:eastAsia="es-CO"/>
        </w:rPr>
        <w:t>R</w:t>
      </w:r>
      <w:r w:rsidRPr="0070063F">
        <w:rPr>
          <w:rFonts w:ascii="Bookman Old Style" w:hAnsi="Bookman Old Style"/>
          <w:lang w:eastAsia="es-CO"/>
        </w:rPr>
        <w:t xml:space="preserve">esolución </w:t>
      </w:r>
      <w:r w:rsidR="005206C8">
        <w:rPr>
          <w:rFonts w:ascii="Bookman Old Style" w:hAnsi="Bookman Old Style"/>
          <w:lang w:eastAsia="es-CO"/>
        </w:rPr>
        <w:t xml:space="preserve">CREG </w:t>
      </w:r>
      <w:r w:rsidR="00497629">
        <w:rPr>
          <w:rFonts w:ascii="Bookman Old Style" w:hAnsi="Bookman Old Style"/>
          <w:lang w:eastAsia="es-CO"/>
        </w:rPr>
        <w:t>No.</w:t>
      </w:r>
      <w:r w:rsidR="00DC6515">
        <w:rPr>
          <w:rFonts w:ascii="Bookman Old Style" w:hAnsi="Bookman Old Style"/>
          <w:lang w:eastAsia="es-CO"/>
        </w:rPr>
        <w:t xml:space="preserve"> 103 de </w:t>
      </w:r>
      <w:r w:rsidR="0051113C">
        <w:rPr>
          <w:rFonts w:ascii="Bookman Old Style" w:hAnsi="Bookman Old Style"/>
          <w:lang w:eastAsia="es-CO"/>
        </w:rPr>
        <w:t>2010</w:t>
      </w:r>
      <w:r w:rsidR="00DC6515">
        <w:rPr>
          <w:rFonts w:ascii="Bookman Old Style" w:hAnsi="Bookman Old Style"/>
          <w:lang w:eastAsia="es-CO"/>
        </w:rPr>
        <w:t xml:space="preserve">, por </w:t>
      </w:r>
      <w:r w:rsidR="00165BA1">
        <w:rPr>
          <w:rFonts w:ascii="Bookman Old Style" w:hAnsi="Bookman Old Style"/>
          <w:lang w:eastAsia="es-CO"/>
        </w:rPr>
        <w:t xml:space="preserve">el </w:t>
      </w:r>
      <w:r w:rsidR="00DC6515">
        <w:rPr>
          <w:rFonts w:ascii="Bookman Old Style" w:hAnsi="Bookman Old Style"/>
          <w:lang w:eastAsia="es-CO"/>
        </w:rPr>
        <w:t>cual “</w:t>
      </w:r>
      <w:r w:rsidR="00DC6515" w:rsidRPr="0070063F">
        <w:rPr>
          <w:rFonts w:ascii="Bookman Old Style" w:hAnsi="Bookman Old Style"/>
        </w:rPr>
        <w:t>se establecen los criterios generales para remunerar la actividad de comercialización de gas combustible por redes de tuberías a usuarios regulados</w:t>
      </w:r>
      <w:r w:rsidR="00F45FD0">
        <w:rPr>
          <w:rFonts w:ascii="Bookman Old Style" w:hAnsi="Bookman Old Style"/>
        </w:rPr>
        <w:t>”</w:t>
      </w:r>
      <w:r w:rsidR="00165BA1">
        <w:rPr>
          <w:rFonts w:ascii="Bookman Old Style" w:hAnsi="Bookman Old Style"/>
        </w:rPr>
        <w:t>.</w:t>
      </w:r>
      <w:r w:rsidR="00DC6515">
        <w:rPr>
          <w:rFonts w:ascii="Bookman Old Style" w:hAnsi="Bookman Old Style"/>
        </w:rPr>
        <w:t xml:space="preserve"> </w:t>
      </w:r>
    </w:p>
    <w:p w:rsidR="0070063F" w:rsidRPr="00CD4009" w:rsidRDefault="0070063F" w:rsidP="0070063F">
      <w:pPr>
        <w:ind w:left="0" w:right="340"/>
        <w:jc w:val="both"/>
        <w:rPr>
          <w:rFonts w:ascii="Bookman Old Style" w:hAnsi="Bookman Old Style"/>
          <w:lang w:eastAsia="es-CO"/>
        </w:rPr>
      </w:pPr>
    </w:p>
    <w:p w:rsidR="0070063F" w:rsidRPr="0070063F" w:rsidRDefault="0070063F" w:rsidP="0070063F">
      <w:pPr>
        <w:ind w:left="0" w:right="340"/>
        <w:jc w:val="both"/>
        <w:rPr>
          <w:rFonts w:ascii="Bookman Old Style" w:hAnsi="Bookman Old Style"/>
          <w:lang w:val="es-ES_tradnl" w:eastAsia="es-CO"/>
        </w:rPr>
      </w:pPr>
    </w:p>
    <w:p w:rsidR="0070063F" w:rsidRPr="0070063F" w:rsidRDefault="0070063F" w:rsidP="0070063F">
      <w:pPr>
        <w:ind w:left="0"/>
        <w:jc w:val="center"/>
        <w:rPr>
          <w:rFonts w:ascii="Bookman Old Style" w:hAnsi="Bookman Old Style"/>
          <w:lang w:eastAsia="es-CO"/>
        </w:rPr>
      </w:pPr>
      <w:r w:rsidRPr="0070063F">
        <w:rPr>
          <w:rFonts w:ascii="Bookman Old Style" w:hAnsi="Bookman Old Style"/>
          <w:b/>
          <w:bCs/>
          <w:lang w:eastAsia="es-CO"/>
        </w:rPr>
        <w:t>LA COMISIÓN DE REGULACIÓN DE ENERGÍA Y GAS</w:t>
      </w:r>
    </w:p>
    <w:p w:rsidR="0070063F" w:rsidRDefault="0070063F" w:rsidP="0070063F">
      <w:pPr>
        <w:ind w:left="0"/>
        <w:jc w:val="both"/>
        <w:rPr>
          <w:rFonts w:ascii="Bookman Old Style" w:hAnsi="Bookman Old Style"/>
          <w:lang w:eastAsia="es-CO"/>
        </w:rPr>
      </w:pPr>
    </w:p>
    <w:p w:rsidR="0070063F" w:rsidRPr="0070063F" w:rsidRDefault="0070063F" w:rsidP="0070063F">
      <w:pPr>
        <w:ind w:left="0"/>
        <w:jc w:val="both"/>
        <w:rPr>
          <w:rFonts w:ascii="Bookman Old Style" w:hAnsi="Bookman Old Style"/>
          <w:lang w:eastAsia="es-CO"/>
        </w:rPr>
      </w:pPr>
    </w:p>
    <w:p w:rsidR="0070063F" w:rsidRPr="0070063F" w:rsidRDefault="0070063F" w:rsidP="0070063F">
      <w:pPr>
        <w:ind w:left="0"/>
        <w:jc w:val="both"/>
        <w:rPr>
          <w:rFonts w:ascii="Bookman Old Style" w:hAnsi="Bookman Old Style"/>
          <w:lang w:eastAsia="es-CO"/>
        </w:rPr>
      </w:pPr>
      <w:r w:rsidRPr="0070063F">
        <w:rPr>
          <w:rFonts w:ascii="Bookman Old Style" w:hAnsi="Bookman Old Style"/>
          <w:lang w:eastAsia="es-CO"/>
        </w:rPr>
        <w:t xml:space="preserve">En ejercicio de sus facultades legales, en especial de las conferidas por la Ley 142 de 1994 y en desarrollo de los Decretos 2253 de 1994 y 2696 de 2004, </w:t>
      </w:r>
      <w:r w:rsidR="008356AB">
        <w:rPr>
          <w:rFonts w:ascii="Bookman Old Style" w:hAnsi="Bookman Old Style"/>
          <w:lang w:eastAsia="es-CO"/>
        </w:rPr>
        <w:t>y</w:t>
      </w:r>
    </w:p>
    <w:p w:rsidR="0070063F" w:rsidRDefault="0070063F" w:rsidP="0070063F">
      <w:pPr>
        <w:ind w:left="0"/>
        <w:jc w:val="both"/>
        <w:rPr>
          <w:rFonts w:ascii="Bookman Old Style" w:hAnsi="Bookman Old Style"/>
          <w:bCs/>
          <w:lang w:eastAsia="es-CO"/>
        </w:rPr>
      </w:pPr>
    </w:p>
    <w:p w:rsidR="002A41E5" w:rsidRPr="0070063F" w:rsidRDefault="002A41E5" w:rsidP="0070063F">
      <w:pPr>
        <w:ind w:left="0"/>
        <w:jc w:val="both"/>
        <w:rPr>
          <w:rFonts w:ascii="Bookman Old Style" w:hAnsi="Bookman Old Style"/>
          <w:bCs/>
          <w:lang w:eastAsia="es-CO"/>
        </w:rPr>
      </w:pPr>
    </w:p>
    <w:p w:rsidR="0070063F" w:rsidRPr="0070063F" w:rsidRDefault="0070063F" w:rsidP="0070063F">
      <w:pPr>
        <w:ind w:left="0"/>
        <w:jc w:val="center"/>
        <w:rPr>
          <w:rFonts w:ascii="Bookman Old Style" w:hAnsi="Bookman Old Style"/>
          <w:lang w:eastAsia="es-CO"/>
        </w:rPr>
      </w:pPr>
      <w:r w:rsidRPr="0070063F">
        <w:rPr>
          <w:rFonts w:ascii="Bookman Old Style" w:hAnsi="Bookman Old Style"/>
          <w:b/>
          <w:bCs/>
          <w:lang w:eastAsia="es-CO"/>
        </w:rPr>
        <w:t>CONSIDERANDO QUE:</w:t>
      </w:r>
    </w:p>
    <w:p w:rsidR="0070063F" w:rsidRPr="0070063F" w:rsidRDefault="0070063F" w:rsidP="0070063F">
      <w:pPr>
        <w:ind w:left="0"/>
        <w:jc w:val="both"/>
        <w:rPr>
          <w:rFonts w:ascii="Bookman Old Style" w:hAnsi="Bookman Old Style"/>
          <w:lang w:eastAsia="es-CO"/>
        </w:rPr>
      </w:pPr>
    </w:p>
    <w:p w:rsidR="0070063F" w:rsidRDefault="0070063F" w:rsidP="0070063F">
      <w:pPr>
        <w:ind w:left="0"/>
        <w:jc w:val="both"/>
        <w:rPr>
          <w:rFonts w:ascii="Bookman Old Style" w:hAnsi="Bookman Old Style"/>
          <w:lang w:eastAsia="es-CO"/>
        </w:rPr>
      </w:pPr>
    </w:p>
    <w:p w:rsidR="00DC6515" w:rsidRPr="00DC6515" w:rsidRDefault="00DC6515" w:rsidP="00DC6515">
      <w:pPr>
        <w:ind w:left="0"/>
        <w:jc w:val="both"/>
        <w:rPr>
          <w:rFonts w:ascii="Bookman Old Style" w:hAnsi="Bookman Old Style"/>
          <w:lang w:eastAsia="es-CO"/>
        </w:rPr>
      </w:pPr>
      <w:r w:rsidRPr="00DC6515">
        <w:rPr>
          <w:rFonts w:ascii="Bookman Old Style" w:hAnsi="Bookman Old Style"/>
          <w:lang w:eastAsia="es-CO"/>
        </w:rPr>
        <w:t>Conforme a lo dispuesto por el artículo 9 del Decreto 2696 de 2004, concordante con el artículo 8 del Código de Procedimiento Administrativo</w:t>
      </w:r>
      <w:r w:rsidR="00C87CEF">
        <w:rPr>
          <w:rFonts w:ascii="Bookman Old Style" w:hAnsi="Bookman Old Style"/>
          <w:lang w:eastAsia="es-CO"/>
        </w:rPr>
        <w:t xml:space="preserve"> y </w:t>
      </w:r>
      <w:r w:rsidRPr="00DC6515">
        <w:rPr>
          <w:rFonts w:ascii="Bookman Old Style" w:hAnsi="Bookman Old Style"/>
          <w:lang w:eastAsia="es-CO"/>
        </w:rPr>
        <w:t>de lo Contencioso Administrativo, la Comisión debe hacer públicos en su página web los proyectos de resolución de carácter general que prevé adoptar.</w:t>
      </w:r>
    </w:p>
    <w:p w:rsidR="00DC6515" w:rsidRPr="00DC6515" w:rsidRDefault="00DC6515" w:rsidP="00DC6515">
      <w:pPr>
        <w:ind w:left="0"/>
        <w:jc w:val="both"/>
        <w:rPr>
          <w:rFonts w:ascii="Bookman Old Style" w:hAnsi="Bookman Old Style"/>
          <w:lang w:eastAsia="es-CO"/>
        </w:rPr>
      </w:pPr>
    </w:p>
    <w:p w:rsidR="001C041F" w:rsidRDefault="001C041F" w:rsidP="00DC6515">
      <w:pPr>
        <w:ind w:left="0"/>
        <w:jc w:val="both"/>
        <w:rPr>
          <w:rFonts w:ascii="Bookman Old Style" w:hAnsi="Bookman Old Style"/>
          <w:lang w:eastAsia="es-CO"/>
        </w:rPr>
      </w:pPr>
      <w:r>
        <w:rPr>
          <w:rFonts w:ascii="Bookman Old Style" w:hAnsi="Bookman Old Style"/>
          <w:lang w:eastAsia="es-CO"/>
        </w:rPr>
        <w:t>La Comisión de Regulación de Energía y Gas – CREG, en su momento y de acuerdo con lo dispuesto en la normativa vigente, p</w:t>
      </w:r>
      <w:r w:rsidR="008417EF">
        <w:rPr>
          <w:rFonts w:ascii="Bookman Old Style" w:hAnsi="Bookman Old Style"/>
          <w:lang w:eastAsia="es-CO"/>
        </w:rPr>
        <w:t>romulgó y puso a comentarios la Resolución</w:t>
      </w:r>
      <w:r>
        <w:rPr>
          <w:rFonts w:ascii="Bookman Old Style" w:hAnsi="Bookman Old Style"/>
          <w:lang w:eastAsia="es-CO"/>
        </w:rPr>
        <w:t xml:space="preserve"> CREG 103 de 2010 </w:t>
      </w:r>
      <w:r w:rsidRPr="00FB4562">
        <w:rPr>
          <w:rFonts w:ascii="Bookman Old Style" w:hAnsi="Bookman Old Style"/>
          <w:i/>
          <w:lang w:eastAsia="es-CO"/>
        </w:rPr>
        <w:t>“</w:t>
      </w:r>
      <w:r w:rsidR="00FB4562" w:rsidRPr="00FB4562">
        <w:rPr>
          <w:rFonts w:ascii="Bookman Old Style" w:hAnsi="Bookman Old Style"/>
          <w:i/>
          <w:lang w:eastAsia="es-CO"/>
        </w:rPr>
        <w:t xml:space="preserve">Por la cual </w:t>
      </w:r>
      <w:r w:rsidR="00FB4562" w:rsidRPr="00FB4562">
        <w:rPr>
          <w:rFonts w:ascii="Bookman Old Style" w:hAnsi="Bookman Old Style"/>
          <w:i/>
        </w:rPr>
        <w:t>se establecen los criterios generales para remunerar la actividad de comercialización de gas combustible por redes de tuberías a usuarios regulados”</w:t>
      </w:r>
      <w:r w:rsidR="00FB4562">
        <w:rPr>
          <w:rFonts w:ascii="Bookman Old Style" w:hAnsi="Bookman Old Style"/>
          <w:lang w:eastAsia="es-CO"/>
        </w:rPr>
        <w:t xml:space="preserve"> </w:t>
      </w:r>
      <w:r>
        <w:rPr>
          <w:rFonts w:ascii="Bookman Old Style" w:hAnsi="Bookman Old Style"/>
          <w:lang w:eastAsia="es-CO"/>
        </w:rPr>
        <w:t xml:space="preserve"> de la cual se recibieron comentarios por parte de los agentes e interesados en la misma. </w:t>
      </w:r>
    </w:p>
    <w:p w:rsidR="001C041F" w:rsidRDefault="003A5AAE" w:rsidP="003A5AAE">
      <w:pPr>
        <w:tabs>
          <w:tab w:val="left" w:pos="3870"/>
        </w:tabs>
        <w:ind w:left="0"/>
        <w:jc w:val="both"/>
        <w:rPr>
          <w:rFonts w:ascii="Bookman Old Style" w:hAnsi="Bookman Old Style"/>
          <w:lang w:eastAsia="es-CO"/>
        </w:rPr>
      </w:pPr>
      <w:r>
        <w:rPr>
          <w:rFonts w:ascii="Bookman Old Style" w:hAnsi="Bookman Old Style"/>
          <w:lang w:eastAsia="es-CO"/>
        </w:rPr>
        <w:tab/>
      </w:r>
    </w:p>
    <w:p w:rsidR="001C041F" w:rsidRDefault="001C041F" w:rsidP="00DC6515">
      <w:pPr>
        <w:ind w:left="0"/>
        <w:jc w:val="both"/>
        <w:rPr>
          <w:rFonts w:ascii="Bookman Old Style" w:hAnsi="Bookman Old Style" w:cs="Arial"/>
        </w:rPr>
      </w:pPr>
      <w:r>
        <w:rPr>
          <w:rFonts w:ascii="Bookman Old Style" w:hAnsi="Bookman Old Style"/>
          <w:lang w:eastAsia="es-CO"/>
        </w:rPr>
        <w:t xml:space="preserve">De igual manera, la Comisión de Regulación de Energía y Gas – CREG, profirió de manera definitiva la Resolución CREG </w:t>
      </w:r>
      <w:r w:rsidR="005206C8">
        <w:rPr>
          <w:rFonts w:ascii="Bookman Old Style" w:hAnsi="Bookman Old Style"/>
          <w:lang w:eastAsia="es-CO"/>
        </w:rPr>
        <w:t xml:space="preserve">No. </w:t>
      </w:r>
      <w:r w:rsidR="00FB4562">
        <w:rPr>
          <w:rFonts w:ascii="Bookman Old Style" w:hAnsi="Bookman Old Style"/>
          <w:lang w:eastAsia="es-CO"/>
        </w:rPr>
        <w:t>89</w:t>
      </w:r>
      <w:r>
        <w:rPr>
          <w:rFonts w:ascii="Bookman Old Style" w:hAnsi="Bookman Old Style"/>
          <w:lang w:eastAsia="es-CO"/>
        </w:rPr>
        <w:t xml:space="preserve"> de 201</w:t>
      </w:r>
      <w:r w:rsidR="00BA276C">
        <w:rPr>
          <w:rFonts w:ascii="Bookman Old Style" w:hAnsi="Bookman Old Style"/>
          <w:lang w:eastAsia="es-CO"/>
        </w:rPr>
        <w:t>3</w:t>
      </w:r>
      <w:r>
        <w:rPr>
          <w:rFonts w:ascii="Bookman Old Style" w:hAnsi="Bookman Old Style"/>
          <w:lang w:eastAsia="es-CO"/>
        </w:rPr>
        <w:t xml:space="preserve">, </w:t>
      </w:r>
      <w:r w:rsidRPr="00994873">
        <w:rPr>
          <w:rFonts w:ascii="Bookman Old Style" w:hAnsi="Bookman Old Style" w:cs="Arial"/>
          <w:i/>
        </w:rPr>
        <w:t>“Por la cual se reglamentan aspectos comerciales del mercado mayorista de gas natural, que hacen parte del reglamento de operación de gas natural”</w:t>
      </w:r>
      <w:r>
        <w:rPr>
          <w:rFonts w:ascii="Bookman Old Style" w:hAnsi="Bookman Old Style" w:cs="Arial"/>
        </w:rPr>
        <w:t xml:space="preserve">. </w:t>
      </w:r>
    </w:p>
    <w:p w:rsidR="00D76FD2" w:rsidRDefault="00D76FD2" w:rsidP="00D76FD2">
      <w:pPr>
        <w:widowControl w:val="0"/>
        <w:adjustRightInd w:val="0"/>
        <w:ind w:left="0"/>
        <w:jc w:val="both"/>
        <w:textAlignment w:val="baseline"/>
        <w:rPr>
          <w:rFonts w:ascii="Bookman Old Style" w:hAnsi="Bookman Old Style"/>
          <w:spacing w:val="-3"/>
          <w:lang w:val="es-ES_tradnl" w:eastAsia="x-none"/>
        </w:rPr>
      </w:pPr>
    </w:p>
    <w:p w:rsidR="00D76FD2" w:rsidRPr="00D76FD2" w:rsidRDefault="00D76FD2" w:rsidP="00D76FD2">
      <w:pPr>
        <w:widowControl w:val="0"/>
        <w:adjustRightInd w:val="0"/>
        <w:ind w:left="0"/>
        <w:jc w:val="both"/>
        <w:textAlignment w:val="baseline"/>
        <w:rPr>
          <w:rFonts w:ascii="Bookman Old Style" w:hAnsi="Bookman Old Style"/>
          <w:spacing w:val="-3"/>
          <w:lang w:val="es-ES_tradnl" w:eastAsia="x-none"/>
        </w:rPr>
      </w:pPr>
      <w:r w:rsidRPr="00D76FD2">
        <w:rPr>
          <w:rFonts w:ascii="Bookman Old Style" w:hAnsi="Bookman Old Style"/>
          <w:spacing w:val="-3"/>
          <w:lang w:val="es-ES_tradnl" w:eastAsia="x-none"/>
        </w:rPr>
        <w:t xml:space="preserve">Teniendo en cuenta los análisis efectuados </w:t>
      </w:r>
      <w:r w:rsidR="00AC20FB">
        <w:rPr>
          <w:rFonts w:ascii="Bookman Old Style" w:hAnsi="Bookman Old Style"/>
          <w:spacing w:val="-3"/>
          <w:lang w:val="es-ES_tradnl" w:eastAsia="x-none"/>
        </w:rPr>
        <w:t>luego de</w:t>
      </w:r>
      <w:r w:rsidRPr="00D76FD2">
        <w:rPr>
          <w:rFonts w:ascii="Bookman Old Style" w:hAnsi="Bookman Old Style"/>
          <w:spacing w:val="-3"/>
          <w:lang w:val="es-ES_tradnl" w:eastAsia="x-none"/>
        </w:rPr>
        <w:t xml:space="preserve"> la expedición de la Resolución CREG 0</w:t>
      </w:r>
      <w:r w:rsidR="00AC20FB">
        <w:rPr>
          <w:rFonts w:ascii="Bookman Old Style" w:hAnsi="Bookman Old Style"/>
          <w:spacing w:val="-3"/>
          <w:lang w:val="es-ES_tradnl" w:eastAsia="x-none"/>
        </w:rPr>
        <w:t>88 y 0</w:t>
      </w:r>
      <w:r w:rsidRPr="00D76FD2">
        <w:rPr>
          <w:rFonts w:ascii="Bookman Old Style" w:hAnsi="Bookman Old Style"/>
          <w:spacing w:val="-3"/>
          <w:lang w:val="es-ES_tradnl" w:eastAsia="x-none"/>
        </w:rPr>
        <w:t>89 de 2013, se consideró necesario hacer unos ajustes a la propuesta inicialmente publicada mediante Resolución CREG 1</w:t>
      </w:r>
      <w:r>
        <w:rPr>
          <w:rFonts w:ascii="Bookman Old Style" w:hAnsi="Bookman Old Style"/>
          <w:spacing w:val="-3"/>
          <w:lang w:val="es-ES_tradnl" w:eastAsia="x-none"/>
        </w:rPr>
        <w:t>0</w:t>
      </w:r>
      <w:r w:rsidRPr="00D76FD2">
        <w:rPr>
          <w:rFonts w:ascii="Bookman Old Style" w:hAnsi="Bookman Old Style"/>
          <w:spacing w:val="-3"/>
          <w:lang w:val="es-ES_tradnl" w:eastAsia="x-none"/>
        </w:rPr>
        <w:t>3 de 20</w:t>
      </w:r>
      <w:r>
        <w:rPr>
          <w:rFonts w:ascii="Bookman Old Style" w:hAnsi="Bookman Old Style"/>
          <w:spacing w:val="-3"/>
          <w:lang w:val="es-ES_tradnl" w:eastAsia="x-none"/>
        </w:rPr>
        <w:t>10</w:t>
      </w:r>
      <w:r w:rsidRPr="00D76FD2">
        <w:rPr>
          <w:rFonts w:ascii="Bookman Old Style" w:hAnsi="Bookman Old Style"/>
          <w:spacing w:val="-3"/>
          <w:lang w:val="es-ES_tradnl" w:eastAsia="x-none"/>
        </w:rPr>
        <w:t xml:space="preserve"> y en consecuencia se ha considerado conveniente someter a consulta aquellos aspectos no contemplados en la propuesta inicial. </w:t>
      </w:r>
    </w:p>
    <w:p w:rsidR="001C041F" w:rsidRPr="005504DE" w:rsidRDefault="001C041F" w:rsidP="00DC6515">
      <w:pPr>
        <w:ind w:left="0"/>
        <w:jc w:val="both"/>
        <w:rPr>
          <w:rFonts w:ascii="Bookman Old Style" w:hAnsi="Bookman Old Style" w:cs="Arial"/>
          <w:lang w:val="es-ES_tradnl"/>
        </w:rPr>
      </w:pPr>
    </w:p>
    <w:p w:rsidR="00DC6515" w:rsidRPr="00FB4562" w:rsidRDefault="001C041F" w:rsidP="00DC6515">
      <w:pPr>
        <w:ind w:left="0"/>
        <w:jc w:val="both"/>
        <w:rPr>
          <w:rFonts w:ascii="Bookman Old Style" w:hAnsi="Bookman Old Style"/>
        </w:rPr>
      </w:pPr>
      <w:r w:rsidRPr="00FB4562">
        <w:rPr>
          <w:rFonts w:ascii="Bookman Old Style" w:hAnsi="Bookman Old Style"/>
          <w:lang w:eastAsia="es-CO"/>
        </w:rPr>
        <w:t xml:space="preserve">Por ello, </w:t>
      </w:r>
      <w:r w:rsidR="007F042E" w:rsidRPr="00FB4562">
        <w:rPr>
          <w:rFonts w:ascii="Bookman Old Style" w:hAnsi="Bookman Old Style"/>
          <w:lang w:eastAsia="es-CO"/>
        </w:rPr>
        <w:t>y no obstante habiéndose ya recibido los comentarios sobre la Resoluci</w:t>
      </w:r>
      <w:r w:rsidR="00536766">
        <w:rPr>
          <w:rFonts w:ascii="Bookman Old Style" w:hAnsi="Bookman Old Style"/>
          <w:lang w:eastAsia="es-CO"/>
        </w:rPr>
        <w:t>ón</w:t>
      </w:r>
      <w:r w:rsidR="007F042E" w:rsidRPr="00FB4562">
        <w:rPr>
          <w:rFonts w:ascii="Bookman Old Style" w:hAnsi="Bookman Old Style"/>
          <w:lang w:eastAsia="es-CO"/>
        </w:rPr>
        <w:t xml:space="preserve"> CREG antes mencionada, </w:t>
      </w:r>
      <w:r w:rsidRPr="00FB4562">
        <w:rPr>
          <w:rFonts w:ascii="Bookman Old Style" w:hAnsi="Bookman Old Style"/>
          <w:lang w:eastAsia="es-CO"/>
        </w:rPr>
        <w:t>l</w:t>
      </w:r>
      <w:r w:rsidR="00DC6515" w:rsidRPr="00FB4562">
        <w:rPr>
          <w:rFonts w:ascii="Bookman Old Style" w:hAnsi="Bookman Old Style"/>
          <w:lang w:eastAsia="es-CO"/>
        </w:rPr>
        <w:t xml:space="preserve">a Comisión de Regulación de Energía y Gas, CREG, en su </w:t>
      </w:r>
      <w:r w:rsidR="00DC6515" w:rsidRPr="00980F7B">
        <w:rPr>
          <w:rFonts w:ascii="Bookman Old Style" w:hAnsi="Bookman Old Style"/>
          <w:lang w:eastAsia="es-CO"/>
        </w:rPr>
        <w:t>sesión No</w:t>
      </w:r>
      <w:r w:rsidR="00FB4562" w:rsidRPr="00980F7B">
        <w:rPr>
          <w:rFonts w:ascii="Bookman Old Style" w:hAnsi="Bookman Old Style"/>
          <w:lang w:eastAsia="es-CO"/>
        </w:rPr>
        <w:t xml:space="preserve">. </w:t>
      </w:r>
      <w:r w:rsidR="00980F7B">
        <w:rPr>
          <w:rFonts w:ascii="Bookman Old Style" w:hAnsi="Bookman Old Style"/>
          <w:lang w:eastAsia="es-CO"/>
        </w:rPr>
        <w:t>575</w:t>
      </w:r>
      <w:r w:rsidR="00DC6515" w:rsidRPr="00980F7B">
        <w:rPr>
          <w:rFonts w:ascii="Bookman Old Style" w:hAnsi="Bookman Old Style"/>
          <w:lang w:eastAsia="es-CO"/>
        </w:rPr>
        <w:t xml:space="preserve"> de</w:t>
      </w:r>
      <w:r w:rsidR="00980F7B">
        <w:rPr>
          <w:rFonts w:ascii="Bookman Old Style" w:hAnsi="Bookman Old Style"/>
          <w:lang w:eastAsia="es-CO"/>
        </w:rPr>
        <w:t>l 4 de octubre de</w:t>
      </w:r>
      <w:r w:rsidR="00DC6515" w:rsidRPr="00980F7B">
        <w:rPr>
          <w:rFonts w:ascii="Bookman Old Style" w:hAnsi="Bookman Old Style"/>
          <w:lang w:eastAsia="es-CO"/>
        </w:rPr>
        <w:t xml:space="preserve"> 201</w:t>
      </w:r>
      <w:r w:rsidR="007F042E" w:rsidRPr="00980F7B">
        <w:rPr>
          <w:rFonts w:ascii="Bookman Old Style" w:hAnsi="Bookman Old Style"/>
          <w:lang w:eastAsia="es-CO"/>
        </w:rPr>
        <w:t>3</w:t>
      </w:r>
      <w:r w:rsidR="00DC6515" w:rsidRPr="00FB4562">
        <w:rPr>
          <w:rFonts w:ascii="Bookman Old Style" w:hAnsi="Bookman Old Style"/>
          <w:lang w:eastAsia="es-CO"/>
        </w:rPr>
        <w:t xml:space="preserve">, aprobó hacer público el proyecto de resolución </w:t>
      </w:r>
      <w:r w:rsidR="007F042E" w:rsidRPr="00994873">
        <w:rPr>
          <w:rFonts w:ascii="Bookman Old Style" w:hAnsi="Bookman Old Style"/>
          <w:i/>
          <w:lang w:eastAsia="es-CO"/>
        </w:rPr>
        <w:t xml:space="preserve">“Por la cual se ordena publicar el proyecto de resolución por medio del cual se </w:t>
      </w:r>
      <w:r w:rsidR="00165BA1" w:rsidRPr="003A5AAE">
        <w:rPr>
          <w:rFonts w:ascii="Bookman Old Style" w:hAnsi="Bookman Old Style"/>
          <w:i/>
          <w:lang w:eastAsia="es-CO"/>
        </w:rPr>
        <w:t>modifica el artículo 5 y se adiciona</w:t>
      </w:r>
      <w:r w:rsidR="00617FF7" w:rsidRPr="003A5AAE">
        <w:rPr>
          <w:rFonts w:ascii="Bookman Old Style" w:hAnsi="Bookman Old Style"/>
          <w:i/>
          <w:lang w:eastAsia="es-CO"/>
        </w:rPr>
        <w:t>n</w:t>
      </w:r>
      <w:r w:rsidR="00165BA1" w:rsidRPr="003A5AAE">
        <w:rPr>
          <w:rFonts w:ascii="Bookman Old Style" w:hAnsi="Bookman Old Style"/>
          <w:i/>
          <w:lang w:eastAsia="es-CO"/>
        </w:rPr>
        <w:t xml:space="preserve"> </w:t>
      </w:r>
      <w:r w:rsidR="00D76FD2" w:rsidRPr="003A5AAE">
        <w:rPr>
          <w:rFonts w:ascii="Bookman Old Style" w:hAnsi="Bookman Old Style"/>
          <w:i/>
          <w:lang w:eastAsia="es-CO"/>
        </w:rPr>
        <w:t>dos</w:t>
      </w:r>
      <w:r w:rsidR="00165BA1" w:rsidRPr="003A5AAE">
        <w:rPr>
          <w:rFonts w:ascii="Bookman Old Style" w:hAnsi="Bookman Old Style"/>
          <w:i/>
          <w:lang w:eastAsia="es-CO"/>
        </w:rPr>
        <w:t xml:space="preserve"> artículo</w:t>
      </w:r>
      <w:r w:rsidR="00D76FD2" w:rsidRPr="003A5AAE">
        <w:rPr>
          <w:rFonts w:ascii="Bookman Old Style" w:hAnsi="Bookman Old Style"/>
          <w:i/>
          <w:lang w:eastAsia="es-CO"/>
        </w:rPr>
        <w:t>s</w:t>
      </w:r>
      <w:r w:rsidR="00165BA1" w:rsidRPr="003A5AAE">
        <w:rPr>
          <w:rFonts w:ascii="Bookman Old Style" w:hAnsi="Bookman Old Style"/>
          <w:i/>
          <w:lang w:eastAsia="es-CO"/>
        </w:rPr>
        <w:t xml:space="preserve"> al  proyecto de Resolución CREG No. 103 de 2010,</w:t>
      </w:r>
      <w:r w:rsidR="00165BA1">
        <w:rPr>
          <w:rFonts w:ascii="Bookman Old Style" w:hAnsi="Bookman Old Style"/>
          <w:lang w:eastAsia="es-CO"/>
        </w:rPr>
        <w:t xml:space="preserve"> </w:t>
      </w:r>
      <w:r w:rsidR="00165BA1" w:rsidRPr="003A5AAE">
        <w:rPr>
          <w:rFonts w:ascii="Bookman Old Style" w:hAnsi="Bookman Old Style"/>
          <w:i/>
          <w:lang w:eastAsia="es-CO"/>
        </w:rPr>
        <w:t>por el cual: “</w:t>
      </w:r>
      <w:r w:rsidR="00165BA1" w:rsidRPr="003A5AAE">
        <w:rPr>
          <w:rFonts w:ascii="Bookman Old Style" w:hAnsi="Bookman Old Style"/>
          <w:i/>
        </w:rPr>
        <w:t>se establecen los criterios generales para remunerar la actividad de comercialización de gas combustible por redes de tuberías a usuarios regulados</w:t>
      </w:r>
      <w:r w:rsidR="00994873">
        <w:rPr>
          <w:rFonts w:ascii="Bookman Old Style" w:hAnsi="Bookman Old Style"/>
        </w:rPr>
        <w:t>”</w:t>
      </w:r>
      <w:r w:rsidR="00497629">
        <w:rPr>
          <w:rFonts w:ascii="Bookman Old Style" w:hAnsi="Bookman Old Style"/>
        </w:rPr>
        <w:t xml:space="preserve">, </w:t>
      </w:r>
      <w:r w:rsidR="007F042E" w:rsidRPr="00FB4562">
        <w:rPr>
          <w:rFonts w:ascii="Bookman Old Style" w:hAnsi="Bookman Old Style"/>
          <w:lang w:eastAsia="es-CO"/>
        </w:rPr>
        <w:t xml:space="preserve">el </w:t>
      </w:r>
      <w:r w:rsidR="00987604" w:rsidRPr="00FB4562">
        <w:rPr>
          <w:rFonts w:ascii="Bookman Old Style" w:hAnsi="Bookman Old Style"/>
          <w:lang w:eastAsia="es-CO"/>
        </w:rPr>
        <w:t>cua</w:t>
      </w:r>
      <w:r w:rsidR="007F042E" w:rsidRPr="00FB4562">
        <w:rPr>
          <w:rFonts w:ascii="Bookman Old Style" w:hAnsi="Bookman Old Style"/>
          <w:lang w:eastAsia="es-CO"/>
        </w:rPr>
        <w:t>l se</w:t>
      </w:r>
      <w:r w:rsidR="00987604" w:rsidRPr="00FB4562">
        <w:rPr>
          <w:rFonts w:ascii="Bookman Old Style" w:hAnsi="Bookman Old Style"/>
          <w:lang w:eastAsia="es-CO"/>
        </w:rPr>
        <w:t xml:space="preserve"> dejará en consulta por el término de cinco (5) días hábiles contados a partir de la fecha de publicación el presente acto administrativo en la página de la web de la Comisión de Regulación de Energía y Gas – CREG</w:t>
      </w:r>
      <w:r w:rsidR="00FB4562">
        <w:rPr>
          <w:rFonts w:ascii="Bookman Old Style" w:hAnsi="Bookman Old Style"/>
          <w:lang w:eastAsia="es-CO"/>
        </w:rPr>
        <w:t>, lo concerniente a estos nuevos ajustes</w:t>
      </w:r>
      <w:r w:rsidR="00DC6515" w:rsidRPr="00FB4562">
        <w:rPr>
          <w:rFonts w:ascii="Bookman Old Style" w:hAnsi="Bookman Old Style"/>
          <w:lang w:eastAsia="es-CO"/>
        </w:rPr>
        <w:t>.</w:t>
      </w:r>
    </w:p>
    <w:p w:rsidR="001C041F" w:rsidRPr="00FB4562" w:rsidRDefault="001C041F" w:rsidP="00DC6515">
      <w:pPr>
        <w:ind w:left="0"/>
        <w:jc w:val="both"/>
        <w:rPr>
          <w:rFonts w:ascii="Bookman Old Style" w:hAnsi="Bookman Old Style"/>
          <w:lang w:eastAsia="es-CO"/>
        </w:rPr>
      </w:pPr>
    </w:p>
    <w:p w:rsidR="00DC6515" w:rsidRPr="00DC6515" w:rsidRDefault="00DC6515" w:rsidP="00DC6515">
      <w:pPr>
        <w:ind w:left="0"/>
        <w:jc w:val="both"/>
        <w:rPr>
          <w:rFonts w:ascii="Bookman Old Style" w:hAnsi="Bookman Old Style"/>
          <w:lang w:eastAsia="es-CO"/>
        </w:rPr>
      </w:pPr>
    </w:p>
    <w:p w:rsidR="00DC6515" w:rsidRPr="00DC6515" w:rsidRDefault="00DC6515" w:rsidP="00DC6515">
      <w:pPr>
        <w:ind w:left="0"/>
        <w:jc w:val="center"/>
        <w:rPr>
          <w:rFonts w:ascii="Bookman Old Style" w:hAnsi="Bookman Old Style"/>
          <w:b/>
          <w:bCs/>
          <w:lang w:eastAsia="es-CO"/>
        </w:rPr>
      </w:pPr>
      <w:r w:rsidRPr="00DC6515">
        <w:rPr>
          <w:rFonts w:ascii="Bookman Old Style" w:hAnsi="Bookman Old Style"/>
          <w:b/>
          <w:bCs/>
          <w:lang w:eastAsia="es-CO"/>
        </w:rPr>
        <w:t>R E S U E L V E:</w:t>
      </w:r>
    </w:p>
    <w:p w:rsidR="00DC6515" w:rsidRPr="00DC6515" w:rsidRDefault="00DC6515" w:rsidP="00DC6515">
      <w:pPr>
        <w:ind w:left="0"/>
        <w:jc w:val="both"/>
        <w:rPr>
          <w:rFonts w:ascii="Bookman Old Style" w:hAnsi="Bookman Old Style"/>
          <w:lang w:eastAsia="es-CO"/>
        </w:rPr>
      </w:pPr>
    </w:p>
    <w:p w:rsidR="00165BA1" w:rsidRPr="003A5AAE" w:rsidRDefault="00DC6515" w:rsidP="00165BA1">
      <w:pPr>
        <w:ind w:left="0"/>
        <w:jc w:val="both"/>
        <w:rPr>
          <w:rFonts w:ascii="Bookman Old Style" w:hAnsi="Bookman Old Style"/>
          <w:i/>
        </w:rPr>
      </w:pPr>
      <w:r w:rsidRPr="00DC6515">
        <w:rPr>
          <w:rFonts w:ascii="Bookman Old Style" w:hAnsi="Bookman Old Style"/>
          <w:b/>
          <w:lang w:eastAsia="es-CO"/>
        </w:rPr>
        <w:t>Artículo 1.</w:t>
      </w:r>
      <w:r w:rsidRPr="00DC6515">
        <w:rPr>
          <w:rFonts w:ascii="Bookman Old Style" w:hAnsi="Bookman Old Style"/>
          <w:lang w:eastAsia="es-CO"/>
        </w:rPr>
        <w:t xml:space="preserve"> Hágase público el proyecto de resolución </w:t>
      </w:r>
      <w:r w:rsidR="00165BA1" w:rsidRPr="003A5AAE">
        <w:rPr>
          <w:rFonts w:ascii="Bookman Old Style" w:hAnsi="Bookman Old Style"/>
          <w:i/>
          <w:lang w:eastAsia="es-CO"/>
        </w:rPr>
        <w:t>“Por la cual se ordena publicar el proyecto de resolución por medio del cual se modifica el artículo 5 y se adiciona</w:t>
      </w:r>
      <w:r w:rsidR="00617FF7" w:rsidRPr="003A5AAE">
        <w:rPr>
          <w:rFonts w:ascii="Bookman Old Style" w:hAnsi="Bookman Old Style"/>
          <w:i/>
          <w:lang w:eastAsia="es-CO"/>
        </w:rPr>
        <w:t>n</w:t>
      </w:r>
      <w:r w:rsidR="00165BA1" w:rsidRPr="003A5AAE">
        <w:rPr>
          <w:rFonts w:ascii="Bookman Old Style" w:hAnsi="Bookman Old Style"/>
          <w:i/>
          <w:lang w:eastAsia="es-CO"/>
        </w:rPr>
        <w:t xml:space="preserve"> </w:t>
      </w:r>
      <w:r w:rsidR="00994873" w:rsidRPr="003A5AAE">
        <w:rPr>
          <w:rFonts w:ascii="Bookman Old Style" w:hAnsi="Bookman Old Style"/>
          <w:i/>
          <w:lang w:eastAsia="es-CO"/>
        </w:rPr>
        <w:t>dos</w:t>
      </w:r>
      <w:r w:rsidR="00165BA1" w:rsidRPr="003A5AAE">
        <w:rPr>
          <w:rFonts w:ascii="Bookman Old Style" w:hAnsi="Bookman Old Style"/>
          <w:i/>
          <w:lang w:eastAsia="es-CO"/>
        </w:rPr>
        <w:t xml:space="preserve"> artículo</w:t>
      </w:r>
      <w:r w:rsidR="00617FF7" w:rsidRPr="003A5AAE">
        <w:rPr>
          <w:rFonts w:ascii="Bookman Old Style" w:hAnsi="Bookman Old Style"/>
          <w:i/>
          <w:lang w:eastAsia="es-CO"/>
        </w:rPr>
        <w:t>s</w:t>
      </w:r>
      <w:r w:rsidR="00165BA1" w:rsidRPr="003A5AAE">
        <w:rPr>
          <w:rFonts w:ascii="Bookman Old Style" w:hAnsi="Bookman Old Style"/>
          <w:i/>
          <w:lang w:eastAsia="es-CO"/>
        </w:rPr>
        <w:t xml:space="preserve"> al  proyecto de Resolución CREG No. 103 de 2010, por el cual: “</w:t>
      </w:r>
      <w:r w:rsidR="00165BA1" w:rsidRPr="003A5AAE">
        <w:rPr>
          <w:rFonts w:ascii="Bookman Old Style" w:hAnsi="Bookman Old Style"/>
          <w:i/>
        </w:rPr>
        <w:t>se establecen los criterios generales para remunerar la actividad de comercialización de gas combustible por redes de tuberías a usuarios regulados”</w:t>
      </w:r>
      <w:r w:rsidR="00994873">
        <w:rPr>
          <w:rFonts w:ascii="Bookman Old Style" w:hAnsi="Bookman Old Style"/>
          <w:i/>
        </w:rPr>
        <w:t>”</w:t>
      </w:r>
    </w:p>
    <w:p w:rsidR="00DC6515" w:rsidRPr="00DC6515" w:rsidRDefault="00DC6515" w:rsidP="00DC6515">
      <w:pPr>
        <w:ind w:left="0"/>
        <w:jc w:val="both"/>
        <w:rPr>
          <w:rFonts w:ascii="Bookman Old Style" w:hAnsi="Bookman Old Style"/>
          <w:lang w:eastAsia="es-CO"/>
        </w:rPr>
      </w:pPr>
    </w:p>
    <w:p w:rsidR="00DC6515" w:rsidRDefault="00DC6515" w:rsidP="00DC6515">
      <w:pPr>
        <w:ind w:left="0"/>
        <w:jc w:val="both"/>
        <w:rPr>
          <w:rFonts w:ascii="Bookman Old Style" w:hAnsi="Bookman Old Style" w:cs="Arial"/>
          <w:lang w:val="es-CO" w:eastAsia="es-CO"/>
        </w:rPr>
      </w:pPr>
      <w:r w:rsidRPr="00DC6515">
        <w:rPr>
          <w:rFonts w:ascii="Bookman Old Style" w:hAnsi="Bookman Old Style"/>
          <w:b/>
          <w:lang w:eastAsia="es-CO"/>
        </w:rPr>
        <w:t>Artículo 2.</w:t>
      </w:r>
      <w:r w:rsidRPr="00DC6515">
        <w:rPr>
          <w:rFonts w:ascii="Bookman Old Style" w:hAnsi="Bookman Old Style"/>
          <w:lang w:eastAsia="es-CO"/>
        </w:rPr>
        <w:t xml:space="preserve"> Se invita a los agentes, a los usuarios, a las autoridades locales municipales y departamentales competentes y a la Superintendencia de Servicios Públicos Domiciliarios, para que remitan sus observaciones o sugerencias sobre la propuesta, </w:t>
      </w:r>
      <w:r w:rsidR="00165BA1" w:rsidRPr="00165BA1">
        <w:rPr>
          <w:rFonts w:ascii="Bookman Old Style" w:hAnsi="Bookman Old Style" w:cs="Arial"/>
        </w:rPr>
        <w:t>dentro de los cinco (5) días hábiles siguientes a la publicación de la presente Resolución en la página Web de la Comisión de Regulación de Energía y Gas.</w:t>
      </w:r>
      <w:r w:rsidR="00165BA1" w:rsidRPr="00165BA1">
        <w:rPr>
          <w:rFonts w:ascii="Bookman Old Style" w:hAnsi="Bookman Old Style" w:cs="Arial"/>
          <w:lang w:val="es-CO" w:eastAsia="es-CO"/>
        </w:rPr>
        <w:t xml:space="preserve"> </w:t>
      </w:r>
    </w:p>
    <w:p w:rsidR="00AC20FB" w:rsidRPr="00DC6515" w:rsidRDefault="00AC20FB" w:rsidP="00DC6515">
      <w:pPr>
        <w:ind w:left="0"/>
        <w:jc w:val="both"/>
        <w:rPr>
          <w:rFonts w:ascii="Bookman Old Style" w:hAnsi="Bookman Old Style"/>
          <w:lang w:eastAsia="es-CO"/>
        </w:rPr>
      </w:pPr>
    </w:p>
    <w:p w:rsidR="00DC6515" w:rsidRPr="00DC6515" w:rsidRDefault="00DC6515" w:rsidP="00DC6515">
      <w:pPr>
        <w:ind w:left="0"/>
        <w:jc w:val="both"/>
        <w:rPr>
          <w:rFonts w:ascii="Bookman Old Style" w:hAnsi="Bookman Old Style"/>
          <w:lang w:eastAsia="es-CO"/>
        </w:rPr>
      </w:pPr>
      <w:r w:rsidRPr="00DC6515">
        <w:rPr>
          <w:rFonts w:ascii="Bookman Old Style" w:hAnsi="Bookman Old Style"/>
          <w:b/>
          <w:lang w:eastAsia="es-CO"/>
        </w:rPr>
        <w:t>Artículo 3.</w:t>
      </w:r>
      <w:r w:rsidRPr="00DC6515">
        <w:rPr>
          <w:rFonts w:ascii="Bookman Old Style" w:hAnsi="Bookman Old Style"/>
          <w:lang w:eastAsia="es-CO"/>
        </w:rPr>
        <w:t xml:space="preserve"> Las observaciones y sugerencias sobre el proyecto deberán dirigirse a Germán Castro Ferreira, Director Ejecutivo de la Comisión, a la siguientes dirección: Avenida calle 116 No. 7-15, Edificio Torre </w:t>
      </w:r>
      <w:proofErr w:type="spellStart"/>
      <w:r w:rsidRPr="00DC6515">
        <w:rPr>
          <w:rFonts w:ascii="Bookman Old Style" w:hAnsi="Bookman Old Style"/>
          <w:lang w:eastAsia="es-CO"/>
        </w:rPr>
        <w:t>Cusezar</w:t>
      </w:r>
      <w:proofErr w:type="spellEnd"/>
      <w:r w:rsidRPr="00DC6515">
        <w:rPr>
          <w:rFonts w:ascii="Bookman Old Style" w:hAnsi="Bookman Old Style"/>
          <w:lang w:eastAsia="es-CO"/>
        </w:rPr>
        <w:t>, Interior 2, oficina 901 o al correo electrónico creg@creg.gov.co.</w:t>
      </w:r>
    </w:p>
    <w:p w:rsidR="00DC6515" w:rsidRPr="00DC6515" w:rsidRDefault="00DC6515" w:rsidP="00DC6515">
      <w:pPr>
        <w:ind w:left="0"/>
        <w:jc w:val="both"/>
        <w:rPr>
          <w:rFonts w:ascii="Bookman Old Style" w:hAnsi="Bookman Old Style"/>
          <w:lang w:eastAsia="es-CO"/>
        </w:rPr>
      </w:pPr>
    </w:p>
    <w:p w:rsidR="00DC6515" w:rsidRPr="00DC6515" w:rsidRDefault="00DC6515" w:rsidP="00DC6515">
      <w:pPr>
        <w:ind w:left="0"/>
        <w:jc w:val="both"/>
        <w:rPr>
          <w:rFonts w:ascii="Bookman Old Style" w:hAnsi="Bookman Old Style"/>
          <w:lang w:eastAsia="es-CO"/>
        </w:rPr>
      </w:pPr>
      <w:r w:rsidRPr="00DC6515">
        <w:rPr>
          <w:rFonts w:ascii="Bookman Old Style" w:hAnsi="Bookman Old Style"/>
          <w:b/>
          <w:lang w:eastAsia="es-CO"/>
        </w:rPr>
        <w:t>Artículo 4.</w:t>
      </w:r>
      <w:r w:rsidRPr="00DC6515">
        <w:rPr>
          <w:rFonts w:ascii="Bookman Old Style" w:hAnsi="Bookman Old Style"/>
          <w:lang w:eastAsia="es-CO"/>
        </w:rPr>
        <w:t xml:space="preserve"> La presente Resolución no deroga ni modifica disposiciones vigentes por tratarse de un acto de trámite.</w:t>
      </w:r>
    </w:p>
    <w:p w:rsidR="0070063F" w:rsidRPr="0070063F" w:rsidRDefault="0070063F" w:rsidP="0070063F">
      <w:pPr>
        <w:ind w:left="0"/>
        <w:jc w:val="both"/>
        <w:rPr>
          <w:rFonts w:ascii="Bookman Old Style" w:hAnsi="Bookman Old Style"/>
          <w:lang w:eastAsia="es-CO"/>
        </w:rPr>
      </w:pPr>
    </w:p>
    <w:p w:rsidR="006A1301" w:rsidRPr="00522EAE" w:rsidRDefault="006A1301" w:rsidP="006A1301">
      <w:pPr>
        <w:jc w:val="center"/>
        <w:rPr>
          <w:rFonts w:ascii="Arial" w:hAnsi="Arial" w:cs="Arial"/>
          <w:lang w:val="es-CO" w:eastAsia="es-CO"/>
        </w:rPr>
      </w:pPr>
      <w:r w:rsidRPr="00522EAE">
        <w:rPr>
          <w:rFonts w:ascii="Bookman Old Style" w:hAnsi="Bookman Old Style" w:cs="Arial"/>
          <w:b/>
          <w:bCs/>
          <w:lang w:val="es-CO" w:eastAsia="es-CO"/>
        </w:rPr>
        <w:t>PUBLÍQUESE Y CÚMPLASE</w:t>
      </w:r>
    </w:p>
    <w:p w:rsidR="006A1301" w:rsidRPr="00522EAE" w:rsidRDefault="006A1301" w:rsidP="0083215E">
      <w:pPr>
        <w:ind w:left="0"/>
        <w:rPr>
          <w:rFonts w:ascii="Bookman Old Style" w:hAnsi="Bookman Old Style" w:cs="Arial"/>
          <w:lang w:val="es-CO" w:eastAsia="es-CO"/>
        </w:rPr>
      </w:pPr>
      <w:r w:rsidRPr="00522EAE">
        <w:rPr>
          <w:rFonts w:ascii="Arial" w:hAnsi="Arial" w:cs="Arial"/>
          <w:lang w:val="es-CO" w:eastAsia="es-CO"/>
        </w:rPr>
        <w:br/>
      </w:r>
      <w:r w:rsidRPr="00522EAE">
        <w:rPr>
          <w:rFonts w:ascii="Bookman Old Style" w:hAnsi="Bookman Old Style" w:cs="Arial"/>
          <w:lang w:val="es-CO" w:eastAsia="es-CO"/>
        </w:rPr>
        <w:t xml:space="preserve">Dada en Bogotá, D.C., </w:t>
      </w:r>
    </w:p>
    <w:p w:rsidR="006A1301" w:rsidRDefault="006A1301" w:rsidP="006A1301">
      <w:pPr>
        <w:rPr>
          <w:rFonts w:ascii="Bookman Old Style" w:hAnsi="Bookman Old Style" w:cs="Arial"/>
          <w:color w:val="666666"/>
          <w:sz w:val="27"/>
          <w:szCs w:val="27"/>
          <w:lang w:val="es-CO" w:eastAsia="es-CO"/>
        </w:rPr>
      </w:pPr>
    </w:p>
    <w:p w:rsidR="0083215E" w:rsidRDefault="0083215E" w:rsidP="006A1301">
      <w:pPr>
        <w:rPr>
          <w:rFonts w:ascii="Bookman Old Style" w:hAnsi="Bookman Old Style" w:cs="Arial"/>
          <w:color w:val="666666"/>
          <w:sz w:val="27"/>
          <w:szCs w:val="27"/>
          <w:lang w:val="es-CO" w:eastAsia="es-CO"/>
        </w:rPr>
      </w:pPr>
    </w:p>
    <w:p w:rsidR="00B048E7" w:rsidRDefault="00B048E7" w:rsidP="006A1301">
      <w:pPr>
        <w:rPr>
          <w:rFonts w:ascii="Bookman Old Style" w:hAnsi="Bookman Old Style" w:cs="Arial"/>
          <w:color w:val="666666"/>
          <w:sz w:val="27"/>
          <w:szCs w:val="27"/>
          <w:lang w:val="es-CO" w:eastAsia="es-CO"/>
        </w:rPr>
      </w:pPr>
    </w:p>
    <w:p w:rsidR="006A1301" w:rsidRPr="00522EAE" w:rsidRDefault="006A1301" w:rsidP="006A1301">
      <w:pPr>
        <w:rPr>
          <w:rFonts w:ascii="Arial" w:hAnsi="Arial" w:cs="Arial"/>
          <w:color w:val="666666"/>
          <w:sz w:val="15"/>
          <w:szCs w:val="15"/>
          <w:lang w:val="es-CO" w:eastAsia="es-CO"/>
        </w:rPr>
      </w:pPr>
    </w:p>
    <w:tbl>
      <w:tblPr>
        <w:tblW w:w="0" w:type="auto"/>
        <w:tblCellSpacing w:w="0" w:type="dxa"/>
        <w:tblCellMar>
          <w:left w:w="0" w:type="dxa"/>
          <w:right w:w="0" w:type="dxa"/>
        </w:tblCellMar>
        <w:tblLook w:val="04A0" w:firstRow="1" w:lastRow="0" w:firstColumn="1" w:lastColumn="0" w:noHBand="0" w:noVBand="1"/>
      </w:tblPr>
      <w:tblGrid>
        <w:gridCol w:w="5022"/>
        <w:gridCol w:w="4334"/>
      </w:tblGrid>
      <w:tr w:rsidR="006A1301" w:rsidRPr="00435A9B" w:rsidTr="00192734">
        <w:trPr>
          <w:tblCellSpacing w:w="0" w:type="dxa"/>
        </w:trPr>
        <w:tc>
          <w:tcPr>
            <w:tcW w:w="5100" w:type="dxa"/>
            <w:hideMark/>
          </w:tcPr>
          <w:p w:rsidR="006A1301" w:rsidRPr="0083215E" w:rsidRDefault="0083425C" w:rsidP="00192734">
            <w:pPr>
              <w:jc w:val="center"/>
              <w:rPr>
                <w:color w:val="000000"/>
                <w:lang w:val="es-CO" w:eastAsia="es-CO"/>
              </w:rPr>
            </w:pPr>
            <w:r>
              <w:rPr>
                <w:rFonts w:ascii="Bookman Old Style" w:hAnsi="Bookman Old Style"/>
                <w:b/>
                <w:bCs/>
                <w:color w:val="000000"/>
                <w:lang w:val="es-CO" w:eastAsia="es-CO"/>
              </w:rPr>
              <w:t>ORLANDO CABRALES SEGOVIA</w:t>
            </w:r>
            <w:r w:rsidR="006A1301" w:rsidRPr="0083215E">
              <w:rPr>
                <w:rFonts w:ascii="Bookman Old Style" w:hAnsi="Bookman Old Style"/>
                <w:b/>
                <w:bCs/>
                <w:color w:val="000000"/>
                <w:lang w:val="es-CO" w:eastAsia="es-CO"/>
              </w:rPr>
              <w:t xml:space="preserve"> </w:t>
            </w:r>
          </w:p>
        </w:tc>
        <w:tc>
          <w:tcPr>
            <w:tcW w:w="4395" w:type="dxa"/>
            <w:hideMark/>
          </w:tcPr>
          <w:p w:rsidR="006A1301" w:rsidRPr="00435A9B" w:rsidRDefault="006A1301" w:rsidP="00192734">
            <w:pPr>
              <w:jc w:val="center"/>
              <w:rPr>
                <w:color w:val="000000"/>
                <w:lang w:val="es-CO" w:eastAsia="es-CO"/>
              </w:rPr>
            </w:pPr>
            <w:r w:rsidRPr="00435A9B">
              <w:rPr>
                <w:rFonts w:ascii="Bookman Old Style" w:hAnsi="Bookman Old Style"/>
                <w:b/>
                <w:bCs/>
                <w:color w:val="000000"/>
                <w:lang w:val="es-CO" w:eastAsia="es-CO"/>
              </w:rPr>
              <w:t>GERMÁN CASTRO FERREIRA</w:t>
            </w:r>
          </w:p>
        </w:tc>
      </w:tr>
      <w:tr w:rsidR="006A1301" w:rsidRPr="00435A9B" w:rsidTr="00192734">
        <w:trPr>
          <w:tblCellSpacing w:w="0" w:type="dxa"/>
        </w:trPr>
        <w:tc>
          <w:tcPr>
            <w:tcW w:w="5100" w:type="dxa"/>
            <w:hideMark/>
          </w:tcPr>
          <w:p w:rsidR="00CD4009" w:rsidRPr="0083215E" w:rsidRDefault="00CD4009" w:rsidP="00192734">
            <w:pPr>
              <w:ind w:left="0"/>
              <w:jc w:val="center"/>
              <w:rPr>
                <w:rFonts w:ascii="Bookman Old Style" w:hAnsi="Bookman Old Style"/>
                <w:color w:val="000000"/>
                <w:lang w:val="es-CO" w:eastAsia="es-CO"/>
              </w:rPr>
            </w:pPr>
            <w:r w:rsidRPr="0083215E">
              <w:rPr>
                <w:rFonts w:ascii="Bookman Old Style" w:hAnsi="Bookman Old Style"/>
                <w:color w:val="000000"/>
                <w:lang w:val="es-CO" w:eastAsia="es-CO"/>
              </w:rPr>
              <w:t>Viceministro de Energía</w:t>
            </w:r>
            <w:r w:rsidRPr="0083215E">
              <w:rPr>
                <w:color w:val="000000"/>
                <w:lang w:val="es-CO" w:eastAsia="es-CO"/>
              </w:rPr>
              <w:br/>
            </w:r>
            <w:r w:rsidRPr="0083215E">
              <w:rPr>
                <w:rFonts w:ascii="Bookman Old Style" w:hAnsi="Bookman Old Style"/>
                <w:color w:val="000000"/>
                <w:lang w:val="es-CO" w:eastAsia="es-CO"/>
              </w:rPr>
              <w:t>Delegado del Ministro de Minas y Energía</w:t>
            </w:r>
          </w:p>
          <w:p w:rsidR="006A1301" w:rsidRPr="0083215E" w:rsidRDefault="006A1301" w:rsidP="00192734">
            <w:pPr>
              <w:ind w:left="0"/>
              <w:jc w:val="center"/>
              <w:rPr>
                <w:rFonts w:ascii="Bookman Old Style" w:hAnsi="Bookman Old Style"/>
                <w:color w:val="000000"/>
                <w:lang w:val="es-CO" w:eastAsia="es-CO"/>
              </w:rPr>
            </w:pPr>
            <w:r w:rsidRPr="0083215E">
              <w:rPr>
                <w:rFonts w:ascii="Bookman Old Style" w:hAnsi="Bookman Old Style"/>
                <w:color w:val="000000"/>
                <w:lang w:val="es-CO" w:eastAsia="es-CO"/>
              </w:rPr>
              <w:t>Presidente</w:t>
            </w:r>
          </w:p>
          <w:p w:rsidR="00DC6515" w:rsidRPr="0083215E" w:rsidRDefault="00DC6515" w:rsidP="00AC20FB">
            <w:pPr>
              <w:ind w:left="0"/>
              <w:jc w:val="center"/>
              <w:rPr>
                <w:color w:val="000000"/>
                <w:lang w:val="es-CO" w:eastAsia="es-CO"/>
              </w:rPr>
            </w:pPr>
          </w:p>
        </w:tc>
        <w:tc>
          <w:tcPr>
            <w:tcW w:w="4395" w:type="dxa"/>
            <w:hideMark/>
          </w:tcPr>
          <w:p w:rsidR="006A1301" w:rsidRPr="00435A9B" w:rsidRDefault="006A1301" w:rsidP="00192734">
            <w:pPr>
              <w:jc w:val="center"/>
              <w:rPr>
                <w:color w:val="000000"/>
                <w:lang w:val="es-CO" w:eastAsia="es-CO"/>
              </w:rPr>
            </w:pPr>
            <w:r w:rsidRPr="00435A9B">
              <w:rPr>
                <w:rFonts w:ascii="Bookman Old Style" w:hAnsi="Bookman Old Style"/>
                <w:color w:val="000000"/>
                <w:lang w:val="es-CO" w:eastAsia="es-CO"/>
              </w:rPr>
              <w:lastRenderedPageBreak/>
              <w:t>Director Ejecutivo</w:t>
            </w:r>
          </w:p>
        </w:tc>
      </w:tr>
    </w:tbl>
    <w:p w:rsidR="0070063F" w:rsidRPr="0070063F" w:rsidRDefault="0070063F" w:rsidP="0070063F">
      <w:pPr>
        <w:ind w:right="-3"/>
        <w:jc w:val="center"/>
        <w:rPr>
          <w:rFonts w:ascii="Bookman Old Style" w:hAnsi="Bookman Old Style" w:cs="Arial"/>
          <w:b/>
        </w:rPr>
      </w:pPr>
      <w:r w:rsidRPr="0070063F">
        <w:rPr>
          <w:rFonts w:ascii="Bookman Old Style" w:hAnsi="Bookman Old Style" w:cs="Arial"/>
          <w:b/>
        </w:rPr>
        <w:lastRenderedPageBreak/>
        <w:t>PROYECTO DE RESOLUCIÓN</w:t>
      </w:r>
    </w:p>
    <w:p w:rsidR="00980F7B" w:rsidRDefault="00980F7B" w:rsidP="0070063F">
      <w:pPr>
        <w:ind w:right="-3"/>
        <w:jc w:val="both"/>
        <w:rPr>
          <w:rFonts w:ascii="Bookman Old Style" w:hAnsi="Bookman Old Style" w:cs="Arial"/>
        </w:rPr>
      </w:pPr>
    </w:p>
    <w:p w:rsidR="00B4547B" w:rsidRDefault="00B4547B" w:rsidP="0070063F">
      <w:pPr>
        <w:ind w:right="-3"/>
        <w:jc w:val="both"/>
        <w:rPr>
          <w:rFonts w:ascii="Bookman Old Style" w:hAnsi="Bookman Old Style" w:cs="Arial"/>
        </w:rPr>
      </w:pPr>
    </w:p>
    <w:p w:rsidR="00DC6515" w:rsidRDefault="00994873" w:rsidP="00497629">
      <w:pPr>
        <w:ind w:left="0"/>
        <w:jc w:val="both"/>
        <w:rPr>
          <w:rFonts w:ascii="Bookman Old Style" w:hAnsi="Bookman Old Style"/>
        </w:rPr>
      </w:pPr>
      <w:r>
        <w:rPr>
          <w:rFonts w:ascii="Bookman Old Style" w:hAnsi="Bookman Old Style"/>
          <w:lang w:eastAsia="es-CO"/>
        </w:rPr>
        <w:t>P</w:t>
      </w:r>
      <w:r w:rsidR="00497629">
        <w:rPr>
          <w:rFonts w:ascii="Bookman Old Style" w:hAnsi="Bookman Old Style"/>
          <w:lang w:eastAsia="es-CO"/>
        </w:rPr>
        <w:t xml:space="preserve">or medio de </w:t>
      </w:r>
      <w:r>
        <w:rPr>
          <w:rFonts w:ascii="Bookman Old Style" w:hAnsi="Bookman Old Style"/>
          <w:lang w:eastAsia="es-CO"/>
        </w:rPr>
        <w:t xml:space="preserve">la </w:t>
      </w:r>
      <w:r w:rsidR="00497629">
        <w:rPr>
          <w:rFonts w:ascii="Bookman Old Style" w:hAnsi="Bookman Old Style"/>
          <w:lang w:eastAsia="es-CO"/>
        </w:rPr>
        <w:t>cual se modifica el artículo 5 y se adiciona</w:t>
      </w:r>
      <w:r w:rsidR="00617FF7">
        <w:rPr>
          <w:rFonts w:ascii="Bookman Old Style" w:hAnsi="Bookman Old Style"/>
          <w:lang w:eastAsia="es-CO"/>
        </w:rPr>
        <w:t>n</w:t>
      </w:r>
      <w:r w:rsidR="00497629">
        <w:rPr>
          <w:rFonts w:ascii="Bookman Old Style" w:hAnsi="Bookman Old Style"/>
          <w:lang w:eastAsia="es-CO"/>
        </w:rPr>
        <w:t xml:space="preserve"> </w:t>
      </w:r>
      <w:r w:rsidR="00D76FD2">
        <w:rPr>
          <w:rFonts w:ascii="Bookman Old Style" w:hAnsi="Bookman Old Style"/>
          <w:lang w:eastAsia="es-CO"/>
        </w:rPr>
        <w:t xml:space="preserve">dos </w:t>
      </w:r>
      <w:r w:rsidR="00497629">
        <w:rPr>
          <w:rFonts w:ascii="Bookman Old Style" w:hAnsi="Bookman Old Style"/>
          <w:lang w:eastAsia="es-CO"/>
        </w:rPr>
        <w:t xml:space="preserve"> artículo</w:t>
      </w:r>
      <w:r w:rsidR="00D76FD2">
        <w:rPr>
          <w:rFonts w:ascii="Bookman Old Style" w:hAnsi="Bookman Old Style"/>
          <w:lang w:eastAsia="es-CO"/>
        </w:rPr>
        <w:t>s</w:t>
      </w:r>
      <w:r w:rsidR="00497629">
        <w:rPr>
          <w:rFonts w:ascii="Bookman Old Style" w:hAnsi="Bookman Old Style"/>
          <w:lang w:eastAsia="es-CO"/>
        </w:rPr>
        <w:t xml:space="preserve"> al  </w:t>
      </w:r>
      <w:r w:rsidR="00497629" w:rsidRPr="0070063F">
        <w:rPr>
          <w:rFonts w:ascii="Bookman Old Style" w:hAnsi="Bookman Old Style"/>
          <w:lang w:eastAsia="es-CO"/>
        </w:rPr>
        <w:t xml:space="preserve">proyecto de </w:t>
      </w:r>
      <w:r w:rsidR="00497629">
        <w:rPr>
          <w:rFonts w:ascii="Bookman Old Style" w:hAnsi="Bookman Old Style"/>
          <w:lang w:eastAsia="es-CO"/>
        </w:rPr>
        <w:t>R</w:t>
      </w:r>
      <w:r w:rsidR="00497629" w:rsidRPr="0070063F">
        <w:rPr>
          <w:rFonts w:ascii="Bookman Old Style" w:hAnsi="Bookman Old Style"/>
          <w:lang w:eastAsia="es-CO"/>
        </w:rPr>
        <w:t xml:space="preserve">esolución </w:t>
      </w:r>
      <w:r w:rsidR="00497629">
        <w:rPr>
          <w:rFonts w:ascii="Bookman Old Style" w:hAnsi="Bookman Old Style"/>
          <w:lang w:eastAsia="es-CO"/>
        </w:rPr>
        <w:t>CREG No. 103 de 2010, por el cual: “</w:t>
      </w:r>
      <w:r w:rsidR="00497629" w:rsidRPr="0070063F">
        <w:rPr>
          <w:rFonts w:ascii="Bookman Old Style" w:hAnsi="Bookman Old Style"/>
        </w:rPr>
        <w:t>se establecen los criterios generales para remunerar la actividad de comercialización de gas combustible por redes de tuberías a usuarios regulados</w:t>
      </w:r>
      <w:r w:rsidR="00497629">
        <w:rPr>
          <w:rFonts w:ascii="Bookman Old Style" w:hAnsi="Bookman Old Style"/>
        </w:rPr>
        <w:t>”</w:t>
      </w:r>
    </w:p>
    <w:p w:rsidR="00AC20FB" w:rsidRDefault="00AC20FB" w:rsidP="00497629">
      <w:pPr>
        <w:ind w:left="0"/>
        <w:jc w:val="both"/>
        <w:rPr>
          <w:rFonts w:ascii="Bookman Old Style" w:hAnsi="Bookman Old Style"/>
          <w:b/>
        </w:rPr>
      </w:pPr>
    </w:p>
    <w:p w:rsidR="00980F7B" w:rsidRDefault="00980F7B" w:rsidP="00497629">
      <w:pPr>
        <w:ind w:left="0"/>
        <w:jc w:val="both"/>
        <w:rPr>
          <w:rFonts w:ascii="Bookman Old Style" w:hAnsi="Bookman Old Style"/>
          <w:b/>
        </w:rPr>
      </w:pPr>
    </w:p>
    <w:p w:rsidR="0070063F" w:rsidRPr="00EB189B" w:rsidRDefault="0070063F" w:rsidP="00EB189B">
      <w:pPr>
        <w:ind w:left="0"/>
        <w:jc w:val="center"/>
        <w:rPr>
          <w:rFonts w:ascii="Bookman Old Style" w:hAnsi="Bookman Old Style"/>
          <w:b/>
        </w:rPr>
      </w:pPr>
      <w:r w:rsidRPr="00EB189B">
        <w:rPr>
          <w:rFonts w:ascii="Bookman Old Style" w:hAnsi="Bookman Old Style"/>
          <w:b/>
        </w:rPr>
        <w:t>LA COMISIÓN DE REGULACIÓN DE ENERGÍA Y GAS</w:t>
      </w:r>
    </w:p>
    <w:p w:rsidR="0070063F" w:rsidRDefault="0070063F" w:rsidP="0070063F">
      <w:pPr>
        <w:ind w:left="0"/>
        <w:jc w:val="both"/>
        <w:rPr>
          <w:rFonts w:ascii="Bookman Old Style" w:hAnsi="Bookman Old Style"/>
        </w:rPr>
      </w:pPr>
    </w:p>
    <w:p w:rsidR="00980F7B" w:rsidRPr="0070063F" w:rsidRDefault="00980F7B" w:rsidP="0070063F">
      <w:pPr>
        <w:ind w:left="0"/>
        <w:jc w:val="both"/>
        <w:rPr>
          <w:rFonts w:ascii="Bookman Old Style" w:hAnsi="Bookman Old Style"/>
        </w:rPr>
      </w:pPr>
    </w:p>
    <w:p w:rsidR="0070063F" w:rsidRPr="0070063F" w:rsidRDefault="0070063F" w:rsidP="0070063F">
      <w:pPr>
        <w:ind w:left="0"/>
        <w:jc w:val="both"/>
        <w:rPr>
          <w:rFonts w:ascii="Bookman Old Style" w:hAnsi="Bookman Old Style"/>
        </w:rPr>
      </w:pPr>
      <w:r w:rsidRPr="0070063F">
        <w:rPr>
          <w:rFonts w:ascii="Bookman Old Style" w:hAnsi="Bookman Old Style"/>
        </w:rPr>
        <w:t>En ejercicio de las atribuciones legales, en especial las conferidas por la Ley 142 de 1994, y en desarrollo de</w:t>
      </w:r>
      <w:r w:rsidR="004010B1">
        <w:rPr>
          <w:rFonts w:ascii="Bookman Old Style" w:hAnsi="Bookman Old Style"/>
        </w:rPr>
        <w:t>l De</w:t>
      </w:r>
      <w:r w:rsidRPr="0070063F">
        <w:rPr>
          <w:rFonts w:ascii="Bookman Old Style" w:hAnsi="Bookman Old Style"/>
        </w:rPr>
        <w:t>creto 2253 de 1994, y</w:t>
      </w:r>
    </w:p>
    <w:p w:rsidR="0070063F" w:rsidRDefault="0070063F" w:rsidP="0070063F">
      <w:pPr>
        <w:ind w:left="0"/>
        <w:jc w:val="both"/>
        <w:rPr>
          <w:rFonts w:ascii="Bookman Old Style" w:hAnsi="Bookman Old Style"/>
        </w:rPr>
      </w:pPr>
    </w:p>
    <w:p w:rsidR="00980F7B" w:rsidRPr="0070063F" w:rsidRDefault="00980F7B" w:rsidP="0070063F">
      <w:pPr>
        <w:ind w:left="0"/>
        <w:jc w:val="both"/>
        <w:rPr>
          <w:rFonts w:ascii="Bookman Old Style" w:hAnsi="Bookman Old Style"/>
        </w:rPr>
      </w:pPr>
    </w:p>
    <w:p w:rsidR="0070063F" w:rsidRDefault="0070063F" w:rsidP="00EB189B">
      <w:pPr>
        <w:ind w:left="0"/>
        <w:jc w:val="center"/>
        <w:rPr>
          <w:rFonts w:ascii="Bookman Old Style" w:hAnsi="Bookman Old Style"/>
          <w:b/>
        </w:rPr>
      </w:pPr>
      <w:r w:rsidRPr="00EB189B">
        <w:rPr>
          <w:rFonts w:ascii="Bookman Old Style" w:hAnsi="Bookman Old Style"/>
          <w:b/>
        </w:rPr>
        <w:t>C O N S I D E R A N D O</w:t>
      </w:r>
      <w:r w:rsidR="00CD4009">
        <w:rPr>
          <w:rFonts w:ascii="Bookman Old Style" w:hAnsi="Bookman Old Style"/>
          <w:b/>
        </w:rPr>
        <w:t xml:space="preserve"> QUE</w:t>
      </w:r>
      <w:r w:rsidRPr="00EB189B">
        <w:rPr>
          <w:rFonts w:ascii="Bookman Old Style" w:hAnsi="Bookman Old Style"/>
          <w:b/>
        </w:rPr>
        <w:t>:</w:t>
      </w:r>
    </w:p>
    <w:p w:rsidR="00E8344A" w:rsidRDefault="00E8344A" w:rsidP="00EB189B">
      <w:pPr>
        <w:ind w:left="0"/>
        <w:jc w:val="center"/>
        <w:rPr>
          <w:rFonts w:ascii="Bookman Old Style" w:hAnsi="Bookman Old Style"/>
        </w:rPr>
      </w:pPr>
    </w:p>
    <w:p w:rsidR="0036065D" w:rsidRPr="00EB189B" w:rsidRDefault="0036065D" w:rsidP="00EB189B">
      <w:pPr>
        <w:ind w:left="0"/>
        <w:jc w:val="center"/>
        <w:rPr>
          <w:rFonts w:ascii="Bookman Old Style" w:hAnsi="Bookman Old Style"/>
        </w:rPr>
      </w:pPr>
    </w:p>
    <w:p w:rsidR="00E8344A" w:rsidRPr="00E8344A" w:rsidRDefault="00E8344A" w:rsidP="00E8344A">
      <w:pPr>
        <w:widowControl w:val="0"/>
        <w:adjustRightInd w:val="0"/>
        <w:ind w:left="0"/>
        <w:jc w:val="both"/>
        <w:textAlignment w:val="baseline"/>
        <w:rPr>
          <w:rFonts w:ascii="Bookman Old Style" w:hAnsi="Bookman Old Style"/>
          <w:spacing w:val="-3"/>
          <w:lang w:val="es-CO" w:eastAsia="x-none"/>
        </w:rPr>
      </w:pPr>
      <w:r w:rsidRPr="00E8344A">
        <w:rPr>
          <w:rFonts w:ascii="Bookman Old Style" w:hAnsi="Bookman Old Style"/>
          <w:spacing w:val="-3"/>
          <w:lang w:val="x-none" w:eastAsia="x-none"/>
        </w:rPr>
        <w:t>Mediante la Resolución CREG</w:t>
      </w:r>
      <w:r w:rsidRPr="00E8344A">
        <w:rPr>
          <w:rFonts w:ascii="Bookman Old Style" w:hAnsi="Bookman Old Style"/>
          <w:spacing w:val="-3"/>
          <w:lang w:val="es-CO" w:eastAsia="x-none"/>
        </w:rPr>
        <w:t xml:space="preserve"> </w:t>
      </w:r>
      <w:r w:rsidR="001F602E">
        <w:rPr>
          <w:rFonts w:ascii="Bookman Old Style" w:hAnsi="Bookman Old Style"/>
          <w:spacing w:val="-3"/>
          <w:lang w:val="es-CO" w:eastAsia="x-none"/>
        </w:rPr>
        <w:t xml:space="preserve">No. </w:t>
      </w:r>
      <w:r w:rsidRPr="00E8344A">
        <w:rPr>
          <w:rFonts w:ascii="Bookman Old Style" w:hAnsi="Bookman Old Style"/>
          <w:spacing w:val="-3"/>
          <w:lang w:val="x-none" w:eastAsia="x-none"/>
        </w:rPr>
        <w:t>011 de 2003, la CREG estableció los criterios generales para remunerar las actividades de distribución y comercialización de gas combustible, y las fórmulas generales para la prestación del servicio público domiciliario de distribución de gas combustible por redes de tubería.</w:t>
      </w:r>
    </w:p>
    <w:p w:rsidR="0070063F" w:rsidRDefault="0070063F" w:rsidP="0070063F">
      <w:pPr>
        <w:ind w:left="0"/>
        <w:jc w:val="both"/>
        <w:rPr>
          <w:rFonts w:ascii="Bookman Old Style" w:hAnsi="Bookman Old Style"/>
          <w:lang w:val="es-CO"/>
        </w:rPr>
      </w:pPr>
    </w:p>
    <w:p w:rsidR="00E8344A" w:rsidRPr="00E8344A" w:rsidRDefault="00C44B72" w:rsidP="00E8344A">
      <w:pPr>
        <w:widowControl w:val="0"/>
        <w:adjustRightInd w:val="0"/>
        <w:ind w:left="0"/>
        <w:jc w:val="both"/>
        <w:textAlignment w:val="baseline"/>
        <w:rPr>
          <w:rFonts w:ascii="Bookman Old Style" w:hAnsi="Bookman Old Style"/>
          <w:spacing w:val="-3"/>
          <w:lang w:val="es-ES_tradnl" w:eastAsia="x-none"/>
        </w:rPr>
      </w:pPr>
      <w:r>
        <w:rPr>
          <w:rFonts w:ascii="Bookman Old Style" w:hAnsi="Bookman Old Style"/>
          <w:spacing w:val="-3"/>
          <w:lang w:val="es-CO" w:eastAsia="x-none"/>
        </w:rPr>
        <w:t>A través de la</w:t>
      </w:r>
      <w:r w:rsidR="00E8344A" w:rsidRPr="00E8344A">
        <w:rPr>
          <w:rFonts w:ascii="Bookman Old Style" w:hAnsi="Bookman Old Style"/>
          <w:spacing w:val="-3"/>
          <w:lang w:val="x-none" w:eastAsia="x-none"/>
        </w:rPr>
        <w:t xml:space="preserve"> Resolución CREG</w:t>
      </w:r>
      <w:r w:rsidR="00E8344A" w:rsidRPr="00E8344A">
        <w:rPr>
          <w:rFonts w:ascii="Bookman Old Style" w:hAnsi="Bookman Old Style"/>
          <w:spacing w:val="-3"/>
          <w:lang w:val="es-CO" w:eastAsia="x-none"/>
        </w:rPr>
        <w:t xml:space="preserve"> </w:t>
      </w:r>
      <w:r w:rsidR="001F602E">
        <w:rPr>
          <w:rFonts w:ascii="Bookman Old Style" w:hAnsi="Bookman Old Style"/>
          <w:spacing w:val="-3"/>
          <w:lang w:val="es-CO" w:eastAsia="x-none"/>
        </w:rPr>
        <w:t xml:space="preserve">No. </w:t>
      </w:r>
      <w:r w:rsidR="00E8344A" w:rsidRPr="00E8344A">
        <w:rPr>
          <w:rFonts w:ascii="Bookman Old Style" w:hAnsi="Bookman Old Style"/>
          <w:spacing w:val="-3"/>
          <w:lang w:val="x-none" w:eastAsia="x-none"/>
        </w:rPr>
        <w:t>136 de 2008, la Comisión de Regulación de Energía y Gas</w:t>
      </w:r>
      <w:r w:rsidR="00E8344A" w:rsidRPr="00E8344A">
        <w:rPr>
          <w:rFonts w:ascii="Bookman Old Style" w:hAnsi="Bookman Old Style"/>
          <w:spacing w:val="-3"/>
          <w:lang w:val="es-ES_tradnl" w:eastAsia="x-none"/>
        </w:rPr>
        <w:t xml:space="preserve"> sometió a consideración de las entidades prestadoras del servicio de gas natural, los usuarios y demás interesados, las bases sobre las cuales se efectuaron los estudios para determinar la metodología de remuneración de las actividades de distribución y comercialización de gas combustible por redes y la fórmula tarifaria, en el siguiente período tarifario.</w:t>
      </w:r>
    </w:p>
    <w:p w:rsidR="00994873" w:rsidRDefault="00994873" w:rsidP="00994873">
      <w:pPr>
        <w:ind w:left="0"/>
        <w:jc w:val="both"/>
        <w:rPr>
          <w:rFonts w:ascii="Bookman Old Style" w:hAnsi="Bookman Old Style"/>
        </w:rPr>
      </w:pPr>
    </w:p>
    <w:p w:rsidR="00994873" w:rsidRDefault="00994873" w:rsidP="00994873">
      <w:pPr>
        <w:ind w:left="0"/>
        <w:jc w:val="both"/>
        <w:rPr>
          <w:rFonts w:ascii="Bookman Old Style" w:hAnsi="Bookman Old Style"/>
          <w:lang w:eastAsia="es-CO"/>
        </w:rPr>
      </w:pPr>
      <w:r w:rsidRPr="0036065D">
        <w:rPr>
          <w:rFonts w:ascii="Bookman Old Style" w:hAnsi="Bookman Old Style"/>
        </w:rPr>
        <w:t>De acuerdo con la normativa y la obligación de la Comisión c</w:t>
      </w:r>
      <w:r w:rsidRPr="0036065D">
        <w:rPr>
          <w:rFonts w:ascii="Bookman Old Style" w:hAnsi="Bookman Old Style"/>
          <w:lang w:eastAsia="es-CO"/>
        </w:rPr>
        <w:t>onforme a lo dispuesto por el artículo 9 del Decreto 2696 de 2004, concordante con el artículo 8 del Código de Procedimiento Administrativo y de lo Contencioso Administrativo, la Comisión debe hacer públicos en su página web los proyectos de resolución de carácter general que prevé adoptar.</w:t>
      </w:r>
    </w:p>
    <w:p w:rsidR="00E8344A" w:rsidRPr="00E8344A" w:rsidRDefault="00E8344A" w:rsidP="00E8344A">
      <w:pPr>
        <w:widowControl w:val="0"/>
        <w:adjustRightInd w:val="0"/>
        <w:ind w:left="0"/>
        <w:jc w:val="both"/>
        <w:textAlignment w:val="baseline"/>
        <w:rPr>
          <w:rFonts w:ascii="Bookman Old Style" w:hAnsi="Bookman Old Style"/>
          <w:spacing w:val="-3"/>
          <w:sz w:val="20"/>
          <w:lang w:val="es-ES_tradnl" w:eastAsia="x-none"/>
        </w:rPr>
      </w:pPr>
    </w:p>
    <w:p w:rsidR="00E8344A" w:rsidRPr="00E8344A" w:rsidRDefault="001F602E" w:rsidP="00E8344A">
      <w:pPr>
        <w:widowControl w:val="0"/>
        <w:adjustRightInd w:val="0"/>
        <w:ind w:left="0"/>
        <w:jc w:val="both"/>
        <w:textAlignment w:val="baseline"/>
        <w:rPr>
          <w:rFonts w:ascii="Bookman Old Style" w:hAnsi="Bookman Old Style"/>
          <w:spacing w:val="-3"/>
          <w:u w:val="single"/>
          <w:lang w:val="es-ES_tradnl" w:eastAsia="x-none"/>
        </w:rPr>
      </w:pPr>
      <w:r>
        <w:rPr>
          <w:rFonts w:ascii="Bookman Old Style" w:hAnsi="Bookman Old Style"/>
          <w:spacing w:val="-3"/>
          <w:lang w:val="es-ES_tradnl" w:eastAsia="x-none"/>
        </w:rPr>
        <w:t>Conforme a lo anterior, l</w:t>
      </w:r>
      <w:r w:rsidR="00E8344A" w:rsidRPr="00E8344A">
        <w:rPr>
          <w:rFonts w:ascii="Bookman Old Style" w:hAnsi="Bookman Old Style"/>
          <w:spacing w:val="-3"/>
          <w:lang w:val="es-ES_tradnl" w:eastAsia="x-none"/>
        </w:rPr>
        <w:t xml:space="preserve">a CREG recibió comentarios de Gas Natural S.A. E.S.P. y </w:t>
      </w:r>
      <w:proofErr w:type="spellStart"/>
      <w:r w:rsidR="00E8344A" w:rsidRPr="00E8344A">
        <w:rPr>
          <w:rFonts w:ascii="Bookman Old Style" w:hAnsi="Bookman Old Style"/>
          <w:spacing w:val="-3"/>
          <w:lang w:val="es-ES_tradnl" w:eastAsia="x-none"/>
        </w:rPr>
        <w:t>Naturgas</w:t>
      </w:r>
      <w:proofErr w:type="spellEnd"/>
      <w:r w:rsidR="00E8344A" w:rsidRPr="00E8344A">
        <w:rPr>
          <w:rFonts w:ascii="Bookman Old Style" w:hAnsi="Bookman Old Style"/>
          <w:spacing w:val="-3"/>
          <w:lang w:val="es-ES_tradnl" w:eastAsia="x-none"/>
        </w:rPr>
        <w:t xml:space="preserve"> mediante comunicaciones con radicados CREG No. E-2009-007888 y E-2009-008208, respectivamente.</w:t>
      </w:r>
    </w:p>
    <w:p w:rsidR="0036065D" w:rsidRPr="001B2976" w:rsidRDefault="0036065D" w:rsidP="0036065D">
      <w:pPr>
        <w:ind w:left="0"/>
        <w:jc w:val="both"/>
        <w:rPr>
          <w:rFonts w:ascii="Bookman Old Style" w:hAnsi="Bookman Old Style"/>
          <w:lang w:eastAsia="es-CO"/>
        </w:rPr>
      </w:pPr>
    </w:p>
    <w:p w:rsidR="00212701" w:rsidRDefault="00C44B72" w:rsidP="00F45FD0">
      <w:pPr>
        <w:widowControl w:val="0"/>
        <w:adjustRightInd w:val="0"/>
        <w:ind w:left="0"/>
        <w:jc w:val="both"/>
        <w:textAlignment w:val="baseline"/>
        <w:rPr>
          <w:rFonts w:ascii="Bookman Old Style" w:hAnsi="Bookman Old Style"/>
        </w:rPr>
      </w:pPr>
      <w:r>
        <w:rPr>
          <w:rFonts w:ascii="Bookman Old Style" w:hAnsi="Bookman Old Style"/>
          <w:lang w:val="es-ES_tradnl"/>
        </w:rPr>
        <w:t>Mediante</w:t>
      </w:r>
      <w:r w:rsidR="00E8344A">
        <w:rPr>
          <w:rFonts w:ascii="Bookman Old Style" w:hAnsi="Bookman Old Style"/>
          <w:lang w:val="es-ES_tradnl"/>
        </w:rPr>
        <w:t xml:space="preserve"> la </w:t>
      </w:r>
      <w:r w:rsidR="00E8344A" w:rsidRPr="001B2976">
        <w:rPr>
          <w:rFonts w:ascii="Bookman Old Style" w:hAnsi="Bookman Old Style"/>
        </w:rPr>
        <w:t xml:space="preserve">Resolución CREG 103 de 2010 </w:t>
      </w:r>
      <w:r w:rsidR="00212701" w:rsidRPr="001B2976">
        <w:rPr>
          <w:rFonts w:ascii="Bookman Old Style" w:hAnsi="Bookman Old Style"/>
        </w:rPr>
        <w:t xml:space="preserve">la Comisión de </w:t>
      </w:r>
      <w:r w:rsidR="00DC6515" w:rsidRPr="001B2976">
        <w:rPr>
          <w:rFonts w:ascii="Bookman Old Style" w:hAnsi="Bookman Old Style"/>
        </w:rPr>
        <w:t xml:space="preserve">Regulación de Energía y Gas – CREG </w:t>
      </w:r>
      <w:r w:rsidR="00FE59D4" w:rsidRPr="00FE59D4">
        <w:rPr>
          <w:rFonts w:ascii="Bookman Old Style" w:hAnsi="Bookman Old Style"/>
          <w:spacing w:val="-3"/>
          <w:lang w:val="es-ES_tradnl" w:eastAsia="x-none"/>
        </w:rPr>
        <w:t xml:space="preserve">publicó para comentarios de agentes y terceros interesados una propuesta para establecer </w:t>
      </w:r>
      <w:r w:rsidR="00DC6515" w:rsidRPr="00F45FD0">
        <w:rPr>
          <w:rFonts w:ascii="Bookman Old Style" w:hAnsi="Bookman Old Style"/>
        </w:rPr>
        <w:t>los criterios generales para remunerar la actividad de comercialización de gas combustible por redes de tuberías a usuarios regulados</w:t>
      </w:r>
      <w:r w:rsidR="00980F7B">
        <w:rPr>
          <w:rFonts w:ascii="Bookman Old Style" w:hAnsi="Bookman Old Style"/>
        </w:rPr>
        <w:t>.</w:t>
      </w:r>
    </w:p>
    <w:p w:rsidR="00980F7B" w:rsidRDefault="00980F7B" w:rsidP="00F45FD0">
      <w:pPr>
        <w:widowControl w:val="0"/>
        <w:adjustRightInd w:val="0"/>
        <w:ind w:left="0"/>
        <w:jc w:val="both"/>
        <w:textAlignment w:val="baseline"/>
        <w:rPr>
          <w:rFonts w:ascii="Bookman Old Style" w:hAnsi="Bookman Old Style"/>
        </w:rPr>
      </w:pPr>
    </w:p>
    <w:p w:rsidR="00FE59D4" w:rsidRDefault="00FE59D4" w:rsidP="009D3E18">
      <w:pPr>
        <w:ind w:left="0"/>
        <w:jc w:val="both"/>
        <w:rPr>
          <w:rFonts w:ascii="Bookman Old Style" w:hAnsi="Bookman Old Style" w:cs="Bookman Old Style"/>
          <w:color w:val="000000"/>
          <w:lang w:val="es-CO" w:eastAsia="es-CO"/>
        </w:rPr>
      </w:pPr>
      <w:r w:rsidRPr="00FE59D4">
        <w:rPr>
          <w:rFonts w:ascii="Bookman Old Style" w:hAnsi="Bookman Old Style" w:cs="Bookman Old Style"/>
          <w:color w:val="000000"/>
          <w:lang w:val="es-CO" w:eastAsia="es-CO"/>
        </w:rPr>
        <w:t xml:space="preserve">Conforme </w:t>
      </w:r>
      <w:r w:rsidR="00994873">
        <w:rPr>
          <w:rFonts w:ascii="Bookman Old Style" w:hAnsi="Bookman Old Style" w:cs="Bookman Old Style"/>
          <w:color w:val="000000"/>
          <w:lang w:val="es-CO" w:eastAsia="es-CO"/>
        </w:rPr>
        <w:t xml:space="preserve">a lo dispuesto  por </w:t>
      </w:r>
      <w:r w:rsidRPr="00FE59D4">
        <w:rPr>
          <w:rFonts w:ascii="Bookman Old Style" w:hAnsi="Bookman Old Style" w:cs="Bookman Old Style"/>
          <w:color w:val="000000"/>
          <w:lang w:val="es-CO" w:eastAsia="es-CO"/>
        </w:rPr>
        <w:t>el Decreto 2696 de 2004</w:t>
      </w:r>
      <w:r w:rsidR="00994873">
        <w:rPr>
          <w:rFonts w:ascii="Bookman Old Style" w:hAnsi="Bookman Old Style" w:cs="Bookman Old Style"/>
          <w:color w:val="000000"/>
          <w:lang w:val="es-CO" w:eastAsia="es-CO"/>
        </w:rPr>
        <w:t xml:space="preserve"> y en especial lo dispuesto por el numeral 11.5 del artículo 11, </w:t>
      </w:r>
      <w:r w:rsidRPr="00FE59D4">
        <w:rPr>
          <w:rFonts w:ascii="Bookman Old Style" w:hAnsi="Bookman Old Style" w:cs="Bookman Old Style"/>
          <w:color w:val="000000"/>
          <w:lang w:val="es-CO" w:eastAsia="es-CO"/>
        </w:rPr>
        <w:t xml:space="preserve">se llevaron a cabo audiencias </w:t>
      </w:r>
      <w:r w:rsidRPr="00FE59D4">
        <w:rPr>
          <w:rFonts w:ascii="Bookman Old Style" w:hAnsi="Bookman Old Style" w:cs="Bookman Old Style"/>
          <w:color w:val="000000"/>
          <w:lang w:val="es-CO" w:eastAsia="es-CO"/>
        </w:rPr>
        <w:lastRenderedPageBreak/>
        <w:t>públicas en las ciudades de Bogotá D.C., Medellín y Barranquilla los días 22 de noviembre, 1 de diciembre y 3 de diciembre de 2010, respectivamente</w:t>
      </w:r>
      <w:r>
        <w:rPr>
          <w:rFonts w:ascii="Bookman Old Style" w:hAnsi="Bookman Old Style" w:cs="Bookman Old Style"/>
          <w:color w:val="000000"/>
          <w:lang w:val="es-CO" w:eastAsia="es-CO"/>
        </w:rPr>
        <w:t>.</w:t>
      </w:r>
    </w:p>
    <w:p w:rsidR="00980F7B" w:rsidRDefault="00980F7B" w:rsidP="009D3E18">
      <w:pPr>
        <w:ind w:left="0"/>
        <w:jc w:val="both"/>
        <w:rPr>
          <w:rFonts w:ascii="Bookman Old Style" w:hAnsi="Bookman Old Style" w:cs="Bookman Old Style"/>
          <w:color w:val="000000"/>
          <w:lang w:val="es-CO" w:eastAsia="es-CO"/>
        </w:rPr>
      </w:pPr>
    </w:p>
    <w:p w:rsidR="00E8344A" w:rsidRPr="00E8344A" w:rsidRDefault="001F602E" w:rsidP="00E8344A">
      <w:pPr>
        <w:widowControl w:val="0"/>
        <w:adjustRightInd w:val="0"/>
        <w:ind w:left="0"/>
        <w:jc w:val="both"/>
        <w:textAlignment w:val="baseline"/>
        <w:rPr>
          <w:rFonts w:ascii="Bookman Old Style" w:hAnsi="Bookman Old Style"/>
          <w:spacing w:val="-3"/>
          <w:lang w:val="es-ES_tradnl" w:eastAsia="x-none"/>
        </w:rPr>
      </w:pPr>
      <w:r>
        <w:rPr>
          <w:rFonts w:ascii="Bookman Old Style" w:hAnsi="Bookman Old Style"/>
          <w:spacing w:val="-3"/>
          <w:lang w:val="es-ES_tradnl" w:eastAsia="x-none"/>
        </w:rPr>
        <w:t xml:space="preserve">En relación con esta propuesta, </w:t>
      </w:r>
      <w:r w:rsidR="00E8344A" w:rsidRPr="00E8344A">
        <w:rPr>
          <w:rFonts w:ascii="Bookman Old Style" w:hAnsi="Bookman Old Style"/>
          <w:spacing w:val="-3"/>
          <w:lang w:val="es-ES_tradnl" w:eastAsia="x-none"/>
        </w:rPr>
        <w:t xml:space="preserve"> se recibieron comentarios de</w:t>
      </w:r>
      <w:r>
        <w:rPr>
          <w:rFonts w:ascii="Bookman Old Style" w:hAnsi="Bookman Old Style"/>
          <w:spacing w:val="-3"/>
          <w:lang w:val="es-ES_tradnl" w:eastAsia="x-none"/>
        </w:rPr>
        <w:t xml:space="preserve"> las siguientes empresas: </w:t>
      </w:r>
      <w:r w:rsidR="00E8344A" w:rsidRPr="00E8344A">
        <w:rPr>
          <w:rFonts w:ascii="Bookman Old Style" w:hAnsi="Bookman Old Style"/>
          <w:spacing w:val="-3"/>
          <w:lang w:val="es-ES_tradnl" w:eastAsia="x-none"/>
        </w:rPr>
        <w:t>Gas Natural S.A. E.S.P. (radicado CREG E-2010-</w:t>
      </w:r>
      <w:r w:rsidR="00E8344A">
        <w:rPr>
          <w:rFonts w:ascii="Bookman Old Style" w:hAnsi="Bookman Old Style"/>
          <w:spacing w:val="-3"/>
          <w:lang w:val="es-ES_tradnl" w:eastAsia="x-none"/>
        </w:rPr>
        <w:t>010056</w:t>
      </w:r>
      <w:r w:rsidR="00E8344A" w:rsidRPr="00E8344A">
        <w:rPr>
          <w:rFonts w:ascii="Bookman Old Style" w:hAnsi="Bookman Old Style"/>
          <w:spacing w:val="-3"/>
          <w:lang w:val="es-ES_tradnl" w:eastAsia="x-none"/>
        </w:rPr>
        <w:t xml:space="preserve">), </w:t>
      </w:r>
      <w:proofErr w:type="spellStart"/>
      <w:r w:rsidR="00E8344A" w:rsidRPr="00E8344A">
        <w:rPr>
          <w:rFonts w:ascii="Bookman Old Style" w:hAnsi="Bookman Old Style"/>
          <w:spacing w:val="-3"/>
          <w:lang w:val="es-ES_tradnl" w:eastAsia="x-none"/>
        </w:rPr>
        <w:t>Naturgas</w:t>
      </w:r>
      <w:proofErr w:type="spellEnd"/>
      <w:r w:rsidR="00E8344A" w:rsidRPr="00E8344A">
        <w:rPr>
          <w:rFonts w:ascii="Bookman Old Style" w:hAnsi="Bookman Old Style"/>
          <w:spacing w:val="-3"/>
          <w:lang w:val="es-ES_tradnl" w:eastAsia="x-none"/>
        </w:rPr>
        <w:t xml:space="preserve"> (radicado CREG E-201</w:t>
      </w:r>
      <w:r w:rsidR="00E8344A">
        <w:rPr>
          <w:rFonts w:ascii="Bookman Old Style" w:hAnsi="Bookman Old Style"/>
          <w:spacing w:val="-3"/>
          <w:lang w:val="es-ES_tradnl" w:eastAsia="x-none"/>
        </w:rPr>
        <w:t>1</w:t>
      </w:r>
      <w:r w:rsidR="00E8344A" w:rsidRPr="00E8344A">
        <w:rPr>
          <w:rFonts w:ascii="Bookman Old Style" w:hAnsi="Bookman Old Style"/>
          <w:spacing w:val="-3"/>
          <w:lang w:val="es-ES_tradnl" w:eastAsia="x-none"/>
        </w:rPr>
        <w:t>-00</w:t>
      </w:r>
      <w:r w:rsidR="00E8344A">
        <w:rPr>
          <w:rFonts w:ascii="Bookman Old Style" w:hAnsi="Bookman Old Style"/>
          <w:spacing w:val="-3"/>
          <w:lang w:val="es-ES_tradnl" w:eastAsia="x-none"/>
        </w:rPr>
        <w:t>0767</w:t>
      </w:r>
      <w:r w:rsidR="00E8344A" w:rsidRPr="00E8344A">
        <w:rPr>
          <w:rFonts w:ascii="Bookman Old Style" w:hAnsi="Bookman Old Style"/>
          <w:spacing w:val="-3"/>
          <w:lang w:val="es-ES_tradnl" w:eastAsia="x-none"/>
        </w:rPr>
        <w:t>)</w:t>
      </w:r>
      <w:r w:rsidR="00E8344A">
        <w:rPr>
          <w:rFonts w:ascii="Bookman Old Style" w:hAnsi="Bookman Old Style"/>
          <w:spacing w:val="-3"/>
          <w:lang w:val="es-ES_tradnl" w:eastAsia="x-none"/>
        </w:rPr>
        <w:t>,</w:t>
      </w:r>
      <w:r w:rsidR="00E8344A" w:rsidRPr="00E8344A">
        <w:rPr>
          <w:rFonts w:ascii="Bookman Old Style" w:hAnsi="Bookman Old Style"/>
          <w:spacing w:val="-3"/>
          <w:lang w:val="es-ES_tradnl" w:eastAsia="x-none"/>
        </w:rPr>
        <w:t xml:space="preserve"> </w:t>
      </w:r>
      <w:r w:rsidR="00E8344A">
        <w:rPr>
          <w:rFonts w:ascii="Bookman Old Style" w:hAnsi="Bookman Old Style"/>
          <w:spacing w:val="-3"/>
          <w:lang w:val="es-ES_tradnl" w:eastAsia="x-none"/>
        </w:rPr>
        <w:t>Gases de Occidente S.A. E.S.P. (radicado E-2011-000702), Gases del Caribe S.A. E.S.P. (radicado CREG E-2011</w:t>
      </w:r>
      <w:r w:rsidR="00E8344A" w:rsidRPr="00E8344A">
        <w:rPr>
          <w:rFonts w:ascii="Bookman Old Style" w:hAnsi="Bookman Old Style"/>
          <w:spacing w:val="-3"/>
          <w:lang w:val="es-ES_tradnl" w:eastAsia="x-none"/>
        </w:rPr>
        <w:t>-00</w:t>
      </w:r>
      <w:r w:rsidR="00E8344A">
        <w:rPr>
          <w:rFonts w:ascii="Bookman Old Style" w:hAnsi="Bookman Old Style"/>
          <w:spacing w:val="-3"/>
          <w:lang w:val="es-ES_tradnl" w:eastAsia="x-none"/>
        </w:rPr>
        <w:t>0685</w:t>
      </w:r>
      <w:r w:rsidR="00E8344A" w:rsidRPr="00E8344A">
        <w:rPr>
          <w:rFonts w:ascii="Bookman Old Style" w:hAnsi="Bookman Old Style"/>
          <w:spacing w:val="-3"/>
          <w:lang w:val="es-ES_tradnl" w:eastAsia="x-none"/>
        </w:rPr>
        <w:t>)</w:t>
      </w:r>
      <w:r w:rsidR="00E8344A">
        <w:rPr>
          <w:rFonts w:ascii="Bookman Old Style" w:hAnsi="Bookman Old Style"/>
          <w:spacing w:val="-3"/>
          <w:lang w:val="es-ES_tradnl" w:eastAsia="x-none"/>
        </w:rPr>
        <w:t>,</w:t>
      </w:r>
      <w:r w:rsidR="00E8344A" w:rsidRPr="00E8344A">
        <w:rPr>
          <w:rFonts w:ascii="Bookman Old Style" w:hAnsi="Bookman Old Style"/>
          <w:spacing w:val="-3"/>
          <w:lang w:val="es-ES_tradnl" w:eastAsia="x-none"/>
        </w:rPr>
        <w:t xml:space="preserve"> </w:t>
      </w:r>
      <w:proofErr w:type="spellStart"/>
      <w:r w:rsidR="00E8344A">
        <w:rPr>
          <w:rFonts w:ascii="Bookman Old Style" w:hAnsi="Bookman Old Style"/>
          <w:spacing w:val="-3"/>
          <w:lang w:val="es-ES_tradnl" w:eastAsia="x-none"/>
        </w:rPr>
        <w:t>Surtigas</w:t>
      </w:r>
      <w:proofErr w:type="spellEnd"/>
      <w:r w:rsidR="00E8344A">
        <w:rPr>
          <w:rFonts w:ascii="Bookman Old Style" w:hAnsi="Bookman Old Style"/>
          <w:spacing w:val="-3"/>
          <w:lang w:val="es-ES_tradnl" w:eastAsia="x-none"/>
        </w:rPr>
        <w:t xml:space="preserve"> S.A. E.S</w:t>
      </w:r>
      <w:r w:rsidR="00E8344A" w:rsidRPr="00E8344A">
        <w:rPr>
          <w:rFonts w:ascii="Bookman Old Style" w:hAnsi="Bookman Old Style"/>
          <w:spacing w:val="-3"/>
          <w:lang w:val="es-ES_tradnl" w:eastAsia="x-none"/>
        </w:rPr>
        <w:t>.</w:t>
      </w:r>
      <w:r w:rsidR="00E8344A">
        <w:rPr>
          <w:rFonts w:ascii="Bookman Old Style" w:hAnsi="Bookman Old Style"/>
          <w:spacing w:val="-3"/>
          <w:lang w:val="es-ES_tradnl" w:eastAsia="x-none"/>
        </w:rPr>
        <w:t>P (radicado CREG E-2011-000669),</w:t>
      </w:r>
      <w:r w:rsidR="00E8344A" w:rsidRPr="00E8344A">
        <w:rPr>
          <w:rFonts w:ascii="Bookman Old Style" w:hAnsi="Bookman Old Style"/>
          <w:spacing w:val="-3"/>
          <w:lang w:val="es-ES_tradnl" w:eastAsia="x-none"/>
        </w:rPr>
        <w:t xml:space="preserve"> </w:t>
      </w:r>
      <w:proofErr w:type="spellStart"/>
      <w:r w:rsidR="00E8344A" w:rsidRPr="00E8344A">
        <w:rPr>
          <w:rFonts w:ascii="Bookman Old Style" w:hAnsi="Bookman Old Style"/>
          <w:spacing w:val="-3"/>
          <w:lang w:val="es-ES_tradnl" w:eastAsia="x-none"/>
        </w:rPr>
        <w:t>Madigas</w:t>
      </w:r>
      <w:proofErr w:type="spellEnd"/>
      <w:r w:rsidR="00E8344A" w:rsidRPr="00E8344A">
        <w:rPr>
          <w:rFonts w:ascii="Bookman Old Style" w:hAnsi="Bookman Old Style"/>
          <w:spacing w:val="-3"/>
          <w:lang w:val="es-ES_tradnl" w:eastAsia="x-none"/>
        </w:rPr>
        <w:t xml:space="preserve"> Ingenieros S.A. E.S.P. (radicado CREG E-201</w:t>
      </w:r>
      <w:r w:rsidR="00E8344A">
        <w:rPr>
          <w:rFonts w:ascii="Bookman Old Style" w:hAnsi="Bookman Old Style"/>
          <w:spacing w:val="-3"/>
          <w:lang w:val="es-ES_tradnl" w:eastAsia="x-none"/>
        </w:rPr>
        <w:t>1</w:t>
      </w:r>
      <w:r w:rsidR="00E8344A" w:rsidRPr="00E8344A">
        <w:rPr>
          <w:rFonts w:ascii="Bookman Old Style" w:hAnsi="Bookman Old Style"/>
          <w:spacing w:val="-3"/>
          <w:lang w:val="es-ES_tradnl" w:eastAsia="x-none"/>
        </w:rPr>
        <w:t>-00</w:t>
      </w:r>
      <w:r w:rsidR="00E8344A">
        <w:rPr>
          <w:rFonts w:ascii="Bookman Old Style" w:hAnsi="Bookman Old Style"/>
          <w:spacing w:val="-3"/>
          <w:lang w:val="es-ES_tradnl" w:eastAsia="x-none"/>
        </w:rPr>
        <w:t>6745</w:t>
      </w:r>
      <w:r w:rsidR="00E8344A" w:rsidRPr="00E8344A">
        <w:rPr>
          <w:rFonts w:ascii="Bookman Old Style" w:hAnsi="Bookman Old Style"/>
          <w:spacing w:val="-3"/>
          <w:lang w:val="es-ES_tradnl" w:eastAsia="x-none"/>
        </w:rPr>
        <w:t>)</w:t>
      </w:r>
      <w:r w:rsidR="00E8344A">
        <w:rPr>
          <w:rFonts w:ascii="Bookman Old Style" w:hAnsi="Bookman Old Style"/>
          <w:spacing w:val="-3"/>
          <w:lang w:val="es-ES_tradnl" w:eastAsia="x-none"/>
        </w:rPr>
        <w:t xml:space="preserve"> y</w:t>
      </w:r>
      <w:r>
        <w:rPr>
          <w:rFonts w:ascii="Bookman Old Style" w:hAnsi="Bookman Old Style"/>
          <w:spacing w:val="-3"/>
          <w:lang w:val="es-ES_tradnl" w:eastAsia="x-none"/>
        </w:rPr>
        <w:t xml:space="preserve"> </w:t>
      </w:r>
      <w:r w:rsidR="00E8344A" w:rsidRPr="00E8344A">
        <w:rPr>
          <w:rFonts w:ascii="Bookman Old Style" w:hAnsi="Bookman Old Style"/>
          <w:spacing w:val="-3"/>
          <w:lang w:val="es-ES_tradnl" w:eastAsia="x-none"/>
        </w:rPr>
        <w:t>E</w:t>
      </w:r>
      <w:r w:rsidR="00E8344A">
        <w:rPr>
          <w:rFonts w:ascii="Bookman Old Style" w:hAnsi="Bookman Old Style"/>
          <w:spacing w:val="-3"/>
          <w:lang w:val="es-ES_tradnl" w:eastAsia="x-none"/>
        </w:rPr>
        <w:t xml:space="preserve">mpresas Públicas de </w:t>
      </w:r>
      <w:r w:rsidR="00E8344A" w:rsidRPr="00E8344A">
        <w:rPr>
          <w:rFonts w:ascii="Bookman Old Style" w:hAnsi="Bookman Old Style"/>
          <w:spacing w:val="-3"/>
          <w:lang w:val="es-ES_tradnl" w:eastAsia="x-none"/>
        </w:rPr>
        <w:t>M</w:t>
      </w:r>
      <w:r w:rsidR="00E8344A">
        <w:rPr>
          <w:rFonts w:ascii="Bookman Old Style" w:hAnsi="Bookman Old Style"/>
          <w:spacing w:val="-3"/>
          <w:lang w:val="es-ES_tradnl" w:eastAsia="x-none"/>
        </w:rPr>
        <w:t>edellín</w:t>
      </w:r>
      <w:r w:rsidR="00E8344A" w:rsidRPr="00E8344A">
        <w:rPr>
          <w:rFonts w:ascii="Bookman Old Style" w:hAnsi="Bookman Old Style"/>
          <w:spacing w:val="-3"/>
          <w:lang w:val="es-ES_tradnl" w:eastAsia="x-none"/>
        </w:rPr>
        <w:t xml:space="preserve"> (radicado</w:t>
      </w:r>
      <w:r w:rsidR="00E8344A">
        <w:rPr>
          <w:rFonts w:ascii="Bookman Old Style" w:hAnsi="Bookman Old Style"/>
          <w:spacing w:val="-3"/>
          <w:lang w:val="es-ES_tradnl" w:eastAsia="x-none"/>
        </w:rPr>
        <w:t>s</w:t>
      </w:r>
      <w:r w:rsidR="00E8344A" w:rsidRPr="00E8344A">
        <w:rPr>
          <w:rFonts w:ascii="Bookman Old Style" w:hAnsi="Bookman Old Style"/>
          <w:spacing w:val="-3"/>
          <w:lang w:val="es-ES_tradnl" w:eastAsia="x-none"/>
        </w:rPr>
        <w:t xml:space="preserve"> CREG E-201</w:t>
      </w:r>
      <w:r w:rsidR="00E8344A">
        <w:rPr>
          <w:rFonts w:ascii="Bookman Old Style" w:hAnsi="Bookman Old Style"/>
          <w:spacing w:val="-3"/>
          <w:lang w:val="es-ES_tradnl" w:eastAsia="x-none"/>
        </w:rPr>
        <w:t>1</w:t>
      </w:r>
      <w:r w:rsidR="00E8344A" w:rsidRPr="00E8344A">
        <w:rPr>
          <w:rFonts w:ascii="Bookman Old Style" w:hAnsi="Bookman Old Style"/>
          <w:spacing w:val="-3"/>
          <w:lang w:val="es-ES_tradnl" w:eastAsia="x-none"/>
        </w:rPr>
        <w:t>-00</w:t>
      </w:r>
      <w:r w:rsidR="00E8344A">
        <w:rPr>
          <w:rFonts w:ascii="Bookman Old Style" w:hAnsi="Bookman Old Style"/>
          <w:spacing w:val="-3"/>
          <w:lang w:val="es-ES_tradnl" w:eastAsia="x-none"/>
        </w:rPr>
        <w:t>7959 y E-2011-001103</w:t>
      </w:r>
      <w:r w:rsidR="00E8344A" w:rsidRPr="00E8344A">
        <w:rPr>
          <w:rFonts w:ascii="Bookman Old Style" w:hAnsi="Bookman Old Style"/>
          <w:spacing w:val="-3"/>
          <w:lang w:val="es-ES_tradnl" w:eastAsia="x-none"/>
        </w:rPr>
        <w:t>)</w:t>
      </w:r>
      <w:r w:rsidR="00E8344A">
        <w:rPr>
          <w:rFonts w:ascii="Bookman Old Style" w:hAnsi="Bookman Old Style"/>
          <w:spacing w:val="-3"/>
          <w:lang w:val="es-ES_tradnl" w:eastAsia="x-none"/>
        </w:rPr>
        <w:t xml:space="preserve">. </w:t>
      </w:r>
    </w:p>
    <w:p w:rsidR="00DC6515" w:rsidRPr="001B2976" w:rsidRDefault="00DC6515" w:rsidP="00DC6515">
      <w:pPr>
        <w:jc w:val="both"/>
        <w:rPr>
          <w:rFonts w:ascii="Bookman Old Style" w:hAnsi="Bookman Old Style"/>
          <w:b/>
        </w:rPr>
      </w:pPr>
    </w:p>
    <w:p w:rsidR="00FE59D4" w:rsidRPr="00FE59D4" w:rsidRDefault="00FE59D4" w:rsidP="00FE59D4">
      <w:pPr>
        <w:widowControl w:val="0"/>
        <w:adjustRightInd w:val="0"/>
        <w:ind w:left="0"/>
        <w:jc w:val="both"/>
        <w:textAlignment w:val="baseline"/>
        <w:rPr>
          <w:rFonts w:ascii="Bookman Old Style" w:hAnsi="Bookman Old Style"/>
          <w:spacing w:val="-3"/>
          <w:lang w:val="es-ES_tradnl" w:eastAsia="x-none"/>
        </w:rPr>
      </w:pPr>
      <w:r w:rsidRPr="00FE59D4">
        <w:rPr>
          <w:rFonts w:ascii="Bookman Old Style" w:hAnsi="Bookman Old Style"/>
          <w:spacing w:val="-3"/>
          <w:lang w:val="es-ES_tradnl" w:eastAsia="x-none"/>
        </w:rPr>
        <w:t xml:space="preserve">Mediante </w:t>
      </w:r>
      <w:r w:rsidR="001F602E">
        <w:rPr>
          <w:rFonts w:ascii="Bookman Old Style" w:hAnsi="Bookman Old Style"/>
          <w:spacing w:val="-3"/>
          <w:lang w:val="es-ES_tradnl" w:eastAsia="x-none"/>
        </w:rPr>
        <w:t xml:space="preserve">el </w:t>
      </w:r>
      <w:r w:rsidRPr="00FE59D4">
        <w:rPr>
          <w:rFonts w:ascii="Bookman Old Style" w:hAnsi="Bookman Old Style"/>
          <w:spacing w:val="-3"/>
          <w:lang w:val="es-ES_tradnl" w:eastAsia="x-none"/>
        </w:rPr>
        <w:t xml:space="preserve">Decreto 880 de 2007, modificado por el Decreto 4500 de 2009 el Gobierno Nacional </w:t>
      </w:r>
      <w:r w:rsidRPr="00FE59D4">
        <w:rPr>
          <w:rFonts w:ascii="Bookman Old Style" w:hAnsi="Bookman Old Style"/>
          <w:lang w:val="x-none" w:eastAsia="x-none"/>
        </w:rPr>
        <w:t>fij</w:t>
      </w:r>
      <w:r w:rsidRPr="00FE59D4">
        <w:rPr>
          <w:rFonts w:ascii="Bookman Old Style" w:hAnsi="Bookman Old Style"/>
          <w:lang w:val="es-CO" w:eastAsia="x-none"/>
        </w:rPr>
        <w:t>ó</w:t>
      </w:r>
      <w:r w:rsidRPr="00FE59D4">
        <w:rPr>
          <w:rFonts w:ascii="Bookman Old Style" w:hAnsi="Bookman Old Style"/>
          <w:lang w:val="x-none" w:eastAsia="x-none"/>
        </w:rPr>
        <w:t xml:space="preserve"> el orden de atención prioritaria cuando se presenten insalvables restricciones en la oferta de Gas Natural o situaciones de grave emergencia,</w:t>
      </w:r>
      <w:r w:rsidRPr="00FE59D4">
        <w:rPr>
          <w:rFonts w:ascii="Bookman Old Style" w:hAnsi="Bookman Old Style"/>
          <w:lang w:val="es-CO" w:eastAsia="x-none"/>
        </w:rPr>
        <w:t xml:space="preserve"> </w:t>
      </w:r>
      <w:r w:rsidRPr="00FE59D4">
        <w:rPr>
          <w:rFonts w:ascii="Bookman Old Style" w:hAnsi="Bookman Old Style"/>
          <w:lang w:val="x-none" w:eastAsia="x-none"/>
        </w:rPr>
        <w:t>no transitorias, que impidan garantizar un mínimo de abastecimiento de la demanda.</w:t>
      </w:r>
    </w:p>
    <w:p w:rsidR="00FE59D4" w:rsidRPr="00FE59D4" w:rsidRDefault="00FE59D4" w:rsidP="00FE59D4">
      <w:pPr>
        <w:widowControl w:val="0"/>
        <w:adjustRightInd w:val="0"/>
        <w:ind w:left="0"/>
        <w:jc w:val="both"/>
        <w:textAlignment w:val="baseline"/>
        <w:rPr>
          <w:rFonts w:ascii="Bookman Old Style" w:hAnsi="Bookman Old Style"/>
          <w:spacing w:val="-3"/>
          <w:lang w:val="es-ES_tradnl" w:eastAsia="x-none"/>
        </w:rPr>
      </w:pPr>
    </w:p>
    <w:p w:rsidR="00FE59D4" w:rsidRPr="00FE59D4" w:rsidRDefault="00FE59D4" w:rsidP="00FE59D4">
      <w:pPr>
        <w:widowControl w:val="0"/>
        <w:adjustRightInd w:val="0"/>
        <w:ind w:left="0"/>
        <w:jc w:val="both"/>
        <w:textAlignment w:val="baseline"/>
        <w:rPr>
          <w:rFonts w:ascii="Bookman Old Style" w:hAnsi="Bookman Old Style"/>
          <w:spacing w:val="-3"/>
          <w:lang w:val="es-ES_tradnl" w:eastAsia="x-none"/>
        </w:rPr>
      </w:pPr>
      <w:r w:rsidRPr="00FE59D4">
        <w:rPr>
          <w:rFonts w:ascii="Bookman Old Style" w:hAnsi="Bookman Old Style"/>
          <w:spacing w:val="-3"/>
          <w:lang w:val="es-ES_tradnl" w:eastAsia="x-none"/>
        </w:rPr>
        <w:t xml:space="preserve">El 15 de junio de 2011 se expidió el Decreto 2100 “Por el cual se establecen mecanismos para promover el aseguramiento del abastecimiento nacional de gas natural y se dictan otras disposiciones”, el cual establece en su artículo 5 que los agentes que atienden demanda esencial están obligados a contratar el suministro y el transporte de gas natural para la atención de dicha demanda, según corresponda, con Agentes que cuenten con Respaldo Físico. </w:t>
      </w:r>
    </w:p>
    <w:p w:rsidR="00FE59D4" w:rsidRPr="00FE59D4" w:rsidRDefault="00FE59D4" w:rsidP="00FE59D4">
      <w:pPr>
        <w:widowControl w:val="0"/>
        <w:adjustRightInd w:val="0"/>
        <w:ind w:left="0"/>
        <w:jc w:val="both"/>
        <w:textAlignment w:val="baseline"/>
        <w:rPr>
          <w:rFonts w:ascii="Bookman Old Style" w:hAnsi="Bookman Old Style"/>
          <w:spacing w:val="-3"/>
          <w:lang w:val="es-ES_tradnl" w:eastAsia="x-none"/>
        </w:rPr>
      </w:pPr>
    </w:p>
    <w:p w:rsidR="00FE59D4" w:rsidRPr="00FE59D4" w:rsidRDefault="00FE59D4" w:rsidP="00FE59D4">
      <w:pPr>
        <w:widowControl w:val="0"/>
        <w:adjustRightInd w:val="0"/>
        <w:ind w:left="0"/>
        <w:jc w:val="both"/>
        <w:textAlignment w:val="baseline"/>
        <w:rPr>
          <w:rFonts w:ascii="Bookman Old Style" w:hAnsi="Bookman Old Style"/>
          <w:spacing w:val="-3"/>
          <w:lang w:val="es-CO" w:eastAsia="x-none"/>
        </w:rPr>
      </w:pPr>
      <w:r w:rsidRPr="00FE59D4">
        <w:rPr>
          <w:rFonts w:ascii="Bookman Old Style" w:hAnsi="Bookman Old Style"/>
          <w:spacing w:val="-3"/>
          <w:lang w:val="es-ES_tradnl" w:eastAsia="x-none"/>
        </w:rPr>
        <w:t xml:space="preserve">El citado Decreto definió </w:t>
      </w:r>
      <w:r w:rsidR="001F602E">
        <w:rPr>
          <w:rFonts w:ascii="Bookman Old Style" w:hAnsi="Bookman Old Style"/>
          <w:spacing w:val="-3"/>
          <w:lang w:val="es-ES_tradnl" w:eastAsia="x-none"/>
        </w:rPr>
        <w:t xml:space="preserve">lo que se debe entender por </w:t>
      </w:r>
      <w:r w:rsidRPr="00FE59D4">
        <w:rPr>
          <w:rFonts w:ascii="Bookman Old Style" w:hAnsi="Bookman Old Style"/>
          <w:spacing w:val="-3"/>
          <w:lang w:val="es-ES_tradnl" w:eastAsia="x-none"/>
        </w:rPr>
        <w:t>respaldo físico como la “(g</w:t>
      </w:r>
      <w:proofErr w:type="gramStart"/>
      <w:r w:rsidRPr="00FE59D4">
        <w:rPr>
          <w:rFonts w:ascii="Bookman Old Style" w:hAnsi="Bookman Old Style"/>
          <w:spacing w:val="-3"/>
          <w:lang w:val="es-ES_tradnl" w:eastAsia="x-none"/>
        </w:rPr>
        <w:t>)</w:t>
      </w:r>
      <w:proofErr w:type="spellStart"/>
      <w:r w:rsidRPr="00FE59D4">
        <w:rPr>
          <w:rFonts w:ascii="Bookman Old Style" w:hAnsi="Bookman Old Style"/>
          <w:color w:val="000000"/>
          <w:lang w:val="x-none" w:eastAsia="x-none"/>
        </w:rPr>
        <w:t>arantía</w:t>
      </w:r>
      <w:proofErr w:type="spellEnd"/>
      <w:proofErr w:type="gramEnd"/>
      <w:r w:rsidRPr="00FE59D4">
        <w:rPr>
          <w:rFonts w:ascii="Bookman Old Style" w:hAnsi="Bookman Old Style"/>
          <w:color w:val="000000"/>
          <w:lang w:val="x-none" w:eastAsia="x-none"/>
        </w:rPr>
        <w:t xml:space="preserve"> de que un productor cuenta con Reservas de Gas Natural, o que un </w:t>
      </w:r>
      <w:proofErr w:type="spellStart"/>
      <w:r w:rsidRPr="00FE59D4">
        <w:rPr>
          <w:rFonts w:ascii="Bookman Old Style" w:hAnsi="Bookman Old Style"/>
          <w:color w:val="000000"/>
          <w:lang w:val="x-none" w:eastAsia="x-none"/>
        </w:rPr>
        <w:t>comercial</w:t>
      </w:r>
      <w:r w:rsidRPr="00FE59D4">
        <w:rPr>
          <w:rFonts w:ascii="Bookman Old Style" w:hAnsi="Bookman Old Style"/>
          <w:color w:val="000000"/>
          <w:lang w:val="es-CO" w:eastAsia="x-none"/>
        </w:rPr>
        <w:t>i</w:t>
      </w:r>
      <w:r w:rsidRPr="00FE59D4">
        <w:rPr>
          <w:rFonts w:ascii="Bookman Old Style" w:hAnsi="Bookman Old Style"/>
          <w:color w:val="000000"/>
          <w:lang w:val="x-none" w:eastAsia="x-none"/>
        </w:rPr>
        <w:t>zador</w:t>
      </w:r>
      <w:proofErr w:type="spellEnd"/>
      <w:r w:rsidRPr="00FE59D4">
        <w:rPr>
          <w:rFonts w:ascii="Bookman Old Style" w:hAnsi="Bookman Old Style"/>
          <w:color w:val="000000"/>
          <w:lang w:val="x-none" w:eastAsia="x-none"/>
        </w:rPr>
        <w:t xml:space="preserve"> cuenta físicamente con el gas natural, o que un transportador cuenta físicamente con la capacidad de transporte para asumir y cumplir compromisos contractuales Firmes o que Garantizan Firmeza desde el momento en que se inicien las entregas hasta el cese de las mismas</w:t>
      </w:r>
      <w:r w:rsidRPr="00FE59D4">
        <w:rPr>
          <w:rFonts w:ascii="Bookman Old Style" w:hAnsi="Bookman Old Style"/>
          <w:color w:val="000000"/>
          <w:lang w:val="es-CO" w:eastAsia="x-none"/>
        </w:rPr>
        <w:t>”.</w:t>
      </w:r>
    </w:p>
    <w:p w:rsidR="00FE59D4" w:rsidRDefault="00FE59D4" w:rsidP="00FE59D4">
      <w:pPr>
        <w:widowControl w:val="0"/>
        <w:adjustRightInd w:val="0"/>
        <w:ind w:left="0"/>
        <w:jc w:val="both"/>
        <w:textAlignment w:val="baseline"/>
        <w:rPr>
          <w:rFonts w:ascii="Bookman Old Style" w:hAnsi="Bookman Old Style"/>
          <w:spacing w:val="-3"/>
          <w:lang w:val="es-ES_tradnl" w:eastAsia="x-none"/>
        </w:rPr>
      </w:pPr>
    </w:p>
    <w:p w:rsidR="00FE59D4" w:rsidRPr="00FE59D4" w:rsidRDefault="0028659F" w:rsidP="00FE59D4">
      <w:pPr>
        <w:widowControl w:val="0"/>
        <w:adjustRightInd w:val="0"/>
        <w:ind w:left="0"/>
        <w:jc w:val="both"/>
        <w:textAlignment w:val="baseline"/>
        <w:rPr>
          <w:rFonts w:ascii="Bookman Old Style" w:hAnsi="Bookman Old Style"/>
          <w:spacing w:val="-3"/>
          <w:lang w:val="es-CO" w:eastAsia="x-none"/>
        </w:rPr>
      </w:pPr>
      <w:r>
        <w:rPr>
          <w:rFonts w:ascii="Bookman Old Style" w:hAnsi="Bookman Old Style"/>
          <w:spacing w:val="-3"/>
          <w:lang w:val="es-ES_tradnl" w:eastAsia="x-none"/>
        </w:rPr>
        <w:t>A través de</w:t>
      </w:r>
      <w:r w:rsidR="00FE59D4" w:rsidRPr="00FE59D4">
        <w:rPr>
          <w:rFonts w:ascii="Bookman Old Style" w:hAnsi="Bookman Old Style"/>
          <w:spacing w:val="-3"/>
          <w:lang w:val="es-ES_tradnl" w:eastAsia="x-none"/>
        </w:rPr>
        <w:t xml:space="preserve"> </w:t>
      </w:r>
      <w:r w:rsidR="001F602E">
        <w:rPr>
          <w:rFonts w:ascii="Bookman Old Style" w:hAnsi="Bookman Old Style"/>
          <w:spacing w:val="-3"/>
          <w:lang w:val="es-ES_tradnl" w:eastAsia="x-none"/>
        </w:rPr>
        <w:t xml:space="preserve">la </w:t>
      </w:r>
      <w:r w:rsidR="00FE59D4" w:rsidRPr="00FE59D4">
        <w:rPr>
          <w:rFonts w:ascii="Bookman Old Style" w:hAnsi="Bookman Old Style"/>
          <w:spacing w:val="-3"/>
          <w:lang w:val="es-ES_tradnl" w:eastAsia="x-none"/>
        </w:rPr>
        <w:t xml:space="preserve">Resolución CREG </w:t>
      </w:r>
      <w:r w:rsidR="001F602E">
        <w:rPr>
          <w:rFonts w:ascii="Bookman Old Style" w:hAnsi="Bookman Old Style"/>
          <w:spacing w:val="-3"/>
          <w:lang w:val="es-ES_tradnl" w:eastAsia="x-none"/>
        </w:rPr>
        <w:t xml:space="preserve">No. </w:t>
      </w:r>
      <w:r w:rsidR="00FE59D4" w:rsidRPr="00FE59D4">
        <w:rPr>
          <w:rFonts w:ascii="Bookman Old Style" w:hAnsi="Bookman Old Style"/>
          <w:spacing w:val="-3"/>
          <w:lang w:val="es-ES_tradnl" w:eastAsia="x-none"/>
        </w:rPr>
        <w:t>088 de 2013</w:t>
      </w:r>
      <w:r w:rsidR="001F602E">
        <w:rPr>
          <w:rFonts w:ascii="Bookman Old Style" w:hAnsi="Bookman Old Style"/>
          <w:spacing w:val="-3"/>
          <w:lang w:val="es-ES_tradnl" w:eastAsia="x-none"/>
        </w:rPr>
        <w:t>,</w:t>
      </w:r>
      <w:r w:rsidR="00FE59D4" w:rsidRPr="00FE59D4">
        <w:rPr>
          <w:rFonts w:ascii="Bookman Old Style" w:hAnsi="Bookman Old Style"/>
          <w:spacing w:val="-3"/>
          <w:lang w:val="es-ES_tradnl" w:eastAsia="x-none"/>
        </w:rPr>
        <w:t xml:space="preserve"> se </w:t>
      </w:r>
      <w:r w:rsidR="00C44B72">
        <w:rPr>
          <w:rFonts w:ascii="Bookman Old Style" w:hAnsi="Bookman Old Style" w:cs="Arial"/>
          <w:lang w:val="es-CO" w:eastAsia="x-none"/>
        </w:rPr>
        <w:t>liberó</w:t>
      </w:r>
      <w:r w:rsidR="00FE59D4" w:rsidRPr="00FE59D4">
        <w:rPr>
          <w:rFonts w:ascii="Bookman Old Style" w:hAnsi="Bookman Old Style" w:cs="Arial"/>
          <w:lang w:val="x-none" w:eastAsia="x-none"/>
        </w:rPr>
        <w:t xml:space="preserve"> el precio </w:t>
      </w:r>
      <w:proofErr w:type="spellStart"/>
      <w:r w:rsidR="00C87CEF" w:rsidRPr="00FE59D4">
        <w:rPr>
          <w:rFonts w:ascii="Bookman Old Style" w:hAnsi="Bookman Old Style" w:cs="Arial"/>
          <w:lang w:val="es-CO" w:eastAsia="x-none"/>
        </w:rPr>
        <w:t>de</w:t>
      </w:r>
      <w:r w:rsidR="00C87CEF" w:rsidRPr="00FE59D4">
        <w:rPr>
          <w:rFonts w:ascii="Bookman Old Style" w:hAnsi="Bookman Old Style" w:cs="Arial"/>
          <w:lang w:val="x-none" w:eastAsia="x-none"/>
        </w:rPr>
        <w:t>l</w:t>
      </w:r>
      <w:proofErr w:type="spellEnd"/>
      <w:r w:rsidR="00FE59D4" w:rsidRPr="00FE59D4">
        <w:rPr>
          <w:rFonts w:ascii="Bookman Old Style" w:hAnsi="Bookman Old Style" w:cs="Arial"/>
          <w:lang w:val="x-none" w:eastAsia="x-none"/>
        </w:rPr>
        <w:t xml:space="preserve"> gas natural </w:t>
      </w:r>
      <w:r w:rsidR="00FE59D4" w:rsidRPr="00FE59D4">
        <w:rPr>
          <w:rFonts w:ascii="Bookman Old Style" w:hAnsi="Bookman Old Style" w:cs="Arial"/>
          <w:lang w:val="es-CO" w:eastAsia="x-none"/>
        </w:rPr>
        <w:t xml:space="preserve">puesto </w:t>
      </w:r>
      <w:r w:rsidR="00FE59D4" w:rsidRPr="00FE59D4">
        <w:rPr>
          <w:rFonts w:ascii="Bookman Old Style" w:hAnsi="Bookman Old Style" w:cs="Arial"/>
          <w:lang w:val="x-none" w:eastAsia="x-none"/>
        </w:rPr>
        <w:t>en Punto de Entrada al Sistema Nacional de Transporte</w:t>
      </w:r>
      <w:r w:rsidR="00FE59D4" w:rsidRPr="00FE59D4">
        <w:rPr>
          <w:rFonts w:ascii="Bookman Old Style" w:hAnsi="Bookman Old Style" w:cs="Arial"/>
          <w:lang w:val="es-CO" w:eastAsia="x-none"/>
        </w:rPr>
        <w:t>.</w:t>
      </w:r>
    </w:p>
    <w:p w:rsidR="00FE59D4" w:rsidRPr="00FE59D4" w:rsidRDefault="00FE59D4" w:rsidP="00FE59D4">
      <w:pPr>
        <w:widowControl w:val="0"/>
        <w:tabs>
          <w:tab w:val="center" w:pos="4512"/>
          <w:tab w:val="left" w:pos="7088"/>
        </w:tabs>
        <w:suppressAutoHyphens/>
        <w:adjustRightInd w:val="0"/>
        <w:ind w:left="0" w:right="51"/>
        <w:jc w:val="both"/>
        <w:textAlignment w:val="baseline"/>
        <w:rPr>
          <w:rFonts w:ascii="Bookman Old Style" w:hAnsi="Bookman Old Style" w:cs="Arial"/>
          <w:sz w:val="20"/>
          <w:lang w:val="es-CO"/>
        </w:rPr>
      </w:pPr>
    </w:p>
    <w:p w:rsidR="00FE59D4" w:rsidRPr="00FE59D4" w:rsidRDefault="00FE59D4" w:rsidP="00FE59D4">
      <w:pPr>
        <w:widowControl w:val="0"/>
        <w:adjustRightInd w:val="0"/>
        <w:ind w:left="0"/>
        <w:jc w:val="both"/>
        <w:textAlignment w:val="baseline"/>
        <w:rPr>
          <w:rFonts w:ascii="Bookman Old Style" w:hAnsi="Bookman Old Style" w:cs="Arial"/>
          <w:lang w:val="es-CO" w:eastAsia="x-none"/>
        </w:rPr>
      </w:pPr>
      <w:r w:rsidRPr="00FE59D4">
        <w:rPr>
          <w:rFonts w:ascii="Bookman Old Style" w:hAnsi="Bookman Old Style"/>
          <w:spacing w:val="-3"/>
          <w:lang w:val="es-ES_tradnl" w:eastAsia="x-none"/>
        </w:rPr>
        <w:t xml:space="preserve">Mediante Resolución CREG </w:t>
      </w:r>
      <w:r w:rsidR="001F602E">
        <w:rPr>
          <w:rFonts w:ascii="Bookman Old Style" w:hAnsi="Bookman Old Style"/>
          <w:spacing w:val="-3"/>
          <w:lang w:val="es-ES_tradnl" w:eastAsia="x-none"/>
        </w:rPr>
        <w:t xml:space="preserve">No. </w:t>
      </w:r>
      <w:r w:rsidRPr="00FE59D4">
        <w:rPr>
          <w:rFonts w:ascii="Bookman Old Style" w:hAnsi="Bookman Old Style"/>
          <w:spacing w:val="-3"/>
          <w:lang w:val="es-ES_tradnl" w:eastAsia="x-none"/>
        </w:rPr>
        <w:t xml:space="preserve">089 de 2013, la Comisión </w:t>
      </w:r>
      <w:r w:rsidRPr="00FE59D4">
        <w:rPr>
          <w:rFonts w:ascii="Bookman Old Style" w:hAnsi="Bookman Old Style" w:cs="Arial"/>
          <w:iCs/>
          <w:lang w:val="es-CO" w:eastAsia="x-none"/>
        </w:rPr>
        <w:t>reguló</w:t>
      </w:r>
      <w:r w:rsidRPr="00FE59D4">
        <w:rPr>
          <w:rFonts w:ascii="Bookman Old Style" w:hAnsi="Bookman Old Style" w:cs="Arial"/>
          <w:iCs/>
          <w:lang w:val="x-none" w:eastAsia="x-none"/>
        </w:rPr>
        <w:t xml:space="preserve"> los aspectos comerciales del mercado mayorista de gas natural, que hacen parte del Reglamento de operación de gas natural</w:t>
      </w:r>
      <w:r w:rsidRPr="00FE59D4">
        <w:rPr>
          <w:rFonts w:ascii="Bookman Old Style" w:hAnsi="Bookman Old Style" w:cs="Arial"/>
          <w:lang w:val="es-CO" w:eastAsia="x-none"/>
        </w:rPr>
        <w:t>.</w:t>
      </w:r>
    </w:p>
    <w:p w:rsidR="00212701" w:rsidRDefault="00212701" w:rsidP="00212701">
      <w:pPr>
        <w:pStyle w:val="NormalWeb"/>
        <w:spacing w:before="0" w:beforeAutospacing="0" w:after="0" w:afterAutospacing="0"/>
        <w:jc w:val="both"/>
        <w:rPr>
          <w:rFonts w:ascii="Bookman Old Style" w:hAnsi="Bookman Old Style" w:cs="Arial"/>
        </w:rPr>
      </w:pPr>
    </w:p>
    <w:p w:rsidR="00FE59D4" w:rsidRDefault="00FE59D4" w:rsidP="00212701">
      <w:pPr>
        <w:pStyle w:val="NormalWeb"/>
        <w:spacing w:before="0" w:beforeAutospacing="0" w:after="0" w:afterAutospacing="0"/>
        <w:jc w:val="both"/>
        <w:rPr>
          <w:rFonts w:ascii="Bookman Old Style" w:hAnsi="Bookman Old Style" w:cs="Arial"/>
        </w:rPr>
      </w:pPr>
      <w:r>
        <w:rPr>
          <w:rFonts w:ascii="Bookman Old Style" w:hAnsi="Bookman Old Style" w:cs="Arial"/>
        </w:rPr>
        <w:t xml:space="preserve">La mencionada Resolución CREG </w:t>
      </w:r>
      <w:r w:rsidR="001F602E">
        <w:rPr>
          <w:rFonts w:ascii="Bookman Old Style" w:hAnsi="Bookman Old Style" w:cs="Arial"/>
        </w:rPr>
        <w:t xml:space="preserve">No. </w:t>
      </w:r>
      <w:r>
        <w:rPr>
          <w:rFonts w:ascii="Bookman Old Style" w:hAnsi="Bookman Old Style" w:cs="Arial"/>
        </w:rPr>
        <w:t xml:space="preserve">089 de </w:t>
      </w:r>
      <w:r w:rsidR="00BA276C">
        <w:rPr>
          <w:rFonts w:ascii="Bookman Old Style" w:hAnsi="Bookman Old Style" w:cs="Arial"/>
        </w:rPr>
        <w:t>2</w:t>
      </w:r>
      <w:r>
        <w:rPr>
          <w:rFonts w:ascii="Bookman Old Style" w:hAnsi="Bookman Old Style" w:cs="Arial"/>
        </w:rPr>
        <w:t>013</w:t>
      </w:r>
      <w:r w:rsidR="001F602E">
        <w:rPr>
          <w:rFonts w:ascii="Bookman Old Style" w:hAnsi="Bookman Old Style" w:cs="Arial"/>
        </w:rPr>
        <w:t>,</w:t>
      </w:r>
      <w:r>
        <w:rPr>
          <w:rFonts w:ascii="Bookman Old Style" w:hAnsi="Bookman Old Style" w:cs="Arial"/>
        </w:rPr>
        <w:t xml:space="preserve"> determina </w:t>
      </w:r>
      <w:r w:rsidR="008B63FE">
        <w:rPr>
          <w:rFonts w:ascii="Bookman Old Style" w:hAnsi="Bookman Old Style" w:cs="Arial"/>
        </w:rPr>
        <w:t>en sus artículos 24, 25 y 27</w:t>
      </w:r>
      <w:r w:rsidR="001F602E">
        <w:rPr>
          <w:rFonts w:ascii="Bookman Old Style" w:hAnsi="Bookman Old Style" w:cs="Arial"/>
        </w:rPr>
        <w:t>,</w:t>
      </w:r>
      <w:r w:rsidR="008B63FE">
        <w:rPr>
          <w:rFonts w:ascii="Bookman Old Style" w:hAnsi="Bookman Old Style" w:cs="Arial"/>
        </w:rPr>
        <w:t xml:space="preserve"> </w:t>
      </w:r>
      <w:r>
        <w:rPr>
          <w:rFonts w:ascii="Bookman Old Style" w:hAnsi="Bookman Old Style" w:cs="Arial"/>
        </w:rPr>
        <w:t xml:space="preserve">que </w:t>
      </w:r>
      <w:r w:rsidR="001F602E">
        <w:rPr>
          <w:rFonts w:ascii="Bookman Old Style" w:hAnsi="Bookman Old Style" w:cs="Arial"/>
        </w:rPr>
        <w:t xml:space="preserve">conforme al </w:t>
      </w:r>
      <w:r>
        <w:rPr>
          <w:rFonts w:ascii="Bookman Old Style" w:hAnsi="Bookman Old Style" w:cs="Arial"/>
        </w:rPr>
        <w:t xml:space="preserve"> balance de la UPME</w:t>
      </w:r>
      <w:r w:rsidR="001F602E">
        <w:rPr>
          <w:rFonts w:ascii="Bookman Old Style" w:hAnsi="Bookman Old Style" w:cs="Arial"/>
        </w:rPr>
        <w:t>,</w:t>
      </w:r>
      <w:r>
        <w:rPr>
          <w:rFonts w:ascii="Bookman Old Style" w:hAnsi="Bookman Old Style" w:cs="Arial"/>
        </w:rPr>
        <w:t xml:space="preserve"> los compradores podrán negociar el suministro de gas natural mediante negociación directa durante un periodo definido </w:t>
      </w:r>
      <w:r w:rsidR="008B63FE">
        <w:rPr>
          <w:rFonts w:ascii="Bookman Old Style" w:hAnsi="Bookman Old Style" w:cs="Arial"/>
        </w:rPr>
        <w:t xml:space="preserve">y negociación </w:t>
      </w:r>
      <w:r>
        <w:rPr>
          <w:rFonts w:ascii="Bookman Old Style" w:hAnsi="Bookman Old Style" w:cs="Arial"/>
        </w:rPr>
        <w:t>mediante subasta.</w:t>
      </w:r>
    </w:p>
    <w:p w:rsidR="00FE59D4" w:rsidRPr="001B2976" w:rsidRDefault="00FE59D4" w:rsidP="00212701">
      <w:pPr>
        <w:pStyle w:val="NormalWeb"/>
        <w:spacing w:before="0" w:beforeAutospacing="0" w:after="0" w:afterAutospacing="0"/>
        <w:jc w:val="both"/>
        <w:rPr>
          <w:rFonts w:ascii="Bookman Old Style" w:hAnsi="Bookman Old Style" w:cs="Arial"/>
        </w:rPr>
      </w:pPr>
    </w:p>
    <w:p w:rsidR="00913441" w:rsidRDefault="00D76FD2" w:rsidP="00913441">
      <w:pPr>
        <w:tabs>
          <w:tab w:val="left" w:pos="1701"/>
        </w:tabs>
        <w:ind w:left="0"/>
        <w:jc w:val="both"/>
        <w:rPr>
          <w:rFonts w:ascii="Bookman Old Style" w:hAnsi="Bookman Old Style" w:cs="Arial"/>
        </w:rPr>
      </w:pPr>
      <w:r>
        <w:rPr>
          <w:rFonts w:ascii="Bookman Old Style" w:hAnsi="Bookman Old Style" w:cs="Arial"/>
          <w:lang w:val="es-CO"/>
        </w:rPr>
        <w:t>Teniendo</w:t>
      </w:r>
      <w:r w:rsidR="00913441">
        <w:rPr>
          <w:rFonts w:ascii="Bookman Old Style" w:hAnsi="Bookman Old Style" w:cs="Arial"/>
          <w:lang w:val="es-CO"/>
        </w:rPr>
        <w:t xml:space="preserve"> en cuenta </w:t>
      </w:r>
      <w:r w:rsidR="00913441" w:rsidRPr="001B4F34">
        <w:rPr>
          <w:rFonts w:ascii="Bookman Old Style" w:hAnsi="Bookman Old Style" w:cs="Arial"/>
        </w:rPr>
        <w:t xml:space="preserve">la </w:t>
      </w:r>
      <w:r w:rsidR="00913441">
        <w:rPr>
          <w:rFonts w:ascii="Bookman Old Style" w:hAnsi="Bookman Old Style" w:cs="Arial"/>
        </w:rPr>
        <w:t xml:space="preserve">última </w:t>
      </w:r>
      <w:r w:rsidR="00913441" w:rsidRPr="001B4F34">
        <w:rPr>
          <w:rFonts w:ascii="Bookman Old Style" w:hAnsi="Bookman Old Style" w:cs="Arial"/>
        </w:rPr>
        <w:t>regulación expedida por la CREG referente a</w:t>
      </w:r>
      <w:r w:rsidR="00913441">
        <w:rPr>
          <w:rFonts w:ascii="Bookman Old Style" w:hAnsi="Bookman Old Style" w:cs="Arial"/>
        </w:rPr>
        <w:t xml:space="preserve"> la liberación del precio </w:t>
      </w:r>
      <w:proofErr w:type="spellStart"/>
      <w:r w:rsidR="00913441" w:rsidRPr="00FE59D4">
        <w:rPr>
          <w:rFonts w:ascii="Bookman Old Style" w:hAnsi="Bookman Old Style" w:cs="Arial"/>
          <w:lang w:val="es-CO" w:eastAsia="x-none"/>
        </w:rPr>
        <w:t>de</w:t>
      </w:r>
      <w:r w:rsidR="00913441" w:rsidRPr="00FE59D4">
        <w:rPr>
          <w:rFonts w:ascii="Bookman Old Style" w:hAnsi="Bookman Old Style" w:cs="Arial"/>
          <w:lang w:val="x-none" w:eastAsia="x-none"/>
        </w:rPr>
        <w:t>l</w:t>
      </w:r>
      <w:proofErr w:type="spellEnd"/>
      <w:r w:rsidR="00913441" w:rsidRPr="00FE59D4">
        <w:rPr>
          <w:rFonts w:ascii="Bookman Old Style" w:hAnsi="Bookman Old Style" w:cs="Arial"/>
          <w:lang w:val="x-none" w:eastAsia="x-none"/>
        </w:rPr>
        <w:t xml:space="preserve"> gas natural </w:t>
      </w:r>
      <w:r w:rsidR="00913441">
        <w:rPr>
          <w:rFonts w:ascii="Bookman Old Style" w:hAnsi="Bookman Old Style" w:cs="Arial"/>
          <w:lang w:val="es-CO" w:eastAsia="x-none"/>
        </w:rPr>
        <w:t>y</w:t>
      </w:r>
      <w:r w:rsidR="00913441" w:rsidRPr="001B4F34">
        <w:rPr>
          <w:rFonts w:ascii="Bookman Old Style" w:hAnsi="Bookman Old Style" w:cs="Arial"/>
        </w:rPr>
        <w:t xml:space="preserve"> los aspectos comerciales del mercado mayorista de gas natural, que hacen parte del reglamento de operación de gas natural (Resolución CREG 089 de 2013) </w:t>
      </w:r>
      <w:r w:rsidR="00913441">
        <w:rPr>
          <w:rFonts w:ascii="Bookman Old Style" w:hAnsi="Bookman Old Style" w:cs="Arial"/>
        </w:rPr>
        <w:t xml:space="preserve">se hace necesario ajustar algunos aspectos en </w:t>
      </w:r>
      <w:r w:rsidR="00913441" w:rsidRPr="001B4F34">
        <w:rPr>
          <w:rFonts w:ascii="Bookman Old Style" w:hAnsi="Bookman Old Style" w:cs="Arial"/>
        </w:rPr>
        <w:t xml:space="preserve">la </w:t>
      </w:r>
      <w:r w:rsidR="00913441">
        <w:rPr>
          <w:rFonts w:ascii="Bookman Old Style" w:hAnsi="Bookman Old Style" w:cs="Arial"/>
        </w:rPr>
        <w:t xml:space="preserve">propuesta de </w:t>
      </w:r>
      <w:r w:rsidR="00913441" w:rsidRPr="001B4F34">
        <w:rPr>
          <w:rFonts w:ascii="Bookman Old Style" w:hAnsi="Bookman Old Style" w:cs="Arial"/>
        </w:rPr>
        <w:t>fórmulas tarifarias generales</w:t>
      </w:r>
      <w:r w:rsidR="00913441">
        <w:rPr>
          <w:rFonts w:ascii="Bookman Old Style" w:hAnsi="Bookman Old Style" w:cs="Arial"/>
        </w:rPr>
        <w:t xml:space="preserve"> y </w:t>
      </w:r>
      <w:r w:rsidR="00AC20FB">
        <w:rPr>
          <w:rFonts w:ascii="Bookman Old Style" w:hAnsi="Bookman Old Style" w:cs="Arial"/>
        </w:rPr>
        <w:t xml:space="preserve">en </w:t>
      </w:r>
      <w:r w:rsidR="00913441">
        <w:rPr>
          <w:rFonts w:ascii="Bookman Old Style" w:hAnsi="Bookman Old Style" w:cs="Arial"/>
        </w:rPr>
        <w:t xml:space="preserve">la metodología de comercialización de gas con el propósito de incentivar compras eficientes de </w:t>
      </w:r>
      <w:r w:rsidR="00913441">
        <w:rPr>
          <w:rFonts w:ascii="Bookman Old Style" w:hAnsi="Bookman Old Style" w:cs="Arial"/>
        </w:rPr>
        <w:lastRenderedPageBreak/>
        <w:t xml:space="preserve">gas y obtener mejores precios de tal forma que resulten mejores tarifas para los usuarios regulados. </w:t>
      </w:r>
    </w:p>
    <w:p w:rsidR="00913441" w:rsidRPr="001B4F34" w:rsidRDefault="00913441" w:rsidP="00913441">
      <w:pPr>
        <w:tabs>
          <w:tab w:val="left" w:pos="1701"/>
        </w:tabs>
        <w:ind w:left="0"/>
        <w:jc w:val="both"/>
        <w:rPr>
          <w:rFonts w:ascii="Bookman Old Style" w:hAnsi="Bookman Old Style" w:cs="Arial"/>
        </w:rPr>
      </w:pPr>
    </w:p>
    <w:p w:rsidR="001E6C4B" w:rsidRPr="00617FF7" w:rsidRDefault="00913441" w:rsidP="00967D6E">
      <w:pPr>
        <w:tabs>
          <w:tab w:val="left" w:pos="1701"/>
        </w:tabs>
        <w:ind w:left="0"/>
        <w:jc w:val="both"/>
        <w:rPr>
          <w:rFonts w:ascii="Bookman Old Style" w:hAnsi="Bookman Old Style" w:cs="Arial"/>
        </w:rPr>
      </w:pPr>
      <w:r>
        <w:rPr>
          <w:rFonts w:ascii="Bookman Old Style" w:hAnsi="Bookman Old Style" w:cs="Arial"/>
        </w:rPr>
        <w:t>De acuerdo con lo anterior</w:t>
      </w:r>
      <w:r w:rsidR="001F602E">
        <w:rPr>
          <w:rFonts w:ascii="Bookman Old Style" w:hAnsi="Bookman Old Style" w:cs="Arial"/>
        </w:rPr>
        <w:t xml:space="preserve"> y en relación con las cantidades de Compras de Gas Natural</w:t>
      </w:r>
      <w:r>
        <w:rPr>
          <w:rFonts w:ascii="Bookman Old Style" w:hAnsi="Bookman Old Style" w:cs="Arial"/>
        </w:rPr>
        <w:t>, m</w:t>
      </w:r>
      <w:r w:rsidR="00967D6E" w:rsidRPr="00F45FD0">
        <w:rPr>
          <w:rFonts w:ascii="Bookman Old Style" w:hAnsi="Bookman Old Style" w:cs="Arial"/>
        </w:rPr>
        <w:t>ediante la Resolución CREG</w:t>
      </w:r>
      <w:r w:rsidR="001F602E">
        <w:rPr>
          <w:rFonts w:ascii="Bookman Old Style" w:hAnsi="Bookman Old Style" w:cs="Arial"/>
        </w:rPr>
        <w:t xml:space="preserve"> No.</w:t>
      </w:r>
      <w:r w:rsidR="00967D6E" w:rsidRPr="00F45FD0">
        <w:rPr>
          <w:rFonts w:ascii="Bookman Old Style" w:hAnsi="Bookman Old Style" w:cs="Arial"/>
        </w:rPr>
        <w:t xml:space="preserve"> </w:t>
      </w:r>
      <w:r w:rsidR="0007119F">
        <w:rPr>
          <w:rFonts w:ascii="Bookman Old Style" w:hAnsi="Bookman Old Style" w:cs="Arial"/>
        </w:rPr>
        <w:t>118 de 2013</w:t>
      </w:r>
      <w:r w:rsidR="001F602E">
        <w:rPr>
          <w:rFonts w:ascii="Bookman Old Style" w:hAnsi="Bookman Old Style" w:cs="Arial"/>
        </w:rPr>
        <w:t>,</w:t>
      </w:r>
      <w:r w:rsidR="00967D6E" w:rsidRPr="00F45FD0">
        <w:rPr>
          <w:rFonts w:ascii="Bookman Old Style" w:hAnsi="Bookman Old Style" w:cs="Arial"/>
        </w:rPr>
        <w:t xml:space="preserve"> </w:t>
      </w:r>
      <w:r w:rsidR="00967D6E">
        <w:rPr>
          <w:rFonts w:ascii="Bookman Old Style" w:hAnsi="Bookman Old Style" w:cs="Arial"/>
          <w:b/>
        </w:rPr>
        <w:t xml:space="preserve"> </w:t>
      </w:r>
      <w:r w:rsidR="001F602E">
        <w:rPr>
          <w:rFonts w:ascii="Bookman Old Style" w:hAnsi="Bookman Old Style" w:cs="Arial"/>
          <w:b/>
        </w:rPr>
        <w:t>“</w:t>
      </w:r>
      <w:r w:rsidR="00967D6E" w:rsidRPr="00967D6E">
        <w:rPr>
          <w:rFonts w:ascii="Bookman Old Style" w:hAnsi="Bookman Old Style" w:cs="Arial"/>
        </w:rPr>
        <w:t>Por la cual se ordena hacer público un proyecto de resolución de carácter general “Por la cual se establecen las Fórmulas Tarifarias Generales para la prestación del servicio público domiciliario de distribución de gas com</w:t>
      </w:r>
      <w:r w:rsidR="00967D6E">
        <w:rPr>
          <w:rFonts w:ascii="Bookman Old Style" w:hAnsi="Bookman Old Style" w:cs="Arial"/>
        </w:rPr>
        <w:t>bustible por redes de tubería”</w:t>
      </w:r>
      <w:r w:rsidR="001F602E">
        <w:rPr>
          <w:rFonts w:ascii="Bookman Old Style" w:hAnsi="Bookman Old Style" w:cs="Arial"/>
        </w:rPr>
        <w:t>”</w:t>
      </w:r>
      <w:r w:rsidR="00967D6E">
        <w:rPr>
          <w:rFonts w:ascii="Bookman Old Style" w:hAnsi="Bookman Old Style" w:cs="Arial"/>
        </w:rPr>
        <w:t>,</w:t>
      </w:r>
      <w:r w:rsidR="001E6C4B">
        <w:rPr>
          <w:rFonts w:ascii="Bookman Old Style" w:hAnsi="Bookman Old Style" w:cs="Arial"/>
        </w:rPr>
        <w:t xml:space="preserve"> </w:t>
      </w:r>
      <w:r>
        <w:rPr>
          <w:rFonts w:ascii="Bookman Old Style" w:hAnsi="Bookman Old Style" w:cs="Arial"/>
        </w:rPr>
        <w:t xml:space="preserve"> </w:t>
      </w:r>
      <w:r w:rsidR="001E6C4B">
        <w:rPr>
          <w:rFonts w:ascii="Bookman Old Style" w:hAnsi="Bookman Old Style" w:cs="Arial"/>
        </w:rPr>
        <w:t>s</w:t>
      </w:r>
      <w:r>
        <w:rPr>
          <w:rFonts w:ascii="Bookman Old Style" w:hAnsi="Bookman Old Style" w:cs="Arial"/>
        </w:rPr>
        <w:t xml:space="preserve">e </w:t>
      </w:r>
      <w:r w:rsidR="001E6C4B">
        <w:rPr>
          <w:rFonts w:ascii="Bookman Old Style" w:hAnsi="Bookman Old Style" w:cs="Arial"/>
        </w:rPr>
        <w:t xml:space="preserve">propuso incluir </w:t>
      </w:r>
      <w:r>
        <w:rPr>
          <w:rFonts w:ascii="Bookman Old Style" w:hAnsi="Bookman Old Style" w:cs="Arial"/>
        </w:rPr>
        <w:t xml:space="preserve">un rango de cantidades de </w:t>
      </w:r>
      <w:r w:rsidRPr="00F45FD0">
        <w:rPr>
          <w:rFonts w:ascii="Bookman Old Style" w:hAnsi="Bookman Old Style" w:cs="Arial"/>
          <w:bCs/>
        </w:rPr>
        <w:t>Compras de Gas Natural</w:t>
      </w:r>
      <w:r w:rsidR="00617FF7">
        <w:rPr>
          <w:rFonts w:ascii="Bookman Old Style" w:hAnsi="Bookman Old Style" w:cs="Arial"/>
          <w:bCs/>
        </w:rPr>
        <w:t>.</w:t>
      </w:r>
    </w:p>
    <w:p w:rsidR="001E6C4B" w:rsidRDefault="001E6C4B" w:rsidP="00967D6E">
      <w:pPr>
        <w:tabs>
          <w:tab w:val="left" w:pos="1701"/>
        </w:tabs>
        <w:ind w:left="0"/>
        <w:jc w:val="both"/>
        <w:rPr>
          <w:rFonts w:ascii="Bookman Old Style" w:hAnsi="Bookman Old Style" w:cs="Arial"/>
        </w:rPr>
      </w:pPr>
    </w:p>
    <w:p w:rsidR="00967D6E" w:rsidRDefault="00913441" w:rsidP="00967D6E">
      <w:pPr>
        <w:tabs>
          <w:tab w:val="left" w:pos="1701"/>
        </w:tabs>
        <w:ind w:left="0"/>
        <w:jc w:val="both"/>
        <w:rPr>
          <w:rFonts w:ascii="Bookman Old Style" w:hAnsi="Bookman Old Style"/>
          <w:bCs/>
        </w:rPr>
      </w:pPr>
      <w:r w:rsidRPr="00617FF7">
        <w:rPr>
          <w:rFonts w:ascii="Bookman Old Style" w:hAnsi="Bookman Old Style" w:cs="Arial"/>
        </w:rPr>
        <w:t>Así mismo, en</w:t>
      </w:r>
      <w:r w:rsidR="001F602E">
        <w:rPr>
          <w:rFonts w:ascii="Bookman Old Style" w:hAnsi="Bookman Old Style" w:cs="Arial"/>
        </w:rPr>
        <w:t xml:space="preserve"> la </w:t>
      </w:r>
      <w:r w:rsidRPr="00617FF7">
        <w:rPr>
          <w:rFonts w:ascii="Bookman Old Style" w:hAnsi="Bookman Old Style" w:cs="Arial"/>
        </w:rPr>
        <w:t xml:space="preserve"> resolución </w:t>
      </w:r>
      <w:r w:rsidR="001F602E">
        <w:rPr>
          <w:rFonts w:ascii="Bookman Old Style" w:hAnsi="Bookman Old Style" w:cs="Arial"/>
        </w:rPr>
        <w:t xml:space="preserve">a que se refiere el considerando anterior, </w:t>
      </w:r>
      <w:r w:rsidRPr="00617FF7">
        <w:rPr>
          <w:rFonts w:ascii="Bookman Old Style" w:hAnsi="Bookman Old Style" w:cs="Arial"/>
        </w:rPr>
        <w:t xml:space="preserve">se </w:t>
      </w:r>
      <w:r w:rsidR="00967D6E" w:rsidRPr="00617FF7">
        <w:rPr>
          <w:rFonts w:ascii="Bookman Old Style" w:hAnsi="Bookman Old Style" w:cs="Arial"/>
        </w:rPr>
        <w:t xml:space="preserve"> señaló en el parágrafo 3 de</w:t>
      </w:r>
      <w:r w:rsidR="001F602E">
        <w:rPr>
          <w:rFonts w:ascii="Bookman Old Style" w:hAnsi="Bookman Old Style" w:cs="Arial"/>
        </w:rPr>
        <w:t xml:space="preserve"> su </w:t>
      </w:r>
      <w:r w:rsidR="00967D6E" w:rsidRPr="00617FF7">
        <w:rPr>
          <w:rFonts w:ascii="Bookman Old Style" w:hAnsi="Bookman Old Style" w:cs="Arial"/>
        </w:rPr>
        <w:t xml:space="preserve"> artículo 5</w:t>
      </w:r>
      <w:r w:rsidR="001F602E">
        <w:rPr>
          <w:rFonts w:ascii="Bookman Old Style" w:hAnsi="Bookman Old Style" w:cs="Arial"/>
        </w:rPr>
        <w:t xml:space="preserve">º </w:t>
      </w:r>
      <w:r w:rsidR="00967D6E" w:rsidRPr="00617FF7">
        <w:rPr>
          <w:rFonts w:ascii="Bookman Old Style" w:hAnsi="Bookman Old Style" w:cs="Arial"/>
        </w:rPr>
        <w:t xml:space="preserve"> que </w:t>
      </w:r>
      <w:r w:rsidR="00967D6E" w:rsidRPr="00F45FD0">
        <w:rPr>
          <w:rFonts w:ascii="Bookman Old Style" w:hAnsi="Bookman Old Style"/>
          <w:bCs/>
        </w:rPr>
        <w:t>e</w:t>
      </w:r>
      <w:r w:rsidR="00967D6E" w:rsidRPr="00617FF7">
        <w:rPr>
          <w:rFonts w:ascii="Bookman Old Style" w:hAnsi="Bookman Old Style"/>
          <w:bCs/>
        </w:rPr>
        <w:t>n resolución aparte</w:t>
      </w:r>
      <w:r w:rsidR="001F602E">
        <w:rPr>
          <w:rFonts w:ascii="Bookman Old Style" w:hAnsi="Bookman Old Style"/>
          <w:bCs/>
        </w:rPr>
        <w:t>,</w:t>
      </w:r>
      <w:r w:rsidR="00967D6E" w:rsidRPr="00617FF7">
        <w:rPr>
          <w:rFonts w:ascii="Bookman Old Style" w:hAnsi="Bookman Old Style"/>
          <w:bCs/>
        </w:rPr>
        <w:t xml:space="preserve"> la CREG podrá establecer incentivos en el margen de comercialización que permitan a los comercializadores obtener mejores precios del gas natural, de tal forma que resulten mejores tarifas para sus usuarios regulados.</w:t>
      </w:r>
    </w:p>
    <w:p w:rsidR="00AC20FB" w:rsidRPr="00617FF7" w:rsidRDefault="00AC20FB" w:rsidP="00967D6E">
      <w:pPr>
        <w:tabs>
          <w:tab w:val="left" w:pos="1701"/>
        </w:tabs>
        <w:ind w:left="0"/>
        <w:jc w:val="both"/>
        <w:rPr>
          <w:rFonts w:ascii="Bookman Old Style" w:hAnsi="Bookman Old Style"/>
          <w:bCs/>
        </w:rPr>
      </w:pPr>
    </w:p>
    <w:p w:rsidR="00DC6515" w:rsidRDefault="004A74F0" w:rsidP="00DC6515">
      <w:pPr>
        <w:pStyle w:val="NormalWeb"/>
        <w:spacing w:before="0" w:beforeAutospacing="0" w:after="0" w:afterAutospacing="0"/>
        <w:jc w:val="both"/>
        <w:rPr>
          <w:rFonts w:ascii="Bookman Old Style" w:hAnsi="Bookman Old Style"/>
        </w:rPr>
      </w:pPr>
      <w:r>
        <w:rPr>
          <w:rFonts w:ascii="Bookman Old Style" w:hAnsi="Bookman Old Style" w:cs="Arial"/>
        </w:rPr>
        <w:t xml:space="preserve">Teniendo en cuenta lo anteriormente expuesto, </w:t>
      </w:r>
      <w:r w:rsidR="00DC6515" w:rsidRPr="001B2976">
        <w:rPr>
          <w:rFonts w:ascii="Bookman Old Style" w:hAnsi="Bookman Old Style" w:cs="Arial"/>
        </w:rPr>
        <w:t xml:space="preserve">es necesario en el proyecto de Resolución </w:t>
      </w:r>
      <w:r w:rsidR="005206C8">
        <w:rPr>
          <w:rFonts w:ascii="Bookman Old Style" w:hAnsi="Bookman Old Style" w:cs="Arial"/>
        </w:rPr>
        <w:t xml:space="preserve">CREG No. </w:t>
      </w:r>
      <w:r w:rsidR="00DC6515" w:rsidRPr="001B2976">
        <w:rPr>
          <w:rFonts w:ascii="Bookman Old Style" w:hAnsi="Bookman Old Style" w:cs="Arial"/>
        </w:rPr>
        <w:t xml:space="preserve">103 de 2010 </w:t>
      </w:r>
      <w:r w:rsidR="00DC6515" w:rsidRPr="001B2976">
        <w:rPr>
          <w:rFonts w:ascii="Bookman Old Style" w:hAnsi="Bookman Old Style"/>
        </w:rPr>
        <w:t>“</w:t>
      </w:r>
      <w:r w:rsidR="00DC6515" w:rsidRPr="001B2976">
        <w:rPr>
          <w:rFonts w:ascii="Bookman Old Style" w:hAnsi="Bookman Old Style"/>
          <w:i/>
        </w:rPr>
        <w:t>Por la cual se establecen los criterios generales para remunerar la actividad de comercialización de gas combustible por redes de</w:t>
      </w:r>
      <w:r>
        <w:rPr>
          <w:rFonts w:ascii="Bookman Old Style" w:hAnsi="Bookman Old Style"/>
          <w:i/>
        </w:rPr>
        <w:t xml:space="preserve"> tuberías a usuarios regulados”, </w:t>
      </w:r>
      <w:r w:rsidR="00967D6E">
        <w:rPr>
          <w:rFonts w:ascii="Bookman Old Style" w:hAnsi="Bookman Old Style"/>
        </w:rPr>
        <w:t xml:space="preserve">precisar </w:t>
      </w:r>
      <w:r>
        <w:rPr>
          <w:rFonts w:ascii="Bookman Old Style" w:hAnsi="Bookman Old Style"/>
        </w:rPr>
        <w:t xml:space="preserve"> los </w:t>
      </w:r>
      <w:r w:rsidR="00DC6515" w:rsidRPr="001B2976">
        <w:rPr>
          <w:rFonts w:ascii="Bookman Old Style" w:hAnsi="Bookman Old Style"/>
        </w:rPr>
        <w:t xml:space="preserve">incentivos que </w:t>
      </w:r>
      <w:r>
        <w:rPr>
          <w:rFonts w:ascii="Bookman Old Style" w:hAnsi="Bookman Old Style"/>
        </w:rPr>
        <w:t xml:space="preserve">plantea la comisión con el objeto de que el </w:t>
      </w:r>
      <w:r w:rsidR="00DC6515" w:rsidRPr="001B2976">
        <w:rPr>
          <w:rFonts w:ascii="Bookman Old Style" w:hAnsi="Bookman Old Style"/>
        </w:rPr>
        <w:t xml:space="preserve">Comercializador </w:t>
      </w:r>
      <w:r w:rsidR="00913441">
        <w:rPr>
          <w:rFonts w:ascii="Bookman Old Style" w:hAnsi="Bookman Old Style"/>
        </w:rPr>
        <w:t xml:space="preserve">obtenga mejores precios en la negociación directa durante </w:t>
      </w:r>
      <w:r w:rsidR="00763776">
        <w:rPr>
          <w:rFonts w:ascii="Bookman Old Style" w:hAnsi="Bookman Old Style"/>
        </w:rPr>
        <w:t>el plazo que previamente se defina</w:t>
      </w:r>
      <w:r w:rsidR="00913441">
        <w:rPr>
          <w:rFonts w:ascii="Bookman Old Style" w:hAnsi="Bookman Old Style"/>
        </w:rPr>
        <w:t>.</w:t>
      </w:r>
    </w:p>
    <w:p w:rsidR="00913441" w:rsidRPr="001B2976" w:rsidRDefault="00913441" w:rsidP="00DC6515">
      <w:pPr>
        <w:pStyle w:val="NormalWeb"/>
        <w:spacing w:before="0" w:beforeAutospacing="0" w:after="0" w:afterAutospacing="0"/>
        <w:jc w:val="both"/>
        <w:rPr>
          <w:rFonts w:ascii="Bookman Old Style" w:hAnsi="Bookman Old Style"/>
        </w:rPr>
      </w:pPr>
    </w:p>
    <w:p w:rsidR="006163B7" w:rsidRPr="001B2976" w:rsidRDefault="006163B7" w:rsidP="00DC6515">
      <w:pPr>
        <w:pStyle w:val="NormalWeb"/>
        <w:spacing w:before="0" w:beforeAutospacing="0" w:after="0" w:afterAutospacing="0"/>
        <w:jc w:val="both"/>
        <w:rPr>
          <w:rFonts w:ascii="Bookman Old Style" w:hAnsi="Bookman Old Style"/>
        </w:rPr>
      </w:pPr>
      <w:r w:rsidRPr="001B2976">
        <w:rPr>
          <w:rFonts w:ascii="Bookman Old Style" w:hAnsi="Bookman Old Style"/>
        </w:rPr>
        <w:t xml:space="preserve">En consecuencia, </w:t>
      </w:r>
    </w:p>
    <w:p w:rsidR="00270778" w:rsidRDefault="00270778" w:rsidP="0070063F">
      <w:pPr>
        <w:jc w:val="center"/>
        <w:rPr>
          <w:rFonts w:ascii="Bookman Old Style" w:hAnsi="Bookman Old Style"/>
          <w:b/>
          <w:lang w:val="es-CO"/>
        </w:rPr>
      </w:pPr>
    </w:p>
    <w:p w:rsidR="00B4547B" w:rsidRDefault="00B4547B" w:rsidP="0070063F">
      <w:pPr>
        <w:jc w:val="center"/>
        <w:rPr>
          <w:rFonts w:ascii="Bookman Old Style" w:hAnsi="Bookman Old Style"/>
          <w:b/>
        </w:rPr>
      </w:pPr>
    </w:p>
    <w:p w:rsidR="0070063F" w:rsidRPr="001B2976" w:rsidRDefault="0070063F" w:rsidP="0070063F">
      <w:pPr>
        <w:jc w:val="center"/>
        <w:rPr>
          <w:rFonts w:ascii="Bookman Old Style" w:hAnsi="Bookman Old Style"/>
          <w:b/>
        </w:rPr>
      </w:pPr>
      <w:r w:rsidRPr="001B2976">
        <w:rPr>
          <w:rFonts w:ascii="Bookman Old Style" w:hAnsi="Bookman Old Style"/>
          <w:b/>
        </w:rPr>
        <w:t>R E S U E L V E:</w:t>
      </w:r>
    </w:p>
    <w:p w:rsidR="0070063F" w:rsidRDefault="0070063F" w:rsidP="0070063F">
      <w:pPr>
        <w:jc w:val="both"/>
        <w:rPr>
          <w:rFonts w:ascii="Bookman Old Style" w:hAnsi="Bookman Old Style"/>
          <w:b/>
        </w:rPr>
      </w:pPr>
    </w:p>
    <w:p w:rsidR="00B048E7" w:rsidRDefault="00B048E7" w:rsidP="0070063F">
      <w:pPr>
        <w:jc w:val="both"/>
        <w:rPr>
          <w:rFonts w:ascii="Bookman Old Style" w:hAnsi="Bookman Old Style"/>
          <w:b/>
        </w:rPr>
      </w:pPr>
    </w:p>
    <w:p w:rsidR="00987604" w:rsidRPr="00F45FD0" w:rsidRDefault="00967D6E" w:rsidP="00F45FD0">
      <w:pPr>
        <w:widowControl w:val="0"/>
        <w:numPr>
          <w:ilvl w:val="0"/>
          <w:numId w:val="23"/>
        </w:numPr>
        <w:tabs>
          <w:tab w:val="left" w:pos="1701"/>
        </w:tabs>
        <w:adjustRightInd w:val="0"/>
        <w:ind w:left="0" w:firstLine="1344"/>
        <w:jc w:val="both"/>
        <w:textAlignment w:val="baseline"/>
        <w:rPr>
          <w:rFonts w:ascii="Bookman Old Style" w:hAnsi="Bookman Old Style"/>
          <w:b/>
        </w:rPr>
      </w:pPr>
      <w:r w:rsidRPr="00264E8F">
        <w:rPr>
          <w:rFonts w:ascii="Bookman Old Style" w:hAnsi="Bookman Old Style"/>
        </w:rPr>
        <w:t>Modifíquese</w:t>
      </w:r>
      <w:r w:rsidR="0051113C" w:rsidRPr="00617FF7">
        <w:rPr>
          <w:rFonts w:ascii="Bookman Old Style" w:hAnsi="Bookman Old Style"/>
        </w:rPr>
        <w:t xml:space="preserve"> </w:t>
      </w:r>
      <w:r w:rsidR="00987604" w:rsidRPr="00D76FD2">
        <w:rPr>
          <w:rFonts w:ascii="Bookman Old Style" w:hAnsi="Bookman Old Style"/>
        </w:rPr>
        <w:t xml:space="preserve">el artículo </w:t>
      </w:r>
      <w:r w:rsidR="009278F7" w:rsidRPr="00D76FD2">
        <w:rPr>
          <w:rFonts w:ascii="Bookman Old Style" w:hAnsi="Bookman Old Style"/>
        </w:rPr>
        <w:t>5 del proyecto de resolución presentad</w:t>
      </w:r>
      <w:r w:rsidR="000B6D70">
        <w:rPr>
          <w:rFonts w:ascii="Bookman Old Style" w:hAnsi="Bookman Old Style"/>
        </w:rPr>
        <w:t>o</w:t>
      </w:r>
      <w:r w:rsidR="009278F7" w:rsidRPr="00D76FD2">
        <w:rPr>
          <w:rFonts w:ascii="Bookman Old Style" w:hAnsi="Bookman Old Style"/>
        </w:rPr>
        <w:t xml:space="preserve"> mediante </w:t>
      </w:r>
      <w:r w:rsidR="00987604" w:rsidRPr="006A2C69">
        <w:rPr>
          <w:rFonts w:ascii="Bookman Old Style" w:hAnsi="Bookman Old Style"/>
        </w:rPr>
        <w:t xml:space="preserve"> la Resolución</w:t>
      </w:r>
      <w:r w:rsidR="005206C8" w:rsidRPr="006A2C69">
        <w:rPr>
          <w:rFonts w:ascii="Bookman Old Style" w:hAnsi="Bookman Old Style"/>
        </w:rPr>
        <w:t xml:space="preserve"> CREG No. </w:t>
      </w:r>
      <w:r w:rsidR="00987604" w:rsidRPr="006A2C69">
        <w:rPr>
          <w:rFonts w:ascii="Bookman Old Style" w:hAnsi="Bookman Old Style"/>
        </w:rPr>
        <w:t xml:space="preserve">103 de 2010, así: </w:t>
      </w:r>
    </w:p>
    <w:p w:rsidR="009278F7" w:rsidRDefault="009278F7" w:rsidP="000E464A">
      <w:pPr>
        <w:ind w:left="0"/>
      </w:pPr>
    </w:p>
    <w:p w:rsidR="007B2BBE" w:rsidRPr="00C44B72" w:rsidRDefault="007B2BBE" w:rsidP="007B2BBE">
      <w:pPr>
        <w:tabs>
          <w:tab w:val="num" w:pos="1440"/>
        </w:tabs>
        <w:ind w:left="0"/>
        <w:jc w:val="both"/>
        <w:outlineLvl w:val="0"/>
        <w:rPr>
          <w:rFonts w:ascii="Bookman Old Style" w:hAnsi="Bookman Old Style"/>
          <w:i/>
          <w:szCs w:val="20"/>
        </w:rPr>
      </w:pPr>
      <w:r w:rsidRPr="00C44B72">
        <w:rPr>
          <w:rFonts w:ascii="Bookman Old Style" w:hAnsi="Bookman Old Style"/>
          <w:b/>
          <w:i/>
          <w:color w:val="000000"/>
          <w:szCs w:val="20"/>
        </w:rPr>
        <w:t>ARTÍCULO 5. METODOLOGÍA PARA EL CÁLCULO DEL CARGO MÁXIMO BASE DE COMERCIALIZACIÓN</w:t>
      </w:r>
      <w:r w:rsidRPr="00C44B72">
        <w:rPr>
          <w:rFonts w:ascii="Bookman Old Style" w:hAnsi="Bookman Old Style"/>
          <w:b/>
          <w:i/>
          <w:color w:val="000000"/>
          <w:spacing w:val="-3"/>
          <w:szCs w:val="20"/>
        </w:rPr>
        <w:t>.</w:t>
      </w:r>
      <w:r w:rsidRPr="00C44B72">
        <w:rPr>
          <w:rFonts w:ascii="Bookman Old Style" w:hAnsi="Bookman Old Style"/>
          <w:b/>
          <w:i/>
          <w:szCs w:val="20"/>
        </w:rPr>
        <w:t xml:space="preserve"> </w:t>
      </w:r>
      <w:r w:rsidRPr="00C44B72">
        <w:rPr>
          <w:rFonts w:ascii="Bookman Old Style" w:hAnsi="Bookman Old Style"/>
          <w:i/>
          <w:szCs w:val="20"/>
        </w:rPr>
        <w:t>El cargo máximo base de comercialización C</w:t>
      </w:r>
      <w:r w:rsidRPr="00C44B72">
        <w:rPr>
          <w:rFonts w:ascii="Bookman Old Style" w:hAnsi="Bookman Old Style"/>
          <w:i/>
          <w:szCs w:val="20"/>
          <w:vertAlign w:val="subscript"/>
        </w:rPr>
        <w:t>0</w:t>
      </w:r>
      <w:r w:rsidRPr="00C44B72">
        <w:rPr>
          <w:rFonts w:ascii="Bookman Old Style" w:hAnsi="Bookman Old Style"/>
          <w:i/>
          <w:szCs w:val="20"/>
        </w:rPr>
        <w:t xml:space="preserve"> estará conformado por una componente fija (Cf) y una variable (</w:t>
      </w:r>
      <w:proofErr w:type="spellStart"/>
      <w:r w:rsidRPr="00C44B72">
        <w:rPr>
          <w:rFonts w:ascii="Bookman Old Style" w:hAnsi="Bookman Old Style"/>
          <w:i/>
          <w:szCs w:val="20"/>
        </w:rPr>
        <w:t>Cv</w:t>
      </w:r>
      <w:proofErr w:type="spellEnd"/>
      <w:r w:rsidRPr="00C44B72">
        <w:rPr>
          <w:rFonts w:ascii="Bookman Old Style" w:hAnsi="Bookman Old Style"/>
          <w:i/>
          <w:szCs w:val="20"/>
        </w:rPr>
        <w:t>), las cuales se determinarán con base en los criterios contenidos en el presente artículo.</w:t>
      </w:r>
    </w:p>
    <w:p w:rsidR="007B2BBE" w:rsidRPr="00C44B72" w:rsidRDefault="007B2BBE" w:rsidP="007B2BBE">
      <w:pPr>
        <w:keepNext/>
        <w:snapToGrid w:val="0"/>
        <w:ind w:left="975"/>
        <w:jc w:val="both"/>
        <w:outlineLvl w:val="3"/>
        <w:rPr>
          <w:rFonts w:ascii="Bookman Old Style" w:hAnsi="Bookman Old Style" w:cs="Arial"/>
          <w:b/>
          <w:i/>
          <w:color w:val="000000"/>
          <w:spacing w:val="20"/>
          <w:sz w:val="20"/>
          <w:szCs w:val="20"/>
          <w:lang w:val="es-ES_tradnl"/>
        </w:rPr>
      </w:pPr>
    </w:p>
    <w:p w:rsidR="007B2BBE" w:rsidRPr="00C44B72" w:rsidRDefault="007B2BBE" w:rsidP="007B2BBE">
      <w:pPr>
        <w:keepNext/>
        <w:numPr>
          <w:ilvl w:val="0"/>
          <w:numId w:val="22"/>
        </w:numPr>
        <w:snapToGrid w:val="0"/>
        <w:ind w:left="426" w:hanging="426"/>
        <w:jc w:val="both"/>
        <w:outlineLvl w:val="3"/>
        <w:rPr>
          <w:rFonts w:ascii="Bookman Old Style" w:hAnsi="Bookman Old Style" w:cs="Arial"/>
          <w:b/>
          <w:i/>
          <w:color w:val="000000"/>
          <w:spacing w:val="20"/>
          <w:sz w:val="20"/>
          <w:szCs w:val="20"/>
          <w:lang w:val="es-ES_tradnl"/>
        </w:rPr>
      </w:pPr>
      <w:r w:rsidRPr="00C44B72">
        <w:rPr>
          <w:rFonts w:ascii="Bookman Old Style" w:hAnsi="Bookman Old Style" w:cs="Arial"/>
          <w:b/>
          <w:i/>
          <w:color w:val="000000"/>
          <w:spacing w:val="20"/>
          <w:lang w:val="es-ES_tradnl"/>
        </w:rPr>
        <w:t>Componente fijo del cargo máximo base de comercialización</w:t>
      </w:r>
      <w:r w:rsidRPr="00C44B72">
        <w:rPr>
          <w:rFonts w:ascii="Bookman Old Style" w:hAnsi="Bookman Old Style" w:cs="Arial"/>
          <w:b/>
          <w:i/>
          <w:color w:val="000000"/>
          <w:spacing w:val="20"/>
          <w:sz w:val="20"/>
          <w:szCs w:val="20"/>
          <w:lang w:val="es-ES_tradnl"/>
        </w:rPr>
        <w:t xml:space="preserve"> (Cf):</w:t>
      </w:r>
    </w:p>
    <w:p w:rsidR="007B2BBE" w:rsidRPr="00C44B72" w:rsidRDefault="007B2BBE" w:rsidP="007B2BBE">
      <w:pPr>
        <w:ind w:hanging="975"/>
        <w:jc w:val="both"/>
        <w:rPr>
          <w:rFonts w:ascii="Bookman Old Style" w:hAnsi="Bookman Old Style"/>
          <w:i/>
        </w:rPr>
      </w:pPr>
    </w:p>
    <w:p w:rsidR="007B2BBE" w:rsidRPr="00C44B72" w:rsidRDefault="007B2BBE" w:rsidP="007B2BBE">
      <w:pPr>
        <w:ind w:left="0"/>
        <w:jc w:val="both"/>
        <w:rPr>
          <w:rFonts w:ascii="Bookman Old Style" w:hAnsi="Bookman Old Style"/>
          <w:i/>
        </w:rPr>
      </w:pPr>
      <w:r w:rsidRPr="00C44B72">
        <w:rPr>
          <w:rFonts w:ascii="Bookman Old Style" w:hAnsi="Bookman Old Style"/>
          <w:i/>
        </w:rPr>
        <w:t>El componente fijo de comercialización se calculará a partir de la siguiente fórmula:</w:t>
      </w:r>
    </w:p>
    <w:p w:rsidR="007B2BBE" w:rsidRDefault="007B2BBE" w:rsidP="007B2BBE">
      <w:pPr>
        <w:ind w:left="284"/>
        <w:jc w:val="both"/>
        <w:rPr>
          <w:rFonts w:ascii="Bookman Old Style" w:hAnsi="Bookman Old Style"/>
          <w:i/>
        </w:rPr>
      </w:pPr>
    </w:p>
    <w:p w:rsidR="00B4547B" w:rsidRPr="00C44B72" w:rsidRDefault="00B4547B" w:rsidP="007B2BBE">
      <w:pPr>
        <w:ind w:left="284"/>
        <w:jc w:val="both"/>
        <w:rPr>
          <w:rFonts w:ascii="Bookman Old Style" w:hAnsi="Bookman Old Style"/>
          <w:i/>
        </w:rPr>
      </w:pPr>
    </w:p>
    <w:p w:rsidR="007B2BBE" w:rsidRPr="00C44B72" w:rsidRDefault="00A71287" w:rsidP="007B2BBE">
      <w:pPr>
        <w:ind w:left="284"/>
        <w:jc w:val="center"/>
        <w:rPr>
          <w:rFonts w:ascii="Bookman Old Style" w:hAnsi="Bookman Old Style"/>
          <w:i/>
        </w:rPr>
      </w:pPr>
      <m:oMathPara>
        <m:oMath>
          <m:sSub>
            <m:sSubPr>
              <m:ctrlPr>
                <w:rPr>
                  <w:rFonts w:ascii="Cambria Math" w:hAnsi="Cambria Math"/>
                  <w:i/>
                  <w:lang w:val="es-ES_tradnl"/>
                </w:rPr>
              </m:ctrlPr>
            </m:sSubPr>
            <m:e>
              <m:r>
                <w:rPr>
                  <w:rFonts w:ascii="Cambria Math" w:hAnsi="Cambria Math"/>
                </w:rPr>
                <m:t>Cf</m:t>
              </m:r>
            </m:e>
            <m:sub>
              <m:r>
                <w:rPr>
                  <w:rFonts w:ascii="Cambria Math" w:hAnsi="Cambria Math"/>
                </w:rPr>
                <m:t>o</m:t>
              </m:r>
            </m:sub>
          </m:sSub>
          <m:r>
            <w:rPr>
              <w:rFonts w:ascii="Cambria Math" w:hAnsi="Cambria Math"/>
            </w:rPr>
            <m:t>=</m:t>
          </m:r>
          <m:f>
            <m:fPr>
              <m:ctrlPr>
                <w:rPr>
                  <w:rFonts w:ascii="Cambria Math" w:hAnsi="Cambria Math"/>
                  <w:i/>
                  <w:lang w:val="es-ES_tradnl"/>
                </w:rPr>
              </m:ctrlPr>
            </m:fPr>
            <m:num>
              <m:r>
                <w:rPr>
                  <w:rFonts w:ascii="Cambria Math" w:hAnsi="Cambria Math"/>
                </w:rPr>
                <m:t>A</m:t>
              </m:r>
              <m:r>
                <w:rPr>
                  <w:rFonts w:ascii="Cambria Math" w:hAnsi="Cambria Math"/>
                </w:rPr>
                <m:t>OM+DEP</m:t>
              </m:r>
            </m:num>
            <m:den>
              <m:r>
                <w:rPr>
                  <w:rFonts w:ascii="Cambria Math" w:hAnsi="Cambria Math"/>
                </w:rPr>
                <m:t>Facturas</m:t>
              </m:r>
            </m:den>
          </m:f>
        </m:oMath>
      </m:oMathPara>
    </w:p>
    <w:p w:rsidR="007B2BBE" w:rsidRPr="00C44B72" w:rsidRDefault="007B2BBE" w:rsidP="007B2BBE">
      <w:pPr>
        <w:keepNext/>
        <w:tabs>
          <w:tab w:val="left" w:pos="708"/>
        </w:tabs>
        <w:ind w:left="284"/>
        <w:jc w:val="both"/>
        <w:outlineLvl w:val="0"/>
        <w:rPr>
          <w:rFonts w:ascii="Bookman Old Style" w:hAnsi="Bookman Old Style"/>
          <w:i/>
          <w:szCs w:val="20"/>
        </w:rPr>
      </w:pPr>
    </w:p>
    <w:p w:rsidR="007B2BBE" w:rsidRPr="00C44B72" w:rsidRDefault="007B2BBE" w:rsidP="007B2BBE">
      <w:pPr>
        <w:ind w:left="0"/>
        <w:jc w:val="both"/>
        <w:rPr>
          <w:rFonts w:ascii="Bookman Old Style" w:hAnsi="Bookman Old Style"/>
          <w:i/>
        </w:rPr>
      </w:pPr>
      <w:r w:rsidRPr="00C44B72">
        <w:rPr>
          <w:rFonts w:ascii="Bookman Old Style" w:hAnsi="Bookman Old Style"/>
          <w:i/>
        </w:rPr>
        <w:t>Donde,</w:t>
      </w:r>
    </w:p>
    <w:p w:rsidR="007B2BBE" w:rsidRDefault="007B2BBE" w:rsidP="007B2BBE">
      <w:pPr>
        <w:jc w:val="both"/>
        <w:rPr>
          <w:rFonts w:ascii="Bookman Old Style" w:hAnsi="Bookman Old Style"/>
          <w:i/>
        </w:rPr>
      </w:pPr>
    </w:p>
    <w:p w:rsidR="00B048E7" w:rsidRDefault="00B048E7" w:rsidP="007B2BBE">
      <w:pPr>
        <w:jc w:val="both"/>
        <w:rPr>
          <w:rFonts w:ascii="Bookman Old Style" w:hAnsi="Bookman Old Style"/>
          <w:i/>
        </w:rPr>
      </w:pPr>
    </w:p>
    <w:p w:rsidR="00B4547B" w:rsidRPr="00C44B72" w:rsidRDefault="00B4547B" w:rsidP="007B2BBE">
      <w:pPr>
        <w:jc w:val="both"/>
        <w:rPr>
          <w:rFonts w:ascii="Bookman Old Style" w:hAnsi="Bookman Old Style"/>
          <w:i/>
        </w:rPr>
      </w:pPr>
    </w:p>
    <w:tbl>
      <w:tblPr>
        <w:tblStyle w:val="Tablaconcuadrcula"/>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6"/>
        <w:gridCol w:w="7479"/>
      </w:tblGrid>
      <w:tr w:rsidR="007B2BBE" w:rsidRPr="00C44B72" w:rsidTr="00C44B72">
        <w:tc>
          <w:tcPr>
            <w:tcW w:w="1526" w:type="dxa"/>
            <w:hideMark/>
          </w:tcPr>
          <w:p w:rsidR="007B2BBE" w:rsidRPr="00C44B72" w:rsidRDefault="007B2BBE" w:rsidP="007B2BBE">
            <w:pPr>
              <w:ind w:left="0"/>
              <w:jc w:val="both"/>
              <w:rPr>
                <w:rFonts w:ascii="Bookman Old Style" w:hAnsi="Bookman Old Style"/>
                <w:i/>
              </w:rPr>
            </w:pPr>
            <w:proofErr w:type="spellStart"/>
            <w:r w:rsidRPr="00C44B72">
              <w:rPr>
                <w:rFonts w:ascii="Bookman Old Style" w:hAnsi="Bookman Old Style"/>
                <w:i/>
                <w:sz w:val="28"/>
              </w:rPr>
              <w:t>Cf</w:t>
            </w:r>
            <w:r w:rsidRPr="00C44B72">
              <w:rPr>
                <w:rFonts w:ascii="Bookman Old Style" w:hAnsi="Bookman Old Style"/>
                <w:i/>
                <w:sz w:val="28"/>
                <w:vertAlign w:val="subscript"/>
              </w:rPr>
              <w:t>o</w:t>
            </w:r>
            <w:proofErr w:type="spellEnd"/>
            <w:r w:rsidRPr="00C44B72">
              <w:rPr>
                <w:rFonts w:ascii="Bookman Old Style" w:hAnsi="Bookman Old Style"/>
                <w:i/>
                <w:sz w:val="28"/>
              </w:rPr>
              <w:t>:</w:t>
            </w:r>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Componente fijo del cargo máximo base de comercialización, expresado en $/factura de la Fecha Base.</w:t>
            </w:r>
          </w:p>
          <w:p w:rsidR="007B2BBE" w:rsidRPr="00C44B72" w:rsidRDefault="007B2BBE" w:rsidP="007B2BBE">
            <w:pPr>
              <w:ind w:left="0"/>
              <w:jc w:val="both"/>
              <w:rPr>
                <w:rFonts w:ascii="Bookman Old Style" w:hAnsi="Bookman Old Style"/>
                <w:i/>
              </w:rPr>
            </w:pPr>
          </w:p>
        </w:tc>
      </w:tr>
      <w:tr w:rsidR="007B2BBE" w:rsidRPr="00C44B72" w:rsidTr="00C44B72">
        <w:tc>
          <w:tcPr>
            <w:tcW w:w="1526" w:type="dxa"/>
            <w:hideMark/>
          </w:tcPr>
          <w:p w:rsidR="007B2BBE" w:rsidRPr="00C44B72" w:rsidRDefault="007B2BBE" w:rsidP="007B2BBE">
            <w:pPr>
              <w:ind w:left="0"/>
              <w:jc w:val="both"/>
              <w:rPr>
                <w:rFonts w:ascii="Bookman Old Style" w:hAnsi="Bookman Old Style"/>
                <w:i/>
              </w:rPr>
            </w:pPr>
            <w:r w:rsidRPr="00C44B72">
              <w:rPr>
                <w:rFonts w:ascii="Bookman Old Style" w:hAnsi="Bookman Old Style"/>
                <w:i/>
              </w:rPr>
              <w:t>AOM:</w:t>
            </w:r>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Gastos anuales eficientes de Administración, Operación y Mantenimiento relacionados con la actividad de comercialización de gas combustible, resultantes de aplicar la metodología establecida en el Capítulo III de la presente Resolución.</w:t>
            </w:r>
          </w:p>
          <w:p w:rsidR="007B2BBE" w:rsidRPr="00C44B72" w:rsidRDefault="007B2BBE" w:rsidP="007B2BBE">
            <w:pPr>
              <w:ind w:left="0"/>
              <w:jc w:val="both"/>
              <w:rPr>
                <w:rFonts w:ascii="Bookman Old Style" w:hAnsi="Bookman Old Style"/>
                <w:i/>
              </w:rPr>
            </w:pPr>
          </w:p>
        </w:tc>
      </w:tr>
      <w:tr w:rsidR="007B2BBE" w:rsidRPr="00C44B72" w:rsidTr="00C44B72">
        <w:tc>
          <w:tcPr>
            <w:tcW w:w="1526" w:type="dxa"/>
            <w:hideMark/>
          </w:tcPr>
          <w:p w:rsidR="007B2BBE" w:rsidRPr="00C44B72" w:rsidRDefault="007B2BBE" w:rsidP="007B2BBE">
            <w:pPr>
              <w:ind w:left="0"/>
              <w:jc w:val="both"/>
              <w:rPr>
                <w:rFonts w:ascii="Bookman Old Style" w:hAnsi="Bookman Old Style"/>
                <w:i/>
              </w:rPr>
            </w:pPr>
            <w:r w:rsidRPr="00C44B72">
              <w:rPr>
                <w:rFonts w:ascii="Bookman Old Style" w:hAnsi="Bookman Old Style"/>
                <w:i/>
              </w:rPr>
              <w:t>DEP:</w:t>
            </w:r>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Depreciación anual de las inversiones en equipos de cómputo, paquetes computacionales y demás activos atribuibles a la actividad de Comercialización.</w:t>
            </w:r>
          </w:p>
          <w:p w:rsidR="007B2BBE" w:rsidRPr="00C44B72" w:rsidRDefault="007B2BBE" w:rsidP="007B2BBE">
            <w:pPr>
              <w:ind w:left="0"/>
              <w:jc w:val="both"/>
              <w:rPr>
                <w:rFonts w:ascii="Bookman Old Style" w:hAnsi="Bookman Old Style"/>
                <w:i/>
              </w:rPr>
            </w:pPr>
          </w:p>
        </w:tc>
      </w:tr>
      <w:tr w:rsidR="007B2BBE" w:rsidRPr="00C44B72" w:rsidTr="00C44B72">
        <w:tc>
          <w:tcPr>
            <w:tcW w:w="1526" w:type="dxa"/>
            <w:hideMark/>
          </w:tcPr>
          <w:p w:rsidR="007B2BBE" w:rsidRPr="00C44B72" w:rsidRDefault="007B2BBE" w:rsidP="007B2BBE">
            <w:pPr>
              <w:ind w:left="0"/>
              <w:jc w:val="both"/>
              <w:rPr>
                <w:rFonts w:ascii="Bookman Old Style" w:hAnsi="Bookman Old Style"/>
                <w:i/>
              </w:rPr>
            </w:pPr>
            <w:r w:rsidRPr="00C44B72">
              <w:rPr>
                <w:rFonts w:ascii="Bookman Old Style" w:hAnsi="Bookman Old Style"/>
                <w:i/>
              </w:rPr>
              <w:t>Facturas:</w:t>
            </w:r>
          </w:p>
        </w:tc>
        <w:tc>
          <w:tcPr>
            <w:tcW w:w="7479" w:type="dxa"/>
          </w:tcPr>
          <w:p w:rsidR="007B2BBE" w:rsidRPr="00C44B72" w:rsidRDefault="007B2BBE" w:rsidP="00C44B72">
            <w:pPr>
              <w:ind w:left="0"/>
              <w:jc w:val="both"/>
              <w:rPr>
                <w:rFonts w:ascii="Bookman Old Style" w:hAnsi="Bookman Old Style"/>
                <w:i/>
              </w:rPr>
            </w:pPr>
            <w:r w:rsidRPr="00C44B72">
              <w:rPr>
                <w:rFonts w:ascii="Bookman Old Style" w:hAnsi="Bookman Old Style"/>
                <w:i/>
              </w:rPr>
              <w:t>Número de facturas del año para el cual se tomaron los parámetros de cálculo de los componentes anteriores, relacionadas exclusivamente con la actividad de comercialización de gas combustible.</w:t>
            </w:r>
          </w:p>
        </w:tc>
      </w:tr>
    </w:tbl>
    <w:p w:rsidR="007B2BBE" w:rsidRPr="00C44B72" w:rsidRDefault="007B2BBE" w:rsidP="007B2BBE">
      <w:pPr>
        <w:ind w:left="1418" w:hanging="1414"/>
        <w:jc w:val="both"/>
        <w:rPr>
          <w:rFonts w:ascii="Bookman Old Style" w:hAnsi="Bookman Old Style"/>
          <w:i/>
        </w:rPr>
      </w:pPr>
      <w:r w:rsidRPr="00C44B72">
        <w:rPr>
          <w:rFonts w:ascii="Bookman Old Style" w:hAnsi="Bookman Old Style"/>
          <w:i/>
        </w:rPr>
        <w:tab/>
      </w:r>
    </w:p>
    <w:p w:rsidR="007B2BBE" w:rsidRPr="00C44B72" w:rsidRDefault="007B2BBE" w:rsidP="007B2BBE">
      <w:pPr>
        <w:keepNext/>
        <w:numPr>
          <w:ilvl w:val="0"/>
          <w:numId w:val="22"/>
        </w:numPr>
        <w:snapToGrid w:val="0"/>
        <w:ind w:left="426" w:hanging="426"/>
        <w:jc w:val="both"/>
        <w:outlineLvl w:val="3"/>
        <w:rPr>
          <w:rFonts w:ascii="Bookman Old Style" w:hAnsi="Bookman Old Style" w:cs="Arial"/>
          <w:b/>
          <w:i/>
          <w:color w:val="000000"/>
          <w:spacing w:val="20"/>
          <w:lang w:val="es-ES_tradnl"/>
        </w:rPr>
      </w:pPr>
      <w:r w:rsidRPr="00C44B72">
        <w:rPr>
          <w:rFonts w:ascii="Bookman Old Style" w:hAnsi="Bookman Old Style" w:cs="Arial"/>
          <w:b/>
          <w:i/>
          <w:color w:val="000000"/>
          <w:spacing w:val="20"/>
          <w:lang w:val="es-ES_tradnl"/>
        </w:rPr>
        <w:t>Componente variable del cargo máximo base de comercialización (</w:t>
      </w:r>
      <w:proofErr w:type="spellStart"/>
      <w:r w:rsidRPr="00C44B72">
        <w:rPr>
          <w:rFonts w:ascii="Bookman Old Style" w:hAnsi="Bookman Old Style" w:cs="Arial"/>
          <w:b/>
          <w:i/>
          <w:color w:val="000000"/>
          <w:spacing w:val="20"/>
          <w:lang w:val="es-ES_tradnl"/>
        </w:rPr>
        <w:t>Cv</w:t>
      </w:r>
      <w:proofErr w:type="spellEnd"/>
      <w:r w:rsidRPr="00C44B72">
        <w:rPr>
          <w:rFonts w:ascii="Bookman Old Style" w:hAnsi="Bookman Old Style" w:cs="Arial"/>
          <w:b/>
          <w:i/>
          <w:color w:val="000000"/>
          <w:spacing w:val="20"/>
          <w:lang w:val="es-ES_tradnl"/>
        </w:rPr>
        <w:t>)</w:t>
      </w:r>
    </w:p>
    <w:p w:rsidR="007B2BBE" w:rsidRPr="00C44B72" w:rsidRDefault="007B2BBE" w:rsidP="007B2BBE">
      <w:pPr>
        <w:jc w:val="both"/>
        <w:rPr>
          <w:rFonts w:ascii="Bookman Old Style" w:hAnsi="Bookman Old Style"/>
          <w:b/>
          <w:i/>
        </w:rPr>
      </w:pPr>
    </w:p>
    <w:p w:rsidR="007B2BBE" w:rsidRDefault="007B2BBE" w:rsidP="007B2BBE">
      <w:pPr>
        <w:ind w:left="0"/>
        <w:jc w:val="both"/>
        <w:rPr>
          <w:rFonts w:ascii="Bookman Old Style" w:hAnsi="Bookman Old Style"/>
          <w:i/>
        </w:rPr>
      </w:pPr>
      <w:r w:rsidRPr="00C44B72">
        <w:rPr>
          <w:rFonts w:ascii="Bookman Old Style" w:hAnsi="Bookman Old Style"/>
          <w:i/>
        </w:rPr>
        <w:t>El componente variable de comercialización se calculará a partir de la siguiente fórmula:</w:t>
      </w:r>
    </w:p>
    <w:p w:rsidR="00B4547B" w:rsidRPr="00C44B72" w:rsidRDefault="00B4547B" w:rsidP="007B2BBE">
      <w:pPr>
        <w:ind w:left="0"/>
        <w:jc w:val="both"/>
        <w:rPr>
          <w:rFonts w:ascii="Bookman Old Style" w:hAnsi="Bookman Old Style"/>
          <w:i/>
        </w:rPr>
      </w:pPr>
    </w:p>
    <w:p w:rsidR="007B2BBE" w:rsidRDefault="007B2BBE" w:rsidP="007B2BBE">
      <w:pPr>
        <w:ind w:left="0"/>
        <w:jc w:val="both"/>
        <w:rPr>
          <w:rFonts w:ascii="Bookman Old Style" w:hAnsi="Bookman Old Style"/>
          <w:i/>
        </w:rPr>
      </w:pPr>
    </w:p>
    <w:p w:rsidR="00E85FB8" w:rsidRPr="002A178C" w:rsidRDefault="00A71287" w:rsidP="007B2BBE">
      <w:pPr>
        <w:ind w:left="0"/>
        <w:jc w:val="both"/>
        <w:rPr>
          <w:rFonts w:ascii="Bookman Old Style" w:hAnsi="Bookman Old Style"/>
          <w:i/>
          <w:sz w:val="28"/>
        </w:rPr>
      </w:pPr>
      <m:oMathPara>
        <m:oMath>
          <m:sSub>
            <m:sSubPr>
              <m:ctrlPr>
                <w:rPr>
                  <w:rFonts w:ascii="Cambria Math" w:hAnsi="Cambria Math"/>
                  <w:i/>
                  <w:sz w:val="18"/>
                </w:rPr>
              </m:ctrlPr>
            </m:sSubPr>
            <m:e>
              <m:r>
                <w:rPr>
                  <w:rFonts w:ascii="Cambria Math" w:hAnsi="Cambria Math"/>
                  <w:sz w:val="18"/>
                </w:rPr>
                <m:t>Cv</m:t>
              </m:r>
            </m:e>
            <m:sub>
              <m:r>
                <w:rPr>
                  <w:rFonts w:ascii="Cambria Math" w:hAnsi="Cambria Math"/>
                  <w:sz w:val="18"/>
                </w:rPr>
                <m:t>m</m:t>
              </m:r>
            </m:sub>
          </m:sSub>
          <m:r>
            <w:rPr>
              <w:rFonts w:ascii="Cambria Math" w:hAnsi="Cambria Math"/>
              <w:sz w:val="18"/>
            </w:rPr>
            <m:t>=</m:t>
          </m:r>
          <m:d>
            <m:dPr>
              <m:ctrlPr>
                <w:rPr>
                  <w:rFonts w:ascii="Cambria Math" w:hAnsi="Cambria Math"/>
                  <w:i/>
                  <w:sz w:val="18"/>
                </w:rPr>
              </m:ctrlPr>
            </m:dPr>
            <m:e>
              <m:r>
                <w:rPr>
                  <w:rFonts w:ascii="Cambria Math" w:hAnsi="Cambria Math"/>
                  <w:sz w:val="18"/>
                </w:rPr>
                <m:t>MO+</m:t>
              </m:r>
              <m:sSub>
                <m:sSubPr>
                  <m:ctrlPr>
                    <w:rPr>
                      <w:rFonts w:ascii="Cambria Math" w:hAnsi="Cambria Math"/>
                      <w:i/>
                      <w:sz w:val="18"/>
                      <w:lang w:val="es-ES_tradnl"/>
                    </w:rPr>
                  </m:ctrlPr>
                </m:sSubPr>
                <m:e>
                  <m:r>
                    <w:rPr>
                      <w:rFonts w:ascii="Cambria Math" w:hAnsi="Cambria Math"/>
                      <w:sz w:val="18"/>
                    </w:rPr>
                    <m:t>R</m:t>
                  </m:r>
                </m:e>
                <m:sub>
                  <m:r>
                    <w:rPr>
                      <w:rFonts w:ascii="Cambria Math" w:hAnsi="Cambria Math"/>
                      <w:sz w:val="18"/>
                    </w:rPr>
                    <m:t>cartera</m:t>
                  </m:r>
                </m:sub>
              </m:sSub>
            </m:e>
          </m:d>
          <m:r>
            <w:rPr>
              <w:rFonts w:ascii="Cambria Math" w:hAnsi="Cambria Math"/>
              <w:sz w:val="18"/>
            </w:rPr>
            <m:t>×</m:t>
          </m:r>
          <m:d>
            <m:dPr>
              <m:ctrlPr>
                <w:rPr>
                  <w:rFonts w:ascii="Cambria Math" w:hAnsi="Cambria Math"/>
                  <w:i/>
                  <w:sz w:val="18"/>
                </w:rPr>
              </m:ctrlPr>
            </m:dPr>
            <m:e>
              <m:sSub>
                <m:sSubPr>
                  <m:ctrlPr>
                    <w:rPr>
                      <w:rFonts w:ascii="Cambria Math" w:hAnsi="Cambria Math"/>
                      <w:i/>
                      <w:sz w:val="18"/>
                      <w:lang w:val="es-ES_tradnl"/>
                    </w:rPr>
                  </m:ctrlPr>
                </m:sSubPr>
                <m:e>
                  <m:r>
                    <w:rPr>
                      <w:rFonts w:ascii="Cambria Math" w:hAnsi="Cambria Math"/>
                      <w:sz w:val="18"/>
                    </w:rPr>
                    <m:t>T</m:t>
                  </m:r>
                </m:e>
                <m:sub>
                  <m:r>
                    <w:rPr>
                      <w:rFonts w:ascii="Cambria Math" w:hAnsi="Cambria Math"/>
                      <w:sz w:val="18"/>
                    </w:rPr>
                    <m:t>m</m:t>
                  </m:r>
                </m:sub>
              </m:sSub>
              <m:r>
                <w:rPr>
                  <w:rFonts w:ascii="Cambria Math" w:hAnsi="Cambria Math"/>
                  <w:sz w:val="18"/>
                </w:rPr>
                <m:t>+</m:t>
              </m:r>
              <m:sSub>
                <m:sSubPr>
                  <m:ctrlPr>
                    <w:rPr>
                      <w:rFonts w:ascii="Cambria Math" w:hAnsi="Cambria Math"/>
                      <w:i/>
                      <w:sz w:val="18"/>
                      <w:lang w:val="es-ES_tradnl"/>
                    </w:rPr>
                  </m:ctrlPr>
                </m:sSubPr>
                <m:e>
                  <m:r>
                    <w:rPr>
                      <w:rFonts w:ascii="Cambria Math" w:hAnsi="Cambria Math"/>
                      <w:sz w:val="18"/>
                    </w:rPr>
                    <m:t>D</m:t>
                  </m:r>
                </m:e>
                <m:sub>
                  <m:r>
                    <w:rPr>
                      <w:rFonts w:ascii="Cambria Math" w:hAnsi="Cambria Math"/>
                      <w:sz w:val="18"/>
                    </w:rPr>
                    <m:t>m</m:t>
                  </m:r>
                </m:sub>
              </m:sSub>
              <m:r>
                <w:rPr>
                  <w:rFonts w:ascii="Cambria Math" w:hAnsi="Cambria Math"/>
                  <w:sz w:val="18"/>
                  <w:lang w:val="es-ES_tradnl"/>
                </w:rPr>
                <m:t>+</m:t>
              </m:r>
              <m:sSub>
                <m:sSubPr>
                  <m:ctrlPr>
                    <w:rPr>
                      <w:rFonts w:ascii="Cambria Math" w:hAnsi="Cambria Math"/>
                      <w:i/>
                      <w:sz w:val="18"/>
                    </w:rPr>
                  </m:ctrlPr>
                </m:sSubPr>
                <m:e>
                  <m:r>
                    <w:rPr>
                      <w:rFonts w:ascii="Cambria Math" w:hAnsi="Cambria Math"/>
                      <w:sz w:val="18"/>
                    </w:rPr>
                    <m:t>∝</m:t>
                  </m:r>
                </m:e>
                <m:sub>
                  <m:r>
                    <w:rPr>
                      <w:rFonts w:ascii="Cambria Math" w:hAnsi="Cambria Math"/>
                      <w:sz w:val="18"/>
                    </w:rPr>
                    <m:t>Gm</m:t>
                  </m:r>
                </m:sub>
              </m:sSub>
              <m:r>
                <w:rPr>
                  <w:rFonts w:ascii="Cambria Math" w:hAnsi="Cambria Math"/>
                  <w:sz w:val="18"/>
                </w:rPr>
                <m:t>×Gm</m:t>
              </m:r>
            </m:e>
          </m:d>
          <m:r>
            <w:rPr>
              <w:rFonts w:ascii="Cambria Math" w:hAnsi="Cambria Math"/>
              <w:sz w:val="18"/>
            </w:rPr>
            <m:t>+</m:t>
          </m:r>
          <m:d>
            <m:dPr>
              <m:ctrlPr>
                <w:rPr>
                  <w:rFonts w:ascii="Cambria Math" w:hAnsi="Cambria Math"/>
                  <w:i/>
                  <w:sz w:val="18"/>
                </w:rPr>
              </m:ctrlPr>
            </m:dPr>
            <m:e>
              <m:nary>
                <m:naryPr>
                  <m:chr m:val="∑"/>
                  <m:limLoc m:val="undOvr"/>
                  <m:ctrlPr>
                    <w:rPr>
                      <w:rFonts w:ascii="Cambria Math" w:hAnsi="Cambria Math"/>
                      <w:i/>
                      <w:sz w:val="18"/>
                    </w:rPr>
                  </m:ctrlPr>
                </m:naryPr>
                <m:sub>
                  <m:r>
                    <w:rPr>
                      <w:rFonts w:ascii="Cambria Math" w:hAnsi="Cambria Math"/>
                      <w:sz w:val="18"/>
                    </w:rPr>
                    <m:t>i=1</m:t>
                  </m:r>
                </m:sub>
                <m:sup>
                  <m:r>
                    <w:rPr>
                      <w:rFonts w:ascii="Cambria Math" w:hAnsi="Cambria Math"/>
                      <w:sz w:val="18"/>
                    </w:rPr>
                    <m:t>n</m:t>
                  </m:r>
                </m:sup>
                <m:e>
                  <m:sSub>
                    <m:sSubPr>
                      <m:ctrlPr>
                        <w:rPr>
                          <w:rFonts w:ascii="Cambria Math" w:hAnsi="Cambria Math"/>
                          <w:i/>
                          <w:sz w:val="18"/>
                        </w:rPr>
                      </m:ctrlPr>
                    </m:sSubPr>
                    <m:e>
                      <m:r>
                        <w:rPr>
                          <w:rFonts w:ascii="Cambria Math" w:hAnsi="Cambria Math"/>
                          <w:sz w:val="18"/>
                        </w:rPr>
                        <m:t>(∝</m:t>
                      </m:r>
                    </m:e>
                    <m:sub>
                      <m:sSub>
                        <m:sSubPr>
                          <m:ctrlPr>
                            <w:rPr>
                              <w:rFonts w:ascii="Cambria Math" w:hAnsi="Cambria Math"/>
                              <w:i/>
                              <w:sz w:val="18"/>
                            </w:rPr>
                          </m:ctrlPr>
                        </m:sSubPr>
                        <m:e>
                          <m:r>
                            <w:rPr>
                              <w:rFonts w:ascii="Cambria Math" w:hAnsi="Cambria Math"/>
                              <w:sz w:val="18"/>
                            </w:rPr>
                            <m:t>GmND</m:t>
                          </m:r>
                        </m:e>
                        <m:sub>
                          <m:r>
                            <w:rPr>
                              <w:rFonts w:ascii="Cambria Math" w:hAnsi="Cambria Math"/>
                              <w:sz w:val="18"/>
                            </w:rPr>
                            <m:t>n</m:t>
                          </m:r>
                        </m:sub>
                      </m:sSub>
                    </m:sub>
                  </m:sSub>
                  <m:r>
                    <w:rPr>
                      <w:rFonts w:ascii="Cambria Math" w:hAnsi="Cambria Math"/>
                      <w:sz w:val="18"/>
                    </w:rPr>
                    <m:t xml:space="preserve"> ×</m:t>
                  </m:r>
                  <m:sSub>
                    <m:sSubPr>
                      <m:ctrlPr>
                        <w:rPr>
                          <w:rFonts w:ascii="Cambria Math" w:hAnsi="Cambria Math"/>
                          <w:i/>
                          <w:sz w:val="18"/>
                        </w:rPr>
                      </m:ctrlPr>
                    </m:sSubPr>
                    <m:e>
                      <m:sSub>
                        <m:sSubPr>
                          <m:ctrlPr>
                            <w:rPr>
                              <w:rFonts w:ascii="Cambria Math" w:hAnsi="Cambria Math"/>
                              <w:i/>
                              <w:sz w:val="18"/>
                            </w:rPr>
                          </m:ctrlPr>
                        </m:sSubPr>
                        <m:e>
                          <m:r>
                            <w:rPr>
                              <w:rFonts w:ascii="Cambria Math" w:hAnsi="Cambria Math"/>
                              <w:sz w:val="18"/>
                            </w:rPr>
                            <m:t>G</m:t>
                          </m:r>
                        </m:e>
                        <m:sub>
                          <m:r>
                            <w:rPr>
                              <w:rFonts w:ascii="Cambria Math" w:hAnsi="Cambria Math"/>
                              <w:sz w:val="18"/>
                            </w:rPr>
                            <m:t>mND</m:t>
                          </m:r>
                        </m:sub>
                      </m:sSub>
                    </m:e>
                    <m:sub>
                      <m:r>
                        <w:rPr>
                          <w:rFonts w:ascii="Cambria Math" w:hAnsi="Cambria Math"/>
                          <w:sz w:val="18"/>
                        </w:rPr>
                        <m:t>n</m:t>
                      </m:r>
                    </m:sub>
                  </m:sSub>
                  <m:sSub>
                    <m:sSubPr>
                      <m:ctrlPr>
                        <w:rPr>
                          <w:rFonts w:ascii="Cambria Math" w:hAnsi="Cambria Math"/>
                          <w:i/>
                          <w:sz w:val="18"/>
                        </w:rPr>
                      </m:ctrlPr>
                    </m:sSubPr>
                    <m:e>
                      <m:r>
                        <w:rPr>
                          <w:rFonts w:ascii="Cambria Math" w:hAnsi="Cambria Math"/>
                          <w:sz w:val="18"/>
                        </w:rPr>
                        <m:t>×(MO</m:t>
                      </m:r>
                    </m:e>
                    <m:sub>
                      <m:sSub>
                        <m:sSubPr>
                          <m:ctrlPr>
                            <w:rPr>
                              <w:rFonts w:ascii="Cambria Math" w:hAnsi="Cambria Math"/>
                              <w:i/>
                              <w:sz w:val="18"/>
                            </w:rPr>
                          </m:ctrlPr>
                        </m:sSubPr>
                        <m:e>
                          <m:sSub>
                            <m:sSubPr>
                              <m:ctrlPr>
                                <w:rPr>
                                  <w:rFonts w:ascii="Cambria Math" w:hAnsi="Cambria Math"/>
                                  <w:i/>
                                  <w:sz w:val="18"/>
                                </w:rPr>
                              </m:ctrlPr>
                            </m:sSubPr>
                            <m:e>
                              <m:r>
                                <w:rPr>
                                  <w:rFonts w:ascii="Cambria Math" w:hAnsi="Cambria Math"/>
                                  <w:sz w:val="18"/>
                                </w:rPr>
                                <m:t>G</m:t>
                              </m:r>
                            </m:e>
                            <m:sub>
                              <m:r>
                                <w:rPr>
                                  <w:rFonts w:ascii="Cambria Math" w:hAnsi="Cambria Math"/>
                                  <w:sz w:val="18"/>
                                </w:rPr>
                                <m:t>mND</m:t>
                              </m:r>
                            </m:sub>
                          </m:sSub>
                        </m:e>
                        <m:sub>
                          <m:r>
                            <w:rPr>
                              <w:rFonts w:ascii="Cambria Math" w:hAnsi="Cambria Math"/>
                              <w:sz w:val="18"/>
                            </w:rPr>
                            <m:t>n</m:t>
                          </m:r>
                        </m:sub>
                      </m:sSub>
                    </m:sub>
                  </m:sSub>
                  <m:r>
                    <w:rPr>
                      <w:rFonts w:ascii="Cambria Math" w:hAnsi="Cambria Math"/>
                      <w:sz w:val="18"/>
                    </w:rPr>
                    <m:t>+</m:t>
                  </m:r>
                  <m:sSub>
                    <m:sSubPr>
                      <m:ctrlPr>
                        <w:rPr>
                          <w:rFonts w:ascii="Cambria Math" w:hAnsi="Cambria Math"/>
                          <w:i/>
                          <w:sz w:val="18"/>
                        </w:rPr>
                      </m:ctrlPr>
                    </m:sSubPr>
                    <m:e>
                      <m:r>
                        <w:rPr>
                          <w:rFonts w:ascii="Cambria Math" w:hAnsi="Cambria Math"/>
                          <w:sz w:val="18"/>
                        </w:rPr>
                        <m:t>R</m:t>
                      </m:r>
                    </m:e>
                    <m:sub>
                      <m:r>
                        <w:rPr>
                          <w:rFonts w:ascii="Cambria Math" w:hAnsi="Cambria Math"/>
                          <w:sz w:val="18"/>
                        </w:rPr>
                        <m:t xml:space="preserve">cartera </m:t>
                      </m:r>
                    </m:sub>
                  </m:sSub>
                  <m:r>
                    <w:rPr>
                      <w:rFonts w:ascii="Cambria Math" w:hAnsi="Cambria Math"/>
                      <w:sz w:val="18"/>
                    </w:rPr>
                    <m:t xml:space="preserve">)) </m:t>
                  </m:r>
                </m:e>
              </m:nary>
            </m:e>
          </m:d>
        </m:oMath>
      </m:oMathPara>
    </w:p>
    <w:p w:rsidR="007E3EFF" w:rsidRPr="00C44B72" w:rsidRDefault="007E3EFF" w:rsidP="007B2BBE">
      <w:pPr>
        <w:jc w:val="both"/>
        <w:rPr>
          <w:rFonts w:ascii="Bookman Old Style" w:hAnsi="Bookman Old Style"/>
          <w:i/>
        </w:rPr>
      </w:pPr>
    </w:p>
    <w:p w:rsidR="00B4547B" w:rsidRDefault="00B4547B" w:rsidP="007E3EFF">
      <w:pPr>
        <w:ind w:left="0"/>
        <w:jc w:val="both"/>
        <w:rPr>
          <w:rFonts w:ascii="Bookman Old Style" w:hAnsi="Bookman Old Style"/>
          <w:i/>
        </w:rPr>
      </w:pPr>
    </w:p>
    <w:p w:rsidR="007B2BBE" w:rsidRPr="00C44B72" w:rsidRDefault="007B2BBE" w:rsidP="007E3EFF">
      <w:pPr>
        <w:ind w:left="0"/>
        <w:jc w:val="both"/>
        <w:rPr>
          <w:rFonts w:ascii="Bookman Old Style" w:hAnsi="Bookman Old Style"/>
          <w:i/>
        </w:rPr>
      </w:pPr>
      <w:proofErr w:type="spellStart"/>
      <w:r w:rsidRPr="00C44B72">
        <w:rPr>
          <w:rFonts w:ascii="Bookman Old Style" w:hAnsi="Bookman Old Style"/>
          <w:i/>
        </w:rPr>
        <w:t>Donde</w:t>
      </w:r>
      <w:proofErr w:type="spellEnd"/>
      <w:r w:rsidR="007E3EFF" w:rsidRPr="00C44B72">
        <w:rPr>
          <w:rFonts w:ascii="Bookman Old Style" w:hAnsi="Bookman Old Style"/>
          <w:i/>
        </w:rPr>
        <w:t>:</w:t>
      </w:r>
    </w:p>
    <w:p w:rsidR="007B2BBE" w:rsidRPr="00C44B72" w:rsidRDefault="007B2BBE" w:rsidP="007B2BBE">
      <w:pPr>
        <w:jc w:val="both"/>
        <w:rPr>
          <w:rFonts w:ascii="Bookman Old Style" w:hAnsi="Bookman Old Style"/>
          <w:i/>
        </w:rPr>
      </w:pPr>
    </w:p>
    <w:p w:rsidR="007E3EFF" w:rsidRPr="00C44B72" w:rsidRDefault="007E3EFF" w:rsidP="007B2BBE">
      <w:pPr>
        <w:jc w:val="both"/>
        <w:rPr>
          <w:rFonts w:ascii="Bookman Old Style" w:hAnsi="Bookman Old Style"/>
          <w:i/>
        </w:rPr>
      </w:pPr>
    </w:p>
    <w:tbl>
      <w:tblPr>
        <w:tblStyle w:val="Tablaconcuadrcula"/>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6"/>
        <w:gridCol w:w="7479"/>
      </w:tblGrid>
      <w:tr w:rsidR="007B2BBE" w:rsidRPr="00C44B72" w:rsidTr="007B2BBE">
        <w:tc>
          <w:tcPr>
            <w:tcW w:w="1526" w:type="dxa"/>
            <w:hideMark/>
          </w:tcPr>
          <w:p w:rsidR="007B2BBE" w:rsidRPr="00974557" w:rsidRDefault="007B2BBE" w:rsidP="00AC20FB">
            <w:pPr>
              <w:ind w:left="0"/>
              <w:jc w:val="both"/>
              <w:rPr>
                <w:rFonts w:ascii="Bookman Old Style" w:hAnsi="Bookman Old Style"/>
                <w:i/>
              </w:rPr>
            </w:pPr>
            <w:proofErr w:type="spellStart"/>
            <w:r w:rsidRPr="00974557">
              <w:rPr>
                <w:rFonts w:ascii="Bookman Old Style" w:hAnsi="Bookman Old Style"/>
                <w:i/>
              </w:rPr>
              <w:t>Cv</w:t>
            </w:r>
            <w:r w:rsidRPr="00974557">
              <w:rPr>
                <w:rFonts w:ascii="Bookman Old Style" w:hAnsi="Bookman Old Style"/>
                <w:i/>
                <w:vertAlign w:val="subscript"/>
              </w:rPr>
              <w:t>m</w:t>
            </w:r>
            <w:proofErr w:type="spellEnd"/>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Componente variable del cargo máximo base de comercialización expresado en $/m</w:t>
            </w:r>
            <w:r w:rsidRPr="00C44B72">
              <w:rPr>
                <w:rFonts w:ascii="Bookman Old Style" w:hAnsi="Bookman Old Style"/>
                <w:i/>
                <w:vertAlign w:val="superscript"/>
              </w:rPr>
              <w:t>3</w:t>
            </w:r>
            <w:r w:rsidRPr="00C44B72">
              <w:rPr>
                <w:rFonts w:ascii="Bookman Old Style" w:hAnsi="Bookman Old Style"/>
                <w:i/>
              </w:rPr>
              <w:t xml:space="preserve"> aplicable en el mes m.</w:t>
            </w:r>
          </w:p>
          <w:p w:rsidR="007B2BBE" w:rsidRPr="00C44B72" w:rsidRDefault="007B2BBE" w:rsidP="007B2BBE">
            <w:pPr>
              <w:ind w:left="0"/>
              <w:jc w:val="both"/>
              <w:rPr>
                <w:rFonts w:ascii="Bookman Old Style" w:hAnsi="Bookman Old Style"/>
                <w:i/>
              </w:rPr>
            </w:pPr>
          </w:p>
        </w:tc>
      </w:tr>
      <w:tr w:rsidR="007B2BBE" w:rsidRPr="00C44B72" w:rsidTr="007B2BBE">
        <w:tc>
          <w:tcPr>
            <w:tcW w:w="1526" w:type="dxa"/>
            <w:hideMark/>
          </w:tcPr>
          <w:p w:rsidR="007B2BBE" w:rsidRPr="00974557" w:rsidRDefault="00C44B72" w:rsidP="007B2BBE">
            <w:pPr>
              <w:ind w:left="0"/>
              <w:jc w:val="both"/>
              <w:rPr>
                <w:rFonts w:ascii="Bookman Old Style" w:hAnsi="Bookman Old Style"/>
                <w:i/>
              </w:rPr>
            </w:pPr>
            <m:oMathPara>
              <m:oMathParaPr>
                <m:jc m:val="left"/>
              </m:oMathParaPr>
              <m:oMath>
                <m:r>
                  <w:rPr>
                    <w:rFonts w:ascii="Cambria Math" w:hAnsi="Cambria Math"/>
                  </w:rPr>
                  <m:t>MO</m:t>
                </m:r>
              </m:oMath>
            </m:oMathPara>
          </w:p>
        </w:tc>
        <w:tc>
          <w:tcPr>
            <w:tcW w:w="7479" w:type="dxa"/>
          </w:tcPr>
          <w:p w:rsidR="007B2BBE" w:rsidRPr="00C44B72" w:rsidRDefault="007B2BBE" w:rsidP="00C44B72">
            <w:pPr>
              <w:ind w:left="0"/>
              <w:jc w:val="both"/>
              <w:rPr>
                <w:rFonts w:ascii="Bookman Old Style" w:hAnsi="Bookman Old Style"/>
                <w:i/>
              </w:rPr>
            </w:pPr>
            <w:r w:rsidRPr="00C44B72">
              <w:rPr>
                <w:rFonts w:ascii="Bookman Old Style" w:hAnsi="Bookman Old Style"/>
                <w:i/>
              </w:rPr>
              <w:t>Margen operacional de acuerdo con lo establecido en el Artículo 6 de la presente Resolución.</w:t>
            </w:r>
          </w:p>
        </w:tc>
      </w:tr>
      <w:tr w:rsidR="007B2BBE" w:rsidRPr="00C44B72" w:rsidTr="004537C3">
        <w:tc>
          <w:tcPr>
            <w:tcW w:w="1526" w:type="dxa"/>
          </w:tcPr>
          <w:p w:rsidR="007B2BBE" w:rsidRPr="00974557" w:rsidRDefault="007B2BBE" w:rsidP="00AC20FB">
            <w:pPr>
              <w:ind w:left="0"/>
              <w:jc w:val="both"/>
              <w:rPr>
                <w:rFonts w:ascii="Bookman Old Style" w:hAnsi="Bookman Old Style"/>
                <w:i/>
              </w:rPr>
            </w:pPr>
          </w:p>
        </w:tc>
        <w:tc>
          <w:tcPr>
            <w:tcW w:w="7479" w:type="dxa"/>
          </w:tcPr>
          <w:p w:rsidR="007B2BBE" w:rsidRPr="00C44B72" w:rsidRDefault="007B2BBE" w:rsidP="007B2BBE">
            <w:pPr>
              <w:ind w:left="0"/>
              <w:jc w:val="both"/>
              <w:rPr>
                <w:rFonts w:ascii="Bookman Old Style" w:hAnsi="Bookman Old Style"/>
                <w:i/>
              </w:rPr>
            </w:pPr>
          </w:p>
        </w:tc>
      </w:tr>
      <w:tr w:rsidR="007B2BBE" w:rsidRPr="00C44B72" w:rsidTr="007B2BBE">
        <w:tc>
          <w:tcPr>
            <w:tcW w:w="1526" w:type="dxa"/>
            <w:hideMark/>
          </w:tcPr>
          <w:p w:rsidR="007B2BBE" w:rsidRPr="00974557" w:rsidRDefault="00A71287" w:rsidP="00AC20FB">
            <w:pPr>
              <w:ind w:left="0"/>
              <w:jc w:val="both"/>
              <w:rPr>
                <w:rFonts w:ascii="Bookman Old Style" w:hAnsi="Bookman Old Style"/>
                <w:i/>
              </w:rPr>
            </w:pPr>
            <m:oMath>
              <m:sSub>
                <m:sSubPr>
                  <m:ctrlPr>
                    <w:rPr>
                      <w:rFonts w:ascii="Cambria Math" w:hAnsi="Cambria Math"/>
                      <w:i/>
                      <w:szCs w:val="22"/>
                    </w:rPr>
                  </m:ctrlPr>
                </m:sSubPr>
                <m:e>
                  <m:r>
                    <w:rPr>
                      <w:rFonts w:ascii="Cambria Math" w:hAnsi="Cambria Math"/>
                    </w:rPr>
                    <m:t>G</m:t>
                  </m:r>
                </m:e>
                <m:sub>
                  <m:r>
                    <w:rPr>
                      <w:rFonts w:ascii="Cambria Math" w:hAnsi="Cambria Math"/>
                    </w:rPr>
                    <m:t>m</m:t>
                  </m:r>
                </m:sub>
              </m:sSub>
            </m:oMath>
            <w:r w:rsidR="007B2BBE" w:rsidRPr="00974557">
              <w:rPr>
                <w:rFonts w:ascii="Bookman Old Style" w:hAnsi="Bookman Old Style"/>
                <w:i/>
              </w:rPr>
              <w:tab/>
            </w:r>
          </w:p>
        </w:tc>
        <w:tc>
          <w:tcPr>
            <w:tcW w:w="7479" w:type="dxa"/>
          </w:tcPr>
          <w:p w:rsidR="002159B2" w:rsidRPr="00C44B72" w:rsidRDefault="007B2BBE" w:rsidP="00DD24CB">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Costo promedio unitario en $/m</w:t>
            </w:r>
            <w:r w:rsidRPr="00C44B72">
              <w:rPr>
                <w:rFonts w:ascii="Bookman Old Style" w:hAnsi="Bookman Old Style"/>
                <w:i/>
                <w:vertAlign w:val="superscript"/>
              </w:rPr>
              <w:t>3</w:t>
            </w:r>
            <w:r w:rsidRPr="00C44B72">
              <w:rPr>
                <w:rFonts w:ascii="Bookman Old Style" w:hAnsi="Bookman Old Style"/>
                <w:i/>
              </w:rPr>
              <w:t xml:space="preserve"> </w:t>
            </w:r>
            <w:r w:rsidR="004537C3" w:rsidRPr="00C44B72">
              <w:rPr>
                <w:rFonts w:ascii="Bookman Old Style" w:hAnsi="Bookman Old Style"/>
                <w:i/>
              </w:rPr>
              <w:t xml:space="preserve">correspondiente a </w:t>
            </w:r>
            <w:r w:rsidRPr="00C44B72">
              <w:rPr>
                <w:rFonts w:ascii="Bookman Old Style" w:hAnsi="Bookman Old Style"/>
                <w:i/>
              </w:rPr>
              <w:t xml:space="preserve"> las compras de </w:t>
            </w:r>
            <w:r w:rsidR="004537C3" w:rsidRPr="00C44B72">
              <w:rPr>
                <w:rFonts w:ascii="Bookman Old Style" w:hAnsi="Bookman Old Style"/>
                <w:i/>
              </w:rPr>
              <w:t xml:space="preserve">gas combustible (Gas Natural y/o Gas Metano en Depósitos de carbón y/o GLP por redes y/o aire </w:t>
            </w:r>
            <w:proofErr w:type="spellStart"/>
            <w:r w:rsidR="004537C3" w:rsidRPr="00C44B72">
              <w:rPr>
                <w:rFonts w:ascii="Bookman Old Style" w:hAnsi="Bookman Old Style"/>
                <w:i/>
              </w:rPr>
              <w:t>propanado</w:t>
            </w:r>
            <w:proofErr w:type="spellEnd"/>
            <w:r w:rsidR="004537C3" w:rsidRPr="00C44B72">
              <w:rPr>
                <w:rFonts w:ascii="Bookman Old Style" w:hAnsi="Bookman Old Style"/>
                <w:i/>
              </w:rPr>
              <w:t>)</w:t>
            </w:r>
            <w:r w:rsidRPr="00C44B72">
              <w:rPr>
                <w:rFonts w:ascii="Bookman Old Style" w:hAnsi="Bookman Old Style"/>
                <w:i/>
              </w:rPr>
              <w:t>, destinado a Usuarios Regulados, del mes m-1 de cálculo.</w:t>
            </w:r>
            <w:r w:rsidR="00DD24CB" w:rsidRPr="00C44B72">
              <w:rPr>
                <w:rFonts w:ascii="Bookman Old Style" w:hAnsi="Bookman Old Style"/>
                <w:i/>
              </w:rPr>
              <w:t xml:space="preserve">  </w:t>
            </w:r>
          </w:p>
          <w:p w:rsidR="002159B2" w:rsidRPr="00C44B72" w:rsidRDefault="002159B2" w:rsidP="00DD24CB">
            <w:pPr>
              <w:widowControl w:val="0"/>
              <w:tabs>
                <w:tab w:val="left" w:pos="1701"/>
              </w:tabs>
              <w:adjustRightInd w:val="0"/>
              <w:ind w:left="0"/>
              <w:jc w:val="both"/>
              <w:textAlignment w:val="baseline"/>
              <w:rPr>
                <w:rFonts w:ascii="Bookman Old Style" w:hAnsi="Bookman Old Style"/>
                <w:i/>
              </w:rPr>
            </w:pPr>
          </w:p>
          <w:p w:rsidR="00DD24CB" w:rsidRPr="00C44B72" w:rsidRDefault="002159B2" w:rsidP="00DD24CB">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 xml:space="preserve">Para el </w:t>
            </w:r>
            <w:r w:rsidR="004537C3" w:rsidRPr="00C44B72">
              <w:rPr>
                <w:rFonts w:ascii="Bookman Old Style" w:hAnsi="Bookman Old Style"/>
                <w:i/>
              </w:rPr>
              <w:t>caso del Gas N</w:t>
            </w:r>
            <w:r w:rsidRPr="00C44B72">
              <w:rPr>
                <w:rFonts w:ascii="Bookman Old Style" w:hAnsi="Bookman Old Style"/>
                <w:i/>
              </w:rPr>
              <w:t>atural e</w:t>
            </w:r>
            <w:r w:rsidR="00DD24CB" w:rsidRPr="00C44B72">
              <w:rPr>
                <w:rFonts w:ascii="Bookman Old Style" w:hAnsi="Bookman Old Style"/>
                <w:i/>
              </w:rPr>
              <w:t>sta variable incluye las compras que se han realizado con anterioridad a la vigencia de la Resolución CREG 089 de 2013 y a las que posterior a</w:t>
            </w:r>
            <w:r w:rsidR="00E80F0E">
              <w:rPr>
                <w:rFonts w:ascii="Bookman Old Style" w:hAnsi="Bookman Old Style"/>
                <w:i/>
              </w:rPr>
              <w:t xml:space="preserve"> la vigencia de </w:t>
            </w:r>
            <w:r w:rsidR="00DD24CB" w:rsidRPr="00C44B72">
              <w:rPr>
                <w:rFonts w:ascii="Bookman Old Style" w:hAnsi="Bookman Old Style"/>
                <w:i/>
              </w:rPr>
              <w:t xml:space="preserve"> dicha resolución se hacen p</w:t>
            </w:r>
            <w:r w:rsidRPr="00C44B72">
              <w:rPr>
                <w:rFonts w:ascii="Bookman Old Style" w:hAnsi="Bookman Old Style"/>
                <w:i/>
              </w:rPr>
              <w:t>or negociación mediante subasta</w:t>
            </w:r>
            <w:r w:rsidR="00BB2B50">
              <w:rPr>
                <w:rFonts w:ascii="Bookman Old Style" w:hAnsi="Bookman Old Style"/>
                <w:i/>
              </w:rPr>
              <w:t xml:space="preserve"> de acuerdo con el artículo 27 de esta misma </w:t>
            </w:r>
            <w:r w:rsidR="00BB2B50" w:rsidRPr="001A15CB">
              <w:rPr>
                <w:rFonts w:ascii="Bookman Old Style" w:hAnsi="Bookman Old Style"/>
                <w:i/>
              </w:rPr>
              <w:t>resolución</w:t>
            </w:r>
            <w:r w:rsidR="00CD06D4" w:rsidRPr="001A15CB">
              <w:rPr>
                <w:rFonts w:ascii="Bookman Old Style" w:hAnsi="Bookman Old Style"/>
                <w:i/>
              </w:rPr>
              <w:t xml:space="preserve"> y/o mercado secundario o campos menores</w:t>
            </w:r>
            <w:r w:rsidRPr="001A15CB">
              <w:rPr>
                <w:rFonts w:ascii="Bookman Old Style" w:hAnsi="Bookman Old Style"/>
                <w:i/>
              </w:rPr>
              <w:t>.</w:t>
            </w:r>
          </w:p>
          <w:p w:rsidR="00B048E7" w:rsidRPr="00C44B72" w:rsidRDefault="00B048E7" w:rsidP="007B2BBE">
            <w:pPr>
              <w:ind w:left="0"/>
              <w:jc w:val="both"/>
              <w:rPr>
                <w:rFonts w:ascii="Bookman Old Style" w:hAnsi="Bookman Old Style"/>
                <w:i/>
              </w:rPr>
            </w:pPr>
          </w:p>
        </w:tc>
      </w:tr>
      <w:tr w:rsidR="007B2BBE" w:rsidRPr="00C44B72" w:rsidTr="007B2BBE">
        <w:tc>
          <w:tcPr>
            <w:tcW w:w="1526" w:type="dxa"/>
            <w:hideMark/>
          </w:tcPr>
          <w:p w:rsidR="007B2BBE" w:rsidRPr="00974557" w:rsidRDefault="00A71287" w:rsidP="00AC20FB">
            <w:pPr>
              <w:ind w:left="0"/>
              <w:jc w:val="both"/>
              <w:rPr>
                <w:rFonts w:ascii="Bookman Old Style" w:hAnsi="Bookman Old Style"/>
                <w:i/>
              </w:rPr>
            </w:pPr>
            <m:oMathPara>
              <m:oMathParaPr>
                <m:jc m:val="left"/>
              </m:oMathParaPr>
              <m:oMath>
                <m:sSub>
                  <m:sSubPr>
                    <m:ctrlPr>
                      <w:rPr>
                        <w:rFonts w:ascii="Cambria Math" w:hAnsi="Cambria Math"/>
                        <w:i/>
                      </w:rPr>
                    </m:ctrlPr>
                  </m:sSubPr>
                  <m:e>
                    <m:r>
                      <w:rPr>
                        <w:rFonts w:ascii="Cambria Math" w:hAnsi="Cambria Math"/>
                      </w:rPr>
                      <m:t>T</m:t>
                    </m:r>
                  </m:e>
                  <m:sub>
                    <m:r>
                      <w:rPr>
                        <w:rFonts w:ascii="Cambria Math" w:hAnsi="Cambria Math"/>
                      </w:rPr>
                      <m:t>m</m:t>
                    </m:r>
                  </m:sub>
                </m:sSub>
              </m:oMath>
            </m:oMathPara>
          </w:p>
        </w:tc>
        <w:tc>
          <w:tcPr>
            <w:tcW w:w="7479" w:type="dxa"/>
          </w:tcPr>
          <w:p w:rsidR="00980F7B" w:rsidRDefault="007B2BBE" w:rsidP="007B2BBE">
            <w:pPr>
              <w:ind w:left="0"/>
              <w:jc w:val="both"/>
              <w:rPr>
                <w:rFonts w:ascii="Bookman Old Style" w:hAnsi="Bookman Old Style"/>
                <w:i/>
              </w:rPr>
            </w:pPr>
            <w:r w:rsidRPr="00C44B72">
              <w:rPr>
                <w:rFonts w:ascii="Bookman Old Style" w:hAnsi="Bookman Old Style"/>
                <w:i/>
              </w:rPr>
              <w:t>Costo promedio unitario en $/m</w:t>
            </w:r>
            <w:r w:rsidRPr="00C44B72">
              <w:rPr>
                <w:rFonts w:ascii="Bookman Old Style" w:hAnsi="Bookman Old Style"/>
                <w:i/>
                <w:vertAlign w:val="superscript"/>
              </w:rPr>
              <w:t>3</w:t>
            </w:r>
            <w:r w:rsidRPr="00C44B72">
              <w:rPr>
                <w:rFonts w:ascii="Bookman Old Style" w:hAnsi="Bookman Old Style"/>
                <w:i/>
              </w:rPr>
              <w:t xml:space="preserve"> del transporte de gas combustible, destinado a Usuarios Regulados, del mes m-1 de cálculo.</w:t>
            </w:r>
          </w:p>
          <w:p w:rsidR="00BB2B50" w:rsidRPr="00C44B72" w:rsidRDefault="00BB2B50" w:rsidP="007B2BBE">
            <w:pPr>
              <w:ind w:left="0"/>
              <w:jc w:val="both"/>
              <w:rPr>
                <w:rFonts w:ascii="Bookman Old Style" w:hAnsi="Bookman Old Style"/>
                <w:i/>
              </w:rPr>
            </w:pPr>
          </w:p>
        </w:tc>
      </w:tr>
      <w:tr w:rsidR="007B2BBE" w:rsidRPr="00C44B72" w:rsidTr="007B2BBE">
        <w:tc>
          <w:tcPr>
            <w:tcW w:w="1526" w:type="dxa"/>
            <w:hideMark/>
          </w:tcPr>
          <w:p w:rsidR="007B2BBE" w:rsidRPr="00974557" w:rsidRDefault="00A71287" w:rsidP="007B2BBE">
            <w:pPr>
              <w:ind w:left="0"/>
              <w:jc w:val="both"/>
              <w:rPr>
                <w:rFonts w:ascii="Bookman Old Style" w:hAnsi="Bookman Old Style"/>
                <w:i/>
              </w:rPr>
            </w:pPr>
            <m:oMathPara>
              <m:oMathParaPr>
                <m:jc m:val="left"/>
              </m:oMathParaPr>
              <m:oMath>
                <m:sSub>
                  <m:sSubPr>
                    <m:ctrlPr>
                      <w:rPr>
                        <w:rFonts w:ascii="Cambria Math" w:hAnsi="Cambria Math"/>
                        <w:i/>
                      </w:rPr>
                    </m:ctrlPr>
                  </m:sSubPr>
                  <m:e>
                    <m:r>
                      <w:rPr>
                        <w:rFonts w:ascii="Cambria Math" w:hAnsi="Cambria Math"/>
                      </w:rPr>
                      <m:t>D</m:t>
                    </m:r>
                  </m:e>
                  <m:sub>
                    <m:r>
                      <w:rPr>
                        <w:rFonts w:ascii="Cambria Math" w:hAnsi="Cambria Math"/>
                      </w:rPr>
                      <m:t>m</m:t>
                    </m:r>
                  </m:sub>
                </m:sSub>
              </m:oMath>
            </m:oMathPara>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Costo unitario en $/m</w:t>
            </w:r>
            <w:r w:rsidRPr="00C44B72">
              <w:rPr>
                <w:rFonts w:ascii="Bookman Old Style" w:hAnsi="Bookman Old Style"/>
                <w:i/>
                <w:vertAlign w:val="superscript"/>
              </w:rPr>
              <w:t>3</w:t>
            </w:r>
            <w:r w:rsidRPr="00C44B72">
              <w:rPr>
                <w:rFonts w:ascii="Bookman Old Style" w:hAnsi="Bookman Old Style"/>
                <w:i/>
              </w:rPr>
              <w:t xml:space="preserve"> del cargo de distribución de gas combustible destinado a Usuarios Regulados, del mes m-1 de cálculo.</w:t>
            </w:r>
          </w:p>
          <w:p w:rsidR="007B2BBE" w:rsidRPr="00C44B72" w:rsidRDefault="007B2BBE" w:rsidP="007B2BBE">
            <w:pPr>
              <w:ind w:left="0"/>
              <w:jc w:val="both"/>
              <w:rPr>
                <w:rFonts w:ascii="Bookman Old Style" w:hAnsi="Bookman Old Style"/>
                <w:i/>
              </w:rPr>
            </w:pPr>
          </w:p>
        </w:tc>
      </w:tr>
      <w:tr w:rsidR="007B2BBE" w:rsidRPr="00C44B72" w:rsidTr="007B2BBE">
        <w:tc>
          <w:tcPr>
            <w:tcW w:w="1526" w:type="dxa"/>
            <w:hideMark/>
          </w:tcPr>
          <w:p w:rsidR="007B2BBE" w:rsidRPr="00974557" w:rsidRDefault="007B2BBE" w:rsidP="007B2BBE">
            <w:pPr>
              <w:ind w:left="0"/>
              <w:jc w:val="both"/>
              <w:rPr>
                <w:rFonts w:ascii="Bookman Old Style" w:hAnsi="Bookman Old Style"/>
                <w:i/>
              </w:rPr>
            </w:pPr>
            <w:proofErr w:type="spellStart"/>
            <w:r w:rsidRPr="00974557">
              <w:rPr>
                <w:rFonts w:ascii="Bookman Old Style" w:hAnsi="Bookman Old Style"/>
                <w:i/>
              </w:rPr>
              <w:t>R</w:t>
            </w:r>
            <w:r w:rsidRPr="00974557">
              <w:rPr>
                <w:rFonts w:ascii="Bookman Old Style" w:hAnsi="Bookman Old Style"/>
                <w:i/>
                <w:vertAlign w:val="subscript"/>
              </w:rPr>
              <w:t>cartera</w:t>
            </w:r>
            <w:proofErr w:type="spellEnd"/>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Prima de riesgo de cartera de acuerdo con lo establecido en el Artículo 7 de la presente Resolución.</w:t>
            </w:r>
          </w:p>
          <w:p w:rsidR="007B2BBE" w:rsidRPr="00C44B72" w:rsidRDefault="007B2BBE" w:rsidP="007B2BBE">
            <w:pPr>
              <w:ind w:left="0"/>
              <w:jc w:val="both"/>
              <w:rPr>
                <w:rFonts w:ascii="Bookman Old Style" w:hAnsi="Bookman Old Style"/>
                <w:i/>
              </w:rPr>
            </w:pPr>
          </w:p>
        </w:tc>
      </w:tr>
      <w:tr w:rsidR="004537C3" w:rsidRPr="00C44B72" w:rsidTr="007B2BBE">
        <w:tc>
          <w:tcPr>
            <w:tcW w:w="1526" w:type="dxa"/>
          </w:tcPr>
          <w:p w:rsidR="004537C3" w:rsidRPr="00974557" w:rsidRDefault="00A71287" w:rsidP="007B2BBE">
            <w:pPr>
              <w:ind w:left="0"/>
              <w:jc w:val="both"/>
              <w:rPr>
                <w:rFonts w:ascii="Bookman Old Style" w:hAnsi="Bookman Old Style"/>
                <w:i/>
              </w:rPr>
            </w:pPr>
            <m:oMathPara>
              <m:oMathParaPr>
                <m:jc m:val="left"/>
              </m:oMathParaPr>
              <m:oMath>
                <m:sSub>
                  <m:sSubPr>
                    <m:ctrlPr>
                      <w:rPr>
                        <w:rFonts w:ascii="Cambria Math" w:hAnsi="Cambria Math"/>
                        <w:i/>
                      </w:rPr>
                    </m:ctrlPr>
                  </m:sSubPr>
                  <m:e>
                    <m:r>
                      <w:rPr>
                        <w:rFonts w:ascii="Cambria Math" w:hAnsi="Cambria Math"/>
                      </w:rPr>
                      <m:t>MO</m:t>
                    </m:r>
                  </m:e>
                  <m:sub>
                    <m:sSub>
                      <m:sSubPr>
                        <m:ctrlPr>
                          <w:rPr>
                            <w:rFonts w:ascii="Cambria Math" w:hAnsi="Cambria Math"/>
                            <w:i/>
                          </w:rPr>
                        </m:ctrlPr>
                      </m:sSubPr>
                      <m:e>
                        <m:sSub>
                          <m:sSubPr>
                            <m:ctrlPr>
                              <w:rPr>
                                <w:rFonts w:ascii="Cambria Math" w:hAnsi="Cambria Math"/>
                                <w:i/>
                              </w:rPr>
                            </m:ctrlPr>
                          </m:sSubPr>
                          <m:e>
                            <m:r>
                              <w:rPr>
                                <w:rFonts w:ascii="Cambria Math" w:hAnsi="Cambria Math"/>
                              </w:rPr>
                              <m:t>G</m:t>
                            </m:r>
                          </m:e>
                          <m:sub>
                            <m:r>
                              <w:rPr>
                                <w:rFonts w:ascii="Cambria Math" w:hAnsi="Cambria Math"/>
                              </w:rPr>
                              <m:t>mND</m:t>
                            </m:r>
                          </m:sub>
                        </m:sSub>
                      </m:e>
                      <m:sub>
                        <m:r>
                          <w:rPr>
                            <w:rFonts w:ascii="Cambria Math" w:hAnsi="Cambria Math"/>
                          </w:rPr>
                          <m:t>n</m:t>
                        </m:r>
                      </m:sub>
                    </m:sSub>
                  </m:sub>
                </m:sSub>
              </m:oMath>
            </m:oMathPara>
          </w:p>
        </w:tc>
        <w:tc>
          <w:tcPr>
            <w:tcW w:w="7479" w:type="dxa"/>
          </w:tcPr>
          <w:p w:rsidR="004537C3" w:rsidRPr="00C44B72" w:rsidRDefault="004537C3" w:rsidP="00E80F0E">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Margen operacional aplicable a las compras de gas adquiridas con posterior</w:t>
            </w:r>
            <w:r w:rsidR="00763776">
              <w:rPr>
                <w:rFonts w:ascii="Bookman Old Style" w:hAnsi="Bookman Old Style"/>
                <w:i/>
              </w:rPr>
              <w:t>idad</w:t>
            </w:r>
            <w:r w:rsidRPr="00C44B72">
              <w:rPr>
                <w:rFonts w:ascii="Bookman Old Style" w:hAnsi="Bookman Old Style"/>
                <w:i/>
              </w:rPr>
              <w:t xml:space="preserve"> a la vigencia de la Resolución CREG 089 de 2013 y </w:t>
            </w:r>
            <w:r w:rsidR="00E80F0E">
              <w:rPr>
                <w:rFonts w:ascii="Bookman Old Style" w:hAnsi="Bookman Old Style"/>
                <w:i/>
              </w:rPr>
              <w:t xml:space="preserve">en el periodo n, </w:t>
            </w:r>
            <w:r w:rsidRPr="00C44B72">
              <w:rPr>
                <w:rFonts w:ascii="Bookman Old Style" w:hAnsi="Bookman Old Style"/>
                <w:i/>
              </w:rPr>
              <w:t xml:space="preserve">mediante el mecanismo de negociación directa, según lo establecido en el artículo </w:t>
            </w:r>
            <w:r w:rsidR="00E80F0E" w:rsidRPr="00C44B72">
              <w:rPr>
                <w:rFonts w:ascii="Bookman Old Style" w:hAnsi="Bookman Old Style"/>
                <w:i/>
              </w:rPr>
              <w:t>2</w:t>
            </w:r>
            <w:r w:rsidR="00E80F0E">
              <w:rPr>
                <w:rFonts w:ascii="Bookman Old Style" w:hAnsi="Bookman Old Style"/>
                <w:i/>
              </w:rPr>
              <w:t>5</w:t>
            </w:r>
            <w:r w:rsidR="00E80F0E" w:rsidRPr="00C44B72">
              <w:rPr>
                <w:rFonts w:ascii="Bookman Old Style" w:hAnsi="Bookman Old Style"/>
                <w:i/>
              </w:rPr>
              <w:t xml:space="preserve"> </w:t>
            </w:r>
            <w:r w:rsidRPr="00C44B72">
              <w:rPr>
                <w:rFonts w:ascii="Bookman Old Style" w:hAnsi="Bookman Old Style"/>
                <w:i/>
              </w:rPr>
              <w:t xml:space="preserve">de </w:t>
            </w:r>
            <w:r w:rsidR="00763776">
              <w:rPr>
                <w:rFonts w:ascii="Bookman Old Style" w:hAnsi="Bookman Old Style"/>
                <w:i/>
              </w:rPr>
              <w:t>la mencionada</w:t>
            </w:r>
            <w:r w:rsidRPr="00C44B72">
              <w:rPr>
                <w:rFonts w:ascii="Bookman Old Style" w:hAnsi="Bookman Old Style"/>
                <w:i/>
              </w:rPr>
              <w:t xml:space="preserve"> resolución.</w:t>
            </w:r>
          </w:p>
          <w:p w:rsidR="004537C3" w:rsidRPr="00C44B72" w:rsidRDefault="004537C3" w:rsidP="004537C3">
            <w:pPr>
              <w:widowControl w:val="0"/>
              <w:tabs>
                <w:tab w:val="left" w:pos="1701"/>
              </w:tabs>
              <w:adjustRightInd w:val="0"/>
              <w:ind w:left="0"/>
              <w:jc w:val="both"/>
              <w:textAlignment w:val="baseline"/>
              <w:rPr>
                <w:rFonts w:ascii="Bookman Old Style" w:hAnsi="Bookman Old Style"/>
                <w:i/>
              </w:rPr>
            </w:pPr>
          </w:p>
        </w:tc>
      </w:tr>
      <w:tr w:rsidR="004537C3" w:rsidRPr="00C44B72" w:rsidTr="007B2BBE">
        <w:tc>
          <w:tcPr>
            <w:tcW w:w="1526" w:type="dxa"/>
          </w:tcPr>
          <w:p w:rsidR="004537C3" w:rsidRPr="00C44B72" w:rsidRDefault="00A71287" w:rsidP="00A50AFB">
            <w:pPr>
              <w:ind w:left="0"/>
              <w:jc w:val="both"/>
              <w:rPr>
                <w:rFonts w:ascii="Arial" w:eastAsia="Calibri" w:hAnsi="Arial"/>
                <w:i/>
                <w:sz w:val="28"/>
                <w:szCs w:val="28"/>
              </w:rPr>
            </w:pPr>
            <m:oMathPara>
              <m:oMathParaPr>
                <m:jc m:val="left"/>
              </m:oMathParaPr>
              <m:oMath>
                <m:sSub>
                  <m:sSubPr>
                    <m:ctrlPr>
                      <w:rPr>
                        <w:rFonts w:ascii="Cambria Math" w:hAnsi="Cambria Math"/>
                        <w:i/>
                      </w:rPr>
                    </m:ctrlPr>
                  </m:sSubPr>
                  <m:e>
                    <m:sSub>
                      <m:sSubPr>
                        <m:ctrlPr>
                          <w:rPr>
                            <w:rFonts w:ascii="Cambria Math" w:hAnsi="Cambria Math"/>
                            <w:i/>
                          </w:rPr>
                        </m:ctrlPr>
                      </m:sSubPr>
                      <m:e>
                        <m:r>
                          <w:rPr>
                            <w:rFonts w:ascii="Cambria Math" w:hAnsi="Cambria Math"/>
                          </w:rPr>
                          <m:t>G</m:t>
                        </m:r>
                      </m:e>
                      <m:sub>
                        <m:r>
                          <w:rPr>
                            <w:rFonts w:ascii="Cambria Math" w:hAnsi="Cambria Math"/>
                          </w:rPr>
                          <m:t>mND</m:t>
                        </m:r>
                      </m:sub>
                    </m:sSub>
                  </m:e>
                  <m:sub>
                    <m:r>
                      <w:rPr>
                        <w:rFonts w:ascii="Cambria Math" w:hAnsi="Cambria Math"/>
                      </w:rPr>
                      <m:t>n</m:t>
                    </m:r>
                  </m:sub>
                </m:sSub>
              </m:oMath>
            </m:oMathPara>
          </w:p>
        </w:tc>
        <w:tc>
          <w:tcPr>
            <w:tcW w:w="7479" w:type="dxa"/>
          </w:tcPr>
          <w:p w:rsidR="004537C3" w:rsidRDefault="004537C3" w:rsidP="00E80F0E">
            <w:pPr>
              <w:ind w:left="0"/>
              <w:jc w:val="both"/>
              <w:rPr>
                <w:rFonts w:ascii="Bookman Old Style" w:hAnsi="Bookman Old Style"/>
                <w:i/>
              </w:rPr>
            </w:pPr>
            <w:r w:rsidRPr="00C44B72">
              <w:rPr>
                <w:rFonts w:ascii="Bookman Old Style" w:hAnsi="Bookman Old Style"/>
                <w:i/>
              </w:rPr>
              <w:t xml:space="preserve">Costo promedio </w:t>
            </w:r>
            <w:r w:rsidR="00E80F0E">
              <w:rPr>
                <w:rFonts w:ascii="Bookman Old Style" w:hAnsi="Bookman Old Style"/>
                <w:i/>
              </w:rPr>
              <w:t>unitario en ($/m</w:t>
            </w:r>
            <w:r w:rsidR="00E80F0E" w:rsidRPr="00325EFA">
              <w:rPr>
                <w:rFonts w:ascii="Bookman Old Style" w:hAnsi="Bookman Old Style"/>
                <w:i/>
                <w:vertAlign w:val="superscript"/>
              </w:rPr>
              <w:t>3</w:t>
            </w:r>
            <w:r w:rsidR="00E80F0E">
              <w:rPr>
                <w:rFonts w:ascii="Bookman Old Style" w:hAnsi="Bookman Old Style"/>
                <w:i/>
              </w:rPr>
              <w:t xml:space="preserve">) </w:t>
            </w:r>
            <w:r w:rsidRPr="00C44B72">
              <w:rPr>
                <w:rFonts w:ascii="Bookman Old Style" w:hAnsi="Bookman Old Style"/>
                <w:i/>
              </w:rPr>
              <w:t>de las compras de gas</w:t>
            </w:r>
            <w:r w:rsidR="00E80F0E">
              <w:rPr>
                <w:rFonts w:ascii="Bookman Old Style" w:hAnsi="Bookman Old Style"/>
                <w:i/>
              </w:rPr>
              <w:t xml:space="preserve"> </w:t>
            </w:r>
            <w:r w:rsidRPr="00C44B72">
              <w:rPr>
                <w:rFonts w:ascii="Bookman Old Style" w:hAnsi="Bookman Old Style"/>
                <w:i/>
              </w:rPr>
              <w:t>natural adquiridas con posterior a la vigencia de la Resolución CREG 089 de 2013 y</w:t>
            </w:r>
            <w:r w:rsidR="00E80F0E">
              <w:rPr>
                <w:rFonts w:ascii="Bookman Old Style" w:hAnsi="Bookman Old Style"/>
                <w:i/>
              </w:rPr>
              <w:t xml:space="preserve"> en el periodo n</w:t>
            </w:r>
            <w:r w:rsidRPr="00C44B72">
              <w:rPr>
                <w:rFonts w:ascii="Bookman Old Style" w:hAnsi="Bookman Old Style"/>
                <w:i/>
              </w:rPr>
              <w:t xml:space="preserve"> mediante el mecanismo de negociación directa</w:t>
            </w:r>
            <w:r w:rsidR="00E80F0E">
              <w:rPr>
                <w:rFonts w:ascii="Bookman Old Style" w:hAnsi="Bookman Old Style"/>
                <w:i/>
              </w:rPr>
              <w:t>.</w:t>
            </w:r>
          </w:p>
          <w:p w:rsidR="00E80F0E" w:rsidRPr="00C44B72" w:rsidRDefault="00E80F0E" w:rsidP="00E80F0E">
            <w:pPr>
              <w:ind w:left="0"/>
              <w:jc w:val="both"/>
              <w:rPr>
                <w:rFonts w:ascii="Bookman Old Style" w:hAnsi="Bookman Old Style"/>
                <w:i/>
              </w:rPr>
            </w:pPr>
          </w:p>
        </w:tc>
      </w:tr>
      <w:tr w:rsidR="00BB2B50" w:rsidRPr="00C44B72" w:rsidTr="007B2BBE">
        <w:tc>
          <w:tcPr>
            <w:tcW w:w="1526" w:type="dxa"/>
          </w:tcPr>
          <w:p w:rsidR="00BB2B50" w:rsidRPr="00325EFA" w:rsidRDefault="00BB2B50" w:rsidP="00E85FB8">
            <w:pPr>
              <w:ind w:left="0"/>
              <w:rPr>
                <w:i/>
                <w:sz w:val="28"/>
              </w:rPr>
            </w:pPr>
            <w:r w:rsidRPr="00325EFA">
              <w:rPr>
                <w:i/>
                <w:sz w:val="28"/>
              </w:rPr>
              <w:t>n</w:t>
            </w:r>
          </w:p>
        </w:tc>
        <w:tc>
          <w:tcPr>
            <w:tcW w:w="7479" w:type="dxa"/>
          </w:tcPr>
          <w:p w:rsidR="00BB2B50" w:rsidRDefault="00BB2B50" w:rsidP="00325EFA">
            <w:pPr>
              <w:widowControl w:val="0"/>
              <w:tabs>
                <w:tab w:val="left" w:pos="1701"/>
              </w:tabs>
              <w:adjustRightInd w:val="0"/>
              <w:ind w:left="0"/>
              <w:jc w:val="both"/>
              <w:textAlignment w:val="baseline"/>
              <w:rPr>
                <w:rFonts w:ascii="Bookman Old Style" w:hAnsi="Bookman Old Style"/>
                <w:i/>
              </w:rPr>
            </w:pPr>
            <w:r w:rsidRPr="00325EFA">
              <w:rPr>
                <w:rFonts w:ascii="Bookman Old Style" w:hAnsi="Bookman Old Style"/>
                <w:i/>
              </w:rPr>
              <w:t>Periodo en el cual se hace la compra de gas</w:t>
            </w:r>
            <w:r>
              <w:rPr>
                <w:rFonts w:ascii="Bookman Old Style" w:hAnsi="Bookman Old Style"/>
                <w:i/>
              </w:rPr>
              <w:t>.</w:t>
            </w:r>
          </w:p>
          <w:p w:rsidR="00BB2B50" w:rsidRDefault="00BB2B50" w:rsidP="00325EFA">
            <w:pPr>
              <w:widowControl w:val="0"/>
              <w:tabs>
                <w:tab w:val="left" w:pos="1701"/>
              </w:tabs>
              <w:adjustRightInd w:val="0"/>
              <w:ind w:left="0"/>
              <w:jc w:val="both"/>
              <w:textAlignment w:val="baseline"/>
            </w:pPr>
          </w:p>
        </w:tc>
      </w:tr>
      <w:tr w:rsidR="00E85FB8" w:rsidRPr="00C44B72" w:rsidTr="007B2BBE">
        <w:tc>
          <w:tcPr>
            <w:tcW w:w="1526" w:type="dxa"/>
          </w:tcPr>
          <w:p w:rsidR="00E85FB8" w:rsidRPr="00E85FB8" w:rsidRDefault="00A71287" w:rsidP="00E85FB8">
            <w:pPr>
              <w:ind w:left="0"/>
              <w:rPr>
                <w:sz w:val="28"/>
              </w:rPr>
            </w:pPr>
            <m:oMathPara>
              <m:oMathParaPr>
                <m:jc m:val="left"/>
              </m:oMathParaPr>
              <m:oMath>
                <m:sSub>
                  <m:sSubPr>
                    <m:ctrlPr>
                      <w:rPr>
                        <w:rFonts w:ascii="Cambria Math" w:hAnsi="Cambria Math"/>
                        <w:i/>
                        <w:sz w:val="28"/>
                      </w:rPr>
                    </m:ctrlPr>
                  </m:sSubPr>
                  <m:e>
                    <m:r>
                      <w:rPr>
                        <w:rFonts w:ascii="Cambria Math" w:hAnsi="Cambria Math"/>
                        <w:sz w:val="28"/>
                      </w:rPr>
                      <m:t>α</m:t>
                    </m:r>
                  </m:e>
                  <m:sub>
                    <m:r>
                      <w:rPr>
                        <w:rFonts w:ascii="Cambria Math" w:hAnsi="Cambria Math"/>
                        <w:sz w:val="28"/>
                      </w:rPr>
                      <m:t>Gm</m:t>
                    </m:r>
                  </m:sub>
                </m:sSub>
              </m:oMath>
            </m:oMathPara>
          </w:p>
        </w:tc>
        <w:tc>
          <w:tcPr>
            <w:tcW w:w="7479" w:type="dxa"/>
          </w:tcPr>
          <w:p w:rsidR="00325EFA" w:rsidRDefault="00325EFA" w:rsidP="00325EFA">
            <w:pPr>
              <w:ind w:left="0"/>
              <w:jc w:val="both"/>
              <w:rPr>
                <w:rFonts w:ascii="Bookman Old Style" w:hAnsi="Bookman Old Style"/>
                <w:i/>
              </w:rPr>
            </w:pPr>
            <w:r w:rsidRPr="00A92396">
              <w:rPr>
                <w:rFonts w:ascii="Bookman Old Style" w:hAnsi="Bookman Old Style"/>
                <w:i/>
              </w:rPr>
              <w:t xml:space="preserve">Porcentaje </w:t>
            </w:r>
            <w:r w:rsidR="00B66C26">
              <w:rPr>
                <w:rFonts w:ascii="Bookman Old Style" w:hAnsi="Bookman Old Style"/>
                <w:i/>
              </w:rPr>
              <w:t>que representa Q</w:t>
            </w:r>
            <w:r w:rsidRPr="00A92396">
              <w:rPr>
                <w:rFonts w:ascii="Bookman Old Style" w:hAnsi="Bookman Old Style"/>
                <w:i/>
              </w:rPr>
              <w:t>m</w:t>
            </w:r>
            <w:r>
              <w:rPr>
                <w:rFonts w:ascii="Bookman Old Style" w:hAnsi="Bookman Old Style"/>
                <w:i/>
              </w:rPr>
              <w:t xml:space="preserve"> con respecto a las compras totales, se calcula así:</w:t>
            </w:r>
          </w:p>
          <w:p w:rsidR="00B4547B" w:rsidRPr="00A92396" w:rsidRDefault="00B4547B" w:rsidP="00325EFA">
            <w:pPr>
              <w:ind w:left="0"/>
              <w:jc w:val="both"/>
              <w:rPr>
                <w:rFonts w:ascii="Bookman Old Style" w:hAnsi="Bookman Old Style"/>
                <w:i/>
              </w:rPr>
            </w:pPr>
          </w:p>
          <w:p w:rsidR="00E85FB8" w:rsidRPr="00B4547B" w:rsidRDefault="00A71287" w:rsidP="00CD06D4">
            <w:pPr>
              <w:ind w:left="0"/>
              <w:jc w:val="both"/>
              <w:rPr>
                <w:rFonts w:ascii="Bookman Old Style" w:hAnsi="Bookman Old Style"/>
                <w:i/>
              </w:rPr>
            </w:pPr>
            <m:oMathPara>
              <m:oMath>
                <m:sSub>
                  <m:sSubPr>
                    <m:ctrlPr>
                      <w:rPr>
                        <w:rFonts w:ascii="Cambria Math" w:hAnsi="Cambria Math"/>
                        <w:i/>
                      </w:rPr>
                    </m:ctrlPr>
                  </m:sSubPr>
                  <m:e>
                    <m:r>
                      <w:rPr>
                        <w:rFonts w:ascii="Cambria Math" w:hAnsi="Cambria Math"/>
                      </w:rPr>
                      <m:t>α</m:t>
                    </m:r>
                  </m:e>
                  <m:sub>
                    <m:r>
                      <w:rPr>
                        <w:rFonts w:ascii="Cambria Math" w:hAnsi="Cambria Math"/>
                      </w:rPr>
                      <m:t>Gm</m:t>
                    </m:r>
                  </m:sub>
                </m:sSub>
                <m:r>
                  <w:rPr>
                    <w:rFonts w:ascii="Cambria Math" w:hAnsi="Cambria Math"/>
                  </w:rPr>
                  <m:t>=</m:t>
                </m:r>
                <m:f>
                  <m:fPr>
                    <m:ctrlPr>
                      <w:rPr>
                        <w:rFonts w:ascii="Cambria Math" w:hAnsi="Cambria Math"/>
                        <w:i/>
                      </w:rPr>
                    </m:ctrlPr>
                  </m:fPr>
                  <m:num>
                    <m:sSub>
                      <m:sSubPr>
                        <m:ctrlPr>
                          <w:rPr>
                            <w:rFonts w:ascii="Cambria Math" w:hAnsi="Cambria Math"/>
                            <w:i/>
                            <w:sz w:val="28"/>
                          </w:rPr>
                        </m:ctrlPr>
                      </m:sSubPr>
                      <m:e>
                        <m:r>
                          <w:rPr>
                            <w:rFonts w:ascii="Cambria Math" w:hAnsi="Cambria Math"/>
                            <w:sz w:val="28"/>
                          </w:rPr>
                          <m:t>Q</m:t>
                        </m:r>
                      </m:e>
                      <m:sub>
                        <m:r>
                          <w:rPr>
                            <w:rFonts w:ascii="Cambria Math" w:hAnsi="Cambria Math"/>
                            <w:sz w:val="28"/>
                          </w:rPr>
                          <m:t>m</m:t>
                        </m:r>
                      </m:sub>
                    </m:sSub>
                  </m:num>
                  <m:den>
                    <m:sSub>
                      <m:sSubPr>
                        <m:ctrlPr>
                          <w:rPr>
                            <w:rFonts w:ascii="Cambria Math" w:hAnsi="Cambria Math"/>
                            <w:i/>
                            <w:sz w:val="28"/>
                          </w:rPr>
                        </m:ctrlPr>
                      </m:sSubPr>
                      <m:e>
                        <m:r>
                          <w:rPr>
                            <w:rFonts w:ascii="Cambria Math" w:hAnsi="Cambria Math"/>
                            <w:sz w:val="28"/>
                          </w:rPr>
                          <m:t>Q</m:t>
                        </m:r>
                      </m:e>
                      <m:sub>
                        <m:r>
                          <w:rPr>
                            <w:rFonts w:ascii="Cambria Math" w:hAnsi="Cambria Math"/>
                            <w:sz w:val="28"/>
                          </w:rPr>
                          <m:t>m</m:t>
                        </m:r>
                      </m:sub>
                    </m:sSub>
                    <m:r>
                      <w:rPr>
                        <w:rFonts w:ascii="Cambria Math" w:hAnsi="Cambria Math"/>
                      </w:rPr>
                      <m:t>+</m:t>
                    </m:r>
                    <m:nary>
                      <m:naryPr>
                        <m:chr m:val="∑"/>
                        <m:limLoc m:val="undOvr"/>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e>
                    </m:nary>
                  </m:den>
                </m:f>
              </m:oMath>
            </m:oMathPara>
          </w:p>
          <w:p w:rsidR="00B4547B" w:rsidRPr="00B4547B" w:rsidRDefault="00B4547B" w:rsidP="00CD06D4">
            <w:pPr>
              <w:ind w:left="0"/>
              <w:jc w:val="both"/>
              <w:rPr>
                <w:rFonts w:ascii="Bookman Old Style" w:hAnsi="Bookman Old Style"/>
                <w:i/>
                <w:sz w:val="32"/>
              </w:rPr>
            </w:pPr>
          </w:p>
        </w:tc>
      </w:tr>
      <w:tr w:rsidR="00E85FB8" w:rsidRPr="00C44B72" w:rsidTr="007B2BBE">
        <w:tc>
          <w:tcPr>
            <w:tcW w:w="1526" w:type="dxa"/>
          </w:tcPr>
          <w:p w:rsidR="00E85FB8" w:rsidRPr="001A15CB" w:rsidRDefault="00A71287" w:rsidP="00BA276C">
            <w:pPr>
              <w:ind w:left="0"/>
              <w:rPr>
                <w:sz w:val="28"/>
              </w:rPr>
            </w:pPr>
            <m:oMathPara>
              <m:oMathParaPr>
                <m:jc m:val="left"/>
              </m:oMathParaPr>
              <m:oMath>
                <m:sSub>
                  <m:sSubPr>
                    <m:ctrlPr>
                      <w:rPr>
                        <w:rFonts w:ascii="Cambria Math" w:hAnsi="Cambria Math"/>
                        <w:i/>
                        <w:sz w:val="28"/>
                      </w:rPr>
                    </m:ctrlPr>
                  </m:sSubPr>
                  <m:e>
                    <m:r>
                      <w:rPr>
                        <w:rFonts w:ascii="Cambria Math" w:hAnsi="Cambria Math"/>
                        <w:sz w:val="28"/>
                      </w:rPr>
                      <m:t>α</m:t>
                    </m:r>
                  </m:e>
                  <m:sub>
                    <m:sSub>
                      <m:sSubPr>
                        <m:ctrlPr>
                          <w:rPr>
                            <w:rFonts w:ascii="Cambria Math" w:hAnsi="Cambria Math"/>
                            <w:i/>
                            <w:sz w:val="28"/>
                          </w:rPr>
                        </m:ctrlPr>
                      </m:sSubPr>
                      <m:e>
                        <m:r>
                          <w:rPr>
                            <w:rFonts w:ascii="Cambria Math" w:hAnsi="Cambria Math"/>
                            <w:sz w:val="28"/>
                          </w:rPr>
                          <m:t>GmND</m:t>
                        </m:r>
                      </m:e>
                      <m:sub>
                        <m:r>
                          <w:rPr>
                            <w:rFonts w:ascii="Cambria Math" w:hAnsi="Cambria Math"/>
                            <w:sz w:val="28"/>
                          </w:rPr>
                          <m:t>n</m:t>
                        </m:r>
                      </m:sub>
                    </m:sSub>
                  </m:sub>
                </m:sSub>
              </m:oMath>
            </m:oMathPara>
          </w:p>
        </w:tc>
        <w:tc>
          <w:tcPr>
            <w:tcW w:w="7479" w:type="dxa"/>
          </w:tcPr>
          <w:p w:rsidR="00E85FB8" w:rsidRPr="001A15CB" w:rsidRDefault="00E85FB8" w:rsidP="00E80F0E">
            <w:pPr>
              <w:ind w:left="0"/>
              <w:jc w:val="both"/>
              <w:rPr>
                <w:rFonts w:ascii="Bookman Old Style" w:hAnsi="Bookman Old Style"/>
                <w:i/>
              </w:rPr>
            </w:pPr>
            <w:r w:rsidRPr="001A15CB">
              <w:rPr>
                <w:rFonts w:ascii="Bookman Old Style" w:hAnsi="Bookman Old Style"/>
                <w:i/>
              </w:rPr>
              <w:t xml:space="preserve">Porcentaje </w:t>
            </w:r>
            <w:r w:rsidR="00B66C26">
              <w:rPr>
                <w:rFonts w:ascii="Bookman Old Style" w:hAnsi="Bookman Old Style"/>
                <w:i/>
              </w:rPr>
              <w:t xml:space="preserve">que representa </w:t>
            </w:r>
            <m:oMath>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oMath>
            <w:r w:rsidRPr="001A15CB">
              <w:rPr>
                <w:rFonts w:ascii="Bookman Old Style" w:hAnsi="Bookman Old Style"/>
                <w:i/>
              </w:rPr>
              <w:t xml:space="preserve"> con respecto a las compras totales se calcula así:</w:t>
            </w:r>
          </w:p>
          <w:p w:rsidR="00B4547B" w:rsidRPr="001A15CB" w:rsidRDefault="00B4547B" w:rsidP="00E80F0E">
            <w:pPr>
              <w:ind w:left="0"/>
              <w:jc w:val="both"/>
              <w:rPr>
                <w:rFonts w:ascii="Bookman Old Style" w:hAnsi="Bookman Old Style"/>
                <w:i/>
                <w:sz w:val="32"/>
              </w:rPr>
            </w:pPr>
          </w:p>
          <w:p w:rsidR="00E85FB8" w:rsidRPr="001A15CB" w:rsidRDefault="00A71287" w:rsidP="00A009C5">
            <w:pPr>
              <w:ind w:left="0"/>
              <w:jc w:val="both"/>
              <w:rPr>
                <w:rFonts w:ascii="Bookman Old Style" w:hAnsi="Bookman Old Style"/>
                <w:i/>
              </w:rPr>
            </w:pPr>
            <m:oMathPara>
              <m:oMath>
                <m:sSub>
                  <m:sSubPr>
                    <m:ctrlPr>
                      <w:rPr>
                        <w:rFonts w:ascii="Cambria Math" w:hAnsi="Cambria Math"/>
                        <w:i/>
                      </w:rPr>
                    </m:ctrlPr>
                  </m:sSubPr>
                  <m:e>
                    <m:r>
                      <w:rPr>
                        <w:rFonts w:ascii="Cambria Math" w:hAnsi="Cambria Math"/>
                      </w:rPr>
                      <m:t>α</m:t>
                    </m:r>
                  </m:e>
                  <m:sub>
                    <m:sSub>
                      <m:sSubPr>
                        <m:ctrlPr>
                          <w:rPr>
                            <w:rFonts w:ascii="Cambria Math" w:hAnsi="Cambria Math"/>
                            <w:i/>
                          </w:rPr>
                        </m:ctrlPr>
                      </m:sSubPr>
                      <m:e>
                        <m:r>
                          <w:rPr>
                            <w:rFonts w:ascii="Cambria Math" w:hAnsi="Cambria Math"/>
                          </w:rPr>
                          <m:t>GmND</m:t>
                        </m:r>
                      </m:e>
                      <m:sub>
                        <m:r>
                          <w:rPr>
                            <w:rFonts w:ascii="Cambria Math" w:hAnsi="Cambria Math"/>
                          </w:rPr>
                          <m:t>n</m:t>
                        </m:r>
                      </m:sub>
                    </m:sSub>
                  </m:sub>
                </m:sSub>
                <m:r>
                  <w:rPr>
                    <w:rFonts w:ascii="Cambria Math" w:hAnsi="Cambria Math"/>
                  </w:rPr>
                  <m:t>=</m:t>
                </m:r>
                <m:f>
                  <m:fPr>
                    <m:ctrlPr>
                      <w:rPr>
                        <w:rFonts w:ascii="Cambria Math" w:hAnsi="Cambria Math"/>
                        <w:i/>
                      </w:rPr>
                    </m:ctrlPr>
                  </m:fPr>
                  <m:num>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num>
                  <m:den>
                    <m:sSub>
                      <m:sSubPr>
                        <m:ctrlPr>
                          <w:rPr>
                            <w:rFonts w:ascii="Cambria Math" w:hAnsi="Cambria Math"/>
                            <w:i/>
                            <w:sz w:val="28"/>
                          </w:rPr>
                        </m:ctrlPr>
                      </m:sSubPr>
                      <m:e>
                        <m:r>
                          <w:rPr>
                            <w:rFonts w:ascii="Cambria Math" w:hAnsi="Cambria Math"/>
                            <w:sz w:val="28"/>
                          </w:rPr>
                          <m:t>Q</m:t>
                        </m:r>
                      </m:e>
                      <m:sub>
                        <m:r>
                          <w:rPr>
                            <w:rFonts w:ascii="Cambria Math" w:hAnsi="Cambria Math"/>
                            <w:sz w:val="28"/>
                          </w:rPr>
                          <m:t>m</m:t>
                        </m:r>
                      </m:sub>
                    </m:sSub>
                    <m:r>
                      <w:rPr>
                        <w:rFonts w:ascii="Cambria Math" w:hAnsi="Cambria Math"/>
                      </w:rPr>
                      <m:t>+</m:t>
                    </m:r>
                    <m:nary>
                      <m:naryPr>
                        <m:chr m:val="∑"/>
                        <m:limLoc m:val="undOvr"/>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e>
                    </m:nary>
                  </m:den>
                </m:f>
              </m:oMath>
            </m:oMathPara>
          </w:p>
          <w:p w:rsidR="00A009C5" w:rsidRPr="001A15CB" w:rsidRDefault="00A009C5" w:rsidP="00A009C5">
            <w:pPr>
              <w:ind w:left="0"/>
              <w:jc w:val="both"/>
              <w:rPr>
                <w:rFonts w:ascii="Bookman Old Style" w:hAnsi="Bookman Old Style"/>
                <w:i/>
              </w:rPr>
            </w:pPr>
          </w:p>
          <w:p w:rsidR="00B4547B" w:rsidRPr="001A15CB" w:rsidRDefault="00B4547B" w:rsidP="00A009C5">
            <w:pPr>
              <w:ind w:left="0"/>
              <w:jc w:val="both"/>
              <w:rPr>
                <w:rFonts w:ascii="Bookman Old Style" w:hAnsi="Bookman Old Style"/>
                <w:i/>
                <w:sz w:val="32"/>
              </w:rPr>
            </w:pPr>
          </w:p>
        </w:tc>
      </w:tr>
      <w:tr w:rsidR="00974557" w:rsidRPr="00C44B72" w:rsidTr="007B2BBE">
        <w:tc>
          <w:tcPr>
            <w:tcW w:w="1526" w:type="dxa"/>
          </w:tcPr>
          <w:p w:rsidR="00974557" w:rsidRPr="008417EF" w:rsidRDefault="00A71287" w:rsidP="00B54471">
            <w:pPr>
              <w:ind w:left="0"/>
            </w:pPr>
            <m:oMathPara>
              <m:oMathParaPr>
                <m:jc m:val="left"/>
              </m:oMathParaPr>
              <m:oMath>
                <m:sSub>
                  <m:sSubPr>
                    <m:ctrlPr>
                      <w:rPr>
                        <w:rFonts w:ascii="Cambria Math" w:hAnsi="Cambria Math"/>
                        <w:i/>
                      </w:rPr>
                    </m:ctrlPr>
                  </m:sSubPr>
                  <m:e>
                    <m:r>
                      <w:rPr>
                        <w:rFonts w:ascii="Cambria Math" w:hAnsi="Cambria Math"/>
                      </w:rPr>
                      <m:t>Q</m:t>
                    </m:r>
                  </m:e>
                  <m:sub>
                    <m:r>
                      <w:rPr>
                        <w:rFonts w:ascii="Cambria Math" w:hAnsi="Cambria Math"/>
                      </w:rPr>
                      <m:t>m</m:t>
                    </m:r>
                  </m:sub>
                </m:sSub>
              </m:oMath>
            </m:oMathPara>
          </w:p>
        </w:tc>
        <w:tc>
          <w:tcPr>
            <w:tcW w:w="7479" w:type="dxa"/>
          </w:tcPr>
          <w:p w:rsidR="00974557" w:rsidRPr="00C44B72" w:rsidRDefault="00B4547B" w:rsidP="00974557">
            <w:pPr>
              <w:widowControl w:val="0"/>
              <w:tabs>
                <w:tab w:val="left" w:pos="1701"/>
              </w:tabs>
              <w:adjustRightInd w:val="0"/>
              <w:ind w:left="0"/>
              <w:jc w:val="both"/>
              <w:textAlignment w:val="baseline"/>
              <w:rPr>
                <w:rFonts w:ascii="Bookman Old Style" w:hAnsi="Bookman Old Style"/>
                <w:i/>
              </w:rPr>
            </w:pPr>
            <w:r>
              <w:rPr>
                <w:rFonts w:ascii="Bookman Old Style" w:hAnsi="Bookman Old Style"/>
                <w:i/>
              </w:rPr>
              <w:t xml:space="preserve">Cantidad de </w:t>
            </w:r>
            <w:r w:rsidR="00974557" w:rsidRPr="00C44B72">
              <w:rPr>
                <w:rFonts w:ascii="Bookman Old Style" w:hAnsi="Bookman Old Style"/>
                <w:i/>
              </w:rPr>
              <w:t>gas combustible</w:t>
            </w:r>
            <w:r>
              <w:rPr>
                <w:rFonts w:ascii="Bookman Old Style" w:hAnsi="Bookman Old Style"/>
                <w:i/>
              </w:rPr>
              <w:t>,</w:t>
            </w:r>
            <w:r w:rsidR="00974557" w:rsidRPr="00C44B72">
              <w:rPr>
                <w:rFonts w:ascii="Bookman Old Style" w:hAnsi="Bookman Old Style"/>
                <w:i/>
              </w:rPr>
              <w:t xml:space="preserve"> </w:t>
            </w:r>
            <w:r>
              <w:rPr>
                <w:rFonts w:ascii="Bookman Old Style" w:hAnsi="Bookman Old Style"/>
                <w:i/>
              </w:rPr>
              <w:t xml:space="preserve">en </w:t>
            </w:r>
            <w:r w:rsidRPr="00C44B72">
              <w:rPr>
                <w:rFonts w:ascii="Bookman Old Style" w:hAnsi="Bookman Old Style"/>
                <w:i/>
              </w:rPr>
              <w:t>m</w:t>
            </w:r>
            <w:r w:rsidRPr="00C44B72">
              <w:rPr>
                <w:rFonts w:ascii="Bookman Old Style" w:hAnsi="Bookman Old Style"/>
                <w:i/>
                <w:vertAlign w:val="superscript"/>
              </w:rPr>
              <w:t>3</w:t>
            </w:r>
            <w:r>
              <w:rPr>
                <w:rFonts w:ascii="Bookman Old Style" w:hAnsi="Bookman Old Style"/>
                <w:i/>
                <w:vertAlign w:val="superscript"/>
              </w:rPr>
              <w:t>,</w:t>
            </w:r>
            <w:r w:rsidRPr="00C44B72">
              <w:rPr>
                <w:rFonts w:ascii="Bookman Old Style" w:hAnsi="Bookman Old Style"/>
                <w:i/>
              </w:rPr>
              <w:t xml:space="preserve"> </w:t>
            </w:r>
            <w:r w:rsidR="00974557" w:rsidRPr="00C44B72">
              <w:rPr>
                <w:rFonts w:ascii="Bookman Old Style" w:hAnsi="Bookman Old Style"/>
                <w:i/>
              </w:rPr>
              <w:t xml:space="preserve">(Gas Natural y/o Gas Metano en Depósitos de carbón y/o GLP por redes y/o aire </w:t>
            </w:r>
            <w:proofErr w:type="spellStart"/>
            <w:r w:rsidR="00974557" w:rsidRPr="00C44B72">
              <w:rPr>
                <w:rFonts w:ascii="Bookman Old Style" w:hAnsi="Bookman Old Style"/>
                <w:i/>
              </w:rPr>
              <w:t>propanado</w:t>
            </w:r>
            <w:proofErr w:type="spellEnd"/>
            <w:r w:rsidR="00974557" w:rsidRPr="00C44B72">
              <w:rPr>
                <w:rFonts w:ascii="Bookman Old Style" w:hAnsi="Bookman Old Style"/>
                <w:i/>
              </w:rPr>
              <w:t xml:space="preserve">), destinado a Usuarios Regulados, del mes m-1 de cálculo.  </w:t>
            </w:r>
          </w:p>
          <w:p w:rsidR="00974557" w:rsidRPr="00C44B72" w:rsidRDefault="00974557" w:rsidP="00974557">
            <w:pPr>
              <w:widowControl w:val="0"/>
              <w:tabs>
                <w:tab w:val="left" w:pos="1701"/>
              </w:tabs>
              <w:adjustRightInd w:val="0"/>
              <w:ind w:left="0"/>
              <w:jc w:val="both"/>
              <w:textAlignment w:val="baseline"/>
              <w:rPr>
                <w:rFonts w:ascii="Bookman Old Style" w:hAnsi="Bookman Old Style"/>
                <w:i/>
              </w:rPr>
            </w:pPr>
          </w:p>
          <w:p w:rsidR="00974557" w:rsidRPr="00C44B72" w:rsidRDefault="00974557" w:rsidP="00974557">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Para el caso del Gas Natural esta variable incluye las compras que se han realizado con anterioridad a la vigencia de la Resolución CREG 089 de 2013 y a las que posterior a</w:t>
            </w:r>
            <w:r>
              <w:rPr>
                <w:rFonts w:ascii="Bookman Old Style" w:hAnsi="Bookman Old Style"/>
                <w:i/>
              </w:rPr>
              <w:t xml:space="preserve"> la vigencia de </w:t>
            </w:r>
            <w:r w:rsidRPr="00C44B72">
              <w:rPr>
                <w:rFonts w:ascii="Bookman Old Style" w:hAnsi="Bookman Old Style"/>
                <w:i/>
              </w:rPr>
              <w:t xml:space="preserve"> dicha resolución se hacen por negociación </w:t>
            </w:r>
            <w:r w:rsidRPr="00C44B72">
              <w:rPr>
                <w:rFonts w:ascii="Bookman Old Style" w:hAnsi="Bookman Old Style"/>
                <w:i/>
              </w:rPr>
              <w:lastRenderedPageBreak/>
              <w:t>mediante subasta</w:t>
            </w:r>
            <w:r>
              <w:rPr>
                <w:rFonts w:ascii="Bookman Old Style" w:hAnsi="Bookman Old Style"/>
                <w:i/>
              </w:rPr>
              <w:t xml:space="preserve"> de acuerdo con el artículo 27 de esta misma resolución y/o mercado secundario o campos menores</w:t>
            </w:r>
            <w:r w:rsidRPr="00C44B72">
              <w:rPr>
                <w:rFonts w:ascii="Bookman Old Style" w:hAnsi="Bookman Old Style"/>
                <w:i/>
              </w:rPr>
              <w:t>.</w:t>
            </w:r>
          </w:p>
          <w:p w:rsidR="00974557" w:rsidRPr="00A92396" w:rsidRDefault="00974557" w:rsidP="00E80F0E">
            <w:pPr>
              <w:ind w:left="0"/>
              <w:jc w:val="both"/>
              <w:rPr>
                <w:rFonts w:ascii="Bookman Old Style" w:hAnsi="Bookman Old Style"/>
                <w:i/>
              </w:rPr>
            </w:pPr>
          </w:p>
        </w:tc>
      </w:tr>
      <w:tr w:rsidR="00974557" w:rsidRPr="00C44B72" w:rsidTr="007B2BBE">
        <w:tc>
          <w:tcPr>
            <w:tcW w:w="1526" w:type="dxa"/>
          </w:tcPr>
          <w:p w:rsidR="00974557" w:rsidRDefault="00A71287" w:rsidP="00E85FB8">
            <w:pPr>
              <w:ind w:left="0"/>
              <w:rPr>
                <w:sz w:val="28"/>
              </w:rPr>
            </w:pPr>
            <m:oMathPara>
              <m:oMath>
                <m:sSub>
                  <m:sSubPr>
                    <m:ctrlPr>
                      <w:rPr>
                        <w:rFonts w:ascii="Cambria Math" w:hAnsi="Cambria Math"/>
                        <w:i/>
                        <w:sz w:val="28"/>
                      </w:rPr>
                    </m:ctrlPr>
                  </m:sSubPr>
                  <m:e>
                    <m:r>
                      <w:rPr>
                        <w:rFonts w:ascii="Cambria Math" w:hAnsi="Cambria Math"/>
                        <w:sz w:val="28"/>
                      </w:rPr>
                      <m:t>Q</m:t>
                    </m:r>
                  </m:e>
                  <m:sub>
                    <m:sSub>
                      <m:sSubPr>
                        <m:ctrlPr>
                          <w:rPr>
                            <w:rFonts w:ascii="Cambria Math" w:hAnsi="Cambria Math"/>
                            <w:i/>
                            <w:sz w:val="28"/>
                          </w:rPr>
                        </m:ctrlPr>
                      </m:sSubPr>
                      <m:e>
                        <m:r>
                          <w:rPr>
                            <w:rFonts w:ascii="Cambria Math" w:hAnsi="Cambria Math"/>
                            <w:sz w:val="28"/>
                          </w:rPr>
                          <m:t>mND</m:t>
                        </m:r>
                      </m:e>
                      <m:sub>
                        <m:r>
                          <w:rPr>
                            <w:rFonts w:ascii="Cambria Math" w:hAnsi="Cambria Math"/>
                            <w:sz w:val="28"/>
                          </w:rPr>
                          <m:t>n</m:t>
                        </m:r>
                      </m:sub>
                    </m:sSub>
                  </m:sub>
                </m:sSub>
              </m:oMath>
            </m:oMathPara>
          </w:p>
        </w:tc>
        <w:tc>
          <w:tcPr>
            <w:tcW w:w="7479" w:type="dxa"/>
          </w:tcPr>
          <w:p w:rsidR="00974557" w:rsidRDefault="00974557" w:rsidP="00974557">
            <w:pPr>
              <w:ind w:left="0"/>
              <w:jc w:val="both"/>
              <w:rPr>
                <w:rFonts w:ascii="Bookman Old Style" w:hAnsi="Bookman Old Style"/>
                <w:i/>
              </w:rPr>
            </w:pPr>
            <w:r>
              <w:rPr>
                <w:rFonts w:ascii="Bookman Old Style" w:hAnsi="Bookman Old Style"/>
                <w:i/>
              </w:rPr>
              <w:t xml:space="preserve">Cantidad de </w:t>
            </w:r>
            <w:r w:rsidRPr="00C44B72">
              <w:rPr>
                <w:rFonts w:ascii="Bookman Old Style" w:hAnsi="Bookman Old Style"/>
                <w:i/>
              </w:rPr>
              <w:t>gas combustible</w:t>
            </w:r>
            <w:r>
              <w:rPr>
                <w:rFonts w:ascii="Bookman Old Style" w:hAnsi="Bookman Old Style"/>
                <w:i/>
              </w:rPr>
              <w:t xml:space="preserve">, en </w:t>
            </w:r>
            <w:r w:rsidRPr="00C44B72">
              <w:rPr>
                <w:rFonts w:ascii="Bookman Old Style" w:hAnsi="Bookman Old Style"/>
                <w:i/>
              </w:rPr>
              <w:t>m</w:t>
            </w:r>
            <w:r w:rsidRPr="00C44B72">
              <w:rPr>
                <w:rFonts w:ascii="Bookman Old Style" w:hAnsi="Bookman Old Style"/>
                <w:i/>
                <w:vertAlign w:val="superscript"/>
              </w:rPr>
              <w:t>3</w:t>
            </w:r>
            <w:r>
              <w:rPr>
                <w:rFonts w:ascii="Bookman Old Style" w:hAnsi="Bookman Old Style"/>
                <w:i/>
              </w:rPr>
              <w:t>,</w:t>
            </w:r>
            <w:r w:rsidRPr="00C44B72">
              <w:rPr>
                <w:rFonts w:ascii="Bookman Old Style" w:hAnsi="Bookman Old Style"/>
                <w:i/>
              </w:rPr>
              <w:t xml:space="preserve"> adquirid</w:t>
            </w:r>
            <w:r>
              <w:rPr>
                <w:rFonts w:ascii="Bookman Old Style" w:hAnsi="Bookman Old Style"/>
                <w:i/>
              </w:rPr>
              <w:t>a</w:t>
            </w:r>
            <w:r w:rsidRPr="00C44B72">
              <w:rPr>
                <w:rFonts w:ascii="Bookman Old Style" w:hAnsi="Bookman Old Style"/>
                <w:i/>
              </w:rPr>
              <w:t xml:space="preserve"> con posterior a la vigencia de la Resolución CREG 089 de 2013 y</w:t>
            </w:r>
            <w:r>
              <w:rPr>
                <w:rFonts w:ascii="Bookman Old Style" w:hAnsi="Bookman Old Style"/>
                <w:i/>
              </w:rPr>
              <w:t xml:space="preserve"> en el periodo n</w:t>
            </w:r>
            <w:r w:rsidRPr="00C44B72">
              <w:rPr>
                <w:rFonts w:ascii="Bookman Old Style" w:hAnsi="Bookman Old Style"/>
                <w:i/>
              </w:rPr>
              <w:t xml:space="preserve"> mediante el mecanismo de negociación directa.</w:t>
            </w:r>
          </w:p>
        </w:tc>
      </w:tr>
    </w:tbl>
    <w:p w:rsidR="00325EFA" w:rsidRPr="00C44B72" w:rsidRDefault="00325EFA" w:rsidP="007B2BBE">
      <w:pPr>
        <w:ind w:left="705" w:hanging="705"/>
        <w:jc w:val="both"/>
        <w:rPr>
          <w:rFonts w:ascii="Bookman Old Style" w:hAnsi="Bookman Old Style"/>
          <w:i/>
        </w:rPr>
      </w:pPr>
    </w:p>
    <w:p w:rsidR="007B2BBE" w:rsidRPr="00C44B72" w:rsidRDefault="007B2BBE" w:rsidP="007B2BBE">
      <w:pPr>
        <w:ind w:left="0"/>
        <w:jc w:val="both"/>
        <w:rPr>
          <w:rFonts w:ascii="Bookman Old Style" w:hAnsi="Bookman Old Style"/>
          <w:i/>
        </w:rPr>
      </w:pPr>
      <w:r w:rsidRPr="00C44B72">
        <w:rPr>
          <w:rFonts w:ascii="Bookman Old Style" w:hAnsi="Bookman Old Style"/>
          <w:b/>
          <w:i/>
        </w:rPr>
        <w:t xml:space="preserve">Parágrafo 1. </w:t>
      </w:r>
      <w:r w:rsidRPr="00C44B72">
        <w:rPr>
          <w:rFonts w:ascii="Bookman Old Style" w:hAnsi="Bookman Old Style"/>
          <w:i/>
        </w:rPr>
        <w:t xml:space="preserve">El cálculo del componente fijo de comercialización se hará por </w:t>
      </w:r>
      <w:r w:rsidR="00763776">
        <w:rPr>
          <w:rFonts w:ascii="Bookman Old Style" w:hAnsi="Bookman Old Style"/>
          <w:i/>
        </w:rPr>
        <w:t xml:space="preserve">cada </w:t>
      </w:r>
      <w:r w:rsidRPr="00C44B72">
        <w:rPr>
          <w:rFonts w:ascii="Bookman Old Style" w:hAnsi="Bookman Old Style"/>
          <w:i/>
        </w:rPr>
        <w:t>agente Comercializador y se aplicará para cada Mercado Relevante de Comercialización que atienda a la fecha de solicitud de cargos, establecida en la presente resolución.</w:t>
      </w:r>
    </w:p>
    <w:p w:rsidR="007B2BBE" w:rsidRPr="00C44B72" w:rsidRDefault="007B2BBE" w:rsidP="007B2BBE">
      <w:pPr>
        <w:ind w:left="0"/>
        <w:jc w:val="both"/>
        <w:rPr>
          <w:rFonts w:ascii="Bookman Old Style" w:hAnsi="Bookman Old Style"/>
          <w:b/>
          <w:i/>
        </w:rPr>
      </w:pPr>
    </w:p>
    <w:p w:rsidR="007B2BBE" w:rsidRPr="00C44B72" w:rsidRDefault="007B2BBE" w:rsidP="007B2BBE">
      <w:pPr>
        <w:ind w:left="0"/>
        <w:jc w:val="both"/>
        <w:rPr>
          <w:rFonts w:ascii="Bookman Old Style" w:hAnsi="Bookman Old Style"/>
          <w:i/>
        </w:rPr>
      </w:pPr>
      <w:r w:rsidRPr="00C44B72">
        <w:rPr>
          <w:rFonts w:ascii="Bookman Old Style" w:hAnsi="Bookman Old Style"/>
          <w:b/>
          <w:i/>
        </w:rPr>
        <w:t>Parágrafo 2:</w:t>
      </w:r>
      <w:r w:rsidRPr="00C44B72">
        <w:rPr>
          <w:rFonts w:ascii="Bookman Old Style" w:hAnsi="Bookman Old Style"/>
          <w:i/>
        </w:rPr>
        <w:t xml:space="preserve"> Para el caso de atención </w:t>
      </w:r>
      <w:r w:rsidR="00BB2B50">
        <w:rPr>
          <w:rFonts w:ascii="Bookman Old Style" w:hAnsi="Bookman Old Style"/>
          <w:i/>
        </w:rPr>
        <w:t xml:space="preserve">de </w:t>
      </w:r>
      <w:r w:rsidRPr="00C44B72">
        <w:rPr>
          <w:rFonts w:ascii="Bookman Old Style" w:hAnsi="Bookman Old Style"/>
          <w:i/>
        </w:rPr>
        <w:t>mercados relevantes nuevos, el componente variable de comercialización será definido por el Comercializador que lo atienda conforme se establece en el presente artículo. Para determinar el componente fijo de comercialización, dado que no cuenta con la información necesaria, se les fijará un Cargo Fijo de Comercialización igual al de otro Comercializador que atienda un mercado similar comparado con base en la escala y la densidad del mercado (promedio del número de usuarios que serán atendidos, y número de usuarios por unidad de longitud de red del sistema de distribución, en un horizonte de 5 años contados a partir del año en que se proyecte el inicio de la prestación del servicio)</w:t>
      </w:r>
    </w:p>
    <w:p w:rsidR="007B2BBE" w:rsidRPr="00C44B72" w:rsidRDefault="007B2BBE" w:rsidP="007B2BBE">
      <w:pPr>
        <w:ind w:left="0"/>
        <w:jc w:val="both"/>
        <w:rPr>
          <w:rFonts w:ascii="Bookman Old Style" w:hAnsi="Bookman Old Style"/>
          <w:i/>
        </w:rPr>
      </w:pPr>
    </w:p>
    <w:p w:rsidR="007B2BBE" w:rsidRPr="00C44B72" w:rsidRDefault="007B2BBE" w:rsidP="007B2BBE">
      <w:pPr>
        <w:ind w:left="0"/>
        <w:jc w:val="both"/>
        <w:rPr>
          <w:rFonts w:ascii="Bookman Old Style" w:hAnsi="Bookman Old Style"/>
          <w:i/>
        </w:rPr>
      </w:pPr>
      <w:r w:rsidRPr="00C44B72">
        <w:rPr>
          <w:rFonts w:ascii="Bookman Old Style" w:hAnsi="Bookman Old Style"/>
          <w:b/>
          <w:i/>
        </w:rPr>
        <w:t>Parágrafo 3:</w:t>
      </w:r>
      <w:r w:rsidRPr="00C44B72">
        <w:rPr>
          <w:rFonts w:ascii="Bookman Old Style" w:hAnsi="Bookman Old Style"/>
          <w:i/>
        </w:rPr>
        <w:t xml:space="preserve"> El valor </w:t>
      </w:r>
      <w:proofErr w:type="spellStart"/>
      <w:r w:rsidRPr="00C44B72">
        <w:rPr>
          <w:rFonts w:ascii="Bookman Old Style" w:hAnsi="Bookman Old Style"/>
          <w:i/>
        </w:rPr>
        <w:t>Cf</w:t>
      </w:r>
      <w:r w:rsidRPr="00C44B72">
        <w:rPr>
          <w:rFonts w:ascii="Bookman Old Style" w:hAnsi="Bookman Old Style"/>
          <w:i/>
          <w:vertAlign w:val="subscript"/>
        </w:rPr>
        <w:t>o</w:t>
      </w:r>
      <w:proofErr w:type="spellEnd"/>
      <w:r w:rsidRPr="00C44B72">
        <w:rPr>
          <w:rFonts w:ascii="Bookman Old Style" w:hAnsi="Bookman Old Style"/>
          <w:i/>
        </w:rPr>
        <w:t xml:space="preserve"> así calculado se referirá a la Fecha</w:t>
      </w:r>
      <w:r w:rsidR="000B6D70" w:rsidRPr="00C44B72">
        <w:rPr>
          <w:rFonts w:ascii="Bookman Old Style" w:hAnsi="Bookman Old Style"/>
          <w:i/>
        </w:rPr>
        <w:t xml:space="preserve"> Base de la solicitud tarifaria</w:t>
      </w:r>
      <w:r w:rsidRPr="00C44B72">
        <w:rPr>
          <w:rFonts w:ascii="Bookman Old Style" w:hAnsi="Bookman Old Style"/>
          <w:i/>
        </w:rPr>
        <w:t>.</w:t>
      </w:r>
    </w:p>
    <w:p w:rsidR="007B2BBE" w:rsidRPr="007B2BBE" w:rsidRDefault="007B2BBE" w:rsidP="007B2BBE">
      <w:pPr>
        <w:widowControl w:val="0"/>
        <w:tabs>
          <w:tab w:val="left" w:pos="1701"/>
        </w:tabs>
        <w:adjustRightInd w:val="0"/>
        <w:ind w:left="1344"/>
        <w:jc w:val="both"/>
        <w:textAlignment w:val="baseline"/>
        <w:rPr>
          <w:rFonts w:ascii="Bookman Old Style" w:hAnsi="Bookman Old Style" w:cs="Arial"/>
          <w:bCs/>
          <w:sz w:val="32"/>
        </w:rPr>
      </w:pPr>
    </w:p>
    <w:p w:rsidR="007B2BBE" w:rsidRPr="007B2BBE" w:rsidRDefault="007B2BBE" w:rsidP="007B2BBE">
      <w:pPr>
        <w:widowControl w:val="0"/>
        <w:numPr>
          <w:ilvl w:val="0"/>
          <w:numId w:val="23"/>
        </w:numPr>
        <w:tabs>
          <w:tab w:val="left" w:pos="1701"/>
        </w:tabs>
        <w:adjustRightInd w:val="0"/>
        <w:ind w:left="0" w:firstLine="1344"/>
        <w:jc w:val="both"/>
        <w:textAlignment w:val="baseline"/>
        <w:rPr>
          <w:rFonts w:ascii="Bookman Old Style" w:hAnsi="Bookman Old Style"/>
        </w:rPr>
      </w:pPr>
      <w:r w:rsidRPr="007B2BBE">
        <w:rPr>
          <w:rFonts w:ascii="Bookman Old Style" w:hAnsi="Bookman Old Style"/>
        </w:rPr>
        <w:t>Adiciónese el siguiente artículo</w:t>
      </w:r>
      <w:r w:rsidR="00AB1898">
        <w:rPr>
          <w:rFonts w:ascii="Bookman Old Style" w:hAnsi="Bookman Old Style"/>
        </w:rPr>
        <w:t xml:space="preserve"> nuevo al proyecto de r</w:t>
      </w:r>
      <w:r w:rsidR="0088218E">
        <w:rPr>
          <w:rFonts w:ascii="Bookman Old Style" w:hAnsi="Bookman Old Style"/>
        </w:rPr>
        <w:t xml:space="preserve">esolución publicado como anexo </w:t>
      </w:r>
      <w:r w:rsidR="00AB1898">
        <w:rPr>
          <w:rFonts w:ascii="Bookman Old Style" w:hAnsi="Bookman Old Style"/>
        </w:rPr>
        <w:t>de la Resolución CREG 103 de 2010</w:t>
      </w:r>
      <w:r w:rsidRPr="007B2BBE">
        <w:rPr>
          <w:rFonts w:ascii="Bookman Old Style" w:hAnsi="Bookman Old Style"/>
        </w:rPr>
        <w:t>:</w:t>
      </w:r>
    </w:p>
    <w:p w:rsidR="007B2BBE" w:rsidRPr="007B2BBE" w:rsidRDefault="007B2BBE" w:rsidP="007B2BBE">
      <w:pPr>
        <w:widowControl w:val="0"/>
        <w:adjustRightInd w:val="0"/>
        <w:ind w:left="0"/>
        <w:jc w:val="both"/>
        <w:textAlignment w:val="baseline"/>
        <w:rPr>
          <w:rFonts w:ascii="Bookman Old Style" w:hAnsi="Bookman Old Style" w:cs="Arial"/>
          <w:bCs/>
        </w:rPr>
      </w:pPr>
    </w:p>
    <w:p w:rsidR="007B2BBE" w:rsidRPr="00C44B72" w:rsidRDefault="007B2BBE" w:rsidP="002159B2">
      <w:pPr>
        <w:widowControl w:val="0"/>
        <w:tabs>
          <w:tab w:val="left" w:pos="1701"/>
        </w:tabs>
        <w:adjustRightInd w:val="0"/>
        <w:ind w:left="0"/>
        <w:jc w:val="both"/>
        <w:textAlignment w:val="baseline"/>
        <w:rPr>
          <w:rFonts w:ascii="Bookman Old Style" w:hAnsi="Bookman Old Style"/>
          <w:b/>
          <w:i/>
        </w:rPr>
      </w:pPr>
      <w:r w:rsidRPr="00C44B72">
        <w:rPr>
          <w:rFonts w:ascii="Bookman Old Style" w:hAnsi="Bookman Old Style"/>
          <w:b/>
          <w:i/>
        </w:rPr>
        <w:t>ARTICULO</w:t>
      </w:r>
      <w:r w:rsidR="00364EF2">
        <w:rPr>
          <w:rFonts w:ascii="Bookman Old Style" w:hAnsi="Bookman Old Style"/>
          <w:b/>
          <w:i/>
        </w:rPr>
        <w:t xml:space="preserve"> </w:t>
      </w:r>
      <w:r w:rsidR="00AB1898">
        <w:rPr>
          <w:rFonts w:ascii="Bookman Old Style" w:hAnsi="Bookman Old Style"/>
          <w:b/>
          <w:i/>
        </w:rPr>
        <w:t>NUEVO</w:t>
      </w:r>
      <w:r w:rsidR="00536766">
        <w:rPr>
          <w:rFonts w:ascii="Bookman Old Style" w:hAnsi="Bookman Old Style"/>
          <w:b/>
          <w:i/>
        </w:rPr>
        <w:t>.</w:t>
      </w:r>
      <w:r w:rsidRPr="00C44B72">
        <w:rPr>
          <w:rFonts w:ascii="Bookman Old Style" w:hAnsi="Bookman Old Style"/>
          <w:b/>
          <w:i/>
        </w:rPr>
        <w:t xml:space="preserve"> Margen Operacional aplicable a</w:t>
      </w:r>
      <w:r w:rsidR="006A2C69" w:rsidRPr="00C44B72">
        <w:rPr>
          <w:rFonts w:ascii="Bookman Old Style" w:hAnsi="Bookman Old Style"/>
          <w:b/>
          <w:i/>
        </w:rPr>
        <w:t xml:space="preserve"> </w:t>
      </w:r>
      <w:r w:rsidRPr="00C44B72">
        <w:rPr>
          <w:rFonts w:ascii="Bookman Old Style" w:hAnsi="Bookman Old Style"/>
          <w:b/>
          <w:i/>
        </w:rPr>
        <w:t>l</w:t>
      </w:r>
      <w:r w:rsidR="006A2C69" w:rsidRPr="00C44B72">
        <w:rPr>
          <w:rFonts w:ascii="Bookman Old Style" w:hAnsi="Bookman Old Style"/>
          <w:b/>
          <w:i/>
        </w:rPr>
        <w:t>a componente</w:t>
      </w:r>
      <w:r w:rsidRPr="00C44B72">
        <w:rPr>
          <w:rFonts w:ascii="Bookman Old Style" w:hAnsi="Bookman Old Style"/>
          <w:b/>
          <w:i/>
        </w:rPr>
        <w:t xml:space="preserve"> </w:t>
      </w:r>
      <m:oMath>
        <m:r>
          <m:rPr>
            <m:sty m:val="p"/>
          </m:rPr>
          <w:rPr>
            <w:rFonts w:ascii="Cambria Math" w:hAnsi="Cambria Math"/>
          </w:rPr>
          <w:br/>
        </m:r>
        <m:sSub>
          <m:sSubPr>
            <m:ctrlPr>
              <w:rPr>
                <w:rFonts w:ascii="Cambria Math" w:hAnsi="Cambria Math"/>
                <w:b/>
                <w:i/>
              </w:rPr>
            </m:ctrlPr>
          </m:sSubPr>
          <m:e>
            <m:r>
              <m:rPr>
                <m:sty m:val="bi"/>
              </m:rPr>
              <w:rPr>
                <w:rFonts w:ascii="Cambria Math" w:hAnsi="Cambria Math"/>
              </w:rPr>
              <m:t>G</m:t>
            </m:r>
          </m:e>
          <m:sub>
            <m:r>
              <m:rPr>
                <m:sty m:val="bi"/>
              </m:rPr>
              <w:rPr>
                <w:rFonts w:ascii="Cambria Math" w:hAnsi="Cambria Math"/>
              </w:rPr>
              <m:t>mND</m:t>
            </m:r>
          </m:sub>
        </m:sSub>
      </m:oMath>
      <w:r w:rsidR="00920A41" w:rsidRPr="00536766">
        <w:rPr>
          <w:rFonts w:ascii="Bookman Old Style" w:hAnsi="Bookman Old Style"/>
          <w:b/>
          <w:i/>
        </w:rPr>
        <w:t xml:space="preserve">,  </w:t>
      </w:r>
      <w:r w:rsidR="002159B2" w:rsidRPr="00536766">
        <w:rPr>
          <w:rFonts w:ascii="Bookman Old Style" w:hAnsi="Bookman Old Style"/>
          <w:b/>
          <w:i/>
        </w:rPr>
        <w:t>p</w:t>
      </w:r>
      <w:r w:rsidR="00920A41" w:rsidRPr="00536766">
        <w:rPr>
          <w:rFonts w:ascii="Bookman Old Style" w:hAnsi="Bookman Old Style"/>
          <w:b/>
          <w:i/>
        </w:rPr>
        <w:t xml:space="preserve">ara </w:t>
      </w:r>
      <w:r w:rsidR="002159B2" w:rsidRPr="00536766">
        <w:rPr>
          <w:rFonts w:ascii="Bookman Old Style" w:hAnsi="Bookman Old Style"/>
          <w:b/>
          <w:i/>
        </w:rPr>
        <w:t>las</w:t>
      </w:r>
      <w:r w:rsidR="00920A41" w:rsidRPr="00536766">
        <w:rPr>
          <w:rFonts w:ascii="Bookman Old Style" w:hAnsi="Bookman Old Style"/>
          <w:b/>
          <w:i/>
        </w:rPr>
        <w:t xml:space="preserve"> compras de gas </w:t>
      </w:r>
      <w:r w:rsidR="002159B2" w:rsidRPr="00536766">
        <w:rPr>
          <w:rFonts w:ascii="Bookman Old Style" w:hAnsi="Bookman Old Style"/>
          <w:b/>
          <w:i/>
        </w:rPr>
        <w:t xml:space="preserve">natural </w:t>
      </w:r>
      <w:r w:rsidR="001E1A54">
        <w:rPr>
          <w:rFonts w:ascii="Bookman Old Style" w:hAnsi="Bookman Old Style"/>
          <w:b/>
          <w:i/>
        </w:rPr>
        <w:t>realizadas</w:t>
      </w:r>
      <w:r w:rsidR="002159B2" w:rsidRPr="00536766">
        <w:rPr>
          <w:rFonts w:ascii="Bookman Old Style" w:hAnsi="Bookman Old Style"/>
          <w:b/>
          <w:i/>
        </w:rPr>
        <w:t xml:space="preserve"> con posterior</w:t>
      </w:r>
      <w:r w:rsidR="001E1A54">
        <w:rPr>
          <w:rFonts w:ascii="Bookman Old Style" w:hAnsi="Bookman Old Style"/>
          <w:b/>
          <w:i/>
        </w:rPr>
        <w:t>idad</w:t>
      </w:r>
      <w:r w:rsidR="002159B2" w:rsidRPr="00536766">
        <w:rPr>
          <w:rFonts w:ascii="Bookman Old Style" w:hAnsi="Bookman Old Style"/>
          <w:b/>
          <w:i/>
        </w:rPr>
        <w:t xml:space="preserve"> a la vigencia de la Resolución CREG 089 de 2013 y a través del </w:t>
      </w:r>
      <w:r w:rsidRPr="00536766">
        <w:rPr>
          <w:rFonts w:ascii="Bookman Old Style" w:hAnsi="Bookman Old Style"/>
          <w:b/>
          <w:i/>
        </w:rPr>
        <w:t>mecanismo de negociación directa.</w:t>
      </w:r>
      <w:r w:rsidRPr="00C44B72">
        <w:rPr>
          <w:rFonts w:ascii="Bookman Old Style" w:hAnsi="Bookman Old Style"/>
          <w:b/>
          <w:i/>
        </w:rPr>
        <w:t xml:space="preserve"> </w:t>
      </w:r>
      <w:r w:rsidRPr="00C44B72">
        <w:rPr>
          <w:rFonts w:ascii="Bookman Old Style" w:hAnsi="Bookman Old Style"/>
          <w:i/>
        </w:rPr>
        <w:t>Si con base en lo dispuesto en el Artículo 24 de la Resolución CREG 089 de 2013 se determina que el mecanismo de comercialización a aplicar es el de negociación</w:t>
      </w:r>
      <w:r w:rsidRPr="00C44B72">
        <w:rPr>
          <w:rFonts w:ascii="Bookman Old Style" w:hAnsi="Bookman Old Style"/>
          <w:b/>
          <w:i/>
        </w:rPr>
        <w:t xml:space="preserve"> </w:t>
      </w:r>
      <w:r w:rsidRPr="00C44B72">
        <w:rPr>
          <w:rFonts w:ascii="Bookman Old Style" w:hAnsi="Bookman Old Style"/>
          <w:i/>
        </w:rPr>
        <w:t>directa  en un periodo definido</w:t>
      </w:r>
      <w:r w:rsidR="002159B2" w:rsidRPr="00C44B72">
        <w:rPr>
          <w:rFonts w:ascii="Bookman Old Style" w:hAnsi="Bookman Old Style"/>
          <w:b/>
          <w:i/>
        </w:rPr>
        <w:t xml:space="preserve"> </w:t>
      </w:r>
      <w:r w:rsidR="002159B2" w:rsidRPr="00C44B72">
        <w:rPr>
          <w:rFonts w:ascii="Bookman Old Style" w:hAnsi="Bookman Old Style"/>
          <w:i/>
        </w:rPr>
        <w:t>conforme</w:t>
      </w:r>
      <w:r w:rsidR="002159B2" w:rsidRPr="00C44B72">
        <w:rPr>
          <w:rFonts w:ascii="Bookman Old Style" w:hAnsi="Bookman Old Style"/>
          <w:b/>
          <w:i/>
        </w:rPr>
        <w:t xml:space="preserve"> </w:t>
      </w:r>
      <w:r w:rsidR="002159B2" w:rsidRPr="00C44B72">
        <w:rPr>
          <w:rFonts w:ascii="Bookman Old Style" w:hAnsi="Bookman Old Style"/>
          <w:i/>
        </w:rPr>
        <w:t>a lo dispuesto en el Artículo 24 de la misma Resolución CREG 089 de 2013</w:t>
      </w:r>
      <w:r w:rsidRPr="00C44B72">
        <w:rPr>
          <w:rFonts w:ascii="Bookman Old Style" w:hAnsi="Bookman Old Style"/>
          <w:i/>
        </w:rPr>
        <w:t xml:space="preserve">, </w:t>
      </w:r>
      <w:r w:rsidRPr="00C44B72">
        <w:rPr>
          <w:rFonts w:ascii="Bookman Old Style" w:hAnsi="Bookman Old Style" w:cs="Arial"/>
          <w:bCs/>
          <w:i/>
        </w:rPr>
        <w:t xml:space="preserve">el comercializador establecerá el margen de operación aplicable a la  componente de compras de gas </w:t>
      </w:r>
      <m:oMath>
        <m:sSub>
          <m:sSubPr>
            <m:ctrlPr>
              <w:rPr>
                <w:rFonts w:ascii="Cambria Math" w:hAnsi="Cambria Math"/>
                <w:i/>
              </w:rPr>
            </m:ctrlPr>
          </m:sSubPr>
          <m:e>
            <m:r>
              <w:rPr>
                <w:rFonts w:ascii="Cambria Math" w:hAnsi="Cambria Math"/>
              </w:rPr>
              <m:t>G</m:t>
            </m:r>
          </m:e>
          <m:sub>
            <m:r>
              <w:rPr>
                <w:rFonts w:ascii="Cambria Math" w:hAnsi="Cambria Math"/>
              </w:rPr>
              <m:t>mND</m:t>
            </m:r>
          </m:sub>
        </m:sSub>
      </m:oMath>
      <w:r w:rsidRPr="00C44B72">
        <w:rPr>
          <w:rFonts w:ascii="Bookman Old Style" w:hAnsi="Bookman Old Style" w:cs="Arial"/>
          <w:bCs/>
          <w:i/>
        </w:rPr>
        <w:t xml:space="preserve"> así:</w:t>
      </w:r>
    </w:p>
    <w:p w:rsidR="00980F7B" w:rsidRPr="00C44B72" w:rsidRDefault="00980F7B" w:rsidP="007B2BBE">
      <w:pPr>
        <w:widowControl w:val="0"/>
        <w:tabs>
          <w:tab w:val="left" w:pos="1701"/>
        </w:tabs>
        <w:adjustRightInd w:val="0"/>
        <w:ind w:left="1344"/>
        <w:jc w:val="both"/>
        <w:textAlignment w:val="baseline"/>
        <w:rPr>
          <w:rFonts w:ascii="Bookman Old Style" w:hAnsi="Bookman Old Style" w:cs="Arial"/>
          <w:b/>
          <w:bCs/>
          <w:i/>
        </w:rPr>
      </w:pPr>
    </w:p>
    <w:p w:rsidR="007B2BBE" w:rsidRPr="00C44B72" w:rsidRDefault="007B2BBE" w:rsidP="007B2BBE">
      <w:pPr>
        <w:numPr>
          <w:ilvl w:val="0"/>
          <w:numId w:val="24"/>
        </w:numPr>
        <w:ind w:left="426" w:hanging="426"/>
        <w:contextualSpacing/>
        <w:jc w:val="both"/>
        <w:rPr>
          <w:rFonts w:ascii="Bookman Old Style" w:hAnsi="Bookman Old Style"/>
          <w:i/>
          <w:szCs w:val="20"/>
          <w:lang w:val="es-CO"/>
        </w:rPr>
      </w:pPr>
      <w:r w:rsidRPr="00C44B72">
        <w:rPr>
          <w:rFonts w:ascii="Bookman Old Style" w:hAnsi="Bookman Old Style"/>
          <w:i/>
          <w:szCs w:val="20"/>
          <w:lang w:val="es-CO"/>
        </w:rPr>
        <w:t>La CREG hará público, una vez terminado el periodo de negociaciones directas de que trata el artículo 25 de la Resolución CREG 089 de 2013 y una vez se conozcan la declaración de los resultados de  las negociaciones en ese periodo, el precio máximo, precio mínimo y el precio promedio ponderado de los contratos de gas</w:t>
      </w:r>
      <w:r w:rsidR="00DD24CB" w:rsidRPr="00C44B72">
        <w:rPr>
          <w:rFonts w:ascii="Bookman Old Style" w:hAnsi="Bookman Old Style"/>
          <w:i/>
          <w:szCs w:val="20"/>
          <w:lang w:val="es-CO"/>
        </w:rPr>
        <w:t xml:space="preserve"> negociados en dicho periodo.</w:t>
      </w:r>
    </w:p>
    <w:p w:rsidR="007B2BBE" w:rsidRPr="00C44B72" w:rsidRDefault="007B2BBE" w:rsidP="007B2BBE">
      <w:pPr>
        <w:widowControl w:val="0"/>
        <w:tabs>
          <w:tab w:val="left" w:pos="1701"/>
        </w:tabs>
        <w:adjustRightInd w:val="0"/>
        <w:ind w:left="0"/>
        <w:jc w:val="both"/>
        <w:textAlignment w:val="baseline"/>
        <w:rPr>
          <w:rFonts w:ascii="Bookman Old Style" w:hAnsi="Bookman Old Style" w:cs="Arial"/>
          <w:b/>
          <w:bCs/>
          <w:i/>
        </w:rPr>
      </w:pPr>
    </w:p>
    <w:p w:rsidR="007B2BBE" w:rsidRPr="00C44B72" w:rsidRDefault="007B2BBE" w:rsidP="007B2BBE">
      <w:pPr>
        <w:numPr>
          <w:ilvl w:val="0"/>
          <w:numId w:val="24"/>
        </w:numPr>
        <w:ind w:left="426" w:hanging="426"/>
        <w:contextualSpacing/>
        <w:jc w:val="both"/>
        <w:rPr>
          <w:rFonts w:ascii="Bookman Old Style" w:hAnsi="Bookman Old Style"/>
          <w:i/>
          <w:szCs w:val="20"/>
          <w:lang w:val="es-CO"/>
        </w:rPr>
      </w:pPr>
      <w:r w:rsidRPr="00C44B72">
        <w:rPr>
          <w:rFonts w:ascii="Bookman Old Style" w:hAnsi="Bookman Old Style"/>
          <w:i/>
          <w:szCs w:val="20"/>
          <w:lang w:val="es-CO"/>
        </w:rPr>
        <w:t xml:space="preserve">El comercializador usando esa publicación y el precio </w:t>
      </w:r>
      <w:r w:rsidR="00920A41" w:rsidRPr="00C44B72">
        <w:rPr>
          <w:rFonts w:ascii="Bookman Old Style" w:hAnsi="Bookman Old Style"/>
          <w:i/>
          <w:szCs w:val="20"/>
          <w:lang w:val="es-CO"/>
        </w:rPr>
        <w:t xml:space="preserve">del </w:t>
      </w:r>
      <w:r w:rsidRPr="00C44B72">
        <w:rPr>
          <w:rFonts w:ascii="Bookman Old Style" w:hAnsi="Bookman Old Style"/>
          <w:i/>
          <w:szCs w:val="20"/>
          <w:lang w:val="es-CO"/>
        </w:rPr>
        <w:t xml:space="preserve"> gas</w:t>
      </w:r>
      <w:r w:rsidR="00920A41" w:rsidRPr="00C44B72">
        <w:rPr>
          <w:rFonts w:ascii="Bookman Old Style" w:hAnsi="Bookman Old Style"/>
          <w:i/>
          <w:szCs w:val="20"/>
          <w:lang w:val="es-CO"/>
        </w:rPr>
        <w:t xml:space="preserve"> obtenido por el mismo </w:t>
      </w:r>
      <w:r w:rsidRPr="00C44B72">
        <w:rPr>
          <w:rFonts w:ascii="Bookman Old Style" w:hAnsi="Bookman Old Style"/>
          <w:i/>
          <w:szCs w:val="20"/>
          <w:lang w:val="es-CO"/>
        </w:rPr>
        <w:t xml:space="preserve"> </w:t>
      </w:r>
      <w:r w:rsidR="00920A41" w:rsidRPr="00C44B72">
        <w:rPr>
          <w:rFonts w:ascii="Bookman Old Style" w:hAnsi="Bookman Old Style"/>
          <w:i/>
          <w:szCs w:val="20"/>
          <w:lang w:val="es-CO"/>
        </w:rPr>
        <w:t xml:space="preserve">en ese periodo </w:t>
      </w:r>
      <w:r w:rsidRPr="00C44B72">
        <w:rPr>
          <w:rFonts w:ascii="Bookman Old Style" w:hAnsi="Bookman Old Style"/>
          <w:i/>
          <w:szCs w:val="20"/>
          <w:lang w:val="es-CO"/>
        </w:rPr>
        <w:t>para atender su demanda regulada, establecerá el margen de operación aplicable al componente</w:t>
      </w:r>
      <w:r w:rsidR="00C44B72" w:rsidRPr="00C44B72">
        <w:rPr>
          <w:rFonts w:ascii="Bookman Old Style" w:hAnsi="Bookman Old Style"/>
          <w:i/>
          <w:szCs w:val="20"/>
          <w:lang w:val="es-CO"/>
        </w:rPr>
        <w:t xml:space="preserve"> </w:t>
      </w:r>
      <m:oMath>
        <m:sSub>
          <m:sSubPr>
            <m:ctrlPr>
              <w:rPr>
                <w:rFonts w:ascii="Cambria Math" w:hAnsi="Cambria Math"/>
                <w:i/>
              </w:rPr>
            </m:ctrlPr>
          </m:sSubPr>
          <m:e>
            <m:r>
              <w:rPr>
                <w:rFonts w:ascii="Cambria Math" w:hAnsi="Cambria Math"/>
              </w:rPr>
              <m:t>G</m:t>
            </m:r>
          </m:e>
          <m:sub>
            <m:r>
              <w:rPr>
                <w:rFonts w:ascii="Cambria Math" w:hAnsi="Cambria Math"/>
              </w:rPr>
              <m:t xml:space="preserve">mND   </m:t>
            </m:r>
          </m:sub>
        </m:sSub>
      </m:oMath>
      <w:r w:rsidRPr="00C44B72">
        <w:rPr>
          <w:rFonts w:ascii="Bookman Old Style" w:hAnsi="Bookman Old Style"/>
          <w:i/>
          <w:szCs w:val="20"/>
          <w:lang w:val="es-CO"/>
        </w:rPr>
        <w:t>usando las siguientes fórmulas:</w:t>
      </w:r>
    </w:p>
    <w:p w:rsidR="007B2BBE" w:rsidRPr="00C44B72" w:rsidRDefault="007B2BBE" w:rsidP="007B2BBE">
      <w:pPr>
        <w:ind w:left="426"/>
        <w:contextualSpacing/>
        <w:jc w:val="both"/>
        <w:rPr>
          <w:rFonts w:ascii="Bookman Old Style" w:hAnsi="Bookman Old Style"/>
          <w:i/>
          <w:szCs w:val="20"/>
          <w:lang w:val="es-CO"/>
        </w:rPr>
      </w:pPr>
    </w:p>
    <w:p w:rsidR="007B2BBE" w:rsidRPr="00C44B72" w:rsidRDefault="007B2BBE" w:rsidP="007B2BBE">
      <w:pPr>
        <w:widowControl w:val="0"/>
        <w:tabs>
          <w:tab w:val="left" w:pos="567"/>
        </w:tabs>
        <w:adjustRightInd w:val="0"/>
        <w:ind w:left="0"/>
        <w:jc w:val="both"/>
        <w:textAlignment w:val="baseline"/>
        <w:rPr>
          <w:rFonts w:ascii="Bookman Old Style" w:hAnsi="Bookman Old Style" w:cs="Arial"/>
          <w:bCs/>
          <w:i/>
        </w:rPr>
      </w:pPr>
      <w:r w:rsidRPr="00C44B72">
        <w:rPr>
          <w:rFonts w:ascii="Bookman Old Style" w:hAnsi="Bookman Old Style" w:cs="Arial"/>
          <w:bCs/>
          <w:i/>
        </w:rPr>
        <w:tab/>
      </w:r>
      <w:r w:rsidRPr="00C44B72">
        <w:rPr>
          <w:rFonts w:ascii="Bookman Old Style" w:hAnsi="Bookman Old Style" w:cs="Arial"/>
          <w:bCs/>
          <w:i/>
          <w:sz w:val="28"/>
        </w:rPr>
        <w:t xml:space="preserve">Si  </w:t>
      </w:r>
      <m:oMath>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 xml:space="preserve">gc </m:t>
            </m:r>
          </m:sub>
        </m:sSub>
        <m:r>
          <w:rPr>
            <w:rFonts w:ascii="Cambria Math" w:hAnsi="Cambria Math" w:cs="Arial"/>
            <w:sz w:val="28"/>
          </w:rPr>
          <m:t>&lt;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oMath>
      <w:r w:rsidRPr="00C44B72">
        <w:rPr>
          <w:rFonts w:ascii="Bookman Old Style" w:hAnsi="Bookman Old Style" w:cs="Arial"/>
          <w:bCs/>
          <w:i/>
        </w:rPr>
        <w:t xml:space="preserve">   </w:t>
      </w:r>
    </w:p>
    <w:p w:rsidR="007B2BBE" w:rsidRPr="00C44B72" w:rsidRDefault="007B2BBE" w:rsidP="007B2BBE">
      <w:pPr>
        <w:widowControl w:val="0"/>
        <w:tabs>
          <w:tab w:val="left" w:pos="567"/>
        </w:tabs>
        <w:adjustRightInd w:val="0"/>
        <w:ind w:left="0"/>
        <w:jc w:val="both"/>
        <w:textAlignment w:val="baseline"/>
        <w:rPr>
          <w:rFonts w:ascii="Bookman Old Style" w:hAnsi="Bookman Old Style" w:cs="Arial"/>
          <w:bCs/>
          <w:i/>
        </w:rPr>
      </w:pPr>
    </w:p>
    <w:p w:rsidR="007B2BBE" w:rsidRPr="00C44B72" w:rsidRDefault="007B2BBE" w:rsidP="007B2BBE">
      <w:pPr>
        <w:widowControl w:val="0"/>
        <w:tabs>
          <w:tab w:val="left" w:pos="567"/>
        </w:tabs>
        <w:adjustRightInd w:val="0"/>
        <w:ind w:left="0"/>
        <w:jc w:val="both"/>
        <w:textAlignment w:val="baseline"/>
        <w:rPr>
          <w:rFonts w:ascii="Bookman Old Style" w:hAnsi="Bookman Old Style" w:cs="Arial"/>
          <w:bCs/>
          <w:i/>
        </w:rPr>
      </w:pPr>
    </w:p>
    <w:p w:rsidR="007B2BBE" w:rsidRPr="00C44B72" w:rsidRDefault="00A71287" w:rsidP="007B2BBE">
      <w:pPr>
        <w:widowControl w:val="0"/>
        <w:tabs>
          <w:tab w:val="left" w:pos="567"/>
        </w:tabs>
        <w:adjustRightInd w:val="0"/>
        <w:ind w:left="0"/>
        <w:jc w:val="center"/>
        <w:textAlignment w:val="baseline"/>
        <w:rPr>
          <w:rFonts w:ascii="Bookman Old Style" w:hAnsi="Bookman Old Style" w:cs="Arial"/>
          <w:bCs/>
          <w:i/>
          <w:sz w:val="28"/>
        </w:rPr>
      </w:pPr>
      <m:oMathPara>
        <m:oMath>
          <m:sSub>
            <m:sSubPr>
              <m:ctrlPr>
                <w:rPr>
                  <w:rFonts w:ascii="Cambria Math" w:hAnsi="Cambria Math" w:cs="Arial"/>
                  <w:bCs/>
                  <w:i/>
                  <w:sz w:val="28"/>
                </w:rPr>
              </m:ctrlPr>
            </m:sSubPr>
            <m:e>
              <m:r>
                <w:rPr>
                  <w:rFonts w:ascii="Cambria Math" w:hAnsi="Cambria Math" w:cs="Arial"/>
                  <w:sz w:val="28"/>
                </w:rPr>
                <m:t>MO</m:t>
              </m:r>
            </m:e>
            <m:sub>
              <m:r>
                <w:rPr>
                  <w:rFonts w:ascii="Cambria Math" w:hAnsi="Cambria Math" w:cs="Arial"/>
                  <w:sz w:val="28"/>
                </w:rPr>
                <m:t>GmND</m:t>
              </m:r>
            </m:sub>
          </m:sSub>
          <m:r>
            <w:rPr>
              <w:rFonts w:ascii="Cambria Math" w:hAnsi="Cambria Math" w:cs="Arial"/>
              <w:sz w:val="28"/>
            </w:rPr>
            <m:t>=</m:t>
          </m:r>
          <m:f>
            <m:fPr>
              <m:ctrlPr>
                <w:rPr>
                  <w:rFonts w:ascii="Cambria Math" w:hAnsi="Cambria Math" w:cs="Arial"/>
                  <w:bCs/>
                  <w:i/>
                  <w:sz w:val="28"/>
                </w:rPr>
              </m:ctrlPr>
            </m:fPr>
            <m:num>
              <m:r>
                <w:rPr>
                  <w:rFonts w:ascii="Cambria Math" w:hAnsi="Cambria Math" w:cs="Arial"/>
                  <w:sz w:val="28"/>
                </w:rPr>
                <m:t>0,5MO</m:t>
              </m:r>
            </m:num>
            <m:den>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gmin</m:t>
                  </m:r>
                </m:sub>
              </m:sSub>
              <m:r>
                <w:rPr>
                  <w:rFonts w:ascii="Cambria Math" w:hAnsi="Cambria Math" w:cs="Arial"/>
                  <w:sz w:val="28"/>
                </w:rPr>
                <m: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den>
          </m:f>
          <m:r>
            <w:rPr>
              <w:rFonts w:ascii="Cambria Math" w:hAnsi="Cambria Math" w:cs="Arial"/>
              <w:sz w:val="28"/>
            </w:rPr>
            <m:t>×</m:t>
          </m:r>
          <m:d>
            <m:dPr>
              <m:ctrlPr>
                <w:rPr>
                  <w:rFonts w:ascii="Cambria Math" w:hAnsi="Cambria Math" w:cs="Arial"/>
                  <w:bCs/>
                  <w:i/>
                  <w:sz w:val="28"/>
                </w:rPr>
              </m:ctrlPr>
            </m:dPr>
            <m:e>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gc</m:t>
                  </m:r>
                </m:sub>
              </m:sSub>
              <m:r>
                <w:rPr>
                  <w:rFonts w:ascii="Cambria Math" w:hAnsi="Cambria Math" w:cs="Arial"/>
                  <w:sz w:val="28"/>
                </w:rPr>
                <m: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gmin</m:t>
                  </m:r>
                </m:sub>
              </m:sSub>
            </m:e>
          </m:d>
          <m:r>
            <w:rPr>
              <w:rFonts w:ascii="Cambria Math" w:hAnsi="Cambria Math" w:cs="Arial"/>
              <w:sz w:val="28"/>
            </w:rPr>
            <m:t>+1,5MO</m:t>
          </m:r>
        </m:oMath>
      </m:oMathPara>
    </w:p>
    <w:p w:rsidR="007B2BBE" w:rsidRPr="00C44B72" w:rsidRDefault="007B2BBE" w:rsidP="007B2BBE">
      <w:pPr>
        <w:widowControl w:val="0"/>
        <w:tabs>
          <w:tab w:val="left" w:pos="1701"/>
        </w:tabs>
        <w:adjustRightInd w:val="0"/>
        <w:ind w:left="1344"/>
        <w:jc w:val="both"/>
        <w:textAlignment w:val="baseline"/>
        <w:rPr>
          <w:rFonts w:ascii="Bookman Old Style" w:hAnsi="Bookman Old Style" w:cs="Arial"/>
          <w:bCs/>
          <w:i/>
        </w:rPr>
      </w:pPr>
    </w:p>
    <w:p w:rsidR="007B2BBE" w:rsidRPr="00C44B72" w:rsidRDefault="007B2BBE" w:rsidP="007B2BBE">
      <w:pPr>
        <w:widowControl w:val="0"/>
        <w:tabs>
          <w:tab w:val="left" w:pos="1701"/>
        </w:tabs>
        <w:adjustRightInd w:val="0"/>
        <w:jc w:val="both"/>
        <w:textAlignment w:val="baseline"/>
        <w:rPr>
          <w:rFonts w:ascii="Bookman Old Style" w:hAnsi="Bookman Old Style" w:cs="Arial"/>
          <w:bCs/>
          <w:i/>
          <w:sz w:val="28"/>
        </w:rPr>
      </w:pPr>
      <w:r w:rsidRPr="00C44B72">
        <w:rPr>
          <w:rFonts w:ascii="Bookman Old Style" w:hAnsi="Bookman Old Style" w:cs="Arial"/>
          <w:bCs/>
          <w:i/>
          <w:sz w:val="28"/>
        </w:rPr>
        <w:t xml:space="preserve">Si  </w:t>
      </w:r>
      <m:oMath>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 xml:space="preserve">gc </m:t>
            </m:r>
          </m:sub>
        </m:sSub>
        <m:r>
          <w:rPr>
            <w:rFonts w:ascii="Cambria Math" w:hAnsi="Cambria Math" w:cs="Arial"/>
            <w:sz w:val="28"/>
          </w:rPr>
          <m:t>&gt;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oMath>
      <w:r w:rsidRPr="00C44B72">
        <w:rPr>
          <w:rFonts w:ascii="Bookman Old Style" w:hAnsi="Bookman Old Style" w:cs="Arial"/>
          <w:bCs/>
          <w:i/>
          <w:sz w:val="28"/>
        </w:rPr>
        <w:t xml:space="preserve">    </w:t>
      </w:r>
    </w:p>
    <w:p w:rsidR="007B2BBE" w:rsidRPr="00C44B72" w:rsidRDefault="007B2BBE" w:rsidP="007B2BBE">
      <w:pPr>
        <w:widowControl w:val="0"/>
        <w:tabs>
          <w:tab w:val="left" w:pos="1701"/>
        </w:tabs>
        <w:adjustRightInd w:val="0"/>
        <w:jc w:val="both"/>
        <w:textAlignment w:val="baseline"/>
        <w:rPr>
          <w:rFonts w:ascii="Bookman Old Style" w:hAnsi="Bookman Old Style" w:cs="Arial"/>
          <w:bCs/>
          <w:i/>
        </w:rPr>
      </w:pPr>
    </w:p>
    <w:p w:rsidR="007B2BBE" w:rsidRPr="00C44B72" w:rsidRDefault="00A71287" w:rsidP="007B2BBE">
      <w:pPr>
        <w:widowControl w:val="0"/>
        <w:tabs>
          <w:tab w:val="left" w:pos="1701"/>
        </w:tabs>
        <w:adjustRightInd w:val="0"/>
        <w:jc w:val="center"/>
        <w:textAlignment w:val="baseline"/>
        <w:rPr>
          <w:rFonts w:ascii="Bookman Old Style" w:hAnsi="Bookman Old Style" w:cs="Arial"/>
          <w:bCs/>
          <w:i/>
          <w:sz w:val="28"/>
        </w:rPr>
      </w:pPr>
      <m:oMathPara>
        <m:oMath>
          <m:sSub>
            <m:sSubPr>
              <m:ctrlPr>
                <w:rPr>
                  <w:rFonts w:ascii="Cambria Math" w:hAnsi="Cambria Math" w:cs="Arial"/>
                  <w:bCs/>
                  <w:i/>
                  <w:sz w:val="28"/>
                </w:rPr>
              </m:ctrlPr>
            </m:sSubPr>
            <m:e>
              <m:r>
                <w:rPr>
                  <w:rFonts w:ascii="Cambria Math" w:hAnsi="Cambria Math" w:cs="Arial"/>
                  <w:sz w:val="28"/>
                </w:rPr>
                <m:t>MO</m:t>
              </m:r>
            </m:e>
            <m:sub>
              <m:r>
                <w:rPr>
                  <w:rFonts w:ascii="Cambria Math" w:hAnsi="Cambria Math" w:cs="Arial"/>
                  <w:sz w:val="28"/>
                </w:rPr>
                <m:t>GmND</m:t>
              </m:r>
            </m:sub>
          </m:sSub>
          <m:r>
            <w:rPr>
              <w:rFonts w:ascii="Cambria Math" w:hAnsi="Cambria Math" w:cs="Arial"/>
              <w:sz w:val="28"/>
            </w:rPr>
            <m:t>=</m:t>
          </m:r>
          <m:f>
            <m:fPr>
              <m:ctrlPr>
                <w:rPr>
                  <w:rFonts w:ascii="Cambria Math" w:hAnsi="Cambria Math" w:cs="Arial"/>
                  <w:bCs/>
                  <w:i/>
                  <w:sz w:val="28"/>
                </w:rPr>
              </m:ctrlPr>
            </m:fPr>
            <m:num>
              <m:r>
                <w:rPr>
                  <w:rFonts w:ascii="Cambria Math" w:hAnsi="Cambria Math" w:cs="Arial"/>
                  <w:sz w:val="28"/>
                </w:rPr>
                <m:t>0,5MO</m:t>
              </m:r>
            </m:num>
            <m:den>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r>
                <w:rPr>
                  <w:rFonts w:ascii="Cambria Math" w:hAnsi="Cambria Math" w:cs="Arial"/>
                  <w:sz w:val="28"/>
                </w:rPr>
                <m: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gmax</m:t>
                  </m:r>
                </m:sub>
              </m:sSub>
            </m:den>
          </m:f>
          <m:r>
            <w:rPr>
              <w:rFonts w:ascii="Cambria Math" w:hAnsi="Cambria Math" w:cs="Arial"/>
              <w:sz w:val="28"/>
            </w:rPr>
            <m:t>×</m:t>
          </m:r>
          <m:d>
            <m:dPr>
              <m:ctrlPr>
                <w:rPr>
                  <w:rFonts w:ascii="Cambria Math" w:hAnsi="Cambria Math" w:cs="Arial"/>
                  <w:bCs/>
                  <w:i/>
                  <w:sz w:val="28"/>
                </w:rPr>
              </m:ctrlPr>
            </m:dPr>
            <m:e>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gc</m:t>
                  </m:r>
                </m:sub>
              </m:sSub>
              <m:r>
                <w:rPr>
                  <w:rFonts w:ascii="Cambria Math" w:hAnsi="Cambria Math" w:cs="Arial"/>
                  <w:sz w:val="28"/>
                </w:rPr>
                <m:t>-</m:t>
              </m:r>
              <m:sSub>
                <m:sSubPr>
                  <m:ctrlPr>
                    <w:rPr>
                      <w:rFonts w:ascii="Cambria Math" w:hAnsi="Cambria Math" w:cs="Arial"/>
                      <w:bCs/>
                      <w:i/>
                      <w:sz w:val="28"/>
                    </w:rPr>
                  </m:ctrlPr>
                </m:sSubPr>
                <m:e>
                  <m:r>
                    <w:rPr>
                      <w:rFonts w:ascii="Cambria Math" w:hAnsi="Cambria Math" w:cs="Arial"/>
                      <w:sz w:val="28"/>
                    </w:rPr>
                    <m:t>P</m:t>
                  </m:r>
                </m:e>
                <m:sub>
                  <m:r>
                    <w:rPr>
                      <w:rFonts w:ascii="Cambria Math" w:hAnsi="Cambria Math" w:cs="Arial"/>
                      <w:sz w:val="28"/>
                    </w:rPr>
                    <m:t>gprom</m:t>
                  </m:r>
                </m:sub>
              </m:sSub>
            </m:e>
          </m:d>
          <m:r>
            <w:rPr>
              <w:rFonts w:ascii="Cambria Math" w:hAnsi="Cambria Math" w:cs="Arial"/>
              <w:sz w:val="28"/>
            </w:rPr>
            <m:t>+MO</m:t>
          </m:r>
        </m:oMath>
      </m:oMathPara>
    </w:p>
    <w:p w:rsidR="00E85FB8" w:rsidRDefault="00E85FB8" w:rsidP="007B2BBE">
      <w:pPr>
        <w:widowControl w:val="0"/>
        <w:tabs>
          <w:tab w:val="left" w:pos="1701"/>
        </w:tabs>
        <w:adjustRightInd w:val="0"/>
        <w:jc w:val="both"/>
        <w:textAlignment w:val="baseline"/>
        <w:rPr>
          <w:rFonts w:ascii="Bookman Old Style" w:hAnsi="Bookman Old Style" w:cs="Arial"/>
          <w:bCs/>
          <w:i/>
        </w:rPr>
      </w:pPr>
    </w:p>
    <w:p w:rsidR="007B2BBE" w:rsidRPr="00C44B72" w:rsidRDefault="007B2BBE" w:rsidP="007B2BBE">
      <w:pPr>
        <w:widowControl w:val="0"/>
        <w:tabs>
          <w:tab w:val="left" w:pos="1701"/>
        </w:tabs>
        <w:adjustRightInd w:val="0"/>
        <w:jc w:val="both"/>
        <w:textAlignment w:val="baseline"/>
        <w:rPr>
          <w:rFonts w:ascii="Bookman Old Style" w:hAnsi="Bookman Old Style" w:cs="Arial"/>
          <w:bCs/>
          <w:i/>
        </w:rPr>
      </w:pPr>
      <w:proofErr w:type="spellStart"/>
      <w:r w:rsidRPr="00C44B72">
        <w:rPr>
          <w:rFonts w:ascii="Bookman Old Style" w:hAnsi="Bookman Old Style" w:cs="Arial"/>
          <w:bCs/>
          <w:i/>
        </w:rPr>
        <w:t>Donde</w:t>
      </w:r>
      <w:proofErr w:type="spellEnd"/>
      <w:r w:rsidRPr="00C44B72">
        <w:rPr>
          <w:rFonts w:ascii="Bookman Old Style" w:hAnsi="Bookman Old Style" w:cs="Arial"/>
          <w:bCs/>
          <w:i/>
        </w:rPr>
        <w:t>:</w:t>
      </w:r>
    </w:p>
    <w:p w:rsidR="007B2BBE" w:rsidRPr="00C44B72" w:rsidRDefault="007B2BBE" w:rsidP="007B2BBE">
      <w:pPr>
        <w:widowControl w:val="0"/>
        <w:tabs>
          <w:tab w:val="left" w:pos="1701"/>
        </w:tabs>
        <w:adjustRightInd w:val="0"/>
        <w:jc w:val="both"/>
        <w:textAlignment w:val="baseline"/>
        <w:rPr>
          <w:rFonts w:ascii="Bookman Old Style" w:hAnsi="Bookman Old Style" w:cs="Arial"/>
          <w:bCs/>
          <w:i/>
        </w:rPr>
      </w:pPr>
    </w:p>
    <w:tbl>
      <w:tblPr>
        <w:tblStyle w:val="Tablaconcuadrcula"/>
        <w:tblW w:w="0" w:type="auto"/>
        <w:tblInd w:w="9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7479"/>
      </w:tblGrid>
      <w:tr w:rsidR="007B2BBE" w:rsidRPr="00C44B72" w:rsidTr="007B2BBE">
        <w:tc>
          <w:tcPr>
            <w:tcW w:w="1134" w:type="dxa"/>
            <w:hideMark/>
          </w:tcPr>
          <w:p w:rsidR="007B2BBE" w:rsidRPr="00C44B72" w:rsidRDefault="00A71287" w:rsidP="007B2BBE">
            <w:pPr>
              <w:widowControl w:val="0"/>
              <w:tabs>
                <w:tab w:val="left" w:pos="1701"/>
              </w:tabs>
              <w:adjustRightInd w:val="0"/>
              <w:ind w:left="0"/>
              <w:jc w:val="both"/>
              <w:textAlignment w:val="baseline"/>
              <w:rPr>
                <w:rFonts w:ascii="Bookman Old Style" w:hAnsi="Bookman Old Style"/>
                <w:i/>
                <w:sz w:val="28"/>
              </w:rPr>
            </w:pPr>
            <m:oMathPara>
              <m:oMathParaPr>
                <m:jc m:val="left"/>
              </m:oMathParaPr>
              <m:oMath>
                <m:sSub>
                  <m:sSubPr>
                    <m:ctrlPr>
                      <w:rPr>
                        <w:rFonts w:ascii="Cambria Math" w:hAnsi="Cambria Math"/>
                        <w:i/>
                        <w:sz w:val="28"/>
                      </w:rPr>
                    </m:ctrlPr>
                  </m:sSubPr>
                  <m:e>
                    <m:r>
                      <w:rPr>
                        <w:rFonts w:ascii="Cambria Math" w:hAnsi="Cambria Math"/>
                        <w:sz w:val="28"/>
                      </w:rPr>
                      <m:t>P</m:t>
                    </m:r>
                  </m:e>
                  <m:sub>
                    <m:r>
                      <w:rPr>
                        <w:rFonts w:ascii="Cambria Math" w:hAnsi="Cambria Math"/>
                        <w:sz w:val="28"/>
                      </w:rPr>
                      <m:t xml:space="preserve">gc </m:t>
                    </m:r>
                  </m:sub>
                </m:sSub>
              </m:oMath>
            </m:oMathPara>
          </w:p>
        </w:tc>
        <w:tc>
          <w:tcPr>
            <w:tcW w:w="7479" w:type="dxa"/>
          </w:tcPr>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 xml:space="preserve">Precio </w:t>
            </w:r>
            <w:r w:rsidR="003D2FA2">
              <w:rPr>
                <w:rFonts w:ascii="Bookman Old Style" w:hAnsi="Bookman Old Style"/>
                <w:i/>
              </w:rPr>
              <w:t xml:space="preserve">promedio ponderado </w:t>
            </w:r>
            <w:r w:rsidRPr="00C44B72">
              <w:rPr>
                <w:rFonts w:ascii="Bookman Old Style" w:hAnsi="Bookman Old Style"/>
                <w:i/>
              </w:rPr>
              <w:t>de gas obtenido por el comercializador para la atención de su demanda regulada en el periodo de negociación directa de que trata el artículo 25 de la Resolución CREG 089 de 2013. Expresado en ($USD/MBTU)</w:t>
            </w:r>
          </w:p>
          <w:p w:rsidR="0088218E" w:rsidRPr="00C44B72" w:rsidRDefault="0088218E" w:rsidP="007B2BBE">
            <w:pPr>
              <w:widowControl w:val="0"/>
              <w:tabs>
                <w:tab w:val="left" w:pos="1701"/>
              </w:tabs>
              <w:adjustRightInd w:val="0"/>
              <w:ind w:left="0"/>
              <w:jc w:val="both"/>
              <w:textAlignment w:val="baseline"/>
              <w:rPr>
                <w:rFonts w:ascii="Bookman Old Style" w:hAnsi="Bookman Old Style"/>
                <w:i/>
              </w:rPr>
            </w:pPr>
          </w:p>
        </w:tc>
      </w:tr>
      <w:tr w:rsidR="007B2BBE" w:rsidRPr="00C44B72" w:rsidTr="007B2BBE">
        <w:tc>
          <w:tcPr>
            <w:tcW w:w="1134" w:type="dxa"/>
            <w:hideMark/>
          </w:tcPr>
          <w:p w:rsidR="007B2BBE" w:rsidRPr="00C44B72" w:rsidRDefault="00A71287" w:rsidP="007B2BBE">
            <w:pPr>
              <w:widowControl w:val="0"/>
              <w:tabs>
                <w:tab w:val="left" w:pos="1701"/>
              </w:tabs>
              <w:adjustRightInd w:val="0"/>
              <w:ind w:left="0"/>
              <w:jc w:val="both"/>
              <w:textAlignment w:val="baseline"/>
              <w:rPr>
                <w:rFonts w:ascii="Bookman Old Style" w:hAnsi="Bookman Old Style"/>
                <w:i/>
              </w:rPr>
            </w:pPr>
            <m:oMathPara>
              <m:oMathParaPr>
                <m:jc m:val="left"/>
              </m:oMathParaPr>
              <m:oMath>
                <m:sSub>
                  <m:sSubPr>
                    <m:ctrlPr>
                      <w:rPr>
                        <w:rFonts w:ascii="Cambria Math" w:hAnsi="Cambria Math"/>
                        <w:i/>
                        <w:sz w:val="28"/>
                      </w:rPr>
                    </m:ctrlPr>
                  </m:sSubPr>
                  <m:e>
                    <m:r>
                      <w:rPr>
                        <w:rFonts w:ascii="Cambria Math" w:hAnsi="Cambria Math"/>
                        <w:sz w:val="28"/>
                      </w:rPr>
                      <m:t>P</m:t>
                    </m:r>
                  </m:e>
                  <m:sub>
                    <m:r>
                      <w:rPr>
                        <w:rFonts w:ascii="Cambria Math" w:hAnsi="Cambria Math"/>
                        <w:sz w:val="28"/>
                      </w:rPr>
                      <m:t>gprom</m:t>
                    </m:r>
                  </m:sub>
                </m:sSub>
              </m:oMath>
            </m:oMathPara>
          </w:p>
        </w:tc>
        <w:tc>
          <w:tcPr>
            <w:tcW w:w="7479" w:type="dxa"/>
          </w:tcPr>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Es el precio promedio ponderado de todos los contratos de gas resultantes en el periodo de negociación directa de que trata el artículo 25 de la Resolución CREG 089 de 2013.</w:t>
            </w:r>
          </w:p>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p>
        </w:tc>
      </w:tr>
      <w:tr w:rsidR="007B2BBE" w:rsidRPr="00C44B72" w:rsidTr="007B2BBE">
        <w:tc>
          <w:tcPr>
            <w:tcW w:w="1134" w:type="dxa"/>
            <w:hideMark/>
          </w:tcPr>
          <w:p w:rsidR="007B2BBE" w:rsidRPr="00C44B72" w:rsidRDefault="00A71287" w:rsidP="007B2BBE">
            <w:pPr>
              <w:widowControl w:val="0"/>
              <w:tabs>
                <w:tab w:val="left" w:pos="1701"/>
              </w:tabs>
              <w:adjustRightInd w:val="0"/>
              <w:ind w:left="0"/>
              <w:jc w:val="both"/>
              <w:textAlignment w:val="baseline"/>
              <w:rPr>
                <w:rFonts w:ascii="Bookman Old Style" w:hAnsi="Bookman Old Style"/>
                <w:i/>
              </w:rPr>
            </w:pPr>
            <m:oMathPara>
              <m:oMathParaPr>
                <m:jc m:val="left"/>
              </m:oMathParaPr>
              <m:oMath>
                <m:sSub>
                  <m:sSubPr>
                    <m:ctrlPr>
                      <w:rPr>
                        <w:rFonts w:ascii="Cambria Math" w:hAnsi="Cambria Math"/>
                        <w:i/>
                        <w:sz w:val="28"/>
                      </w:rPr>
                    </m:ctrlPr>
                  </m:sSubPr>
                  <m:e>
                    <m:r>
                      <w:rPr>
                        <w:rFonts w:ascii="Cambria Math" w:hAnsi="Cambria Math"/>
                        <w:sz w:val="28"/>
                      </w:rPr>
                      <m:t>P</m:t>
                    </m:r>
                  </m:e>
                  <m:sub>
                    <m:r>
                      <w:rPr>
                        <w:rFonts w:ascii="Cambria Math" w:hAnsi="Cambria Math"/>
                        <w:sz w:val="28"/>
                      </w:rPr>
                      <m:t>gmin</m:t>
                    </m:r>
                  </m:sub>
                </m:sSub>
              </m:oMath>
            </m:oMathPara>
          </w:p>
        </w:tc>
        <w:tc>
          <w:tcPr>
            <w:tcW w:w="7479" w:type="dxa"/>
          </w:tcPr>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Es el precio mínimo de todos los contratos de gas resultantes en el periodo de negociación directa de que trata el artículo 25 de la Resolución CREG 089 de 2013.</w:t>
            </w:r>
          </w:p>
          <w:p w:rsidR="00C44B72" w:rsidRPr="00C44B72" w:rsidRDefault="00C44B72" w:rsidP="007B2BBE">
            <w:pPr>
              <w:widowControl w:val="0"/>
              <w:tabs>
                <w:tab w:val="left" w:pos="1701"/>
              </w:tabs>
              <w:adjustRightInd w:val="0"/>
              <w:ind w:left="0"/>
              <w:jc w:val="both"/>
              <w:textAlignment w:val="baseline"/>
              <w:rPr>
                <w:rFonts w:ascii="Bookman Old Style" w:hAnsi="Bookman Old Style"/>
                <w:i/>
              </w:rPr>
            </w:pPr>
          </w:p>
        </w:tc>
      </w:tr>
      <w:tr w:rsidR="007B2BBE" w:rsidRPr="00C44B72" w:rsidTr="007B2BBE">
        <w:tc>
          <w:tcPr>
            <w:tcW w:w="1134" w:type="dxa"/>
            <w:hideMark/>
          </w:tcPr>
          <w:p w:rsidR="007B2BBE" w:rsidRPr="00C44B72" w:rsidRDefault="00A71287" w:rsidP="007B2BBE">
            <w:pPr>
              <w:widowControl w:val="0"/>
              <w:tabs>
                <w:tab w:val="left" w:pos="1701"/>
              </w:tabs>
              <w:adjustRightInd w:val="0"/>
              <w:ind w:left="0"/>
              <w:jc w:val="both"/>
              <w:textAlignment w:val="baseline"/>
              <w:rPr>
                <w:rFonts w:ascii="Bookman Old Style" w:hAnsi="Bookman Old Style"/>
                <w:i/>
              </w:rPr>
            </w:pPr>
            <m:oMathPara>
              <m:oMathParaPr>
                <m:jc m:val="left"/>
              </m:oMathParaPr>
              <m:oMath>
                <m:sSub>
                  <m:sSubPr>
                    <m:ctrlPr>
                      <w:rPr>
                        <w:rFonts w:ascii="Cambria Math" w:hAnsi="Cambria Math"/>
                        <w:i/>
                        <w:sz w:val="28"/>
                      </w:rPr>
                    </m:ctrlPr>
                  </m:sSubPr>
                  <m:e>
                    <m:r>
                      <w:rPr>
                        <w:rFonts w:ascii="Cambria Math" w:hAnsi="Cambria Math"/>
                        <w:sz w:val="28"/>
                      </w:rPr>
                      <m:t>P</m:t>
                    </m:r>
                  </m:e>
                  <m:sub>
                    <m:r>
                      <w:rPr>
                        <w:rFonts w:ascii="Cambria Math" w:hAnsi="Cambria Math"/>
                        <w:sz w:val="28"/>
                      </w:rPr>
                      <m:t>gmax</m:t>
                    </m:r>
                  </m:sub>
                </m:sSub>
              </m:oMath>
            </m:oMathPara>
          </w:p>
        </w:tc>
        <w:tc>
          <w:tcPr>
            <w:tcW w:w="7479" w:type="dxa"/>
          </w:tcPr>
          <w:p w:rsidR="007B2BBE" w:rsidRPr="00C44B72" w:rsidRDefault="007B2BBE" w:rsidP="00C44B72">
            <w:pPr>
              <w:widowControl w:val="0"/>
              <w:tabs>
                <w:tab w:val="left" w:pos="1701"/>
              </w:tabs>
              <w:adjustRightInd w:val="0"/>
              <w:ind w:left="0"/>
              <w:jc w:val="both"/>
              <w:textAlignment w:val="baseline"/>
              <w:rPr>
                <w:rFonts w:ascii="Bookman Old Style" w:hAnsi="Bookman Old Style"/>
                <w:i/>
              </w:rPr>
            </w:pPr>
            <w:r w:rsidRPr="00C44B72">
              <w:rPr>
                <w:rFonts w:ascii="Bookman Old Style" w:hAnsi="Bookman Old Style"/>
                <w:i/>
              </w:rPr>
              <w:t>Es el precio máximo de todos los contratos de gas resultantes en el periodo de negociación directa de que trata el artículo 25 de la Resolución CREG 089 de 2013.</w:t>
            </w:r>
          </w:p>
        </w:tc>
      </w:tr>
      <w:tr w:rsidR="007B2BBE" w:rsidRPr="00C44B72" w:rsidTr="00C44B72">
        <w:tc>
          <w:tcPr>
            <w:tcW w:w="1134" w:type="dxa"/>
          </w:tcPr>
          <w:p w:rsidR="007B2BBE" w:rsidRPr="00C44B72" w:rsidRDefault="007B2BBE" w:rsidP="007B2BBE">
            <w:pPr>
              <w:widowControl w:val="0"/>
              <w:tabs>
                <w:tab w:val="left" w:pos="1701"/>
              </w:tabs>
              <w:adjustRightInd w:val="0"/>
              <w:ind w:left="0"/>
              <w:jc w:val="both"/>
              <w:textAlignment w:val="baseline"/>
              <w:rPr>
                <w:i/>
              </w:rPr>
            </w:pPr>
          </w:p>
        </w:tc>
        <w:tc>
          <w:tcPr>
            <w:tcW w:w="7479" w:type="dxa"/>
          </w:tcPr>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p>
        </w:tc>
      </w:tr>
      <w:tr w:rsidR="007B2BBE" w:rsidRPr="00C44B72" w:rsidTr="007B2BBE">
        <w:tc>
          <w:tcPr>
            <w:tcW w:w="1134" w:type="dxa"/>
            <w:hideMark/>
          </w:tcPr>
          <w:p w:rsidR="007B2BBE" w:rsidRPr="00C44B72" w:rsidRDefault="00C44B72" w:rsidP="007B2BBE">
            <w:pPr>
              <w:widowControl w:val="0"/>
              <w:tabs>
                <w:tab w:val="left" w:pos="1701"/>
              </w:tabs>
              <w:adjustRightInd w:val="0"/>
              <w:ind w:left="0"/>
              <w:jc w:val="both"/>
              <w:textAlignment w:val="baseline"/>
              <w:rPr>
                <w:i/>
              </w:rPr>
            </w:pPr>
            <m:oMathPara>
              <m:oMathParaPr>
                <m:jc m:val="left"/>
              </m:oMathParaPr>
              <m:oMath>
                <m:r>
                  <w:rPr>
                    <w:rFonts w:ascii="Cambria Math" w:hAnsi="Cambria Math"/>
                    <w:sz w:val="28"/>
                  </w:rPr>
                  <m:t>MO</m:t>
                </m:r>
              </m:oMath>
            </m:oMathPara>
          </w:p>
        </w:tc>
        <w:tc>
          <w:tcPr>
            <w:tcW w:w="7479" w:type="dxa"/>
          </w:tcPr>
          <w:p w:rsidR="007B2BBE" w:rsidRPr="00C44B72" w:rsidRDefault="007B2BBE" w:rsidP="007B2BBE">
            <w:pPr>
              <w:ind w:left="0"/>
              <w:jc w:val="both"/>
              <w:rPr>
                <w:rFonts w:ascii="Bookman Old Style" w:hAnsi="Bookman Old Style"/>
                <w:i/>
              </w:rPr>
            </w:pPr>
            <w:r w:rsidRPr="00C44B72">
              <w:rPr>
                <w:rFonts w:ascii="Bookman Old Style" w:hAnsi="Bookman Old Style"/>
                <w:i/>
              </w:rPr>
              <w:t>Margen operacional de acuerdo con lo establecido en el Artículo 6 de la presente Resolución.</w:t>
            </w:r>
          </w:p>
          <w:p w:rsidR="007B2BBE" w:rsidRPr="00C44B72" w:rsidRDefault="007B2BBE" w:rsidP="007B2BBE">
            <w:pPr>
              <w:widowControl w:val="0"/>
              <w:tabs>
                <w:tab w:val="left" w:pos="1701"/>
              </w:tabs>
              <w:adjustRightInd w:val="0"/>
              <w:ind w:left="0"/>
              <w:jc w:val="both"/>
              <w:textAlignment w:val="baseline"/>
              <w:rPr>
                <w:rFonts w:ascii="Bookman Old Style" w:hAnsi="Bookman Old Style"/>
                <w:i/>
              </w:rPr>
            </w:pPr>
          </w:p>
        </w:tc>
      </w:tr>
    </w:tbl>
    <w:p w:rsidR="00C87CEF" w:rsidRDefault="007B2BBE" w:rsidP="007B2BBE">
      <w:pPr>
        <w:widowControl w:val="0"/>
        <w:tabs>
          <w:tab w:val="left" w:pos="1701"/>
        </w:tabs>
        <w:adjustRightInd w:val="0"/>
        <w:ind w:left="0"/>
        <w:jc w:val="both"/>
        <w:textAlignment w:val="baseline"/>
        <w:rPr>
          <w:rFonts w:ascii="Bookman Old Style" w:hAnsi="Bookman Old Style" w:cs="Arial"/>
          <w:bCs/>
          <w:i/>
        </w:rPr>
      </w:pPr>
      <w:r w:rsidRPr="00C44B72">
        <w:rPr>
          <w:rFonts w:ascii="Bookman Old Style" w:hAnsi="Bookman Old Style" w:cs="Arial"/>
          <w:b/>
          <w:bCs/>
          <w:i/>
        </w:rPr>
        <w:t>Parágrafo 1.</w:t>
      </w:r>
      <w:r w:rsidRPr="00C44B72">
        <w:rPr>
          <w:rFonts w:ascii="Bookman Old Style" w:hAnsi="Bookman Old Style" w:cs="Arial"/>
          <w:bCs/>
          <w:i/>
        </w:rPr>
        <w:t xml:space="preserve"> El margen operacional aplicable a la componente de compras de gas </w:t>
      </w:r>
      <m:oMath>
        <m:sSub>
          <m:sSubPr>
            <m:ctrlPr>
              <w:rPr>
                <w:rFonts w:ascii="Cambria Math" w:hAnsi="Cambria Math"/>
                <w:i/>
              </w:rPr>
            </m:ctrlPr>
          </m:sSubPr>
          <m:e>
            <m:r>
              <w:rPr>
                <w:rFonts w:ascii="Cambria Math" w:hAnsi="Cambria Math"/>
              </w:rPr>
              <m:t>G</m:t>
            </m:r>
          </m:e>
          <m:sub>
            <m:r>
              <w:rPr>
                <w:rFonts w:ascii="Cambria Math" w:hAnsi="Cambria Math"/>
              </w:rPr>
              <m:t>mND</m:t>
            </m:r>
          </m:sub>
        </m:sSub>
      </m:oMath>
      <w:r w:rsidR="00C44B72" w:rsidRPr="00C44B72">
        <w:rPr>
          <w:rFonts w:ascii="Bookman Old Style" w:hAnsi="Bookman Old Style" w:cs="Arial"/>
          <w:i/>
        </w:rPr>
        <w:t xml:space="preserve"> </w:t>
      </w:r>
      <w:r w:rsidRPr="00C44B72">
        <w:rPr>
          <w:rFonts w:ascii="Bookman Old Style" w:hAnsi="Bookman Old Style" w:cs="Arial"/>
          <w:bCs/>
          <w:i/>
        </w:rPr>
        <w:t xml:space="preserve">se recalculará cada vez que el comercializador haga nuevas compras de gas para la atención de su demanda regulada y </w:t>
      </w:r>
      <w:r w:rsidRPr="003A5AAE">
        <w:rPr>
          <w:rFonts w:ascii="Bookman Old Style" w:hAnsi="Bookman Old Style" w:cs="Arial"/>
          <w:bCs/>
          <w:i/>
        </w:rPr>
        <w:t xml:space="preserve">comenzará a utilizarse </w:t>
      </w:r>
      <w:r w:rsidR="00C87CEF" w:rsidRPr="003A5AAE">
        <w:rPr>
          <w:rFonts w:ascii="Bookman Old Style" w:hAnsi="Bookman Old Style" w:cs="Arial"/>
          <w:bCs/>
          <w:i/>
        </w:rPr>
        <w:t xml:space="preserve">a partir del </w:t>
      </w:r>
      <w:r w:rsidRPr="003A5AAE">
        <w:rPr>
          <w:rFonts w:ascii="Bookman Old Style" w:hAnsi="Bookman Old Style" w:cs="Arial"/>
          <w:bCs/>
          <w:i/>
        </w:rPr>
        <w:t xml:space="preserve">1 de diciembre siguiente </w:t>
      </w:r>
      <w:r w:rsidR="00C87CEF" w:rsidRPr="003A5AAE">
        <w:rPr>
          <w:rFonts w:ascii="Bookman Old Style" w:hAnsi="Bookman Old Style" w:cs="Arial"/>
          <w:bCs/>
          <w:i/>
        </w:rPr>
        <w:t>y se aplicará a las compras nuevas que realice a partir de esa fecha.</w:t>
      </w:r>
    </w:p>
    <w:p w:rsidR="00C87CEF" w:rsidRPr="00C44B72" w:rsidRDefault="00C87CEF" w:rsidP="007B2BBE">
      <w:pPr>
        <w:widowControl w:val="0"/>
        <w:tabs>
          <w:tab w:val="left" w:pos="1701"/>
        </w:tabs>
        <w:adjustRightInd w:val="0"/>
        <w:ind w:left="0"/>
        <w:jc w:val="both"/>
        <w:textAlignment w:val="baseline"/>
        <w:rPr>
          <w:rFonts w:ascii="Bookman Old Style" w:hAnsi="Bookman Old Style" w:cs="Arial"/>
          <w:bCs/>
          <w:i/>
        </w:rPr>
      </w:pPr>
    </w:p>
    <w:p w:rsidR="007B2BBE" w:rsidRPr="00C44B72" w:rsidRDefault="007B2BBE" w:rsidP="007B2BBE">
      <w:pPr>
        <w:widowControl w:val="0"/>
        <w:tabs>
          <w:tab w:val="left" w:pos="1701"/>
        </w:tabs>
        <w:adjustRightInd w:val="0"/>
        <w:ind w:left="0"/>
        <w:jc w:val="both"/>
        <w:textAlignment w:val="baseline"/>
        <w:rPr>
          <w:rFonts w:ascii="Bookman Old Style" w:hAnsi="Bookman Old Style" w:cs="Arial"/>
          <w:bCs/>
          <w:i/>
        </w:rPr>
      </w:pPr>
      <w:r w:rsidRPr="00C44B72">
        <w:rPr>
          <w:rFonts w:ascii="Bookman Old Style" w:hAnsi="Bookman Old Style" w:cs="Arial"/>
          <w:b/>
          <w:bCs/>
          <w:i/>
        </w:rPr>
        <w:t>Parágrafo 2.</w:t>
      </w:r>
      <w:r w:rsidRPr="00C44B72">
        <w:rPr>
          <w:rFonts w:ascii="Bookman Old Style" w:hAnsi="Bookman Old Style" w:cs="Arial"/>
          <w:bCs/>
          <w:i/>
        </w:rPr>
        <w:t xml:space="preserve"> El margen operacional </w:t>
      </w:r>
      <w:r w:rsidR="00920A41" w:rsidRPr="00C44B72">
        <w:rPr>
          <w:rFonts w:ascii="Bookman Old Style" w:hAnsi="Bookman Old Style"/>
          <w:i/>
        </w:rPr>
        <w:t>aplicable al componente</w:t>
      </w:r>
      <w:r w:rsidR="00C44B72" w:rsidRPr="00C44B72">
        <w:rPr>
          <w:rFonts w:ascii="Bookman Old Style" w:hAnsi="Bookman Old Style"/>
          <w:i/>
        </w:rPr>
        <w:t xml:space="preserve"> </w:t>
      </w:r>
      <w:proofErr w:type="spellStart"/>
      <w:r w:rsidR="00920A41" w:rsidRPr="00C44B72">
        <w:rPr>
          <w:rFonts w:ascii="Bookman Old Style" w:hAnsi="Bookman Old Style"/>
          <w:i/>
        </w:rPr>
        <w:t>G</w:t>
      </w:r>
      <w:r w:rsidR="00920A41" w:rsidRPr="00C44B72">
        <w:rPr>
          <w:rFonts w:ascii="Bookman Old Style" w:hAnsi="Bookman Old Style"/>
          <w:i/>
          <w:vertAlign w:val="subscript"/>
        </w:rPr>
        <w:t>m</w:t>
      </w:r>
      <w:r w:rsidR="00A50AFB" w:rsidRPr="00C44B72">
        <w:rPr>
          <w:rFonts w:ascii="Bookman Old Style" w:hAnsi="Bookman Old Style"/>
          <w:i/>
          <w:vertAlign w:val="subscript"/>
        </w:rPr>
        <w:t>ND</w:t>
      </w:r>
      <w:proofErr w:type="spellEnd"/>
      <w:r w:rsidR="00920A41" w:rsidRPr="00C44B72">
        <w:rPr>
          <w:rFonts w:ascii="Bookman Old Style" w:hAnsi="Bookman Old Style"/>
          <w:i/>
        </w:rPr>
        <w:t xml:space="preserve"> </w:t>
      </w:r>
      <w:r w:rsidRPr="00C44B72">
        <w:rPr>
          <w:rFonts w:ascii="Bookman Old Style" w:hAnsi="Bookman Old Style" w:cs="Arial"/>
          <w:bCs/>
          <w:i/>
        </w:rPr>
        <w:t xml:space="preserve">se mantendrá hasta que el </w:t>
      </w:r>
      <w:r w:rsidR="00920A41" w:rsidRPr="00C44B72">
        <w:rPr>
          <w:rFonts w:ascii="Bookman Old Style" w:hAnsi="Bookman Old Style" w:cs="Arial"/>
          <w:bCs/>
          <w:i/>
        </w:rPr>
        <w:t xml:space="preserve">tiempo del </w:t>
      </w:r>
      <w:r w:rsidRPr="00C44B72">
        <w:rPr>
          <w:rFonts w:ascii="Bookman Old Style" w:hAnsi="Bookman Old Style" w:cs="Arial"/>
          <w:bCs/>
          <w:i/>
        </w:rPr>
        <w:t>contrato de compras de gas del comercializador y con el cual se calculó</w:t>
      </w:r>
      <w:r w:rsidR="00920A41" w:rsidRPr="00C44B72">
        <w:rPr>
          <w:rFonts w:ascii="Bookman Old Style" w:hAnsi="Bookman Old Style" w:cs="Arial"/>
          <w:bCs/>
          <w:i/>
        </w:rPr>
        <w:t xml:space="preserve"> dicho margen</w:t>
      </w:r>
      <w:r w:rsidRPr="00C44B72">
        <w:rPr>
          <w:rFonts w:ascii="Bookman Old Style" w:hAnsi="Bookman Old Style" w:cs="Arial"/>
          <w:bCs/>
          <w:i/>
        </w:rPr>
        <w:t xml:space="preserve"> finalice.</w:t>
      </w:r>
    </w:p>
    <w:p w:rsidR="007B2BBE" w:rsidRPr="00B4547B" w:rsidRDefault="007B2BBE" w:rsidP="007B2BBE">
      <w:pPr>
        <w:widowControl w:val="0"/>
        <w:tabs>
          <w:tab w:val="left" w:pos="1701"/>
        </w:tabs>
        <w:adjustRightInd w:val="0"/>
        <w:ind w:left="0"/>
        <w:jc w:val="both"/>
        <w:textAlignment w:val="baseline"/>
        <w:rPr>
          <w:rFonts w:ascii="Bookman Old Style" w:hAnsi="Bookman Old Style" w:cs="Arial"/>
          <w:bCs/>
          <w:sz w:val="32"/>
        </w:rPr>
      </w:pPr>
    </w:p>
    <w:p w:rsidR="00264E8F" w:rsidRDefault="00D76FD2" w:rsidP="006A2C69">
      <w:pPr>
        <w:widowControl w:val="0"/>
        <w:numPr>
          <w:ilvl w:val="0"/>
          <w:numId w:val="23"/>
        </w:numPr>
        <w:tabs>
          <w:tab w:val="left" w:pos="1701"/>
        </w:tabs>
        <w:adjustRightInd w:val="0"/>
        <w:ind w:left="0" w:firstLine="1344"/>
        <w:jc w:val="both"/>
        <w:textAlignment w:val="baseline"/>
        <w:rPr>
          <w:rFonts w:ascii="Bookman Old Style" w:hAnsi="Bookman Old Style"/>
        </w:rPr>
      </w:pPr>
      <w:r>
        <w:rPr>
          <w:rFonts w:ascii="Bookman Old Style" w:hAnsi="Bookman Old Style"/>
        </w:rPr>
        <w:t>Adiciónese</w:t>
      </w:r>
      <w:r w:rsidR="00264E8F">
        <w:rPr>
          <w:rFonts w:ascii="Bookman Old Style" w:hAnsi="Bookman Old Style"/>
        </w:rPr>
        <w:t xml:space="preserve"> el siguiente artículo</w:t>
      </w:r>
      <w:r w:rsidR="00AB1898" w:rsidRPr="00AB1898">
        <w:rPr>
          <w:rFonts w:ascii="Bookman Old Style" w:hAnsi="Bookman Old Style"/>
        </w:rPr>
        <w:t xml:space="preserve"> </w:t>
      </w:r>
      <w:r w:rsidR="00AB1898">
        <w:rPr>
          <w:rFonts w:ascii="Bookman Old Style" w:hAnsi="Bookman Old Style"/>
        </w:rPr>
        <w:t>nuevo al proyecto de resolución publicado como anexo de la Resolución CREG 103 de 2010</w:t>
      </w:r>
      <w:r w:rsidR="00264E8F">
        <w:rPr>
          <w:rFonts w:ascii="Bookman Old Style" w:hAnsi="Bookman Old Style"/>
        </w:rPr>
        <w:t>:</w:t>
      </w:r>
    </w:p>
    <w:p w:rsidR="00B4547B" w:rsidRDefault="00B4547B" w:rsidP="00B4547B">
      <w:pPr>
        <w:widowControl w:val="0"/>
        <w:tabs>
          <w:tab w:val="left" w:pos="1701"/>
        </w:tabs>
        <w:adjustRightInd w:val="0"/>
        <w:ind w:left="1344"/>
        <w:jc w:val="both"/>
        <w:textAlignment w:val="baseline"/>
        <w:rPr>
          <w:rFonts w:ascii="Bookman Old Style" w:hAnsi="Bookman Old Style"/>
        </w:rPr>
      </w:pPr>
    </w:p>
    <w:p w:rsidR="00264E8F" w:rsidRDefault="00264E8F" w:rsidP="006A2C69">
      <w:pPr>
        <w:widowControl w:val="0"/>
        <w:adjustRightInd w:val="0"/>
        <w:ind w:left="0"/>
        <w:jc w:val="both"/>
        <w:textAlignment w:val="baseline"/>
        <w:rPr>
          <w:rFonts w:ascii="Bookman Old Style" w:hAnsi="Bookman Old Style"/>
        </w:rPr>
      </w:pPr>
    </w:p>
    <w:p w:rsidR="00B4547B" w:rsidRDefault="00B4547B" w:rsidP="006A2C69">
      <w:pPr>
        <w:widowControl w:val="0"/>
        <w:adjustRightInd w:val="0"/>
        <w:ind w:left="0"/>
        <w:jc w:val="both"/>
        <w:textAlignment w:val="baseline"/>
        <w:rPr>
          <w:rFonts w:ascii="Bookman Old Style" w:hAnsi="Bookman Old Style"/>
        </w:rPr>
      </w:pPr>
    </w:p>
    <w:p w:rsidR="007B2BBE" w:rsidRPr="00C44B72" w:rsidRDefault="00264E8F" w:rsidP="006A2C69">
      <w:pPr>
        <w:widowControl w:val="0"/>
        <w:adjustRightInd w:val="0"/>
        <w:ind w:left="0"/>
        <w:jc w:val="both"/>
        <w:textAlignment w:val="baseline"/>
        <w:rPr>
          <w:rFonts w:ascii="Bookman Old Style" w:hAnsi="Bookman Old Style"/>
          <w:i/>
        </w:rPr>
      </w:pPr>
      <w:r w:rsidRPr="00C44B72">
        <w:rPr>
          <w:rFonts w:ascii="Bookman Old Style" w:hAnsi="Bookman Old Style"/>
          <w:b/>
          <w:i/>
        </w:rPr>
        <w:t>ARTICULO</w:t>
      </w:r>
      <w:r w:rsidR="00364EF2">
        <w:rPr>
          <w:rFonts w:ascii="Bookman Old Style" w:hAnsi="Bookman Old Style"/>
          <w:b/>
          <w:i/>
        </w:rPr>
        <w:t xml:space="preserve"> </w:t>
      </w:r>
      <w:r w:rsidR="00AB1898">
        <w:rPr>
          <w:rFonts w:ascii="Bookman Old Style" w:hAnsi="Bookman Old Style"/>
          <w:b/>
          <w:i/>
        </w:rPr>
        <w:t>NUEVO</w:t>
      </w:r>
      <w:r w:rsidRPr="00C44B72">
        <w:rPr>
          <w:rFonts w:ascii="Bookman Old Style" w:hAnsi="Bookman Old Style"/>
          <w:b/>
          <w:i/>
        </w:rPr>
        <w:t xml:space="preserve">. </w:t>
      </w:r>
      <w:r w:rsidR="007B2BBE" w:rsidRPr="00C44B72">
        <w:rPr>
          <w:rFonts w:ascii="Bookman Old Style" w:hAnsi="Bookman Old Style"/>
          <w:b/>
          <w:i/>
        </w:rPr>
        <w:t>Vigencia de l</w:t>
      </w:r>
      <w:r w:rsidR="006A2C69" w:rsidRPr="00C44B72">
        <w:rPr>
          <w:rFonts w:ascii="Bookman Old Style" w:hAnsi="Bookman Old Style"/>
          <w:b/>
          <w:i/>
        </w:rPr>
        <w:t>os</w:t>
      </w:r>
      <w:r w:rsidR="007B2BBE" w:rsidRPr="00C44B72">
        <w:rPr>
          <w:rFonts w:ascii="Bookman Old Style" w:hAnsi="Bookman Old Style"/>
          <w:b/>
          <w:i/>
        </w:rPr>
        <w:t xml:space="preserve"> </w:t>
      </w:r>
      <w:r w:rsidRPr="00C44B72">
        <w:rPr>
          <w:rFonts w:ascii="Bookman Old Style" w:hAnsi="Bookman Old Style"/>
          <w:b/>
          <w:i/>
        </w:rPr>
        <w:t>criterios generales para remunerar la actividad de comercialización de gas combustible por redes de tubería a usuarios regulados</w:t>
      </w:r>
      <w:r w:rsidR="007B2BBE" w:rsidRPr="00C44B72">
        <w:rPr>
          <w:rFonts w:ascii="Bookman Old Style" w:hAnsi="Bookman Old Style"/>
          <w:b/>
          <w:i/>
        </w:rPr>
        <w:t xml:space="preserve">. </w:t>
      </w:r>
      <w:r w:rsidRPr="00C44B72">
        <w:rPr>
          <w:rFonts w:ascii="Bookman Old Style" w:hAnsi="Bookman Old Style"/>
          <w:i/>
        </w:rPr>
        <w:t>Los criterios</w:t>
      </w:r>
      <w:r w:rsidR="007B2BBE" w:rsidRPr="00C44B72">
        <w:rPr>
          <w:rFonts w:ascii="Bookman Old Style" w:hAnsi="Bookman Old Style"/>
          <w:i/>
        </w:rPr>
        <w:t xml:space="preserve"> establecid</w:t>
      </w:r>
      <w:r w:rsidRPr="00C44B72">
        <w:rPr>
          <w:rFonts w:ascii="Bookman Old Style" w:hAnsi="Bookman Old Style"/>
          <w:i/>
        </w:rPr>
        <w:t>os</w:t>
      </w:r>
      <w:r w:rsidR="007B2BBE" w:rsidRPr="00C44B72">
        <w:rPr>
          <w:rFonts w:ascii="Bookman Old Style" w:hAnsi="Bookman Old Style"/>
          <w:i/>
        </w:rPr>
        <w:t xml:space="preserve"> en esta resolución se aplicará</w:t>
      </w:r>
      <w:r w:rsidRPr="00C44B72">
        <w:rPr>
          <w:rFonts w:ascii="Bookman Old Style" w:hAnsi="Bookman Old Style"/>
          <w:i/>
        </w:rPr>
        <w:t>n</w:t>
      </w:r>
      <w:r w:rsidR="007B2BBE" w:rsidRPr="00C44B72">
        <w:rPr>
          <w:rFonts w:ascii="Bookman Old Style" w:hAnsi="Bookman Old Style"/>
          <w:i/>
        </w:rPr>
        <w:t xml:space="preserve"> a partir del 1° de enero de 2014 por un período de cinco años. Vencido dicho período, est</w:t>
      </w:r>
      <w:r w:rsidRPr="00C44B72">
        <w:rPr>
          <w:rFonts w:ascii="Bookman Old Style" w:hAnsi="Bookman Old Style"/>
          <w:i/>
        </w:rPr>
        <w:t>os</w:t>
      </w:r>
      <w:r w:rsidR="007B2BBE" w:rsidRPr="00C44B72">
        <w:rPr>
          <w:rFonts w:ascii="Bookman Old Style" w:hAnsi="Bookman Old Style"/>
          <w:i/>
        </w:rPr>
        <w:t xml:space="preserve"> continuará</w:t>
      </w:r>
      <w:r w:rsidRPr="00C44B72">
        <w:rPr>
          <w:rFonts w:ascii="Bookman Old Style" w:hAnsi="Bookman Old Style"/>
          <w:i/>
        </w:rPr>
        <w:t>n</w:t>
      </w:r>
      <w:r w:rsidR="007B2BBE" w:rsidRPr="00C44B72">
        <w:rPr>
          <w:rFonts w:ascii="Bookman Old Style" w:hAnsi="Bookman Old Style"/>
          <w:i/>
        </w:rPr>
        <w:t xml:space="preserve"> rigiendo mientras la Comisión no fije </w:t>
      </w:r>
      <w:r w:rsidRPr="00C44B72">
        <w:rPr>
          <w:rFonts w:ascii="Bookman Old Style" w:hAnsi="Bookman Old Style"/>
          <w:i/>
        </w:rPr>
        <w:t>los</w:t>
      </w:r>
      <w:r w:rsidR="007B2BBE" w:rsidRPr="00C44B72">
        <w:rPr>
          <w:rFonts w:ascii="Bookman Old Style" w:hAnsi="Bookman Old Style"/>
          <w:i/>
        </w:rPr>
        <w:t xml:space="preserve"> nuev</w:t>
      </w:r>
      <w:r w:rsidRPr="00C44B72">
        <w:rPr>
          <w:rFonts w:ascii="Bookman Old Style" w:hAnsi="Bookman Old Style"/>
          <w:i/>
        </w:rPr>
        <w:t>os</w:t>
      </w:r>
      <w:r w:rsidR="007B2BBE" w:rsidRPr="00C44B72">
        <w:rPr>
          <w:rFonts w:ascii="Bookman Old Style" w:hAnsi="Bookman Old Style"/>
          <w:i/>
        </w:rPr>
        <w:t>.</w:t>
      </w:r>
    </w:p>
    <w:p w:rsidR="005206C8" w:rsidRPr="006A2C69" w:rsidRDefault="005206C8" w:rsidP="005206C8">
      <w:pPr>
        <w:pStyle w:val="Ttulo1"/>
        <w:keepNext w:val="0"/>
        <w:tabs>
          <w:tab w:val="num" w:pos="1440"/>
        </w:tabs>
        <w:ind w:left="0"/>
        <w:jc w:val="both"/>
        <w:rPr>
          <w:rFonts w:ascii="Bookman Old Style" w:hAnsi="Bookman Old Style"/>
          <w:lang w:val="es-ES"/>
        </w:rPr>
      </w:pPr>
    </w:p>
    <w:p w:rsidR="007B2BBE" w:rsidRPr="006A2C69" w:rsidRDefault="007B2BBE" w:rsidP="006A2C69">
      <w:pPr>
        <w:rPr>
          <w:b/>
          <w:lang w:val="es-CO"/>
        </w:rPr>
      </w:pPr>
    </w:p>
    <w:p w:rsidR="0070063F" w:rsidRPr="001B2976" w:rsidRDefault="0070063F" w:rsidP="0060061F">
      <w:pPr>
        <w:jc w:val="center"/>
        <w:rPr>
          <w:rFonts w:ascii="Bookman Old Style" w:hAnsi="Bookman Old Style" w:cs="Arial"/>
          <w:b/>
          <w:bCs/>
        </w:rPr>
      </w:pPr>
      <w:r w:rsidRPr="001B2976">
        <w:rPr>
          <w:rFonts w:ascii="Bookman Old Style" w:hAnsi="Bookman Old Style" w:cs="Arial"/>
          <w:b/>
          <w:bCs/>
        </w:rPr>
        <w:t>PUBLÍQUESE Y CÚMPLASE</w:t>
      </w:r>
    </w:p>
    <w:p w:rsidR="00980F7B" w:rsidRDefault="00980F7B" w:rsidP="0060061F">
      <w:pPr>
        <w:ind w:left="0"/>
        <w:jc w:val="both"/>
        <w:rPr>
          <w:rFonts w:ascii="Bookman Old Style" w:hAnsi="Bookman Old Style" w:cs="Arial"/>
        </w:rPr>
      </w:pPr>
    </w:p>
    <w:p w:rsidR="0070063F" w:rsidRPr="001B2976" w:rsidRDefault="00980F7B" w:rsidP="0060061F">
      <w:pPr>
        <w:ind w:left="0"/>
        <w:jc w:val="both"/>
        <w:rPr>
          <w:rFonts w:ascii="Bookman Old Style" w:hAnsi="Bookman Old Style" w:cs="Arial"/>
        </w:rPr>
      </w:pPr>
      <w:r>
        <w:rPr>
          <w:rFonts w:ascii="Bookman Old Style" w:hAnsi="Bookman Old Style" w:cs="Arial"/>
        </w:rPr>
        <w:t>Firma del proyecto,</w:t>
      </w:r>
    </w:p>
    <w:p w:rsidR="0060061F" w:rsidRPr="001B2976" w:rsidRDefault="0060061F" w:rsidP="0070063F">
      <w:pPr>
        <w:jc w:val="both"/>
        <w:rPr>
          <w:rFonts w:ascii="Bookman Old Style" w:hAnsi="Bookman Old Style" w:cs="Arial"/>
        </w:rPr>
      </w:pPr>
    </w:p>
    <w:p w:rsidR="0070063F" w:rsidRDefault="0070063F" w:rsidP="0070063F">
      <w:pPr>
        <w:jc w:val="both"/>
        <w:rPr>
          <w:rFonts w:ascii="Bookman Old Style" w:hAnsi="Bookman Old Style"/>
          <w:b/>
          <w:u w:val="single"/>
        </w:rPr>
      </w:pPr>
    </w:p>
    <w:p w:rsidR="00536766" w:rsidRDefault="00536766" w:rsidP="0070063F">
      <w:pPr>
        <w:jc w:val="both"/>
        <w:rPr>
          <w:rFonts w:ascii="Bookman Old Style" w:hAnsi="Bookman Old Style"/>
          <w:b/>
          <w:u w:val="single"/>
        </w:rPr>
      </w:pPr>
    </w:p>
    <w:p w:rsidR="00A545DE" w:rsidRDefault="00A545DE" w:rsidP="0070063F">
      <w:pPr>
        <w:jc w:val="both"/>
        <w:rPr>
          <w:rFonts w:ascii="Bookman Old Style" w:hAnsi="Bookman Old Style"/>
          <w:b/>
          <w:sz w:val="20"/>
          <w:u w:val="single"/>
        </w:rPr>
      </w:pPr>
    </w:p>
    <w:p w:rsidR="00B4547B" w:rsidRPr="001B2976" w:rsidRDefault="00B4547B" w:rsidP="0070063F">
      <w:pPr>
        <w:jc w:val="both"/>
        <w:rPr>
          <w:rFonts w:ascii="Bookman Old Style" w:hAnsi="Bookman Old Style"/>
          <w:b/>
          <w:sz w:val="20"/>
          <w:u w:val="single"/>
        </w:rPr>
      </w:pPr>
    </w:p>
    <w:p w:rsidR="00A545DE" w:rsidRPr="00C44B72" w:rsidRDefault="00A545DE" w:rsidP="0070063F">
      <w:pPr>
        <w:jc w:val="both"/>
        <w:rPr>
          <w:rFonts w:ascii="Bookman Old Style" w:hAnsi="Bookman Old Style"/>
          <w:b/>
          <w:u w:val="single"/>
        </w:rPr>
      </w:pPr>
    </w:p>
    <w:tbl>
      <w:tblPr>
        <w:tblW w:w="0" w:type="auto"/>
        <w:tblLook w:val="04A0" w:firstRow="1" w:lastRow="0" w:firstColumn="1" w:lastColumn="0" w:noHBand="0" w:noVBand="1"/>
      </w:tblPr>
      <w:tblGrid>
        <w:gridCol w:w="4530"/>
        <w:gridCol w:w="4526"/>
      </w:tblGrid>
      <w:tr w:rsidR="001B2976" w:rsidRPr="00C44B72" w:rsidTr="00ED38EB">
        <w:tc>
          <w:tcPr>
            <w:tcW w:w="4530" w:type="dxa"/>
          </w:tcPr>
          <w:p w:rsidR="0070063F" w:rsidRPr="00C44B72" w:rsidRDefault="00C44B72" w:rsidP="00ED38EB">
            <w:pPr>
              <w:ind w:left="0"/>
              <w:jc w:val="center"/>
              <w:rPr>
                <w:rFonts w:ascii="Bookman Old Style" w:hAnsi="Bookman Old Style"/>
                <w:b/>
                <w:lang w:val="es-ES_tradnl"/>
              </w:rPr>
            </w:pPr>
            <w:r w:rsidRPr="00C44B72">
              <w:rPr>
                <w:rFonts w:ascii="Bookman Old Style" w:hAnsi="Bookman Old Style"/>
                <w:b/>
                <w:lang w:val="es-ES_tradnl"/>
              </w:rPr>
              <w:t>ORLANDO CABRALES SEGOVIA</w:t>
            </w:r>
          </w:p>
        </w:tc>
        <w:tc>
          <w:tcPr>
            <w:tcW w:w="4526" w:type="dxa"/>
          </w:tcPr>
          <w:p w:rsidR="0070063F" w:rsidRPr="00C44B72" w:rsidRDefault="00ED38EB" w:rsidP="00ED38EB">
            <w:pPr>
              <w:ind w:left="0"/>
              <w:jc w:val="center"/>
              <w:rPr>
                <w:rFonts w:ascii="Bookman Old Style" w:hAnsi="Bookman Old Style"/>
                <w:lang w:val="es-ES_tradnl"/>
              </w:rPr>
            </w:pPr>
            <w:r w:rsidRPr="00C44B72">
              <w:rPr>
                <w:rFonts w:ascii="Bookman Old Style" w:hAnsi="Bookman Old Style"/>
                <w:b/>
              </w:rPr>
              <w:t>GERMÁN CASTRO FERREIRA</w:t>
            </w:r>
          </w:p>
        </w:tc>
      </w:tr>
      <w:tr w:rsidR="001B2976" w:rsidRPr="00C44B72" w:rsidTr="00ED38EB">
        <w:tc>
          <w:tcPr>
            <w:tcW w:w="4530" w:type="dxa"/>
          </w:tcPr>
          <w:p w:rsidR="0070063F" w:rsidRDefault="00C44B72" w:rsidP="0060061F">
            <w:pPr>
              <w:ind w:left="0"/>
              <w:jc w:val="center"/>
              <w:rPr>
                <w:rFonts w:ascii="Bookman Old Style" w:hAnsi="Bookman Old Style"/>
              </w:rPr>
            </w:pPr>
            <w:r w:rsidRPr="00C44B72">
              <w:rPr>
                <w:rFonts w:ascii="Bookman Old Style" w:hAnsi="Bookman Old Style"/>
              </w:rPr>
              <w:t xml:space="preserve">Viceministro </w:t>
            </w:r>
            <w:r w:rsidR="0070063F" w:rsidRPr="00C44B72">
              <w:rPr>
                <w:rFonts w:ascii="Bookman Old Style" w:hAnsi="Bookman Old Style"/>
              </w:rPr>
              <w:t>de Energía</w:t>
            </w:r>
          </w:p>
          <w:p w:rsidR="00C44B72" w:rsidRPr="00C44B72" w:rsidRDefault="00C44B72" w:rsidP="0060061F">
            <w:pPr>
              <w:ind w:left="0"/>
              <w:jc w:val="center"/>
              <w:rPr>
                <w:rFonts w:ascii="Bookman Old Style" w:hAnsi="Bookman Old Style"/>
              </w:rPr>
            </w:pPr>
            <w:r>
              <w:rPr>
                <w:rFonts w:ascii="Bookman Old Style" w:hAnsi="Bookman Old Style"/>
              </w:rPr>
              <w:t>Delegado del Ministro de Minas y Energía</w:t>
            </w:r>
          </w:p>
          <w:p w:rsidR="0070063F" w:rsidRPr="00C44B72" w:rsidRDefault="0070063F" w:rsidP="0060061F">
            <w:pPr>
              <w:ind w:left="0"/>
              <w:jc w:val="center"/>
              <w:rPr>
                <w:rFonts w:ascii="Bookman Old Style" w:hAnsi="Bookman Old Style"/>
                <w:lang w:val="es-ES_tradnl"/>
              </w:rPr>
            </w:pPr>
            <w:r w:rsidRPr="00C44B72">
              <w:rPr>
                <w:rFonts w:ascii="Bookman Old Style" w:hAnsi="Bookman Old Style"/>
              </w:rPr>
              <w:t>Presidente</w:t>
            </w:r>
          </w:p>
        </w:tc>
        <w:tc>
          <w:tcPr>
            <w:tcW w:w="4526" w:type="dxa"/>
          </w:tcPr>
          <w:p w:rsidR="0070063F" w:rsidRPr="00C44B72" w:rsidRDefault="0070063F" w:rsidP="0060061F">
            <w:pPr>
              <w:ind w:left="0"/>
              <w:jc w:val="center"/>
              <w:rPr>
                <w:rFonts w:ascii="Bookman Old Style" w:hAnsi="Bookman Old Style"/>
                <w:b/>
                <w:lang w:val="es-ES_tradnl"/>
              </w:rPr>
            </w:pPr>
            <w:r w:rsidRPr="00C44B72">
              <w:rPr>
                <w:rFonts w:ascii="Bookman Old Style" w:hAnsi="Bookman Old Style"/>
              </w:rPr>
              <w:t>Director Ejecutivo</w:t>
            </w:r>
          </w:p>
        </w:tc>
      </w:tr>
    </w:tbl>
    <w:p w:rsidR="00B351B4" w:rsidRPr="0070063F" w:rsidRDefault="00B351B4" w:rsidP="0070063F">
      <w:pPr>
        <w:ind w:left="0"/>
        <w:jc w:val="both"/>
        <w:rPr>
          <w:rFonts w:ascii="Bookman Old Style" w:hAnsi="Bookman Old Style"/>
          <w:bCs/>
          <w:lang w:val="es-CO"/>
        </w:rPr>
      </w:pPr>
    </w:p>
    <w:sectPr w:rsidR="00B351B4" w:rsidRPr="0070063F" w:rsidSect="00B4547B">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06D4" w:rsidRDefault="00CD06D4">
      <w:r>
        <w:separator/>
      </w:r>
    </w:p>
  </w:endnote>
  <w:endnote w:type="continuationSeparator" w:id="0">
    <w:p w:rsidR="00CD06D4" w:rsidRDefault="00CD06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06D4" w:rsidRDefault="00CD06D4">
      <w:r>
        <w:separator/>
      </w:r>
    </w:p>
  </w:footnote>
  <w:footnote w:type="continuationSeparator" w:id="0">
    <w:p w:rsidR="00CD06D4" w:rsidRDefault="00CD06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06D4" w:rsidRDefault="00CD06D4" w:rsidP="00951F79">
    <w:pPr>
      <w:pStyle w:val="Ttulo1"/>
      <w:ind w:right="6"/>
      <w:jc w:val="left"/>
      <w:rPr>
        <w:rFonts w:ascii="Bookman Old Style" w:hAnsi="Bookman Old Style" w:cs="Arial"/>
        <w:b w:val="0"/>
        <w:sz w:val="22"/>
        <w:szCs w:val="22"/>
      </w:rPr>
    </w:pPr>
  </w:p>
  <w:p w:rsidR="00CD06D4" w:rsidRPr="00951F79" w:rsidRDefault="00CD06D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A71287">
      <w:rPr>
        <w:rFonts w:ascii="Bookman Old Style" w:hAnsi="Bookman Old Style" w:cs="Arial"/>
        <w:b w:val="0"/>
        <w:noProof/>
        <w:sz w:val="22"/>
        <w:szCs w:val="22"/>
      </w:rPr>
      <w:t>10</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A71287" w:rsidRPr="00A71287">
        <w:rPr>
          <w:rFonts w:ascii="Bookman Old Style" w:hAnsi="Bookman Old Style" w:cs="Arial"/>
          <w:b w:val="0"/>
          <w:noProof/>
          <w:sz w:val="22"/>
          <w:szCs w:val="22"/>
        </w:rPr>
        <w:t>10</w:t>
      </w:r>
    </w:fldSimple>
  </w:p>
  <w:p w:rsidR="00CD06D4" w:rsidRDefault="00CD06D4"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76EB5B9" wp14:editId="6D3E7B28">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CD06D4" w:rsidRPr="007F042E" w:rsidRDefault="00CD06D4" w:rsidP="007F042E">
    <w:pPr>
      <w:ind w:left="0"/>
      <w:jc w:val="both"/>
      <w:rPr>
        <w:rFonts w:ascii="Bookman Old Style" w:hAnsi="Bookman Old Style"/>
        <w:sz w:val="22"/>
        <w:szCs w:val="22"/>
      </w:rPr>
    </w:pPr>
    <w:r w:rsidRPr="007F042E">
      <w:rPr>
        <w:rFonts w:ascii="Bookman Old Style" w:hAnsi="Bookman Old Style"/>
        <w:sz w:val="22"/>
        <w:szCs w:val="22"/>
        <w:lang w:eastAsia="es-CO"/>
      </w:rPr>
      <w:t xml:space="preserve">Por la cual se ordena publicar el proyecto de resolución por medio del cual se </w:t>
    </w:r>
    <w:r>
      <w:rPr>
        <w:rFonts w:ascii="Bookman Old Style" w:hAnsi="Bookman Old Style"/>
        <w:sz w:val="22"/>
        <w:szCs w:val="22"/>
        <w:lang w:eastAsia="es-CO"/>
      </w:rPr>
      <w:t>modifica</w:t>
    </w:r>
    <w:r w:rsidRPr="007F042E">
      <w:rPr>
        <w:rFonts w:ascii="Bookman Old Style" w:hAnsi="Bookman Old Style"/>
        <w:sz w:val="22"/>
        <w:szCs w:val="22"/>
        <w:lang w:eastAsia="es-CO"/>
      </w:rPr>
      <w:t xml:space="preserve"> </w:t>
    </w:r>
    <w:r>
      <w:rPr>
        <w:rFonts w:ascii="Bookman Old Style" w:hAnsi="Bookman Old Style"/>
        <w:sz w:val="22"/>
        <w:szCs w:val="22"/>
        <w:lang w:eastAsia="es-CO"/>
      </w:rPr>
      <w:t xml:space="preserve">el artículo 5 y se adicionan dos artículos al </w:t>
    </w:r>
    <w:r w:rsidRPr="007F042E">
      <w:rPr>
        <w:rFonts w:ascii="Bookman Old Style" w:hAnsi="Bookman Old Style"/>
        <w:sz w:val="22"/>
        <w:szCs w:val="22"/>
        <w:lang w:eastAsia="es-CO"/>
      </w:rPr>
      <w:t xml:space="preserve"> proyecto de </w:t>
    </w:r>
    <w:r>
      <w:rPr>
        <w:rFonts w:ascii="Bookman Old Style" w:hAnsi="Bookman Old Style"/>
        <w:sz w:val="22"/>
        <w:szCs w:val="22"/>
        <w:lang w:eastAsia="es-CO"/>
      </w:rPr>
      <w:t>R</w:t>
    </w:r>
    <w:r w:rsidRPr="007F042E">
      <w:rPr>
        <w:rFonts w:ascii="Bookman Old Style" w:hAnsi="Bookman Old Style"/>
        <w:sz w:val="22"/>
        <w:szCs w:val="22"/>
        <w:lang w:eastAsia="es-CO"/>
      </w:rPr>
      <w:t xml:space="preserve">esolución </w:t>
    </w:r>
    <w:r>
      <w:rPr>
        <w:rFonts w:ascii="Bookman Old Style" w:hAnsi="Bookman Old Style"/>
        <w:sz w:val="22"/>
        <w:szCs w:val="22"/>
        <w:lang w:eastAsia="es-CO"/>
      </w:rPr>
      <w:t xml:space="preserve">CREG </w:t>
    </w:r>
    <w:r w:rsidRPr="007F042E">
      <w:rPr>
        <w:rFonts w:ascii="Bookman Old Style" w:hAnsi="Bookman Old Style"/>
        <w:sz w:val="22"/>
        <w:szCs w:val="22"/>
        <w:lang w:eastAsia="es-CO"/>
      </w:rPr>
      <w:t>No. 103 de 20</w:t>
    </w:r>
    <w:r>
      <w:rPr>
        <w:rFonts w:ascii="Bookman Old Style" w:hAnsi="Bookman Old Style"/>
        <w:sz w:val="22"/>
        <w:szCs w:val="22"/>
        <w:lang w:eastAsia="es-CO"/>
      </w:rPr>
      <w:t>10</w:t>
    </w:r>
    <w:r w:rsidRPr="007F042E">
      <w:rPr>
        <w:rFonts w:ascii="Bookman Old Style" w:hAnsi="Bookman Old Style"/>
        <w:sz w:val="22"/>
        <w:szCs w:val="22"/>
        <w:lang w:eastAsia="es-CO"/>
      </w:rPr>
      <w:t xml:space="preserve"> por </w:t>
    </w:r>
    <w:r>
      <w:rPr>
        <w:rFonts w:ascii="Bookman Old Style" w:hAnsi="Bookman Old Style"/>
        <w:sz w:val="22"/>
        <w:szCs w:val="22"/>
        <w:lang w:eastAsia="es-CO"/>
      </w:rPr>
      <w:t>el</w:t>
    </w:r>
    <w:r w:rsidRPr="007F042E">
      <w:rPr>
        <w:rFonts w:ascii="Bookman Old Style" w:hAnsi="Bookman Old Style"/>
        <w:sz w:val="22"/>
        <w:szCs w:val="22"/>
        <w:lang w:eastAsia="es-CO"/>
      </w:rPr>
      <w:t xml:space="preserve"> cual: “</w:t>
    </w:r>
    <w:r w:rsidRPr="007F042E">
      <w:rPr>
        <w:rFonts w:ascii="Bookman Old Style" w:hAnsi="Bookman Old Style"/>
        <w:sz w:val="22"/>
        <w:szCs w:val="22"/>
      </w:rPr>
      <w:t>se establecen los criterios generales para remunerar la actividad de comercialización de gas combustible por redes de tuberías a usuarios regulados</w:t>
    </w:r>
    <w:r>
      <w:rPr>
        <w:rFonts w:ascii="Bookman Old Style" w:hAnsi="Bookman Old Style"/>
        <w:sz w:val="22"/>
        <w:szCs w:val="22"/>
      </w:rPr>
      <w:t>”.</w:t>
    </w:r>
  </w:p>
  <w:p w:rsidR="00CD06D4" w:rsidRPr="00654314" w:rsidRDefault="00CD06D4" w:rsidP="007F042E">
    <w:pPr>
      <w:ind w:left="0" w:right="340"/>
      <w:jc w:val="both"/>
      <w:rPr>
        <w:b/>
        <w:sz w:val="22"/>
        <w:szCs w:val="22"/>
      </w:rPr>
    </w:pPr>
    <w:r>
      <w:rPr>
        <w:b/>
        <w:sz w:val="22"/>
        <w:szCs w:val="22"/>
      </w:rPr>
      <w:t>_____________________________________________________________________________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06D4" w:rsidRDefault="00CD06D4"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CD06D4" w:rsidRDefault="00CD06D4">
    <w:pPr>
      <w:pStyle w:val="Encabezado"/>
      <w:jc w:val="center"/>
      <w:rPr>
        <w:rFonts w:ascii="Arial" w:hAnsi="Arial" w:cs="Arial"/>
        <w:spacing w:val="20"/>
        <w:sz w:val="20"/>
      </w:rPr>
    </w:pPr>
  </w:p>
  <w:p w:rsidR="00CD06D4" w:rsidRDefault="00CD06D4"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35DCB456" wp14:editId="6EFF262C">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1">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
    <w:nsid w:val="0DD8419B"/>
    <w:multiLevelType w:val="multilevel"/>
    <w:tmpl w:val="C46C0B08"/>
    <w:lvl w:ilvl="0">
      <w:start w:val="1"/>
      <w:numFmt w:val="decimal"/>
      <w:lvlText w:val="Artículo %1."/>
      <w:lvlJc w:val="right"/>
      <w:pPr>
        <w:tabs>
          <w:tab w:val="num" w:pos="1382"/>
        </w:tabs>
        <w:ind w:left="-339" w:firstLine="1474"/>
      </w:pPr>
      <w:rPr>
        <w:rFonts w:ascii="Bookman Old Style" w:hAnsi="Bookman Old Style" w:cs="Arial" w:hint="default"/>
        <w:b/>
        <w:i w:val="0"/>
        <w:color w:val="auto"/>
        <w:sz w:val="24"/>
        <w:szCs w:val="24"/>
      </w:rPr>
    </w:lvl>
    <w:lvl w:ilvl="1">
      <w:start w:val="1"/>
      <w:numFmt w:val="decimal"/>
      <w:lvlText w:val="%1.%2"/>
      <w:lvlJc w:val="left"/>
      <w:pPr>
        <w:tabs>
          <w:tab w:val="num" w:pos="720"/>
        </w:tabs>
        <w:ind w:left="0" w:firstLine="0"/>
      </w:pPr>
    </w:lvl>
    <w:lvl w:ilvl="2">
      <w:start w:val="1"/>
      <w:numFmt w:val="decimal"/>
      <w:lvlText w:val="%3."/>
      <w:lvlJc w:val="left"/>
      <w:pPr>
        <w:tabs>
          <w:tab w:val="num" w:pos="720"/>
        </w:tabs>
        <w:ind w:left="0" w:firstLine="0"/>
      </w:pPr>
    </w:lvl>
    <w:lvl w:ilvl="3">
      <w:start w:val="1"/>
      <w:numFmt w:val="decimal"/>
      <w:lvlText w:val="%1.%2.%3.%4"/>
      <w:lvlJc w:val="right"/>
      <w:pPr>
        <w:tabs>
          <w:tab w:val="num" w:pos="360"/>
        </w:tabs>
        <w:ind w:left="0" w:firstLine="0"/>
      </w:pPr>
    </w:lvl>
    <w:lvl w:ilvl="4">
      <w:start w:val="1"/>
      <w:numFmt w:val="lowerLetter"/>
      <w:lvlText w:val="%5)"/>
      <w:lvlJc w:val="left"/>
      <w:pPr>
        <w:tabs>
          <w:tab w:val="num" w:pos="360"/>
        </w:tabs>
        <w:ind w:left="0" w:firstLine="0"/>
      </w:pPr>
      <w:rPr>
        <w:b/>
      </w:rPr>
    </w:lvl>
    <w:lvl w:ilvl="5">
      <w:start w:val="1"/>
      <w:numFmt w:val="lowerRoman"/>
      <w:lvlText w:val="%6)"/>
      <w:lvlJc w:val="left"/>
      <w:pPr>
        <w:tabs>
          <w:tab w:val="num" w:pos="720"/>
        </w:tabs>
        <w:ind w:left="0" w:firstLine="0"/>
      </w:pPr>
    </w:lvl>
    <w:lvl w:ilvl="6">
      <w:start w:val="1"/>
      <w:numFmt w:val="lowerRoman"/>
      <w:lvlText w:val="%7)"/>
      <w:lvlJc w:val="right"/>
      <w:pPr>
        <w:tabs>
          <w:tab w:val="num" w:pos="360"/>
        </w:tabs>
        <w:ind w:left="0" w:firstLine="0"/>
      </w:pPr>
    </w:lvl>
    <w:lvl w:ilvl="7">
      <w:start w:val="1"/>
      <w:numFmt w:val="lowerLetter"/>
      <w:lvlText w:val="%7.%8."/>
      <w:lvlJc w:val="left"/>
      <w:pPr>
        <w:tabs>
          <w:tab w:val="num" w:pos="720"/>
        </w:tabs>
        <w:ind w:left="0" w:firstLine="0"/>
      </w:pPr>
    </w:lvl>
    <w:lvl w:ilvl="8">
      <w:start w:val="1"/>
      <w:numFmt w:val="lowerRoman"/>
      <w:lvlText w:val="%9."/>
      <w:lvlJc w:val="right"/>
      <w:pPr>
        <w:tabs>
          <w:tab w:val="num" w:pos="360"/>
        </w:tabs>
        <w:ind w:left="0" w:firstLine="0"/>
      </w:pPr>
    </w:lvl>
  </w:abstractNum>
  <w:abstractNum w:abstractNumId="4">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0F44451D"/>
    <w:multiLevelType w:val="hybridMultilevel"/>
    <w:tmpl w:val="30CA3A72"/>
    <w:lvl w:ilvl="0" w:tplc="7430CB50">
      <w:start w:val="1"/>
      <w:numFmt w:val="lowerRoman"/>
      <w:lvlText w:val="(%1)"/>
      <w:lvlJc w:val="left"/>
      <w:pPr>
        <w:ind w:left="975" w:hanging="720"/>
      </w:pPr>
      <w:rPr>
        <w:rFonts w:hint="default"/>
        <w:sz w:val="20"/>
      </w:rPr>
    </w:lvl>
    <w:lvl w:ilvl="1" w:tplc="240A0019" w:tentative="1">
      <w:start w:val="1"/>
      <w:numFmt w:val="lowerLetter"/>
      <w:lvlText w:val="%2."/>
      <w:lvlJc w:val="left"/>
      <w:pPr>
        <w:ind w:left="1335" w:hanging="360"/>
      </w:pPr>
    </w:lvl>
    <w:lvl w:ilvl="2" w:tplc="240A001B" w:tentative="1">
      <w:start w:val="1"/>
      <w:numFmt w:val="lowerRoman"/>
      <w:lvlText w:val="%3."/>
      <w:lvlJc w:val="right"/>
      <w:pPr>
        <w:ind w:left="2055" w:hanging="180"/>
      </w:pPr>
    </w:lvl>
    <w:lvl w:ilvl="3" w:tplc="240A000F" w:tentative="1">
      <w:start w:val="1"/>
      <w:numFmt w:val="decimal"/>
      <w:lvlText w:val="%4."/>
      <w:lvlJc w:val="left"/>
      <w:pPr>
        <w:ind w:left="2775" w:hanging="360"/>
      </w:pPr>
    </w:lvl>
    <w:lvl w:ilvl="4" w:tplc="240A0019" w:tentative="1">
      <w:start w:val="1"/>
      <w:numFmt w:val="lowerLetter"/>
      <w:lvlText w:val="%5."/>
      <w:lvlJc w:val="left"/>
      <w:pPr>
        <w:ind w:left="3495" w:hanging="360"/>
      </w:pPr>
    </w:lvl>
    <w:lvl w:ilvl="5" w:tplc="240A001B" w:tentative="1">
      <w:start w:val="1"/>
      <w:numFmt w:val="lowerRoman"/>
      <w:lvlText w:val="%6."/>
      <w:lvlJc w:val="right"/>
      <w:pPr>
        <w:ind w:left="4215" w:hanging="180"/>
      </w:pPr>
    </w:lvl>
    <w:lvl w:ilvl="6" w:tplc="240A000F" w:tentative="1">
      <w:start w:val="1"/>
      <w:numFmt w:val="decimal"/>
      <w:lvlText w:val="%7."/>
      <w:lvlJc w:val="left"/>
      <w:pPr>
        <w:ind w:left="4935" w:hanging="360"/>
      </w:pPr>
    </w:lvl>
    <w:lvl w:ilvl="7" w:tplc="240A0019" w:tentative="1">
      <w:start w:val="1"/>
      <w:numFmt w:val="lowerLetter"/>
      <w:lvlText w:val="%8."/>
      <w:lvlJc w:val="left"/>
      <w:pPr>
        <w:ind w:left="5655" w:hanging="360"/>
      </w:pPr>
    </w:lvl>
    <w:lvl w:ilvl="8" w:tplc="240A001B" w:tentative="1">
      <w:start w:val="1"/>
      <w:numFmt w:val="lowerRoman"/>
      <w:lvlText w:val="%9."/>
      <w:lvlJc w:val="right"/>
      <w:pPr>
        <w:ind w:left="6375" w:hanging="180"/>
      </w:pPr>
    </w:lvl>
  </w:abstractNum>
  <w:abstractNum w:abstractNumId="6">
    <w:nsid w:val="13DA474D"/>
    <w:multiLevelType w:val="hybridMultilevel"/>
    <w:tmpl w:val="29C612A2"/>
    <w:lvl w:ilvl="0" w:tplc="240A0001">
      <w:start w:val="1"/>
      <w:numFmt w:val="bullet"/>
      <w:lvlText w:val=""/>
      <w:lvlJc w:val="left"/>
      <w:pPr>
        <w:ind w:left="720" w:hanging="360"/>
      </w:pPr>
      <w:rPr>
        <w:rFonts w:ascii="Symbol" w:hAnsi="Symbol"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7">
    <w:nsid w:val="1968623D"/>
    <w:multiLevelType w:val="hybridMultilevel"/>
    <w:tmpl w:val="12F0D456"/>
    <w:lvl w:ilvl="0" w:tplc="240A0001">
      <w:start w:val="1"/>
      <w:numFmt w:val="bullet"/>
      <w:lvlText w:val=""/>
      <w:lvlJc w:val="left"/>
      <w:pPr>
        <w:ind w:left="720" w:hanging="360"/>
      </w:pPr>
      <w:rPr>
        <w:rFonts w:ascii="Symbol" w:hAnsi="Symbol"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238F4EAF"/>
    <w:multiLevelType w:val="hybridMultilevel"/>
    <w:tmpl w:val="C3BA5518"/>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9">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31198C"/>
    <w:multiLevelType w:val="multilevel"/>
    <w:tmpl w:val="C46C0B08"/>
    <w:lvl w:ilvl="0">
      <w:start w:val="1"/>
      <w:numFmt w:val="decimal"/>
      <w:lvlText w:val="Artículo %1."/>
      <w:lvlJc w:val="right"/>
      <w:pPr>
        <w:tabs>
          <w:tab w:val="num" w:pos="1382"/>
        </w:tabs>
        <w:ind w:left="-339" w:firstLine="1474"/>
      </w:pPr>
      <w:rPr>
        <w:rFonts w:ascii="Bookman Old Style" w:hAnsi="Bookman Old Style" w:cs="Arial" w:hint="default"/>
        <w:b/>
        <w:i w:val="0"/>
        <w:color w:val="auto"/>
        <w:sz w:val="24"/>
        <w:szCs w:val="24"/>
      </w:rPr>
    </w:lvl>
    <w:lvl w:ilvl="1">
      <w:start w:val="1"/>
      <w:numFmt w:val="decimal"/>
      <w:lvlText w:val="%1.%2"/>
      <w:lvlJc w:val="left"/>
      <w:pPr>
        <w:tabs>
          <w:tab w:val="num" w:pos="720"/>
        </w:tabs>
        <w:ind w:left="0" w:firstLine="0"/>
      </w:pPr>
    </w:lvl>
    <w:lvl w:ilvl="2">
      <w:start w:val="1"/>
      <w:numFmt w:val="decimal"/>
      <w:lvlText w:val="%3."/>
      <w:lvlJc w:val="left"/>
      <w:pPr>
        <w:tabs>
          <w:tab w:val="num" w:pos="720"/>
        </w:tabs>
        <w:ind w:left="0" w:firstLine="0"/>
      </w:pPr>
    </w:lvl>
    <w:lvl w:ilvl="3">
      <w:start w:val="1"/>
      <w:numFmt w:val="decimal"/>
      <w:lvlText w:val="%1.%2.%3.%4"/>
      <w:lvlJc w:val="right"/>
      <w:pPr>
        <w:tabs>
          <w:tab w:val="num" w:pos="360"/>
        </w:tabs>
        <w:ind w:left="0" w:firstLine="0"/>
      </w:pPr>
    </w:lvl>
    <w:lvl w:ilvl="4">
      <w:start w:val="1"/>
      <w:numFmt w:val="lowerLetter"/>
      <w:lvlText w:val="%5)"/>
      <w:lvlJc w:val="left"/>
      <w:pPr>
        <w:tabs>
          <w:tab w:val="num" w:pos="360"/>
        </w:tabs>
        <w:ind w:left="0" w:firstLine="0"/>
      </w:pPr>
      <w:rPr>
        <w:b/>
      </w:rPr>
    </w:lvl>
    <w:lvl w:ilvl="5">
      <w:start w:val="1"/>
      <w:numFmt w:val="lowerRoman"/>
      <w:lvlText w:val="%6)"/>
      <w:lvlJc w:val="left"/>
      <w:pPr>
        <w:tabs>
          <w:tab w:val="num" w:pos="720"/>
        </w:tabs>
        <w:ind w:left="0" w:firstLine="0"/>
      </w:pPr>
    </w:lvl>
    <w:lvl w:ilvl="6">
      <w:start w:val="1"/>
      <w:numFmt w:val="lowerRoman"/>
      <w:lvlText w:val="%7)"/>
      <w:lvlJc w:val="right"/>
      <w:pPr>
        <w:tabs>
          <w:tab w:val="num" w:pos="360"/>
        </w:tabs>
        <w:ind w:left="0" w:firstLine="0"/>
      </w:pPr>
    </w:lvl>
    <w:lvl w:ilvl="7">
      <w:start w:val="1"/>
      <w:numFmt w:val="lowerLetter"/>
      <w:lvlText w:val="%7.%8."/>
      <w:lvlJc w:val="left"/>
      <w:pPr>
        <w:tabs>
          <w:tab w:val="num" w:pos="720"/>
        </w:tabs>
        <w:ind w:left="0" w:firstLine="0"/>
      </w:pPr>
    </w:lvl>
    <w:lvl w:ilvl="8">
      <w:start w:val="1"/>
      <w:numFmt w:val="lowerRoman"/>
      <w:lvlText w:val="%9."/>
      <w:lvlJc w:val="right"/>
      <w:pPr>
        <w:tabs>
          <w:tab w:val="num" w:pos="360"/>
        </w:tabs>
        <w:ind w:left="0" w:firstLine="0"/>
      </w:pPr>
    </w:lvl>
  </w:abstractNum>
  <w:abstractNum w:abstractNumId="12">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13">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6">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7">
    <w:nsid w:val="68B11CBD"/>
    <w:multiLevelType w:val="hybridMultilevel"/>
    <w:tmpl w:val="79202C8A"/>
    <w:lvl w:ilvl="0" w:tplc="EA5C784E">
      <w:start w:val="1"/>
      <w:numFmt w:val="lowerLetter"/>
      <w:lvlText w:val="%1)"/>
      <w:lvlJc w:val="left"/>
      <w:pPr>
        <w:tabs>
          <w:tab w:val="num" w:pos="454"/>
        </w:tabs>
        <w:ind w:left="454" w:hanging="454"/>
      </w:pPr>
      <w:rPr>
        <w:rFonts w:ascii="Bookman Old Style" w:hAnsi="Bookman Old Style"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70CE69C4"/>
    <w:multiLevelType w:val="hybridMultilevel"/>
    <w:tmpl w:val="2CEE21CE"/>
    <w:lvl w:ilvl="0" w:tplc="8F380362">
      <w:start w:val="1"/>
      <w:numFmt w:val="lowerRoman"/>
      <w:lvlText w:val="%1)"/>
      <w:lvlJc w:val="left"/>
      <w:pPr>
        <w:ind w:left="720" w:hanging="72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20">
    <w:nsid w:val="71CA26D8"/>
    <w:multiLevelType w:val="hybridMultilevel"/>
    <w:tmpl w:val="B5B0A6D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1">
    <w:nsid w:val="772108EC"/>
    <w:multiLevelType w:val="multilevel"/>
    <w:tmpl w:val="C46C0B08"/>
    <w:lvl w:ilvl="0">
      <w:start w:val="1"/>
      <w:numFmt w:val="decimal"/>
      <w:lvlText w:val="Artículo %1."/>
      <w:lvlJc w:val="right"/>
      <w:pPr>
        <w:tabs>
          <w:tab w:val="num" w:pos="1382"/>
        </w:tabs>
        <w:ind w:left="-339" w:firstLine="1474"/>
      </w:pPr>
      <w:rPr>
        <w:rFonts w:ascii="Bookman Old Style" w:hAnsi="Bookman Old Style" w:cs="Arial" w:hint="default"/>
        <w:b/>
        <w:i w:val="0"/>
        <w:color w:val="auto"/>
        <w:sz w:val="24"/>
        <w:szCs w:val="24"/>
      </w:rPr>
    </w:lvl>
    <w:lvl w:ilvl="1">
      <w:start w:val="1"/>
      <w:numFmt w:val="decimal"/>
      <w:lvlText w:val="%1.%2"/>
      <w:lvlJc w:val="left"/>
      <w:pPr>
        <w:tabs>
          <w:tab w:val="num" w:pos="720"/>
        </w:tabs>
        <w:ind w:left="0" w:firstLine="0"/>
      </w:pPr>
    </w:lvl>
    <w:lvl w:ilvl="2">
      <w:start w:val="1"/>
      <w:numFmt w:val="decimal"/>
      <w:lvlText w:val="%3."/>
      <w:lvlJc w:val="left"/>
      <w:pPr>
        <w:tabs>
          <w:tab w:val="num" w:pos="720"/>
        </w:tabs>
        <w:ind w:left="0" w:firstLine="0"/>
      </w:pPr>
    </w:lvl>
    <w:lvl w:ilvl="3">
      <w:start w:val="1"/>
      <w:numFmt w:val="decimal"/>
      <w:lvlText w:val="%1.%2.%3.%4"/>
      <w:lvlJc w:val="right"/>
      <w:pPr>
        <w:tabs>
          <w:tab w:val="num" w:pos="360"/>
        </w:tabs>
        <w:ind w:left="0" w:firstLine="0"/>
      </w:pPr>
    </w:lvl>
    <w:lvl w:ilvl="4">
      <w:start w:val="1"/>
      <w:numFmt w:val="lowerLetter"/>
      <w:lvlText w:val="%5)"/>
      <w:lvlJc w:val="left"/>
      <w:pPr>
        <w:tabs>
          <w:tab w:val="num" w:pos="360"/>
        </w:tabs>
        <w:ind w:left="0" w:firstLine="0"/>
      </w:pPr>
      <w:rPr>
        <w:b/>
      </w:rPr>
    </w:lvl>
    <w:lvl w:ilvl="5">
      <w:start w:val="1"/>
      <w:numFmt w:val="lowerRoman"/>
      <w:lvlText w:val="%6)"/>
      <w:lvlJc w:val="left"/>
      <w:pPr>
        <w:tabs>
          <w:tab w:val="num" w:pos="720"/>
        </w:tabs>
        <w:ind w:left="0" w:firstLine="0"/>
      </w:pPr>
    </w:lvl>
    <w:lvl w:ilvl="6">
      <w:start w:val="1"/>
      <w:numFmt w:val="lowerRoman"/>
      <w:lvlText w:val="%7)"/>
      <w:lvlJc w:val="right"/>
      <w:pPr>
        <w:tabs>
          <w:tab w:val="num" w:pos="360"/>
        </w:tabs>
        <w:ind w:left="0" w:firstLine="0"/>
      </w:pPr>
    </w:lvl>
    <w:lvl w:ilvl="7">
      <w:start w:val="1"/>
      <w:numFmt w:val="lowerLetter"/>
      <w:lvlText w:val="%7.%8."/>
      <w:lvlJc w:val="left"/>
      <w:pPr>
        <w:tabs>
          <w:tab w:val="num" w:pos="720"/>
        </w:tabs>
        <w:ind w:left="0" w:firstLine="0"/>
      </w:pPr>
    </w:lvl>
    <w:lvl w:ilvl="8">
      <w:start w:val="1"/>
      <w:numFmt w:val="lowerRoman"/>
      <w:lvlText w:val="%9."/>
      <w:lvlJc w:val="right"/>
      <w:pPr>
        <w:tabs>
          <w:tab w:val="num" w:pos="360"/>
        </w:tabs>
        <w:ind w:left="0" w:firstLine="0"/>
      </w:pPr>
    </w:lvl>
  </w:abstractNum>
  <w:abstractNum w:abstractNumId="22">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3">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7F7B67ED"/>
    <w:multiLevelType w:val="hybridMultilevel"/>
    <w:tmpl w:val="929A98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num w:numId="1">
    <w:abstractNumId w:val="12"/>
  </w:num>
  <w:num w:numId="2">
    <w:abstractNumId w:val="4"/>
  </w:num>
  <w:num w:numId="3">
    <w:abstractNumId w:val="22"/>
  </w:num>
  <w:num w:numId="4">
    <w:abstractNumId w:val="9"/>
  </w:num>
  <w:num w:numId="5">
    <w:abstractNumId w:val="14"/>
  </w:num>
  <w:num w:numId="6">
    <w:abstractNumId w:val="2"/>
  </w:num>
  <w:num w:numId="7">
    <w:abstractNumId w:val="1"/>
  </w:num>
  <w:num w:numId="8">
    <w:abstractNumId w:val="16"/>
  </w:num>
  <w:num w:numId="9">
    <w:abstractNumId w:val="15"/>
  </w:num>
  <w:num w:numId="10">
    <w:abstractNumId w:val="13"/>
  </w:num>
  <w:num w:numId="11">
    <w:abstractNumId w:val="23"/>
  </w:num>
  <w:num w:numId="12">
    <w:abstractNumId w:val="18"/>
  </w:num>
  <w:num w:numId="13">
    <w:abstractNumId w:val="10"/>
  </w:num>
  <w:num w:numId="14">
    <w:abstractNumId w:val="0"/>
  </w:num>
  <w:num w:numId="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num>
  <w:num w:numId="26">
    <w:abstractNumId w:val="11"/>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3C6"/>
    <w:rsid w:val="00002369"/>
    <w:rsid w:val="00006AE2"/>
    <w:rsid w:val="000076A1"/>
    <w:rsid w:val="00012259"/>
    <w:rsid w:val="00025383"/>
    <w:rsid w:val="00063657"/>
    <w:rsid w:val="0007119F"/>
    <w:rsid w:val="00076680"/>
    <w:rsid w:val="0008073E"/>
    <w:rsid w:val="000866E6"/>
    <w:rsid w:val="00091CDB"/>
    <w:rsid w:val="000A19AC"/>
    <w:rsid w:val="000B4B38"/>
    <w:rsid w:val="000B6D70"/>
    <w:rsid w:val="000B74A6"/>
    <w:rsid w:val="000C54E7"/>
    <w:rsid w:val="000D26F8"/>
    <w:rsid w:val="000E464A"/>
    <w:rsid w:val="00107D65"/>
    <w:rsid w:val="001136E8"/>
    <w:rsid w:val="00121310"/>
    <w:rsid w:val="00131E85"/>
    <w:rsid w:val="001405C6"/>
    <w:rsid w:val="00141013"/>
    <w:rsid w:val="00142E79"/>
    <w:rsid w:val="00143F4D"/>
    <w:rsid w:val="00165BA1"/>
    <w:rsid w:val="001823C0"/>
    <w:rsid w:val="00192734"/>
    <w:rsid w:val="00192CBF"/>
    <w:rsid w:val="00192FF1"/>
    <w:rsid w:val="001963F3"/>
    <w:rsid w:val="001A15CB"/>
    <w:rsid w:val="001A5F1B"/>
    <w:rsid w:val="001B1B48"/>
    <w:rsid w:val="001B1C22"/>
    <w:rsid w:val="001B2976"/>
    <w:rsid w:val="001B34C6"/>
    <w:rsid w:val="001C041F"/>
    <w:rsid w:val="001C34CA"/>
    <w:rsid w:val="001C35C1"/>
    <w:rsid w:val="001D02B9"/>
    <w:rsid w:val="001D7832"/>
    <w:rsid w:val="001E1A54"/>
    <w:rsid w:val="001E6C4B"/>
    <w:rsid w:val="001F3F8C"/>
    <w:rsid w:val="001F602E"/>
    <w:rsid w:val="00211D34"/>
    <w:rsid w:val="00212701"/>
    <w:rsid w:val="00214F04"/>
    <w:rsid w:val="002159B2"/>
    <w:rsid w:val="00237EAD"/>
    <w:rsid w:val="00241C00"/>
    <w:rsid w:val="00245E3C"/>
    <w:rsid w:val="0024609C"/>
    <w:rsid w:val="00253698"/>
    <w:rsid w:val="002627DD"/>
    <w:rsid w:val="0026305F"/>
    <w:rsid w:val="00264E8F"/>
    <w:rsid w:val="00266CD6"/>
    <w:rsid w:val="00270673"/>
    <w:rsid w:val="00270778"/>
    <w:rsid w:val="00272D1A"/>
    <w:rsid w:val="002755FA"/>
    <w:rsid w:val="0028659F"/>
    <w:rsid w:val="002A178C"/>
    <w:rsid w:val="002A41E5"/>
    <w:rsid w:val="002B11E2"/>
    <w:rsid w:val="002B24B8"/>
    <w:rsid w:val="002B71B4"/>
    <w:rsid w:val="002D3AE9"/>
    <w:rsid w:val="002F0734"/>
    <w:rsid w:val="002F46E7"/>
    <w:rsid w:val="003101DA"/>
    <w:rsid w:val="00314757"/>
    <w:rsid w:val="003211CE"/>
    <w:rsid w:val="00325EFA"/>
    <w:rsid w:val="0035403A"/>
    <w:rsid w:val="0036065D"/>
    <w:rsid w:val="0036394B"/>
    <w:rsid w:val="00364EF2"/>
    <w:rsid w:val="003709B5"/>
    <w:rsid w:val="003759C2"/>
    <w:rsid w:val="0039010D"/>
    <w:rsid w:val="00397365"/>
    <w:rsid w:val="003A31F6"/>
    <w:rsid w:val="003A5AAE"/>
    <w:rsid w:val="003B022F"/>
    <w:rsid w:val="003C3447"/>
    <w:rsid w:val="003D076C"/>
    <w:rsid w:val="003D2FA2"/>
    <w:rsid w:val="003D3CA1"/>
    <w:rsid w:val="003D5973"/>
    <w:rsid w:val="004010B1"/>
    <w:rsid w:val="00402A72"/>
    <w:rsid w:val="00415BAB"/>
    <w:rsid w:val="00415ED2"/>
    <w:rsid w:val="0042068C"/>
    <w:rsid w:val="00450A83"/>
    <w:rsid w:val="004537C3"/>
    <w:rsid w:val="0047122B"/>
    <w:rsid w:val="00473B7A"/>
    <w:rsid w:val="00477B38"/>
    <w:rsid w:val="004960E9"/>
    <w:rsid w:val="00497629"/>
    <w:rsid w:val="004A2E88"/>
    <w:rsid w:val="004A5305"/>
    <w:rsid w:val="004A74F0"/>
    <w:rsid w:val="004B0D3F"/>
    <w:rsid w:val="004D463A"/>
    <w:rsid w:val="004D7634"/>
    <w:rsid w:val="004D78F8"/>
    <w:rsid w:val="004E58B2"/>
    <w:rsid w:val="0051113C"/>
    <w:rsid w:val="00515C5A"/>
    <w:rsid w:val="005206C8"/>
    <w:rsid w:val="00526308"/>
    <w:rsid w:val="005300D3"/>
    <w:rsid w:val="00536766"/>
    <w:rsid w:val="00544F82"/>
    <w:rsid w:val="005504DE"/>
    <w:rsid w:val="00586DE9"/>
    <w:rsid w:val="00592F86"/>
    <w:rsid w:val="00593C4F"/>
    <w:rsid w:val="005946A8"/>
    <w:rsid w:val="005970E9"/>
    <w:rsid w:val="005A3A8D"/>
    <w:rsid w:val="005A4407"/>
    <w:rsid w:val="005A59EF"/>
    <w:rsid w:val="005C3059"/>
    <w:rsid w:val="005C7078"/>
    <w:rsid w:val="005E7FB9"/>
    <w:rsid w:val="0060061F"/>
    <w:rsid w:val="00607194"/>
    <w:rsid w:val="006163B7"/>
    <w:rsid w:val="00617FF7"/>
    <w:rsid w:val="00624E52"/>
    <w:rsid w:val="00625DC6"/>
    <w:rsid w:val="00651821"/>
    <w:rsid w:val="00654314"/>
    <w:rsid w:val="00654384"/>
    <w:rsid w:val="006675CD"/>
    <w:rsid w:val="00667833"/>
    <w:rsid w:val="00671DBE"/>
    <w:rsid w:val="00684D9B"/>
    <w:rsid w:val="00694D08"/>
    <w:rsid w:val="00697556"/>
    <w:rsid w:val="006A1301"/>
    <w:rsid w:val="006A2C69"/>
    <w:rsid w:val="006B4C2B"/>
    <w:rsid w:val="006B6D47"/>
    <w:rsid w:val="006D4BEF"/>
    <w:rsid w:val="006F6D95"/>
    <w:rsid w:val="0070063F"/>
    <w:rsid w:val="00706F13"/>
    <w:rsid w:val="007072E8"/>
    <w:rsid w:val="0071618D"/>
    <w:rsid w:val="00723192"/>
    <w:rsid w:val="00725FA4"/>
    <w:rsid w:val="00733D37"/>
    <w:rsid w:val="007345F6"/>
    <w:rsid w:val="00740446"/>
    <w:rsid w:val="007438A9"/>
    <w:rsid w:val="0074491E"/>
    <w:rsid w:val="00744EE6"/>
    <w:rsid w:val="00763776"/>
    <w:rsid w:val="00774868"/>
    <w:rsid w:val="00775964"/>
    <w:rsid w:val="007936B0"/>
    <w:rsid w:val="00795BFB"/>
    <w:rsid w:val="007B2760"/>
    <w:rsid w:val="007B2BBE"/>
    <w:rsid w:val="007D4107"/>
    <w:rsid w:val="007E3EFF"/>
    <w:rsid w:val="007F042E"/>
    <w:rsid w:val="007F4B0C"/>
    <w:rsid w:val="00806C01"/>
    <w:rsid w:val="008148CC"/>
    <w:rsid w:val="008211A4"/>
    <w:rsid w:val="0083215E"/>
    <w:rsid w:val="0083425C"/>
    <w:rsid w:val="008356AB"/>
    <w:rsid w:val="008413D2"/>
    <w:rsid w:val="008417EF"/>
    <w:rsid w:val="008503CF"/>
    <w:rsid w:val="00867E35"/>
    <w:rsid w:val="00873150"/>
    <w:rsid w:val="00875F7E"/>
    <w:rsid w:val="0087657D"/>
    <w:rsid w:val="008807D5"/>
    <w:rsid w:val="00880832"/>
    <w:rsid w:val="0088218E"/>
    <w:rsid w:val="00886EE1"/>
    <w:rsid w:val="0088727D"/>
    <w:rsid w:val="008964EB"/>
    <w:rsid w:val="00897C75"/>
    <w:rsid w:val="008B41B2"/>
    <w:rsid w:val="008B63FE"/>
    <w:rsid w:val="008C1130"/>
    <w:rsid w:val="008D18E6"/>
    <w:rsid w:val="008D75BB"/>
    <w:rsid w:val="008D7A9B"/>
    <w:rsid w:val="008E0746"/>
    <w:rsid w:val="008E6BB6"/>
    <w:rsid w:val="008E76AC"/>
    <w:rsid w:val="008F21F6"/>
    <w:rsid w:val="00907961"/>
    <w:rsid w:val="00913441"/>
    <w:rsid w:val="00920A41"/>
    <w:rsid w:val="009278F7"/>
    <w:rsid w:val="00935032"/>
    <w:rsid w:val="00951F79"/>
    <w:rsid w:val="00954CE4"/>
    <w:rsid w:val="00956BBA"/>
    <w:rsid w:val="0095701A"/>
    <w:rsid w:val="00967D6E"/>
    <w:rsid w:val="00974557"/>
    <w:rsid w:val="00974AB5"/>
    <w:rsid w:val="009763DA"/>
    <w:rsid w:val="00980F7B"/>
    <w:rsid w:val="0098706D"/>
    <w:rsid w:val="00987604"/>
    <w:rsid w:val="009935FB"/>
    <w:rsid w:val="00994873"/>
    <w:rsid w:val="009A77A1"/>
    <w:rsid w:val="009B0F02"/>
    <w:rsid w:val="009B5272"/>
    <w:rsid w:val="009D2939"/>
    <w:rsid w:val="009D3E18"/>
    <w:rsid w:val="009F4A54"/>
    <w:rsid w:val="009F4BEC"/>
    <w:rsid w:val="009F7026"/>
    <w:rsid w:val="00A009C5"/>
    <w:rsid w:val="00A20C0B"/>
    <w:rsid w:val="00A23A7A"/>
    <w:rsid w:val="00A25FD7"/>
    <w:rsid w:val="00A31391"/>
    <w:rsid w:val="00A32464"/>
    <w:rsid w:val="00A40717"/>
    <w:rsid w:val="00A43AFF"/>
    <w:rsid w:val="00A46161"/>
    <w:rsid w:val="00A50AFB"/>
    <w:rsid w:val="00A545DE"/>
    <w:rsid w:val="00A71287"/>
    <w:rsid w:val="00A7793A"/>
    <w:rsid w:val="00A84E7F"/>
    <w:rsid w:val="00A85A30"/>
    <w:rsid w:val="00AB1748"/>
    <w:rsid w:val="00AB1898"/>
    <w:rsid w:val="00AB6CA7"/>
    <w:rsid w:val="00AB765B"/>
    <w:rsid w:val="00AC20FB"/>
    <w:rsid w:val="00AD01E4"/>
    <w:rsid w:val="00AD0858"/>
    <w:rsid w:val="00AD21C2"/>
    <w:rsid w:val="00AD4DFC"/>
    <w:rsid w:val="00AE7340"/>
    <w:rsid w:val="00AF1BBD"/>
    <w:rsid w:val="00AF39A0"/>
    <w:rsid w:val="00B048E7"/>
    <w:rsid w:val="00B05961"/>
    <w:rsid w:val="00B10207"/>
    <w:rsid w:val="00B141E7"/>
    <w:rsid w:val="00B322B8"/>
    <w:rsid w:val="00B351B4"/>
    <w:rsid w:val="00B4547B"/>
    <w:rsid w:val="00B46BCA"/>
    <w:rsid w:val="00B54471"/>
    <w:rsid w:val="00B56678"/>
    <w:rsid w:val="00B66C26"/>
    <w:rsid w:val="00B87806"/>
    <w:rsid w:val="00B87EC9"/>
    <w:rsid w:val="00B927C4"/>
    <w:rsid w:val="00B95C83"/>
    <w:rsid w:val="00BA276C"/>
    <w:rsid w:val="00BA7D01"/>
    <w:rsid w:val="00BB195C"/>
    <w:rsid w:val="00BB2B50"/>
    <w:rsid w:val="00BB6A0D"/>
    <w:rsid w:val="00BC38FD"/>
    <w:rsid w:val="00BE099E"/>
    <w:rsid w:val="00C034CB"/>
    <w:rsid w:val="00C04835"/>
    <w:rsid w:val="00C051A8"/>
    <w:rsid w:val="00C05380"/>
    <w:rsid w:val="00C054BC"/>
    <w:rsid w:val="00C06AEE"/>
    <w:rsid w:val="00C123C3"/>
    <w:rsid w:val="00C17897"/>
    <w:rsid w:val="00C409D5"/>
    <w:rsid w:val="00C44B72"/>
    <w:rsid w:val="00C4770B"/>
    <w:rsid w:val="00C60909"/>
    <w:rsid w:val="00C6234B"/>
    <w:rsid w:val="00C63EAE"/>
    <w:rsid w:val="00C652B5"/>
    <w:rsid w:val="00C675A9"/>
    <w:rsid w:val="00C7312C"/>
    <w:rsid w:val="00C7313D"/>
    <w:rsid w:val="00C7629F"/>
    <w:rsid w:val="00C8661B"/>
    <w:rsid w:val="00C87CEF"/>
    <w:rsid w:val="00C9563D"/>
    <w:rsid w:val="00CA139A"/>
    <w:rsid w:val="00CA2899"/>
    <w:rsid w:val="00CA77FB"/>
    <w:rsid w:val="00CB379B"/>
    <w:rsid w:val="00CB5DD0"/>
    <w:rsid w:val="00CC51D4"/>
    <w:rsid w:val="00CC65DA"/>
    <w:rsid w:val="00CD06D4"/>
    <w:rsid w:val="00CD113B"/>
    <w:rsid w:val="00CD4009"/>
    <w:rsid w:val="00CF21B9"/>
    <w:rsid w:val="00CF6BF9"/>
    <w:rsid w:val="00D023D6"/>
    <w:rsid w:val="00D03800"/>
    <w:rsid w:val="00D065D3"/>
    <w:rsid w:val="00D11C4B"/>
    <w:rsid w:val="00D14C94"/>
    <w:rsid w:val="00D342A6"/>
    <w:rsid w:val="00D4303D"/>
    <w:rsid w:val="00D464BF"/>
    <w:rsid w:val="00D53E26"/>
    <w:rsid w:val="00D76FD2"/>
    <w:rsid w:val="00DB190A"/>
    <w:rsid w:val="00DC2106"/>
    <w:rsid w:val="00DC6515"/>
    <w:rsid w:val="00DD24CB"/>
    <w:rsid w:val="00DD4F0E"/>
    <w:rsid w:val="00DE377A"/>
    <w:rsid w:val="00DF37C4"/>
    <w:rsid w:val="00E05E0A"/>
    <w:rsid w:val="00E11C7B"/>
    <w:rsid w:val="00E13674"/>
    <w:rsid w:val="00E20B1E"/>
    <w:rsid w:val="00E300B5"/>
    <w:rsid w:val="00E32B79"/>
    <w:rsid w:val="00E378A3"/>
    <w:rsid w:val="00E534CF"/>
    <w:rsid w:val="00E57631"/>
    <w:rsid w:val="00E6521A"/>
    <w:rsid w:val="00E80F0E"/>
    <w:rsid w:val="00E81CB4"/>
    <w:rsid w:val="00E8344A"/>
    <w:rsid w:val="00E83A4F"/>
    <w:rsid w:val="00E84B8C"/>
    <w:rsid w:val="00E8585B"/>
    <w:rsid w:val="00E85FB8"/>
    <w:rsid w:val="00E90ED4"/>
    <w:rsid w:val="00E95C88"/>
    <w:rsid w:val="00EA2917"/>
    <w:rsid w:val="00EA3F15"/>
    <w:rsid w:val="00EA74B0"/>
    <w:rsid w:val="00EA7847"/>
    <w:rsid w:val="00EB189B"/>
    <w:rsid w:val="00EB51DF"/>
    <w:rsid w:val="00EC0DF3"/>
    <w:rsid w:val="00ED38EB"/>
    <w:rsid w:val="00EE2E6E"/>
    <w:rsid w:val="00EF411B"/>
    <w:rsid w:val="00EF45F6"/>
    <w:rsid w:val="00F019E5"/>
    <w:rsid w:val="00F0759E"/>
    <w:rsid w:val="00F37350"/>
    <w:rsid w:val="00F45FD0"/>
    <w:rsid w:val="00F50C66"/>
    <w:rsid w:val="00F555AA"/>
    <w:rsid w:val="00F635AD"/>
    <w:rsid w:val="00F70354"/>
    <w:rsid w:val="00F821A3"/>
    <w:rsid w:val="00F82EF4"/>
    <w:rsid w:val="00F87F13"/>
    <w:rsid w:val="00F9314A"/>
    <w:rsid w:val="00FB4562"/>
    <w:rsid w:val="00FC58EF"/>
    <w:rsid w:val="00FD33DF"/>
    <w:rsid w:val="00FE39D7"/>
    <w:rsid w:val="00FE59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70063F"/>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link w:val="Textoindependiente2"/>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rsid w:val="0070063F"/>
    <w:rPr>
      <w:rFonts w:ascii="Calibri" w:eastAsia="Times New Roman" w:hAnsi="Calibri" w:cs="Times New Roman"/>
      <w:sz w:val="24"/>
      <w:szCs w:val="24"/>
      <w:lang w:val="es-ES" w:eastAsia="es-ES"/>
    </w:rPr>
  </w:style>
  <w:style w:type="character" w:customStyle="1" w:styleId="PiedepginaCar">
    <w:name w:val="Pie de página Car"/>
    <w:link w:val="Piedepgina"/>
    <w:semiHidden/>
    <w:rsid w:val="0070063F"/>
    <w:rPr>
      <w:sz w:val="24"/>
      <w:szCs w:val="24"/>
      <w:lang w:val="es-ES" w:eastAsia="es-ES"/>
    </w:rPr>
  </w:style>
  <w:style w:type="character" w:styleId="Hipervnculo">
    <w:name w:val="Hyperlink"/>
    <w:uiPriority w:val="99"/>
    <w:semiHidden/>
    <w:unhideWhenUsed/>
    <w:rsid w:val="00C4770B"/>
    <w:rPr>
      <w:color w:val="0000FF"/>
      <w:u w:val="single"/>
    </w:rPr>
  </w:style>
  <w:style w:type="character" w:styleId="Refdecomentario">
    <w:name w:val="annotation reference"/>
    <w:uiPriority w:val="99"/>
    <w:semiHidden/>
    <w:unhideWhenUsed/>
    <w:rsid w:val="006A1301"/>
    <w:rPr>
      <w:sz w:val="16"/>
      <w:szCs w:val="16"/>
    </w:rPr>
  </w:style>
  <w:style w:type="paragraph" w:styleId="Textocomentario">
    <w:name w:val="annotation text"/>
    <w:basedOn w:val="Normal"/>
    <w:link w:val="TextocomentarioCar"/>
    <w:uiPriority w:val="99"/>
    <w:semiHidden/>
    <w:unhideWhenUsed/>
    <w:rsid w:val="006A1301"/>
    <w:rPr>
      <w:sz w:val="20"/>
      <w:szCs w:val="20"/>
    </w:rPr>
  </w:style>
  <w:style w:type="character" w:customStyle="1" w:styleId="TextocomentarioCar">
    <w:name w:val="Texto comentario Car"/>
    <w:link w:val="Textocomentario"/>
    <w:uiPriority w:val="99"/>
    <w:semiHidden/>
    <w:rsid w:val="006A1301"/>
    <w:rPr>
      <w:lang w:val="es-ES" w:eastAsia="es-ES"/>
    </w:rPr>
  </w:style>
  <w:style w:type="paragraph" w:styleId="Asuntodelcomentario">
    <w:name w:val="annotation subject"/>
    <w:basedOn w:val="Textocomentario"/>
    <w:next w:val="Textocomentario"/>
    <w:link w:val="AsuntodelcomentarioCar"/>
    <w:uiPriority w:val="99"/>
    <w:semiHidden/>
    <w:unhideWhenUsed/>
    <w:rsid w:val="006A1301"/>
    <w:rPr>
      <w:b/>
      <w:bCs/>
    </w:rPr>
  </w:style>
  <w:style w:type="character" w:customStyle="1" w:styleId="AsuntodelcomentarioCar">
    <w:name w:val="Asunto del comentario Car"/>
    <w:link w:val="Asuntodelcomentario"/>
    <w:uiPriority w:val="99"/>
    <w:semiHidden/>
    <w:rsid w:val="006A1301"/>
    <w:rPr>
      <w:b/>
      <w:bCs/>
      <w:lang w:val="es-ES" w:eastAsia="es-ES"/>
    </w:rPr>
  </w:style>
  <w:style w:type="paragraph" w:styleId="NormalWeb">
    <w:name w:val="Normal (Web)"/>
    <w:basedOn w:val="Normal"/>
    <w:uiPriority w:val="99"/>
    <w:unhideWhenUsed/>
    <w:rsid w:val="00DC6515"/>
    <w:pPr>
      <w:spacing w:before="100" w:beforeAutospacing="1" w:after="100" w:afterAutospacing="1"/>
      <w:ind w:left="0"/>
    </w:pPr>
    <w:rPr>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70063F"/>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link w:val="Textoindependiente2"/>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rsid w:val="0070063F"/>
    <w:rPr>
      <w:rFonts w:ascii="Calibri" w:eastAsia="Times New Roman" w:hAnsi="Calibri" w:cs="Times New Roman"/>
      <w:sz w:val="24"/>
      <w:szCs w:val="24"/>
      <w:lang w:val="es-ES" w:eastAsia="es-ES"/>
    </w:rPr>
  </w:style>
  <w:style w:type="character" w:customStyle="1" w:styleId="PiedepginaCar">
    <w:name w:val="Pie de página Car"/>
    <w:link w:val="Piedepgina"/>
    <w:semiHidden/>
    <w:rsid w:val="0070063F"/>
    <w:rPr>
      <w:sz w:val="24"/>
      <w:szCs w:val="24"/>
      <w:lang w:val="es-ES" w:eastAsia="es-ES"/>
    </w:rPr>
  </w:style>
  <w:style w:type="character" w:styleId="Hipervnculo">
    <w:name w:val="Hyperlink"/>
    <w:uiPriority w:val="99"/>
    <w:semiHidden/>
    <w:unhideWhenUsed/>
    <w:rsid w:val="00C4770B"/>
    <w:rPr>
      <w:color w:val="0000FF"/>
      <w:u w:val="single"/>
    </w:rPr>
  </w:style>
  <w:style w:type="character" w:styleId="Refdecomentario">
    <w:name w:val="annotation reference"/>
    <w:uiPriority w:val="99"/>
    <w:semiHidden/>
    <w:unhideWhenUsed/>
    <w:rsid w:val="006A1301"/>
    <w:rPr>
      <w:sz w:val="16"/>
      <w:szCs w:val="16"/>
    </w:rPr>
  </w:style>
  <w:style w:type="paragraph" w:styleId="Textocomentario">
    <w:name w:val="annotation text"/>
    <w:basedOn w:val="Normal"/>
    <w:link w:val="TextocomentarioCar"/>
    <w:uiPriority w:val="99"/>
    <w:semiHidden/>
    <w:unhideWhenUsed/>
    <w:rsid w:val="006A1301"/>
    <w:rPr>
      <w:sz w:val="20"/>
      <w:szCs w:val="20"/>
    </w:rPr>
  </w:style>
  <w:style w:type="character" w:customStyle="1" w:styleId="TextocomentarioCar">
    <w:name w:val="Texto comentario Car"/>
    <w:link w:val="Textocomentario"/>
    <w:uiPriority w:val="99"/>
    <w:semiHidden/>
    <w:rsid w:val="006A1301"/>
    <w:rPr>
      <w:lang w:val="es-ES" w:eastAsia="es-ES"/>
    </w:rPr>
  </w:style>
  <w:style w:type="paragraph" w:styleId="Asuntodelcomentario">
    <w:name w:val="annotation subject"/>
    <w:basedOn w:val="Textocomentario"/>
    <w:next w:val="Textocomentario"/>
    <w:link w:val="AsuntodelcomentarioCar"/>
    <w:uiPriority w:val="99"/>
    <w:semiHidden/>
    <w:unhideWhenUsed/>
    <w:rsid w:val="006A1301"/>
    <w:rPr>
      <w:b/>
      <w:bCs/>
    </w:rPr>
  </w:style>
  <w:style w:type="character" w:customStyle="1" w:styleId="AsuntodelcomentarioCar">
    <w:name w:val="Asunto del comentario Car"/>
    <w:link w:val="Asuntodelcomentario"/>
    <w:uiPriority w:val="99"/>
    <w:semiHidden/>
    <w:rsid w:val="006A1301"/>
    <w:rPr>
      <w:b/>
      <w:bCs/>
      <w:lang w:val="es-ES" w:eastAsia="es-ES"/>
    </w:rPr>
  </w:style>
  <w:style w:type="paragraph" w:styleId="NormalWeb">
    <w:name w:val="Normal (Web)"/>
    <w:basedOn w:val="Normal"/>
    <w:uiPriority w:val="99"/>
    <w:unhideWhenUsed/>
    <w:rsid w:val="00DC6515"/>
    <w:pPr>
      <w:spacing w:before="100" w:beforeAutospacing="1" w:after="100" w:afterAutospacing="1"/>
      <w:ind w:left="0"/>
    </w:pPr>
    <w:rPr>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9503855">
      <w:bodyDiv w:val="1"/>
      <w:marLeft w:val="0"/>
      <w:marRight w:val="0"/>
      <w:marTop w:val="0"/>
      <w:marBottom w:val="0"/>
      <w:divBdr>
        <w:top w:val="none" w:sz="0" w:space="0" w:color="auto"/>
        <w:left w:val="none" w:sz="0" w:space="0" w:color="auto"/>
        <w:bottom w:val="none" w:sz="0" w:space="0" w:color="auto"/>
        <w:right w:val="none" w:sz="0" w:space="0" w:color="auto"/>
      </w:divBdr>
    </w:div>
    <w:div w:id="1973175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D603DA-A2E8-4BCA-A944-80C240E8B5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10</Pages>
  <Words>3155</Words>
  <Characters>17136</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20251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2013-10-08T15:26:00Z</cp:lastPrinted>
  <dcterms:created xsi:type="dcterms:W3CDTF">2013-10-10T22:46:00Z</dcterms:created>
  <dcterms:modified xsi:type="dcterms:W3CDTF">2013-10-10T22:46:00Z</dcterms:modified>
</cp:coreProperties>
</file>