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D10B" w14:textId="77777777" w:rsidR="00050AC5" w:rsidRPr="00A245A2" w:rsidRDefault="000334E6" w:rsidP="00050AC5">
      <w:pPr>
        <w:ind w:left="2124" w:firstLine="708"/>
        <w:rPr>
          <w:rFonts w:ascii="Bookman Old Style" w:hAnsi="Bookman Old Style"/>
        </w:rPr>
      </w:pPr>
      <w:r>
        <w:rPr>
          <w:rFonts w:ascii="Bookman Old Style" w:hAnsi="Bookman Old Style"/>
          <w:noProof/>
        </w:rPr>
        <w:object w:dxaOrig="1440" w:dyaOrig="1440" w14:anchorId="009B4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8.85pt;width:52.55pt;height:48.8pt;z-index:251658240" fillcolor="#0c9">
            <v:imagedata r:id="rId8" o:title=""/>
          </v:shape>
          <o:OLEObject Type="Embed" ProgID="PBrush" ShapeID="_x0000_s2050" DrawAspect="Content" ObjectID="_1722191130" r:id="rId9"/>
        </w:object>
      </w:r>
      <w:r w:rsidR="00050AC5" w:rsidRPr="00A245A2">
        <w:rPr>
          <w:rFonts w:ascii="Bookman Old Style" w:hAnsi="Bookman Old Style"/>
        </w:rPr>
        <w:t>Ministerio de Minas y Energía</w:t>
      </w:r>
    </w:p>
    <w:p w14:paraId="257F7168" w14:textId="77777777" w:rsidR="00050AC5" w:rsidRPr="00A245A2" w:rsidRDefault="00050AC5" w:rsidP="00050AC5">
      <w:pPr>
        <w:pStyle w:val="Encabezado"/>
        <w:widowControl w:val="0"/>
        <w:tabs>
          <w:tab w:val="clear" w:pos="4252"/>
          <w:tab w:val="clear" w:pos="8504"/>
          <w:tab w:val="left" w:pos="0"/>
          <w:tab w:val="center" w:pos="4678"/>
          <w:tab w:val="right" w:pos="9356"/>
        </w:tabs>
        <w:ind w:left="0"/>
        <w:jc w:val="center"/>
        <w:rPr>
          <w:rFonts w:ascii="Bookman Old Style" w:hAnsi="Bookman Old Style"/>
          <w:b/>
          <w:noProof/>
          <w:szCs w:val="24"/>
          <w:lang w:val="es-ES"/>
        </w:rPr>
      </w:pPr>
    </w:p>
    <w:p w14:paraId="252E7787" w14:textId="77777777" w:rsidR="00050AC5" w:rsidRPr="00A245A2" w:rsidRDefault="00050AC5" w:rsidP="00050AC5">
      <w:pPr>
        <w:widowControl w:val="0"/>
        <w:ind w:left="0"/>
        <w:jc w:val="center"/>
        <w:rPr>
          <w:rFonts w:ascii="Bookman Old Style" w:hAnsi="Bookman Old Style"/>
          <w:b/>
        </w:rPr>
      </w:pPr>
      <w:r w:rsidRPr="00A245A2">
        <w:rPr>
          <w:rFonts w:ascii="Bookman Old Style" w:hAnsi="Bookman Old Style"/>
          <w:b/>
        </w:rPr>
        <w:t>COMISIÓN DE REGULACIÓN DE ENERGÍA Y GAS</w:t>
      </w:r>
    </w:p>
    <w:p w14:paraId="02AC3A3B" w14:textId="77777777" w:rsidR="00050AC5" w:rsidRPr="00A245A2" w:rsidRDefault="00050AC5" w:rsidP="00050AC5">
      <w:pPr>
        <w:widowControl w:val="0"/>
        <w:rPr>
          <w:rFonts w:ascii="Bookman Old Style" w:hAnsi="Bookman Old Style"/>
        </w:rPr>
      </w:pPr>
    </w:p>
    <w:p w14:paraId="2442A827" w14:textId="4233C28C" w:rsidR="00050AC5" w:rsidRPr="00A245A2" w:rsidRDefault="00050AC5" w:rsidP="00050AC5">
      <w:pPr>
        <w:widowControl w:val="0"/>
        <w:ind w:left="0"/>
        <w:jc w:val="center"/>
        <w:rPr>
          <w:rFonts w:ascii="Bookman Old Style" w:hAnsi="Bookman Old Style"/>
          <w:b/>
        </w:rPr>
      </w:pPr>
      <w:r w:rsidRPr="00A245A2">
        <w:rPr>
          <w:rFonts w:ascii="Bookman Old Style" w:hAnsi="Bookman Old Style"/>
          <w:b/>
        </w:rPr>
        <w:t xml:space="preserve">RESOLUCIÓN No. </w:t>
      </w:r>
      <w:r w:rsidR="00C2408C">
        <w:rPr>
          <w:rFonts w:ascii="Bookman Old Style" w:hAnsi="Bookman Old Style"/>
          <w:b/>
          <w:sz w:val="32"/>
          <w:szCs w:val="32"/>
        </w:rPr>
        <w:t>501 053</w:t>
      </w:r>
      <w:r w:rsidRPr="00A245A2">
        <w:rPr>
          <w:rFonts w:ascii="Bookman Old Style" w:hAnsi="Bookman Old Style"/>
          <w:b/>
          <w:sz w:val="32"/>
          <w:szCs w:val="32"/>
        </w:rPr>
        <w:t xml:space="preserve"> </w:t>
      </w:r>
      <w:r w:rsidRPr="00A245A2">
        <w:rPr>
          <w:rFonts w:ascii="Bookman Old Style" w:hAnsi="Bookman Old Style"/>
          <w:b/>
        </w:rPr>
        <w:t>DE 202</w:t>
      </w:r>
      <w:r w:rsidR="00B71141">
        <w:rPr>
          <w:rFonts w:ascii="Bookman Old Style" w:hAnsi="Bookman Old Style"/>
          <w:b/>
        </w:rPr>
        <w:t>2</w:t>
      </w:r>
    </w:p>
    <w:p w14:paraId="2C3994EC" w14:textId="77777777" w:rsidR="00050AC5" w:rsidRPr="00A245A2" w:rsidRDefault="00050AC5" w:rsidP="00050AC5">
      <w:pPr>
        <w:widowControl w:val="0"/>
        <w:ind w:left="0"/>
        <w:jc w:val="center"/>
        <w:rPr>
          <w:rFonts w:ascii="Bookman Old Style" w:hAnsi="Bookman Old Style" w:cs="Arial"/>
          <w:b/>
          <w:snapToGrid w:val="0"/>
          <w:color w:val="000000"/>
          <w:lang w:val="es-ES_tradnl"/>
        </w:rPr>
      </w:pPr>
    </w:p>
    <w:p w14:paraId="3812E76B" w14:textId="0D899FFD" w:rsidR="00050AC5" w:rsidRPr="00A245A2" w:rsidRDefault="00050AC5" w:rsidP="00050AC5">
      <w:pPr>
        <w:widowControl w:val="0"/>
        <w:ind w:left="0"/>
        <w:jc w:val="center"/>
        <w:rPr>
          <w:rFonts w:ascii="Bookman Old Style" w:hAnsi="Bookman Old Style"/>
          <w:b/>
        </w:rPr>
      </w:pPr>
      <w:r w:rsidRPr="00A245A2">
        <w:rPr>
          <w:rFonts w:ascii="Bookman Old Style" w:hAnsi="Bookman Old Style"/>
          <w:b/>
        </w:rPr>
        <w:t>(</w:t>
      </w:r>
      <w:r w:rsidR="000B6AA2">
        <w:rPr>
          <w:rFonts w:ascii="Bookman Old Style" w:hAnsi="Bookman Old Style"/>
          <w:b/>
        </w:rPr>
        <w:t xml:space="preserve"> </w:t>
      </w:r>
      <w:r w:rsidR="000B6AA2">
        <w:rPr>
          <w:rFonts w:ascii="Bookman Old Style" w:hAnsi="Bookman Old Style"/>
          <w:b/>
          <w:sz w:val="32"/>
          <w:szCs w:val="32"/>
        </w:rPr>
        <w:t>01 JUL.</w:t>
      </w:r>
      <w:r w:rsidRPr="00A245A2">
        <w:rPr>
          <w:rFonts w:ascii="Bookman Old Style" w:hAnsi="Bookman Old Style"/>
          <w:b/>
          <w:sz w:val="32"/>
          <w:szCs w:val="32"/>
        </w:rPr>
        <w:t xml:space="preserve"> 202</w:t>
      </w:r>
      <w:r w:rsidR="00D53C94">
        <w:rPr>
          <w:rFonts w:ascii="Bookman Old Style" w:hAnsi="Bookman Old Style"/>
          <w:b/>
          <w:sz w:val="32"/>
          <w:szCs w:val="32"/>
        </w:rPr>
        <w:t>2</w:t>
      </w:r>
      <w:r w:rsidR="000B6AA2">
        <w:rPr>
          <w:rFonts w:ascii="Bookman Old Style" w:hAnsi="Bookman Old Style"/>
          <w:b/>
          <w:sz w:val="32"/>
          <w:szCs w:val="32"/>
        </w:rPr>
        <w:t xml:space="preserve"> </w:t>
      </w:r>
      <w:r w:rsidRPr="00A245A2">
        <w:rPr>
          <w:rFonts w:ascii="Bookman Old Style" w:hAnsi="Bookman Old Style"/>
          <w:b/>
        </w:rPr>
        <w:t>)</w:t>
      </w:r>
    </w:p>
    <w:p w14:paraId="122755B5" w14:textId="77777777" w:rsidR="00050AC5" w:rsidRPr="00A245A2" w:rsidRDefault="00050AC5" w:rsidP="00356796">
      <w:pPr>
        <w:widowControl w:val="0"/>
        <w:ind w:left="0"/>
        <w:rPr>
          <w:rFonts w:ascii="Bookman Old Style" w:hAnsi="Bookman Old Style"/>
          <w:lang w:val="es-ES_tradnl"/>
        </w:rPr>
      </w:pPr>
    </w:p>
    <w:p w14:paraId="0A0FB6EE" w14:textId="1DE3BA1C" w:rsidR="00050AC5" w:rsidRPr="00A245A2" w:rsidRDefault="00050AC5" w:rsidP="00E94A03">
      <w:pPr>
        <w:pStyle w:val="Textoindependiente"/>
        <w:ind w:right="567"/>
        <w:rPr>
          <w:rFonts w:ascii="Bookman Old Style" w:hAnsi="Bookman Old Style"/>
          <w:b w:val="0"/>
        </w:rPr>
      </w:pPr>
      <w:r w:rsidRPr="00A245A2">
        <w:rPr>
          <w:rFonts w:ascii="Bookman Old Style" w:hAnsi="Bookman Old Style"/>
          <w:b w:val="0"/>
        </w:rPr>
        <w:t>Por la cual se decide</w:t>
      </w:r>
      <w:r w:rsidR="00C0519B">
        <w:rPr>
          <w:rFonts w:ascii="Bookman Old Style" w:hAnsi="Bookman Old Style"/>
          <w:b w:val="0"/>
        </w:rPr>
        <w:t xml:space="preserve"> un recurso de reposición contra la Resolución CREG</w:t>
      </w:r>
      <w:r w:rsidR="00EB0274">
        <w:rPr>
          <w:rFonts w:ascii="Bookman Old Style" w:hAnsi="Bookman Old Style"/>
          <w:b w:val="0"/>
        </w:rPr>
        <w:t xml:space="preserve"> 501-0</w:t>
      </w:r>
      <w:r w:rsidR="009E35BA">
        <w:rPr>
          <w:rFonts w:ascii="Bookman Old Style" w:hAnsi="Bookman Old Style"/>
          <w:b w:val="0"/>
        </w:rPr>
        <w:t>3</w:t>
      </w:r>
      <w:r w:rsidR="00EB0274">
        <w:rPr>
          <w:rFonts w:ascii="Bookman Old Style" w:hAnsi="Bookman Old Style"/>
          <w:b w:val="0"/>
        </w:rPr>
        <w:t>3 de 2022</w:t>
      </w:r>
      <w:r w:rsidR="000578A5">
        <w:rPr>
          <w:rFonts w:ascii="Bookman Old Style" w:hAnsi="Bookman Old Style"/>
          <w:b w:val="0"/>
        </w:rPr>
        <w:t xml:space="preserve"> por la</w:t>
      </w:r>
      <w:r w:rsidR="00C95343">
        <w:rPr>
          <w:rFonts w:ascii="Bookman Old Style" w:hAnsi="Bookman Old Style"/>
          <w:b w:val="0"/>
        </w:rPr>
        <w:t xml:space="preserve"> que</w:t>
      </w:r>
      <w:r w:rsidR="000578A5">
        <w:rPr>
          <w:rFonts w:ascii="Bookman Old Style" w:hAnsi="Bookman Old Style"/>
          <w:b w:val="0"/>
        </w:rPr>
        <w:t xml:space="preserve"> se decide</w:t>
      </w:r>
      <w:r w:rsidRPr="00A245A2">
        <w:rPr>
          <w:rFonts w:ascii="Bookman Old Style" w:hAnsi="Bookman Old Style"/>
          <w:b w:val="0"/>
        </w:rPr>
        <w:t xml:space="preserve"> </w:t>
      </w:r>
      <w:r w:rsidRPr="00A245A2">
        <w:rPr>
          <w:rFonts w:ascii="Bookman Old Style" w:hAnsi="Bookman Old Style"/>
          <w:b w:val="0"/>
          <w:lang w:val="es-CO"/>
        </w:rPr>
        <w:t xml:space="preserve">la actuación administrativa iniciada por la presunta existencia de discrepancias </w:t>
      </w:r>
      <w:r w:rsidR="00E94A03">
        <w:rPr>
          <w:rFonts w:ascii="Bookman Old Style" w:hAnsi="Bookman Old Style"/>
          <w:b w:val="0"/>
          <w:lang w:val="es-CO"/>
        </w:rPr>
        <w:br/>
      </w:r>
      <w:r w:rsidRPr="00A245A2">
        <w:rPr>
          <w:rFonts w:ascii="Bookman Old Style" w:hAnsi="Bookman Old Style"/>
          <w:b w:val="0"/>
          <w:lang w:val="es-CO"/>
        </w:rPr>
        <w:t xml:space="preserve">en valores reportados </w:t>
      </w:r>
      <w:r w:rsidR="00D92AC7" w:rsidRPr="00A245A2">
        <w:rPr>
          <w:rFonts w:ascii="Bookman Old Style" w:hAnsi="Bookman Old Style"/>
          <w:b w:val="0"/>
          <w:lang w:val="es-CO"/>
        </w:rPr>
        <w:t>por ISAGEN</w:t>
      </w:r>
      <w:r w:rsidRPr="00A245A2">
        <w:rPr>
          <w:rFonts w:ascii="Bookman Old Style" w:hAnsi="Bookman Old Style"/>
          <w:b w:val="0"/>
          <w:lang w:val="es-CO"/>
        </w:rPr>
        <w:t xml:space="preserve"> S.A E.S.P., planta </w:t>
      </w:r>
      <w:r w:rsidR="00A95DB7">
        <w:rPr>
          <w:rFonts w:ascii="Bookman Old Style" w:hAnsi="Bookman Old Style"/>
          <w:b w:val="0"/>
          <w:lang w:val="es-CO"/>
        </w:rPr>
        <w:t>MIEL I</w:t>
      </w:r>
      <w:r w:rsidR="00E94A03">
        <w:rPr>
          <w:rFonts w:ascii="Bookman Old Style" w:hAnsi="Bookman Old Style"/>
          <w:b w:val="0"/>
          <w:lang w:val="es-CO"/>
        </w:rPr>
        <w:t xml:space="preserve">. </w:t>
      </w:r>
      <w:r w:rsidRPr="00356796">
        <w:rPr>
          <w:rFonts w:ascii="Bookman Old Style" w:hAnsi="Bookman Old Style"/>
          <w:b w:val="0"/>
          <w:lang w:val="es-CO"/>
        </w:rPr>
        <w:t xml:space="preserve"> </w:t>
      </w:r>
      <w:r w:rsidRPr="00356796">
        <w:rPr>
          <w:rFonts w:ascii="Bookman Old Style" w:hAnsi="Bookman Old Style"/>
          <w:b w:val="0"/>
        </w:rPr>
        <w:t>Expediente No. 2021-003</w:t>
      </w:r>
      <w:r w:rsidR="00B71141">
        <w:rPr>
          <w:rFonts w:ascii="Bookman Old Style" w:hAnsi="Bookman Old Style"/>
          <w:b w:val="0"/>
        </w:rPr>
        <w:t>7</w:t>
      </w:r>
    </w:p>
    <w:p w14:paraId="75248242" w14:textId="17FAF57C" w:rsidR="00050AC5" w:rsidRDefault="00050AC5" w:rsidP="00E94A03">
      <w:pPr>
        <w:spacing w:after="120"/>
        <w:ind w:left="0"/>
        <w:rPr>
          <w:rFonts w:ascii="Bookman Old Style" w:hAnsi="Bookman Old Style"/>
          <w:sz w:val="22"/>
          <w:szCs w:val="22"/>
          <w:lang w:val="es-CO"/>
        </w:rPr>
      </w:pPr>
    </w:p>
    <w:p w14:paraId="14A6200E" w14:textId="77777777" w:rsidR="00050AC5" w:rsidRPr="00A245A2" w:rsidRDefault="00050AC5" w:rsidP="00E94A03">
      <w:pPr>
        <w:ind w:left="-142"/>
        <w:jc w:val="center"/>
        <w:rPr>
          <w:rFonts w:ascii="Bookman Old Style" w:hAnsi="Bookman Old Style" w:cs="Arial"/>
          <w:b/>
          <w:bCs/>
          <w:lang w:val="es-CO"/>
        </w:rPr>
      </w:pPr>
      <w:r w:rsidRPr="00A245A2">
        <w:rPr>
          <w:rFonts w:ascii="Bookman Old Style" w:hAnsi="Bookman Old Style" w:cs="Arial"/>
          <w:b/>
          <w:bCs/>
          <w:lang w:val="es-CO"/>
        </w:rPr>
        <w:t>LA COMISIÓN DE REGULACIÓN DE ENERGÍA Y GAS</w:t>
      </w:r>
    </w:p>
    <w:p w14:paraId="44287926" w14:textId="77777777" w:rsidR="00050AC5" w:rsidRPr="00A245A2" w:rsidRDefault="00050AC5" w:rsidP="00050AC5">
      <w:pPr>
        <w:jc w:val="center"/>
        <w:rPr>
          <w:rFonts w:ascii="Bookman Old Style" w:hAnsi="Bookman Old Style" w:cs="Arial"/>
          <w:b/>
          <w:bCs/>
          <w:lang w:val="es-CO"/>
        </w:rPr>
      </w:pPr>
    </w:p>
    <w:p w14:paraId="5FBC8C42" w14:textId="77777777" w:rsidR="00050AC5" w:rsidRPr="00A245A2" w:rsidRDefault="00050AC5" w:rsidP="00050AC5">
      <w:pPr>
        <w:ind w:right="284"/>
        <w:jc w:val="center"/>
        <w:rPr>
          <w:rFonts w:ascii="Bookman Old Style" w:hAnsi="Bookman Old Style" w:cs="Arial"/>
          <w:lang w:val="es-CO"/>
        </w:rPr>
      </w:pPr>
      <w:r w:rsidRPr="00A245A2">
        <w:rPr>
          <w:rFonts w:ascii="Bookman Old Style" w:hAnsi="Bookman Old Style" w:cs="Arial"/>
          <w:lang w:val="es-CO"/>
        </w:rPr>
        <w:t xml:space="preserve">En ejercicio de sus atribuciones legales, en especial las conferidas por las leyes 142 y 143 de 1994, y los decretos 1524 de 1994 y </w:t>
      </w:r>
      <w:r w:rsidRPr="00A245A2">
        <w:rPr>
          <w:rFonts w:ascii="Bookman Old Style" w:hAnsi="Bookman Old Style" w:cs="Arial"/>
          <w:bCs/>
          <w:spacing w:val="-3"/>
        </w:rPr>
        <w:t>1260 de 2013 y</w:t>
      </w:r>
      <w:r w:rsidRPr="00A245A2">
        <w:rPr>
          <w:rFonts w:ascii="Bookman Old Style" w:hAnsi="Bookman Old Style" w:cs="Arial"/>
          <w:lang w:val="es-CO"/>
        </w:rPr>
        <w:t>,</w:t>
      </w:r>
    </w:p>
    <w:p w14:paraId="248C7C7B" w14:textId="77777777" w:rsidR="00050AC5" w:rsidRPr="00A245A2" w:rsidRDefault="00050AC5" w:rsidP="00812F0A">
      <w:pPr>
        <w:spacing w:after="120"/>
        <w:ind w:left="0"/>
        <w:rPr>
          <w:rFonts w:ascii="Bookman Old Style" w:hAnsi="Bookman Old Style" w:cs="Arial"/>
          <w:lang w:val="es-CO"/>
        </w:rPr>
      </w:pPr>
    </w:p>
    <w:p w14:paraId="3C903641" w14:textId="77777777" w:rsidR="00050AC5" w:rsidRPr="00A245A2" w:rsidRDefault="00050AC5" w:rsidP="00812F0A">
      <w:pPr>
        <w:ind w:left="0"/>
        <w:jc w:val="center"/>
        <w:rPr>
          <w:rFonts w:ascii="Bookman Old Style" w:hAnsi="Bookman Old Style" w:cs="Arial"/>
          <w:b/>
          <w:bCs/>
          <w:lang w:val="it-IT"/>
        </w:rPr>
      </w:pPr>
      <w:r w:rsidRPr="00A245A2">
        <w:rPr>
          <w:rFonts w:ascii="Bookman Old Style" w:hAnsi="Bookman Old Style" w:cs="Arial"/>
          <w:b/>
          <w:bCs/>
          <w:lang w:val="it-IT"/>
        </w:rPr>
        <w:t>C O N S I D E R A N D O   Q U E:</w:t>
      </w:r>
    </w:p>
    <w:p w14:paraId="037E1E9A" w14:textId="77777777" w:rsidR="00050AC5" w:rsidRPr="00A245A2" w:rsidRDefault="00050AC5" w:rsidP="00050AC5">
      <w:pPr>
        <w:jc w:val="center"/>
        <w:rPr>
          <w:rFonts w:ascii="Bookman Old Style" w:hAnsi="Bookman Old Style" w:cs="Arial"/>
          <w:b/>
          <w:bCs/>
          <w:lang w:val="it-IT"/>
        </w:rPr>
      </w:pPr>
    </w:p>
    <w:p w14:paraId="2073CC72" w14:textId="45DE8813" w:rsidR="0025680C" w:rsidRDefault="00200329" w:rsidP="0025680C">
      <w:pPr>
        <w:ind w:left="0"/>
        <w:jc w:val="both"/>
        <w:rPr>
          <w:rFonts w:ascii="Bookman Old Style" w:hAnsi="Bookman Old Style"/>
          <w:color w:val="1D2228"/>
          <w:shd w:val="clear" w:color="auto" w:fill="FFFFFF"/>
        </w:rPr>
      </w:pPr>
      <w:r>
        <w:rPr>
          <w:rFonts w:ascii="Bookman Old Style" w:hAnsi="Bookman Old Style"/>
          <w:color w:val="1D2228"/>
          <w:shd w:val="clear" w:color="auto" w:fill="FFFFFF"/>
        </w:rPr>
        <w:t>C</w:t>
      </w:r>
      <w:r w:rsidR="0025680C">
        <w:rPr>
          <w:rFonts w:ascii="Bookman Old Style" w:hAnsi="Bookman Old Style"/>
          <w:color w:val="1D2228"/>
          <w:shd w:val="clear" w:color="auto" w:fill="FFFFFF"/>
        </w:rPr>
        <w:t xml:space="preserve">on </w:t>
      </w:r>
      <w:r w:rsidR="000578A5">
        <w:rPr>
          <w:rFonts w:ascii="Bookman Old Style" w:hAnsi="Bookman Old Style"/>
          <w:color w:val="1D2228"/>
          <w:shd w:val="clear" w:color="auto" w:fill="FFFFFF"/>
        </w:rPr>
        <w:t>la Resolución CREG 501</w:t>
      </w:r>
      <w:r w:rsidR="00F20A58">
        <w:rPr>
          <w:rFonts w:ascii="Bookman Old Style" w:hAnsi="Bookman Old Style"/>
          <w:color w:val="1D2228"/>
          <w:shd w:val="clear" w:color="auto" w:fill="FFFFFF"/>
        </w:rPr>
        <w:t xml:space="preserve"> </w:t>
      </w:r>
      <w:r w:rsidR="000578A5">
        <w:rPr>
          <w:rFonts w:ascii="Bookman Old Style" w:hAnsi="Bookman Old Style"/>
          <w:color w:val="1D2228"/>
          <w:shd w:val="clear" w:color="auto" w:fill="FFFFFF"/>
        </w:rPr>
        <w:t>0</w:t>
      </w:r>
      <w:r w:rsidR="009E35BA">
        <w:rPr>
          <w:rFonts w:ascii="Bookman Old Style" w:hAnsi="Bookman Old Style"/>
          <w:color w:val="1D2228"/>
          <w:shd w:val="clear" w:color="auto" w:fill="FFFFFF"/>
        </w:rPr>
        <w:t>3</w:t>
      </w:r>
      <w:r w:rsidR="000578A5">
        <w:rPr>
          <w:rFonts w:ascii="Bookman Old Style" w:hAnsi="Bookman Old Style"/>
          <w:color w:val="1D2228"/>
          <w:shd w:val="clear" w:color="auto" w:fill="FFFFFF"/>
        </w:rPr>
        <w:t>3 de 2022</w:t>
      </w:r>
      <w:r w:rsidR="0025680C" w:rsidRPr="00152705">
        <w:rPr>
          <w:rFonts w:ascii="Bookman Old Style" w:hAnsi="Bookman Old Style"/>
          <w:color w:val="1D2228"/>
          <w:shd w:val="clear" w:color="auto" w:fill="FFFFFF"/>
        </w:rPr>
        <w:t xml:space="preserve"> </w:t>
      </w:r>
      <w:r w:rsidR="000578A5">
        <w:rPr>
          <w:rFonts w:ascii="Bookman Old Style" w:hAnsi="Bookman Old Style"/>
          <w:color w:val="1D2228"/>
          <w:shd w:val="clear" w:color="auto" w:fill="FFFFFF"/>
        </w:rPr>
        <w:t>se decidió</w:t>
      </w:r>
      <w:r w:rsidR="0025680C" w:rsidRPr="00152705">
        <w:rPr>
          <w:rFonts w:ascii="Bookman Old Style" w:hAnsi="Bookman Old Style"/>
          <w:color w:val="1D2228"/>
          <w:shd w:val="clear" w:color="auto" w:fill="FFFFFF"/>
        </w:rPr>
        <w:t xml:space="preserve"> la actuación administrativa </w:t>
      </w:r>
      <w:r w:rsidR="0025680C">
        <w:rPr>
          <w:rFonts w:ascii="Bookman Old Style" w:hAnsi="Bookman Old Style"/>
          <w:color w:val="1D2228"/>
          <w:shd w:val="clear" w:color="auto" w:fill="FFFFFF"/>
        </w:rPr>
        <w:t xml:space="preserve">del </w:t>
      </w:r>
      <w:r w:rsidR="0025680C" w:rsidRPr="00152705">
        <w:rPr>
          <w:rFonts w:ascii="Bookman Old Style" w:hAnsi="Bookman Old Style"/>
          <w:color w:val="1D2228"/>
          <w:shd w:val="clear" w:color="auto" w:fill="FFFFFF"/>
        </w:rPr>
        <w:t xml:space="preserve">expediente </w:t>
      </w:r>
      <w:r>
        <w:rPr>
          <w:rFonts w:ascii="Bookman Old Style" w:hAnsi="Bookman Old Style"/>
        </w:rPr>
        <w:t>2021 – 003</w:t>
      </w:r>
      <w:r w:rsidR="00064CCD">
        <w:rPr>
          <w:rFonts w:ascii="Bookman Old Style" w:hAnsi="Bookman Old Style"/>
        </w:rPr>
        <w:t>7</w:t>
      </w:r>
      <w:r w:rsidR="0025680C">
        <w:rPr>
          <w:rFonts w:ascii="Bookman Old Style" w:hAnsi="Bookman Old Style"/>
        </w:rPr>
        <w:t xml:space="preserve">, </w:t>
      </w:r>
      <w:r w:rsidR="000D65B1">
        <w:rPr>
          <w:rFonts w:ascii="Bookman Old Style" w:hAnsi="Bookman Old Style"/>
          <w:color w:val="1D2228"/>
          <w:shd w:val="clear" w:color="auto" w:fill="FFFFFF"/>
        </w:rPr>
        <w:t>c</w:t>
      </w:r>
      <w:r w:rsidR="000A4634" w:rsidRPr="000A4634">
        <w:rPr>
          <w:rFonts w:ascii="Bookman Old Style" w:hAnsi="Bookman Old Style"/>
          <w:color w:val="1D2228"/>
          <w:shd w:val="clear" w:color="auto" w:fill="FFFFFF"/>
        </w:rPr>
        <w:t>onfirma</w:t>
      </w:r>
      <w:r w:rsidR="000A4634">
        <w:rPr>
          <w:rFonts w:ascii="Bookman Old Style" w:hAnsi="Bookman Old Style"/>
          <w:color w:val="1D2228"/>
          <w:shd w:val="clear" w:color="auto" w:fill="FFFFFF"/>
        </w:rPr>
        <w:t>ndo</w:t>
      </w:r>
      <w:r w:rsidR="000A4634" w:rsidRPr="000A4634">
        <w:rPr>
          <w:rFonts w:ascii="Bookman Old Style" w:hAnsi="Bookman Old Style"/>
          <w:color w:val="1D2228"/>
          <w:shd w:val="clear" w:color="auto" w:fill="FFFFFF"/>
        </w:rPr>
        <w:t xml:space="preserve"> la existencia de la discrepancia encontrada por el auditor en los valores reportados por la empresa ISAGEN S.A. E.S.P. para la planta Miel I</w:t>
      </w:r>
      <w:r w:rsidR="00AC2C4B">
        <w:rPr>
          <w:rFonts w:ascii="Bookman Old Style" w:hAnsi="Bookman Old Style"/>
          <w:color w:val="1D2228"/>
          <w:shd w:val="clear" w:color="auto" w:fill="FFFFFF"/>
        </w:rPr>
        <w:t>,</w:t>
      </w:r>
      <w:r w:rsidR="000A4634" w:rsidRPr="000A4634">
        <w:rPr>
          <w:rFonts w:ascii="Bookman Old Style" w:hAnsi="Bookman Old Style"/>
          <w:color w:val="1D2228"/>
          <w:shd w:val="clear" w:color="auto" w:fill="FFFFFF"/>
        </w:rPr>
        <w:t xml:space="preserve"> respecto del parámetro </w:t>
      </w:r>
      <w:r w:rsidR="002E3985">
        <w:rPr>
          <w:rFonts w:ascii="Bookman Old Style" w:hAnsi="Bookman Old Style"/>
          <w:color w:val="1D2228"/>
          <w:shd w:val="clear" w:color="auto" w:fill="FFFFFF"/>
        </w:rPr>
        <w:t>s</w:t>
      </w:r>
      <w:r w:rsidR="000A4634" w:rsidRPr="000A4634">
        <w:rPr>
          <w:rFonts w:ascii="Bookman Old Style" w:hAnsi="Bookman Old Style"/>
          <w:color w:val="1D2228"/>
          <w:shd w:val="clear" w:color="auto" w:fill="FFFFFF"/>
        </w:rPr>
        <w:t>erie histórica de caudales medios mensuales de los ríos del SIN correspondiente a la serie Guarinó</w:t>
      </w:r>
      <w:r w:rsidR="00021393">
        <w:rPr>
          <w:rFonts w:ascii="Bookman Old Style" w:hAnsi="Bookman Old Style"/>
          <w:color w:val="1D2228"/>
          <w:shd w:val="clear" w:color="auto" w:fill="FFFFFF"/>
        </w:rPr>
        <w:t>,</w:t>
      </w:r>
      <w:r w:rsidR="000A4634" w:rsidRPr="000A4634">
        <w:rPr>
          <w:rFonts w:ascii="Bookman Old Style" w:hAnsi="Bookman Old Style"/>
          <w:color w:val="1D2228"/>
          <w:shd w:val="clear" w:color="auto" w:fill="FFFFFF"/>
        </w:rPr>
        <w:t xml:space="preserve"> que compromete la ENFICC que respalda las OEF del período 2022-2023</w:t>
      </w:r>
      <w:r w:rsidR="00277B30">
        <w:rPr>
          <w:rFonts w:ascii="Bookman Old Style" w:hAnsi="Bookman Old Style"/>
          <w:color w:val="1D2228"/>
          <w:shd w:val="clear" w:color="auto" w:fill="FFFFFF"/>
        </w:rPr>
        <w:t>,</w:t>
      </w:r>
      <w:r w:rsidR="00D05548">
        <w:rPr>
          <w:rFonts w:ascii="Bookman Old Style" w:hAnsi="Bookman Old Style"/>
          <w:color w:val="1D2228"/>
          <w:shd w:val="clear" w:color="auto" w:fill="FFFFFF"/>
        </w:rPr>
        <w:t xml:space="preserve"> y declarando que </w:t>
      </w:r>
      <w:r w:rsidR="00D05548" w:rsidRPr="00D05548">
        <w:rPr>
          <w:rFonts w:ascii="Bookman Old Style" w:hAnsi="Bookman Old Style"/>
          <w:color w:val="1D2228"/>
          <w:shd w:val="clear" w:color="auto" w:fill="FFFFFF"/>
        </w:rPr>
        <w:t>para la Planta Miel I de ISAGEN S.A. E.S.P. la ENFICC que puede respaldar Obligaciones de Energía Firme para el periodo 2022-2023 es la ENFICC Base de 2.326.232 kWh-día</w:t>
      </w:r>
      <w:r w:rsidR="00D05548">
        <w:rPr>
          <w:rFonts w:ascii="Bookman Old Style" w:hAnsi="Bookman Old Style"/>
          <w:color w:val="1D2228"/>
          <w:shd w:val="clear" w:color="auto" w:fill="FFFFFF"/>
        </w:rPr>
        <w:t>.</w:t>
      </w:r>
    </w:p>
    <w:p w14:paraId="3CDCF037" w14:textId="5AA25449" w:rsidR="00D05548" w:rsidRDefault="00D05548" w:rsidP="0025680C">
      <w:pPr>
        <w:ind w:left="0"/>
        <w:jc w:val="both"/>
        <w:rPr>
          <w:rFonts w:ascii="Bookman Old Style" w:hAnsi="Bookman Old Style"/>
          <w:color w:val="1D2228"/>
          <w:shd w:val="clear" w:color="auto" w:fill="FFFFFF"/>
        </w:rPr>
      </w:pPr>
    </w:p>
    <w:p w14:paraId="20886870" w14:textId="29D9E3A5" w:rsidR="00D05548" w:rsidRDefault="00402BCE" w:rsidP="0025680C">
      <w:pPr>
        <w:ind w:left="0"/>
        <w:jc w:val="both"/>
        <w:rPr>
          <w:rFonts w:ascii="Bookman Old Style" w:hAnsi="Bookman Old Style"/>
          <w:color w:val="1D2228"/>
          <w:shd w:val="clear" w:color="auto" w:fill="FFFFFF"/>
        </w:rPr>
      </w:pPr>
      <w:r>
        <w:rPr>
          <w:rFonts w:ascii="Bookman Old Style" w:hAnsi="Bookman Old Style"/>
          <w:color w:val="1D2228"/>
          <w:shd w:val="clear" w:color="auto" w:fill="FFFFFF"/>
        </w:rPr>
        <w:t>La Resolución CREG</w:t>
      </w:r>
      <w:r w:rsidRPr="00402BCE">
        <w:rPr>
          <w:rFonts w:ascii="Bookman Old Style" w:hAnsi="Bookman Old Style"/>
          <w:color w:val="1D2228"/>
          <w:shd w:val="clear" w:color="auto" w:fill="FFFFFF"/>
        </w:rPr>
        <w:t xml:space="preserve"> 501 033 del 5 de abril de 2022</w:t>
      </w:r>
      <w:r w:rsidR="00393464">
        <w:rPr>
          <w:rFonts w:ascii="Bookman Old Style" w:hAnsi="Bookman Old Style"/>
          <w:color w:val="1D2228"/>
          <w:shd w:val="clear" w:color="auto" w:fill="FFFFFF"/>
        </w:rPr>
        <w:t xml:space="preserve"> fue</w:t>
      </w:r>
      <w:r w:rsidRPr="00402BCE">
        <w:rPr>
          <w:rFonts w:ascii="Bookman Old Style" w:hAnsi="Bookman Old Style"/>
          <w:color w:val="1D2228"/>
          <w:shd w:val="clear" w:color="auto" w:fill="FFFFFF"/>
        </w:rPr>
        <w:t xml:space="preserve"> notificada a ISAGEN</w:t>
      </w:r>
      <w:r w:rsidR="00021393">
        <w:rPr>
          <w:rFonts w:ascii="Bookman Old Style" w:hAnsi="Bookman Old Style"/>
          <w:color w:val="1D2228"/>
          <w:shd w:val="clear" w:color="auto" w:fill="FFFFFF"/>
        </w:rPr>
        <w:t xml:space="preserve"> S.A. E.S.P. </w:t>
      </w:r>
      <w:r w:rsidRPr="00402BCE">
        <w:rPr>
          <w:rFonts w:ascii="Bookman Old Style" w:hAnsi="Bookman Old Style"/>
          <w:color w:val="1D2228"/>
          <w:shd w:val="clear" w:color="auto" w:fill="FFFFFF"/>
        </w:rPr>
        <w:t>mediante correo electrónico del 18 de mayo de 2022</w:t>
      </w:r>
      <w:r w:rsidR="00393464">
        <w:rPr>
          <w:rFonts w:ascii="Bookman Old Style" w:hAnsi="Bookman Old Style"/>
          <w:color w:val="1D2228"/>
          <w:shd w:val="clear" w:color="auto" w:fill="FFFFFF"/>
        </w:rPr>
        <w:t>.</w:t>
      </w:r>
    </w:p>
    <w:p w14:paraId="47325DE9" w14:textId="331DD4BC" w:rsidR="007700F6" w:rsidRDefault="007700F6" w:rsidP="0025680C">
      <w:pPr>
        <w:ind w:left="0"/>
        <w:jc w:val="both"/>
        <w:rPr>
          <w:rFonts w:ascii="Bookman Old Style" w:hAnsi="Bookman Old Style"/>
          <w:color w:val="1D2228"/>
          <w:shd w:val="clear" w:color="auto" w:fill="FFFFFF"/>
        </w:rPr>
      </w:pPr>
    </w:p>
    <w:p w14:paraId="1A77026C" w14:textId="4330DEBA" w:rsidR="007700F6" w:rsidRDefault="007700F6" w:rsidP="0025680C">
      <w:pPr>
        <w:ind w:left="0"/>
        <w:jc w:val="both"/>
        <w:rPr>
          <w:rFonts w:ascii="Bookman Old Style" w:hAnsi="Bookman Old Style"/>
          <w:color w:val="1D2228"/>
          <w:shd w:val="clear" w:color="auto" w:fill="FFFFFF"/>
        </w:rPr>
      </w:pPr>
      <w:r>
        <w:rPr>
          <w:rFonts w:ascii="Bookman Old Style" w:hAnsi="Bookman Old Style"/>
          <w:color w:val="1D2228"/>
          <w:shd w:val="clear" w:color="auto" w:fill="FFFFFF"/>
        </w:rPr>
        <w:t>Estando dentro del término</w:t>
      </w:r>
      <w:r w:rsidR="00021393">
        <w:rPr>
          <w:rFonts w:ascii="Bookman Old Style" w:hAnsi="Bookman Old Style"/>
          <w:color w:val="1D2228"/>
          <w:shd w:val="clear" w:color="auto" w:fill="FFFFFF"/>
        </w:rPr>
        <w:t>,</w:t>
      </w:r>
      <w:r>
        <w:rPr>
          <w:rFonts w:ascii="Bookman Old Style" w:hAnsi="Bookman Old Style"/>
          <w:color w:val="1D2228"/>
          <w:shd w:val="clear" w:color="auto" w:fill="FFFFFF"/>
        </w:rPr>
        <w:t xml:space="preserve"> ISAGEN</w:t>
      </w:r>
      <w:r w:rsidR="00021393">
        <w:rPr>
          <w:rFonts w:ascii="Bookman Old Style" w:hAnsi="Bookman Old Style"/>
          <w:color w:val="1D2228"/>
          <w:shd w:val="clear" w:color="auto" w:fill="FFFFFF"/>
        </w:rPr>
        <w:t xml:space="preserve"> S.A. E.S.P.</w:t>
      </w:r>
      <w:r w:rsidR="00AC2C4B">
        <w:rPr>
          <w:rFonts w:ascii="Bookman Old Style" w:hAnsi="Bookman Old Style"/>
          <w:color w:val="1D2228"/>
          <w:shd w:val="clear" w:color="auto" w:fill="FFFFFF"/>
        </w:rPr>
        <w:t>,</w:t>
      </w:r>
      <w:r>
        <w:rPr>
          <w:rFonts w:ascii="Bookman Old Style" w:hAnsi="Bookman Old Style"/>
          <w:color w:val="1D2228"/>
          <w:shd w:val="clear" w:color="auto" w:fill="FFFFFF"/>
        </w:rPr>
        <w:t xml:space="preserve"> a través de apoderada mediante escrito radicado en la CREG</w:t>
      </w:r>
      <w:r w:rsidR="0055048D">
        <w:rPr>
          <w:rFonts w:ascii="Bookman Old Style" w:hAnsi="Bookman Old Style"/>
          <w:color w:val="1D2228"/>
          <w:shd w:val="clear" w:color="auto" w:fill="FFFFFF"/>
        </w:rPr>
        <w:t xml:space="preserve"> E-</w:t>
      </w:r>
      <w:r w:rsidR="00275E88">
        <w:rPr>
          <w:rFonts w:ascii="Bookman Old Style" w:hAnsi="Bookman Old Style"/>
          <w:color w:val="1D2228"/>
          <w:shd w:val="clear" w:color="auto" w:fill="FFFFFF"/>
        </w:rPr>
        <w:t>2022-005831 de</w:t>
      </w:r>
      <w:r w:rsidR="00021393">
        <w:rPr>
          <w:rFonts w:ascii="Bookman Old Style" w:hAnsi="Bookman Old Style"/>
          <w:color w:val="1D2228"/>
          <w:shd w:val="clear" w:color="auto" w:fill="FFFFFF"/>
        </w:rPr>
        <w:t>l</w:t>
      </w:r>
      <w:r w:rsidR="00296A4B">
        <w:rPr>
          <w:rFonts w:ascii="Bookman Old Style" w:hAnsi="Bookman Old Style"/>
          <w:color w:val="1D2228"/>
          <w:shd w:val="clear" w:color="auto" w:fill="FFFFFF"/>
        </w:rPr>
        <w:t xml:space="preserve"> 25 de mayo de 2022</w:t>
      </w:r>
      <w:r w:rsidR="00AC2C4B">
        <w:rPr>
          <w:rFonts w:ascii="Bookman Old Style" w:hAnsi="Bookman Old Style"/>
          <w:color w:val="1D2228"/>
          <w:shd w:val="clear" w:color="auto" w:fill="FFFFFF"/>
        </w:rPr>
        <w:t>,</w:t>
      </w:r>
      <w:r w:rsidR="00296A4B">
        <w:rPr>
          <w:rFonts w:ascii="Bookman Old Style" w:hAnsi="Bookman Old Style"/>
          <w:color w:val="1D2228"/>
          <w:shd w:val="clear" w:color="auto" w:fill="FFFFFF"/>
        </w:rPr>
        <w:t xml:space="preserve"> interpone recurso de reposición y en subsidio apelación contra el acto administrativo en mención.</w:t>
      </w:r>
    </w:p>
    <w:p w14:paraId="04874F34" w14:textId="5110A252" w:rsidR="00296A4B" w:rsidRDefault="00296A4B" w:rsidP="0025680C">
      <w:pPr>
        <w:ind w:left="0"/>
        <w:jc w:val="both"/>
        <w:rPr>
          <w:rFonts w:ascii="Bookman Old Style" w:hAnsi="Bookman Old Style"/>
          <w:color w:val="1D2228"/>
          <w:shd w:val="clear" w:color="auto" w:fill="FFFFFF"/>
        </w:rPr>
      </w:pPr>
    </w:p>
    <w:p w14:paraId="062FF2FF" w14:textId="029D94F0" w:rsidR="00296A4B" w:rsidRDefault="00296A4B" w:rsidP="0025680C">
      <w:pPr>
        <w:ind w:left="0"/>
        <w:jc w:val="both"/>
        <w:rPr>
          <w:rFonts w:ascii="Bookman Old Style" w:hAnsi="Bookman Old Style"/>
          <w:color w:val="1D2228"/>
          <w:shd w:val="clear" w:color="auto" w:fill="FFFFFF"/>
        </w:rPr>
      </w:pPr>
      <w:r>
        <w:rPr>
          <w:rFonts w:ascii="Bookman Old Style" w:hAnsi="Bookman Old Style"/>
          <w:color w:val="1D2228"/>
          <w:shd w:val="clear" w:color="auto" w:fill="FFFFFF"/>
        </w:rPr>
        <w:t xml:space="preserve">Dentro del recurso presentado se encuentran </w:t>
      </w:r>
      <w:r w:rsidR="001705AA">
        <w:rPr>
          <w:rFonts w:ascii="Bookman Old Style" w:hAnsi="Bookman Old Style"/>
          <w:color w:val="1D2228"/>
          <w:shd w:val="clear" w:color="auto" w:fill="FFFFFF"/>
        </w:rPr>
        <w:t>argumentos</w:t>
      </w:r>
      <w:r>
        <w:rPr>
          <w:rFonts w:ascii="Bookman Old Style" w:hAnsi="Bookman Old Style"/>
          <w:color w:val="1D2228"/>
          <w:shd w:val="clear" w:color="auto" w:fill="FFFFFF"/>
        </w:rPr>
        <w:t xml:space="preserve"> técnic</w:t>
      </w:r>
      <w:r w:rsidR="001705AA">
        <w:rPr>
          <w:rFonts w:ascii="Bookman Old Style" w:hAnsi="Bookman Old Style"/>
          <w:color w:val="1D2228"/>
          <w:shd w:val="clear" w:color="auto" w:fill="FFFFFF"/>
        </w:rPr>
        <w:t>o</w:t>
      </w:r>
      <w:r>
        <w:rPr>
          <w:rFonts w:ascii="Bookman Old Style" w:hAnsi="Bookman Old Style"/>
          <w:color w:val="1D2228"/>
          <w:shd w:val="clear" w:color="auto" w:fill="FFFFFF"/>
        </w:rPr>
        <w:t>s</w:t>
      </w:r>
      <w:r w:rsidR="00A66E66">
        <w:rPr>
          <w:rFonts w:ascii="Bookman Old Style" w:hAnsi="Bookman Old Style"/>
          <w:color w:val="1D2228"/>
          <w:shd w:val="clear" w:color="auto" w:fill="FFFFFF"/>
        </w:rPr>
        <w:t xml:space="preserve"> y jurídic</w:t>
      </w:r>
      <w:r w:rsidR="001705AA">
        <w:rPr>
          <w:rFonts w:ascii="Bookman Old Style" w:hAnsi="Bookman Old Style"/>
          <w:color w:val="1D2228"/>
          <w:shd w:val="clear" w:color="auto" w:fill="FFFFFF"/>
        </w:rPr>
        <w:t>o</w:t>
      </w:r>
      <w:r w:rsidR="00A66E66">
        <w:rPr>
          <w:rFonts w:ascii="Bookman Old Style" w:hAnsi="Bookman Old Style"/>
          <w:color w:val="1D2228"/>
          <w:shd w:val="clear" w:color="auto" w:fill="FFFFFF"/>
        </w:rPr>
        <w:t>s como razones de inconformidad.</w:t>
      </w:r>
    </w:p>
    <w:p w14:paraId="6DA68E6C" w14:textId="4915FE16" w:rsidR="00A66E66" w:rsidRDefault="00A66E66" w:rsidP="00AC2C4B">
      <w:pPr>
        <w:spacing w:after="120"/>
        <w:ind w:left="0"/>
        <w:jc w:val="both"/>
        <w:rPr>
          <w:rFonts w:ascii="Bookman Old Style" w:hAnsi="Bookman Old Style"/>
          <w:color w:val="1D2228"/>
          <w:shd w:val="clear" w:color="auto" w:fill="FFFFFF"/>
        </w:rPr>
      </w:pPr>
    </w:p>
    <w:p w14:paraId="12175906" w14:textId="4DC064B2" w:rsidR="00050AC5" w:rsidRPr="000A2601" w:rsidRDefault="000A2601" w:rsidP="00AC2C4B">
      <w:pPr>
        <w:ind w:left="0"/>
        <w:rPr>
          <w:rFonts w:ascii="Bookman Old Style" w:hAnsi="Bookman Old Style"/>
          <w:b/>
        </w:rPr>
      </w:pPr>
      <w:r>
        <w:rPr>
          <w:rFonts w:ascii="Bookman Old Style" w:hAnsi="Bookman Old Style"/>
          <w:b/>
        </w:rPr>
        <w:t xml:space="preserve">I. </w:t>
      </w:r>
      <w:r w:rsidR="00CA671E">
        <w:rPr>
          <w:rFonts w:ascii="Bookman Old Style" w:hAnsi="Bookman Old Style"/>
          <w:b/>
        </w:rPr>
        <w:t xml:space="preserve"> ARGUMENTOS DEL RECURSO Y RAZONES DE INCO</w:t>
      </w:r>
      <w:r w:rsidR="006F2204">
        <w:rPr>
          <w:rFonts w:ascii="Bookman Old Style" w:hAnsi="Bookman Old Style"/>
          <w:b/>
        </w:rPr>
        <w:t>FORMIDAD</w:t>
      </w:r>
    </w:p>
    <w:p w14:paraId="24BF06DC" w14:textId="77777777" w:rsidR="00050AC5" w:rsidRPr="00AC2C4B" w:rsidRDefault="00050AC5" w:rsidP="00AC2C4B">
      <w:pPr>
        <w:ind w:left="0"/>
        <w:jc w:val="both"/>
        <w:rPr>
          <w:rFonts w:ascii="Bookman Old Style" w:hAnsi="Bookman Old Style"/>
          <w:color w:val="1D2228"/>
          <w:shd w:val="clear" w:color="auto" w:fill="FFFFFF"/>
        </w:rPr>
      </w:pPr>
    </w:p>
    <w:p w14:paraId="7902F9DC" w14:textId="1896A582" w:rsidR="006F2204" w:rsidRDefault="006F2204" w:rsidP="0025680C">
      <w:pPr>
        <w:ind w:left="0"/>
        <w:jc w:val="both"/>
        <w:rPr>
          <w:rFonts w:ascii="Bookman Old Style" w:hAnsi="Bookman Old Style" w:cs="Arial"/>
          <w:bCs/>
          <w:iCs/>
        </w:rPr>
      </w:pPr>
      <w:r>
        <w:rPr>
          <w:rFonts w:ascii="Bookman Old Style" w:hAnsi="Bookman Old Style" w:cs="Arial"/>
          <w:bCs/>
          <w:iCs/>
        </w:rPr>
        <w:t>La Empresa ISAGEN</w:t>
      </w:r>
      <w:r w:rsidR="00021393">
        <w:rPr>
          <w:rFonts w:ascii="Bookman Old Style" w:hAnsi="Bookman Old Style" w:cs="Arial"/>
          <w:bCs/>
          <w:iCs/>
        </w:rPr>
        <w:t xml:space="preserve"> S.A. E.S.P.</w:t>
      </w:r>
      <w:r w:rsidR="00AC2C4B">
        <w:rPr>
          <w:rFonts w:ascii="Bookman Old Style" w:hAnsi="Bookman Old Style" w:cs="Arial"/>
          <w:bCs/>
          <w:iCs/>
        </w:rPr>
        <w:t>,</w:t>
      </w:r>
      <w:r>
        <w:rPr>
          <w:rFonts w:ascii="Bookman Old Style" w:hAnsi="Bookman Old Style" w:cs="Arial"/>
          <w:bCs/>
          <w:iCs/>
        </w:rPr>
        <w:t xml:space="preserve"> a través de apoderada</w:t>
      </w:r>
      <w:r w:rsidR="00AC2C4B">
        <w:rPr>
          <w:rFonts w:ascii="Bookman Old Style" w:hAnsi="Bookman Old Style" w:cs="Arial"/>
          <w:bCs/>
          <w:iCs/>
        </w:rPr>
        <w:t>,</w:t>
      </w:r>
      <w:r w:rsidR="008038D4">
        <w:rPr>
          <w:rFonts w:ascii="Bookman Old Style" w:hAnsi="Bookman Old Style" w:cs="Arial"/>
          <w:bCs/>
          <w:iCs/>
        </w:rPr>
        <w:t xml:space="preserve"> sustenta el recurso aduciendo las razones técnicas y jurídicas que se exponen a continuación</w:t>
      </w:r>
      <w:r w:rsidR="00F033D3">
        <w:rPr>
          <w:rFonts w:ascii="Bookman Old Style" w:hAnsi="Bookman Old Style" w:cs="Arial"/>
          <w:bCs/>
          <w:iCs/>
        </w:rPr>
        <w:t>.</w:t>
      </w:r>
    </w:p>
    <w:p w14:paraId="6C282649" w14:textId="77777777" w:rsidR="00FA615F" w:rsidRDefault="00FA615F" w:rsidP="0025680C">
      <w:pPr>
        <w:ind w:left="0"/>
        <w:jc w:val="both"/>
        <w:rPr>
          <w:rFonts w:ascii="Bookman Old Style" w:hAnsi="Bookman Old Style" w:cs="Arial"/>
          <w:bCs/>
          <w:iCs/>
        </w:rPr>
      </w:pPr>
    </w:p>
    <w:p w14:paraId="49A5860C" w14:textId="328B6834" w:rsidR="00F033D3" w:rsidRPr="00AC2C4B" w:rsidRDefault="00F033D3" w:rsidP="0025680C">
      <w:pPr>
        <w:ind w:left="0"/>
        <w:jc w:val="both"/>
        <w:rPr>
          <w:rFonts w:ascii="Bookman Old Style" w:hAnsi="Bookman Old Style" w:cs="Arial"/>
          <w:bCs/>
          <w:i/>
          <w:u w:val="single"/>
        </w:rPr>
      </w:pPr>
      <w:r w:rsidRPr="00AC2C4B">
        <w:rPr>
          <w:rFonts w:ascii="Bookman Old Style" w:hAnsi="Bookman Old Style" w:cs="Arial"/>
          <w:bCs/>
          <w:i/>
          <w:u w:val="single"/>
        </w:rPr>
        <w:t>1</w:t>
      </w:r>
      <w:r w:rsidR="00AC2C4B">
        <w:rPr>
          <w:rFonts w:ascii="Bookman Old Style" w:hAnsi="Bookman Old Style" w:cs="Arial"/>
          <w:bCs/>
          <w:i/>
          <w:u w:val="single"/>
        </w:rPr>
        <w:t>.</w:t>
      </w:r>
      <w:r w:rsidRPr="00AC2C4B">
        <w:rPr>
          <w:rFonts w:ascii="Bookman Old Style" w:hAnsi="Bookman Old Style" w:cs="Arial"/>
          <w:bCs/>
          <w:i/>
          <w:u w:val="single"/>
        </w:rPr>
        <w:t xml:space="preserve"> Argumentos Té</w:t>
      </w:r>
      <w:r w:rsidR="001037D2" w:rsidRPr="00AC2C4B">
        <w:rPr>
          <w:rFonts w:ascii="Bookman Old Style" w:hAnsi="Bookman Old Style" w:cs="Arial"/>
          <w:bCs/>
          <w:i/>
          <w:u w:val="single"/>
        </w:rPr>
        <w:t>c</w:t>
      </w:r>
      <w:r w:rsidRPr="00AC2C4B">
        <w:rPr>
          <w:rFonts w:ascii="Bookman Old Style" w:hAnsi="Bookman Old Style" w:cs="Arial"/>
          <w:bCs/>
          <w:i/>
          <w:u w:val="single"/>
        </w:rPr>
        <w:t>nicos</w:t>
      </w:r>
    </w:p>
    <w:p w14:paraId="3761AE35" w14:textId="1A0A57CE" w:rsidR="00F033D3" w:rsidRDefault="00F033D3" w:rsidP="0025680C">
      <w:pPr>
        <w:ind w:left="0"/>
        <w:jc w:val="both"/>
        <w:rPr>
          <w:rFonts w:ascii="Bookman Old Style" w:hAnsi="Bookman Old Style" w:cs="Arial"/>
          <w:bCs/>
          <w:iCs/>
        </w:rPr>
      </w:pPr>
    </w:p>
    <w:p w14:paraId="19D72AC4" w14:textId="4398DEC0" w:rsidR="00F033D3" w:rsidRDefault="00F033D3" w:rsidP="0025680C">
      <w:pPr>
        <w:ind w:left="0"/>
        <w:jc w:val="both"/>
        <w:rPr>
          <w:rFonts w:ascii="Bookman Old Style" w:hAnsi="Bookman Old Style" w:cs="Arial"/>
          <w:bCs/>
          <w:iCs/>
        </w:rPr>
      </w:pPr>
      <w:r>
        <w:rPr>
          <w:rFonts w:ascii="Bookman Old Style" w:hAnsi="Bookman Old Style" w:cs="Arial"/>
          <w:bCs/>
          <w:iCs/>
        </w:rPr>
        <w:lastRenderedPageBreak/>
        <w:t>Manifiesta la recurrente su inconformidad con la decisión tomada por parte de la CREG mediante Resolución</w:t>
      </w:r>
      <w:r w:rsidR="007C0E86">
        <w:rPr>
          <w:rFonts w:ascii="Bookman Old Style" w:hAnsi="Bookman Old Style" w:cs="Arial"/>
          <w:bCs/>
          <w:iCs/>
        </w:rPr>
        <w:t xml:space="preserve"> 501-0</w:t>
      </w:r>
      <w:r w:rsidR="009E35BA">
        <w:rPr>
          <w:rFonts w:ascii="Bookman Old Style" w:hAnsi="Bookman Old Style" w:cs="Arial"/>
          <w:bCs/>
          <w:iCs/>
        </w:rPr>
        <w:t>3</w:t>
      </w:r>
      <w:r w:rsidR="007C0E86">
        <w:rPr>
          <w:rFonts w:ascii="Bookman Old Style" w:hAnsi="Bookman Old Style" w:cs="Arial"/>
          <w:bCs/>
          <w:iCs/>
        </w:rPr>
        <w:t xml:space="preserve">3 de 2022 con relación a los aspectos </w:t>
      </w:r>
      <w:r w:rsidR="00EC44D5">
        <w:rPr>
          <w:rFonts w:ascii="Bookman Old Style" w:hAnsi="Bookman Old Style" w:cs="Arial"/>
          <w:bCs/>
          <w:iCs/>
        </w:rPr>
        <w:t>técnicos</w:t>
      </w:r>
      <w:r w:rsidR="007C0E86">
        <w:rPr>
          <w:rFonts w:ascii="Bookman Old Style" w:hAnsi="Bookman Old Style" w:cs="Arial"/>
          <w:bCs/>
          <w:iCs/>
        </w:rPr>
        <w:t xml:space="preserve"> principalmente</w:t>
      </w:r>
      <w:r w:rsidR="00944F3B">
        <w:rPr>
          <w:rFonts w:ascii="Bookman Old Style" w:hAnsi="Bookman Old Style" w:cs="Arial"/>
          <w:bCs/>
          <w:iCs/>
        </w:rPr>
        <w:t xml:space="preserve"> con</w:t>
      </w:r>
      <w:r w:rsidR="007C0E86">
        <w:rPr>
          <w:rFonts w:ascii="Bookman Old Style" w:hAnsi="Bookman Old Style" w:cs="Arial"/>
          <w:bCs/>
          <w:iCs/>
        </w:rPr>
        <w:t xml:space="preserve"> los siguientes</w:t>
      </w:r>
      <w:r w:rsidR="00944F3B">
        <w:rPr>
          <w:rFonts w:ascii="Bookman Old Style" w:hAnsi="Bookman Old Style" w:cs="Arial"/>
          <w:bCs/>
          <w:iCs/>
        </w:rPr>
        <w:t xml:space="preserve"> argumentos</w:t>
      </w:r>
      <w:r w:rsidR="00EC44D5">
        <w:rPr>
          <w:rFonts w:ascii="Bookman Old Style" w:hAnsi="Bookman Old Style" w:cs="Arial"/>
          <w:bCs/>
          <w:iCs/>
        </w:rPr>
        <w:t>:</w:t>
      </w:r>
    </w:p>
    <w:p w14:paraId="07793D3A" w14:textId="29FBF836" w:rsidR="0081452A" w:rsidRDefault="0081452A" w:rsidP="0025680C">
      <w:pPr>
        <w:ind w:left="0"/>
        <w:jc w:val="both"/>
        <w:rPr>
          <w:rFonts w:ascii="Bookman Old Style" w:hAnsi="Bookman Old Style" w:cs="Arial"/>
          <w:bCs/>
          <w:iCs/>
        </w:rPr>
      </w:pPr>
    </w:p>
    <w:p w14:paraId="426E04A9" w14:textId="077D2658" w:rsidR="0081452A" w:rsidRPr="007B6737" w:rsidRDefault="00C71FF7" w:rsidP="00FB0EBB">
      <w:pPr>
        <w:pStyle w:val="Prrafodelista"/>
        <w:numPr>
          <w:ilvl w:val="0"/>
          <w:numId w:val="13"/>
        </w:numPr>
        <w:ind w:left="567"/>
        <w:jc w:val="both"/>
        <w:rPr>
          <w:rFonts w:ascii="Bookman Old Style" w:hAnsi="Bookman Old Style" w:cs="Arial"/>
          <w:i/>
        </w:rPr>
      </w:pPr>
      <w:r w:rsidRPr="007B6737">
        <w:rPr>
          <w:rFonts w:ascii="Bookman Old Style" w:hAnsi="Bookman Old Style" w:cs="Arial"/>
          <w:i/>
        </w:rPr>
        <w:t>NO ES CIERTO que el Acuerdo CNO 1372 de 2020 hubiese implicado cambios en los caudales originalmente declarados por ISAGEN para la serie Guarinó en el periodo comprendido entre noviembre de 2010 a diciembre de 2017 (Circular CREG 027 de 2019), de hecho la ausencia de variación fue confirmada por XM mediante el cálculo de energía firme que la misma CREG le solicitó realizar a efectos de determinar si las discrepancias identificadas por el auditor tenían efecto sobre la energía firme de la planta Miel I</w:t>
      </w:r>
      <w:r w:rsidR="005E17B4" w:rsidRPr="007B6737">
        <w:rPr>
          <w:rFonts w:ascii="Bookman Old Style" w:hAnsi="Bookman Old Style" w:cs="Arial"/>
          <w:i/>
        </w:rPr>
        <w:t>.</w:t>
      </w:r>
    </w:p>
    <w:p w14:paraId="5EBD68BE" w14:textId="5FD0B131" w:rsidR="005E17B4" w:rsidRPr="007B6737" w:rsidRDefault="005E17B4" w:rsidP="00FB0EBB">
      <w:pPr>
        <w:ind w:left="0"/>
        <w:jc w:val="both"/>
        <w:rPr>
          <w:rFonts w:ascii="Bookman Old Style" w:hAnsi="Bookman Old Style" w:cs="Arial"/>
          <w:i/>
        </w:rPr>
      </w:pPr>
    </w:p>
    <w:p w14:paraId="642A8F92" w14:textId="1D3D033B" w:rsidR="005E17B4" w:rsidRPr="007B6737" w:rsidRDefault="005E17B4" w:rsidP="00FB0EBB">
      <w:pPr>
        <w:pStyle w:val="Prrafodelista"/>
        <w:numPr>
          <w:ilvl w:val="0"/>
          <w:numId w:val="13"/>
        </w:numPr>
        <w:ind w:left="567"/>
        <w:jc w:val="both"/>
        <w:rPr>
          <w:rFonts w:ascii="Bookman Old Style" w:hAnsi="Bookman Old Style" w:cs="Arial"/>
          <w:i/>
        </w:rPr>
      </w:pPr>
      <w:r w:rsidRPr="007B6737">
        <w:rPr>
          <w:rFonts w:ascii="Bookman Old Style" w:hAnsi="Bookman Old Style" w:cs="Arial"/>
          <w:i/>
        </w:rPr>
        <w:t>Pues bien, como ha sido explicado, para el período noviembre de 2010 a diciembre de 2017, la serie Guarinó se obtiene a partir de registros directos en Sitio de Desvío; sin embargo, el auditor encontró que este procedimiento no estaba indicado en las actas donde fue presentada la metodología de la serie al SH&amp;PH y por tal razón no podía considerarlo para la evaluación de ésta. Es preciso y relevante a este caso aclarar que, ISAGEN hizo referencia a estos registros en las reuniones del SH&amp;PH, sin embargo, esta metodología no quedó explícita en las actas, sin que esto signifique que tal metodología no existía, pues en efecto, ISAGEN dispone de los registros en Sitio de Desvío que soportan la serie Guarinó declarada y dicha información fue remitida oportunamente al auditor antes de la entrega de su informe final.</w:t>
      </w:r>
    </w:p>
    <w:p w14:paraId="48B1A907" w14:textId="7D4FCB32" w:rsidR="00D62A40" w:rsidRPr="007B6737" w:rsidRDefault="00D62A40" w:rsidP="00FB0EBB">
      <w:pPr>
        <w:ind w:left="0"/>
        <w:jc w:val="both"/>
        <w:rPr>
          <w:rFonts w:ascii="Bookman Old Style" w:hAnsi="Bookman Old Style" w:cs="Arial"/>
          <w:i/>
        </w:rPr>
      </w:pPr>
    </w:p>
    <w:p w14:paraId="793341B6" w14:textId="5C7DB856" w:rsidR="00D62A40" w:rsidRPr="007B6737" w:rsidRDefault="00D62A40" w:rsidP="00FB0EBB">
      <w:pPr>
        <w:pStyle w:val="Prrafodelista"/>
        <w:numPr>
          <w:ilvl w:val="0"/>
          <w:numId w:val="13"/>
        </w:numPr>
        <w:ind w:left="567"/>
        <w:jc w:val="both"/>
        <w:rPr>
          <w:rFonts w:ascii="Bookman Old Style" w:hAnsi="Bookman Old Style" w:cs="Arial"/>
          <w:i/>
        </w:rPr>
      </w:pPr>
      <w:r w:rsidRPr="007B6737">
        <w:rPr>
          <w:rFonts w:ascii="Bookman Old Style" w:hAnsi="Bookman Old Style" w:cs="Arial"/>
          <w:i/>
        </w:rPr>
        <w:t>Identificado lo anterior, fue así como ISAGEN presentó esta situación en las reuniones 421, 422 y 423 del SURER del 19, 23 y 24 de noviembre del 2020, con el fin de que todo el detalle de la metodología que aplica para cada período de la Serie Guarinó quedará de forma expresa, sin que esto representará ajustes a la fórmula aplicada a efectos de calcular los caudales declarados en 2019 para la serie Guarinó</w:t>
      </w:r>
      <w:r w:rsidR="00045F00" w:rsidRPr="007B6737">
        <w:rPr>
          <w:rFonts w:ascii="Bookman Old Style" w:hAnsi="Bookman Old Style" w:cs="Arial"/>
          <w:i/>
        </w:rPr>
        <w:t>.</w:t>
      </w:r>
    </w:p>
    <w:p w14:paraId="5E15AC75" w14:textId="324F87E9" w:rsidR="00045F00" w:rsidRPr="007B6737" w:rsidRDefault="00045F00" w:rsidP="00FB0EBB">
      <w:pPr>
        <w:ind w:left="0"/>
        <w:jc w:val="both"/>
        <w:rPr>
          <w:rFonts w:ascii="Bookman Old Style" w:hAnsi="Bookman Old Style" w:cs="Arial"/>
          <w:i/>
        </w:rPr>
      </w:pPr>
    </w:p>
    <w:p w14:paraId="301DB45C" w14:textId="5AA63B8C" w:rsidR="00045F00" w:rsidRPr="007B6737" w:rsidRDefault="00D16115" w:rsidP="00FB0EBB">
      <w:pPr>
        <w:pStyle w:val="Prrafodelista"/>
        <w:numPr>
          <w:ilvl w:val="0"/>
          <w:numId w:val="13"/>
        </w:numPr>
        <w:ind w:left="567"/>
        <w:jc w:val="both"/>
        <w:rPr>
          <w:rFonts w:ascii="Bookman Old Style" w:hAnsi="Bookman Old Style" w:cs="Arial"/>
          <w:i/>
        </w:rPr>
      </w:pPr>
      <w:r w:rsidRPr="007B6737">
        <w:rPr>
          <w:rFonts w:ascii="Bookman Old Style" w:hAnsi="Bookman Old Style" w:cs="Arial"/>
          <w:i/>
        </w:rPr>
        <w:t>E</w:t>
      </w:r>
      <w:r w:rsidR="00045F00" w:rsidRPr="007B6737">
        <w:rPr>
          <w:rFonts w:ascii="Bookman Old Style" w:hAnsi="Bookman Old Style" w:cs="Arial"/>
          <w:i/>
        </w:rPr>
        <w:t>l Acuerdo CNO 1372 no implicó cambios en los caudales originalmente declarados por ISAGEN para la serie Guarinó, en el periodo comprendido entre noviembre de 2010 a diciembre de 2017, los ajustes que se evidencian en el anexo del acuerdo para los meses de febrero y marzo de 2016 obedecieron a redondeo de cifras sin que esto genere modificación en los caudales originalmente declarados, es decir, que para el cálculo de la ENFICC realizado por XM en cumplimiento de lo ordenado por la CREG, fueron usados los caudales originalmente declarados en dicho periodo, contenidos en la Circular CREG 027 de 2019, lo que confirma aún más la inexistencia de modificaciones en la metodología y los resultados, contrario a lo que afirma la CREG</w:t>
      </w:r>
      <w:r w:rsidR="00DD2284" w:rsidRPr="007B6737">
        <w:rPr>
          <w:rFonts w:ascii="Bookman Old Style" w:hAnsi="Bookman Old Style" w:cs="Arial"/>
          <w:i/>
        </w:rPr>
        <w:t>.</w:t>
      </w:r>
    </w:p>
    <w:p w14:paraId="25C95273" w14:textId="13FD9BC2" w:rsidR="00DD2284" w:rsidRPr="007B6737" w:rsidRDefault="00DD2284" w:rsidP="00FB0EBB">
      <w:pPr>
        <w:ind w:left="0"/>
        <w:jc w:val="both"/>
        <w:rPr>
          <w:rFonts w:ascii="Bookman Old Style" w:hAnsi="Bookman Old Style" w:cs="Arial"/>
          <w:i/>
        </w:rPr>
      </w:pPr>
    </w:p>
    <w:p w14:paraId="034D1255" w14:textId="41513393" w:rsidR="00DD2284" w:rsidRPr="007B6737" w:rsidRDefault="00DD2284" w:rsidP="00FB0EBB">
      <w:pPr>
        <w:pStyle w:val="Prrafodelista"/>
        <w:numPr>
          <w:ilvl w:val="0"/>
          <w:numId w:val="13"/>
        </w:numPr>
        <w:ind w:left="567"/>
        <w:jc w:val="both"/>
        <w:rPr>
          <w:rFonts w:ascii="Bookman Old Style" w:hAnsi="Bookman Old Style" w:cs="Arial"/>
          <w:i/>
        </w:rPr>
      </w:pPr>
      <w:r w:rsidRPr="007B6737">
        <w:rPr>
          <w:rFonts w:ascii="Bookman Old Style" w:hAnsi="Bookman Old Style" w:cs="Arial"/>
          <w:i/>
        </w:rPr>
        <w:t>ISAGEN se permite aclarar a la CREG que, en la audiencia del 4 de octubre ISAGEN se comprometió a entregar información relacionada con el soporte de la Serie Guarinó en el período enero 2007 a octubre de 2010 y no información soporte para la aplicación de la metodología de tanques en el período 2010-2017 de dicha serie ya que en dicho periodo no se aplicó la metodología de tanques y los datos provienen de registros directos en el Sitio de Desvío</w:t>
      </w:r>
      <w:r w:rsidR="00F46244" w:rsidRPr="007B6737">
        <w:rPr>
          <w:rFonts w:ascii="Bookman Old Style" w:hAnsi="Bookman Old Style" w:cs="Arial"/>
          <w:i/>
        </w:rPr>
        <w:t>.</w:t>
      </w:r>
    </w:p>
    <w:p w14:paraId="63346F6F" w14:textId="06914B77" w:rsidR="00D37888" w:rsidRDefault="00D37888" w:rsidP="0025680C">
      <w:pPr>
        <w:ind w:left="0"/>
        <w:jc w:val="both"/>
        <w:rPr>
          <w:rFonts w:ascii="Bookman Old Style" w:hAnsi="Bookman Old Style" w:cs="Arial"/>
          <w:i/>
        </w:rPr>
      </w:pPr>
    </w:p>
    <w:p w14:paraId="0F08B8B9" w14:textId="66583C8C" w:rsidR="00D37888" w:rsidRDefault="00272B04" w:rsidP="0025680C">
      <w:pPr>
        <w:ind w:left="0"/>
        <w:jc w:val="both"/>
        <w:rPr>
          <w:rFonts w:ascii="Bookman Old Style" w:hAnsi="Bookman Old Style" w:cs="Arial"/>
          <w:iCs/>
        </w:rPr>
      </w:pPr>
      <w:r>
        <w:rPr>
          <w:rFonts w:ascii="Bookman Old Style" w:hAnsi="Bookman Old Style" w:cs="Arial"/>
          <w:iCs/>
        </w:rPr>
        <w:t>Finalmente,</w:t>
      </w:r>
      <w:r w:rsidR="00D37888">
        <w:rPr>
          <w:rFonts w:ascii="Bookman Old Style" w:hAnsi="Bookman Old Style" w:cs="Arial"/>
          <w:iCs/>
        </w:rPr>
        <w:t xml:space="preserve"> con el recurso de reposición, la recurrente aport</w:t>
      </w:r>
      <w:r w:rsidR="007B6737">
        <w:rPr>
          <w:rFonts w:ascii="Bookman Old Style" w:hAnsi="Bookman Old Style" w:cs="Arial"/>
          <w:iCs/>
        </w:rPr>
        <w:t>a</w:t>
      </w:r>
      <w:r w:rsidR="00D37888">
        <w:rPr>
          <w:rFonts w:ascii="Bookman Old Style" w:hAnsi="Bookman Old Style" w:cs="Arial"/>
          <w:iCs/>
        </w:rPr>
        <w:t xml:space="preserve"> un </w:t>
      </w:r>
      <w:r w:rsidR="00B3425D">
        <w:rPr>
          <w:rFonts w:ascii="Bookman Old Style" w:hAnsi="Bookman Old Style" w:cs="Arial"/>
          <w:iCs/>
        </w:rPr>
        <w:t>informe técnico</w:t>
      </w:r>
      <w:r>
        <w:rPr>
          <w:rFonts w:ascii="Bookman Old Style" w:hAnsi="Bookman Old Style" w:cs="Arial"/>
          <w:iCs/>
        </w:rPr>
        <w:t xml:space="preserve"> </w:t>
      </w:r>
      <w:r w:rsidR="00484116">
        <w:rPr>
          <w:rFonts w:ascii="Bookman Old Style" w:hAnsi="Bookman Old Style" w:cs="Arial"/>
          <w:iCs/>
        </w:rPr>
        <w:t>de la</w:t>
      </w:r>
      <w:r w:rsidRPr="00272B04">
        <w:rPr>
          <w:rFonts w:ascii="Bookman Old Style" w:hAnsi="Bookman Old Style" w:cs="Arial"/>
          <w:iCs/>
        </w:rPr>
        <w:t xml:space="preserve"> sociedad IEB – Ingeniería especializada para que hiciera una verificación para la serie Guarinó para el periodo noviembre 2010 a diciembre 2017</w:t>
      </w:r>
      <w:r w:rsidR="00C40145">
        <w:rPr>
          <w:rFonts w:ascii="Bookman Old Style" w:hAnsi="Bookman Old Style" w:cs="Arial"/>
          <w:iCs/>
        </w:rPr>
        <w:t>, frente al cual la Comisión lo analizó</w:t>
      </w:r>
      <w:r w:rsidR="00021393">
        <w:rPr>
          <w:rFonts w:ascii="Bookman Old Style" w:hAnsi="Bookman Old Style" w:cs="Arial"/>
          <w:iCs/>
        </w:rPr>
        <w:t>,</w:t>
      </w:r>
      <w:r w:rsidR="00C40145">
        <w:rPr>
          <w:rFonts w:ascii="Bookman Old Style" w:hAnsi="Bookman Old Style" w:cs="Arial"/>
          <w:iCs/>
        </w:rPr>
        <w:t xml:space="preserve"> y en el numeral siguiente se realizará la correspondiente valoración.</w:t>
      </w:r>
    </w:p>
    <w:p w14:paraId="1FF841B3" w14:textId="5A222439" w:rsidR="0004253A" w:rsidRDefault="0004253A" w:rsidP="0025680C">
      <w:pPr>
        <w:ind w:left="0"/>
        <w:jc w:val="both"/>
        <w:rPr>
          <w:rFonts w:ascii="Bookman Old Style" w:hAnsi="Bookman Old Style" w:cs="Arial"/>
          <w:iCs/>
        </w:rPr>
      </w:pPr>
    </w:p>
    <w:p w14:paraId="6AD4911F" w14:textId="3A520CE4" w:rsidR="0004253A" w:rsidRPr="00AA5989" w:rsidRDefault="0004253A" w:rsidP="0025680C">
      <w:pPr>
        <w:ind w:left="0"/>
        <w:jc w:val="both"/>
        <w:rPr>
          <w:rFonts w:ascii="Bookman Old Style" w:hAnsi="Bookman Old Style" w:cs="Arial"/>
          <w:bCs/>
          <w:i/>
          <w:u w:val="single"/>
        </w:rPr>
      </w:pPr>
      <w:r w:rsidRPr="00AA5989">
        <w:rPr>
          <w:rFonts w:ascii="Bookman Old Style" w:hAnsi="Bookman Old Style" w:cs="Arial"/>
          <w:bCs/>
          <w:i/>
          <w:u w:val="single"/>
        </w:rPr>
        <w:t>2. Argumentos Jurídicos</w:t>
      </w:r>
    </w:p>
    <w:p w14:paraId="68869FD9" w14:textId="6C18DB5F" w:rsidR="00C40145" w:rsidRDefault="00C40145" w:rsidP="0025680C">
      <w:pPr>
        <w:ind w:left="0"/>
        <w:jc w:val="both"/>
        <w:rPr>
          <w:rFonts w:ascii="Bookman Old Style" w:hAnsi="Bookman Old Style" w:cs="Arial"/>
          <w:iCs/>
        </w:rPr>
      </w:pPr>
    </w:p>
    <w:p w14:paraId="10A4CB6B" w14:textId="454F4D44" w:rsidR="00C40145" w:rsidRDefault="00C40145" w:rsidP="0025680C">
      <w:pPr>
        <w:ind w:left="0"/>
        <w:jc w:val="both"/>
        <w:rPr>
          <w:rFonts w:ascii="Bookman Old Style" w:hAnsi="Bookman Old Style" w:cs="Arial"/>
          <w:iCs/>
        </w:rPr>
      </w:pPr>
      <w:r>
        <w:rPr>
          <w:rFonts w:ascii="Bookman Old Style" w:hAnsi="Bookman Old Style" w:cs="Arial"/>
          <w:iCs/>
        </w:rPr>
        <w:t xml:space="preserve">Frente a los argumentos </w:t>
      </w:r>
      <w:r w:rsidR="00BA5052">
        <w:rPr>
          <w:rFonts w:ascii="Bookman Old Style" w:hAnsi="Bookman Old Style" w:cs="Arial"/>
          <w:iCs/>
        </w:rPr>
        <w:t xml:space="preserve">sobre inconformidades jurídicas, la recurrente </w:t>
      </w:r>
      <w:r w:rsidR="005E1BBC">
        <w:rPr>
          <w:rFonts w:ascii="Bookman Old Style" w:hAnsi="Bookman Old Style" w:cs="Arial"/>
          <w:iCs/>
        </w:rPr>
        <w:t>argumentó lo siguiente:</w:t>
      </w:r>
    </w:p>
    <w:p w14:paraId="0E53F216" w14:textId="757E45FE" w:rsidR="00DF10B9" w:rsidRDefault="00DF10B9" w:rsidP="0025680C">
      <w:pPr>
        <w:ind w:left="0"/>
        <w:jc w:val="both"/>
        <w:rPr>
          <w:rFonts w:ascii="Bookman Old Style" w:hAnsi="Bookman Old Style" w:cs="Arial"/>
          <w:iCs/>
        </w:rPr>
      </w:pPr>
    </w:p>
    <w:p w14:paraId="1E78AE29" w14:textId="698F3E15" w:rsidR="00994684" w:rsidRPr="007B6737" w:rsidRDefault="00511CCA" w:rsidP="00AA5989">
      <w:pPr>
        <w:pStyle w:val="Prrafodelista"/>
        <w:numPr>
          <w:ilvl w:val="0"/>
          <w:numId w:val="13"/>
        </w:numPr>
        <w:ind w:left="567" w:right="142"/>
        <w:jc w:val="both"/>
        <w:rPr>
          <w:rFonts w:ascii="Bookman Old Style" w:hAnsi="Bookman Old Style" w:cs="Arial"/>
          <w:i/>
        </w:rPr>
      </w:pPr>
      <w:r w:rsidRPr="007B6737">
        <w:rPr>
          <w:rFonts w:ascii="Bookman Old Style" w:hAnsi="Bookman Old Style" w:cs="Arial"/>
          <w:i/>
        </w:rPr>
        <w:t>Pérdida de competencia de la CREG para expedir la Resolución 50</w:t>
      </w:r>
      <w:r w:rsidR="001C436B" w:rsidRPr="007B6737">
        <w:rPr>
          <w:rFonts w:ascii="Bookman Old Style" w:hAnsi="Bookman Old Style" w:cs="Arial"/>
          <w:i/>
        </w:rPr>
        <w:t>1</w:t>
      </w:r>
      <w:r w:rsidRPr="007B6737">
        <w:rPr>
          <w:rFonts w:ascii="Bookman Old Style" w:hAnsi="Bookman Old Style" w:cs="Arial"/>
          <w:i/>
        </w:rPr>
        <w:t>-0</w:t>
      </w:r>
      <w:r w:rsidR="001C436B" w:rsidRPr="007B6737">
        <w:rPr>
          <w:rFonts w:ascii="Bookman Old Style" w:hAnsi="Bookman Old Style" w:cs="Arial"/>
          <w:i/>
        </w:rPr>
        <w:t>3</w:t>
      </w:r>
      <w:r w:rsidRPr="007B6737">
        <w:rPr>
          <w:rFonts w:ascii="Bookman Old Style" w:hAnsi="Bookman Old Style" w:cs="Arial"/>
          <w:i/>
        </w:rPr>
        <w:t>3 de 2022</w:t>
      </w:r>
      <w:r w:rsidR="002C4A58" w:rsidRPr="007B6737">
        <w:rPr>
          <w:rFonts w:ascii="Bookman Old Style" w:hAnsi="Bookman Old Style" w:cs="Arial"/>
          <w:i/>
        </w:rPr>
        <w:t>.</w:t>
      </w:r>
    </w:p>
    <w:p w14:paraId="59B87EF0" w14:textId="06A8C783" w:rsidR="002C4A58" w:rsidRPr="007B6737" w:rsidRDefault="002C4A58" w:rsidP="00050AC5">
      <w:pPr>
        <w:ind w:left="0"/>
        <w:jc w:val="both"/>
        <w:rPr>
          <w:rFonts w:ascii="Bookman Old Style" w:hAnsi="Bookman Old Style" w:cs="Arial"/>
          <w:i/>
        </w:rPr>
      </w:pPr>
    </w:p>
    <w:p w14:paraId="13FA9222" w14:textId="18EE22E6" w:rsidR="002C4A58" w:rsidRPr="007B6737" w:rsidRDefault="002C4A58" w:rsidP="00AA5989">
      <w:pPr>
        <w:pStyle w:val="Prrafodelista"/>
        <w:numPr>
          <w:ilvl w:val="0"/>
          <w:numId w:val="13"/>
        </w:numPr>
        <w:ind w:left="567" w:right="142"/>
        <w:jc w:val="both"/>
        <w:rPr>
          <w:rFonts w:ascii="Bookman Old Style" w:hAnsi="Bookman Old Style" w:cs="Arial"/>
          <w:i/>
        </w:rPr>
      </w:pPr>
      <w:r w:rsidRPr="007B6737">
        <w:rPr>
          <w:rFonts w:ascii="Bookman Old Style" w:hAnsi="Bookman Old Style" w:cs="Arial"/>
          <w:i/>
        </w:rPr>
        <w:t>Exceso de Formalidad manifiesta</w:t>
      </w:r>
      <w:r w:rsidR="00923D62" w:rsidRPr="007B6737">
        <w:rPr>
          <w:rFonts w:ascii="Bookman Old Style" w:hAnsi="Bookman Old Style" w:cs="Arial"/>
          <w:i/>
        </w:rPr>
        <w:t xml:space="preserve"> y necesaria primacía del derecho sustancial</w:t>
      </w:r>
      <w:r w:rsidR="00DE74E1" w:rsidRPr="007B6737">
        <w:rPr>
          <w:rFonts w:ascii="Bookman Old Style" w:hAnsi="Bookman Old Style" w:cs="Arial"/>
          <w:i/>
        </w:rPr>
        <w:t>. Vulneración del principio de seguridad jurídica</w:t>
      </w:r>
      <w:r w:rsidR="00F3178E" w:rsidRPr="007B6737">
        <w:rPr>
          <w:rFonts w:ascii="Bookman Old Style" w:hAnsi="Bookman Old Style" w:cs="Arial"/>
          <w:i/>
        </w:rPr>
        <w:t>.</w:t>
      </w:r>
    </w:p>
    <w:p w14:paraId="02BD85C9" w14:textId="566E115B" w:rsidR="00F3178E" w:rsidRPr="007B6737" w:rsidRDefault="00F3178E" w:rsidP="00050AC5">
      <w:pPr>
        <w:ind w:left="0"/>
        <w:jc w:val="both"/>
        <w:rPr>
          <w:rFonts w:ascii="Bookman Old Style" w:hAnsi="Bookman Old Style" w:cs="Arial"/>
          <w:i/>
        </w:rPr>
      </w:pPr>
    </w:p>
    <w:p w14:paraId="579CBEE0" w14:textId="0CEF2A2F" w:rsidR="00F3178E" w:rsidRPr="007B6737" w:rsidRDefault="00F3178E" w:rsidP="00AA5989">
      <w:pPr>
        <w:pStyle w:val="Prrafodelista"/>
        <w:numPr>
          <w:ilvl w:val="0"/>
          <w:numId w:val="13"/>
        </w:numPr>
        <w:ind w:left="567" w:right="142"/>
        <w:jc w:val="both"/>
        <w:rPr>
          <w:rFonts w:ascii="Bookman Old Style" w:hAnsi="Bookman Old Style" w:cs="Arial"/>
          <w:i/>
        </w:rPr>
      </w:pPr>
      <w:r w:rsidRPr="007B6737">
        <w:rPr>
          <w:rFonts w:ascii="Bookman Old Style" w:hAnsi="Bookman Old Style" w:cs="Arial"/>
          <w:i/>
        </w:rPr>
        <w:t xml:space="preserve">Falsa motivación y </w:t>
      </w:r>
      <w:r w:rsidR="003818C1" w:rsidRPr="007B6737">
        <w:rPr>
          <w:rFonts w:ascii="Bookman Old Style" w:hAnsi="Bookman Old Style" w:cs="Arial"/>
          <w:i/>
        </w:rPr>
        <w:t>trasgresión</w:t>
      </w:r>
      <w:r w:rsidRPr="007B6737">
        <w:rPr>
          <w:rFonts w:ascii="Bookman Old Style" w:hAnsi="Bookman Old Style" w:cs="Arial"/>
          <w:i/>
        </w:rPr>
        <w:t xml:space="preserve"> del principio de legalidad</w:t>
      </w:r>
      <w:r w:rsidR="003818C1" w:rsidRPr="007B6737">
        <w:rPr>
          <w:rFonts w:ascii="Bookman Old Style" w:hAnsi="Bookman Old Style" w:cs="Arial"/>
          <w:i/>
        </w:rPr>
        <w:t xml:space="preserve"> por inexistencia de discrepancia en los valores reportados por ISAGEN</w:t>
      </w:r>
      <w:r w:rsidR="00722ABE" w:rsidRPr="007B6737">
        <w:rPr>
          <w:rFonts w:ascii="Bookman Old Style" w:hAnsi="Bookman Old Style" w:cs="Arial"/>
          <w:i/>
        </w:rPr>
        <w:t xml:space="preserve"> para la serie Guarinó.</w:t>
      </w:r>
    </w:p>
    <w:p w14:paraId="4E31F742" w14:textId="77777777" w:rsidR="00921EF3" w:rsidRPr="006C1EA7" w:rsidRDefault="00921EF3" w:rsidP="00AA5989">
      <w:pPr>
        <w:spacing w:after="120"/>
        <w:ind w:left="0"/>
        <w:jc w:val="both"/>
        <w:rPr>
          <w:rFonts w:ascii="Bookman Old Style" w:hAnsi="Bookman Old Style" w:cs="Arial"/>
          <w:i/>
        </w:rPr>
      </w:pPr>
    </w:p>
    <w:p w14:paraId="0E672392" w14:textId="16106A91" w:rsidR="00050AC5" w:rsidRPr="00A245A2" w:rsidRDefault="00050AC5" w:rsidP="00050AC5">
      <w:pPr>
        <w:ind w:left="0"/>
        <w:jc w:val="both"/>
        <w:rPr>
          <w:rFonts w:ascii="Bookman Old Style" w:hAnsi="Bookman Old Style" w:cs="Arial"/>
          <w:b/>
          <w:iCs/>
        </w:rPr>
      </w:pPr>
      <w:r w:rsidRPr="00A245A2">
        <w:rPr>
          <w:rFonts w:ascii="Bookman Old Style" w:hAnsi="Bookman Old Style" w:cs="Arial"/>
          <w:b/>
          <w:iCs/>
        </w:rPr>
        <w:t xml:space="preserve">II.  </w:t>
      </w:r>
      <w:r w:rsidR="00921EF3">
        <w:rPr>
          <w:rFonts w:ascii="Bookman Old Style" w:hAnsi="Bookman Old Style" w:cs="Arial"/>
          <w:b/>
          <w:iCs/>
        </w:rPr>
        <w:t>ANÁLISIS DE LA CREG</w:t>
      </w:r>
    </w:p>
    <w:p w14:paraId="25CC5F00" w14:textId="77777777" w:rsidR="00050AC5" w:rsidRPr="00A245A2" w:rsidRDefault="00050AC5" w:rsidP="00050AC5">
      <w:pPr>
        <w:ind w:left="0"/>
        <w:jc w:val="both"/>
        <w:rPr>
          <w:rFonts w:ascii="Bookman Old Style" w:hAnsi="Bookman Old Style"/>
          <w:b/>
        </w:rPr>
      </w:pPr>
    </w:p>
    <w:p w14:paraId="6A4ACCE9" w14:textId="6217BC45" w:rsidR="005548B5" w:rsidRDefault="007551E3" w:rsidP="006C1EA7">
      <w:pPr>
        <w:ind w:left="0"/>
        <w:jc w:val="both"/>
        <w:rPr>
          <w:rFonts w:ascii="Bookman Old Style" w:hAnsi="Bookman Old Style"/>
          <w:bCs/>
        </w:rPr>
      </w:pPr>
      <w:r>
        <w:rPr>
          <w:rFonts w:ascii="Bookman Old Style" w:hAnsi="Bookman Old Style"/>
          <w:bCs/>
        </w:rPr>
        <w:t>Sobre</w:t>
      </w:r>
      <w:r w:rsidR="00A65148" w:rsidRPr="007F2D30">
        <w:rPr>
          <w:rFonts w:ascii="Bookman Old Style" w:hAnsi="Bookman Old Style"/>
          <w:bCs/>
        </w:rPr>
        <w:t xml:space="preserve"> el recurso de reposición</w:t>
      </w:r>
      <w:r w:rsidR="00021393">
        <w:rPr>
          <w:rFonts w:ascii="Bookman Old Style" w:hAnsi="Bookman Old Style"/>
          <w:bCs/>
        </w:rPr>
        <w:t>,</w:t>
      </w:r>
      <w:r w:rsidR="00A65148">
        <w:rPr>
          <w:rFonts w:ascii="Bookman Old Style" w:hAnsi="Bookman Old Style"/>
          <w:bCs/>
        </w:rPr>
        <w:t xml:space="preserve"> la CREG </w:t>
      </w:r>
      <w:r w:rsidR="005548B5">
        <w:rPr>
          <w:rFonts w:ascii="Bookman Old Style" w:hAnsi="Bookman Old Style"/>
          <w:bCs/>
        </w:rPr>
        <w:t>realizó el siguiente análisis:</w:t>
      </w:r>
    </w:p>
    <w:p w14:paraId="0EDA0F4E" w14:textId="77777777" w:rsidR="005548B5" w:rsidRDefault="005548B5" w:rsidP="006C1EA7">
      <w:pPr>
        <w:ind w:left="0"/>
        <w:jc w:val="both"/>
        <w:rPr>
          <w:rFonts w:ascii="Bookman Old Style" w:hAnsi="Bookman Old Style"/>
          <w:bCs/>
        </w:rPr>
      </w:pPr>
    </w:p>
    <w:p w14:paraId="7C3E5823" w14:textId="12D251A1" w:rsidR="008152FF" w:rsidRPr="007551E3" w:rsidRDefault="007551E3" w:rsidP="007551E3">
      <w:pPr>
        <w:ind w:left="0"/>
        <w:jc w:val="both"/>
        <w:rPr>
          <w:rFonts w:ascii="Bookman Old Style" w:hAnsi="Bookman Old Style" w:cs="Arial"/>
          <w:bCs/>
          <w:i/>
          <w:u w:val="single"/>
        </w:rPr>
      </w:pPr>
      <w:r>
        <w:rPr>
          <w:rFonts w:ascii="Bookman Old Style" w:hAnsi="Bookman Old Style" w:cs="Arial"/>
          <w:bCs/>
          <w:i/>
          <w:u w:val="single"/>
        </w:rPr>
        <w:t xml:space="preserve">1. </w:t>
      </w:r>
      <w:r w:rsidR="005548B5" w:rsidRPr="007551E3">
        <w:rPr>
          <w:rFonts w:ascii="Bookman Old Style" w:hAnsi="Bookman Old Style" w:cs="Arial"/>
          <w:bCs/>
          <w:i/>
          <w:u w:val="single"/>
        </w:rPr>
        <w:t>Argumentos Técnicos</w:t>
      </w:r>
    </w:p>
    <w:p w14:paraId="417BB696" w14:textId="423F8890" w:rsidR="008152FF" w:rsidRDefault="008152FF" w:rsidP="00050AC5">
      <w:pPr>
        <w:widowControl w:val="0"/>
        <w:adjustRightInd w:val="0"/>
        <w:ind w:left="0"/>
        <w:jc w:val="both"/>
        <w:textAlignment w:val="baseline"/>
        <w:rPr>
          <w:rFonts w:ascii="Bookman Old Style" w:hAnsi="Bookman Old Style" w:cs="Arial"/>
          <w:lang w:val="es-CO"/>
        </w:rPr>
      </w:pPr>
    </w:p>
    <w:p w14:paraId="1A66E73D" w14:textId="187B0D81" w:rsidR="005548B5" w:rsidRDefault="005548B5" w:rsidP="00050AC5">
      <w:pPr>
        <w:widowControl w:val="0"/>
        <w:adjustRightInd w:val="0"/>
        <w:ind w:left="0"/>
        <w:jc w:val="both"/>
        <w:textAlignment w:val="baseline"/>
        <w:rPr>
          <w:rFonts w:ascii="Bookman Old Style" w:hAnsi="Bookman Old Style" w:cs="Arial"/>
          <w:lang w:val="es-CO"/>
        </w:rPr>
      </w:pPr>
      <w:r>
        <w:rPr>
          <w:rFonts w:ascii="Bookman Old Style" w:hAnsi="Bookman Old Style" w:cs="Arial"/>
          <w:lang w:val="es-CO"/>
        </w:rPr>
        <w:t>Encontró la CREG que los argumentos presentados por la recurrente</w:t>
      </w:r>
      <w:r w:rsidR="00026857">
        <w:rPr>
          <w:rFonts w:ascii="Bookman Old Style" w:hAnsi="Bookman Old Style" w:cs="Arial"/>
          <w:lang w:val="es-CO"/>
        </w:rPr>
        <w:t xml:space="preserve"> se puede</w:t>
      </w:r>
      <w:r w:rsidR="004B025B">
        <w:rPr>
          <w:rFonts w:ascii="Bookman Old Style" w:hAnsi="Bookman Old Style" w:cs="Arial"/>
          <w:lang w:val="es-CO"/>
        </w:rPr>
        <w:t>n</w:t>
      </w:r>
      <w:r w:rsidR="00026857">
        <w:rPr>
          <w:rFonts w:ascii="Bookman Old Style" w:hAnsi="Bookman Old Style" w:cs="Arial"/>
          <w:lang w:val="es-CO"/>
        </w:rPr>
        <w:t xml:space="preserve"> sintetizar en la oportunidad de la información </w:t>
      </w:r>
      <w:r w:rsidR="00E15740">
        <w:rPr>
          <w:rFonts w:ascii="Bookman Old Style" w:hAnsi="Bookman Old Style" w:cs="Arial"/>
          <w:lang w:val="es-CO"/>
        </w:rPr>
        <w:t>con la que se realiza una auditoria.</w:t>
      </w:r>
    </w:p>
    <w:p w14:paraId="2F652E5B" w14:textId="215876E4" w:rsidR="00E15740" w:rsidRDefault="00E15740" w:rsidP="00050AC5">
      <w:pPr>
        <w:widowControl w:val="0"/>
        <w:adjustRightInd w:val="0"/>
        <w:ind w:left="0"/>
        <w:jc w:val="both"/>
        <w:textAlignment w:val="baseline"/>
        <w:rPr>
          <w:rFonts w:ascii="Bookman Old Style" w:hAnsi="Bookman Old Style" w:cs="Arial"/>
          <w:lang w:val="es-CO"/>
        </w:rPr>
      </w:pPr>
    </w:p>
    <w:p w14:paraId="59D5DE2C" w14:textId="5F44E070" w:rsidR="00E15740" w:rsidRDefault="00E15740" w:rsidP="00050AC5">
      <w:pPr>
        <w:widowControl w:val="0"/>
        <w:adjustRightInd w:val="0"/>
        <w:ind w:left="0"/>
        <w:jc w:val="both"/>
        <w:textAlignment w:val="baseline"/>
        <w:rPr>
          <w:rFonts w:ascii="Bookman Old Style" w:hAnsi="Bookman Old Style" w:cs="Arial"/>
          <w:lang w:val="es-CO"/>
        </w:rPr>
      </w:pPr>
      <w:r>
        <w:rPr>
          <w:rFonts w:ascii="Bookman Old Style" w:hAnsi="Bookman Old Style" w:cs="Arial"/>
          <w:lang w:val="es-CO"/>
        </w:rPr>
        <w:t>Se recuerda que la finalidad de las auditorías es emitir un dictamen con la información</w:t>
      </w:r>
      <w:r w:rsidR="007C6D81">
        <w:rPr>
          <w:rFonts w:ascii="Bookman Old Style" w:hAnsi="Bookman Old Style" w:cs="Arial"/>
          <w:lang w:val="es-CO"/>
        </w:rPr>
        <w:t xml:space="preserve"> aportada en un momento del tiempo. La información extemporánea no puede ser tenida en cuenta, por cuanto</w:t>
      </w:r>
      <w:r w:rsidR="000730CB">
        <w:rPr>
          <w:rFonts w:ascii="Bookman Old Style" w:hAnsi="Bookman Old Style" w:cs="Arial"/>
          <w:lang w:val="es-CO"/>
        </w:rPr>
        <w:t xml:space="preserve"> desnaturaliza la finalidad de la auditoría.</w:t>
      </w:r>
    </w:p>
    <w:p w14:paraId="59555CCE" w14:textId="12BBFB42" w:rsidR="000730CB" w:rsidRDefault="000730CB" w:rsidP="00050AC5">
      <w:pPr>
        <w:widowControl w:val="0"/>
        <w:adjustRightInd w:val="0"/>
        <w:ind w:left="0"/>
        <w:jc w:val="both"/>
        <w:textAlignment w:val="baseline"/>
        <w:rPr>
          <w:rFonts w:ascii="Bookman Old Style" w:hAnsi="Bookman Old Style" w:cs="Arial"/>
          <w:lang w:val="es-CO"/>
        </w:rPr>
      </w:pPr>
    </w:p>
    <w:p w14:paraId="50A2BC7C" w14:textId="5D4B88BF" w:rsidR="000730CB" w:rsidRDefault="000730CB" w:rsidP="00050AC5">
      <w:pPr>
        <w:widowControl w:val="0"/>
        <w:adjustRightInd w:val="0"/>
        <w:ind w:left="0"/>
        <w:jc w:val="both"/>
        <w:textAlignment w:val="baseline"/>
        <w:rPr>
          <w:rFonts w:ascii="Bookman Old Style" w:hAnsi="Bookman Old Style" w:cs="Arial"/>
          <w:lang w:val="es-CO"/>
        </w:rPr>
      </w:pPr>
      <w:r>
        <w:rPr>
          <w:rFonts w:ascii="Bookman Old Style" w:hAnsi="Bookman Old Style" w:cs="Arial"/>
          <w:lang w:val="es-CO"/>
        </w:rPr>
        <w:t>Así las cosas</w:t>
      </w:r>
      <w:r w:rsidR="007551E3">
        <w:rPr>
          <w:rFonts w:ascii="Bookman Old Style" w:hAnsi="Bookman Old Style" w:cs="Arial"/>
          <w:lang w:val="es-CO"/>
        </w:rPr>
        <w:t>,</w:t>
      </w:r>
      <w:r>
        <w:rPr>
          <w:rFonts w:ascii="Bookman Old Style" w:hAnsi="Bookman Old Style" w:cs="Arial"/>
          <w:lang w:val="es-CO"/>
        </w:rPr>
        <w:t xml:space="preserve"> se analizan</w:t>
      </w:r>
      <w:r w:rsidR="00D372FF">
        <w:rPr>
          <w:rFonts w:ascii="Bookman Old Style" w:hAnsi="Bookman Old Style" w:cs="Arial"/>
          <w:lang w:val="es-CO"/>
        </w:rPr>
        <w:t xml:space="preserve"> </w:t>
      </w:r>
      <w:r w:rsidR="0022609A">
        <w:rPr>
          <w:rFonts w:ascii="Bookman Old Style" w:hAnsi="Bookman Old Style" w:cs="Arial"/>
          <w:lang w:val="es-CO"/>
        </w:rPr>
        <w:t xml:space="preserve">los </w:t>
      </w:r>
      <w:r w:rsidR="00D372FF">
        <w:rPr>
          <w:rFonts w:ascii="Bookman Old Style" w:hAnsi="Bookman Old Style" w:cs="Arial"/>
          <w:lang w:val="es-CO"/>
        </w:rPr>
        <w:t>argumentos presentados por la recurrente como razones de inconformidad</w:t>
      </w:r>
      <w:r w:rsidR="000266AB">
        <w:rPr>
          <w:rFonts w:ascii="Bookman Old Style" w:hAnsi="Bookman Old Style" w:cs="Arial"/>
          <w:lang w:val="es-CO"/>
        </w:rPr>
        <w:t xml:space="preserve"> desde el punto de vista técnico.</w:t>
      </w:r>
    </w:p>
    <w:p w14:paraId="6226A2FF" w14:textId="77777777" w:rsidR="005829A9" w:rsidRDefault="005829A9" w:rsidP="005829A9">
      <w:pPr>
        <w:widowControl w:val="0"/>
        <w:adjustRightInd w:val="0"/>
        <w:ind w:left="0"/>
        <w:jc w:val="both"/>
        <w:textAlignment w:val="baseline"/>
        <w:rPr>
          <w:rFonts w:ascii="Bookman Old Style" w:hAnsi="Bookman Old Style" w:cs="Arial"/>
          <w:lang w:val="es-CO"/>
        </w:rPr>
      </w:pPr>
    </w:p>
    <w:p w14:paraId="48882910" w14:textId="35C9E56C" w:rsidR="00311226" w:rsidRDefault="007861A7" w:rsidP="005829A9">
      <w:pPr>
        <w:widowControl w:val="0"/>
        <w:adjustRightInd w:val="0"/>
        <w:ind w:left="0"/>
        <w:jc w:val="both"/>
        <w:textAlignment w:val="baseline"/>
        <w:rPr>
          <w:rFonts w:ascii="Bookman Old Style" w:hAnsi="Bookman Old Style" w:cs="Arial"/>
          <w:lang w:val="es-CO"/>
        </w:rPr>
      </w:pPr>
      <w:r>
        <w:rPr>
          <w:rFonts w:ascii="Bookman Old Style" w:hAnsi="Bookman Old Style" w:cs="Arial"/>
          <w:lang w:val="es-CO"/>
        </w:rPr>
        <w:t>En primer lugar</w:t>
      </w:r>
      <w:r w:rsidR="007551E3">
        <w:rPr>
          <w:rFonts w:ascii="Bookman Old Style" w:hAnsi="Bookman Old Style" w:cs="Arial"/>
          <w:lang w:val="es-CO"/>
        </w:rPr>
        <w:t>,</w:t>
      </w:r>
      <w:r w:rsidR="005829A9">
        <w:rPr>
          <w:rFonts w:ascii="Bookman Old Style" w:hAnsi="Bookman Old Style" w:cs="Arial"/>
          <w:lang w:val="es-CO"/>
        </w:rPr>
        <w:t xml:space="preserve"> se pone en </w:t>
      </w:r>
      <w:r w:rsidR="0022609A">
        <w:rPr>
          <w:rFonts w:ascii="Bookman Old Style" w:hAnsi="Bookman Old Style" w:cs="Arial"/>
          <w:lang w:val="es-CO"/>
        </w:rPr>
        <w:t>contexto</w:t>
      </w:r>
      <w:r w:rsidR="005829A9">
        <w:rPr>
          <w:rFonts w:ascii="Bookman Old Style" w:hAnsi="Bookman Old Style" w:cs="Arial"/>
          <w:lang w:val="es-CO"/>
        </w:rPr>
        <w:t xml:space="preserve"> de lo</w:t>
      </w:r>
      <w:r w:rsidR="00311226">
        <w:rPr>
          <w:rFonts w:ascii="Bookman Old Style" w:hAnsi="Bookman Old Style" w:cs="Arial"/>
          <w:lang w:val="es-CO"/>
        </w:rPr>
        <w:t>s</w:t>
      </w:r>
      <w:r w:rsidR="005829A9">
        <w:rPr>
          <w:rFonts w:ascii="Bookman Old Style" w:hAnsi="Bookman Old Style" w:cs="Arial"/>
          <w:lang w:val="es-CO"/>
        </w:rPr>
        <w:t xml:space="preserve"> antecedentes </w:t>
      </w:r>
      <w:r w:rsidR="00311226">
        <w:rPr>
          <w:rFonts w:ascii="Bookman Old Style" w:hAnsi="Bookman Old Style" w:cs="Arial"/>
          <w:lang w:val="es-CO"/>
        </w:rPr>
        <w:t>la Resolución 501-0</w:t>
      </w:r>
      <w:r w:rsidR="00727388">
        <w:rPr>
          <w:rFonts w:ascii="Bookman Old Style" w:hAnsi="Bookman Old Style" w:cs="Arial"/>
          <w:lang w:val="es-CO"/>
        </w:rPr>
        <w:t>3</w:t>
      </w:r>
      <w:r w:rsidR="00311226">
        <w:rPr>
          <w:rFonts w:ascii="Bookman Old Style" w:hAnsi="Bookman Old Style" w:cs="Arial"/>
          <w:lang w:val="es-CO"/>
        </w:rPr>
        <w:t>3 de 2022.</w:t>
      </w:r>
    </w:p>
    <w:p w14:paraId="2A43326F" w14:textId="77777777" w:rsidR="00394A2D" w:rsidRDefault="00394A2D" w:rsidP="007F2D30">
      <w:pPr>
        <w:widowControl w:val="0"/>
        <w:adjustRightInd w:val="0"/>
        <w:ind w:left="0"/>
        <w:jc w:val="both"/>
        <w:textAlignment w:val="baseline"/>
        <w:rPr>
          <w:rFonts w:ascii="Bookman Old Style" w:hAnsi="Bookman Old Style" w:cs="Arial"/>
          <w:lang w:val="es-CO"/>
        </w:rPr>
      </w:pPr>
    </w:p>
    <w:p w14:paraId="71F085C5" w14:textId="1072B277" w:rsidR="007861A7" w:rsidRPr="00033015" w:rsidRDefault="007861A7" w:rsidP="007F2D30">
      <w:pPr>
        <w:widowControl w:val="0"/>
        <w:adjustRightInd w:val="0"/>
        <w:ind w:left="0"/>
        <w:jc w:val="both"/>
        <w:textAlignment w:val="baseline"/>
        <w:rPr>
          <w:rFonts w:ascii="Bookman Old Style" w:hAnsi="Bookman Old Style" w:cs="Arial"/>
          <w:bCs/>
          <w:lang w:val="es-CO" w:bidi="es-ES"/>
        </w:rPr>
      </w:pPr>
      <w:r w:rsidRPr="00033015">
        <w:rPr>
          <w:rFonts w:ascii="Bookman Old Style" w:hAnsi="Bookman Old Style" w:cs="Arial"/>
          <w:bCs/>
          <w:lang w:val="es-CO" w:bidi="es-ES"/>
        </w:rPr>
        <w:t xml:space="preserve">En febrero de 2019, se </w:t>
      </w:r>
      <w:r w:rsidR="00394A2D" w:rsidRPr="00033015">
        <w:rPr>
          <w:rFonts w:ascii="Bookman Old Style" w:hAnsi="Bookman Old Style" w:cs="Arial"/>
          <w:bCs/>
          <w:lang w:val="es-CO" w:bidi="es-ES"/>
        </w:rPr>
        <w:t>adelantó</w:t>
      </w:r>
      <w:r w:rsidRPr="00033015">
        <w:rPr>
          <w:rFonts w:ascii="Bookman Old Style" w:hAnsi="Bookman Old Style" w:cs="Arial"/>
          <w:bCs/>
          <w:lang w:val="es-CO" w:bidi="es-ES"/>
        </w:rPr>
        <w:t xml:space="preserve"> </w:t>
      </w:r>
      <w:r w:rsidR="007551E3">
        <w:rPr>
          <w:rFonts w:ascii="Bookman Old Style" w:hAnsi="Bookman Old Style" w:cs="Arial"/>
          <w:bCs/>
          <w:lang w:val="es-CO" w:bidi="es-ES"/>
        </w:rPr>
        <w:t>una</w:t>
      </w:r>
      <w:r w:rsidRPr="00033015">
        <w:rPr>
          <w:rFonts w:ascii="Bookman Old Style" w:hAnsi="Bookman Old Style" w:cs="Arial"/>
          <w:bCs/>
          <w:lang w:val="es-CO" w:bidi="es-ES"/>
        </w:rPr>
        <w:t xml:space="preserve"> subasta del cargo por confiabilidad para asignar Obligaciones de Energía Firme [OEF] para el período 2022-2023.</w:t>
      </w:r>
    </w:p>
    <w:p w14:paraId="235107E2" w14:textId="77777777" w:rsidR="0022609A" w:rsidRDefault="0022609A" w:rsidP="007861A7">
      <w:pPr>
        <w:widowControl w:val="0"/>
        <w:adjustRightInd w:val="0"/>
        <w:ind w:left="0"/>
        <w:jc w:val="both"/>
        <w:textAlignment w:val="baseline"/>
        <w:rPr>
          <w:rFonts w:ascii="Bookman Old Style" w:hAnsi="Bookman Old Style" w:cs="Arial"/>
          <w:lang w:val="es-CO" w:bidi="es-ES"/>
        </w:rPr>
      </w:pPr>
    </w:p>
    <w:p w14:paraId="3348D832" w14:textId="1C13725D" w:rsidR="007861A7" w:rsidRDefault="007861A7" w:rsidP="007861A7">
      <w:pPr>
        <w:widowControl w:val="0"/>
        <w:adjustRightInd w:val="0"/>
        <w:ind w:left="0"/>
        <w:jc w:val="both"/>
        <w:textAlignment w:val="baseline"/>
        <w:rPr>
          <w:rFonts w:ascii="Bookman Old Style" w:hAnsi="Bookman Old Style" w:cs="Arial"/>
          <w:lang w:val="es-CO" w:bidi="es-ES"/>
        </w:rPr>
      </w:pPr>
      <w:r w:rsidRPr="007861A7">
        <w:rPr>
          <w:rFonts w:ascii="Bookman Old Style" w:hAnsi="Bookman Old Style" w:cs="Arial"/>
          <w:lang w:val="es-CO" w:bidi="es-ES"/>
        </w:rPr>
        <w:t>La citada subasta fue convocada mediante la Resolución CREG 104 de 2018, cuyo cronograma fue modificado por la Resolución CREG 142 de 2018. En dicho cronograma se identific</w:t>
      </w:r>
      <w:r w:rsidR="004E38EA">
        <w:rPr>
          <w:rFonts w:ascii="Bookman Old Style" w:hAnsi="Bookman Old Style" w:cs="Arial"/>
          <w:lang w:val="es-CO" w:bidi="es-ES"/>
        </w:rPr>
        <w:t>ó</w:t>
      </w:r>
      <w:r w:rsidRPr="007861A7">
        <w:rPr>
          <w:rFonts w:ascii="Bookman Old Style" w:hAnsi="Bookman Old Style" w:cs="Arial"/>
          <w:lang w:val="es-CO" w:bidi="es-ES"/>
        </w:rPr>
        <w:t xml:space="preserve"> que las plantas que </w:t>
      </w:r>
      <w:r w:rsidR="007551E3">
        <w:rPr>
          <w:rFonts w:ascii="Bookman Old Style" w:hAnsi="Bookman Old Style" w:cs="Arial"/>
          <w:lang w:val="es-CO" w:bidi="es-ES"/>
        </w:rPr>
        <w:t>ib</w:t>
      </w:r>
      <w:r w:rsidRPr="007861A7">
        <w:rPr>
          <w:rFonts w:ascii="Bookman Old Style" w:hAnsi="Bookman Old Style" w:cs="Arial"/>
          <w:lang w:val="es-CO" w:bidi="es-ES"/>
        </w:rPr>
        <w:t>an a participar en la asignación de OEF deb</w:t>
      </w:r>
      <w:r w:rsidR="004E38EA">
        <w:rPr>
          <w:rFonts w:ascii="Bookman Old Style" w:hAnsi="Bookman Old Style" w:cs="Arial"/>
          <w:lang w:val="es-CO" w:bidi="es-ES"/>
        </w:rPr>
        <w:t>ían</w:t>
      </w:r>
      <w:r w:rsidRPr="007861A7">
        <w:rPr>
          <w:rFonts w:ascii="Bookman Old Style" w:hAnsi="Bookman Old Style" w:cs="Arial"/>
          <w:lang w:val="es-CO" w:bidi="es-ES"/>
        </w:rPr>
        <w:t xml:space="preserve"> adelantar la declaración de parámetros hasta el 25 de enero de 2019. Posteriormente, el 28 de febrero de 2019 se llevó a cabo la asignación del período 2022-2023.</w:t>
      </w:r>
    </w:p>
    <w:p w14:paraId="65F33EC8" w14:textId="77777777" w:rsidR="00561EE8" w:rsidRPr="007861A7" w:rsidRDefault="00561EE8" w:rsidP="007861A7">
      <w:pPr>
        <w:widowControl w:val="0"/>
        <w:adjustRightInd w:val="0"/>
        <w:ind w:left="0"/>
        <w:jc w:val="both"/>
        <w:textAlignment w:val="baseline"/>
        <w:rPr>
          <w:rFonts w:ascii="Bookman Old Style" w:hAnsi="Bookman Old Style" w:cs="Arial"/>
          <w:lang w:val="es-CO" w:bidi="es-ES"/>
        </w:rPr>
      </w:pPr>
    </w:p>
    <w:p w14:paraId="0C9AB2EF" w14:textId="35CB182F" w:rsidR="007861A7" w:rsidRDefault="007861A7" w:rsidP="007861A7">
      <w:pPr>
        <w:widowControl w:val="0"/>
        <w:adjustRightInd w:val="0"/>
        <w:ind w:left="0"/>
        <w:jc w:val="both"/>
        <w:textAlignment w:val="baseline"/>
        <w:rPr>
          <w:rFonts w:ascii="Bookman Old Style" w:hAnsi="Bookman Old Style" w:cs="Arial"/>
          <w:lang w:val="es-CO" w:bidi="es-ES"/>
        </w:rPr>
      </w:pPr>
      <w:r w:rsidRPr="007861A7">
        <w:rPr>
          <w:rFonts w:ascii="Bookman Old Style" w:hAnsi="Bookman Old Style" w:cs="Arial"/>
          <w:lang w:val="es-CO" w:bidi="es-ES"/>
        </w:rPr>
        <w:t>Teniendo en cuenta las reglas previstas en la Resolución CREG 071 de 2006, la Comisión</w:t>
      </w:r>
      <w:r w:rsidR="00021393">
        <w:rPr>
          <w:rFonts w:ascii="Bookman Old Style" w:hAnsi="Bookman Old Style" w:cs="Arial"/>
          <w:lang w:val="es-CO" w:bidi="es-ES"/>
        </w:rPr>
        <w:t>,</w:t>
      </w:r>
      <w:r w:rsidRPr="007861A7">
        <w:rPr>
          <w:rFonts w:ascii="Bookman Old Style" w:hAnsi="Bookman Old Style" w:cs="Arial"/>
          <w:lang w:val="es-CO" w:bidi="es-ES"/>
        </w:rPr>
        <w:t xml:space="preserve"> mediante la Resolución CREG 030 de 2019</w:t>
      </w:r>
      <w:r w:rsidR="00021393">
        <w:rPr>
          <w:rFonts w:ascii="Bookman Old Style" w:hAnsi="Bookman Old Style" w:cs="Arial"/>
          <w:lang w:val="es-CO" w:bidi="es-ES"/>
        </w:rPr>
        <w:t>,</w:t>
      </w:r>
      <w:r w:rsidRPr="007861A7">
        <w:rPr>
          <w:rFonts w:ascii="Bookman Old Style" w:hAnsi="Bookman Old Style" w:cs="Arial"/>
          <w:lang w:val="es-CO" w:bidi="es-ES"/>
        </w:rPr>
        <w:t xml:space="preserve"> ordenó la contratación de</w:t>
      </w:r>
      <w:r w:rsidR="00561EE8">
        <w:rPr>
          <w:rFonts w:ascii="Bookman Old Style" w:hAnsi="Bookman Old Style" w:cs="Arial"/>
          <w:lang w:val="es-CO" w:bidi="es-ES"/>
        </w:rPr>
        <w:t xml:space="preserve"> </w:t>
      </w:r>
      <w:r w:rsidRPr="007861A7">
        <w:rPr>
          <w:rFonts w:ascii="Bookman Old Style" w:hAnsi="Bookman Old Style" w:cs="Arial"/>
          <w:lang w:val="es-CO" w:bidi="es-ES"/>
        </w:rPr>
        <w:t>una</w:t>
      </w:r>
      <w:r w:rsidR="00561EE8">
        <w:rPr>
          <w:rFonts w:ascii="Bookman Old Style" w:hAnsi="Bookman Old Style" w:cs="Arial"/>
          <w:lang w:val="es-CO" w:bidi="es-ES"/>
        </w:rPr>
        <w:t xml:space="preserve"> </w:t>
      </w:r>
      <w:r w:rsidRPr="007861A7">
        <w:rPr>
          <w:rFonts w:ascii="Bookman Old Style" w:hAnsi="Bookman Old Style" w:cs="Arial"/>
          <w:lang w:val="es-CO" w:bidi="es-ES"/>
        </w:rPr>
        <w:t>auditoría</w:t>
      </w:r>
      <w:r w:rsidR="00561EE8">
        <w:rPr>
          <w:rFonts w:ascii="Bookman Old Style" w:hAnsi="Bookman Old Style" w:cs="Arial"/>
          <w:lang w:val="es-CO" w:bidi="es-ES"/>
        </w:rPr>
        <w:t xml:space="preserve"> </w:t>
      </w:r>
      <w:r w:rsidRPr="007861A7">
        <w:rPr>
          <w:rFonts w:ascii="Bookman Old Style" w:hAnsi="Bookman Old Style" w:cs="Arial"/>
          <w:lang w:val="es-CO" w:bidi="es-ES"/>
        </w:rPr>
        <w:t>“</w:t>
      </w:r>
      <w:r w:rsidRPr="007861A7">
        <w:rPr>
          <w:rFonts w:ascii="Bookman Old Style" w:hAnsi="Bookman Old Style" w:cs="Arial"/>
          <w:i/>
          <w:iCs/>
          <w:lang w:val="es-CO" w:bidi="es-ES"/>
        </w:rPr>
        <w:t>sobre los parámetros declarados por las plantas existentes que resultaron con asignaciones de OEF en la subasta 2022-2023 y las plantas que</w:t>
      </w:r>
      <w:r w:rsidR="000D4116">
        <w:rPr>
          <w:rFonts w:ascii="Bookman Old Style" w:hAnsi="Bookman Old Style" w:cs="Arial"/>
          <w:i/>
          <w:iCs/>
          <w:lang w:val="es-CO" w:bidi="es-ES"/>
        </w:rPr>
        <w:t xml:space="preserve"> </w:t>
      </w:r>
      <w:r w:rsidRPr="007861A7">
        <w:rPr>
          <w:rFonts w:ascii="Bookman Old Style" w:hAnsi="Bookman Old Style" w:cs="Arial"/>
          <w:i/>
          <w:iCs/>
          <w:lang w:val="es-CO" w:bidi="es-ES"/>
        </w:rPr>
        <w:t>tengan</w:t>
      </w:r>
      <w:r w:rsidR="000D4116">
        <w:rPr>
          <w:rFonts w:ascii="Bookman Old Style" w:hAnsi="Bookman Old Style" w:cs="Arial"/>
          <w:i/>
          <w:iCs/>
          <w:lang w:val="es-CO" w:bidi="es-ES"/>
        </w:rPr>
        <w:t xml:space="preserve"> </w:t>
      </w:r>
      <w:r w:rsidRPr="007861A7">
        <w:rPr>
          <w:rFonts w:ascii="Bookman Old Style" w:hAnsi="Bookman Old Style" w:cs="Arial"/>
          <w:i/>
          <w:iCs/>
          <w:lang w:val="es-CO" w:bidi="es-ES"/>
        </w:rPr>
        <w:t>asignaciones</w:t>
      </w:r>
      <w:r w:rsidR="000D4116">
        <w:rPr>
          <w:rFonts w:ascii="Bookman Old Style" w:hAnsi="Bookman Old Style" w:cs="Arial"/>
          <w:i/>
          <w:iCs/>
          <w:lang w:val="es-CO" w:bidi="es-ES"/>
        </w:rPr>
        <w:t xml:space="preserve"> </w:t>
      </w:r>
      <w:r w:rsidRPr="007861A7">
        <w:rPr>
          <w:rFonts w:ascii="Bookman Old Style" w:hAnsi="Bookman Old Style" w:cs="Arial"/>
          <w:i/>
          <w:iCs/>
          <w:lang w:val="es-CO" w:bidi="es-ES"/>
        </w:rPr>
        <w:t>previas para este período y que se encuentren en operación,</w:t>
      </w:r>
      <w:r w:rsidR="007551E3">
        <w:rPr>
          <w:rFonts w:ascii="Bookman Old Style" w:hAnsi="Bookman Old Style" w:cs="Arial"/>
          <w:i/>
          <w:iCs/>
          <w:lang w:val="es-CO" w:bidi="es-ES"/>
        </w:rPr>
        <w:t xml:space="preserve"> </w:t>
      </w:r>
      <w:r w:rsidRPr="007861A7">
        <w:rPr>
          <w:rFonts w:ascii="Bookman Old Style" w:hAnsi="Bookman Old Style" w:cs="Arial"/>
          <w:i/>
          <w:iCs/>
          <w:lang w:val="es-CO" w:bidi="es-ES"/>
        </w:rPr>
        <w:t>de</w:t>
      </w:r>
      <w:r w:rsidR="000D4116">
        <w:rPr>
          <w:rFonts w:ascii="Bookman Old Style" w:hAnsi="Bookman Old Style" w:cs="Arial"/>
          <w:i/>
          <w:iCs/>
          <w:lang w:val="es-CO" w:bidi="es-ES"/>
        </w:rPr>
        <w:t xml:space="preserve"> </w:t>
      </w:r>
      <w:r w:rsidRPr="007861A7">
        <w:rPr>
          <w:rFonts w:ascii="Bookman Old Style" w:hAnsi="Bookman Old Style" w:cs="Arial"/>
          <w:i/>
          <w:iCs/>
          <w:lang w:val="es-CO" w:bidi="es-ES"/>
        </w:rPr>
        <w:t>acuerdo</w:t>
      </w:r>
      <w:r w:rsidR="000D4116">
        <w:rPr>
          <w:rFonts w:ascii="Bookman Old Style" w:hAnsi="Bookman Old Style" w:cs="Arial"/>
          <w:i/>
          <w:iCs/>
          <w:lang w:val="es-CO" w:bidi="es-ES"/>
        </w:rPr>
        <w:t xml:space="preserve"> </w:t>
      </w:r>
      <w:r w:rsidRPr="007861A7">
        <w:rPr>
          <w:rFonts w:ascii="Bookman Old Style" w:hAnsi="Bookman Old Style" w:cs="Arial"/>
          <w:i/>
          <w:iCs/>
          <w:lang w:val="es-CO" w:bidi="es-ES"/>
        </w:rPr>
        <w:t>con</w:t>
      </w:r>
      <w:r w:rsidR="000D4116">
        <w:rPr>
          <w:rFonts w:ascii="Bookman Old Style" w:hAnsi="Bookman Old Style" w:cs="Arial"/>
          <w:i/>
          <w:iCs/>
          <w:lang w:val="es-CO" w:bidi="es-ES"/>
        </w:rPr>
        <w:t xml:space="preserve"> </w:t>
      </w:r>
      <w:r w:rsidRPr="007861A7">
        <w:rPr>
          <w:rFonts w:ascii="Bookman Old Style" w:hAnsi="Bookman Old Style" w:cs="Arial"/>
          <w:i/>
          <w:iCs/>
          <w:lang w:val="es-CO" w:bidi="es-ES"/>
        </w:rPr>
        <w:t>lo</w:t>
      </w:r>
      <w:r w:rsidR="000D4116">
        <w:rPr>
          <w:rFonts w:ascii="Bookman Old Style" w:hAnsi="Bookman Old Style" w:cs="Arial"/>
          <w:i/>
          <w:iCs/>
          <w:lang w:val="es-CO" w:bidi="es-ES"/>
        </w:rPr>
        <w:t xml:space="preserve"> </w:t>
      </w:r>
      <w:r w:rsidRPr="007861A7">
        <w:rPr>
          <w:rFonts w:ascii="Bookman Old Style" w:hAnsi="Bookman Old Style" w:cs="Arial"/>
          <w:i/>
          <w:iCs/>
          <w:lang w:val="es-CO" w:bidi="es-ES"/>
        </w:rPr>
        <w:t>definido en el Anexo 6 de la Resolución CREG 071 de 2006</w:t>
      </w:r>
      <w:r w:rsidRPr="007861A7">
        <w:rPr>
          <w:rFonts w:ascii="Bookman Old Style" w:hAnsi="Bookman Old Style" w:cs="Arial"/>
          <w:lang w:val="es-CO" w:bidi="es-ES"/>
        </w:rPr>
        <w:t>”.</w:t>
      </w:r>
    </w:p>
    <w:p w14:paraId="47F901E9" w14:textId="77777777" w:rsidR="000D4116" w:rsidRPr="007861A7" w:rsidRDefault="000D4116" w:rsidP="007861A7">
      <w:pPr>
        <w:widowControl w:val="0"/>
        <w:adjustRightInd w:val="0"/>
        <w:ind w:left="0"/>
        <w:jc w:val="both"/>
        <w:textAlignment w:val="baseline"/>
        <w:rPr>
          <w:rFonts w:ascii="Bookman Old Style" w:hAnsi="Bookman Old Style" w:cs="Arial"/>
          <w:lang w:val="es-CO" w:bidi="es-ES"/>
        </w:rPr>
      </w:pPr>
    </w:p>
    <w:p w14:paraId="25CF3A37" w14:textId="7BD00661" w:rsidR="007861A7" w:rsidRDefault="007861A7" w:rsidP="007861A7">
      <w:pPr>
        <w:widowControl w:val="0"/>
        <w:adjustRightInd w:val="0"/>
        <w:ind w:left="0"/>
        <w:jc w:val="both"/>
        <w:textAlignment w:val="baseline"/>
        <w:rPr>
          <w:rFonts w:ascii="Bookman Old Style" w:hAnsi="Bookman Old Style" w:cs="Arial"/>
          <w:lang w:val="es-CO" w:bidi="es-ES"/>
        </w:rPr>
      </w:pPr>
      <w:r w:rsidRPr="007861A7">
        <w:rPr>
          <w:rFonts w:ascii="Bookman Old Style" w:hAnsi="Bookman Old Style" w:cs="Arial"/>
          <w:lang w:val="es-CO" w:bidi="es-ES"/>
        </w:rPr>
        <w:t>En cumplimiento de lo anterior, el C</w:t>
      </w:r>
      <w:r w:rsidR="000D4116">
        <w:rPr>
          <w:rFonts w:ascii="Bookman Old Style" w:hAnsi="Bookman Old Style" w:cs="Arial"/>
          <w:lang w:val="es-CO" w:bidi="es-ES"/>
        </w:rPr>
        <w:t xml:space="preserve">entro </w:t>
      </w:r>
      <w:r w:rsidRPr="007861A7">
        <w:rPr>
          <w:rFonts w:ascii="Bookman Old Style" w:hAnsi="Bookman Old Style" w:cs="Arial"/>
          <w:lang w:val="es-CO" w:bidi="es-ES"/>
        </w:rPr>
        <w:t>N</w:t>
      </w:r>
      <w:r w:rsidR="000D4116">
        <w:rPr>
          <w:rFonts w:ascii="Bookman Old Style" w:hAnsi="Bookman Old Style" w:cs="Arial"/>
          <w:lang w:val="es-CO" w:bidi="es-ES"/>
        </w:rPr>
        <w:t xml:space="preserve">acional de </w:t>
      </w:r>
      <w:r w:rsidRPr="007861A7">
        <w:rPr>
          <w:rFonts w:ascii="Bookman Old Style" w:hAnsi="Bookman Old Style" w:cs="Arial"/>
          <w:lang w:val="es-CO" w:bidi="es-ES"/>
        </w:rPr>
        <w:t>D</w:t>
      </w:r>
      <w:r w:rsidR="000D4116">
        <w:rPr>
          <w:rFonts w:ascii="Bookman Old Style" w:hAnsi="Bookman Old Style" w:cs="Arial"/>
          <w:lang w:val="es-CO" w:bidi="es-ES"/>
        </w:rPr>
        <w:t>espacho</w:t>
      </w:r>
      <w:r w:rsidR="00021393">
        <w:rPr>
          <w:rFonts w:ascii="Bookman Old Style" w:hAnsi="Bookman Old Style" w:cs="Arial"/>
          <w:lang w:val="es-CO" w:bidi="es-ES"/>
        </w:rPr>
        <w:t xml:space="preserve">, </w:t>
      </w:r>
      <w:r w:rsidR="00462BB3">
        <w:rPr>
          <w:rFonts w:ascii="Bookman Old Style" w:hAnsi="Bookman Old Style" w:cs="Arial"/>
          <w:lang w:val="es-CO" w:bidi="es-ES"/>
        </w:rPr>
        <w:t>CND</w:t>
      </w:r>
      <w:r w:rsidR="00021393">
        <w:rPr>
          <w:rFonts w:ascii="Bookman Old Style" w:hAnsi="Bookman Old Style" w:cs="Arial"/>
          <w:lang w:val="es-CO" w:bidi="es-ES"/>
        </w:rPr>
        <w:t>,</w:t>
      </w:r>
      <w:r w:rsidRPr="007861A7">
        <w:rPr>
          <w:rFonts w:ascii="Bookman Old Style" w:hAnsi="Bookman Old Style" w:cs="Arial"/>
          <w:lang w:val="es-CO" w:bidi="es-ES"/>
        </w:rPr>
        <w:t xml:space="preserve"> </w:t>
      </w:r>
      <w:r w:rsidR="007551E3">
        <w:rPr>
          <w:rFonts w:ascii="Bookman Old Style" w:hAnsi="Bookman Old Style" w:cs="Arial"/>
          <w:lang w:val="es-CO" w:bidi="es-ES"/>
        </w:rPr>
        <w:t>realizó</w:t>
      </w:r>
      <w:r w:rsidRPr="007861A7">
        <w:rPr>
          <w:rFonts w:ascii="Bookman Old Style" w:hAnsi="Bookman Old Style" w:cs="Arial"/>
          <w:lang w:val="es-CO" w:bidi="es-ES"/>
        </w:rPr>
        <w:t xml:space="preserve"> la contratación de la firma HMV Ingenieros Ltda</w:t>
      </w:r>
      <w:r w:rsidR="00021393">
        <w:rPr>
          <w:rFonts w:ascii="Bookman Old Style" w:hAnsi="Bookman Old Style" w:cs="Arial"/>
          <w:lang w:val="es-CO" w:bidi="es-ES"/>
        </w:rPr>
        <w:t>.</w:t>
      </w:r>
      <w:r w:rsidRPr="007861A7">
        <w:rPr>
          <w:rFonts w:ascii="Bookman Old Style" w:hAnsi="Bookman Old Style" w:cs="Arial"/>
          <w:lang w:val="es-CO" w:bidi="es-ES"/>
        </w:rPr>
        <w:t xml:space="preserve"> para adelantar la auditoría de los parámetros declarados para plantas hidráulicas.</w:t>
      </w:r>
    </w:p>
    <w:p w14:paraId="348A0AB6" w14:textId="77777777" w:rsidR="00462BB3" w:rsidRPr="007861A7" w:rsidRDefault="00462BB3" w:rsidP="007861A7">
      <w:pPr>
        <w:widowControl w:val="0"/>
        <w:adjustRightInd w:val="0"/>
        <w:ind w:left="0"/>
        <w:jc w:val="both"/>
        <w:textAlignment w:val="baseline"/>
        <w:rPr>
          <w:rFonts w:ascii="Bookman Old Style" w:hAnsi="Bookman Old Style" w:cs="Arial"/>
          <w:lang w:val="es-CO" w:bidi="es-ES"/>
        </w:rPr>
      </w:pPr>
    </w:p>
    <w:p w14:paraId="19F91D16" w14:textId="4DF0FA70" w:rsidR="007861A7" w:rsidRDefault="007861A7" w:rsidP="007861A7">
      <w:pPr>
        <w:widowControl w:val="0"/>
        <w:adjustRightInd w:val="0"/>
        <w:ind w:left="0"/>
        <w:jc w:val="both"/>
        <w:textAlignment w:val="baseline"/>
        <w:rPr>
          <w:rFonts w:ascii="Bookman Old Style" w:hAnsi="Bookman Old Style" w:cs="Arial"/>
          <w:lang w:val="es-CO" w:bidi="es-ES"/>
        </w:rPr>
      </w:pPr>
      <w:r w:rsidRPr="007861A7">
        <w:rPr>
          <w:rFonts w:ascii="Bookman Old Style" w:hAnsi="Bookman Old Style" w:cs="Arial"/>
          <w:lang w:val="es-CO" w:bidi="es-ES"/>
        </w:rPr>
        <w:t>El auditor</w:t>
      </w:r>
      <w:r w:rsidR="00021393">
        <w:rPr>
          <w:rFonts w:ascii="Bookman Old Style" w:hAnsi="Bookman Old Style" w:cs="Arial"/>
          <w:lang w:val="es-CO" w:bidi="es-ES"/>
        </w:rPr>
        <w:t>,</w:t>
      </w:r>
      <w:r w:rsidRPr="007861A7">
        <w:rPr>
          <w:rFonts w:ascii="Bookman Old Style" w:hAnsi="Bookman Old Style" w:cs="Arial"/>
          <w:lang w:val="es-CO" w:bidi="es-ES"/>
        </w:rPr>
        <w:t xml:space="preserve"> para </w:t>
      </w:r>
      <w:r w:rsidR="007551E3">
        <w:rPr>
          <w:rFonts w:ascii="Bookman Old Style" w:hAnsi="Bookman Old Style" w:cs="Arial"/>
          <w:lang w:val="es-CO" w:bidi="es-ES"/>
        </w:rPr>
        <w:t>llevar a cabo</w:t>
      </w:r>
      <w:r w:rsidRPr="007861A7">
        <w:rPr>
          <w:rFonts w:ascii="Bookman Old Style" w:hAnsi="Bookman Old Style" w:cs="Arial"/>
          <w:lang w:val="es-CO" w:bidi="es-ES"/>
        </w:rPr>
        <w:t xml:space="preserve"> la auditoría</w:t>
      </w:r>
      <w:r w:rsidR="00021393">
        <w:rPr>
          <w:rFonts w:ascii="Bookman Old Style" w:hAnsi="Bookman Old Style" w:cs="Arial"/>
          <w:lang w:val="es-CO" w:bidi="es-ES"/>
        </w:rPr>
        <w:t>,</w:t>
      </w:r>
      <w:r w:rsidRPr="007861A7">
        <w:rPr>
          <w:rFonts w:ascii="Bookman Old Style" w:hAnsi="Bookman Old Style" w:cs="Arial"/>
          <w:lang w:val="es-CO" w:bidi="es-ES"/>
        </w:rPr>
        <w:t xml:space="preserve"> debe aplicar los procedimientos definidos en el Anexo 6 de la Resolución CREG 071 de 2006.</w:t>
      </w:r>
    </w:p>
    <w:p w14:paraId="764C663A" w14:textId="77777777" w:rsidR="00462BB3" w:rsidRPr="007861A7" w:rsidRDefault="00462BB3" w:rsidP="007861A7">
      <w:pPr>
        <w:widowControl w:val="0"/>
        <w:adjustRightInd w:val="0"/>
        <w:ind w:left="0"/>
        <w:jc w:val="both"/>
        <w:textAlignment w:val="baseline"/>
        <w:rPr>
          <w:rFonts w:ascii="Bookman Old Style" w:hAnsi="Bookman Old Style" w:cs="Arial"/>
          <w:lang w:val="es-CO" w:bidi="es-ES"/>
        </w:rPr>
      </w:pPr>
    </w:p>
    <w:p w14:paraId="04DD84F3" w14:textId="0C569E91" w:rsidR="007861A7" w:rsidRDefault="007861A7" w:rsidP="007861A7">
      <w:pPr>
        <w:widowControl w:val="0"/>
        <w:adjustRightInd w:val="0"/>
        <w:ind w:left="0"/>
        <w:jc w:val="both"/>
        <w:textAlignment w:val="baseline"/>
        <w:rPr>
          <w:rFonts w:ascii="Bookman Old Style" w:hAnsi="Bookman Old Style" w:cs="Arial"/>
          <w:lang w:val="es-CO" w:bidi="es-ES"/>
        </w:rPr>
      </w:pPr>
      <w:r w:rsidRPr="007861A7">
        <w:rPr>
          <w:rFonts w:ascii="Bookman Old Style" w:hAnsi="Bookman Old Style" w:cs="Arial"/>
          <w:lang w:val="es-CO" w:bidi="es-ES"/>
        </w:rPr>
        <w:t>Teniendo en cuenta lo anterior, se identifica que</w:t>
      </w:r>
      <w:r w:rsidR="00021393">
        <w:rPr>
          <w:rFonts w:ascii="Bookman Old Style" w:hAnsi="Bookman Old Style" w:cs="Arial"/>
          <w:lang w:val="es-CO" w:bidi="es-ES"/>
        </w:rPr>
        <w:t>,</w:t>
      </w:r>
      <w:r w:rsidRPr="007861A7">
        <w:rPr>
          <w:rFonts w:ascii="Bookman Old Style" w:hAnsi="Bookman Old Style" w:cs="Arial"/>
          <w:lang w:val="es-CO" w:bidi="es-ES"/>
        </w:rPr>
        <w:t xml:space="preserve"> para </w:t>
      </w:r>
      <w:r w:rsidR="00DF153A">
        <w:rPr>
          <w:rFonts w:ascii="Bookman Old Style" w:hAnsi="Bookman Old Style" w:cs="Arial"/>
          <w:lang w:val="es-CO" w:bidi="es-ES"/>
        </w:rPr>
        <w:t xml:space="preserve">desarrollar </w:t>
      </w:r>
      <w:r w:rsidRPr="007861A7">
        <w:rPr>
          <w:rFonts w:ascii="Bookman Old Style" w:hAnsi="Bookman Old Style" w:cs="Arial"/>
          <w:lang w:val="es-CO" w:bidi="es-ES"/>
        </w:rPr>
        <w:t>la auditoría</w:t>
      </w:r>
      <w:r w:rsidR="00021393">
        <w:rPr>
          <w:rFonts w:ascii="Bookman Old Style" w:hAnsi="Bookman Old Style" w:cs="Arial"/>
          <w:lang w:val="es-CO" w:bidi="es-ES"/>
        </w:rPr>
        <w:t>,</w:t>
      </w:r>
      <w:r w:rsidRPr="007861A7">
        <w:rPr>
          <w:rFonts w:ascii="Bookman Old Style" w:hAnsi="Bookman Old Style" w:cs="Arial"/>
          <w:lang w:val="es-CO" w:bidi="es-ES"/>
        </w:rPr>
        <w:t xml:space="preserve"> el proceso lo debe adelantar el auditor considerando las reglas vigentes a la fecha de declaración de los parámetros. En particular</w:t>
      </w:r>
      <w:r w:rsidR="00021393">
        <w:rPr>
          <w:rFonts w:ascii="Bookman Old Style" w:hAnsi="Bookman Old Style" w:cs="Arial"/>
          <w:lang w:val="es-CO" w:bidi="es-ES"/>
        </w:rPr>
        <w:t>,</w:t>
      </w:r>
      <w:r w:rsidRPr="007861A7">
        <w:rPr>
          <w:rFonts w:ascii="Bookman Old Style" w:hAnsi="Bookman Old Style" w:cs="Arial"/>
          <w:lang w:val="es-CO" w:bidi="es-ES"/>
        </w:rPr>
        <w:t xml:space="preserve"> para el parámetro </w:t>
      </w:r>
      <w:r w:rsidR="00444E5E" w:rsidRPr="007861A7">
        <w:rPr>
          <w:rFonts w:ascii="Bookman Old Style" w:hAnsi="Bookman Old Style" w:cs="Arial"/>
          <w:lang w:val="es-CO" w:bidi="es-ES"/>
        </w:rPr>
        <w:t xml:space="preserve">Serie </w:t>
      </w:r>
      <w:r w:rsidRPr="007861A7">
        <w:rPr>
          <w:rFonts w:ascii="Bookman Old Style" w:hAnsi="Bookman Old Style" w:cs="Arial"/>
          <w:lang w:val="es-CO" w:bidi="es-ES"/>
        </w:rPr>
        <w:t xml:space="preserve">de caudales, se debe considerar las resoluciones CREG, </w:t>
      </w:r>
      <w:r w:rsidR="00444E5E">
        <w:rPr>
          <w:rFonts w:ascii="Bookman Old Style" w:hAnsi="Bookman Old Style" w:cs="Arial"/>
          <w:lang w:val="es-CO" w:bidi="es-ES"/>
        </w:rPr>
        <w:t xml:space="preserve">así como los </w:t>
      </w:r>
      <w:r w:rsidRPr="007861A7">
        <w:rPr>
          <w:rFonts w:ascii="Bookman Old Style" w:hAnsi="Bookman Old Style" w:cs="Arial"/>
          <w:lang w:val="es-CO" w:bidi="es-ES"/>
        </w:rPr>
        <w:t xml:space="preserve">acuerdos y actas del CNO vigentes al 25 de enero de 2019. </w:t>
      </w:r>
    </w:p>
    <w:p w14:paraId="736F98E9" w14:textId="77777777" w:rsidR="00462BB3" w:rsidRPr="007861A7" w:rsidRDefault="00462BB3" w:rsidP="007861A7">
      <w:pPr>
        <w:widowControl w:val="0"/>
        <w:adjustRightInd w:val="0"/>
        <w:ind w:left="0"/>
        <w:jc w:val="both"/>
        <w:textAlignment w:val="baseline"/>
        <w:rPr>
          <w:rFonts w:ascii="Bookman Old Style" w:hAnsi="Bookman Old Style" w:cs="Arial"/>
          <w:lang w:val="es-CO" w:bidi="es-ES"/>
        </w:rPr>
      </w:pPr>
    </w:p>
    <w:p w14:paraId="41421B58" w14:textId="20B14078" w:rsidR="007861A7" w:rsidRPr="007861A7" w:rsidRDefault="007861A7" w:rsidP="007861A7">
      <w:pPr>
        <w:widowControl w:val="0"/>
        <w:adjustRightInd w:val="0"/>
        <w:ind w:left="0"/>
        <w:jc w:val="both"/>
        <w:textAlignment w:val="baseline"/>
        <w:rPr>
          <w:rFonts w:ascii="Bookman Old Style" w:hAnsi="Bookman Old Style" w:cs="Arial"/>
          <w:lang w:val="es-CO" w:bidi="es-ES"/>
        </w:rPr>
      </w:pPr>
      <w:r w:rsidRPr="007861A7">
        <w:rPr>
          <w:rFonts w:ascii="Bookman Old Style" w:hAnsi="Bookman Old Style" w:cs="Arial"/>
          <w:lang w:val="es-CO" w:bidi="es-ES"/>
        </w:rPr>
        <w:t>El resultado de la auditoría de HMV</w:t>
      </w:r>
      <w:r w:rsidR="00021393">
        <w:rPr>
          <w:rFonts w:ascii="Bookman Old Style" w:hAnsi="Bookman Old Style" w:cs="Arial"/>
          <w:lang w:val="es-CO" w:bidi="es-ES"/>
        </w:rPr>
        <w:t xml:space="preserve"> Ingenieros</w:t>
      </w:r>
      <w:r w:rsidRPr="007861A7">
        <w:rPr>
          <w:rFonts w:ascii="Bookman Old Style" w:hAnsi="Bookman Old Style" w:cs="Arial"/>
          <w:lang w:val="es-CO" w:bidi="es-ES"/>
        </w:rPr>
        <w:t xml:space="preserve"> para la</w:t>
      </w:r>
      <w:r w:rsidR="00444E5E">
        <w:rPr>
          <w:rFonts w:ascii="Bookman Old Style" w:hAnsi="Bookman Old Style" w:cs="Arial"/>
          <w:lang w:val="es-CO" w:bidi="es-ES"/>
        </w:rPr>
        <w:t>s</w:t>
      </w:r>
      <w:r w:rsidRPr="007861A7">
        <w:rPr>
          <w:rFonts w:ascii="Bookman Old Style" w:hAnsi="Bookman Old Style" w:cs="Arial"/>
          <w:lang w:val="es-CO" w:bidi="es-ES"/>
        </w:rPr>
        <w:t xml:space="preserve"> serie</w:t>
      </w:r>
      <w:r w:rsidR="00444E5E">
        <w:rPr>
          <w:rFonts w:ascii="Bookman Old Style" w:hAnsi="Bookman Old Style" w:cs="Arial"/>
          <w:lang w:val="es-CO" w:bidi="es-ES"/>
        </w:rPr>
        <w:t>s</w:t>
      </w:r>
      <w:r w:rsidRPr="007861A7">
        <w:rPr>
          <w:rFonts w:ascii="Bookman Old Style" w:hAnsi="Bookman Old Style" w:cs="Arial"/>
          <w:lang w:val="es-CO" w:bidi="es-ES"/>
        </w:rPr>
        <w:t xml:space="preserve"> Miel I, Guarinó y Manso, que son parte de los aportes de la planta Miel I, fue </w:t>
      </w:r>
      <w:r w:rsidR="00B7219A">
        <w:rPr>
          <w:rFonts w:ascii="Bookman Old Style" w:hAnsi="Bookman Old Style" w:cs="Arial"/>
          <w:lang w:val="es-CO" w:bidi="es-ES"/>
        </w:rPr>
        <w:t xml:space="preserve">la existencia de </w:t>
      </w:r>
      <w:r w:rsidRPr="007861A7">
        <w:rPr>
          <w:rFonts w:ascii="Bookman Old Style" w:hAnsi="Bookman Old Style" w:cs="Arial"/>
          <w:lang w:val="es-CO" w:bidi="es-ES"/>
        </w:rPr>
        <w:t>discrepancia.</w:t>
      </w:r>
    </w:p>
    <w:p w14:paraId="6A599BDE" w14:textId="77777777" w:rsidR="00035880" w:rsidRDefault="00035880" w:rsidP="007861A7">
      <w:pPr>
        <w:widowControl w:val="0"/>
        <w:adjustRightInd w:val="0"/>
        <w:ind w:left="0"/>
        <w:jc w:val="both"/>
        <w:textAlignment w:val="baseline"/>
        <w:rPr>
          <w:rFonts w:ascii="Bookman Old Style" w:hAnsi="Bookman Old Style" w:cs="Arial"/>
          <w:lang w:val="es-CO" w:bidi="es-ES"/>
        </w:rPr>
      </w:pPr>
    </w:p>
    <w:p w14:paraId="201FDA3C" w14:textId="5F3EEDFB" w:rsidR="007861A7" w:rsidRDefault="007861A7" w:rsidP="007861A7">
      <w:pPr>
        <w:widowControl w:val="0"/>
        <w:adjustRightInd w:val="0"/>
        <w:ind w:left="0"/>
        <w:jc w:val="both"/>
        <w:textAlignment w:val="baseline"/>
        <w:rPr>
          <w:rFonts w:ascii="Bookman Old Style" w:hAnsi="Bookman Old Style" w:cs="Arial"/>
          <w:lang w:val="es-CO" w:bidi="es-ES"/>
        </w:rPr>
      </w:pPr>
      <w:r w:rsidRPr="007861A7">
        <w:rPr>
          <w:rFonts w:ascii="Bookman Old Style" w:hAnsi="Bookman Old Style" w:cs="Arial"/>
          <w:lang w:val="es-CO" w:bidi="es-ES"/>
        </w:rPr>
        <w:t xml:space="preserve">Teniendo en cuanta lo anterior, la CREG adelantó </w:t>
      </w:r>
      <w:r w:rsidR="00444E5E">
        <w:rPr>
          <w:rFonts w:ascii="Bookman Old Style" w:hAnsi="Bookman Old Style" w:cs="Arial"/>
          <w:lang w:val="es-CO" w:bidi="es-ES"/>
        </w:rPr>
        <w:t xml:space="preserve">el </w:t>
      </w:r>
      <w:r w:rsidRPr="007861A7">
        <w:rPr>
          <w:rFonts w:ascii="Bookman Old Style" w:hAnsi="Bookman Old Style" w:cs="Arial"/>
          <w:lang w:val="es-CO" w:bidi="es-ES"/>
        </w:rPr>
        <w:t>procedimiento administrativo para corroborar o no la discrepancia. Al respecto, la CREG identific</w:t>
      </w:r>
      <w:r w:rsidR="00B7219A">
        <w:rPr>
          <w:rFonts w:ascii="Bookman Old Style" w:hAnsi="Bookman Old Style" w:cs="Arial"/>
          <w:lang w:val="es-CO" w:bidi="es-ES"/>
        </w:rPr>
        <w:t>ó</w:t>
      </w:r>
      <w:r w:rsidRPr="007861A7">
        <w:rPr>
          <w:rFonts w:ascii="Bookman Old Style" w:hAnsi="Bookman Old Style" w:cs="Arial"/>
          <w:lang w:val="es-CO" w:bidi="es-ES"/>
        </w:rPr>
        <w:t xml:space="preserve"> en el procedimiento que el agente no desvirtuó la discrepancia identificada por el auditor para el período 2010-2017 en la serie Guarinó. </w:t>
      </w:r>
    </w:p>
    <w:p w14:paraId="549770AB" w14:textId="77777777" w:rsidR="0016031B" w:rsidRPr="007861A7" w:rsidRDefault="0016031B" w:rsidP="007861A7">
      <w:pPr>
        <w:widowControl w:val="0"/>
        <w:adjustRightInd w:val="0"/>
        <w:ind w:left="0"/>
        <w:jc w:val="both"/>
        <w:textAlignment w:val="baseline"/>
        <w:rPr>
          <w:rFonts w:ascii="Bookman Old Style" w:hAnsi="Bookman Old Style" w:cs="Arial"/>
          <w:lang w:val="es-CO" w:bidi="es-ES"/>
        </w:rPr>
      </w:pPr>
    </w:p>
    <w:p w14:paraId="0103EC6B" w14:textId="07DF2A7A" w:rsidR="007861A7" w:rsidRPr="007861A7" w:rsidRDefault="00444E5E" w:rsidP="007861A7">
      <w:pPr>
        <w:widowControl w:val="0"/>
        <w:adjustRightInd w:val="0"/>
        <w:ind w:left="0"/>
        <w:jc w:val="both"/>
        <w:textAlignment w:val="baseline"/>
        <w:rPr>
          <w:rFonts w:ascii="Bookman Old Style" w:hAnsi="Bookman Old Style" w:cs="Arial"/>
          <w:lang w:val="es-CO" w:bidi="es-ES"/>
        </w:rPr>
      </w:pPr>
      <w:r>
        <w:rPr>
          <w:rFonts w:ascii="Bookman Old Style" w:hAnsi="Bookman Old Style" w:cs="Arial"/>
          <w:lang w:val="es-CO" w:bidi="es-ES"/>
        </w:rPr>
        <w:t xml:space="preserve">Los análisis y </w:t>
      </w:r>
      <w:r w:rsidR="0058080B">
        <w:rPr>
          <w:rFonts w:ascii="Bookman Old Style" w:hAnsi="Bookman Old Style" w:cs="Arial"/>
          <w:lang w:val="es-CO" w:bidi="es-ES"/>
        </w:rPr>
        <w:t>conclusión</w:t>
      </w:r>
      <w:r w:rsidR="007861A7" w:rsidRPr="007861A7">
        <w:rPr>
          <w:rFonts w:ascii="Bookman Old Style" w:hAnsi="Bookman Old Style" w:cs="Arial"/>
          <w:lang w:val="es-CO" w:bidi="es-ES"/>
        </w:rPr>
        <w:t xml:space="preserve"> del procedimiento administrativo </w:t>
      </w:r>
      <w:r w:rsidR="0058080B">
        <w:rPr>
          <w:rFonts w:ascii="Bookman Old Style" w:hAnsi="Bookman Old Style" w:cs="Arial"/>
          <w:lang w:val="es-CO" w:bidi="es-ES"/>
        </w:rPr>
        <w:t>se encuentra</w:t>
      </w:r>
      <w:r>
        <w:rPr>
          <w:rFonts w:ascii="Bookman Old Style" w:hAnsi="Bookman Old Style" w:cs="Arial"/>
          <w:lang w:val="es-CO" w:bidi="es-ES"/>
        </w:rPr>
        <w:t>n</w:t>
      </w:r>
      <w:r w:rsidR="0058080B">
        <w:rPr>
          <w:rFonts w:ascii="Bookman Old Style" w:hAnsi="Bookman Old Style" w:cs="Arial"/>
          <w:lang w:val="es-CO" w:bidi="es-ES"/>
        </w:rPr>
        <w:t xml:space="preserve"> en </w:t>
      </w:r>
      <w:r>
        <w:rPr>
          <w:rFonts w:ascii="Bookman Old Style" w:hAnsi="Bookman Old Style" w:cs="Arial"/>
          <w:lang w:val="es-CO" w:bidi="es-ES"/>
        </w:rPr>
        <w:t xml:space="preserve">la </w:t>
      </w:r>
      <w:r w:rsidR="007861A7" w:rsidRPr="007861A7">
        <w:rPr>
          <w:rFonts w:ascii="Bookman Old Style" w:hAnsi="Bookman Old Style" w:cs="Arial"/>
          <w:lang w:val="es-CO" w:bidi="es-ES"/>
        </w:rPr>
        <w:t>Resolución CREG 501 033 del 5 de abril de 2022 “</w:t>
      </w:r>
      <w:r w:rsidR="007861A7" w:rsidRPr="007861A7">
        <w:rPr>
          <w:rFonts w:ascii="Bookman Old Style" w:hAnsi="Bookman Old Style" w:cs="Arial"/>
          <w:i/>
          <w:iCs/>
          <w:lang w:val="es-CO" w:bidi="es-ES"/>
        </w:rPr>
        <w:t>Por la cual se decide la actuación administrativa iniciada por la presunta existencia de discrepancias en valores reportados por ISAGEN S.A. E.S.P. Planta Miel I. Expediente No. 2021-0037</w:t>
      </w:r>
      <w:r w:rsidR="007861A7" w:rsidRPr="007861A7">
        <w:rPr>
          <w:rFonts w:ascii="Bookman Old Style" w:hAnsi="Bookman Old Style" w:cs="Arial"/>
          <w:lang w:val="es-CO" w:bidi="es-ES"/>
        </w:rPr>
        <w:t>”.</w:t>
      </w:r>
    </w:p>
    <w:p w14:paraId="348B161E" w14:textId="0E917654" w:rsidR="007861A7" w:rsidRPr="007F2D30" w:rsidRDefault="007861A7" w:rsidP="00050AC5">
      <w:pPr>
        <w:widowControl w:val="0"/>
        <w:adjustRightInd w:val="0"/>
        <w:ind w:left="0"/>
        <w:jc w:val="both"/>
        <w:textAlignment w:val="baseline"/>
        <w:rPr>
          <w:rFonts w:ascii="Bookman Old Style" w:hAnsi="Bookman Old Style" w:cs="Arial"/>
        </w:rPr>
      </w:pPr>
    </w:p>
    <w:p w14:paraId="31127F57" w14:textId="4B030194" w:rsidR="000266AB" w:rsidRDefault="00703BFB" w:rsidP="00050AC5">
      <w:pPr>
        <w:widowControl w:val="0"/>
        <w:adjustRightInd w:val="0"/>
        <w:ind w:left="0"/>
        <w:jc w:val="both"/>
        <w:textAlignment w:val="baseline"/>
        <w:rPr>
          <w:rFonts w:ascii="Bookman Old Style" w:hAnsi="Bookman Old Style" w:cs="Arial"/>
          <w:lang w:val="es-CO"/>
        </w:rPr>
      </w:pPr>
      <w:r>
        <w:rPr>
          <w:rFonts w:ascii="Bookman Old Style" w:hAnsi="Bookman Old Style" w:cs="Arial"/>
          <w:lang w:val="es-CO"/>
        </w:rPr>
        <w:t>Con los anteriores antecedentes</w:t>
      </w:r>
      <w:r w:rsidR="00021393">
        <w:rPr>
          <w:rFonts w:ascii="Bookman Old Style" w:hAnsi="Bookman Old Style" w:cs="Arial"/>
          <w:lang w:val="es-CO"/>
        </w:rPr>
        <w:t>,</w:t>
      </w:r>
      <w:r>
        <w:rPr>
          <w:rFonts w:ascii="Bookman Old Style" w:hAnsi="Bookman Old Style" w:cs="Arial"/>
          <w:lang w:val="es-CO"/>
        </w:rPr>
        <w:t xml:space="preserve"> se analizan los argumentos de la recurrente.</w:t>
      </w:r>
    </w:p>
    <w:p w14:paraId="38E2B989" w14:textId="65FBDB9C" w:rsidR="00703BFB" w:rsidRDefault="00703BFB" w:rsidP="00050AC5">
      <w:pPr>
        <w:widowControl w:val="0"/>
        <w:adjustRightInd w:val="0"/>
        <w:ind w:left="0"/>
        <w:jc w:val="both"/>
        <w:textAlignment w:val="baseline"/>
        <w:rPr>
          <w:rFonts w:ascii="Bookman Old Style" w:hAnsi="Bookman Old Style" w:cs="Arial"/>
          <w:lang w:val="es-CO"/>
        </w:rPr>
      </w:pPr>
    </w:p>
    <w:p w14:paraId="3A98DED2" w14:textId="4AB0A51B" w:rsidR="000266AB" w:rsidRPr="007F2D30" w:rsidRDefault="00104D38" w:rsidP="00FB0EBB">
      <w:pPr>
        <w:pStyle w:val="Prrafodelista"/>
        <w:numPr>
          <w:ilvl w:val="0"/>
          <w:numId w:val="13"/>
        </w:numPr>
        <w:ind w:left="567"/>
        <w:jc w:val="both"/>
        <w:rPr>
          <w:rFonts w:ascii="Bookman Old Style" w:hAnsi="Bookman Old Style" w:cs="Arial"/>
        </w:rPr>
      </w:pPr>
      <w:r w:rsidRPr="007F2D30">
        <w:rPr>
          <w:rFonts w:ascii="Bookman Old Style" w:hAnsi="Bookman Old Style" w:cs="Arial"/>
          <w:i/>
        </w:rPr>
        <w:t>NO ES CIERTO que el Acuerdo CNO 1372 de 2020 hubiese implicado cambios en los caudales originalmente declarados por ISAGEN para la serie Guarinó en el periodo comprendido entre noviembre de 2010 a diciembre de 2017 (Circular CREG 027 de 2019), de hecho la ausencia de variación fue confirmada por XM mediante el cálculo de energía firme que la misma CREG le solicitó realizar a efectos de determinar si las discrepancias identificadas por el auditor tenían efecto sobre la energía firme de la planta Miel I</w:t>
      </w:r>
    </w:p>
    <w:p w14:paraId="0B47FE95" w14:textId="77777777" w:rsidR="008C1060" w:rsidRDefault="008C1060" w:rsidP="00050AC5">
      <w:pPr>
        <w:ind w:left="0"/>
        <w:jc w:val="both"/>
        <w:rPr>
          <w:rFonts w:ascii="Bookman Old Style" w:hAnsi="Bookman Old Style" w:cs="Arial"/>
        </w:rPr>
      </w:pPr>
    </w:p>
    <w:p w14:paraId="64BACD4B" w14:textId="40142FE4" w:rsidR="00760AB3" w:rsidRPr="007F2D30" w:rsidRDefault="00760AB3" w:rsidP="007F2D30">
      <w:pPr>
        <w:ind w:left="0"/>
        <w:jc w:val="both"/>
        <w:rPr>
          <w:rFonts w:ascii="Bookman Old Style" w:hAnsi="Bookman Old Style"/>
        </w:rPr>
      </w:pPr>
      <w:r w:rsidRPr="007F2D30">
        <w:rPr>
          <w:rFonts w:ascii="Bookman Old Style" w:hAnsi="Bookman Old Style"/>
        </w:rPr>
        <w:t>En la Resolución CREG 501 033 de 2022 no se hace la afirmación que señala la empresa</w:t>
      </w:r>
      <w:r w:rsidR="00021393">
        <w:rPr>
          <w:rFonts w:ascii="Bookman Old Style" w:hAnsi="Bookman Old Style"/>
        </w:rPr>
        <w:t>. L</w:t>
      </w:r>
      <w:r w:rsidRPr="007F2D30">
        <w:rPr>
          <w:rFonts w:ascii="Bookman Old Style" w:hAnsi="Bookman Old Style"/>
        </w:rPr>
        <w:t xml:space="preserve">o que se señala en </w:t>
      </w:r>
      <w:r w:rsidR="000441B2">
        <w:rPr>
          <w:rFonts w:ascii="Bookman Old Style" w:hAnsi="Bookman Old Style"/>
        </w:rPr>
        <w:t xml:space="preserve">el acto administrativo recurrido </w:t>
      </w:r>
      <w:r w:rsidRPr="007F2D30">
        <w:rPr>
          <w:rFonts w:ascii="Bookman Old Style" w:hAnsi="Bookman Old Style"/>
        </w:rPr>
        <w:t>es que el Acuerdo CNO 1372 no se podía tener en cuenta</w:t>
      </w:r>
      <w:r w:rsidR="00021393">
        <w:rPr>
          <w:rFonts w:ascii="Bookman Old Style" w:hAnsi="Bookman Old Style"/>
        </w:rPr>
        <w:t>,</w:t>
      </w:r>
      <w:r w:rsidRPr="007F2D30">
        <w:rPr>
          <w:rFonts w:ascii="Bookman Old Style" w:hAnsi="Bookman Old Style"/>
        </w:rPr>
        <w:t xml:space="preserve"> porque es de una fecha posterior a la declaración de las series y al informe de auditoría. Eso es así, porque el Acuerdo CNO 1372 es del 27 de noviembre de 2020</w:t>
      </w:r>
      <w:r w:rsidR="00021393">
        <w:rPr>
          <w:rFonts w:ascii="Bookman Old Style" w:hAnsi="Bookman Old Style"/>
        </w:rPr>
        <w:t>,</w:t>
      </w:r>
      <w:r w:rsidRPr="007F2D30">
        <w:rPr>
          <w:rFonts w:ascii="Bookman Old Style" w:hAnsi="Bookman Old Style"/>
        </w:rPr>
        <w:t xml:space="preserve"> y la declaración de parámetros, que incluye la serie Guarinó, fue del 25 de enero de 2019. Por eso solamente se consideró </w:t>
      </w:r>
      <w:r w:rsidR="00444E5E">
        <w:rPr>
          <w:rFonts w:ascii="Bookman Old Style" w:hAnsi="Bookman Old Style"/>
        </w:rPr>
        <w:t>de manera</w:t>
      </w:r>
      <w:r w:rsidRPr="007F2D30">
        <w:rPr>
          <w:rFonts w:ascii="Bookman Old Style" w:hAnsi="Bookman Old Style"/>
        </w:rPr>
        <w:t xml:space="preserve"> referencial.</w:t>
      </w:r>
    </w:p>
    <w:p w14:paraId="3F30E006" w14:textId="77777777" w:rsidR="008C1060" w:rsidRDefault="008C1060" w:rsidP="00050AC5">
      <w:pPr>
        <w:ind w:left="0"/>
        <w:jc w:val="both"/>
        <w:rPr>
          <w:rFonts w:ascii="Bookman Old Style" w:hAnsi="Bookman Old Style" w:cs="Arial"/>
        </w:rPr>
      </w:pPr>
    </w:p>
    <w:p w14:paraId="004894A4" w14:textId="77777777" w:rsidR="00F67B09" w:rsidRPr="007F2D30" w:rsidRDefault="00F67B09" w:rsidP="00FB0EBB">
      <w:pPr>
        <w:pStyle w:val="Prrafodelista"/>
        <w:numPr>
          <w:ilvl w:val="0"/>
          <w:numId w:val="13"/>
        </w:numPr>
        <w:ind w:left="567"/>
        <w:jc w:val="both"/>
        <w:rPr>
          <w:rFonts w:ascii="Bookman Old Style" w:hAnsi="Bookman Old Style" w:cs="Arial"/>
          <w:i/>
        </w:rPr>
      </w:pPr>
      <w:r w:rsidRPr="007F2D30">
        <w:rPr>
          <w:rFonts w:ascii="Bookman Old Style" w:hAnsi="Bookman Old Style" w:cs="Arial"/>
          <w:i/>
        </w:rPr>
        <w:t>Pues bien, como ha sido explicado, para el período noviembre de 2010 a diciembre de 2017, la serie Guarinó se obtiene a partir de registros directos en Sitio de Desvío; sin embargo, el auditor encontró que este procedimiento no estaba indicado en las actas donde fue presentada la metodología de la serie al SH&amp;PH y por tal razón no podía considerarlo para la evaluación de ésta. Es preciso y relevante a este caso aclarar que, ISAGEN hizo referencia a estos registros en las reuniones del SH&amp;PH, sin embargo, esta metodología no quedó explícita en las actas, sin que esto signifique que tal metodología no existía, pues en efecto, ISAGEN dispone de los registros en Sitio de Desvío que soportan la serie Guarinó declarada y dicha información fue remitida oportunamente al auditor antes de la entrega de su informe final.</w:t>
      </w:r>
    </w:p>
    <w:p w14:paraId="7B7B1564" w14:textId="77777777" w:rsidR="00F67B09" w:rsidRDefault="00F67B09" w:rsidP="00FB0EBB">
      <w:pPr>
        <w:ind w:left="0"/>
        <w:jc w:val="both"/>
        <w:rPr>
          <w:rFonts w:ascii="Bookman Old Style" w:hAnsi="Bookman Old Style" w:cs="Arial"/>
          <w:i/>
        </w:rPr>
      </w:pPr>
    </w:p>
    <w:p w14:paraId="3BF097EA" w14:textId="77777777" w:rsidR="00F67B09" w:rsidRPr="007F2D30" w:rsidRDefault="00F67B09" w:rsidP="00FB0EBB">
      <w:pPr>
        <w:pStyle w:val="Prrafodelista"/>
        <w:numPr>
          <w:ilvl w:val="0"/>
          <w:numId w:val="13"/>
        </w:numPr>
        <w:ind w:left="567"/>
        <w:jc w:val="both"/>
        <w:rPr>
          <w:rFonts w:ascii="Bookman Old Style" w:hAnsi="Bookman Old Style" w:cs="Arial"/>
          <w:i/>
        </w:rPr>
      </w:pPr>
      <w:r w:rsidRPr="007F2D30">
        <w:rPr>
          <w:rFonts w:ascii="Bookman Old Style" w:hAnsi="Bookman Old Style" w:cs="Arial"/>
          <w:i/>
        </w:rPr>
        <w:t>Identificado lo anterior, fue así como ISAGEN presentó esta situación en las reuniones 421, 422 y 423 del SURER del 19, 23 y 24 de noviembre del 2020, con el fin de que todo el detalle de la metodología que aplica para cada período de la Serie Guarinó quedará de forma expresa, sin que esto representará ajustes a la fórmula aplicada a efectos de calcular los caudales declarados en 2019 para la serie Guarinó.</w:t>
      </w:r>
    </w:p>
    <w:p w14:paraId="776DB57B" w14:textId="39511720" w:rsidR="008C1060" w:rsidRDefault="008C1060" w:rsidP="00050AC5">
      <w:pPr>
        <w:ind w:left="0"/>
        <w:jc w:val="both"/>
        <w:rPr>
          <w:rFonts w:ascii="Bookman Old Style" w:hAnsi="Bookman Old Style" w:cs="Arial"/>
        </w:rPr>
      </w:pPr>
    </w:p>
    <w:p w14:paraId="23460CBA" w14:textId="47D0611A" w:rsidR="00A17826" w:rsidRPr="00C1604B" w:rsidRDefault="00A17826" w:rsidP="00A17826">
      <w:pPr>
        <w:ind w:left="0"/>
        <w:jc w:val="both"/>
        <w:rPr>
          <w:rFonts w:ascii="Bookman Old Style" w:hAnsi="Bookman Old Style"/>
        </w:rPr>
      </w:pPr>
      <w:r w:rsidRPr="00C1604B">
        <w:rPr>
          <w:rStyle w:val="fontstyle01"/>
          <w:rFonts w:ascii="Bookman Old Style" w:hAnsi="Bookman Old Style"/>
          <w:sz w:val="24"/>
          <w:szCs w:val="24"/>
        </w:rPr>
        <w:t>De acuerdo con el</w:t>
      </w:r>
      <w:r w:rsidR="00C134CB">
        <w:rPr>
          <w:rStyle w:val="fontstyle01"/>
          <w:rFonts w:ascii="Bookman Old Style" w:hAnsi="Bookman Old Style"/>
          <w:sz w:val="24"/>
          <w:szCs w:val="24"/>
        </w:rPr>
        <w:t xml:space="preserve"> informe del</w:t>
      </w:r>
      <w:r w:rsidRPr="00C1604B">
        <w:rPr>
          <w:rStyle w:val="fontstyle01"/>
          <w:rFonts w:ascii="Bookman Old Style" w:hAnsi="Bookman Old Style"/>
          <w:sz w:val="24"/>
          <w:szCs w:val="24"/>
        </w:rPr>
        <w:t xml:space="preserve"> auditor (3281-15-QS-RP-044-1_Serie_Caudales-Guarino.pdf) en las actas del CNO vigentes para la época de la declaración de los parámetros, se identifica que la metodología para la serie Guarinó es a partir del modelo de tanques, y no identifica que sea a partir de registros directos en Sitio de Desvío. Caso que</w:t>
      </w:r>
      <w:r w:rsidR="00021393">
        <w:rPr>
          <w:rStyle w:val="fontstyle01"/>
          <w:rFonts w:ascii="Bookman Old Style" w:hAnsi="Bookman Old Style"/>
          <w:sz w:val="24"/>
          <w:szCs w:val="24"/>
        </w:rPr>
        <w:t>,</w:t>
      </w:r>
      <w:r w:rsidRPr="00C1604B">
        <w:rPr>
          <w:rStyle w:val="fontstyle01"/>
          <w:rFonts w:ascii="Bookman Old Style" w:hAnsi="Bookman Old Style"/>
          <w:sz w:val="24"/>
          <w:szCs w:val="24"/>
        </w:rPr>
        <w:t xml:space="preserve"> según reconoce ISAGEN</w:t>
      </w:r>
      <w:r w:rsidR="00021393">
        <w:rPr>
          <w:rStyle w:val="fontstyle01"/>
          <w:rFonts w:ascii="Bookman Old Style" w:hAnsi="Bookman Old Style"/>
          <w:sz w:val="24"/>
          <w:szCs w:val="24"/>
        </w:rPr>
        <w:t xml:space="preserve"> S.A. E.S.P.,</w:t>
      </w:r>
      <w:r w:rsidRPr="00C1604B">
        <w:rPr>
          <w:rStyle w:val="fontstyle01"/>
          <w:rFonts w:ascii="Bookman Old Style" w:hAnsi="Bookman Old Style"/>
          <w:sz w:val="24"/>
          <w:szCs w:val="24"/>
        </w:rPr>
        <w:t xml:space="preserve"> no estaba explícito, </w:t>
      </w:r>
      <w:r w:rsidR="000C5B5D">
        <w:rPr>
          <w:rStyle w:val="fontstyle01"/>
          <w:rFonts w:ascii="Bookman Old Style" w:hAnsi="Bookman Old Style"/>
          <w:sz w:val="24"/>
          <w:szCs w:val="24"/>
        </w:rPr>
        <w:t>situación</w:t>
      </w:r>
      <w:r w:rsidR="000C5B5D" w:rsidRPr="00C1604B">
        <w:rPr>
          <w:rStyle w:val="fontstyle01"/>
          <w:rFonts w:ascii="Bookman Old Style" w:hAnsi="Bookman Old Style"/>
          <w:sz w:val="24"/>
          <w:szCs w:val="24"/>
        </w:rPr>
        <w:t xml:space="preserve"> </w:t>
      </w:r>
      <w:r w:rsidRPr="00C1604B">
        <w:rPr>
          <w:rStyle w:val="fontstyle01"/>
          <w:rFonts w:ascii="Bookman Old Style" w:hAnsi="Bookman Old Style"/>
          <w:sz w:val="24"/>
          <w:szCs w:val="24"/>
        </w:rPr>
        <w:t>que aclaró a partir de las reuniones del SURER de noviembre de 2020</w:t>
      </w:r>
      <w:r w:rsidR="00021393">
        <w:rPr>
          <w:rStyle w:val="fontstyle01"/>
          <w:rFonts w:ascii="Bookman Old Style" w:hAnsi="Bookman Old Style"/>
          <w:sz w:val="24"/>
          <w:szCs w:val="24"/>
        </w:rPr>
        <w:t>, f</w:t>
      </w:r>
      <w:r w:rsidRPr="00C1604B">
        <w:rPr>
          <w:rStyle w:val="fontstyle01"/>
          <w:rFonts w:ascii="Bookman Old Style" w:hAnsi="Bookman Old Style"/>
          <w:sz w:val="24"/>
          <w:szCs w:val="24"/>
        </w:rPr>
        <w:t xml:space="preserve">echa </w:t>
      </w:r>
      <w:r w:rsidR="00444E5E">
        <w:rPr>
          <w:rStyle w:val="fontstyle01"/>
          <w:rFonts w:ascii="Bookman Old Style" w:hAnsi="Bookman Old Style"/>
          <w:sz w:val="24"/>
          <w:szCs w:val="24"/>
        </w:rPr>
        <w:t xml:space="preserve">esta </w:t>
      </w:r>
      <w:r w:rsidRPr="00C1604B">
        <w:rPr>
          <w:rStyle w:val="fontstyle01"/>
          <w:rFonts w:ascii="Bookman Old Style" w:hAnsi="Bookman Old Style"/>
          <w:sz w:val="24"/>
          <w:szCs w:val="24"/>
        </w:rPr>
        <w:t>que es posterior a la declaración de parámetros, 25 de enero de 2019.</w:t>
      </w:r>
      <w:r w:rsidRPr="00C1604B">
        <w:rPr>
          <w:rFonts w:ascii="Bookman Old Style" w:hAnsi="Bookman Old Style"/>
        </w:rPr>
        <w:t xml:space="preserve"> </w:t>
      </w:r>
    </w:p>
    <w:p w14:paraId="1C417BB0" w14:textId="38D30CED" w:rsidR="00F01962" w:rsidRDefault="00F01962" w:rsidP="00A17826">
      <w:pPr>
        <w:ind w:left="0"/>
        <w:jc w:val="both"/>
      </w:pPr>
    </w:p>
    <w:p w14:paraId="13A3A7A8" w14:textId="3A0D8B0A" w:rsidR="00F01962" w:rsidRDefault="00F01962" w:rsidP="00FB0EBB">
      <w:pPr>
        <w:pStyle w:val="Prrafodelista"/>
        <w:numPr>
          <w:ilvl w:val="0"/>
          <w:numId w:val="13"/>
        </w:numPr>
        <w:ind w:left="567"/>
        <w:jc w:val="both"/>
      </w:pPr>
      <w:r w:rsidRPr="007F2D30">
        <w:rPr>
          <w:rFonts w:ascii="Bookman Old Style" w:hAnsi="Bookman Old Style" w:cs="Arial"/>
          <w:i/>
        </w:rPr>
        <w:t>El Acuerdo CNO 1372 no implicó cambios en los caudales originalmente declarados por ISAGEN para la serie Guarinó, en el periodo comprendido entre noviembre de 2010 a diciembre de 2017, los ajustes que se evidencian en el anexo del acuerdo para los meses de febrero y marzo de 2016 obedecieron a redondeo de cifras sin que esto genere modificación en los caudales originalmente declarados, es decir, que para el cálculo de la ENFICC realizado por XM en cumplimiento de lo ordenado por la CREG, fueron usados los caudales originalmente declarados en dicho periodo, contenidos en la Circular CREG 027 de 2019, lo que confirma aún más la inexistencia de modificaciones en la metodología y los resultados, contrario a lo que afirma la CREG</w:t>
      </w:r>
      <w:r w:rsidR="00E32FDD">
        <w:rPr>
          <w:rFonts w:ascii="Bookman Old Style" w:hAnsi="Bookman Old Style" w:cs="Arial"/>
          <w:i/>
        </w:rPr>
        <w:t>.</w:t>
      </w:r>
    </w:p>
    <w:p w14:paraId="24DD60A0" w14:textId="77777777" w:rsidR="001150D6" w:rsidRDefault="001150D6" w:rsidP="00050AC5">
      <w:pPr>
        <w:ind w:left="0"/>
        <w:jc w:val="both"/>
        <w:rPr>
          <w:rStyle w:val="fontstyle01"/>
        </w:rPr>
      </w:pPr>
    </w:p>
    <w:p w14:paraId="76F1069B" w14:textId="1080148C" w:rsidR="00F924AA" w:rsidRDefault="001150D6" w:rsidP="00050AC5">
      <w:pPr>
        <w:ind w:left="0"/>
        <w:jc w:val="both"/>
        <w:rPr>
          <w:rStyle w:val="fontstyle01"/>
          <w:rFonts w:ascii="Bookman Old Style" w:hAnsi="Bookman Old Style"/>
          <w:sz w:val="24"/>
          <w:szCs w:val="24"/>
        </w:rPr>
      </w:pPr>
      <w:r w:rsidRPr="007F2D30">
        <w:rPr>
          <w:rStyle w:val="fontstyle01"/>
          <w:rFonts w:ascii="Bookman Old Style" w:hAnsi="Bookman Old Style"/>
          <w:sz w:val="24"/>
          <w:szCs w:val="24"/>
        </w:rPr>
        <w:t>Se reitera que el Acuerdo CNO 1372 de noviembre de 2020 es posterior a la declaración de parámetros que fueron en enero de 2019. Por esa razón, no se puede considerar</w:t>
      </w:r>
      <w:r w:rsidR="00142638">
        <w:rPr>
          <w:rStyle w:val="fontstyle01"/>
          <w:rFonts w:ascii="Bookman Old Style" w:hAnsi="Bookman Old Style"/>
          <w:sz w:val="24"/>
          <w:szCs w:val="24"/>
        </w:rPr>
        <w:t>.</w:t>
      </w:r>
    </w:p>
    <w:p w14:paraId="1CA0F303" w14:textId="077A7E59" w:rsidR="00142638" w:rsidRDefault="00142638" w:rsidP="00050AC5">
      <w:pPr>
        <w:ind w:left="0"/>
        <w:jc w:val="both"/>
        <w:rPr>
          <w:rStyle w:val="fontstyle01"/>
          <w:rFonts w:ascii="Bookman Old Style" w:hAnsi="Bookman Old Style"/>
          <w:sz w:val="24"/>
          <w:szCs w:val="24"/>
        </w:rPr>
      </w:pPr>
    </w:p>
    <w:p w14:paraId="014DC420" w14:textId="49B160B2" w:rsidR="00142638" w:rsidRPr="007F2D30" w:rsidRDefault="00142638" w:rsidP="00050AC5">
      <w:pPr>
        <w:ind w:left="0"/>
        <w:jc w:val="both"/>
        <w:rPr>
          <w:rStyle w:val="fontstyle01"/>
          <w:rFonts w:ascii="Bookman Old Style" w:hAnsi="Bookman Old Style"/>
          <w:i/>
          <w:iCs/>
          <w:sz w:val="24"/>
          <w:szCs w:val="24"/>
        </w:rPr>
      </w:pPr>
      <w:r w:rsidRPr="00E61EB9">
        <w:rPr>
          <w:rStyle w:val="fontstyle01"/>
          <w:rFonts w:ascii="Bookman Old Style" w:hAnsi="Bookman Old Style"/>
          <w:sz w:val="24"/>
          <w:szCs w:val="24"/>
        </w:rPr>
        <w:t>Finalmente, con relación al informe técnico aportado elaborado por la firma</w:t>
      </w:r>
      <w:r w:rsidR="00431A4F" w:rsidRPr="00E61EB9">
        <w:rPr>
          <w:rStyle w:val="fontstyle01"/>
          <w:rFonts w:ascii="Bookman Old Style" w:hAnsi="Bookman Old Style"/>
          <w:sz w:val="24"/>
          <w:szCs w:val="24"/>
        </w:rPr>
        <w:t xml:space="preserve"> </w:t>
      </w:r>
      <w:r w:rsidR="00431A4F" w:rsidRPr="007F2D30">
        <w:rPr>
          <w:rFonts w:ascii="Bookman Old Style" w:hAnsi="Bookman Old Style" w:cs="Tahoma"/>
          <w:color w:val="000000"/>
        </w:rPr>
        <w:t>sociedad IEB – Ingeniería especializada</w:t>
      </w:r>
      <w:r w:rsidR="001C1EFF" w:rsidRPr="00E61EB9">
        <w:rPr>
          <w:rFonts w:ascii="Bookman Old Style" w:hAnsi="Bookman Old Style" w:cs="Tahoma"/>
          <w:color w:val="000000"/>
        </w:rPr>
        <w:t xml:space="preserve">, </w:t>
      </w:r>
      <w:r w:rsidR="001C1EFF" w:rsidRPr="007F2D30">
        <w:rPr>
          <w:rStyle w:val="fontstyle01"/>
          <w:rFonts w:ascii="Bookman Old Style" w:hAnsi="Bookman Old Style"/>
          <w:sz w:val="24"/>
          <w:szCs w:val="24"/>
        </w:rPr>
        <w:t>para ISAGEN</w:t>
      </w:r>
      <w:r w:rsidR="001E6FDB">
        <w:rPr>
          <w:rStyle w:val="fontstyle01"/>
          <w:rFonts w:ascii="Bookman Old Style" w:hAnsi="Bookman Old Style"/>
          <w:sz w:val="24"/>
          <w:szCs w:val="24"/>
        </w:rPr>
        <w:t xml:space="preserve"> S.A. E.S.P.</w:t>
      </w:r>
      <w:r w:rsidR="001C1EFF" w:rsidRPr="007F2D30">
        <w:rPr>
          <w:rStyle w:val="fontstyle01"/>
          <w:rFonts w:ascii="Bookman Old Style" w:hAnsi="Bookman Old Style"/>
          <w:sz w:val="24"/>
          <w:szCs w:val="24"/>
        </w:rPr>
        <w:t xml:space="preserve"> “Verificación del parámetro serie histórica de caudales medios mensuales de los ríos del SIN Guarinó Miel I, periodo noviembre 2010 – diciembre 2017”, señala en el numeral 4.1 como documentación del CNO “</w:t>
      </w:r>
      <w:r w:rsidR="001C1EFF" w:rsidRPr="007F2D30">
        <w:rPr>
          <w:rStyle w:val="fontstyle01"/>
          <w:rFonts w:ascii="Bookman Old Style" w:hAnsi="Bookman Old Style"/>
          <w:i/>
          <w:iCs/>
          <w:sz w:val="24"/>
          <w:szCs w:val="24"/>
        </w:rPr>
        <w:t>Mediante correo electrónico del 24 de mayo de 2022 (Anexo 1) se recibió por parte del CNO actas 421, 422 y 423 del 19, 23 y 24 de noviembre de 2020 y 448 del 22 de noviembre de 2021 (fe de erratas al acta 422 de 2020) en las cuales ISAGEN ratificó</w:t>
      </w:r>
      <w:r w:rsidR="0004253A">
        <w:rPr>
          <w:rStyle w:val="fontstyle01"/>
          <w:rFonts w:ascii="Bookman Old Style" w:hAnsi="Bookman Old Style"/>
          <w:i/>
          <w:iCs/>
          <w:sz w:val="24"/>
          <w:szCs w:val="24"/>
        </w:rPr>
        <w:t xml:space="preserve"> </w:t>
      </w:r>
      <w:r w:rsidR="001C1EFF" w:rsidRPr="007F2D30">
        <w:rPr>
          <w:rStyle w:val="fontstyle01"/>
          <w:rFonts w:ascii="Bookman Old Style" w:hAnsi="Bookman Old Style"/>
          <w:i/>
          <w:iCs/>
          <w:sz w:val="24"/>
          <w:szCs w:val="24"/>
        </w:rPr>
        <w:t>la</w:t>
      </w:r>
      <w:r w:rsidR="0004253A">
        <w:rPr>
          <w:rStyle w:val="fontstyle01"/>
          <w:rFonts w:ascii="Bookman Old Style" w:hAnsi="Bookman Old Style"/>
          <w:i/>
          <w:iCs/>
          <w:sz w:val="24"/>
          <w:szCs w:val="24"/>
        </w:rPr>
        <w:t xml:space="preserve"> </w:t>
      </w:r>
      <w:r w:rsidR="001C1EFF" w:rsidRPr="007F2D30">
        <w:rPr>
          <w:rStyle w:val="fontstyle01"/>
          <w:rFonts w:ascii="Bookman Old Style" w:hAnsi="Bookman Old Style"/>
          <w:i/>
          <w:iCs/>
          <w:sz w:val="24"/>
          <w:szCs w:val="24"/>
        </w:rPr>
        <w:t>metodología</w:t>
      </w:r>
      <w:r w:rsidR="0004253A">
        <w:rPr>
          <w:rStyle w:val="fontstyle01"/>
          <w:rFonts w:ascii="Bookman Old Style" w:hAnsi="Bookman Old Style"/>
          <w:i/>
          <w:iCs/>
          <w:sz w:val="24"/>
          <w:szCs w:val="24"/>
        </w:rPr>
        <w:t xml:space="preserve"> </w:t>
      </w:r>
      <w:r w:rsidR="001C1EFF" w:rsidRPr="007F2D30">
        <w:rPr>
          <w:rStyle w:val="fontstyle01"/>
          <w:rFonts w:ascii="Bookman Old Style" w:hAnsi="Bookman Old Style"/>
          <w:i/>
          <w:iCs/>
          <w:sz w:val="24"/>
          <w:szCs w:val="24"/>
        </w:rPr>
        <w:t>de</w:t>
      </w:r>
      <w:r w:rsidR="0004253A">
        <w:rPr>
          <w:rStyle w:val="fontstyle01"/>
          <w:rFonts w:ascii="Bookman Old Style" w:hAnsi="Bookman Old Style"/>
          <w:i/>
          <w:iCs/>
          <w:sz w:val="24"/>
          <w:szCs w:val="24"/>
        </w:rPr>
        <w:t xml:space="preserve"> </w:t>
      </w:r>
      <w:r w:rsidR="001C1EFF" w:rsidRPr="007F2D30">
        <w:rPr>
          <w:rStyle w:val="fontstyle01"/>
          <w:rFonts w:ascii="Bookman Old Style" w:hAnsi="Bookman Old Style"/>
          <w:i/>
          <w:iCs/>
          <w:sz w:val="24"/>
          <w:szCs w:val="24"/>
        </w:rPr>
        <w:t>cálculo de la Serie Guarinó para el período Nov 2010 - Dic 2017. Adicionalmente</w:t>
      </w:r>
      <w:r w:rsidR="00FC7417">
        <w:rPr>
          <w:rStyle w:val="fontstyle01"/>
          <w:rFonts w:ascii="Bookman Old Style" w:hAnsi="Bookman Old Style"/>
          <w:i/>
          <w:iCs/>
          <w:sz w:val="24"/>
          <w:szCs w:val="24"/>
        </w:rPr>
        <w:t xml:space="preserve"> </w:t>
      </w:r>
      <w:r w:rsidR="001C1EFF" w:rsidRPr="007F2D30">
        <w:rPr>
          <w:rStyle w:val="fontstyle01"/>
          <w:rFonts w:ascii="Bookman Old Style" w:hAnsi="Bookman Old Style"/>
          <w:i/>
          <w:iCs/>
          <w:sz w:val="24"/>
          <w:szCs w:val="24"/>
        </w:rPr>
        <w:t>ISAGE</w:t>
      </w:r>
      <w:r w:rsidR="00E9461F" w:rsidRPr="007F2D30">
        <w:rPr>
          <w:rStyle w:val="fontstyle01"/>
          <w:rFonts w:ascii="Bookman Old Style" w:hAnsi="Bookman Old Style"/>
          <w:i/>
          <w:iCs/>
          <w:sz w:val="24"/>
          <w:szCs w:val="24"/>
        </w:rPr>
        <w:t xml:space="preserve">N </w:t>
      </w:r>
      <w:r w:rsidR="001C1EFF" w:rsidRPr="007F2D30">
        <w:rPr>
          <w:rStyle w:val="fontstyle01"/>
          <w:rFonts w:ascii="Bookman Old Style" w:hAnsi="Bookman Old Style"/>
          <w:i/>
          <w:iCs/>
          <w:sz w:val="24"/>
          <w:szCs w:val="24"/>
        </w:rPr>
        <w:t>compartió otra información que se relaciona más adelante</w:t>
      </w:r>
      <w:r w:rsidR="00E61EB9" w:rsidRPr="007F2D30">
        <w:rPr>
          <w:rStyle w:val="fontstyle01"/>
          <w:rFonts w:ascii="Bookman Old Style" w:hAnsi="Bookman Old Style"/>
          <w:i/>
          <w:iCs/>
          <w:sz w:val="24"/>
          <w:szCs w:val="24"/>
        </w:rPr>
        <w:t>.</w:t>
      </w:r>
    </w:p>
    <w:p w14:paraId="014A3537" w14:textId="72B9709F" w:rsidR="00E61EB9" w:rsidRDefault="00E61EB9" w:rsidP="00050AC5">
      <w:pPr>
        <w:ind w:left="0"/>
        <w:jc w:val="both"/>
        <w:rPr>
          <w:rStyle w:val="fontstyle01"/>
          <w:i/>
          <w:iCs/>
        </w:rPr>
      </w:pPr>
    </w:p>
    <w:p w14:paraId="5D1F935F" w14:textId="6EFCA4A1" w:rsidR="00FF15AD" w:rsidRPr="007F2D30" w:rsidRDefault="00FC7417" w:rsidP="00FF15AD">
      <w:pPr>
        <w:ind w:left="0"/>
        <w:jc w:val="both"/>
        <w:rPr>
          <w:rFonts w:ascii="Bookman Old Style" w:hAnsi="Bookman Old Style" w:cs="Tahoma"/>
          <w:color w:val="000000"/>
        </w:rPr>
      </w:pPr>
      <w:r w:rsidRPr="007F2D30">
        <w:rPr>
          <w:rStyle w:val="fontstyle01"/>
          <w:rFonts w:ascii="Bookman Old Style" w:hAnsi="Bookman Old Style"/>
          <w:sz w:val="24"/>
          <w:szCs w:val="24"/>
        </w:rPr>
        <w:t xml:space="preserve">La </w:t>
      </w:r>
      <w:r w:rsidR="005B0264" w:rsidRPr="007F2D30">
        <w:rPr>
          <w:rStyle w:val="fontstyle01"/>
          <w:rFonts w:ascii="Bookman Old Style" w:hAnsi="Bookman Old Style"/>
          <w:sz w:val="24"/>
          <w:szCs w:val="24"/>
        </w:rPr>
        <w:t xml:space="preserve">Comisión </w:t>
      </w:r>
      <w:r w:rsidR="00080131">
        <w:rPr>
          <w:rStyle w:val="fontstyle01"/>
          <w:rFonts w:ascii="Bookman Old Style" w:hAnsi="Bookman Old Style"/>
          <w:sz w:val="24"/>
          <w:szCs w:val="24"/>
        </w:rPr>
        <w:t>encontró</w:t>
      </w:r>
      <w:r w:rsidR="005B0264" w:rsidRPr="007F2D30">
        <w:rPr>
          <w:rStyle w:val="fontstyle01"/>
          <w:rFonts w:ascii="Bookman Old Style" w:hAnsi="Bookman Old Style"/>
          <w:sz w:val="24"/>
          <w:szCs w:val="24"/>
        </w:rPr>
        <w:t xml:space="preserve"> que</w:t>
      </w:r>
      <w:r w:rsidR="00080131">
        <w:rPr>
          <w:rStyle w:val="fontstyle01"/>
          <w:rFonts w:ascii="Bookman Old Style" w:hAnsi="Bookman Old Style"/>
          <w:sz w:val="24"/>
          <w:szCs w:val="24"/>
        </w:rPr>
        <w:t>,</w:t>
      </w:r>
      <w:r w:rsidR="00FF15AD" w:rsidRPr="007F2D30">
        <w:rPr>
          <w:rStyle w:val="fontstyle01"/>
          <w:rFonts w:ascii="Bookman Old Style" w:hAnsi="Bookman Old Style"/>
          <w:sz w:val="24"/>
          <w:szCs w:val="24"/>
        </w:rPr>
        <w:t xml:space="preserve"> </w:t>
      </w:r>
      <w:r w:rsidR="007D6707" w:rsidRPr="007F2D30">
        <w:rPr>
          <w:rStyle w:val="fontstyle01"/>
          <w:rFonts w:ascii="Bookman Old Style" w:hAnsi="Bookman Old Style"/>
          <w:sz w:val="24"/>
          <w:szCs w:val="24"/>
        </w:rPr>
        <w:t xml:space="preserve">teniendo en cuenta </w:t>
      </w:r>
      <w:r w:rsidR="00FF15AD" w:rsidRPr="007F2D30">
        <w:rPr>
          <w:rFonts w:ascii="Bookman Old Style" w:hAnsi="Bookman Old Style" w:cs="Tahoma"/>
          <w:color w:val="000000"/>
        </w:rPr>
        <w:t>que el</w:t>
      </w:r>
      <w:r w:rsidR="00080131">
        <w:rPr>
          <w:rFonts w:ascii="Bookman Old Style" w:hAnsi="Bookman Old Style" w:cs="Tahoma"/>
          <w:color w:val="000000"/>
        </w:rPr>
        <w:t xml:space="preserve"> anterior</w:t>
      </w:r>
      <w:r w:rsidR="00FF15AD" w:rsidRPr="007F2D30">
        <w:rPr>
          <w:rFonts w:ascii="Bookman Old Style" w:hAnsi="Bookman Old Style" w:cs="Tahoma"/>
          <w:color w:val="000000"/>
        </w:rPr>
        <w:t xml:space="preserve"> informe </w:t>
      </w:r>
      <w:r w:rsidR="00457D77">
        <w:rPr>
          <w:rFonts w:ascii="Bookman Old Style" w:hAnsi="Bookman Old Style" w:cs="Tahoma"/>
          <w:color w:val="000000"/>
        </w:rPr>
        <w:t>técnico</w:t>
      </w:r>
      <w:r w:rsidR="00FF15AD" w:rsidRPr="007F2D30">
        <w:rPr>
          <w:rFonts w:ascii="Bookman Old Style" w:hAnsi="Bookman Old Style" w:cs="Tahoma"/>
          <w:color w:val="000000"/>
        </w:rPr>
        <w:t xml:space="preserve"> </w:t>
      </w:r>
      <w:r w:rsidR="00080131">
        <w:rPr>
          <w:rFonts w:ascii="Bookman Old Style" w:hAnsi="Bookman Old Style" w:cs="Tahoma"/>
          <w:color w:val="000000"/>
        </w:rPr>
        <w:t>toma</w:t>
      </w:r>
      <w:r w:rsidR="00FF15AD" w:rsidRPr="007F2D30">
        <w:rPr>
          <w:rFonts w:ascii="Bookman Old Style" w:hAnsi="Bookman Old Style" w:cs="Tahoma"/>
          <w:color w:val="000000"/>
        </w:rPr>
        <w:t xml:space="preserve"> como información de referencia actas de noviembre de 2020 y noviembre de 2021, que son fechas posteriores a la declaración de parámetros que se adelantó en enero de 2019</w:t>
      </w:r>
      <w:r w:rsidR="00080131">
        <w:rPr>
          <w:rFonts w:ascii="Bookman Old Style" w:hAnsi="Bookman Old Style" w:cs="Tahoma"/>
          <w:color w:val="000000"/>
        </w:rPr>
        <w:t>,</w:t>
      </w:r>
      <w:r w:rsidR="00FF15AD" w:rsidRPr="007F2D30">
        <w:rPr>
          <w:rFonts w:ascii="Bookman Old Style" w:hAnsi="Bookman Old Style" w:cs="Tahoma"/>
          <w:color w:val="000000"/>
        </w:rPr>
        <w:t xml:space="preserve"> </w:t>
      </w:r>
      <w:r w:rsidR="00080131">
        <w:rPr>
          <w:rFonts w:ascii="Bookman Old Style" w:hAnsi="Bookman Old Style" w:cs="Tahoma"/>
          <w:color w:val="000000"/>
        </w:rPr>
        <w:t>e</w:t>
      </w:r>
      <w:r w:rsidR="00FF15AD" w:rsidRPr="007F2D30">
        <w:rPr>
          <w:rFonts w:ascii="Bookman Old Style" w:hAnsi="Bookman Old Style" w:cs="Tahoma"/>
          <w:color w:val="000000"/>
        </w:rPr>
        <w:t>s decir, documentos que no fueron objeto de revisión por parte del auditor HMV</w:t>
      </w:r>
      <w:r w:rsidR="001E6FDB">
        <w:rPr>
          <w:rFonts w:ascii="Bookman Old Style" w:hAnsi="Bookman Old Style" w:cs="Tahoma"/>
          <w:color w:val="000000"/>
        </w:rPr>
        <w:t xml:space="preserve"> Ingenieros</w:t>
      </w:r>
      <w:r w:rsidR="00FF15AD" w:rsidRPr="007F2D30">
        <w:rPr>
          <w:rFonts w:ascii="Bookman Old Style" w:hAnsi="Bookman Old Style" w:cs="Tahoma"/>
          <w:color w:val="000000"/>
        </w:rPr>
        <w:t>, dado que no se contaba</w:t>
      </w:r>
      <w:r w:rsidR="00080131">
        <w:rPr>
          <w:rFonts w:ascii="Bookman Old Style" w:hAnsi="Bookman Old Style" w:cs="Tahoma"/>
          <w:color w:val="000000"/>
        </w:rPr>
        <w:t xml:space="preserve"> con ellos</w:t>
      </w:r>
      <w:r w:rsidR="00FF15AD" w:rsidRPr="007F2D30">
        <w:rPr>
          <w:rFonts w:ascii="Bookman Old Style" w:hAnsi="Bookman Old Style" w:cs="Tahoma"/>
          <w:color w:val="000000"/>
        </w:rPr>
        <w:t xml:space="preserve"> en la fecha de declaración de los parámetros, si</w:t>
      </w:r>
      <w:r w:rsidR="001E6FDB">
        <w:rPr>
          <w:rFonts w:ascii="Bookman Old Style" w:hAnsi="Bookman Old Style" w:cs="Tahoma"/>
          <w:color w:val="000000"/>
        </w:rPr>
        <w:t xml:space="preserve"> </w:t>
      </w:r>
      <w:r w:rsidR="00FF15AD" w:rsidRPr="007F2D30">
        <w:rPr>
          <w:rFonts w:ascii="Bookman Old Style" w:hAnsi="Bookman Old Style" w:cs="Tahoma"/>
          <w:color w:val="000000"/>
        </w:rPr>
        <w:t>no que surgieron inclusive después de la auditoría</w:t>
      </w:r>
      <w:r w:rsidR="00FC4FEE" w:rsidRPr="007F2D30">
        <w:rPr>
          <w:rFonts w:ascii="Bookman Old Style" w:hAnsi="Bookman Old Style" w:cs="Tahoma"/>
          <w:color w:val="000000"/>
        </w:rPr>
        <w:t>, no puede ser tenido en cuenta</w:t>
      </w:r>
      <w:r w:rsidR="002069EF">
        <w:rPr>
          <w:rFonts w:ascii="Bookman Old Style" w:hAnsi="Bookman Old Style" w:cs="Tahoma"/>
          <w:color w:val="000000"/>
        </w:rPr>
        <w:t xml:space="preserve"> dentro de esta decisión.</w:t>
      </w:r>
    </w:p>
    <w:p w14:paraId="4F2275A7" w14:textId="1F6581EC" w:rsidR="00FC7417" w:rsidRPr="007F2D30" w:rsidRDefault="00FC7417" w:rsidP="00050AC5">
      <w:pPr>
        <w:ind w:left="0"/>
        <w:jc w:val="both"/>
        <w:rPr>
          <w:rStyle w:val="fontstyle01"/>
          <w:rFonts w:ascii="Bookman Old Style" w:hAnsi="Bookman Old Style"/>
          <w:i/>
          <w:iCs/>
          <w:sz w:val="24"/>
          <w:szCs w:val="24"/>
        </w:rPr>
      </w:pPr>
    </w:p>
    <w:p w14:paraId="02F21D70" w14:textId="211C4FE1" w:rsidR="00E61EB9" w:rsidRPr="00080131" w:rsidRDefault="00080131" w:rsidP="00080131">
      <w:pPr>
        <w:ind w:left="0"/>
        <w:jc w:val="both"/>
        <w:rPr>
          <w:rFonts w:ascii="Bookman Old Style" w:hAnsi="Bookman Old Style" w:cs="Arial"/>
          <w:bCs/>
          <w:i/>
          <w:u w:val="single"/>
        </w:rPr>
      </w:pPr>
      <w:r w:rsidRPr="00080131">
        <w:rPr>
          <w:rFonts w:ascii="Bookman Old Style" w:hAnsi="Bookman Old Style" w:cs="Arial"/>
          <w:bCs/>
          <w:i/>
          <w:u w:val="single"/>
        </w:rPr>
        <w:t xml:space="preserve">2. </w:t>
      </w:r>
      <w:r w:rsidR="00903678" w:rsidRPr="00080131">
        <w:rPr>
          <w:rFonts w:ascii="Bookman Old Style" w:hAnsi="Bookman Old Style" w:cs="Arial"/>
          <w:bCs/>
          <w:i/>
          <w:u w:val="single"/>
        </w:rPr>
        <w:t>Argumentos Jurídicos</w:t>
      </w:r>
    </w:p>
    <w:p w14:paraId="1A46020B" w14:textId="5FE1D200" w:rsidR="00874A3F" w:rsidRDefault="00874A3F" w:rsidP="00874A3F">
      <w:pPr>
        <w:jc w:val="both"/>
        <w:rPr>
          <w:rStyle w:val="fontstyle01"/>
          <w:rFonts w:ascii="Bookman Old Style" w:hAnsi="Bookman Old Style"/>
          <w:sz w:val="24"/>
          <w:szCs w:val="24"/>
        </w:rPr>
      </w:pPr>
    </w:p>
    <w:p w14:paraId="754221F6" w14:textId="11399D85" w:rsidR="00874A3F" w:rsidRDefault="00874A3F" w:rsidP="00874A3F">
      <w:pPr>
        <w:ind w:left="0"/>
        <w:jc w:val="both"/>
        <w:rPr>
          <w:rStyle w:val="fontstyle01"/>
          <w:rFonts w:ascii="Bookman Old Style" w:hAnsi="Bookman Old Style"/>
          <w:sz w:val="24"/>
          <w:szCs w:val="24"/>
        </w:rPr>
      </w:pPr>
      <w:r>
        <w:rPr>
          <w:rStyle w:val="fontstyle01"/>
          <w:rFonts w:ascii="Bookman Old Style" w:hAnsi="Bookman Old Style"/>
          <w:sz w:val="24"/>
          <w:szCs w:val="24"/>
        </w:rPr>
        <w:t>En primer lugar</w:t>
      </w:r>
      <w:r w:rsidR="001E6FDB">
        <w:rPr>
          <w:rStyle w:val="fontstyle01"/>
          <w:rFonts w:ascii="Bookman Old Style" w:hAnsi="Bookman Old Style"/>
          <w:sz w:val="24"/>
          <w:szCs w:val="24"/>
        </w:rPr>
        <w:t>,</w:t>
      </w:r>
      <w:r w:rsidR="00F023E9">
        <w:rPr>
          <w:rStyle w:val="fontstyle01"/>
          <w:rFonts w:ascii="Bookman Old Style" w:hAnsi="Bookman Old Style"/>
          <w:sz w:val="24"/>
          <w:szCs w:val="24"/>
        </w:rPr>
        <w:t xml:space="preserve"> se recuerda a l</w:t>
      </w:r>
      <w:r w:rsidR="00C76508">
        <w:rPr>
          <w:rStyle w:val="fontstyle01"/>
          <w:rFonts w:ascii="Bookman Old Style" w:hAnsi="Bookman Old Style"/>
          <w:sz w:val="24"/>
          <w:szCs w:val="24"/>
        </w:rPr>
        <w:t xml:space="preserve">a </w:t>
      </w:r>
      <w:r w:rsidR="00F72366">
        <w:rPr>
          <w:rStyle w:val="fontstyle01"/>
          <w:rFonts w:ascii="Bookman Old Style" w:hAnsi="Bookman Old Style"/>
          <w:sz w:val="24"/>
          <w:szCs w:val="24"/>
        </w:rPr>
        <w:t>recurrente</w:t>
      </w:r>
      <w:r w:rsidR="00F023E9">
        <w:rPr>
          <w:rStyle w:val="fontstyle01"/>
          <w:rFonts w:ascii="Bookman Old Style" w:hAnsi="Bookman Old Style"/>
          <w:sz w:val="24"/>
          <w:szCs w:val="24"/>
        </w:rPr>
        <w:t xml:space="preserve"> que la Comisión de Regulación de Energía y Gas</w:t>
      </w:r>
      <w:r w:rsidR="001E6FDB">
        <w:rPr>
          <w:rStyle w:val="fontstyle01"/>
          <w:rFonts w:ascii="Bookman Old Style" w:hAnsi="Bookman Old Style"/>
          <w:sz w:val="24"/>
          <w:szCs w:val="24"/>
        </w:rPr>
        <w:t xml:space="preserve">, </w:t>
      </w:r>
      <w:r w:rsidR="00F023E9">
        <w:rPr>
          <w:rStyle w:val="fontstyle01"/>
          <w:rFonts w:ascii="Bookman Old Style" w:hAnsi="Bookman Old Style"/>
          <w:sz w:val="24"/>
          <w:szCs w:val="24"/>
        </w:rPr>
        <w:t>CREG</w:t>
      </w:r>
      <w:r w:rsidR="001E6FDB">
        <w:rPr>
          <w:rStyle w:val="fontstyle01"/>
          <w:rFonts w:ascii="Bookman Old Style" w:hAnsi="Bookman Old Style"/>
          <w:sz w:val="24"/>
          <w:szCs w:val="24"/>
        </w:rPr>
        <w:t>,</w:t>
      </w:r>
      <w:r w:rsidR="00F023E9">
        <w:rPr>
          <w:rStyle w:val="fontstyle01"/>
          <w:rFonts w:ascii="Bookman Old Style" w:hAnsi="Bookman Old Style"/>
          <w:sz w:val="24"/>
          <w:szCs w:val="24"/>
        </w:rPr>
        <w:t xml:space="preserve"> no tiene un superior </w:t>
      </w:r>
      <w:r w:rsidR="00E10794">
        <w:rPr>
          <w:rStyle w:val="fontstyle01"/>
          <w:rFonts w:ascii="Bookman Old Style" w:hAnsi="Bookman Old Style"/>
          <w:sz w:val="24"/>
          <w:szCs w:val="24"/>
        </w:rPr>
        <w:t>jerárquico</w:t>
      </w:r>
      <w:r w:rsidR="00F023E9">
        <w:rPr>
          <w:rStyle w:val="fontstyle01"/>
          <w:rFonts w:ascii="Bookman Old Style" w:hAnsi="Bookman Old Style"/>
          <w:sz w:val="24"/>
          <w:szCs w:val="24"/>
        </w:rPr>
        <w:t>, motivo por el cual</w:t>
      </w:r>
      <w:r w:rsidR="001E6FDB">
        <w:rPr>
          <w:rStyle w:val="fontstyle01"/>
          <w:rFonts w:ascii="Bookman Old Style" w:hAnsi="Bookman Old Style"/>
          <w:sz w:val="24"/>
          <w:szCs w:val="24"/>
        </w:rPr>
        <w:t>,</w:t>
      </w:r>
      <w:r w:rsidR="00F023E9">
        <w:rPr>
          <w:rStyle w:val="fontstyle01"/>
          <w:rFonts w:ascii="Bookman Old Style" w:hAnsi="Bookman Old Style"/>
          <w:sz w:val="24"/>
          <w:szCs w:val="24"/>
        </w:rPr>
        <w:t xml:space="preserve"> y conforme a lo dispuesto en el artículo</w:t>
      </w:r>
      <w:r w:rsidR="00E10794">
        <w:rPr>
          <w:rStyle w:val="fontstyle01"/>
          <w:rFonts w:ascii="Bookman Old Style" w:hAnsi="Bookman Old Style"/>
          <w:sz w:val="24"/>
          <w:szCs w:val="24"/>
        </w:rPr>
        <w:t xml:space="preserve"> 74 del Código de Procedimiento Administrativo y de lo Contencioso Administrativo</w:t>
      </w:r>
      <w:r w:rsidR="001E6FDB">
        <w:rPr>
          <w:rStyle w:val="fontstyle01"/>
          <w:rFonts w:ascii="Bookman Old Style" w:hAnsi="Bookman Old Style"/>
          <w:sz w:val="24"/>
          <w:szCs w:val="24"/>
        </w:rPr>
        <w:t xml:space="preserve">, </w:t>
      </w:r>
      <w:r w:rsidR="002A4539">
        <w:rPr>
          <w:rStyle w:val="fontstyle01"/>
          <w:rFonts w:ascii="Bookman Old Style" w:hAnsi="Bookman Old Style"/>
          <w:sz w:val="24"/>
          <w:szCs w:val="24"/>
        </w:rPr>
        <w:t>CPCA</w:t>
      </w:r>
      <w:r w:rsidR="001B39ED">
        <w:rPr>
          <w:rStyle w:val="fontstyle01"/>
          <w:rFonts w:ascii="Bookman Old Style" w:hAnsi="Bookman Old Style"/>
          <w:sz w:val="24"/>
          <w:szCs w:val="24"/>
        </w:rPr>
        <w:t xml:space="preserve">, el recurso de </w:t>
      </w:r>
      <w:r w:rsidR="002A4539">
        <w:rPr>
          <w:rStyle w:val="fontstyle01"/>
          <w:rFonts w:ascii="Bookman Old Style" w:hAnsi="Bookman Old Style"/>
          <w:sz w:val="24"/>
          <w:szCs w:val="24"/>
        </w:rPr>
        <w:t>apelación</w:t>
      </w:r>
      <w:r w:rsidR="001B39ED">
        <w:rPr>
          <w:rStyle w:val="fontstyle01"/>
          <w:rFonts w:ascii="Bookman Old Style" w:hAnsi="Bookman Old Style"/>
          <w:sz w:val="24"/>
          <w:szCs w:val="24"/>
        </w:rPr>
        <w:t xml:space="preserve"> es improcedente.</w:t>
      </w:r>
    </w:p>
    <w:p w14:paraId="67CF46F0" w14:textId="091A9A1D" w:rsidR="001B39ED" w:rsidRDefault="001B39ED" w:rsidP="00874A3F">
      <w:pPr>
        <w:ind w:left="0"/>
        <w:jc w:val="both"/>
        <w:rPr>
          <w:rStyle w:val="fontstyle01"/>
          <w:rFonts w:ascii="Bookman Old Style" w:hAnsi="Bookman Old Style"/>
          <w:sz w:val="24"/>
          <w:szCs w:val="24"/>
        </w:rPr>
      </w:pPr>
    </w:p>
    <w:p w14:paraId="5C970C8C" w14:textId="6A5CAC4A" w:rsidR="001B39ED" w:rsidRDefault="00CF2BE6" w:rsidP="00874A3F">
      <w:pPr>
        <w:ind w:left="0"/>
        <w:jc w:val="both"/>
        <w:rPr>
          <w:rStyle w:val="fontstyle01"/>
          <w:rFonts w:ascii="Bookman Old Style" w:hAnsi="Bookman Old Style"/>
          <w:sz w:val="24"/>
          <w:szCs w:val="24"/>
        </w:rPr>
      </w:pPr>
      <w:r>
        <w:rPr>
          <w:rStyle w:val="fontstyle01"/>
          <w:rFonts w:ascii="Bookman Old Style" w:hAnsi="Bookman Old Style"/>
          <w:sz w:val="24"/>
          <w:szCs w:val="24"/>
        </w:rPr>
        <w:t>Así mismo, s</w:t>
      </w:r>
      <w:r w:rsidR="001B39ED">
        <w:rPr>
          <w:rStyle w:val="fontstyle01"/>
          <w:rFonts w:ascii="Bookman Old Style" w:hAnsi="Bookman Old Style"/>
          <w:sz w:val="24"/>
          <w:szCs w:val="24"/>
        </w:rPr>
        <w:t>e recuerda a</w:t>
      </w:r>
      <w:r w:rsidR="00217C84">
        <w:rPr>
          <w:rStyle w:val="fontstyle01"/>
          <w:rFonts w:ascii="Bookman Old Style" w:hAnsi="Bookman Old Style"/>
          <w:sz w:val="24"/>
          <w:szCs w:val="24"/>
        </w:rPr>
        <w:t xml:space="preserve"> </w:t>
      </w:r>
      <w:r w:rsidR="001B39ED">
        <w:rPr>
          <w:rStyle w:val="fontstyle01"/>
          <w:rFonts w:ascii="Bookman Old Style" w:hAnsi="Bookman Old Style"/>
          <w:sz w:val="24"/>
          <w:szCs w:val="24"/>
        </w:rPr>
        <w:t>la recurrente que no se puede tomar de forma a</w:t>
      </w:r>
      <w:r w:rsidR="00F83610">
        <w:rPr>
          <w:rStyle w:val="fontstyle01"/>
          <w:rFonts w:ascii="Bookman Old Style" w:hAnsi="Bookman Old Style"/>
          <w:sz w:val="24"/>
          <w:szCs w:val="24"/>
        </w:rPr>
        <w:t>i</w:t>
      </w:r>
      <w:r w:rsidR="001B39ED">
        <w:rPr>
          <w:rStyle w:val="fontstyle01"/>
          <w:rFonts w:ascii="Bookman Old Style" w:hAnsi="Bookman Old Style"/>
          <w:sz w:val="24"/>
          <w:szCs w:val="24"/>
        </w:rPr>
        <w:t>slada</w:t>
      </w:r>
      <w:r w:rsidR="00217C84">
        <w:rPr>
          <w:rStyle w:val="fontstyle01"/>
          <w:rFonts w:ascii="Bookman Old Style" w:hAnsi="Bookman Old Style"/>
          <w:sz w:val="24"/>
          <w:szCs w:val="24"/>
        </w:rPr>
        <w:t xml:space="preserve"> el artículo 113 de la Ley 142 de 1994, toda vez que la procedencia </w:t>
      </w:r>
      <w:r w:rsidR="007A2BA1">
        <w:rPr>
          <w:rStyle w:val="fontstyle01"/>
          <w:rFonts w:ascii="Bookman Old Style" w:hAnsi="Bookman Old Style"/>
          <w:sz w:val="24"/>
          <w:szCs w:val="24"/>
        </w:rPr>
        <w:t>o no de dicho recurso deviene del artículo 74 del CPACA. Así las cosas</w:t>
      </w:r>
      <w:r w:rsidR="00E32FDD">
        <w:rPr>
          <w:rStyle w:val="fontstyle01"/>
          <w:rFonts w:ascii="Bookman Old Style" w:hAnsi="Bookman Old Style"/>
          <w:sz w:val="24"/>
          <w:szCs w:val="24"/>
        </w:rPr>
        <w:t>,</w:t>
      </w:r>
      <w:r w:rsidR="007A2BA1">
        <w:rPr>
          <w:rStyle w:val="fontstyle01"/>
          <w:rFonts w:ascii="Bookman Old Style" w:hAnsi="Bookman Old Style"/>
          <w:sz w:val="24"/>
          <w:szCs w:val="24"/>
        </w:rPr>
        <w:t xml:space="preserve"> no se </w:t>
      </w:r>
      <w:r w:rsidR="003B33F2">
        <w:rPr>
          <w:rStyle w:val="fontstyle01"/>
          <w:rFonts w:ascii="Bookman Old Style" w:hAnsi="Bookman Old Style"/>
          <w:sz w:val="24"/>
          <w:szCs w:val="24"/>
        </w:rPr>
        <w:t>puede</w:t>
      </w:r>
      <w:r w:rsidR="007A2BA1">
        <w:rPr>
          <w:rStyle w:val="fontstyle01"/>
          <w:rFonts w:ascii="Bookman Old Style" w:hAnsi="Bookman Old Style"/>
          <w:sz w:val="24"/>
          <w:szCs w:val="24"/>
        </w:rPr>
        <w:t xml:space="preserve"> llamar a equívocos que</w:t>
      </w:r>
      <w:r w:rsidR="00CF47E2">
        <w:rPr>
          <w:rStyle w:val="fontstyle01"/>
          <w:rFonts w:ascii="Bookman Old Style" w:hAnsi="Bookman Old Style"/>
          <w:sz w:val="24"/>
          <w:szCs w:val="24"/>
        </w:rPr>
        <w:t xml:space="preserve"> permitan concluir que</w:t>
      </w:r>
      <w:r w:rsidR="00E32FDD">
        <w:rPr>
          <w:rStyle w:val="fontstyle01"/>
          <w:rFonts w:ascii="Bookman Old Style" w:hAnsi="Bookman Old Style"/>
          <w:sz w:val="24"/>
          <w:szCs w:val="24"/>
        </w:rPr>
        <w:t>,</w:t>
      </w:r>
      <w:r w:rsidR="003B33F2">
        <w:rPr>
          <w:rStyle w:val="fontstyle01"/>
          <w:rFonts w:ascii="Bookman Old Style" w:hAnsi="Bookman Old Style"/>
          <w:sz w:val="24"/>
          <w:szCs w:val="24"/>
        </w:rPr>
        <w:t xml:space="preserve"> </w:t>
      </w:r>
      <w:r w:rsidR="00CF47E2">
        <w:rPr>
          <w:rStyle w:val="fontstyle01"/>
          <w:rFonts w:ascii="Bookman Old Style" w:hAnsi="Bookman Old Style"/>
          <w:sz w:val="24"/>
          <w:szCs w:val="24"/>
        </w:rPr>
        <w:t xml:space="preserve">como el acto administrativo lo firmó el </w:t>
      </w:r>
      <w:r w:rsidR="00195E3E">
        <w:rPr>
          <w:rStyle w:val="fontstyle01"/>
          <w:rFonts w:ascii="Bookman Old Style" w:hAnsi="Bookman Old Style"/>
          <w:sz w:val="24"/>
          <w:szCs w:val="24"/>
        </w:rPr>
        <w:t>Viceministro</w:t>
      </w:r>
      <w:r w:rsidR="00CF47E2">
        <w:rPr>
          <w:rStyle w:val="fontstyle01"/>
          <w:rFonts w:ascii="Bookman Old Style" w:hAnsi="Bookman Old Style"/>
          <w:sz w:val="24"/>
          <w:szCs w:val="24"/>
        </w:rPr>
        <w:t xml:space="preserve"> de Energía como Delegado del Ministro de Minas y Energía</w:t>
      </w:r>
      <w:r w:rsidR="001E6FDB">
        <w:rPr>
          <w:rStyle w:val="fontstyle01"/>
          <w:rFonts w:ascii="Bookman Old Style" w:hAnsi="Bookman Old Style"/>
          <w:sz w:val="24"/>
          <w:szCs w:val="24"/>
        </w:rPr>
        <w:t>,</w:t>
      </w:r>
      <w:r w:rsidR="003A6151">
        <w:rPr>
          <w:rStyle w:val="fontstyle01"/>
          <w:rFonts w:ascii="Bookman Old Style" w:hAnsi="Bookman Old Style"/>
          <w:sz w:val="24"/>
          <w:szCs w:val="24"/>
        </w:rPr>
        <w:t xml:space="preserve"> hace apelable el acto</w:t>
      </w:r>
      <w:r w:rsidR="00071859">
        <w:rPr>
          <w:rStyle w:val="fontstyle01"/>
          <w:rFonts w:ascii="Bookman Old Style" w:hAnsi="Bookman Old Style"/>
          <w:sz w:val="24"/>
          <w:szCs w:val="24"/>
        </w:rPr>
        <w:t xml:space="preserve"> ante el Ministro de Minas que hace parte de la CREG</w:t>
      </w:r>
      <w:r w:rsidR="003A6151">
        <w:rPr>
          <w:rStyle w:val="fontstyle01"/>
          <w:rFonts w:ascii="Bookman Old Style" w:hAnsi="Bookman Old Style"/>
          <w:sz w:val="24"/>
          <w:szCs w:val="24"/>
        </w:rPr>
        <w:t>, toda vez que dicha delegación no convierte a los actos de la CREG puedan ser revisados por un superior jerárquico inexistente.</w:t>
      </w:r>
    </w:p>
    <w:p w14:paraId="765CD150" w14:textId="77777777" w:rsidR="001B39ED" w:rsidRDefault="001B39ED" w:rsidP="007F2D30">
      <w:pPr>
        <w:ind w:left="0"/>
        <w:jc w:val="both"/>
        <w:rPr>
          <w:rStyle w:val="fontstyle01"/>
          <w:rFonts w:ascii="Bookman Old Style" w:hAnsi="Bookman Old Style"/>
          <w:sz w:val="24"/>
          <w:szCs w:val="24"/>
        </w:rPr>
      </w:pPr>
    </w:p>
    <w:p w14:paraId="069CE95D" w14:textId="6C73DFB7" w:rsidR="00874A3F" w:rsidRDefault="00E041F8" w:rsidP="00874A3F">
      <w:pPr>
        <w:ind w:left="0"/>
        <w:jc w:val="both"/>
        <w:rPr>
          <w:rStyle w:val="fontstyle01"/>
          <w:rFonts w:ascii="Bookman Old Style" w:hAnsi="Bookman Old Style"/>
          <w:sz w:val="24"/>
          <w:szCs w:val="24"/>
        </w:rPr>
      </w:pPr>
      <w:r>
        <w:rPr>
          <w:rStyle w:val="fontstyle01"/>
          <w:rFonts w:ascii="Bookman Old Style" w:hAnsi="Bookman Old Style"/>
          <w:sz w:val="24"/>
          <w:szCs w:val="24"/>
        </w:rPr>
        <w:t>Aclarado lo anterior, se entra a analizar uno a uno las razones de la inconformidad de naturaleza jurídica.</w:t>
      </w:r>
    </w:p>
    <w:p w14:paraId="03C3A303" w14:textId="057A4679" w:rsidR="00E041F8" w:rsidRDefault="00E041F8" w:rsidP="00874A3F">
      <w:pPr>
        <w:ind w:left="0"/>
        <w:jc w:val="both"/>
        <w:rPr>
          <w:rStyle w:val="fontstyle01"/>
          <w:rFonts w:ascii="Bookman Old Style" w:hAnsi="Bookman Old Style"/>
          <w:sz w:val="24"/>
          <w:szCs w:val="24"/>
        </w:rPr>
      </w:pPr>
    </w:p>
    <w:p w14:paraId="3AD5FC77" w14:textId="77777777" w:rsidR="00E041F8" w:rsidRPr="007F2D30" w:rsidRDefault="00E041F8" w:rsidP="00E32FDD">
      <w:pPr>
        <w:pStyle w:val="Prrafodelista"/>
        <w:numPr>
          <w:ilvl w:val="0"/>
          <w:numId w:val="13"/>
        </w:numPr>
        <w:ind w:left="567" w:right="142"/>
        <w:jc w:val="both"/>
        <w:rPr>
          <w:rFonts w:ascii="Bookman Old Style" w:hAnsi="Bookman Old Style" w:cs="Arial"/>
          <w:i/>
        </w:rPr>
      </w:pPr>
      <w:r w:rsidRPr="007F2D30">
        <w:rPr>
          <w:rFonts w:ascii="Bookman Old Style" w:hAnsi="Bookman Old Style" w:cs="Arial"/>
          <w:i/>
        </w:rPr>
        <w:t>Pérdida de competencia de la CREG para expedir la Resolución 503-003 de 2022.</w:t>
      </w:r>
    </w:p>
    <w:p w14:paraId="3EEE3EB6" w14:textId="77777777" w:rsidR="00E041F8" w:rsidRPr="007F2D30" w:rsidRDefault="00E041F8" w:rsidP="007F2D30">
      <w:pPr>
        <w:ind w:left="0"/>
        <w:jc w:val="both"/>
        <w:rPr>
          <w:rStyle w:val="fontstyle01"/>
          <w:rFonts w:ascii="Bookman Old Style" w:hAnsi="Bookman Old Style"/>
          <w:sz w:val="24"/>
          <w:szCs w:val="24"/>
        </w:rPr>
      </w:pPr>
    </w:p>
    <w:p w14:paraId="01784DEA" w14:textId="5223FE08" w:rsidR="00903678" w:rsidRDefault="00E041F8" w:rsidP="00E041F8">
      <w:pPr>
        <w:ind w:left="-142"/>
        <w:jc w:val="both"/>
        <w:rPr>
          <w:rStyle w:val="fontstyle01"/>
          <w:rFonts w:ascii="Bookman Old Style" w:hAnsi="Bookman Old Style"/>
          <w:sz w:val="24"/>
          <w:szCs w:val="24"/>
        </w:rPr>
      </w:pPr>
      <w:r w:rsidRPr="007F2D30">
        <w:rPr>
          <w:rStyle w:val="fontstyle01"/>
          <w:rFonts w:ascii="Bookman Old Style" w:hAnsi="Bookman Old Style"/>
          <w:sz w:val="24"/>
          <w:szCs w:val="24"/>
        </w:rPr>
        <w:t>Al res</w:t>
      </w:r>
      <w:r w:rsidR="005E3A6A">
        <w:rPr>
          <w:rStyle w:val="fontstyle01"/>
          <w:rFonts w:ascii="Bookman Old Style" w:hAnsi="Bookman Old Style"/>
          <w:sz w:val="24"/>
          <w:szCs w:val="24"/>
        </w:rPr>
        <w:t>pecto no se acepta tal afirmación.</w:t>
      </w:r>
    </w:p>
    <w:p w14:paraId="49D55F2F" w14:textId="224CEDDA" w:rsidR="005E3A6A" w:rsidRDefault="005E3A6A" w:rsidP="00E041F8">
      <w:pPr>
        <w:ind w:left="-142"/>
        <w:jc w:val="both"/>
        <w:rPr>
          <w:rStyle w:val="fontstyle01"/>
          <w:rFonts w:ascii="Bookman Old Style" w:hAnsi="Bookman Old Style"/>
          <w:sz w:val="24"/>
          <w:szCs w:val="24"/>
        </w:rPr>
      </w:pPr>
    </w:p>
    <w:p w14:paraId="7C4D85C1" w14:textId="4C0D5F13" w:rsidR="00F74902" w:rsidRDefault="00F74902" w:rsidP="00E041F8">
      <w:pPr>
        <w:ind w:left="-142"/>
        <w:jc w:val="both"/>
        <w:rPr>
          <w:rStyle w:val="fontstyle01"/>
          <w:rFonts w:ascii="Bookman Old Style" w:hAnsi="Bookman Old Style"/>
          <w:sz w:val="24"/>
          <w:szCs w:val="24"/>
        </w:rPr>
      </w:pPr>
      <w:r>
        <w:rPr>
          <w:rStyle w:val="fontstyle01"/>
          <w:rFonts w:ascii="Bookman Old Style" w:hAnsi="Bookman Old Style"/>
          <w:sz w:val="24"/>
          <w:szCs w:val="24"/>
        </w:rPr>
        <w:t>Si bien es cierto que el artículo</w:t>
      </w:r>
      <w:r w:rsidR="00010882">
        <w:rPr>
          <w:rStyle w:val="fontstyle01"/>
          <w:rFonts w:ascii="Bookman Old Style" w:hAnsi="Bookman Old Style"/>
          <w:sz w:val="24"/>
          <w:szCs w:val="24"/>
        </w:rPr>
        <w:t xml:space="preserve"> 111 de la Ley 142 de 1994 estableció un término para decidir de </w:t>
      </w:r>
      <w:r w:rsidR="001E6FDB">
        <w:rPr>
          <w:rStyle w:val="fontstyle01"/>
          <w:rFonts w:ascii="Bookman Old Style" w:hAnsi="Bookman Old Style"/>
          <w:sz w:val="24"/>
          <w:szCs w:val="24"/>
        </w:rPr>
        <w:t>cinco (</w:t>
      </w:r>
      <w:r w:rsidR="00010882">
        <w:rPr>
          <w:rStyle w:val="fontstyle01"/>
          <w:rFonts w:ascii="Bookman Old Style" w:hAnsi="Bookman Old Style"/>
          <w:sz w:val="24"/>
          <w:szCs w:val="24"/>
        </w:rPr>
        <w:t>5</w:t>
      </w:r>
      <w:r w:rsidR="001E6FDB">
        <w:rPr>
          <w:rStyle w:val="fontstyle01"/>
          <w:rFonts w:ascii="Bookman Old Style" w:hAnsi="Bookman Old Style"/>
          <w:sz w:val="24"/>
          <w:szCs w:val="24"/>
        </w:rPr>
        <w:t>)</w:t>
      </w:r>
      <w:r w:rsidR="00010882">
        <w:rPr>
          <w:rStyle w:val="fontstyle01"/>
          <w:rFonts w:ascii="Bookman Old Style" w:hAnsi="Bookman Old Style"/>
          <w:sz w:val="24"/>
          <w:szCs w:val="24"/>
        </w:rPr>
        <w:t xml:space="preserve"> meses,</w:t>
      </w:r>
      <w:r w:rsidR="00317793">
        <w:rPr>
          <w:rStyle w:val="fontstyle01"/>
          <w:rFonts w:ascii="Bookman Old Style" w:hAnsi="Bookman Old Style"/>
          <w:sz w:val="24"/>
          <w:szCs w:val="24"/>
        </w:rPr>
        <w:t xml:space="preserve"> </w:t>
      </w:r>
      <w:r w:rsidR="00DB522C">
        <w:rPr>
          <w:rStyle w:val="fontstyle01"/>
          <w:rFonts w:ascii="Bookman Old Style" w:hAnsi="Bookman Old Style"/>
          <w:sz w:val="24"/>
          <w:szCs w:val="24"/>
        </w:rPr>
        <w:t>dicho artículo no dispone que se trate de un término preclusivo y</w:t>
      </w:r>
      <w:r w:rsidR="001E6FDB">
        <w:rPr>
          <w:rStyle w:val="fontstyle01"/>
          <w:rFonts w:ascii="Bookman Old Style" w:hAnsi="Bookman Old Style"/>
          <w:sz w:val="24"/>
          <w:szCs w:val="24"/>
        </w:rPr>
        <w:t>,</w:t>
      </w:r>
      <w:r w:rsidR="00DB522C">
        <w:rPr>
          <w:rStyle w:val="fontstyle01"/>
          <w:rFonts w:ascii="Bookman Old Style" w:hAnsi="Bookman Old Style"/>
          <w:sz w:val="24"/>
          <w:szCs w:val="24"/>
        </w:rPr>
        <w:t xml:space="preserve"> por tanto</w:t>
      </w:r>
      <w:r w:rsidR="001E6FDB">
        <w:rPr>
          <w:rStyle w:val="fontstyle01"/>
          <w:rFonts w:ascii="Bookman Old Style" w:hAnsi="Bookman Old Style"/>
          <w:sz w:val="24"/>
          <w:szCs w:val="24"/>
        </w:rPr>
        <w:t>,</w:t>
      </w:r>
      <w:r w:rsidR="00DB522C">
        <w:rPr>
          <w:rStyle w:val="fontstyle01"/>
          <w:rFonts w:ascii="Bookman Old Style" w:hAnsi="Bookman Old Style"/>
          <w:sz w:val="24"/>
          <w:szCs w:val="24"/>
        </w:rPr>
        <w:t xml:space="preserve"> la administración no pierde competencia para decidir.</w:t>
      </w:r>
    </w:p>
    <w:p w14:paraId="29FF06C2" w14:textId="5E67727D" w:rsidR="008B3A47" w:rsidRDefault="008B3A47" w:rsidP="00E041F8">
      <w:pPr>
        <w:ind w:left="-142"/>
        <w:jc w:val="both"/>
        <w:rPr>
          <w:rStyle w:val="fontstyle01"/>
          <w:rFonts w:ascii="Bookman Old Style" w:hAnsi="Bookman Old Style"/>
          <w:sz w:val="24"/>
          <w:szCs w:val="24"/>
        </w:rPr>
      </w:pPr>
    </w:p>
    <w:p w14:paraId="41A01BA6" w14:textId="1C8F8241" w:rsidR="008B3A47" w:rsidRDefault="008B3A47" w:rsidP="00E041F8">
      <w:pPr>
        <w:ind w:left="-142"/>
        <w:jc w:val="both"/>
        <w:rPr>
          <w:rStyle w:val="fontstyle01"/>
          <w:rFonts w:ascii="Bookman Old Style" w:hAnsi="Bookman Old Style"/>
          <w:sz w:val="24"/>
          <w:szCs w:val="24"/>
        </w:rPr>
      </w:pPr>
      <w:r>
        <w:rPr>
          <w:rStyle w:val="fontstyle01"/>
          <w:rFonts w:ascii="Bookman Old Style" w:hAnsi="Bookman Old Style"/>
          <w:sz w:val="24"/>
          <w:szCs w:val="24"/>
        </w:rPr>
        <w:t xml:space="preserve">Al respecto el Honorable Consejo de Estado en </w:t>
      </w:r>
      <w:r w:rsidR="00D7322F">
        <w:rPr>
          <w:rStyle w:val="fontstyle01"/>
          <w:rFonts w:ascii="Bookman Old Style" w:hAnsi="Bookman Old Style"/>
          <w:sz w:val="24"/>
          <w:szCs w:val="24"/>
        </w:rPr>
        <w:t>jurisprudencia de 2012 ha señalado lo siguiente</w:t>
      </w:r>
      <w:r w:rsidR="00A04D97">
        <w:rPr>
          <w:rStyle w:val="fontstyle01"/>
          <w:rFonts w:ascii="Bookman Old Style" w:hAnsi="Bookman Old Style"/>
          <w:sz w:val="24"/>
          <w:szCs w:val="24"/>
        </w:rPr>
        <w:t>:</w:t>
      </w:r>
    </w:p>
    <w:p w14:paraId="4884BC66" w14:textId="67AB82EA" w:rsidR="00A04D97" w:rsidRDefault="00A04D97" w:rsidP="00E041F8">
      <w:pPr>
        <w:ind w:left="-142"/>
        <w:jc w:val="both"/>
        <w:rPr>
          <w:rStyle w:val="fontstyle01"/>
          <w:rFonts w:ascii="Bookman Old Style" w:hAnsi="Bookman Old Style"/>
          <w:sz w:val="24"/>
          <w:szCs w:val="24"/>
        </w:rPr>
      </w:pPr>
    </w:p>
    <w:p w14:paraId="39CA40B9" w14:textId="5C199F7B" w:rsidR="00A04D97" w:rsidRPr="007F2D30" w:rsidRDefault="00A04D97" w:rsidP="00FB0EBB">
      <w:pPr>
        <w:ind w:left="142"/>
        <w:jc w:val="both"/>
        <w:rPr>
          <w:rFonts w:ascii="Bookman Old Style" w:hAnsi="Bookman Old Style"/>
          <w:i/>
          <w:iCs/>
          <w:sz w:val="22"/>
          <w:szCs w:val="22"/>
        </w:rPr>
      </w:pPr>
      <w:r w:rsidRPr="007F2D30">
        <w:rPr>
          <w:rFonts w:ascii="Bookman Old Style" w:hAnsi="Bookman Old Style"/>
          <w:i/>
          <w:iCs/>
          <w:sz w:val="22"/>
          <w:szCs w:val="22"/>
        </w:rPr>
        <w:t xml:space="preserve">"(...) los términos procesales que tiene el Estado para proferir las decisiones correspondientes son términos de tipo perentorio, </w:t>
      </w:r>
      <w:r w:rsidRPr="007F2D30">
        <w:rPr>
          <w:rFonts w:ascii="Bookman Old Style" w:hAnsi="Bookman Old Style"/>
          <w:b/>
          <w:bCs/>
          <w:i/>
          <w:iCs/>
          <w:sz w:val="22"/>
          <w:szCs w:val="22"/>
        </w:rPr>
        <w:t>pero no necesariamente preclusivos</w:t>
      </w:r>
      <w:r w:rsidRPr="007F2D30">
        <w:rPr>
          <w:rFonts w:ascii="Bookman Old Style" w:hAnsi="Bookman Old Style"/>
          <w:i/>
          <w:iCs/>
          <w:sz w:val="22"/>
          <w:szCs w:val="22"/>
        </w:rPr>
        <w:t xml:space="preserve">. </w:t>
      </w:r>
      <w:r w:rsidRPr="007F2D30">
        <w:rPr>
          <w:rFonts w:ascii="Bookman Old Style" w:hAnsi="Bookman Old Style"/>
          <w:b/>
          <w:bCs/>
          <w:i/>
          <w:iCs/>
          <w:sz w:val="22"/>
          <w:szCs w:val="22"/>
        </w:rPr>
        <w:t>Es decir que, así esté vencido un plazo, la decisión correspondiente resulta válida y eficaz, salvo que el legislador expresamente haya consagrado otra disposición como cuando estipula la preclusión del término en el sentido de indicar que la Administración pierde competencia para decidir y que, en su lugar, surja el acto ficto o presunto favorable al administrado</w:t>
      </w:r>
      <w:r w:rsidRPr="007F2D30">
        <w:rPr>
          <w:rFonts w:ascii="Bookman Old Style" w:hAnsi="Bookman Old Style"/>
          <w:i/>
          <w:iCs/>
          <w:sz w:val="22"/>
          <w:szCs w:val="22"/>
        </w:rPr>
        <w:t>. El vencimiento de los plazos meramente perentorios puede implicar la responsabilidad personal del agente que se ha demorado en tomar la decisión, pero no afecta la validez de la decisión misma. Ese tipo de plazos son los más comunes en el derecho procesal, como, por ejemplo, el plazo para dictar la sentencia que instituye tanto el C.C.A. como el C.P.C. Así esté vencido el plazo, la sentencia es válida y eficaz, sin perjuicio de que pueda existir en un momento dado responsabilidad personal del funcionario judicial si el vencimiento del plazo ocurrió injustificadamente. En general, las normas de competencia temporal, esto es, por razón del tiempo, que es el tema que subyace en un plazo legal para producir una decisión, deben interpretarse a favor de la competencia misma. Así, sólo cuando está expresamente previsto otro efecto, el vencimiento del plazo no comporta siempre y necesariamente un caso de silencio administrativo positivo y mucho menos de nulidad de los actos administrativos”</w:t>
      </w:r>
      <w:r w:rsidR="0015012F" w:rsidRPr="007F2D30">
        <w:rPr>
          <w:rStyle w:val="Refdenotaalpie"/>
          <w:rFonts w:ascii="Bookman Old Style" w:hAnsi="Bookman Old Style"/>
          <w:i/>
          <w:iCs/>
          <w:sz w:val="22"/>
          <w:szCs w:val="22"/>
        </w:rPr>
        <w:footnoteReference w:id="2"/>
      </w:r>
      <w:r w:rsidR="0040370D" w:rsidRPr="007F2D30">
        <w:rPr>
          <w:rFonts w:ascii="Bookman Old Style" w:hAnsi="Bookman Old Style"/>
          <w:i/>
          <w:iCs/>
          <w:sz w:val="22"/>
          <w:szCs w:val="22"/>
        </w:rPr>
        <w:t>.</w:t>
      </w:r>
    </w:p>
    <w:p w14:paraId="5E082466" w14:textId="4776453D" w:rsidR="0040370D" w:rsidRDefault="0040370D" w:rsidP="00A04D97">
      <w:pPr>
        <w:ind w:left="0"/>
        <w:jc w:val="both"/>
        <w:rPr>
          <w:i/>
          <w:iCs/>
        </w:rPr>
      </w:pPr>
    </w:p>
    <w:p w14:paraId="1F4B01D0" w14:textId="5B5F5C23" w:rsidR="0040370D" w:rsidRDefault="0040370D" w:rsidP="00A04D97">
      <w:pPr>
        <w:ind w:left="0"/>
        <w:jc w:val="both"/>
        <w:rPr>
          <w:rFonts w:ascii="Bookman Old Style" w:hAnsi="Bookman Old Style"/>
        </w:rPr>
      </w:pPr>
      <w:r w:rsidRPr="007F2D30">
        <w:rPr>
          <w:rFonts w:ascii="Bookman Old Style" w:hAnsi="Bookman Old Style"/>
        </w:rPr>
        <w:t>Así las cosas, no se acepta la tesis de la recurrente y se confirma la competencia de la CREG para expedir la Resolución</w:t>
      </w:r>
      <w:r w:rsidR="00A47630" w:rsidRPr="007F2D30">
        <w:rPr>
          <w:rFonts w:ascii="Bookman Old Style" w:hAnsi="Bookman Old Style"/>
        </w:rPr>
        <w:t xml:space="preserve"> 501-003 de 2022</w:t>
      </w:r>
      <w:r w:rsidR="001F4FB1">
        <w:rPr>
          <w:rFonts w:ascii="Bookman Old Style" w:hAnsi="Bookman Old Style"/>
        </w:rPr>
        <w:t>.</w:t>
      </w:r>
    </w:p>
    <w:p w14:paraId="745E9483" w14:textId="215175BF" w:rsidR="001F4FB1" w:rsidRDefault="001F4FB1" w:rsidP="00A04D97">
      <w:pPr>
        <w:ind w:left="0"/>
        <w:jc w:val="both"/>
        <w:rPr>
          <w:rFonts w:ascii="Bookman Old Style" w:hAnsi="Bookman Old Style"/>
        </w:rPr>
      </w:pPr>
    </w:p>
    <w:p w14:paraId="2E0A5D25" w14:textId="77777777" w:rsidR="001F4FB1" w:rsidRPr="007F2D30" w:rsidRDefault="001F4FB1" w:rsidP="00FB0EBB">
      <w:pPr>
        <w:pStyle w:val="Prrafodelista"/>
        <w:numPr>
          <w:ilvl w:val="0"/>
          <w:numId w:val="13"/>
        </w:numPr>
        <w:ind w:left="567"/>
        <w:jc w:val="both"/>
        <w:rPr>
          <w:rFonts w:ascii="Bookman Old Style" w:hAnsi="Bookman Old Style" w:cs="Arial"/>
          <w:i/>
        </w:rPr>
      </w:pPr>
      <w:r w:rsidRPr="007F2D30">
        <w:rPr>
          <w:rFonts w:ascii="Bookman Old Style" w:hAnsi="Bookman Old Style" w:cs="Arial"/>
          <w:i/>
        </w:rPr>
        <w:t>Exceso de Formalidad manifiesta y necesaria primacía del derecho sustancial. Vulneración del principio de seguridad jurídica.</w:t>
      </w:r>
    </w:p>
    <w:p w14:paraId="4D1EE492" w14:textId="77777777" w:rsidR="001F4FB1" w:rsidRPr="007F2D30" w:rsidRDefault="001F4FB1" w:rsidP="00A04D97">
      <w:pPr>
        <w:ind w:left="0"/>
        <w:jc w:val="both"/>
        <w:rPr>
          <w:rStyle w:val="fontstyle01"/>
          <w:rFonts w:ascii="Bookman Old Style" w:hAnsi="Bookman Old Style"/>
          <w:sz w:val="24"/>
          <w:szCs w:val="24"/>
        </w:rPr>
      </w:pPr>
    </w:p>
    <w:p w14:paraId="1AA7A02C" w14:textId="38054986" w:rsidR="00E9461F" w:rsidRDefault="00A32193" w:rsidP="00050AC5">
      <w:pPr>
        <w:ind w:left="0"/>
        <w:jc w:val="both"/>
        <w:rPr>
          <w:rFonts w:ascii="Bookman Old Style" w:hAnsi="Bookman Old Style" w:cs="Arial"/>
        </w:rPr>
      </w:pPr>
      <w:r>
        <w:rPr>
          <w:rFonts w:ascii="Bookman Old Style" w:hAnsi="Bookman Old Style" w:cs="Arial"/>
        </w:rPr>
        <w:t>Si bien es cierto que constitucionalmente el derecho sustancial prima sobre el procesal, se equivoca la parte recurrente al afirmar que en la Resolución C</w:t>
      </w:r>
      <w:r w:rsidR="005C10B7">
        <w:rPr>
          <w:rFonts w:ascii="Bookman Old Style" w:hAnsi="Bookman Old Style" w:cs="Arial"/>
        </w:rPr>
        <w:t>R</w:t>
      </w:r>
      <w:r>
        <w:rPr>
          <w:rFonts w:ascii="Bookman Old Style" w:hAnsi="Bookman Old Style" w:cs="Arial"/>
        </w:rPr>
        <w:t>EG 501-</w:t>
      </w:r>
      <w:r w:rsidR="005E2AF0">
        <w:rPr>
          <w:rFonts w:ascii="Bookman Old Style" w:hAnsi="Bookman Old Style" w:cs="Arial"/>
        </w:rPr>
        <w:t xml:space="preserve">003 de 2022 se ha </w:t>
      </w:r>
      <w:r w:rsidR="00B83295">
        <w:rPr>
          <w:rFonts w:ascii="Bookman Old Style" w:hAnsi="Bookman Old Style" w:cs="Arial"/>
        </w:rPr>
        <w:t>privilegiado</w:t>
      </w:r>
      <w:r w:rsidR="005E2AF0">
        <w:rPr>
          <w:rFonts w:ascii="Bookman Old Style" w:hAnsi="Bookman Old Style" w:cs="Arial"/>
        </w:rPr>
        <w:t xml:space="preserve"> lo procesal frente a lo sustancial</w:t>
      </w:r>
      <w:r w:rsidR="001E6FDB">
        <w:rPr>
          <w:rFonts w:ascii="Bookman Old Style" w:hAnsi="Bookman Old Style" w:cs="Arial"/>
        </w:rPr>
        <w:t>,</w:t>
      </w:r>
      <w:r w:rsidR="005E2AF0">
        <w:rPr>
          <w:rFonts w:ascii="Bookman Old Style" w:hAnsi="Bookman Old Style" w:cs="Arial"/>
        </w:rPr>
        <w:t xml:space="preserve"> </w:t>
      </w:r>
      <w:r w:rsidR="001C00D9">
        <w:rPr>
          <w:rFonts w:ascii="Bookman Old Style" w:hAnsi="Bookman Old Style" w:cs="Arial"/>
        </w:rPr>
        <w:t>existiendo</w:t>
      </w:r>
      <w:r w:rsidR="005E2AF0">
        <w:rPr>
          <w:rFonts w:ascii="Bookman Old Style" w:hAnsi="Bookman Old Style" w:cs="Arial"/>
        </w:rPr>
        <w:t xml:space="preserve"> un exceso de formalidad manifiesta.</w:t>
      </w:r>
    </w:p>
    <w:p w14:paraId="4D6F40FA" w14:textId="0C516796" w:rsidR="001C00D9" w:rsidRDefault="001C00D9" w:rsidP="00050AC5">
      <w:pPr>
        <w:ind w:left="0"/>
        <w:jc w:val="both"/>
        <w:rPr>
          <w:rFonts w:ascii="Bookman Old Style" w:hAnsi="Bookman Old Style" w:cs="Arial"/>
        </w:rPr>
      </w:pPr>
    </w:p>
    <w:p w14:paraId="29FF8BC8" w14:textId="6EA7577C" w:rsidR="001C00D9" w:rsidRDefault="00E5798B" w:rsidP="00050AC5">
      <w:pPr>
        <w:ind w:left="0"/>
        <w:jc w:val="both"/>
        <w:rPr>
          <w:rFonts w:ascii="Bookman Old Style" w:hAnsi="Bookman Old Style" w:cs="Arial"/>
        </w:rPr>
      </w:pPr>
      <w:r>
        <w:rPr>
          <w:rFonts w:ascii="Bookman Old Style" w:hAnsi="Bookman Old Style" w:cs="Arial"/>
        </w:rPr>
        <w:t>Teniendo en cuenta</w:t>
      </w:r>
      <w:r w:rsidR="007271FF">
        <w:rPr>
          <w:rFonts w:ascii="Bookman Old Style" w:hAnsi="Bookman Old Style" w:cs="Arial"/>
        </w:rPr>
        <w:t xml:space="preserve"> que no se trata de un simple formalismo</w:t>
      </w:r>
      <w:r w:rsidR="001E6FDB">
        <w:rPr>
          <w:rFonts w:ascii="Bookman Old Style" w:hAnsi="Bookman Old Style" w:cs="Arial"/>
        </w:rPr>
        <w:t>,</w:t>
      </w:r>
      <w:r w:rsidR="007271FF">
        <w:rPr>
          <w:rFonts w:ascii="Bookman Old Style" w:hAnsi="Bookman Old Style" w:cs="Arial"/>
        </w:rPr>
        <w:t xml:space="preserve"> como lo pretende a</w:t>
      </w:r>
      <w:r w:rsidR="00E0334E">
        <w:rPr>
          <w:rFonts w:ascii="Bookman Old Style" w:hAnsi="Bookman Old Style" w:cs="Arial"/>
        </w:rPr>
        <w:t xml:space="preserve"> </w:t>
      </w:r>
      <w:r w:rsidR="007271FF">
        <w:rPr>
          <w:rFonts w:ascii="Bookman Old Style" w:hAnsi="Bookman Old Style" w:cs="Arial"/>
        </w:rPr>
        <w:t>hacer ver la recurrente en el recurso</w:t>
      </w:r>
      <w:r w:rsidR="00E0334E">
        <w:rPr>
          <w:rFonts w:ascii="Bookman Old Style" w:hAnsi="Bookman Old Style" w:cs="Arial"/>
        </w:rPr>
        <w:t xml:space="preserve">, </w:t>
      </w:r>
      <w:r w:rsidR="001E6FDB">
        <w:rPr>
          <w:rFonts w:ascii="Bookman Old Style" w:hAnsi="Bookman Old Style" w:cs="Arial"/>
        </w:rPr>
        <w:t xml:space="preserve">y </w:t>
      </w:r>
      <w:r w:rsidR="00E0334E">
        <w:rPr>
          <w:rFonts w:ascii="Bookman Old Style" w:hAnsi="Bookman Old Style" w:cs="Arial"/>
        </w:rPr>
        <w:t>como se ha explicado en este acto administrativo, al realizar la auditoría</w:t>
      </w:r>
      <w:r w:rsidR="00424486">
        <w:rPr>
          <w:rFonts w:ascii="Bookman Old Style" w:hAnsi="Bookman Old Style" w:cs="Arial"/>
        </w:rPr>
        <w:t>, el auditor debe tener en cuenta las normas existentes</w:t>
      </w:r>
      <w:r w:rsidR="00746CE6">
        <w:rPr>
          <w:rFonts w:ascii="Bookman Old Style" w:hAnsi="Bookman Old Style" w:cs="Arial"/>
        </w:rPr>
        <w:t xml:space="preserve"> en su momento</w:t>
      </w:r>
      <w:r w:rsidR="003068C5">
        <w:rPr>
          <w:rFonts w:ascii="Bookman Old Style" w:hAnsi="Bookman Old Style" w:cs="Arial"/>
        </w:rPr>
        <w:t xml:space="preserve">, en particular se debe considerar </w:t>
      </w:r>
      <w:r w:rsidR="000E6E9E">
        <w:rPr>
          <w:rFonts w:ascii="Bookman Old Style" w:hAnsi="Bookman Old Style" w:cs="Arial"/>
        </w:rPr>
        <w:t>para el parámetro</w:t>
      </w:r>
      <w:r w:rsidR="00321452">
        <w:rPr>
          <w:rFonts w:ascii="Bookman Old Style" w:hAnsi="Bookman Old Style" w:cs="Arial"/>
        </w:rPr>
        <w:t xml:space="preserve"> </w:t>
      </w:r>
      <w:r w:rsidR="003068C5">
        <w:rPr>
          <w:rFonts w:ascii="Bookman Old Style" w:hAnsi="Bookman Old Style" w:cs="Arial"/>
        </w:rPr>
        <w:t>series de caudales</w:t>
      </w:r>
      <w:r w:rsidR="00321452">
        <w:rPr>
          <w:rFonts w:ascii="Bookman Old Style" w:hAnsi="Bookman Old Style" w:cs="Arial"/>
        </w:rPr>
        <w:t xml:space="preserve"> </w:t>
      </w:r>
      <w:r w:rsidR="00ED3114">
        <w:rPr>
          <w:rFonts w:ascii="Bookman Old Style" w:hAnsi="Bookman Old Style" w:cs="Arial"/>
        </w:rPr>
        <w:t xml:space="preserve">las </w:t>
      </w:r>
      <w:r w:rsidR="005D1F16">
        <w:rPr>
          <w:rFonts w:ascii="Bookman Old Style" w:hAnsi="Bookman Old Style" w:cs="Arial"/>
        </w:rPr>
        <w:t>r</w:t>
      </w:r>
      <w:r w:rsidR="00ED3114">
        <w:rPr>
          <w:rFonts w:ascii="Bookman Old Style" w:hAnsi="Bookman Old Style" w:cs="Arial"/>
        </w:rPr>
        <w:t>esoluciones de la CREG,</w:t>
      </w:r>
      <w:r w:rsidR="0062099D">
        <w:rPr>
          <w:rFonts w:ascii="Bookman Old Style" w:hAnsi="Bookman Old Style" w:cs="Arial"/>
        </w:rPr>
        <w:t xml:space="preserve"> </w:t>
      </w:r>
      <w:r w:rsidR="008E7DC0">
        <w:rPr>
          <w:rFonts w:ascii="Bookman Old Style" w:hAnsi="Bookman Old Style" w:cs="Arial"/>
        </w:rPr>
        <w:t xml:space="preserve">así como los </w:t>
      </w:r>
      <w:r w:rsidR="0062099D">
        <w:rPr>
          <w:rFonts w:ascii="Bookman Old Style" w:hAnsi="Bookman Old Style" w:cs="Arial"/>
        </w:rPr>
        <w:t>acuerdos</w:t>
      </w:r>
      <w:r w:rsidR="003429C4">
        <w:rPr>
          <w:rFonts w:ascii="Bookman Old Style" w:hAnsi="Bookman Old Style" w:cs="Arial"/>
        </w:rPr>
        <w:t xml:space="preserve"> y actas</w:t>
      </w:r>
      <w:r w:rsidR="0062099D">
        <w:rPr>
          <w:rFonts w:ascii="Bookman Old Style" w:hAnsi="Bookman Old Style" w:cs="Arial"/>
        </w:rPr>
        <w:t xml:space="preserve"> del </w:t>
      </w:r>
      <w:r w:rsidR="00490CB5">
        <w:rPr>
          <w:rFonts w:ascii="Bookman Old Style" w:hAnsi="Bookman Old Style" w:cs="Arial"/>
        </w:rPr>
        <w:t>CN</w:t>
      </w:r>
      <w:r w:rsidR="00B83295">
        <w:rPr>
          <w:rFonts w:ascii="Bookman Old Style" w:hAnsi="Bookman Old Style" w:cs="Arial"/>
        </w:rPr>
        <w:t>O</w:t>
      </w:r>
      <w:r w:rsidR="00490CB5">
        <w:rPr>
          <w:rFonts w:ascii="Bookman Old Style" w:hAnsi="Bookman Old Style" w:cs="Arial"/>
        </w:rPr>
        <w:t xml:space="preserve"> vigentes al 25 de enero</w:t>
      </w:r>
      <w:r w:rsidR="00B83295">
        <w:rPr>
          <w:rFonts w:ascii="Bookman Old Style" w:hAnsi="Bookman Old Style" w:cs="Arial"/>
        </w:rPr>
        <w:t xml:space="preserve"> de 2019</w:t>
      </w:r>
      <w:r w:rsidR="008235CB">
        <w:rPr>
          <w:rFonts w:ascii="Bookman Old Style" w:hAnsi="Bookman Old Style" w:cs="Arial"/>
        </w:rPr>
        <w:t xml:space="preserve">, fecha </w:t>
      </w:r>
      <w:r w:rsidR="008E7DC0">
        <w:rPr>
          <w:rFonts w:ascii="Bookman Old Style" w:hAnsi="Bookman Old Style" w:cs="Arial"/>
        </w:rPr>
        <w:t xml:space="preserve">esta </w:t>
      </w:r>
      <w:r w:rsidR="008235CB">
        <w:rPr>
          <w:rFonts w:ascii="Bookman Old Style" w:hAnsi="Bookman Old Style" w:cs="Arial"/>
        </w:rPr>
        <w:t xml:space="preserve">en la que se realizó la declaración de </w:t>
      </w:r>
      <w:r w:rsidR="005D1F16">
        <w:rPr>
          <w:rFonts w:ascii="Bookman Old Style" w:hAnsi="Bookman Old Style" w:cs="Arial"/>
        </w:rPr>
        <w:t xml:space="preserve">parámetros </w:t>
      </w:r>
      <w:r w:rsidR="005D1F16" w:rsidRPr="003015E4">
        <w:rPr>
          <w:rFonts w:ascii="Bookman Old Style" w:hAnsi="Bookman Old Style" w:cs="Arial"/>
        </w:rPr>
        <w:t>y</w:t>
      </w:r>
      <w:r w:rsidR="001E6FDB">
        <w:rPr>
          <w:rFonts w:ascii="Bookman Old Style" w:hAnsi="Bookman Old Style" w:cs="Arial"/>
        </w:rPr>
        <w:t>,</w:t>
      </w:r>
      <w:r w:rsidR="005D1F16" w:rsidRPr="003015E4">
        <w:rPr>
          <w:rFonts w:ascii="Bookman Old Style" w:hAnsi="Bookman Old Style" w:cs="Arial"/>
        </w:rPr>
        <w:t xml:space="preserve"> como bien lo reconoce la </w:t>
      </w:r>
      <w:r w:rsidR="001B1099" w:rsidRPr="003015E4">
        <w:rPr>
          <w:rFonts w:ascii="Bookman Old Style" w:hAnsi="Bookman Old Style" w:cs="Arial"/>
        </w:rPr>
        <w:t>apoderada</w:t>
      </w:r>
      <w:r w:rsidR="005D1F16" w:rsidRPr="003015E4">
        <w:rPr>
          <w:rFonts w:ascii="Bookman Old Style" w:hAnsi="Bookman Old Style" w:cs="Arial"/>
        </w:rPr>
        <w:t xml:space="preserve"> de ISAGEN</w:t>
      </w:r>
      <w:r w:rsidR="001E6FDB">
        <w:rPr>
          <w:rFonts w:ascii="Bookman Old Style" w:hAnsi="Bookman Old Style" w:cs="Arial"/>
        </w:rPr>
        <w:t xml:space="preserve"> S.A. E.S.P.</w:t>
      </w:r>
      <w:r w:rsidR="00BE3473" w:rsidRPr="003015E4">
        <w:rPr>
          <w:rFonts w:ascii="Bookman Old Style" w:hAnsi="Bookman Old Style" w:cs="Arial"/>
        </w:rPr>
        <w:t>,</w:t>
      </w:r>
      <w:r w:rsidR="00AD7216" w:rsidRPr="003015E4">
        <w:rPr>
          <w:rFonts w:ascii="Bookman Old Style" w:hAnsi="Bookman Old Style" w:cs="Arial"/>
        </w:rPr>
        <w:t xml:space="preserve"> la metodología para la serie Guarinó </w:t>
      </w:r>
      <w:r w:rsidR="00ED2227" w:rsidRPr="00033015">
        <w:rPr>
          <w:rFonts w:ascii="Bookman Old Style" w:hAnsi="Bookman Old Style" w:cs="Arial"/>
        </w:rPr>
        <w:t xml:space="preserve">se </w:t>
      </w:r>
      <w:r w:rsidR="00B92050" w:rsidRPr="00033015">
        <w:rPr>
          <w:rFonts w:ascii="Bookman Old Style" w:hAnsi="Bookman Old Style" w:cs="Arial"/>
        </w:rPr>
        <w:t>aplicó</w:t>
      </w:r>
      <w:r w:rsidR="00AD7666" w:rsidRPr="00033015">
        <w:rPr>
          <w:rFonts w:ascii="Bookman Old Style" w:hAnsi="Bookman Old Style" w:cs="Arial"/>
        </w:rPr>
        <w:t>,</w:t>
      </w:r>
      <w:r w:rsidR="00ED2227" w:rsidRPr="00033015">
        <w:rPr>
          <w:rFonts w:ascii="Bookman Old Style" w:hAnsi="Bookman Old Style" w:cs="Arial"/>
        </w:rPr>
        <w:t xml:space="preserve"> </w:t>
      </w:r>
      <w:r w:rsidR="00AD7666" w:rsidRPr="00033015">
        <w:rPr>
          <w:rFonts w:ascii="Bookman Old Style" w:hAnsi="Bookman Old Style" w:cs="Arial"/>
        </w:rPr>
        <w:t>para una parte del periodo auditado,</w:t>
      </w:r>
      <w:r w:rsidR="00ED2227" w:rsidRPr="00033015">
        <w:rPr>
          <w:rFonts w:ascii="Bookman Old Style" w:hAnsi="Bookman Old Style" w:cs="Arial"/>
        </w:rPr>
        <w:t xml:space="preserve"> </w:t>
      </w:r>
      <w:r w:rsidR="00412FC4" w:rsidRPr="00033015">
        <w:rPr>
          <w:rFonts w:ascii="Bookman Old Style" w:hAnsi="Bookman Old Style" w:cs="Arial"/>
        </w:rPr>
        <w:t xml:space="preserve">sin haberse </w:t>
      </w:r>
      <w:r w:rsidR="00623879" w:rsidRPr="00033015">
        <w:rPr>
          <w:rFonts w:ascii="Bookman Old Style" w:hAnsi="Bookman Old Style" w:cs="Arial"/>
        </w:rPr>
        <w:t xml:space="preserve">sustentado dentro de un tiempo oportuno </w:t>
      </w:r>
      <w:r w:rsidR="0064432A" w:rsidRPr="00B03619">
        <w:rPr>
          <w:rFonts w:ascii="Bookman Old Style" w:hAnsi="Bookman Old Style" w:cs="Arial"/>
        </w:rPr>
        <w:t xml:space="preserve">ante el </w:t>
      </w:r>
      <w:r w:rsidR="001E6FDB">
        <w:rPr>
          <w:rFonts w:ascii="Bookman Old Style" w:hAnsi="Bookman Old Style" w:cs="Arial"/>
        </w:rPr>
        <w:t>CNO,</w:t>
      </w:r>
      <w:r w:rsidR="0064432A" w:rsidRPr="0064432A">
        <w:rPr>
          <w:rFonts w:ascii="Bookman Old Style" w:hAnsi="Bookman Old Style" w:cs="Arial"/>
        </w:rPr>
        <w:t xml:space="preserve"> </w:t>
      </w:r>
      <w:r w:rsidR="0064432A">
        <w:rPr>
          <w:rFonts w:ascii="Bookman Old Style" w:hAnsi="Bookman Old Style" w:cs="Arial"/>
        </w:rPr>
        <w:t xml:space="preserve">y </w:t>
      </w:r>
      <w:r w:rsidR="00623879" w:rsidRPr="00033015">
        <w:rPr>
          <w:rFonts w:ascii="Bookman Old Style" w:hAnsi="Bookman Old Style" w:cs="Arial"/>
        </w:rPr>
        <w:t xml:space="preserve">antes de la </w:t>
      </w:r>
      <w:r w:rsidR="003015E4">
        <w:rPr>
          <w:rFonts w:ascii="Bookman Old Style" w:hAnsi="Bookman Old Style" w:cs="Arial"/>
        </w:rPr>
        <w:t xml:space="preserve">etapa de </w:t>
      </w:r>
      <w:r w:rsidR="00B92050" w:rsidRPr="00033015">
        <w:rPr>
          <w:rFonts w:ascii="Bookman Old Style" w:hAnsi="Bookman Old Style" w:cs="Arial"/>
        </w:rPr>
        <w:t>declaración</w:t>
      </w:r>
      <w:r w:rsidR="00623879" w:rsidRPr="00033015">
        <w:rPr>
          <w:rFonts w:ascii="Bookman Old Style" w:hAnsi="Bookman Old Style" w:cs="Arial"/>
        </w:rPr>
        <w:t xml:space="preserve"> de parámetros </w:t>
      </w:r>
      <w:r w:rsidR="003015E4">
        <w:rPr>
          <w:rFonts w:ascii="Bookman Old Style" w:hAnsi="Bookman Old Style" w:cs="Arial"/>
        </w:rPr>
        <w:t xml:space="preserve">en la subasta </w:t>
      </w:r>
      <w:r w:rsidR="0064432A">
        <w:rPr>
          <w:rFonts w:ascii="Bookman Old Style" w:hAnsi="Bookman Old Style" w:cs="Arial"/>
        </w:rPr>
        <w:t xml:space="preserve">del año </w:t>
      </w:r>
      <w:r w:rsidR="002B1F40">
        <w:rPr>
          <w:rFonts w:ascii="Bookman Old Style" w:hAnsi="Bookman Old Style" w:cs="Arial"/>
        </w:rPr>
        <w:t>2019</w:t>
      </w:r>
      <w:r w:rsidR="001E6FDB">
        <w:rPr>
          <w:rFonts w:ascii="Bookman Old Style" w:hAnsi="Bookman Old Style" w:cs="Arial"/>
        </w:rPr>
        <w:t>. P</w:t>
      </w:r>
      <w:r w:rsidR="00E82663" w:rsidRPr="00033015">
        <w:rPr>
          <w:rFonts w:ascii="Bookman Old Style" w:hAnsi="Bookman Old Style" w:cs="Arial"/>
        </w:rPr>
        <w:t>or tanto,</w:t>
      </w:r>
      <w:r w:rsidR="00AD7216" w:rsidRPr="003015E4">
        <w:rPr>
          <w:rFonts w:ascii="Bookman Old Style" w:hAnsi="Bookman Old Style" w:cs="Arial"/>
        </w:rPr>
        <w:t xml:space="preserve"> no </w:t>
      </w:r>
      <w:r w:rsidR="00B92050" w:rsidRPr="00033015">
        <w:rPr>
          <w:rFonts w:ascii="Bookman Old Style" w:hAnsi="Bookman Old Style" w:cs="Arial"/>
        </w:rPr>
        <w:t xml:space="preserve">se </w:t>
      </w:r>
      <w:r w:rsidR="00AD7216" w:rsidRPr="003015E4">
        <w:rPr>
          <w:rFonts w:ascii="Bookman Old Style" w:hAnsi="Bookman Old Style" w:cs="Arial"/>
        </w:rPr>
        <w:t xml:space="preserve">identifica </w:t>
      </w:r>
      <w:r w:rsidR="008E7DC0">
        <w:rPr>
          <w:rFonts w:ascii="Bookman Old Style" w:hAnsi="Bookman Old Style" w:cs="Arial"/>
        </w:rPr>
        <w:t>de manera</w:t>
      </w:r>
      <w:r w:rsidR="002B1F40">
        <w:rPr>
          <w:rFonts w:ascii="Bookman Old Style" w:hAnsi="Bookman Old Style" w:cs="Arial"/>
        </w:rPr>
        <w:t xml:space="preserve"> oportun</w:t>
      </w:r>
      <w:r w:rsidR="008E7DC0">
        <w:rPr>
          <w:rFonts w:ascii="Bookman Old Style" w:hAnsi="Bookman Old Style" w:cs="Arial"/>
        </w:rPr>
        <w:t>a</w:t>
      </w:r>
      <w:r w:rsidR="002B1F40">
        <w:rPr>
          <w:rFonts w:ascii="Bookman Old Style" w:hAnsi="Bookman Old Style" w:cs="Arial"/>
        </w:rPr>
        <w:t xml:space="preserve"> </w:t>
      </w:r>
      <w:r w:rsidR="00AD7216" w:rsidRPr="003015E4">
        <w:rPr>
          <w:rFonts w:ascii="Bookman Old Style" w:hAnsi="Bookman Old Style" w:cs="Arial"/>
        </w:rPr>
        <w:t xml:space="preserve">que </w:t>
      </w:r>
      <w:r w:rsidR="000376C9">
        <w:rPr>
          <w:rFonts w:ascii="Bookman Old Style" w:hAnsi="Bookman Old Style" w:cs="Arial"/>
        </w:rPr>
        <w:t xml:space="preserve">la metodología </w:t>
      </w:r>
      <w:r w:rsidR="00AD7216" w:rsidRPr="003015E4">
        <w:rPr>
          <w:rFonts w:ascii="Bookman Old Style" w:hAnsi="Bookman Old Style" w:cs="Arial"/>
        </w:rPr>
        <w:t>sea a partir de registros directos en Sitio de Desvío</w:t>
      </w:r>
      <w:r w:rsidR="00AD7216" w:rsidRPr="00AD7216">
        <w:rPr>
          <w:rFonts w:ascii="Bookman Old Style" w:hAnsi="Bookman Old Style" w:cs="Arial"/>
        </w:rPr>
        <w:t>. Caso que</w:t>
      </w:r>
      <w:r w:rsidR="001E6FDB">
        <w:rPr>
          <w:rFonts w:ascii="Bookman Old Style" w:hAnsi="Bookman Old Style" w:cs="Arial"/>
        </w:rPr>
        <w:t>,</w:t>
      </w:r>
      <w:r w:rsidR="00AD7216" w:rsidRPr="00AD7216">
        <w:rPr>
          <w:rFonts w:ascii="Bookman Old Style" w:hAnsi="Bookman Old Style" w:cs="Arial"/>
        </w:rPr>
        <w:t xml:space="preserve"> según reconoce ISAGEN </w:t>
      </w:r>
      <w:r w:rsidR="001E6FDB">
        <w:rPr>
          <w:rFonts w:ascii="Bookman Old Style" w:hAnsi="Bookman Old Style" w:cs="Arial"/>
        </w:rPr>
        <w:t xml:space="preserve">S.A. E.S.P., </w:t>
      </w:r>
      <w:r w:rsidR="00AD7216" w:rsidRPr="00AD7216">
        <w:rPr>
          <w:rFonts w:ascii="Bookman Old Style" w:hAnsi="Bookman Old Style" w:cs="Arial"/>
        </w:rPr>
        <w:t>no estaba explícito, sino que aclaró a partir de las reuniones del SURER de noviembre de 2020. Fecha que es posterior a la declaración de parámetros, 25 de enero de 2019.</w:t>
      </w:r>
    </w:p>
    <w:p w14:paraId="06779ECA" w14:textId="55C0AB05" w:rsidR="00BE3473" w:rsidRDefault="00BE3473" w:rsidP="00050AC5">
      <w:pPr>
        <w:ind w:left="0"/>
        <w:jc w:val="both"/>
        <w:rPr>
          <w:rFonts w:ascii="Bookman Old Style" w:hAnsi="Bookman Old Style" w:cs="Arial"/>
        </w:rPr>
      </w:pPr>
    </w:p>
    <w:p w14:paraId="5B6DD3EE" w14:textId="46F12A6E" w:rsidR="00BE3473" w:rsidRDefault="00BE3473" w:rsidP="00050AC5">
      <w:pPr>
        <w:ind w:left="0"/>
        <w:jc w:val="both"/>
        <w:rPr>
          <w:rFonts w:ascii="Bookman Old Style" w:hAnsi="Bookman Old Style" w:cs="Arial"/>
        </w:rPr>
      </w:pPr>
      <w:r>
        <w:rPr>
          <w:rFonts w:ascii="Bookman Old Style" w:hAnsi="Bookman Old Style" w:cs="Arial"/>
        </w:rPr>
        <w:t>En este sentido</w:t>
      </w:r>
      <w:r w:rsidR="001E6FDB">
        <w:rPr>
          <w:rFonts w:ascii="Bookman Old Style" w:hAnsi="Bookman Old Style" w:cs="Arial"/>
        </w:rPr>
        <w:t>,</w:t>
      </w:r>
      <w:r>
        <w:rPr>
          <w:rFonts w:ascii="Bookman Old Style" w:hAnsi="Bookman Old Style" w:cs="Arial"/>
        </w:rPr>
        <w:t xml:space="preserve"> no </w:t>
      </w:r>
      <w:r w:rsidR="00964C7D">
        <w:rPr>
          <w:rFonts w:ascii="Bookman Old Style" w:hAnsi="Bookman Old Style" w:cs="Arial"/>
        </w:rPr>
        <w:t xml:space="preserve">se trata de </w:t>
      </w:r>
      <w:r>
        <w:rPr>
          <w:rFonts w:ascii="Bookman Old Style" w:hAnsi="Bookman Old Style" w:cs="Arial"/>
        </w:rPr>
        <w:t>un simple formalismo</w:t>
      </w:r>
      <w:r w:rsidR="00E2334E">
        <w:rPr>
          <w:rFonts w:ascii="Bookman Old Style" w:hAnsi="Bookman Old Style" w:cs="Arial"/>
        </w:rPr>
        <w:t>, si no de una información extemporánea a la auditoría realizada</w:t>
      </w:r>
      <w:r w:rsidR="001E6FDB">
        <w:rPr>
          <w:rFonts w:ascii="Bookman Old Style" w:hAnsi="Bookman Old Style" w:cs="Arial"/>
        </w:rPr>
        <w:t>. P</w:t>
      </w:r>
      <w:r w:rsidR="00E2334E">
        <w:rPr>
          <w:rFonts w:ascii="Bookman Old Style" w:hAnsi="Bookman Old Style" w:cs="Arial"/>
        </w:rPr>
        <w:t>or tanto</w:t>
      </w:r>
      <w:r w:rsidR="001E6FDB">
        <w:rPr>
          <w:rFonts w:ascii="Bookman Old Style" w:hAnsi="Bookman Old Style" w:cs="Arial"/>
        </w:rPr>
        <w:t>,</w:t>
      </w:r>
      <w:r w:rsidR="00E2334E">
        <w:rPr>
          <w:rFonts w:ascii="Bookman Old Style" w:hAnsi="Bookman Old Style" w:cs="Arial"/>
        </w:rPr>
        <w:t xml:space="preserve"> no se acepta el argumento de la recurrente.</w:t>
      </w:r>
    </w:p>
    <w:p w14:paraId="5E72300A" w14:textId="503E7200" w:rsidR="002020A0" w:rsidRDefault="002020A0" w:rsidP="00050AC5">
      <w:pPr>
        <w:ind w:left="0"/>
        <w:jc w:val="both"/>
        <w:rPr>
          <w:rFonts w:ascii="Bookman Old Style" w:hAnsi="Bookman Old Style" w:cs="Arial"/>
        </w:rPr>
      </w:pPr>
    </w:p>
    <w:p w14:paraId="06A83E99" w14:textId="0F83FEAD" w:rsidR="002020A0" w:rsidRPr="007F2D30" w:rsidRDefault="002020A0" w:rsidP="004440CE">
      <w:pPr>
        <w:pStyle w:val="Prrafodelista"/>
        <w:numPr>
          <w:ilvl w:val="0"/>
          <w:numId w:val="13"/>
        </w:numPr>
        <w:ind w:left="567" w:right="142"/>
        <w:jc w:val="both"/>
        <w:rPr>
          <w:rFonts w:ascii="Bookman Old Style" w:hAnsi="Bookman Old Style" w:cs="Arial"/>
        </w:rPr>
      </w:pPr>
      <w:r w:rsidRPr="007F2D30">
        <w:rPr>
          <w:rFonts w:ascii="Bookman Old Style" w:hAnsi="Bookman Old Style" w:cs="Arial"/>
          <w:i/>
        </w:rPr>
        <w:t>Falsa motivación y trasgresión del principio de legalidad por inexistencia de discrepancia en los valores reportados por ISAGEN para la serie Guarinó</w:t>
      </w:r>
      <w:r w:rsidR="004440CE">
        <w:rPr>
          <w:rFonts w:ascii="Bookman Old Style" w:hAnsi="Bookman Old Style" w:cs="Arial"/>
          <w:i/>
        </w:rPr>
        <w:t>.</w:t>
      </w:r>
    </w:p>
    <w:p w14:paraId="6A8FC85C" w14:textId="1EC8C680" w:rsidR="00E0334E" w:rsidRDefault="00E0334E" w:rsidP="00050AC5">
      <w:pPr>
        <w:ind w:left="0"/>
        <w:jc w:val="both"/>
        <w:rPr>
          <w:rFonts w:ascii="Bookman Old Style" w:hAnsi="Bookman Old Style" w:cs="Arial"/>
        </w:rPr>
      </w:pPr>
    </w:p>
    <w:p w14:paraId="74FE234B" w14:textId="6CF8B0C2" w:rsidR="006A01BB" w:rsidRDefault="006A01BB" w:rsidP="00050AC5">
      <w:pPr>
        <w:ind w:left="0"/>
        <w:jc w:val="both"/>
        <w:rPr>
          <w:rFonts w:ascii="Bookman Old Style" w:hAnsi="Bookman Old Style" w:cs="Arial"/>
        </w:rPr>
      </w:pPr>
      <w:r>
        <w:rPr>
          <w:rFonts w:ascii="Bookman Old Style" w:hAnsi="Bookman Old Style" w:cs="Arial"/>
        </w:rPr>
        <w:t>En primer término</w:t>
      </w:r>
      <w:r w:rsidR="001E6FDB">
        <w:rPr>
          <w:rFonts w:ascii="Bookman Old Style" w:hAnsi="Bookman Old Style" w:cs="Arial"/>
        </w:rPr>
        <w:t>,</w:t>
      </w:r>
      <w:r>
        <w:rPr>
          <w:rFonts w:ascii="Bookman Old Style" w:hAnsi="Bookman Old Style" w:cs="Arial"/>
        </w:rPr>
        <w:t xml:space="preserve"> la Resolución CREG 501</w:t>
      </w:r>
      <w:r w:rsidR="001E6FDB">
        <w:rPr>
          <w:rFonts w:ascii="Bookman Old Style" w:hAnsi="Bookman Old Style" w:cs="Arial"/>
        </w:rPr>
        <w:t xml:space="preserve"> </w:t>
      </w:r>
      <w:r>
        <w:rPr>
          <w:rFonts w:ascii="Bookman Old Style" w:hAnsi="Bookman Old Style" w:cs="Arial"/>
        </w:rPr>
        <w:t>0</w:t>
      </w:r>
      <w:r w:rsidR="00727388">
        <w:rPr>
          <w:rFonts w:ascii="Bookman Old Style" w:hAnsi="Bookman Old Style" w:cs="Arial"/>
        </w:rPr>
        <w:t>3</w:t>
      </w:r>
      <w:r>
        <w:rPr>
          <w:rFonts w:ascii="Bookman Old Style" w:hAnsi="Bookman Old Style" w:cs="Arial"/>
        </w:rPr>
        <w:t>3 de 2022, se motiva</w:t>
      </w:r>
      <w:r w:rsidR="00EC55F0">
        <w:rPr>
          <w:rFonts w:ascii="Bookman Old Style" w:hAnsi="Bookman Old Style" w:cs="Arial"/>
        </w:rPr>
        <w:t xml:space="preserve"> en la Constitución Política, la </w:t>
      </w:r>
      <w:r w:rsidR="004C5F41">
        <w:rPr>
          <w:rFonts w:ascii="Bookman Old Style" w:hAnsi="Bookman Old Style" w:cs="Arial"/>
        </w:rPr>
        <w:t>L</w:t>
      </w:r>
      <w:r w:rsidR="00EC55F0">
        <w:rPr>
          <w:rFonts w:ascii="Bookman Old Style" w:hAnsi="Bookman Old Style" w:cs="Arial"/>
        </w:rPr>
        <w:t>ey 143 de 1994, Resolución CREG 071 de 2006</w:t>
      </w:r>
      <w:r w:rsidR="00440334">
        <w:rPr>
          <w:rFonts w:ascii="Bookman Old Style" w:hAnsi="Bookman Old Style" w:cs="Arial"/>
        </w:rPr>
        <w:t>, aunado al informe del auditor</w:t>
      </w:r>
      <w:r w:rsidR="000070AC">
        <w:rPr>
          <w:rFonts w:ascii="Bookman Old Style" w:hAnsi="Bookman Old Style" w:cs="Arial"/>
        </w:rPr>
        <w:t xml:space="preserve"> HMV</w:t>
      </w:r>
      <w:r w:rsidR="00057051">
        <w:rPr>
          <w:rFonts w:ascii="Bookman Old Style" w:hAnsi="Bookman Old Style" w:cs="Arial"/>
        </w:rPr>
        <w:t xml:space="preserve"> </w:t>
      </w:r>
      <w:r w:rsidR="001E6FDB">
        <w:rPr>
          <w:rFonts w:ascii="Bookman Old Style" w:hAnsi="Bookman Old Style" w:cs="Arial"/>
        </w:rPr>
        <w:t xml:space="preserve">Ingenieros </w:t>
      </w:r>
      <w:r w:rsidR="00057051">
        <w:rPr>
          <w:rFonts w:ascii="Bookman Old Style" w:hAnsi="Bookman Old Style" w:cs="Arial"/>
        </w:rPr>
        <w:t>con relación a la unidad de generación Hidroeléctrica Miel I</w:t>
      </w:r>
      <w:r w:rsidR="001E6FDB">
        <w:rPr>
          <w:rFonts w:ascii="Bookman Old Style" w:hAnsi="Bookman Old Style" w:cs="Arial"/>
        </w:rPr>
        <w:t>. P</w:t>
      </w:r>
      <w:r w:rsidR="00767568">
        <w:rPr>
          <w:rFonts w:ascii="Bookman Old Style" w:hAnsi="Bookman Old Style" w:cs="Arial"/>
        </w:rPr>
        <w:t>or tanto</w:t>
      </w:r>
      <w:r w:rsidR="001E6FDB">
        <w:rPr>
          <w:rFonts w:ascii="Bookman Old Style" w:hAnsi="Bookman Old Style" w:cs="Arial"/>
        </w:rPr>
        <w:t>,</w:t>
      </w:r>
      <w:r w:rsidR="00C95018">
        <w:rPr>
          <w:rFonts w:ascii="Bookman Old Style" w:hAnsi="Bookman Old Style" w:cs="Arial"/>
        </w:rPr>
        <w:t xml:space="preserve"> existe una clara y certera motivación</w:t>
      </w:r>
      <w:r w:rsidR="00B86654">
        <w:rPr>
          <w:rFonts w:ascii="Bookman Old Style" w:hAnsi="Bookman Old Style" w:cs="Arial"/>
        </w:rPr>
        <w:t>.</w:t>
      </w:r>
    </w:p>
    <w:p w14:paraId="78747B4A" w14:textId="07BFB153" w:rsidR="00B86654" w:rsidRDefault="00B86654" w:rsidP="00050AC5">
      <w:pPr>
        <w:ind w:left="0"/>
        <w:jc w:val="both"/>
        <w:rPr>
          <w:rFonts w:ascii="Bookman Old Style" w:hAnsi="Bookman Old Style" w:cs="Arial"/>
        </w:rPr>
      </w:pPr>
    </w:p>
    <w:p w14:paraId="60025FC5" w14:textId="35C36575" w:rsidR="00B86654" w:rsidRDefault="00D30A40" w:rsidP="00050AC5">
      <w:pPr>
        <w:ind w:left="0"/>
        <w:jc w:val="both"/>
        <w:rPr>
          <w:rFonts w:ascii="Bookman Old Style" w:hAnsi="Bookman Old Style" w:cs="Arial"/>
        </w:rPr>
      </w:pPr>
      <w:r>
        <w:rPr>
          <w:rFonts w:ascii="Bookman Old Style" w:hAnsi="Bookman Old Style" w:cs="Arial"/>
        </w:rPr>
        <w:t>Manifiesta</w:t>
      </w:r>
      <w:r w:rsidR="00B86654">
        <w:rPr>
          <w:rFonts w:ascii="Bookman Old Style" w:hAnsi="Bookman Old Style" w:cs="Arial"/>
        </w:rPr>
        <w:t xml:space="preserve"> la recurrente</w:t>
      </w:r>
      <w:r w:rsidR="001E6FDB">
        <w:rPr>
          <w:rFonts w:ascii="Bookman Old Style" w:hAnsi="Bookman Old Style" w:cs="Arial"/>
        </w:rPr>
        <w:t>,</w:t>
      </w:r>
      <w:r w:rsidR="00B86654">
        <w:rPr>
          <w:rFonts w:ascii="Bookman Old Style" w:hAnsi="Bookman Old Style" w:cs="Arial"/>
        </w:rPr>
        <w:t xml:space="preserve"> en l</w:t>
      </w:r>
      <w:r w:rsidR="001E6FDB">
        <w:rPr>
          <w:rFonts w:ascii="Bookman Old Style" w:hAnsi="Bookman Old Style" w:cs="Arial"/>
        </w:rPr>
        <w:t>a</w:t>
      </w:r>
      <w:r w:rsidR="00B86654">
        <w:rPr>
          <w:rFonts w:ascii="Bookman Old Style" w:hAnsi="Bookman Old Style" w:cs="Arial"/>
        </w:rPr>
        <w:t xml:space="preserve"> </w:t>
      </w:r>
      <w:r w:rsidR="00A52FD4">
        <w:rPr>
          <w:rFonts w:ascii="Bookman Old Style" w:hAnsi="Bookman Old Style" w:cs="Arial"/>
        </w:rPr>
        <w:t>sustentación</w:t>
      </w:r>
      <w:r w:rsidR="00B86654">
        <w:rPr>
          <w:rFonts w:ascii="Bookman Old Style" w:hAnsi="Bookman Old Style" w:cs="Arial"/>
        </w:rPr>
        <w:t xml:space="preserve"> del recurso:</w:t>
      </w:r>
    </w:p>
    <w:p w14:paraId="38116A3D" w14:textId="77777777" w:rsidR="00B86654" w:rsidRDefault="00B86654" w:rsidP="00050AC5">
      <w:pPr>
        <w:ind w:left="0"/>
        <w:jc w:val="both"/>
        <w:rPr>
          <w:rFonts w:ascii="Bookman Old Style" w:hAnsi="Bookman Old Style" w:cs="Arial"/>
        </w:rPr>
      </w:pPr>
    </w:p>
    <w:p w14:paraId="7F65D0C4" w14:textId="210E19F3" w:rsidR="00B86654" w:rsidRPr="004440CE" w:rsidRDefault="00B86654" w:rsidP="00FB0EBB">
      <w:pPr>
        <w:jc w:val="both"/>
        <w:rPr>
          <w:rFonts w:ascii="Bookman Old Style" w:hAnsi="Bookman Old Style" w:cs="Arial"/>
          <w:i/>
          <w:iCs/>
          <w:sz w:val="22"/>
          <w:szCs w:val="22"/>
        </w:rPr>
      </w:pPr>
      <w:r w:rsidRPr="004440CE">
        <w:rPr>
          <w:rFonts w:ascii="Bookman Old Style" w:hAnsi="Bookman Old Style"/>
          <w:i/>
          <w:iCs/>
          <w:sz w:val="22"/>
          <w:szCs w:val="22"/>
        </w:rPr>
        <w:t>Lo que se presentó, fue la indisponibilidad de una fórmula expresa en actas del SURER para el momento de la realización de la auditoría, situación que, no obstante fue subsanada ante el auditor, el cual, sin embargo, por lo reglado del procedimiento no pudo, o no le era dable incorporarla en ese momento a su informe final</w:t>
      </w:r>
    </w:p>
    <w:p w14:paraId="6E06BDE9" w14:textId="1F3D2301" w:rsidR="00EC55F0" w:rsidRDefault="00EC55F0" w:rsidP="00050AC5">
      <w:pPr>
        <w:ind w:left="0"/>
        <w:jc w:val="both"/>
        <w:rPr>
          <w:rFonts w:ascii="Bookman Old Style" w:hAnsi="Bookman Old Style" w:cs="Arial"/>
        </w:rPr>
      </w:pPr>
    </w:p>
    <w:p w14:paraId="0774A273" w14:textId="71196431" w:rsidR="00B86654" w:rsidRDefault="00B86654" w:rsidP="00050AC5">
      <w:pPr>
        <w:ind w:left="0"/>
        <w:jc w:val="both"/>
        <w:rPr>
          <w:rFonts w:ascii="Bookman Old Style" w:hAnsi="Bookman Old Style" w:cs="Arial"/>
        </w:rPr>
      </w:pPr>
      <w:r>
        <w:rPr>
          <w:rFonts w:ascii="Bookman Old Style" w:hAnsi="Bookman Old Style" w:cs="Arial"/>
        </w:rPr>
        <w:t>En este sentido</w:t>
      </w:r>
      <w:r w:rsidR="00FB0EBB">
        <w:rPr>
          <w:rFonts w:ascii="Bookman Old Style" w:hAnsi="Bookman Old Style" w:cs="Arial"/>
        </w:rPr>
        <w:t>,</w:t>
      </w:r>
      <w:r>
        <w:rPr>
          <w:rFonts w:ascii="Bookman Old Style" w:hAnsi="Bookman Old Style" w:cs="Arial"/>
        </w:rPr>
        <w:t xml:space="preserve"> se reconoce</w:t>
      </w:r>
      <w:r w:rsidR="00F66A57">
        <w:rPr>
          <w:rFonts w:ascii="Bookman Old Style" w:hAnsi="Bookman Old Style" w:cs="Arial"/>
        </w:rPr>
        <w:t xml:space="preserve"> que para la fecha de la auditoría no estaba disponible</w:t>
      </w:r>
      <w:r w:rsidR="005B6033">
        <w:rPr>
          <w:rFonts w:ascii="Bookman Old Style" w:hAnsi="Bookman Old Style" w:cs="Arial"/>
        </w:rPr>
        <w:t xml:space="preserve"> la fórmula expresa en actas del SURER, situación que obligó a la empresa</w:t>
      </w:r>
      <w:r w:rsidR="00A52FD4">
        <w:rPr>
          <w:rFonts w:ascii="Bookman Old Style" w:hAnsi="Bookman Old Style" w:cs="Arial"/>
        </w:rPr>
        <w:t xml:space="preserve"> a subsanar tal falt</w:t>
      </w:r>
      <w:r w:rsidR="00D30A40">
        <w:rPr>
          <w:rFonts w:ascii="Bookman Old Style" w:hAnsi="Bookman Old Style" w:cs="Arial"/>
        </w:rPr>
        <w:t>a</w:t>
      </w:r>
      <w:r w:rsidR="00A52FD4">
        <w:rPr>
          <w:rFonts w:ascii="Bookman Old Style" w:hAnsi="Bookman Old Style" w:cs="Arial"/>
        </w:rPr>
        <w:t xml:space="preserve"> de información</w:t>
      </w:r>
      <w:r w:rsidR="00FB0EBB">
        <w:rPr>
          <w:rFonts w:ascii="Bookman Old Style" w:hAnsi="Bookman Old Style" w:cs="Arial"/>
        </w:rPr>
        <w:t>. P</w:t>
      </w:r>
      <w:r w:rsidR="00D30A40">
        <w:rPr>
          <w:rFonts w:ascii="Bookman Old Style" w:hAnsi="Bookman Old Style" w:cs="Arial"/>
        </w:rPr>
        <w:t>or tanto, lo que se encontró en el desarrollo de la actuación administrativa es que</w:t>
      </w:r>
      <w:r w:rsidR="00FB0EBB">
        <w:rPr>
          <w:rFonts w:ascii="Bookman Old Style" w:hAnsi="Bookman Old Style" w:cs="Arial"/>
        </w:rPr>
        <w:t>,</w:t>
      </w:r>
      <w:r w:rsidR="0050169E">
        <w:rPr>
          <w:rFonts w:ascii="Bookman Old Style" w:hAnsi="Bookman Old Style" w:cs="Arial"/>
        </w:rPr>
        <w:t xml:space="preserve"> con la información disponible al momento de la realización de auditoría, la información estaba incompleta, situación que arrojó el resultado de la auditoría</w:t>
      </w:r>
      <w:r w:rsidR="00FB0EBB">
        <w:rPr>
          <w:rFonts w:ascii="Bookman Old Style" w:hAnsi="Bookman Old Style" w:cs="Arial"/>
        </w:rPr>
        <w:t>,</w:t>
      </w:r>
      <w:r w:rsidR="0050169E">
        <w:rPr>
          <w:rFonts w:ascii="Bookman Old Style" w:hAnsi="Bookman Old Style" w:cs="Arial"/>
        </w:rPr>
        <w:t xml:space="preserve"> donde se</w:t>
      </w:r>
      <w:r w:rsidR="007B7938">
        <w:rPr>
          <w:rFonts w:ascii="Bookman Old Style" w:hAnsi="Bookman Old Style" w:cs="Arial"/>
        </w:rPr>
        <w:t xml:space="preserve"> concluyó</w:t>
      </w:r>
      <w:r w:rsidR="00937448">
        <w:rPr>
          <w:rFonts w:ascii="Bookman Old Style" w:hAnsi="Bookman Old Style" w:cs="Arial"/>
        </w:rPr>
        <w:t xml:space="preserve"> la existencia de la discrepancia</w:t>
      </w:r>
      <w:r w:rsidR="00DB05FE">
        <w:rPr>
          <w:rFonts w:ascii="Bookman Old Style" w:hAnsi="Bookman Old Style" w:cs="Arial"/>
        </w:rPr>
        <w:t xml:space="preserve"> </w:t>
      </w:r>
      <w:r w:rsidR="00C10080" w:rsidRPr="00C10080">
        <w:t xml:space="preserve"> </w:t>
      </w:r>
      <w:r w:rsidR="00C10080" w:rsidRPr="00C10080">
        <w:rPr>
          <w:rFonts w:ascii="Bookman Old Style" w:hAnsi="Bookman Old Style" w:cs="Arial"/>
        </w:rPr>
        <w:t xml:space="preserve">para la planta Miel I respecto del parámetro </w:t>
      </w:r>
      <w:r w:rsidR="005E79DC">
        <w:rPr>
          <w:rFonts w:ascii="Bookman Old Style" w:hAnsi="Bookman Old Style" w:cs="Arial"/>
        </w:rPr>
        <w:t>S</w:t>
      </w:r>
      <w:r w:rsidR="005E79DC" w:rsidRPr="00C10080">
        <w:rPr>
          <w:rFonts w:ascii="Bookman Old Style" w:hAnsi="Bookman Old Style" w:cs="Arial"/>
        </w:rPr>
        <w:t xml:space="preserve">erie </w:t>
      </w:r>
      <w:r w:rsidR="00C10080" w:rsidRPr="00C10080">
        <w:rPr>
          <w:rFonts w:ascii="Bookman Old Style" w:hAnsi="Bookman Old Style" w:cs="Arial"/>
        </w:rPr>
        <w:t>histórica de caudales medios mensuales de los ríos del SIN correspondiente a la serie Guarinó que compromete la ENFICC que respalda las OEF del período 2022-2023</w:t>
      </w:r>
    </w:p>
    <w:p w14:paraId="67C77176" w14:textId="1A4E9738" w:rsidR="00560467" w:rsidRDefault="00560467" w:rsidP="00050AC5">
      <w:pPr>
        <w:ind w:left="0"/>
        <w:jc w:val="both"/>
        <w:rPr>
          <w:rFonts w:ascii="Bookman Old Style" w:hAnsi="Bookman Old Style" w:cs="Arial"/>
        </w:rPr>
      </w:pPr>
    </w:p>
    <w:p w14:paraId="540C0BFF" w14:textId="7625AFD2" w:rsidR="00560467" w:rsidRDefault="00560467" w:rsidP="00050AC5">
      <w:pPr>
        <w:ind w:left="0"/>
        <w:jc w:val="both"/>
        <w:rPr>
          <w:rFonts w:ascii="Bookman Old Style" w:hAnsi="Bookman Old Style" w:cs="Arial"/>
        </w:rPr>
      </w:pPr>
      <w:r>
        <w:rPr>
          <w:rFonts w:ascii="Bookman Old Style" w:hAnsi="Bookman Old Style" w:cs="Arial"/>
        </w:rPr>
        <w:t xml:space="preserve">La motivación del acto administrativo puede </w:t>
      </w:r>
      <w:r w:rsidR="009719D6">
        <w:rPr>
          <w:rFonts w:ascii="Bookman Old Style" w:hAnsi="Bookman Old Style" w:cs="Arial"/>
        </w:rPr>
        <w:t>no ser</w:t>
      </w:r>
      <w:r>
        <w:rPr>
          <w:rFonts w:ascii="Bookman Old Style" w:hAnsi="Bookman Old Style" w:cs="Arial"/>
        </w:rPr>
        <w:t xml:space="preserve"> </w:t>
      </w:r>
      <w:r w:rsidR="009719D6">
        <w:rPr>
          <w:rFonts w:ascii="Bookman Old Style" w:hAnsi="Bookman Old Style" w:cs="Arial"/>
        </w:rPr>
        <w:t>favorable para</w:t>
      </w:r>
      <w:r w:rsidR="00DE5A4C">
        <w:rPr>
          <w:rFonts w:ascii="Bookman Old Style" w:hAnsi="Bookman Old Style" w:cs="Arial"/>
        </w:rPr>
        <w:t xml:space="preserve"> la recurrente</w:t>
      </w:r>
      <w:r w:rsidR="00FB0EBB">
        <w:rPr>
          <w:rFonts w:ascii="Bookman Old Style" w:hAnsi="Bookman Old Style" w:cs="Arial"/>
        </w:rPr>
        <w:t>,</w:t>
      </w:r>
      <w:r w:rsidR="00DE5A4C">
        <w:rPr>
          <w:rFonts w:ascii="Bookman Old Style" w:hAnsi="Bookman Old Style" w:cs="Arial"/>
        </w:rPr>
        <w:t xml:space="preserve"> pero esto no </w:t>
      </w:r>
      <w:r w:rsidR="006F7B7F">
        <w:rPr>
          <w:rFonts w:ascii="Bookman Old Style" w:hAnsi="Bookman Old Style" w:cs="Arial"/>
        </w:rPr>
        <w:t>significa</w:t>
      </w:r>
      <w:r w:rsidR="00DE5A4C">
        <w:rPr>
          <w:rFonts w:ascii="Bookman Old Style" w:hAnsi="Bookman Old Style" w:cs="Arial"/>
        </w:rPr>
        <w:t xml:space="preserve"> que el acto</w:t>
      </w:r>
      <w:r w:rsidR="00AC4016">
        <w:rPr>
          <w:rFonts w:ascii="Bookman Old Style" w:hAnsi="Bookman Old Style" w:cs="Arial"/>
        </w:rPr>
        <w:t xml:space="preserve"> administrativo adolezca de una carencia de motivación o que la misma sea falsa.</w:t>
      </w:r>
    </w:p>
    <w:p w14:paraId="23E91B39" w14:textId="7B63539F" w:rsidR="00AC4016" w:rsidRDefault="00AC4016" w:rsidP="00050AC5">
      <w:pPr>
        <w:ind w:left="0"/>
        <w:jc w:val="both"/>
        <w:rPr>
          <w:rFonts w:ascii="Bookman Old Style" w:hAnsi="Bookman Old Style" w:cs="Arial"/>
        </w:rPr>
      </w:pPr>
    </w:p>
    <w:p w14:paraId="2C8BFF76" w14:textId="6DBDBB04" w:rsidR="00AC4016" w:rsidRDefault="00637E21" w:rsidP="00050AC5">
      <w:pPr>
        <w:ind w:left="0"/>
        <w:jc w:val="both"/>
        <w:rPr>
          <w:rFonts w:ascii="Bookman Old Style" w:hAnsi="Bookman Old Style" w:cs="Tahoma"/>
          <w:color w:val="000000"/>
        </w:rPr>
      </w:pPr>
      <w:r>
        <w:rPr>
          <w:rFonts w:ascii="Bookman Old Style" w:hAnsi="Bookman Old Style" w:cs="Arial"/>
        </w:rPr>
        <w:t>Ahora bien, c</w:t>
      </w:r>
      <w:r w:rsidR="00AC4016">
        <w:rPr>
          <w:rFonts w:ascii="Bookman Old Style" w:hAnsi="Bookman Old Style" w:cs="Arial"/>
        </w:rPr>
        <w:t xml:space="preserve">on relación a la </w:t>
      </w:r>
      <w:r w:rsidR="00E95A4A">
        <w:rPr>
          <w:rFonts w:ascii="Bookman Old Style" w:hAnsi="Bookman Old Style" w:cs="Arial"/>
        </w:rPr>
        <w:t>afirmación</w:t>
      </w:r>
      <w:r w:rsidR="00AC4016">
        <w:rPr>
          <w:rFonts w:ascii="Bookman Old Style" w:hAnsi="Bookman Old Style" w:cs="Arial"/>
        </w:rPr>
        <w:t xml:space="preserve"> </w:t>
      </w:r>
      <w:r w:rsidR="0045531D">
        <w:rPr>
          <w:rFonts w:ascii="Bookman Old Style" w:hAnsi="Bookman Old Style" w:cs="Arial"/>
        </w:rPr>
        <w:t>de que se está vulnerando la seguridad</w:t>
      </w:r>
      <w:r w:rsidR="00B55D3D">
        <w:rPr>
          <w:rFonts w:ascii="Bookman Old Style" w:hAnsi="Bookman Old Style" w:cs="Arial"/>
        </w:rPr>
        <w:t xml:space="preserve"> jurídica porque</w:t>
      </w:r>
      <w:r w:rsidR="00FB0EBB">
        <w:rPr>
          <w:rFonts w:ascii="Bookman Old Style" w:hAnsi="Bookman Old Style" w:cs="Arial"/>
        </w:rPr>
        <w:t>,</w:t>
      </w:r>
      <w:r w:rsidR="00B55D3D">
        <w:rPr>
          <w:rFonts w:ascii="Bookman Old Style" w:hAnsi="Bookman Old Style" w:cs="Arial"/>
        </w:rPr>
        <w:t xml:space="preserve"> según la recurrente</w:t>
      </w:r>
      <w:r w:rsidR="00FB0EBB">
        <w:rPr>
          <w:rFonts w:ascii="Bookman Old Style" w:hAnsi="Bookman Old Style" w:cs="Arial"/>
        </w:rPr>
        <w:t>,</w:t>
      </w:r>
      <w:r w:rsidR="00B55D3D">
        <w:rPr>
          <w:rFonts w:ascii="Bookman Old Style" w:hAnsi="Bookman Old Style" w:cs="Arial"/>
        </w:rPr>
        <w:t xml:space="preserve"> se está contrariando</w:t>
      </w:r>
      <w:r w:rsidR="00C80EF8">
        <w:rPr>
          <w:rFonts w:ascii="Bookman Old Style" w:hAnsi="Bookman Old Style" w:cs="Arial"/>
        </w:rPr>
        <w:t xml:space="preserve"> lo deci</w:t>
      </w:r>
      <w:r w:rsidR="006F253A">
        <w:rPr>
          <w:rFonts w:ascii="Bookman Old Style" w:hAnsi="Bookman Old Style" w:cs="Arial"/>
        </w:rPr>
        <w:t>dido en las resoluciones 501-00</w:t>
      </w:r>
      <w:r w:rsidR="0047147F">
        <w:rPr>
          <w:rFonts w:ascii="Bookman Old Style" w:hAnsi="Bookman Old Style" w:cs="Arial"/>
        </w:rPr>
        <w:t>2, 501</w:t>
      </w:r>
      <w:r w:rsidR="007A55E0">
        <w:rPr>
          <w:rFonts w:ascii="Bookman Old Style" w:hAnsi="Bookman Old Style" w:cs="Arial"/>
        </w:rPr>
        <w:t>-003 y 5001-004</w:t>
      </w:r>
      <w:r>
        <w:rPr>
          <w:rFonts w:ascii="Bookman Old Style" w:hAnsi="Bookman Old Style" w:cs="Arial"/>
        </w:rPr>
        <w:t>,</w:t>
      </w:r>
      <w:r w:rsidR="007A55E0">
        <w:rPr>
          <w:rFonts w:ascii="Bookman Old Style" w:hAnsi="Bookman Old Style" w:cs="Arial"/>
        </w:rPr>
        <w:t xml:space="preserve"> </w:t>
      </w:r>
      <w:r>
        <w:rPr>
          <w:rFonts w:ascii="Bookman Old Style" w:hAnsi="Bookman Old Style" w:cs="Arial"/>
        </w:rPr>
        <w:t xml:space="preserve">en donde se </w:t>
      </w:r>
      <w:r w:rsidR="00003D49">
        <w:rPr>
          <w:rFonts w:ascii="Bookman Old Style" w:hAnsi="Bookman Old Style" w:cs="Arial"/>
        </w:rPr>
        <w:t>declara</w:t>
      </w:r>
      <w:r w:rsidR="005F4ED7">
        <w:rPr>
          <w:rFonts w:ascii="Bookman Old Style" w:hAnsi="Bookman Old Style" w:cs="Arial"/>
        </w:rPr>
        <w:t xml:space="preserve"> que no se confirmó</w:t>
      </w:r>
      <w:r w:rsidR="007A55E0">
        <w:rPr>
          <w:rFonts w:ascii="Bookman Old Style" w:hAnsi="Bookman Old Style" w:cs="Arial"/>
        </w:rPr>
        <w:t xml:space="preserve"> existencia de discrepancia para las plantas</w:t>
      </w:r>
      <w:r w:rsidR="00507CF0">
        <w:rPr>
          <w:rFonts w:ascii="Bookman Old Style" w:hAnsi="Bookman Old Style" w:cs="Arial"/>
        </w:rPr>
        <w:t xml:space="preserve"> San Carlos, Jaguas y Amoya respectivamente, plantas también de ISAGEN</w:t>
      </w:r>
      <w:r w:rsidR="00FB0EBB">
        <w:rPr>
          <w:rFonts w:ascii="Bookman Old Style" w:hAnsi="Bookman Old Style" w:cs="Arial"/>
        </w:rPr>
        <w:t xml:space="preserve"> S.A. E.S.P.,</w:t>
      </w:r>
      <w:r w:rsidR="00862ECF">
        <w:rPr>
          <w:rFonts w:ascii="Bookman Old Style" w:hAnsi="Bookman Old Style" w:cs="Arial"/>
        </w:rPr>
        <w:t xml:space="preserve"> </w:t>
      </w:r>
      <w:r w:rsidR="00FB0EBB">
        <w:rPr>
          <w:rFonts w:ascii="Bookman Old Style" w:hAnsi="Bookman Old Style" w:cs="Arial"/>
        </w:rPr>
        <w:t>d</w:t>
      </w:r>
      <w:r w:rsidR="00862ECF">
        <w:rPr>
          <w:rFonts w:ascii="Bookman Old Style" w:hAnsi="Bookman Old Style" w:cs="Arial"/>
        </w:rPr>
        <w:t>ebe señalarse que n</w:t>
      </w:r>
      <w:r w:rsidR="0085756D">
        <w:rPr>
          <w:rFonts w:ascii="Bookman Old Style" w:hAnsi="Bookman Old Style" w:cs="Arial"/>
        </w:rPr>
        <w:t>o se trata de situaciones iguales a la decidida en la Resolución</w:t>
      </w:r>
      <w:r w:rsidR="00967697">
        <w:rPr>
          <w:rFonts w:ascii="Bookman Old Style" w:hAnsi="Bookman Old Style" w:cs="Arial"/>
        </w:rPr>
        <w:t xml:space="preserve"> 501-033 de 2022</w:t>
      </w:r>
      <w:r w:rsidR="00FB0EBB">
        <w:rPr>
          <w:rFonts w:ascii="Bookman Old Style" w:hAnsi="Bookman Old Style" w:cs="Arial"/>
        </w:rPr>
        <w:t>,</w:t>
      </w:r>
      <w:r w:rsidR="00D66490">
        <w:rPr>
          <w:rFonts w:ascii="Bookman Old Style" w:hAnsi="Bookman Old Style" w:cs="Arial"/>
        </w:rPr>
        <w:t xml:space="preserve"> toda vez</w:t>
      </w:r>
      <w:r w:rsidR="00AC2E3B">
        <w:rPr>
          <w:rFonts w:ascii="Bookman Old Style" w:hAnsi="Bookman Old Style" w:cs="Arial"/>
        </w:rPr>
        <w:t xml:space="preserve"> que </w:t>
      </w:r>
      <w:r w:rsidR="00AC2E3B" w:rsidRPr="007F2D30">
        <w:rPr>
          <w:rFonts w:ascii="Bookman Old Style" w:hAnsi="Bookman Old Style" w:cs="Tahoma"/>
          <w:color w:val="000000"/>
        </w:rPr>
        <w:t>la información que no se pudo auditar, enero 1980 – febrero 1987 para Jaguas</w:t>
      </w:r>
      <w:r w:rsidR="00FB0EBB">
        <w:rPr>
          <w:rFonts w:ascii="Bookman Old Style" w:hAnsi="Bookman Old Style" w:cs="Tahoma"/>
          <w:color w:val="000000"/>
        </w:rPr>
        <w:t>,</w:t>
      </w:r>
      <w:r w:rsidR="00AC2E3B" w:rsidRPr="007F2D30">
        <w:rPr>
          <w:rFonts w:ascii="Bookman Old Style" w:hAnsi="Bookman Old Style" w:cs="Tahoma"/>
          <w:color w:val="000000"/>
        </w:rPr>
        <w:t xml:space="preserve"> y enero 1991- agosto 1991 y julio 1996 – diciembre 1996 para San Carlos, se pudo contrastar con la auditoría adelantada por SEDIC en el año 2009</w:t>
      </w:r>
      <w:r w:rsidR="00E93F76">
        <w:rPr>
          <w:rFonts w:ascii="Bookman Old Style" w:hAnsi="Bookman Old Style" w:cs="Tahoma"/>
          <w:color w:val="000000"/>
        </w:rPr>
        <w:t>.</w:t>
      </w:r>
    </w:p>
    <w:p w14:paraId="77B55C7E" w14:textId="3555E617" w:rsidR="00E93F76" w:rsidRDefault="00E93F76" w:rsidP="00050AC5">
      <w:pPr>
        <w:ind w:left="0"/>
        <w:jc w:val="both"/>
        <w:rPr>
          <w:rFonts w:ascii="Bookman Old Style" w:hAnsi="Bookman Old Style" w:cs="Tahoma"/>
          <w:color w:val="000000"/>
        </w:rPr>
      </w:pPr>
    </w:p>
    <w:p w14:paraId="3B68C5F7" w14:textId="566FAFC7" w:rsidR="00E93F76" w:rsidRPr="00AC2E3B" w:rsidRDefault="00E93F76" w:rsidP="00050AC5">
      <w:pPr>
        <w:ind w:left="0"/>
        <w:jc w:val="both"/>
        <w:rPr>
          <w:rFonts w:ascii="Bookman Old Style" w:hAnsi="Bookman Old Style" w:cs="Arial"/>
        </w:rPr>
      </w:pPr>
      <w:r>
        <w:rPr>
          <w:rFonts w:ascii="Bookman Old Style" w:hAnsi="Bookman Old Style" w:cs="Tahoma"/>
          <w:color w:val="000000"/>
        </w:rPr>
        <w:t>En este sentido</w:t>
      </w:r>
      <w:r w:rsidR="00FB0EBB">
        <w:rPr>
          <w:rFonts w:ascii="Bookman Old Style" w:hAnsi="Bookman Old Style" w:cs="Tahoma"/>
          <w:color w:val="000000"/>
        </w:rPr>
        <w:t>,</w:t>
      </w:r>
      <w:r>
        <w:rPr>
          <w:rFonts w:ascii="Bookman Old Style" w:hAnsi="Bookman Old Style" w:cs="Tahoma"/>
          <w:color w:val="000000"/>
        </w:rPr>
        <w:t xml:space="preserve"> no se acepta el argumento y</w:t>
      </w:r>
      <w:r w:rsidR="00FB0EBB">
        <w:rPr>
          <w:rFonts w:ascii="Bookman Old Style" w:hAnsi="Bookman Old Style" w:cs="Tahoma"/>
          <w:color w:val="000000"/>
        </w:rPr>
        <w:t>,</w:t>
      </w:r>
      <w:r>
        <w:rPr>
          <w:rFonts w:ascii="Bookman Old Style" w:hAnsi="Bookman Old Style" w:cs="Tahoma"/>
          <w:color w:val="000000"/>
        </w:rPr>
        <w:t xml:space="preserve"> en</w:t>
      </w:r>
      <w:r w:rsidR="00247921">
        <w:rPr>
          <w:rFonts w:ascii="Bookman Old Style" w:hAnsi="Bookman Old Style" w:cs="Tahoma"/>
          <w:color w:val="000000"/>
        </w:rPr>
        <w:t xml:space="preserve"> </w:t>
      </w:r>
      <w:r w:rsidR="009B0DC0">
        <w:rPr>
          <w:rFonts w:ascii="Bookman Old Style" w:hAnsi="Bookman Old Style" w:cs="Tahoma"/>
          <w:color w:val="000000"/>
        </w:rPr>
        <w:t>consecuencia</w:t>
      </w:r>
      <w:r w:rsidR="00FB0EBB">
        <w:rPr>
          <w:rFonts w:ascii="Bookman Old Style" w:hAnsi="Bookman Old Style" w:cs="Tahoma"/>
          <w:color w:val="000000"/>
        </w:rPr>
        <w:t>,</w:t>
      </w:r>
      <w:r>
        <w:rPr>
          <w:rFonts w:ascii="Bookman Old Style" w:hAnsi="Bookman Old Style" w:cs="Tahoma"/>
          <w:color w:val="000000"/>
        </w:rPr>
        <w:t xml:space="preserve"> se reitera que el acto administrativo recurrido cuenta con una motivación certera</w:t>
      </w:r>
      <w:r w:rsidR="00BF71F7">
        <w:rPr>
          <w:rFonts w:ascii="Bookman Old Style" w:hAnsi="Bookman Old Style" w:cs="Tahoma"/>
          <w:color w:val="000000"/>
        </w:rPr>
        <w:t>,</w:t>
      </w:r>
      <w:r w:rsidR="00F80062">
        <w:rPr>
          <w:rFonts w:ascii="Bookman Old Style" w:hAnsi="Bookman Old Style" w:cs="Tahoma"/>
          <w:color w:val="000000"/>
        </w:rPr>
        <w:t xml:space="preserve"> amplia</w:t>
      </w:r>
      <w:r w:rsidR="007450D8">
        <w:rPr>
          <w:rFonts w:ascii="Bookman Old Style" w:hAnsi="Bookman Old Style" w:cs="Tahoma"/>
          <w:color w:val="000000"/>
        </w:rPr>
        <w:t xml:space="preserve"> y</w:t>
      </w:r>
      <w:r w:rsidR="00247921">
        <w:rPr>
          <w:rFonts w:ascii="Bookman Old Style" w:hAnsi="Bookman Old Style" w:cs="Tahoma"/>
          <w:color w:val="000000"/>
        </w:rPr>
        <w:t xml:space="preserve"> suficiente</w:t>
      </w:r>
      <w:r w:rsidR="00FB0EBB">
        <w:rPr>
          <w:rFonts w:ascii="Bookman Old Style" w:hAnsi="Bookman Old Style" w:cs="Tahoma"/>
          <w:color w:val="000000"/>
        </w:rPr>
        <w:t>. A</w:t>
      </w:r>
      <w:r w:rsidR="00F80062">
        <w:rPr>
          <w:rFonts w:ascii="Bookman Old Style" w:hAnsi="Bookman Old Style" w:cs="Tahoma"/>
          <w:color w:val="000000"/>
        </w:rPr>
        <w:t>demás</w:t>
      </w:r>
      <w:r w:rsidR="00FB0EBB">
        <w:rPr>
          <w:rFonts w:ascii="Bookman Old Style" w:hAnsi="Bookman Old Style" w:cs="Tahoma"/>
          <w:color w:val="000000"/>
        </w:rPr>
        <w:t>,</w:t>
      </w:r>
      <w:r w:rsidR="007450D8">
        <w:rPr>
          <w:rFonts w:ascii="Bookman Old Style" w:hAnsi="Bookman Old Style" w:cs="Tahoma"/>
          <w:color w:val="000000"/>
        </w:rPr>
        <w:t xml:space="preserve"> con lo decidido no se tra</w:t>
      </w:r>
      <w:r w:rsidR="00FB0EBB">
        <w:rPr>
          <w:rFonts w:ascii="Bookman Old Style" w:hAnsi="Bookman Old Style" w:cs="Tahoma"/>
          <w:color w:val="000000"/>
        </w:rPr>
        <w:t>n</w:t>
      </w:r>
      <w:r w:rsidR="007450D8">
        <w:rPr>
          <w:rFonts w:ascii="Bookman Old Style" w:hAnsi="Bookman Old Style" w:cs="Tahoma"/>
          <w:color w:val="000000"/>
        </w:rPr>
        <w:t>sgred</w:t>
      </w:r>
      <w:r w:rsidR="00F80062">
        <w:rPr>
          <w:rFonts w:ascii="Bookman Old Style" w:hAnsi="Bookman Old Style" w:cs="Tahoma"/>
          <w:color w:val="000000"/>
        </w:rPr>
        <w:t>ió</w:t>
      </w:r>
      <w:r w:rsidR="007450D8">
        <w:rPr>
          <w:rFonts w:ascii="Bookman Old Style" w:hAnsi="Bookman Old Style" w:cs="Tahoma"/>
          <w:color w:val="000000"/>
        </w:rPr>
        <w:t xml:space="preserve"> la seguridad jurídica.</w:t>
      </w:r>
    </w:p>
    <w:p w14:paraId="38F3FF86" w14:textId="77777777" w:rsidR="00D30A40" w:rsidRDefault="00D30A40" w:rsidP="00050AC5">
      <w:pPr>
        <w:ind w:left="0"/>
        <w:jc w:val="both"/>
        <w:rPr>
          <w:rFonts w:ascii="Bookman Old Style" w:hAnsi="Bookman Old Style" w:cs="Arial"/>
        </w:rPr>
      </w:pPr>
    </w:p>
    <w:p w14:paraId="1F761DCC" w14:textId="658FE2C6" w:rsidR="00050AC5" w:rsidRPr="00DC01FC" w:rsidRDefault="00001850" w:rsidP="00050AC5">
      <w:pPr>
        <w:ind w:left="0"/>
        <w:jc w:val="both"/>
        <w:rPr>
          <w:rFonts w:ascii="Bookman Old Style" w:hAnsi="Bookman Old Style" w:cs="Arial"/>
          <w:lang w:val="es-CO"/>
        </w:rPr>
      </w:pPr>
      <w:r>
        <w:rPr>
          <w:rFonts w:ascii="Bookman Old Style" w:hAnsi="Bookman Old Style" w:cs="Arial"/>
        </w:rPr>
        <w:t>C</w:t>
      </w:r>
      <w:r w:rsidR="00491579" w:rsidRPr="00DC01FC">
        <w:rPr>
          <w:rFonts w:ascii="Bookman Old Style" w:hAnsi="Bookman Old Style" w:cs="Arial"/>
        </w:rPr>
        <w:t>on</w:t>
      </w:r>
      <w:r w:rsidR="00050AC5" w:rsidRPr="00DC01FC">
        <w:rPr>
          <w:rFonts w:ascii="Bookman Old Style" w:hAnsi="Bookman Old Style" w:cs="Arial"/>
        </w:rPr>
        <w:t xml:space="preserve"> base en todo lo anteriormente desarrollado y expresado, la Comisión de Regulación de Energía y Gas, en su sesión No.</w:t>
      </w:r>
      <w:r w:rsidR="000B6AA2">
        <w:rPr>
          <w:rFonts w:ascii="Bookman Old Style" w:hAnsi="Bookman Old Style" w:cs="Arial"/>
        </w:rPr>
        <w:t>1180</w:t>
      </w:r>
      <w:r w:rsidR="00050AC5" w:rsidRPr="00DC01FC">
        <w:rPr>
          <w:rFonts w:ascii="Bookman Old Style" w:hAnsi="Bookman Old Style" w:cs="Arial"/>
        </w:rPr>
        <w:t xml:space="preserve"> del </w:t>
      </w:r>
      <w:r w:rsidR="00246B3C" w:rsidRPr="000B6AA2">
        <w:rPr>
          <w:rFonts w:ascii="Bookman Old Style" w:hAnsi="Bookman Old Style" w:cs="Arial"/>
        </w:rPr>
        <w:t>0</w:t>
      </w:r>
      <w:r w:rsidR="0082007E" w:rsidRPr="000B6AA2">
        <w:rPr>
          <w:rFonts w:ascii="Bookman Old Style" w:hAnsi="Bookman Old Style" w:cs="Arial"/>
        </w:rPr>
        <w:t>1</w:t>
      </w:r>
      <w:r w:rsidR="00050AC5" w:rsidRPr="000B6AA2">
        <w:rPr>
          <w:rFonts w:ascii="Bookman Old Style" w:hAnsi="Bookman Old Style" w:cs="Arial"/>
        </w:rPr>
        <w:t xml:space="preserve"> de </w:t>
      </w:r>
      <w:r w:rsidRPr="000B6AA2">
        <w:rPr>
          <w:rFonts w:ascii="Bookman Old Style" w:hAnsi="Bookman Old Style" w:cs="Arial"/>
        </w:rPr>
        <w:t>julio</w:t>
      </w:r>
      <w:r w:rsidR="00DC0221" w:rsidRPr="000B6AA2">
        <w:rPr>
          <w:rFonts w:ascii="Bookman Old Style" w:hAnsi="Bookman Old Style" w:cs="Arial"/>
        </w:rPr>
        <w:t xml:space="preserve"> </w:t>
      </w:r>
      <w:r w:rsidR="00050AC5" w:rsidRPr="000B6AA2">
        <w:rPr>
          <w:rFonts w:ascii="Bookman Old Style" w:hAnsi="Bookman Old Style" w:cs="Arial"/>
        </w:rPr>
        <w:t>de 202</w:t>
      </w:r>
      <w:r w:rsidR="00DC0221" w:rsidRPr="000B6AA2">
        <w:rPr>
          <w:rFonts w:ascii="Bookman Old Style" w:hAnsi="Bookman Old Style" w:cs="Arial"/>
        </w:rPr>
        <w:t>2</w:t>
      </w:r>
      <w:r w:rsidR="00050AC5" w:rsidRPr="000B6AA2">
        <w:rPr>
          <w:rFonts w:ascii="Bookman Old Style" w:hAnsi="Bookman Old Style" w:cs="Arial"/>
        </w:rPr>
        <w:t>,</w:t>
      </w:r>
      <w:r w:rsidR="00050AC5" w:rsidRPr="00DC01FC">
        <w:rPr>
          <w:rFonts w:ascii="Bookman Old Style" w:hAnsi="Bookman Old Style" w:cs="Arial"/>
        </w:rPr>
        <w:t xml:space="preserve"> acordó expedir la presente Resolución;</w:t>
      </w:r>
    </w:p>
    <w:p w14:paraId="1161D9C1" w14:textId="77777777" w:rsidR="00050AC5" w:rsidRPr="00862ECF" w:rsidRDefault="00050AC5" w:rsidP="00862ECF">
      <w:pPr>
        <w:ind w:left="0"/>
        <w:jc w:val="both"/>
        <w:rPr>
          <w:rFonts w:ascii="Bookman Old Style" w:hAnsi="Bookman Old Style" w:cs="Arial"/>
        </w:rPr>
      </w:pPr>
    </w:p>
    <w:p w14:paraId="5877590B" w14:textId="77777777" w:rsidR="00F80062" w:rsidRPr="00A245A2" w:rsidRDefault="00F80062" w:rsidP="00050AC5">
      <w:pPr>
        <w:jc w:val="center"/>
        <w:rPr>
          <w:rFonts w:ascii="Bookman Old Style" w:hAnsi="Bookman Old Style" w:cs="Arial"/>
          <w:b/>
          <w:bCs/>
          <w:lang w:val="es-CO"/>
        </w:rPr>
      </w:pPr>
    </w:p>
    <w:p w14:paraId="700A205A" w14:textId="77777777" w:rsidR="00050AC5" w:rsidRPr="00A245A2" w:rsidRDefault="00050AC5" w:rsidP="00050AC5">
      <w:pPr>
        <w:jc w:val="center"/>
        <w:rPr>
          <w:rFonts w:ascii="Bookman Old Style" w:hAnsi="Bookman Old Style" w:cs="Arial"/>
          <w:b/>
          <w:bCs/>
          <w:lang w:val="es-CO"/>
        </w:rPr>
      </w:pPr>
      <w:r w:rsidRPr="00A245A2">
        <w:rPr>
          <w:rFonts w:ascii="Bookman Old Style" w:hAnsi="Bookman Old Style" w:cs="Arial"/>
          <w:b/>
          <w:bCs/>
          <w:lang w:val="es-CO"/>
        </w:rPr>
        <w:t>R E S U E L V E:</w:t>
      </w:r>
    </w:p>
    <w:p w14:paraId="4F8822E4" w14:textId="77777777" w:rsidR="00050AC5" w:rsidRPr="00862ECF" w:rsidRDefault="00050AC5" w:rsidP="00862ECF">
      <w:pPr>
        <w:ind w:left="0"/>
        <w:jc w:val="both"/>
        <w:rPr>
          <w:rFonts w:ascii="Bookman Old Style" w:hAnsi="Bookman Old Style" w:cs="Arial"/>
        </w:rPr>
      </w:pPr>
    </w:p>
    <w:p w14:paraId="48A70295" w14:textId="32A1A5A7" w:rsidR="00050AC5" w:rsidRPr="00A245A2" w:rsidRDefault="00050AC5" w:rsidP="00050AC5">
      <w:pPr>
        <w:ind w:left="0"/>
        <w:jc w:val="both"/>
        <w:rPr>
          <w:rFonts w:ascii="Bookman Old Style" w:hAnsi="Bookman Old Style" w:cs="Arial"/>
        </w:rPr>
      </w:pPr>
      <w:r w:rsidRPr="00A245A2">
        <w:rPr>
          <w:rFonts w:ascii="Bookman Old Style" w:hAnsi="Bookman Old Style" w:cs="Arial"/>
          <w:b/>
          <w:bCs/>
          <w:lang w:val="es-CO"/>
        </w:rPr>
        <w:t>ARTÍCULO 1</w:t>
      </w:r>
      <w:r w:rsidRPr="00805C04">
        <w:rPr>
          <w:rFonts w:ascii="Bookman Old Style" w:hAnsi="Bookman Old Style" w:cs="Arial"/>
          <w:lang w:val="es-CO"/>
        </w:rPr>
        <w:t>.</w:t>
      </w:r>
      <w:r w:rsidR="00805C04" w:rsidRPr="00805C04">
        <w:rPr>
          <w:rFonts w:ascii="Bookman Old Style" w:hAnsi="Bookman Old Style" w:cs="Arial"/>
          <w:lang w:val="es-CO"/>
        </w:rPr>
        <w:t xml:space="preserve"> </w:t>
      </w:r>
      <w:r w:rsidR="00E60426">
        <w:rPr>
          <w:rFonts w:ascii="Bookman Old Style" w:hAnsi="Bookman Old Style" w:cs="Arial"/>
          <w:lang w:val="es-CO"/>
        </w:rPr>
        <w:t xml:space="preserve">No conceder el recurso de </w:t>
      </w:r>
      <w:r w:rsidR="006C32C3">
        <w:rPr>
          <w:rFonts w:ascii="Bookman Old Style" w:hAnsi="Bookman Old Style" w:cs="Arial"/>
          <w:lang w:val="es-CO"/>
        </w:rPr>
        <w:t>reposición</w:t>
      </w:r>
      <w:r w:rsidR="00E60426">
        <w:rPr>
          <w:rFonts w:ascii="Bookman Old Style" w:hAnsi="Bookman Old Style" w:cs="Arial"/>
          <w:lang w:val="es-CO"/>
        </w:rPr>
        <w:t xml:space="preserve"> y</w:t>
      </w:r>
      <w:r w:rsidR="00FB0EBB">
        <w:rPr>
          <w:rFonts w:ascii="Bookman Old Style" w:hAnsi="Bookman Old Style" w:cs="Arial"/>
          <w:lang w:val="es-CO"/>
        </w:rPr>
        <w:t>,</w:t>
      </w:r>
      <w:r w:rsidR="00E60426">
        <w:rPr>
          <w:rFonts w:ascii="Bookman Old Style" w:hAnsi="Bookman Old Style" w:cs="Arial"/>
          <w:lang w:val="es-CO"/>
        </w:rPr>
        <w:t xml:space="preserve"> en </w:t>
      </w:r>
      <w:r w:rsidR="001A346F">
        <w:rPr>
          <w:rFonts w:ascii="Bookman Old Style" w:hAnsi="Bookman Old Style" w:cs="Arial"/>
          <w:lang w:val="es-CO"/>
        </w:rPr>
        <w:t>consecuencia</w:t>
      </w:r>
      <w:r w:rsidR="00FB0EBB">
        <w:rPr>
          <w:rFonts w:ascii="Bookman Old Style" w:hAnsi="Bookman Old Style" w:cs="Arial"/>
          <w:lang w:val="es-CO"/>
        </w:rPr>
        <w:t>,</w:t>
      </w:r>
      <w:r w:rsidR="001A346F">
        <w:rPr>
          <w:rFonts w:ascii="Bookman Old Style" w:hAnsi="Bookman Old Style" w:cs="Arial"/>
          <w:lang w:val="es-CO"/>
        </w:rPr>
        <w:t xml:space="preserve"> c</w:t>
      </w:r>
      <w:r w:rsidR="00805C04" w:rsidRPr="00805C04">
        <w:rPr>
          <w:rFonts w:ascii="Bookman Old Style" w:hAnsi="Bookman Old Style" w:cs="Arial"/>
          <w:lang w:val="es-CO"/>
        </w:rPr>
        <w:t>onfirmar</w:t>
      </w:r>
      <w:r w:rsidR="001A346F">
        <w:rPr>
          <w:rFonts w:ascii="Bookman Old Style" w:hAnsi="Bookman Old Style" w:cs="Arial"/>
          <w:lang w:val="es-CO"/>
        </w:rPr>
        <w:t xml:space="preserve"> en su integridad la Resolución CREG 501</w:t>
      </w:r>
      <w:r w:rsidR="00862ECF">
        <w:rPr>
          <w:rFonts w:ascii="Bookman Old Style" w:hAnsi="Bookman Old Style" w:cs="Arial"/>
          <w:lang w:val="es-CO"/>
        </w:rPr>
        <w:t xml:space="preserve"> </w:t>
      </w:r>
      <w:r w:rsidR="001A346F">
        <w:rPr>
          <w:rFonts w:ascii="Bookman Old Style" w:hAnsi="Bookman Old Style" w:cs="Arial"/>
          <w:lang w:val="es-CO"/>
        </w:rPr>
        <w:t>0</w:t>
      </w:r>
      <w:r w:rsidR="009E35BA">
        <w:rPr>
          <w:rFonts w:ascii="Bookman Old Style" w:hAnsi="Bookman Old Style" w:cs="Arial"/>
          <w:lang w:val="es-CO"/>
        </w:rPr>
        <w:t>3</w:t>
      </w:r>
      <w:r w:rsidR="001A346F">
        <w:rPr>
          <w:rFonts w:ascii="Bookman Old Style" w:hAnsi="Bookman Old Style" w:cs="Arial"/>
          <w:lang w:val="es-CO"/>
        </w:rPr>
        <w:t>3 de 2022</w:t>
      </w:r>
      <w:r w:rsidR="009772A8">
        <w:rPr>
          <w:rFonts w:ascii="Bookman Old Style" w:hAnsi="Bookman Old Style" w:cs="Arial"/>
          <w:lang w:val="es-CO"/>
        </w:rPr>
        <w:t>.</w:t>
      </w:r>
      <w:r w:rsidR="00805C04" w:rsidRPr="00805C04">
        <w:rPr>
          <w:rFonts w:ascii="Bookman Old Style" w:hAnsi="Bookman Old Style" w:cs="Arial"/>
          <w:lang w:val="es-CO"/>
        </w:rPr>
        <w:t xml:space="preserve"> </w:t>
      </w:r>
      <w:r w:rsidRPr="00A245A2">
        <w:rPr>
          <w:rFonts w:ascii="Bookman Old Style" w:hAnsi="Bookman Old Style" w:cs="Arial"/>
        </w:rPr>
        <w:t xml:space="preserve"> </w:t>
      </w:r>
    </w:p>
    <w:p w14:paraId="5B053DA3" w14:textId="72113D36" w:rsidR="009722F9" w:rsidRDefault="009722F9" w:rsidP="00050AC5">
      <w:pPr>
        <w:ind w:left="0"/>
        <w:jc w:val="both"/>
        <w:rPr>
          <w:rFonts w:ascii="Bookman Old Style" w:hAnsi="Bookman Old Style" w:cs="Arial"/>
          <w:color w:val="000000"/>
          <w:lang w:val="es-CO"/>
        </w:rPr>
      </w:pPr>
    </w:p>
    <w:p w14:paraId="1A662B05" w14:textId="046EC63A" w:rsidR="009722F9" w:rsidRPr="00D17920" w:rsidRDefault="009722F9" w:rsidP="00050AC5">
      <w:pPr>
        <w:ind w:left="0"/>
        <w:jc w:val="both"/>
        <w:rPr>
          <w:rFonts w:ascii="Bookman Old Style" w:hAnsi="Bookman Old Style" w:cs="Arial"/>
          <w:color w:val="000000"/>
          <w:lang w:val="es-CO"/>
        </w:rPr>
      </w:pPr>
      <w:r w:rsidRPr="00F82C23">
        <w:rPr>
          <w:rFonts w:ascii="Bookman Old Style" w:hAnsi="Bookman Old Style" w:cs="Arial"/>
          <w:b/>
          <w:bCs/>
          <w:color w:val="000000"/>
          <w:lang w:val="es-CO"/>
        </w:rPr>
        <w:t>A</w:t>
      </w:r>
      <w:r w:rsidR="00D17920">
        <w:rPr>
          <w:rFonts w:ascii="Bookman Old Style" w:hAnsi="Bookman Old Style" w:cs="Arial"/>
          <w:b/>
          <w:bCs/>
          <w:color w:val="000000"/>
          <w:lang w:val="es-CO"/>
        </w:rPr>
        <w:t>RTÍCULO</w:t>
      </w:r>
      <w:r w:rsidRPr="00F82C23">
        <w:rPr>
          <w:rFonts w:ascii="Bookman Old Style" w:hAnsi="Bookman Old Style" w:cs="Arial"/>
          <w:b/>
          <w:bCs/>
          <w:color w:val="000000"/>
          <w:lang w:val="es-CO"/>
        </w:rPr>
        <w:t xml:space="preserve"> </w:t>
      </w:r>
      <w:r w:rsidR="001A346F">
        <w:rPr>
          <w:rFonts w:ascii="Bookman Old Style" w:hAnsi="Bookman Old Style" w:cs="Arial"/>
          <w:b/>
          <w:bCs/>
          <w:color w:val="000000"/>
          <w:lang w:val="es-CO"/>
        </w:rPr>
        <w:t>2</w:t>
      </w:r>
      <w:r w:rsidR="00D17920">
        <w:rPr>
          <w:rFonts w:ascii="Bookman Old Style" w:hAnsi="Bookman Old Style" w:cs="Arial"/>
          <w:b/>
          <w:bCs/>
          <w:color w:val="000000"/>
          <w:lang w:val="es-CO"/>
        </w:rPr>
        <w:t>.</w:t>
      </w:r>
      <w:r w:rsidR="00D17920">
        <w:rPr>
          <w:rFonts w:ascii="Bookman Old Style" w:hAnsi="Bookman Old Style" w:cs="Arial"/>
          <w:color w:val="000000"/>
          <w:lang w:val="es-CO"/>
        </w:rPr>
        <w:t xml:space="preserve"> Ordenar a XM S.A</w:t>
      </w:r>
      <w:r w:rsidR="00862ECF">
        <w:rPr>
          <w:rFonts w:ascii="Bookman Old Style" w:hAnsi="Bookman Old Style" w:cs="Arial"/>
          <w:color w:val="000000"/>
          <w:lang w:val="es-CO"/>
        </w:rPr>
        <w:t>.</w:t>
      </w:r>
      <w:r w:rsidR="00D17920">
        <w:rPr>
          <w:rFonts w:ascii="Bookman Old Style" w:hAnsi="Bookman Old Style" w:cs="Arial"/>
          <w:color w:val="000000"/>
          <w:lang w:val="es-CO"/>
        </w:rPr>
        <w:t xml:space="preserve"> E</w:t>
      </w:r>
      <w:r w:rsidR="00FB0EBB">
        <w:rPr>
          <w:rFonts w:ascii="Bookman Old Style" w:hAnsi="Bookman Old Style" w:cs="Arial"/>
          <w:color w:val="000000"/>
          <w:lang w:val="es-CO"/>
        </w:rPr>
        <w:t>.</w:t>
      </w:r>
      <w:r w:rsidR="00D17920">
        <w:rPr>
          <w:rFonts w:ascii="Bookman Old Style" w:hAnsi="Bookman Old Style" w:cs="Arial"/>
          <w:color w:val="000000"/>
          <w:lang w:val="es-CO"/>
        </w:rPr>
        <w:t>S</w:t>
      </w:r>
      <w:r w:rsidR="00FB0EBB">
        <w:rPr>
          <w:rFonts w:ascii="Bookman Old Style" w:hAnsi="Bookman Old Style" w:cs="Arial"/>
          <w:color w:val="000000"/>
          <w:lang w:val="es-CO"/>
        </w:rPr>
        <w:t>.</w:t>
      </w:r>
      <w:r w:rsidR="00D17920">
        <w:rPr>
          <w:rFonts w:ascii="Bookman Old Style" w:hAnsi="Bookman Old Style" w:cs="Arial"/>
          <w:color w:val="000000"/>
          <w:lang w:val="es-CO"/>
        </w:rPr>
        <w:t>P</w:t>
      </w:r>
      <w:r w:rsidR="00FB0EBB">
        <w:rPr>
          <w:rFonts w:ascii="Bookman Old Style" w:hAnsi="Bookman Old Style" w:cs="Arial"/>
          <w:color w:val="000000"/>
          <w:lang w:val="es-CO"/>
        </w:rPr>
        <w:t>.,</w:t>
      </w:r>
      <w:r w:rsidR="00524CA6">
        <w:rPr>
          <w:rFonts w:ascii="Bookman Old Style" w:hAnsi="Bookman Old Style" w:cs="Arial"/>
          <w:color w:val="000000"/>
          <w:lang w:val="es-CO"/>
        </w:rPr>
        <w:t xml:space="preserve"> en su función de Administrador del Sistema de</w:t>
      </w:r>
      <w:r w:rsidR="007E497B">
        <w:rPr>
          <w:rFonts w:ascii="Bookman Old Style" w:hAnsi="Bookman Old Style" w:cs="Arial"/>
          <w:color w:val="000000"/>
          <w:lang w:val="es-CO"/>
        </w:rPr>
        <w:t xml:space="preserve"> </w:t>
      </w:r>
      <w:r w:rsidR="00524CA6">
        <w:rPr>
          <w:rFonts w:ascii="Bookman Old Style" w:hAnsi="Bookman Old Style" w:cs="Arial"/>
          <w:color w:val="000000"/>
          <w:lang w:val="es-CO"/>
        </w:rPr>
        <w:t>Intercambio</w:t>
      </w:r>
      <w:r w:rsidR="007E497B">
        <w:rPr>
          <w:rFonts w:ascii="Bookman Old Style" w:hAnsi="Bookman Old Style" w:cs="Arial"/>
          <w:color w:val="000000"/>
          <w:lang w:val="es-CO"/>
        </w:rPr>
        <w:t>s</w:t>
      </w:r>
      <w:r w:rsidR="00524CA6">
        <w:rPr>
          <w:rFonts w:ascii="Bookman Old Style" w:hAnsi="Bookman Old Style" w:cs="Arial"/>
          <w:color w:val="000000"/>
          <w:lang w:val="es-CO"/>
        </w:rPr>
        <w:t xml:space="preserve"> Comercial</w:t>
      </w:r>
      <w:r w:rsidR="007E497B">
        <w:rPr>
          <w:rFonts w:ascii="Bookman Old Style" w:hAnsi="Bookman Old Style" w:cs="Arial"/>
          <w:color w:val="000000"/>
          <w:lang w:val="es-CO"/>
        </w:rPr>
        <w:t>es</w:t>
      </w:r>
      <w:r w:rsidR="00FB0EBB">
        <w:rPr>
          <w:rFonts w:ascii="Bookman Old Style" w:hAnsi="Bookman Old Style" w:cs="Arial"/>
          <w:color w:val="000000"/>
          <w:lang w:val="es-CO"/>
        </w:rPr>
        <w:t xml:space="preserve">, </w:t>
      </w:r>
      <w:r w:rsidR="007E497B">
        <w:rPr>
          <w:rFonts w:ascii="Bookman Old Style" w:hAnsi="Bookman Old Style" w:cs="Arial"/>
          <w:color w:val="000000"/>
          <w:lang w:val="es-CO"/>
        </w:rPr>
        <w:t>ASI</w:t>
      </w:r>
      <w:r w:rsidR="00FB0EBB">
        <w:rPr>
          <w:rFonts w:ascii="Bookman Old Style" w:hAnsi="Bookman Old Style" w:cs="Arial"/>
          <w:color w:val="000000"/>
          <w:lang w:val="es-CO"/>
        </w:rPr>
        <w:t>C,</w:t>
      </w:r>
      <w:r w:rsidR="00862ECF">
        <w:rPr>
          <w:rFonts w:ascii="Bookman Old Style" w:hAnsi="Bookman Old Style" w:cs="Arial"/>
          <w:color w:val="000000"/>
          <w:lang w:val="es-CO"/>
        </w:rPr>
        <w:t xml:space="preserve"> </w:t>
      </w:r>
      <w:r w:rsidR="008C1271">
        <w:rPr>
          <w:rFonts w:ascii="Bookman Old Style" w:hAnsi="Bookman Old Style" w:cs="Arial"/>
          <w:color w:val="000000"/>
          <w:lang w:val="es-CO"/>
        </w:rPr>
        <w:t>ajustar las Obligaciones de Energía Firme del Periodo 2022-2023 para la Planta Miel I</w:t>
      </w:r>
      <w:r w:rsidR="007E7807">
        <w:rPr>
          <w:rFonts w:ascii="Bookman Old Style" w:hAnsi="Bookman Old Style" w:cs="Arial"/>
          <w:color w:val="000000"/>
          <w:lang w:val="es-CO"/>
        </w:rPr>
        <w:t xml:space="preserve"> de ISAGEN S.A</w:t>
      </w:r>
      <w:r w:rsidR="00862ECF">
        <w:rPr>
          <w:rFonts w:ascii="Bookman Old Style" w:hAnsi="Bookman Old Style" w:cs="Arial"/>
          <w:color w:val="000000"/>
          <w:lang w:val="es-CO"/>
        </w:rPr>
        <w:t>.</w:t>
      </w:r>
      <w:r w:rsidR="007E7807">
        <w:rPr>
          <w:rFonts w:ascii="Bookman Old Style" w:hAnsi="Bookman Old Style" w:cs="Arial"/>
          <w:color w:val="000000"/>
          <w:lang w:val="es-CO"/>
        </w:rPr>
        <w:t xml:space="preserve"> E</w:t>
      </w:r>
      <w:r w:rsidR="00FB0EBB">
        <w:rPr>
          <w:rFonts w:ascii="Bookman Old Style" w:hAnsi="Bookman Old Style" w:cs="Arial"/>
          <w:color w:val="000000"/>
          <w:lang w:val="es-CO"/>
        </w:rPr>
        <w:t>.</w:t>
      </w:r>
      <w:r w:rsidR="007E7807">
        <w:rPr>
          <w:rFonts w:ascii="Bookman Old Style" w:hAnsi="Bookman Old Style" w:cs="Arial"/>
          <w:color w:val="000000"/>
          <w:lang w:val="es-CO"/>
        </w:rPr>
        <w:t>S</w:t>
      </w:r>
      <w:r w:rsidR="00FB0EBB">
        <w:rPr>
          <w:rFonts w:ascii="Bookman Old Style" w:hAnsi="Bookman Old Style" w:cs="Arial"/>
          <w:color w:val="000000"/>
          <w:lang w:val="es-CO"/>
        </w:rPr>
        <w:t>.</w:t>
      </w:r>
      <w:r w:rsidR="007E7807">
        <w:rPr>
          <w:rFonts w:ascii="Bookman Old Style" w:hAnsi="Bookman Old Style" w:cs="Arial"/>
          <w:color w:val="000000"/>
          <w:lang w:val="es-CO"/>
        </w:rPr>
        <w:t>P</w:t>
      </w:r>
      <w:r w:rsidR="00FB0EBB">
        <w:rPr>
          <w:rFonts w:ascii="Bookman Old Style" w:hAnsi="Bookman Old Style" w:cs="Arial"/>
          <w:color w:val="000000"/>
          <w:lang w:val="es-CO"/>
        </w:rPr>
        <w:t>.</w:t>
      </w:r>
      <w:r w:rsidR="009E73E2">
        <w:rPr>
          <w:rFonts w:ascii="Bookman Old Style" w:hAnsi="Bookman Old Style" w:cs="Arial"/>
          <w:color w:val="000000"/>
          <w:lang w:val="es-CO"/>
        </w:rPr>
        <w:t xml:space="preserve"> en </w:t>
      </w:r>
      <w:r w:rsidR="009E73E2">
        <w:rPr>
          <w:rFonts w:ascii="Bookman Old Style" w:hAnsi="Bookman Old Style" w:cs="Arial"/>
          <w:lang w:val="es-CO"/>
        </w:rPr>
        <w:t>2.326.232 kWh-día</w:t>
      </w:r>
      <w:r w:rsidR="00BB4D43">
        <w:rPr>
          <w:rFonts w:ascii="Bookman Old Style" w:hAnsi="Bookman Old Style" w:cs="Arial"/>
          <w:lang w:val="es-CO"/>
        </w:rPr>
        <w:t>.</w:t>
      </w:r>
    </w:p>
    <w:p w14:paraId="24815DD2" w14:textId="77777777" w:rsidR="00050AC5" w:rsidRPr="00A245A2" w:rsidRDefault="00050AC5" w:rsidP="00050AC5">
      <w:pPr>
        <w:ind w:left="0"/>
        <w:jc w:val="both"/>
        <w:rPr>
          <w:rFonts w:ascii="Bookman Old Style" w:hAnsi="Bookman Old Style" w:cs="Arial"/>
          <w:lang w:val="es-CO"/>
        </w:rPr>
      </w:pPr>
    </w:p>
    <w:p w14:paraId="1A005047" w14:textId="28B75C97" w:rsidR="00050AC5" w:rsidRDefault="00050AC5" w:rsidP="00050AC5">
      <w:pPr>
        <w:ind w:left="0"/>
        <w:jc w:val="both"/>
        <w:rPr>
          <w:rFonts w:ascii="Bookman Old Style" w:hAnsi="Bookman Old Style" w:cs="Arial"/>
          <w:lang w:val="es-CO"/>
        </w:rPr>
      </w:pPr>
      <w:r w:rsidRPr="00A245A2">
        <w:rPr>
          <w:rFonts w:ascii="Bookman Old Style" w:hAnsi="Bookman Old Style" w:cs="Arial"/>
          <w:b/>
          <w:bCs/>
          <w:lang w:val="es-CO"/>
        </w:rPr>
        <w:t xml:space="preserve">ARTÍCULO </w:t>
      </w:r>
      <w:r w:rsidR="007E0011">
        <w:rPr>
          <w:rFonts w:ascii="Bookman Old Style" w:hAnsi="Bookman Old Style" w:cs="Arial"/>
          <w:b/>
          <w:bCs/>
          <w:lang w:val="es-CO"/>
        </w:rPr>
        <w:t>3</w:t>
      </w:r>
      <w:r w:rsidRPr="00A245A2">
        <w:rPr>
          <w:rFonts w:ascii="Bookman Old Style" w:hAnsi="Bookman Old Style" w:cs="Arial"/>
          <w:b/>
          <w:bCs/>
          <w:lang w:val="es-CO"/>
        </w:rPr>
        <w:t xml:space="preserve">. </w:t>
      </w:r>
      <w:r w:rsidRPr="00A245A2">
        <w:rPr>
          <w:rFonts w:ascii="Bookman Old Style" w:hAnsi="Bookman Old Style" w:cs="Arial"/>
          <w:lang w:val="es-CO"/>
        </w:rPr>
        <w:t xml:space="preserve">La presente Resolución deberá notificarse personalmente al señor </w:t>
      </w:r>
      <w:r w:rsidR="001322EE">
        <w:rPr>
          <w:rFonts w:ascii="Bookman Old Style" w:hAnsi="Bookman Old Style" w:cs="Arial"/>
          <w:lang w:val="es-CO"/>
        </w:rPr>
        <w:t>CAMILO MARULANDA LÓPEZ</w:t>
      </w:r>
      <w:r w:rsidRPr="00A245A2">
        <w:rPr>
          <w:rFonts w:ascii="Bookman Old Style" w:hAnsi="Bookman Old Style" w:cs="Arial"/>
          <w:lang w:val="es-CO"/>
        </w:rPr>
        <w:t xml:space="preserve"> en su calidad de representante legal de la empresa </w:t>
      </w:r>
      <w:r w:rsidR="00314F8A">
        <w:rPr>
          <w:rFonts w:ascii="Bookman Old Style" w:hAnsi="Bookman Old Style" w:cs="Arial"/>
          <w:lang w:val="es-CO"/>
        </w:rPr>
        <w:t xml:space="preserve">ISAGEN </w:t>
      </w:r>
      <w:r w:rsidRPr="00A245A2">
        <w:rPr>
          <w:rFonts w:ascii="Bookman Old Style" w:hAnsi="Bookman Old Style" w:cs="Arial"/>
          <w:lang w:val="es-CO"/>
        </w:rPr>
        <w:t>S.A. E.S.P. o quien hagas sus veces, advirtiéndole que contra las disposiciones contenidas en esta resolución</w:t>
      </w:r>
      <w:r w:rsidR="007E0011">
        <w:rPr>
          <w:rFonts w:ascii="Bookman Old Style" w:hAnsi="Bookman Old Style" w:cs="Arial"/>
          <w:lang w:val="es-CO"/>
        </w:rPr>
        <w:t xml:space="preserve"> no</w:t>
      </w:r>
      <w:r w:rsidRPr="00A245A2">
        <w:rPr>
          <w:rFonts w:ascii="Bookman Old Style" w:hAnsi="Bookman Old Style" w:cs="Arial"/>
          <w:lang w:val="es-CO"/>
        </w:rPr>
        <w:t xml:space="preserve"> procede</w:t>
      </w:r>
      <w:r w:rsidR="007E0011">
        <w:rPr>
          <w:rFonts w:ascii="Bookman Old Style" w:hAnsi="Bookman Old Style" w:cs="Arial"/>
          <w:lang w:val="es-CO"/>
        </w:rPr>
        <w:t xml:space="preserve"> ningún recurso</w:t>
      </w:r>
      <w:r w:rsidR="00FB0EBB">
        <w:rPr>
          <w:rFonts w:ascii="Bookman Old Style" w:hAnsi="Bookman Old Style" w:cs="Arial"/>
          <w:lang w:val="es-CO"/>
        </w:rPr>
        <w:t>,</w:t>
      </w:r>
      <w:r w:rsidR="009E732F">
        <w:rPr>
          <w:rFonts w:ascii="Bookman Old Style" w:hAnsi="Bookman Old Style" w:cs="Arial"/>
          <w:lang w:val="es-CO"/>
        </w:rPr>
        <w:t xml:space="preserve"> toda vez que la Resolución CREG</w:t>
      </w:r>
      <w:r w:rsidR="006E124C">
        <w:rPr>
          <w:rFonts w:ascii="Bookman Old Style" w:hAnsi="Bookman Old Style" w:cs="Arial"/>
          <w:lang w:val="es-CO"/>
        </w:rPr>
        <w:t xml:space="preserve"> 501-0</w:t>
      </w:r>
      <w:r w:rsidR="00F8257D">
        <w:rPr>
          <w:rFonts w:ascii="Bookman Old Style" w:hAnsi="Bookman Old Style" w:cs="Arial"/>
          <w:lang w:val="es-CO"/>
        </w:rPr>
        <w:t>3</w:t>
      </w:r>
      <w:r w:rsidR="006E124C">
        <w:rPr>
          <w:rFonts w:ascii="Bookman Old Style" w:hAnsi="Bookman Old Style" w:cs="Arial"/>
          <w:lang w:val="es-CO"/>
        </w:rPr>
        <w:t xml:space="preserve">3 de 2022 queda </w:t>
      </w:r>
      <w:r w:rsidR="00051066">
        <w:rPr>
          <w:rFonts w:ascii="Bookman Old Style" w:hAnsi="Bookman Old Style" w:cs="Arial"/>
          <w:lang w:val="es-CO"/>
        </w:rPr>
        <w:t>ejecutoriada.</w:t>
      </w:r>
    </w:p>
    <w:p w14:paraId="7A062885" w14:textId="594D6642" w:rsidR="00C047AE" w:rsidRDefault="00C047AE" w:rsidP="00050AC5">
      <w:pPr>
        <w:ind w:left="0"/>
        <w:jc w:val="both"/>
        <w:rPr>
          <w:rFonts w:ascii="Bookman Old Style" w:hAnsi="Bookman Old Style" w:cs="Arial"/>
          <w:lang w:val="es-CO"/>
        </w:rPr>
      </w:pPr>
    </w:p>
    <w:p w14:paraId="0958DA35" w14:textId="2D953382" w:rsidR="00C047AE" w:rsidRPr="00A245A2" w:rsidRDefault="00C047AE" w:rsidP="00050AC5">
      <w:pPr>
        <w:ind w:left="0"/>
        <w:jc w:val="both"/>
        <w:rPr>
          <w:rFonts w:ascii="Bookman Old Style" w:hAnsi="Bookman Old Style" w:cs="Arial"/>
          <w:lang w:val="es-CO"/>
        </w:rPr>
      </w:pPr>
      <w:r w:rsidRPr="00612910">
        <w:rPr>
          <w:rFonts w:ascii="Bookman Old Style" w:hAnsi="Bookman Old Style" w:cs="Arial"/>
          <w:b/>
          <w:bCs/>
          <w:lang w:val="es-CO"/>
        </w:rPr>
        <w:t xml:space="preserve">ARTÍCULO </w:t>
      </w:r>
      <w:r w:rsidR="00612910" w:rsidRPr="00612910">
        <w:rPr>
          <w:rFonts w:ascii="Bookman Old Style" w:hAnsi="Bookman Old Style" w:cs="Arial"/>
          <w:b/>
          <w:bCs/>
          <w:lang w:val="es-CO"/>
        </w:rPr>
        <w:t>5</w:t>
      </w:r>
      <w:r w:rsidRPr="00612910">
        <w:rPr>
          <w:rFonts w:ascii="Bookman Old Style" w:hAnsi="Bookman Old Style" w:cs="Arial"/>
          <w:b/>
          <w:bCs/>
          <w:lang w:val="es-CO"/>
        </w:rPr>
        <w:t>.</w:t>
      </w:r>
      <w:r>
        <w:rPr>
          <w:rFonts w:ascii="Bookman Old Style" w:hAnsi="Bookman Old Style" w:cs="Arial"/>
          <w:lang w:val="es-CO"/>
        </w:rPr>
        <w:t xml:space="preserve"> </w:t>
      </w:r>
      <w:r w:rsidR="000D689A">
        <w:rPr>
          <w:rFonts w:ascii="Bookman Old Style" w:hAnsi="Bookman Old Style" w:cs="Arial"/>
          <w:lang w:val="es-CO"/>
        </w:rPr>
        <w:t>Comunicar la presente resolución a XM S.A</w:t>
      </w:r>
      <w:r w:rsidR="00FB0EBB">
        <w:rPr>
          <w:rFonts w:ascii="Bookman Old Style" w:hAnsi="Bookman Old Style" w:cs="Arial"/>
          <w:lang w:val="es-CO"/>
        </w:rPr>
        <w:t>.</w:t>
      </w:r>
      <w:r w:rsidR="000D689A">
        <w:rPr>
          <w:rFonts w:ascii="Bookman Old Style" w:hAnsi="Bookman Old Style" w:cs="Arial"/>
          <w:lang w:val="es-CO"/>
        </w:rPr>
        <w:t xml:space="preserve"> E</w:t>
      </w:r>
      <w:r w:rsidR="00FB0EBB">
        <w:rPr>
          <w:rFonts w:ascii="Bookman Old Style" w:hAnsi="Bookman Old Style" w:cs="Arial"/>
          <w:lang w:val="es-CO"/>
        </w:rPr>
        <w:t>.</w:t>
      </w:r>
      <w:r w:rsidR="000D689A">
        <w:rPr>
          <w:rFonts w:ascii="Bookman Old Style" w:hAnsi="Bookman Old Style" w:cs="Arial"/>
          <w:lang w:val="es-CO"/>
        </w:rPr>
        <w:t>S</w:t>
      </w:r>
      <w:r w:rsidR="00FB0EBB">
        <w:rPr>
          <w:rFonts w:ascii="Bookman Old Style" w:hAnsi="Bookman Old Style" w:cs="Arial"/>
          <w:lang w:val="es-CO"/>
        </w:rPr>
        <w:t>.</w:t>
      </w:r>
      <w:r w:rsidR="000D689A">
        <w:rPr>
          <w:rFonts w:ascii="Bookman Old Style" w:hAnsi="Bookman Old Style" w:cs="Arial"/>
          <w:lang w:val="es-CO"/>
        </w:rPr>
        <w:t xml:space="preserve">P. </w:t>
      </w:r>
    </w:p>
    <w:p w14:paraId="19147DD3" w14:textId="3CBD1962" w:rsidR="00050AC5" w:rsidRDefault="00050AC5" w:rsidP="00050AC5">
      <w:pPr>
        <w:ind w:left="0"/>
        <w:jc w:val="both"/>
        <w:rPr>
          <w:rFonts w:ascii="Bookman Old Style" w:hAnsi="Bookman Old Style" w:cs="Arial"/>
          <w:lang w:val="es-CO"/>
        </w:rPr>
      </w:pPr>
    </w:p>
    <w:p w14:paraId="3D8389FC" w14:textId="77777777" w:rsidR="00862ECF" w:rsidRPr="00A245A2" w:rsidRDefault="00862ECF" w:rsidP="00050AC5">
      <w:pPr>
        <w:ind w:left="0"/>
        <w:jc w:val="both"/>
        <w:rPr>
          <w:rFonts w:ascii="Bookman Old Style" w:hAnsi="Bookman Old Style" w:cs="Arial"/>
          <w:lang w:val="es-CO"/>
        </w:rPr>
      </w:pPr>
    </w:p>
    <w:p w14:paraId="422BCCD0" w14:textId="6EC0B32C" w:rsidR="00050AC5" w:rsidRPr="00A245A2" w:rsidRDefault="00050AC5" w:rsidP="00050AC5">
      <w:pPr>
        <w:ind w:left="0"/>
        <w:jc w:val="center"/>
        <w:rPr>
          <w:rFonts w:ascii="Bookman Old Style" w:hAnsi="Bookman Old Style" w:cs="Arial"/>
          <w:b/>
          <w:bCs/>
          <w:lang w:val="es-CO"/>
        </w:rPr>
      </w:pPr>
      <w:r w:rsidRPr="00A245A2">
        <w:rPr>
          <w:rFonts w:ascii="Bookman Old Style" w:hAnsi="Bookman Old Style" w:cs="Arial"/>
          <w:b/>
          <w:bCs/>
          <w:lang w:val="es-CO"/>
        </w:rPr>
        <w:t>NOTIFÍQUESE</w:t>
      </w:r>
      <w:r w:rsidR="000D689A">
        <w:rPr>
          <w:rFonts w:ascii="Bookman Old Style" w:hAnsi="Bookman Old Style" w:cs="Arial"/>
          <w:b/>
          <w:bCs/>
          <w:lang w:val="es-CO"/>
        </w:rPr>
        <w:t>, COMUNÍQUESE</w:t>
      </w:r>
      <w:r w:rsidRPr="00A245A2">
        <w:rPr>
          <w:rFonts w:ascii="Bookman Old Style" w:hAnsi="Bookman Old Style" w:cs="Arial"/>
          <w:b/>
          <w:bCs/>
          <w:lang w:val="es-CO"/>
        </w:rPr>
        <w:t xml:space="preserve"> Y CÚMPLASE</w:t>
      </w:r>
    </w:p>
    <w:p w14:paraId="255D1424" w14:textId="77777777" w:rsidR="00050AC5" w:rsidRPr="00A245A2" w:rsidRDefault="00050AC5" w:rsidP="00050AC5">
      <w:pPr>
        <w:ind w:left="0"/>
        <w:jc w:val="both"/>
        <w:rPr>
          <w:rFonts w:ascii="Bookman Old Style" w:hAnsi="Bookman Old Style" w:cs="Arial"/>
          <w:lang w:val="es-CO"/>
        </w:rPr>
      </w:pPr>
    </w:p>
    <w:p w14:paraId="1DC69B1A" w14:textId="77777777" w:rsidR="00050AC5" w:rsidRPr="00A245A2" w:rsidRDefault="00050AC5" w:rsidP="00050AC5">
      <w:pPr>
        <w:ind w:left="0"/>
        <w:jc w:val="both"/>
        <w:rPr>
          <w:rFonts w:ascii="Bookman Old Style" w:hAnsi="Bookman Old Style" w:cs="Arial"/>
          <w:lang w:val="es-CO"/>
        </w:rPr>
      </w:pPr>
    </w:p>
    <w:p w14:paraId="6738E6B8" w14:textId="7FD22AFE" w:rsidR="00050AC5" w:rsidRPr="00A245A2" w:rsidRDefault="00050AC5" w:rsidP="00050AC5">
      <w:pPr>
        <w:ind w:left="0"/>
        <w:jc w:val="both"/>
        <w:rPr>
          <w:rFonts w:ascii="Bookman Old Style" w:hAnsi="Bookman Old Style" w:cs="Arial"/>
          <w:b/>
          <w:bCs/>
        </w:rPr>
      </w:pPr>
      <w:r w:rsidRPr="00A245A2">
        <w:rPr>
          <w:rFonts w:ascii="Bookman Old Style" w:hAnsi="Bookman Old Style" w:cs="Arial"/>
        </w:rPr>
        <w:t xml:space="preserve">Dada en Bogotá, D.C. a </w:t>
      </w:r>
      <w:r w:rsidR="000D460F" w:rsidRPr="000B6AA2">
        <w:rPr>
          <w:rFonts w:ascii="Bookman Old Style" w:hAnsi="Bookman Old Style" w:cs="Arial"/>
          <w:b/>
          <w:bCs/>
        </w:rPr>
        <w:t xml:space="preserve">01 </w:t>
      </w:r>
      <w:r w:rsidR="000B6AA2">
        <w:rPr>
          <w:rFonts w:ascii="Bookman Old Style" w:hAnsi="Bookman Old Style" w:cs="Arial"/>
          <w:b/>
          <w:bCs/>
        </w:rPr>
        <w:t>JUL.</w:t>
      </w:r>
      <w:r w:rsidRPr="000B6AA2">
        <w:rPr>
          <w:rFonts w:ascii="Bookman Old Style" w:hAnsi="Bookman Old Style" w:cs="Arial"/>
          <w:b/>
          <w:bCs/>
        </w:rPr>
        <w:t xml:space="preserve"> 202</w:t>
      </w:r>
      <w:r w:rsidR="004D52E7" w:rsidRPr="000B6AA2">
        <w:rPr>
          <w:rFonts w:ascii="Bookman Old Style" w:hAnsi="Bookman Old Style" w:cs="Arial"/>
          <w:b/>
          <w:bCs/>
        </w:rPr>
        <w:t>2</w:t>
      </w:r>
    </w:p>
    <w:p w14:paraId="0CF81C7B" w14:textId="77777777" w:rsidR="00050AC5" w:rsidRPr="00A245A2" w:rsidRDefault="00050AC5" w:rsidP="00050AC5">
      <w:pPr>
        <w:ind w:left="0"/>
        <w:jc w:val="both"/>
        <w:rPr>
          <w:rFonts w:ascii="Bookman Old Style" w:hAnsi="Bookman Old Style" w:cs="Arial"/>
          <w:lang w:val="es-CO"/>
        </w:rPr>
      </w:pPr>
    </w:p>
    <w:p w14:paraId="205D7473" w14:textId="77777777" w:rsidR="00862ECF" w:rsidRPr="00A245A2" w:rsidRDefault="00862ECF" w:rsidP="00050AC5">
      <w:pPr>
        <w:ind w:left="0"/>
        <w:jc w:val="both"/>
        <w:rPr>
          <w:rFonts w:ascii="Bookman Old Style" w:hAnsi="Bookman Old Style" w:cs="Arial"/>
          <w:lang w:val="es-CO"/>
        </w:rPr>
      </w:pPr>
    </w:p>
    <w:p w14:paraId="52391FF7" w14:textId="77777777" w:rsidR="00050AC5" w:rsidRPr="00A245A2" w:rsidRDefault="00050AC5" w:rsidP="00050AC5">
      <w:pPr>
        <w:ind w:left="0"/>
        <w:jc w:val="both"/>
        <w:rPr>
          <w:rFonts w:ascii="Bookman Old Style" w:hAnsi="Bookman Old Style" w:cs="Arial"/>
          <w:lang w:val="es-CO"/>
        </w:rPr>
      </w:pPr>
    </w:p>
    <w:p w14:paraId="748C2476" w14:textId="77777777" w:rsidR="00050AC5" w:rsidRPr="00A245A2" w:rsidRDefault="00050AC5" w:rsidP="00050AC5">
      <w:pPr>
        <w:ind w:left="0"/>
        <w:jc w:val="both"/>
        <w:rPr>
          <w:rFonts w:ascii="Bookman Old Style" w:hAnsi="Bookman Old Style" w:cs="Arial"/>
          <w:lang w:val="es-CO"/>
        </w:rPr>
      </w:pPr>
    </w:p>
    <w:tbl>
      <w:tblPr>
        <w:tblW w:w="8931" w:type="dxa"/>
        <w:jc w:val="center"/>
        <w:tblCellSpacing w:w="0" w:type="dxa"/>
        <w:tblCellMar>
          <w:left w:w="0" w:type="dxa"/>
          <w:right w:w="0" w:type="dxa"/>
        </w:tblCellMar>
        <w:tblLook w:val="04A0" w:firstRow="1" w:lastRow="0" w:firstColumn="1" w:lastColumn="0" w:noHBand="0" w:noVBand="1"/>
      </w:tblPr>
      <w:tblGrid>
        <w:gridCol w:w="4111"/>
        <w:gridCol w:w="4820"/>
      </w:tblGrid>
      <w:tr w:rsidR="00050AC5" w:rsidRPr="00A245A2" w14:paraId="7237F8BC" w14:textId="77777777" w:rsidTr="00F72366">
        <w:trPr>
          <w:tblCellSpacing w:w="0" w:type="dxa"/>
          <w:jc w:val="center"/>
        </w:trPr>
        <w:tc>
          <w:tcPr>
            <w:tcW w:w="4111" w:type="dxa"/>
          </w:tcPr>
          <w:p w14:paraId="3F5FCBFD" w14:textId="1CF2336E" w:rsidR="00050AC5" w:rsidRPr="000B6AA2" w:rsidRDefault="00050AC5" w:rsidP="00F72366">
            <w:pPr>
              <w:ind w:left="66"/>
              <w:jc w:val="center"/>
              <w:rPr>
                <w:rFonts w:ascii="Bookman Old Style" w:hAnsi="Bookman Old Style" w:cs="Arial"/>
                <w:b/>
              </w:rPr>
            </w:pPr>
            <w:r w:rsidRPr="000B6AA2">
              <w:rPr>
                <w:rFonts w:ascii="Bookman Old Style" w:hAnsi="Bookman Old Style" w:cs="Arial"/>
                <w:b/>
              </w:rPr>
              <w:t>MIGUEL LOTERO ROBLED</w:t>
            </w:r>
            <w:r w:rsidR="00612796" w:rsidRPr="000B6AA2">
              <w:rPr>
                <w:rFonts w:ascii="Bookman Old Style" w:hAnsi="Bookman Old Style" w:cs="Arial"/>
                <w:b/>
              </w:rPr>
              <w:t>O</w:t>
            </w:r>
          </w:p>
        </w:tc>
        <w:tc>
          <w:tcPr>
            <w:tcW w:w="4820" w:type="dxa"/>
          </w:tcPr>
          <w:p w14:paraId="59216BF8" w14:textId="77777777" w:rsidR="00050AC5" w:rsidRPr="000B6AA2" w:rsidRDefault="00050AC5" w:rsidP="00F72366">
            <w:pPr>
              <w:ind w:left="69"/>
              <w:jc w:val="center"/>
              <w:rPr>
                <w:rFonts w:ascii="Bookman Old Style" w:hAnsi="Bookman Old Style" w:cs="Arial"/>
                <w:b/>
              </w:rPr>
            </w:pPr>
            <w:r w:rsidRPr="000B6AA2">
              <w:rPr>
                <w:rFonts w:ascii="Bookman Old Style" w:hAnsi="Bookman Old Style" w:cs="Arial"/>
                <w:b/>
              </w:rPr>
              <w:t xml:space="preserve">JORGE ALBERTO VALENCIA MARÍN </w:t>
            </w:r>
          </w:p>
        </w:tc>
      </w:tr>
      <w:tr w:rsidR="00050AC5" w:rsidRPr="00A245A2" w14:paraId="394E6D25" w14:textId="77777777" w:rsidTr="00F72366">
        <w:trPr>
          <w:tblCellSpacing w:w="0" w:type="dxa"/>
          <w:jc w:val="center"/>
        </w:trPr>
        <w:tc>
          <w:tcPr>
            <w:tcW w:w="4111" w:type="dxa"/>
            <w:hideMark/>
          </w:tcPr>
          <w:p w14:paraId="684E36DC" w14:textId="4BB600C0" w:rsidR="00050AC5" w:rsidRPr="000B6AA2" w:rsidRDefault="00050AC5" w:rsidP="00F72366">
            <w:pPr>
              <w:ind w:left="66"/>
              <w:jc w:val="center"/>
              <w:rPr>
                <w:rFonts w:ascii="Bookman Old Style" w:eastAsia="Arial Unicode MS" w:hAnsi="Bookman Old Style" w:cs="Arial"/>
                <w:color w:val="000000"/>
              </w:rPr>
            </w:pPr>
            <w:r w:rsidRPr="000B6AA2">
              <w:rPr>
                <w:rFonts w:ascii="Bookman Old Style" w:hAnsi="Bookman Old Style" w:cs="Arial"/>
              </w:rPr>
              <w:t>Viceministro de Energía, delegado del Ministro de Minas y Energía</w:t>
            </w:r>
          </w:p>
        </w:tc>
        <w:tc>
          <w:tcPr>
            <w:tcW w:w="4820" w:type="dxa"/>
            <w:hideMark/>
          </w:tcPr>
          <w:p w14:paraId="1B9B8BC9" w14:textId="77777777" w:rsidR="00050AC5" w:rsidRPr="000B6AA2" w:rsidRDefault="00050AC5" w:rsidP="00F72366">
            <w:pPr>
              <w:jc w:val="center"/>
              <w:rPr>
                <w:rFonts w:ascii="Bookman Old Style" w:eastAsia="Arial Unicode MS" w:hAnsi="Bookman Old Style" w:cs="Arial"/>
                <w:color w:val="000000"/>
              </w:rPr>
            </w:pPr>
            <w:r w:rsidRPr="000B6AA2">
              <w:rPr>
                <w:rFonts w:ascii="Bookman Old Style" w:hAnsi="Bookman Old Style" w:cs="Arial"/>
              </w:rPr>
              <w:t xml:space="preserve">Director Ejecutivo </w:t>
            </w:r>
          </w:p>
        </w:tc>
      </w:tr>
      <w:tr w:rsidR="00050AC5" w:rsidRPr="00A245A2" w14:paraId="050CA5E8" w14:textId="77777777" w:rsidTr="00F72366">
        <w:trPr>
          <w:tblCellSpacing w:w="0" w:type="dxa"/>
          <w:jc w:val="center"/>
        </w:trPr>
        <w:tc>
          <w:tcPr>
            <w:tcW w:w="4111" w:type="dxa"/>
            <w:hideMark/>
          </w:tcPr>
          <w:p w14:paraId="10BDF717" w14:textId="77777777" w:rsidR="00050AC5" w:rsidRPr="000B6AA2" w:rsidRDefault="00050AC5" w:rsidP="00F72366">
            <w:pPr>
              <w:ind w:left="66"/>
              <w:jc w:val="center"/>
              <w:rPr>
                <w:rFonts w:ascii="Bookman Old Style" w:eastAsia="Arial Unicode MS" w:hAnsi="Bookman Old Style" w:cs="Arial"/>
                <w:color w:val="000000"/>
              </w:rPr>
            </w:pPr>
            <w:r w:rsidRPr="000B6AA2">
              <w:rPr>
                <w:rFonts w:ascii="Bookman Old Style" w:hAnsi="Bookman Old Style" w:cs="Arial"/>
              </w:rPr>
              <w:t>Presidente</w:t>
            </w:r>
          </w:p>
        </w:tc>
        <w:tc>
          <w:tcPr>
            <w:tcW w:w="4820" w:type="dxa"/>
          </w:tcPr>
          <w:p w14:paraId="62BCEE3E" w14:textId="77777777" w:rsidR="00050AC5" w:rsidRPr="000B6AA2" w:rsidRDefault="00050AC5" w:rsidP="00F72366">
            <w:pPr>
              <w:jc w:val="center"/>
              <w:rPr>
                <w:rFonts w:ascii="Bookman Old Style" w:eastAsia="Arial Unicode MS" w:hAnsi="Bookman Old Style" w:cs="Arial"/>
                <w:color w:val="000000"/>
              </w:rPr>
            </w:pPr>
          </w:p>
        </w:tc>
      </w:tr>
    </w:tbl>
    <w:p w14:paraId="51455F8A" w14:textId="77777777" w:rsidR="00050AC5" w:rsidRPr="00A245A2" w:rsidRDefault="00050AC5" w:rsidP="00050AC5">
      <w:pPr>
        <w:ind w:left="0"/>
        <w:jc w:val="both"/>
        <w:rPr>
          <w:rFonts w:ascii="Bookman Old Style" w:hAnsi="Bookman Old Style" w:cs="Arial"/>
          <w:sz w:val="18"/>
          <w:szCs w:val="18"/>
          <w:lang w:val="es-CO"/>
        </w:rPr>
      </w:pPr>
    </w:p>
    <w:p w14:paraId="6D6F1C0E" w14:textId="77777777" w:rsidR="00050AC5" w:rsidRPr="00A245A2" w:rsidRDefault="00050AC5" w:rsidP="00050AC5">
      <w:pPr>
        <w:rPr>
          <w:rFonts w:ascii="Bookman Old Style" w:hAnsi="Bookman Old Style"/>
        </w:rPr>
      </w:pPr>
    </w:p>
    <w:sectPr w:rsidR="00050AC5" w:rsidRPr="00A245A2" w:rsidSect="00F72366">
      <w:headerReference w:type="default" r:id="rId10"/>
      <w:headerReference w:type="first" r:id="rId11"/>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5E78" w14:textId="77777777" w:rsidR="00B7111F" w:rsidRDefault="00B7111F">
      <w:r>
        <w:separator/>
      </w:r>
    </w:p>
  </w:endnote>
  <w:endnote w:type="continuationSeparator" w:id="0">
    <w:p w14:paraId="2AE847E5" w14:textId="77777777" w:rsidR="00B7111F" w:rsidRDefault="00B7111F">
      <w:r>
        <w:continuationSeparator/>
      </w:r>
    </w:p>
  </w:endnote>
  <w:endnote w:type="continuationNotice" w:id="1">
    <w:p w14:paraId="20C5096F" w14:textId="77777777" w:rsidR="00B7111F" w:rsidRDefault="00B71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69E5" w14:textId="77777777" w:rsidR="00B7111F" w:rsidRDefault="00B7111F" w:rsidP="00BC7329">
      <w:pPr>
        <w:ind w:left="0"/>
      </w:pPr>
      <w:r>
        <w:separator/>
      </w:r>
    </w:p>
  </w:footnote>
  <w:footnote w:type="continuationSeparator" w:id="0">
    <w:p w14:paraId="6C94A0A5" w14:textId="77777777" w:rsidR="00B7111F" w:rsidRDefault="00B7111F">
      <w:r>
        <w:continuationSeparator/>
      </w:r>
    </w:p>
  </w:footnote>
  <w:footnote w:type="continuationNotice" w:id="1">
    <w:p w14:paraId="68045F80" w14:textId="77777777" w:rsidR="00B7111F" w:rsidRDefault="00B7111F"/>
  </w:footnote>
  <w:footnote w:id="2">
    <w:p w14:paraId="723F2D83" w14:textId="797F008F" w:rsidR="0015012F" w:rsidRDefault="0015012F" w:rsidP="00BC7329">
      <w:pPr>
        <w:pStyle w:val="Textonotapie"/>
        <w:ind w:left="0"/>
      </w:pPr>
      <w:r>
        <w:rPr>
          <w:rStyle w:val="Refdenotaalpie"/>
        </w:rPr>
        <w:footnoteRef/>
      </w:r>
      <w:r>
        <w:t xml:space="preserve"> Consejo de Estado. Sala de lo Contencioso Administrativo, Sección Cuarta. Sentencia del doce (12) de abril de dos mil doce (2012). Radicación número: 25000-23-27-000-2006-01364-01(17497)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044C" w14:textId="77777777" w:rsidR="00F72366" w:rsidRDefault="00F72366" w:rsidP="00AC2C4B">
    <w:pPr>
      <w:pStyle w:val="Ttulo1"/>
      <w:ind w:left="0" w:right="6"/>
      <w:jc w:val="left"/>
      <w:rPr>
        <w:rFonts w:ascii="Bookman Old Style" w:hAnsi="Bookman Old Style" w:cs="Arial"/>
        <w:b w:val="0"/>
        <w:sz w:val="22"/>
        <w:szCs w:val="22"/>
      </w:rPr>
    </w:pPr>
  </w:p>
  <w:p w14:paraId="34D5B007" w14:textId="33C776CE" w:rsidR="00F72366" w:rsidRPr="00951F79" w:rsidRDefault="005E27DC" w:rsidP="00F72366">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0B6AA2" w:rsidRPr="000B6AA2">
      <w:rPr>
        <w:rFonts w:ascii="Bookman Old Style" w:hAnsi="Bookman Old Style" w:cs="Arial"/>
        <w:bCs/>
        <w:szCs w:val="24"/>
        <w:u w:val="single"/>
      </w:rPr>
      <w:t>501 053</w:t>
    </w:r>
    <w:r w:rsidR="000B6AA2">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0B6AA2" w:rsidRPr="000B6AA2">
      <w:rPr>
        <w:rFonts w:ascii="Bookman Old Style" w:hAnsi="Bookman Old Style" w:cs="Arial"/>
        <w:bCs/>
        <w:sz w:val="22"/>
        <w:szCs w:val="22"/>
        <w:u w:val="single"/>
      </w:rPr>
      <w:t>01 JUL. 2022</w:t>
    </w:r>
    <w:r w:rsidR="000B6AA2">
      <w:rPr>
        <w:rFonts w:ascii="Bookman Old Style" w:hAnsi="Bookman Old Style" w:cs="Arial"/>
        <w:b w:val="0"/>
        <w:sz w:val="22"/>
        <w:szCs w:val="22"/>
      </w:rPr>
      <w:t xml:space="preserve">    </w:t>
    </w:r>
    <w:r>
      <w:rPr>
        <w:rFonts w:ascii="Bookman Old Style" w:hAnsi="Bookman Old Style" w:cs="Arial"/>
        <w:b w:val="0"/>
        <w:sz w:val="22"/>
        <w:szCs w:val="22"/>
        <w:u w:val="single"/>
      </w:rPr>
      <w:t>H</w:t>
    </w:r>
    <w:r w:rsidRPr="00654384">
      <w:rPr>
        <w:rFonts w:ascii="Bookman Old Style" w:hAnsi="Bookman Old Style" w:cs="Arial"/>
        <w:b w:val="0"/>
        <w:sz w:val="22"/>
        <w:szCs w:val="22"/>
      </w:rPr>
      <w:t xml:space="preserve">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00329">
      <w:rPr>
        <w:rFonts w:ascii="Bookman Old Style" w:hAnsi="Bookman Old Style" w:cs="Arial"/>
        <w:b w:val="0"/>
        <w:noProof/>
        <w:sz w:val="22"/>
        <w:szCs w:val="22"/>
      </w:rPr>
      <w:t>13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NUMPAGES  \* MERGEFORMAT</w:instrText>
    </w:r>
    <w:r>
      <w:rPr>
        <w:rFonts w:ascii="Bookman Old Style" w:hAnsi="Bookman Old Style" w:cs="Arial"/>
        <w:b w:val="0"/>
        <w:noProof/>
        <w:sz w:val="22"/>
        <w:szCs w:val="22"/>
      </w:rPr>
      <w:fldChar w:fldCharType="separate"/>
    </w:r>
    <w:r w:rsidR="00200329">
      <w:rPr>
        <w:rFonts w:ascii="Bookman Old Style" w:hAnsi="Bookman Old Style" w:cs="Arial"/>
        <w:b w:val="0"/>
        <w:noProof/>
        <w:sz w:val="22"/>
        <w:szCs w:val="22"/>
      </w:rPr>
      <w:t>13</w:t>
    </w:r>
    <w:r>
      <w:rPr>
        <w:rFonts w:ascii="Bookman Old Style" w:hAnsi="Bookman Old Style" w:cs="Arial"/>
        <w:b w:val="0"/>
        <w:noProof/>
        <w:sz w:val="22"/>
        <w:szCs w:val="22"/>
      </w:rPr>
      <w:fldChar w:fldCharType="end"/>
    </w:r>
  </w:p>
  <w:p w14:paraId="04CEBCE9" w14:textId="77777777" w:rsidR="00F72366" w:rsidRDefault="005E27DC" w:rsidP="00F72366">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0ED27843" wp14:editId="3B5C4BD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8345959"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381A96FF" w14:textId="3800FA9F" w:rsidR="00F72366" w:rsidRPr="00AC2C4B" w:rsidRDefault="00211132" w:rsidP="000B6AA2">
    <w:pPr>
      <w:pStyle w:val="Textoindependiente"/>
      <w:pBdr>
        <w:bottom w:val="single" w:sz="4" w:space="5" w:color="auto"/>
      </w:pBdr>
      <w:spacing w:after="120"/>
      <w:ind w:left="0"/>
      <w:jc w:val="both"/>
      <w:rPr>
        <w:rFonts w:ascii="Bookman Old Style" w:hAnsi="Bookman Old Style"/>
        <w:b w:val="0"/>
      </w:rPr>
    </w:pPr>
    <w:r w:rsidRPr="00A245A2">
      <w:rPr>
        <w:rFonts w:ascii="Bookman Old Style" w:hAnsi="Bookman Old Style"/>
        <w:b w:val="0"/>
      </w:rPr>
      <w:t>Por la cual se decide</w:t>
    </w:r>
    <w:r>
      <w:rPr>
        <w:rFonts w:ascii="Bookman Old Style" w:hAnsi="Bookman Old Style"/>
        <w:b w:val="0"/>
      </w:rPr>
      <w:t xml:space="preserve"> un recurso de reposición contra la Resolución CREG 501</w:t>
    </w:r>
    <w:r w:rsidR="00AC2C4B">
      <w:rPr>
        <w:rFonts w:ascii="Bookman Old Style" w:hAnsi="Bookman Old Style"/>
        <w:b w:val="0"/>
      </w:rPr>
      <w:t xml:space="preserve"> </w:t>
    </w:r>
    <w:r>
      <w:rPr>
        <w:rFonts w:ascii="Bookman Old Style" w:hAnsi="Bookman Old Style"/>
        <w:b w:val="0"/>
      </w:rPr>
      <w:t>0</w:t>
    </w:r>
    <w:r w:rsidR="00967697">
      <w:rPr>
        <w:rFonts w:ascii="Bookman Old Style" w:hAnsi="Bookman Old Style"/>
        <w:b w:val="0"/>
      </w:rPr>
      <w:t>3</w:t>
    </w:r>
    <w:r>
      <w:rPr>
        <w:rFonts w:ascii="Bookman Old Style" w:hAnsi="Bookman Old Style"/>
        <w:b w:val="0"/>
      </w:rPr>
      <w:t xml:space="preserve">3 de 2022 por la </w:t>
    </w:r>
    <w:r w:rsidR="00AC2C4B">
      <w:rPr>
        <w:rFonts w:ascii="Bookman Old Style" w:hAnsi="Bookman Old Style"/>
        <w:b w:val="0"/>
      </w:rPr>
      <w:t xml:space="preserve">que </w:t>
    </w:r>
    <w:r>
      <w:rPr>
        <w:rFonts w:ascii="Bookman Old Style" w:hAnsi="Bookman Old Style"/>
        <w:b w:val="0"/>
      </w:rPr>
      <w:t>se decide</w:t>
    </w:r>
    <w:r w:rsidRPr="00A245A2">
      <w:rPr>
        <w:rFonts w:ascii="Bookman Old Style" w:hAnsi="Bookman Old Style"/>
        <w:b w:val="0"/>
      </w:rPr>
      <w:t xml:space="preserve"> </w:t>
    </w:r>
    <w:r w:rsidRPr="00A245A2">
      <w:rPr>
        <w:rFonts w:ascii="Bookman Old Style" w:hAnsi="Bookman Old Style"/>
        <w:b w:val="0"/>
        <w:lang w:val="es-CO"/>
      </w:rPr>
      <w:t xml:space="preserve">la actuación administrativa iniciada por la presunta existencia de discrepancias en valores reportados por ISAGEN S.A E.S.P., planta </w:t>
    </w:r>
    <w:r>
      <w:rPr>
        <w:rFonts w:ascii="Bookman Old Style" w:hAnsi="Bookman Old Style"/>
        <w:b w:val="0"/>
        <w:lang w:val="es-CO"/>
      </w:rPr>
      <w:t>MIEL I</w:t>
    </w:r>
    <w:r w:rsidR="00AC2C4B">
      <w:rPr>
        <w:rFonts w:ascii="Bookman Old Style" w:hAnsi="Bookman Old Style"/>
        <w:b w:val="0"/>
        <w:lang w:val="es-CO"/>
      </w:rPr>
      <w:t>.</w:t>
    </w:r>
    <w:r w:rsidRPr="00356796">
      <w:rPr>
        <w:rFonts w:ascii="Bookman Old Style" w:hAnsi="Bookman Old Style"/>
        <w:b w:val="0"/>
        <w:lang w:val="es-CO"/>
      </w:rPr>
      <w:t xml:space="preserve"> </w:t>
    </w:r>
    <w:r w:rsidRPr="00356796">
      <w:rPr>
        <w:rFonts w:ascii="Bookman Old Style" w:hAnsi="Bookman Old Style"/>
        <w:b w:val="0"/>
      </w:rPr>
      <w:t>Expediente No. 2021-003</w:t>
    </w:r>
    <w:r>
      <w:rPr>
        <w:rFonts w:ascii="Bookman Old Style" w:hAnsi="Bookman Old Style"/>
        <w:b w:val="0"/>
      </w:rPr>
      <w:t>7</w:t>
    </w:r>
    <w:r w:rsidR="00AC2C4B">
      <w:rPr>
        <w:rFonts w:ascii="Bookman Old Style" w:hAnsi="Bookman Old Style"/>
        <w:b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B940" w14:textId="77777777" w:rsidR="00F72366" w:rsidRDefault="005E27DC" w:rsidP="00F72366">
    <w:pPr>
      <w:pStyle w:val="Encabezado"/>
      <w:jc w:val="both"/>
      <w:rPr>
        <w:rFonts w:ascii="Arial" w:hAnsi="Arial" w:cs="Arial"/>
        <w:spacing w:val="20"/>
        <w:sz w:val="20"/>
      </w:rPr>
    </w:pPr>
    <w:r>
      <w:rPr>
        <w:rFonts w:ascii="Arial" w:hAnsi="Arial" w:cs="Arial"/>
        <w:spacing w:val="20"/>
        <w:sz w:val="20"/>
      </w:rPr>
      <w:t xml:space="preserve">                                   República de Colombia</w:t>
    </w:r>
  </w:p>
  <w:p w14:paraId="2713899E" w14:textId="77777777" w:rsidR="00F72366" w:rsidRDefault="00F72366">
    <w:pPr>
      <w:pStyle w:val="Encabezado"/>
      <w:jc w:val="center"/>
      <w:rPr>
        <w:rFonts w:ascii="Arial" w:hAnsi="Arial" w:cs="Arial"/>
        <w:spacing w:val="20"/>
        <w:sz w:val="20"/>
      </w:rPr>
    </w:pPr>
  </w:p>
  <w:p w14:paraId="3393432C" w14:textId="77777777" w:rsidR="00F72366" w:rsidRDefault="005E27DC" w:rsidP="00F72366">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5ED6B5CC" wp14:editId="6E093783">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7485C5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C35"/>
    <w:multiLevelType w:val="hybridMultilevel"/>
    <w:tmpl w:val="721AF388"/>
    <w:lvl w:ilvl="0" w:tplc="240A0001">
      <w:start w:val="1"/>
      <w:numFmt w:val="bullet"/>
      <w:lvlText w:val=""/>
      <w:lvlJc w:val="left"/>
      <w:pPr>
        <w:ind w:left="426" w:hanging="360"/>
      </w:pPr>
      <w:rPr>
        <w:rFonts w:ascii="Symbol" w:hAnsi="Symbol" w:hint="default"/>
      </w:rPr>
    </w:lvl>
    <w:lvl w:ilvl="1" w:tplc="240A0003" w:tentative="1">
      <w:start w:val="1"/>
      <w:numFmt w:val="bullet"/>
      <w:lvlText w:val="o"/>
      <w:lvlJc w:val="left"/>
      <w:pPr>
        <w:ind w:left="1146" w:hanging="360"/>
      </w:pPr>
      <w:rPr>
        <w:rFonts w:ascii="Courier New" w:hAnsi="Courier New" w:cs="Courier New" w:hint="default"/>
      </w:rPr>
    </w:lvl>
    <w:lvl w:ilvl="2" w:tplc="240A0005" w:tentative="1">
      <w:start w:val="1"/>
      <w:numFmt w:val="bullet"/>
      <w:lvlText w:val=""/>
      <w:lvlJc w:val="left"/>
      <w:pPr>
        <w:ind w:left="1866" w:hanging="360"/>
      </w:pPr>
      <w:rPr>
        <w:rFonts w:ascii="Wingdings" w:hAnsi="Wingdings" w:hint="default"/>
      </w:rPr>
    </w:lvl>
    <w:lvl w:ilvl="3" w:tplc="240A0001" w:tentative="1">
      <w:start w:val="1"/>
      <w:numFmt w:val="bullet"/>
      <w:lvlText w:val=""/>
      <w:lvlJc w:val="left"/>
      <w:pPr>
        <w:ind w:left="2586" w:hanging="360"/>
      </w:pPr>
      <w:rPr>
        <w:rFonts w:ascii="Symbol" w:hAnsi="Symbol" w:hint="default"/>
      </w:rPr>
    </w:lvl>
    <w:lvl w:ilvl="4" w:tplc="240A0003" w:tentative="1">
      <w:start w:val="1"/>
      <w:numFmt w:val="bullet"/>
      <w:lvlText w:val="o"/>
      <w:lvlJc w:val="left"/>
      <w:pPr>
        <w:ind w:left="3306" w:hanging="360"/>
      </w:pPr>
      <w:rPr>
        <w:rFonts w:ascii="Courier New" w:hAnsi="Courier New" w:cs="Courier New" w:hint="default"/>
      </w:rPr>
    </w:lvl>
    <w:lvl w:ilvl="5" w:tplc="240A0005" w:tentative="1">
      <w:start w:val="1"/>
      <w:numFmt w:val="bullet"/>
      <w:lvlText w:val=""/>
      <w:lvlJc w:val="left"/>
      <w:pPr>
        <w:ind w:left="4026" w:hanging="360"/>
      </w:pPr>
      <w:rPr>
        <w:rFonts w:ascii="Wingdings" w:hAnsi="Wingdings" w:hint="default"/>
      </w:rPr>
    </w:lvl>
    <w:lvl w:ilvl="6" w:tplc="240A0001" w:tentative="1">
      <w:start w:val="1"/>
      <w:numFmt w:val="bullet"/>
      <w:lvlText w:val=""/>
      <w:lvlJc w:val="left"/>
      <w:pPr>
        <w:ind w:left="4746" w:hanging="360"/>
      </w:pPr>
      <w:rPr>
        <w:rFonts w:ascii="Symbol" w:hAnsi="Symbol" w:hint="default"/>
      </w:rPr>
    </w:lvl>
    <w:lvl w:ilvl="7" w:tplc="240A0003" w:tentative="1">
      <w:start w:val="1"/>
      <w:numFmt w:val="bullet"/>
      <w:lvlText w:val="o"/>
      <w:lvlJc w:val="left"/>
      <w:pPr>
        <w:ind w:left="5466" w:hanging="360"/>
      </w:pPr>
      <w:rPr>
        <w:rFonts w:ascii="Courier New" w:hAnsi="Courier New" w:cs="Courier New" w:hint="default"/>
      </w:rPr>
    </w:lvl>
    <w:lvl w:ilvl="8" w:tplc="240A0005" w:tentative="1">
      <w:start w:val="1"/>
      <w:numFmt w:val="bullet"/>
      <w:lvlText w:val=""/>
      <w:lvlJc w:val="left"/>
      <w:pPr>
        <w:ind w:left="6186" w:hanging="360"/>
      </w:pPr>
      <w:rPr>
        <w:rFonts w:ascii="Wingdings" w:hAnsi="Wingdings" w:hint="default"/>
      </w:rPr>
    </w:lvl>
  </w:abstractNum>
  <w:abstractNum w:abstractNumId="1" w15:restartNumberingAfterBreak="0">
    <w:nsid w:val="04380319"/>
    <w:multiLevelType w:val="hybridMultilevel"/>
    <w:tmpl w:val="015E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7B54C6"/>
    <w:multiLevelType w:val="multilevel"/>
    <w:tmpl w:val="C692733C"/>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111C132D"/>
    <w:multiLevelType w:val="hybridMultilevel"/>
    <w:tmpl w:val="D80C059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2E3057"/>
    <w:multiLevelType w:val="hybridMultilevel"/>
    <w:tmpl w:val="3A74C0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EB6821"/>
    <w:multiLevelType w:val="hybridMultilevel"/>
    <w:tmpl w:val="FA8C91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11021D"/>
    <w:multiLevelType w:val="hybridMultilevel"/>
    <w:tmpl w:val="D24AE9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A785C48"/>
    <w:multiLevelType w:val="hybridMultilevel"/>
    <w:tmpl w:val="E6D8749A"/>
    <w:lvl w:ilvl="0" w:tplc="C58ABA6A">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7BD57D9"/>
    <w:multiLevelType w:val="hybridMultilevel"/>
    <w:tmpl w:val="C3F62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331CCE"/>
    <w:multiLevelType w:val="hybridMultilevel"/>
    <w:tmpl w:val="FD3207D2"/>
    <w:lvl w:ilvl="0" w:tplc="240A000F">
      <w:start w:val="1"/>
      <w:numFmt w:val="decimal"/>
      <w:lvlText w:val="%1."/>
      <w:lvlJc w:val="left"/>
      <w:pPr>
        <w:ind w:left="-984" w:hanging="360"/>
      </w:pPr>
      <w:rPr>
        <w:rFonts w:hint="default"/>
        <w:b/>
      </w:rPr>
    </w:lvl>
    <w:lvl w:ilvl="1" w:tplc="240A0019">
      <w:start w:val="1"/>
      <w:numFmt w:val="lowerLetter"/>
      <w:lvlText w:val="%2."/>
      <w:lvlJc w:val="left"/>
      <w:pPr>
        <w:ind w:left="-264" w:hanging="360"/>
      </w:pPr>
    </w:lvl>
    <w:lvl w:ilvl="2" w:tplc="240A001B" w:tentative="1">
      <w:start w:val="1"/>
      <w:numFmt w:val="lowerRoman"/>
      <w:lvlText w:val="%3."/>
      <w:lvlJc w:val="right"/>
      <w:pPr>
        <w:ind w:left="456" w:hanging="180"/>
      </w:pPr>
    </w:lvl>
    <w:lvl w:ilvl="3" w:tplc="240A000F" w:tentative="1">
      <w:start w:val="1"/>
      <w:numFmt w:val="decimal"/>
      <w:lvlText w:val="%4."/>
      <w:lvlJc w:val="left"/>
      <w:pPr>
        <w:ind w:left="1176" w:hanging="360"/>
      </w:pPr>
    </w:lvl>
    <w:lvl w:ilvl="4" w:tplc="240A0019" w:tentative="1">
      <w:start w:val="1"/>
      <w:numFmt w:val="lowerLetter"/>
      <w:lvlText w:val="%5."/>
      <w:lvlJc w:val="left"/>
      <w:pPr>
        <w:ind w:left="1896" w:hanging="360"/>
      </w:pPr>
    </w:lvl>
    <w:lvl w:ilvl="5" w:tplc="240A001B" w:tentative="1">
      <w:start w:val="1"/>
      <w:numFmt w:val="lowerRoman"/>
      <w:lvlText w:val="%6."/>
      <w:lvlJc w:val="right"/>
      <w:pPr>
        <w:ind w:left="2616" w:hanging="180"/>
      </w:pPr>
    </w:lvl>
    <w:lvl w:ilvl="6" w:tplc="240A000F" w:tentative="1">
      <w:start w:val="1"/>
      <w:numFmt w:val="decimal"/>
      <w:lvlText w:val="%7."/>
      <w:lvlJc w:val="left"/>
      <w:pPr>
        <w:ind w:left="3336" w:hanging="360"/>
      </w:pPr>
    </w:lvl>
    <w:lvl w:ilvl="7" w:tplc="240A0019" w:tentative="1">
      <w:start w:val="1"/>
      <w:numFmt w:val="lowerLetter"/>
      <w:lvlText w:val="%8."/>
      <w:lvlJc w:val="left"/>
      <w:pPr>
        <w:ind w:left="4056" w:hanging="360"/>
      </w:pPr>
    </w:lvl>
    <w:lvl w:ilvl="8" w:tplc="240A001B" w:tentative="1">
      <w:start w:val="1"/>
      <w:numFmt w:val="lowerRoman"/>
      <w:lvlText w:val="%9."/>
      <w:lvlJc w:val="right"/>
      <w:pPr>
        <w:ind w:left="4776" w:hanging="180"/>
      </w:pPr>
    </w:lvl>
  </w:abstractNum>
  <w:abstractNum w:abstractNumId="10" w15:restartNumberingAfterBreak="0">
    <w:nsid w:val="4D6B3A91"/>
    <w:multiLevelType w:val="hybridMultilevel"/>
    <w:tmpl w:val="D3C852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F487665"/>
    <w:multiLevelType w:val="hybridMultilevel"/>
    <w:tmpl w:val="00B8F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3B94EEF"/>
    <w:multiLevelType w:val="hybridMultilevel"/>
    <w:tmpl w:val="67280A2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3" w15:restartNumberingAfterBreak="0">
    <w:nsid w:val="7BF00834"/>
    <w:multiLevelType w:val="hybridMultilevel"/>
    <w:tmpl w:val="539050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14908874">
    <w:abstractNumId w:val="10"/>
  </w:num>
  <w:num w:numId="2" w16cid:durableId="198251644">
    <w:abstractNumId w:val="1"/>
  </w:num>
  <w:num w:numId="3" w16cid:durableId="1468157853">
    <w:abstractNumId w:val="2"/>
  </w:num>
  <w:num w:numId="4" w16cid:durableId="2072848132">
    <w:abstractNumId w:val="0"/>
  </w:num>
  <w:num w:numId="5" w16cid:durableId="1705714525">
    <w:abstractNumId w:val="12"/>
  </w:num>
  <w:num w:numId="6" w16cid:durableId="1560095374">
    <w:abstractNumId w:val="8"/>
  </w:num>
  <w:num w:numId="7" w16cid:durableId="869487396">
    <w:abstractNumId w:val="4"/>
  </w:num>
  <w:num w:numId="8" w16cid:durableId="548878799">
    <w:abstractNumId w:val="3"/>
  </w:num>
  <w:num w:numId="9" w16cid:durableId="898905160">
    <w:abstractNumId w:val="9"/>
  </w:num>
  <w:num w:numId="10" w16cid:durableId="981078005">
    <w:abstractNumId w:val="7"/>
  </w:num>
  <w:num w:numId="11" w16cid:durableId="891190763">
    <w:abstractNumId w:val="13"/>
  </w:num>
  <w:num w:numId="12" w16cid:durableId="1485123132">
    <w:abstractNumId w:val="11"/>
  </w:num>
  <w:num w:numId="13" w16cid:durableId="1914848190">
    <w:abstractNumId w:val="6"/>
  </w:num>
  <w:num w:numId="14" w16cid:durableId="1984965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savePreviewPicture/>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C5"/>
    <w:rsid w:val="00001850"/>
    <w:rsid w:val="00003D49"/>
    <w:rsid w:val="0000503F"/>
    <w:rsid w:val="000070AC"/>
    <w:rsid w:val="00010882"/>
    <w:rsid w:val="00013027"/>
    <w:rsid w:val="000168DF"/>
    <w:rsid w:val="00017764"/>
    <w:rsid w:val="0002089C"/>
    <w:rsid w:val="00021393"/>
    <w:rsid w:val="000231F9"/>
    <w:rsid w:val="000266AB"/>
    <w:rsid w:val="00026857"/>
    <w:rsid w:val="000308F1"/>
    <w:rsid w:val="000308FC"/>
    <w:rsid w:val="00032B82"/>
    <w:rsid w:val="00033015"/>
    <w:rsid w:val="000334E6"/>
    <w:rsid w:val="00034AD1"/>
    <w:rsid w:val="00035880"/>
    <w:rsid w:val="0003685F"/>
    <w:rsid w:val="000376C9"/>
    <w:rsid w:val="0004253A"/>
    <w:rsid w:val="000441B2"/>
    <w:rsid w:val="00045194"/>
    <w:rsid w:val="00045F00"/>
    <w:rsid w:val="000470D4"/>
    <w:rsid w:val="000505E5"/>
    <w:rsid w:val="00050AC5"/>
    <w:rsid w:val="00051066"/>
    <w:rsid w:val="00054872"/>
    <w:rsid w:val="000553E7"/>
    <w:rsid w:val="00057051"/>
    <w:rsid w:val="000578A5"/>
    <w:rsid w:val="00061E4B"/>
    <w:rsid w:val="00064CCD"/>
    <w:rsid w:val="00066662"/>
    <w:rsid w:val="00071859"/>
    <w:rsid w:val="000730CB"/>
    <w:rsid w:val="0007502C"/>
    <w:rsid w:val="00080131"/>
    <w:rsid w:val="00080866"/>
    <w:rsid w:val="000833F1"/>
    <w:rsid w:val="00085B8F"/>
    <w:rsid w:val="00085D93"/>
    <w:rsid w:val="0009069C"/>
    <w:rsid w:val="000A2601"/>
    <w:rsid w:val="000A4634"/>
    <w:rsid w:val="000B0BF9"/>
    <w:rsid w:val="000B5B22"/>
    <w:rsid w:val="000B6AA2"/>
    <w:rsid w:val="000C5B5D"/>
    <w:rsid w:val="000D4116"/>
    <w:rsid w:val="000D460F"/>
    <w:rsid w:val="000D65B1"/>
    <w:rsid w:val="000D689A"/>
    <w:rsid w:val="000E2DC0"/>
    <w:rsid w:val="000E3717"/>
    <w:rsid w:val="000E6E9E"/>
    <w:rsid w:val="000F1325"/>
    <w:rsid w:val="000F3078"/>
    <w:rsid w:val="000F3470"/>
    <w:rsid w:val="00100E96"/>
    <w:rsid w:val="001037D2"/>
    <w:rsid w:val="00104D38"/>
    <w:rsid w:val="00112AA6"/>
    <w:rsid w:val="001150D6"/>
    <w:rsid w:val="001169BF"/>
    <w:rsid w:val="0012435F"/>
    <w:rsid w:val="00125CEA"/>
    <w:rsid w:val="00132044"/>
    <w:rsid w:val="001322EE"/>
    <w:rsid w:val="00134971"/>
    <w:rsid w:val="001415FF"/>
    <w:rsid w:val="00142638"/>
    <w:rsid w:val="0014392D"/>
    <w:rsid w:val="00144D89"/>
    <w:rsid w:val="0015012F"/>
    <w:rsid w:val="00157E15"/>
    <w:rsid w:val="0016031B"/>
    <w:rsid w:val="0016621A"/>
    <w:rsid w:val="0017037A"/>
    <w:rsid w:val="001705AA"/>
    <w:rsid w:val="00173FC4"/>
    <w:rsid w:val="00175A17"/>
    <w:rsid w:val="001854CF"/>
    <w:rsid w:val="00192B2B"/>
    <w:rsid w:val="00195E3E"/>
    <w:rsid w:val="00195E8D"/>
    <w:rsid w:val="00197473"/>
    <w:rsid w:val="001A346F"/>
    <w:rsid w:val="001A3A09"/>
    <w:rsid w:val="001B1099"/>
    <w:rsid w:val="001B39ED"/>
    <w:rsid w:val="001C00D9"/>
    <w:rsid w:val="001C1EFF"/>
    <w:rsid w:val="001C436B"/>
    <w:rsid w:val="001C5331"/>
    <w:rsid w:val="001C556B"/>
    <w:rsid w:val="001C5EAE"/>
    <w:rsid w:val="001D46DC"/>
    <w:rsid w:val="001E0CA6"/>
    <w:rsid w:val="001E2CD3"/>
    <w:rsid w:val="001E6FDB"/>
    <w:rsid w:val="001F4FB1"/>
    <w:rsid w:val="00200329"/>
    <w:rsid w:val="00200887"/>
    <w:rsid w:val="002020A0"/>
    <w:rsid w:val="00202354"/>
    <w:rsid w:val="002069EF"/>
    <w:rsid w:val="00210E03"/>
    <w:rsid w:val="00211132"/>
    <w:rsid w:val="00213F9F"/>
    <w:rsid w:val="00217C84"/>
    <w:rsid w:val="00217D4F"/>
    <w:rsid w:val="00223048"/>
    <w:rsid w:val="00224218"/>
    <w:rsid w:val="0022503D"/>
    <w:rsid w:val="0022609A"/>
    <w:rsid w:val="002316EC"/>
    <w:rsid w:val="00232F0E"/>
    <w:rsid w:val="00234125"/>
    <w:rsid w:val="00236554"/>
    <w:rsid w:val="0024486F"/>
    <w:rsid w:val="00246B3C"/>
    <w:rsid w:val="00247921"/>
    <w:rsid w:val="002542DA"/>
    <w:rsid w:val="0025680C"/>
    <w:rsid w:val="00272202"/>
    <w:rsid w:val="00272B04"/>
    <w:rsid w:val="0027307C"/>
    <w:rsid w:val="00274B4F"/>
    <w:rsid w:val="00275E88"/>
    <w:rsid w:val="00277B30"/>
    <w:rsid w:val="00280F3B"/>
    <w:rsid w:val="00282066"/>
    <w:rsid w:val="00282C82"/>
    <w:rsid w:val="00290802"/>
    <w:rsid w:val="00293C3B"/>
    <w:rsid w:val="00296A4B"/>
    <w:rsid w:val="00296E3E"/>
    <w:rsid w:val="002A3305"/>
    <w:rsid w:val="002A4539"/>
    <w:rsid w:val="002A5EF2"/>
    <w:rsid w:val="002B1B92"/>
    <w:rsid w:val="002B1F40"/>
    <w:rsid w:val="002B3327"/>
    <w:rsid w:val="002C2C2C"/>
    <w:rsid w:val="002C4A58"/>
    <w:rsid w:val="002E0437"/>
    <w:rsid w:val="002E17BC"/>
    <w:rsid w:val="002E3985"/>
    <w:rsid w:val="002E546C"/>
    <w:rsid w:val="002F4138"/>
    <w:rsid w:val="003015E4"/>
    <w:rsid w:val="00301E4E"/>
    <w:rsid w:val="00305160"/>
    <w:rsid w:val="003068C5"/>
    <w:rsid w:val="00311226"/>
    <w:rsid w:val="003116F9"/>
    <w:rsid w:val="00314F8A"/>
    <w:rsid w:val="00316DE4"/>
    <w:rsid w:val="00317793"/>
    <w:rsid w:val="00321452"/>
    <w:rsid w:val="003218DC"/>
    <w:rsid w:val="003253AE"/>
    <w:rsid w:val="00330AE3"/>
    <w:rsid w:val="003429C4"/>
    <w:rsid w:val="00350BB7"/>
    <w:rsid w:val="00354740"/>
    <w:rsid w:val="00356796"/>
    <w:rsid w:val="00357C9A"/>
    <w:rsid w:val="0036020E"/>
    <w:rsid w:val="00360DFB"/>
    <w:rsid w:val="00365621"/>
    <w:rsid w:val="00376A40"/>
    <w:rsid w:val="00380CD9"/>
    <w:rsid w:val="003818C1"/>
    <w:rsid w:val="00382C08"/>
    <w:rsid w:val="00385A08"/>
    <w:rsid w:val="00393464"/>
    <w:rsid w:val="00394A2D"/>
    <w:rsid w:val="003959DA"/>
    <w:rsid w:val="00396D60"/>
    <w:rsid w:val="00396EA0"/>
    <w:rsid w:val="003A6151"/>
    <w:rsid w:val="003B1EEC"/>
    <w:rsid w:val="003B33F2"/>
    <w:rsid w:val="003C04BF"/>
    <w:rsid w:val="003C3B06"/>
    <w:rsid w:val="003E2B8A"/>
    <w:rsid w:val="003E4E92"/>
    <w:rsid w:val="003E630B"/>
    <w:rsid w:val="003F7CA9"/>
    <w:rsid w:val="00402BCE"/>
    <w:rsid w:val="0040370D"/>
    <w:rsid w:val="004039CF"/>
    <w:rsid w:val="00404BED"/>
    <w:rsid w:val="00412FC4"/>
    <w:rsid w:val="004137D9"/>
    <w:rsid w:val="004238D1"/>
    <w:rsid w:val="00424486"/>
    <w:rsid w:val="00427FC9"/>
    <w:rsid w:val="004307DD"/>
    <w:rsid w:val="00431A4F"/>
    <w:rsid w:val="00432BFD"/>
    <w:rsid w:val="00432D7E"/>
    <w:rsid w:val="00436F7C"/>
    <w:rsid w:val="00437BFC"/>
    <w:rsid w:val="00440334"/>
    <w:rsid w:val="004440CE"/>
    <w:rsid w:val="00444E5E"/>
    <w:rsid w:val="00446BA5"/>
    <w:rsid w:val="0044784E"/>
    <w:rsid w:val="00447954"/>
    <w:rsid w:val="004513A2"/>
    <w:rsid w:val="0045531D"/>
    <w:rsid w:val="00455EBB"/>
    <w:rsid w:val="00457D77"/>
    <w:rsid w:val="00462BB3"/>
    <w:rsid w:val="00463661"/>
    <w:rsid w:val="0047147F"/>
    <w:rsid w:val="00472BE8"/>
    <w:rsid w:val="004773B4"/>
    <w:rsid w:val="004779E6"/>
    <w:rsid w:val="00483A23"/>
    <w:rsid w:val="00484116"/>
    <w:rsid w:val="004852BB"/>
    <w:rsid w:val="00490CB5"/>
    <w:rsid w:val="00491579"/>
    <w:rsid w:val="004A25A4"/>
    <w:rsid w:val="004A3DED"/>
    <w:rsid w:val="004B025B"/>
    <w:rsid w:val="004B629A"/>
    <w:rsid w:val="004C28FC"/>
    <w:rsid w:val="004C5F41"/>
    <w:rsid w:val="004D52E7"/>
    <w:rsid w:val="004D712C"/>
    <w:rsid w:val="004E38EA"/>
    <w:rsid w:val="004F6AF0"/>
    <w:rsid w:val="0050169E"/>
    <w:rsid w:val="00502463"/>
    <w:rsid w:val="00507CF0"/>
    <w:rsid w:val="00511CCA"/>
    <w:rsid w:val="005127A5"/>
    <w:rsid w:val="00512D4B"/>
    <w:rsid w:val="00520FBE"/>
    <w:rsid w:val="00524CA6"/>
    <w:rsid w:val="00532099"/>
    <w:rsid w:val="00541FBE"/>
    <w:rsid w:val="0055048D"/>
    <w:rsid w:val="005548B5"/>
    <w:rsid w:val="00560467"/>
    <w:rsid w:val="00561EE8"/>
    <w:rsid w:val="00567E81"/>
    <w:rsid w:val="00571002"/>
    <w:rsid w:val="005722DD"/>
    <w:rsid w:val="00572F66"/>
    <w:rsid w:val="00577DDF"/>
    <w:rsid w:val="00580077"/>
    <w:rsid w:val="0058080B"/>
    <w:rsid w:val="005829A9"/>
    <w:rsid w:val="00591B98"/>
    <w:rsid w:val="0059296F"/>
    <w:rsid w:val="005A2FAF"/>
    <w:rsid w:val="005A3996"/>
    <w:rsid w:val="005A5AA8"/>
    <w:rsid w:val="005A6676"/>
    <w:rsid w:val="005A6688"/>
    <w:rsid w:val="005B0264"/>
    <w:rsid w:val="005B363C"/>
    <w:rsid w:val="005B6033"/>
    <w:rsid w:val="005B6E96"/>
    <w:rsid w:val="005C10B7"/>
    <w:rsid w:val="005C2413"/>
    <w:rsid w:val="005C5618"/>
    <w:rsid w:val="005C7740"/>
    <w:rsid w:val="005C7E8B"/>
    <w:rsid w:val="005D0B7A"/>
    <w:rsid w:val="005D1F16"/>
    <w:rsid w:val="005E17B4"/>
    <w:rsid w:val="005E1BBC"/>
    <w:rsid w:val="005E27DC"/>
    <w:rsid w:val="005E2AF0"/>
    <w:rsid w:val="005E2D23"/>
    <w:rsid w:val="005E3A6A"/>
    <w:rsid w:val="005E79DC"/>
    <w:rsid w:val="005F1AEA"/>
    <w:rsid w:val="005F247D"/>
    <w:rsid w:val="005F38AB"/>
    <w:rsid w:val="005F4ED7"/>
    <w:rsid w:val="00606EEA"/>
    <w:rsid w:val="00610732"/>
    <w:rsid w:val="0061073C"/>
    <w:rsid w:val="00610740"/>
    <w:rsid w:val="00611A19"/>
    <w:rsid w:val="00612796"/>
    <w:rsid w:val="00612910"/>
    <w:rsid w:val="00613745"/>
    <w:rsid w:val="00614765"/>
    <w:rsid w:val="00614A30"/>
    <w:rsid w:val="0062099D"/>
    <w:rsid w:val="00623879"/>
    <w:rsid w:val="0063160F"/>
    <w:rsid w:val="00637525"/>
    <w:rsid w:val="00637D0F"/>
    <w:rsid w:val="00637E21"/>
    <w:rsid w:val="006403C1"/>
    <w:rsid w:val="0064432A"/>
    <w:rsid w:val="00645A63"/>
    <w:rsid w:val="00647739"/>
    <w:rsid w:val="00651200"/>
    <w:rsid w:val="00653254"/>
    <w:rsid w:val="00654D59"/>
    <w:rsid w:val="00661515"/>
    <w:rsid w:val="006632BC"/>
    <w:rsid w:val="00673DF1"/>
    <w:rsid w:val="0067459C"/>
    <w:rsid w:val="00677FC3"/>
    <w:rsid w:val="00680FD4"/>
    <w:rsid w:val="0068241D"/>
    <w:rsid w:val="006827C1"/>
    <w:rsid w:val="00684C62"/>
    <w:rsid w:val="006862C2"/>
    <w:rsid w:val="00687326"/>
    <w:rsid w:val="00693430"/>
    <w:rsid w:val="006A01BB"/>
    <w:rsid w:val="006A0553"/>
    <w:rsid w:val="006A0FD3"/>
    <w:rsid w:val="006A39B3"/>
    <w:rsid w:val="006B01EB"/>
    <w:rsid w:val="006B2841"/>
    <w:rsid w:val="006B3E62"/>
    <w:rsid w:val="006B45D2"/>
    <w:rsid w:val="006B47F5"/>
    <w:rsid w:val="006B602E"/>
    <w:rsid w:val="006C1EA7"/>
    <w:rsid w:val="006C32C3"/>
    <w:rsid w:val="006C6144"/>
    <w:rsid w:val="006D0D01"/>
    <w:rsid w:val="006D4995"/>
    <w:rsid w:val="006E124C"/>
    <w:rsid w:val="006E49AC"/>
    <w:rsid w:val="006E64F8"/>
    <w:rsid w:val="006F1DA6"/>
    <w:rsid w:val="006F1F1E"/>
    <w:rsid w:val="006F2204"/>
    <w:rsid w:val="006F253A"/>
    <w:rsid w:val="006F7B7F"/>
    <w:rsid w:val="00703BFB"/>
    <w:rsid w:val="00705726"/>
    <w:rsid w:val="0072171D"/>
    <w:rsid w:val="00722ABE"/>
    <w:rsid w:val="007271FF"/>
    <w:rsid w:val="00727388"/>
    <w:rsid w:val="00741738"/>
    <w:rsid w:val="007450D8"/>
    <w:rsid w:val="007461F5"/>
    <w:rsid w:val="00746CE6"/>
    <w:rsid w:val="00751E38"/>
    <w:rsid w:val="007551E3"/>
    <w:rsid w:val="007568E7"/>
    <w:rsid w:val="00760AB3"/>
    <w:rsid w:val="00767568"/>
    <w:rsid w:val="007700F6"/>
    <w:rsid w:val="00776E98"/>
    <w:rsid w:val="00782CB3"/>
    <w:rsid w:val="007861A7"/>
    <w:rsid w:val="00791356"/>
    <w:rsid w:val="007A2358"/>
    <w:rsid w:val="007A2BA1"/>
    <w:rsid w:val="007A36F5"/>
    <w:rsid w:val="007A55E0"/>
    <w:rsid w:val="007B6737"/>
    <w:rsid w:val="007B7938"/>
    <w:rsid w:val="007C0E86"/>
    <w:rsid w:val="007C6D81"/>
    <w:rsid w:val="007C73FE"/>
    <w:rsid w:val="007D6101"/>
    <w:rsid w:val="007D6707"/>
    <w:rsid w:val="007E0011"/>
    <w:rsid w:val="007E497B"/>
    <w:rsid w:val="007E7807"/>
    <w:rsid w:val="007F0A6E"/>
    <w:rsid w:val="007F296A"/>
    <w:rsid w:val="007F2D30"/>
    <w:rsid w:val="007F54CE"/>
    <w:rsid w:val="008038D4"/>
    <w:rsid w:val="00805C04"/>
    <w:rsid w:val="00811273"/>
    <w:rsid w:val="00812F0A"/>
    <w:rsid w:val="0081452A"/>
    <w:rsid w:val="00814B43"/>
    <w:rsid w:val="008152FF"/>
    <w:rsid w:val="0082007E"/>
    <w:rsid w:val="0082164E"/>
    <w:rsid w:val="00823087"/>
    <w:rsid w:val="008235CB"/>
    <w:rsid w:val="00824545"/>
    <w:rsid w:val="00833FDF"/>
    <w:rsid w:val="00836583"/>
    <w:rsid w:val="008366E1"/>
    <w:rsid w:val="00845046"/>
    <w:rsid w:val="008543A4"/>
    <w:rsid w:val="0085756D"/>
    <w:rsid w:val="00857A36"/>
    <w:rsid w:val="00862ECF"/>
    <w:rsid w:val="00874A3F"/>
    <w:rsid w:val="00874BEF"/>
    <w:rsid w:val="008850F8"/>
    <w:rsid w:val="00893B87"/>
    <w:rsid w:val="00894396"/>
    <w:rsid w:val="008A01F2"/>
    <w:rsid w:val="008A4285"/>
    <w:rsid w:val="008A43C3"/>
    <w:rsid w:val="008A5575"/>
    <w:rsid w:val="008A6089"/>
    <w:rsid w:val="008A75A1"/>
    <w:rsid w:val="008B0632"/>
    <w:rsid w:val="008B3A47"/>
    <w:rsid w:val="008C1060"/>
    <w:rsid w:val="008C1271"/>
    <w:rsid w:val="008C6359"/>
    <w:rsid w:val="008D1791"/>
    <w:rsid w:val="008D36D4"/>
    <w:rsid w:val="008D65C1"/>
    <w:rsid w:val="008D71A4"/>
    <w:rsid w:val="008E53C4"/>
    <w:rsid w:val="008E54F3"/>
    <w:rsid w:val="008E7DC0"/>
    <w:rsid w:val="00903491"/>
    <w:rsid w:val="00903678"/>
    <w:rsid w:val="00906249"/>
    <w:rsid w:val="00911898"/>
    <w:rsid w:val="0091271C"/>
    <w:rsid w:val="00921EF3"/>
    <w:rsid w:val="00923877"/>
    <w:rsid w:val="00923D0C"/>
    <w:rsid w:val="00923D62"/>
    <w:rsid w:val="009279F9"/>
    <w:rsid w:val="00937448"/>
    <w:rsid w:val="00940E46"/>
    <w:rsid w:val="009448A9"/>
    <w:rsid w:val="00944F3B"/>
    <w:rsid w:val="00962D62"/>
    <w:rsid w:val="00964C7D"/>
    <w:rsid w:val="00967697"/>
    <w:rsid w:val="00970141"/>
    <w:rsid w:val="009719D6"/>
    <w:rsid w:val="009722F9"/>
    <w:rsid w:val="009772A8"/>
    <w:rsid w:val="00980600"/>
    <w:rsid w:val="00994684"/>
    <w:rsid w:val="00996DB0"/>
    <w:rsid w:val="009973CC"/>
    <w:rsid w:val="009A104E"/>
    <w:rsid w:val="009A2BCF"/>
    <w:rsid w:val="009A3F15"/>
    <w:rsid w:val="009A6C40"/>
    <w:rsid w:val="009A7442"/>
    <w:rsid w:val="009B06ED"/>
    <w:rsid w:val="009B0DC0"/>
    <w:rsid w:val="009B2A93"/>
    <w:rsid w:val="009B5272"/>
    <w:rsid w:val="009B5FF7"/>
    <w:rsid w:val="009B754A"/>
    <w:rsid w:val="009C073A"/>
    <w:rsid w:val="009C0BA4"/>
    <w:rsid w:val="009C1230"/>
    <w:rsid w:val="009D63D7"/>
    <w:rsid w:val="009E2DD3"/>
    <w:rsid w:val="009E35BA"/>
    <w:rsid w:val="009E732F"/>
    <w:rsid w:val="009E73E2"/>
    <w:rsid w:val="009F4326"/>
    <w:rsid w:val="009F6B3D"/>
    <w:rsid w:val="00A02719"/>
    <w:rsid w:val="00A04D97"/>
    <w:rsid w:val="00A06499"/>
    <w:rsid w:val="00A135DE"/>
    <w:rsid w:val="00A177F5"/>
    <w:rsid w:val="00A17826"/>
    <w:rsid w:val="00A245A2"/>
    <w:rsid w:val="00A30944"/>
    <w:rsid w:val="00A311C4"/>
    <w:rsid w:val="00A3141F"/>
    <w:rsid w:val="00A32193"/>
    <w:rsid w:val="00A3520A"/>
    <w:rsid w:val="00A37596"/>
    <w:rsid w:val="00A4249A"/>
    <w:rsid w:val="00A4488A"/>
    <w:rsid w:val="00A47630"/>
    <w:rsid w:val="00A52FD4"/>
    <w:rsid w:val="00A53409"/>
    <w:rsid w:val="00A541BB"/>
    <w:rsid w:val="00A54DB5"/>
    <w:rsid w:val="00A6430C"/>
    <w:rsid w:val="00A65148"/>
    <w:rsid w:val="00A66687"/>
    <w:rsid w:val="00A66E66"/>
    <w:rsid w:val="00A70F02"/>
    <w:rsid w:val="00A72FAD"/>
    <w:rsid w:val="00A74557"/>
    <w:rsid w:val="00A75721"/>
    <w:rsid w:val="00A7591D"/>
    <w:rsid w:val="00A76111"/>
    <w:rsid w:val="00A76B9A"/>
    <w:rsid w:val="00A86E19"/>
    <w:rsid w:val="00A87EA1"/>
    <w:rsid w:val="00A929E1"/>
    <w:rsid w:val="00A95DB7"/>
    <w:rsid w:val="00AA5803"/>
    <w:rsid w:val="00AA5989"/>
    <w:rsid w:val="00AB21D0"/>
    <w:rsid w:val="00AB4A6B"/>
    <w:rsid w:val="00AC072C"/>
    <w:rsid w:val="00AC2C4B"/>
    <w:rsid w:val="00AC2E3B"/>
    <w:rsid w:val="00AC3F7F"/>
    <w:rsid w:val="00AC4016"/>
    <w:rsid w:val="00AC7BE8"/>
    <w:rsid w:val="00AD7216"/>
    <w:rsid w:val="00AD7666"/>
    <w:rsid w:val="00AE20E9"/>
    <w:rsid w:val="00AE24AD"/>
    <w:rsid w:val="00B079AB"/>
    <w:rsid w:val="00B10357"/>
    <w:rsid w:val="00B20C67"/>
    <w:rsid w:val="00B25812"/>
    <w:rsid w:val="00B261E9"/>
    <w:rsid w:val="00B3425D"/>
    <w:rsid w:val="00B50C58"/>
    <w:rsid w:val="00B53D3C"/>
    <w:rsid w:val="00B55D3D"/>
    <w:rsid w:val="00B628C7"/>
    <w:rsid w:val="00B67DB4"/>
    <w:rsid w:val="00B7111F"/>
    <w:rsid w:val="00B71141"/>
    <w:rsid w:val="00B7219A"/>
    <w:rsid w:val="00B83295"/>
    <w:rsid w:val="00B86654"/>
    <w:rsid w:val="00B92050"/>
    <w:rsid w:val="00BA5052"/>
    <w:rsid w:val="00BA7320"/>
    <w:rsid w:val="00BB4D43"/>
    <w:rsid w:val="00BC2F06"/>
    <w:rsid w:val="00BC3F68"/>
    <w:rsid w:val="00BC7329"/>
    <w:rsid w:val="00BD02E6"/>
    <w:rsid w:val="00BD09C7"/>
    <w:rsid w:val="00BD5304"/>
    <w:rsid w:val="00BE2BA9"/>
    <w:rsid w:val="00BE3473"/>
    <w:rsid w:val="00BF37D4"/>
    <w:rsid w:val="00BF71F7"/>
    <w:rsid w:val="00C028DE"/>
    <w:rsid w:val="00C042D4"/>
    <w:rsid w:val="00C047AE"/>
    <w:rsid w:val="00C0519B"/>
    <w:rsid w:val="00C10080"/>
    <w:rsid w:val="00C11D3F"/>
    <w:rsid w:val="00C134CB"/>
    <w:rsid w:val="00C14BEF"/>
    <w:rsid w:val="00C15659"/>
    <w:rsid w:val="00C1604B"/>
    <w:rsid w:val="00C1790C"/>
    <w:rsid w:val="00C2408C"/>
    <w:rsid w:val="00C322E9"/>
    <w:rsid w:val="00C32F2F"/>
    <w:rsid w:val="00C36AF2"/>
    <w:rsid w:val="00C40145"/>
    <w:rsid w:val="00C46DD0"/>
    <w:rsid w:val="00C473A5"/>
    <w:rsid w:val="00C500C3"/>
    <w:rsid w:val="00C51AB3"/>
    <w:rsid w:val="00C62AED"/>
    <w:rsid w:val="00C71FF7"/>
    <w:rsid w:val="00C736DF"/>
    <w:rsid w:val="00C73ACD"/>
    <w:rsid w:val="00C76508"/>
    <w:rsid w:val="00C80EF8"/>
    <w:rsid w:val="00C84FFA"/>
    <w:rsid w:val="00C8781E"/>
    <w:rsid w:val="00C914C9"/>
    <w:rsid w:val="00C95018"/>
    <w:rsid w:val="00C95343"/>
    <w:rsid w:val="00CA089C"/>
    <w:rsid w:val="00CA2366"/>
    <w:rsid w:val="00CA5456"/>
    <w:rsid w:val="00CA671E"/>
    <w:rsid w:val="00CB269B"/>
    <w:rsid w:val="00CB60D3"/>
    <w:rsid w:val="00CC0954"/>
    <w:rsid w:val="00CC6A0A"/>
    <w:rsid w:val="00CD2C4E"/>
    <w:rsid w:val="00CD55BF"/>
    <w:rsid w:val="00CE6373"/>
    <w:rsid w:val="00CF2BE6"/>
    <w:rsid w:val="00CF47E2"/>
    <w:rsid w:val="00D0508C"/>
    <w:rsid w:val="00D05548"/>
    <w:rsid w:val="00D12CFA"/>
    <w:rsid w:val="00D16115"/>
    <w:rsid w:val="00D16122"/>
    <w:rsid w:val="00D17920"/>
    <w:rsid w:val="00D21583"/>
    <w:rsid w:val="00D21D5C"/>
    <w:rsid w:val="00D30A40"/>
    <w:rsid w:val="00D321A0"/>
    <w:rsid w:val="00D32E7A"/>
    <w:rsid w:val="00D372FF"/>
    <w:rsid w:val="00D37674"/>
    <w:rsid w:val="00D37888"/>
    <w:rsid w:val="00D45553"/>
    <w:rsid w:val="00D457B6"/>
    <w:rsid w:val="00D47F0A"/>
    <w:rsid w:val="00D52A3C"/>
    <w:rsid w:val="00D5377B"/>
    <w:rsid w:val="00D53C94"/>
    <w:rsid w:val="00D55F07"/>
    <w:rsid w:val="00D6013D"/>
    <w:rsid w:val="00D61BF5"/>
    <w:rsid w:val="00D620AB"/>
    <w:rsid w:val="00D62A40"/>
    <w:rsid w:val="00D62BE8"/>
    <w:rsid w:val="00D66490"/>
    <w:rsid w:val="00D72121"/>
    <w:rsid w:val="00D7322F"/>
    <w:rsid w:val="00D75E1D"/>
    <w:rsid w:val="00D91CFF"/>
    <w:rsid w:val="00D92088"/>
    <w:rsid w:val="00D92AC7"/>
    <w:rsid w:val="00D94083"/>
    <w:rsid w:val="00DA1443"/>
    <w:rsid w:val="00DA3822"/>
    <w:rsid w:val="00DA3FF1"/>
    <w:rsid w:val="00DA5606"/>
    <w:rsid w:val="00DB05FE"/>
    <w:rsid w:val="00DB209A"/>
    <w:rsid w:val="00DB522C"/>
    <w:rsid w:val="00DC01FC"/>
    <w:rsid w:val="00DC0221"/>
    <w:rsid w:val="00DD1FD0"/>
    <w:rsid w:val="00DD2284"/>
    <w:rsid w:val="00DD5015"/>
    <w:rsid w:val="00DE5A4C"/>
    <w:rsid w:val="00DE64D7"/>
    <w:rsid w:val="00DE6C38"/>
    <w:rsid w:val="00DE74E1"/>
    <w:rsid w:val="00DF0485"/>
    <w:rsid w:val="00DF10B9"/>
    <w:rsid w:val="00DF153A"/>
    <w:rsid w:val="00DF73E9"/>
    <w:rsid w:val="00E008D0"/>
    <w:rsid w:val="00E00A44"/>
    <w:rsid w:val="00E0334E"/>
    <w:rsid w:val="00E041F8"/>
    <w:rsid w:val="00E06209"/>
    <w:rsid w:val="00E10794"/>
    <w:rsid w:val="00E15740"/>
    <w:rsid w:val="00E22A87"/>
    <w:rsid w:val="00E2334E"/>
    <w:rsid w:val="00E32FDD"/>
    <w:rsid w:val="00E408CA"/>
    <w:rsid w:val="00E4752E"/>
    <w:rsid w:val="00E53089"/>
    <w:rsid w:val="00E55558"/>
    <w:rsid w:val="00E55A24"/>
    <w:rsid w:val="00E576E6"/>
    <w:rsid w:val="00E57894"/>
    <w:rsid w:val="00E5798B"/>
    <w:rsid w:val="00E60426"/>
    <w:rsid w:val="00E6110B"/>
    <w:rsid w:val="00E61EB9"/>
    <w:rsid w:val="00E64AB5"/>
    <w:rsid w:val="00E678D8"/>
    <w:rsid w:val="00E72A65"/>
    <w:rsid w:val="00E82663"/>
    <w:rsid w:val="00E92705"/>
    <w:rsid w:val="00E93F76"/>
    <w:rsid w:val="00E9461F"/>
    <w:rsid w:val="00E94A03"/>
    <w:rsid w:val="00E95A4A"/>
    <w:rsid w:val="00E9669B"/>
    <w:rsid w:val="00EA124C"/>
    <w:rsid w:val="00EB0274"/>
    <w:rsid w:val="00EC44D5"/>
    <w:rsid w:val="00EC55F0"/>
    <w:rsid w:val="00EC691B"/>
    <w:rsid w:val="00ED149A"/>
    <w:rsid w:val="00ED2227"/>
    <w:rsid w:val="00ED3114"/>
    <w:rsid w:val="00ED5DA4"/>
    <w:rsid w:val="00ED5FDB"/>
    <w:rsid w:val="00EE2F31"/>
    <w:rsid w:val="00EE4A8D"/>
    <w:rsid w:val="00EE5F7E"/>
    <w:rsid w:val="00EF3415"/>
    <w:rsid w:val="00EF7734"/>
    <w:rsid w:val="00F01962"/>
    <w:rsid w:val="00F023E9"/>
    <w:rsid w:val="00F033D3"/>
    <w:rsid w:val="00F10537"/>
    <w:rsid w:val="00F20A58"/>
    <w:rsid w:val="00F20A78"/>
    <w:rsid w:val="00F25AA4"/>
    <w:rsid w:val="00F3178E"/>
    <w:rsid w:val="00F35068"/>
    <w:rsid w:val="00F377BE"/>
    <w:rsid w:val="00F420F1"/>
    <w:rsid w:val="00F46244"/>
    <w:rsid w:val="00F5084C"/>
    <w:rsid w:val="00F6184D"/>
    <w:rsid w:val="00F66A57"/>
    <w:rsid w:val="00F67B09"/>
    <w:rsid w:val="00F72366"/>
    <w:rsid w:val="00F72496"/>
    <w:rsid w:val="00F74902"/>
    <w:rsid w:val="00F80062"/>
    <w:rsid w:val="00F8257D"/>
    <w:rsid w:val="00F82C23"/>
    <w:rsid w:val="00F83610"/>
    <w:rsid w:val="00F83660"/>
    <w:rsid w:val="00F924AA"/>
    <w:rsid w:val="00F94028"/>
    <w:rsid w:val="00FA615F"/>
    <w:rsid w:val="00FB0EBB"/>
    <w:rsid w:val="00FB244E"/>
    <w:rsid w:val="00FB37BB"/>
    <w:rsid w:val="00FB56BC"/>
    <w:rsid w:val="00FC0EA8"/>
    <w:rsid w:val="00FC1AAA"/>
    <w:rsid w:val="00FC4FEE"/>
    <w:rsid w:val="00FC7417"/>
    <w:rsid w:val="00FD0A7C"/>
    <w:rsid w:val="00FE54B6"/>
    <w:rsid w:val="00FE677F"/>
    <w:rsid w:val="00FF15AD"/>
    <w:rsid w:val="00FF175D"/>
    <w:rsid w:val="00FF2B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208101"/>
  <w15:chartTrackingRefBased/>
  <w15:docId w15:val="{9583CF97-8F44-4641-9539-F3F2CC4D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AC5"/>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50AC5"/>
    <w:pPr>
      <w:keepNext/>
      <w:jc w:val="center"/>
      <w:outlineLvl w:val="0"/>
    </w:pPr>
    <w:rPr>
      <w:rFonts w:ascii="CG Times" w:hAnsi="CG Times"/>
      <w:b/>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0AC5"/>
    <w:rPr>
      <w:rFonts w:ascii="CG Times" w:eastAsia="Times New Roman" w:hAnsi="CG Times" w:cs="Times New Roman"/>
      <w:b/>
      <w:sz w:val="24"/>
      <w:szCs w:val="20"/>
      <w:lang w:eastAsia="es-ES"/>
    </w:rPr>
  </w:style>
  <w:style w:type="paragraph" w:styleId="Encabezado">
    <w:name w:val="header"/>
    <w:basedOn w:val="Normal"/>
    <w:link w:val="EncabezadoCar"/>
    <w:rsid w:val="00050AC5"/>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050AC5"/>
    <w:rPr>
      <w:rFonts w:ascii="CG Times" w:eastAsia="Times New Roman" w:hAnsi="CG Times" w:cs="Times New Roman"/>
      <w:sz w:val="24"/>
      <w:szCs w:val="20"/>
      <w:lang w:eastAsia="es-ES"/>
    </w:rPr>
  </w:style>
  <w:style w:type="paragraph" w:styleId="Textoindependiente">
    <w:name w:val="Body Text"/>
    <w:basedOn w:val="Normal"/>
    <w:link w:val="TextoindependienteCar"/>
    <w:rsid w:val="00050AC5"/>
    <w:pPr>
      <w:jc w:val="center"/>
    </w:pPr>
    <w:rPr>
      <w:rFonts w:ascii="Arial" w:hAnsi="Arial" w:cs="Arial"/>
      <w:b/>
      <w:bCs/>
    </w:rPr>
  </w:style>
  <w:style w:type="character" w:customStyle="1" w:styleId="TextoindependienteCar">
    <w:name w:val="Texto independiente Car"/>
    <w:basedOn w:val="Fuentedeprrafopredeter"/>
    <w:link w:val="Textoindependiente"/>
    <w:rsid w:val="00050AC5"/>
    <w:rPr>
      <w:rFonts w:ascii="Arial" w:eastAsia="Times New Roman" w:hAnsi="Arial" w:cs="Arial"/>
      <w:b/>
      <w:bCs/>
      <w:sz w:val="24"/>
      <w:szCs w:val="24"/>
      <w:lang w:val="es-ES" w:eastAsia="es-ES"/>
    </w:rPr>
  </w:style>
  <w:style w:type="table" w:styleId="Tablaconcuadrcula">
    <w:name w:val="Table Grid"/>
    <w:basedOn w:val="Tablanormal"/>
    <w:uiPriority w:val="39"/>
    <w:rsid w:val="00050AC5"/>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050AC5"/>
    <w:pPr>
      <w:ind w:left="708"/>
    </w:pPr>
    <w:rPr>
      <w:sz w:val="20"/>
      <w:szCs w:val="20"/>
      <w:lang w:val="es-CO"/>
    </w:rPr>
  </w:style>
  <w:style w:type="character" w:customStyle="1" w:styleId="PrrafodelistaCar">
    <w:name w:val="Párrafo de lista Car"/>
    <w:link w:val="Prrafodelista"/>
    <w:uiPriority w:val="34"/>
    <w:rsid w:val="00050AC5"/>
    <w:rPr>
      <w:rFonts w:ascii="Times New Roman" w:eastAsia="Times New Roman" w:hAnsi="Times New Roman" w:cs="Times New Roman"/>
      <w:sz w:val="20"/>
      <w:szCs w:val="20"/>
      <w:lang w:eastAsia="es-ES"/>
    </w:rPr>
  </w:style>
  <w:style w:type="character" w:styleId="Refdecomentario">
    <w:name w:val="annotation reference"/>
    <w:semiHidden/>
    <w:rsid w:val="00050AC5"/>
    <w:rPr>
      <w:sz w:val="16"/>
      <w:szCs w:val="16"/>
    </w:rPr>
  </w:style>
  <w:style w:type="paragraph" w:styleId="Textocomentario">
    <w:name w:val="annotation text"/>
    <w:basedOn w:val="Normal"/>
    <w:link w:val="TextocomentarioCar"/>
    <w:rsid w:val="00050AC5"/>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050AC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E2DC0"/>
    <w:pPr>
      <w:tabs>
        <w:tab w:val="center" w:pos="4419"/>
        <w:tab w:val="right" w:pos="8838"/>
      </w:tabs>
    </w:pPr>
  </w:style>
  <w:style w:type="character" w:customStyle="1" w:styleId="PiedepginaCar">
    <w:name w:val="Pie de página Car"/>
    <w:basedOn w:val="Fuentedeprrafopredeter"/>
    <w:link w:val="Piedepgina"/>
    <w:uiPriority w:val="99"/>
    <w:rsid w:val="000E2DC0"/>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A245A2"/>
    <w:pPr>
      <w:widowControl/>
      <w:adjustRightInd/>
      <w:spacing w:line="240" w:lineRule="auto"/>
      <w:ind w:left="567"/>
      <w:jc w:val="left"/>
      <w:textAlignment w:val="auto"/>
    </w:pPr>
    <w:rPr>
      <w:b/>
      <w:bCs/>
    </w:rPr>
  </w:style>
  <w:style w:type="character" w:customStyle="1" w:styleId="AsuntodelcomentarioCar">
    <w:name w:val="Asunto del comentario Car"/>
    <w:basedOn w:val="TextocomentarioCar"/>
    <w:link w:val="Asuntodelcomentario"/>
    <w:uiPriority w:val="99"/>
    <w:semiHidden/>
    <w:rsid w:val="00A245A2"/>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C473A5"/>
    <w:pPr>
      <w:spacing w:after="0" w:line="240" w:lineRule="auto"/>
    </w:pPr>
    <w:rPr>
      <w:rFonts w:ascii="Times New Roman" w:eastAsia="Times New Roman" w:hAnsi="Times New Roman" w:cs="Times New Roman"/>
      <w:sz w:val="24"/>
      <w:szCs w:val="24"/>
      <w:lang w:val="es-ES" w:eastAsia="es-ES"/>
    </w:rPr>
  </w:style>
  <w:style w:type="paragraph" w:styleId="Cita">
    <w:name w:val="Quote"/>
    <w:basedOn w:val="Normal"/>
    <w:next w:val="Normal"/>
    <w:link w:val="CitaCar"/>
    <w:uiPriority w:val="29"/>
    <w:qFormat/>
    <w:rsid w:val="007861A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7861A7"/>
    <w:rPr>
      <w:rFonts w:ascii="Times New Roman" w:eastAsia="Times New Roman" w:hAnsi="Times New Roman" w:cs="Times New Roman"/>
      <w:i/>
      <w:iCs/>
      <w:color w:val="404040" w:themeColor="text1" w:themeTint="BF"/>
      <w:sz w:val="24"/>
      <w:szCs w:val="24"/>
      <w:lang w:val="es-ES" w:eastAsia="es-ES"/>
    </w:rPr>
  </w:style>
  <w:style w:type="character" w:customStyle="1" w:styleId="fontstyle01">
    <w:name w:val="fontstyle01"/>
    <w:basedOn w:val="Fuentedeprrafopredeter"/>
    <w:rsid w:val="00A17826"/>
    <w:rPr>
      <w:rFonts w:ascii="Tahoma" w:hAnsi="Tahoma" w:cs="Tahoma" w:hint="default"/>
      <w:b w:val="0"/>
      <w:bCs w:val="0"/>
      <w:i w:val="0"/>
      <w:iCs w:val="0"/>
      <w:color w:val="000000"/>
      <w:sz w:val="22"/>
      <w:szCs w:val="22"/>
    </w:rPr>
  </w:style>
  <w:style w:type="paragraph" w:styleId="Textonotapie">
    <w:name w:val="footnote text"/>
    <w:basedOn w:val="Normal"/>
    <w:link w:val="TextonotapieCar"/>
    <w:uiPriority w:val="99"/>
    <w:semiHidden/>
    <w:unhideWhenUsed/>
    <w:rsid w:val="0015012F"/>
    <w:rPr>
      <w:sz w:val="20"/>
      <w:szCs w:val="20"/>
    </w:rPr>
  </w:style>
  <w:style w:type="character" w:customStyle="1" w:styleId="TextonotapieCar">
    <w:name w:val="Texto nota pie Car"/>
    <w:basedOn w:val="Fuentedeprrafopredeter"/>
    <w:link w:val="Textonotapie"/>
    <w:uiPriority w:val="99"/>
    <w:semiHidden/>
    <w:rsid w:val="0015012F"/>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1501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E2EB5-AF0E-4091-9BB4-E5F4D7AB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3556</Words>
  <Characters>19559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Nohora</dc:creator>
  <cp:keywords/>
  <dc:description/>
  <cp:lastModifiedBy>Luz Stella Rojas Macias</cp:lastModifiedBy>
  <cp:revision>2</cp:revision>
  <cp:lastPrinted>2022-07-14T21:41:00Z</cp:lastPrinted>
  <dcterms:created xsi:type="dcterms:W3CDTF">2022-08-17T02:39:00Z</dcterms:created>
  <dcterms:modified xsi:type="dcterms:W3CDTF">2022-08-17T02:39:00Z</dcterms:modified>
</cp:coreProperties>
</file>