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02775" w14:textId="77777777" w:rsidR="00625DC6" w:rsidRPr="00AD369B" w:rsidRDefault="00A27982" w:rsidP="00B606A2">
      <w:pPr>
        <w:pStyle w:val="Encabezado"/>
        <w:ind w:left="284" w:right="142"/>
        <w:contextualSpacing/>
        <w:jc w:val="both"/>
        <w:rPr>
          <w:rFonts w:ascii="Bookman Old Style" w:hAnsi="Bookman Old Style"/>
          <w:szCs w:val="24"/>
        </w:rPr>
      </w:pPr>
      <w:r>
        <w:rPr>
          <w:rFonts w:ascii="Bookman Old Style" w:hAnsi="Bookman Old Style"/>
          <w:noProof/>
          <w:szCs w:val="24"/>
        </w:rPr>
        <w:object w:dxaOrig="1440" w:dyaOrig="1440" w14:anchorId="457A92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221.9pt;margin-top:-24.85pt;width:52.5pt;height:48.75pt;z-index:251658240;mso-wrap-edited:f;mso-width-percent:0;mso-height-percent:0;mso-width-percent:0;mso-height-percent:0" fillcolor="#0c9">
            <v:imagedata r:id="rId11" o:title=""/>
          </v:shape>
          <o:OLEObject Type="Embed" ProgID="PBrush" ShapeID="_x0000_s2050" DrawAspect="Content" ObjectID="_1716116920" r:id="rId12"/>
        </w:object>
      </w:r>
    </w:p>
    <w:p w14:paraId="43C69AFB" w14:textId="77777777" w:rsidR="00625DC6" w:rsidRPr="00AD369B" w:rsidRDefault="00625DC6" w:rsidP="00B606A2">
      <w:pPr>
        <w:pStyle w:val="Encabezado"/>
        <w:ind w:left="284" w:right="142"/>
        <w:contextualSpacing/>
        <w:jc w:val="both"/>
        <w:rPr>
          <w:rFonts w:ascii="Bookman Old Style" w:hAnsi="Bookman Old Style"/>
          <w:szCs w:val="24"/>
        </w:rPr>
      </w:pPr>
    </w:p>
    <w:p w14:paraId="3534631B" w14:textId="77777777" w:rsidR="00625DC6" w:rsidRPr="00AD369B" w:rsidRDefault="00625DC6" w:rsidP="00B606A2">
      <w:pPr>
        <w:pStyle w:val="Encabezado"/>
        <w:ind w:left="284" w:right="142"/>
        <w:contextualSpacing/>
        <w:jc w:val="both"/>
        <w:rPr>
          <w:rFonts w:ascii="Bookman Old Style" w:hAnsi="Bookman Old Style"/>
          <w:szCs w:val="24"/>
        </w:rPr>
      </w:pPr>
    </w:p>
    <w:p w14:paraId="35CAC712" w14:textId="77777777" w:rsidR="00CA77FB" w:rsidRPr="00AD369B" w:rsidRDefault="00CA77FB" w:rsidP="00B606A2">
      <w:pPr>
        <w:pStyle w:val="Ttulo4"/>
        <w:ind w:left="284" w:right="142"/>
        <w:contextualSpacing/>
        <w:rPr>
          <w:rFonts w:ascii="Bookman Old Style" w:hAnsi="Bookman Old Style"/>
          <w:b w:val="0"/>
          <w:bCs/>
          <w:noProof/>
          <w:sz w:val="24"/>
          <w:szCs w:val="24"/>
          <w:lang w:val="es-ES"/>
        </w:rPr>
      </w:pPr>
      <w:r w:rsidRPr="00AD369B">
        <w:rPr>
          <w:rFonts w:ascii="Bookman Old Style" w:hAnsi="Bookman Old Style"/>
          <w:b w:val="0"/>
          <w:bCs/>
          <w:sz w:val="24"/>
          <w:szCs w:val="24"/>
        </w:rPr>
        <w:t>Ministerio de Minas y Energía</w:t>
      </w:r>
    </w:p>
    <w:p w14:paraId="3F43C339" w14:textId="77777777" w:rsidR="00CA77FB" w:rsidRPr="00AD369B" w:rsidRDefault="00CA77FB" w:rsidP="00B606A2">
      <w:pPr>
        <w:pStyle w:val="Ttulo4"/>
        <w:ind w:left="284" w:right="142"/>
        <w:contextualSpacing/>
        <w:rPr>
          <w:rFonts w:ascii="Bookman Old Style" w:hAnsi="Bookman Old Style"/>
          <w:b w:val="0"/>
          <w:bCs/>
          <w:sz w:val="24"/>
          <w:szCs w:val="24"/>
        </w:rPr>
      </w:pPr>
    </w:p>
    <w:p w14:paraId="25A538B3" w14:textId="77777777" w:rsidR="00CA77FB" w:rsidRPr="00AD369B" w:rsidRDefault="00CA77FB" w:rsidP="00B606A2">
      <w:pPr>
        <w:pStyle w:val="Ttulo4"/>
        <w:contextualSpacing/>
        <w:rPr>
          <w:rFonts w:ascii="Bookman Old Style" w:hAnsi="Bookman Old Style"/>
          <w:sz w:val="24"/>
          <w:szCs w:val="24"/>
        </w:rPr>
      </w:pPr>
      <w:r w:rsidRPr="00AD369B">
        <w:rPr>
          <w:rFonts w:ascii="Bookman Old Style" w:hAnsi="Bookman Old Style"/>
          <w:sz w:val="24"/>
          <w:szCs w:val="24"/>
        </w:rPr>
        <w:t>COMISIÓN DE REGULACIÓN DE ENERGÍA Y GAS</w:t>
      </w:r>
    </w:p>
    <w:p w14:paraId="4E7D0072" w14:textId="77777777" w:rsidR="00CA77FB" w:rsidRPr="00AD369B" w:rsidRDefault="00CA77FB" w:rsidP="00B606A2">
      <w:pPr>
        <w:pStyle w:val="Ttulo4"/>
        <w:contextualSpacing/>
        <w:rPr>
          <w:rFonts w:ascii="Bookman Old Style" w:hAnsi="Bookman Old Style"/>
          <w:sz w:val="24"/>
          <w:szCs w:val="24"/>
        </w:rPr>
      </w:pPr>
    </w:p>
    <w:p w14:paraId="4FFCDDA1" w14:textId="6DC93BF3" w:rsidR="00CA77FB" w:rsidRPr="00AD369B" w:rsidRDefault="00CA77FB" w:rsidP="00B606A2">
      <w:pPr>
        <w:pStyle w:val="Ttulo4"/>
        <w:contextualSpacing/>
        <w:rPr>
          <w:rFonts w:ascii="Bookman Old Style" w:hAnsi="Bookman Old Style"/>
          <w:sz w:val="24"/>
          <w:szCs w:val="24"/>
        </w:rPr>
      </w:pPr>
      <w:r w:rsidRPr="00AD369B">
        <w:rPr>
          <w:rFonts w:ascii="Bookman Old Style" w:hAnsi="Bookman Old Style"/>
          <w:sz w:val="24"/>
          <w:szCs w:val="24"/>
        </w:rPr>
        <w:t xml:space="preserve">RESOLUCIÓN No. </w:t>
      </w:r>
      <w:r w:rsidR="00795BFB" w:rsidRPr="00AD369B">
        <w:rPr>
          <w:rFonts w:ascii="Bookman Old Style" w:hAnsi="Bookman Old Style"/>
          <w:sz w:val="24"/>
          <w:szCs w:val="24"/>
        </w:rPr>
        <w:t xml:space="preserve"> </w:t>
      </w:r>
      <w:r w:rsidR="008B4F1A" w:rsidRPr="00FF46BD">
        <w:rPr>
          <w:rFonts w:ascii="Bookman Old Style" w:hAnsi="Bookman Old Style"/>
          <w:sz w:val="32"/>
          <w:szCs w:val="32"/>
        </w:rPr>
        <w:t xml:space="preserve">501 </w:t>
      </w:r>
      <w:r w:rsidR="002C691B" w:rsidRPr="00FF46BD">
        <w:rPr>
          <w:rFonts w:ascii="Bookman Old Style" w:hAnsi="Bookman Old Style"/>
          <w:sz w:val="32"/>
          <w:szCs w:val="32"/>
        </w:rPr>
        <w:t>041</w:t>
      </w:r>
      <w:r w:rsidR="00795BFB" w:rsidRPr="00AD369B">
        <w:rPr>
          <w:rFonts w:ascii="Bookman Old Style" w:hAnsi="Bookman Old Style"/>
          <w:sz w:val="24"/>
          <w:szCs w:val="24"/>
        </w:rPr>
        <w:t xml:space="preserve">   </w:t>
      </w:r>
      <w:r w:rsidRPr="00AD369B">
        <w:rPr>
          <w:rFonts w:ascii="Bookman Old Style" w:hAnsi="Bookman Old Style"/>
          <w:sz w:val="24"/>
          <w:szCs w:val="24"/>
        </w:rPr>
        <w:t xml:space="preserve">DE </w:t>
      </w:r>
      <w:r w:rsidR="00D451C0" w:rsidRPr="00AD369B">
        <w:rPr>
          <w:rFonts w:ascii="Bookman Old Style" w:hAnsi="Bookman Old Style"/>
          <w:sz w:val="24"/>
          <w:szCs w:val="24"/>
        </w:rPr>
        <w:t>20</w:t>
      </w:r>
      <w:r w:rsidR="00FD1664" w:rsidRPr="00AD369B">
        <w:rPr>
          <w:rFonts w:ascii="Bookman Old Style" w:hAnsi="Bookman Old Style"/>
          <w:sz w:val="24"/>
          <w:szCs w:val="24"/>
        </w:rPr>
        <w:t>2</w:t>
      </w:r>
      <w:r w:rsidR="00F314C2">
        <w:rPr>
          <w:rFonts w:ascii="Bookman Old Style" w:hAnsi="Bookman Old Style"/>
          <w:sz w:val="24"/>
          <w:szCs w:val="24"/>
        </w:rPr>
        <w:t>2</w:t>
      </w:r>
    </w:p>
    <w:p w14:paraId="32CF47F9" w14:textId="77777777" w:rsidR="00CA77FB" w:rsidRPr="00AD369B" w:rsidRDefault="00CA77FB" w:rsidP="00B606A2">
      <w:pPr>
        <w:pStyle w:val="Ttulo4"/>
        <w:contextualSpacing/>
        <w:rPr>
          <w:rFonts w:ascii="Bookman Old Style" w:hAnsi="Bookman Old Style"/>
          <w:sz w:val="24"/>
          <w:szCs w:val="24"/>
        </w:rPr>
      </w:pPr>
    </w:p>
    <w:p w14:paraId="5508F72B" w14:textId="1715BB32" w:rsidR="00CA77FB" w:rsidRPr="00AD369B" w:rsidRDefault="00CA77FB" w:rsidP="00B606A2">
      <w:pPr>
        <w:pStyle w:val="Ttulo4"/>
        <w:contextualSpacing/>
        <w:rPr>
          <w:rFonts w:ascii="Bookman Old Style" w:hAnsi="Bookman Old Style"/>
          <w:sz w:val="24"/>
          <w:szCs w:val="24"/>
        </w:rPr>
      </w:pPr>
      <w:r w:rsidRPr="00AD369B">
        <w:rPr>
          <w:rFonts w:ascii="Bookman Old Style" w:hAnsi="Bookman Old Style"/>
          <w:sz w:val="24"/>
          <w:szCs w:val="24"/>
        </w:rPr>
        <w:t xml:space="preserve">( </w:t>
      </w:r>
      <w:r w:rsidR="00D21F3C">
        <w:rPr>
          <w:rFonts w:ascii="Bookman Old Style" w:hAnsi="Bookman Old Style"/>
          <w:sz w:val="36"/>
          <w:szCs w:val="36"/>
        </w:rPr>
        <w:t>1</w:t>
      </w:r>
      <w:r w:rsidR="002C691B">
        <w:rPr>
          <w:rFonts w:ascii="Bookman Old Style" w:hAnsi="Bookman Old Style"/>
          <w:sz w:val="36"/>
          <w:szCs w:val="36"/>
        </w:rPr>
        <w:t>7</w:t>
      </w:r>
      <w:r w:rsidR="00AD369B" w:rsidRPr="00AD369B">
        <w:rPr>
          <w:rFonts w:ascii="Bookman Old Style" w:hAnsi="Bookman Old Style"/>
          <w:sz w:val="36"/>
          <w:szCs w:val="36"/>
        </w:rPr>
        <w:t xml:space="preserve"> </w:t>
      </w:r>
      <w:r w:rsidR="00F314C2">
        <w:rPr>
          <w:rFonts w:ascii="Bookman Old Style" w:hAnsi="Bookman Old Style"/>
          <w:sz w:val="36"/>
          <w:szCs w:val="36"/>
        </w:rPr>
        <w:t>MAY</w:t>
      </w:r>
      <w:r w:rsidR="00AD369B" w:rsidRPr="00AD369B">
        <w:rPr>
          <w:rFonts w:ascii="Bookman Old Style" w:hAnsi="Bookman Old Style"/>
          <w:sz w:val="36"/>
          <w:szCs w:val="36"/>
        </w:rPr>
        <w:t>. 202</w:t>
      </w:r>
      <w:r w:rsidR="00F314C2">
        <w:rPr>
          <w:rFonts w:ascii="Bookman Old Style" w:hAnsi="Bookman Old Style"/>
          <w:sz w:val="36"/>
          <w:szCs w:val="36"/>
        </w:rPr>
        <w:t>2</w:t>
      </w:r>
      <w:r w:rsidRPr="00AD369B">
        <w:rPr>
          <w:rFonts w:ascii="Bookman Old Style" w:hAnsi="Bookman Old Style"/>
          <w:sz w:val="24"/>
          <w:szCs w:val="24"/>
        </w:rPr>
        <w:t xml:space="preserve"> )</w:t>
      </w:r>
    </w:p>
    <w:p w14:paraId="1C847601" w14:textId="77777777" w:rsidR="00CB6ECD" w:rsidRPr="00AD369B" w:rsidRDefault="00CB6ECD" w:rsidP="00B606A2">
      <w:pPr>
        <w:ind w:left="284" w:right="142"/>
        <w:contextualSpacing/>
        <w:jc w:val="center"/>
        <w:rPr>
          <w:rFonts w:ascii="Bookman Old Style" w:hAnsi="Bookman Old Style"/>
          <w:lang w:val="es-ES_tradnl"/>
        </w:rPr>
      </w:pPr>
    </w:p>
    <w:p w14:paraId="1FEF4395" w14:textId="77777777" w:rsidR="00AD369B" w:rsidRPr="00AD369B" w:rsidRDefault="00AD369B" w:rsidP="00B606A2">
      <w:pPr>
        <w:pStyle w:val="Textodebloque"/>
        <w:spacing w:after="0"/>
        <w:ind w:left="284" w:right="142"/>
        <w:contextualSpacing/>
        <w:rPr>
          <w:rFonts w:ascii="Bookman Old Style" w:hAnsi="Bookman Old Style"/>
          <w:szCs w:val="24"/>
        </w:rPr>
      </w:pPr>
      <w:bookmarkStart w:id="0" w:name="_Hlk40445094"/>
    </w:p>
    <w:p w14:paraId="4E53C93B" w14:textId="7921C810" w:rsidR="002E5821" w:rsidRPr="00AD369B" w:rsidRDefault="002E5821" w:rsidP="002400DF">
      <w:pPr>
        <w:pStyle w:val="Textodebloque"/>
        <w:spacing w:after="0"/>
        <w:ind w:left="284" w:right="142"/>
        <w:contextualSpacing/>
        <w:jc w:val="center"/>
        <w:rPr>
          <w:rFonts w:ascii="Bookman Old Style" w:hAnsi="Bookman Old Style"/>
          <w:szCs w:val="24"/>
        </w:rPr>
      </w:pPr>
      <w:r w:rsidRPr="00AD369B">
        <w:rPr>
          <w:rFonts w:ascii="Bookman Old Style" w:hAnsi="Bookman Old Style"/>
          <w:szCs w:val="24"/>
        </w:rPr>
        <w:t xml:space="preserve">Por la cual se determina el cargo máximo de generación </w:t>
      </w:r>
      <w:r w:rsidR="00841954">
        <w:rPr>
          <w:rFonts w:ascii="Bookman Old Style" w:hAnsi="Bookman Old Style"/>
          <w:szCs w:val="24"/>
        </w:rPr>
        <w:t xml:space="preserve">para </w:t>
      </w:r>
      <w:r w:rsidR="009E3480" w:rsidRPr="000C4D0D">
        <w:rPr>
          <w:rFonts w:ascii="Bookman Old Style" w:hAnsi="Bookman Old Style" w:cs="Arial"/>
          <w:szCs w:val="24"/>
        </w:rPr>
        <w:t>sistema</w:t>
      </w:r>
      <w:r w:rsidR="00841954">
        <w:rPr>
          <w:rFonts w:ascii="Bookman Old Style" w:hAnsi="Bookman Old Style" w:cs="Arial"/>
          <w:szCs w:val="24"/>
        </w:rPr>
        <w:t>s</w:t>
      </w:r>
      <w:r w:rsidR="009E3480" w:rsidRPr="000C4D0D">
        <w:rPr>
          <w:rFonts w:ascii="Bookman Old Style" w:hAnsi="Bookman Old Style" w:cs="Arial"/>
          <w:szCs w:val="24"/>
        </w:rPr>
        <w:t xml:space="preserve"> de </w:t>
      </w:r>
      <w:r w:rsidR="009E3480">
        <w:rPr>
          <w:rFonts w:ascii="Bookman Old Style" w:hAnsi="Bookman Old Style"/>
          <w:szCs w:val="24"/>
        </w:rPr>
        <w:t>a</w:t>
      </w:r>
      <w:r w:rsidR="009E3480" w:rsidRPr="000C4D0D">
        <w:rPr>
          <w:rFonts w:ascii="Bookman Old Style" w:hAnsi="Bookman Old Style"/>
          <w:szCs w:val="24"/>
        </w:rPr>
        <w:t xml:space="preserve">cumulación </w:t>
      </w:r>
      <w:r w:rsidRPr="00AD369B">
        <w:rPr>
          <w:rFonts w:ascii="Bookman Old Style" w:hAnsi="Bookman Old Style"/>
          <w:szCs w:val="24"/>
        </w:rPr>
        <w:t xml:space="preserve">para el mercado relevante de comercialización de la cabecera municipal de </w:t>
      </w:r>
      <w:r w:rsidR="00F314C2">
        <w:rPr>
          <w:rFonts w:ascii="Bookman Old Style" w:hAnsi="Bookman Old Style"/>
          <w:szCs w:val="24"/>
        </w:rPr>
        <w:t>Inírida</w:t>
      </w:r>
      <w:r w:rsidRPr="00AD369B">
        <w:rPr>
          <w:rFonts w:ascii="Bookman Old Style" w:hAnsi="Bookman Old Style"/>
          <w:szCs w:val="24"/>
        </w:rPr>
        <w:t xml:space="preserve"> en el </w:t>
      </w:r>
      <w:r w:rsidR="0032687B">
        <w:rPr>
          <w:rFonts w:ascii="Bookman Old Style" w:hAnsi="Bookman Old Style"/>
          <w:szCs w:val="24"/>
        </w:rPr>
        <w:t>D</w:t>
      </w:r>
      <w:r w:rsidRPr="00AD369B">
        <w:rPr>
          <w:rFonts w:ascii="Bookman Old Style" w:hAnsi="Bookman Old Style"/>
          <w:szCs w:val="24"/>
        </w:rPr>
        <w:t xml:space="preserve">epartamento del </w:t>
      </w:r>
      <w:r w:rsidR="00F314C2">
        <w:rPr>
          <w:rFonts w:ascii="Bookman Old Style" w:hAnsi="Bookman Old Style"/>
          <w:szCs w:val="24"/>
        </w:rPr>
        <w:t>Guainía</w:t>
      </w:r>
      <w:r w:rsidRPr="00AD369B">
        <w:rPr>
          <w:rFonts w:ascii="Bookman Old Style" w:hAnsi="Bookman Old Style"/>
          <w:szCs w:val="24"/>
        </w:rPr>
        <w:t>.</w:t>
      </w:r>
    </w:p>
    <w:bookmarkEnd w:id="0"/>
    <w:p w14:paraId="04D65D06" w14:textId="2EBB510C" w:rsidR="002E5821" w:rsidRPr="00AD369B" w:rsidRDefault="002E5821" w:rsidP="00B606A2">
      <w:pPr>
        <w:pStyle w:val="Textodebloque"/>
        <w:spacing w:after="0"/>
        <w:ind w:left="284" w:right="142"/>
        <w:contextualSpacing/>
        <w:rPr>
          <w:rFonts w:ascii="Bookman Old Style" w:hAnsi="Bookman Old Style" w:cs="Arial"/>
          <w:szCs w:val="24"/>
          <w:highlight w:val="green"/>
        </w:rPr>
      </w:pPr>
    </w:p>
    <w:p w14:paraId="3C8B2E0C" w14:textId="77777777" w:rsidR="00A33177" w:rsidRPr="00AD369B" w:rsidRDefault="00A33177" w:rsidP="00B606A2">
      <w:pPr>
        <w:pStyle w:val="Textodebloque"/>
        <w:spacing w:after="0"/>
        <w:ind w:left="284" w:right="142"/>
        <w:contextualSpacing/>
        <w:rPr>
          <w:rFonts w:ascii="Bookman Old Style" w:hAnsi="Bookman Old Style" w:cs="Arial"/>
          <w:szCs w:val="24"/>
        </w:rPr>
      </w:pPr>
    </w:p>
    <w:p w14:paraId="427244E5" w14:textId="77777777" w:rsidR="00DE4BF8" w:rsidRPr="00AD369B" w:rsidRDefault="00DE4BF8" w:rsidP="00B606A2">
      <w:pPr>
        <w:pStyle w:val="Textoindependiente2"/>
        <w:spacing w:after="0" w:line="240" w:lineRule="auto"/>
        <w:ind w:left="284" w:right="142"/>
        <w:contextualSpacing/>
        <w:jc w:val="center"/>
        <w:rPr>
          <w:rFonts w:ascii="Bookman Old Style" w:hAnsi="Bookman Old Style" w:cs="Arial"/>
          <w:b/>
          <w:bCs/>
        </w:rPr>
      </w:pPr>
      <w:r w:rsidRPr="00AD369B">
        <w:rPr>
          <w:rFonts w:ascii="Bookman Old Style" w:hAnsi="Bookman Old Style" w:cs="Arial"/>
          <w:b/>
          <w:bCs/>
        </w:rPr>
        <w:t>LA COMISIÓN DE REGULACIÓN DE ENERGÍA Y GAS</w:t>
      </w:r>
    </w:p>
    <w:p w14:paraId="34C9EA6C" w14:textId="77777777" w:rsidR="00A33177" w:rsidRPr="00AD369B" w:rsidRDefault="00A33177" w:rsidP="00B606A2">
      <w:pPr>
        <w:pStyle w:val="Textoindependiente2"/>
        <w:spacing w:after="0" w:line="240" w:lineRule="auto"/>
        <w:ind w:left="284" w:right="142"/>
        <w:contextualSpacing/>
        <w:jc w:val="center"/>
        <w:rPr>
          <w:rFonts w:ascii="Bookman Old Style" w:hAnsi="Bookman Old Style" w:cs="Arial"/>
          <w:b/>
          <w:bCs/>
          <w:lang w:val="es-CO"/>
        </w:rPr>
      </w:pPr>
    </w:p>
    <w:p w14:paraId="4132F3EC" w14:textId="77777777" w:rsidR="005F5CDB" w:rsidRPr="00AD369B" w:rsidRDefault="005F5CDB" w:rsidP="00B606A2">
      <w:pPr>
        <w:pStyle w:val="Textoindependiente2"/>
        <w:spacing w:after="0" w:line="240" w:lineRule="auto"/>
        <w:ind w:left="284" w:right="142"/>
        <w:contextualSpacing/>
        <w:jc w:val="center"/>
        <w:rPr>
          <w:rFonts w:ascii="Bookman Old Style" w:hAnsi="Bookman Old Style" w:cs="Arial"/>
          <w:b/>
          <w:bCs/>
          <w:lang w:val="es-CO"/>
        </w:rPr>
      </w:pPr>
    </w:p>
    <w:p w14:paraId="5AC47189" w14:textId="1591D532" w:rsidR="00DE4BF8" w:rsidRPr="008E2B2A" w:rsidRDefault="3816D8E0" w:rsidP="2402705E">
      <w:pPr>
        <w:ind w:left="284" w:right="142"/>
        <w:contextualSpacing/>
        <w:jc w:val="both"/>
        <w:rPr>
          <w:rFonts w:ascii="Bookman Old Style" w:hAnsi="Bookman Old Style" w:cs="Arial"/>
          <w:highlight w:val="yellow"/>
        </w:rPr>
      </w:pPr>
      <w:r w:rsidRPr="329DEA05">
        <w:rPr>
          <w:rFonts w:ascii="Bookman Old Style" w:hAnsi="Bookman Old Style" w:cs="Arial"/>
        </w:rPr>
        <w:t xml:space="preserve">En ejercicio de sus atribuciones constitucionales y legales, en especial las conferidas por las </w:t>
      </w:r>
      <w:r w:rsidR="1899DA5C" w:rsidRPr="329DEA05">
        <w:rPr>
          <w:rFonts w:ascii="Bookman Old Style" w:hAnsi="Bookman Old Style" w:cs="Arial"/>
        </w:rPr>
        <w:t>l</w:t>
      </w:r>
      <w:r w:rsidRPr="329DEA05">
        <w:rPr>
          <w:rFonts w:ascii="Bookman Old Style" w:hAnsi="Bookman Old Style" w:cs="Arial"/>
        </w:rPr>
        <w:t xml:space="preserve">eyes 142 y 143 de 1994, y los </w:t>
      </w:r>
      <w:r w:rsidR="1899DA5C" w:rsidRPr="329DEA05">
        <w:rPr>
          <w:rFonts w:ascii="Bookman Old Style" w:hAnsi="Bookman Old Style" w:cs="Arial"/>
        </w:rPr>
        <w:t>d</w:t>
      </w:r>
      <w:r w:rsidRPr="329DEA05">
        <w:rPr>
          <w:rFonts w:ascii="Bookman Old Style" w:hAnsi="Bookman Old Style" w:cs="Arial"/>
        </w:rPr>
        <w:t xml:space="preserve">ecretos 1524 y 2253 de 1994, </w:t>
      </w:r>
      <w:r w:rsidR="6AD91C53" w:rsidRPr="329DEA05">
        <w:rPr>
          <w:rFonts w:ascii="Bookman Old Style" w:hAnsi="Bookman Old Style" w:cs="Arial"/>
        </w:rPr>
        <w:t xml:space="preserve">1260 de 2013 </w:t>
      </w:r>
      <w:r w:rsidRPr="329DEA05">
        <w:rPr>
          <w:rFonts w:ascii="Bookman Old Style" w:hAnsi="Bookman Old Style" w:cs="Arial"/>
        </w:rPr>
        <w:t>y</w:t>
      </w:r>
      <w:r w:rsidR="51BF06EB" w:rsidRPr="329DEA05">
        <w:rPr>
          <w:rFonts w:ascii="Bookman Old Style" w:hAnsi="Bookman Old Style"/>
        </w:rPr>
        <w:t xml:space="preserve"> en especial lo dispuesto en el </w:t>
      </w:r>
      <w:r w:rsidR="52BC69CF" w:rsidRPr="329DEA05">
        <w:rPr>
          <w:rFonts w:ascii="Bookman Old Style" w:hAnsi="Bookman Old Style"/>
        </w:rPr>
        <w:t>literal d</w:t>
      </w:r>
      <w:r w:rsidR="51BF06EB" w:rsidRPr="329DEA05">
        <w:rPr>
          <w:rFonts w:ascii="Bookman Old Style" w:hAnsi="Bookman Old Style"/>
        </w:rPr>
        <w:t xml:space="preserve"> del artículo 2</w:t>
      </w:r>
      <w:r w:rsidR="52BC69CF" w:rsidRPr="329DEA05">
        <w:rPr>
          <w:rFonts w:ascii="Bookman Old Style" w:hAnsi="Bookman Old Style"/>
        </w:rPr>
        <w:t>2</w:t>
      </w:r>
      <w:r w:rsidR="0B2257E5" w:rsidRPr="329DEA05">
        <w:rPr>
          <w:rFonts w:ascii="Bookman Old Style" w:hAnsi="Bookman Old Style"/>
        </w:rPr>
        <w:t xml:space="preserve"> y el numeral 24.5 del artículo 24</w:t>
      </w:r>
      <w:r w:rsidR="51BF06EB" w:rsidRPr="329DEA05">
        <w:rPr>
          <w:rFonts w:ascii="Bookman Old Style" w:hAnsi="Bookman Old Style"/>
        </w:rPr>
        <w:t xml:space="preserve"> de la Resolución CREG 091 de 2007.</w:t>
      </w:r>
    </w:p>
    <w:p w14:paraId="065F7C52" w14:textId="77777777" w:rsidR="009C209F" w:rsidRPr="00AD369B" w:rsidRDefault="009C209F" w:rsidP="00B606A2">
      <w:pPr>
        <w:ind w:left="284" w:right="142"/>
        <w:contextualSpacing/>
        <w:jc w:val="both"/>
        <w:rPr>
          <w:rFonts w:ascii="Bookman Old Style" w:hAnsi="Bookman Old Style" w:cs="Arial"/>
        </w:rPr>
      </w:pPr>
    </w:p>
    <w:p w14:paraId="18310931" w14:textId="77777777" w:rsidR="00DE4BF8" w:rsidRPr="00AD369B" w:rsidRDefault="00DE4BF8" w:rsidP="00B606A2">
      <w:pPr>
        <w:ind w:left="284" w:right="142"/>
        <w:contextualSpacing/>
        <w:jc w:val="center"/>
        <w:rPr>
          <w:rFonts w:ascii="Bookman Old Style" w:hAnsi="Bookman Old Style" w:cs="Arial"/>
          <w:b/>
        </w:rPr>
      </w:pPr>
      <w:r w:rsidRPr="00AD369B">
        <w:rPr>
          <w:rFonts w:ascii="Bookman Old Style" w:hAnsi="Bookman Old Style" w:cs="Arial"/>
          <w:b/>
          <w:spacing w:val="80"/>
        </w:rPr>
        <w:t>CONSIDERANDO QUE</w:t>
      </w:r>
      <w:r w:rsidRPr="00AD369B">
        <w:rPr>
          <w:rFonts w:ascii="Bookman Old Style" w:hAnsi="Bookman Old Style" w:cs="Arial"/>
          <w:b/>
        </w:rPr>
        <w:t>:</w:t>
      </w:r>
    </w:p>
    <w:p w14:paraId="6E1F39B9" w14:textId="77777777" w:rsidR="00B54D44" w:rsidRPr="00AD369B" w:rsidRDefault="00B54D44" w:rsidP="00B606A2">
      <w:pPr>
        <w:ind w:left="284" w:right="142"/>
        <w:contextualSpacing/>
        <w:jc w:val="center"/>
        <w:rPr>
          <w:rFonts w:ascii="Bookman Old Style" w:hAnsi="Bookman Old Style" w:cs="Arial"/>
          <w:b/>
        </w:rPr>
      </w:pPr>
    </w:p>
    <w:p w14:paraId="3EF663D8" w14:textId="766EC096" w:rsidR="005F2B6B" w:rsidRPr="00AD369B" w:rsidRDefault="005878BF" w:rsidP="00B606A2">
      <w:pPr>
        <w:numPr>
          <w:ilvl w:val="0"/>
          <w:numId w:val="8"/>
        </w:numPr>
        <w:ind w:right="142"/>
        <w:contextualSpacing/>
        <w:jc w:val="both"/>
        <w:rPr>
          <w:rFonts w:ascii="Bookman Old Style" w:hAnsi="Bookman Old Style" w:cs="Arial"/>
          <w:b/>
        </w:rPr>
      </w:pPr>
      <w:r w:rsidRPr="00AD369B">
        <w:rPr>
          <w:rFonts w:ascii="Bookman Old Style" w:hAnsi="Bookman Old Style" w:cs="Arial"/>
          <w:b/>
        </w:rPr>
        <w:t xml:space="preserve"> </w:t>
      </w:r>
      <w:r w:rsidR="005F2B6B" w:rsidRPr="00AD369B">
        <w:rPr>
          <w:rFonts w:ascii="Bookman Old Style" w:hAnsi="Bookman Old Style" w:cs="Arial"/>
          <w:b/>
        </w:rPr>
        <w:t>ANTECEDENTES</w:t>
      </w:r>
    </w:p>
    <w:p w14:paraId="0D613634" w14:textId="77777777" w:rsidR="009B5A32" w:rsidRPr="00AD369B" w:rsidRDefault="009B5A32" w:rsidP="00B606A2">
      <w:pPr>
        <w:ind w:left="284" w:right="142"/>
        <w:contextualSpacing/>
        <w:jc w:val="both"/>
        <w:rPr>
          <w:rFonts w:ascii="Bookman Old Style" w:hAnsi="Bookman Old Style" w:cs="Arial"/>
        </w:rPr>
      </w:pPr>
    </w:p>
    <w:p w14:paraId="65692F79" w14:textId="377AEB38" w:rsidR="00941D3F" w:rsidRPr="00AD369B" w:rsidRDefault="16360861" w:rsidP="329DEA05">
      <w:pPr>
        <w:pStyle w:val="Textoindependiente"/>
        <w:ind w:left="284" w:right="142"/>
        <w:contextualSpacing/>
        <w:jc w:val="both"/>
        <w:rPr>
          <w:rFonts w:ascii="Bookman Old Style" w:hAnsi="Bookman Old Style"/>
          <w:b w:val="0"/>
          <w:bCs w:val="0"/>
        </w:rPr>
      </w:pPr>
      <w:r w:rsidRPr="329DEA05">
        <w:rPr>
          <w:rFonts w:ascii="Bookman Old Style" w:hAnsi="Bookman Old Style"/>
          <w:b w:val="0"/>
          <w:bCs w:val="0"/>
        </w:rPr>
        <w:t>El artículo 87 de la Ley 142 de 1994 estableció que “</w:t>
      </w:r>
      <w:r w:rsidRPr="329DEA05">
        <w:rPr>
          <w:rFonts w:ascii="Bookman Old Style" w:hAnsi="Bookman Old Style"/>
          <w:b w:val="0"/>
          <w:bCs w:val="0"/>
          <w:i/>
          <w:iCs/>
        </w:rPr>
        <w:t>el régimen tarifario estará orientado por los criterios de eficiencia económica, neutralidad, solidaridad, redistribución, suficiencia financiera, simplicidad y transparencia</w:t>
      </w:r>
      <w:r w:rsidRPr="329DEA05">
        <w:rPr>
          <w:rFonts w:ascii="Bookman Old Style" w:hAnsi="Bookman Old Style"/>
          <w:b w:val="0"/>
          <w:bCs w:val="0"/>
        </w:rPr>
        <w:t>.”</w:t>
      </w:r>
    </w:p>
    <w:p w14:paraId="0F4F12D8" w14:textId="77777777" w:rsidR="00941D3F" w:rsidRPr="00AD369B" w:rsidRDefault="00941D3F" w:rsidP="00B606A2">
      <w:pPr>
        <w:pStyle w:val="Textoindependiente"/>
        <w:ind w:left="284" w:right="142"/>
        <w:contextualSpacing/>
        <w:jc w:val="both"/>
        <w:rPr>
          <w:rFonts w:ascii="Bookman Old Style" w:hAnsi="Bookman Old Style"/>
          <w:b w:val="0"/>
          <w:bCs w:val="0"/>
          <w:iCs/>
        </w:rPr>
      </w:pPr>
    </w:p>
    <w:p w14:paraId="6792B2CC" w14:textId="77777777" w:rsidR="00727040" w:rsidRPr="00AD369B" w:rsidRDefault="00727040" w:rsidP="00B606A2">
      <w:pPr>
        <w:pStyle w:val="Textoindependiente"/>
        <w:ind w:left="284" w:right="142"/>
        <w:contextualSpacing/>
        <w:jc w:val="both"/>
        <w:rPr>
          <w:rFonts w:ascii="Bookman Old Style" w:hAnsi="Bookman Old Style"/>
          <w:b w:val="0"/>
          <w:bCs w:val="0"/>
          <w:iCs/>
        </w:rPr>
      </w:pPr>
      <w:r w:rsidRPr="00AD369B">
        <w:rPr>
          <w:rFonts w:ascii="Bookman Old Style" w:hAnsi="Bookman Old Style"/>
          <w:b w:val="0"/>
          <w:bCs w:val="0"/>
          <w:iCs/>
        </w:rPr>
        <w:t xml:space="preserve">De acuerdo con lo previsto en el </w:t>
      </w:r>
      <w:r w:rsidR="00941D3F" w:rsidRPr="00AD369B">
        <w:rPr>
          <w:rFonts w:ascii="Bookman Old Style" w:hAnsi="Bookman Old Style"/>
          <w:b w:val="0"/>
          <w:bCs w:val="0"/>
          <w:iCs/>
        </w:rPr>
        <w:t>literal e)</w:t>
      </w:r>
      <w:r w:rsidR="00941D3F" w:rsidRPr="00AD369B">
        <w:rPr>
          <w:rFonts w:ascii="Bookman Old Style" w:hAnsi="Bookman Old Style"/>
          <w:b w:val="0"/>
          <w:bCs w:val="0"/>
          <w:iCs/>
          <w:lang w:val="es-MX"/>
        </w:rPr>
        <w:t xml:space="preserve"> del</w:t>
      </w:r>
      <w:r w:rsidR="00941D3F" w:rsidRPr="00AD369B">
        <w:rPr>
          <w:rFonts w:ascii="Bookman Old Style" w:hAnsi="Bookman Old Style"/>
          <w:b w:val="0"/>
          <w:bCs w:val="0"/>
          <w:iCs/>
        </w:rPr>
        <w:t xml:space="preserve"> artículo 23 de </w:t>
      </w:r>
      <w:r w:rsidRPr="00AD369B">
        <w:rPr>
          <w:rFonts w:ascii="Bookman Old Style" w:hAnsi="Bookman Old Style"/>
          <w:b w:val="0"/>
          <w:bCs w:val="0"/>
          <w:iCs/>
        </w:rPr>
        <w:t>la Ley 143 de 1994, es función de la Comisión de Regulación de Energía y Gas aprobar las fórmulas tarifarias y las metodologías para el cálculo de las tarifas para usuarios regulados.</w:t>
      </w:r>
    </w:p>
    <w:p w14:paraId="01E21D25" w14:textId="77777777" w:rsidR="000C5DD0" w:rsidRPr="00AD369B" w:rsidRDefault="000C5DD0" w:rsidP="00B606A2">
      <w:pPr>
        <w:pStyle w:val="Textoindependiente"/>
        <w:ind w:left="284" w:right="142"/>
        <w:contextualSpacing/>
        <w:jc w:val="both"/>
        <w:rPr>
          <w:rFonts w:ascii="Bookman Old Style" w:hAnsi="Bookman Old Style"/>
          <w:b w:val="0"/>
          <w:bCs w:val="0"/>
          <w:iCs/>
        </w:rPr>
      </w:pPr>
    </w:p>
    <w:p w14:paraId="5A84D088" w14:textId="3DA9D367" w:rsidR="00727040" w:rsidRPr="00AD369B" w:rsidRDefault="00727040" w:rsidP="00B606A2">
      <w:pPr>
        <w:pStyle w:val="Textoindependiente"/>
        <w:ind w:left="284" w:right="142"/>
        <w:contextualSpacing/>
        <w:jc w:val="both"/>
        <w:rPr>
          <w:rFonts w:ascii="Bookman Old Style" w:hAnsi="Bookman Old Style"/>
          <w:b w:val="0"/>
          <w:bCs w:val="0"/>
          <w:iCs/>
        </w:rPr>
      </w:pPr>
      <w:r w:rsidRPr="00AD369B">
        <w:rPr>
          <w:rFonts w:ascii="Bookman Old Style" w:hAnsi="Bookman Old Style"/>
          <w:b w:val="0"/>
          <w:bCs w:val="0"/>
          <w:iCs/>
        </w:rPr>
        <w:t>El artículo 6 de la Ley 143 de 1994, entre otros aspectos, establece que las actividades relacionadas con el servicio de electricidad se regirán por el principio de adaptabilidad</w:t>
      </w:r>
      <w:r w:rsidR="003B0A64" w:rsidRPr="00AD369B">
        <w:rPr>
          <w:rFonts w:ascii="Bookman Old Style" w:hAnsi="Bookman Old Style"/>
          <w:b w:val="0"/>
          <w:bCs w:val="0"/>
          <w:iCs/>
          <w:lang w:val="es-CO"/>
        </w:rPr>
        <w:t>,</w:t>
      </w:r>
      <w:r w:rsidRPr="00AD369B">
        <w:rPr>
          <w:rFonts w:ascii="Bookman Old Style" w:hAnsi="Bookman Old Style"/>
          <w:b w:val="0"/>
          <w:bCs w:val="0"/>
          <w:iCs/>
        </w:rPr>
        <w:t xml:space="preserve"> que conduce a la incorporación de los avances de la ciencia y la tecnología que aporten mayor calidad y eficiencia en la prestación del servicio</w:t>
      </w:r>
      <w:r w:rsidR="003B0A64" w:rsidRPr="00AD369B">
        <w:rPr>
          <w:rFonts w:ascii="Bookman Old Style" w:hAnsi="Bookman Old Style"/>
          <w:b w:val="0"/>
          <w:bCs w:val="0"/>
          <w:iCs/>
          <w:lang w:val="es-CO"/>
        </w:rPr>
        <w:t>,</w:t>
      </w:r>
      <w:r w:rsidRPr="00AD369B">
        <w:rPr>
          <w:rFonts w:ascii="Bookman Old Style" w:hAnsi="Bookman Old Style"/>
          <w:b w:val="0"/>
          <w:bCs w:val="0"/>
          <w:iCs/>
        </w:rPr>
        <w:t xml:space="preserve"> al menor costo económico</w:t>
      </w:r>
      <w:r w:rsidR="37F19E6C" w:rsidRPr="254D034A">
        <w:rPr>
          <w:rFonts w:ascii="Bookman Old Style" w:hAnsi="Bookman Old Style"/>
          <w:b w:val="0"/>
          <w:bCs w:val="0"/>
        </w:rPr>
        <w:t>.</w:t>
      </w:r>
    </w:p>
    <w:p w14:paraId="3440E52D" w14:textId="31131FE3" w:rsidR="00727040" w:rsidRPr="00AD369B" w:rsidRDefault="00727040" w:rsidP="0096658C">
      <w:pPr>
        <w:pStyle w:val="Textoindependiente"/>
        <w:tabs>
          <w:tab w:val="left" w:pos="3310"/>
        </w:tabs>
        <w:ind w:left="284" w:right="142"/>
        <w:contextualSpacing/>
        <w:jc w:val="both"/>
        <w:rPr>
          <w:rFonts w:ascii="Bookman Old Style" w:hAnsi="Bookman Old Style"/>
          <w:b w:val="0"/>
          <w:bCs w:val="0"/>
          <w:iCs/>
        </w:rPr>
      </w:pPr>
    </w:p>
    <w:p w14:paraId="7CD78D39" w14:textId="17476D8A" w:rsidR="0047432C" w:rsidRPr="00AD369B" w:rsidRDefault="009B5A32" w:rsidP="00B606A2">
      <w:pPr>
        <w:pStyle w:val="Textoindependiente"/>
        <w:ind w:left="284" w:right="142"/>
        <w:contextualSpacing/>
        <w:jc w:val="both"/>
        <w:rPr>
          <w:rFonts w:ascii="Bookman Old Style" w:eastAsia="Calibri" w:hAnsi="Bookman Old Style"/>
          <w:b w:val="0"/>
        </w:rPr>
      </w:pPr>
      <w:r w:rsidRPr="00AD369B">
        <w:rPr>
          <w:rFonts w:ascii="Bookman Old Style" w:hAnsi="Bookman Old Style"/>
          <w:b w:val="0"/>
          <w:bCs w:val="0"/>
          <w:iCs/>
        </w:rPr>
        <w:t>La Comisión de Regulación de Energía y Gas, CREG, mediante la Resolución CREG 091 de 2007, estableció las metodologías generales para remunerar las actividades de generación, distribución y comercialización de energía eléctrica, y las fórmulas tarifarias generales para determinar el costo unitario de prestación del servicio p</w:t>
      </w:r>
      <w:r w:rsidR="00F0393C" w:rsidRPr="00AD369B">
        <w:rPr>
          <w:rFonts w:ascii="Bookman Old Style" w:hAnsi="Bookman Old Style"/>
          <w:b w:val="0"/>
          <w:bCs w:val="0"/>
          <w:iCs/>
        </w:rPr>
        <w:t xml:space="preserve">úblico de energía eléctrica en </w:t>
      </w:r>
      <w:r w:rsidR="00376976" w:rsidRPr="00AD369B">
        <w:rPr>
          <w:rFonts w:ascii="Bookman Old Style" w:hAnsi="Bookman Old Style"/>
          <w:b w:val="0"/>
          <w:bCs w:val="0"/>
          <w:iCs/>
          <w:lang w:val="es-CO"/>
        </w:rPr>
        <w:t>Zonas</w:t>
      </w:r>
      <w:r w:rsidR="00911656" w:rsidRPr="00AD369B">
        <w:rPr>
          <w:rFonts w:ascii="Bookman Old Style" w:hAnsi="Bookman Old Style"/>
          <w:b w:val="0"/>
          <w:bCs w:val="0"/>
          <w:iCs/>
          <w:lang w:val="es-MX"/>
        </w:rPr>
        <w:t xml:space="preserve"> </w:t>
      </w:r>
      <w:r w:rsidR="00C21AD5" w:rsidRPr="00AD369B">
        <w:rPr>
          <w:rFonts w:ascii="Bookman Old Style" w:hAnsi="Bookman Old Style"/>
          <w:b w:val="0"/>
          <w:bCs w:val="0"/>
          <w:iCs/>
          <w:lang w:val="es-CO"/>
        </w:rPr>
        <w:t>N</w:t>
      </w:r>
      <w:r w:rsidR="00C21AD5" w:rsidRPr="00AD369B">
        <w:rPr>
          <w:rFonts w:ascii="Bookman Old Style" w:hAnsi="Bookman Old Style"/>
          <w:b w:val="0"/>
          <w:bCs w:val="0"/>
          <w:iCs/>
        </w:rPr>
        <w:t xml:space="preserve">o </w:t>
      </w:r>
      <w:r w:rsidR="00376976" w:rsidRPr="00AD369B">
        <w:rPr>
          <w:rFonts w:ascii="Bookman Old Style" w:hAnsi="Bookman Old Style"/>
          <w:b w:val="0"/>
          <w:bCs w:val="0"/>
          <w:iCs/>
          <w:lang w:val="es-CO"/>
        </w:rPr>
        <w:t>Interconectadas</w:t>
      </w:r>
      <w:r w:rsidRPr="00545F20">
        <w:rPr>
          <w:rFonts w:ascii="Bookman Old Style" w:hAnsi="Bookman Old Style"/>
          <w:b w:val="0"/>
        </w:rPr>
        <w:t>.</w:t>
      </w:r>
      <w:r w:rsidRPr="00545F20">
        <w:rPr>
          <w:rFonts w:ascii="Bookman Old Style" w:hAnsi="Bookman Old Style"/>
          <w:b w:val="0"/>
          <w:lang w:val="es-CO"/>
        </w:rPr>
        <w:t xml:space="preserve"> </w:t>
      </w:r>
      <w:r w:rsidR="00370BFA" w:rsidRPr="00545F20">
        <w:rPr>
          <w:rFonts w:ascii="Bookman Old Style" w:eastAsia="Calibri" w:hAnsi="Bookman Old Style"/>
          <w:b w:val="0"/>
          <w:lang w:val="es-MX"/>
        </w:rPr>
        <w:t xml:space="preserve">La precitada resolución </w:t>
      </w:r>
      <w:r w:rsidR="0047432C" w:rsidRPr="00545F20">
        <w:rPr>
          <w:rFonts w:ascii="Bookman Old Style" w:eastAsia="Calibri" w:hAnsi="Bookman Old Style"/>
          <w:b w:val="0"/>
        </w:rPr>
        <w:t xml:space="preserve">fue publicada </w:t>
      </w:r>
      <w:r w:rsidR="000B23C4" w:rsidRPr="00545F20">
        <w:rPr>
          <w:rFonts w:ascii="Bookman Old Style" w:eastAsia="Calibri" w:hAnsi="Bookman Old Style"/>
          <w:b w:val="0"/>
        </w:rPr>
        <w:t xml:space="preserve">en el Diario Oficial </w:t>
      </w:r>
      <w:r w:rsidR="0047432C" w:rsidRPr="00545F20">
        <w:rPr>
          <w:rFonts w:ascii="Bookman Old Style" w:eastAsia="Calibri" w:hAnsi="Bookman Old Style"/>
          <w:b w:val="0"/>
        </w:rPr>
        <w:t>el 24 de enero de 2008</w:t>
      </w:r>
      <w:r w:rsidR="00C21AD5" w:rsidRPr="00545F20">
        <w:rPr>
          <w:rFonts w:ascii="Bookman Old Style" w:eastAsia="Calibri" w:hAnsi="Bookman Old Style"/>
          <w:b w:val="0"/>
          <w:lang w:val="es-CO"/>
        </w:rPr>
        <w:t>,</w:t>
      </w:r>
      <w:r w:rsidR="0047432C" w:rsidRPr="00545F20">
        <w:rPr>
          <w:rFonts w:ascii="Bookman Old Style" w:eastAsia="Calibri" w:hAnsi="Bookman Old Style"/>
          <w:b w:val="0"/>
        </w:rPr>
        <w:t xml:space="preserve"> y quedó en firme el 31 de enero de 2008.</w:t>
      </w:r>
    </w:p>
    <w:p w14:paraId="5AABAA70" w14:textId="02B60BBA" w:rsidR="008174D3" w:rsidRPr="00545F20" w:rsidRDefault="008174D3" w:rsidP="00B606A2">
      <w:pPr>
        <w:pStyle w:val="Textoindependiente"/>
        <w:ind w:left="284" w:right="142"/>
        <w:contextualSpacing/>
        <w:jc w:val="both"/>
        <w:rPr>
          <w:rFonts w:ascii="Bookman Old Style" w:eastAsia="Calibri" w:hAnsi="Bookman Old Style"/>
          <w:b w:val="0"/>
        </w:rPr>
      </w:pPr>
    </w:p>
    <w:p w14:paraId="4090FAC1" w14:textId="519E4D4B" w:rsidR="00911656" w:rsidRPr="00AD369B" w:rsidRDefault="254D034A" w:rsidP="000843D6">
      <w:pPr>
        <w:ind w:left="270"/>
        <w:contextualSpacing/>
        <w:jc w:val="both"/>
        <w:rPr>
          <w:rFonts w:ascii="Bookman Old Style" w:hAnsi="Bookman Old Style"/>
          <w:lang w:val="es-CO"/>
        </w:rPr>
      </w:pPr>
      <w:r w:rsidRPr="00545F20">
        <w:rPr>
          <w:rFonts w:ascii="Bookman Old Style" w:hAnsi="Bookman Old Style"/>
          <w:lang w:val="es-CO"/>
        </w:rPr>
        <w:lastRenderedPageBreak/>
        <w:t xml:space="preserve">La Comisión de Regulación de Energía y Gas, CREG, mediante la Resolución CREG 012 de 2018, resolvió una solicitud de remuneración para un proyecto solar fotovoltaico </w:t>
      </w:r>
      <w:r w:rsidRPr="000843D6">
        <w:rPr>
          <w:rFonts w:ascii="Bookman Old Style" w:hAnsi="Bookman Old Style"/>
          <w:lang w:val="es"/>
        </w:rPr>
        <w:t xml:space="preserve">interconectado a la red de distribución del municipio de Inírida, con una capacidad de generación de </w:t>
      </w:r>
      <w:r w:rsidRPr="000843D6">
        <w:rPr>
          <w:rFonts w:ascii="Bookman Old Style" w:hAnsi="Bookman Old Style"/>
          <w:lang w:val="es-CO"/>
        </w:rPr>
        <w:t xml:space="preserve">2.47 MWp, </w:t>
      </w:r>
      <w:r w:rsidRPr="000843D6">
        <w:rPr>
          <w:rFonts w:ascii="Bookman Old Style" w:hAnsi="Bookman Old Style"/>
          <w:lang w:val="es"/>
        </w:rPr>
        <w:t xml:space="preserve">presentado por la </w:t>
      </w:r>
      <w:r w:rsidRPr="000843D6">
        <w:rPr>
          <w:rFonts w:ascii="Bookman Old Style" w:hAnsi="Bookman Old Style"/>
          <w:lang w:val="es-CO"/>
        </w:rPr>
        <w:t>empresa Gestión Energética GENSA S.A</w:t>
      </w:r>
      <w:r w:rsidR="007D1CC2">
        <w:rPr>
          <w:rFonts w:ascii="Bookman Old Style" w:hAnsi="Bookman Old Style"/>
          <w:lang w:val="es-CO"/>
        </w:rPr>
        <w:t>.</w:t>
      </w:r>
      <w:r w:rsidRPr="000843D6">
        <w:rPr>
          <w:rFonts w:ascii="Bookman Old Style" w:hAnsi="Bookman Old Style"/>
          <w:lang w:val="es-CO"/>
        </w:rPr>
        <w:t xml:space="preserve"> E.S.P.</w:t>
      </w:r>
      <w:r w:rsidR="003A5BA7">
        <w:rPr>
          <w:rFonts w:ascii="Bookman Old Style" w:hAnsi="Bookman Old Style"/>
          <w:lang w:val="es-CO"/>
        </w:rPr>
        <w:t>, GENSA.</w:t>
      </w:r>
    </w:p>
    <w:p w14:paraId="06E6399E" w14:textId="1062C3F2" w:rsidR="00911656" w:rsidRPr="00AD369B" w:rsidRDefault="00911656" w:rsidP="254D034A">
      <w:pPr>
        <w:ind w:left="270"/>
        <w:contextualSpacing/>
        <w:jc w:val="both"/>
        <w:rPr>
          <w:rFonts w:ascii="Bookman Old Style" w:eastAsia="Bookman Old Style" w:hAnsi="Bookman Old Style" w:cs="Bookman Old Style"/>
          <w:lang w:val="es-CO"/>
        </w:rPr>
      </w:pPr>
    </w:p>
    <w:p w14:paraId="385B8BBE" w14:textId="5A123830" w:rsidR="00911656" w:rsidRPr="00AD369B" w:rsidRDefault="254D034A" w:rsidP="254D034A">
      <w:pPr>
        <w:ind w:left="270"/>
        <w:contextualSpacing/>
        <w:jc w:val="both"/>
        <w:rPr>
          <w:rFonts w:ascii="Bookman Old Style" w:eastAsia="Bookman Old Style" w:hAnsi="Bookman Old Style" w:cs="Bookman Old Style"/>
          <w:color w:val="000000" w:themeColor="text1"/>
          <w:lang w:val="es-CO"/>
        </w:rPr>
      </w:pPr>
      <w:r w:rsidRPr="254D034A">
        <w:rPr>
          <w:rFonts w:ascii="Bookman Old Style" w:eastAsia="Bookman Old Style" w:hAnsi="Bookman Old Style" w:cs="Bookman Old Style"/>
          <w:color w:val="000000" w:themeColor="text1"/>
          <w:lang w:val="es-CO"/>
        </w:rPr>
        <w:t xml:space="preserve">Que articulado a lo anterior, mediante Resolución CREG 135 de 2019, se modificó el artículo 1 de la Resolución CREG 012 de 2018, en el sentido de ajustar los cálculos afectados por la serie Oferta Interna del Índice de Precios al Productor, sobre las componentes de inversión y AOM aprobados inicialmente y que hacen parte del cargo de generación </w:t>
      </w:r>
      <w:r w:rsidRPr="254D034A">
        <w:rPr>
          <w:rFonts w:ascii="Bookman Old Style" w:hAnsi="Bookman Old Style"/>
          <w:lang w:val="es-CO"/>
        </w:rPr>
        <w:t xml:space="preserve">para un proyecto solar fotovoltaico </w:t>
      </w:r>
      <w:r w:rsidRPr="254D034A">
        <w:rPr>
          <w:rFonts w:ascii="Bookman Old Style" w:hAnsi="Bookman Old Style"/>
          <w:lang w:val="es"/>
        </w:rPr>
        <w:t>interconectado a la red de distribución del municipio de Inírida</w:t>
      </w:r>
      <w:r w:rsidRPr="254D034A">
        <w:rPr>
          <w:rFonts w:ascii="Bookman Old Style" w:eastAsia="Bookman Old Style" w:hAnsi="Bookman Old Style" w:cs="Bookman Old Style"/>
          <w:color w:val="000000" w:themeColor="text1"/>
          <w:lang w:val="es-CO"/>
        </w:rPr>
        <w:t>.</w:t>
      </w:r>
    </w:p>
    <w:p w14:paraId="55AFA9B3" w14:textId="30562A5D" w:rsidR="00004A66" w:rsidRPr="00AD369B" w:rsidRDefault="00004A66" w:rsidP="254D034A">
      <w:pPr>
        <w:pStyle w:val="Style2"/>
        <w:spacing w:before="0" w:line="240" w:lineRule="auto"/>
        <w:ind w:left="270" w:right="142" w:firstLine="0"/>
        <w:contextualSpacing/>
        <w:jc w:val="both"/>
        <w:rPr>
          <w:rFonts w:ascii="Bookman Old Style" w:eastAsia="Calibri" w:hAnsi="Bookman Old Style"/>
          <w:sz w:val="24"/>
          <w:szCs w:val="24"/>
        </w:rPr>
      </w:pPr>
    </w:p>
    <w:p w14:paraId="075FC973" w14:textId="41081C39" w:rsidR="00911656" w:rsidRDefault="00C65126" w:rsidP="000843D6">
      <w:pPr>
        <w:pStyle w:val="Style2"/>
        <w:spacing w:before="0" w:line="240" w:lineRule="auto"/>
        <w:ind w:left="270" w:right="142" w:firstLine="0"/>
        <w:contextualSpacing/>
        <w:jc w:val="both"/>
        <w:rPr>
          <w:rFonts w:ascii="Bookman Old Style" w:hAnsi="Bookman Old Style"/>
          <w:sz w:val="24"/>
          <w:szCs w:val="24"/>
        </w:rPr>
      </w:pPr>
      <w:bookmarkStart w:id="1" w:name="_Hlk35354097"/>
      <w:r w:rsidRPr="00C65126">
        <w:rPr>
          <w:rFonts w:ascii="Bookman Old Style" w:hAnsi="Bookman Old Style"/>
          <w:sz w:val="24"/>
          <w:szCs w:val="24"/>
        </w:rPr>
        <w:t xml:space="preserve">Mediante comunicación con número de radicado CREG E-2021-003557 del 24 de marzo de 2021, complementada con la comunicación con número de radicado CREG E-2021-006479 del 02 de junio de 2021, y de acuerdo con lo previsto en el literal d del artículo 22, y los artículos 24 y 25 de la Resolución CREG 091 de 2007, </w:t>
      </w:r>
      <w:r w:rsidR="0B37837F" w:rsidRPr="145CEB36">
        <w:rPr>
          <w:rFonts w:ascii="Bookman Old Style" w:hAnsi="Bookman Old Style"/>
          <w:sz w:val="24"/>
          <w:szCs w:val="24"/>
        </w:rPr>
        <w:t>GENSA</w:t>
      </w:r>
      <w:r w:rsidRPr="00C65126">
        <w:rPr>
          <w:rFonts w:ascii="Bookman Old Style" w:hAnsi="Bookman Old Style"/>
          <w:sz w:val="24"/>
          <w:szCs w:val="24"/>
        </w:rPr>
        <w:t xml:space="preserve"> presentó propuesta de Remuneración para la Granja Solar Fotovoltaica con acumulación de </w:t>
      </w:r>
      <w:r w:rsidR="000C4D0D" w:rsidRPr="000C4D0D">
        <w:rPr>
          <w:rFonts w:ascii="Bookman Old Style" w:hAnsi="Bookman Old Style"/>
          <w:sz w:val="24"/>
          <w:szCs w:val="24"/>
        </w:rPr>
        <w:t>12.2 MWp y un almacenamiento de 33.3 MWh</w:t>
      </w:r>
      <w:r w:rsidR="000C4D0D" w:rsidRPr="00C65126">
        <w:rPr>
          <w:rFonts w:ascii="Bookman Old Style" w:hAnsi="Bookman Old Style"/>
          <w:sz w:val="24"/>
          <w:szCs w:val="24"/>
        </w:rPr>
        <w:t xml:space="preserve"> </w:t>
      </w:r>
      <w:r w:rsidRPr="00C65126">
        <w:rPr>
          <w:rFonts w:ascii="Bookman Old Style" w:hAnsi="Bookman Old Style"/>
          <w:sz w:val="24"/>
          <w:szCs w:val="24"/>
        </w:rPr>
        <w:t>ubicada en Inírida – Guainía</w:t>
      </w:r>
      <w:r w:rsidR="00911656" w:rsidRPr="00AD369B">
        <w:rPr>
          <w:rFonts w:ascii="Bookman Old Style" w:hAnsi="Bookman Old Style"/>
          <w:sz w:val="24"/>
          <w:szCs w:val="24"/>
        </w:rPr>
        <w:t>.</w:t>
      </w:r>
      <w:bookmarkEnd w:id="1"/>
    </w:p>
    <w:p w14:paraId="26BCCE6C" w14:textId="77777777" w:rsidR="00D52B00" w:rsidRPr="00AD369B" w:rsidRDefault="00D52B00" w:rsidP="00B606A2">
      <w:pPr>
        <w:pStyle w:val="Style2"/>
        <w:shd w:val="clear" w:color="auto" w:fill="auto"/>
        <w:spacing w:before="0" w:line="240" w:lineRule="auto"/>
        <w:ind w:left="284" w:right="51" w:firstLine="0"/>
        <w:contextualSpacing/>
        <w:jc w:val="both"/>
        <w:rPr>
          <w:rFonts w:ascii="Bookman Old Style" w:hAnsi="Bookman Old Style"/>
          <w:sz w:val="24"/>
          <w:szCs w:val="24"/>
        </w:rPr>
      </w:pPr>
    </w:p>
    <w:p w14:paraId="3447DA0E" w14:textId="131F523B" w:rsidR="00DE4BF8" w:rsidRPr="00AD369B" w:rsidRDefault="005878BF" w:rsidP="00B606A2">
      <w:pPr>
        <w:numPr>
          <w:ilvl w:val="0"/>
          <w:numId w:val="8"/>
        </w:numPr>
        <w:ind w:right="142"/>
        <w:contextualSpacing/>
        <w:jc w:val="both"/>
        <w:rPr>
          <w:rFonts w:ascii="Bookman Old Style" w:hAnsi="Bookman Old Style" w:cs="Arial"/>
          <w:b/>
        </w:rPr>
      </w:pPr>
      <w:r w:rsidRPr="00AD369B">
        <w:rPr>
          <w:rFonts w:ascii="Bookman Old Style" w:hAnsi="Bookman Old Style" w:cs="Arial"/>
          <w:b/>
        </w:rPr>
        <w:t>LA SOLICITUD</w:t>
      </w:r>
    </w:p>
    <w:p w14:paraId="4385163D" w14:textId="77777777" w:rsidR="005878BF" w:rsidRPr="00AD369B" w:rsidRDefault="005878BF" w:rsidP="00B606A2">
      <w:pPr>
        <w:ind w:left="284" w:right="142"/>
        <w:contextualSpacing/>
        <w:jc w:val="both"/>
        <w:rPr>
          <w:rFonts w:ascii="Bookman Old Style" w:hAnsi="Bookman Old Style" w:cs="Arial"/>
        </w:rPr>
      </w:pPr>
    </w:p>
    <w:p w14:paraId="63B3031E" w14:textId="208F59EA" w:rsidR="00D451C0" w:rsidRPr="00AD369B" w:rsidRDefault="00102975" w:rsidP="0082104D">
      <w:pPr>
        <w:ind w:left="284" w:right="142"/>
        <w:contextualSpacing/>
        <w:jc w:val="both"/>
        <w:rPr>
          <w:rFonts w:ascii="Bookman Old Style" w:hAnsi="Bookman Old Style" w:cs="Arial"/>
        </w:rPr>
      </w:pPr>
      <w:r w:rsidRPr="00AD369B">
        <w:rPr>
          <w:rFonts w:ascii="Bookman Old Style" w:hAnsi="Bookman Old Style" w:cs="Arial"/>
        </w:rPr>
        <w:t>El</w:t>
      </w:r>
      <w:r w:rsidR="00F0393C" w:rsidRPr="00AD369B">
        <w:rPr>
          <w:rFonts w:ascii="Bookman Old Style" w:hAnsi="Bookman Old Style" w:cs="Arial"/>
        </w:rPr>
        <w:t xml:space="preserve"> representante l</w:t>
      </w:r>
      <w:r w:rsidR="006203BF" w:rsidRPr="00AD369B">
        <w:rPr>
          <w:rFonts w:ascii="Bookman Old Style" w:hAnsi="Bookman Old Style" w:cs="Arial"/>
        </w:rPr>
        <w:t xml:space="preserve">egal de </w:t>
      </w:r>
      <w:r w:rsidR="00946D0B">
        <w:rPr>
          <w:rFonts w:ascii="Bookman Old Style" w:hAnsi="Bookman Old Style" w:cs="Arial"/>
        </w:rPr>
        <w:t>GENSA</w:t>
      </w:r>
      <w:r w:rsidR="00573344" w:rsidRPr="00AD369B">
        <w:rPr>
          <w:rFonts w:ascii="Bookman Old Style" w:hAnsi="Bookman Old Style" w:cs="Arial"/>
        </w:rPr>
        <w:t xml:space="preserve"> </w:t>
      </w:r>
      <w:r w:rsidR="006203BF" w:rsidRPr="00AD369B">
        <w:rPr>
          <w:rFonts w:ascii="Bookman Old Style" w:hAnsi="Bookman Old Style" w:cs="Arial"/>
        </w:rPr>
        <w:t>realiz</w:t>
      </w:r>
      <w:r w:rsidR="00573344" w:rsidRPr="00AD369B">
        <w:rPr>
          <w:rFonts w:ascii="Bookman Old Style" w:hAnsi="Bookman Old Style" w:cs="Arial"/>
        </w:rPr>
        <w:t>ó</w:t>
      </w:r>
      <w:r w:rsidR="006203BF" w:rsidRPr="00AD369B">
        <w:rPr>
          <w:rFonts w:ascii="Bookman Old Style" w:hAnsi="Bookman Old Style" w:cs="Arial"/>
        </w:rPr>
        <w:t xml:space="preserve"> </w:t>
      </w:r>
      <w:r w:rsidR="0047432C" w:rsidRPr="00AD369B">
        <w:rPr>
          <w:rFonts w:ascii="Bookman Old Style" w:hAnsi="Bookman Old Style" w:cs="Arial"/>
        </w:rPr>
        <w:t xml:space="preserve">la siguiente </w:t>
      </w:r>
      <w:r w:rsidR="00573344" w:rsidRPr="00AD369B">
        <w:rPr>
          <w:rFonts w:ascii="Bookman Old Style" w:hAnsi="Bookman Old Style" w:cs="Arial"/>
        </w:rPr>
        <w:t>solicitud</w:t>
      </w:r>
      <w:r w:rsidR="006203BF" w:rsidRPr="00AD369B">
        <w:rPr>
          <w:rFonts w:ascii="Bookman Old Style" w:hAnsi="Bookman Old Style" w:cs="Arial"/>
        </w:rPr>
        <w:t>:</w:t>
      </w:r>
    </w:p>
    <w:p w14:paraId="3EF596A6" w14:textId="75A214E7" w:rsidR="004A5999" w:rsidRPr="00AD369B" w:rsidRDefault="004A5999" w:rsidP="00B606A2">
      <w:pPr>
        <w:ind w:left="284" w:right="142"/>
        <w:contextualSpacing/>
        <w:jc w:val="both"/>
        <w:rPr>
          <w:rFonts w:ascii="Bookman Old Style" w:hAnsi="Bookman Old Style" w:cs="Arial"/>
        </w:rPr>
      </w:pPr>
    </w:p>
    <w:p w14:paraId="3302BBB6" w14:textId="056E4386" w:rsidR="00C65126" w:rsidRPr="00F65E88" w:rsidRDefault="0082104D" w:rsidP="007D1CC2">
      <w:pPr>
        <w:ind w:left="426"/>
        <w:contextualSpacing/>
        <w:jc w:val="both"/>
        <w:rPr>
          <w:rFonts w:ascii="Bookman Old Style" w:hAnsi="Bookman Old Style" w:cs="Arial"/>
          <w:i/>
          <w:iCs/>
          <w:sz w:val="22"/>
          <w:szCs w:val="22"/>
        </w:rPr>
      </w:pPr>
      <w:r w:rsidRPr="00F65E88">
        <w:rPr>
          <w:rFonts w:ascii="Bookman Old Style" w:hAnsi="Bookman Old Style" w:cs="Arial"/>
          <w:i/>
          <w:iCs/>
          <w:sz w:val="22"/>
          <w:szCs w:val="22"/>
        </w:rPr>
        <w:t>“</w:t>
      </w:r>
      <w:r w:rsidR="695368A5" w:rsidRPr="00F65E88">
        <w:rPr>
          <w:rFonts w:ascii="Bookman Old Style" w:hAnsi="Bookman Old Style" w:cs="Arial"/>
          <w:i/>
          <w:iCs/>
          <w:sz w:val="22"/>
          <w:szCs w:val="22"/>
        </w:rPr>
        <w:t>Por medio de la presente, Gestión Energética S.A. E.S.P. - GENSA S.A E.S.P., le presenta a la CREG una propuesta de remuneración para un proyecto solar centralizado denominado Granja Solar II, el cual tendrá acumulación de energía y estará interconectado a la red de distribución del municipio de Inírida, con una capacidad instalada de 12.2 MWp y un almacenamiento de 33.3 MWh, con fundamento en el literal d, del artículo 22 de la Resolución CREG 091 de 2007.</w:t>
      </w:r>
    </w:p>
    <w:p w14:paraId="238FAACC" w14:textId="77777777" w:rsidR="009E0DBE" w:rsidRPr="00F65E88" w:rsidRDefault="009E0DBE" w:rsidP="007D1CC2">
      <w:pPr>
        <w:ind w:left="426"/>
        <w:contextualSpacing/>
        <w:jc w:val="both"/>
        <w:rPr>
          <w:rFonts w:ascii="Bookman Old Style" w:hAnsi="Bookman Old Style" w:cs="Arial"/>
          <w:i/>
          <w:iCs/>
          <w:sz w:val="22"/>
          <w:szCs w:val="22"/>
        </w:rPr>
      </w:pPr>
    </w:p>
    <w:p w14:paraId="0FAB3219" w14:textId="1E2FB541" w:rsidR="004E5E63" w:rsidRPr="00F65E88" w:rsidRDefault="42E22A26" w:rsidP="007D1CC2">
      <w:pPr>
        <w:ind w:left="426"/>
        <w:contextualSpacing/>
        <w:jc w:val="both"/>
        <w:rPr>
          <w:rFonts w:ascii="Bookman Old Style" w:hAnsi="Bookman Old Style" w:cs="Arial"/>
          <w:i/>
          <w:iCs/>
          <w:sz w:val="22"/>
          <w:szCs w:val="22"/>
          <w:lang w:val="es-MX"/>
        </w:rPr>
      </w:pPr>
      <w:r w:rsidRPr="00F65E88">
        <w:rPr>
          <w:rFonts w:ascii="Bookman Old Style" w:hAnsi="Bookman Old Style" w:cs="Arial"/>
          <w:i/>
          <w:iCs/>
          <w:sz w:val="22"/>
          <w:szCs w:val="22"/>
        </w:rPr>
        <w:t xml:space="preserve">Esto, en consideración a que tal Resolución se refiere a proyectos de hasta 1.000 kWp, razón por la cual, en consecuencia, se hace necesario un esquema de </w:t>
      </w:r>
      <w:r w:rsidR="695368A5" w:rsidRPr="00F65E88">
        <w:rPr>
          <w:rFonts w:ascii="Bookman Old Style" w:hAnsi="Bookman Old Style" w:cs="Arial"/>
          <w:i/>
          <w:iCs/>
          <w:sz w:val="22"/>
          <w:szCs w:val="22"/>
        </w:rPr>
        <w:t>remuneración particular, para un proyecto de la envergadura e importancia del aquí analizado</w:t>
      </w:r>
      <w:r w:rsidR="663EB522" w:rsidRPr="00F65E88">
        <w:rPr>
          <w:rFonts w:ascii="Bookman Old Style" w:hAnsi="Bookman Old Style" w:cs="Arial"/>
          <w:i/>
          <w:iCs/>
          <w:sz w:val="22"/>
          <w:szCs w:val="22"/>
          <w:lang w:val="es-MX"/>
        </w:rPr>
        <w:t>”</w:t>
      </w:r>
      <w:r w:rsidR="66BD5955" w:rsidRPr="00F65E88">
        <w:rPr>
          <w:rFonts w:ascii="Bookman Old Style" w:hAnsi="Bookman Old Style" w:cs="Arial"/>
          <w:i/>
          <w:iCs/>
          <w:sz w:val="22"/>
          <w:szCs w:val="22"/>
          <w:lang w:val="es-MX"/>
        </w:rPr>
        <w:t>.</w:t>
      </w:r>
    </w:p>
    <w:p w14:paraId="256DD83B" w14:textId="020D2754" w:rsidR="00D0765E" w:rsidRPr="00AD369B" w:rsidRDefault="00D0765E" w:rsidP="00B606A2">
      <w:pPr>
        <w:ind w:left="284" w:right="142"/>
        <w:contextualSpacing/>
        <w:jc w:val="both"/>
        <w:rPr>
          <w:rFonts w:ascii="Bookman Old Style" w:hAnsi="Bookman Old Style" w:cs="Arial"/>
          <w:lang w:val="es-MX"/>
        </w:rPr>
      </w:pPr>
    </w:p>
    <w:p w14:paraId="6EA12BDA" w14:textId="6E333EC4" w:rsidR="00CD195F" w:rsidRPr="00AD369B" w:rsidRDefault="000D20E4" w:rsidP="00B606A2">
      <w:pPr>
        <w:ind w:left="284" w:right="142"/>
        <w:contextualSpacing/>
        <w:jc w:val="both"/>
        <w:rPr>
          <w:rFonts w:ascii="Bookman Old Style" w:hAnsi="Bookman Old Style" w:cs="Arial"/>
        </w:rPr>
      </w:pPr>
      <w:r w:rsidRPr="00AD369B">
        <w:rPr>
          <w:rFonts w:ascii="Bookman Old Style" w:hAnsi="Bookman Old Style" w:cs="Arial"/>
        </w:rPr>
        <w:t>La empresa manifiesta que su solicitud se fundamenta</w:t>
      </w:r>
      <w:r w:rsidR="006203BF" w:rsidRPr="00AD369B">
        <w:rPr>
          <w:rFonts w:ascii="Bookman Old Style" w:hAnsi="Bookman Old Style" w:cs="Arial"/>
        </w:rPr>
        <w:t xml:space="preserve"> en lo</w:t>
      </w:r>
      <w:r w:rsidR="00CD195F" w:rsidRPr="00AD369B">
        <w:rPr>
          <w:rFonts w:ascii="Bookman Old Style" w:hAnsi="Bookman Old Style" w:cs="Arial"/>
        </w:rPr>
        <w:t xml:space="preserve"> siguiente</w:t>
      </w:r>
      <w:r w:rsidR="006203BF" w:rsidRPr="00AD369B">
        <w:rPr>
          <w:rFonts w:ascii="Bookman Old Style" w:hAnsi="Bookman Old Style" w:cs="Arial"/>
        </w:rPr>
        <w:t>:</w:t>
      </w:r>
      <w:r w:rsidR="00CD195F" w:rsidRPr="00AD369B">
        <w:rPr>
          <w:rFonts w:ascii="Bookman Old Style" w:hAnsi="Bookman Old Style" w:cs="Arial"/>
        </w:rPr>
        <w:t xml:space="preserve"> </w:t>
      </w:r>
    </w:p>
    <w:p w14:paraId="3EFBC8DC" w14:textId="5C5569E0" w:rsidR="004E5E63" w:rsidRPr="00AD369B" w:rsidRDefault="004E5E63" w:rsidP="00B606A2">
      <w:pPr>
        <w:ind w:left="284" w:right="142"/>
        <w:contextualSpacing/>
        <w:jc w:val="both"/>
        <w:rPr>
          <w:rFonts w:ascii="Bookman Old Style" w:hAnsi="Bookman Old Style" w:cs="Arial"/>
        </w:rPr>
      </w:pPr>
    </w:p>
    <w:p w14:paraId="437B1C40" w14:textId="420C04FE" w:rsidR="00C65126" w:rsidRPr="00F65E88" w:rsidRDefault="00E86530" w:rsidP="007D1CC2">
      <w:pPr>
        <w:ind w:left="426"/>
        <w:contextualSpacing/>
        <w:jc w:val="both"/>
        <w:rPr>
          <w:rFonts w:ascii="Bookman Old Style" w:hAnsi="Bookman Old Style" w:cs="Arial"/>
          <w:i/>
          <w:iCs/>
          <w:sz w:val="22"/>
          <w:szCs w:val="22"/>
        </w:rPr>
      </w:pPr>
      <w:r w:rsidRPr="00F65E88">
        <w:rPr>
          <w:rFonts w:ascii="Bookman Old Style" w:hAnsi="Bookman Old Style" w:cs="Arial"/>
          <w:i/>
          <w:iCs/>
          <w:sz w:val="22"/>
          <w:szCs w:val="22"/>
        </w:rPr>
        <w:t>“</w:t>
      </w:r>
      <w:r w:rsidR="00C65126" w:rsidRPr="00F65E88">
        <w:rPr>
          <w:rFonts w:ascii="Bookman Old Style" w:hAnsi="Bookman Old Style" w:cs="Arial"/>
          <w:i/>
          <w:iCs/>
          <w:sz w:val="22"/>
          <w:szCs w:val="22"/>
        </w:rPr>
        <w:t>Para efectos del trámite de nuestra solicitud, se presentan las motivaciones en que esta se sustenta y, posteriormente, se aporta la propuesta concreta, que estamos en condiciones de aclarar si así lo estima pertinente la Comisión de Regulación que usted dirige.</w:t>
      </w:r>
    </w:p>
    <w:p w14:paraId="07A90BAE" w14:textId="77777777" w:rsidR="00C65126" w:rsidRPr="00F65E88" w:rsidRDefault="00C65126" w:rsidP="00F65E88">
      <w:pPr>
        <w:ind w:left="567" w:right="142"/>
        <w:contextualSpacing/>
        <w:jc w:val="both"/>
        <w:rPr>
          <w:rFonts w:ascii="Bookman Old Style" w:hAnsi="Bookman Old Style" w:cs="Arial"/>
          <w:i/>
          <w:iCs/>
          <w:sz w:val="22"/>
          <w:szCs w:val="22"/>
        </w:rPr>
      </w:pPr>
    </w:p>
    <w:p w14:paraId="63B56431" w14:textId="3FC40E32" w:rsidR="00C65126" w:rsidRPr="00F65E88" w:rsidRDefault="00C65126" w:rsidP="007D1CC2">
      <w:pPr>
        <w:ind w:left="426" w:right="142"/>
        <w:contextualSpacing/>
        <w:jc w:val="both"/>
        <w:rPr>
          <w:rFonts w:ascii="Bookman Old Style" w:hAnsi="Bookman Old Style" w:cs="Arial"/>
          <w:b/>
          <w:bCs/>
          <w:i/>
          <w:iCs/>
          <w:sz w:val="22"/>
          <w:szCs w:val="22"/>
        </w:rPr>
      </w:pPr>
      <w:r w:rsidRPr="00F65E88">
        <w:rPr>
          <w:rFonts w:ascii="Bookman Old Style" w:hAnsi="Bookman Old Style" w:cs="Arial"/>
          <w:b/>
          <w:bCs/>
          <w:i/>
          <w:iCs/>
          <w:sz w:val="22"/>
          <w:szCs w:val="22"/>
        </w:rPr>
        <w:t>PREMISAS DE LA LEY 1715 DE 2014</w:t>
      </w:r>
    </w:p>
    <w:p w14:paraId="584EB7E4" w14:textId="77777777" w:rsidR="00C65126" w:rsidRPr="00F65E88" w:rsidRDefault="00C65126" w:rsidP="00F65E88">
      <w:pPr>
        <w:ind w:left="567" w:right="142"/>
        <w:contextualSpacing/>
        <w:jc w:val="both"/>
        <w:rPr>
          <w:rFonts w:ascii="Bookman Old Style" w:hAnsi="Bookman Old Style" w:cs="Arial"/>
          <w:i/>
          <w:iCs/>
          <w:sz w:val="22"/>
          <w:szCs w:val="22"/>
          <w:lang w:val="es-CO"/>
        </w:rPr>
      </w:pPr>
    </w:p>
    <w:p w14:paraId="03E1BD18" w14:textId="5F617139" w:rsidR="00C65126" w:rsidRPr="00F65E88" w:rsidRDefault="00C65126" w:rsidP="007D1CC2">
      <w:pPr>
        <w:ind w:left="426"/>
        <w:contextualSpacing/>
        <w:jc w:val="both"/>
        <w:rPr>
          <w:rFonts w:ascii="Bookman Old Style" w:hAnsi="Bookman Old Style" w:cs="Arial"/>
          <w:i/>
          <w:iCs/>
          <w:sz w:val="22"/>
          <w:szCs w:val="22"/>
        </w:rPr>
      </w:pPr>
      <w:r w:rsidRPr="00F65E88">
        <w:rPr>
          <w:rFonts w:ascii="Bookman Old Style" w:hAnsi="Bookman Old Style" w:cs="Arial"/>
          <w:i/>
          <w:iCs/>
          <w:sz w:val="22"/>
          <w:szCs w:val="22"/>
        </w:rPr>
        <w:t>La presente solicitud encuentra motivación, entre otras razones, en procurar dar cumplimiento a la Ley 1715 de 2014 y por consiguiente de la misma se extraen los siguientes apartes, los cuales muestran la alineación del proyecto con la política sectorial de Colombia en materia de desarrollo de proyectos de generación eléctrica basados en las llamadas Fuentes No Convencionales de Energía Renovable FNCER:</w:t>
      </w:r>
    </w:p>
    <w:p w14:paraId="3841887A" w14:textId="77777777" w:rsidR="00C65126" w:rsidRPr="00F65E88" w:rsidRDefault="00C65126" w:rsidP="00F65E88">
      <w:pPr>
        <w:ind w:left="567" w:right="142"/>
        <w:contextualSpacing/>
        <w:jc w:val="both"/>
        <w:rPr>
          <w:rFonts w:ascii="Bookman Old Style" w:hAnsi="Bookman Old Style" w:cs="Arial"/>
          <w:i/>
          <w:iCs/>
          <w:sz w:val="22"/>
          <w:szCs w:val="22"/>
        </w:rPr>
      </w:pPr>
    </w:p>
    <w:p w14:paraId="062004DC" w14:textId="7C3FC0C2" w:rsidR="00C65126" w:rsidRPr="00F65E88" w:rsidRDefault="00746E6C" w:rsidP="007D1CC2">
      <w:pPr>
        <w:pStyle w:val="Prrafodelista"/>
        <w:ind w:left="426"/>
        <w:contextualSpacing/>
        <w:jc w:val="both"/>
        <w:rPr>
          <w:rFonts w:ascii="Bookman Old Style" w:hAnsi="Bookman Old Style" w:cs="Arial"/>
          <w:b/>
          <w:bCs/>
          <w:i/>
          <w:iCs/>
          <w:sz w:val="22"/>
          <w:szCs w:val="22"/>
        </w:rPr>
      </w:pPr>
      <w:r>
        <w:rPr>
          <w:rFonts w:ascii="Bookman Old Style" w:hAnsi="Bookman Old Style" w:cs="Arial"/>
          <w:b/>
          <w:bCs/>
          <w:i/>
          <w:iCs/>
          <w:sz w:val="22"/>
          <w:szCs w:val="22"/>
        </w:rPr>
        <w:t xml:space="preserve">A. </w:t>
      </w:r>
      <w:r w:rsidR="00C65126" w:rsidRPr="00F65E88">
        <w:rPr>
          <w:rFonts w:ascii="Bookman Old Style" w:hAnsi="Bookman Old Style" w:cs="Arial"/>
          <w:b/>
          <w:bCs/>
          <w:i/>
          <w:iCs/>
          <w:sz w:val="22"/>
          <w:szCs w:val="22"/>
        </w:rPr>
        <w:t>Declaratoria de utilidad pública.</w:t>
      </w:r>
    </w:p>
    <w:p w14:paraId="15A9A257" w14:textId="77777777" w:rsidR="00C65126" w:rsidRPr="00F65E88" w:rsidRDefault="00C65126" w:rsidP="007D1CC2">
      <w:pPr>
        <w:pStyle w:val="Prrafodelista"/>
        <w:ind w:left="426"/>
        <w:contextualSpacing/>
        <w:jc w:val="both"/>
        <w:rPr>
          <w:rFonts w:ascii="Bookman Old Style" w:hAnsi="Bookman Old Style" w:cs="Arial"/>
          <w:i/>
          <w:iCs/>
          <w:sz w:val="22"/>
          <w:szCs w:val="22"/>
        </w:rPr>
      </w:pPr>
    </w:p>
    <w:p w14:paraId="156715CF" w14:textId="77777777" w:rsidR="00C65126" w:rsidRPr="00F65E88" w:rsidRDefault="00C65126" w:rsidP="007D1CC2">
      <w:pPr>
        <w:ind w:left="426"/>
        <w:contextualSpacing/>
        <w:jc w:val="both"/>
        <w:rPr>
          <w:rFonts w:ascii="Bookman Old Style" w:hAnsi="Bookman Old Style" w:cs="Arial"/>
          <w:i/>
          <w:iCs/>
          <w:sz w:val="22"/>
          <w:szCs w:val="22"/>
        </w:rPr>
      </w:pPr>
      <w:r w:rsidRPr="00F65E88">
        <w:rPr>
          <w:rFonts w:ascii="Bookman Old Style" w:hAnsi="Bookman Old Style" w:cs="Arial"/>
          <w:i/>
          <w:iCs/>
          <w:sz w:val="22"/>
          <w:szCs w:val="22"/>
        </w:rPr>
        <w:t>En el artículo 4o de la Ley 1715 se indica que “...La promoción, estímulo e incentivo al desarrollo de las actividades de producción y utilización de las fuentes no convencionales de energía, principalmente aquellas de carácter renovable se declara como un asunto de utilidad pública e interés social y de conveniencia nacional, fundamental para asegurar la diversificación de la preservación y conservación de los recursos naturales renovables...” (cursiva y subraya fuera de texto original)</w:t>
      </w:r>
    </w:p>
    <w:p w14:paraId="213B5400" w14:textId="77777777" w:rsidR="00C65126" w:rsidRPr="00F65E88" w:rsidRDefault="00C65126" w:rsidP="007D1CC2">
      <w:pPr>
        <w:ind w:left="426"/>
        <w:contextualSpacing/>
        <w:jc w:val="both"/>
        <w:rPr>
          <w:rFonts w:ascii="Bookman Old Style" w:hAnsi="Bookman Old Style" w:cs="Arial"/>
          <w:i/>
          <w:iCs/>
          <w:sz w:val="22"/>
          <w:szCs w:val="22"/>
        </w:rPr>
      </w:pPr>
    </w:p>
    <w:p w14:paraId="2EBC6E48" w14:textId="4DD28B6B" w:rsidR="00C65126" w:rsidRPr="00F65E88" w:rsidRDefault="00C65126" w:rsidP="007D1CC2">
      <w:pPr>
        <w:ind w:left="426"/>
        <w:contextualSpacing/>
        <w:jc w:val="both"/>
        <w:rPr>
          <w:rFonts w:ascii="Bookman Old Style" w:hAnsi="Bookman Old Style" w:cs="Arial"/>
          <w:i/>
          <w:iCs/>
          <w:sz w:val="22"/>
          <w:szCs w:val="22"/>
        </w:rPr>
      </w:pPr>
      <w:r w:rsidRPr="00F65E88">
        <w:rPr>
          <w:rFonts w:ascii="Bookman Old Style" w:hAnsi="Bookman Old Style" w:cs="Arial"/>
          <w:i/>
          <w:iCs/>
          <w:sz w:val="22"/>
          <w:szCs w:val="22"/>
        </w:rPr>
        <w:t>Luego, el proyecto respecto del cual se solicita aprobación de remuneración, al ser fotovoltaico, constituye asunto de utilidad pública, interés social y conveniencia nacional y local.</w:t>
      </w:r>
    </w:p>
    <w:p w14:paraId="650BF0C7" w14:textId="77777777" w:rsidR="00C65126" w:rsidRPr="00F65E88" w:rsidRDefault="00C65126" w:rsidP="007D1CC2">
      <w:pPr>
        <w:ind w:left="426"/>
        <w:contextualSpacing/>
        <w:jc w:val="both"/>
        <w:rPr>
          <w:rFonts w:ascii="Bookman Old Style" w:hAnsi="Bookman Old Style" w:cs="Arial"/>
          <w:i/>
          <w:iCs/>
          <w:sz w:val="22"/>
          <w:szCs w:val="22"/>
        </w:rPr>
      </w:pPr>
    </w:p>
    <w:p w14:paraId="0DDF8FF5" w14:textId="7C124C74" w:rsidR="00C65126" w:rsidRPr="00F65E88" w:rsidRDefault="00C65126" w:rsidP="007D1CC2">
      <w:pPr>
        <w:ind w:left="426"/>
        <w:contextualSpacing/>
        <w:jc w:val="both"/>
        <w:rPr>
          <w:rFonts w:ascii="Bookman Old Style" w:hAnsi="Bookman Old Style" w:cs="Arial"/>
          <w:b/>
          <w:bCs/>
          <w:i/>
          <w:iCs/>
          <w:sz w:val="22"/>
          <w:szCs w:val="22"/>
        </w:rPr>
      </w:pPr>
      <w:r w:rsidRPr="00F65E88">
        <w:rPr>
          <w:rFonts w:ascii="Bookman Old Style" w:hAnsi="Bookman Old Style" w:cs="Arial"/>
          <w:b/>
          <w:bCs/>
          <w:i/>
          <w:iCs/>
          <w:sz w:val="22"/>
          <w:szCs w:val="22"/>
        </w:rPr>
        <w:t>B. Incentivos para reemplazar diésel.</w:t>
      </w:r>
    </w:p>
    <w:p w14:paraId="0AEB1981" w14:textId="77777777" w:rsidR="00C65126" w:rsidRPr="00F65E88" w:rsidRDefault="00C65126" w:rsidP="007D1CC2">
      <w:pPr>
        <w:ind w:left="426"/>
        <w:contextualSpacing/>
        <w:jc w:val="both"/>
        <w:rPr>
          <w:rFonts w:ascii="Bookman Old Style" w:hAnsi="Bookman Old Style" w:cs="Arial"/>
          <w:i/>
          <w:iCs/>
          <w:sz w:val="22"/>
          <w:szCs w:val="22"/>
        </w:rPr>
      </w:pPr>
    </w:p>
    <w:p w14:paraId="54A26EA3" w14:textId="764D3AFB" w:rsidR="00C65126" w:rsidRPr="00F65E88" w:rsidRDefault="00C65126" w:rsidP="007D1CC2">
      <w:pPr>
        <w:ind w:left="426"/>
        <w:contextualSpacing/>
        <w:jc w:val="both"/>
        <w:rPr>
          <w:rFonts w:ascii="Bookman Old Style" w:hAnsi="Bookman Old Style" w:cs="Arial"/>
          <w:i/>
          <w:iCs/>
          <w:sz w:val="22"/>
          <w:szCs w:val="22"/>
        </w:rPr>
      </w:pPr>
      <w:r w:rsidRPr="00F65E88">
        <w:rPr>
          <w:rFonts w:ascii="Bookman Old Style" w:hAnsi="Bookman Old Style" w:cs="Arial"/>
          <w:i/>
          <w:iCs/>
          <w:sz w:val="22"/>
          <w:szCs w:val="22"/>
        </w:rPr>
        <w:t xml:space="preserve">Por su parte, el artículo 9o </w:t>
      </w:r>
      <w:r w:rsidR="00A125DE" w:rsidRPr="00F65E88">
        <w:rPr>
          <w:rFonts w:ascii="Bookman Old Style" w:hAnsi="Bookman Old Style" w:cs="Arial"/>
          <w:i/>
          <w:iCs/>
          <w:sz w:val="22"/>
          <w:szCs w:val="22"/>
        </w:rPr>
        <w:t>ibídem</w:t>
      </w:r>
      <w:r w:rsidRPr="00F65E88">
        <w:rPr>
          <w:rFonts w:ascii="Bookman Old Style" w:hAnsi="Bookman Old Style" w:cs="Arial"/>
          <w:i/>
          <w:iCs/>
          <w:sz w:val="22"/>
          <w:szCs w:val="22"/>
        </w:rPr>
        <w:t xml:space="preserve"> en tratándose de proyectos ubicados en las llamadas Zonas No Interconectadas indica que “...El Gobierno Nacional implementará un programa destinado a sustituir progresivamente la generación con diésel en las ZNI con el objetivo de reducir los costos de prestación del servicio y las emisiones de gases contaminantes, para lo cual implementará las siguientes acciones: (...) b) Esquema de incentivos a los prestadores del servicio de energía eléctrica en Zonas no Interconectadas: El Ministerio de Minas y Energía implementará esquemas de incentivos para que los prestadores del servicio de energía eléctrica en las ZNI reemplacen parcial o totalmente su generación con diésel por FNCE. Estos </w:t>
      </w:r>
      <w:r w:rsidR="59D41303" w:rsidRPr="00F65E88">
        <w:rPr>
          <w:rFonts w:ascii="Bookman Old Style" w:hAnsi="Bookman Old Style" w:cs="Arial"/>
          <w:i/>
          <w:iCs/>
          <w:sz w:val="22"/>
          <w:szCs w:val="22"/>
        </w:rPr>
        <w:t>incentivos</w:t>
      </w:r>
      <w:r w:rsidRPr="00F65E88">
        <w:rPr>
          <w:rFonts w:ascii="Bookman Old Style" w:hAnsi="Bookman Old Style" w:cs="Arial"/>
          <w:i/>
          <w:iCs/>
          <w:sz w:val="22"/>
          <w:szCs w:val="22"/>
        </w:rPr>
        <w:t xml:space="preserve"> deberán cumplir con evaluaciones costo beneficio resultantes de la comparación del costo de los incentivos con los ahorros producidos por la diferencia de costos entre la generación can FNCE en lugar del diésel...”(cursiva y subraya fuera de texto original)</w:t>
      </w:r>
    </w:p>
    <w:p w14:paraId="0054B72A" w14:textId="77777777" w:rsidR="00C65126" w:rsidRPr="00F65E88" w:rsidRDefault="00C65126" w:rsidP="007D1CC2">
      <w:pPr>
        <w:ind w:left="426"/>
        <w:contextualSpacing/>
        <w:jc w:val="both"/>
        <w:rPr>
          <w:rFonts w:ascii="Bookman Old Style" w:hAnsi="Bookman Old Style" w:cs="Arial"/>
          <w:i/>
          <w:iCs/>
          <w:sz w:val="22"/>
          <w:szCs w:val="22"/>
        </w:rPr>
      </w:pPr>
    </w:p>
    <w:p w14:paraId="767B4BBD" w14:textId="4D036D25" w:rsidR="00C65126" w:rsidRDefault="00C65126" w:rsidP="007D1CC2">
      <w:pPr>
        <w:ind w:left="426"/>
        <w:contextualSpacing/>
        <w:jc w:val="both"/>
        <w:rPr>
          <w:rFonts w:ascii="Bookman Old Style" w:hAnsi="Bookman Old Style" w:cs="Arial"/>
          <w:i/>
          <w:iCs/>
          <w:sz w:val="22"/>
          <w:szCs w:val="22"/>
        </w:rPr>
      </w:pPr>
      <w:r w:rsidRPr="00F65E88">
        <w:rPr>
          <w:rFonts w:ascii="Bookman Old Style" w:hAnsi="Bookman Old Style" w:cs="Arial"/>
          <w:i/>
          <w:iCs/>
          <w:sz w:val="22"/>
          <w:szCs w:val="22"/>
        </w:rPr>
        <w:t>Conforme lo expuesto, el desarrollo de proyectos de energía solar en Zonas No Fotovoltaicas, permite el cumplimiento del objetivo fijado para el Gobierno Nacional, en cuanto a la sustitución de la generación con combustibles líquidos derivados del petróleo, a la vez que reduce la huella de carbono y la cantidad de emisiones, en un porcentaje inversamente proporcional al de la capacidad de generación que se instale a base de FNCER.</w:t>
      </w:r>
    </w:p>
    <w:p w14:paraId="59B48438" w14:textId="77777777" w:rsidR="00746E6C" w:rsidRPr="00F65E88" w:rsidRDefault="00746E6C" w:rsidP="007D1CC2">
      <w:pPr>
        <w:ind w:left="426"/>
        <w:contextualSpacing/>
        <w:jc w:val="both"/>
        <w:rPr>
          <w:rFonts w:ascii="Bookman Old Style" w:hAnsi="Bookman Old Style" w:cs="Arial"/>
          <w:i/>
          <w:iCs/>
          <w:sz w:val="22"/>
          <w:szCs w:val="22"/>
        </w:rPr>
      </w:pPr>
    </w:p>
    <w:p w14:paraId="73157A68" w14:textId="5CB13F22" w:rsidR="00C65126" w:rsidRPr="00746E6C" w:rsidRDefault="00746E6C" w:rsidP="007D1CC2">
      <w:pPr>
        <w:ind w:left="426" w:firstLine="567"/>
        <w:contextualSpacing/>
        <w:jc w:val="both"/>
        <w:rPr>
          <w:rFonts w:ascii="Bookman Old Style" w:hAnsi="Bookman Old Style" w:cs="Arial"/>
          <w:b/>
          <w:bCs/>
          <w:i/>
          <w:iCs/>
          <w:sz w:val="22"/>
          <w:szCs w:val="22"/>
        </w:rPr>
      </w:pPr>
      <w:r>
        <w:rPr>
          <w:rFonts w:ascii="Bookman Old Style" w:hAnsi="Bookman Old Style" w:cs="Arial"/>
          <w:b/>
          <w:bCs/>
          <w:i/>
          <w:iCs/>
          <w:sz w:val="22"/>
          <w:szCs w:val="22"/>
        </w:rPr>
        <w:t xml:space="preserve">C. </w:t>
      </w:r>
      <w:r w:rsidR="00C65126" w:rsidRPr="00746E6C">
        <w:rPr>
          <w:rFonts w:ascii="Bookman Old Style" w:hAnsi="Bookman Old Style" w:cs="Arial"/>
          <w:b/>
          <w:bCs/>
          <w:i/>
          <w:iCs/>
          <w:sz w:val="22"/>
          <w:szCs w:val="22"/>
        </w:rPr>
        <w:t>Desarrollo Energía Solar por CREG.</w:t>
      </w:r>
    </w:p>
    <w:p w14:paraId="0C60C161" w14:textId="77777777" w:rsidR="00C65126" w:rsidRPr="00F65E88" w:rsidRDefault="00C65126" w:rsidP="007D1CC2">
      <w:pPr>
        <w:ind w:left="426"/>
        <w:contextualSpacing/>
        <w:jc w:val="both"/>
        <w:rPr>
          <w:rFonts w:ascii="Bookman Old Style" w:hAnsi="Bookman Old Style" w:cs="Arial"/>
          <w:i/>
          <w:iCs/>
          <w:sz w:val="22"/>
          <w:szCs w:val="22"/>
        </w:rPr>
      </w:pPr>
    </w:p>
    <w:p w14:paraId="7EF80712" w14:textId="6479DD77" w:rsidR="00C65126" w:rsidRPr="00F65E88" w:rsidRDefault="00C65126" w:rsidP="007D1CC2">
      <w:pPr>
        <w:ind w:left="426"/>
        <w:contextualSpacing/>
        <w:jc w:val="both"/>
        <w:rPr>
          <w:rFonts w:ascii="Bookman Old Style" w:hAnsi="Bookman Old Style" w:cs="Arial"/>
          <w:i/>
          <w:iCs/>
          <w:sz w:val="22"/>
          <w:szCs w:val="22"/>
        </w:rPr>
      </w:pPr>
      <w:r w:rsidRPr="00F65E88">
        <w:rPr>
          <w:rFonts w:ascii="Bookman Old Style" w:hAnsi="Bookman Old Style" w:cs="Arial"/>
          <w:i/>
          <w:iCs/>
          <w:sz w:val="22"/>
          <w:szCs w:val="22"/>
        </w:rPr>
        <w:t>Adicionalmente, el artículo 19 de la misma Ley dispone que “...La energía solar se considerará como FNCR. Se deberá estudiar y analizar las condiciones propias, de la naturaleza de la fuente para su reglamentación técnica por parte de la CREG...”</w:t>
      </w:r>
    </w:p>
    <w:p w14:paraId="46566A8D" w14:textId="77777777" w:rsidR="00C65126" w:rsidRPr="00F65E88" w:rsidRDefault="00C65126" w:rsidP="007D1CC2">
      <w:pPr>
        <w:ind w:left="426"/>
        <w:contextualSpacing/>
        <w:jc w:val="both"/>
        <w:rPr>
          <w:rFonts w:ascii="Bookman Old Style" w:hAnsi="Bookman Old Style" w:cs="Arial"/>
          <w:i/>
          <w:iCs/>
          <w:sz w:val="22"/>
          <w:szCs w:val="22"/>
        </w:rPr>
      </w:pPr>
    </w:p>
    <w:p w14:paraId="4ADE1798" w14:textId="323214D8" w:rsidR="00C65126" w:rsidRPr="00F65E88" w:rsidRDefault="00C65126" w:rsidP="007D1CC2">
      <w:pPr>
        <w:ind w:left="426"/>
        <w:contextualSpacing/>
        <w:jc w:val="both"/>
        <w:rPr>
          <w:rFonts w:ascii="Bookman Old Style" w:hAnsi="Bookman Old Style" w:cs="Arial"/>
          <w:i/>
          <w:iCs/>
          <w:sz w:val="22"/>
          <w:szCs w:val="22"/>
        </w:rPr>
      </w:pPr>
      <w:r w:rsidRPr="00F65E88">
        <w:rPr>
          <w:rFonts w:ascii="Bookman Old Style" w:hAnsi="Bookman Old Style" w:cs="Arial"/>
          <w:i/>
          <w:iCs/>
          <w:sz w:val="22"/>
          <w:szCs w:val="22"/>
        </w:rPr>
        <w:t>Con lo que queda claro, en asocio con las funciones de que ha sido investida la CREG por las Leyes 142 y 143 de 1994, que es a la Comisión a quien se dirige este escrito a quien corresponde reglamentar y regular, incluso tarifariamente, una fuente de generación de la importancia nacional de la fotovoltaica.</w:t>
      </w:r>
    </w:p>
    <w:p w14:paraId="1C4371D1" w14:textId="77777777" w:rsidR="00C65126" w:rsidRPr="00F65E88" w:rsidRDefault="00C65126" w:rsidP="007D1CC2">
      <w:pPr>
        <w:ind w:left="426"/>
        <w:contextualSpacing/>
        <w:jc w:val="both"/>
        <w:rPr>
          <w:rFonts w:ascii="Bookman Old Style" w:hAnsi="Bookman Old Style" w:cs="Arial"/>
          <w:i/>
          <w:iCs/>
          <w:sz w:val="22"/>
          <w:szCs w:val="22"/>
        </w:rPr>
      </w:pPr>
    </w:p>
    <w:p w14:paraId="453C0DF7" w14:textId="7C427305" w:rsidR="00C65126" w:rsidRPr="00F65E88" w:rsidRDefault="00C65126" w:rsidP="007D1CC2">
      <w:pPr>
        <w:ind w:left="426"/>
        <w:contextualSpacing/>
        <w:jc w:val="both"/>
        <w:rPr>
          <w:rFonts w:ascii="Bookman Old Style" w:hAnsi="Bookman Old Style" w:cs="Arial"/>
          <w:b/>
          <w:bCs/>
          <w:i/>
          <w:iCs/>
          <w:sz w:val="22"/>
          <w:szCs w:val="22"/>
        </w:rPr>
      </w:pPr>
      <w:r w:rsidRPr="00F65E88">
        <w:rPr>
          <w:rFonts w:ascii="Bookman Old Style" w:hAnsi="Bookman Old Style" w:cs="Arial"/>
          <w:b/>
          <w:bCs/>
          <w:i/>
          <w:iCs/>
          <w:sz w:val="22"/>
          <w:szCs w:val="22"/>
        </w:rPr>
        <w:t>D. Promoción de soluciones híbridas.</w:t>
      </w:r>
    </w:p>
    <w:p w14:paraId="2BF09E37" w14:textId="0D434D0F" w:rsidR="00C65126" w:rsidRPr="00F65E88" w:rsidRDefault="00C65126" w:rsidP="007D1CC2">
      <w:pPr>
        <w:ind w:left="426"/>
        <w:contextualSpacing/>
        <w:jc w:val="both"/>
        <w:rPr>
          <w:rFonts w:ascii="Bookman Old Style" w:hAnsi="Bookman Old Style" w:cs="Arial"/>
          <w:i/>
          <w:iCs/>
          <w:sz w:val="22"/>
          <w:szCs w:val="22"/>
        </w:rPr>
      </w:pPr>
    </w:p>
    <w:p w14:paraId="6A403122" w14:textId="661A775A" w:rsidR="00C65126" w:rsidRPr="00F65E88" w:rsidRDefault="00C65126" w:rsidP="007D1CC2">
      <w:pPr>
        <w:ind w:left="426"/>
        <w:contextualSpacing/>
        <w:jc w:val="both"/>
        <w:rPr>
          <w:rFonts w:ascii="Bookman Old Style" w:hAnsi="Bookman Old Style" w:cs="Arial"/>
          <w:i/>
          <w:iCs/>
          <w:sz w:val="22"/>
          <w:szCs w:val="22"/>
        </w:rPr>
      </w:pPr>
      <w:r w:rsidRPr="00F65E88">
        <w:rPr>
          <w:rFonts w:ascii="Bookman Old Style" w:hAnsi="Bookman Old Style" w:cs="Arial"/>
          <w:i/>
          <w:iCs/>
          <w:sz w:val="22"/>
          <w:szCs w:val="22"/>
        </w:rPr>
        <w:t>Finalmente, el artículo 34 de la Ley 1715 señala que “...El Ministerio de Minas y Energía promoverá el desarrollo de soluciones hibridas que combinen fuentes locales de generación eléctrica con fuentes diésel y minimicen e! tiempo de funcionamiento de los equipos diésel en coherencia con la política de horas de prestación del servicio de energía para las ZNI...” (cursiva y subraya fuera de texto original)</w:t>
      </w:r>
    </w:p>
    <w:p w14:paraId="227A7D8B" w14:textId="77777777" w:rsidR="003E6138" w:rsidRPr="00F65E88" w:rsidRDefault="003E6138" w:rsidP="007D1CC2">
      <w:pPr>
        <w:ind w:left="426"/>
        <w:contextualSpacing/>
        <w:jc w:val="both"/>
        <w:rPr>
          <w:rFonts w:ascii="Bookman Old Style" w:hAnsi="Bookman Old Style" w:cs="Arial"/>
          <w:i/>
          <w:iCs/>
          <w:sz w:val="22"/>
          <w:szCs w:val="22"/>
        </w:rPr>
      </w:pPr>
    </w:p>
    <w:p w14:paraId="556239E7" w14:textId="0C874A80" w:rsidR="004E5E63" w:rsidRDefault="00C65126" w:rsidP="007D1CC2">
      <w:pPr>
        <w:ind w:left="426"/>
        <w:contextualSpacing/>
        <w:jc w:val="both"/>
        <w:rPr>
          <w:rFonts w:ascii="Bookman Old Style" w:hAnsi="Bookman Old Style" w:cs="Arial"/>
          <w:i/>
          <w:iCs/>
          <w:sz w:val="22"/>
          <w:szCs w:val="22"/>
        </w:rPr>
      </w:pPr>
      <w:r w:rsidRPr="00F65E88">
        <w:rPr>
          <w:rFonts w:ascii="Bookman Old Style" w:hAnsi="Bookman Old Style" w:cs="Arial"/>
          <w:i/>
          <w:iCs/>
          <w:sz w:val="22"/>
          <w:szCs w:val="22"/>
        </w:rPr>
        <w:t>Objetivo que se cumple en este caso, en donde el desarrollo del proyecto de generación centralizado denominado Granja Solar II, con acumulación de energía,</w:t>
      </w:r>
      <w:r w:rsidR="003E6138" w:rsidRPr="00F65E88">
        <w:rPr>
          <w:rFonts w:ascii="Bookman Old Style" w:hAnsi="Bookman Old Style" w:cs="Arial"/>
          <w:i/>
          <w:iCs/>
          <w:sz w:val="22"/>
          <w:szCs w:val="22"/>
        </w:rPr>
        <w:t xml:space="preserve"> </w:t>
      </w:r>
      <w:r w:rsidRPr="00F65E88">
        <w:rPr>
          <w:rFonts w:ascii="Bookman Old Style" w:hAnsi="Bookman Old Style" w:cs="Arial"/>
          <w:i/>
          <w:iCs/>
          <w:sz w:val="22"/>
          <w:szCs w:val="22"/>
        </w:rPr>
        <w:t>interconectado a la red de distribución del municipio de Inírida, con una capacidad instalada de 12.2 MWp y un almacenamiento de 33.3 MWh, permitirá en conjunto con el uso de las plantas de generación térmica existentes en el municipio, atender la demanda de energía de una zona que, dadas sus condiciones geográficas, aún no ha podido completar en forma exitosa un proceso de interconexión.</w:t>
      </w:r>
      <w:r w:rsidR="003E6138" w:rsidRPr="001F5C6D">
        <w:rPr>
          <w:rFonts w:ascii="Bookman Old Style" w:hAnsi="Bookman Old Style" w:cs="Arial"/>
          <w:i/>
          <w:iCs/>
          <w:sz w:val="22"/>
          <w:szCs w:val="22"/>
        </w:rPr>
        <w:t>”</w:t>
      </w:r>
    </w:p>
    <w:p w14:paraId="1D10C597" w14:textId="77777777" w:rsidR="0043495F" w:rsidRPr="0043495F" w:rsidRDefault="0043495F" w:rsidP="0043495F">
      <w:pPr>
        <w:ind w:left="284" w:right="142"/>
        <w:contextualSpacing/>
        <w:jc w:val="both"/>
        <w:rPr>
          <w:rFonts w:ascii="Bookman Old Style" w:hAnsi="Bookman Old Style" w:cs="Arial"/>
        </w:rPr>
      </w:pPr>
    </w:p>
    <w:p w14:paraId="5D7A82A6" w14:textId="432AED33" w:rsidR="001A74A7" w:rsidRPr="00AD369B" w:rsidRDefault="4E6369B0" w:rsidP="329DEA05">
      <w:pPr>
        <w:pStyle w:val="Prrafodelista"/>
        <w:numPr>
          <w:ilvl w:val="0"/>
          <w:numId w:val="8"/>
        </w:numPr>
        <w:ind w:right="142"/>
        <w:contextualSpacing/>
        <w:jc w:val="both"/>
        <w:rPr>
          <w:rFonts w:ascii="Bookman Old Style" w:eastAsia="Bookman Old Style" w:hAnsi="Bookman Old Style" w:cs="Bookman Old Style"/>
          <w:b/>
          <w:bCs/>
          <w:sz w:val="24"/>
          <w:szCs w:val="24"/>
        </w:rPr>
      </w:pPr>
      <w:r w:rsidRPr="329DEA05">
        <w:rPr>
          <w:rFonts w:ascii="Bookman Old Style" w:hAnsi="Bookman Old Style" w:cs="Arial"/>
          <w:b/>
          <w:bCs/>
          <w:sz w:val="24"/>
          <w:szCs w:val="24"/>
        </w:rPr>
        <w:t>EL</w:t>
      </w:r>
      <w:r w:rsidR="422070F5" w:rsidRPr="329DEA05">
        <w:rPr>
          <w:rFonts w:ascii="Bookman Old Style" w:hAnsi="Bookman Old Style" w:cs="Arial"/>
          <w:b/>
          <w:bCs/>
          <w:sz w:val="24"/>
          <w:szCs w:val="24"/>
        </w:rPr>
        <w:t xml:space="preserve"> </w:t>
      </w:r>
      <w:r w:rsidRPr="329DEA05">
        <w:rPr>
          <w:rFonts w:ascii="Bookman Old Style" w:hAnsi="Bookman Old Style" w:cs="Arial"/>
          <w:b/>
          <w:bCs/>
          <w:sz w:val="24"/>
          <w:szCs w:val="24"/>
        </w:rPr>
        <w:t>TRÁMITE ADELANTADO</w:t>
      </w:r>
    </w:p>
    <w:p w14:paraId="3FF2FDCF" w14:textId="77777777" w:rsidR="00D127D0" w:rsidRPr="0043495F" w:rsidRDefault="00D127D0" w:rsidP="329DEA05">
      <w:pPr>
        <w:ind w:left="284" w:right="142"/>
        <w:contextualSpacing/>
        <w:jc w:val="both"/>
        <w:rPr>
          <w:rFonts w:ascii="Bookman Old Style" w:hAnsi="Bookman Old Style" w:cs="Arial"/>
        </w:rPr>
      </w:pPr>
    </w:p>
    <w:p w14:paraId="48DBE4EB" w14:textId="6077BBC7" w:rsidR="003E6138" w:rsidRDefault="00E30E34" w:rsidP="003E6138">
      <w:pPr>
        <w:widowControl w:val="0"/>
        <w:ind w:left="284" w:right="51"/>
        <w:contextualSpacing/>
        <w:jc w:val="both"/>
        <w:rPr>
          <w:rFonts w:ascii="Bookman Old Style" w:eastAsia="Calibri" w:hAnsi="Bookman Old Style" w:cs="Arial"/>
          <w:lang w:eastAsia="en-US"/>
        </w:rPr>
      </w:pPr>
      <w:r>
        <w:rPr>
          <w:rFonts w:ascii="Bookman Old Style" w:eastAsia="Calibri" w:hAnsi="Bookman Old Style" w:cs="Arial"/>
          <w:lang w:eastAsia="en-US"/>
        </w:rPr>
        <w:t xml:space="preserve">En atención a la solicitud presentada por GENSA </w:t>
      </w:r>
      <w:r w:rsidR="0062386B">
        <w:rPr>
          <w:rFonts w:ascii="Bookman Old Style" w:eastAsia="Calibri" w:hAnsi="Bookman Old Style" w:cs="Arial"/>
          <w:lang w:eastAsia="en-US"/>
        </w:rPr>
        <w:t xml:space="preserve">mediante </w:t>
      </w:r>
      <w:r w:rsidR="0062386B" w:rsidRPr="0062386B">
        <w:rPr>
          <w:rFonts w:ascii="Bookman Old Style" w:eastAsia="Calibri" w:hAnsi="Bookman Old Style" w:cs="Arial"/>
          <w:lang w:eastAsia="en-US"/>
        </w:rPr>
        <w:t>comunicación con número de radicado CREG E-2021-003557</w:t>
      </w:r>
      <w:r w:rsidR="003E6138" w:rsidRPr="003E6138">
        <w:rPr>
          <w:rFonts w:ascii="Bookman Old Style" w:eastAsia="Calibri" w:hAnsi="Bookman Old Style" w:cs="Arial"/>
          <w:lang w:eastAsia="en-US"/>
        </w:rPr>
        <w:t>, esta Comisión</w:t>
      </w:r>
      <w:r w:rsidR="007D1CC2">
        <w:rPr>
          <w:rFonts w:ascii="Bookman Old Style" w:eastAsia="Calibri" w:hAnsi="Bookman Old Style" w:cs="Arial"/>
          <w:lang w:eastAsia="en-US"/>
        </w:rPr>
        <w:t>,</w:t>
      </w:r>
      <w:r w:rsidR="003E6138" w:rsidRPr="003E6138">
        <w:rPr>
          <w:rFonts w:ascii="Bookman Old Style" w:eastAsia="Calibri" w:hAnsi="Bookman Old Style" w:cs="Arial"/>
          <w:lang w:eastAsia="en-US"/>
        </w:rPr>
        <w:t xml:space="preserve"> </w:t>
      </w:r>
      <w:r w:rsidR="0062386B">
        <w:rPr>
          <w:rFonts w:ascii="Bookman Old Style" w:eastAsia="Calibri" w:hAnsi="Bookman Old Style" w:cs="Arial"/>
          <w:lang w:eastAsia="en-US"/>
        </w:rPr>
        <w:t>m</w:t>
      </w:r>
      <w:r w:rsidR="0062386B" w:rsidRPr="003E6138">
        <w:rPr>
          <w:rFonts w:ascii="Bookman Old Style" w:eastAsia="Calibri" w:hAnsi="Bookman Old Style" w:cs="Arial"/>
          <w:lang w:eastAsia="en-US"/>
        </w:rPr>
        <w:t xml:space="preserve">ediante </w:t>
      </w:r>
      <w:r w:rsidR="0062386B">
        <w:rPr>
          <w:rFonts w:ascii="Bookman Old Style" w:eastAsia="Calibri" w:hAnsi="Bookman Old Style" w:cs="Arial"/>
          <w:lang w:eastAsia="en-US"/>
        </w:rPr>
        <w:t xml:space="preserve">comunicación con </w:t>
      </w:r>
      <w:r w:rsidR="0062386B" w:rsidRPr="003E6138">
        <w:rPr>
          <w:rFonts w:ascii="Bookman Old Style" w:eastAsia="Calibri" w:hAnsi="Bookman Old Style" w:cs="Arial"/>
          <w:lang w:eastAsia="en-US"/>
        </w:rPr>
        <w:t>radicado CREG S-2021-001903 del 5 de mayo de 2021</w:t>
      </w:r>
      <w:r w:rsidR="007D1CC2">
        <w:rPr>
          <w:rFonts w:ascii="Bookman Old Style" w:eastAsia="Calibri" w:hAnsi="Bookman Old Style" w:cs="Arial"/>
          <w:lang w:eastAsia="en-US"/>
        </w:rPr>
        <w:t xml:space="preserve">, </w:t>
      </w:r>
      <w:r w:rsidR="003E6138" w:rsidRPr="003E6138">
        <w:rPr>
          <w:rFonts w:ascii="Bookman Old Style" w:eastAsia="Calibri" w:hAnsi="Bookman Old Style" w:cs="Arial"/>
          <w:lang w:eastAsia="en-US"/>
        </w:rPr>
        <w:t xml:space="preserve">solicitó información relacionada con el proyecto solar centralizado denominado Granja Solar II, presentado por </w:t>
      </w:r>
      <w:r w:rsidR="0B37837F" w:rsidRPr="73EE3382">
        <w:rPr>
          <w:rFonts w:ascii="Bookman Old Style" w:hAnsi="Bookman Old Style"/>
        </w:rPr>
        <w:t>GENSA</w:t>
      </w:r>
      <w:r w:rsidR="00D2279B" w:rsidRPr="73EE3382">
        <w:rPr>
          <w:rFonts w:ascii="Bookman Old Style" w:eastAsia="Calibri" w:hAnsi="Bookman Old Style" w:cs="Arial"/>
          <w:lang w:eastAsia="en-US"/>
        </w:rPr>
        <w:t>,</w:t>
      </w:r>
      <w:r w:rsidR="00D2279B">
        <w:rPr>
          <w:rFonts w:ascii="Bookman Old Style" w:eastAsia="Calibri" w:hAnsi="Bookman Old Style" w:cs="Arial"/>
          <w:lang w:eastAsia="en-US"/>
        </w:rPr>
        <w:t xml:space="preserve"> mediante radicado CREG-2021-003557 del 24 de marzo de 2021.</w:t>
      </w:r>
    </w:p>
    <w:p w14:paraId="3B139F8D" w14:textId="7ADCC3C1" w:rsidR="00322C10" w:rsidRDefault="00322C10" w:rsidP="003E6138">
      <w:pPr>
        <w:widowControl w:val="0"/>
        <w:ind w:left="284" w:right="51"/>
        <w:contextualSpacing/>
        <w:jc w:val="both"/>
        <w:rPr>
          <w:rFonts w:ascii="Bookman Old Style" w:eastAsia="Calibri" w:hAnsi="Bookman Old Style" w:cs="Arial"/>
          <w:lang w:eastAsia="en-US"/>
        </w:rPr>
      </w:pPr>
    </w:p>
    <w:p w14:paraId="12B9729B" w14:textId="4EAFF2C3" w:rsidR="00D2279B" w:rsidRDefault="00715B7F" w:rsidP="00CF25F2">
      <w:pPr>
        <w:pStyle w:val="Style2"/>
        <w:shd w:val="clear" w:color="auto" w:fill="auto"/>
        <w:spacing w:before="0" w:line="240" w:lineRule="auto"/>
        <w:ind w:left="284" w:right="51" w:firstLine="0"/>
        <w:jc w:val="both"/>
        <w:rPr>
          <w:rFonts w:ascii="Bookman Old Style" w:hAnsi="Bookman Old Style"/>
          <w:sz w:val="24"/>
          <w:szCs w:val="24"/>
        </w:rPr>
      </w:pPr>
      <w:r w:rsidRPr="004B2B06">
        <w:rPr>
          <w:rFonts w:ascii="Bookman Old Style" w:hAnsi="Bookman Old Style"/>
          <w:sz w:val="24"/>
          <w:szCs w:val="24"/>
        </w:rPr>
        <w:t xml:space="preserve">La </w:t>
      </w:r>
      <w:r>
        <w:rPr>
          <w:rFonts w:ascii="Bookman Old Style" w:hAnsi="Bookman Old Style"/>
          <w:sz w:val="24"/>
          <w:szCs w:val="24"/>
        </w:rPr>
        <w:t xml:space="preserve">solicitud de aclaración y ampliación de información a la empresa fue en relación a: 1) </w:t>
      </w:r>
      <w:r w:rsidRPr="00727040">
        <w:rPr>
          <w:rFonts w:ascii="Bookman Old Style" w:hAnsi="Bookman Old Style"/>
          <w:sz w:val="24"/>
          <w:szCs w:val="24"/>
        </w:rPr>
        <w:t>información relacionada con el presupuesto</w:t>
      </w:r>
      <w:r w:rsidR="007D1CC2">
        <w:rPr>
          <w:rFonts w:ascii="Bookman Old Style" w:hAnsi="Bookman Old Style"/>
          <w:sz w:val="24"/>
          <w:szCs w:val="24"/>
        </w:rPr>
        <w:t>,</w:t>
      </w:r>
      <w:r>
        <w:rPr>
          <w:rFonts w:ascii="Bookman Old Style" w:hAnsi="Bookman Old Style"/>
          <w:sz w:val="24"/>
          <w:szCs w:val="24"/>
        </w:rPr>
        <w:t xml:space="preserve"> detalle y soportes correspondientes de costos de inversión</w:t>
      </w:r>
      <w:r w:rsidR="007D1CC2">
        <w:rPr>
          <w:rFonts w:ascii="Bookman Old Style" w:hAnsi="Bookman Old Style"/>
          <w:sz w:val="24"/>
          <w:szCs w:val="24"/>
        </w:rPr>
        <w:t>,</w:t>
      </w:r>
      <w:r>
        <w:rPr>
          <w:rFonts w:ascii="Bookman Old Style" w:hAnsi="Bookman Old Style"/>
          <w:sz w:val="24"/>
          <w:szCs w:val="24"/>
        </w:rPr>
        <w:t xml:space="preserve"> tanto de equipos como obras relacionadas y costos indirectos</w:t>
      </w:r>
      <w:r w:rsidR="00795B6A">
        <w:rPr>
          <w:rFonts w:ascii="Bookman Old Style" w:hAnsi="Bookman Old Style"/>
          <w:sz w:val="24"/>
          <w:szCs w:val="24"/>
        </w:rPr>
        <w:t>;</w:t>
      </w:r>
      <w:r>
        <w:rPr>
          <w:rFonts w:ascii="Bookman Old Style" w:hAnsi="Bookman Old Style"/>
          <w:sz w:val="24"/>
          <w:szCs w:val="24"/>
        </w:rPr>
        <w:t xml:space="preserve"> </w:t>
      </w:r>
      <w:r w:rsidR="00770316">
        <w:rPr>
          <w:rFonts w:ascii="Bookman Old Style" w:hAnsi="Bookman Old Style"/>
          <w:sz w:val="24"/>
          <w:szCs w:val="24"/>
        </w:rPr>
        <w:t>2</w:t>
      </w:r>
      <w:r>
        <w:rPr>
          <w:rFonts w:ascii="Bookman Old Style" w:hAnsi="Bookman Old Style"/>
          <w:sz w:val="24"/>
          <w:szCs w:val="24"/>
        </w:rPr>
        <w:t xml:space="preserve">) </w:t>
      </w:r>
      <w:r w:rsidRPr="00727040">
        <w:rPr>
          <w:rFonts w:ascii="Bookman Old Style" w:hAnsi="Bookman Old Style"/>
          <w:sz w:val="24"/>
          <w:szCs w:val="24"/>
        </w:rPr>
        <w:t>gastos de administración, operación y mantenimiento</w:t>
      </w:r>
      <w:r w:rsidR="007D1CC2">
        <w:rPr>
          <w:rFonts w:ascii="Bookman Old Style" w:hAnsi="Bookman Old Style"/>
          <w:sz w:val="24"/>
          <w:szCs w:val="24"/>
        </w:rPr>
        <w:t>,</w:t>
      </w:r>
      <w:r>
        <w:rPr>
          <w:rFonts w:ascii="Bookman Old Style" w:hAnsi="Bookman Old Style"/>
          <w:sz w:val="24"/>
          <w:szCs w:val="24"/>
        </w:rPr>
        <w:t xml:space="preserve"> soporte de los siguientes ítems: mantenimiento preventivo de paneles, inversores y sistemas eléctricos en general, mantenimiento correctivo con termografía infrarroja , servicios externos, costos ambientales</w:t>
      </w:r>
      <w:r w:rsidR="00795B6A">
        <w:rPr>
          <w:rFonts w:ascii="Bookman Old Style" w:hAnsi="Bookman Old Style"/>
          <w:sz w:val="24"/>
          <w:szCs w:val="24"/>
        </w:rPr>
        <w:t xml:space="preserve">; 3) Actualización </w:t>
      </w:r>
      <w:r w:rsidR="00795B6A" w:rsidRPr="00795B6A">
        <w:rPr>
          <w:rFonts w:ascii="Bookman Old Style" w:hAnsi="Bookman Old Style"/>
          <w:sz w:val="24"/>
          <w:szCs w:val="24"/>
        </w:rPr>
        <w:t>del certificado de existencia y representación legal</w:t>
      </w:r>
      <w:r w:rsidR="00DE1462">
        <w:rPr>
          <w:rFonts w:ascii="Bookman Old Style" w:hAnsi="Bookman Old Style"/>
          <w:sz w:val="24"/>
          <w:szCs w:val="24"/>
        </w:rPr>
        <w:t xml:space="preserve">; 4) Diagrama unifilar; 5) </w:t>
      </w:r>
      <w:r w:rsidR="006C08F1" w:rsidRPr="006C08F1">
        <w:rPr>
          <w:rFonts w:ascii="Bookman Old Style" w:hAnsi="Bookman Old Style"/>
          <w:sz w:val="24"/>
          <w:szCs w:val="24"/>
        </w:rPr>
        <w:t>Demanda de energía del mercado relevante de comercialización</w:t>
      </w:r>
      <w:r w:rsidR="006C08F1">
        <w:rPr>
          <w:rFonts w:ascii="Bookman Old Style" w:hAnsi="Bookman Old Style"/>
          <w:sz w:val="24"/>
          <w:szCs w:val="24"/>
        </w:rPr>
        <w:t>; 6)</w:t>
      </w:r>
      <w:r w:rsidR="006C08F1" w:rsidRPr="006C08F1">
        <w:t xml:space="preserve"> </w:t>
      </w:r>
      <w:r w:rsidR="006C08F1" w:rsidRPr="006C08F1">
        <w:rPr>
          <w:rFonts w:ascii="Bookman Old Style" w:hAnsi="Bookman Old Style"/>
          <w:sz w:val="24"/>
          <w:szCs w:val="24"/>
        </w:rPr>
        <w:t>Generación por tipo de tecnología</w:t>
      </w:r>
      <w:r w:rsidR="006C08F1">
        <w:rPr>
          <w:rFonts w:ascii="Bookman Old Style" w:hAnsi="Bookman Old Style"/>
          <w:sz w:val="24"/>
          <w:szCs w:val="24"/>
        </w:rPr>
        <w:t>;</w:t>
      </w:r>
      <w:r w:rsidR="000C01AB">
        <w:rPr>
          <w:rFonts w:ascii="Bookman Old Style" w:hAnsi="Bookman Old Style"/>
          <w:sz w:val="24"/>
          <w:szCs w:val="24"/>
        </w:rPr>
        <w:t xml:space="preserve"> </w:t>
      </w:r>
      <w:r w:rsidR="006C08F1">
        <w:rPr>
          <w:rFonts w:ascii="Bookman Old Style" w:hAnsi="Bookman Old Style"/>
          <w:sz w:val="24"/>
          <w:szCs w:val="24"/>
        </w:rPr>
        <w:t>7)</w:t>
      </w:r>
      <w:r w:rsidR="000C01AB">
        <w:rPr>
          <w:rFonts w:ascii="Bookman Old Style" w:hAnsi="Bookman Old Style"/>
          <w:sz w:val="24"/>
          <w:szCs w:val="24"/>
        </w:rPr>
        <w:t xml:space="preserve"> </w:t>
      </w:r>
      <w:r w:rsidR="000C01AB" w:rsidRPr="000C01AB">
        <w:rPr>
          <w:rFonts w:ascii="Bookman Old Style" w:hAnsi="Bookman Old Style"/>
          <w:sz w:val="24"/>
          <w:szCs w:val="24"/>
        </w:rPr>
        <w:t>Perfil de generación horaria del sistema de referencia</w:t>
      </w:r>
      <w:r w:rsidR="00CF25F2">
        <w:rPr>
          <w:rFonts w:ascii="Bookman Old Style" w:hAnsi="Bookman Old Style"/>
          <w:sz w:val="24"/>
          <w:szCs w:val="24"/>
        </w:rPr>
        <w:t xml:space="preserve">; y 8) </w:t>
      </w:r>
      <w:r w:rsidR="00CF25F2" w:rsidRPr="00CF25F2">
        <w:rPr>
          <w:rFonts w:ascii="Bookman Old Style" w:hAnsi="Bookman Old Style"/>
          <w:sz w:val="24"/>
          <w:szCs w:val="24"/>
        </w:rPr>
        <w:t>Perfil de carga y descarga horario del sistema de almacenamiento</w:t>
      </w:r>
      <w:r w:rsidR="00CF25F2">
        <w:rPr>
          <w:rFonts w:ascii="Bookman Old Style" w:hAnsi="Bookman Old Style"/>
          <w:sz w:val="24"/>
          <w:szCs w:val="24"/>
        </w:rPr>
        <w:t>.</w:t>
      </w:r>
    </w:p>
    <w:p w14:paraId="2A504372" w14:textId="77777777" w:rsidR="00CF25F2" w:rsidRPr="00CF25F2" w:rsidRDefault="00CF25F2" w:rsidP="00CF25F2">
      <w:pPr>
        <w:pStyle w:val="Style2"/>
        <w:shd w:val="clear" w:color="auto" w:fill="auto"/>
        <w:spacing w:before="0" w:line="240" w:lineRule="auto"/>
        <w:ind w:left="284" w:right="51" w:firstLine="0"/>
        <w:jc w:val="both"/>
        <w:rPr>
          <w:rFonts w:ascii="Bookman Old Style" w:hAnsi="Bookman Old Style"/>
          <w:sz w:val="24"/>
          <w:szCs w:val="24"/>
          <w:highlight w:val="lightGray"/>
          <w:lang w:val="es-CO"/>
        </w:rPr>
      </w:pPr>
    </w:p>
    <w:p w14:paraId="592FF730" w14:textId="7357D77A" w:rsidR="00D81F71" w:rsidRDefault="00D2279B" w:rsidP="00D81F71">
      <w:pPr>
        <w:pStyle w:val="Style2"/>
        <w:shd w:val="clear" w:color="auto" w:fill="auto"/>
        <w:spacing w:before="0" w:line="240" w:lineRule="auto"/>
        <w:ind w:left="284" w:right="51" w:firstLine="0"/>
        <w:jc w:val="both"/>
        <w:rPr>
          <w:rFonts w:ascii="Bookman Old Style" w:hAnsi="Bookman Old Style"/>
          <w:sz w:val="24"/>
          <w:szCs w:val="24"/>
        </w:rPr>
      </w:pPr>
      <w:r w:rsidRPr="004B2B06">
        <w:rPr>
          <w:rFonts w:ascii="Bookman Old Style" w:hAnsi="Bookman Old Style"/>
          <w:sz w:val="24"/>
          <w:szCs w:val="24"/>
        </w:rPr>
        <w:t xml:space="preserve">Mediante radicado </w:t>
      </w:r>
      <w:r w:rsidRPr="00A0381B">
        <w:rPr>
          <w:rFonts w:ascii="Bookman Old Style" w:hAnsi="Bookman Old Style"/>
          <w:sz w:val="24"/>
          <w:szCs w:val="24"/>
        </w:rPr>
        <w:t xml:space="preserve">CREG </w:t>
      </w:r>
      <w:r>
        <w:rPr>
          <w:rFonts w:ascii="Bookman Old Style" w:hAnsi="Bookman Old Style"/>
          <w:sz w:val="24"/>
          <w:szCs w:val="24"/>
        </w:rPr>
        <w:t>E-2021-006479 del 2 de junio de 2021</w:t>
      </w:r>
      <w:r w:rsidR="007D1CC2">
        <w:rPr>
          <w:rFonts w:ascii="Bookman Old Style" w:hAnsi="Bookman Old Style"/>
          <w:sz w:val="24"/>
          <w:szCs w:val="24"/>
        </w:rPr>
        <w:t>,</w:t>
      </w:r>
      <w:r w:rsidRPr="00D2279B">
        <w:rPr>
          <w:rFonts w:ascii="Bookman Old Style" w:eastAsia="Calibri" w:hAnsi="Bookman Old Style"/>
          <w:lang w:eastAsia="en-US"/>
        </w:rPr>
        <w:t xml:space="preserve"> </w:t>
      </w:r>
      <w:r w:rsidR="000A5A20">
        <w:rPr>
          <w:rFonts w:ascii="Bookman Old Style" w:hAnsi="Bookman Old Style"/>
          <w:sz w:val="24"/>
          <w:szCs w:val="24"/>
        </w:rPr>
        <w:t>GENSA</w:t>
      </w:r>
      <w:r w:rsidR="00ED13D6">
        <w:rPr>
          <w:rFonts w:ascii="Bookman Old Style" w:hAnsi="Bookman Old Style"/>
          <w:sz w:val="24"/>
          <w:szCs w:val="24"/>
        </w:rPr>
        <w:t xml:space="preserve"> atiende la solicitud de completitu</w:t>
      </w:r>
      <w:r w:rsidR="00CC4D5E">
        <w:rPr>
          <w:rFonts w:ascii="Bookman Old Style" w:hAnsi="Bookman Old Style"/>
          <w:sz w:val="24"/>
          <w:szCs w:val="24"/>
        </w:rPr>
        <w:t xml:space="preserve">d, </w:t>
      </w:r>
      <w:r w:rsidRPr="00727040">
        <w:rPr>
          <w:rFonts w:ascii="Bookman Old Style" w:hAnsi="Bookman Old Style"/>
          <w:sz w:val="24"/>
          <w:szCs w:val="24"/>
        </w:rPr>
        <w:t>aclaración y ampliación de la información</w:t>
      </w:r>
      <w:r w:rsidR="00CC4D5E">
        <w:rPr>
          <w:rFonts w:ascii="Bookman Old Style" w:hAnsi="Bookman Old Style"/>
          <w:sz w:val="24"/>
          <w:szCs w:val="24"/>
        </w:rPr>
        <w:t>.</w:t>
      </w:r>
    </w:p>
    <w:p w14:paraId="72FF97B4" w14:textId="77777777" w:rsidR="00D81F71" w:rsidRPr="00D81F71" w:rsidRDefault="00D81F71" w:rsidP="00D81F71">
      <w:pPr>
        <w:pStyle w:val="Style2"/>
        <w:shd w:val="clear" w:color="auto" w:fill="auto"/>
        <w:spacing w:before="0" w:line="240" w:lineRule="auto"/>
        <w:ind w:left="284" w:right="51" w:firstLine="0"/>
        <w:jc w:val="both"/>
        <w:rPr>
          <w:rFonts w:ascii="Bookman Old Style" w:hAnsi="Bookman Old Style"/>
          <w:sz w:val="24"/>
          <w:szCs w:val="24"/>
        </w:rPr>
      </w:pPr>
    </w:p>
    <w:p w14:paraId="2F2A9DE6" w14:textId="6EAE5A92" w:rsidR="003E6138" w:rsidRDefault="003E6138" w:rsidP="003E6138">
      <w:pPr>
        <w:widowControl w:val="0"/>
        <w:ind w:left="284" w:right="51"/>
        <w:contextualSpacing/>
        <w:jc w:val="both"/>
        <w:rPr>
          <w:rFonts w:ascii="Bookman Old Style" w:eastAsia="Calibri" w:hAnsi="Bookman Old Style" w:cs="Arial"/>
          <w:lang w:eastAsia="en-US"/>
        </w:rPr>
      </w:pPr>
      <w:r w:rsidRPr="003E6138">
        <w:rPr>
          <w:rFonts w:ascii="Bookman Old Style" w:eastAsia="Calibri" w:hAnsi="Bookman Old Style" w:cs="Arial"/>
          <w:lang w:eastAsia="en-US"/>
        </w:rPr>
        <w:t>Con Auto I-2021-002128 del 10 de agosto de 2021, la Dirección Ejecutiva de la CREG ordenó el inicio de la actuación administrativa y la formación del expediente administrativo con el objeto de decidir sobre la propuesta de remuneración para la Granja Solar Fotovoltaica con acumulación de 12,2 MWp ubicada en Inírida –</w:t>
      </w:r>
      <w:r w:rsidRPr="003E6138">
        <w:t xml:space="preserve"> </w:t>
      </w:r>
      <w:r w:rsidRPr="003E6138">
        <w:rPr>
          <w:rFonts w:ascii="Bookman Old Style" w:eastAsia="Calibri" w:hAnsi="Bookman Old Style" w:cs="Arial"/>
          <w:lang w:eastAsia="en-US"/>
        </w:rPr>
        <w:t xml:space="preserve">Guainía, presentada por </w:t>
      </w:r>
      <w:r w:rsidR="0B37837F" w:rsidRPr="27EB6147">
        <w:rPr>
          <w:rFonts w:ascii="Bookman Old Style" w:hAnsi="Bookman Old Style"/>
        </w:rPr>
        <w:t>GENSA</w:t>
      </w:r>
      <w:r w:rsidRPr="003E6138">
        <w:rPr>
          <w:rFonts w:ascii="Bookman Old Style" w:eastAsia="Calibri" w:hAnsi="Bookman Old Style" w:cs="Arial"/>
          <w:lang w:eastAsia="en-US"/>
        </w:rPr>
        <w:t>.</w:t>
      </w:r>
    </w:p>
    <w:p w14:paraId="5CB1E77F" w14:textId="77777777" w:rsidR="003E6138" w:rsidRPr="003E6138" w:rsidRDefault="003E6138" w:rsidP="003E6138">
      <w:pPr>
        <w:widowControl w:val="0"/>
        <w:ind w:left="284" w:right="51"/>
        <w:contextualSpacing/>
        <w:jc w:val="both"/>
        <w:rPr>
          <w:rFonts w:ascii="Bookman Old Style" w:eastAsia="Calibri" w:hAnsi="Bookman Old Style" w:cs="Arial"/>
          <w:lang w:eastAsia="en-US"/>
        </w:rPr>
      </w:pPr>
    </w:p>
    <w:p w14:paraId="5379E8E9" w14:textId="0BF24F12" w:rsidR="00D81F71" w:rsidRDefault="003E6138" w:rsidP="00D81F71">
      <w:pPr>
        <w:widowControl w:val="0"/>
        <w:ind w:left="284" w:right="51"/>
        <w:contextualSpacing/>
        <w:jc w:val="both"/>
        <w:rPr>
          <w:rFonts w:ascii="Bookman Old Style" w:eastAsia="Calibri" w:hAnsi="Bookman Old Style" w:cs="Arial"/>
          <w:lang w:eastAsia="en-US"/>
        </w:rPr>
      </w:pPr>
      <w:r w:rsidRPr="003E6138">
        <w:rPr>
          <w:rFonts w:ascii="Bookman Old Style" w:eastAsia="Calibri" w:hAnsi="Bookman Old Style" w:cs="Arial"/>
          <w:lang w:eastAsia="en-US"/>
        </w:rPr>
        <w:t xml:space="preserve">Mediante comunicación con radicado CREG S-2021-003428 del 10 de </w:t>
      </w:r>
      <w:r w:rsidR="00CF375F">
        <w:rPr>
          <w:rFonts w:ascii="Bookman Old Style" w:eastAsia="Calibri" w:hAnsi="Bookman Old Style" w:cs="Arial"/>
          <w:lang w:eastAsia="en-US"/>
        </w:rPr>
        <w:t>a</w:t>
      </w:r>
      <w:r w:rsidRPr="003E6138">
        <w:rPr>
          <w:rFonts w:ascii="Bookman Old Style" w:eastAsia="Calibri" w:hAnsi="Bookman Old Style" w:cs="Arial"/>
          <w:lang w:eastAsia="en-US"/>
        </w:rPr>
        <w:t xml:space="preserve">gosto de 2021, se le informó a </w:t>
      </w:r>
      <w:r w:rsidR="0B37837F" w:rsidRPr="27EB6147">
        <w:rPr>
          <w:rFonts w:ascii="Bookman Old Style" w:hAnsi="Bookman Old Style"/>
        </w:rPr>
        <w:t>GENSA</w:t>
      </w:r>
      <w:r w:rsidRPr="003E6138">
        <w:rPr>
          <w:rFonts w:ascii="Bookman Old Style" w:eastAsia="Calibri" w:hAnsi="Bookman Old Style" w:cs="Arial"/>
          <w:lang w:eastAsia="en-US"/>
        </w:rPr>
        <w:t xml:space="preserve"> del inicio de la actuación administrativa</w:t>
      </w:r>
      <w:r>
        <w:rPr>
          <w:rFonts w:ascii="Bookman Old Style" w:eastAsia="Calibri" w:hAnsi="Bookman Old Style" w:cs="Arial"/>
          <w:lang w:eastAsia="en-US"/>
        </w:rPr>
        <w:t xml:space="preserve"> </w:t>
      </w:r>
      <w:r w:rsidR="00F57E6A" w:rsidRPr="00AD369B">
        <w:rPr>
          <w:rFonts w:ascii="Bookman Old Style" w:hAnsi="Bookman Old Style" w:cs="Arial"/>
        </w:rPr>
        <w:t xml:space="preserve">y </w:t>
      </w:r>
      <w:r w:rsidR="00BD2964" w:rsidRPr="00AD369B">
        <w:rPr>
          <w:rFonts w:ascii="Bookman Old Style" w:hAnsi="Bookman Old Style" w:cs="Arial"/>
        </w:rPr>
        <w:t xml:space="preserve">se le </w:t>
      </w:r>
      <w:r w:rsidR="00F57E6A" w:rsidRPr="00AD369B">
        <w:rPr>
          <w:rFonts w:ascii="Bookman Old Style" w:hAnsi="Bookman Old Style" w:cs="Arial"/>
        </w:rPr>
        <w:t xml:space="preserve">remitió copia </w:t>
      </w:r>
      <w:r w:rsidR="00DB73DD" w:rsidRPr="00AD369B">
        <w:rPr>
          <w:rFonts w:ascii="Bookman Old Style" w:hAnsi="Bookman Old Style" w:cs="Arial"/>
        </w:rPr>
        <w:t>del</w:t>
      </w:r>
      <w:r w:rsidR="00652F47" w:rsidRPr="00AD369B">
        <w:rPr>
          <w:rFonts w:ascii="Bookman Old Style" w:hAnsi="Bookman Old Style" w:cs="Arial"/>
        </w:rPr>
        <w:t xml:space="preserve"> respectivo</w:t>
      </w:r>
      <w:r w:rsidR="00DB73DD" w:rsidRPr="00AD369B">
        <w:rPr>
          <w:rFonts w:ascii="Bookman Old Style" w:hAnsi="Bookman Old Style" w:cs="Arial"/>
        </w:rPr>
        <w:t xml:space="preserve"> auto de inicio.</w:t>
      </w:r>
    </w:p>
    <w:p w14:paraId="36AD55EB" w14:textId="77777777" w:rsidR="00D81F71" w:rsidRDefault="00D81F71" w:rsidP="00D81F71">
      <w:pPr>
        <w:widowControl w:val="0"/>
        <w:ind w:left="284" w:right="51"/>
        <w:contextualSpacing/>
        <w:jc w:val="both"/>
        <w:rPr>
          <w:rFonts w:ascii="Bookman Old Style" w:eastAsia="Calibri" w:hAnsi="Bookman Old Style" w:cs="Arial"/>
          <w:lang w:eastAsia="en-US"/>
        </w:rPr>
      </w:pPr>
    </w:p>
    <w:p w14:paraId="649EA264" w14:textId="33789696" w:rsidR="00652F47" w:rsidRDefault="00B51E41" w:rsidP="00D81F71">
      <w:pPr>
        <w:widowControl w:val="0"/>
        <w:ind w:left="284" w:right="51"/>
        <w:contextualSpacing/>
        <w:jc w:val="both"/>
        <w:rPr>
          <w:rFonts w:ascii="Bookman Old Style" w:hAnsi="Bookman Old Style" w:cs="Arial"/>
        </w:rPr>
      </w:pPr>
      <w:r w:rsidRPr="00AD369B">
        <w:rPr>
          <w:rFonts w:ascii="Bookman Old Style" w:hAnsi="Bookman Old Style" w:cs="Arial"/>
        </w:rPr>
        <w:t xml:space="preserve">Mediante oficio con </w:t>
      </w:r>
      <w:r w:rsidR="00652F47" w:rsidRPr="00AD369B">
        <w:rPr>
          <w:rFonts w:ascii="Bookman Old Style" w:hAnsi="Bookman Old Style" w:cs="Arial"/>
        </w:rPr>
        <w:t>radicado CREG S-20</w:t>
      </w:r>
      <w:r w:rsidR="00533124">
        <w:rPr>
          <w:rFonts w:ascii="Bookman Old Style" w:hAnsi="Bookman Old Style" w:cs="Arial"/>
        </w:rPr>
        <w:t>21</w:t>
      </w:r>
      <w:r w:rsidR="00652F47" w:rsidRPr="00AD369B">
        <w:rPr>
          <w:rFonts w:ascii="Bookman Old Style" w:hAnsi="Bookman Old Style" w:cs="Arial"/>
        </w:rPr>
        <w:t>-00</w:t>
      </w:r>
      <w:r w:rsidR="0064377C" w:rsidRPr="00AD369B">
        <w:rPr>
          <w:rFonts w:ascii="Bookman Old Style" w:hAnsi="Bookman Old Style" w:cs="Arial"/>
        </w:rPr>
        <w:t>3</w:t>
      </w:r>
      <w:r w:rsidR="00533124">
        <w:rPr>
          <w:rFonts w:ascii="Bookman Old Style" w:hAnsi="Bookman Old Style" w:cs="Arial"/>
        </w:rPr>
        <w:t>429</w:t>
      </w:r>
      <w:r w:rsidR="00652F47" w:rsidRPr="00AD369B">
        <w:rPr>
          <w:rFonts w:ascii="Bookman Old Style" w:hAnsi="Bookman Old Style" w:cs="Arial"/>
        </w:rPr>
        <w:t xml:space="preserve"> </w:t>
      </w:r>
      <w:r w:rsidR="00D83874" w:rsidRPr="00AD369B">
        <w:rPr>
          <w:rFonts w:ascii="Bookman Old Style" w:hAnsi="Bookman Old Style" w:cs="Arial"/>
        </w:rPr>
        <w:t xml:space="preserve">del </w:t>
      </w:r>
      <w:r w:rsidR="00533124">
        <w:rPr>
          <w:rFonts w:ascii="Bookman Old Style" w:hAnsi="Bookman Old Style" w:cs="Arial"/>
        </w:rPr>
        <w:t>10</w:t>
      </w:r>
      <w:r w:rsidR="00D83874" w:rsidRPr="00AD369B">
        <w:rPr>
          <w:rFonts w:ascii="Bookman Old Style" w:hAnsi="Bookman Old Style" w:cs="Arial"/>
        </w:rPr>
        <w:t xml:space="preserve"> de </w:t>
      </w:r>
      <w:r w:rsidR="00533124">
        <w:rPr>
          <w:rFonts w:ascii="Bookman Old Style" w:hAnsi="Bookman Old Style" w:cs="Arial"/>
        </w:rPr>
        <w:t>agosto de 2021</w:t>
      </w:r>
      <w:r w:rsidR="00BD2964" w:rsidRPr="00AD369B">
        <w:rPr>
          <w:rFonts w:ascii="Bookman Old Style" w:hAnsi="Bookman Old Style" w:cs="Arial"/>
        </w:rPr>
        <w:t>,</w:t>
      </w:r>
      <w:r w:rsidR="00D83874" w:rsidRPr="00AD369B">
        <w:rPr>
          <w:rFonts w:ascii="Bookman Old Style" w:hAnsi="Bookman Old Style" w:cs="Arial"/>
        </w:rPr>
        <w:t xml:space="preserve"> </w:t>
      </w:r>
      <w:r w:rsidR="00652F47" w:rsidRPr="00AD369B">
        <w:rPr>
          <w:rFonts w:ascii="Bookman Old Style" w:hAnsi="Bookman Old Style" w:cs="Arial"/>
        </w:rPr>
        <w:t xml:space="preserve">se le comunicó </w:t>
      </w:r>
      <w:r w:rsidR="00BD2964" w:rsidRPr="00AD369B">
        <w:rPr>
          <w:rFonts w:ascii="Bookman Old Style" w:hAnsi="Bookman Old Style" w:cs="Arial"/>
        </w:rPr>
        <w:t xml:space="preserve">a la Alcaldía Municipal de </w:t>
      </w:r>
      <w:r w:rsidR="00533124">
        <w:rPr>
          <w:rFonts w:ascii="Bookman Old Style" w:hAnsi="Bookman Old Style" w:cs="Arial"/>
        </w:rPr>
        <w:t>Inírida</w:t>
      </w:r>
      <w:r w:rsidR="001A1A80" w:rsidRPr="00AD369B">
        <w:rPr>
          <w:rFonts w:ascii="Bookman Old Style" w:hAnsi="Bookman Old Style" w:cs="Arial"/>
        </w:rPr>
        <w:t xml:space="preserve"> </w:t>
      </w:r>
      <w:r w:rsidR="00652F47" w:rsidRPr="00AD369B">
        <w:rPr>
          <w:rFonts w:ascii="Bookman Old Style" w:hAnsi="Bookman Old Style" w:cs="Arial"/>
        </w:rPr>
        <w:t>del inicio de la actuación administrativa</w:t>
      </w:r>
      <w:r w:rsidR="00C21AD5" w:rsidRPr="00AD369B">
        <w:rPr>
          <w:rFonts w:ascii="Bookman Old Style" w:hAnsi="Bookman Old Style" w:cs="Arial"/>
        </w:rPr>
        <w:t>,</w:t>
      </w:r>
      <w:r w:rsidR="00652F47" w:rsidRPr="00AD369B">
        <w:rPr>
          <w:rFonts w:ascii="Bookman Old Style" w:hAnsi="Bookman Old Style" w:cs="Arial"/>
        </w:rPr>
        <w:t xml:space="preserve"> para los fines previstos en el artículo 37 del Código de Procedimiento Administrativo y de lo Contencioso Administrativo.</w:t>
      </w:r>
    </w:p>
    <w:p w14:paraId="39DB32A6" w14:textId="1541603D" w:rsidR="254D034A" w:rsidRDefault="254D034A" w:rsidP="254D034A">
      <w:pPr>
        <w:widowControl w:val="0"/>
        <w:ind w:left="284" w:right="51"/>
        <w:contextualSpacing/>
        <w:jc w:val="both"/>
        <w:rPr>
          <w:rFonts w:ascii="Bookman Old Style" w:hAnsi="Bookman Old Style" w:cs="Arial"/>
        </w:rPr>
      </w:pPr>
    </w:p>
    <w:p w14:paraId="2B522056" w14:textId="174729A5" w:rsidR="00DD1880" w:rsidRDefault="00606377" w:rsidP="00606377">
      <w:pPr>
        <w:ind w:left="284"/>
        <w:contextualSpacing/>
        <w:jc w:val="both"/>
        <w:rPr>
          <w:rFonts w:ascii="Bookman Old Style" w:hAnsi="Bookman Old Style" w:cs="Arial"/>
        </w:rPr>
      </w:pPr>
      <w:r w:rsidRPr="00DC6D5F">
        <w:rPr>
          <w:rFonts w:ascii="Bookman Old Style" w:hAnsi="Bookman Old Style" w:cs="Arial"/>
        </w:rPr>
        <w:t>Mediante comunicación con radicado CREG E-20</w:t>
      </w:r>
      <w:r>
        <w:rPr>
          <w:rFonts w:ascii="Bookman Old Style" w:hAnsi="Bookman Old Style" w:cs="Arial"/>
        </w:rPr>
        <w:t>21</w:t>
      </w:r>
      <w:r w:rsidRPr="00DC6D5F">
        <w:rPr>
          <w:rFonts w:ascii="Bookman Old Style" w:hAnsi="Bookman Old Style" w:cs="Arial"/>
        </w:rPr>
        <w:t>-0</w:t>
      </w:r>
      <w:r>
        <w:rPr>
          <w:rFonts w:ascii="Bookman Old Style" w:hAnsi="Bookman Old Style" w:cs="Arial"/>
        </w:rPr>
        <w:t>12049</w:t>
      </w:r>
      <w:r w:rsidRPr="00DC6D5F">
        <w:rPr>
          <w:rFonts w:ascii="Bookman Old Style" w:hAnsi="Bookman Old Style" w:cs="Arial"/>
        </w:rPr>
        <w:t xml:space="preserve"> del 1</w:t>
      </w:r>
      <w:r>
        <w:rPr>
          <w:rFonts w:ascii="Bookman Old Style" w:hAnsi="Bookman Old Style" w:cs="Arial"/>
        </w:rPr>
        <w:t>2</w:t>
      </w:r>
      <w:r w:rsidRPr="00DC6D5F">
        <w:rPr>
          <w:rFonts w:ascii="Bookman Old Style" w:hAnsi="Bookman Old Style" w:cs="Arial"/>
        </w:rPr>
        <w:t xml:space="preserve"> de </w:t>
      </w:r>
      <w:r>
        <w:rPr>
          <w:rFonts w:ascii="Bookman Old Style" w:hAnsi="Bookman Old Style" w:cs="Arial"/>
        </w:rPr>
        <w:t>octubre</w:t>
      </w:r>
      <w:r w:rsidRPr="00DC6D5F">
        <w:rPr>
          <w:rFonts w:ascii="Bookman Old Style" w:hAnsi="Bookman Old Style" w:cs="Arial"/>
        </w:rPr>
        <w:t xml:space="preserve"> de 20</w:t>
      </w:r>
      <w:r>
        <w:rPr>
          <w:rFonts w:ascii="Bookman Old Style" w:hAnsi="Bookman Old Style" w:cs="Arial"/>
        </w:rPr>
        <w:t>21</w:t>
      </w:r>
      <w:r w:rsidRPr="27EB6147">
        <w:rPr>
          <w:rFonts w:ascii="Bookman Old Style" w:hAnsi="Bookman Old Style" w:cs="Arial"/>
        </w:rPr>
        <w:t xml:space="preserve">, </w:t>
      </w:r>
      <w:r w:rsidRPr="27EB6147">
        <w:rPr>
          <w:rFonts w:ascii="Bookman Old Style" w:hAnsi="Bookman Old Style"/>
        </w:rPr>
        <w:t>GENSA</w:t>
      </w:r>
      <w:r w:rsidRPr="00DC6D5F">
        <w:rPr>
          <w:rFonts w:ascii="Bookman Old Style" w:hAnsi="Bookman Old Style" w:cs="Arial"/>
        </w:rPr>
        <w:t xml:space="preserve"> </w:t>
      </w:r>
      <w:r>
        <w:rPr>
          <w:rFonts w:ascii="Bookman Old Style" w:hAnsi="Bookman Old Style" w:cs="Arial"/>
        </w:rPr>
        <w:t xml:space="preserve">informó </w:t>
      </w:r>
      <w:r w:rsidRPr="00DC6D5F">
        <w:rPr>
          <w:rFonts w:ascii="Bookman Old Style" w:hAnsi="Bookman Old Style" w:cs="Arial"/>
        </w:rPr>
        <w:t>de la publicación</w:t>
      </w:r>
      <w:r>
        <w:rPr>
          <w:rFonts w:ascii="Bookman Old Style" w:hAnsi="Bookman Old Style" w:cs="Arial"/>
        </w:rPr>
        <w:t xml:space="preserve">, vía página web de la Alcaldía Municipal de Inírida, sobre </w:t>
      </w:r>
      <w:r w:rsidRPr="00DC6D5F">
        <w:rPr>
          <w:rFonts w:ascii="Bookman Old Style" w:hAnsi="Bookman Old Style" w:cs="Arial"/>
        </w:rPr>
        <w:t>el Aviso</w:t>
      </w:r>
      <w:r>
        <w:rPr>
          <w:rFonts w:ascii="Bookman Old Style" w:hAnsi="Bookman Old Style" w:cs="Arial"/>
        </w:rPr>
        <w:t xml:space="preserve"> No.</w:t>
      </w:r>
      <w:r w:rsidRPr="00DC6D5F">
        <w:rPr>
          <w:rFonts w:ascii="Bookman Old Style" w:hAnsi="Bookman Old Style" w:cs="Arial"/>
        </w:rPr>
        <w:t xml:space="preserve"> </w:t>
      </w:r>
      <w:r>
        <w:rPr>
          <w:rFonts w:ascii="Bookman Old Style" w:hAnsi="Bookman Old Style" w:cs="Arial"/>
        </w:rPr>
        <w:t>111</w:t>
      </w:r>
      <w:r w:rsidRPr="00DC6D5F">
        <w:rPr>
          <w:rFonts w:ascii="Bookman Old Style" w:hAnsi="Bookman Old Style" w:cs="Arial"/>
        </w:rPr>
        <w:t xml:space="preserve"> de 20</w:t>
      </w:r>
      <w:r>
        <w:rPr>
          <w:rFonts w:ascii="Bookman Old Style" w:hAnsi="Bookman Old Style" w:cs="Arial"/>
        </w:rPr>
        <w:t>21</w:t>
      </w:r>
      <w:r w:rsidRPr="00DC6D5F">
        <w:rPr>
          <w:rFonts w:ascii="Bookman Old Style" w:hAnsi="Bookman Old Style" w:cs="Arial"/>
        </w:rPr>
        <w:t xml:space="preserve"> mediante el cual se presenta el inicio de la actuación administrativa</w:t>
      </w:r>
      <w:r>
        <w:rPr>
          <w:rFonts w:ascii="Bookman Old Style" w:hAnsi="Bookman Old Style" w:cs="Arial"/>
        </w:rPr>
        <w:t xml:space="preserve"> del expediente CREG 2021-0070.</w:t>
      </w:r>
    </w:p>
    <w:p w14:paraId="64482717" w14:textId="77777777" w:rsidR="00606377" w:rsidRPr="00606377" w:rsidRDefault="00606377" w:rsidP="00606377">
      <w:pPr>
        <w:ind w:left="284"/>
        <w:contextualSpacing/>
        <w:jc w:val="both"/>
        <w:rPr>
          <w:rFonts w:ascii="Bookman Old Style" w:hAnsi="Bookman Old Style" w:cs="Arial"/>
        </w:rPr>
      </w:pPr>
    </w:p>
    <w:p w14:paraId="62190A6A" w14:textId="20156DD8" w:rsidR="008E0D6D" w:rsidRDefault="00652F47" w:rsidP="00EB5E0B">
      <w:pPr>
        <w:ind w:left="284"/>
        <w:contextualSpacing/>
        <w:jc w:val="both"/>
        <w:rPr>
          <w:rFonts w:ascii="Bookman Old Style" w:eastAsia="Calibri" w:hAnsi="Bookman Old Style" w:cs="Arial"/>
          <w:lang w:val="es-ES_tradnl" w:eastAsia="en-US"/>
        </w:rPr>
      </w:pPr>
      <w:r w:rsidRPr="00AD369B">
        <w:rPr>
          <w:rFonts w:ascii="Bookman Old Style" w:eastAsia="Calibri" w:hAnsi="Bookman Old Style" w:cs="Arial"/>
          <w:lang w:eastAsia="en-US"/>
        </w:rPr>
        <w:t xml:space="preserve">Mediante </w:t>
      </w:r>
      <w:bookmarkStart w:id="2" w:name="_Hlk35435591"/>
      <w:r w:rsidR="00DA3A45">
        <w:rPr>
          <w:rFonts w:ascii="Bookman Old Style" w:eastAsia="Calibri" w:hAnsi="Bookman Old Style" w:cs="Arial"/>
          <w:lang w:eastAsia="en-US"/>
        </w:rPr>
        <w:t xml:space="preserve">radicado </w:t>
      </w:r>
      <w:r w:rsidR="00DA3A45" w:rsidRPr="00DA3A45">
        <w:rPr>
          <w:rFonts w:ascii="Bookman Old Style" w:eastAsia="Calibri" w:hAnsi="Bookman Old Style" w:cs="Arial"/>
          <w:lang w:eastAsia="en-US"/>
        </w:rPr>
        <w:t>CREG S-2021-004971</w:t>
      </w:r>
      <w:r w:rsidR="00051559">
        <w:rPr>
          <w:rFonts w:ascii="Bookman Old Style" w:eastAsia="Calibri" w:hAnsi="Bookman Old Style" w:cs="Arial"/>
          <w:lang w:eastAsia="en-US"/>
        </w:rPr>
        <w:t>, esta Comisión</w:t>
      </w:r>
      <w:r w:rsidR="00DA3A45" w:rsidRPr="00DA3A45">
        <w:rPr>
          <w:rFonts w:ascii="Bookman Old Style" w:eastAsia="Calibri" w:hAnsi="Bookman Old Style" w:cs="Arial"/>
          <w:lang w:eastAsia="en-US"/>
        </w:rPr>
        <w:t xml:space="preserve"> remitió a </w:t>
      </w:r>
      <w:r w:rsidR="00325826">
        <w:rPr>
          <w:rFonts w:ascii="Bookman Old Style" w:eastAsia="Calibri" w:hAnsi="Bookman Old Style" w:cs="Arial"/>
          <w:lang w:eastAsia="en-US"/>
        </w:rPr>
        <w:t>GENSA</w:t>
      </w:r>
      <w:r w:rsidR="00DA3A45" w:rsidRPr="00DA3A45">
        <w:rPr>
          <w:rFonts w:ascii="Bookman Old Style" w:eastAsia="Calibri" w:hAnsi="Bookman Old Style" w:cs="Arial"/>
          <w:lang w:eastAsia="en-US"/>
        </w:rPr>
        <w:t xml:space="preserve"> </w:t>
      </w:r>
      <w:r w:rsidR="00051559">
        <w:rPr>
          <w:rFonts w:ascii="Bookman Old Style" w:eastAsia="Calibri" w:hAnsi="Bookman Old Style" w:cs="Arial"/>
          <w:lang w:eastAsia="en-US"/>
        </w:rPr>
        <w:t xml:space="preserve">el </w:t>
      </w:r>
      <w:r w:rsidR="00DA3A45" w:rsidRPr="00DA3A45">
        <w:rPr>
          <w:rFonts w:ascii="Bookman Old Style" w:eastAsia="Calibri" w:hAnsi="Bookman Old Style" w:cs="Arial"/>
          <w:lang w:eastAsia="en-US"/>
        </w:rPr>
        <w:t>Auto I-2021-003418 del 16 de noviembre de 2021</w:t>
      </w:r>
      <w:r w:rsidR="008E0D6D" w:rsidRPr="00AD369B">
        <w:rPr>
          <w:rFonts w:ascii="Bookman Old Style" w:eastAsia="Calibri" w:hAnsi="Bookman Old Style" w:cs="Arial"/>
          <w:lang w:val="es-MX" w:eastAsia="en-US"/>
        </w:rPr>
        <w:t>,</w:t>
      </w:r>
      <w:r w:rsidR="0093745B" w:rsidRPr="00AD369B">
        <w:rPr>
          <w:rFonts w:ascii="Bookman Old Style" w:eastAsia="Calibri" w:hAnsi="Bookman Old Style" w:cs="Arial"/>
          <w:lang w:val="es-MX" w:eastAsia="en-US"/>
        </w:rPr>
        <w:t xml:space="preserve"> </w:t>
      </w:r>
      <w:r w:rsidR="00DA3A45">
        <w:rPr>
          <w:rFonts w:ascii="Bookman Old Style" w:eastAsia="Calibri" w:hAnsi="Bookman Old Style" w:cs="Arial"/>
          <w:lang w:val="es-MX" w:eastAsia="en-US"/>
        </w:rPr>
        <w:t xml:space="preserve">mediante el cual </w:t>
      </w:r>
      <w:r w:rsidR="0093745B" w:rsidRPr="00AD369B">
        <w:rPr>
          <w:rFonts w:ascii="Bookman Old Style" w:eastAsia="Calibri" w:hAnsi="Bookman Old Style" w:cs="Arial"/>
          <w:lang w:val="es-MX" w:eastAsia="en-US"/>
        </w:rPr>
        <w:t>se</w:t>
      </w:r>
      <w:r w:rsidRPr="00AD369B">
        <w:rPr>
          <w:rFonts w:ascii="Bookman Old Style" w:eastAsia="Calibri" w:hAnsi="Bookman Old Style" w:cs="Arial"/>
          <w:lang w:eastAsia="en-US"/>
        </w:rPr>
        <w:t xml:space="preserve"> ordenó decretar la práctica de pruebas de oficio</w:t>
      </w:r>
      <w:r w:rsidR="005E673E" w:rsidRPr="00AD369B">
        <w:rPr>
          <w:rFonts w:ascii="Bookman Old Style" w:eastAsia="Calibri" w:hAnsi="Bookman Old Style" w:cs="Arial"/>
          <w:lang w:eastAsia="en-US"/>
        </w:rPr>
        <w:t>,</w:t>
      </w:r>
      <w:r w:rsidRPr="00AD369B">
        <w:rPr>
          <w:rFonts w:ascii="Bookman Old Style" w:eastAsia="Calibri" w:hAnsi="Bookman Old Style" w:cs="Arial"/>
          <w:lang w:eastAsia="en-US"/>
        </w:rPr>
        <w:t xml:space="preserve"> tendientes a aclarar y complementar la información presentada</w:t>
      </w:r>
      <w:r w:rsidR="0053257C" w:rsidRPr="00AD369B">
        <w:rPr>
          <w:rFonts w:ascii="Bookman Old Style" w:eastAsia="Calibri" w:hAnsi="Bookman Old Style" w:cs="Arial"/>
          <w:lang w:eastAsia="en-US"/>
        </w:rPr>
        <w:t xml:space="preserve"> por la empresa</w:t>
      </w:r>
      <w:r w:rsidRPr="00AD369B">
        <w:rPr>
          <w:rFonts w:ascii="Bookman Old Style" w:eastAsia="Calibri" w:hAnsi="Bookman Old Style" w:cs="Arial"/>
          <w:lang w:eastAsia="en-US"/>
        </w:rPr>
        <w:t xml:space="preserve"> </w:t>
      </w:r>
      <w:r w:rsidR="00BD2964" w:rsidRPr="00AD369B">
        <w:rPr>
          <w:rFonts w:ascii="Bookman Old Style" w:eastAsia="Calibri" w:hAnsi="Bookman Old Style" w:cs="Arial"/>
          <w:lang w:eastAsia="en-US"/>
        </w:rPr>
        <w:t xml:space="preserve">dentro de la actuación administrativa </w:t>
      </w:r>
      <w:r w:rsidRPr="00AD369B">
        <w:rPr>
          <w:rFonts w:ascii="Bookman Old Style" w:eastAsia="Calibri" w:hAnsi="Bookman Old Style" w:cs="Arial"/>
          <w:lang w:eastAsia="en-US"/>
        </w:rPr>
        <w:t>mediante los radicados CREG</w:t>
      </w:r>
      <w:r w:rsidR="008E0D6D" w:rsidRPr="00AD369B">
        <w:rPr>
          <w:rFonts w:ascii="Bookman Old Style" w:eastAsia="Calibri" w:hAnsi="Bookman Old Style" w:cs="Arial"/>
          <w:lang w:eastAsia="en-US"/>
        </w:rPr>
        <w:t xml:space="preserve"> </w:t>
      </w:r>
      <w:r w:rsidR="008E0D6D" w:rsidRPr="00AD369B">
        <w:rPr>
          <w:rFonts w:ascii="Bookman Old Style" w:eastAsia="Calibri" w:hAnsi="Bookman Old Style" w:cs="Arial"/>
          <w:lang w:val="es-ES_tradnl" w:eastAsia="en-US"/>
        </w:rPr>
        <w:t>E-</w:t>
      </w:r>
      <w:r w:rsidR="00DA3A45">
        <w:rPr>
          <w:rFonts w:ascii="Bookman Old Style" w:eastAsia="Calibri" w:hAnsi="Bookman Old Style" w:cs="Arial"/>
          <w:lang w:val="es-ES_tradnl" w:eastAsia="en-US"/>
        </w:rPr>
        <w:t xml:space="preserve">2021-003557 y </w:t>
      </w:r>
      <w:r w:rsidR="00DA3A45" w:rsidRPr="00AD369B">
        <w:rPr>
          <w:rFonts w:ascii="Bookman Old Style" w:eastAsia="Calibri" w:hAnsi="Bookman Old Style" w:cs="Arial"/>
          <w:lang w:eastAsia="en-US"/>
        </w:rPr>
        <w:t xml:space="preserve">CREG </w:t>
      </w:r>
      <w:r w:rsidR="00DA3A45" w:rsidRPr="00AD369B">
        <w:rPr>
          <w:rFonts w:ascii="Bookman Old Style" w:eastAsia="Calibri" w:hAnsi="Bookman Old Style" w:cs="Arial"/>
          <w:lang w:val="es-ES_tradnl" w:eastAsia="en-US"/>
        </w:rPr>
        <w:t>E-</w:t>
      </w:r>
      <w:r w:rsidR="00DA3A45">
        <w:rPr>
          <w:rFonts w:ascii="Bookman Old Style" w:eastAsia="Calibri" w:hAnsi="Bookman Old Style" w:cs="Arial"/>
          <w:lang w:val="es-ES_tradnl" w:eastAsia="en-US"/>
        </w:rPr>
        <w:t>2021-006479.</w:t>
      </w:r>
    </w:p>
    <w:p w14:paraId="4EE09B22" w14:textId="2BB20B9C" w:rsidR="00C1757B" w:rsidRPr="000672B2" w:rsidRDefault="00C1757B" w:rsidP="329DEA05">
      <w:pPr>
        <w:ind w:left="284"/>
        <w:contextualSpacing/>
        <w:jc w:val="both"/>
        <w:rPr>
          <w:rFonts w:ascii="Bookman Old Style" w:eastAsia="Calibri" w:hAnsi="Bookman Old Style" w:cs="Arial"/>
          <w:lang w:eastAsia="en-US"/>
        </w:rPr>
      </w:pPr>
    </w:p>
    <w:p w14:paraId="42C9D0F0" w14:textId="29630E35" w:rsidR="00EF0A6B" w:rsidRDefault="00EF0A6B" w:rsidP="00EF0A6B">
      <w:pPr>
        <w:ind w:left="284"/>
        <w:contextualSpacing/>
        <w:jc w:val="both"/>
        <w:rPr>
          <w:rFonts w:ascii="Bookman Old Style" w:hAnsi="Bookman Old Style" w:cs="Arial"/>
          <w:lang w:val="es-MX"/>
        </w:rPr>
      </w:pPr>
      <w:r w:rsidRPr="00325826">
        <w:rPr>
          <w:rFonts w:ascii="Bookman Old Style" w:hAnsi="Bookman Old Style" w:cs="Arial"/>
          <w:lang w:val="es-MX"/>
        </w:rPr>
        <w:t xml:space="preserve">Que a partir de lo resuelto en el </w:t>
      </w:r>
      <w:r w:rsidRPr="00107522">
        <w:rPr>
          <w:rFonts w:ascii="Bookman Old Style" w:hAnsi="Bookman Old Style" w:cs="Arial"/>
          <w:lang w:val="es-MX"/>
        </w:rPr>
        <w:t>artículo</w:t>
      </w:r>
      <w:r>
        <w:rPr>
          <w:rFonts w:ascii="Bookman Old Style" w:hAnsi="Bookman Old Style" w:cs="Arial"/>
          <w:lang w:val="es-MX"/>
        </w:rPr>
        <w:t xml:space="preserve"> quinto del Auto</w:t>
      </w:r>
      <w:r w:rsidRPr="00EF0A6B">
        <w:rPr>
          <w:rFonts w:ascii="Bookman Old Style" w:hAnsi="Bookman Old Style" w:cs="Arial"/>
          <w:lang w:val="es-MX"/>
        </w:rPr>
        <w:t xml:space="preserve"> </w:t>
      </w:r>
      <w:r>
        <w:rPr>
          <w:rFonts w:ascii="Bookman Old Style" w:hAnsi="Bookman Old Style" w:cs="Arial"/>
          <w:lang w:val="es-MX"/>
        </w:rPr>
        <w:t>I-2021-003418 del 16 de noviembre</w:t>
      </w:r>
      <w:r w:rsidR="00107522">
        <w:rPr>
          <w:rFonts w:ascii="Bookman Old Style" w:hAnsi="Bookman Old Style" w:cs="Arial"/>
          <w:lang w:val="es-MX"/>
        </w:rPr>
        <w:t xml:space="preserve"> de 2021</w:t>
      </w:r>
      <w:r>
        <w:rPr>
          <w:rFonts w:ascii="Bookman Old Style" w:hAnsi="Bookman Old Style" w:cs="Arial"/>
          <w:lang w:val="es-MX"/>
        </w:rPr>
        <w:t>, se estableció la v</w:t>
      </w:r>
      <w:r w:rsidRPr="00FA3575">
        <w:rPr>
          <w:rFonts w:ascii="Bookman Old Style" w:hAnsi="Bookman Old Style" w:cs="Arial"/>
          <w:lang w:val="es-MX"/>
        </w:rPr>
        <w:t>incula</w:t>
      </w:r>
      <w:r>
        <w:rPr>
          <w:rFonts w:ascii="Bookman Old Style" w:hAnsi="Bookman Old Style" w:cs="Arial"/>
          <w:lang w:val="es-MX"/>
        </w:rPr>
        <w:t>ción</w:t>
      </w:r>
      <w:r w:rsidRPr="00FA3575">
        <w:rPr>
          <w:rFonts w:ascii="Bookman Old Style" w:hAnsi="Bookman Old Style" w:cs="Arial"/>
          <w:lang w:val="es-MX"/>
        </w:rPr>
        <w:t xml:space="preserve"> de oficio</w:t>
      </w:r>
      <w:r>
        <w:rPr>
          <w:rFonts w:ascii="Bookman Old Style" w:hAnsi="Bookman Old Style" w:cs="Arial"/>
          <w:lang w:val="es-MX"/>
        </w:rPr>
        <w:t xml:space="preserve"> de </w:t>
      </w:r>
      <w:r w:rsidRPr="00FA3575">
        <w:rPr>
          <w:rFonts w:ascii="Bookman Old Style" w:hAnsi="Bookman Old Style" w:cs="Arial"/>
          <w:lang w:val="es-MX"/>
        </w:rPr>
        <w:t>la EMPRESA DE ENERGÍA DEL GUAINÍA LA CEIBA S.A. E.S.P., EMELCE</w:t>
      </w:r>
      <w:r>
        <w:rPr>
          <w:rFonts w:ascii="Bookman Old Style" w:hAnsi="Bookman Old Style" w:cs="Arial"/>
          <w:lang w:val="es-MX"/>
        </w:rPr>
        <w:t>,</w:t>
      </w:r>
      <w:r w:rsidRPr="00FA3575">
        <w:rPr>
          <w:rFonts w:ascii="Bookman Old Style" w:hAnsi="Bookman Old Style" w:cs="Arial"/>
          <w:lang w:val="es-MX"/>
        </w:rPr>
        <w:t xml:space="preserve"> a la actuación administrativa 2021-0070</w:t>
      </w:r>
      <w:r>
        <w:rPr>
          <w:rFonts w:ascii="Bookman Old Style" w:hAnsi="Bookman Old Style" w:cs="Arial"/>
          <w:lang w:val="es-MX"/>
        </w:rPr>
        <w:t>,</w:t>
      </w:r>
      <w:r w:rsidRPr="00FA3575">
        <w:rPr>
          <w:rFonts w:ascii="Bookman Old Style" w:hAnsi="Bookman Old Style" w:cs="Arial"/>
          <w:lang w:val="es-MX"/>
        </w:rPr>
        <w:t xml:space="preserve"> de acuerdo con lo expuesto en la parte motiva del </w:t>
      </w:r>
      <w:r>
        <w:rPr>
          <w:rFonts w:ascii="Bookman Old Style" w:hAnsi="Bookman Old Style" w:cs="Arial"/>
          <w:lang w:val="es-MX"/>
        </w:rPr>
        <w:t>citado</w:t>
      </w:r>
      <w:r w:rsidRPr="00FA3575">
        <w:rPr>
          <w:rFonts w:ascii="Bookman Old Style" w:hAnsi="Bookman Old Style" w:cs="Arial"/>
          <w:lang w:val="es-MX"/>
        </w:rPr>
        <w:t xml:space="preserve"> auto</w:t>
      </w:r>
      <w:r w:rsidRPr="00AD369B">
        <w:rPr>
          <w:rFonts w:ascii="Bookman Old Style" w:hAnsi="Bookman Old Style" w:cs="Arial"/>
          <w:lang w:val="es-MX"/>
        </w:rPr>
        <w:t>.</w:t>
      </w:r>
    </w:p>
    <w:p w14:paraId="49A55E1B" w14:textId="77777777" w:rsidR="00325826" w:rsidRDefault="00325826" w:rsidP="00EF0A6B">
      <w:pPr>
        <w:ind w:left="284"/>
        <w:contextualSpacing/>
        <w:jc w:val="both"/>
        <w:rPr>
          <w:rFonts w:ascii="Bookman Old Style" w:hAnsi="Bookman Old Style" w:cs="Arial"/>
          <w:lang w:val="es-MX"/>
        </w:rPr>
      </w:pPr>
    </w:p>
    <w:p w14:paraId="2156BE4D" w14:textId="4EE7BE01" w:rsidR="00C1757B" w:rsidRDefault="576564A6" w:rsidP="00AA6119">
      <w:pPr>
        <w:ind w:left="284"/>
        <w:contextualSpacing/>
        <w:jc w:val="both"/>
        <w:rPr>
          <w:rFonts w:ascii="Bookman Old Style" w:hAnsi="Bookman Old Style" w:cs="Arial"/>
          <w:lang w:val="es-MX"/>
        </w:rPr>
      </w:pPr>
      <w:r>
        <w:rPr>
          <w:rFonts w:ascii="Bookman Old Style" w:hAnsi="Bookman Old Style" w:cs="Arial"/>
        </w:rPr>
        <w:t xml:space="preserve">En el marco de </w:t>
      </w:r>
      <w:r w:rsidR="00C1757B">
        <w:rPr>
          <w:rFonts w:ascii="Bookman Old Style" w:hAnsi="Bookman Old Style" w:cs="Arial"/>
        </w:rPr>
        <w:t xml:space="preserve">lo </w:t>
      </w:r>
      <w:r>
        <w:rPr>
          <w:rFonts w:ascii="Bookman Old Style" w:hAnsi="Bookman Old Style" w:cs="Arial"/>
        </w:rPr>
        <w:t>expuesto</w:t>
      </w:r>
      <w:r w:rsidR="00C1757B">
        <w:rPr>
          <w:rFonts w:ascii="Bookman Old Style" w:hAnsi="Bookman Old Style" w:cs="Arial"/>
        </w:rPr>
        <w:t>, e</w:t>
      </w:r>
      <w:r w:rsidR="00C1757B" w:rsidRPr="00AD369B">
        <w:rPr>
          <w:rFonts w:ascii="Bookman Old Style" w:hAnsi="Bookman Old Style" w:cs="Arial"/>
        </w:rPr>
        <w:t xml:space="preserve">l precitado auto de pruebas fue comunicado a las empresas </w:t>
      </w:r>
      <w:r w:rsidR="0098394C" w:rsidRPr="00DA3A45">
        <w:rPr>
          <w:rFonts w:ascii="Bookman Old Style" w:eastAsia="Calibri" w:hAnsi="Bookman Old Style" w:cs="Arial"/>
          <w:lang w:eastAsia="en-US"/>
        </w:rPr>
        <w:t xml:space="preserve">GENSA </w:t>
      </w:r>
      <w:r w:rsidR="00C1757B" w:rsidRPr="00AD369B">
        <w:rPr>
          <w:rFonts w:ascii="Bookman Old Style" w:hAnsi="Bookman Old Style" w:cs="Arial"/>
        </w:rPr>
        <w:t xml:space="preserve">y a </w:t>
      </w:r>
      <w:r w:rsidR="00C1757B" w:rsidRPr="00FA3575">
        <w:rPr>
          <w:rFonts w:ascii="Bookman Old Style" w:hAnsi="Bookman Old Style" w:cs="Arial"/>
          <w:lang w:val="es-MX"/>
        </w:rPr>
        <w:t>EMELCE,</w:t>
      </w:r>
      <w:r w:rsidR="00C1757B">
        <w:rPr>
          <w:rFonts w:ascii="Bookman Old Style" w:hAnsi="Bookman Old Style" w:cs="Arial"/>
          <w:lang w:val="es-MX"/>
        </w:rPr>
        <w:t xml:space="preserve"> </w:t>
      </w:r>
      <w:r w:rsidR="00C1757B" w:rsidRPr="254D034A">
        <w:rPr>
          <w:rFonts w:ascii="Bookman Old Style" w:hAnsi="Bookman Old Style" w:cs="Arial"/>
        </w:rPr>
        <w:t xml:space="preserve">mediante radicados CREG </w:t>
      </w:r>
      <w:r w:rsidR="00C1757B" w:rsidRPr="00AD369B">
        <w:rPr>
          <w:rFonts w:ascii="Bookman Old Style" w:hAnsi="Bookman Old Style" w:cs="Arial"/>
          <w:lang w:val="es-MX"/>
        </w:rPr>
        <w:t>S</w:t>
      </w:r>
      <w:r w:rsidR="00C1757B" w:rsidRPr="00AD369B">
        <w:rPr>
          <w:rFonts w:ascii="Bookman Old Style" w:hAnsi="Bookman Old Style" w:cs="Arial"/>
          <w:lang w:val="es-MX"/>
        </w:rPr>
        <w:noBreakHyphen/>
      </w:r>
      <w:r w:rsidR="00C1757B">
        <w:rPr>
          <w:rFonts w:ascii="Bookman Old Style" w:hAnsi="Bookman Old Style" w:cs="Arial"/>
          <w:lang w:val="es-MX"/>
        </w:rPr>
        <w:t>2021</w:t>
      </w:r>
      <w:r w:rsidR="00C230CB">
        <w:rPr>
          <w:rFonts w:ascii="Bookman Old Style" w:hAnsi="Bookman Old Style" w:cs="Arial"/>
          <w:lang w:val="es-MX"/>
        </w:rPr>
        <w:t>-</w:t>
      </w:r>
      <w:r w:rsidR="00C1757B" w:rsidRPr="00AD369B">
        <w:rPr>
          <w:rFonts w:ascii="Bookman Old Style" w:hAnsi="Bookman Old Style" w:cs="Arial"/>
          <w:lang w:val="es-MX"/>
        </w:rPr>
        <w:t>00</w:t>
      </w:r>
      <w:r w:rsidR="00C1757B">
        <w:rPr>
          <w:rFonts w:ascii="Bookman Old Style" w:hAnsi="Bookman Old Style" w:cs="Arial"/>
          <w:lang w:val="es-MX"/>
        </w:rPr>
        <w:t>4971</w:t>
      </w:r>
      <w:r w:rsidR="00C1757B" w:rsidRPr="00AD369B">
        <w:rPr>
          <w:rFonts w:ascii="Bookman Old Style" w:hAnsi="Bookman Old Style" w:cs="Arial"/>
          <w:lang w:val="es-MX"/>
        </w:rPr>
        <w:t xml:space="preserve"> y S-20</w:t>
      </w:r>
      <w:r w:rsidR="00C1757B">
        <w:rPr>
          <w:rFonts w:ascii="Bookman Old Style" w:hAnsi="Bookman Old Style" w:cs="Arial"/>
          <w:lang w:val="es-MX"/>
        </w:rPr>
        <w:t>21</w:t>
      </w:r>
      <w:r w:rsidR="00C1757B" w:rsidRPr="00AD369B">
        <w:rPr>
          <w:rFonts w:ascii="Bookman Old Style" w:hAnsi="Bookman Old Style" w:cs="Arial"/>
          <w:lang w:val="es-MX"/>
        </w:rPr>
        <w:t>-00</w:t>
      </w:r>
      <w:r w:rsidR="00C1757B">
        <w:rPr>
          <w:rFonts w:ascii="Bookman Old Style" w:hAnsi="Bookman Old Style" w:cs="Arial"/>
          <w:lang w:val="es-MX"/>
        </w:rPr>
        <w:t>4972,</w:t>
      </w:r>
      <w:r w:rsidR="00C1757B" w:rsidRPr="00AD369B">
        <w:rPr>
          <w:rFonts w:ascii="Bookman Old Style" w:hAnsi="Bookman Old Style" w:cs="Arial"/>
          <w:lang w:val="es-MX"/>
        </w:rPr>
        <w:t xml:space="preserve"> respectivamente.</w:t>
      </w:r>
    </w:p>
    <w:p w14:paraId="3FDBA358" w14:textId="68163711" w:rsidR="008D24B8" w:rsidRDefault="008D24B8" w:rsidP="00C1757B">
      <w:pPr>
        <w:ind w:left="284"/>
        <w:contextualSpacing/>
        <w:jc w:val="both"/>
        <w:rPr>
          <w:rFonts w:ascii="Bookman Old Style" w:hAnsi="Bookman Old Style" w:cs="Arial"/>
          <w:lang w:val="es-MX"/>
        </w:rPr>
      </w:pPr>
    </w:p>
    <w:p w14:paraId="374B67AF" w14:textId="324D8F62" w:rsidR="008D24B8" w:rsidRPr="008D24B8" w:rsidRDefault="008D24B8" w:rsidP="008D24B8">
      <w:pPr>
        <w:pStyle w:val="Textoindependiente2"/>
        <w:spacing w:after="0" w:line="240" w:lineRule="auto"/>
        <w:ind w:left="284"/>
        <w:jc w:val="both"/>
        <w:rPr>
          <w:rFonts w:ascii="Bookman Old Style" w:hAnsi="Bookman Old Style" w:cs="Arial"/>
          <w:lang w:val="es-CO"/>
        </w:rPr>
      </w:pPr>
      <w:r w:rsidRPr="00AF3646">
        <w:rPr>
          <w:rFonts w:ascii="Bookman Old Style" w:hAnsi="Bookman Old Style" w:cs="Arial"/>
        </w:rPr>
        <w:t xml:space="preserve">En la actuación administrativa no se hicieron parte usuarios u otros terceros interesados. </w:t>
      </w:r>
    </w:p>
    <w:p w14:paraId="604900E5" w14:textId="6BB4319F" w:rsidR="00C1757B" w:rsidRDefault="00C1757B" w:rsidP="00C1757B">
      <w:pPr>
        <w:ind w:left="284"/>
        <w:contextualSpacing/>
        <w:jc w:val="both"/>
        <w:rPr>
          <w:rFonts w:ascii="Bookman Old Style" w:hAnsi="Bookman Old Style" w:cs="Arial"/>
          <w:lang w:val="es-MX"/>
        </w:rPr>
      </w:pPr>
    </w:p>
    <w:p w14:paraId="7AE09832" w14:textId="0EC365DE" w:rsidR="00C1757B" w:rsidRDefault="00C1757B" w:rsidP="0098394C">
      <w:pPr>
        <w:ind w:left="284"/>
        <w:contextualSpacing/>
        <w:jc w:val="both"/>
        <w:rPr>
          <w:rFonts w:ascii="Bookman Old Style" w:hAnsi="Bookman Old Style" w:cs="Arial"/>
          <w:lang w:val="es-MX"/>
        </w:rPr>
      </w:pPr>
      <w:r w:rsidRPr="00AD369B">
        <w:rPr>
          <w:rFonts w:ascii="Bookman Old Style" w:hAnsi="Bookman Old Style" w:cs="Arial"/>
          <w:lang w:val="es-MX"/>
        </w:rPr>
        <w:t>Con radicado CREG E-</w:t>
      </w:r>
      <w:r>
        <w:rPr>
          <w:rFonts w:ascii="Bookman Old Style" w:hAnsi="Bookman Old Style" w:cs="Arial"/>
          <w:lang w:val="es-MX"/>
        </w:rPr>
        <w:t>2021-</w:t>
      </w:r>
      <w:r w:rsidR="0098394C">
        <w:rPr>
          <w:rFonts w:ascii="Bookman Old Style" w:hAnsi="Bookman Old Style" w:cs="Arial"/>
          <w:lang w:val="es-MX"/>
        </w:rPr>
        <w:t>014116 del 30</w:t>
      </w:r>
      <w:r w:rsidRPr="00AD369B">
        <w:rPr>
          <w:rFonts w:ascii="Bookman Old Style" w:hAnsi="Bookman Old Style" w:cs="Arial"/>
          <w:lang w:val="es-MX"/>
        </w:rPr>
        <w:t xml:space="preserve"> de </w:t>
      </w:r>
      <w:r w:rsidR="0098394C">
        <w:rPr>
          <w:rFonts w:ascii="Bookman Old Style" w:hAnsi="Bookman Old Style" w:cs="Arial"/>
          <w:lang w:val="es-MX"/>
        </w:rPr>
        <w:t>noviembre</w:t>
      </w:r>
      <w:r w:rsidRPr="00AD369B">
        <w:rPr>
          <w:rFonts w:ascii="Bookman Old Style" w:hAnsi="Bookman Old Style" w:cs="Arial"/>
          <w:lang w:val="es-MX"/>
        </w:rPr>
        <w:t xml:space="preserve"> de 202</w:t>
      </w:r>
      <w:r w:rsidR="0098394C">
        <w:rPr>
          <w:rFonts w:ascii="Bookman Old Style" w:hAnsi="Bookman Old Style" w:cs="Arial"/>
          <w:lang w:val="es-MX"/>
        </w:rPr>
        <w:t>1</w:t>
      </w:r>
      <w:r w:rsidRPr="00AD369B">
        <w:rPr>
          <w:rFonts w:ascii="Bookman Old Style" w:hAnsi="Bookman Old Style" w:cs="Arial"/>
          <w:lang w:val="es-MX"/>
        </w:rPr>
        <w:t xml:space="preserve">, </w:t>
      </w:r>
      <w:r w:rsidR="0098394C" w:rsidRPr="00DA3A45">
        <w:rPr>
          <w:rFonts w:ascii="Bookman Old Style" w:eastAsia="Calibri" w:hAnsi="Bookman Old Style" w:cs="Arial"/>
          <w:lang w:eastAsia="en-US"/>
        </w:rPr>
        <w:t>GENSA</w:t>
      </w:r>
      <w:r w:rsidR="0098394C">
        <w:rPr>
          <w:rFonts w:ascii="Bookman Old Style" w:eastAsia="Calibri" w:hAnsi="Bookman Old Style" w:cs="Arial"/>
          <w:lang w:eastAsia="en-US"/>
        </w:rPr>
        <w:t xml:space="preserve"> </w:t>
      </w:r>
      <w:r w:rsidRPr="00AD369B">
        <w:rPr>
          <w:rFonts w:ascii="Bookman Old Style" w:hAnsi="Bookman Old Style" w:cs="Arial"/>
          <w:lang w:val="es-MX"/>
        </w:rPr>
        <w:t xml:space="preserve">solicitó </w:t>
      </w:r>
      <w:r w:rsidR="0098394C">
        <w:rPr>
          <w:rFonts w:ascii="Bookman Old Style" w:hAnsi="Bookman Old Style" w:cs="Arial"/>
          <w:lang w:val="es-MX"/>
        </w:rPr>
        <w:t>a esta Comisión</w:t>
      </w:r>
      <w:r w:rsidR="00A879D3">
        <w:rPr>
          <w:rFonts w:ascii="Bookman Old Style" w:hAnsi="Bookman Old Style" w:cs="Arial"/>
          <w:lang w:val="es-MX"/>
        </w:rPr>
        <w:t xml:space="preserve"> una</w:t>
      </w:r>
      <w:r w:rsidR="0098394C">
        <w:rPr>
          <w:rFonts w:ascii="Bookman Old Style" w:hAnsi="Bookman Old Style" w:cs="Arial"/>
          <w:lang w:val="es-MX"/>
        </w:rPr>
        <w:t xml:space="preserve"> mesa conjunta y/o audiencia para aclarar técnicamente el detalle requerido a través de Auto I-003418 del 16 de noviembre de 2021. Aunado a lo anterior, </w:t>
      </w:r>
      <w:r w:rsidR="0098394C" w:rsidRPr="00DA3A45">
        <w:rPr>
          <w:rFonts w:ascii="Bookman Old Style" w:eastAsia="Calibri" w:hAnsi="Bookman Old Style" w:cs="Arial"/>
          <w:lang w:eastAsia="en-US"/>
        </w:rPr>
        <w:t xml:space="preserve">GENSA </w:t>
      </w:r>
      <w:r w:rsidR="0098394C">
        <w:rPr>
          <w:rFonts w:ascii="Bookman Old Style" w:hAnsi="Bookman Old Style" w:cs="Arial"/>
          <w:lang w:val="es-MX"/>
        </w:rPr>
        <w:t xml:space="preserve">solicitó ampliar el límite para envío de la información exigida en el precitado auto. </w:t>
      </w:r>
    </w:p>
    <w:p w14:paraId="4A2E8E9A" w14:textId="77218A86" w:rsidR="0098394C" w:rsidRDefault="0098394C" w:rsidP="0098394C">
      <w:pPr>
        <w:ind w:left="284"/>
        <w:contextualSpacing/>
        <w:jc w:val="both"/>
        <w:rPr>
          <w:rFonts w:ascii="Bookman Old Style" w:hAnsi="Bookman Old Style" w:cs="Arial"/>
          <w:lang w:val="es-MX"/>
        </w:rPr>
      </w:pPr>
    </w:p>
    <w:p w14:paraId="5CCC3C0D" w14:textId="7927A5F9" w:rsidR="0098394C" w:rsidRDefault="0098394C" w:rsidP="468FEE61">
      <w:pPr>
        <w:spacing w:before="120" w:after="120"/>
        <w:ind w:left="270"/>
        <w:contextualSpacing/>
        <w:jc w:val="both"/>
        <w:rPr>
          <w:rFonts w:ascii="Bookman Old Style" w:hAnsi="Bookman Old Style" w:cs="Arial"/>
          <w:lang w:val="es-MX"/>
        </w:rPr>
      </w:pPr>
      <w:r>
        <w:rPr>
          <w:rFonts w:ascii="Bookman Old Style" w:hAnsi="Bookman Old Style" w:cs="Arial"/>
          <w:lang w:val="es-MX"/>
        </w:rPr>
        <w:t xml:space="preserve">Mediante </w:t>
      </w:r>
      <w:r w:rsidR="413CAC12" w:rsidRPr="468FEE61">
        <w:rPr>
          <w:rFonts w:ascii="Bookman Old Style" w:hAnsi="Bookman Old Style" w:cs="Arial"/>
        </w:rPr>
        <w:t xml:space="preserve">la </w:t>
      </w:r>
      <w:r w:rsidRPr="468FEE61">
        <w:rPr>
          <w:rFonts w:ascii="Bookman Old Style" w:hAnsi="Bookman Old Style" w:cs="Arial"/>
        </w:rPr>
        <w:t xml:space="preserve">Resolución </w:t>
      </w:r>
      <w:r w:rsidR="413CAC12" w:rsidRPr="468FEE61">
        <w:rPr>
          <w:rFonts w:ascii="Bookman Old Style" w:hAnsi="Bookman Old Style" w:cs="Arial"/>
        </w:rPr>
        <w:t xml:space="preserve">Administrativa CREG 621 del 16 de </w:t>
      </w:r>
      <w:r w:rsidR="00D83C2C" w:rsidRPr="468FEE61">
        <w:rPr>
          <w:rFonts w:ascii="Bookman Old Style" w:hAnsi="Bookman Old Style" w:cs="Arial"/>
        </w:rPr>
        <w:t xml:space="preserve">diciembre de </w:t>
      </w:r>
      <w:r w:rsidR="413CAC12" w:rsidRPr="468FEE61">
        <w:rPr>
          <w:rFonts w:ascii="Bookman Old Style" w:hAnsi="Bookman Old Style" w:cs="Arial"/>
        </w:rPr>
        <w:t>2021</w:t>
      </w:r>
      <w:r w:rsidRPr="468FEE61">
        <w:rPr>
          <w:rFonts w:ascii="Bookman Old Style" w:hAnsi="Bookman Old Style" w:cs="Arial"/>
        </w:rPr>
        <w:t>,</w:t>
      </w:r>
      <w:r>
        <w:rPr>
          <w:rFonts w:ascii="Bookman Old Style" w:hAnsi="Bookman Old Style" w:cs="Arial"/>
          <w:lang w:val="es-MX"/>
        </w:rPr>
        <w:t xml:space="preserve"> se </w:t>
      </w:r>
      <w:r w:rsidR="00D83C2C">
        <w:rPr>
          <w:rFonts w:ascii="Bookman Old Style" w:hAnsi="Bookman Old Style" w:cs="Arial"/>
          <w:lang w:val="es-MX"/>
        </w:rPr>
        <w:t xml:space="preserve">delegaron </w:t>
      </w:r>
      <w:r w:rsidR="00D83C2C" w:rsidRPr="00D83C2C">
        <w:rPr>
          <w:rFonts w:ascii="Bookman Old Style" w:hAnsi="Bookman Old Style" w:cs="Arial"/>
          <w:lang w:val="es-MX"/>
        </w:rPr>
        <w:t>la</w:t>
      </w:r>
      <w:r w:rsidR="007249CE">
        <w:rPr>
          <w:rFonts w:ascii="Bookman Old Style" w:hAnsi="Bookman Old Style" w:cs="Arial"/>
          <w:lang w:val="es-MX"/>
        </w:rPr>
        <w:t>s</w:t>
      </w:r>
      <w:r w:rsidR="00D83C2C" w:rsidRPr="00D83C2C">
        <w:rPr>
          <w:rFonts w:ascii="Bookman Old Style" w:hAnsi="Bookman Old Style" w:cs="Arial"/>
          <w:lang w:val="es-MX"/>
        </w:rPr>
        <w:t xml:space="preserve"> funci</w:t>
      </w:r>
      <w:r w:rsidR="007249CE">
        <w:rPr>
          <w:rFonts w:ascii="Bookman Old Style" w:hAnsi="Bookman Old Style" w:cs="Arial"/>
          <w:lang w:val="es-MX"/>
        </w:rPr>
        <w:t>ones</w:t>
      </w:r>
      <w:r w:rsidR="00D83C2C" w:rsidRPr="00D83C2C">
        <w:rPr>
          <w:rFonts w:ascii="Bookman Old Style" w:hAnsi="Bookman Old Style" w:cs="Arial"/>
          <w:lang w:val="es-MX"/>
        </w:rPr>
        <w:t xml:space="preserve"> de dirección, trámite y demás atribuciones que correspondan, a fin de llevar a cabo la audiencia de aclaración</w:t>
      </w:r>
      <w:r w:rsidR="00D83C2C">
        <w:rPr>
          <w:rFonts w:ascii="Bookman Old Style" w:hAnsi="Bookman Old Style" w:cs="Arial"/>
          <w:lang w:val="es-MX"/>
        </w:rPr>
        <w:t xml:space="preserve"> </w:t>
      </w:r>
      <w:r w:rsidR="00D83C2C" w:rsidRPr="00D83C2C">
        <w:rPr>
          <w:rFonts w:ascii="Bookman Old Style" w:hAnsi="Bookman Old Style" w:cs="Arial"/>
          <w:lang w:val="es-MX"/>
        </w:rPr>
        <w:t xml:space="preserve">del auto de pruebas I-2021-003418 del </w:t>
      </w:r>
      <w:r w:rsidR="003A2582">
        <w:rPr>
          <w:rFonts w:ascii="Bookman Old Style" w:hAnsi="Bookman Old Style" w:cs="Arial"/>
          <w:lang w:val="es-MX"/>
        </w:rPr>
        <w:t xml:space="preserve">16 de </w:t>
      </w:r>
      <w:r w:rsidR="132A1558" w:rsidRPr="468FEE61">
        <w:rPr>
          <w:rFonts w:ascii="Bookman Old Style" w:hAnsi="Bookman Old Style" w:cs="Arial"/>
          <w:lang w:val="es-MX"/>
        </w:rPr>
        <w:t>noviembre</w:t>
      </w:r>
      <w:r w:rsidR="003A2582">
        <w:rPr>
          <w:rFonts w:ascii="Bookman Old Style" w:hAnsi="Bookman Old Style" w:cs="Arial"/>
          <w:lang w:val="es-MX"/>
        </w:rPr>
        <w:t xml:space="preserve"> de 2021</w:t>
      </w:r>
      <w:r w:rsidR="00D83C2C" w:rsidRPr="00D83C2C">
        <w:rPr>
          <w:rFonts w:ascii="Bookman Old Style" w:hAnsi="Bookman Old Style" w:cs="Arial"/>
          <w:lang w:val="es-MX"/>
        </w:rPr>
        <w:t xml:space="preserve"> dentro del Expediente</w:t>
      </w:r>
      <w:r w:rsidR="003A2582">
        <w:rPr>
          <w:rFonts w:ascii="Bookman Old Style" w:hAnsi="Bookman Old Style" w:cs="Arial"/>
          <w:lang w:val="es-MX"/>
        </w:rPr>
        <w:t xml:space="preserve"> </w:t>
      </w:r>
      <w:r w:rsidR="00D83C2C" w:rsidRPr="00D83C2C">
        <w:rPr>
          <w:rFonts w:ascii="Bookman Old Style" w:hAnsi="Bookman Old Style" w:cs="Arial"/>
          <w:lang w:val="es-MX"/>
        </w:rPr>
        <w:t>2021-0070.</w:t>
      </w:r>
    </w:p>
    <w:p w14:paraId="659DFC2B" w14:textId="78DFF055" w:rsidR="00D83C2C" w:rsidRDefault="00D83C2C" w:rsidP="00D83C2C">
      <w:pPr>
        <w:ind w:left="284"/>
        <w:contextualSpacing/>
        <w:jc w:val="both"/>
        <w:rPr>
          <w:rFonts w:ascii="Bookman Old Style" w:hAnsi="Bookman Old Style" w:cs="Arial"/>
          <w:lang w:val="es-MX"/>
        </w:rPr>
      </w:pPr>
    </w:p>
    <w:p w14:paraId="4213F09A" w14:textId="011747BC" w:rsidR="00D83C2C" w:rsidRDefault="00D83C2C" w:rsidP="00D83C2C">
      <w:pPr>
        <w:ind w:left="284"/>
        <w:contextualSpacing/>
        <w:jc w:val="both"/>
        <w:rPr>
          <w:rFonts w:ascii="Bookman Old Style" w:hAnsi="Bookman Old Style" w:cs="Arial"/>
          <w:lang w:val="es-MX"/>
        </w:rPr>
      </w:pPr>
      <w:r>
        <w:rPr>
          <w:rFonts w:ascii="Bookman Old Style" w:hAnsi="Bookman Old Style" w:cs="Arial"/>
          <w:lang w:val="es-MX"/>
        </w:rPr>
        <w:t xml:space="preserve">Mediante radicado CREG 2021-S-2021-005308 del 13 de diciembre de 2021, se cita a </w:t>
      </w:r>
      <w:r w:rsidR="1C039E70" w:rsidRPr="78C075AF">
        <w:rPr>
          <w:rFonts w:ascii="Bookman Old Style" w:hAnsi="Bookman Old Style"/>
        </w:rPr>
        <w:t>GENSA</w:t>
      </w:r>
      <w:r w:rsidRPr="00D83C2C">
        <w:rPr>
          <w:rFonts w:ascii="Bookman Old Style" w:hAnsi="Bookman Old Style" w:cs="Arial"/>
          <w:lang w:val="es-MX"/>
        </w:rPr>
        <w:t xml:space="preserve"> a </w:t>
      </w:r>
      <w:r>
        <w:rPr>
          <w:rFonts w:ascii="Bookman Old Style" w:hAnsi="Bookman Old Style" w:cs="Arial"/>
          <w:lang w:val="es-MX"/>
        </w:rPr>
        <w:t>la</w:t>
      </w:r>
      <w:r w:rsidRPr="00D83C2C">
        <w:rPr>
          <w:rFonts w:ascii="Bookman Old Style" w:hAnsi="Bookman Old Style" w:cs="Arial"/>
          <w:lang w:val="es-MX"/>
        </w:rPr>
        <w:t xml:space="preserve"> audiencia aclaratoria </w:t>
      </w:r>
      <w:r w:rsidR="006C40CE">
        <w:rPr>
          <w:rFonts w:ascii="Bookman Old Style" w:hAnsi="Bookman Old Style" w:cs="Arial"/>
          <w:lang w:val="es-MX"/>
        </w:rPr>
        <w:t>programada para el</w:t>
      </w:r>
      <w:r w:rsidR="006C40CE" w:rsidRPr="00D83C2C">
        <w:rPr>
          <w:rFonts w:ascii="Bookman Old Style" w:hAnsi="Bookman Old Style" w:cs="Arial"/>
          <w:lang w:val="es-MX"/>
        </w:rPr>
        <w:t xml:space="preserve"> día 17 de diciembre de 202</w:t>
      </w:r>
      <w:r w:rsidR="003A2582">
        <w:rPr>
          <w:rFonts w:ascii="Bookman Old Style" w:hAnsi="Bookman Old Style" w:cs="Arial"/>
          <w:lang w:val="es-MX"/>
        </w:rPr>
        <w:t>1</w:t>
      </w:r>
      <w:r w:rsidR="006C40CE">
        <w:rPr>
          <w:rFonts w:ascii="Bookman Old Style" w:hAnsi="Bookman Old Style" w:cs="Arial"/>
          <w:lang w:val="es-MX"/>
        </w:rPr>
        <w:t>, sobre el</w:t>
      </w:r>
      <w:r w:rsidRPr="00D83C2C">
        <w:rPr>
          <w:rFonts w:ascii="Bookman Old Style" w:hAnsi="Bookman Old Style" w:cs="Arial"/>
          <w:lang w:val="es-MX"/>
        </w:rPr>
        <w:t xml:space="preserve"> Auto de pruebas I-2021-003418</w:t>
      </w:r>
      <w:r>
        <w:rPr>
          <w:rFonts w:ascii="Bookman Old Style" w:hAnsi="Bookman Old Style" w:cs="Arial"/>
          <w:lang w:val="es-MX"/>
        </w:rPr>
        <w:t xml:space="preserve">. Adicionalmente, mediante radicado CREG 2021-S-2021-005307 se cita a </w:t>
      </w:r>
      <w:r w:rsidRPr="00D83C2C">
        <w:rPr>
          <w:rFonts w:ascii="Bookman Old Style" w:hAnsi="Bookman Old Style" w:cs="Arial"/>
          <w:lang w:val="es-MX"/>
        </w:rPr>
        <w:t>EMELCE</w:t>
      </w:r>
      <w:r>
        <w:rPr>
          <w:rFonts w:ascii="Bookman Old Style" w:hAnsi="Bookman Old Style" w:cs="Arial"/>
          <w:lang w:val="es-MX"/>
        </w:rPr>
        <w:t>, como parte vinculada al expediente 0070-2021.</w:t>
      </w:r>
    </w:p>
    <w:p w14:paraId="147F9CA9" w14:textId="7EA9BCAF" w:rsidR="00D83C2C" w:rsidRDefault="00D83C2C" w:rsidP="00D83C2C">
      <w:pPr>
        <w:ind w:left="284"/>
        <w:contextualSpacing/>
        <w:jc w:val="both"/>
        <w:rPr>
          <w:rFonts w:ascii="Bookman Old Style" w:hAnsi="Bookman Old Style" w:cs="Arial"/>
          <w:lang w:val="es-MX"/>
        </w:rPr>
      </w:pPr>
    </w:p>
    <w:p w14:paraId="50B875BE" w14:textId="3C85D3CF" w:rsidR="00D83C2C" w:rsidRPr="006C40CE" w:rsidRDefault="78FB73B9" w:rsidP="006C40CE">
      <w:pPr>
        <w:ind w:left="284"/>
        <w:contextualSpacing/>
        <w:jc w:val="both"/>
        <w:rPr>
          <w:rFonts w:ascii="Bookman Old Style" w:hAnsi="Bookman Old Style" w:cs="Arial"/>
          <w:lang w:val="es-MX"/>
        </w:rPr>
      </w:pPr>
      <w:r w:rsidRPr="329DEA05">
        <w:rPr>
          <w:rFonts w:ascii="Bookman Old Style" w:hAnsi="Bookman Old Style" w:cs="Arial"/>
          <w:lang w:val="es-MX"/>
        </w:rPr>
        <w:t xml:space="preserve">Mediante radicado CREG I-2021-004020 del 17 de diciembre de 2021, se asoció al expediente 2021-070 </w:t>
      </w:r>
      <w:r w:rsidR="2153C878" w:rsidRPr="329DEA05">
        <w:rPr>
          <w:rFonts w:ascii="Bookman Old Style" w:hAnsi="Bookman Old Style" w:cs="Arial"/>
          <w:lang w:val="es-MX"/>
        </w:rPr>
        <w:t xml:space="preserve">el acta de reunión y </w:t>
      </w:r>
      <w:r w:rsidRPr="329DEA05">
        <w:rPr>
          <w:rFonts w:ascii="Bookman Old Style" w:hAnsi="Bookman Old Style" w:cs="Arial"/>
          <w:lang w:val="es-MX"/>
        </w:rPr>
        <w:t>la grabación de la sesión virtual, a través de la cual se realizó la audiencia aclaratoria en el marco de la información requerida en el Auto I- 2021-003418 del 16 de noviembre</w:t>
      </w:r>
      <w:r w:rsidR="00EF0A6B">
        <w:rPr>
          <w:rFonts w:ascii="Bookman Old Style" w:hAnsi="Bookman Old Style" w:cs="Arial"/>
          <w:lang w:val="es-MX"/>
        </w:rPr>
        <w:t xml:space="preserve"> de 2021</w:t>
      </w:r>
      <w:r w:rsidRPr="329DEA05">
        <w:rPr>
          <w:rFonts w:ascii="Bookman Old Style" w:hAnsi="Bookman Old Style" w:cs="Arial"/>
          <w:lang w:val="es-MX"/>
        </w:rPr>
        <w:t>.</w:t>
      </w:r>
      <w:r w:rsidR="3EEAB296" w:rsidRPr="329DEA05">
        <w:rPr>
          <w:rFonts w:ascii="Bookman Old Style" w:hAnsi="Bookman Old Style" w:cs="Arial"/>
          <w:lang w:val="es-MX"/>
        </w:rPr>
        <w:t xml:space="preserve"> Como parte del desarrollo de la audiencia aclaratoria, se </w:t>
      </w:r>
      <w:r w:rsidR="00A879D3">
        <w:rPr>
          <w:rFonts w:ascii="Bookman Old Style" w:hAnsi="Bookman Old Style" w:cs="Arial"/>
          <w:lang w:val="es-MX"/>
        </w:rPr>
        <w:t xml:space="preserve">definió </w:t>
      </w:r>
      <w:r w:rsidR="3EEAB296" w:rsidRPr="329DEA05">
        <w:rPr>
          <w:rFonts w:ascii="Bookman Old Style" w:hAnsi="Bookman Old Style" w:cs="Arial"/>
          <w:lang w:val="es-MX"/>
        </w:rPr>
        <w:t>la ampliación para el término de respuesta por parte de GENSA, fijando como fecha límite el 31 de enero de 2022.</w:t>
      </w:r>
    </w:p>
    <w:p w14:paraId="17CF5416" w14:textId="77777777" w:rsidR="00C1757B" w:rsidRPr="00AD369B" w:rsidRDefault="00C1757B" w:rsidP="00C1757B">
      <w:pPr>
        <w:ind w:left="284"/>
        <w:contextualSpacing/>
        <w:jc w:val="both"/>
        <w:rPr>
          <w:rFonts w:ascii="Bookman Old Style" w:hAnsi="Bookman Old Style" w:cs="Arial"/>
          <w:lang w:val="es-MX"/>
        </w:rPr>
      </w:pPr>
    </w:p>
    <w:p w14:paraId="32C7B39F" w14:textId="71D43F2E" w:rsidR="008E0D6D" w:rsidRDefault="00326048" w:rsidP="00C1757B">
      <w:pPr>
        <w:ind w:left="284"/>
        <w:contextualSpacing/>
        <w:jc w:val="both"/>
        <w:rPr>
          <w:rFonts w:ascii="Bookman Old Style" w:hAnsi="Bookman Old Style" w:cs="Arial"/>
          <w:lang w:val="es-MX"/>
        </w:rPr>
      </w:pPr>
      <w:r>
        <w:rPr>
          <w:rFonts w:ascii="Bookman Old Style" w:eastAsia="Calibri" w:hAnsi="Bookman Old Style" w:cs="Arial"/>
          <w:lang w:val="es-MX" w:eastAsia="en-US"/>
        </w:rPr>
        <w:t xml:space="preserve">Mediante </w:t>
      </w:r>
      <w:r w:rsidR="000F0C5F">
        <w:rPr>
          <w:rFonts w:ascii="Bookman Old Style" w:eastAsia="Calibri" w:hAnsi="Bookman Old Style" w:cs="Arial"/>
          <w:lang w:eastAsia="en-US"/>
        </w:rPr>
        <w:t xml:space="preserve">radicado </w:t>
      </w:r>
      <w:r w:rsidR="000F0C5F" w:rsidRPr="00DA3A45">
        <w:rPr>
          <w:rFonts w:ascii="Bookman Old Style" w:eastAsia="Calibri" w:hAnsi="Bookman Old Style" w:cs="Arial"/>
          <w:lang w:eastAsia="en-US"/>
        </w:rPr>
        <w:t>CREG S-</w:t>
      </w:r>
      <w:r w:rsidR="000F0C5F">
        <w:rPr>
          <w:rFonts w:ascii="Bookman Old Style" w:eastAsia="Calibri" w:hAnsi="Bookman Old Style" w:cs="Arial"/>
          <w:lang w:eastAsia="en-US"/>
        </w:rPr>
        <w:t xml:space="preserve">2022-000118 </w:t>
      </w:r>
      <w:r w:rsidR="000F0C5F" w:rsidRPr="00DA3A45">
        <w:rPr>
          <w:rFonts w:ascii="Bookman Old Style" w:eastAsia="Calibri" w:hAnsi="Bookman Old Style" w:cs="Arial"/>
          <w:lang w:eastAsia="en-US"/>
        </w:rPr>
        <w:t xml:space="preserve">se remitió a GENSA </w:t>
      </w:r>
      <w:r w:rsidR="00EF0A6B">
        <w:rPr>
          <w:rFonts w:ascii="Bookman Old Style" w:eastAsia="Calibri" w:hAnsi="Bookman Old Style" w:cs="Arial"/>
          <w:lang w:eastAsia="en-US"/>
        </w:rPr>
        <w:t xml:space="preserve">el </w:t>
      </w:r>
      <w:r w:rsidR="00F91D79" w:rsidRPr="00AD369B">
        <w:rPr>
          <w:rFonts w:ascii="Bookman Old Style" w:eastAsia="Calibri" w:hAnsi="Bookman Old Style" w:cs="Arial"/>
          <w:lang w:eastAsia="en-US"/>
        </w:rPr>
        <w:t xml:space="preserve">Auto </w:t>
      </w:r>
      <w:r w:rsidR="00F91D79" w:rsidRPr="00DA3A45">
        <w:rPr>
          <w:rFonts w:ascii="Bookman Old Style" w:eastAsia="Calibri" w:hAnsi="Bookman Old Style" w:cs="Arial"/>
          <w:lang w:eastAsia="en-US"/>
        </w:rPr>
        <w:t>I</w:t>
      </w:r>
      <w:r w:rsidR="000F0C5F" w:rsidRPr="000F0C5F">
        <w:rPr>
          <w:rFonts w:ascii="Bookman Old Style" w:eastAsia="Calibri" w:hAnsi="Bookman Old Style" w:cs="Arial"/>
          <w:lang w:eastAsia="en-US"/>
        </w:rPr>
        <w:t>-2022-004323 del 13 de enero de 2022</w:t>
      </w:r>
      <w:r w:rsidR="000F0C5F" w:rsidRPr="00AD369B">
        <w:rPr>
          <w:rFonts w:ascii="Bookman Old Style" w:eastAsia="Calibri" w:hAnsi="Bookman Old Style" w:cs="Arial"/>
          <w:lang w:val="es-MX" w:eastAsia="en-US"/>
        </w:rPr>
        <w:t>,</w:t>
      </w:r>
      <w:r w:rsidR="00C1757B">
        <w:rPr>
          <w:rFonts w:ascii="Bookman Old Style" w:eastAsia="Calibri" w:hAnsi="Bookman Old Style" w:cs="Arial"/>
          <w:lang w:val="es-MX" w:eastAsia="en-US"/>
        </w:rPr>
        <w:t xml:space="preserve"> a través del cual </w:t>
      </w:r>
      <w:r w:rsidR="00C1757B" w:rsidRPr="00AD369B">
        <w:rPr>
          <w:rFonts w:ascii="Bookman Old Style" w:hAnsi="Bookman Old Style" w:cs="Arial"/>
          <w:lang w:val="es-MX"/>
        </w:rPr>
        <w:t xml:space="preserve">decretó la práctica de pruebas de oficio tendientes a complementar </w:t>
      </w:r>
      <w:r w:rsidR="000F0C5F">
        <w:rPr>
          <w:rFonts w:ascii="Bookman Old Style" w:eastAsia="Calibri" w:hAnsi="Bookman Old Style" w:cs="Arial"/>
          <w:lang w:eastAsia="en-US"/>
        </w:rPr>
        <w:t>requerimientos sobre</w:t>
      </w:r>
      <w:r w:rsidR="000F0C5F" w:rsidRPr="00AD369B">
        <w:rPr>
          <w:rFonts w:ascii="Bookman Old Style" w:eastAsia="Calibri" w:hAnsi="Bookman Old Style" w:cs="Arial"/>
          <w:lang w:eastAsia="en-US"/>
        </w:rPr>
        <w:t xml:space="preserve"> la información presentada por la empresa dentro de la actuación administrativa</w:t>
      </w:r>
      <w:r w:rsidR="00C1757B">
        <w:rPr>
          <w:rFonts w:ascii="Bookman Old Style" w:eastAsia="Calibri" w:hAnsi="Bookman Old Style" w:cs="Arial"/>
          <w:lang w:eastAsia="en-US"/>
        </w:rPr>
        <w:t xml:space="preserve"> </w:t>
      </w:r>
      <w:r w:rsidR="00C1757B" w:rsidRPr="00FA3575">
        <w:rPr>
          <w:rFonts w:ascii="Bookman Old Style" w:hAnsi="Bookman Old Style" w:cs="Arial"/>
          <w:lang w:val="es-MX"/>
        </w:rPr>
        <w:t>2021-0070</w:t>
      </w:r>
      <w:r w:rsidR="00C1757B">
        <w:rPr>
          <w:rFonts w:ascii="Bookman Old Style" w:hAnsi="Bookman Old Style" w:cs="Arial"/>
          <w:lang w:val="es-MX"/>
        </w:rPr>
        <w:t xml:space="preserve">. </w:t>
      </w:r>
      <w:bookmarkEnd w:id="2"/>
    </w:p>
    <w:p w14:paraId="33D005F7" w14:textId="77777777" w:rsidR="00C1757B" w:rsidRPr="00BE199A" w:rsidRDefault="00C1757B" w:rsidP="00C1757B">
      <w:pPr>
        <w:ind w:left="284"/>
        <w:contextualSpacing/>
        <w:jc w:val="both"/>
        <w:rPr>
          <w:rFonts w:ascii="Bookman Old Style" w:eastAsia="Calibri" w:hAnsi="Bookman Old Style" w:cs="Arial"/>
          <w:lang w:val="es-ES_tradnl" w:eastAsia="en-US"/>
        </w:rPr>
      </w:pPr>
    </w:p>
    <w:p w14:paraId="462C26E8" w14:textId="3C630C54" w:rsidR="00A31AD1" w:rsidRDefault="00B51E41" w:rsidP="00EB5E0B">
      <w:pPr>
        <w:ind w:left="284"/>
        <w:contextualSpacing/>
        <w:jc w:val="both"/>
        <w:rPr>
          <w:rFonts w:ascii="Bookman Old Style" w:eastAsia="Calibri" w:hAnsi="Bookman Old Style" w:cs="Arial"/>
          <w:lang w:eastAsia="en-US"/>
        </w:rPr>
      </w:pPr>
      <w:r w:rsidRPr="00AD369B">
        <w:rPr>
          <w:rFonts w:ascii="Bookman Old Style" w:eastAsia="Calibri" w:hAnsi="Bookman Old Style" w:cs="Arial"/>
          <w:lang w:eastAsia="en-US"/>
        </w:rPr>
        <w:t>La solicitud de aclaración y ampliación de información a la empresa fue en relación</w:t>
      </w:r>
      <w:r w:rsidR="00C76004" w:rsidRPr="00AD369B">
        <w:rPr>
          <w:rFonts w:ascii="Bookman Old Style" w:eastAsia="Calibri" w:hAnsi="Bookman Old Style" w:cs="Arial"/>
          <w:lang w:eastAsia="en-US"/>
        </w:rPr>
        <w:t xml:space="preserve"> con</w:t>
      </w:r>
      <w:r w:rsidR="005E673E" w:rsidRPr="00AD369B">
        <w:rPr>
          <w:rFonts w:ascii="Bookman Old Style" w:eastAsia="Calibri" w:hAnsi="Bookman Old Style" w:cs="Arial"/>
          <w:lang w:eastAsia="en-US"/>
        </w:rPr>
        <w:t>,</w:t>
      </w:r>
      <w:r w:rsidR="00C76004" w:rsidRPr="00AD369B">
        <w:rPr>
          <w:rFonts w:ascii="Bookman Old Style" w:eastAsia="Calibri" w:hAnsi="Bookman Old Style" w:cs="Arial"/>
          <w:lang w:eastAsia="en-US"/>
        </w:rPr>
        <w:t xml:space="preserve"> entre otros</w:t>
      </w:r>
      <w:r w:rsidRPr="00AD369B">
        <w:rPr>
          <w:rFonts w:ascii="Bookman Old Style" w:eastAsia="Calibri" w:hAnsi="Bookman Old Style" w:cs="Arial"/>
          <w:lang w:eastAsia="en-US"/>
        </w:rPr>
        <w:t xml:space="preserve">: </w:t>
      </w:r>
      <w:r w:rsidR="00BE199A">
        <w:rPr>
          <w:rFonts w:ascii="Bookman Old Style" w:eastAsia="Calibri" w:hAnsi="Bookman Old Style" w:cs="Arial"/>
          <w:lang w:eastAsia="en-US"/>
        </w:rPr>
        <w:t xml:space="preserve">detalle de las actividades costeadas </w:t>
      </w:r>
      <w:r w:rsidR="00C1757B">
        <w:rPr>
          <w:rFonts w:ascii="Bookman Old Style" w:eastAsia="Calibri" w:hAnsi="Bookman Old Style" w:cs="Arial"/>
          <w:lang w:eastAsia="en-US"/>
        </w:rPr>
        <w:t xml:space="preserve">y precios unitarios </w:t>
      </w:r>
      <w:r w:rsidR="00BE199A">
        <w:rPr>
          <w:rFonts w:ascii="Bookman Old Style" w:eastAsia="Calibri" w:hAnsi="Bookman Old Style" w:cs="Arial"/>
          <w:lang w:eastAsia="en-US"/>
        </w:rPr>
        <w:t>en los presupuestos de inversión y AOM, solicitud de soportes económicos</w:t>
      </w:r>
      <w:r w:rsidR="000D137F">
        <w:rPr>
          <w:rFonts w:ascii="Bookman Old Style" w:eastAsia="Calibri" w:hAnsi="Bookman Old Style" w:cs="Arial"/>
          <w:lang w:eastAsia="en-US"/>
        </w:rPr>
        <w:t xml:space="preserve"> o financieros de precios</w:t>
      </w:r>
      <w:r w:rsidR="00BE199A">
        <w:rPr>
          <w:rFonts w:ascii="Bookman Old Style" w:eastAsia="Calibri" w:hAnsi="Bookman Old Style" w:cs="Arial"/>
          <w:lang w:eastAsia="en-US"/>
        </w:rPr>
        <w:t xml:space="preserve">, </w:t>
      </w:r>
      <w:r w:rsidR="00A31AD1" w:rsidRPr="00AD369B">
        <w:rPr>
          <w:rFonts w:ascii="Bookman Old Style" w:eastAsia="Calibri" w:hAnsi="Bookman Old Style" w:cs="Arial"/>
          <w:lang w:eastAsia="en-US"/>
        </w:rPr>
        <w:t>las</w:t>
      </w:r>
      <w:r w:rsidR="00C76004" w:rsidRPr="00AD369B">
        <w:rPr>
          <w:rFonts w:ascii="Bookman Old Style" w:eastAsia="Calibri" w:hAnsi="Bookman Old Style" w:cs="Arial"/>
          <w:lang w:eastAsia="en-US"/>
        </w:rPr>
        <w:t xml:space="preserve"> condiciones técnicas y criterios utilizados,</w:t>
      </w:r>
      <w:r w:rsidR="00A31AD1" w:rsidRPr="00AD369B">
        <w:rPr>
          <w:rFonts w:ascii="Bookman Old Style" w:eastAsia="Calibri" w:hAnsi="Bookman Old Style" w:cs="Arial"/>
          <w:lang w:eastAsia="en-US"/>
        </w:rPr>
        <w:t xml:space="preserve"> los equipos requeridos para la hibridación del sistema</w:t>
      </w:r>
      <w:r w:rsidR="000D137F">
        <w:rPr>
          <w:rFonts w:ascii="Bookman Old Style" w:eastAsia="Calibri" w:hAnsi="Bookman Old Style" w:cs="Arial"/>
          <w:lang w:eastAsia="en-US"/>
        </w:rPr>
        <w:t xml:space="preserve"> y</w:t>
      </w:r>
      <w:r w:rsidR="00A31AD1" w:rsidRPr="00AD369B">
        <w:rPr>
          <w:rFonts w:ascii="Bookman Old Style" w:eastAsia="Calibri" w:hAnsi="Bookman Old Style" w:cs="Arial"/>
          <w:lang w:eastAsia="en-US"/>
        </w:rPr>
        <w:t xml:space="preserve"> </w:t>
      </w:r>
      <w:r w:rsidR="00EF0A6B">
        <w:rPr>
          <w:rFonts w:ascii="Bookman Old Style" w:eastAsia="Calibri" w:hAnsi="Bookman Old Style" w:cs="Arial"/>
          <w:lang w:eastAsia="en-US"/>
        </w:rPr>
        <w:t xml:space="preserve">aclaraciones relacionadas con </w:t>
      </w:r>
      <w:r w:rsidR="00C76004" w:rsidRPr="00AD369B">
        <w:rPr>
          <w:rFonts w:ascii="Bookman Old Style" w:eastAsia="Calibri" w:hAnsi="Bookman Old Style" w:cs="Arial"/>
          <w:lang w:eastAsia="en-US"/>
        </w:rPr>
        <w:t xml:space="preserve">el diagrama unifilar de </w:t>
      </w:r>
      <w:r w:rsidR="00A31AD1" w:rsidRPr="00AD369B">
        <w:rPr>
          <w:rFonts w:ascii="Bookman Old Style" w:eastAsia="Calibri" w:hAnsi="Bookman Old Style" w:cs="Arial"/>
          <w:lang w:eastAsia="en-US"/>
        </w:rPr>
        <w:t>la planta</w:t>
      </w:r>
      <w:r w:rsidR="00C76004" w:rsidRPr="00AD369B">
        <w:rPr>
          <w:rFonts w:ascii="Bookman Old Style" w:eastAsia="Calibri" w:hAnsi="Bookman Old Style" w:cs="Arial"/>
          <w:lang w:eastAsia="en-US"/>
        </w:rPr>
        <w:t xml:space="preserve"> </w:t>
      </w:r>
      <w:r w:rsidR="00A31AD1" w:rsidRPr="00AD369B">
        <w:rPr>
          <w:rFonts w:ascii="Bookman Old Style" w:eastAsia="Calibri" w:hAnsi="Bookman Old Style" w:cs="Arial"/>
          <w:lang w:eastAsia="en-US"/>
        </w:rPr>
        <w:t>solar.</w:t>
      </w:r>
    </w:p>
    <w:p w14:paraId="732798B5" w14:textId="77777777" w:rsidR="00326048" w:rsidRPr="00AD369B" w:rsidRDefault="00326048" w:rsidP="00EB5E0B">
      <w:pPr>
        <w:ind w:left="284"/>
        <w:contextualSpacing/>
        <w:jc w:val="both"/>
        <w:rPr>
          <w:rFonts w:ascii="Bookman Old Style" w:eastAsia="Calibri" w:hAnsi="Bookman Old Style" w:cs="Arial"/>
          <w:lang w:eastAsia="en-US"/>
        </w:rPr>
      </w:pPr>
    </w:p>
    <w:p w14:paraId="19EB918F" w14:textId="72E94D5B" w:rsidR="00A129E5" w:rsidRDefault="005D0AE3" w:rsidP="00EB5E0B">
      <w:pPr>
        <w:ind w:left="284"/>
        <w:contextualSpacing/>
        <w:jc w:val="both"/>
        <w:rPr>
          <w:rFonts w:ascii="Bookman Old Style" w:hAnsi="Bookman Old Style" w:cs="Arial"/>
        </w:rPr>
      </w:pPr>
      <w:r w:rsidRPr="00AD369B">
        <w:rPr>
          <w:rFonts w:ascii="Bookman Old Style" w:hAnsi="Bookman Old Style" w:cs="Arial"/>
        </w:rPr>
        <w:t xml:space="preserve">A través de </w:t>
      </w:r>
      <w:r w:rsidR="00B51E41" w:rsidRPr="00AD369B">
        <w:rPr>
          <w:rFonts w:ascii="Bookman Old Style" w:hAnsi="Bookman Old Style" w:cs="Arial"/>
        </w:rPr>
        <w:t>comunicaci</w:t>
      </w:r>
      <w:r w:rsidR="00A129E5">
        <w:rPr>
          <w:rFonts w:ascii="Bookman Old Style" w:hAnsi="Bookman Old Style" w:cs="Arial"/>
        </w:rPr>
        <w:t>o</w:t>
      </w:r>
      <w:r w:rsidR="00B51E41" w:rsidRPr="00AD369B">
        <w:rPr>
          <w:rFonts w:ascii="Bookman Old Style" w:hAnsi="Bookman Old Style" w:cs="Arial"/>
        </w:rPr>
        <w:t>n</w:t>
      </w:r>
      <w:r w:rsidR="00A129E5">
        <w:rPr>
          <w:rFonts w:ascii="Bookman Old Style" w:hAnsi="Bookman Old Style" w:cs="Arial"/>
        </w:rPr>
        <w:t>es</w:t>
      </w:r>
      <w:r w:rsidR="00B51E41" w:rsidRPr="00AD369B">
        <w:rPr>
          <w:rFonts w:ascii="Bookman Old Style" w:hAnsi="Bookman Old Style" w:cs="Arial"/>
        </w:rPr>
        <w:t xml:space="preserve"> con radicado</w:t>
      </w:r>
      <w:r w:rsidR="00A879D3">
        <w:rPr>
          <w:rFonts w:ascii="Bookman Old Style" w:hAnsi="Bookman Old Style" w:cs="Arial"/>
        </w:rPr>
        <w:t>s</w:t>
      </w:r>
      <w:r w:rsidR="00B51E41" w:rsidRPr="00AD369B">
        <w:rPr>
          <w:rFonts w:ascii="Bookman Old Style" w:hAnsi="Bookman Old Style" w:cs="Arial"/>
        </w:rPr>
        <w:t xml:space="preserve"> CREG</w:t>
      </w:r>
      <w:r w:rsidR="00B51E41" w:rsidRPr="00AD369B">
        <w:rPr>
          <w:rFonts w:ascii="Bookman Old Style" w:hAnsi="Bookman Old Style" w:cs="Arial"/>
          <w:lang w:val="es-MX"/>
        </w:rPr>
        <w:t xml:space="preserve"> </w:t>
      </w:r>
      <w:r w:rsidR="00F212B8" w:rsidRPr="00AD369B">
        <w:rPr>
          <w:rFonts w:ascii="Bookman Old Style" w:hAnsi="Bookman Old Style" w:cs="Arial"/>
          <w:lang w:val="es-MX"/>
        </w:rPr>
        <w:t>E-20</w:t>
      </w:r>
      <w:r w:rsidR="000D137F">
        <w:rPr>
          <w:rFonts w:ascii="Bookman Old Style" w:hAnsi="Bookman Old Style" w:cs="Arial"/>
          <w:lang w:val="es-MX"/>
        </w:rPr>
        <w:t>22</w:t>
      </w:r>
      <w:r w:rsidR="00F212B8" w:rsidRPr="00AD369B">
        <w:rPr>
          <w:rFonts w:ascii="Bookman Old Style" w:hAnsi="Bookman Old Style" w:cs="Arial"/>
          <w:lang w:val="es-MX"/>
        </w:rPr>
        <w:t>-00</w:t>
      </w:r>
      <w:r w:rsidR="000D137F">
        <w:rPr>
          <w:rFonts w:ascii="Bookman Old Style" w:hAnsi="Bookman Old Style" w:cs="Arial"/>
          <w:lang w:val="es-MX"/>
        </w:rPr>
        <w:t>1287</w:t>
      </w:r>
      <w:r w:rsidR="00F212B8" w:rsidRPr="00AD369B">
        <w:rPr>
          <w:rFonts w:ascii="Bookman Old Style" w:hAnsi="Bookman Old Style" w:cs="Arial"/>
          <w:lang w:val="es-MX"/>
        </w:rPr>
        <w:t xml:space="preserve"> </w:t>
      </w:r>
      <w:r w:rsidR="00A129E5">
        <w:rPr>
          <w:rFonts w:ascii="Bookman Old Style" w:hAnsi="Bookman Old Style" w:cs="Arial"/>
        </w:rPr>
        <w:t>y E-2022-001274</w:t>
      </w:r>
      <w:r w:rsidR="00EF0A6B">
        <w:rPr>
          <w:rFonts w:ascii="Bookman Old Style" w:hAnsi="Bookman Old Style" w:cs="Arial"/>
        </w:rPr>
        <w:t xml:space="preserve">, ambas </w:t>
      </w:r>
      <w:r w:rsidR="00C1757B" w:rsidRPr="00AD369B">
        <w:rPr>
          <w:rFonts w:ascii="Bookman Old Style" w:hAnsi="Bookman Old Style" w:cs="Arial"/>
        </w:rPr>
        <w:t xml:space="preserve">del </w:t>
      </w:r>
      <w:r w:rsidR="00C1757B">
        <w:rPr>
          <w:rFonts w:ascii="Bookman Old Style" w:hAnsi="Bookman Old Style" w:cs="Arial"/>
        </w:rPr>
        <w:t>31</w:t>
      </w:r>
      <w:r w:rsidR="00C1757B" w:rsidRPr="00AD369B">
        <w:rPr>
          <w:rFonts w:ascii="Bookman Old Style" w:hAnsi="Bookman Old Style" w:cs="Arial"/>
        </w:rPr>
        <w:t xml:space="preserve"> de </w:t>
      </w:r>
      <w:r w:rsidR="00C1757B">
        <w:rPr>
          <w:rFonts w:ascii="Bookman Old Style" w:hAnsi="Bookman Old Style" w:cs="Arial"/>
        </w:rPr>
        <w:t>enero</w:t>
      </w:r>
      <w:r w:rsidR="00C1757B" w:rsidRPr="00AD369B">
        <w:rPr>
          <w:rFonts w:ascii="Bookman Old Style" w:hAnsi="Bookman Old Style" w:cs="Arial"/>
        </w:rPr>
        <w:t xml:space="preserve"> de 2</w:t>
      </w:r>
      <w:r w:rsidR="00C1757B">
        <w:rPr>
          <w:rFonts w:ascii="Bookman Old Style" w:hAnsi="Bookman Old Style" w:cs="Arial"/>
        </w:rPr>
        <w:t>022</w:t>
      </w:r>
      <w:r w:rsidR="005E673E" w:rsidRPr="00AD369B">
        <w:rPr>
          <w:rFonts w:ascii="Bookman Old Style" w:hAnsi="Bookman Old Style" w:cs="Arial"/>
        </w:rPr>
        <w:t>,</w:t>
      </w:r>
      <w:r w:rsidR="00B51E41" w:rsidRPr="00AD369B">
        <w:rPr>
          <w:rFonts w:ascii="Bookman Old Style" w:hAnsi="Bookman Old Style" w:cs="Arial"/>
        </w:rPr>
        <w:t xml:space="preserve"> </w:t>
      </w:r>
      <w:r w:rsidR="000D137F" w:rsidRPr="6E821124">
        <w:rPr>
          <w:rFonts w:ascii="Bookman Old Style" w:eastAsia="Calibri" w:hAnsi="Bookman Old Style"/>
        </w:rPr>
        <w:t>GENSA</w:t>
      </w:r>
      <w:r w:rsidR="000D137F" w:rsidRPr="6E821124">
        <w:rPr>
          <w:rFonts w:ascii="Bookman Old Style" w:eastAsia="Calibri" w:hAnsi="Bookman Old Style" w:cs="Arial"/>
        </w:rPr>
        <w:t xml:space="preserve"> </w:t>
      </w:r>
      <w:r w:rsidR="00B51E41" w:rsidRPr="00AD369B">
        <w:rPr>
          <w:rFonts w:ascii="Bookman Old Style" w:hAnsi="Bookman Old Style" w:cs="Arial"/>
        </w:rPr>
        <w:t>presentó la información re</w:t>
      </w:r>
      <w:r w:rsidR="005E7460" w:rsidRPr="00AD369B">
        <w:rPr>
          <w:rFonts w:ascii="Bookman Old Style" w:hAnsi="Bookman Old Style" w:cs="Arial"/>
        </w:rPr>
        <w:t xml:space="preserve">querida en </w:t>
      </w:r>
      <w:r w:rsidR="00A129E5">
        <w:rPr>
          <w:rFonts w:ascii="Bookman Old Style" w:hAnsi="Bookman Old Style" w:cs="Arial"/>
        </w:rPr>
        <w:t xml:space="preserve">los autos de pruebas </w:t>
      </w:r>
      <w:r w:rsidR="00A129E5" w:rsidRPr="00DA3A45">
        <w:rPr>
          <w:rFonts w:ascii="Bookman Old Style" w:eastAsia="Calibri" w:hAnsi="Bookman Old Style" w:cs="Arial"/>
          <w:lang w:eastAsia="en-US"/>
        </w:rPr>
        <w:t>I-2021-003418</w:t>
      </w:r>
      <w:r w:rsidR="00A129E5">
        <w:rPr>
          <w:rFonts w:ascii="Bookman Old Style" w:eastAsia="Calibri" w:hAnsi="Bookman Old Style" w:cs="Arial"/>
          <w:lang w:eastAsia="en-US"/>
        </w:rPr>
        <w:t xml:space="preserve"> y </w:t>
      </w:r>
      <w:r w:rsidR="00A129E5" w:rsidRPr="00DA3A45">
        <w:rPr>
          <w:rFonts w:ascii="Bookman Old Style" w:eastAsia="Calibri" w:hAnsi="Bookman Old Style" w:cs="Arial"/>
          <w:lang w:eastAsia="en-US"/>
        </w:rPr>
        <w:t>I</w:t>
      </w:r>
      <w:r w:rsidR="00A129E5" w:rsidRPr="000F0C5F">
        <w:rPr>
          <w:rFonts w:ascii="Bookman Old Style" w:eastAsia="Calibri" w:hAnsi="Bookman Old Style" w:cs="Arial"/>
          <w:lang w:eastAsia="en-US"/>
        </w:rPr>
        <w:t>-2022-004323</w:t>
      </w:r>
      <w:r w:rsidR="005E7460" w:rsidRPr="00AD369B">
        <w:rPr>
          <w:rFonts w:ascii="Bookman Old Style" w:hAnsi="Bookman Old Style" w:cs="Arial"/>
        </w:rPr>
        <w:t xml:space="preserve">. </w:t>
      </w:r>
      <w:r w:rsidR="00A250F5" w:rsidRPr="00AD369B">
        <w:rPr>
          <w:rFonts w:ascii="Bookman Old Style" w:hAnsi="Bookman Old Style" w:cs="Arial"/>
        </w:rPr>
        <w:t>Dentro de la</w:t>
      </w:r>
      <w:r w:rsidR="0053063C" w:rsidRPr="00AD369B">
        <w:rPr>
          <w:rFonts w:ascii="Bookman Old Style" w:hAnsi="Bookman Old Style" w:cs="Arial"/>
        </w:rPr>
        <w:t xml:space="preserve">s consideraciones realizadas </w:t>
      </w:r>
      <w:r w:rsidR="00A250F5" w:rsidRPr="00AD369B">
        <w:rPr>
          <w:rFonts w:ascii="Bookman Old Style" w:hAnsi="Bookman Old Style" w:cs="Arial"/>
        </w:rPr>
        <w:t>por la empresa</w:t>
      </w:r>
      <w:r w:rsidR="0053063C" w:rsidRPr="00AD369B">
        <w:rPr>
          <w:rFonts w:ascii="Bookman Old Style" w:hAnsi="Bookman Old Style" w:cs="Arial"/>
        </w:rPr>
        <w:t xml:space="preserve"> en su comunicación</w:t>
      </w:r>
      <w:r w:rsidR="00A250F5" w:rsidRPr="00AD369B">
        <w:rPr>
          <w:rFonts w:ascii="Bookman Old Style" w:hAnsi="Bookman Old Style" w:cs="Arial"/>
        </w:rPr>
        <w:t xml:space="preserve">, </w:t>
      </w:r>
      <w:r w:rsidR="00A129E5">
        <w:rPr>
          <w:rFonts w:ascii="Bookman Old Style" w:hAnsi="Bookman Old Style" w:cs="Arial"/>
        </w:rPr>
        <w:t xml:space="preserve">se aclaran elementos del diagrama unifilar, se actualizan y detallan costos unitarios en presupuestos y en los soportes económicos de las actividades costeadas, se aclaran las aplicaciones prácticas de los sistemas scada para cada tecnología, justificación frente a la actividad de interconexión del sistema, entre otros aspectos requeridos a través de los </w:t>
      </w:r>
      <w:r w:rsidR="00456BE7">
        <w:rPr>
          <w:rFonts w:ascii="Bookman Old Style" w:hAnsi="Bookman Old Style" w:cs="Arial"/>
        </w:rPr>
        <w:t xml:space="preserve">precitados </w:t>
      </w:r>
      <w:r w:rsidR="00A129E5">
        <w:rPr>
          <w:rFonts w:ascii="Bookman Old Style" w:hAnsi="Bookman Old Style" w:cs="Arial"/>
        </w:rPr>
        <w:t>autos de pruebas.</w:t>
      </w:r>
    </w:p>
    <w:p w14:paraId="736B0063" w14:textId="77777777" w:rsidR="000F05C9" w:rsidRDefault="000F05C9" w:rsidP="00EB5E0B">
      <w:pPr>
        <w:ind w:left="284"/>
        <w:contextualSpacing/>
        <w:jc w:val="both"/>
        <w:rPr>
          <w:rFonts w:ascii="Bookman Old Style" w:hAnsi="Bookman Old Style" w:cs="Arial"/>
        </w:rPr>
      </w:pPr>
    </w:p>
    <w:p w14:paraId="3C42B131" w14:textId="00B9FCE3" w:rsidR="329DEA05" w:rsidRDefault="00D1620A" w:rsidP="329DEA05">
      <w:pPr>
        <w:ind w:left="284"/>
        <w:contextualSpacing/>
        <w:jc w:val="both"/>
        <w:rPr>
          <w:rFonts w:ascii="Bookman Old Style" w:hAnsi="Bookman Old Style" w:cs="Arial"/>
        </w:rPr>
      </w:pPr>
      <w:r w:rsidRPr="00D1620A">
        <w:rPr>
          <w:rFonts w:ascii="Bookman Old Style" w:hAnsi="Bookman Old Style" w:cs="Arial"/>
        </w:rPr>
        <w:t>Mediante verificación en página Web de la Alcaldía de Inírida, se constató la publicación mediante aviso de fecha 11 de octubre de 2021, de la actuación administrativa iniciada con base en la propuesta de remuneración para la Granja Solar Fotovoltaica, dando aplicación a la comunicación y publicidad determinada en el CPACA.</w:t>
      </w:r>
    </w:p>
    <w:p w14:paraId="740FABA3" w14:textId="77777777" w:rsidR="00D1620A" w:rsidRDefault="00D1620A" w:rsidP="329DEA05">
      <w:pPr>
        <w:ind w:left="284"/>
        <w:contextualSpacing/>
        <w:jc w:val="both"/>
        <w:rPr>
          <w:rFonts w:ascii="Bookman Old Style" w:hAnsi="Bookman Old Style" w:cs="Arial"/>
        </w:rPr>
      </w:pPr>
    </w:p>
    <w:p w14:paraId="3A14DE70" w14:textId="2918316A" w:rsidR="3DEFCCC4" w:rsidRDefault="51140994" w:rsidP="00660876">
      <w:pPr>
        <w:ind w:left="270"/>
        <w:jc w:val="both"/>
        <w:rPr>
          <w:rFonts w:ascii="Bookman Old Style" w:hAnsi="Bookman Old Style" w:cs="Arial"/>
          <w:lang w:val="es"/>
        </w:rPr>
      </w:pPr>
      <w:r w:rsidRPr="329DEA05">
        <w:rPr>
          <w:rFonts w:ascii="Bookman Old Style" w:hAnsi="Bookman Old Style" w:cs="Arial"/>
          <w:lang w:val="es"/>
        </w:rPr>
        <w:t>Esta información hace parte de los expedientes administrativos dentro del trámite de la actuación administrativa en el marco del debido proceso y el derecho de defensa.</w:t>
      </w:r>
    </w:p>
    <w:p w14:paraId="4F24B7B1" w14:textId="4EA7DE5D" w:rsidR="007A5599" w:rsidRPr="00AD369B" w:rsidRDefault="007A5599" w:rsidP="00B606A2">
      <w:pPr>
        <w:pStyle w:val="Textoindependiente2"/>
        <w:spacing w:after="0" w:line="240" w:lineRule="auto"/>
        <w:ind w:left="284"/>
        <w:contextualSpacing/>
        <w:jc w:val="both"/>
        <w:rPr>
          <w:rFonts w:ascii="Bookman Old Style" w:hAnsi="Bookman Old Style" w:cs="Arial"/>
          <w:lang w:val="es-CO"/>
        </w:rPr>
      </w:pPr>
    </w:p>
    <w:p w14:paraId="4812C1C0" w14:textId="42533097" w:rsidR="001A74A7" w:rsidRPr="00AD369B" w:rsidRDefault="4E6369B0" w:rsidP="329DEA05">
      <w:pPr>
        <w:numPr>
          <w:ilvl w:val="0"/>
          <w:numId w:val="8"/>
        </w:numPr>
        <w:ind w:right="142"/>
        <w:contextualSpacing/>
        <w:jc w:val="both"/>
        <w:rPr>
          <w:rFonts w:ascii="Bookman Old Style" w:hAnsi="Bookman Old Style" w:cs="Arial"/>
          <w:b/>
          <w:bCs/>
        </w:rPr>
      </w:pPr>
      <w:r w:rsidRPr="329DEA05">
        <w:rPr>
          <w:rFonts w:ascii="Bookman Old Style" w:hAnsi="Bookman Old Style" w:cs="Arial"/>
          <w:b/>
          <w:bCs/>
        </w:rPr>
        <w:t>ANÁLISIS DE LA SOLICITUD</w:t>
      </w:r>
    </w:p>
    <w:p w14:paraId="129FB39A" w14:textId="77777777" w:rsidR="005F2B6B" w:rsidRPr="00AD369B" w:rsidRDefault="005F2B6B" w:rsidP="00B606A2">
      <w:pPr>
        <w:ind w:left="284" w:right="142"/>
        <w:contextualSpacing/>
        <w:jc w:val="both"/>
        <w:rPr>
          <w:rFonts w:ascii="Bookman Old Style" w:hAnsi="Bookman Old Style" w:cs="Arial"/>
          <w:b/>
        </w:rPr>
      </w:pPr>
    </w:p>
    <w:p w14:paraId="13B9CE0D" w14:textId="77777777" w:rsidR="00D451C0" w:rsidRPr="00AD369B" w:rsidRDefault="51BF06EB" w:rsidP="329DEA05">
      <w:pPr>
        <w:pStyle w:val="Prrafodelista"/>
        <w:numPr>
          <w:ilvl w:val="1"/>
          <w:numId w:val="8"/>
        </w:numPr>
        <w:ind w:right="142"/>
        <w:contextualSpacing/>
        <w:jc w:val="both"/>
        <w:rPr>
          <w:rFonts w:ascii="Bookman Old Style" w:hAnsi="Bookman Old Style"/>
          <w:b/>
          <w:bCs/>
          <w:sz w:val="24"/>
          <w:szCs w:val="24"/>
        </w:rPr>
      </w:pPr>
      <w:r w:rsidRPr="329DEA05">
        <w:rPr>
          <w:rFonts w:ascii="Bookman Old Style" w:hAnsi="Bookman Old Style"/>
          <w:b/>
          <w:bCs/>
          <w:sz w:val="24"/>
          <w:szCs w:val="24"/>
        </w:rPr>
        <w:t>CONSIDERACIÓN JURÍDICA</w:t>
      </w:r>
    </w:p>
    <w:p w14:paraId="5A22778D" w14:textId="77777777" w:rsidR="0007678D" w:rsidRPr="00AD369B" w:rsidRDefault="0007678D" w:rsidP="00B606A2">
      <w:pPr>
        <w:ind w:left="284" w:right="142"/>
        <w:contextualSpacing/>
        <w:jc w:val="both"/>
        <w:rPr>
          <w:rFonts w:ascii="Bookman Old Style" w:hAnsi="Bookman Old Style"/>
          <w:b/>
        </w:rPr>
      </w:pPr>
    </w:p>
    <w:p w14:paraId="77514A37" w14:textId="40C88E79" w:rsidR="00727040" w:rsidRPr="00AD369B" w:rsidRDefault="329DEA05" w:rsidP="329DEA05">
      <w:pPr>
        <w:ind w:left="284"/>
        <w:contextualSpacing/>
        <w:jc w:val="both"/>
        <w:rPr>
          <w:rFonts w:ascii="Bookman Old Style" w:hAnsi="Bookman Old Style" w:cs="Arial"/>
        </w:rPr>
      </w:pPr>
      <w:r w:rsidRPr="329DEA05">
        <w:rPr>
          <w:rFonts w:ascii="Bookman Old Style" w:hAnsi="Bookman Old Style" w:cs="Arial"/>
        </w:rPr>
        <w:t xml:space="preserve">Es necesario señalar que los fundamentos jurídicos aludidos por </w:t>
      </w:r>
      <w:r w:rsidR="1C039E70" w:rsidRPr="37AC4F6A">
        <w:rPr>
          <w:rFonts w:ascii="Bookman Old Style" w:hAnsi="Bookman Old Style"/>
        </w:rPr>
        <w:t>GENSA</w:t>
      </w:r>
      <w:r w:rsidR="431F7024" w:rsidRPr="37AC4F6A">
        <w:rPr>
          <w:rFonts w:ascii="Bookman Old Style" w:hAnsi="Bookman Old Style"/>
        </w:rPr>
        <w:t>,</w:t>
      </w:r>
      <w:r w:rsidR="695368A5" w:rsidRPr="329DEA05">
        <w:rPr>
          <w:rFonts w:ascii="Bookman Old Style" w:hAnsi="Bookman Old Style"/>
        </w:rPr>
        <w:t xml:space="preserve"> en su solicitud, no son los aplicables para el análisis que hace esta Comisión, toda vez que los fundamentos legales se apoyan en lo estipulado en la </w:t>
      </w:r>
      <w:r w:rsidR="52BC69CF" w:rsidRPr="329DEA05">
        <w:rPr>
          <w:rFonts w:ascii="Bookman Old Style" w:hAnsi="Bookman Old Style" w:cs="Arial"/>
        </w:rPr>
        <w:t xml:space="preserve"> Resolución CREG 091 de 2007,</w:t>
      </w:r>
      <w:r w:rsidR="00660876">
        <w:rPr>
          <w:rFonts w:ascii="Bookman Old Style" w:hAnsi="Bookman Old Style" w:cs="Arial"/>
        </w:rPr>
        <w:t xml:space="preserve"> </w:t>
      </w:r>
      <w:r w:rsidR="52BC69CF" w:rsidRPr="329DEA05">
        <w:rPr>
          <w:rFonts w:ascii="Bookman Old Style" w:hAnsi="Bookman Old Style" w:cs="Arial"/>
        </w:rPr>
        <w:t xml:space="preserve">que establece las metodologías generales para remunerar las actividades de generación, distribución y comercialización de energía eléctrica, y las fórmulas tarifarias generales para establecer el costo unitario de prestación del servicio público de energía eléctrica en </w:t>
      </w:r>
      <w:r w:rsidR="16D69F8B" w:rsidRPr="329DEA05">
        <w:rPr>
          <w:rFonts w:ascii="Bookman Old Style" w:hAnsi="Bookman Old Style" w:cs="Arial"/>
        </w:rPr>
        <w:t>Zonas No Interconectadas</w:t>
      </w:r>
      <w:r w:rsidR="52BC69CF" w:rsidRPr="329DEA05">
        <w:rPr>
          <w:rFonts w:ascii="Bookman Old Style" w:hAnsi="Bookman Old Style" w:cs="Arial"/>
        </w:rPr>
        <w:t>.</w:t>
      </w:r>
    </w:p>
    <w:p w14:paraId="7AFCB4D5" w14:textId="77777777" w:rsidR="00660876" w:rsidRDefault="00660876" w:rsidP="00107522">
      <w:pPr>
        <w:ind w:left="284"/>
        <w:contextualSpacing/>
        <w:jc w:val="both"/>
        <w:rPr>
          <w:rFonts w:ascii="Bookman Old Style" w:hAnsi="Bookman Old Style" w:cs="Arial"/>
        </w:rPr>
      </w:pPr>
    </w:p>
    <w:p w14:paraId="7F6F1419" w14:textId="5971BA16" w:rsidR="00727040" w:rsidRDefault="00727040" w:rsidP="00107522">
      <w:pPr>
        <w:ind w:left="284"/>
        <w:contextualSpacing/>
        <w:jc w:val="both"/>
        <w:rPr>
          <w:rFonts w:ascii="Bookman Old Style" w:hAnsi="Bookman Old Style" w:cs="Arial"/>
        </w:rPr>
      </w:pPr>
      <w:r w:rsidRPr="00AD369B">
        <w:rPr>
          <w:rFonts w:ascii="Bookman Old Style" w:hAnsi="Bookman Old Style" w:cs="Arial"/>
        </w:rPr>
        <w:t>Mediante las Resoluciones CREG 161 de 2008, 057, 074, 097 de 2009 y 072 de 2013</w:t>
      </w:r>
      <w:r w:rsidR="00C21AD5" w:rsidRPr="00AD369B">
        <w:rPr>
          <w:rFonts w:ascii="Bookman Old Style" w:hAnsi="Bookman Old Style" w:cs="Arial"/>
        </w:rPr>
        <w:t>,</w:t>
      </w:r>
      <w:r w:rsidRPr="00AD369B">
        <w:rPr>
          <w:rFonts w:ascii="Bookman Old Style" w:hAnsi="Bookman Old Style" w:cs="Arial"/>
        </w:rPr>
        <w:t xml:space="preserve"> se modificó la Resolución CREG 091 de 2007.</w:t>
      </w:r>
    </w:p>
    <w:p w14:paraId="7D9DAAF0" w14:textId="77777777" w:rsidR="00834F8E" w:rsidRPr="00AD369B" w:rsidRDefault="00834F8E" w:rsidP="00660876">
      <w:pPr>
        <w:ind w:left="284"/>
        <w:contextualSpacing/>
        <w:jc w:val="both"/>
        <w:rPr>
          <w:rFonts w:ascii="Bookman Old Style" w:hAnsi="Bookman Old Style"/>
          <w:lang w:val="es-MX"/>
        </w:rPr>
      </w:pPr>
    </w:p>
    <w:p w14:paraId="24B3A3AA" w14:textId="73550600" w:rsidR="00834F8E" w:rsidRPr="00AD369B" w:rsidRDefault="00834F8E" w:rsidP="00834F8E">
      <w:pPr>
        <w:tabs>
          <w:tab w:val="left" w:pos="1477"/>
        </w:tabs>
        <w:spacing w:after="160" w:line="259" w:lineRule="auto"/>
        <w:ind w:left="284"/>
        <w:jc w:val="both"/>
        <w:rPr>
          <w:rFonts w:ascii="Bookman Old Style" w:hAnsi="Bookman Old Style"/>
          <w:lang w:val="es-CO"/>
        </w:rPr>
      </w:pPr>
      <w:r w:rsidRPr="00AD369B">
        <w:rPr>
          <w:rFonts w:ascii="Bookman Old Style" w:hAnsi="Bookman Old Style"/>
        </w:rPr>
        <w:t xml:space="preserve">Debe resaltarse que </w:t>
      </w:r>
      <w:r w:rsidRPr="00AD369B">
        <w:rPr>
          <w:rFonts w:ascii="Bookman Old Style" w:hAnsi="Bookman Old Style"/>
          <w:lang w:val="es-CO"/>
        </w:rPr>
        <w:t xml:space="preserve">el municipio de </w:t>
      </w:r>
      <w:r w:rsidR="006C40CE">
        <w:rPr>
          <w:rFonts w:ascii="Bookman Old Style" w:hAnsi="Bookman Old Style"/>
          <w:lang w:val="es-CO"/>
        </w:rPr>
        <w:t>Inírida</w:t>
      </w:r>
      <w:r w:rsidRPr="00AD369B">
        <w:rPr>
          <w:rFonts w:ascii="Bookman Old Style" w:hAnsi="Bookman Old Style"/>
          <w:lang w:val="es-CO"/>
        </w:rPr>
        <w:t xml:space="preserve">, </w:t>
      </w:r>
      <w:r w:rsidR="006C40CE">
        <w:rPr>
          <w:rFonts w:ascii="Bookman Old Style" w:hAnsi="Bookman Old Style"/>
          <w:lang w:val="es-CO"/>
        </w:rPr>
        <w:t>Guainía</w:t>
      </w:r>
      <w:r w:rsidRPr="00AD369B">
        <w:rPr>
          <w:rFonts w:ascii="Bookman Old Style" w:hAnsi="Bookman Old Style"/>
          <w:lang w:val="es-CO"/>
        </w:rPr>
        <w:t>, no hace parte de ninguna área de servicio exclusivo</w:t>
      </w:r>
      <w:r w:rsidRPr="00AD369B">
        <w:rPr>
          <w:rFonts w:ascii="Bookman Old Style" w:hAnsi="Bookman Old Style"/>
          <w:vertAlign w:val="superscript"/>
        </w:rPr>
        <w:t xml:space="preserve"> </w:t>
      </w:r>
      <w:r w:rsidRPr="00AD369B">
        <w:rPr>
          <w:rFonts w:ascii="Bookman Old Style" w:hAnsi="Bookman Old Style"/>
          <w:lang w:val="es-CO"/>
        </w:rPr>
        <w:t>para la prestación del servicio público domiciliario de energía eléctrica o sus actividades complementarias</w:t>
      </w:r>
      <w:r w:rsidRPr="00AD369B">
        <w:rPr>
          <w:rFonts w:ascii="Bookman Old Style" w:hAnsi="Bookman Old Style"/>
        </w:rPr>
        <w:t xml:space="preserve">, en los términos del artículo 40 de la </w:t>
      </w:r>
      <w:r w:rsidR="006C40CE">
        <w:rPr>
          <w:rFonts w:ascii="Bookman Old Style" w:hAnsi="Bookman Old Style"/>
        </w:rPr>
        <w:t>L</w:t>
      </w:r>
      <w:r w:rsidRPr="00AD369B">
        <w:rPr>
          <w:rFonts w:ascii="Bookman Old Style" w:hAnsi="Bookman Old Style"/>
        </w:rPr>
        <w:t xml:space="preserve">ey 142 de 1994 </w:t>
      </w:r>
      <w:r w:rsidRPr="00AD369B">
        <w:rPr>
          <w:rFonts w:ascii="Bookman Old Style" w:hAnsi="Bookman Old Style"/>
          <w:lang w:val="es-CO"/>
        </w:rPr>
        <w:t>y</w:t>
      </w:r>
      <w:r w:rsidR="00EB5E0B" w:rsidRPr="00AD369B">
        <w:rPr>
          <w:rFonts w:ascii="Bookman Old Style" w:hAnsi="Bookman Old Style"/>
          <w:lang w:val="es-CO"/>
        </w:rPr>
        <w:t>,</w:t>
      </w:r>
      <w:r w:rsidRPr="00AD369B">
        <w:rPr>
          <w:rFonts w:ascii="Bookman Old Style" w:hAnsi="Bookman Old Style"/>
          <w:lang w:val="es-CO"/>
        </w:rPr>
        <w:t xml:space="preserve"> por tanto</w:t>
      </w:r>
      <w:r w:rsidR="00EB5E0B" w:rsidRPr="00AD369B">
        <w:rPr>
          <w:rFonts w:ascii="Bookman Old Style" w:hAnsi="Bookman Old Style"/>
          <w:lang w:val="es-CO"/>
        </w:rPr>
        <w:t>,</w:t>
      </w:r>
      <w:r w:rsidRPr="00AD369B">
        <w:rPr>
          <w:rFonts w:ascii="Bookman Old Style" w:hAnsi="Bookman Old Style"/>
        </w:rPr>
        <w:t xml:space="preserve"> </w:t>
      </w:r>
      <w:r w:rsidRPr="00AD369B">
        <w:rPr>
          <w:rFonts w:ascii="Bookman Old Style" w:hAnsi="Bookman Old Style"/>
          <w:lang w:val="es-CO"/>
        </w:rPr>
        <w:t xml:space="preserve">en dicha área geográfica no existe exclusividad en la prestación del servicio público de energía eléctrica o sus actividades complementarías. </w:t>
      </w:r>
    </w:p>
    <w:p w14:paraId="65607592" w14:textId="344F6A14" w:rsidR="00B404D2" w:rsidRPr="00AD369B" w:rsidRDefault="00B404D2" w:rsidP="00B404D2">
      <w:pPr>
        <w:pStyle w:val="Style2"/>
        <w:shd w:val="clear" w:color="auto" w:fill="auto"/>
        <w:spacing w:before="0" w:line="240" w:lineRule="auto"/>
        <w:ind w:left="284" w:right="51" w:firstLine="0"/>
        <w:contextualSpacing/>
        <w:jc w:val="both"/>
        <w:rPr>
          <w:rFonts w:ascii="Bookman Old Style" w:hAnsi="Bookman Old Style"/>
          <w:sz w:val="24"/>
          <w:szCs w:val="24"/>
        </w:rPr>
      </w:pPr>
      <w:r w:rsidRPr="00AD369B">
        <w:rPr>
          <w:rFonts w:ascii="Bookman Old Style" w:hAnsi="Bookman Old Style"/>
          <w:sz w:val="24"/>
          <w:szCs w:val="24"/>
        </w:rPr>
        <w:t xml:space="preserve">En el artículo 2 de la Resolución CREG 091 de 2007 </w:t>
      </w:r>
      <w:r w:rsidR="00EB5E0B" w:rsidRPr="00AD369B">
        <w:rPr>
          <w:rFonts w:ascii="Bookman Old Style" w:hAnsi="Bookman Old Style"/>
          <w:sz w:val="24"/>
          <w:szCs w:val="24"/>
        </w:rPr>
        <w:t xml:space="preserve">se </w:t>
      </w:r>
      <w:r w:rsidR="00E25C2E" w:rsidRPr="00AD369B">
        <w:rPr>
          <w:rFonts w:ascii="Bookman Old Style" w:hAnsi="Bookman Old Style"/>
          <w:sz w:val="24"/>
          <w:szCs w:val="24"/>
        </w:rPr>
        <w:t>define</w:t>
      </w:r>
      <w:r w:rsidR="00DA1850" w:rsidRPr="00AD369B">
        <w:rPr>
          <w:rFonts w:ascii="Bookman Old Style" w:hAnsi="Bookman Old Style"/>
          <w:sz w:val="24"/>
          <w:szCs w:val="24"/>
        </w:rPr>
        <w:t xml:space="preserve"> </w:t>
      </w:r>
      <w:r w:rsidR="009C0229" w:rsidRPr="00AD369B">
        <w:rPr>
          <w:rFonts w:ascii="Bookman Old Style" w:hAnsi="Bookman Old Style"/>
          <w:sz w:val="24"/>
          <w:szCs w:val="24"/>
        </w:rPr>
        <w:t>el mercado de relevante de comercialización y el parque de generación de la siguiente manera</w:t>
      </w:r>
      <w:r w:rsidRPr="00AD369B">
        <w:rPr>
          <w:rFonts w:ascii="Bookman Old Style" w:hAnsi="Bookman Old Style"/>
          <w:sz w:val="24"/>
          <w:szCs w:val="24"/>
        </w:rPr>
        <w:t>:</w:t>
      </w:r>
    </w:p>
    <w:p w14:paraId="408B58F3" w14:textId="77777777" w:rsidR="00B404D2" w:rsidRPr="00AD369B" w:rsidRDefault="00B404D2" w:rsidP="00B404D2">
      <w:pPr>
        <w:pStyle w:val="Style2"/>
        <w:shd w:val="clear" w:color="auto" w:fill="auto"/>
        <w:spacing w:before="0" w:line="240" w:lineRule="auto"/>
        <w:ind w:left="284" w:right="51" w:firstLine="0"/>
        <w:contextualSpacing/>
        <w:jc w:val="both"/>
        <w:rPr>
          <w:rFonts w:ascii="Bookman Old Style" w:hAnsi="Bookman Old Style"/>
          <w:sz w:val="24"/>
          <w:szCs w:val="24"/>
        </w:rPr>
      </w:pPr>
    </w:p>
    <w:p w14:paraId="02F32B1E" w14:textId="31A05E08" w:rsidR="00B404D2" w:rsidRPr="00660876" w:rsidRDefault="00B404D2" w:rsidP="0003252F">
      <w:pPr>
        <w:pStyle w:val="Style2"/>
        <w:spacing w:before="0" w:line="240" w:lineRule="auto"/>
        <w:ind w:left="567" w:right="51" w:firstLine="0"/>
        <w:contextualSpacing/>
        <w:jc w:val="both"/>
        <w:rPr>
          <w:rFonts w:ascii="Bookman Old Style" w:hAnsi="Bookman Old Style"/>
          <w:i/>
          <w:iCs/>
          <w:sz w:val="22"/>
          <w:szCs w:val="22"/>
        </w:rPr>
      </w:pPr>
      <w:r w:rsidRPr="00660876">
        <w:rPr>
          <w:rFonts w:ascii="Bookman Old Style" w:hAnsi="Bookman Old Style"/>
          <w:i/>
          <w:iCs/>
          <w:sz w:val="22"/>
          <w:szCs w:val="22"/>
        </w:rPr>
        <w:t>“</w:t>
      </w:r>
      <w:r w:rsidRPr="00660876">
        <w:rPr>
          <w:rFonts w:ascii="Bookman Old Style" w:hAnsi="Bookman Old Style"/>
          <w:b/>
          <w:bCs/>
          <w:i/>
          <w:iCs/>
          <w:sz w:val="22"/>
          <w:szCs w:val="22"/>
        </w:rPr>
        <w:t xml:space="preserve">Artículo 2. Definiciones. </w:t>
      </w:r>
      <w:r w:rsidRPr="00660876">
        <w:rPr>
          <w:rFonts w:ascii="Bookman Old Style" w:hAnsi="Bookman Old Style"/>
          <w:i/>
          <w:iCs/>
          <w:sz w:val="22"/>
          <w:szCs w:val="22"/>
        </w:rPr>
        <w:t>Para la interpretación y aplicación de esta Resolución se tendrán en cuenta, además de las definiciones contenidas en las Leyes 142 y 143 de 1994 y en las resoluciones vigentes de la CREG, las siguientes: (…)</w:t>
      </w:r>
    </w:p>
    <w:p w14:paraId="3B1514EF" w14:textId="77777777" w:rsidR="00AD369B" w:rsidRPr="00660876" w:rsidRDefault="00AD369B" w:rsidP="00CC638B">
      <w:pPr>
        <w:pStyle w:val="Style2"/>
        <w:spacing w:before="0" w:line="240" w:lineRule="auto"/>
        <w:ind w:left="567" w:right="51" w:firstLine="0"/>
        <w:contextualSpacing/>
        <w:jc w:val="both"/>
        <w:rPr>
          <w:rFonts w:ascii="Bookman Old Style" w:hAnsi="Bookman Old Style"/>
          <w:i/>
          <w:iCs/>
          <w:sz w:val="22"/>
          <w:szCs w:val="22"/>
        </w:rPr>
      </w:pPr>
    </w:p>
    <w:p w14:paraId="45C9BDAB" w14:textId="274C91C5" w:rsidR="00B404D2" w:rsidRPr="00660876" w:rsidRDefault="00B404D2" w:rsidP="00CC638B">
      <w:pPr>
        <w:pStyle w:val="Style2"/>
        <w:spacing w:before="0" w:line="240" w:lineRule="auto"/>
        <w:ind w:left="567" w:right="51" w:firstLine="0"/>
        <w:contextualSpacing/>
        <w:jc w:val="both"/>
        <w:rPr>
          <w:rFonts w:ascii="Bookman Old Style" w:hAnsi="Bookman Old Style"/>
          <w:i/>
          <w:iCs/>
          <w:sz w:val="22"/>
          <w:szCs w:val="22"/>
        </w:rPr>
      </w:pPr>
      <w:r w:rsidRPr="00660876">
        <w:rPr>
          <w:rFonts w:ascii="Bookman Old Style" w:hAnsi="Bookman Old Style"/>
          <w:b/>
          <w:bCs/>
          <w:i/>
          <w:iCs/>
          <w:sz w:val="22"/>
          <w:szCs w:val="22"/>
        </w:rPr>
        <w:t>Mercado Relevante de Comercialización:</w:t>
      </w:r>
      <w:r w:rsidRPr="00660876">
        <w:rPr>
          <w:rFonts w:ascii="Bookman Old Style" w:hAnsi="Bookman Old Style"/>
          <w:i/>
          <w:iCs/>
          <w:sz w:val="22"/>
          <w:szCs w:val="22"/>
        </w:rPr>
        <w:t xml:space="preserve"> Conjunto de usuarios conectados a un</w:t>
      </w:r>
      <w:r w:rsidRPr="00660876">
        <w:rPr>
          <w:rFonts w:ascii="Bookman Old Style" w:hAnsi="Bookman Old Style"/>
          <w:i/>
          <w:sz w:val="22"/>
          <w:szCs w:val="22"/>
        </w:rPr>
        <w:t xml:space="preserve"> mismo</w:t>
      </w:r>
      <w:r w:rsidRPr="00660876">
        <w:rPr>
          <w:rFonts w:ascii="Bookman Old Style" w:hAnsi="Bookman Old Style"/>
          <w:i/>
          <w:iCs/>
          <w:sz w:val="22"/>
          <w:szCs w:val="22"/>
        </w:rPr>
        <w:t xml:space="preserve"> Sistema de Distribución Local o atendido sin red física por un Distribuidor. (…)</w:t>
      </w:r>
    </w:p>
    <w:p w14:paraId="2ACD3310" w14:textId="77777777" w:rsidR="00053032" w:rsidRPr="00660876" w:rsidRDefault="00053032" w:rsidP="00CC638B">
      <w:pPr>
        <w:pStyle w:val="Style2"/>
        <w:spacing w:before="0" w:line="240" w:lineRule="auto"/>
        <w:ind w:left="567" w:right="51" w:firstLine="0"/>
        <w:contextualSpacing/>
        <w:jc w:val="both"/>
        <w:rPr>
          <w:rFonts w:ascii="Bookman Old Style" w:hAnsi="Bookman Old Style"/>
          <w:b/>
          <w:bCs/>
          <w:i/>
          <w:iCs/>
          <w:sz w:val="22"/>
          <w:szCs w:val="22"/>
        </w:rPr>
      </w:pPr>
    </w:p>
    <w:p w14:paraId="5C34C928" w14:textId="0351EA6C" w:rsidR="00053032" w:rsidRPr="00660876" w:rsidRDefault="00053032" w:rsidP="00CC638B">
      <w:pPr>
        <w:pStyle w:val="Style2"/>
        <w:spacing w:before="0" w:line="240" w:lineRule="auto"/>
        <w:ind w:left="567" w:right="51" w:firstLine="0"/>
        <w:contextualSpacing/>
        <w:jc w:val="both"/>
        <w:rPr>
          <w:rFonts w:ascii="Bookman Old Style" w:hAnsi="Bookman Old Style"/>
          <w:i/>
          <w:iCs/>
          <w:sz w:val="22"/>
          <w:szCs w:val="22"/>
        </w:rPr>
      </w:pPr>
      <w:r w:rsidRPr="00660876">
        <w:rPr>
          <w:rFonts w:ascii="Bookman Old Style" w:hAnsi="Bookman Old Style"/>
          <w:b/>
          <w:bCs/>
          <w:i/>
          <w:iCs/>
          <w:sz w:val="22"/>
          <w:szCs w:val="22"/>
        </w:rPr>
        <w:t>Parque de Generación: </w:t>
      </w:r>
      <w:r w:rsidRPr="00660876">
        <w:rPr>
          <w:rFonts w:ascii="Bookman Old Style" w:hAnsi="Bookman Old Style"/>
          <w:i/>
          <w:iCs/>
          <w:sz w:val="22"/>
          <w:szCs w:val="22"/>
        </w:rPr>
        <w:t>Conjunto de unidades de generación con el que se atiende un Mercado Relevante de Comercialización.</w:t>
      </w:r>
      <w:r w:rsidR="0003252F" w:rsidRPr="00660876">
        <w:rPr>
          <w:rFonts w:ascii="Bookman Old Style" w:hAnsi="Bookman Old Style"/>
          <w:i/>
          <w:iCs/>
          <w:sz w:val="22"/>
          <w:szCs w:val="22"/>
        </w:rPr>
        <w:t>”</w:t>
      </w:r>
    </w:p>
    <w:p w14:paraId="3BD97C16" w14:textId="77777777" w:rsidR="007D58E4" w:rsidRDefault="007D58E4" w:rsidP="00B606A2">
      <w:pPr>
        <w:pStyle w:val="Style2"/>
        <w:shd w:val="clear" w:color="auto" w:fill="auto"/>
        <w:spacing w:before="0" w:line="240" w:lineRule="auto"/>
        <w:ind w:left="284" w:right="51" w:firstLine="0"/>
        <w:contextualSpacing/>
        <w:jc w:val="both"/>
        <w:rPr>
          <w:rFonts w:ascii="Bookman Old Style" w:hAnsi="Bookman Old Style"/>
          <w:sz w:val="24"/>
          <w:szCs w:val="24"/>
        </w:rPr>
      </w:pPr>
    </w:p>
    <w:p w14:paraId="65AA9A0F" w14:textId="70A66E11" w:rsidR="005006B9" w:rsidRPr="00AD369B" w:rsidRDefault="005006B9" w:rsidP="00B606A2">
      <w:pPr>
        <w:pStyle w:val="Style2"/>
        <w:shd w:val="clear" w:color="auto" w:fill="auto"/>
        <w:spacing w:before="0" w:line="240" w:lineRule="auto"/>
        <w:ind w:left="284" w:right="51" w:firstLine="0"/>
        <w:contextualSpacing/>
        <w:jc w:val="both"/>
        <w:rPr>
          <w:rFonts w:ascii="Bookman Old Style" w:hAnsi="Bookman Old Style"/>
          <w:sz w:val="24"/>
          <w:szCs w:val="24"/>
        </w:rPr>
      </w:pPr>
      <w:r w:rsidRPr="00AD369B">
        <w:rPr>
          <w:rFonts w:ascii="Bookman Old Style" w:hAnsi="Bookman Old Style"/>
          <w:sz w:val="24"/>
          <w:szCs w:val="24"/>
        </w:rPr>
        <w:t>El</w:t>
      </w:r>
      <w:r w:rsidR="00A0381B" w:rsidRPr="00AD369B">
        <w:rPr>
          <w:rFonts w:ascii="Bookman Old Style" w:hAnsi="Bookman Old Style"/>
          <w:sz w:val="24"/>
          <w:szCs w:val="24"/>
        </w:rPr>
        <w:t xml:space="preserve"> literal d del</w:t>
      </w:r>
      <w:r w:rsidRPr="00AD369B">
        <w:rPr>
          <w:rFonts w:ascii="Bookman Old Style" w:hAnsi="Bookman Old Style"/>
          <w:sz w:val="24"/>
          <w:szCs w:val="24"/>
        </w:rPr>
        <w:t xml:space="preserve"> art</w:t>
      </w:r>
      <w:r w:rsidR="00967D8F" w:rsidRPr="00AD369B">
        <w:rPr>
          <w:rFonts w:ascii="Bookman Old Style" w:hAnsi="Bookman Old Style"/>
          <w:sz w:val="24"/>
          <w:szCs w:val="24"/>
        </w:rPr>
        <w:t xml:space="preserve">ículo </w:t>
      </w:r>
      <w:r w:rsidR="00A0381B" w:rsidRPr="00AD369B">
        <w:rPr>
          <w:rFonts w:ascii="Bookman Old Style" w:hAnsi="Bookman Old Style"/>
          <w:sz w:val="24"/>
          <w:szCs w:val="24"/>
        </w:rPr>
        <w:t>22</w:t>
      </w:r>
      <w:r w:rsidR="00967D8F" w:rsidRPr="00AD369B">
        <w:rPr>
          <w:rFonts w:ascii="Bookman Old Style" w:hAnsi="Bookman Old Style"/>
          <w:sz w:val="24"/>
          <w:szCs w:val="24"/>
        </w:rPr>
        <w:t xml:space="preserve"> de la </w:t>
      </w:r>
      <w:r w:rsidR="00A0381B" w:rsidRPr="00AD369B">
        <w:rPr>
          <w:rFonts w:ascii="Bookman Old Style" w:hAnsi="Bookman Old Style"/>
          <w:sz w:val="24"/>
          <w:szCs w:val="24"/>
        </w:rPr>
        <w:t>Resolución CREG 091 de 2007</w:t>
      </w:r>
      <w:r w:rsidR="00967D8F" w:rsidRPr="00AD369B">
        <w:rPr>
          <w:rFonts w:ascii="Bookman Old Style" w:hAnsi="Bookman Old Style"/>
          <w:sz w:val="24"/>
          <w:szCs w:val="24"/>
        </w:rPr>
        <w:t xml:space="preserve">, invocado como fundamento de la solicitud, </w:t>
      </w:r>
      <w:r w:rsidR="006926AA" w:rsidRPr="00AD369B">
        <w:rPr>
          <w:rFonts w:ascii="Bookman Old Style" w:hAnsi="Bookman Old Style"/>
          <w:sz w:val="24"/>
          <w:szCs w:val="24"/>
        </w:rPr>
        <w:t>señala lo siguiente</w:t>
      </w:r>
      <w:r w:rsidR="00967D8F" w:rsidRPr="00AD369B">
        <w:rPr>
          <w:rFonts w:ascii="Bookman Old Style" w:hAnsi="Bookman Old Style"/>
          <w:sz w:val="24"/>
          <w:szCs w:val="24"/>
        </w:rPr>
        <w:t xml:space="preserve">: </w:t>
      </w:r>
    </w:p>
    <w:p w14:paraId="5CE51F98" w14:textId="1EDEFC5A" w:rsidR="005006B9" w:rsidRPr="00AD369B" w:rsidRDefault="005006B9" w:rsidP="00B606A2">
      <w:pPr>
        <w:pStyle w:val="Style2"/>
        <w:shd w:val="clear" w:color="auto" w:fill="auto"/>
        <w:spacing w:before="0" w:line="240" w:lineRule="auto"/>
        <w:ind w:left="284" w:right="51" w:firstLine="0"/>
        <w:contextualSpacing/>
        <w:jc w:val="both"/>
        <w:rPr>
          <w:rFonts w:ascii="Bookman Old Style" w:hAnsi="Bookman Old Style"/>
          <w:sz w:val="24"/>
          <w:szCs w:val="24"/>
        </w:rPr>
      </w:pPr>
    </w:p>
    <w:p w14:paraId="5B3F2AFE" w14:textId="1EDEFC5A" w:rsidR="00A0381B" w:rsidRPr="00660876" w:rsidRDefault="005A522D" w:rsidP="00660876">
      <w:pPr>
        <w:ind w:left="567"/>
        <w:contextualSpacing/>
        <w:jc w:val="both"/>
        <w:rPr>
          <w:rFonts w:ascii="Bookman Old Style" w:hAnsi="Bookman Old Style" w:cs="Arial"/>
          <w:i/>
          <w:sz w:val="22"/>
          <w:szCs w:val="22"/>
          <w:lang w:eastAsia="es-CO"/>
        </w:rPr>
      </w:pPr>
      <w:r w:rsidRPr="00AD369B">
        <w:rPr>
          <w:rFonts w:ascii="Bookman Old Style" w:hAnsi="Bookman Old Style" w:cs="Arial"/>
          <w:i/>
          <w:lang w:eastAsia="es-CO"/>
        </w:rPr>
        <w:t>“</w:t>
      </w:r>
      <w:r w:rsidR="00A0381B" w:rsidRPr="00660876">
        <w:rPr>
          <w:rFonts w:ascii="Bookman Old Style" w:hAnsi="Bookman Old Style" w:cs="Arial"/>
          <w:b/>
          <w:bCs/>
          <w:i/>
          <w:sz w:val="22"/>
          <w:szCs w:val="22"/>
          <w:lang w:eastAsia="es-CO"/>
        </w:rPr>
        <w:t>Artículo 22. Remuneración de la componente de inversión y mantenimiento de tecnologías de Generación</w:t>
      </w:r>
      <w:r w:rsidR="00A0381B" w:rsidRPr="00660876">
        <w:rPr>
          <w:rFonts w:ascii="Bookman Old Style" w:hAnsi="Bookman Old Style" w:cs="Arial"/>
          <w:i/>
          <w:sz w:val="22"/>
          <w:szCs w:val="22"/>
          <w:lang w:eastAsia="es-CO"/>
        </w:rPr>
        <w:t xml:space="preserve">. La componente de inversión de los Cargos Regulados de Generación, expresada en ($/kWh), incluye los costos de adquisición, transporte, instalación, diseños, permisos ambientales, almacenamiento de combustible, transformadores elevadores, equipos de telemedida y los necesarios para la puesta en operación de una central de generación, y dependerá del tamaño, tecnología, horas de prestación del servicio y el tipo de combustible de cada unidad de generación, </w:t>
      </w:r>
      <w:r w:rsidR="005E673E" w:rsidRPr="00660876">
        <w:rPr>
          <w:rFonts w:ascii="Bookman Old Style" w:hAnsi="Bookman Old Style" w:cs="Arial"/>
          <w:i/>
          <w:sz w:val="22"/>
          <w:szCs w:val="22"/>
          <w:lang w:eastAsia="es-CO"/>
        </w:rPr>
        <w:t>como se muestra a continuación:</w:t>
      </w:r>
      <w:r w:rsidR="00A96266" w:rsidRPr="00660876">
        <w:rPr>
          <w:rFonts w:ascii="Bookman Old Style" w:hAnsi="Bookman Old Style" w:cs="Arial"/>
          <w:i/>
          <w:sz w:val="22"/>
          <w:szCs w:val="22"/>
          <w:lang w:eastAsia="es-CO"/>
        </w:rPr>
        <w:t xml:space="preserve"> </w:t>
      </w:r>
      <w:r w:rsidR="00A0381B" w:rsidRPr="00660876">
        <w:rPr>
          <w:rFonts w:ascii="Bookman Old Style" w:hAnsi="Bookman Old Style" w:cs="Arial"/>
          <w:i/>
          <w:sz w:val="22"/>
          <w:szCs w:val="22"/>
          <w:lang w:eastAsia="es-CO"/>
        </w:rPr>
        <w:t>(…)</w:t>
      </w:r>
    </w:p>
    <w:p w14:paraId="21614930" w14:textId="1EDEFC5A" w:rsidR="00A0381B" w:rsidRPr="00660876" w:rsidRDefault="00A0381B" w:rsidP="00660876">
      <w:pPr>
        <w:ind w:left="567"/>
        <w:contextualSpacing/>
        <w:jc w:val="both"/>
        <w:rPr>
          <w:rFonts w:ascii="Bookman Old Style" w:hAnsi="Bookman Old Style" w:cs="Arial"/>
          <w:i/>
          <w:sz w:val="22"/>
          <w:szCs w:val="22"/>
          <w:lang w:eastAsia="es-CO"/>
        </w:rPr>
      </w:pPr>
    </w:p>
    <w:p w14:paraId="2C417408" w14:textId="1EDEFC5A" w:rsidR="005E673E" w:rsidRPr="00660876" w:rsidRDefault="00A0381B" w:rsidP="00660876">
      <w:pPr>
        <w:ind w:left="567"/>
        <w:contextualSpacing/>
        <w:jc w:val="both"/>
        <w:rPr>
          <w:rFonts w:ascii="Bookman Old Style" w:hAnsi="Bookman Old Style" w:cs="Arial"/>
          <w:b/>
          <w:bCs/>
          <w:i/>
          <w:sz w:val="22"/>
          <w:szCs w:val="22"/>
          <w:lang w:eastAsia="es-CO"/>
        </w:rPr>
      </w:pPr>
      <w:r w:rsidRPr="00660876">
        <w:rPr>
          <w:rFonts w:ascii="Bookman Old Style" w:hAnsi="Bookman Old Style" w:cs="Arial"/>
          <w:b/>
          <w:bCs/>
          <w:i/>
          <w:sz w:val="22"/>
          <w:szCs w:val="22"/>
          <w:lang w:eastAsia="es-CO"/>
        </w:rPr>
        <w:t>d) Costo de inversión de sistemas híbridos y otras tecnologías de generación</w:t>
      </w:r>
    </w:p>
    <w:p w14:paraId="660D1638" w14:textId="1EDEFC5A" w:rsidR="005E673E" w:rsidRPr="00660876" w:rsidRDefault="005E673E" w:rsidP="00660876">
      <w:pPr>
        <w:ind w:left="567"/>
        <w:contextualSpacing/>
        <w:jc w:val="both"/>
        <w:rPr>
          <w:rFonts w:ascii="Bookman Old Style" w:hAnsi="Bookman Old Style" w:cs="Arial"/>
          <w:i/>
          <w:sz w:val="22"/>
          <w:szCs w:val="22"/>
          <w:lang w:eastAsia="es-CO"/>
        </w:rPr>
      </w:pPr>
    </w:p>
    <w:p w14:paraId="1F1A4ED8" w14:textId="77777777" w:rsidR="00A0381B" w:rsidRPr="00660876" w:rsidRDefault="00A0381B" w:rsidP="00660876">
      <w:pPr>
        <w:ind w:left="567"/>
        <w:contextualSpacing/>
        <w:jc w:val="both"/>
        <w:rPr>
          <w:rFonts w:ascii="Bookman Old Style" w:hAnsi="Bookman Old Style" w:cs="Arial"/>
          <w:i/>
          <w:sz w:val="22"/>
          <w:szCs w:val="22"/>
          <w:lang w:eastAsia="es-CO"/>
        </w:rPr>
      </w:pPr>
      <w:r w:rsidRPr="00660876">
        <w:rPr>
          <w:rFonts w:ascii="Bookman Old Style" w:hAnsi="Bookman Old Style" w:cs="Arial"/>
          <w:i/>
          <w:sz w:val="22"/>
          <w:szCs w:val="22"/>
          <w:lang w:eastAsia="es-CO"/>
        </w:rPr>
        <w:t>Los costos unitarios de inversión para sistemas híbridos y otras tecnologías de generación no definidos en la presente resolución, podrán proponerse a la Comisión quién definirá en Resolución particula</w:t>
      </w:r>
      <w:r w:rsidR="005E673E" w:rsidRPr="00660876">
        <w:rPr>
          <w:rFonts w:ascii="Bookman Old Style" w:hAnsi="Bookman Old Style" w:cs="Arial"/>
          <w:i/>
          <w:sz w:val="22"/>
          <w:szCs w:val="22"/>
          <w:lang w:eastAsia="es-CO"/>
        </w:rPr>
        <w:t>r los costos correspondientes.”</w:t>
      </w:r>
    </w:p>
    <w:p w14:paraId="4F4F688B" w14:textId="77777777" w:rsidR="005E673E" w:rsidRPr="00AD369B" w:rsidRDefault="005E673E" w:rsidP="00B606A2">
      <w:pPr>
        <w:pStyle w:val="Style2"/>
        <w:shd w:val="clear" w:color="auto" w:fill="auto"/>
        <w:spacing w:before="0" w:line="240" w:lineRule="auto"/>
        <w:ind w:left="284" w:right="51" w:firstLine="0"/>
        <w:contextualSpacing/>
        <w:jc w:val="both"/>
        <w:rPr>
          <w:rFonts w:ascii="Bookman Old Style" w:hAnsi="Bookman Old Style"/>
          <w:sz w:val="24"/>
          <w:szCs w:val="24"/>
        </w:rPr>
      </w:pPr>
    </w:p>
    <w:p w14:paraId="346A7F8D" w14:textId="5986D733" w:rsidR="00E63E5A" w:rsidRPr="00AD369B" w:rsidRDefault="00E63E5A" w:rsidP="00B606A2">
      <w:pPr>
        <w:pStyle w:val="Style2"/>
        <w:shd w:val="clear" w:color="auto" w:fill="auto"/>
        <w:spacing w:before="0" w:line="240" w:lineRule="auto"/>
        <w:ind w:left="284" w:right="51" w:firstLine="0"/>
        <w:contextualSpacing/>
        <w:jc w:val="both"/>
        <w:rPr>
          <w:rFonts w:ascii="Bookman Old Style" w:hAnsi="Bookman Old Style"/>
          <w:sz w:val="24"/>
          <w:szCs w:val="24"/>
        </w:rPr>
      </w:pPr>
      <w:r w:rsidRPr="00AD369B">
        <w:rPr>
          <w:rFonts w:ascii="Bookman Old Style" w:hAnsi="Bookman Old Style"/>
          <w:sz w:val="24"/>
          <w:szCs w:val="24"/>
        </w:rPr>
        <w:t>En el artículo 22 se define la remuneración de la componente de inversión y mantenimiento de tecnologías de generación, componente expresada en pesos por kilovatio hora ($/kWh), la cual incluye los costos de adquisición, transporte, instalación, diseños, permisos ambientales, almacenamiento de combustible, transformadores elevadores, equipos de telemedida</w:t>
      </w:r>
      <w:r w:rsidR="00A93715" w:rsidRPr="00AD369B">
        <w:rPr>
          <w:rFonts w:ascii="Bookman Old Style" w:hAnsi="Bookman Old Style"/>
          <w:sz w:val="24"/>
          <w:szCs w:val="24"/>
        </w:rPr>
        <w:t>,</w:t>
      </w:r>
      <w:r w:rsidRPr="00AD369B">
        <w:rPr>
          <w:rFonts w:ascii="Bookman Old Style" w:hAnsi="Bookman Old Style"/>
          <w:sz w:val="24"/>
          <w:szCs w:val="24"/>
        </w:rPr>
        <w:t xml:space="preserve"> y los necesarios para la puesta en operación de una central de generación.</w:t>
      </w:r>
    </w:p>
    <w:p w14:paraId="74AC2301" w14:textId="77777777" w:rsidR="00E63E5A" w:rsidRPr="00AD369B" w:rsidRDefault="00E63E5A" w:rsidP="00B606A2">
      <w:pPr>
        <w:pStyle w:val="Style2"/>
        <w:shd w:val="clear" w:color="auto" w:fill="auto"/>
        <w:spacing w:before="0" w:line="240" w:lineRule="auto"/>
        <w:ind w:left="284" w:right="51" w:firstLine="0"/>
        <w:contextualSpacing/>
        <w:jc w:val="both"/>
        <w:rPr>
          <w:rFonts w:ascii="Bookman Old Style" w:hAnsi="Bookman Old Style"/>
          <w:sz w:val="24"/>
          <w:szCs w:val="24"/>
        </w:rPr>
      </w:pPr>
    </w:p>
    <w:p w14:paraId="0AC7D4F4" w14:textId="77777777" w:rsidR="00E63E5A" w:rsidRPr="00AD369B" w:rsidRDefault="00660EA5" w:rsidP="00B606A2">
      <w:pPr>
        <w:pStyle w:val="Style2"/>
        <w:shd w:val="clear" w:color="auto" w:fill="auto"/>
        <w:spacing w:before="0" w:line="240" w:lineRule="auto"/>
        <w:ind w:left="284" w:right="51" w:firstLine="0"/>
        <w:contextualSpacing/>
        <w:jc w:val="both"/>
        <w:rPr>
          <w:rFonts w:ascii="Bookman Old Style" w:hAnsi="Bookman Old Style"/>
          <w:sz w:val="24"/>
          <w:szCs w:val="24"/>
        </w:rPr>
      </w:pPr>
      <w:r w:rsidRPr="00AD369B">
        <w:rPr>
          <w:rFonts w:ascii="Bookman Old Style" w:hAnsi="Bookman Old Style"/>
          <w:sz w:val="24"/>
          <w:szCs w:val="24"/>
        </w:rPr>
        <w:t>E</w:t>
      </w:r>
      <w:r w:rsidR="00E63E5A" w:rsidRPr="00AD369B">
        <w:rPr>
          <w:rFonts w:ascii="Bookman Old Style" w:hAnsi="Bookman Old Style"/>
          <w:sz w:val="24"/>
          <w:szCs w:val="24"/>
        </w:rPr>
        <w:t>n dicho artículo se establecen las metodologías para determinar:</w:t>
      </w:r>
    </w:p>
    <w:p w14:paraId="2F414439" w14:textId="77777777" w:rsidR="00E63E5A" w:rsidRPr="00AD369B" w:rsidRDefault="00E63E5A" w:rsidP="00B606A2">
      <w:pPr>
        <w:pStyle w:val="Style2"/>
        <w:shd w:val="clear" w:color="auto" w:fill="auto"/>
        <w:spacing w:before="0" w:line="240" w:lineRule="auto"/>
        <w:ind w:left="284" w:right="51" w:firstLine="0"/>
        <w:contextualSpacing/>
        <w:jc w:val="both"/>
        <w:rPr>
          <w:rFonts w:ascii="Bookman Old Style" w:hAnsi="Bookman Old Style"/>
          <w:sz w:val="24"/>
          <w:szCs w:val="24"/>
        </w:rPr>
      </w:pPr>
    </w:p>
    <w:p w14:paraId="75E2FF4B" w14:textId="77777777" w:rsidR="00E63E5A" w:rsidRPr="00AD369B" w:rsidRDefault="00E63E5A" w:rsidP="00B606A2">
      <w:pPr>
        <w:pStyle w:val="Style2"/>
        <w:shd w:val="clear" w:color="auto" w:fill="auto"/>
        <w:spacing w:before="0" w:line="240" w:lineRule="auto"/>
        <w:ind w:left="567" w:right="51" w:hanging="283"/>
        <w:contextualSpacing/>
        <w:jc w:val="both"/>
        <w:rPr>
          <w:rFonts w:ascii="Bookman Old Style" w:hAnsi="Bookman Old Style"/>
          <w:sz w:val="24"/>
          <w:szCs w:val="24"/>
        </w:rPr>
      </w:pPr>
      <w:r w:rsidRPr="00AD369B">
        <w:rPr>
          <w:rFonts w:ascii="Bookman Old Style" w:hAnsi="Bookman Old Style"/>
          <w:sz w:val="24"/>
          <w:szCs w:val="24"/>
        </w:rPr>
        <w:t>a) Costos de inversión y mantenimiento de generadores diésel operando con ACPM.</w:t>
      </w:r>
    </w:p>
    <w:p w14:paraId="2068D01E" w14:textId="77777777" w:rsidR="00E63E5A" w:rsidRPr="00AD369B" w:rsidRDefault="00E63E5A" w:rsidP="00B606A2">
      <w:pPr>
        <w:pStyle w:val="Style2"/>
        <w:shd w:val="clear" w:color="auto" w:fill="auto"/>
        <w:spacing w:before="0" w:line="240" w:lineRule="auto"/>
        <w:ind w:left="284" w:right="51" w:firstLine="0"/>
        <w:contextualSpacing/>
        <w:jc w:val="both"/>
        <w:rPr>
          <w:rFonts w:ascii="Bookman Old Style" w:hAnsi="Bookman Old Style"/>
          <w:sz w:val="24"/>
          <w:szCs w:val="24"/>
        </w:rPr>
      </w:pPr>
      <w:r w:rsidRPr="00AD369B">
        <w:rPr>
          <w:rFonts w:ascii="Bookman Old Style" w:hAnsi="Bookman Old Style"/>
          <w:sz w:val="24"/>
          <w:szCs w:val="24"/>
        </w:rPr>
        <w:t>b) Costo de inversión de centrales hidroeléctricas a pequeña escala.</w:t>
      </w:r>
    </w:p>
    <w:p w14:paraId="7004C9B7" w14:textId="77777777" w:rsidR="00E63E5A" w:rsidRPr="00AD369B" w:rsidRDefault="00E63E5A" w:rsidP="00B606A2">
      <w:pPr>
        <w:pStyle w:val="Style2"/>
        <w:shd w:val="clear" w:color="auto" w:fill="auto"/>
        <w:spacing w:before="0" w:line="240" w:lineRule="auto"/>
        <w:ind w:left="284" w:right="51" w:firstLine="0"/>
        <w:contextualSpacing/>
        <w:jc w:val="both"/>
        <w:rPr>
          <w:rFonts w:ascii="Bookman Old Style" w:hAnsi="Bookman Old Style"/>
          <w:sz w:val="24"/>
          <w:szCs w:val="24"/>
        </w:rPr>
      </w:pPr>
      <w:r w:rsidRPr="00AD369B">
        <w:rPr>
          <w:rFonts w:ascii="Bookman Old Style" w:hAnsi="Bookman Old Style"/>
          <w:sz w:val="24"/>
          <w:szCs w:val="24"/>
        </w:rPr>
        <w:t>c) Costo de inversión para soluciones individuales.</w:t>
      </w:r>
    </w:p>
    <w:p w14:paraId="02BB61E1" w14:textId="77777777" w:rsidR="00E63E5A" w:rsidRPr="00AD369B" w:rsidRDefault="00E63E5A" w:rsidP="00B606A2">
      <w:pPr>
        <w:pStyle w:val="Style2"/>
        <w:shd w:val="clear" w:color="auto" w:fill="auto"/>
        <w:spacing w:before="0" w:line="240" w:lineRule="auto"/>
        <w:ind w:left="284" w:right="51" w:firstLine="0"/>
        <w:contextualSpacing/>
        <w:jc w:val="both"/>
        <w:rPr>
          <w:rFonts w:ascii="Bookman Old Style" w:hAnsi="Bookman Old Style"/>
          <w:sz w:val="24"/>
          <w:szCs w:val="24"/>
        </w:rPr>
      </w:pPr>
      <w:r w:rsidRPr="00AD369B">
        <w:rPr>
          <w:rFonts w:ascii="Bookman Old Style" w:hAnsi="Bookman Old Style"/>
          <w:sz w:val="24"/>
          <w:szCs w:val="24"/>
        </w:rPr>
        <w:t>d) Costo de inversión de sistemas híbridos y otras tecnologías de generación.</w:t>
      </w:r>
    </w:p>
    <w:p w14:paraId="69A69388" w14:textId="77777777" w:rsidR="00E63E5A" w:rsidRPr="00AD369B" w:rsidRDefault="00E63E5A" w:rsidP="00B606A2">
      <w:pPr>
        <w:pStyle w:val="Style2"/>
        <w:shd w:val="clear" w:color="auto" w:fill="auto"/>
        <w:spacing w:before="0" w:line="240" w:lineRule="auto"/>
        <w:ind w:left="284" w:right="51" w:firstLine="0"/>
        <w:contextualSpacing/>
        <w:jc w:val="both"/>
        <w:rPr>
          <w:rFonts w:ascii="Bookman Old Style" w:hAnsi="Bookman Old Style"/>
          <w:sz w:val="24"/>
          <w:szCs w:val="24"/>
        </w:rPr>
      </w:pPr>
    </w:p>
    <w:p w14:paraId="3676BB59" w14:textId="77777777" w:rsidR="00E63E5A" w:rsidRPr="00AD369B" w:rsidRDefault="00E63E5A" w:rsidP="00B606A2">
      <w:pPr>
        <w:pStyle w:val="Style2"/>
        <w:shd w:val="clear" w:color="auto" w:fill="auto"/>
        <w:spacing w:before="0" w:line="240" w:lineRule="auto"/>
        <w:ind w:left="284" w:right="51" w:firstLine="0"/>
        <w:contextualSpacing/>
        <w:jc w:val="both"/>
        <w:rPr>
          <w:rFonts w:ascii="Bookman Old Style" w:hAnsi="Bookman Old Style"/>
          <w:sz w:val="24"/>
          <w:szCs w:val="24"/>
        </w:rPr>
      </w:pPr>
      <w:r w:rsidRPr="00AD369B">
        <w:rPr>
          <w:rFonts w:ascii="Bookman Old Style" w:hAnsi="Bookman Old Style"/>
          <w:sz w:val="24"/>
          <w:szCs w:val="24"/>
        </w:rPr>
        <w:t xml:space="preserve">En el literal d) se determina: </w:t>
      </w:r>
      <w:r w:rsidRPr="00AD369B">
        <w:rPr>
          <w:rFonts w:ascii="Bookman Old Style" w:hAnsi="Bookman Old Style"/>
          <w:i/>
          <w:sz w:val="24"/>
          <w:szCs w:val="24"/>
        </w:rPr>
        <w:t>“</w:t>
      </w:r>
      <w:r w:rsidR="00BE466D" w:rsidRPr="00AD369B">
        <w:rPr>
          <w:rFonts w:ascii="Bookman Old Style" w:hAnsi="Bookman Old Style"/>
          <w:i/>
          <w:sz w:val="24"/>
          <w:szCs w:val="24"/>
        </w:rPr>
        <w:t>l</w:t>
      </w:r>
      <w:r w:rsidRPr="00AD369B">
        <w:rPr>
          <w:rFonts w:ascii="Bookman Old Style" w:hAnsi="Bookman Old Style"/>
          <w:i/>
          <w:sz w:val="24"/>
          <w:szCs w:val="24"/>
        </w:rPr>
        <w:t xml:space="preserve">os costos unitarios de inversión para sistemas híbridos y otras tecnologías de generación no definidos en la presente resolución, podrán proponerse a la Comisión quién definirá en </w:t>
      </w:r>
      <w:r w:rsidR="00ED7F05" w:rsidRPr="00AD369B">
        <w:rPr>
          <w:rFonts w:ascii="Bookman Old Style" w:hAnsi="Bookman Old Style"/>
          <w:i/>
          <w:sz w:val="24"/>
          <w:szCs w:val="24"/>
        </w:rPr>
        <w:t>r</w:t>
      </w:r>
      <w:r w:rsidRPr="00AD369B">
        <w:rPr>
          <w:rFonts w:ascii="Bookman Old Style" w:hAnsi="Bookman Old Style"/>
          <w:i/>
          <w:sz w:val="24"/>
          <w:szCs w:val="24"/>
        </w:rPr>
        <w:t>esolución particular los costos correspondientes”</w:t>
      </w:r>
      <w:r w:rsidR="004D28B1" w:rsidRPr="00AD369B">
        <w:rPr>
          <w:rFonts w:ascii="Bookman Old Style" w:hAnsi="Bookman Old Style"/>
          <w:i/>
          <w:sz w:val="24"/>
          <w:szCs w:val="24"/>
        </w:rPr>
        <w:t>.</w:t>
      </w:r>
    </w:p>
    <w:p w14:paraId="03FE283E" w14:textId="77777777" w:rsidR="00BE466D" w:rsidRPr="00AD369B" w:rsidRDefault="00BE466D" w:rsidP="00B606A2">
      <w:pPr>
        <w:pStyle w:val="Style2"/>
        <w:shd w:val="clear" w:color="auto" w:fill="auto"/>
        <w:spacing w:before="0" w:line="240" w:lineRule="auto"/>
        <w:ind w:left="284" w:right="51" w:firstLine="0"/>
        <w:contextualSpacing/>
        <w:jc w:val="both"/>
        <w:rPr>
          <w:rFonts w:ascii="Bookman Old Style" w:hAnsi="Bookman Old Style"/>
          <w:sz w:val="24"/>
          <w:szCs w:val="24"/>
        </w:rPr>
      </w:pPr>
    </w:p>
    <w:p w14:paraId="485A7D02" w14:textId="62D5A328" w:rsidR="00B85F36" w:rsidRPr="00AD369B" w:rsidRDefault="005F39B6" w:rsidP="00B606A2">
      <w:pPr>
        <w:pStyle w:val="Style2"/>
        <w:shd w:val="clear" w:color="auto" w:fill="auto"/>
        <w:spacing w:before="0" w:line="240" w:lineRule="auto"/>
        <w:ind w:left="284" w:right="51" w:firstLine="0"/>
        <w:contextualSpacing/>
        <w:jc w:val="both"/>
        <w:rPr>
          <w:rFonts w:ascii="Bookman Old Style" w:hAnsi="Bookman Old Style"/>
          <w:sz w:val="24"/>
          <w:szCs w:val="24"/>
        </w:rPr>
      </w:pPr>
      <w:r w:rsidRPr="00AD369B">
        <w:rPr>
          <w:rFonts w:ascii="Bookman Old Style" w:hAnsi="Bookman Old Style"/>
          <w:sz w:val="24"/>
          <w:szCs w:val="24"/>
        </w:rPr>
        <w:t xml:space="preserve">Dado </w:t>
      </w:r>
      <w:r w:rsidR="00E63E5A" w:rsidRPr="00AD369B">
        <w:rPr>
          <w:rFonts w:ascii="Bookman Old Style" w:hAnsi="Bookman Old Style"/>
          <w:sz w:val="24"/>
          <w:szCs w:val="24"/>
        </w:rPr>
        <w:t xml:space="preserve">que </w:t>
      </w:r>
      <w:r w:rsidR="00ED2AF3" w:rsidRPr="00AD369B">
        <w:rPr>
          <w:rFonts w:ascii="Bookman Old Style" w:hAnsi="Bookman Old Style"/>
          <w:sz w:val="24"/>
          <w:szCs w:val="24"/>
        </w:rPr>
        <w:t>la solicitud presentada</w:t>
      </w:r>
      <w:r w:rsidR="00E63E5A" w:rsidRPr="00AD369B">
        <w:rPr>
          <w:rFonts w:ascii="Bookman Old Style" w:hAnsi="Bookman Old Style"/>
          <w:sz w:val="24"/>
          <w:szCs w:val="24"/>
        </w:rPr>
        <w:t xml:space="preserve"> por </w:t>
      </w:r>
      <w:r w:rsidR="006C40CE" w:rsidRPr="006C40CE">
        <w:rPr>
          <w:rFonts w:ascii="Bookman Old Style" w:hAnsi="Bookman Old Style"/>
          <w:sz w:val="24"/>
          <w:szCs w:val="24"/>
        </w:rPr>
        <w:t xml:space="preserve">GENSA </w:t>
      </w:r>
      <w:r w:rsidR="00ED2AF3" w:rsidRPr="00AD369B">
        <w:rPr>
          <w:rFonts w:ascii="Bookman Old Style" w:hAnsi="Bookman Old Style"/>
          <w:sz w:val="24"/>
          <w:szCs w:val="24"/>
        </w:rPr>
        <w:t xml:space="preserve">se refiere a la definición de un cargo de generación para </w:t>
      </w:r>
      <w:r w:rsidR="00C6049E" w:rsidRPr="00AD369B">
        <w:rPr>
          <w:rFonts w:ascii="Bookman Old Style" w:hAnsi="Bookman Old Style"/>
          <w:sz w:val="24"/>
          <w:szCs w:val="24"/>
        </w:rPr>
        <w:t>un sistema h</w:t>
      </w:r>
      <w:r w:rsidR="007A5599" w:rsidRPr="00AD369B">
        <w:rPr>
          <w:rFonts w:ascii="Bookman Old Style" w:hAnsi="Bookman Old Style"/>
          <w:sz w:val="24"/>
          <w:szCs w:val="24"/>
        </w:rPr>
        <w:t>í</w:t>
      </w:r>
      <w:r w:rsidR="00C6049E" w:rsidRPr="00AD369B">
        <w:rPr>
          <w:rFonts w:ascii="Bookman Old Style" w:hAnsi="Bookman Old Style"/>
          <w:sz w:val="24"/>
          <w:szCs w:val="24"/>
        </w:rPr>
        <w:t xml:space="preserve">brido fotovoltaico </w:t>
      </w:r>
      <w:r w:rsidR="00C6049E" w:rsidRPr="006C40CE">
        <w:rPr>
          <w:rFonts w:ascii="Bookman Old Style" w:hAnsi="Bookman Old Style"/>
          <w:sz w:val="24"/>
          <w:szCs w:val="24"/>
          <w:u w:val="single"/>
        </w:rPr>
        <w:t>con acumulación</w:t>
      </w:r>
      <w:r w:rsidR="00C6049E" w:rsidRPr="00AD369B">
        <w:rPr>
          <w:rFonts w:ascii="Bookman Old Style" w:hAnsi="Bookman Old Style"/>
          <w:sz w:val="24"/>
          <w:szCs w:val="24"/>
        </w:rPr>
        <w:t xml:space="preserve"> </w:t>
      </w:r>
      <w:r w:rsidR="00ED2AF3" w:rsidRPr="00AD369B">
        <w:rPr>
          <w:rFonts w:ascii="Bookman Old Style" w:hAnsi="Bookman Old Style"/>
          <w:sz w:val="24"/>
          <w:szCs w:val="24"/>
        </w:rPr>
        <w:t xml:space="preserve">ubicado en </w:t>
      </w:r>
      <w:r w:rsidR="00C6049E" w:rsidRPr="00AD369B">
        <w:rPr>
          <w:rFonts w:ascii="Bookman Old Style" w:hAnsi="Bookman Old Style"/>
          <w:sz w:val="24"/>
          <w:szCs w:val="24"/>
        </w:rPr>
        <w:t xml:space="preserve">la cabecera municipal de </w:t>
      </w:r>
      <w:r w:rsidR="006C40CE">
        <w:rPr>
          <w:rFonts w:ascii="Bookman Old Style" w:hAnsi="Bookman Old Style"/>
          <w:sz w:val="24"/>
          <w:szCs w:val="24"/>
        </w:rPr>
        <w:t>Inírida</w:t>
      </w:r>
      <w:r w:rsidR="005E673E" w:rsidRPr="00AD369B">
        <w:rPr>
          <w:rFonts w:ascii="Bookman Old Style" w:hAnsi="Bookman Old Style"/>
          <w:sz w:val="24"/>
          <w:szCs w:val="24"/>
        </w:rPr>
        <w:t>,</w:t>
      </w:r>
      <w:r w:rsidR="00ED2AF3" w:rsidRPr="00AD369B">
        <w:rPr>
          <w:rFonts w:ascii="Bookman Old Style" w:hAnsi="Bookman Old Style"/>
          <w:sz w:val="24"/>
          <w:szCs w:val="24"/>
        </w:rPr>
        <w:t xml:space="preserve"> y que </w:t>
      </w:r>
      <w:r w:rsidR="00B031BD" w:rsidRPr="00AD369B">
        <w:rPr>
          <w:rFonts w:ascii="Bookman Old Style" w:hAnsi="Bookman Old Style"/>
          <w:sz w:val="24"/>
          <w:szCs w:val="24"/>
        </w:rPr>
        <w:t>el mismo</w:t>
      </w:r>
      <w:r w:rsidR="00ED2AF3" w:rsidRPr="00AD369B">
        <w:rPr>
          <w:rFonts w:ascii="Bookman Old Style" w:hAnsi="Bookman Old Style"/>
          <w:sz w:val="24"/>
          <w:szCs w:val="24"/>
        </w:rPr>
        <w:t xml:space="preserve"> </w:t>
      </w:r>
      <w:r w:rsidR="00E63E5A" w:rsidRPr="00AD369B">
        <w:rPr>
          <w:rFonts w:ascii="Bookman Old Style" w:hAnsi="Bookman Old Style"/>
          <w:sz w:val="24"/>
          <w:szCs w:val="24"/>
        </w:rPr>
        <w:t xml:space="preserve">no corresponde a ninguno de los casos previstos en los literales a, b o c del precitado artículo, encuentra </w:t>
      </w:r>
      <w:r w:rsidR="00B85F36" w:rsidRPr="00AD369B">
        <w:rPr>
          <w:rFonts w:ascii="Bookman Old Style" w:hAnsi="Bookman Old Style"/>
          <w:sz w:val="24"/>
          <w:szCs w:val="24"/>
        </w:rPr>
        <w:t xml:space="preserve">esta Comisión </w:t>
      </w:r>
      <w:r w:rsidR="00E63E5A" w:rsidRPr="00AD369B">
        <w:rPr>
          <w:rFonts w:ascii="Bookman Old Style" w:hAnsi="Bookman Old Style"/>
          <w:sz w:val="24"/>
          <w:szCs w:val="24"/>
        </w:rPr>
        <w:t xml:space="preserve">que </w:t>
      </w:r>
      <w:r w:rsidR="00B85F36" w:rsidRPr="00AD369B">
        <w:rPr>
          <w:rFonts w:ascii="Bookman Old Style" w:hAnsi="Bookman Old Style"/>
          <w:sz w:val="24"/>
          <w:szCs w:val="24"/>
        </w:rPr>
        <w:t>tiene la competencia para definir</w:t>
      </w:r>
      <w:r w:rsidR="00A93715" w:rsidRPr="00AD369B">
        <w:rPr>
          <w:rFonts w:ascii="Bookman Old Style" w:hAnsi="Bookman Old Style"/>
          <w:sz w:val="24"/>
          <w:szCs w:val="24"/>
        </w:rPr>
        <w:t>,</w:t>
      </w:r>
      <w:r w:rsidR="00B85F36" w:rsidRPr="00AD369B">
        <w:rPr>
          <w:rFonts w:ascii="Bookman Old Style" w:hAnsi="Bookman Old Style"/>
          <w:sz w:val="24"/>
          <w:szCs w:val="24"/>
        </w:rPr>
        <w:t xml:space="preserve"> mediante resolución particular</w:t>
      </w:r>
      <w:r w:rsidR="00A93715" w:rsidRPr="00AD369B">
        <w:rPr>
          <w:rFonts w:ascii="Bookman Old Style" w:hAnsi="Bookman Old Style"/>
          <w:sz w:val="24"/>
          <w:szCs w:val="24"/>
        </w:rPr>
        <w:t>,</w:t>
      </w:r>
      <w:r w:rsidR="00B85F36" w:rsidRPr="00AD369B">
        <w:rPr>
          <w:rFonts w:ascii="Bookman Old Style" w:hAnsi="Bookman Old Style"/>
          <w:sz w:val="24"/>
          <w:szCs w:val="24"/>
        </w:rPr>
        <w:t xml:space="preserve"> los costos unitarios de inversión para sistemas híbridos y otras tecnologías de generación que no se encuentren definidos en la Resolución CREG 091 de 2007.</w:t>
      </w:r>
    </w:p>
    <w:p w14:paraId="527A8F31" w14:textId="77777777" w:rsidR="000C5DD0" w:rsidRPr="00AD369B" w:rsidRDefault="000C5DD0" w:rsidP="00B606A2">
      <w:pPr>
        <w:pStyle w:val="Style2"/>
        <w:shd w:val="clear" w:color="auto" w:fill="auto"/>
        <w:spacing w:before="0" w:line="240" w:lineRule="auto"/>
        <w:ind w:left="284" w:right="51" w:firstLine="0"/>
        <w:contextualSpacing/>
        <w:jc w:val="both"/>
        <w:rPr>
          <w:rFonts w:ascii="Bookman Old Style" w:hAnsi="Bookman Old Style"/>
          <w:sz w:val="24"/>
          <w:szCs w:val="24"/>
        </w:rPr>
      </w:pPr>
    </w:p>
    <w:p w14:paraId="42D41FFF" w14:textId="2BFBC9BA" w:rsidR="00E63E5A" w:rsidRDefault="33FF6226" w:rsidP="00B606A2">
      <w:pPr>
        <w:pStyle w:val="Style2"/>
        <w:shd w:val="clear" w:color="auto" w:fill="auto"/>
        <w:spacing w:before="0" w:line="240" w:lineRule="auto"/>
        <w:ind w:left="284" w:right="51" w:firstLine="0"/>
        <w:contextualSpacing/>
        <w:jc w:val="both"/>
        <w:rPr>
          <w:rFonts w:ascii="Bookman Old Style" w:hAnsi="Bookman Old Style"/>
          <w:sz w:val="24"/>
          <w:szCs w:val="24"/>
        </w:rPr>
      </w:pPr>
      <w:r w:rsidRPr="54CF66A8">
        <w:rPr>
          <w:rFonts w:ascii="Bookman Old Style" w:hAnsi="Bookman Old Style"/>
          <w:sz w:val="24"/>
          <w:szCs w:val="24"/>
        </w:rPr>
        <w:t>Así mismo, con respecto a los gastos de administración, operación y mantenimiento, en el artículo 24 de la Resolución CREG 091 de 2007, se establece lo siguiente:</w:t>
      </w:r>
    </w:p>
    <w:p w14:paraId="6DDA26D2" w14:textId="77777777" w:rsidR="007D58E4" w:rsidRPr="00AD369B" w:rsidRDefault="007D58E4" w:rsidP="00B606A2">
      <w:pPr>
        <w:pStyle w:val="Style2"/>
        <w:shd w:val="clear" w:color="auto" w:fill="auto"/>
        <w:spacing w:before="0" w:line="240" w:lineRule="auto"/>
        <w:ind w:left="284" w:right="51" w:firstLine="0"/>
        <w:contextualSpacing/>
        <w:jc w:val="both"/>
        <w:rPr>
          <w:rFonts w:ascii="Bookman Old Style" w:hAnsi="Bookman Old Style"/>
          <w:sz w:val="24"/>
          <w:szCs w:val="24"/>
        </w:rPr>
      </w:pPr>
    </w:p>
    <w:p w14:paraId="42C0C06B" w14:textId="77777777" w:rsidR="00E63E5A" w:rsidRPr="00660876" w:rsidRDefault="00E63E5A" w:rsidP="00660876">
      <w:pPr>
        <w:pStyle w:val="Style2"/>
        <w:shd w:val="clear" w:color="auto" w:fill="auto"/>
        <w:spacing w:before="0" w:line="240" w:lineRule="auto"/>
        <w:ind w:left="567" w:firstLine="0"/>
        <w:contextualSpacing/>
        <w:jc w:val="both"/>
        <w:rPr>
          <w:rFonts w:ascii="Bookman Old Style" w:hAnsi="Bookman Old Style"/>
          <w:i/>
          <w:sz w:val="22"/>
          <w:szCs w:val="22"/>
        </w:rPr>
      </w:pPr>
      <w:r w:rsidRPr="00660876">
        <w:rPr>
          <w:rFonts w:ascii="Bookman Old Style" w:hAnsi="Bookman Old Style"/>
          <w:i/>
          <w:sz w:val="22"/>
          <w:szCs w:val="22"/>
        </w:rPr>
        <w:t>“</w:t>
      </w:r>
      <w:r w:rsidRPr="00660876">
        <w:rPr>
          <w:rFonts w:ascii="Bookman Old Style" w:hAnsi="Bookman Old Style"/>
          <w:b/>
          <w:bCs/>
          <w:i/>
          <w:sz w:val="22"/>
          <w:szCs w:val="22"/>
        </w:rPr>
        <w:t>Artículo 24. Remuneración de Gastos de Administración, Operación y Mantenimiento (AOM) para diferentes tecnologías de generación.</w:t>
      </w:r>
      <w:r w:rsidRPr="00660876">
        <w:rPr>
          <w:rFonts w:ascii="Bookman Old Style" w:hAnsi="Bookman Old Style"/>
          <w:i/>
          <w:sz w:val="22"/>
          <w:szCs w:val="22"/>
        </w:rPr>
        <w:t xml:space="preserve"> Los gastos de administración, operación y mantenimiento (AOM) para cada tecnología de generación se determinarán como se indica a continuación:</w:t>
      </w:r>
    </w:p>
    <w:p w14:paraId="77A2A63B" w14:textId="77777777" w:rsidR="00E63E5A" w:rsidRPr="00660876" w:rsidRDefault="00E63E5A" w:rsidP="00660876">
      <w:pPr>
        <w:pStyle w:val="Style2"/>
        <w:shd w:val="clear" w:color="auto" w:fill="auto"/>
        <w:spacing w:before="0" w:line="240" w:lineRule="auto"/>
        <w:ind w:left="567" w:firstLine="0"/>
        <w:contextualSpacing/>
        <w:jc w:val="both"/>
        <w:rPr>
          <w:rFonts w:ascii="Bookman Old Style" w:hAnsi="Bookman Old Style"/>
          <w:i/>
          <w:sz w:val="22"/>
          <w:szCs w:val="22"/>
        </w:rPr>
      </w:pPr>
    </w:p>
    <w:p w14:paraId="35D00BB6" w14:textId="77777777" w:rsidR="00E63E5A" w:rsidRPr="00660876" w:rsidRDefault="00E63E5A" w:rsidP="00660876">
      <w:pPr>
        <w:pStyle w:val="Style2"/>
        <w:shd w:val="clear" w:color="auto" w:fill="auto"/>
        <w:spacing w:before="0" w:line="240" w:lineRule="auto"/>
        <w:ind w:left="1134" w:hanging="567"/>
        <w:contextualSpacing/>
        <w:jc w:val="both"/>
        <w:rPr>
          <w:rFonts w:ascii="Bookman Old Style" w:hAnsi="Bookman Old Style"/>
          <w:i/>
          <w:sz w:val="22"/>
          <w:szCs w:val="22"/>
        </w:rPr>
      </w:pPr>
      <w:r w:rsidRPr="00660876">
        <w:rPr>
          <w:rFonts w:ascii="Bookman Old Style" w:hAnsi="Bookman Old Style"/>
          <w:i/>
          <w:sz w:val="22"/>
          <w:szCs w:val="22"/>
        </w:rPr>
        <w:t>24.1 Gastos de administración y operación de generadores diésel operando con ACPM.</w:t>
      </w:r>
    </w:p>
    <w:p w14:paraId="095E1CB6" w14:textId="77777777" w:rsidR="00E63E5A" w:rsidRPr="00660876" w:rsidRDefault="00E63E5A" w:rsidP="00660876">
      <w:pPr>
        <w:pStyle w:val="Style2"/>
        <w:shd w:val="clear" w:color="auto" w:fill="auto"/>
        <w:spacing w:before="0" w:line="240" w:lineRule="auto"/>
        <w:ind w:left="1134" w:hanging="567"/>
        <w:contextualSpacing/>
        <w:jc w:val="both"/>
        <w:rPr>
          <w:rFonts w:ascii="Bookman Old Style" w:hAnsi="Bookman Old Style"/>
          <w:i/>
          <w:sz w:val="22"/>
          <w:szCs w:val="22"/>
        </w:rPr>
      </w:pPr>
      <w:r w:rsidRPr="00660876">
        <w:rPr>
          <w:rFonts w:ascii="Bookman Old Style" w:hAnsi="Bookman Old Style"/>
          <w:i/>
          <w:sz w:val="22"/>
          <w:szCs w:val="22"/>
        </w:rPr>
        <w:t>24.2 Gastos de administración y operación de generadores diésel operando con fuel oil No. 6.</w:t>
      </w:r>
    </w:p>
    <w:p w14:paraId="7A80328D" w14:textId="77777777" w:rsidR="00E63E5A" w:rsidRPr="00660876" w:rsidRDefault="00E63E5A" w:rsidP="00660876">
      <w:pPr>
        <w:pStyle w:val="Style2"/>
        <w:shd w:val="clear" w:color="auto" w:fill="auto"/>
        <w:spacing w:before="0" w:line="240" w:lineRule="auto"/>
        <w:ind w:left="1134" w:hanging="567"/>
        <w:contextualSpacing/>
        <w:jc w:val="both"/>
        <w:rPr>
          <w:rFonts w:ascii="Bookman Old Style" w:hAnsi="Bookman Old Style"/>
          <w:i/>
          <w:sz w:val="22"/>
          <w:szCs w:val="22"/>
        </w:rPr>
      </w:pPr>
      <w:r w:rsidRPr="00660876">
        <w:rPr>
          <w:rFonts w:ascii="Bookman Old Style" w:hAnsi="Bookman Old Style"/>
          <w:i/>
          <w:sz w:val="22"/>
          <w:szCs w:val="22"/>
        </w:rPr>
        <w:t>24.3 Gastos de administración, operación y mantenimiento de centrales hidroeléctricas a pequeña escala</w:t>
      </w:r>
    </w:p>
    <w:p w14:paraId="23205385" w14:textId="77777777" w:rsidR="00E63E5A" w:rsidRPr="00660876" w:rsidRDefault="00E63E5A" w:rsidP="00660876">
      <w:pPr>
        <w:pStyle w:val="Style2"/>
        <w:shd w:val="clear" w:color="auto" w:fill="auto"/>
        <w:spacing w:before="0" w:line="240" w:lineRule="auto"/>
        <w:ind w:left="1134" w:hanging="567"/>
        <w:contextualSpacing/>
        <w:jc w:val="both"/>
        <w:rPr>
          <w:rFonts w:ascii="Bookman Old Style" w:hAnsi="Bookman Old Style"/>
          <w:i/>
          <w:sz w:val="22"/>
          <w:szCs w:val="22"/>
        </w:rPr>
      </w:pPr>
      <w:r w:rsidRPr="00660876">
        <w:rPr>
          <w:rFonts w:ascii="Bookman Old Style" w:hAnsi="Bookman Old Style"/>
          <w:i/>
          <w:sz w:val="22"/>
          <w:szCs w:val="22"/>
        </w:rPr>
        <w:t>24.4 Gastos de Administración, Operación y Mantenimiento de Sistemas Solares Fotovoltaicos.</w:t>
      </w:r>
    </w:p>
    <w:p w14:paraId="2A30D861" w14:textId="20CB4969" w:rsidR="00E63E5A" w:rsidRPr="00660876" w:rsidRDefault="00E63E5A" w:rsidP="00660876">
      <w:pPr>
        <w:pStyle w:val="Style2"/>
        <w:shd w:val="clear" w:color="auto" w:fill="auto"/>
        <w:spacing w:before="0" w:line="240" w:lineRule="auto"/>
        <w:ind w:left="1134" w:hanging="567"/>
        <w:contextualSpacing/>
        <w:jc w:val="both"/>
        <w:rPr>
          <w:rFonts w:ascii="Bookman Old Style" w:hAnsi="Bookman Old Style"/>
          <w:i/>
          <w:sz w:val="22"/>
          <w:szCs w:val="22"/>
        </w:rPr>
      </w:pPr>
      <w:r w:rsidRPr="00660876">
        <w:rPr>
          <w:rFonts w:ascii="Bookman Old Style" w:hAnsi="Bookman Old Style"/>
          <w:i/>
          <w:sz w:val="22"/>
          <w:szCs w:val="22"/>
        </w:rPr>
        <w:t>24.5 Gastos de Administración, Operación y Mantenimiento para otras tecnologías de conversión”.</w:t>
      </w:r>
    </w:p>
    <w:p w14:paraId="31CC04E2" w14:textId="77777777" w:rsidR="00AD369B" w:rsidRPr="00AD369B" w:rsidRDefault="00AD369B" w:rsidP="007A5599">
      <w:pPr>
        <w:pStyle w:val="Style2"/>
        <w:shd w:val="clear" w:color="auto" w:fill="auto"/>
        <w:spacing w:before="0" w:line="240" w:lineRule="auto"/>
        <w:ind w:left="567" w:right="51" w:firstLine="0"/>
        <w:contextualSpacing/>
        <w:jc w:val="both"/>
        <w:rPr>
          <w:rFonts w:ascii="Bookman Old Style" w:hAnsi="Bookman Old Style"/>
          <w:i/>
          <w:sz w:val="24"/>
          <w:szCs w:val="24"/>
        </w:rPr>
      </w:pPr>
    </w:p>
    <w:p w14:paraId="5A0B1C84" w14:textId="3DA98805" w:rsidR="00E63E5A" w:rsidRPr="00AD369B" w:rsidRDefault="00ED7F05" w:rsidP="00B606A2">
      <w:pPr>
        <w:pStyle w:val="Style2"/>
        <w:shd w:val="clear" w:color="auto" w:fill="auto"/>
        <w:spacing w:before="0" w:line="240" w:lineRule="auto"/>
        <w:ind w:left="284" w:right="51" w:firstLine="0"/>
        <w:contextualSpacing/>
        <w:jc w:val="both"/>
        <w:rPr>
          <w:rFonts w:ascii="Bookman Old Style" w:hAnsi="Bookman Old Style"/>
          <w:sz w:val="24"/>
          <w:szCs w:val="24"/>
        </w:rPr>
      </w:pPr>
      <w:r w:rsidRPr="00AD369B">
        <w:rPr>
          <w:rFonts w:ascii="Bookman Old Style" w:hAnsi="Bookman Old Style"/>
          <w:sz w:val="24"/>
          <w:szCs w:val="24"/>
        </w:rPr>
        <w:t>De acuerdo con</w:t>
      </w:r>
      <w:r w:rsidR="00E63E5A" w:rsidRPr="00AD369B">
        <w:rPr>
          <w:rFonts w:ascii="Bookman Old Style" w:hAnsi="Bookman Old Style"/>
          <w:sz w:val="24"/>
          <w:szCs w:val="24"/>
        </w:rPr>
        <w:t xml:space="preserve"> el numeral 24.5</w:t>
      </w:r>
      <w:r w:rsidRPr="00AD369B">
        <w:rPr>
          <w:rFonts w:ascii="Bookman Old Style" w:hAnsi="Bookman Old Style"/>
          <w:sz w:val="24"/>
          <w:szCs w:val="24"/>
        </w:rPr>
        <w:t xml:space="preserve"> “</w:t>
      </w:r>
      <w:r w:rsidRPr="00AD369B">
        <w:rPr>
          <w:rFonts w:ascii="Bookman Old Style" w:hAnsi="Bookman Old Style"/>
          <w:i/>
          <w:iCs/>
          <w:sz w:val="24"/>
          <w:szCs w:val="24"/>
        </w:rPr>
        <w:t>l</w:t>
      </w:r>
      <w:r w:rsidR="00E63E5A" w:rsidRPr="00AD369B">
        <w:rPr>
          <w:rFonts w:ascii="Bookman Old Style" w:hAnsi="Bookman Old Style"/>
          <w:i/>
          <w:iCs/>
          <w:sz w:val="24"/>
          <w:szCs w:val="24"/>
        </w:rPr>
        <w:t xml:space="preserve">os costos unitarios de </w:t>
      </w:r>
      <w:r w:rsidRPr="00AD369B">
        <w:rPr>
          <w:rFonts w:ascii="Bookman Old Style" w:hAnsi="Bookman Old Style"/>
          <w:i/>
          <w:iCs/>
          <w:sz w:val="24"/>
          <w:szCs w:val="24"/>
        </w:rPr>
        <w:t>a</w:t>
      </w:r>
      <w:r w:rsidR="00E63E5A" w:rsidRPr="00AD369B">
        <w:rPr>
          <w:rFonts w:ascii="Bookman Old Style" w:hAnsi="Bookman Old Style"/>
          <w:i/>
          <w:iCs/>
          <w:sz w:val="24"/>
          <w:szCs w:val="24"/>
        </w:rPr>
        <w:t xml:space="preserve">dministración, </w:t>
      </w:r>
      <w:r w:rsidRPr="00AD369B">
        <w:rPr>
          <w:rFonts w:ascii="Bookman Old Style" w:hAnsi="Bookman Old Style"/>
          <w:i/>
          <w:iCs/>
          <w:sz w:val="24"/>
          <w:szCs w:val="24"/>
        </w:rPr>
        <w:t>o</w:t>
      </w:r>
      <w:r w:rsidR="00E63E5A" w:rsidRPr="00AD369B">
        <w:rPr>
          <w:rFonts w:ascii="Bookman Old Style" w:hAnsi="Bookman Old Style"/>
          <w:i/>
          <w:iCs/>
          <w:sz w:val="24"/>
          <w:szCs w:val="24"/>
        </w:rPr>
        <w:t xml:space="preserve">peración y </w:t>
      </w:r>
      <w:r w:rsidRPr="00AD369B">
        <w:rPr>
          <w:rFonts w:ascii="Bookman Old Style" w:hAnsi="Bookman Old Style"/>
          <w:i/>
          <w:iCs/>
          <w:sz w:val="24"/>
          <w:szCs w:val="24"/>
        </w:rPr>
        <w:t>m</w:t>
      </w:r>
      <w:r w:rsidR="00E63E5A" w:rsidRPr="00AD369B">
        <w:rPr>
          <w:rFonts w:ascii="Bookman Old Style" w:hAnsi="Bookman Old Style"/>
          <w:i/>
          <w:iCs/>
          <w:sz w:val="24"/>
          <w:szCs w:val="24"/>
        </w:rPr>
        <w:t xml:space="preserve">antenimiento para tecnologías de generación no definidos en la presente </w:t>
      </w:r>
      <w:r w:rsidR="000360EB" w:rsidRPr="00AD369B">
        <w:rPr>
          <w:rFonts w:ascii="Bookman Old Style" w:hAnsi="Bookman Old Style"/>
          <w:i/>
          <w:iCs/>
          <w:sz w:val="24"/>
          <w:szCs w:val="24"/>
        </w:rPr>
        <w:t>resolución</w:t>
      </w:r>
      <w:r w:rsidR="00E63E5A" w:rsidRPr="00AD369B">
        <w:rPr>
          <w:rFonts w:ascii="Bookman Old Style" w:hAnsi="Bookman Old Style"/>
          <w:i/>
          <w:iCs/>
          <w:sz w:val="24"/>
          <w:szCs w:val="24"/>
        </w:rPr>
        <w:t xml:space="preserve"> podrán solicitarse a la Comisión, quien los definirá en Resolución particular</w:t>
      </w:r>
      <w:r w:rsidR="00E63E5A" w:rsidRPr="00AD369B">
        <w:rPr>
          <w:rFonts w:ascii="Bookman Old Style" w:hAnsi="Bookman Old Style"/>
          <w:sz w:val="24"/>
          <w:szCs w:val="24"/>
        </w:rPr>
        <w:t>”</w:t>
      </w:r>
      <w:r w:rsidR="004D28B1" w:rsidRPr="00AD369B">
        <w:rPr>
          <w:rFonts w:ascii="Bookman Old Style" w:hAnsi="Bookman Old Style"/>
          <w:sz w:val="24"/>
          <w:szCs w:val="24"/>
        </w:rPr>
        <w:t>.</w:t>
      </w:r>
    </w:p>
    <w:p w14:paraId="7751E9BD" w14:textId="77777777" w:rsidR="00BE466D" w:rsidRPr="00AD369B" w:rsidRDefault="00BE466D" w:rsidP="00B606A2">
      <w:pPr>
        <w:pStyle w:val="Style2"/>
        <w:shd w:val="clear" w:color="auto" w:fill="auto"/>
        <w:spacing w:before="0" w:line="240" w:lineRule="auto"/>
        <w:ind w:left="284" w:right="51" w:firstLine="0"/>
        <w:contextualSpacing/>
        <w:jc w:val="both"/>
        <w:rPr>
          <w:rFonts w:ascii="Bookman Old Style" w:hAnsi="Bookman Old Style"/>
          <w:sz w:val="24"/>
          <w:szCs w:val="24"/>
        </w:rPr>
      </w:pPr>
    </w:p>
    <w:p w14:paraId="1C80E62F" w14:textId="23552D5D" w:rsidR="00ED7F05" w:rsidRPr="00AD369B" w:rsidRDefault="00ED7F05" w:rsidP="00B606A2">
      <w:pPr>
        <w:pStyle w:val="Style2"/>
        <w:shd w:val="clear" w:color="auto" w:fill="auto"/>
        <w:spacing w:before="0" w:line="240" w:lineRule="auto"/>
        <w:ind w:left="284" w:right="51" w:firstLine="0"/>
        <w:contextualSpacing/>
        <w:jc w:val="both"/>
        <w:rPr>
          <w:rFonts w:ascii="Bookman Old Style" w:hAnsi="Bookman Old Style"/>
          <w:sz w:val="24"/>
          <w:szCs w:val="24"/>
        </w:rPr>
      </w:pPr>
      <w:r w:rsidRPr="00AD369B">
        <w:rPr>
          <w:rFonts w:ascii="Bookman Old Style" w:hAnsi="Bookman Old Style"/>
          <w:sz w:val="24"/>
          <w:szCs w:val="24"/>
        </w:rPr>
        <w:t xml:space="preserve">Revisado lo anterior, </w:t>
      </w:r>
      <w:r w:rsidR="00542B7F" w:rsidRPr="00AD369B">
        <w:rPr>
          <w:rFonts w:ascii="Bookman Old Style" w:hAnsi="Bookman Old Style"/>
          <w:sz w:val="24"/>
          <w:szCs w:val="24"/>
        </w:rPr>
        <w:t>se evidencia</w:t>
      </w:r>
      <w:r w:rsidRPr="00AD369B">
        <w:rPr>
          <w:rFonts w:ascii="Bookman Old Style" w:hAnsi="Bookman Old Style"/>
          <w:sz w:val="24"/>
          <w:szCs w:val="24"/>
        </w:rPr>
        <w:t xml:space="preserve"> </w:t>
      </w:r>
      <w:r w:rsidR="00542B7F" w:rsidRPr="00AD369B">
        <w:rPr>
          <w:rFonts w:ascii="Bookman Old Style" w:hAnsi="Bookman Old Style"/>
          <w:sz w:val="24"/>
          <w:szCs w:val="24"/>
        </w:rPr>
        <w:t xml:space="preserve">que </w:t>
      </w:r>
      <w:r w:rsidR="000360EB" w:rsidRPr="00AD369B">
        <w:rPr>
          <w:rFonts w:ascii="Bookman Old Style" w:hAnsi="Bookman Old Style"/>
          <w:sz w:val="24"/>
          <w:szCs w:val="24"/>
        </w:rPr>
        <w:t xml:space="preserve">el </w:t>
      </w:r>
      <w:r w:rsidR="00542B7F" w:rsidRPr="00AD369B">
        <w:rPr>
          <w:rFonts w:ascii="Bookman Old Style" w:hAnsi="Bookman Old Style"/>
          <w:sz w:val="24"/>
          <w:szCs w:val="24"/>
        </w:rPr>
        <w:t xml:space="preserve">sistema </w:t>
      </w:r>
      <w:r w:rsidR="006C40CE">
        <w:rPr>
          <w:rFonts w:ascii="Bookman Old Style" w:hAnsi="Bookman Old Style"/>
          <w:sz w:val="24"/>
          <w:szCs w:val="24"/>
        </w:rPr>
        <w:t>de acumulación para un sistema fotovoltaico,</w:t>
      </w:r>
      <w:r w:rsidR="00542B7F" w:rsidRPr="00AD369B">
        <w:rPr>
          <w:rFonts w:ascii="Bookman Old Style" w:hAnsi="Bookman Old Style"/>
          <w:sz w:val="24"/>
          <w:szCs w:val="24"/>
        </w:rPr>
        <w:t xml:space="preserve"> presentado en la solicitud de </w:t>
      </w:r>
      <w:r w:rsidR="006C40CE" w:rsidRPr="006C40CE">
        <w:rPr>
          <w:rFonts w:ascii="Bookman Old Style" w:hAnsi="Bookman Old Style"/>
          <w:sz w:val="24"/>
          <w:szCs w:val="24"/>
        </w:rPr>
        <w:t xml:space="preserve">GENSA </w:t>
      </w:r>
      <w:r w:rsidR="00E63E5A" w:rsidRPr="00AD369B">
        <w:rPr>
          <w:rFonts w:ascii="Bookman Old Style" w:hAnsi="Bookman Old Style"/>
          <w:sz w:val="24"/>
          <w:szCs w:val="24"/>
        </w:rPr>
        <w:t xml:space="preserve">no </w:t>
      </w:r>
      <w:r w:rsidRPr="00AD369B">
        <w:rPr>
          <w:rFonts w:ascii="Bookman Old Style" w:hAnsi="Bookman Old Style"/>
          <w:sz w:val="24"/>
          <w:szCs w:val="24"/>
        </w:rPr>
        <w:t xml:space="preserve">corresponde a </w:t>
      </w:r>
      <w:r w:rsidR="00D82A48" w:rsidRPr="00AD369B">
        <w:rPr>
          <w:rFonts w:ascii="Bookman Old Style" w:hAnsi="Bookman Old Style"/>
          <w:sz w:val="24"/>
          <w:szCs w:val="24"/>
        </w:rPr>
        <w:t xml:space="preserve">los casos previstos </w:t>
      </w:r>
      <w:r w:rsidR="00E63E5A" w:rsidRPr="00AD369B">
        <w:rPr>
          <w:rFonts w:ascii="Bookman Old Style" w:hAnsi="Bookman Old Style"/>
          <w:sz w:val="24"/>
          <w:szCs w:val="24"/>
        </w:rPr>
        <w:t>en la Resolución CREG 091</w:t>
      </w:r>
      <w:r w:rsidRPr="00AD369B">
        <w:rPr>
          <w:rFonts w:ascii="Bookman Old Style" w:hAnsi="Bookman Old Style"/>
          <w:sz w:val="24"/>
          <w:szCs w:val="24"/>
        </w:rPr>
        <w:t xml:space="preserve"> de 2007</w:t>
      </w:r>
      <w:r w:rsidR="00E63E5A" w:rsidRPr="00AD369B">
        <w:rPr>
          <w:rFonts w:ascii="Bookman Old Style" w:hAnsi="Bookman Old Style"/>
          <w:sz w:val="24"/>
          <w:szCs w:val="24"/>
        </w:rPr>
        <w:t xml:space="preserve">, al no encontrarse </w:t>
      </w:r>
      <w:r w:rsidRPr="00AD369B">
        <w:rPr>
          <w:rFonts w:ascii="Bookman Old Style" w:hAnsi="Bookman Old Style"/>
          <w:sz w:val="24"/>
          <w:szCs w:val="24"/>
        </w:rPr>
        <w:t xml:space="preserve">definidos </w:t>
      </w:r>
      <w:r w:rsidR="00E63E5A" w:rsidRPr="00AD369B">
        <w:rPr>
          <w:rFonts w:ascii="Bookman Old Style" w:hAnsi="Bookman Old Style"/>
          <w:sz w:val="24"/>
          <w:szCs w:val="24"/>
        </w:rPr>
        <w:t xml:space="preserve">los </w:t>
      </w:r>
      <w:r w:rsidR="00E54BB6" w:rsidRPr="00AD369B">
        <w:rPr>
          <w:rFonts w:ascii="Bookman Old Style" w:hAnsi="Bookman Old Style"/>
          <w:sz w:val="24"/>
          <w:szCs w:val="24"/>
        </w:rPr>
        <w:t xml:space="preserve">gastos </w:t>
      </w:r>
      <w:r w:rsidR="00E63E5A" w:rsidRPr="00AD369B">
        <w:rPr>
          <w:rFonts w:ascii="Bookman Old Style" w:hAnsi="Bookman Old Style"/>
          <w:sz w:val="24"/>
          <w:szCs w:val="24"/>
        </w:rPr>
        <w:t xml:space="preserve">de </w:t>
      </w:r>
      <w:r w:rsidR="00E54BB6" w:rsidRPr="00AD369B">
        <w:rPr>
          <w:rFonts w:ascii="Bookman Old Style" w:hAnsi="Bookman Old Style"/>
          <w:sz w:val="24"/>
          <w:szCs w:val="24"/>
        </w:rPr>
        <w:t xml:space="preserve">administración, operación </w:t>
      </w:r>
      <w:r w:rsidR="00E63E5A" w:rsidRPr="00AD369B">
        <w:rPr>
          <w:rFonts w:ascii="Bookman Old Style" w:hAnsi="Bookman Old Style"/>
          <w:sz w:val="24"/>
          <w:szCs w:val="24"/>
        </w:rPr>
        <w:t xml:space="preserve">y mantenimiento de </w:t>
      </w:r>
      <w:r w:rsidRPr="00AD369B">
        <w:rPr>
          <w:rFonts w:ascii="Bookman Old Style" w:hAnsi="Bookman Old Style"/>
          <w:sz w:val="24"/>
          <w:szCs w:val="24"/>
        </w:rPr>
        <w:t xml:space="preserve">la </w:t>
      </w:r>
      <w:r w:rsidR="00E63E5A" w:rsidRPr="00AD369B">
        <w:rPr>
          <w:rFonts w:ascii="Bookman Old Style" w:hAnsi="Bookman Old Style"/>
          <w:sz w:val="24"/>
          <w:szCs w:val="24"/>
        </w:rPr>
        <w:t>tecnología</w:t>
      </w:r>
      <w:r w:rsidRPr="00AD369B">
        <w:rPr>
          <w:rFonts w:ascii="Bookman Old Style" w:hAnsi="Bookman Old Style"/>
          <w:sz w:val="24"/>
          <w:szCs w:val="24"/>
        </w:rPr>
        <w:t xml:space="preserve"> </w:t>
      </w:r>
      <w:r w:rsidR="006C40CE">
        <w:rPr>
          <w:rFonts w:ascii="Bookman Old Style" w:hAnsi="Bookman Old Style"/>
          <w:sz w:val="24"/>
          <w:szCs w:val="24"/>
        </w:rPr>
        <w:t>de acumulación</w:t>
      </w:r>
      <w:r w:rsidRPr="00AD369B">
        <w:rPr>
          <w:rFonts w:ascii="Bookman Old Style" w:hAnsi="Bookman Old Style"/>
          <w:sz w:val="24"/>
          <w:szCs w:val="24"/>
        </w:rPr>
        <w:t xml:space="preserve">. </w:t>
      </w:r>
    </w:p>
    <w:p w14:paraId="180B498E" w14:textId="77777777" w:rsidR="00065952" w:rsidRPr="00AD369B" w:rsidRDefault="00065952" w:rsidP="00B606A2">
      <w:pPr>
        <w:pStyle w:val="Style2"/>
        <w:shd w:val="clear" w:color="auto" w:fill="auto"/>
        <w:spacing w:before="0" w:line="240" w:lineRule="auto"/>
        <w:ind w:left="284" w:right="51" w:firstLine="0"/>
        <w:contextualSpacing/>
        <w:jc w:val="both"/>
        <w:rPr>
          <w:rFonts w:ascii="Bookman Old Style" w:hAnsi="Bookman Old Style"/>
          <w:sz w:val="24"/>
          <w:szCs w:val="24"/>
        </w:rPr>
      </w:pPr>
    </w:p>
    <w:p w14:paraId="04119412" w14:textId="4C71BE1A" w:rsidR="00065952" w:rsidRPr="00AD369B" w:rsidRDefault="00065952" w:rsidP="00B606A2">
      <w:pPr>
        <w:pStyle w:val="Style2"/>
        <w:shd w:val="clear" w:color="auto" w:fill="auto"/>
        <w:spacing w:before="0" w:line="240" w:lineRule="auto"/>
        <w:ind w:left="284" w:right="51" w:firstLine="0"/>
        <w:contextualSpacing/>
        <w:jc w:val="both"/>
        <w:rPr>
          <w:rFonts w:ascii="Bookman Old Style" w:hAnsi="Bookman Old Style"/>
          <w:sz w:val="24"/>
          <w:szCs w:val="24"/>
        </w:rPr>
      </w:pPr>
      <w:r w:rsidRPr="00AD369B">
        <w:rPr>
          <w:rFonts w:ascii="Bookman Old Style" w:hAnsi="Bookman Old Style"/>
          <w:sz w:val="24"/>
          <w:szCs w:val="24"/>
        </w:rPr>
        <w:t>Por otra parte, la precitada resolución</w:t>
      </w:r>
      <w:r w:rsidR="00A93715" w:rsidRPr="00AD369B">
        <w:rPr>
          <w:rFonts w:ascii="Bookman Old Style" w:hAnsi="Bookman Old Style"/>
          <w:sz w:val="24"/>
          <w:szCs w:val="24"/>
        </w:rPr>
        <w:t>,</w:t>
      </w:r>
      <w:r w:rsidRPr="00AD369B">
        <w:rPr>
          <w:rFonts w:ascii="Bookman Old Style" w:hAnsi="Bookman Old Style"/>
          <w:sz w:val="24"/>
          <w:szCs w:val="24"/>
        </w:rPr>
        <w:t xml:space="preserve"> en su artículo 25</w:t>
      </w:r>
      <w:r w:rsidR="00A93715" w:rsidRPr="00AD369B">
        <w:rPr>
          <w:rFonts w:ascii="Bookman Old Style" w:hAnsi="Bookman Old Style"/>
          <w:sz w:val="24"/>
          <w:szCs w:val="24"/>
        </w:rPr>
        <w:t>,</w:t>
      </w:r>
      <w:r w:rsidRPr="00AD369B">
        <w:rPr>
          <w:rFonts w:ascii="Bookman Old Style" w:hAnsi="Bookman Old Style"/>
          <w:sz w:val="24"/>
          <w:szCs w:val="24"/>
        </w:rPr>
        <w:t xml:space="preserve"> establece lo siguiente:</w:t>
      </w:r>
    </w:p>
    <w:p w14:paraId="316A34F5" w14:textId="77777777" w:rsidR="00065952" w:rsidRPr="00AD369B" w:rsidRDefault="00065952" w:rsidP="00B606A2">
      <w:pPr>
        <w:pStyle w:val="Style2"/>
        <w:shd w:val="clear" w:color="auto" w:fill="auto"/>
        <w:spacing w:before="0" w:line="240" w:lineRule="auto"/>
        <w:ind w:left="284" w:right="51" w:firstLine="0"/>
        <w:contextualSpacing/>
        <w:jc w:val="both"/>
        <w:rPr>
          <w:rFonts w:ascii="Bookman Old Style" w:hAnsi="Bookman Old Style"/>
          <w:sz w:val="24"/>
          <w:szCs w:val="24"/>
        </w:rPr>
      </w:pPr>
    </w:p>
    <w:p w14:paraId="527E5A3E" w14:textId="623370E3" w:rsidR="00065952" w:rsidRPr="00470F88" w:rsidRDefault="00065952" w:rsidP="007A5599">
      <w:pPr>
        <w:pStyle w:val="Style2"/>
        <w:shd w:val="clear" w:color="auto" w:fill="auto"/>
        <w:spacing w:before="0" w:line="240" w:lineRule="auto"/>
        <w:ind w:left="567" w:right="51" w:firstLine="0"/>
        <w:contextualSpacing/>
        <w:jc w:val="both"/>
        <w:rPr>
          <w:rFonts w:ascii="Bookman Old Style" w:hAnsi="Bookman Old Style"/>
          <w:i/>
          <w:sz w:val="22"/>
          <w:szCs w:val="22"/>
        </w:rPr>
      </w:pPr>
      <w:r w:rsidRPr="00470F88">
        <w:rPr>
          <w:rFonts w:ascii="Bookman Old Style" w:hAnsi="Bookman Old Style"/>
          <w:i/>
          <w:sz w:val="22"/>
          <w:szCs w:val="22"/>
        </w:rPr>
        <w:t>“</w:t>
      </w:r>
      <w:r w:rsidRPr="00470F88">
        <w:rPr>
          <w:rFonts w:ascii="Bookman Old Style" w:hAnsi="Bookman Old Style"/>
          <w:b/>
          <w:bCs/>
          <w:i/>
          <w:sz w:val="22"/>
          <w:szCs w:val="22"/>
        </w:rPr>
        <w:t>Artículo 25. Fórmula de Actualización de Cargos Máximos de Generación.</w:t>
      </w:r>
      <w:r w:rsidR="007D58E4" w:rsidRPr="00470F88">
        <w:rPr>
          <w:rFonts w:ascii="Bookman Old Style" w:hAnsi="Bookman Old Style"/>
          <w:i/>
          <w:sz w:val="22"/>
          <w:szCs w:val="22"/>
        </w:rPr>
        <w:t xml:space="preserve"> </w:t>
      </w:r>
      <w:r w:rsidRPr="00470F88">
        <w:rPr>
          <w:rFonts w:ascii="Bookman Old Style" w:hAnsi="Bookman Old Style"/>
          <w:i/>
          <w:sz w:val="22"/>
          <w:szCs w:val="22"/>
        </w:rPr>
        <w:t>Los Cargos Máximos de Generación expresados en pesos de la Fecha Base, se actualizarán con las siguientes fórmulas generales:</w:t>
      </w:r>
    </w:p>
    <w:p w14:paraId="5458E20D" w14:textId="77777777" w:rsidR="00593565" w:rsidRPr="00470F88" w:rsidRDefault="00593565" w:rsidP="007A5599">
      <w:pPr>
        <w:pStyle w:val="Style2"/>
        <w:shd w:val="clear" w:color="auto" w:fill="auto"/>
        <w:spacing w:before="0" w:line="240" w:lineRule="auto"/>
        <w:ind w:left="567" w:right="51" w:firstLine="0"/>
        <w:contextualSpacing/>
        <w:jc w:val="both"/>
        <w:rPr>
          <w:rFonts w:ascii="Bookman Old Style" w:hAnsi="Bookman Old Style"/>
          <w:i/>
          <w:sz w:val="22"/>
          <w:szCs w:val="22"/>
        </w:rPr>
      </w:pPr>
    </w:p>
    <w:p w14:paraId="70E4EB48" w14:textId="77777777" w:rsidR="00065952" w:rsidRPr="00470F88" w:rsidRDefault="00065952" w:rsidP="007A5599">
      <w:pPr>
        <w:pStyle w:val="Style2"/>
        <w:shd w:val="clear" w:color="auto" w:fill="auto"/>
        <w:spacing w:before="0" w:line="240" w:lineRule="auto"/>
        <w:ind w:left="567" w:right="51" w:firstLine="0"/>
        <w:contextualSpacing/>
        <w:jc w:val="both"/>
        <w:rPr>
          <w:rFonts w:ascii="Bookman Old Style" w:hAnsi="Bookman Old Style"/>
          <w:i/>
          <w:sz w:val="22"/>
          <w:szCs w:val="22"/>
        </w:rPr>
      </w:pPr>
      <w:r w:rsidRPr="00470F88">
        <w:rPr>
          <w:rFonts w:ascii="Bookman Old Style" w:hAnsi="Bookman Old Style"/>
          <w:i/>
          <w:sz w:val="22"/>
          <w:szCs w:val="22"/>
        </w:rPr>
        <w:t>a) Fórmula de Actualización de Cargos Máximos para Generación Diésel</w:t>
      </w:r>
    </w:p>
    <w:p w14:paraId="531F75C5" w14:textId="4CA3DA7B" w:rsidR="00AD369B" w:rsidRPr="00470F88" w:rsidRDefault="00065952" w:rsidP="006C40CE">
      <w:pPr>
        <w:pStyle w:val="Style2"/>
        <w:shd w:val="clear" w:color="auto" w:fill="auto"/>
        <w:spacing w:before="0" w:line="240" w:lineRule="auto"/>
        <w:ind w:left="567" w:right="51" w:firstLine="0"/>
        <w:contextualSpacing/>
        <w:jc w:val="both"/>
        <w:rPr>
          <w:rFonts w:ascii="Bookman Old Style" w:hAnsi="Bookman Old Style"/>
          <w:i/>
          <w:sz w:val="22"/>
          <w:szCs w:val="22"/>
        </w:rPr>
      </w:pPr>
      <w:r w:rsidRPr="00470F88">
        <w:rPr>
          <w:rFonts w:ascii="Bookman Old Style" w:hAnsi="Bookman Old Style"/>
          <w:i/>
          <w:sz w:val="22"/>
          <w:szCs w:val="22"/>
        </w:rPr>
        <w:t>b) Fórmula de Actualización de Cargos Máximos de Generación para Centrales Hidroeléctricas a Pequeña Escala</w:t>
      </w:r>
    </w:p>
    <w:p w14:paraId="7089F31F" w14:textId="494597F5" w:rsidR="00065952" w:rsidRPr="00470F88" w:rsidRDefault="00065952" w:rsidP="007A5599">
      <w:pPr>
        <w:pStyle w:val="Style2"/>
        <w:shd w:val="clear" w:color="auto" w:fill="auto"/>
        <w:spacing w:before="0" w:line="240" w:lineRule="auto"/>
        <w:ind w:left="567" w:right="51" w:firstLine="0"/>
        <w:contextualSpacing/>
        <w:jc w:val="both"/>
        <w:rPr>
          <w:rFonts w:ascii="Bookman Old Style" w:hAnsi="Bookman Old Style"/>
          <w:i/>
          <w:sz w:val="22"/>
          <w:szCs w:val="22"/>
        </w:rPr>
      </w:pPr>
      <w:r w:rsidRPr="00470F88">
        <w:rPr>
          <w:rFonts w:ascii="Bookman Old Style" w:hAnsi="Bookman Old Style"/>
          <w:i/>
          <w:sz w:val="22"/>
          <w:szCs w:val="22"/>
        </w:rPr>
        <w:t>c) Fórmula de Actualización de Cargos Máximos de Generación para Soluciones Fotovoltaicas Individuales”</w:t>
      </w:r>
    </w:p>
    <w:p w14:paraId="7740D90E" w14:textId="77777777" w:rsidR="00065952" w:rsidRPr="00AD369B" w:rsidRDefault="00065952" w:rsidP="00B606A2">
      <w:pPr>
        <w:pStyle w:val="Style2"/>
        <w:shd w:val="clear" w:color="auto" w:fill="auto"/>
        <w:spacing w:before="0" w:line="240" w:lineRule="auto"/>
        <w:ind w:left="284" w:right="51" w:firstLine="0"/>
        <w:contextualSpacing/>
        <w:jc w:val="both"/>
        <w:rPr>
          <w:rFonts w:ascii="Bookman Old Style" w:hAnsi="Bookman Old Style"/>
          <w:i/>
          <w:sz w:val="24"/>
          <w:szCs w:val="24"/>
        </w:rPr>
      </w:pPr>
    </w:p>
    <w:p w14:paraId="28B6FD8F" w14:textId="69566D69" w:rsidR="0083412E" w:rsidRDefault="00065952" w:rsidP="000C4D0D">
      <w:pPr>
        <w:pStyle w:val="Style2"/>
        <w:shd w:val="clear" w:color="auto" w:fill="auto"/>
        <w:spacing w:before="0" w:line="240" w:lineRule="auto"/>
        <w:ind w:left="284" w:right="51" w:firstLine="0"/>
        <w:contextualSpacing/>
        <w:jc w:val="both"/>
        <w:rPr>
          <w:rFonts w:ascii="Bookman Old Style" w:hAnsi="Bookman Old Style"/>
          <w:sz w:val="24"/>
          <w:szCs w:val="24"/>
        </w:rPr>
      </w:pPr>
      <w:r w:rsidRPr="00AD369B">
        <w:rPr>
          <w:rFonts w:ascii="Bookman Old Style" w:hAnsi="Bookman Old Style"/>
          <w:sz w:val="24"/>
          <w:szCs w:val="24"/>
        </w:rPr>
        <w:t>En este contexto</w:t>
      </w:r>
      <w:r w:rsidR="00A93715" w:rsidRPr="00AD369B">
        <w:rPr>
          <w:rFonts w:ascii="Bookman Old Style" w:hAnsi="Bookman Old Style"/>
          <w:sz w:val="24"/>
          <w:szCs w:val="24"/>
        </w:rPr>
        <w:t>,</w:t>
      </w:r>
      <w:r w:rsidRPr="00AD369B">
        <w:rPr>
          <w:rFonts w:ascii="Bookman Old Style" w:hAnsi="Bookman Old Style"/>
          <w:sz w:val="24"/>
          <w:szCs w:val="24"/>
        </w:rPr>
        <w:t xml:space="preserve"> se identifica que las fórmulas de actualización de cargos máximos de generación definidas en el artículo 25, tampoco considera</w:t>
      </w:r>
      <w:r w:rsidR="00ED2AF3" w:rsidRPr="00AD369B">
        <w:rPr>
          <w:rFonts w:ascii="Bookman Old Style" w:hAnsi="Bookman Old Style"/>
          <w:sz w:val="24"/>
          <w:szCs w:val="24"/>
        </w:rPr>
        <w:t>n</w:t>
      </w:r>
      <w:r w:rsidRPr="00AD369B">
        <w:rPr>
          <w:rFonts w:ascii="Bookman Old Style" w:hAnsi="Bookman Old Style"/>
          <w:sz w:val="24"/>
          <w:szCs w:val="24"/>
        </w:rPr>
        <w:t xml:space="preserve"> una f</w:t>
      </w:r>
      <w:r w:rsidR="00660EA5" w:rsidRPr="00AD369B">
        <w:rPr>
          <w:rFonts w:ascii="Bookman Old Style" w:hAnsi="Bookman Old Style"/>
          <w:sz w:val="24"/>
          <w:szCs w:val="24"/>
        </w:rPr>
        <w:t>orma</w:t>
      </w:r>
      <w:r w:rsidRPr="00AD369B">
        <w:rPr>
          <w:rFonts w:ascii="Bookman Old Style" w:hAnsi="Bookman Old Style"/>
          <w:sz w:val="24"/>
          <w:szCs w:val="24"/>
        </w:rPr>
        <w:t xml:space="preserve"> de actualización para el tipo </w:t>
      </w:r>
      <w:r w:rsidR="00ED2AF3" w:rsidRPr="00AD369B">
        <w:rPr>
          <w:rFonts w:ascii="Bookman Old Style" w:hAnsi="Bookman Old Style"/>
          <w:sz w:val="24"/>
          <w:szCs w:val="24"/>
        </w:rPr>
        <w:t xml:space="preserve">de generación </w:t>
      </w:r>
      <w:r w:rsidR="000973AA" w:rsidRPr="00AD369B">
        <w:rPr>
          <w:rFonts w:ascii="Bookman Old Style" w:hAnsi="Bookman Old Style"/>
          <w:sz w:val="24"/>
          <w:szCs w:val="24"/>
        </w:rPr>
        <w:t>enunciada</w:t>
      </w:r>
      <w:r w:rsidR="00ED2AF3" w:rsidRPr="00AD369B">
        <w:rPr>
          <w:rFonts w:ascii="Bookman Old Style" w:hAnsi="Bookman Old Style"/>
          <w:sz w:val="24"/>
          <w:szCs w:val="24"/>
        </w:rPr>
        <w:t xml:space="preserve"> en la solicitud </w:t>
      </w:r>
      <w:r w:rsidR="000973AA" w:rsidRPr="00AD369B">
        <w:rPr>
          <w:rFonts w:ascii="Bookman Old Style" w:hAnsi="Bookman Old Style"/>
          <w:sz w:val="24"/>
          <w:szCs w:val="24"/>
        </w:rPr>
        <w:t xml:space="preserve">presentada </w:t>
      </w:r>
      <w:r w:rsidR="37B5FC8A" w:rsidRPr="6E821124">
        <w:rPr>
          <w:rFonts w:ascii="Bookman Old Style" w:hAnsi="Bookman Old Style"/>
          <w:sz w:val="24"/>
          <w:szCs w:val="24"/>
        </w:rPr>
        <w:t xml:space="preserve">por </w:t>
      </w:r>
      <w:r w:rsidR="006C40CE" w:rsidRPr="006C40CE">
        <w:rPr>
          <w:rFonts w:ascii="Bookman Old Style" w:hAnsi="Bookman Old Style"/>
          <w:sz w:val="24"/>
          <w:szCs w:val="24"/>
        </w:rPr>
        <w:t>GENSA</w:t>
      </w:r>
      <w:r w:rsidR="66F06EDA" w:rsidRPr="262983D0">
        <w:rPr>
          <w:rFonts w:ascii="Bookman Old Style" w:hAnsi="Bookman Old Style"/>
          <w:sz w:val="24"/>
          <w:szCs w:val="24"/>
        </w:rPr>
        <w:t>,</w:t>
      </w:r>
      <w:r w:rsidRPr="00AD369B">
        <w:rPr>
          <w:rFonts w:ascii="Bookman Old Style" w:hAnsi="Bookman Old Style"/>
          <w:sz w:val="24"/>
          <w:szCs w:val="24"/>
        </w:rPr>
        <w:t xml:space="preserve"> lo cual será objeto de análisis en la presente resolución. </w:t>
      </w:r>
    </w:p>
    <w:p w14:paraId="5C267A86" w14:textId="77777777" w:rsidR="0083412E" w:rsidRPr="00AD369B" w:rsidRDefault="0083412E" w:rsidP="00B606A2">
      <w:pPr>
        <w:pStyle w:val="Style2"/>
        <w:shd w:val="clear" w:color="auto" w:fill="auto"/>
        <w:spacing w:before="0" w:line="240" w:lineRule="auto"/>
        <w:ind w:left="284" w:right="51" w:firstLine="0"/>
        <w:contextualSpacing/>
        <w:jc w:val="both"/>
        <w:rPr>
          <w:rFonts w:ascii="Bookman Old Style" w:hAnsi="Bookman Old Style"/>
          <w:sz w:val="24"/>
          <w:szCs w:val="24"/>
        </w:rPr>
      </w:pPr>
    </w:p>
    <w:p w14:paraId="07118D48" w14:textId="71E8E240" w:rsidR="00ED7F05" w:rsidRDefault="00E54BB6" w:rsidP="00B606A2">
      <w:pPr>
        <w:pStyle w:val="Style2"/>
        <w:shd w:val="clear" w:color="auto" w:fill="auto"/>
        <w:spacing w:before="0" w:line="240" w:lineRule="auto"/>
        <w:ind w:left="284" w:right="51" w:firstLine="0"/>
        <w:contextualSpacing/>
        <w:jc w:val="both"/>
        <w:rPr>
          <w:rFonts w:ascii="Bookman Old Style" w:hAnsi="Bookman Old Style"/>
          <w:sz w:val="24"/>
          <w:szCs w:val="24"/>
        </w:rPr>
      </w:pPr>
      <w:r w:rsidRPr="00AD369B">
        <w:rPr>
          <w:rFonts w:ascii="Bookman Old Style" w:hAnsi="Bookman Old Style"/>
          <w:sz w:val="24"/>
          <w:szCs w:val="24"/>
        </w:rPr>
        <w:t>En aras de garantizar los principios de eficacia y celeridad previstos en el artículo 3° del Código de Procedimiento Administrativo y de lo Contencioso Administrativo, considera esta Comisión necesari</w:t>
      </w:r>
      <w:r w:rsidR="00E41921" w:rsidRPr="00AD369B">
        <w:rPr>
          <w:rFonts w:ascii="Bookman Old Style" w:hAnsi="Bookman Old Style"/>
          <w:sz w:val="24"/>
          <w:szCs w:val="24"/>
        </w:rPr>
        <w:t>o definir</w:t>
      </w:r>
      <w:r w:rsidR="00A93715" w:rsidRPr="00AD369B">
        <w:rPr>
          <w:rFonts w:ascii="Bookman Old Style" w:hAnsi="Bookman Old Style"/>
          <w:sz w:val="24"/>
          <w:szCs w:val="24"/>
        </w:rPr>
        <w:t>,</w:t>
      </w:r>
      <w:r w:rsidR="00E41921" w:rsidRPr="00AD369B">
        <w:rPr>
          <w:rFonts w:ascii="Bookman Old Style" w:hAnsi="Bookman Old Style"/>
          <w:sz w:val="24"/>
          <w:szCs w:val="24"/>
        </w:rPr>
        <w:t xml:space="preserve"> </w:t>
      </w:r>
      <w:r w:rsidR="00ED2AF3" w:rsidRPr="00AD369B">
        <w:rPr>
          <w:rFonts w:ascii="Bookman Old Style" w:hAnsi="Bookman Old Style"/>
          <w:sz w:val="24"/>
          <w:szCs w:val="24"/>
        </w:rPr>
        <w:t xml:space="preserve">no solo </w:t>
      </w:r>
      <w:r w:rsidR="00E41921" w:rsidRPr="00AD369B">
        <w:rPr>
          <w:rFonts w:ascii="Bookman Old Style" w:hAnsi="Bookman Old Style"/>
          <w:sz w:val="24"/>
          <w:szCs w:val="24"/>
        </w:rPr>
        <w:t>los gastos de administra</w:t>
      </w:r>
      <w:r w:rsidR="00643867" w:rsidRPr="00AD369B">
        <w:rPr>
          <w:rFonts w:ascii="Bookman Old Style" w:hAnsi="Bookman Old Style"/>
          <w:sz w:val="24"/>
          <w:szCs w:val="24"/>
        </w:rPr>
        <w:t>ción, operación y mantenimiento</w:t>
      </w:r>
      <w:r w:rsidR="00A93715" w:rsidRPr="00AD369B">
        <w:rPr>
          <w:rFonts w:ascii="Bookman Old Style" w:hAnsi="Bookman Old Style"/>
          <w:sz w:val="24"/>
          <w:szCs w:val="24"/>
        </w:rPr>
        <w:t>,</w:t>
      </w:r>
      <w:r w:rsidR="00643867" w:rsidRPr="00AD369B">
        <w:rPr>
          <w:rFonts w:ascii="Bookman Old Style" w:hAnsi="Bookman Old Style"/>
          <w:sz w:val="24"/>
          <w:szCs w:val="24"/>
        </w:rPr>
        <w:t xml:space="preserve"> </w:t>
      </w:r>
      <w:r w:rsidR="00ED2AF3" w:rsidRPr="00AD369B">
        <w:rPr>
          <w:rFonts w:ascii="Bookman Old Style" w:hAnsi="Bookman Old Style"/>
          <w:sz w:val="24"/>
          <w:szCs w:val="24"/>
        </w:rPr>
        <w:t xml:space="preserve">sino también </w:t>
      </w:r>
      <w:r w:rsidR="00065952" w:rsidRPr="00AD369B">
        <w:rPr>
          <w:rFonts w:ascii="Bookman Old Style" w:hAnsi="Bookman Old Style"/>
          <w:sz w:val="24"/>
          <w:szCs w:val="24"/>
        </w:rPr>
        <w:t>la f</w:t>
      </w:r>
      <w:r w:rsidR="00660EA5" w:rsidRPr="00AD369B">
        <w:rPr>
          <w:rFonts w:ascii="Bookman Old Style" w:hAnsi="Bookman Old Style"/>
          <w:sz w:val="24"/>
          <w:szCs w:val="24"/>
        </w:rPr>
        <w:t>orma</w:t>
      </w:r>
      <w:r w:rsidR="00065952" w:rsidRPr="00AD369B">
        <w:rPr>
          <w:rFonts w:ascii="Bookman Old Style" w:hAnsi="Bookman Old Style"/>
          <w:sz w:val="24"/>
          <w:szCs w:val="24"/>
        </w:rPr>
        <w:t xml:space="preserve"> de actualización de los cargos máximos de generación</w:t>
      </w:r>
      <w:r w:rsidR="00B63A12" w:rsidRPr="00AD369B">
        <w:rPr>
          <w:rFonts w:ascii="Bookman Old Style" w:hAnsi="Bookman Old Style"/>
          <w:sz w:val="24"/>
          <w:szCs w:val="24"/>
        </w:rPr>
        <w:t xml:space="preserve"> aplicables al mercado de comercialización </w:t>
      </w:r>
      <w:r w:rsidR="00442E69" w:rsidRPr="00AD369B">
        <w:rPr>
          <w:rFonts w:ascii="Bookman Old Style" w:hAnsi="Bookman Old Style"/>
          <w:sz w:val="24"/>
          <w:szCs w:val="24"/>
        </w:rPr>
        <w:t xml:space="preserve">de la cabecera municipal de </w:t>
      </w:r>
      <w:r w:rsidR="005B7B83">
        <w:rPr>
          <w:rFonts w:ascii="Bookman Old Style" w:hAnsi="Bookman Old Style"/>
          <w:sz w:val="24"/>
          <w:szCs w:val="24"/>
        </w:rPr>
        <w:t>Inírida</w:t>
      </w:r>
      <w:r w:rsidR="00442E69" w:rsidRPr="00AD369B">
        <w:rPr>
          <w:rFonts w:ascii="Bookman Old Style" w:hAnsi="Bookman Old Style"/>
          <w:sz w:val="24"/>
          <w:szCs w:val="24"/>
        </w:rPr>
        <w:t xml:space="preserve"> en el Departamento del </w:t>
      </w:r>
      <w:r w:rsidR="005B7B83">
        <w:rPr>
          <w:rFonts w:ascii="Bookman Old Style" w:hAnsi="Bookman Old Style"/>
          <w:sz w:val="24"/>
          <w:szCs w:val="24"/>
        </w:rPr>
        <w:t>Guainía</w:t>
      </w:r>
      <w:r w:rsidR="00E41921" w:rsidRPr="00AD369B">
        <w:rPr>
          <w:rFonts w:ascii="Bookman Old Style" w:hAnsi="Bookman Old Style"/>
          <w:sz w:val="24"/>
          <w:szCs w:val="24"/>
        </w:rPr>
        <w:t>.</w:t>
      </w:r>
    </w:p>
    <w:p w14:paraId="1BE44C14" w14:textId="1EDEFC5A" w:rsidR="00F05E19" w:rsidRPr="00AD369B" w:rsidRDefault="00F05E19" w:rsidP="00B606A2">
      <w:pPr>
        <w:pStyle w:val="Style2"/>
        <w:shd w:val="clear" w:color="auto" w:fill="auto"/>
        <w:spacing w:before="0" w:line="240" w:lineRule="auto"/>
        <w:ind w:left="284" w:right="51" w:firstLine="0"/>
        <w:contextualSpacing/>
        <w:jc w:val="both"/>
        <w:rPr>
          <w:rFonts w:ascii="Bookman Old Style" w:hAnsi="Bookman Old Style"/>
          <w:sz w:val="24"/>
          <w:szCs w:val="24"/>
        </w:rPr>
      </w:pPr>
    </w:p>
    <w:p w14:paraId="16315E4D" w14:textId="1EDEFC5A" w:rsidR="004175D5" w:rsidRPr="00AD369B" w:rsidRDefault="009871F8" w:rsidP="00B606A2">
      <w:pPr>
        <w:pStyle w:val="Style2"/>
        <w:shd w:val="clear" w:color="auto" w:fill="auto"/>
        <w:spacing w:before="0" w:line="240" w:lineRule="auto"/>
        <w:ind w:left="284" w:right="51" w:firstLine="0"/>
        <w:contextualSpacing/>
        <w:jc w:val="both"/>
        <w:rPr>
          <w:rFonts w:ascii="Bookman Old Style" w:hAnsi="Bookman Old Style"/>
          <w:sz w:val="24"/>
          <w:szCs w:val="24"/>
        </w:rPr>
      </w:pPr>
      <w:r w:rsidRPr="00AD369B">
        <w:rPr>
          <w:rFonts w:ascii="Bookman Old Style" w:hAnsi="Bookman Old Style"/>
          <w:sz w:val="24"/>
          <w:szCs w:val="24"/>
        </w:rPr>
        <w:t>D</w:t>
      </w:r>
      <w:r w:rsidR="004175D5" w:rsidRPr="00AD369B">
        <w:rPr>
          <w:rFonts w:ascii="Bookman Old Style" w:hAnsi="Bookman Old Style"/>
          <w:sz w:val="24"/>
          <w:szCs w:val="24"/>
        </w:rPr>
        <w:t>e acuerdo con las competencias de esta Comisión</w:t>
      </w:r>
      <w:r w:rsidR="00EE5170" w:rsidRPr="00AD369B">
        <w:rPr>
          <w:rFonts w:ascii="Bookman Old Style" w:hAnsi="Bookman Old Style"/>
          <w:sz w:val="24"/>
          <w:szCs w:val="24"/>
        </w:rPr>
        <w:t>,</w:t>
      </w:r>
      <w:r w:rsidR="004175D5" w:rsidRPr="00AD369B">
        <w:rPr>
          <w:rFonts w:ascii="Bookman Old Style" w:hAnsi="Bookman Old Style"/>
          <w:sz w:val="24"/>
          <w:szCs w:val="24"/>
        </w:rPr>
        <w:t xml:space="preserve"> </w:t>
      </w:r>
      <w:r w:rsidR="00A366C7" w:rsidRPr="00AD369B">
        <w:rPr>
          <w:rFonts w:ascii="Bookman Old Style" w:hAnsi="Bookman Old Style"/>
          <w:sz w:val="24"/>
          <w:szCs w:val="24"/>
        </w:rPr>
        <w:t xml:space="preserve">y teniendo en cuenta los criterios tarifarios definidos en el artículo 87 de la Ley 142 de 1994, en particular </w:t>
      </w:r>
      <w:r w:rsidR="000973AA" w:rsidRPr="00AD369B">
        <w:rPr>
          <w:rFonts w:ascii="Bookman Old Style" w:hAnsi="Bookman Old Style"/>
          <w:sz w:val="24"/>
          <w:szCs w:val="24"/>
        </w:rPr>
        <w:t xml:space="preserve">los </w:t>
      </w:r>
      <w:r w:rsidR="00A366C7" w:rsidRPr="00AD369B">
        <w:rPr>
          <w:rFonts w:ascii="Bookman Old Style" w:hAnsi="Bookman Old Style"/>
          <w:sz w:val="24"/>
          <w:szCs w:val="24"/>
        </w:rPr>
        <w:t>de eficiencia económica</w:t>
      </w:r>
      <w:r w:rsidR="000973AA" w:rsidRPr="00AD369B">
        <w:rPr>
          <w:rFonts w:ascii="Bookman Old Style" w:hAnsi="Bookman Old Style"/>
          <w:sz w:val="24"/>
          <w:szCs w:val="24"/>
        </w:rPr>
        <w:t xml:space="preserve"> y suficiencia financiera</w:t>
      </w:r>
      <w:r w:rsidR="00A366C7" w:rsidRPr="00AD369B">
        <w:rPr>
          <w:rFonts w:ascii="Bookman Old Style" w:hAnsi="Bookman Old Style"/>
          <w:sz w:val="24"/>
          <w:szCs w:val="24"/>
        </w:rPr>
        <w:t xml:space="preserve">, </w:t>
      </w:r>
      <w:r w:rsidR="0037544D" w:rsidRPr="00AD369B">
        <w:rPr>
          <w:rFonts w:ascii="Bookman Old Style" w:hAnsi="Bookman Old Style"/>
          <w:sz w:val="24"/>
          <w:szCs w:val="24"/>
        </w:rPr>
        <w:t>en</w:t>
      </w:r>
      <w:r w:rsidR="00A366C7" w:rsidRPr="00AD369B">
        <w:rPr>
          <w:rFonts w:ascii="Bookman Old Style" w:hAnsi="Bookman Old Style"/>
          <w:sz w:val="24"/>
          <w:szCs w:val="24"/>
        </w:rPr>
        <w:t xml:space="preserve"> esta actuación administrativa</w:t>
      </w:r>
      <w:r w:rsidR="000973AA" w:rsidRPr="00AD369B">
        <w:rPr>
          <w:rFonts w:ascii="Bookman Old Style" w:hAnsi="Bookman Old Style"/>
          <w:sz w:val="24"/>
          <w:szCs w:val="24"/>
        </w:rPr>
        <w:t xml:space="preserve"> se definirá</w:t>
      </w:r>
      <w:r w:rsidR="00A366C7" w:rsidRPr="00AD369B">
        <w:rPr>
          <w:rFonts w:ascii="Bookman Old Style" w:hAnsi="Bookman Old Style"/>
          <w:sz w:val="24"/>
          <w:szCs w:val="24"/>
        </w:rPr>
        <w:t xml:space="preserve"> el cargo de generación en su totalidad, incluyendo el costo de inversión y </w:t>
      </w:r>
      <w:r w:rsidR="00A93715" w:rsidRPr="00AD369B">
        <w:rPr>
          <w:rFonts w:ascii="Bookman Old Style" w:hAnsi="Bookman Old Style"/>
          <w:sz w:val="24"/>
          <w:szCs w:val="24"/>
        </w:rPr>
        <w:t xml:space="preserve">los </w:t>
      </w:r>
      <w:r w:rsidR="00A366C7" w:rsidRPr="00AD369B">
        <w:rPr>
          <w:rFonts w:ascii="Bookman Old Style" w:hAnsi="Bookman Old Style"/>
          <w:sz w:val="24"/>
          <w:szCs w:val="24"/>
        </w:rPr>
        <w:t>gastos de</w:t>
      </w:r>
      <w:r w:rsidR="00643867" w:rsidRPr="00AD369B">
        <w:rPr>
          <w:rFonts w:ascii="Bookman Old Style" w:hAnsi="Bookman Old Style"/>
          <w:sz w:val="24"/>
          <w:szCs w:val="24"/>
        </w:rPr>
        <w:t xml:space="preserve"> administración, operación y mantenimiento</w:t>
      </w:r>
      <w:r w:rsidR="00A93715" w:rsidRPr="00AD369B">
        <w:rPr>
          <w:rFonts w:ascii="Bookman Old Style" w:hAnsi="Bookman Old Style"/>
          <w:sz w:val="24"/>
          <w:szCs w:val="24"/>
        </w:rPr>
        <w:t>,</w:t>
      </w:r>
      <w:r w:rsidR="0029263A" w:rsidRPr="00AD369B">
        <w:rPr>
          <w:rFonts w:ascii="Bookman Old Style" w:hAnsi="Bookman Old Style"/>
          <w:sz w:val="24"/>
          <w:szCs w:val="24"/>
        </w:rPr>
        <w:t xml:space="preserve"> aplicable para el cálculo de costo unitario de prestación del servicio de los usuarios ubicados en el mercado de </w:t>
      </w:r>
      <w:r w:rsidR="002A193A" w:rsidRPr="00AD369B">
        <w:rPr>
          <w:rFonts w:ascii="Bookman Old Style" w:hAnsi="Bookman Old Style"/>
          <w:sz w:val="24"/>
          <w:szCs w:val="24"/>
        </w:rPr>
        <w:t>comercialización relevante</w:t>
      </w:r>
      <w:r w:rsidR="0029263A" w:rsidRPr="00AD369B">
        <w:rPr>
          <w:rFonts w:ascii="Bookman Old Style" w:hAnsi="Bookman Old Style"/>
          <w:sz w:val="24"/>
          <w:szCs w:val="24"/>
        </w:rPr>
        <w:t xml:space="preserve"> de </w:t>
      </w:r>
      <w:r w:rsidR="002A193A" w:rsidRPr="00AD369B">
        <w:rPr>
          <w:rFonts w:ascii="Bookman Old Style" w:hAnsi="Bookman Old Style"/>
          <w:sz w:val="24"/>
          <w:szCs w:val="24"/>
        </w:rPr>
        <w:t xml:space="preserve">la cabecera municipal de </w:t>
      </w:r>
      <w:r w:rsidR="005B7B83">
        <w:rPr>
          <w:rFonts w:ascii="Bookman Old Style" w:hAnsi="Bookman Old Style"/>
          <w:sz w:val="24"/>
          <w:szCs w:val="24"/>
        </w:rPr>
        <w:t>Inírida</w:t>
      </w:r>
      <w:r w:rsidR="0029263A" w:rsidRPr="00AD369B">
        <w:rPr>
          <w:rFonts w:ascii="Bookman Old Style" w:hAnsi="Bookman Old Style"/>
          <w:sz w:val="24"/>
          <w:szCs w:val="24"/>
        </w:rPr>
        <w:t>,</w:t>
      </w:r>
      <w:r w:rsidR="006B25AF" w:rsidRPr="00AD369B">
        <w:rPr>
          <w:rFonts w:ascii="Bookman Old Style" w:hAnsi="Bookman Old Style"/>
          <w:sz w:val="24"/>
          <w:szCs w:val="24"/>
        </w:rPr>
        <w:t xml:space="preserve"> a partir de la mejor información disponible</w:t>
      </w:r>
      <w:r w:rsidR="00A366C7" w:rsidRPr="00AD369B">
        <w:rPr>
          <w:rFonts w:ascii="Bookman Old Style" w:hAnsi="Bookman Old Style"/>
          <w:sz w:val="24"/>
          <w:szCs w:val="24"/>
        </w:rPr>
        <w:t xml:space="preserve">, con el fin de dar señales adecuadas que </w:t>
      </w:r>
      <w:r w:rsidR="00D24427" w:rsidRPr="00AD369B">
        <w:rPr>
          <w:rFonts w:ascii="Bookman Old Style" w:hAnsi="Bookman Old Style"/>
          <w:sz w:val="24"/>
          <w:szCs w:val="24"/>
        </w:rPr>
        <w:t>reflejen la estructura de costos económicos que acarrea la prestación del servicio</w:t>
      </w:r>
      <w:r w:rsidR="004A0B3B" w:rsidRPr="00AD369B">
        <w:rPr>
          <w:rFonts w:ascii="Bookman Old Style" w:hAnsi="Bookman Old Style"/>
          <w:sz w:val="24"/>
          <w:szCs w:val="24"/>
        </w:rPr>
        <w:t xml:space="preserve">, </w:t>
      </w:r>
      <w:r w:rsidR="00EE3EA3" w:rsidRPr="00AD369B">
        <w:rPr>
          <w:rFonts w:ascii="Bookman Old Style" w:hAnsi="Bookman Old Style"/>
          <w:sz w:val="24"/>
          <w:szCs w:val="24"/>
        </w:rPr>
        <w:t>junto con que se permita utilizar las tecnologías y sistemas administrativos que garanticen la mejor calidad, continuidad y seguridad a los usuarios</w:t>
      </w:r>
      <w:r w:rsidR="00D24427" w:rsidRPr="00AD369B">
        <w:rPr>
          <w:rFonts w:ascii="Bookman Old Style" w:hAnsi="Bookman Old Style"/>
          <w:sz w:val="24"/>
          <w:szCs w:val="24"/>
        </w:rPr>
        <w:t>.</w:t>
      </w:r>
    </w:p>
    <w:p w14:paraId="709EE527" w14:textId="1EDEFC5A" w:rsidR="00AD369B" w:rsidRPr="00AD369B" w:rsidRDefault="00AD369B" w:rsidP="00B606A2">
      <w:pPr>
        <w:pStyle w:val="Style2"/>
        <w:shd w:val="clear" w:color="auto" w:fill="auto"/>
        <w:spacing w:before="0" w:line="240" w:lineRule="auto"/>
        <w:ind w:left="284" w:right="51" w:firstLine="0"/>
        <w:contextualSpacing/>
        <w:jc w:val="both"/>
        <w:rPr>
          <w:rFonts w:ascii="Bookman Old Style" w:hAnsi="Bookman Old Style"/>
          <w:sz w:val="24"/>
          <w:szCs w:val="24"/>
        </w:rPr>
      </w:pPr>
    </w:p>
    <w:p w14:paraId="01F58DDA" w14:textId="1EDEFC5A" w:rsidR="00536BD9" w:rsidRPr="00AD369B" w:rsidRDefault="0029263A" w:rsidP="00B606A2">
      <w:pPr>
        <w:pStyle w:val="Style2"/>
        <w:shd w:val="clear" w:color="auto" w:fill="auto"/>
        <w:spacing w:before="0" w:line="240" w:lineRule="auto"/>
        <w:ind w:left="284" w:right="51" w:firstLine="0"/>
        <w:contextualSpacing/>
        <w:jc w:val="both"/>
        <w:rPr>
          <w:rFonts w:ascii="Bookman Old Style" w:hAnsi="Bookman Old Style"/>
          <w:sz w:val="24"/>
          <w:szCs w:val="24"/>
        </w:rPr>
      </w:pPr>
      <w:r w:rsidRPr="00AD369B">
        <w:rPr>
          <w:rFonts w:ascii="Bookman Old Style" w:hAnsi="Bookman Old Style"/>
          <w:sz w:val="24"/>
          <w:szCs w:val="24"/>
        </w:rPr>
        <w:t>En ese sentido, debe resaltarse que la definición de un cargo de generación no implica la consolidación de una situación jurídica para ningún agente o el reconocimiento de derechos adquiridos</w:t>
      </w:r>
      <w:r w:rsidR="00930B31" w:rsidRPr="00AD369B">
        <w:rPr>
          <w:rFonts w:ascii="Bookman Old Style" w:hAnsi="Bookman Old Style"/>
          <w:sz w:val="24"/>
          <w:szCs w:val="24"/>
        </w:rPr>
        <w:t>,</w:t>
      </w:r>
      <w:r w:rsidRPr="00AD369B">
        <w:rPr>
          <w:rFonts w:ascii="Bookman Old Style" w:hAnsi="Bookman Old Style"/>
          <w:sz w:val="24"/>
          <w:szCs w:val="24"/>
        </w:rPr>
        <w:t xml:space="preserve"> por tratarse de la aplicación de una metodología tarifaria general que define un techo o precio máximo a trasladar a los usuarios, existiendo libre competencia de entrada y de elección del prestador del servicio en el mercado</w:t>
      </w:r>
      <w:r w:rsidR="004256BB" w:rsidRPr="00AD369B">
        <w:rPr>
          <w:rFonts w:ascii="Bookman Old Style" w:hAnsi="Bookman Old Style"/>
          <w:sz w:val="24"/>
          <w:szCs w:val="24"/>
        </w:rPr>
        <w:t xml:space="preserve">, </w:t>
      </w:r>
      <w:r w:rsidR="00930B31" w:rsidRPr="00AD369B">
        <w:rPr>
          <w:rFonts w:ascii="Bookman Old Style" w:hAnsi="Bookman Old Style"/>
          <w:sz w:val="24"/>
          <w:szCs w:val="24"/>
        </w:rPr>
        <w:t>al no tratarse de un área de servicio exclusivo.</w:t>
      </w:r>
      <w:r w:rsidR="005235E4" w:rsidRPr="00AD369B">
        <w:rPr>
          <w:rFonts w:ascii="Bookman Old Style" w:hAnsi="Bookman Old Style"/>
          <w:sz w:val="24"/>
          <w:szCs w:val="24"/>
        </w:rPr>
        <w:t xml:space="preserve"> </w:t>
      </w:r>
    </w:p>
    <w:p w14:paraId="2B3537DF" w14:textId="1EDEFC5A" w:rsidR="00B90174" w:rsidRPr="00AD369B" w:rsidRDefault="00B90174" w:rsidP="00B606A2">
      <w:pPr>
        <w:pStyle w:val="Style2"/>
        <w:shd w:val="clear" w:color="auto" w:fill="auto"/>
        <w:spacing w:before="0" w:line="240" w:lineRule="auto"/>
        <w:ind w:left="284" w:right="51" w:firstLine="0"/>
        <w:contextualSpacing/>
        <w:jc w:val="both"/>
        <w:rPr>
          <w:rFonts w:ascii="Bookman Old Style" w:hAnsi="Bookman Old Style"/>
          <w:sz w:val="24"/>
          <w:szCs w:val="24"/>
        </w:rPr>
      </w:pPr>
    </w:p>
    <w:p w14:paraId="254F2C6F" w14:textId="53C2DFEB" w:rsidR="00536BD9" w:rsidRPr="00AD369B" w:rsidRDefault="00031A48" w:rsidP="00B606A2">
      <w:pPr>
        <w:pStyle w:val="Style2"/>
        <w:shd w:val="clear" w:color="auto" w:fill="auto"/>
        <w:spacing w:before="0" w:line="240" w:lineRule="auto"/>
        <w:ind w:left="284" w:right="51" w:firstLine="0"/>
        <w:contextualSpacing/>
        <w:jc w:val="both"/>
        <w:rPr>
          <w:rFonts w:ascii="Bookman Old Style" w:hAnsi="Bookman Old Style"/>
          <w:sz w:val="24"/>
          <w:szCs w:val="24"/>
          <w:lang w:val="es-MX"/>
        </w:rPr>
      </w:pPr>
      <w:r w:rsidRPr="00AD369B">
        <w:rPr>
          <w:rFonts w:ascii="Bookman Old Style" w:hAnsi="Bookman Old Style"/>
          <w:sz w:val="24"/>
          <w:szCs w:val="24"/>
          <w:lang w:val="es-MX"/>
        </w:rPr>
        <w:t xml:space="preserve">Así las cosas, el </w:t>
      </w:r>
      <w:r w:rsidR="00536BD9" w:rsidRPr="00AD369B">
        <w:rPr>
          <w:rFonts w:ascii="Bookman Old Style" w:hAnsi="Bookman Old Style"/>
          <w:sz w:val="24"/>
          <w:szCs w:val="24"/>
          <w:lang w:val="es-MX"/>
        </w:rPr>
        <w:t>cargo</w:t>
      </w:r>
      <w:r w:rsidR="00801F28" w:rsidRPr="00AD369B">
        <w:rPr>
          <w:rFonts w:ascii="Bookman Old Style" w:hAnsi="Bookman Old Style"/>
          <w:sz w:val="24"/>
          <w:szCs w:val="24"/>
          <w:lang w:val="es-MX"/>
        </w:rPr>
        <w:t xml:space="preserve"> de generación</w:t>
      </w:r>
      <w:r w:rsidR="00536BD9" w:rsidRPr="00AD369B">
        <w:rPr>
          <w:rFonts w:ascii="Bookman Old Style" w:hAnsi="Bookman Old Style"/>
          <w:sz w:val="24"/>
          <w:szCs w:val="24"/>
          <w:lang w:val="es-MX"/>
        </w:rPr>
        <w:t xml:space="preserve"> aprobado</w:t>
      </w:r>
      <w:r w:rsidR="00707C70" w:rsidRPr="00AD369B">
        <w:rPr>
          <w:rFonts w:ascii="Bookman Old Style" w:hAnsi="Bookman Old Style"/>
          <w:sz w:val="24"/>
          <w:szCs w:val="24"/>
          <w:lang w:val="es-MX"/>
        </w:rPr>
        <w:t xml:space="preserve"> en el presente acto administrativo</w:t>
      </w:r>
      <w:r w:rsidR="00536BD9" w:rsidRPr="00AD369B">
        <w:rPr>
          <w:rFonts w:ascii="Bookman Old Style" w:hAnsi="Bookman Old Style"/>
          <w:sz w:val="24"/>
          <w:szCs w:val="24"/>
          <w:lang w:val="es-MX"/>
        </w:rPr>
        <w:t xml:space="preserve"> </w:t>
      </w:r>
      <w:r w:rsidR="00DE0C57" w:rsidRPr="00AD369B">
        <w:rPr>
          <w:rFonts w:ascii="Bookman Old Style" w:hAnsi="Bookman Old Style"/>
          <w:sz w:val="24"/>
          <w:szCs w:val="24"/>
          <w:lang w:val="es-MX"/>
        </w:rPr>
        <w:t xml:space="preserve">corresponde al precio máximo que puede trasladar un prestador del servicio a los usuarios finales, sin importar a cuál generador le compra la energía para </w:t>
      </w:r>
      <w:r w:rsidR="00536BD9" w:rsidRPr="00AD369B">
        <w:rPr>
          <w:rFonts w:ascii="Bookman Old Style" w:hAnsi="Bookman Old Style"/>
          <w:sz w:val="24"/>
          <w:szCs w:val="24"/>
          <w:lang w:val="es-MX"/>
        </w:rPr>
        <w:t xml:space="preserve">prestar el servicio en el mercado </w:t>
      </w:r>
      <w:r w:rsidR="00DA5A0E" w:rsidRPr="00AD369B">
        <w:rPr>
          <w:rFonts w:ascii="Bookman Old Style" w:hAnsi="Bookman Old Style"/>
          <w:sz w:val="24"/>
          <w:szCs w:val="24"/>
          <w:lang w:val="es-MX"/>
        </w:rPr>
        <w:t xml:space="preserve">de </w:t>
      </w:r>
      <w:r w:rsidR="005B7B83">
        <w:rPr>
          <w:rFonts w:ascii="Bookman Old Style" w:hAnsi="Bookman Old Style"/>
          <w:sz w:val="24"/>
          <w:szCs w:val="24"/>
          <w:lang w:val="es-MX"/>
        </w:rPr>
        <w:t>Inírida</w:t>
      </w:r>
      <w:r w:rsidR="00DE0C57" w:rsidRPr="00AD369B">
        <w:rPr>
          <w:rFonts w:ascii="Bookman Old Style" w:hAnsi="Bookman Old Style"/>
          <w:sz w:val="24"/>
          <w:szCs w:val="24"/>
          <w:lang w:val="es-MX"/>
        </w:rPr>
        <w:t xml:space="preserve">. Tanto el prestador del servicio, como los generadores a los que compre la energía, deben estar debidamente </w:t>
      </w:r>
      <w:r w:rsidR="00FD3F8F" w:rsidRPr="00AD369B">
        <w:rPr>
          <w:rFonts w:ascii="Bookman Old Style" w:hAnsi="Bookman Old Style"/>
          <w:sz w:val="24"/>
          <w:szCs w:val="24"/>
          <w:lang w:val="es-MX"/>
        </w:rPr>
        <w:t>registrado</w:t>
      </w:r>
      <w:r w:rsidR="00DE0C57" w:rsidRPr="00AD369B">
        <w:rPr>
          <w:rFonts w:ascii="Bookman Old Style" w:hAnsi="Bookman Old Style"/>
          <w:sz w:val="24"/>
          <w:szCs w:val="24"/>
          <w:lang w:val="es-MX"/>
        </w:rPr>
        <w:t>s</w:t>
      </w:r>
      <w:r w:rsidR="00FD3F8F" w:rsidRPr="00AD369B">
        <w:rPr>
          <w:rFonts w:ascii="Bookman Old Style" w:hAnsi="Bookman Old Style"/>
          <w:sz w:val="24"/>
          <w:szCs w:val="24"/>
          <w:lang w:val="es-MX"/>
        </w:rPr>
        <w:t xml:space="preserve"> como prestador</w:t>
      </w:r>
      <w:r w:rsidR="00DE0C57" w:rsidRPr="00AD369B">
        <w:rPr>
          <w:rFonts w:ascii="Bookman Old Style" w:hAnsi="Bookman Old Style"/>
          <w:sz w:val="24"/>
          <w:szCs w:val="24"/>
          <w:lang w:val="es-MX"/>
        </w:rPr>
        <w:t>es</w:t>
      </w:r>
      <w:r w:rsidR="00FD3F8F" w:rsidRPr="00AD369B">
        <w:rPr>
          <w:rFonts w:ascii="Bookman Old Style" w:hAnsi="Bookman Old Style"/>
          <w:sz w:val="24"/>
          <w:szCs w:val="24"/>
          <w:lang w:val="es-MX"/>
        </w:rPr>
        <w:t xml:space="preserve"> del servicio </w:t>
      </w:r>
      <w:r w:rsidR="00727B77" w:rsidRPr="00AD369B">
        <w:rPr>
          <w:rFonts w:ascii="Bookman Old Style" w:hAnsi="Bookman Old Style"/>
          <w:sz w:val="24"/>
          <w:szCs w:val="24"/>
          <w:lang w:val="es-MX"/>
        </w:rPr>
        <w:t>en el Registro Único de Prestadores</w:t>
      </w:r>
      <w:r w:rsidR="0052432E" w:rsidRPr="00AD369B">
        <w:rPr>
          <w:rFonts w:ascii="Bookman Old Style" w:hAnsi="Bookman Old Style"/>
          <w:sz w:val="24"/>
          <w:szCs w:val="24"/>
          <w:lang w:val="es-MX"/>
        </w:rPr>
        <w:t>, RUPS,</w:t>
      </w:r>
      <w:r w:rsidR="00727B77" w:rsidRPr="00AD369B">
        <w:rPr>
          <w:rFonts w:ascii="Bookman Old Style" w:hAnsi="Bookman Old Style"/>
          <w:sz w:val="24"/>
          <w:szCs w:val="24"/>
          <w:lang w:val="es-MX"/>
        </w:rPr>
        <w:t xml:space="preserve"> a cargo de la Superintendencia de Servicios Públicos Domiciliarios, </w:t>
      </w:r>
      <w:r w:rsidR="0043541E" w:rsidRPr="00AD369B">
        <w:rPr>
          <w:rFonts w:ascii="Bookman Old Style" w:hAnsi="Bookman Old Style"/>
          <w:sz w:val="24"/>
          <w:szCs w:val="24"/>
          <w:lang w:val="es-MX"/>
        </w:rPr>
        <w:t>cumpl</w:t>
      </w:r>
      <w:r w:rsidR="00727B77" w:rsidRPr="00AD369B">
        <w:rPr>
          <w:rFonts w:ascii="Bookman Old Style" w:hAnsi="Bookman Old Style"/>
          <w:sz w:val="24"/>
          <w:szCs w:val="24"/>
          <w:lang w:val="es-MX"/>
        </w:rPr>
        <w:t>iendo</w:t>
      </w:r>
      <w:r w:rsidR="0043541E" w:rsidRPr="00AD369B">
        <w:rPr>
          <w:rFonts w:ascii="Bookman Old Style" w:hAnsi="Bookman Old Style"/>
          <w:sz w:val="24"/>
          <w:szCs w:val="24"/>
          <w:lang w:val="es-MX"/>
        </w:rPr>
        <w:t xml:space="preserve"> con </w:t>
      </w:r>
      <w:r w:rsidR="0052432E" w:rsidRPr="00AD369B">
        <w:rPr>
          <w:rFonts w:ascii="Bookman Old Style" w:hAnsi="Bookman Old Style"/>
          <w:sz w:val="24"/>
          <w:szCs w:val="24"/>
          <w:lang w:val="es-MX"/>
        </w:rPr>
        <w:t xml:space="preserve">lo previsto en los </w:t>
      </w:r>
      <w:r w:rsidR="0043541E" w:rsidRPr="00AD369B">
        <w:rPr>
          <w:rFonts w:ascii="Bookman Old Style" w:hAnsi="Bookman Old Style"/>
          <w:sz w:val="24"/>
          <w:szCs w:val="24"/>
          <w:lang w:val="es-MX"/>
        </w:rPr>
        <w:t>artículo</w:t>
      </w:r>
      <w:r w:rsidR="0052432E" w:rsidRPr="00AD369B">
        <w:rPr>
          <w:rFonts w:ascii="Bookman Old Style" w:hAnsi="Bookman Old Style"/>
          <w:sz w:val="24"/>
          <w:szCs w:val="24"/>
          <w:lang w:val="es-MX"/>
        </w:rPr>
        <w:t>s 15, 17, 18 y 26</w:t>
      </w:r>
      <w:r w:rsidR="0093232B" w:rsidRPr="00AD369B">
        <w:rPr>
          <w:rFonts w:ascii="Bookman Old Style" w:hAnsi="Bookman Old Style"/>
          <w:sz w:val="24"/>
          <w:szCs w:val="24"/>
          <w:lang w:val="es-MX"/>
        </w:rPr>
        <w:t xml:space="preserve"> </w:t>
      </w:r>
      <w:r w:rsidR="0043541E" w:rsidRPr="00AD369B">
        <w:rPr>
          <w:rFonts w:ascii="Bookman Old Style" w:hAnsi="Bookman Old Style"/>
          <w:sz w:val="24"/>
          <w:szCs w:val="24"/>
          <w:lang w:val="es-MX"/>
        </w:rPr>
        <w:t>de la Ley 142 de 1994</w:t>
      </w:r>
      <w:r w:rsidR="00801F28" w:rsidRPr="00AD369B">
        <w:rPr>
          <w:rFonts w:ascii="Bookman Old Style" w:hAnsi="Bookman Old Style"/>
          <w:sz w:val="24"/>
          <w:szCs w:val="24"/>
          <w:lang w:val="es-MX"/>
        </w:rPr>
        <w:t>.</w:t>
      </w:r>
    </w:p>
    <w:p w14:paraId="1D7DC037" w14:textId="77777777" w:rsidR="00536BD9" w:rsidRPr="00AD369B" w:rsidRDefault="00536BD9" w:rsidP="00B606A2">
      <w:pPr>
        <w:pStyle w:val="Style2"/>
        <w:shd w:val="clear" w:color="auto" w:fill="auto"/>
        <w:spacing w:before="0" w:line="240" w:lineRule="auto"/>
        <w:ind w:left="284" w:right="51" w:firstLine="0"/>
        <w:contextualSpacing/>
        <w:jc w:val="both"/>
        <w:rPr>
          <w:rFonts w:ascii="Bookman Old Style" w:hAnsi="Bookman Old Style"/>
          <w:sz w:val="24"/>
          <w:szCs w:val="24"/>
          <w:lang w:val="es-MX"/>
        </w:rPr>
      </w:pPr>
    </w:p>
    <w:p w14:paraId="50C3EDCE" w14:textId="0A1B2F0A" w:rsidR="00554656" w:rsidRDefault="518C55CE" w:rsidP="00554656">
      <w:pPr>
        <w:pStyle w:val="Style2"/>
        <w:shd w:val="clear" w:color="auto" w:fill="auto"/>
        <w:spacing w:before="0" w:line="240" w:lineRule="auto"/>
        <w:ind w:left="284" w:right="51" w:firstLine="0"/>
        <w:contextualSpacing/>
        <w:jc w:val="both"/>
        <w:rPr>
          <w:rFonts w:ascii="Bookman Old Style" w:hAnsi="Bookman Old Style"/>
          <w:sz w:val="24"/>
          <w:szCs w:val="24"/>
        </w:rPr>
      </w:pPr>
      <w:r w:rsidRPr="00D22DBE">
        <w:rPr>
          <w:rFonts w:ascii="Bookman Old Style" w:hAnsi="Bookman Old Style"/>
          <w:sz w:val="24"/>
          <w:szCs w:val="24"/>
        </w:rPr>
        <w:t>De otra parte</w:t>
      </w:r>
      <w:r w:rsidR="02208870" w:rsidRPr="00D22DBE">
        <w:rPr>
          <w:rFonts w:ascii="Bookman Old Style" w:hAnsi="Bookman Old Style"/>
          <w:sz w:val="24"/>
          <w:szCs w:val="24"/>
        </w:rPr>
        <w:t>,</w:t>
      </w:r>
      <w:r w:rsidRPr="00D22DBE">
        <w:rPr>
          <w:rFonts w:ascii="Bookman Old Style" w:hAnsi="Bookman Old Style"/>
          <w:sz w:val="24"/>
          <w:szCs w:val="24"/>
        </w:rPr>
        <w:t xml:space="preserve"> debe resaltarse que</w:t>
      </w:r>
      <w:r w:rsidR="5327C2D8" w:rsidRPr="00D22DBE">
        <w:rPr>
          <w:rFonts w:ascii="Bookman Old Style" w:hAnsi="Bookman Old Style"/>
          <w:sz w:val="24"/>
          <w:szCs w:val="24"/>
        </w:rPr>
        <w:t>,</w:t>
      </w:r>
      <w:r w:rsidRPr="00D22DBE">
        <w:rPr>
          <w:rFonts w:ascii="Bookman Old Style" w:hAnsi="Bookman Old Style"/>
          <w:sz w:val="24"/>
          <w:szCs w:val="24"/>
        </w:rPr>
        <w:t xml:space="preserve"> si bien a la fecha no existe un mecanismo de compra de energía aplicable para las </w:t>
      </w:r>
      <w:r w:rsidR="5327C2D8" w:rsidRPr="00D22DBE">
        <w:rPr>
          <w:rFonts w:ascii="Bookman Old Style" w:hAnsi="Bookman Old Style"/>
          <w:sz w:val="24"/>
          <w:szCs w:val="24"/>
        </w:rPr>
        <w:t>Z</w:t>
      </w:r>
      <w:r w:rsidRPr="00D22DBE">
        <w:rPr>
          <w:rFonts w:ascii="Bookman Old Style" w:hAnsi="Bookman Old Style"/>
          <w:sz w:val="24"/>
          <w:szCs w:val="24"/>
        </w:rPr>
        <w:t xml:space="preserve">onas </w:t>
      </w:r>
      <w:r w:rsidR="5327C2D8" w:rsidRPr="00D22DBE">
        <w:rPr>
          <w:rFonts w:ascii="Bookman Old Style" w:hAnsi="Bookman Old Style"/>
          <w:sz w:val="24"/>
          <w:szCs w:val="24"/>
        </w:rPr>
        <w:t>N</w:t>
      </w:r>
      <w:r w:rsidRPr="00D22DBE">
        <w:rPr>
          <w:rFonts w:ascii="Bookman Old Style" w:hAnsi="Bookman Old Style"/>
          <w:sz w:val="24"/>
          <w:szCs w:val="24"/>
        </w:rPr>
        <w:t xml:space="preserve">o </w:t>
      </w:r>
      <w:r w:rsidR="5327C2D8" w:rsidRPr="00D22DBE">
        <w:rPr>
          <w:rFonts w:ascii="Bookman Old Style" w:hAnsi="Bookman Old Style"/>
          <w:sz w:val="24"/>
          <w:szCs w:val="24"/>
        </w:rPr>
        <w:t>I</w:t>
      </w:r>
      <w:r w:rsidR="7B54FBA6" w:rsidRPr="00D22DBE">
        <w:rPr>
          <w:rFonts w:ascii="Bookman Old Style" w:hAnsi="Bookman Old Style"/>
          <w:sz w:val="24"/>
          <w:szCs w:val="24"/>
        </w:rPr>
        <w:t xml:space="preserve">nterconectadas, </w:t>
      </w:r>
      <w:r w:rsidR="39ABA023" w:rsidRPr="00D22DBE">
        <w:rPr>
          <w:rFonts w:ascii="Bookman Old Style" w:hAnsi="Bookman Old Style"/>
          <w:sz w:val="24"/>
          <w:szCs w:val="24"/>
        </w:rPr>
        <w:t>los prestadores del servicio deberán</w:t>
      </w:r>
      <w:r w:rsidR="4A4D2A4A" w:rsidRPr="00D22DBE">
        <w:rPr>
          <w:rFonts w:ascii="Bookman Old Style" w:hAnsi="Bookman Old Style"/>
          <w:sz w:val="24"/>
          <w:szCs w:val="24"/>
        </w:rPr>
        <w:t xml:space="preserve"> garantiza</w:t>
      </w:r>
      <w:r w:rsidR="39ABA023" w:rsidRPr="00D22DBE">
        <w:rPr>
          <w:rFonts w:ascii="Bookman Old Style" w:hAnsi="Bookman Old Style"/>
          <w:sz w:val="24"/>
          <w:szCs w:val="24"/>
        </w:rPr>
        <w:t xml:space="preserve">r </w:t>
      </w:r>
      <w:r w:rsidR="4A4D2A4A" w:rsidRPr="00D22DBE">
        <w:rPr>
          <w:rFonts w:ascii="Bookman Old Style" w:hAnsi="Bookman Old Style"/>
          <w:sz w:val="24"/>
          <w:szCs w:val="24"/>
        </w:rPr>
        <w:t>que</w:t>
      </w:r>
      <w:r w:rsidR="744B9553" w:rsidRPr="00D22DBE">
        <w:rPr>
          <w:rFonts w:ascii="Bookman Old Style" w:hAnsi="Bookman Old Style"/>
          <w:sz w:val="24"/>
          <w:szCs w:val="24"/>
        </w:rPr>
        <w:t xml:space="preserve"> no se </w:t>
      </w:r>
      <w:r w:rsidR="21A2B275" w:rsidRPr="00D22DBE">
        <w:rPr>
          <w:rFonts w:ascii="Bookman Old Style" w:hAnsi="Bookman Old Style"/>
          <w:sz w:val="24"/>
          <w:szCs w:val="24"/>
        </w:rPr>
        <w:t>les</w:t>
      </w:r>
      <w:r w:rsidR="744B9553" w:rsidRPr="00D22DBE">
        <w:rPr>
          <w:rFonts w:ascii="Bookman Old Style" w:hAnsi="Bookman Old Style"/>
          <w:sz w:val="24"/>
          <w:szCs w:val="24"/>
        </w:rPr>
        <w:t xml:space="preserve"> traslade a los usuarios los costos de una gestión ineficiente</w:t>
      </w:r>
      <w:r w:rsidR="3E369421" w:rsidRPr="00D22DBE">
        <w:rPr>
          <w:rFonts w:ascii="Bookman Old Style" w:hAnsi="Bookman Old Style"/>
          <w:sz w:val="24"/>
          <w:szCs w:val="24"/>
        </w:rPr>
        <w:t>.</w:t>
      </w:r>
    </w:p>
    <w:p w14:paraId="39E07800" w14:textId="1EDEFC5A" w:rsidR="008062CD" w:rsidRPr="00AD369B" w:rsidRDefault="008062CD" w:rsidP="00554656">
      <w:pPr>
        <w:pStyle w:val="Style2"/>
        <w:shd w:val="clear" w:color="auto" w:fill="auto"/>
        <w:spacing w:before="0" w:line="240" w:lineRule="auto"/>
        <w:ind w:left="284" w:right="51" w:firstLine="0"/>
        <w:contextualSpacing/>
        <w:jc w:val="both"/>
        <w:rPr>
          <w:rFonts w:ascii="Bookman Old Style" w:hAnsi="Bookman Old Style"/>
          <w:sz w:val="24"/>
          <w:szCs w:val="24"/>
        </w:rPr>
      </w:pPr>
    </w:p>
    <w:p w14:paraId="0D25E453" w14:textId="79E8F3BE" w:rsidR="00D24427" w:rsidRPr="00AD369B" w:rsidRDefault="544A2A6B" w:rsidP="00B606A2">
      <w:pPr>
        <w:pStyle w:val="Style2"/>
        <w:shd w:val="clear" w:color="auto" w:fill="auto"/>
        <w:spacing w:before="0" w:line="240" w:lineRule="auto"/>
        <w:ind w:left="284" w:right="51" w:firstLine="0"/>
        <w:contextualSpacing/>
        <w:jc w:val="both"/>
        <w:rPr>
          <w:rFonts w:ascii="Bookman Old Style" w:hAnsi="Bookman Old Style"/>
          <w:sz w:val="24"/>
          <w:szCs w:val="24"/>
        </w:rPr>
      </w:pPr>
      <w:r w:rsidRPr="329DEA05">
        <w:rPr>
          <w:rFonts w:ascii="Bookman Old Style" w:hAnsi="Bookman Old Style"/>
          <w:sz w:val="24"/>
          <w:szCs w:val="24"/>
        </w:rPr>
        <w:t xml:space="preserve">En el capítulo VII de la Resolución CREG 091 de 2007 se establecen las fórmulas tarifarias generales para usuarios regulados del servicio público de energía eléctrica en las </w:t>
      </w:r>
      <w:r w:rsidR="41E0DF06" w:rsidRPr="329DEA05">
        <w:rPr>
          <w:rFonts w:ascii="Bookman Old Style" w:hAnsi="Bookman Old Style"/>
          <w:sz w:val="24"/>
          <w:szCs w:val="24"/>
        </w:rPr>
        <w:t>Zonas No Interconectadas</w:t>
      </w:r>
      <w:r w:rsidRPr="329DEA05">
        <w:rPr>
          <w:rFonts w:ascii="Bookman Old Style" w:hAnsi="Bookman Old Style"/>
          <w:sz w:val="24"/>
          <w:szCs w:val="24"/>
        </w:rPr>
        <w:t>, diferenciando entre la aplicable a usuarios regulados del servicio de energía eléctrica con red y sin red, artículos 40 y 41 de la precitada resolución</w:t>
      </w:r>
      <w:r w:rsidR="41E0DF06" w:rsidRPr="329DEA05">
        <w:rPr>
          <w:rFonts w:ascii="Bookman Old Style" w:hAnsi="Bookman Old Style"/>
          <w:sz w:val="24"/>
          <w:szCs w:val="24"/>
        </w:rPr>
        <w:t>,</w:t>
      </w:r>
      <w:r w:rsidRPr="329DEA05">
        <w:rPr>
          <w:rFonts w:ascii="Bookman Old Style" w:hAnsi="Bookman Old Style"/>
          <w:sz w:val="24"/>
          <w:szCs w:val="24"/>
        </w:rPr>
        <w:t xml:space="preserve"> respectivamente. </w:t>
      </w:r>
    </w:p>
    <w:p w14:paraId="01B4F323" w14:textId="77777777" w:rsidR="00D24427" w:rsidRPr="00AD369B" w:rsidRDefault="00D24427" w:rsidP="00B606A2">
      <w:pPr>
        <w:pStyle w:val="Style2"/>
        <w:shd w:val="clear" w:color="auto" w:fill="auto"/>
        <w:spacing w:before="0" w:line="240" w:lineRule="auto"/>
        <w:ind w:left="284" w:right="51" w:firstLine="0"/>
        <w:contextualSpacing/>
        <w:jc w:val="both"/>
        <w:rPr>
          <w:rFonts w:ascii="Bookman Old Style" w:hAnsi="Bookman Old Style"/>
          <w:sz w:val="24"/>
          <w:szCs w:val="24"/>
        </w:rPr>
      </w:pPr>
    </w:p>
    <w:p w14:paraId="15E034EC" w14:textId="2184A1FB" w:rsidR="00873392" w:rsidRPr="00AD369B" w:rsidRDefault="2BBBDAF7" w:rsidP="00B606A2">
      <w:pPr>
        <w:pStyle w:val="Style2"/>
        <w:shd w:val="clear" w:color="auto" w:fill="auto"/>
        <w:spacing w:before="0" w:line="240" w:lineRule="auto"/>
        <w:ind w:left="284" w:right="51" w:firstLine="0"/>
        <w:contextualSpacing/>
        <w:jc w:val="both"/>
        <w:rPr>
          <w:rFonts w:ascii="Bookman Old Style" w:hAnsi="Bookman Old Style"/>
          <w:sz w:val="24"/>
          <w:szCs w:val="24"/>
        </w:rPr>
      </w:pPr>
      <w:r w:rsidRPr="329DEA05">
        <w:rPr>
          <w:rFonts w:ascii="Bookman Old Style" w:hAnsi="Bookman Old Style"/>
          <w:sz w:val="24"/>
          <w:szCs w:val="24"/>
        </w:rPr>
        <w:t xml:space="preserve">Bajo el entendido </w:t>
      </w:r>
      <w:r w:rsidR="55D06AD5" w:rsidRPr="329DEA05">
        <w:rPr>
          <w:rFonts w:ascii="Bookman Old Style" w:hAnsi="Bookman Old Style"/>
          <w:sz w:val="24"/>
          <w:szCs w:val="24"/>
        </w:rPr>
        <w:t xml:space="preserve">de </w:t>
      </w:r>
      <w:r w:rsidRPr="329DEA05">
        <w:rPr>
          <w:rFonts w:ascii="Bookman Old Style" w:hAnsi="Bookman Old Style"/>
          <w:sz w:val="24"/>
          <w:szCs w:val="24"/>
        </w:rPr>
        <w:t xml:space="preserve">que </w:t>
      </w:r>
      <w:r w:rsidR="48A849A1" w:rsidRPr="329DEA05">
        <w:rPr>
          <w:rFonts w:ascii="Bookman Old Style" w:hAnsi="Bookman Old Style"/>
          <w:sz w:val="24"/>
          <w:szCs w:val="24"/>
        </w:rPr>
        <w:t xml:space="preserve">el mercado relevante </w:t>
      </w:r>
      <w:r w:rsidR="4753719A" w:rsidRPr="329DEA05">
        <w:rPr>
          <w:rFonts w:ascii="Bookman Old Style" w:hAnsi="Bookman Old Style"/>
          <w:sz w:val="24"/>
          <w:szCs w:val="24"/>
        </w:rPr>
        <w:t>de comercialización</w:t>
      </w:r>
      <w:r w:rsidR="7C7D8B1B" w:rsidRPr="329DEA05">
        <w:rPr>
          <w:rFonts w:ascii="Bookman Old Style" w:hAnsi="Bookman Old Style"/>
          <w:sz w:val="24"/>
          <w:szCs w:val="24"/>
        </w:rPr>
        <w:t xml:space="preserve"> de la cabecera municipal de </w:t>
      </w:r>
      <w:r w:rsidR="7489175F" w:rsidRPr="329DEA05">
        <w:rPr>
          <w:rFonts w:ascii="Bookman Old Style" w:hAnsi="Bookman Old Style"/>
          <w:sz w:val="24"/>
          <w:szCs w:val="24"/>
        </w:rPr>
        <w:t>Inírida</w:t>
      </w:r>
      <w:r w:rsidR="2A946A12" w:rsidRPr="329DEA05">
        <w:rPr>
          <w:rFonts w:ascii="Bookman Old Style" w:hAnsi="Bookman Old Style"/>
          <w:sz w:val="24"/>
          <w:szCs w:val="24"/>
        </w:rPr>
        <w:t xml:space="preserve"> es atendido mediante el uso de redes, </w:t>
      </w:r>
      <w:r w:rsidR="52EF09DA" w:rsidRPr="329DEA05">
        <w:rPr>
          <w:rFonts w:ascii="Bookman Old Style" w:hAnsi="Bookman Old Style"/>
          <w:sz w:val="24"/>
          <w:szCs w:val="24"/>
        </w:rPr>
        <w:t xml:space="preserve">dentro de la presente actuación administrativa se considerará </w:t>
      </w:r>
      <w:r w:rsidR="21EF084F" w:rsidRPr="329DEA05">
        <w:rPr>
          <w:rFonts w:ascii="Bookman Old Style" w:hAnsi="Bookman Old Style"/>
          <w:sz w:val="24"/>
          <w:szCs w:val="24"/>
        </w:rPr>
        <w:t xml:space="preserve">que </w:t>
      </w:r>
      <w:r w:rsidR="231B97AF" w:rsidRPr="329DEA05">
        <w:rPr>
          <w:rFonts w:ascii="Bookman Old Style" w:hAnsi="Bookman Old Style"/>
          <w:sz w:val="24"/>
          <w:szCs w:val="24"/>
        </w:rPr>
        <w:t xml:space="preserve">la fórmula tarifaria </w:t>
      </w:r>
      <w:r w:rsidR="11C5C792" w:rsidRPr="329DEA05">
        <w:rPr>
          <w:rFonts w:ascii="Bookman Old Style" w:hAnsi="Bookman Old Style"/>
          <w:sz w:val="24"/>
          <w:szCs w:val="24"/>
        </w:rPr>
        <w:t xml:space="preserve">aplicable </w:t>
      </w:r>
      <w:r w:rsidR="58C36909" w:rsidRPr="329DEA05">
        <w:rPr>
          <w:rFonts w:ascii="Bookman Old Style" w:hAnsi="Bookman Old Style"/>
          <w:sz w:val="24"/>
          <w:szCs w:val="24"/>
        </w:rPr>
        <w:t>para</w:t>
      </w:r>
      <w:r w:rsidR="19B1FD1D" w:rsidRPr="329DEA05">
        <w:rPr>
          <w:rFonts w:ascii="Bookman Old Style" w:hAnsi="Bookman Old Style"/>
          <w:sz w:val="24"/>
          <w:szCs w:val="24"/>
        </w:rPr>
        <w:t xml:space="preserve"> el cálculo del costo del servicio de energía eléctrica</w:t>
      </w:r>
      <w:r w:rsidR="11C5C792" w:rsidRPr="329DEA05">
        <w:rPr>
          <w:rFonts w:ascii="Bookman Old Style" w:hAnsi="Bookman Old Style"/>
          <w:sz w:val="24"/>
          <w:szCs w:val="24"/>
        </w:rPr>
        <w:t xml:space="preserve"> de </w:t>
      </w:r>
      <w:r w:rsidR="58C36909" w:rsidRPr="329DEA05">
        <w:rPr>
          <w:rFonts w:ascii="Bookman Old Style" w:hAnsi="Bookman Old Style"/>
          <w:sz w:val="24"/>
          <w:szCs w:val="24"/>
        </w:rPr>
        <w:t xml:space="preserve">usuarios regulados </w:t>
      </w:r>
      <w:r w:rsidR="231B97AF" w:rsidRPr="329DEA05">
        <w:rPr>
          <w:rFonts w:ascii="Bookman Old Style" w:hAnsi="Bookman Old Style"/>
          <w:sz w:val="24"/>
          <w:szCs w:val="24"/>
        </w:rPr>
        <w:t xml:space="preserve">corresponde a la </w:t>
      </w:r>
      <w:r w:rsidR="21EF084F" w:rsidRPr="329DEA05">
        <w:rPr>
          <w:rFonts w:ascii="Bookman Old Style" w:hAnsi="Bookman Old Style"/>
          <w:sz w:val="24"/>
          <w:szCs w:val="24"/>
        </w:rPr>
        <w:t xml:space="preserve">prevista en el </w:t>
      </w:r>
      <w:r w:rsidR="231B97AF" w:rsidRPr="329DEA05">
        <w:rPr>
          <w:rFonts w:ascii="Bookman Old Style" w:hAnsi="Bookman Old Style"/>
          <w:sz w:val="24"/>
          <w:szCs w:val="24"/>
        </w:rPr>
        <w:t>artículo 40</w:t>
      </w:r>
      <w:r w:rsidR="79EA9326" w:rsidRPr="329DEA05">
        <w:rPr>
          <w:rFonts w:ascii="Bookman Old Style" w:hAnsi="Bookman Old Style"/>
          <w:sz w:val="24"/>
          <w:szCs w:val="24"/>
        </w:rPr>
        <w:t xml:space="preserve"> de la </w:t>
      </w:r>
      <w:r w:rsidR="5F0046B1" w:rsidRPr="329DEA05">
        <w:rPr>
          <w:rFonts w:ascii="Bookman Old Style" w:hAnsi="Bookman Old Style"/>
          <w:sz w:val="24"/>
          <w:szCs w:val="24"/>
        </w:rPr>
        <w:t>Resolución CREG 091 de 2007</w:t>
      </w:r>
      <w:r w:rsidR="231B97AF" w:rsidRPr="329DEA05">
        <w:rPr>
          <w:rFonts w:ascii="Bookman Old Style" w:hAnsi="Bookman Old Style"/>
          <w:sz w:val="24"/>
          <w:szCs w:val="24"/>
        </w:rPr>
        <w:t>.</w:t>
      </w:r>
    </w:p>
    <w:p w14:paraId="555B05D8" w14:textId="77777777" w:rsidR="00873392" w:rsidRPr="00AD369B" w:rsidRDefault="00873392" w:rsidP="00B606A2">
      <w:pPr>
        <w:pStyle w:val="Style2"/>
        <w:shd w:val="clear" w:color="auto" w:fill="auto"/>
        <w:spacing w:before="0" w:line="240" w:lineRule="auto"/>
        <w:ind w:left="284" w:right="51" w:firstLine="0"/>
        <w:contextualSpacing/>
        <w:jc w:val="both"/>
        <w:rPr>
          <w:rFonts w:ascii="Bookman Old Style" w:hAnsi="Bookman Old Style"/>
          <w:sz w:val="24"/>
          <w:szCs w:val="24"/>
        </w:rPr>
      </w:pPr>
    </w:p>
    <w:p w14:paraId="1FFC2495" w14:textId="762B3EC8" w:rsidR="00E41921" w:rsidRDefault="544A2A6B" w:rsidP="00B606A2">
      <w:pPr>
        <w:pStyle w:val="Style2"/>
        <w:shd w:val="clear" w:color="auto" w:fill="auto"/>
        <w:spacing w:before="0" w:line="240" w:lineRule="auto"/>
        <w:ind w:left="284" w:right="51" w:firstLine="0"/>
        <w:contextualSpacing/>
        <w:jc w:val="both"/>
        <w:rPr>
          <w:rFonts w:ascii="Bookman Old Style" w:hAnsi="Bookman Old Style"/>
          <w:sz w:val="24"/>
          <w:szCs w:val="24"/>
        </w:rPr>
      </w:pPr>
      <w:r w:rsidRPr="329DEA05">
        <w:rPr>
          <w:rFonts w:ascii="Bookman Old Style" w:hAnsi="Bookman Old Style"/>
          <w:sz w:val="24"/>
          <w:szCs w:val="24"/>
        </w:rPr>
        <w:t>Así las cosas, t</w:t>
      </w:r>
      <w:r w:rsidR="72B3595F" w:rsidRPr="329DEA05">
        <w:rPr>
          <w:rFonts w:ascii="Bookman Old Style" w:hAnsi="Bookman Old Style"/>
          <w:sz w:val="24"/>
          <w:szCs w:val="24"/>
        </w:rPr>
        <w:t>eniendo en cuenta que en la regulación vigente</w:t>
      </w:r>
      <w:r w:rsidR="76D7961C" w:rsidRPr="329DEA05">
        <w:rPr>
          <w:rFonts w:ascii="Bookman Old Style" w:hAnsi="Bookman Old Style"/>
          <w:sz w:val="24"/>
          <w:szCs w:val="24"/>
        </w:rPr>
        <w:t xml:space="preserve"> </w:t>
      </w:r>
      <w:r w:rsidR="231B97AF" w:rsidRPr="329DEA05">
        <w:rPr>
          <w:rFonts w:ascii="Bookman Old Style" w:hAnsi="Bookman Old Style"/>
          <w:sz w:val="24"/>
          <w:szCs w:val="24"/>
        </w:rPr>
        <w:t>no se encuentran tipificados los costos</w:t>
      </w:r>
      <w:r w:rsidR="72B3595F" w:rsidRPr="329DEA05">
        <w:rPr>
          <w:rFonts w:ascii="Bookman Old Style" w:hAnsi="Bookman Old Style"/>
          <w:sz w:val="24"/>
          <w:szCs w:val="24"/>
        </w:rPr>
        <w:t xml:space="preserve"> de generación</w:t>
      </w:r>
      <w:r w:rsidR="231B97AF" w:rsidRPr="329DEA05">
        <w:rPr>
          <w:rFonts w:ascii="Bookman Old Style" w:hAnsi="Bookman Old Style"/>
          <w:sz w:val="24"/>
          <w:szCs w:val="24"/>
        </w:rPr>
        <w:t xml:space="preserve"> para </w:t>
      </w:r>
      <w:r w:rsidR="37D0B4F0" w:rsidRPr="329DEA05">
        <w:rPr>
          <w:rFonts w:ascii="Bookman Old Style" w:hAnsi="Bookman Old Style"/>
          <w:sz w:val="24"/>
          <w:szCs w:val="24"/>
        </w:rPr>
        <w:t xml:space="preserve">sistemas </w:t>
      </w:r>
      <w:r w:rsidR="7489175F" w:rsidRPr="329DEA05">
        <w:rPr>
          <w:rFonts w:ascii="Bookman Old Style" w:hAnsi="Bookman Old Style"/>
          <w:sz w:val="24"/>
          <w:szCs w:val="24"/>
        </w:rPr>
        <w:t xml:space="preserve">de almacenamiento de energía eléctrica con baterías, </w:t>
      </w:r>
      <w:r w:rsidR="37D0B4F0" w:rsidRPr="329DEA05">
        <w:rPr>
          <w:rFonts w:ascii="Bookman Old Style" w:hAnsi="Bookman Old Style"/>
          <w:sz w:val="24"/>
          <w:szCs w:val="24"/>
        </w:rPr>
        <w:t>como</w:t>
      </w:r>
      <w:r w:rsidR="231B97AF" w:rsidRPr="329DEA05">
        <w:rPr>
          <w:rFonts w:ascii="Bookman Old Style" w:hAnsi="Bookman Old Style"/>
          <w:sz w:val="24"/>
          <w:szCs w:val="24"/>
        </w:rPr>
        <w:t xml:space="preserve"> e</w:t>
      </w:r>
      <w:r w:rsidR="76D7961C" w:rsidRPr="329DEA05">
        <w:rPr>
          <w:rFonts w:ascii="Bookman Old Style" w:hAnsi="Bookman Old Style"/>
          <w:sz w:val="24"/>
          <w:szCs w:val="24"/>
        </w:rPr>
        <w:t xml:space="preserve">l presentado </w:t>
      </w:r>
      <w:r w:rsidR="37D0B4F0" w:rsidRPr="329DEA05">
        <w:rPr>
          <w:rFonts w:ascii="Bookman Old Style" w:hAnsi="Bookman Old Style"/>
          <w:sz w:val="24"/>
          <w:szCs w:val="24"/>
        </w:rPr>
        <w:t xml:space="preserve">por </w:t>
      </w:r>
      <w:r w:rsidR="1C039E70" w:rsidRPr="3FA1F893">
        <w:rPr>
          <w:rFonts w:ascii="Bookman Old Style" w:hAnsi="Bookman Old Style"/>
          <w:sz w:val="24"/>
          <w:szCs w:val="24"/>
        </w:rPr>
        <w:t>GENSA</w:t>
      </w:r>
      <w:r w:rsidR="7489175F" w:rsidRPr="329DEA05">
        <w:rPr>
          <w:rFonts w:ascii="Bookman Old Style" w:hAnsi="Bookman Old Style"/>
          <w:sz w:val="24"/>
          <w:szCs w:val="24"/>
        </w:rPr>
        <w:t xml:space="preserve"> </w:t>
      </w:r>
      <w:r w:rsidR="72B3595F" w:rsidRPr="329DEA05">
        <w:rPr>
          <w:rFonts w:ascii="Bookman Old Style" w:hAnsi="Bookman Old Style"/>
          <w:sz w:val="24"/>
          <w:szCs w:val="24"/>
        </w:rPr>
        <w:t>en su solicitud</w:t>
      </w:r>
      <w:r w:rsidR="231B97AF" w:rsidRPr="329DEA05">
        <w:rPr>
          <w:rFonts w:ascii="Bookman Old Style" w:hAnsi="Bookman Old Style"/>
          <w:sz w:val="24"/>
          <w:szCs w:val="24"/>
        </w:rPr>
        <w:t xml:space="preserve">, </w:t>
      </w:r>
      <w:r w:rsidRPr="329DEA05">
        <w:rPr>
          <w:rFonts w:ascii="Bookman Old Style" w:hAnsi="Bookman Old Style"/>
          <w:sz w:val="24"/>
          <w:szCs w:val="24"/>
        </w:rPr>
        <w:t>procede</w:t>
      </w:r>
      <w:r w:rsidR="5F0046B1" w:rsidRPr="329DEA05">
        <w:rPr>
          <w:rFonts w:ascii="Bookman Old Style" w:hAnsi="Bookman Old Style"/>
          <w:sz w:val="24"/>
          <w:szCs w:val="24"/>
        </w:rPr>
        <w:t xml:space="preserve"> la</w:t>
      </w:r>
      <w:r w:rsidRPr="329DEA05">
        <w:rPr>
          <w:rFonts w:ascii="Bookman Old Style" w:hAnsi="Bookman Old Style"/>
          <w:sz w:val="24"/>
          <w:szCs w:val="24"/>
        </w:rPr>
        <w:t xml:space="preserve"> </w:t>
      </w:r>
      <w:r w:rsidR="5F0046B1" w:rsidRPr="329DEA05">
        <w:rPr>
          <w:rFonts w:ascii="Bookman Old Style" w:hAnsi="Bookman Old Style"/>
          <w:sz w:val="24"/>
          <w:szCs w:val="24"/>
        </w:rPr>
        <w:t>determinación d</w:t>
      </w:r>
      <w:r w:rsidR="231B97AF" w:rsidRPr="329DEA05">
        <w:rPr>
          <w:rFonts w:ascii="Bookman Old Style" w:hAnsi="Bookman Old Style"/>
          <w:sz w:val="24"/>
          <w:szCs w:val="24"/>
        </w:rPr>
        <w:t xml:space="preserve">el costo de inversión </w:t>
      </w:r>
      <w:r w:rsidR="76D7961C" w:rsidRPr="329DEA05">
        <w:rPr>
          <w:rFonts w:ascii="Bookman Old Style" w:hAnsi="Bookman Old Style"/>
          <w:sz w:val="24"/>
          <w:szCs w:val="24"/>
        </w:rPr>
        <w:t>y los gastos de administración, operación y mantenimiento</w:t>
      </w:r>
      <w:r w:rsidR="41E0DF06" w:rsidRPr="329DEA05">
        <w:rPr>
          <w:rFonts w:ascii="Bookman Old Style" w:hAnsi="Bookman Old Style"/>
          <w:sz w:val="24"/>
          <w:szCs w:val="24"/>
        </w:rPr>
        <w:t>,</w:t>
      </w:r>
      <w:r w:rsidR="76D7961C" w:rsidRPr="329DEA05">
        <w:rPr>
          <w:rFonts w:ascii="Bookman Old Style" w:hAnsi="Bookman Old Style"/>
          <w:sz w:val="24"/>
          <w:szCs w:val="24"/>
        </w:rPr>
        <w:t xml:space="preserve"> </w:t>
      </w:r>
      <w:r w:rsidR="231B97AF" w:rsidRPr="329DEA05">
        <w:rPr>
          <w:rFonts w:ascii="Bookman Old Style" w:hAnsi="Bookman Old Style"/>
          <w:sz w:val="24"/>
          <w:szCs w:val="24"/>
        </w:rPr>
        <w:t>en los términos definidos en la fórmula aplicable, esto es, en pesos por kilovatio hora ($/kWh)</w:t>
      </w:r>
      <w:r w:rsidR="52FA1BC5" w:rsidRPr="329DEA05">
        <w:rPr>
          <w:rFonts w:ascii="Bookman Old Style" w:hAnsi="Bookman Old Style"/>
          <w:sz w:val="24"/>
          <w:szCs w:val="24"/>
        </w:rPr>
        <w:t xml:space="preserve"> para el mercado</w:t>
      </w:r>
      <w:r w:rsidR="51C2DA0E" w:rsidRPr="329DEA05">
        <w:rPr>
          <w:rFonts w:ascii="Bookman Old Style" w:hAnsi="Bookman Old Style"/>
          <w:sz w:val="24"/>
          <w:szCs w:val="24"/>
        </w:rPr>
        <w:t xml:space="preserve"> de comercialización de la cabecera municipal</w:t>
      </w:r>
      <w:r w:rsidR="52FA1BC5" w:rsidRPr="329DEA05">
        <w:rPr>
          <w:rFonts w:ascii="Bookman Old Style" w:hAnsi="Bookman Old Style"/>
          <w:sz w:val="24"/>
          <w:szCs w:val="24"/>
        </w:rPr>
        <w:t xml:space="preserve"> de </w:t>
      </w:r>
      <w:r w:rsidR="7489175F" w:rsidRPr="329DEA05">
        <w:rPr>
          <w:rFonts w:ascii="Bookman Old Style" w:hAnsi="Bookman Old Style"/>
          <w:sz w:val="24"/>
          <w:szCs w:val="24"/>
        </w:rPr>
        <w:t>Inírida</w:t>
      </w:r>
      <w:r w:rsidR="231B97AF" w:rsidRPr="329DEA05">
        <w:rPr>
          <w:rFonts w:ascii="Bookman Old Style" w:hAnsi="Bookman Old Style"/>
          <w:sz w:val="24"/>
          <w:szCs w:val="24"/>
        </w:rPr>
        <w:t>.</w:t>
      </w:r>
    </w:p>
    <w:p w14:paraId="3F37E393" w14:textId="145119C7" w:rsidR="00E701D1" w:rsidRPr="00AD369B" w:rsidRDefault="00E701D1" w:rsidP="00B606A2">
      <w:pPr>
        <w:pStyle w:val="Style2"/>
        <w:shd w:val="clear" w:color="auto" w:fill="auto"/>
        <w:spacing w:before="0" w:line="240" w:lineRule="auto"/>
        <w:ind w:left="284" w:right="51" w:firstLine="0"/>
        <w:contextualSpacing/>
        <w:jc w:val="both"/>
        <w:rPr>
          <w:rFonts w:ascii="Bookman Old Style" w:eastAsia="Calibri" w:hAnsi="Bookman Old Style"/>
          <w:sz w:val="24"/>
          <w:szCs w:val="24"/>
          <w:lang w:eastAsia="en-US"/>
        </w:rPr>
      </w:pPr>
    </w:p>
    <w:p w14:paraId="70AA3700" w14:textId="04F2AF3E" w:rsidR="7034E93B" w:rsidRPr="00E701D1" w:rsidRDefault="5B345FB9" w:rsidP="329DEA05">
      <w:pPr>
        <w:ind w:left="284"/>
        <w:jc w:val="both"/>
        <w:rPr>
          <w:rFonts w:ascii="Bookman Old Style" w:hAnsi="Bookman Old Style"/>
          <w:lang w:val="es"/>
        </w:rPr>
      </w:pPr>
      <w:r w:rsidRPr="329DEA05">
        <w:rPr>
          <w:rFonts w:ascii="Bookman Old Style" w:hAnsi="Bookman Old Style" w:cs="Arial"/>
          <w:lang w:val="es" w:eastAsia="es-CO"/>
        </w:rPr>
        <w:t>Se hace necesario señalar que la resolución 666 del 28 de abril de 2022, por la cual se prorroga la emergencia sanitaria por el coronavirus COVID-19, declarada mediante Resolución 385 de 2020, prorrogada por las Resoluciones 844, 1462, 2230 de 2020, 222, 738, 1315, 1913 de 2021 y 304 de 2022, mantienen las medidas hasta el 30 de junio del presente año.</w:t>
      </w:r>
    </w:p>
    <w:p w14:paraId="58404B75" w14:textId="131217A6" w:rsidR="7034E93B" w:rsidRPr="00E701D1" w:rsidRDefault="5B345FB9" w:rsidP="329DEA05">
      <w:pPr>
        <w:ind w:left="284"/>
        <w:jc w:val="both"/>
        <w:rPr>
          <w:rFonts w:ascii="Bookman Old Style" w:eastAsia="Bookman Old Style" w:hAnsi="Bookman Old Style" w:cs="Bookman Old Style"/>
          <w:lang w:val="es"/>
        </w:rPr>
      </w:pPr>
      <w:r w:rsidRPr="329DEA05">
        <w:rPr>
          <w:rFonts w:ascii="Bookman Old Style" w:eastAsia="Bookman Old Style" w:hAnsi="Bookman Old Style" w:cs="Bookman Old Style"/>
          <w:lang w:val="es"/>
        </w:rPr>
        <w:t xml:space="preserve"> </w:t>
      </w:r>
    </w:p>
    <w:p w14:paraId="62F563C1" w14:textId="593B45F6" w:rsidR="7034E93B" w:rsidRDefault="5B345FB9" w:rsidP="329DEA05">
      <w:pPr>
        <w:ind w:left="284"/>
        <w:jc w:val="both"/>
        <w:rPr>
          <w:rFonts w:ascii="Bookman Old Style" w:eastAsia="Bookman Old Style" w:hAnsi="Bookman Old Style" w:cs="Bookman Old Style"/>
          <w:lang w:val="es"/>
        </w:rPr>
      </w:pPr>
      <w:r w:rsidRPr="329DEA05">
        <w:rPr>
          <w:rFonts w:ascii="Bookman Old Style" w:eastAsia="Bookman Old Style" w:hAnsi="Bookman Old Style" w:cs="Bookman Old Style"/>
          <w:lang w:val="es"/>
        </w:rPr>
        <w:t>Adicionalmente, se debe tener en cuenta que</w:t>
      </w:r>
      <w:r w:rsidR="007C617F">
        <w:rPr>
          <w:rFonts w:ascii="Bookman Old Style" w:eastAsia="Bookman Old Style" w:hAnsi="Bookman Old Style" w:cs="Bookman Old Style"/>
          <w:lang w:val="es"/>
        </w:rPr>
        <w:t>,</w:t>
      </w:r>
      <w:r w:rsidRPr="329DEA05">
        <w:rPr>
          <w:rFonts w:ascii="Bookman Old Style" w:eastAsia="Bookman Old Style" w:hAnsi="Bookman Old Style" w:cs="Bookman Old Style"/>
          <w:lang w:val="es"/>
        </w:rPr>
        <w:t xml:space="preserve"> mediante el Decreto 417 de 2020</w:t>
      </w:r>
      <w:r w:rsidR="007C617F">
        <w:rPr>
          <w:rFonts w:ascii="Bookman Old Style" w:eastAsia="Bookman Old Style" w:hAnsi="Bookman Old Style" w:cs="Bookman Old Style"/>
          <w:lang w:val="es"/>
        </w:rPr>
        <w:t>,</w:t>
      </w:r>
      <w:r w:rsidRPr="329DEA05">
        <w:rPr>
          <w:rFonts w:ascii="Bookman Old Style" w:eastAsia="Bookman Old Style" w:hAnsi="Bookman Old Style" w:cs="Bookman Old Style"/>
          <w:lang w:val="es"/>
        </w:rPr>
        <w:t xml:space="preserve"> fue declarado el Estado de Emergencia Económica, Social y Ecológica en todo el territorio nacional, con el fin de conjurar los efectos de la crisis económica y social generada por la pandemia del nuevo Coronavirus COVID-19. Con base en dicho Decreto se expidió el Decreto Legislativo 491 de 2020 </w:t>
      </w:r>
      <w:r w:rsidRPr="329DEA05">
        <w:rPr>
          <w:rFonts w:ascii="Bookman Old Style" w:eastAsia="Bookman Old Style" w:hAnsi="Bookman Old Style" w:cs="Bookman Old Style"/>
          <w:i/>
          <w:iCs/>
          <w:lang w:val="es"/>
        </w:rPr>
        <w:t>“Por el cual se adoptan medidas de urgencia para garantizar la atención y la prestación de los servicios por parte de las autoridades públicas y los particulares que cumplan funciones públicas y se toman medidas para la protección laboral y de los contratistas de prestación de servicios de las entidades públicas, en el marco del Estado de Emergencia Económica, Social y Ecológica”</w:t>
      </w:r>
      <w:r w:rsidR="007C617F">
        <w:rPr>
          <w:rFonts w:ascii="Bookman Old Style" w:eastAsia="Bookman Old Style" w:hAnsi="Bookman Old Style" w:cs="Bookman Old Style"/>
          <w:i/>
          <w:iCs/>
          <w:lang w:val="es"/>
        </w:rPr>
        <w:t>,</w:t>
      </w:r>
      <w:r w:rsidRPr="329DEA05">
        <w:rPr>
          <w:rFonts w:ascii="Bookman Old Style" w:eastAsia="Bookman Old Style" w:hAnsi="Bookman Old Style" w:cs="Bookman Old Style"/>
          <w:lang w:val="es"/>
        </w:rPr>
        <w:t xml:space="preserve"> en el cual</w:t>
      </w:r>
      <w:r w:rsidR="007C617F">
        <w:rPr>
          <w:rFonts w:ascii="Bookman Old Style" w:eastAsia="Bookman Old Style" w:hAnsi="Bookman Old Style" w:cs="Bookman Old Style"/>
          <w:lang w:val="es"/>
        </w:rPr>
        <w:t>,</w:t>
      </w:r>
      <w:r w:rsidRPr="329DEA05">
        <w:rPr>
          <w:rFonts w:ascii="Bookman Old Style" w:eastAsia="Bookman Old Style" w:hAnsi="Bookman Old Style" w:cs="Bookman Old Style"/>
          <w:lang w:val="es"/>
        </w:rPr>
        <w:t xml:space="preserve"> en su artículo 4</w:t>
      </w:r>
      <w:r w:rsidR="007C617F">
        <w:rPr>
          <w:rFonts w:ascii="Bookman Old Style" w:eastAsia="Bookman Old Style" w:hAnsi="Bookman Old Style" w:cs="Bookman Old Style"/>
          <w:lang w:val="es"/>
        </w:rPr>
        <w:t>,</w:t>
      </w:r>
      <w:r w:rsidRPr="329DEA05">
        <w:rPr>
          <w:rFonts w:ascii="Bookman Old Style" w:eastAsia="Bookman Old Style" w:hAnsi="Bookman Old Style" w:cs="Bookman Old Style"/>
          <w:lang w:val="es"/>
        </w:rPr>
        <w:t xml:space="preserve"> estableció lo siguiente:</w:t>
      </w:r>
    </w:p>
    <w:p w14:paraId="26FA4209" w14:textId="77777777" w:rsidR="00661C4C" w:rsidRPr="00E701D1" w:rsidRDefault="00661C4C" w:rsidP="329DEA05">
      <w:pPr>
        <w:ind w:left="284"/>
        <w:jc w:val="both"/>
        <w:rPr>
          <w:rFonts w:ascii="Bookman Old Style" w:eastAsia="Bookman Old Style" w:hAnsi="Bookman Old Style" w:cs="Bookman Old Style"/>
          <w:lang w:val="es"/>
        </w:rPr>
      </w:pPr>
    </w:p>
    <w:p w14:paraId="358ECBD2" w14:textId="2AE65F26" w:rsidR="7034E93B" w:rsidRPr="00661C4C" w:rsidRDefault="7034E93B" w:rsidP="007C617F">
      <w:pPr>
        <w:ind w:left="426"/>
        <w:jc w:val="both"/>
        <w:rPr>
          <w:rFonts w:ascii="Bookman Old Style" w:eastAsia="Bookman Old Style" w:hAnsi="Bookman Old Style" w:cs="Bookman Old Style"/>
          <w:i/>
          <w:sz w:val="22"/>
          <w:szCs w:val="22"/>
          <w:lang w:val="es"/>
        </w:rPr>
      </w:pPr>
      <w:r w:rsidRPr="00661C4C">
        <w:rPr>
          <w:rFonts w:ascii="Bookman Old Style" w:eastAsia="Bookman Old Style" w:hAnsi="Bookman Old Style" w:cs="Bookman Old Style"/>
          <w:i/>
          <w:sz w:val="22"/>
          <w:szCs w:val="22"/>
          <w:lang w:val="es"/>
        </w:rPr>
        <w:t>“ARTÍCULO 4. Notificación o comunicación de actos administrativos. Hasta tanto permanezca vigente la Emergencia Sanitaria declarada por el Ministerio de Salud y Protección Social, la notificación o comunicación de los actos administrativos se hará por medios electrónicos. Para el efecto en todo trámite, proceso o procedimiento que se inicie será obligatorio indicar la dirección electrónica para recibir notificaciones, y con la sola radicación se entenderá que se ha dado la autorización.</w:t>
      </w:r>
    </w:p>
    <w:p w14:paraId="3BAB0FC7" w14:textId="238F557F" w:rsidR="7034E93B" w:rsidRPr="00661C4C" w:rsidRDefault="7034E93B" w:rsidP="007C617F">
      <w:pPr>
        <w:ind w:left="426"/>
        <w:jc w:val="both"/>
        <w:rPr>
          <w:rFonts w:ascii="Bookman Old Style" w:eastAsia="Bookman Old Style" w:hAnsi="Bookman Old Style" w:cs="Bookman Old Style"/>
          <w:i/>
          <w:sz w:val="22"/>
          <w:szCs w:val="22"/>
          <w:lang w:val="es"/>
        </w:rPr>
      </w:pPr>
    </w:p>
    <w:p w14:paraId="736B0F8F" w14:textId="4855FBE6" w:rsidR="7034E93B" w:rsidRPr="00661C4C" w:rsidRDefault="7034E93B" w:rsidP="007C617F">
      <w:pPr>
        <w:ind w:left="426"/>
        <w:jc w:val="both"/>
        <w:rPr>
          <w:rFonts w:ascii="Bookman Old Style" w:eastAsia="Bookman Old Style" w:hAnsi="Bookman Old Style" w:cs="Bookman Old Style"/>
          <w:i/>
          <w:sz w:val="22"/>
          <w:szCs w:val="22"/>
          <w:lang w:val="es"/>
        </w:rPr>
      </w:pPr>
      <w:r w:rsidRPr="00661C4C">
        <w:rPr>
          <w:rFonts w:ascii="Bookman Old Style" w:eastAsia="Bookman Old Style" w:hAnsi="Bookman Old Style" w:cs="Bookman Old Style"/>
          <w:i/>
          <w:sz w:val="22"/>
          <w:szCs w:val="22"/>
          <w:lang w:val="es"/>
        </w:rPr>
        <w:t>En relación con las actuaciones administrativas que se encuentren en curso a la expedición del presente Decreto, los administrados deberán indicar a la autoridad competente la dirección electrónica en la cual recibirán notificaciones o comunicaciones. Las autoridades, dentro de los tres (3) días hábiles posteriores a la expedición del presente Decreto, deberán habilitar un buzón de correo electrónico exclusivamente para efectuar las notificaciones o comunicaciones a que se refiere el presente artículo.</w:t>
      </w:r>
    </w:p>
    <w:p w14:paraId="31C3D670" w14:textId="65A5B910" w:rsidR="7034E93B" w:rsidRPr="00661C4C" w:rsidRDefault="7034E93B" w:rsidP="007C617F">
      <w:pPr>
        <w:ind w:left="426"/>
        <w:jc w:val="both"/>
        <w:rPr>
          <w:rFonts w:ascii="Bookman Old Style" w:eastAsia="Bookman Old Style" w:hAnsi="Bookman Old Style" w:cs="Bookman Old Style"/>
          <w:i/>
          <w:sz w:val="22"/>
          <w:szCs w:val="22"/>
          <w:lang w:val="es"/>
        </w:rPr>
      </w:pPr>
      <w:r w:rsidRPr="00661C4C">
        <w:rPr>
          <w:rFonts w:ascii="Bookman Old Style" w:eastAsia="Bookman Old Style" w:hAnsi="Bookman Old Style" w:cs="Bookman Old Style"/>
          <w:i/>
          <w:sz w:val="22"/>
          <w:szCs w:val="22"/>
          <w:lang w:val="es"/>
        </w:rPr>
        <w:t xml:space="preserve"> </w:t>
      </w:r>
    </w:p>
    <w:p w14:paraId="7666A5AF" w14:textId="72E8AF2B" w:rsidR="7034E93B" w:rsidRPr="00661C4C" w:rsidRDefault="7034E93B" w:rsidP="007C617F">
      <w:pPr>
        <w:ind w:left="426"/>
        <w:jc w:val="both"/>
        <w:rPr>
          <w:rFonts w:ascii="Bookman Old Style" w:eastAsia="Bookman Old Style" w:hAnsi="Bookman Old Style" w:cs="Bookman Old Style"/>
          <w:i/>
          <w:sz w:val="22"/>
          <w:szCs w:val="22"/>
          <w:lang w:val="es"/>
        </w:rPr>
      </w:pPr>
      <w:r w:rsidRPr="00661C4C">
        <w:rPr>
          <w:rFonts w:ascii="Bookman Old Style" w:eastAsia="Bookman Old Style" w:hAnsi="Bookman Old Style" w:cs="Bookman Old Style"/>
          <w:i/>
          <w:sz w:val="22"/>
          <w:szCs w:val="22"/>
          <w:lang w:val="es"/>
        </w:rPr>
        <w:t>El mensaje que se envíe al administrado deberá indicar el acto administrativo que se notifica o comunica, contener copia electrónica del acto administrativo, los recursos que legalmente proceden, las autoridades ante quienes deben interponerse y los plazos para hacerlo. La notificación o comunicación quedará surtida a partir de la fecha y hora en que el administrado acceda al acto administrativo, fecha y hora que deberá certificar la administración.</w:t>
      </w:r>
    </w:p>
    <w:p w14:paraId="558B2C94" w14:textId="6E83ADCB" w:rsidR="7034E93B" w:rsidRPr="00661C4C" w:rsidRDefault="7034E93B" w:rsidP="007C617F">
      <w:pPr>
        <w:ind w:left="426"/>
        <w:jc w:val="both"/>
        <w:rPr>
          <w:rFonts w:ascii="Bookman Old Style" w:eastAsia="Bookman Old Style" w:hAnsi="Bookman Old Style" w:cs="Bookman Old Style"/>
          <w:i/>
          <w:sz w:val="22"/>
          <w:szCs w:val="22"/>
          <w:lang w:val="es"/>
        </w:rPr>
      </w:pPr>
    </w:p>
    <w:p w14:paraId="0DD12144" w14:textId="63E002C2" w:rsidR="7034E93B" w:rsidRPr="00661C4C" w:rsidRDefault="7034E93B" w:rsidP="007C617F">
      <w:pPr>
        <w:ind w:left="426"/>
        <w:jc w:val="both"/>
        <w:rPr>
          <w:rFonts w:ascii="Bookman Old Style" w:eastAsia="Bookman Old Style" w:hAnsi="Bookman Old Style" w:cs="Bookman Old Style"/>
          <w:i/>
          <w:sz w:val="22"/>
          <w:szCs w:val="22"/>
          <w:lang w:val="es"/>
        </w:rPr>
      </w:pPr>
      <w:r w:rsidRPr="00661C4C">
        <w:rPr>
          <w:rFonts w:ascii="Bookman Old Style" w:eastAsia="Bookman Old Style" w:hAnsi="Bookman Old Style" w:cs="Bookman Old Style"/>
          <w:i/>
          <w:sz w:val="22"/>
          <w:szCs w:val="22"/>
          <w:lang w:val="es"/>
        </w:rPr>
        <w:t>En el evento en que la notificación o comunicación no pueda hacerse de forma electrónica, se seguirá el procedimiento previsto en los artículos 67 y siguientes de la Ley 1437 de 2011.</w:t>
      </w:r>
    </w:p>
    <w:p w14:paraId="3063CB00" w14:textId="75B5A957" w:rsidR="7034E93B" w:rsidRPr="00661C4C" w:rsidRDefault="7034E93B" w:rsidP="007C617F">
      <w:pPr>
        <w:ind w:left="426"/>
        <w:jc w:val="both"/>
        <w:rPr>
          <w:rFonts w:ascii="Bookman Old Style" w:eastAsia="Bookman Old Style" w:hAnsi="Bookman Old Style" w:cs="Bookman Old Style"/>
          <w:i/>
          <w:sz w:val="22"/>
          <w:szCs w:val="22"/>
          <w:lang w:val="es"/>
        </w:rPr>
      </w:pPr>
    </w:p>
    <w:p w14:paraId="1B17739D" w14:textId="7FF57E10" w:rsidR="7034E93B" w:rsidRPr="00661C4C" w:rsidRDefault="7034E93B" w:rsidP="007C617F">
      <w:pPr>
        <w:ind w:left="426"/>
        <w:jc w:val="both"/>
        <w:rPr>
          <w:rFonts w:ascii="Bookman Old Style" w:eastAsia="Bookman Old Style" w:hAnsi="Bookman Old Style" w:cs="Bookman Old Style"/>
          <w:i/>
          <w:sz w:val="22"/>
          <w:szCs w:val="22"/>
          <w:lang w:val="es"/>
        </w:rPr>
      </w:pPr>
      <w:r w:rsidRPr="00661C4C">
        <w:rPr>
          <w:rFonts w:ascii="Bookman Old Style" w:eastAsia="Bookman Old Style" w:hAnsi="Bookman Old Style" w:cs="Bookman Old Style"/>
          <w:i/>
          <w:sz w:val="22"/>
          <w:szCs w:val="22"/>
          <w:lang w:val="es"/>
        </w:rPr>
        <w:t>PARÁGRAFO. La presente disposición no aplica para notificación de los actos de inscripción o registro regulada en el artículo 70 del Código de Procedimiento Administrativo y de lo Contencioso Administrativo.” (Resaltado fuera de texto)</w:t>
      </w:r>
    </w:p>
    <w:p w14:paraId="7A196C54" w14:textId="77777777" w:rsidR="00661C4C" w:rsidRDefault="00661C4C" w:rsidP="00661C4C">
      <w:pPr>
        <w:pStyle w:val="Style2"/>
        <w:spacing w:before="0" w:line="240" w:lineRule="auto"/>
        <w:ind w:left="284" w:right="142" w:firstLine="0"/>
        <w:contextualSpacing/>
        <w:jc w:val="both"/>
        <w:rPr>
          <w:rFonts w:ascii="Bookman Old Style" w:hAnsi="Bookman Old Style"/>
          <w:sz w:val="24"/>
          <w:szCs w:val="24"/>
          <w:lang w:eastAsia="es-ES"/>
        </w:rPr>
      </w:pPr>
    </w:p>
    <w:p w14:paraId="4EA6BF1A" w14:textId="77777777" w:rsidR="00D451C0" w:rsidRPr="00AD369B" w:rsidRDefault="00D451C0" w:rsidP="00723F9D">
      <w:pPr>
        <w:pStyle w:val="Textoindependiente"/>
        <w:ind w:left="284"/>
        <w:contextualSpacing/>
        <w:jc w:val="both"/>
        <w:rPr>
          <w:rFonts w:ascii="Bookman Old Style" w:hAnsi="Bookman Old Style"/>
        </w:rPr>
      </w:pPr>
      <w:r w:rsidRPr="00AD369B">
        <w:rPr>
          <w:rFonts w:ascii="Bookman Old Style" w:hAnsi="Bookman Old Style"/>
        </w:rPr>
        <w:t>5.2</w:t>
      </w:r>
      <w:r w:rsidRPr="00AD369B">
        <w:rPr>
          <w:rFonts w:ascii="Bookman Old Style" w:hAnsi="Bookman Old Style"/>
        </w:rPr>
        <w:tab/>
      </w:r>
      <w:r w:rsidRPr="00AD369B">
        <w:rPr>
          <w:rFonts w:ascii="Bookman Old Style" w:hAnsi="Bookman Old Style"/>
          <w:lang w:val="es-CO"/>
        </w:rPr>
        <w:t xml:space="preserve"> </w:t>
      </w:r>
      <w:r w:rsidRPr="00AD369B">
        <w:rPr>
          <w:rFonts w:ascii="Bookman Old Style" w:hAnsi="Bookman Old Style"/>
        </w:rPr>
        <w:t>ANÁLISIS TÉCNICO</w:t>
      </w:r>
    </w:p>
    <w:p w14:paraId="12D93E8A" w14:textId="77777777" w:rsidR="00EE1EB6" w:rsidRDefault="00EE1EB6" w:rsidP="00723F9D">
      <w:pPr>
        <w:pStyle w:val="Style2"/>
        <w:spacing w:before="0" w:line="240" w:lineRule="auto"/>
        <w:ind w:left="284" w:firstLine="0"/>
        <w:contextualSpacing/>
        <w:jc w:val="both"/>
        <w:rPr>
          <w:rFonts w:ascii="Bookman Old Style" w:hAnsi="Bookman Old Style"/>
          <w:sz w:val="24"/>
          <w:szCs w:val="24"/>
          <w:lang w:eastAsia="es-ES"/>
        </w:rPr>
      </w:pPr>
    </w:p>
    <w:p w14:paraId="1B4F217A" w14:textId="4E06D817" w:rsidR="000C4D0D" w:rsidRDefault="60BC441C" w:rsidP="00723F9D">
      <w:pPr>
        <w:pStyle w:val="Style2"/>
        <w:spacing w:before="0" w:line="240" w:lineRule="auto"/>
        <w:ind w:left="284" w:firstLine="0"/>
        <w:contextualSpacing/>
        <w:jc w:val="both"/>
        <w:rPr>
          <w:rFonts w:ascii="Bookman Old Style" w:hAnsi="Bookman Old Style"/>
          <w:sz w:val="24"/>
          <w:szCs w:val="24"/>
          <w:lang w:eastAsia="es-ES"/>
        </w:rPr>
      </w:pPr>
      <w:r w:rsidRPr="54CF66A8">
        <w:rPr>
          <w:rFonts w:ascii="Bookman Old Style" w:hAnsi="Bookman Old Style"/>
          <w:sz w:val="24"/>
          <w:szCs w:val="24"/>
          <w:lang w:eastAsia="es-ES"/>
        </w:rPr>
        <w:t xml:space="preserve">A partir de la Resolución CREG 012 de 2018, por la cual se resuelve una solicitud de remuneración para un proyecto solar fotovoltaico interconectado a la red de distribución del municipio de Inírida, con una capacidad de generación de 2.47 MWp de </w:t>
      </w:r>
      <w:r w:rsidR="1C039E70" w:rsidRPr="703C66B7">
        <w:rPr>
          <w:rFonts w:ascii="Bookman Old Style" w:hAnsi="Bookman Old Style"/>
          <w:sz w:val="24"/>
          <w:szCs w:val="24"/>
        </w:rPr>
        <w:t>GENSA</w:t>
      </w:r>
      <w:r w:rsidR="3F8FD9ED" w:rsidRPr="703C66B7">
        <w:rPr>
          <w:rFonts w:ascii="Bookman Old Style" w:hAnsi="Bookman Old Style"/>
          <w:sz w:val="24"/>
          <w:szCs w:val="24"/>
          <w:lang w:eastAsia="es-ES"/>
        </w:rPr>
        <w:t>,</w:t>
      </w:r>
      <w:r w:rsidRPr="54CF66A8">
        <w:rPr>
          <w:rFonts w:ascii="Bookman Old Style" w:hAnsi="Bookman Old Style"/>
          <w:sz w:val="24"/>
          <w:szCs w:val="24"/>
          <w:lang w:eastAsia="es-ES"/>
        </w:rPr>
        <w:t xml:space="preserve"> esta Comisión fijó los cargos de generación para la tecnología solar fotovoltaica </w:t>
      </w:r>
      <w:r w:rsidR="00767878">
        <w:rPr>
          <w:rFonts w:ascii="Bookman Old Style" w:hAnsi="Bookman Old Style"/>
          <w:sz w:val="24"/>
          <w:szCs w:val="24"/>
          <w:lang w:eastAsia="es-ES"/>
        </w:rPr>
        <w:t xml:space="preserve">para </w:t>
      </w:r>
      <w:r w:rsidRPr="54CF66A8">
        <w:rPr>
          <w:rFonts w:ascii="Bookman Old Style" w:hAnsi="Bookman Old Style"/>
          <w:sz w:val="24"/>
          <w:szCs w:val="24"/>
          <w:lang w:eastAsia="es-ES"/>
        </w:rPr>
        <w:t xml:space="preserve">el mercado </w:t>
      </w:r>
      <w:r w:rsidR="00767878">
        <w:rPr>
          <w:rFonts w:ascii="Bookman Old Style" w:hAnsi="Bookman Old Style"/>
          <w:sz w:val="24"/>
          <w:szCs w:val="24"/>
          <w:lang w:eastAsia="es-ES"/>
        </w:rPr>
        <w:t xml:space="preserve">relevante de comercialización de la cabecera municipal </w:t>
      </w:r>
      <w:r w:rsidRPr="54CF66A8">
        <w:rPr>
          <w:rFonts w:ascii="Bookman Old Style" w:hAnsi="Bookman Old Style"/>
          <w:sz w:val="24"/>
          <w:szCs w:val="24"/>
          <w:lang w:eastAsia="es-ES"/>
        </w:rPr>
        <w:t>de Inírida</w:t>
      </w:r>
      <w:r w:rsidR="00FC2CF9">
        <w:rPr>
          <w:rFonts w:ascii="Bookman Old Style" w:hAnsi="Bookman Old Style"/>
          <w:sz w:val="24"/>
          <w:szCs w:val="24"/>
          <w:lang w:eastAsia="es-ES"/>
        </w:rPr>
        <w:t xml:space="preserve">, </w:t>
      </w:r>
      <w:r w:rsidR="00FC2CF9" w:rsidRPr="703C66B7">
        <w:rPr>
          <w:rFonts w:ascii="Bookman Old Style" w:hAnsi="Bookman Old Style"/>
          <w:sz w:val="24"/>
          <w:szCs w:val="24"/>
          <w:lang w:eastAsia="es-ES"/>
        </w:rPr>
        <w:t>en el Departamento del Guainía</w:t>
      </w:r>
      <w:r w:rsidRPr="54CF66A8">
        <w:rPr>
          <w:rFonts w:ascii="Bookman Old Style" w:hAnsi="Bookman Old Style"/>
          <w:sz w:val="24"/>
          <w:szCs w:val="24"/>
          <w:lang w:eastAsia="es-ES"/>
        </w:rPr>
        <w:t>.</w:t>
      </w:r>
    </w:p>
    <w:p w14:paraId="44AB9125" w14:textId="77777777" w:rsidR="005D7FC7" w:rsidRDefault="005D7FC7" w:rsidP="00723F9D">
      <w:pPr>
        <w:pStyle w:val="Style2"/>
        <w:spacing w:before="0" w:line="240" w:lineRule="auto"/>
        <w:ind w:left="284" w:firstLine="0"/>
        <w:contextualSpacing/>
        <w:jc w:val="both"/>
        <w:rPr>
          <w:rFonts w:ascii="Bookman Old Style" w:hAnsi="Bookman Old Style"/>
          <w:sz w:val="24"/>
          <w:szCs w:val="24"/>
          <w:lang w:val="es-ES_tradnl" w:eastAsia="es-ES"/>
        </w:rPr>
      </w:pPr>
    </w:p>
    <w:p w14:paraId="2C1D8EE9" w14:textId="297AD81E" w:rsidR="005D7FC7" w:rsidRDefault="000C4D0D" w:rsidP="00723F9D">
      <w:pPr>
        <w:pStyle w:val="Style2"/>
        <w:spacing w:before="0" w:line="240" w:lineRule="auto"/>
        <w:ind w:left="284" w:firstLine="0"/>
        <w:contextualSpacing/>
        <w:jc w:val="both"/>
        <w:rPr>
          <w:rFonts w:ascii="Bookman Old Style" w:hAnsi="Bookman Old Style"/>
          <w:sz w:val="24"/>
          <w:szCs w:val="24"/>
          <w:lang w:val="es-ES_tradnl" w:eastAsia="es-ES"/>
        </w:rPr>
      </w:pPr>
      <w:r>
        <w:rPr>
          <w:rFonts w:ascii="Bookman Old Style" w:hAnsi="Bookman Old Style"/>
          <w:sz w:val="24"/>
          <w:szCs w:val="24"/>
          <w:lang w:val="es-ES_tradnl" w:eastAsia="es-ES"/>
        </w:rPr>
        <w:t>Enmarcado en lo anterior</w:t>
      </w:r>
      <w:r w:rsidRPr="000C4D0D">
        <w:rPr>
          <w:rFonts w:ascii="Bookman Old Style" w:hAnsi="Bookman Old Style"/>
          <w:sz w:val="24"/>
          <w:szCs w:val="24"/>
          <w:lang w:val="es-ES_tradnl" w:eastAsia="es-ES"/>
        </w:rPr>
        <w:t xml:space="preserve"> </w:t>
      </w:r>
      <w:r>
        <w:rPr>
          <w:rFonts w:ascii="Bookman Old Style" w:hAnsi="Bookman Old Style"/>
          <w:sz w:val="24"/>
          <w:szCs w:val="24"/>
          <w:lang w:val="es-ES_tradnl" w:eastAsia="es-ES"/>
        </w:rPr>
        <w:t xml:space="preserve">y dado que la precitada resolución </w:t>
      </w:r>
      <w:r w:rsidR="005D7FC7">
        <w:rPr>
          <w:rFonts w:ascii="Bookman Old Style" w:hAnsi="Bookman Old Style"/>
          <w:sz w:val="24"/>
          <w:szCs w:val="24"/>
          <w:lang w:val="es-ES_tradnl" w:eastAsia="es-ES"/>
        </w:rPr>
        <w:t>fijó el cargo de generación para la tecnología s</w:t>
      </w:r>
      <w:r w:rsidR="005D7FC7" w:rsidRPr="005D7FC7">
        <w:rPr>
          <w:rFonts w:ascii="Bookman Old Style" w:hAnsi="Bookman Old Style"/>
          <w:sz w:val="24"/>
          <w:szCs w:val="24"/>
          <w:lang w:val="es-ES_tradnl" w:eastAsia="es-ES"/>
        </w:rPr>
        <w:t>olar fotovoltaic</w:t>
      </w:r>
      <w:r w:rsidR="005D7FC7">
        <w:rPr>
          <w:rFonts w:ascii="Bookman Old Style" w:hAnsi="Bookman Old Style"/>
          <w:sz w:val="24"/>
          <w:szCs w:val="24"/>
          <w:lang w:val="es-ES_tradnl" w:eastAsia="es-ES"/>
        </w:rPr>
        <w:t>a</w:t>
      </w:r>
      <w:r w:rsidR="005D7FC7" w:rsidRPr="005D7FC7">
        <w:rPr>
          <w:rFonts w:ascii="Bookman Old Style" w:hAnsi="Bookman Old Style"/>
          <w:sz w:val="24"/>
          <w:szCs w:val="24"/>
          <w:lang w:val="es-ES_tradnl" w:eastAsia="es-ES"/>
        </w:rPr>
        <w:t xml:space="preserve"> con alimentación directa a red</w:t>
      </w:r>
      <w:r w:rsidR="005D7FC7">
        <w:rPr>
          <w:rFonts w:ascii="Bookman Old Style" w:hAnsi="Bookman Old Style"/>
          <w:sz w:val="24"/>
          <w:szCs w:val="24"/>
          <w:lang w:val="es-ES_tradnl" w:eastAsia="es-ES"/>
        </w:rPr>
        <w:t xml:space="preserve"> </w:t>
      </w:r>
      <w:r w:rsidR="009246EB">
        <w:rPr>
          <w:rFonts w:ascii="Bookman Old Style" w:hAnsi="Bookman Old Style"/>
          <w:sz w:val="24"/>
          <w:szCs w:val="24"/>
          <w:lang w:val="es-ES_tradnl" w:eastAsia="es-ES"/>
        </w:rPr>
        <w:t xml:space="preserve">para el </w:t>
      </w:r>
      <w:r w:rsidR="0045699F">
        <w:rPr>
          <w:rFonts w:ascii="Bookman Old Style" w:hAnsi="Bookman Old Style"/>
          <w:sz w:val="24"/>
          <w:szCs w:val="24"/>
          <w:lang w:val="es-ES_tradnl" w:eastAsia="es-ES"/>
        </w:rPr>
        <w:t xml:space="preserve">mencionado </w:t>
      </w:r>
      <w:r w:rsidR="005D7FC7">
        <w:rPr>
          <w:rFonts w:ascii="Bookman Old Style" w:hAnsi="Bookman Old Style"/>
          <w:sz w:val="24"/>
          <w:szCs w:val="24"/>
          <w:lang w:val="es-ES_tradnl" w:eastAsia="es-ES"/>
        </w:rPr>
        <w:t xml:space="preserve">mercado, </w:t>
      </w:r>
      <w:r w:rsidR="006A7A67">
        <w:rPr>
          <w:rFonts w:ascii="Bookman Old Style" w:hAnsi="Bookman Old Style"/>
          <w:sz w:val="24"/>
          <w:szCs w:val="24"/>
          <w:lang w:val="es-ES_tradnl" w:eastAsia="es-ES"/>
        </w:rPr>
        <w:t xml:space="preserve">el </w:t>
      </w:r>
      <w:r w:rsidRPr="000C4D0D">
        <w:rPr>
          <w:rFonts w:ascii="Bookman Old Style" w:hAnsi="Bookman Old Style"/>
          <w:sz w:val="24"/>
          <w:szCs w:val="24"/>
          <w:lang w:val="es-ES_tradnl" w:eastAsia="es-ES"/>
        </w:rPr>
        <w:t>objeto de análisis de la presente actuación administrativa</w:t>
      </w:r>
      <w:r w:rsidR="00D9407D">
        <w:rPr>
          <w:rFonts w:ascii="Bookman Old Style" w:hAnsi="Bookman Old Style"/>
          <w:sz w:val="24"/>
          <w:szCs w:val="24"/>
          <w:lang w:val="es-ES_tradnl" w:eastAsia="es-ES"/>
        </w:rPr>
        <w:t xml:space="preserve"> se orienta a</w:t>
      </w:r>
      <w:r w:rsidRPr="000C4D0D">
        <w:rPr>
          <w:rFonts w:ascii="Bookman Old Style" w:hAnsi="Bookman Old Style"/>
          <w:sz w:val="24"/>
          <w:szCs w:val="24"/>
          <w:lang w:val="es-ES_tradnl" w:eastAsia="es-ES"/>
        </w:rPr>
        <w:t xml:space="preserve"> </w:t>
      </w:r>
      <w:r w:rsidR="007D5B17">
        <w:rPr>
          <w:rFonts w:ascii="Bookman Old Style" w:hAnsi="Bookman Old Style"/>
          <w:sz w:val="24"/>
          <w:szCs w:val="24"/>
          <w:lang w:val="es-ES_tradnl" w:eastAsia="es-ES"/>
        </w:rPr>
        <w:t>de</w:t>
      </w:r>
      <w:r w:rsidR="000660E4">
        <w:rPr>
          <w:rFonts w:ascii="Bookman Old Style" w:hAnsi="Bookman Old Style"/>
          <w:sz w:val="24"/>
          <w:szCs w:val="24"/>
          <w:lang w:val="es-ES_tradnl" w:eastAsia="es-ES"/>
        </w:rPr>
        <w:t xml:space="preserve">finir </w:t>
      </w:r>
      <w:r w:rsidRPr="000C4D0D">
        <w:rPr>
          <w:rFonts w:ascii="Bookman Old Style" w:hAnsi="Bookman Old Style"/>
          <w:sz w:val="24"/>
          <w:szCs w:val="24"/>
          <w:lang w:val="es-ES_tradnl" w:eastAsia="es-ES"/>
        </w:rPr>
        <w:t>las componentes que remuneran los costos de inversión y de administración, operación y mantenimiento para sistema</w:t>
      </w:r>
      <w:r w:rsidR="00B017AB">
        <w:rPr>
          <w:rFonts w:ascii="Bookman Old Style" w:hAnsi="Bookman Old Style"/>
          <w:sz w:val="24"/>
          <w:szCs w:val="24"/>
          <w:lang w:val="es-ES_tradnl" w:eastAsia="es-ES"/>
        </w:rPr>
        <w:t>s</w:t>
      </w:r>
      <w:r w:rsidRPr="000C4D0D">
        <w:rPr>
          <w:rFonts w:ascii="Bookman Old Style" w:hAnsi="Bookman Old Style"/>
          <w:sz w:val="24"/>
          <w:szCs w:val="24"/>
          <w:lang w:val="es-ES_tradnl" w:eastAsia="es-ES"/>
        </w:rPr>
        <w:t xml:space="preserve"> de </w:t>
      </w:r>
      <w:r>
        <w:rPr>
          <w:rFonts w:ascii="Bookman Old Style" w:hAnsi="Bookman Old Style"/>
          <w:sz w:val="24"/>
          <w:szCs w:val="24"/>
          <w:lang w:val="es-ES_tradnl" w:eastAsia="es-ES"/>
        </w:rPr>
        <w:t>a</w:t>
      </w:r>
      <w:r w:rsidRPr="000C4D0D">
        <w:rPr>
          <w:rFonts w:ascii="Bookman Old Style" w:hAnsi="Bookman Old Style"/>
          <w:sz w:val="24"/>
          <w:szCs w:val="24"/>
          <w:lang w:val="es-ES_tradnl" w:eastAsia="es-ES"/>
        </w:rPr>
        <w:t xml:space="preserve">cumulación </w:t>
      </w:r>
      <w:r w:rsidR="00921895">
        <w:rPr>
          <w:rFonts w:ascii="Bookman Old Style" w:hAnsi="Bookman Old Style"/>
          <w:sz w:val="24"/>
          <w:szCs w:val="24"/>
          <w:lang w:val="es-ES_tradnl" w:eastAsia="es-ES"/>
        </w:rPr>
        <w:t>conectados a</w:t>
      </w:r>
      <w:r w:rsidR="00A03236">
        <w:rPr>
          <w:rFonts w:ascii="Bookman Old Style" w:hAnsi="Bookman Old Style"/>
          <w:sz w:val="24"/>
          <w:szCs w:val="24"/>
          <w:lang w:val="es-ES_tradnl" w:eastAsia="es-ES"/>
        </w:rPr>
        <w:t xml:space="preserve"> ese mismo </w:t>
      </w:r>
      <w:r w:rsidR="00921895">
        <w:rPr>
          <w:rFonts w:ascii="Bookman Old Style" w:hAnsi="Bookman Old Style"/>
          <w:sz w:val="24"/>
          <w:szCs w:val="24"/>
          <w:lang w:val="es-ES_tradnl" w:eastAsia="es-ES"/>
        </w:rPr>
        <w:t>mercado</w:t>
      </w:r>
      <w:r w:rsidRPr="000C4D0D">
        <w:rPr>
          <w:rFonts w:ascii="Bookman Old Style" w:hAnsi="Bookman Old Style"/>
          <w:sz w:val="24"/>
          <w:szCs w:val="24"/>
          <w:lang w:val="es-ES_tradnl" w:eastAsia="es-ES"/>
        </w:rPr>
        <w:t>.</w:t>
      </w:r>
    </w:p>
    <w:p w14:paraId="7840485D" w14:textId="77777777" w:rsidR="005D7FC7" w:rsidRDefault="005D7FC7" w:rsidP="00723F9D">
      <w:pPr>
        <w:pStyle w:val="Style2"/>
        <w:spacing w:before="0" w:line="240" w:lineRule="auto"/>
        <w:ind w:left="284" w:firstLine="0"/>
        <w:contextualSpacing/>
        <w:jc w:val="both"/>
        <w:rPr>
          <w:rFonts w:ascii="Bookman Old Style" w:hAnsi="Bookman Old Style"/>
          <w:sz w:val="24"/>
          <w:szCs w:val="24"/>
          <w:lang w:val="es-ES_tradnl" w:eastAsia="es-ES"/>
        </w:rPr>
      </w:pPr>
    </w:p>
    <w:p w14:paraId="7E520756" w14:textId="723C9643" w:rsidR="009E3606" w:rsidRPr="005D7FC7" w:rsidRDefault="009E3606" w:rsidP="00723F9D">
      <w:pPr>
        <w:pStyle w:val="Style2"/>
        <w:spacing w:before="0" w:line="240" w:lineRule="auto"/>
        <w:ind w:left="284" w:firstLine="0"/>
        <w:contextualSpacing/>
        <w:jc w:val="both"/>
        <w:rPr>
          <w:rFonts w:ascii="Bookman Old Style" w:hAnsi="Bookman Old Style"/>
          <w:sz w:val="24"/>
          <w:szCs w:val="24"/>
          <w:lang w:eastAsia="es-ES"/>
        </w:rPr>
      </w:pPr>
      <w:r w:rsidRPr="00AD369B">
        <w:rPr>
          <w:rFonts w:ascii="Bookman Old Style" w:hAnsi="Bookman Old Style"/>
          <w:sz w:val="24"/>
          <w:szCs w:val="24"/>
        </w:rPr>
        <w:t xml:space="preserve">Teniendo en cuenta lo previsto en los artículos 22, 24, 25 y 40 de la Resolución CREG 091 de 2007, se procede a revisar la información allegada por </w:t>
      </w:r>
      <w:r w:rsidR="1C039E70" w:rsidRPr="732E7912">
        <w:rPr>
          <w:rFonts w:ascii="Bookman Old Style" w:hAnsi="Bookman Old Style"/>
          <w:sz w:val="24"/>
          <w:szCs w:val="24"/>
        </w:rPr>
        <w:t>GENSA</w:t>
      </w:r>
      <w:r w:rsidR="2E182E5C" w:rsidRPr="732E7912">
        <w:rPr>
          <w:rFonts w:ascii="Bookman Old Style" w:hAnsi="Bookman Old Style"/>
          <w:sz w:val="24"/>
          <w:szCs w:val="24"/>
        </w:rPr>
        <w:t>,</w:t>
      </w:r>
      <w:r w:rsidRPr="00AD369B">
        <w:rPr>
          <w:rFonts w:ascii="Bookman Old Style" w:hAnsi="Bookman Old Style"/>
          <w:sz w:val="24"/>
          <w:szCs w:val="24"/>
        </w:rPr>
        <w:t xml:space="preserve"> en términos de costos de inversión y gastos administración, operación y mantenimiento, así como también se analizan los datos de proyección de energía a generar y de la demanda a atender, presentados en la solicitud.</w:t>
      </w:r>
    </w:p>
    <w:p w14:paraId="5188D939" w14:textId="1BB374AF" w:rsidR="00C33F5F" w:rsidRPr="00AD369B" w:rsidRDefault="00C33F5F" w:rsidP="00723F9D">
      <w:pPr>
        <w:pStyle w:val="Textoindependiente21"/>
        <w:ind w:left="284"/>
        <w:contextualSpacing/>
        <w:rPr>
          <w:rFonts w:ascii="Bookman Old Style" w:hAnsi="Bookman Old Style" w:cs="Arial"/>
          <w:sz w:val="24"/>
          <w:szCs w:val="24"/>
        </w:rPr>
      </w:pPr>
    </w:p>
    <w:p w14:paraId="4A02E677" w14:textId="72F9F9A2" w:rsidR="005A1E93" w:rsidRPr="00AD369B" w:rsidRDefault="00283DEE" w:rsidP="00723F9D">
      <w:pPr>
        <w:pStyle w:val="Textoindependiente21"/>
        <w:ind w:left="284"/>
        <w:contextualSpacing/>
        <w:rPr>
          <w:rFonts w:ascii="Bookman Old Style" w:hAnsi="Bookman Old Style" w:cs="Arial"/>
          <w:sz w:val="24"/>
          <w:szCs w:val="24"/>
        </w:rPr>
      </w:pPr>
      <w:r w:rsidRPr="00AD369B">
        <w:rPr>
          <w:rFonts w:ascii="Bookman Old Style" w:hAnsi="Bookman Old Style" w:cs="Arial"/>
          <w:sz w:val="24"/>
          <w:szCs w:val="24"/>
        </w:rPr>
        <w:t xml:space="preserve">Atendiendo los criterios tarifarios de eficiencia económica y suficiencia financiera, esta Comisión resuelve la solicitud definiendo la remuneración a partir de </w:t>
      </w:r>
      <w:r w:rsidR="005A1E93" w:rsidRPr="00AD369B">
        <w:rPr>
          <w:rFonts w:ascii="Bookman Old Style" w:hAnsi="Bookman Old Style" w:cs="Arial"/>
          <w:sz w:val="24"/>
          <w:szCs w:val="24"/>
        </w:rPr>
        <w:t xml:space="preserve">costos eficientes de referencia, ajustados a las condiciones de prestación del servicio en </w:t>
      </w:r>
      <w:r w:rsidR="000360EB" w:rsidRPr="00AD369B">
        <w:rPr>
          <w:rFonts w:ascii="Bookman Old Style" w:hAnsi="Bookman Old Style" w:cs="Arial"/>
          <w:sz w:val="24"/>
          <w:szCs w:val="24"/>
        </w:rPr>
        <w:t>el mercado de</w:t>
      </w:r>
      <w:r w:rsidR="007414F7" w:rsidRPr="00AD369B">
        <w:rPr>
          <w:rFonts w:ascii="Bookman Old Style" w:hAnsi="Bookman Old Style" w:cs="Arial"/>
          <w:sz w:val="24"/>
          <w:szCs w:val="24"/>
        </w:rPr>
        <w:t xml:space="preserve"> comercialización de la cabecera municipal de</w:t>
      </w:r>
      <w:r w:rsidR="000360EB" w:rsidRPr="00AD369B">
        <w:rPr>
          <w:rFonts w:ascii="Bookman Old Style" w:hAnsi="Bookman Old Style" w:cs="Arial"/>
          <w:sz w:val="24"/>
          <w:szCs w:val="24"/>
        </w:rPr>
        <w:t xml:space="preserve"> </w:t>
      </w:r>
      <w:r w:rsidR="000C7E0E">
        <w:rPr>
          <w:rFonts w:ascii="Bookman Old Style" w:hAnsi="Bookman Old Style" w:cs="Arial"/>
          <w:sz w:val="24"/>
          <w:szCs w:val="24"/>
        </w:rPr>
        <w:t>Inírida</w:t>
      </w:r>
      <w:r w:rsidR="000360EB" w:rsidRPr="00AD369B">
        <w:rPr>
          <w:rFonts w:ascii="Bookman Old Style" w:hAnsi="Bookman Old Style" w:cs="Arial"/>
          <w:sz w:val="24"/>
          <w:szCs w:val="24"/>
        </w:rPr>
        <w:t xml:space="preserve">. </w:t>
      </w:r>
    </w:p>
    <w:p w14:paraId="42CC45DC" w14:textId="77777777" w:rsidR="005A1E93" w:rsidRPr="00AD369B" w:rsidRDefault="005A1E93" w:rsidP="00723F9D">
      <w:pPr>
        <w:pStyle w:val="Textoindependiente21"/>
        <w:ind w:left="284"/>
        <w:contextualSpacing/>
        <w:rPr>
          <w:rFonts w:ascii="Bookman Old Style" w:hAnsi="Bookman Old Style" w:cs="Arial"/>
          <w:sz w:val="24"/>
          <w:szCs w:val="24"/>
        </w:rPr>
      </w:pPr>
    </w:p>
    <w:p w14:paraId="5E8F390D" w14:textId="1A60B98D" w:rsidR="00A6610A" w:rsidRPr="00AD369B" w:rsidRDefault="19203F08" w:rsidP="00723F9D">
      <w:pPr>
        <w:pStyle w:val="Textoindependiente21"/>
        <w:ind w:left="284"/>
        <w:contextualSpacing/>
        <w:rPr>
          <w:rFonts w:ascii="Bookman Old Style" w:hAnsi="Bookman Old Style" w:cs="Arial"/>
          <w:sz w:val="24"/>
          <w:szCs w:val="24"/>
        </w:rPr>
      </w:pPr>
      <w:r w:rsidRPr="54CF66A8">
        <w:rPr>
          <w:rFonts w:ascii="Bookman Old Style" w:hAnsi="Bookman Old Style" w:cs="Arial"/>
          <w:sz w:val="24"/>
          <w:szCs w:val="24"/>
        </w:rPr>
        <w:t xml:space="preserve">El </w:t>
      </w:r>
      <w:r w:rsidRPr="008F1A8D">
        <w:rPr>
          <w:rFonts w:ascii="Bookman Old Style" w:hAnsi="Bookman Old Style" w:cs="Arial"/>
          <w:sz w:val="24"/>
          <w:szCs w:val="24"/>
        </w:rPr>
        <w:t xml:space="preserve">documento CREG </w:t>
      </w:r>
      <w:r w:rsidR="008F1A8D" w:rsidRPr="008F1A8D">
        <w:rPr>
          <w:rFonts w:ascii="Bookman Old Style" w:hAnsi="Bookman Old Style" w:cs="Arial"/>
          <w:sz w:val="24"/>
          <w:szCs w:val="24"/>
        </w:rPr>
        <w:t>501 005</w:t>
      </w:r>
      <w:r w:rsidRPr="008F1A8D">
        <w:rPr>
          <w:rFonts w:ascii="Bookman Old Style" w:hAnsi="Bookman Old Style" w:cs="Arial"/>
          <w:sz w:val="24"/>
          <w:szCs w:val="24"/>
        </w:rPr>
        <w:t xml:space="preserve"> de 202</w:t>
      </w:r>
      <w:r w:rsidR="6100B41A" w:rsidRPr="008F1A8D">
        <w:rPr>
          <w:rFonts w:ascii="Bookman Old Style" w:hAnsi="Bookman Old Style" w:cs="Arial"/>
          <w:sz w:val="24"/>
          <w:szCs w:val="24"/>
        </w:rPr>
        <w:t>2</w:t>
      </w:r>
      <w:r w:rsidRPr="008F1A8D">
        <w:rPr>
          <w:rFonts w:ascii="Bookman Old Style" w:hAnsi="Bookman Old Style" w:cs="Arial"/>
          <w:sz w:val="24"/>
          <w:szCs w:val="24"/>
        </w:rPr>
        <w:t>, soporte de la presente</w:t>
      </w:r>
      <w:r w:rsidRPr="54CF66A8">
        <w:rPr>
          <w:rFonts w:ascii="Bookman Old Style" w:hAnsi="Bookman Old Style" w:cs="Arial"/>
          <w:sz w:val="24"/>
          <w:szCs w:val="24"/>
        </w:rPr>
        <w:t xml:space="preserve"> resolución, detalla el análisis técnico realizado para resolver la solicitud de la empresa en cuestión.</w:t>
      </w:r>
    </w:p>
    <w:p w14:paraId="378C9BCA" w14:textId="77777777" w:rsidR="00D238B3" w:rsidRPr="00AD369B" w:rsidRDefault="00D238B3" w:rsidP="00723F9D">
      <w:pPr>
        <w:pStyle w:val="Textoindependiente21"/>
        <w:ind w:left="284"/>
        <w:contextualSpacing/>
        <w:rPr>
          <w:rFonts w:ascii="Bookman Old Style" w:hAnsi="Bookman Old Style" w:cs="Arial"/>
          <w:sz w:val="24"/>
          <w:szCs w:val="24"/>
        </w:rPr>
      </w:pPr>
    </w:p>
    <w:p w14:paraId="284155B9" w14:textId="3E06D1F9" w:rsidR="008B6CE5" w:rsidRPr="00AD369B" w:rsidRDefault="6E0585B9" w:rsidP="00723F9D">
      <w:pPr>
        <w:pStyle w:val="Textoindependiente21"/>
        <w:ind w:left="284"/>
        <w:contextualSpacing/>
        <w:rPr>
          <w:rFonts w:ascii="Bookman Old Style" w:hAnsi="Bookman Old Style" w:cs="Arial"/>
          <w:sz w:val="24"/>
          <w:szCs w:val="24"/>
        </w:rPr>
      </w:pPr>
      <w:r w:rsidRPr="001369C8">
        <w:rPr>
          <w:rFonts w:ascii="Bookman Old Style" w:hAnsi="Bookman Old Style" w:cs="Arial"/>
          <w:sz w:val="24"/>
          <w:szCs w:val="24"/>
        </w:rPr>
        <w:t>E</w:t>
      </w:r>
      <w:r w:rsidR="03694EDD" w:rsidRPr="001369C8">
        <w:rPr>
          <w:rFonts w:ascii="Bookman Old Style" w:hAnsi="Bookman Old Style" w:cs="Arial"/>
          <w:sz w:val="24"/>
          <w:szCs w:val="24"/>
        </w:rPr>
        <w:t>n s</w:t>
      </w:r>
      <w:r w:rsidR="2063A14E" w:rsidRPr="001369C8">
        <w:rPr>
          <w:rFonts w:ascii="Bookman Old Style" w:hAnsi="Bookman Old Style" w:cs="Arial"/>
          <w:sz w:val="24"/>
          <w:szCs w:val="24"/>
        </w:rPr>
        <w:t>esión No</w:t>
      </w:r>
      <w:r w:rsidR="3FA2A4B5" w:rsidRPr="001369C8">
        <w:rPr>
          <w:rFonts w:ascii="Bookman Old Style" w:hAnsi="Bookman Old Style" w:cs="Arial"/>
          <w:sz w:val="24"/>
          <w:szCs w:val="24"/>
        </w:rPr>
        <w:t>.</w:t>
      </w:r>
      <w:r w:rsidR="003472E8" w:rsidRPr="001369C8">
        <w:rPr>
          <w:rFonts w:ascii="Bookman Old Style" w:hAnsi="Bookman Old Style" w:cs="Arial"/>
          <w:sz w:val="24"/>
          <w:szCs w:val="24"/>
        </w:rPr>
        <w:t>1169</w:t>
      </w:r>
      <w:r w:rsidR="3FA2A4B5" w:rsidRPr="001369C8">
        <w:rPr>
          <w:rFonts w:ascii="Bookman Old Style" w:hAnsi="Bookman Old Style" w:cs="Arial"/>
          <w:sz w:val="24"/>
          <w:szCs w:val="24"/>
        </w:rPr>
        <w:t xml:space="preserve"> de</w:t>
      </w:r>
      <w:r w:rsidR="649CA803" w:rsidRPr="001369C8">
        <w:rPr>
          <w:rFonts w:ascii="Bookman Old Style" w:hAnsi="Bookman Old Style" w:cs="Arial"/>
          <w:sz w:val="24"/>
          <w:szCs w:val="24"/>
        </w:rPr>
        <w:t xml:space="preserve">l </w:t>
      </w:r>
      <w:r w:rsidR="00AA66B2" w:rsidRPr="001369C8">
        <w:rPr>
          <w:rFonts w:ascii="Bookman Old Style" w:hAnsi="Bookman Old Style" w:cs="Arial"/>
          <w:sz w:val="24"/>
          <w:szCs w:val="24"/>
        </w:rPr>
        <w:t>1</w:t>
      </w:r>
      <w:r w:rsidR="001369C8" w:rsidRPr="001369C8">
        <w:rPr>
          <w:rFonts w:ascii="Bookman Old Style" w:hAnsi="Bookman Old Style" w:cs="Arial"/>
          <w:sz w:val="24"/>
          <w:szCs w:val="24"/>
        </w:rPr>
        <w:t xml:space="preserve">7 </w:t>
      </w:r>
      <w:r w:rsidR="00CE2F61" w:rsidRPr="001369C8">
        <w:rPr>
          <w:rFonts w:ascii="Bookman Old Style" w:hAnsi="Bookman Old Style" w:cs="Arial"/>
          <w:sz w:val="24"/>
          <w:szCs w:val="24"/>
        </w:rPr>
        <w:t xml:space="preserve">de </w:t>
      </w:r>
      <w:r w:rsidR="001369C8" w:rsidRPr="001369C8">
        <w:rPr>
          <w:rFonts w:ascii="Bookman Old Style" w:hAnsi="Bookman Old Style" w:cs="Arial"/>
          <w:sz w:val="24"/>
          <w:szCs w:val="24"/>
        </w:rPr>
        <w:t xml:space="preserve">mayo </w:t>
      </w:r>
      <w:r w:rsidR="243778C2" w:rsidRPr="1B8620D5">
        <w:rPr>
          <w:rFonts w:ascii="Bookman Old Style" w:hAnsi="Bookman Old Style" w:cs="Arial"/>
          <w:sz w:val="24"/>
          <w:szCs w:val="24"/>
        </w:rPr>
        <w:t xml:space="preserve">de </w:t>
      </w:r>
      <w:r w:rsidR="19203F08" w:rsidRPr="1B8620D5">
        <w:rPr>
          <w:rFonts w:ascii="Bookman Old Style" w:hAnsi="Bookman Old Style" w:cs="Arial"/>
          <w:sz w:val="24"/>
          <w:szCs w:val="24"/>
        </w:rPr>
        <w:t>202</w:t>
      </w:r>
      <w:r w:rsidR="6100B41A" w:rsidRPr="1B8620D5">
        <w:rPr>
          <w:rFonts w:ascii="Bookman Old Style" w:hAnsi="Bookman Old Style" w:cs="Arial"/>
          <w:sz w:val="24"/>
          <w:szCs w:val="24"/>
        </w:rPr>
        <w:t>2</w:t>
      </w:r>
      <w:r w:rsidR="2063A14E" w:rsidRPr="1B8620D5">
        <w:rPr>
          <w:rFonts w:ascii="Bookman Old Style" w:hAnsi="Bookman Old Style" w:cs="Arial"/>
          <w:sz w:val="24"/>
          <w:szCs w:val="24"/>
        </w:rPr>
        <w:t>, la Comisión de Regulación de Energía y Gas analizó la presente actuación administrativa y</w:t>
      </w:r>
    </w:p>
    <w:p w14:paraId="6D825CAA" w14:textId="77777777" w:rsidR="008B6CE5" w:rsidRPr="00AD369B" w:rsidRDefault="008B6CE5" w:rsidP="00723F9D">
      <w:pPr>
        <w:pStyle w:val="Textoindependiente21"/>
        <w:ind w:left="284"/>
        <w:contextualSpacing/>
        <w:rPr>
          <w:rFonts w:ascii="Bookman Old Style" w:hAnsi="Bookman Old Style" w:cs="Arial"/>
          <w:sz w:val="24"/>
          <w:szCs w:val="24"/>
        </w:rPr>
      </w:pPr>
    </w:p>
    <w:p w14:paraId="3D29EA62" w14:textId="77777777" w:rsidR="008B6CE5" w:rsidRPr="00AD369B" w:rsidRDefault="00FB483F" w:rsidP="00723F9D">
      <w:pPr>
        <w:pStyle w:val="Textoindependiente21"/>
        <w:ind w:left="284"/>
        <w:contextualSpacing/>
        <w:rPr>
          <w:rFonts w:ascii="Bookman Old Style" w:hAnsi="Bookman Old Style" w:cs="Arial"/>
          <w:sz w:val="24"/>
          <w:szCs w:val="24"/>
        </w:rPr>
      </w:pPr>
      <w:r w:rsidRPr="00AD369B">
        <w:rPr>
          <w:rFonts w:ascii="Bookman Old Style" w:hAnsi="Bookman Old Style" w:cs="Arial"/>
          <w:sz w:val="24"/>
          <w:szCs w:val="24"/>
        </w:rPr>
        <w:t>P</w:t>
      </w:r>
      <w:r w:rsidR="008B6CE5" w:rsidRPr="00AD369B">
        <w:rPr>
          <w:rFonts w:ascii="Bookman Old Style" w:hAnsi="Bookman Old Style" w:cs="Arial"/>
          <w:sz w:val="24"/>
          <w:szCs w:val="24"/>
        </w:rPr>
        <w:t>or lo anteriormente expuesto,</w:t>
      </w:r>
    </w:p>
    <w:p w14:paraId="154AE051" w14:textId="77777777" w:rsidR="009E6611" w:rsidRPr="00AD369B" w:rsidRDefault="009E6611" w:rsidP="00B606A2">
      <w:pPr>
        <w:pStyle w:val="Textoindependiente21"/>
        <w:ind w:left="284" w:right="142"/>
        <w:contextualSpacing/>
        <w:rPr>
          <w:rFonts w:ascii="Bookman Old Style" w:hAnsi="Bookman Old Style" w:cs="Arial"/>
          <w:sz w:val="24"/>
          <w:szCs w:val="24"/>
        </w:rPr>
      </w:pPr>
    </w:p>
    <w:p w14:paraId="748C3926" w14:textId="77777777" w:rsidR="00903C58" w:rsidRPr="00AD369B" w:rsidRDefault="00903C58" w:rsidP="00B606A2">
      <w:pPr>
        <w:keepNext/>
        <w:ind w:left="284" w:right="142"/>
        <w:contextualSpacing/>
        <w:jc w:val="center"/>
        <w:rPr>
          <w:rFonts w:ascii="Bookman Old Style" w:hAnsi="Bookman Old Style" w:cs="Arial"/>
          <w:b/>
        </w:rPr>
      </w:pPr>
      <w:r w:rsidRPr="00AD369B">
        <w:rPr>
          <w:rFonts w:ascii="Bookman Old Style" w:hAnsi="Bookman Old Style" w:cs="Arial"/>
          <w:b/>
        </w:rPr>
        <w:t>R E S U E L V E:</w:t>
      </w:r>
    </w:p>
    <w:p w14:paraId="7EB58235" w14:textId="77777777" w:rsidR="00AD369B" w:rsidRPr="00AD369B" w:rsidRDefault="00AD369B" w:rsidP="00B606A2">
      <w:pPr>
        <w:keepNext/>
        <w:ind w:left="284" w:right="142"/>
        <w:contextualSpacing/>
        <w:jc w:val="center"/>
        <w:rPr>
          <w:rFonts w:ascii="Bookman Old Style" w:hAnsi="Bookman Old Style" w:cs="Arial"/>
          <w:b/>
        </w:rPr>
      </w:pPr>
    </w:p>
    <w:p w14:paraId="2F7A440E" w14:textId="1A7B31A8" w:rsidR="00552F05" w:rsidRDefault="00565C93" w:rsidP="007A54CF">
      <w:pPr>
        <w:pStyle w:val="Piedepgina"/>
        <w:tabs>
          <w:tab w:val="clear" w:pos="4252"/>
          <w:tab w:val="clear" w:pos="8504"/>
          <w:tab w:val="center" w:pos="4845"/>
        </w:tabs>
        <w:ind w:left="284" w:right="142"/>
        <w:contextualSpacing/>
        <w:jc w:val="both"/>
        <w:rPr>
          <w:rFonts w:ascii="Bookman Old Style" w:hAnsi="Bookman Old Style" w:cs="Arial"/>
        </w:rPr>
      </w:pPr>
      <w:r w:rsidRPr="00AD369B">
        <w:rPr>
          <w:rFonts w:ascii="Bookman Old Style" w:hAnsi="Bookman Old Style" w:cs="Arial"/>
          <w:b/>
        </w:rPr>
        <w:t>ARTÍCULO 1</w:t>
      </w:r>
      <w:r w:rsidR="00B50937" w:rsidRPr="00AD369B">
        <w:rPr>
          <w:rFonts w:ascii="Bookman Old Style" w:hAnsi="Bookman Old Style" w:cs="Arial"/>
          <w:b/>
          <w:bCs/>
        </w:rPr>
        <w:t>. Remuneración de las componentes de inversión y de administración, operación y mantenimiento</w:t>
      </w:r>
      <w:r w:rsidR="004C63CD" w:rsidRPr="00AD369B">
        <w:rPr>
          <w:rFonts w:ascii="Bookman Old Style" w:hAnsi="Bookman Old Style" w:cs="Arial"/>
          <w:b/>
          <w:bCs/>
        </w:rPr>
        <w:t>.</w:t>
      </w:r>
      <w:r w:rsidR="00B50937" w:rsidRPr="00AD369B">
        <w:rPr>
          <w:rFonts w:ascii="Bookman Old Style" w:hAnsi="Bookman Old Style" w:cs="Arial"/>
          <w:b/>
          <w:bCs/>
        </w:rPr>
        <w:t xml:space="preserve"> </w:t>
      </w:r>
      <w:r w:rsidR="004C63CD" w:rsidRPr="00AD369B">
        <w:rPr>
          <w:rFonts w:ascii="Bookman Old Style" w:hAnsi="Bookman Old Style" w:cs="Arial"/>
          <w:bCs/>
        </w:rPr>
        <w:t>P</w:t>
      </w:r>
      <w:r w:rsidR="00B50937" w:rsidRPr="00AD369B">
        <w:rPr>
          <w:rFonts w:ascii="Bookman Old Style" w:hAnsi="Bookman Old Style" w:cs="Arial"/>
          <w:bCs/>
        </w:rPr>
        <w:t xml:space="preserve">ara </w:t>
      </w:r>
      <w:r w:rsidR="005D7FC7" w:rsidRPr="000C4D0D">
        <w:rPr>
          <w:rFonts w:ascii="Bookman Old Style" w:hAnsi="Bookman Old Style" w:cs="Arial"/>
          <w:lang w:val="es-ES_tradnl"/>
        </w:rPr>
        <w:t>sistema</w:t>
      </w:r>
      <w:r w:rsidR="008B11F8">
        <w:rPr>
          <w:rFonts w:ascii="Bookman Old Style" w:hAnsi="Bookman Old Style" w:cs="Arial"/>
          <w:lang w:val="es-ES_tradnl"/>
        </w:rPr>
        <w:t>s</w:t>
      </w:r>
      <w:r w:rsidR="005D7FC7" w:rsidRPr="000C4D0D">
        <w:rPr>
          <w:rFonts w:ascii="Bookman Old Style" w:hAnsi="Bookman Old Style" w:cs="Arial"/>
          <w:lang w:val="es-ES_tradnl"/>
        </w:rPr>
        <w:t xml:space="preserve"> </w:t>
      </w:r>
      <w:r w:rsidR="0009742A">
        <w:rPr>
          <w:rFonts w:ascii="Bookman Old Style" w:hAnsi="Bookman Old Style" w:cs="Arial"/>
          <w:lang w:val="es-ES_tradnl"/>
        </w:rPr>
        <w:t xml:space="preserve">híbridos </w:t>
      </w:r>
      <w:r w:rsidR="00A252AC">
        <w:rPr>
          <w:rFonts w:ascii="Bookman Old Style" w:hAnsi="Bookman Old Style" w:cs="Arial"/>
          <w:lang w:val="es-ES_tradnl"/>
        </w:rPr>
        <w:t xml:space="preserve">diésel, solar fotovoltaico y </w:t>
      </w:r>
      <w:r w:rsidR="005D7FC7">
        <w:rPr>
          <w:rFonts w:ascii="Bookman Old Style" w:hAnsi="Bookman Old Style"/>
          <w:lang w:val="es-ES_tradnl"/>
        </w:rPr>
        <w:t>a</w:t>
      </w:r>
      <w:r w:rsidR="005D7FC7" w:rsidRPr="000C4D0D">
        <w:rPr>
          <w:rFonts w:ascii="Bookman Old Style" w:hAnsi="Bookman Old Style"/>
          <w:lang w:val="es-ES_tradnl"/>
        </w:rPr>
        <w:t xml:space="preserve">cumulación </w:t>
      </w:r>
      <w:r w:rsidR="009C57E2">
        <w:rPr>
          <w:rFonts w:ascii="Bookman Old Style" w:hAnsi="Bookman Old Style"/>
          <w:lang w:val="es-ES_tradnl"/>
        </w:rPr>
        <w:t>conectados a</w:t>
      </w:r>
      <w:r w:rsidR="00CB2DEE" w:rsidRPr="00AD369B">
        <w:rPr>
          <w:rFonts w:ascii="Bookman Old Style" w:hAnsi="Bookman Old Style" w:cs="Arial"/>
        </w:rPr>
        <w:t xml:space="preserve">l mercado relevante de </w:t>
      </w:r>
      <w:r w:rsidR="009C57E2">
        <w:rPr>
          <w:rFonts w:ascii="Bookman Old Style" w:hAnsi="Bookman Old Style" w:cs="Arial"/>
        </w:rPr>
        <w:t xml:space="preserve">la cabecera municipal del municipio de </w:t>
      </w:r>
      <w:r w:rsidR="000C7E0E">
        <w:rPr>
          <w:rFonts w:ascii="Bookman Old Style" w:hAnsi="Bookman Old Style" w:cs="Arial"/>
        </w:rPr>
        <w:t>Inírida</w:t>
      </w:r>
      <w:r w:rsidR="002073DC">
        <w:rPr>
          <w:rFonts w:ascii="Bookman Old Style" w:hAnsi="Bookman Old Style" w:cs="Arial"/>
        </w:rPr>
        <w:t>,</w:t>
      </w:r>
      <w:r w:rsidR="00CB2DEE" w:rsidRPr="00AD369B">
        <w:rPr>
          <w:rFonts w:ascii="Bookman Old Style" w:hAnsi="Bookman Old Style" w:cs="Arial"/>
        </w:rPr>
        <w:t xml:space="preserve"> en el </w:t>
      </w:r>
      <w:r w:rsidR="000C7E0E">
        <w:rPr>
          <w:rFonts w:ascii="Bookman Old Style" w:hAnsi="Bookman Old Style" w:cs="Arial"/>
        </w:rPr>
        <w:t>D</w:t>
      </w:r>
      <w:r w:rsidR="00CB2DEE" w:rsidRPr="00AD369B">
        <w:rPr>
          <w:rFonts w:ascii="Bookman Old Style" w:hAnsi="Bookman Old Style" w:cs="Arial"/>
        </w:rPr>
        <w:t xml:space="preserve">epartamento del </w:t>
      </w:r>
      <w:r w:rsidR="000C7E0E">
        <w:rPr>
          <w:rFonts w:ascii="Bookman Old Style" w:hAnsi="Bookman Old Style" w:cs="Arial"/>
        </w:rPr>
        <w:t>Guainía</w:t>
      </w:r>
      <w:r w:rsidR="00CB2DEE" w:rsidRPr="00AD369B">
        <w:rPr>
          <w:rFonts w:ascii="Bookman Old Style" w:hAnsi="Bookman Old Style" w:cs="Arial"/>
        </w:rPr>
        <w:t xml:space="preserve">, </w:t>
      </w:r>
      <w:r w:rsidR="004C63CD" w:rsidRPr="00AD369B">
        <w:rPr>
          <w:rFonts w:ascii="Bookman Old Style" w:hAnsi="Bookman Old Style" w:cs="Arial"/>
        </w:rPr>
        <w:t>l</w:t>
      </w:r>
      <w:r w:rsidR="00841735" w:rsidRPr="00AD369B">
        <w:rPr>
          <w:rFonts w:ascii="Bookman Old Style" w:hAnsi="Bookman Old Style" w:cs="Arial"/>
        </w:rPr>
        <w:t xml:space="preserve">as </w:t>
      </w:r>
      <w:r w:rsidR="00841735" w:rsidRPr="00AD369B">
        <w:rPr>
          <w:rFonts w:ascii="Bookman Old Style" w:hAnsi="Bookman Old Style" w:cs="Arial"/>
          <w:bCs/>
        </w:rPr>
        <w:t>componentes que remuneran los costos de inversión</w:t>
      </w:r>
      <w:r w:rsidR="00BE5DDF" w:rsidRPr="00AD369B">
        <w:rPr>
          <w:rFonts w:ascii="Bookman Old Style" w:hAnsi="Bookman Old Style" w:cs="Arial"/>
          <w:bCs/>
        </w:rPr>
        <w:t xml:space="preserve"> y de</w:t>
      </w:r>
      <w:r w:rsidR="00841735" w:rsidRPr="00AD369B">
        <w:rPr>
          <w:rFonts w:ascii="Bookman Old Style" w:hAnsi="Bookman Old Style" w:cs="Arial"/>
          <w:bCs/>
        </w:rPr>
        <w:t xml:space="preserve"> administración, operación y mantenimiento </w:t>
      </w:r>
      <w:r w:rsidR="00A1702A" w:rsidRPr="00AD369B">
        <w:rPr>
          <w:rFonts w:ascii="Bookman Old Style" w:hAnsi="Bookman Old Style" w:cs="Arial"/>
        </w:rPr>
        <w:t>son las siguientes</w:t>
      </w:r>
      <w:r w:rsidR="009F572E" w:rsidRPr="00AD369B">
        <w:rPr>
          <w:rFonts w:ascii="Bookman Old Style" w:hAnsi="Bookman Old Style" w:cs="Arial"/>
        </w:rPr>
        <w:t>:</w:t>
      </w:r>
    </w:p>
    <w:p w14:paraId="00919971" w14:textId="75A8D70B" w:rsidR="007D63FF" w:rsidRPr="00AD369B" w:rsidRDefault="007D63FF" w:rsidP="00B606A2">
      <w:pPr>
        <w:pStyle w:val="Piedepgina"/>
        <w:tabs>
          <w:tab w:val="clear" w:pos="4252"/>
          <w:tab w:val="clear" w:pos="8504"/>
          <w:tab w:val="center" w:pos="4845"/>
        </w:tabs>
        <w:ind w:left="284" w:right="142"/>
        <w:contextualSpacing/>
        <w:jc w:val="both"/>
        <w:rPr>
          <w:rFonts w:ascii="Bookman Old Style" w:hAnsi="Bookman Old Style" w:cs="Arial"/>
        </w:rPr>
      </w:pPr>
    </w:p>
    <w:p w14:paraId="72BE21A3" w14:textId="226E0EE9" w:rsidR="00BE5DDF" w:rsidRPr="00AD369B" w:rsidRDefault="00A1702A" w:rsidP="00B606A2">
      <w:pPr>
        <w:pStyle w:val="Piedepgina"/>
        <w:tabs>
          <w:tab w:val="clear" w:pos="4252"/>
          <w:tab w:val="clear" w:pos="8504"/>
          <w:tab w:val="center" w:pos="4845"/>
        </w:tabs>
        <w:ind w:left="284" w:right="142"/>
        <w:contextualSpacing/>
        <w:jc w:val="center"/>
        <w:rPr>
          <w:rFonts w:ascii="Bookman Old Style" w:hAnsi="Bookman Old Style" w:cs="Arial"/>
          <w:b/>
        </w:rPr>
      </w:pPr>
      <w:r w:rsidRPr="00AD369B">
        <w:rPr>
          <w:rFonts w:ascii="Bookman Old Style" w:hAnsi="Bookman Old Style" w:cs="Arial"/>
          <w:b/>
        </w:rPr>
        <w:t>Tabla</w:t>
      </w:r>
      <w:r w:rsidR="001A5475" w:rsidRPr="00AD369B">
        <w:rPr>
          <w:rFonts w:ascii="Bookman Old Style" w:hAnsi="Bookman Old Style" w:cs="Arial"/>
          <w:b/>
        </w:rPr>
        <w:t xml:space="preserve"> </w:t>
      </w:r>
      <w:r w:rsidRPr="00AD369B">
        <w:rPr>
          <w:rFonts w:ascii="Bookman Old Style" w:hAnsi="Bookman Old Style" w:cs="Arial"/>
          <w:b/>
        </w:rPr>
        <w:t>1. Componentes de remuneración de costos de inversión</w:t>
      </w:r>
      <w:r w:rsidR="00BE5DDF" w:rsidRPr="00AD369B">
        <w:rPr>
          <w:rFonts w:ascii="Bookman Old Style" w:hAnsi="Bookman Old Style" w:cs="Arial"/>
          <w:b/>
        </w:rPr>
        <w:t xml:space="preserve"> y de</w:t>
      </w:r>
      <w:r w:rsidRPr="00AD369B">
        <w:rPr>
          <w:rFonts w:ascii="Bookman Old Style" w:hAnsi="Bookman Old Style" w:cs="Arial"/>
          <w:b/>
        </w:rPr>
        <w:t xml:space="preserve"> administración,</w:t>
      </w:r>
      <w:r w:rsidRPr="00AD369B">
        <w:rPr>
          <w:rFonts w:ascii="Bookman Old Style" w:hAnsi="Bookman Old Style" w:cs="Arial"/>
          <w:b/>
          <w:bCs/>
        </w:rPr>
        <w:t xml:space="preserve"> operación y mantenimiento </w:t>
      </w:r>
      <w:r w:rsidR="005E42A5" w:rsidRPr="00AD369B">
        <w:rPr>
          <w:rFonts w:ascii="Bookman Old Style" w:hAnsi="Bookman Old Style" w:cs="Arial"/>
          <w:b/>
          <w:bCs/>
        </w:rPr>
        <w:t>para</w:t>
      </w:r>
      <w:r w:rsidR="00CB2DEE" w:rsidRPr="00AD369B">
        <w:rPr>
          <w:rFonts w:ascii="Bookman Old Style" w:hAnsi="Bookman Old Style" w:cs="Arial"/>
          <w:b/>
          <w:bCs/>
        </w:rPr>
        <w:t xml:space="preserve"> sistemas </w:t>
      </w:r>
      <w:r w:rsidR="00800DC3" w:rsidRPr="00AD369B">
        <w:rPr>
          <w:rFonts w:ascii="Bookman Old Style" w:hAnsi="Bookman Old Style" w:cs="Arial"/>
          <w:b/>
          <w:bCs/>
        </w:rPr>
        <w:t>híbridos diésel</w:t>
      </w:r>
      <w:r w:rsidR="00CB2DEE" w:rsidRPr="00AD369B">
        <w:rPr>
          <w:rFonts w:ascii="Bookman Old Style" w:hAnsi="Bookman Old Style" w:cs="Arial"/>
          <w:b/>
        </w:rPr>
        <w:t xml:space="preserve">, solar fotovoltaicos </w:t>
      </w:r>
      <w:r w:rsidR="00D67FF8">
        <w:rPr>
          <w:rFonts w:ascii="Bookman Old Style" w:hAnsi="Bookman Old Style" w:cs="Arial"/>
          <w:b/>
        </w:rPr>
        <w:t xml:space="preserve">y </w:t>
      </w:r>
      <w:r w:rsidR="00CB2DEE" w:rsidRPr="00AD369B">
        <w:rPr>
          <w:rFonts w:ascii="Bookman Old Style" w:hAnsi="Bookman Old Style" w:cs="Arial"/>
          <w:b/>
        </w:rPr>
        <w:t>acumulación</w:t>
      </w:r>
    </w:p>
    <w:p w14:paraId="031D4D59" w14:textId="77777777" w:rsidR="007A2ABF" w:rsidRPr="00AD369B" w:rsidRDefault="00A1702A" w:rsidP="005176A8">
      <w:pPr>
        <w:pStyle w:val="Piedepgina"/>
        <w:tabs>
          <w:tab w:val="clear" w:pos="4252"/>
          <w:tab w:val="clear" w:pos="8504"/>
          <w:tab w:val="center" w:pos="4845"/>
        </w:tabs>
        <w:spacing w:after="240"/>
        <w:ind w:left="284" w:right="142"/>
        <w:contextualSpacing/>
        <w:jc w:val="center"/>
        <w:rPr>
          <w:rFonts w:ascii="Bookman Old Style" w:hAnsi="Bookman Old Style" w:cs="Arial"/>
          <w:b/>
        </w:rPr>
      </w:pPr>
      <w:r w:rsidRPr="00AD369B">
        <w:rPr>
          <w:rFonts w:ascii="Bookman Old Style" w:hAnsi="Bookman Old Style" w:cs="Arial"/>
          <w:b/>
        </w:rPr>
        <w:t>(pesos de diciembre de 20</w:t>
      </w:r>
      <w:r w:rsidR="00587735" w:rsidRPr="00AD369B">
        <w:rPr>
          <w:rFonts w:ascii="Bookman Old Style" w:hAnsi="Bookman Old Style" w:cs="Arial"/>
          <w:b/>
        </w:rPr>
        <w:t>06</w:t>
      </w:r>
      <w:r w:rsidRPr="00AD369B">
        <w:rPr>
          <w:rFonts w:ascii="Bookman Old Style" w:hAnsi="Bookman Old Style" w:cs="Arial"/>
          <w:b/>
        </w:rPr>
        <w:t>)</w:t>
      </w:r>
    </w:p>
    <w:tbl>
      <w:tblPr>
        <w:tblStyle w:val="Tablaconcuadrcula"/>
        <w:tblW w:w="0" w:type="auto"/>
        <w:jc w:val="center"/>
        <w:tblLayout w:type="fixed"/>
        <w:tblLook w:val="04A0" w:firstRow="1" w:lastRow="0" w:firstColumn="1" w:lastColumn="0" w:noHBand="0" w:noVBand="1"/>
      </w:tblPr>
      <w:tblGrid>
        <w:gridCol w:w="2268"/>
        <w:gridCol w:w="3114"/>
        <w:gridCol w:w="3685"/>
      </w:tblGrid>
      <w:tr w:rsidR="006A61C8" w:rsidRPr="00CC638B" w14:paraId="2C5F07FE" w14:textId="77777777" w:rsidTr="00997CC2">
        <w:trPr>
          <w:trHeight w:val="1191"/>
          <w:jc w:val="center"/>
        </w:trPr>
        <w:tc>
          <w:tcPr>
            <w:tcW w:w="2268" w:type="dxa"/>
            <w:vAlign w:val="center"/>
          </w:tcPr>
          <w:p w14:paraId="1D333719" w14:textId="38B51D71" w:rsidR="00FF355A" w:rsidRPr="00727EBD" w:rsidRDefault="00FF355A" w:rsidP="00FF355A">
            <w:pPr>
              <w:pStyle w:val="Piedepgina"/>
              <w:tabs>
                <w:tab w:val="clear" w:pos="4252"/>
                <w:tab w:val="clear" w:pos="8504"/>
                <w:tab w:val="center" w:pos="4845"/>
              </w:tabs>
              <w:ind w:right="142"/>
              <w:contextualSpacing/>
              <w:jc w:val="center"/>
              <w:rPr>
                <w:rFonts w:ascii="Bookman Old Style" w:hAnsi="Bookman Old Style" w:cs="Arial"/>
                <w:b/>
                <w:bCs/>
                <w:sz w:val="22"/>
                <w:szCs w:val="22"/>
              </w:rPr>
            </w:pPr>
            <w:r w:rsidRPr="00727EBD">
              <w:rPr>
                <w:rFonts w:ascii="Bookman Old Style" w:hAnsi="Bookman Old Style" w:cs="Arial"/>
                <w:b/>
                <w:bCs/>
                <w:sz w:val="22"/>
                <w:szCs w:val="22"/>
              </w:rPr>
              <w:t>Tipo de recurso energético</w:t>
            </w:r>
          </w:p>
        </w:tc>
        <w:tc>
          <w:tcPr>
            <w:tcW w:w="3114" w:type="dxa"/>
            <w:vAlign w:val="center"/>
          </w:tcPr>
          <w:p w14:paraId="0CCDD2F2" w14:textId="77777777" w:rsidR="00FF355A" w:rsidRPr="00727EBD" w:rsidRDefault="00FF355A" w:rsidP="00FF355A">
            <w:pPr>
              <w:pStyle w:val="Piedepgina"/>
              <w:tabs>
                <w:tab w:val="center" w:pos="4845"/>
              </w:tabs>
              <w:ind w:left="284" w:right="142"/>
              <w:contextualSpacing/>
              <w:jc w:val="center"/>
              <w:rPr>
                <w:rFonts w:ascii="Bookman Old Style" w:hAnsi="Bookman Old Style" w:cs="Arial"/>
                <w:b/>
                <w:bCs/>
                <w:sz w:val="22"/>
                <w:szCs w:val="22"/>
              </w:rPr>
            </w:pPr>
            <w:r w:rsidRPr="00727EBD">
              <w:rPr>
                <w:rFonts w:ascii="Bookman Old Style" w:hAnsi="Bookman Old Style" w:cs="Arial"/>
                <w:b/>
                <w:bCs/>
                <w:sz w:val="22"/>
                <w:szCs w:val="22"/>
              </w:rPr>
              <w:t>Costo de inversión, CI</w:t>
            </w:r>
            <w:r w:rsidRPr="00727EBD">
              <w:rPr>
                <w:rFonts w:ascii="Bookman Old Style" w:hAnsi="Bookman Old Style" w:cs="Arial"/>
                <w:b/>
                <w:bCs/>
                <w:sz w:val="22"/>
                <w:szCs w:val="22"/>
                <w:vertAlign w:val="subscript"/>
              </w:rPr>
              <w:t>j,0</w:t>
            </w:r>
          </w:p>
          <w:p w14:paraId="50D582E9" w14:textId="4DB62579" w:rsidR="00FF355A" w:rsidRPr="00727EBD" w:rsidRDefault="00FF355A" w:rsidP="00FF355A">
            <w:pPr>
              <w:pStyle w:val="Piedepgina"/>
              <w:tabs>
                <w:tab w:val="clear" w:pos="4252"/>
                <w:tab w:val="clear" w:pos="8504"/>
                <w:tab w:val="center" w:pos="4845"/>
              </w:tabs>
              <w:ind w:right="142"/>
              <w:contextualSpacing/>
              <w:jc w:val="center"/>
              <w:rPr>
                <w:rFonts w:ascii="Bookman Old Style" w:hAnsi="Bookman Old Style" w:cs="Arial"/>
                <w:b/>
                <w:bCs/>
                <w:sz w:val="22"/>
                <w:szCs w:val="22"/>
              </w:rPr>
            </w:pPr>
            <w:r w:rsidRPr="00727EBD">
              <w:rPr>
                <w:rFonts w:ascii="Bookman Old Style" w:hAnsi="Bookman Old Style" w:cs="Arial"/>
                <w:b/>
                <w:bCs/>
                <w:sz w:val="22"/>
                <w:szCs w:val="22"/>
              </w:rPr>
              <w:t>($/kWh)</w:t>
            </w:r>
          </w:p>
        </w:tc>
        <w:tc>
          <w:tcPr>
            <w:tcW w:w="3685" w:type="dxa"/>
            <w:vAlign w:val="center"/>
          </w:tcPr>
          <w:p w14:paraId="62184500" w14:textId="2CD83EA3" w:rsidR="006A61C8" w:rsidRDefault="00FF355A" w:rsidP="00D52296">
            <w:pPr>
              <w:pStyle w:val="Piedepgina"/>
              <w:tabs>
                <w:tab w:val="center" w:pos="4845"/>
              </w:tabs>
              <w:ind w:left="284" w:right="142"/>
              <w:contextualSpacing/>
              <w:jc w:val="center"/>
              <w:rPr>
                <w:rFonts w:ascii="Bookman Old Style" w:hAnsi="Bookman Old Style" w:cs="Arial"/>
                <w:b/>
                <w:bCs/>
                <w:sz w:val="22"/>
                <w:szCs w:val="22"/>
              </w:rPr>
            </w:pPr>
            <w:r w:rsidRPr="00727EBD">
              <w:rPr>
                <w:rFonts w:ascii="Bookman Old Style" w:hAnsi="Bookman Old Style" w:cs="Arial"/>
                <w:b/>
                <w:bCs/>
                <w:sz w:val="22"/>
                <w:szCs w:val="22"/>
              </w:rPr>
              <w:t>Costos de administración, operación y mantenimiento,</w:t>
            </w:r>
            <w:r w:rsidR="00997CC2">
              <w:rPr>
                <w:rFonts w:ascii="Bookman Old Style" w:hAnsi="Bookman Old Style" w:cs="Arial"/>
                <w:b/>
                <w:bCs/>
                <w:sz w:val="22"/>
                <w:szCs w:val="22"/>
              </w:rPr>
              <w:t xml:space="preserve"> </w:t>
            </w:r>
            <w:r w:rsidRPr="00727EBD">
              <w:rPr>
                <w:rFonts w:ascii="Bookman Old Style" w:hAnsi="Bookman Old Style" w:cs="Arial"/>
                <w:b/>
                <w:bCs/>
                <w:sz w:val="22"/>
                <w:szCs w:val="22"/>
              </w:rPr>
              <w:t>CM</w:t>
            </w:r>
            <w:r w:rsidRPr="00727EBD">
              <w:rPr>
                <w:rFonts w:ascii="Bookman Old Style" w:hAnsi="Bookman Old Style" w:cs="Arial"/>
                <w:b/>
                <w:bCs/>
                <w:sz w:val="22"/>
                <w:szCs w:val="22"/>
                <w:vertAlign w:val="subscript"/>
              </w:rPr>
              <w:t>j,0</w:t>
            </w:r>
            <w:r w:rsidRPr="00727EBD">
              <w:rPr>
                <w:rFonts w:ascii="Bookman Old Style" w:hAnsi="Bookman Old Style" w:cs="Arial"/>
                <w:b/>
                <w:bCs/>
                <w:sz w:val="22"/>
                <w:szCs w:val="22"/>
              </w:rPr>
              <w:t xml:space="preserve"> </w:t>
            </w:r>
          </w:p>
          <w:p w14:paraId="2A0C13C4" w14:textId="7FF12B54" w:rsidR="00FF355A" w:rsidRPr="00727EBD" w:rsidRDefault="00FF355A" w:rsidP="00D52296">
            <w:pPr>
              <w:pStyle w:val="Piedepgina"/>
              <w:tabs>
                <w:tab w:val="center" w:pos="4845"/>
              </w:tabs>
              <w:ind w:left="284" w:right="142"/>
              <w:contextualSpacing/>
              <w:jc w:val="center"/>
              <w:rPr>
                <w:rFonts w:ascii="Bookman Old Style" w:hAnsi="Bookman Old Style" w:cs="Arial"/>
                <w:b/>
                <w:bCs/>
                <w:sz w:val="22"/>
                <w:szCs w:val="22"/>
              </w:rPr>
            </w:pPr>
            <w:r w:rsidRPr="00727EBD">
              <w:rPr>
                <w:rFonts w:ascii="Bookman Old Style" w:hAnsi="Bookman Old Style" w:cs="Arial"/>
                <w:b/>
                <w:bCs/>
                <w:sz w:val="22"/>
                <w:szCs w:val="22"/>
              </w:rPr>
              <w:t>($/kWh)</w:t>
            </w:r>
          </w:p>
        </w:tc>
      </w:tr>
      <w:tr w:rsidR="006A61C8" w:rsidRPr="00CC638B" w14:paraId="5F13D73B" w14:textId="77777777" w:rsidTr="00F054F8">
        <w:trPr>
          <w:trHeight w:val="964"/>
          <w:jc w:val="center"/>
        </w:trPr>
        <w:tc>
          <w:tcPr>
            <w:tcW w:w="2268" w:type="dxa"/>
            <w:vAlign w:val="center"/>
          </w:tcPr>
          <w:p w14:paraId="54C2612E" w14:textId="0FEC393A" w:rsidR="006A61C8" w:rsidRPr="00727EBD" w:rsidRDefault="006A61C8" w:rsidP="00FF355A">
            <w:pPr>
              <w:pStyle w:val="Piedepgina"/>
              <w:tabs>
                <w:tab w:val="clear" w:pos="4252"/>
                <w:tab w:val="clear" w:pos="8504"/>
                <w:tab w:val="center" w:pos="4845"/>
              </w:tabs>
              <w:ind w:right="142"/>
              <w:contextualSpacing/>
              <w:jc w:val="center"/>
              <w:rPr>
                <w:rFonts w:ascii="Bookman Old Style" w:hAnsi="Bookman Old Style" w:cs="Arial"/>
                <w:sz w:val="22"/>
                <w:szCs w:val="22"/>
              </w:rPr>
            </w:pPr>
            <w:r w:rsidRPr="00727EBD">
              <w:rPr>
                <w:rFonts w:ascii="Bookman Old Style" w:hAnsi="Bookman Old Style" w:cs="Arial"/>
                <w:sz w:val="22"/>
                <w:szCs w:val="22"/>
              </w:rPr>
              <w:t>Diésel</w:t>
            </w:r>
          </w:p>
        </w:tc>
        <w:tc>
          <w:tcPr>
            <w:tcW w:w="6799" w:type="dxa"/>
            <w:gridSpan w:val="2"/>
            <w:vAlign w:val="center"/>
          </w:tcPr>
          <w:p w14:paraId="4F71E2BA" w14:textId="3FD52029" w:rsidR="006A61C8" w:rsidRPr="00727EBD" w:rsidRDefault="006A61C8" w:rsidP="003A7EB9">
            <w:pPr>
              <w:pStyle w:val="Piedepgina"/>
              <w:tabs>
                <w:tab w:val="clear" w:pos="4252"/>
                <w:tab w:val="clear" w:pos="8504"/>
                <w:tab w:val="center" w:pos="4845"/>
              </w:tabs>
              <w:spacing w:line="259" w:lineRule="auto"/>
              <w:ind w:right="142"/>
              <w:contextualSpacing/>
              <w:jc w:val="center"/>
              <w:rPr>
                <w:rFonts w:ascii="Bookman Old Style" w:hAnsi="Bookman Old Style" w:cs="Arial"/>
                <w:sz w:val="22"/>
                <w:szCs w:val="22"/>
              </w:rPr>
            </w:pPr>
            <w:r w:rsidRPr="00727EBD">
              <w:rPr>
                <w:rFonts w:ascii="Bookman Old Style" w:hAnsi="Bookman Old Style" w:cs="Arial"/>
                <w:sz w:val="22"/>
                <w:szCs w:val="22"/>
              </w:rPr>
              <w:t>Según lo previsto en el literal a), del artículo 22, de la Resolución CREG 091 de 2007, modificada mediante Resolución CREG 057 de 2009.</w:t>
            </w:r>
          </w:p>
        </w:tc>
      </w:tr>
      <w:tr w:rsidR="00646C71" w:rsidRPr="00CC638B" w14:paraId="497FF943" w14:textId="77777777" w:rsidTr="001D3CBC">
        <w:trPr>
          <w:trHeight w:val="846"/>
          <w:jc w:val="center"/>
        </w:trPr>
        <w:tc>
          <w:tcPr>
            <w:tcW w:w="2268" w:type="dxa"/>
            <w:vAlign w:val="center"/>
          </w:tcPr>
          <w:p w14:paraId="762EABBE" w14:textId="49D53594" w:rsidR="00646C71" w:rsidRPr="00727EBD" w:rsidRDefault="00646C71" w:rsidP="00FF355A">
            <w:pPr>
              <w:pStyle w:val="Piedepgina"/>
              <w:tabs>
                <w:tab w:val="clear" w:pos="4252"/>
                <w:tab w:val="clear" w:pos="8504"/>
                <w:tab w:val="center" w:pos="4845"/>
              </w:tabs>
              <w:ind w:right="142"/>
              <w:contextualSpacing/>
              <w:jc w:val="center"/>
              <w:rPr>
                <w:rFonts w:ascii="Bookman Old Style" w:hAnsi="Bookman Old Style" w:cs="Arial"/>
                <w:sz w:val="22"/>
                <w:szCs w:val="22"/>
              </w:rPr>
            </w:pPr>
            <w:r w:rsidRPr="00727EBD">
              <w:rPr>
                <w:rFonts w:ascii="Bookman Old Style" w:hAnsi="Bookman Old Style" w:cs="Arial"/>
                <w:sz w:val="22"/>
                <w:szCs w:val="22"/>
              </w:rPr>
              <w:t>Solar fotovoltaico con alimentación directa a red</w:t>
            </w:r>
          </w:p>
        </w:tc>
        <w:tc>
          <w:tcPr>
            <w:tcW w:w="6799" w:type="dxa"/>
            <w:gridSpan w:val="2"/>
            <w:vAlign w:val="center"/>
          </w:tcPr>
          <w:p w14:paraId="70FD890F" w14:textId="320A980D" w:rsidR="00646C71" w:rsidRPr="00727EBD" w:rsidRDefault="00646C71" w:rsidP="003A7EB9">
            <w:pPr>
              <w:pStyle w:val="Piedepgina"/>
              <w:tabs>
                <w:tab w:val="clear" w:pos="4252"/>
                <w:tab w:val="clear" w:pos="8504"/>
                <w:tab w:val="center" w:pos="4845"/>
              </w:tabs>
              <w:spacing w:line="259" w:lineRule="auto"/>
              <w:ind w:right="142"/>
              <w:contextualSpacing/>
              <w:jc w:val="center"/>
              <w:rPr>
                <w:rFonts w:ascii="Bookman Old Style" w:hAnsi="Bookman Old Style" w:cs="Arial"/>
                <w:sz w:val="22"/>
                <w:szCs w:val="22"/>
              </w:rPr>
            </w:pPr>
            <w:r w:rsidRPr="00727EBD">
              <w:rPr>
                <w:rFonts w:ascii="Bookman Old Style" w:hAnsi="Bookman Old Style" w:cs="Arial"/>
                <w:sz w:val="22"/>
                <w:szCs w:val="22"/>
              </w:rPr>
              <w:t>Según lo previsto en Resolución</w:t>
            </w:r>
            <w:r>
              <w:rPr>
                <w:rFonts w:ascii="Bookman Old Style" w:hAnsi="Bookman Old Style" w:cs="Arial"/>
                <w:sz w:val="22"/>
                <w:szCs w:val="22"/>
              </w:rPr>
              <w:t xml:space="preserve"> CREG 012 de 2018, modificada por Resolución CREG 135 de 2019</w:t>
            </w:r>
            <w:r w:rsidRPr="00727EBD">
              <w:rPr>
                <w:rFonts w:ascii="Bookman Old Style" w:hAnsi="Bookman Old Style" w:cs="Arial"/>
                <w:sz w:val="22"/>
                <w:szCs w:val="22"/>
              </w:rPr>
              <w:t xml:space="preserve"> </w:t>
            </w:r>
          </w:p>
        </w:tc>
      </w:tr>
      <w:tr w:rsidR="006A61C8" w:rsidRPr="00CC638B" w14:paraId="0816ABE1" w14:textId="77777777" w:rsidTr="00997CC2">
        <w:trPr>
          <w:jc w:val="center"/>
        </w:trPr>
        <w:tc>
          <w:tcPr>
            <w:tcW w:w="2268" w:type="dxa"/>
            <w:vAlign w:val="center"/>
          </w:tcPr>
          <w:p w14:paraId="5F262BF2" w14:textId="6DA67F39" w:rsidR="00D10091" w:rsidRPr="00727EBD" w:rsidRDefault="00D17FCB" w:rsidP="005176A8">
            <w:pPr>
              <w:pStyle w:val="Piedepgina"/>
              <w:tabs>
                <w:tab w:val="clear" w:pos="4252"/>
                <w:tab w:val="clear" w:pos="8504"/>
                <w:tab w:val="center" w:pos="4845"/>
              </w:tabs>
              <w:ind w:right="142"/>
              <w:contextualSpacing/>
              <w:jc w:val="center"/>
              <w:rPr>
                <w:rFonts w:ascii="Bookman Old Style" w:hAnsi="Bookman Old Style" w:cs="Arial"/>
                <w:sz w:val="22"/>
                <w:szCs w:val="22"/>
              </w:rPr>
            </w:pPr>
            <w:r w:rsidRPr="00727EBD">
              <w:rPr>
                <w:rFonts w:ascii="Bookman Old Style" w:hAnsi="Bookman Old Style" w:cs="Arial"/>
                <w:sz w:val="22"/>
                <w:szCs w:val="22"/>
              </w:rPr>
              <w:t>Acumulación de recurso solar fotovoltaico.</w:t>
            </w:r>
          </w:p>
        </w:tc>
        <w:tc>
          <w:tcPr>
            <w:tcW w:w="3114" w:type="dxa"/>
            <w:vAlign w:val="center"/>
          </w:tcPr>
          <w:p w14:paraId="5670D51B" w14:textId="77777777" w:rsidR="00D10091" w:rsidRPr="00727EBD" w:rsidRDefault="00D10091" w:rsidP="005176A8">
            <w:pPr>
              <w:pStyle w:val="Piedepgina"/>
              <w:tabs>
                <w:tab w:val="clear" w:pos="4252"/>
                <w:tab w:val="clear" w:pos="8504"/>
                <w:tab w:val="center" w:pos="4845"/>
              </w:tabs>
              <w:ind w:right="142"/>
              <w:contextualSpacing/>
              <w:jc w:val="center"/>
              <w:rPr>
                <w:rFonts w:ascii="Bookman Old Style" w:hAnsi="Bookman Old Style" w:cs="Arial"/>
                <w:sz w:val="22"/>
                <w:szCs w:val="22"/>
              </w:rPr>
            </w:pPr>
            <w:r w:rsidRPr="00727EBD">
              <w:rPr>
                <w:rFonts w:ascii="Bookman Old Style" w:hAnsi="Bookman Old Style" w:cs="Arial"/>
                <w:sz w:val="22"/>
                <w:szCs w:val="22"/>
              </w:rPr>
              <w:t>739,92</w:t>
            </w:r>
          </w:p>
        </w:tc>
        <w:tc>
          <w:tcPr>
            <w:tcW w:w="3685" w:type="dxa"/>
            <w:vAlign w:val="center"/>
          </w:tcPr>
          <w:p w14:paraId="41AC3FC1" w14:textId="77777777" w:rsidR="00D10091" w:rsidRPr="00727EBD" w:rsidRDefault="00D10091" w:rsidP="005176A8">
            <w:pPr>
              <w:pStyle w:val="Piedepgina"/>
              <w:tabs>
                <w:tab w:val="clear" w:pos="4252"/>
                <w:tab w:val="clear" w:pos="8504"/>
                <w:tab w:val="center" w:pos="4845"/>
              </w:tabs>
              <w:spacing w:line="259" w:lineRule="auto"/>
              <w:ind w:right="142"/>
              <w:contextualSpacing/>
              <w:jc w:val="center"/>
              <w:rPr>
                <w:rFonts w:ascii="Bookman Old Style" w:hAnsi="Bookman Old Style" w:cs="Arial"/>
                <w:sz w:val="22"/>
                <w:szCs w:val="22"/>
              </w:rPr>
            </w:pPr>
            <w:r w:rsidRPr="00727EBD">
              <w:rPr>
                <w:rFonts w:ascii="Bookman Old Style" w:hAnsi="Bookman Old Style" w:cs="Arial"/>
                <w:sz w:val="22"/>
                <w:szCs w:val="22"/>
              </w:rPr>
              <w:t>58,71</w:t>
            </w:r>
          </w:p>
        </w:tc>
      </w:tr>
    </w:tbl>
    <w:p w14:paraId="162D0ECD" w14:textId="5F272B00" w:rsidR="007A2ABF" w:rsidRDefault="007A2ABF" w:rsidP="00B606A2">
      <w:pPr>
        <w:pStyle w:val="Piedepgina"/>
        <w:tabs>
          <w:tab w:val="clear" w:pos="4252"/>
          <w:tab w:val="clear" w:pos="8504"/>
          <w:tab w:val="center" w:pos="4845"/>
        </w:tabs>
        <w:ind w:left="284" w:right="142"/>
        <w:contextualSpacing/>
        <w:jc w:val="both"/>
        <w:rPr>
          <w:rFonts w:ascii="Bookman Old Style" w:hAnsi="Bookman Old Style" w:cs="Arial"/>
        </w:rPr>
      </w:pPr>
    </w:p>
    <w:p w14:paraId="215681BC" w14:textId="024119D6" w:rsidR="005E42A5" w:rsidRPr="00AD369B" w:rsidRDefault="005E42A5" w:rsidP="00B606A2">
      <w:pPr>
        <w:ind w:left="284" w:right="142"/>
        <w:contextualSpacing/>
        <w:jc w:val="both"/>
        <w:rPr>
          <w:rFonts w:ascii="Bookman Old Style" w:hAnsi="Bookman Old Style" w:cs="Arial"/>
        </w:rPr>
      </w:pPr>
      <w:r w:rsidRPr="00AD369B">
        <w:rPr>
          <w:rFonts w:ascii="Bookman Old Style" w:hAnsi="Bookman Old Style" w:cs="Arial"/>
          <w:b/>
        </w:rPr>
        <w:t>ARTÍCULO 2</w:t>
      </w:r>
      <w:r w:rsidRPr="00AD369B">
        <w:rPr>
          <w:rFonts w:ascii="Bookman Old Style" w:hAnsi="Bookman Old Style" w:cs="Arial"/>
          <w:b/>
          <w:bCs/>
        </w:rPr>
        <w:t xml:space="preserve">. Fórmula de Actualización de Cargos Máximos de Generación para </w:t>
      </w:r>
      <w:r w:rsidR="00D80949" w:rsidRPr="00D80949">
        <w:rPr>
          <w:rFonts w:ascii="Bookman Old Style" w:hAnsi="Bookman Old Style" w:cs="Arial"/>
          <w:b/>
          <w:bCs/>
          <w:lang w:val="es-ES_tradnl"/>
        </w:rPr>
        <w:t xml:space="preserve">sistemas híbridos diésel, solar fotovoltaicos y acumulación </w:t>
      </w:r>
      <w:r w:rsidRPr="000112AE">
        <w:rPr>
          <w:rFonts w:ascii="Bookman Old Style" w:hAnsi="Bookman Old Style" w:cs="Arial"/>
          <w:b/>
          <w:bCs/>
        </w:rPr>
        <w:t xml:space="preserve">en </w:t>
      </w:r>
      <w:r w:rsidR="00CB2DEE" w:rsidRPr="000112AE">
        <w:rPr>
          <w:rFonts w:ascii="Bookman Old Style" w:hAnsi="Bookman Old Style" w:cs="Arial"/>
          <w:b/>
          <w:bCs/>
        </w:rPr>
        <w:t>el</w:t>
      </w:r>
      <w:r w:rsidR="00CB2DEE" w:rsidRPr="00AD369B">
        <w:rPr>
          <w:rFonts w:ascii="Bookman Old Style" w:hAnsi="Bookman Old Style" w:cs="Arial"/>
          <w:b/>
          <w:bCs/>
        </w:rPr>
        <w:t xml:space="preserve"> mercado relevante de </w:t>
      </w:r>
      <w:r w:rsidR="005927DD" w:rsidRPr="00AD369B">
        <w:rPr>
          <w:rFonts w:ascii="Bookman Old Style" w:hAnsi="Bookman Old Style" w:cs="Arial"/>
          <w:b/>
          <w:bCs/>
        </w:rPr>
        <w:t xml:space="preserve">comercialización de la </w:t>
      </w:r>
      <w:r w:rsidR="00D554A0">
        <w:rPr>
          <w:rFonts w:ascii="Bookman Old Style" w:hAnsi="Bookman Old Style" w:cs="Arial"/>
          <w:b/>
          <w:bCs/>
        </w:rPr>
        <w:t>c</w:t>
      </w:r>
      <w:r w:rsidR="005927DD" w:rsidRPr="00AD369B">
        <w:rPr>
          <w:rFonts w:ascii="Bookman Old Style" w:hAnsi="Bookman Old Style" w:cs="Arial"/>
          <w:b/>
          <w:bCs/>
        </w:rPr>
        <w:t xml:space="preserve">abecera municipal de </w:t>
      </w:r>
      <w:r w:rsidR="008667ED">
        <w:rPr>
          <w:rFonts w:ascii="Bookman Old Style" w:hAnsi="Bookman Old Style" w:cs="Arial"/>
          <w:b/>
          <w:bCs/>
        </w:rPr>
        <w:t>Inírida, Guainía</w:t>
      </w:r>
      <w:r w:rsidRPr="00AD369B">
        <w:rPr>
          <w:rFonts w:ascii="Bookman Old Style" w:hAnsi="Bookman Old Style" w:cs="Arial"/>
          <w:b/>
          <w:bCs/>
        </w:rPr>
        <w:t>.</w:t>
      </w:r>
      <w:r w:rsidRPr="00AD369B">
        <w:rPr>
          <w:rFonts w:ascii="Bookman Old Style" w:hAnsi="Bookman Old Style" w:cs="Arial"/>
          <w:bCs/>
        </w:rPr>
        <w:t xml:space="preserve"> Los cargos máximos de generación expresados en pesos de la fecha base, se actualizarán con las siguientes fórmulas generales:</w:t>
      </w:r>
    </w:p>
    <w:p w14:paraId="52CE36FA" w14:textId="41652E01" w:rsidR="005E42A5" w:rsidRPr="00AD369B" w:rsidRDefault="005E42A5" w:rsidP="00B606A2">
      <w:pPr>
        <w:ind w:left="284" w:right="142"/>
        <w:contextualSpacing/>
        <w:jc w:val="both"/>
        <w:rPr>
          <w:rFonts w:ascii="Bookman Old Style" w:hAnsi="Bookman Old Style" w:cs="Arial"/>
        </w:rPr>
      </w:pPr>
    </w:p>
    <w:p w14:paraId="61A2C423" w14:textId="24D46339" w:rsidR="00291A1D" w:rsidRPr="00AD369B" w:rsidRDefault="00A27982" w:rsidP="00B606A2">
      <w:pPr>
        <w:ind w:left="284" w:right="142"/>
        <w:contextualSpacing/>
        <w:jc w:val="both"/>
        <w:rPr>
          <w:rFonts w:ascii="Bookman Old Style" w:hAnsi="Bookman Old Style" w:cs="Arial"/>
        </w:rPr>
      </w:pPr>
      <m:oMathPara>
        <m:oMath>
          <m:sSub>
            <m:sSubPr>
              <m:ctrlPr>
                <w:rPr>
                  <w:rFonts w:ascii="Cambria Math" w:hAnsi="Cambria Math" w:cs="Arial"/>
                  <w:i/>
                </w:rPr>
              </m:ctrlPr>
            </m:sSubPr>
            <m:e>
              <m:r>
                <w:rPr>
                  <w:rFonts w:ascii="Cambria Math" w:hAnsi="Cambria Math" w:cs="Arial"/>
                </w:rPr>
                <m:t>G</m:t>
              </m:r>
            </m:e>
            <m:sub>
              <m:r>
                <w:rPr>
                  <w:rFonts w:ascii="Cambria Math" w:hAnsi="Cambria Math" w:cs="Arial"/>
                </w:rPr>
                <m:t>m</m:t>
              </m:r>
            </m:sub>
          </m:sSub>
          <m:r>
            <w:rPr>
              <w:rFonts w:ascii="Cambria Math" w:hAnsi="Cambria Math" w:cs="Arial"/>
            </w:rPr>
            <m:t>=</m:t>
          </m:r>
          <m:d>
            <m:dPr>
              <m:ctrlPr>
                <w:rPr>
                  <w:rFonts w:ascii="Cambria Math" w:hAnsi="Cambria Math" w:cs="Arial"/>
                  <w:i/>
                </w:rPr>
              </m:ctrlPr>
            </m:dPr>
            <m:e>
              <m:f>
                <m:fPr>
                  <m:ctrlPr>
                    <w:rPr>
                      <w:rFonts w:ascii="Cambria Math" w:hAnsi="Cambria Math" w:cs="Arial"/>
                      <w:i/>
                    </w:rPr>
                  </m:ctrlPr>
                </m:fPr>
                <m:num>
                  <m:r>
                    <w:rPr>
                      <w:rFonts w:ascii="Cambria Math" w:hAnsi="Cambria Math" w:cs="Arial"/>
                    </w:rPr>
                    <m:t>1</m:t>
                  </m:r>
                </m:num>
                <m:den>
                  <m:sSub>
                    <m:sSubPr>
                      <m:ctrlPr>
                        <w:rPr>
                          <w:rFonts w:ascii="Cambria Math" w:hAnsi="Cambria Math" w:cs="Arial"/>
                          <w:i/>
                        </w:rPr>
                      </m:ctrlPr>
                    </m:sSubPr>
                    <m:e>
                      <m:r>
                        <w:rPr>
                          <w:rFonts w:ascii="Cambria Math" w:hAnsi="Cambria Math" w:cs="Arial"/>
                        </w:rPr>
                        <m:t>ET</m:t>
                      </m:r>
                    </m:e>
                    <m:sub>
                      <m:r>
                        <w:rPr>
                          <w:rFonts w:ascii="Cambria Math" w:hAnsi="Cambria Math" w:cs="Arial"/>
                        </w:rPr>
                        <m:t>m-1</m:t>
                      </m:r>
                    </m:sub>
                  </m:sSub>
                </m:den>
              </m:f>
              <m:nary>
                <m:naryPr>
                  <m:chr m:val="∑"/>
                  <m:limLoc m:val="undOvr"/>
                  <m:supHide m:val="1"/>
                  <m:ctrlPr>
                    <w:rPr>
                      <w:rFonts w:ascii="Cambria Math" w:hAnsi="Cambria Math" w:cs="Arial"/>
                      <w:i/>
                    </w:rPr>
                  </m:ctrlPr>
                </m:naryPr>
                <m:sub>
                  <m:r>
                    <w:rPr>
                      <w:rFonts w:ascii="Cambria Math" w:hAnsi="Cambria Math" w:cs="Arial"/>
                    </w:rPr>
                    <m:t>j</m:t>
                  </m:r>
                </m:sub>
                <m:sup/>
                <m:e>
                  <m:sSub>
                    <m:sSubPr>
                      <m:ctrlPr>
                        <w:rPr>
                          <w:rFonts w:ascii="Cambria Math" w:hAnsi="Cambria Math" w:cs="Arial"/>
                          <w:i/>
                        </w:rPr>
                      </m:ctrlPr>
                    </m:sSubPr>
                    <m:e>
                      <m:r>
                        <w:rPr>
                          <w:rFonts w:ascii="Cambria Math" w:hAnsi="Cambria Math" w:cs="Arial"/>
                        </w:rPr>
                        <m:t>G</m:t>
                      </m:r>
                    </m:e>
                    <m:sub>
                      <m:r>
                        <w:rPr>
                          <w:rFonts w:ascii="Cambria Math" w:hAnsi="Cambria Math" w:cs="Arial"/>
                        </w:rPr>
                        <m:t>j,m</m:t>
                      </m:r>
                    </m:sub>
                  </m:sSub>
                  <m:r>
                    <w:rPr>
                      <w:rFonts w:ascii="Cambria Math" w:hAnsi="Cambria Math" w:cs="Arial"/>
                    </w:rPr>
                    <m:t>*</m:t>
                  </m:r>
                  <m:sSub>
                    <m:sSubPr>
                      <m:ctrlPr>
                        <w:rPr>
                          <w:rFonts w:ascii="Cambria Math" w:hAnsi="Cambria Math" w:cs="Arial"/>
                          <w:i/>
                        </w:rPr>
                      </m:ctrlPr>
                    </m:sSubPr>
                    <m:e>
                      <m:r>
                        <w:rPr>
                          <w:rFonts w:ascii="Cambria Math" w:hAnsi="Cambria Math" w:cs="Arial"/>
                        </w:rPr>
                        <m:t>E</m:t>
                      </m:r>
                    </m:e>
                    <m:sub>
                      <m:r>
                        <w:rPr>
                          <w:rFonts w:ascii="Cambria Math" w:hAnsi="Cambria Math" w:cs="Arial"/>
                        </w:rPr>
                        <m:t>j,m-1</m:t>
                      </m:r>
                    </m:sub>
                  </m:sSub>
                </m:e>
              </m:nary>
            </m:e>
          </m:d>
          <m:r>
            <w:rPr>
              <w:rFonts w:ascii="Cambria Math" w:hAnsi="Cambria Math" w:cs="Arial"/>
            </w:rPr>
            <m:t>+</m:t>
          </m:r>
          <m:sSub>
            <m:sSubPr>
              <m:ctrlPr>
                <w:rPr>
                  <w:rFonts w:ascii="Cambria Math" w:hAnsi="Cambria Math" w:cs="Arial"/>
                  <w:i/>
                </w:rPr>
              </m:ctrlPr>
            </m:sSubPr>
            <m:e>
              <m:r>
                <w:rPr>
                  <w:rFonts w:ascii="Cambria Math" w:hAnsi="Cambria Math" w:cs="Arial"/>
                </w:rPr>
                <m:t>M</m:t>
              </m:r>
            </m:e>
            <m:sub>
              <m:r>
                <w:rPr>
                  <w:rFonts w:ascii="Cambria Math" w:hAnsi="Cambria Math" w:cs="Arial"/>
                </w:rPr>
                <m:t>m</m:t>
              </m:r>
            </m:sub>
          </m:sSub>
        </m:oMath>
      </m:oMathPara>
    </w:p>
    <w:p w14:paraId="330EEF5E" w14:textId="5F01B054" w:rsidR="00291A1D" w:rsidRPr="00AD369B" w:rsidRDefault="00291A1D" w:rsidP="00B606A2">
      <w:pPr>
        <w:ind w:left="284" w:right="142"/>
        <w:contextualSpacing/>
        <w:jc w:val="both"/>
        <w:rPr>
          <w:rFonts w:ascii="Bookman Old Style" w:hAnsi="Bookman Old Style" w:cs="Arial"/>
        </w:rPr>
      </w:pPr>
    </w:p>
    <w:p w14:paraId="4C1FF567" w14:textId="77777777" w:rsidR="005E42A5" w:rsidRPr="00AD369B" w:rsidRDefault="005E42A5" w:rsidP="00B606A2">
      <w:pPr>
        <w:ind w:left="284" w:right="142"/>
        <w:contextualSpacing/>
        <w:jc w:val="both"/>
        <w:rPr>
          <w:rFonts w:ascii="Bookman Old Style" w:hAnsi="Bookman Old Style" w:cs="Arial"/>
        </w:rPr>
      </w:pPr>
      <w:r w:rsidRPr="00AD369B">
        <w:rPr>
          <w:rFonts w:ascii="Bookman Old Style" w:hAnsi="Bookman Old Style" w:cs="Arial"/>
        </w:rPr>
        <w:t>En donde,</w:t>
      </w:r>
    </w:p>
    <w:p w14:paraId="01164F6E" w14:textId="77777777" w:rsidR="005E42A5" w:rsidRPr="00AD369B" w:rsidRDefault="005E42A5" w:rsidP="00B606A2">
      <w:pPr>
        <w:ind w:left="284" w:right="142"/>
        <w:contextualSpacing/>
        <w:jc w:val="both"/>
        <w:rPr>
          <w:rFonts w:ascii="Bookman Old Style" w:hAnsi="Bookman Old Style" w:cs="Arial"/>
        </w:rPr>
      </w:pPr>
    </w:p>
    <w:tbl>
      <w:tblPr>
        <w:tblStyle w:val="Tablaconcuadrcula"/>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2"/>
        <w:gridCol w:w="435"/>
        <w:gridCol w:w="8008"/>
      </w:tblGrid>
      <w:tr w:rsidR="005E42A5" w:rsidRPr="00AD369B" w14:paraId="64087DFF" w14:textId="77777777" w:rsidTr="001A5475">
        <w:tc>
          <w:tcPr>
            <w:tcW w:w="912" w:type="dxa"/>
          </w:tcPr>
          <w:p w14:paraId="4FF1EEB9" w14:textId="7387BE77" w:rsidR="005E42A5" w:rsidRPr="00AD369B" w:rsidRDefault="00A27982" w:rsidP="00B606A2">
            <w:pPr>
              <w:ind w:right="142"/>
              <w:contextualSpacing/>
              <w:rPr>
                <w:rFonts w:ascii="Bookman Old Style" w:hAnsi="Bookman Old Style" w:cs="Arial"/>
                <w:bCs/>
              </w:rPr>
            </w:pPr>
            <m:oMathPara>
              <m:oMathParaPr>
                <m:jc m:val="left"/>
              </m:oMathParaPr>
              <m:oMath>
                <m:sSub>
                  <m:sSubPr>
                    <m:ctrlPr>
                      <w:rPr>
                        <w:rFonts w:ascii="Cambria Math" w:hAnsi="Cambria Math" w:cs="Arial"/>
                        <w:i/>
                      </w:rPr>
                    </m:ctrlPr>
                  </m:sSubPr>
                  <m:e>
                    <m:r>
                      <w:rPr>
                        <w:rFonts w:ascii="Cambria Math" w:hAnsi="Cambria Math" w:cs="Arial"/>
                      </w:rPr>
                      <m:t>G</m:t>
                    </m:r>
                  </m:e>
                  <m:sub>
                    <m:r>
                      <w:rPr>
                        <w:rFonts w:ascii="Cambria Math" w:hAnsi="Cambria Math" w:cs="Arial"/>
                      </w:rPr>
                      <m:t>m</m:t>
                    </m:r>
                  </m:sub>
                </m:sSub>
              </m:oMath>
            </m:oMathPara>
          </w:p>
        </w:tc>
        <w:tc>
          <w:tcPr>
            <w:tcW w:w="435" w:type="dxa"/>
          </w:tcPr>
          <w:p w14:paraId="0F601F28" w14:textId="77777777" w:rsidR="005E42A5" w:rsidRPr="00AD369B" w:rsidRDefault="005E42A5" w:rsidP="00B606A2">
            <w:pPr>
              <w:ind w:right="142"/>
              <w:contextualSpacing/>
              <w:jc w:val="both"/>
              <w:rPr>
                <w:rFonts w:ascii="Bookman Old Style" w:hAnsi="Bookman Old Style" w:cs="Arial"/>
                <w:bCs/>
              </w:rPr>
            </w:pPr>
            <w:r w:rsidRPr="00AD369B">
              <w:rPr>
                <w:rFonts w:ascii="Bookman Old Style" w:hAnsi="Bookman Old Style" w:cs="Arial"/>
                <w:bCs/>
              </w:rPr>
              <w:t>:</w:t>
            </w:r>
          </w:p>
        </w:tc>
        <w:tc>
          <w:tcPr>
            <w:tcW w:w="8008" w:type="dxa"/>
          </w:tcPr>
          <w:p w14:paraId="7597E857" w14:textId="0F4092EA" w:rsidR="005E42A5" w:rsidRPr="00AD369B" w:rsidRDefault="005E42A5" w:rsidP="0021328C">
            <w:pPr>
              <w:ind w:right="31"/>
              <w:contextualSpacing/>
              <w:jc w:val="both"/>
              <w:rPr>
                <w:rFonts w:ascii="Bookman Old Style" w:hAnsi="Bookman Old Style" w:cs="Arial"/>
                <w:bCs/>
              </w:rPr>
            </w:pPr>
            <w:r w:rsidRPr="00AD369B">
              <w:rPr>
                <w:rFonts w:ascii="Bookman Old Style" w:hAnsi="Bookman Old Style" w:cs="Arial"/>
                <w:bCs/>
              </w:rPr>
              <w:t xml:space="preserve">Cargo máximo de generación para </w:t>
            </w:r>
            <w:r w:rsidR="00CB2DEE" w:rsidRPr="00AD369B">
              <w:rPr>
                <w:rFonts w:ascii="Bookman Old Style" w:hAnsi="Bookman Old Style" w:cs="Arial"/>
              </w:rPr>
              <w:t>el</w:t>
            </w:r>
            <w:r w:rsidRPr="00AD369B">
              <w:rPr>
                <w:rFonts w:ascii="Bookman Old Style" w:hAnsi="Bookman Old Style" w:cs="Arial"/>
              </w:rPr>
              <w:t xml:space="preserve"> mercado relevante de comercialización señalado en esta resolución, </w:t>
            </w:r>
            <w:r w:rsidRPr="00AD369B">
              <w:rPr>
                <w:rFonts w:ascii="Bookman Old Style" w:hAnsi="Bookman Old Style" w:cs="Arial"/>
                <w:bCs/>
              </w:rPr>
              <w:t xml:space="preserve">correspondiente al mes </w:t>
            </w:r>
            <w:r w:rsidRPr="00AD369B">
              <w:rPr>
                <w:rFonts w:ascii="Bookman Old Style" w:hAnsi="Bookman Old Style" w:cs="Arial"/>
                <w:bCs/>
                <w:i/>
              </w:rPr>
              <w:t>m</w:t>
            </w:r>
            <w:r w:rsidRPr="00AD369B">
              <w:rPr>
                <w:rFonts w:ascii="Bookman Old Style" w:hAnsi="Bookman Old Style" w:cs="Arial"/>
                <w:bCs/>
              </w:rPr>
              <w:t xml:space="preserve"> de prestación del servicio, expresado en pesos por kilovatio hora ($/kWh).</w:t>
            </w:r>
          </w:p>
          <w:p w14:paraId="5FB95541" w14:textId="77777777" w:rsidR="005E42A5" w:rsidRPr="00AD369B" w:rsidRDefault="005E42A5" w:rsidP="00B606A2">
            <w:pPr>
              <w:ind w:right="142"/>
              <w:contextualSpacing/>
              <w:jc w:val="both"/>
              <w:rPr>
                <w:rFonts w:ascii="Bookman Old Style" w:hAnsi="Bookman Old Style" w:cs="Arial"/>
                <w:bCs/>
              </w:rPr>
            </w:pPr>
          </w:p>
        </w:tc>
      </w:tr>
      <w:tr w:rsidR="006E5595" w:rsidRPr="00AD369B" w14:paraId="41222517" w14:textId="77777777" w:rsidTr="001A5475">
        <w:tc>
          <w:tcPr>
            <w:tcW w:w="912" w:type="dxa"/>
          </w:tcPr>
          <w:p w14:paraId="70B9F679" w14:textId="441057F3" w:rsidR="006E5595" w:rsidRPr="00AD369B" w:rsidRDefault="00A27982" w:rsidP="00B606A2">
            <w:pPr>
              <w:contextualSpacing/>
              <w:rPr>
                <w:rFonts w:ascii="Bookman Old Style" w:hAnsi="Bookman Old Style" w:cs="Arial"/>
              </w:rPr>
            </w:pPr>
            <m:oMathPara>
              <m:oMathParaPr>
                <m:jc m:val="left"/>
              </m:oMathParaPr>
              <m:oMath>
                <m:sSub>
                  <m:sSubPr>
                    <m:ctrlPr>
                      <w:rPr>
                        <w:rFonts w:ascii="Cambria Math" w:hAnsi="Cambria Math" w:cs="Arial"/>
                        <w:i/>
                      </w:rPr>
                    </m:ctrlPr>
                  </m:sSubPr>
                  <m:e>
                    <m:r>
                      <w:rPr>
                        <w:rFonts w:ascii="Cambria Math" w:hAnsi="Cambria Math" w:cs="Arial"/>
                      </w:rPr>
                      <m:t>G</m:t>
                    </m:r>
                  </m:e>
                  <m:sub>
                    <m:r>
                      <w:rPr>
                        <w:rFonts w:ascii="Cambria Math" w:hAnsi="Cambria Math" w:cs="Arial"/>
                      </w:rPr>
                      <m:t>j,m</m:t>
                    </m:r>
                  </m:sub>
                </m:sSub>
              </m:oMath>
            </m:oMathPara>
          </w:p>
        </w:tc>
        <w:tc>
          <w:tcPr>
            <w:tcW w:w="435" w:type="dxa"/>
          </w:tcPr>
          <w:p w14:paraId="2931669C" w14:textId="53E154A0" w:rsidR="006E5595" w:rsidRPr="00AD369B" w:rsidRDefault="006E5595" w:rsidP="00B606A2">
            <w:pPr>
              <w:contextualSpacing/>
              <w:jc w:val="both"/>
              <w:rPr>
                <w:rFonts w:ascii="Bookman Old Style" w:hAnsi="Bookman Old Style" w:cs="Arial"/>
                <w:bCs/>
              </w:rPr>
            </w:pPr>
            <w:r w:rsidRPr="00AD369B">
              <w:rPr>
                <w:rFonts w:ascii="Bookman Old Style" w:hAnsi="Bookman Old Style" w:cs="Arial"/>
                <w:bCs/>
              </w:rPr>
              <w:t>:</w:t>
            </w:r>
          </w:p>
        </w:tc>
        <w:tc>
          <w:tcPr>
            <w:tcW w:w="8008" w:type="dxa"/>
          </w:tcPr>
          <w:p w14:paraId="0F160CC1" w14:textId="79D94421" w:rsidR="008374D0" w:rsidRPr="00AD369B" w:rsidRDefault="006E5595" w:rsidP="0021328C">
            <w:pPr>
              <w:contextualSpacing/>
              <w:jc w:val="both"/>
              <w:rPr>
                <w:rFonts w:ascii="Bookman Old Style" w:hAnsi="Bookman Old Style" w:cs="Arial"/>
                <w:bCs/>
              </w:rPr>
            </w:pPr>
            <w:r w:rsidRPr="00AD369B">
              <w:rPr>
                <w:rFonts w:ascii="Bookman Old Style" w:hAnsi="Bookman Old Style" w:cs="Arial"/>
                <w:bCs/>
              </w:rPr>
              <w:t>Cargo máximo de generación para energía suministrada a partir del recurso energético</w:t>
            </w:r>
            <w:r w:rsidR="00A01416" w:rsidRPr="00AD369B">
              <w:rPr>
                <w:rFonts w:ascii="Bookman Old Style" w:hAnsi="Bookman Old Style" w:cs="Arial"/>
                <w:bCs/>
              </w:rPr>
              <w:t xml:space="preserve"> </w:t>
            </w:r>
            <w:r w:rsidR="00A01416" w:rsidRPr="00AD369B">
              <w:rPr>
                <w:rFonts w:ascii="Bookman Old Style" w:hAnsi="Bookman Old Style" w:cs="Arial"/>
                <w:bCs/>
                <w:i/>
                <w:iCs/>
              </w:rPr>
              <w:t>j</w:t>
            </w:r>
            <w:r w:rsidR="008374D0" w:rsidRPr="00AD369B">
              <w:rPr>
                <w:rFonts w:ascii="Bookman Old Style" w:hAnsi="Bookman Old Style" w:cs="Arial"/>
                <w:bCs/>
                <w:i/>
                <w:iCs/>
              </w:rPr>
              <w:t>.</w:t>
            </w:r>
          </w:p>
          <w:p w14:paraId="3AF636CB" w14:textId="77777777" w:rsidR="008374D0" w:rsidRPr="00AD369B" w:rsidRDefault="008374D0" w:rsidP="006E5595">
            <w:pPr>
              <w:contextualSpacing/>
              <w:jc w:val="both"/>
              <w:rPr>
                <w:rFonts w:ascii="Bookman Old Style" w:hAnsi="Bookman Old Style" w:cs="Arial"/>
                <w:bCs/>
              </w:rPr>
            </w:pPr>
          </w:p>
          <w:p w14:paraId="41B21E61" w14:textId="7634A7DA" w:rsidR="008374D0" w:rsidRDefault="008374D0" w:rsidP="006E5595">
            <w:pPr>
              <w:contextualSpacing/>
              <w:jc w:val="both"/>
              <w:rPr>
                <w:rFonts w:ascii="Bookman Old Style" w:hAnsi="Bookman Old Style" w:cs="Arial"/>
                <w:bCs/>
              </w:rPr>
            </w:pPr>
            <w:r w:rsidRPr="00AD369B">
              <w:rPr>
                <w:rFonts w:ascii="Bookman Old Style" w:hAnsi="Bookman Old Style" w:cs="Arial"/>
                <w:bCs/>
              </w:rPr>
              <w:t xml:space="preserve">Los distintos recursos energéticos </w:t>
            </w:r>
            <w:r w:rsidR="00055F92" w:rsidRPr="00AD369B">
              <w:rPr>
                <w:rFonts w:ascii="Bookman Old Style" w:hAnsi="Bookman Old Style" w:cs="Arial"/>
                <w:bCs/>
                <w:i/>
                <w:iCs/>
              </w:rPr>
              <w:t>j</w:t>
            </w:r>
            <w:r w:rsidR="00055F92" w:rsidRPr="00AD369B">
              <w:rPr>
                <w:rFonts w:ascii="Bookman Old Style" w:hAnsi="Bookman Old Style" w:cs="Arial"/>
                <w:bCs/>
              </w:rPr>
              <w:t xml:space="preserve"> </w:t>
            </w:r>
            <w:r w:rsidRPr="00AD369B">
              <w:rPr>
                <w:rFonts w:ascii="Bookman Old Style" w:hAnsi="Bookman Old Style" w:cs="Arial"/>
                <w:bCs/>
              </w:rPr>
              <w:t>son:</w:t>
            </w:r>
          </w:p>
          <w:p w14:paraId="09A6077D" w14:textId="77777777" w:rsidR="00627BB6" w:rsidRPr="00AD369B" w:rsidRDefault="00627BB6" w:rsidP="006E5595">
            <w:pPr>
              <w:contextualSpacing/>
              <w:jc w:val="both"/>
              <w:rPr>
                <w:rFonts w:ascii="Bookman Old Style" w:hAnsi="Bookman Old Style" w:cs="Arial"/>
                <w:bCs/>
              </w:rPr>
            </w:pPr>
          </w:p>
          <w:p w14:paraId="2D109BA2" w14:textId="4AB0A136" w:rsidR="006E5595" w:rsidRPr="00AD369B" w:rsidRDefault="00A27982" w:rsidP="006E5595">
            <w:pPr>
              <w:contextualSpacing/>
              <w:jc w:val="both"/>
              <w:rPr>
                <w:rFonts w:ascii="Bookman Old Style" w:hAnsi="Bookman Old Style" w:cs="Arial"/>
                <w:bCs/>
              </w:rPr>
            </w:pPr>
            <m:oMath>
              <m:sSub>
                <m:sSubPr>
                  <m:ctrlPr>
                    <w:rPr>
                      <w:rFonts w:ascii="Cambria Math" w:hAnsi="Cambria Math" w:cs="Arial"/>
                      <w:i/>
                    </w:rPr>
                  </m:ctrlPr>
                </m:sSubPr>
                <m:e>
                  <m:r>
                    <w:rPr>
                      <w:rFonts w:ascii="Cambria Math" w:hAnsi="Cambria Math" w:cs="Arial"/>
                    </w:rPr>
                    <m:t>G</m:t>
                  </m:r>
                </m:e>
                <m:sub>
                  <m:r>
                    <w:rPr>
                      <w:rFonts w:ascii="Cambria Math" w:hAnsi="Cambria Math" w:cs="Arial"/>
                    </w:rPr>
                    <m:t>D,m</m:t>
                  </m:r>
                </m:sub>
              </m:sSub>
            </m:oMath>
            <w:r w:rsidR="005741F8" w:rsidRPr="00AD369B">
              <w:rPr>
                <w:rFonts w:ascii="Bookman Old Style" w:hAnsi="Bookman Old Style" w:cs="Arial"/>
              </w:rPr>
              <w:t xml:space="preserve"> </w:t>
            </w:r>
            <w:r w:rsidR="00006DEB" w:rsidRPr="00AD369B">
              <w:rPr>
                <w:rFonts w:ascii="Bookman Old Style" w:hAnsi="Bookman Old Style" w:cs="Arial"/>
              </w:rPr>
              <w:t xml:space="preserve">: </w:t>
            </w:r>
            <w:r w:rsidR="004C4AFE" w:rsidRPr="00AD369B">
              <w:rPr>
                <w:rFonts w:ascii="Bookman Old Style" w:hAnsi="Bookman Old Style" w:cs="Arial"/>
              </w:rPr>
              <w:t xml:space="preserve">Cargo máximo </w:t>
            </w:r>
            <w:r w:rsidR="005741F8" w:rsidRPr="00AD369B">
              <w:rPr>
                <w:rFonts w:ascii="Bookman Old Style" w:hAnsi="Bookman Old Style" w:cs="Arial"/>
              </w:rPr>
              <w:t xml:space="preserve">para generación </w:t>
            </w:r>
            <w:r w:rsidR="000D54B6" w:rsidRPr="00AD369B">
              <w:rPr>
                <w:rFonts w:ascii="Bookman Old Style" w:hAnsi="Bookman Old Style" w:cs="Arial"/>
              </w:rPr>
              <w:t xml:space="preserve">con </w:t>
            </w:r>
            <w:r w:rsidR="00B069E4" w:rsidRPr="00AD369B">
              <w:rPr>
                <w:rFonts w:ascii="Bookman Old Style" w:hAnsi="Bookman Old Style" w:cs="Arial"/>
              </w:rPr>
              <w:t>recursos d</w:t>
            </w:r>
            <w:r w:rsidR="00581CA0" w:rsidRPr="00AD369B">
              <w:rPr>
                <w:rFonts w:ascii="Bookman Old Style" w:hAnsi="Bookman Old Style" w:cs="Arial"/>
                <w:bCs/>
              </w:rPr>
              <w:t>iésel</w:t>
            </w:r>
            <w:r w:rsidR="00DC30AC" w:rsidRPr="00AD369B">
              <w:rPr>
                <w:rFonts w:ascii="Bookman Old Style" w:hAnsi="Bookman Old Style" w:cs="Arial"/>
                <w:bCs/>
              </w:rPr>
              <w:t xml:space="preserve">, </w:t>
            </w:r>
            <w:r w:rsidR="006E5595" w:rsidRPr="00AD369B">
              <w:rPr>
                <w:rFonts w:ascii="Bookman Old Style" w:hAnsi="Bookman Old Style" w:cs="Arial"/>
                <w:bCs/>
              </w:rPr>
              <w:t xml:space="preserve">según lo previsto en la Resolución CREG 091 de 2007, para el mes </w:t>
            </w:r>
            <w:r w:rsidR="006E5595" w:rsidRPr="00AD369B">
              <w:rPr>
                <w:rFonts w:ascii="Bookman Old Style" w:hAnsi="Bookman Old Style" w:cs="Arial"/>
                <w:bCs/>
                <w:i/>
              </w:rPr>
              <w:t>m</w:t>
            </w:r>
            <w:r w:rsidR="006E5595" w:rsidRPr="00AD369B">
              <w:rPr>
                <w:rFonts w:ascii="Bookman Old Style" w:hAnsi="Bookman Old Style" w:cs="Arial"/>
                <w:bCs/>
              </w:rPr>
              <w:t>, expresado en pesos por kilovatio hora ($/kWh)</w:t>
            </w:r>
            <w:r w:rsidR="00952440" w:rsidRPr="00AD369B">
              <w:rPr>
                <w:rFonts w:ascii="Bookman Old Style" w:hAnsi="Bookman Old Style" w:cs="Arial"/>
                <w:bCs/>
              </w:rPr>
              <w:t>, calculado</w:t>
            </w:r>
            <w:r w:rsidR="005F1A19" w:rsidRPr="00AD369B">
              <w:rPr>
                <w:rFonts w:ascii="Bookman Old Style" w:hAnsi="Bookman Old Style" w:cs="Arial"/>
                <w:bCs/>
              </w:rPr>
              <w:t xml:space="preserve"> como se </w:t>
            </w:r>
            <w:r w:rsidR="003410A6" w:rsidRPr="00AD369B">
              <w:rPr>
                <w:rFonts w:ascii="Bookman Old Style" w:hAnsi="Bookman Old Style" w:cs="Arial"/>
                <w:bCs/>
              </w:rPr>
              <w:t>indica</w:t>
            </w:r>
            <w:r w:rsidR="005F1A19" w:rsidRPr="00AD369B">
              <w:rPr>
                <w:rFonts w:ascii="Bookman Old Style" w:hAnsi="Bookman Old Style" w:cs="Arial"/>
                <w:bCs/>
              </w:rPr>
              <w:t xml:space="preserve"> más adelante</w:t>
            </w:r>
            <w:r w:rsidR="006E5595" w:rsidRPr="00AD369B">
              <w:rPr>
                <w:rFonts w:ascii="Bookman Old Style" w:hAnsi="Bookman Old Style" w:cs="Arial"/>
                <w:bCs/>
              </w:rPr>
              <w:t>.</w:t>
            </w:r>
          </w:p>
          <w:p w14:paraId="2FB99A5D" w14:textId="77777777" w:rsidR="00715697" w:rsidRPr="00AD369B" w:rsidRDefault="00715697" w:rsidP="00715697">
            <w:pPr>
              <w:contextualSpacing/>
              <w:jc w:val="both"/>
              <w:rPr>
                <w:rFonts w:ascii="Bookman Old Style" w:hAnsi="Bookman Old Style" w:cs="Arial"/>
                <w:bCs/>
              </w:rPr>
            </w:pPr>
          </w:p>
          <w:p w14:paraId="636800C6" w14:textId="6A346A32" w:rsidR="00BA2676" w:rsidRPr="00316742" w:rsidRDefault="00A27982" w:rsidP="00BA2676">
            <w:pPr>
              <w:contextualSpacing/>
              <w:jc w:val="both"/>
              <w:rPr>
                <w:rFonts w:ascii="Bookman Old Style" w:hAnsi="Bookman Old Style" w:cs="Arial"/>
                <w:bCs/>
              </w:rPr>
            </w:pPr>
            <m:oMath>
              <m:sSub>
                <m:sSubPr>
                  <m:ctrlPr>
                    <w:rPr>
                      <w:rFonts w:ascii="Cambria Math" w:hAnsi="Cambria Math" w:cs="Arial"/>
                      <w:i/>
                    </w:rPr>
                  </m:ctrlPr>
                </m:sSubPr>
                <m:e>
                  <m:r>
                    <w:rPr>
                      <w:rFonts w:ascii="Cambria Math" w:hAnsi="Cambria Math" w:cs="Arial"/>
                    </w:rPr>
                    <m:t>G</m:t>
                  </m:r>
                </m:e>
                <m:sub>
                  <m:r>
                    <w:rPr>
                      <w:rFonts w:ascii="Cambria Math" w:hAnsi="Cambria Math" w:cs="Arial"/>
                    </w:rPr>
                    <m:t>SFV,m</m:t>
                  </m:r>
                </m:sub>
              </m:sSub>
            </m:oMath>
            <w:r w:rsidR="00715697" w:rsidRPr="00CC638B">
              <w:rPr>
                <w:rFonts w:ascii="Bookman Old Style" w:hAnsi="Bookman Old Style" w:cs="Arial"/>
              </w:rPr>
              <w:t xml:space="preserve"> </w:t>
            </w:r>
            <w:r w:rsidR="00006DEB" w:rsidRPr="00CC638B">
              <w:rPr>
                <w:rFonts w:ascii="Bookman Old Style" w:hAnsi="Bookman Old Style" w:cs="Arial"/>
              </w:rPr>
              <w:t xml:space="preserve">: </w:t>
            </w:r>
            <w:r w:rsidR="004C4AFE" w:rsidRPr="00CC638B">
              <w:rPr>
                <w:rFonts w:ascii="Bookman Old Style" w:hAnsi="Bookman Old Style" w:cs="Arial"/>
              </w:rPr>
              <w:t>Cargo m</w:t>
            </w:r>
            <w:r w:rsidR="00006DEB" w:rsidRPr="00CC638B">
              <w:rPr>
                <w:rFonts w:ascii="Bookman Old Style" w:hAnsi="Bookman Old Style" w:cs="Arial"/>
              </w:rPr>
              <w:t xml:space="preserve">áximo </w:t>
            </w:r>
            <w:r w:rsidR="00715697" w:rsidRPr="00316742">
              <w:rPr>
                <w:rFonts w:ascii="Bookman Old Style" w:hAnsi="Bookman Old Style" w:cs="Arial"/>
              </w:rPr>
              <w:t>para generación con recursos solar</w:t>
            </w:r>
            <w:r w:rsidR="00F30DF7" w:rsidRPr="00316742">
              <w:rPr>
                <w:rFonts w:ascii="Bookman Old Style" w:hAnsi="Bookman Old Style" w:cs="Arial"/>
              </w:rPr>
              <w:t>es</w:t>
            </w:r>
            <w:r w:rsidR="00715697" w:rsidRPr="00316742">
              <w:rPr>
                <w:rFonts w:ascii="Bookman Old Style" w:hAnsi="Bookman Old Style" w:cs="Arial"/>
              </w:rPr>
              <w:t xml:space="preserve"> fotovoltaicos con </w:t>
            </w:r>
            <w:r w:rsidR="009E3911" w:rsidRPr="00316742">
              <w:rPr>
                <w:rFonts w:ascii="Bookman Old Style" w:hAnsi="Bookman Old Style" w:cs="Arial"/>
              </w:rPr>
              <w:t>alimentación directa a la red</w:t>
            </w:r>
            <w:r w:rsidR="00715697" w:rsidRPr="00316742">
              <w:rPr>
                <w:rFonts w:ascii="Bookman Old Style" w:hAnsi="Bookman Old Style" w:cs="Arial"/>
                <w:bCs/>
              </w:rPr>
              <w:t xml:space="preserve">, </w:t>
            </w:r>
            <w:r w:rsidR="00582F13" w:rsidRPr="00316742">
              <w:rPr>
                <w:rFonts w:ascii="Bookman Old Style" w:hAnsi="Bookman Old Style" w:cs="Arial"/>
                <w:bCs/>
              </w:rPr>
              <w:t xml:space="preserve">según lo previsto </w:t>
            </w:r>
            <w:r w:rsidR="00AA1073" w:rsidRPr="00316742">
              <w:rPr>
                <w:rFonts w:ascii="Bookman Old Style" w:hAnsi="Bookman Old Style" w:cs="Arial"/>
                <w:bCs/>
              </w:rPr>
              <w:t xml:space="preserve">en </w:t>
            </w:r>
            <w:r w:rsidR="00316742">
              <w:rPr>
                <w:rFonts w:ascii="Bookman Old Style" w:hAnsi="Bookman Old Style" w:cs="Arial"/>
                <w:bCs/>
              </w:rPr>
              <w:t>R</w:t>
            </w:r>
            <w:r w:rsidR="00AA1073" w:rsidRPr="00316742">
              <w:rPr>
                <w:rFonts w:ascii="Bookman Old Style" w:hAnsi="Bookman Old Style" w:cs="Arial"/>
                <w:bCs/>
              </w:rPr>
              <w:t xml:space="preserve">esolución CREG </w:t>
            </w:r>
            <w:r w:rsidR="00D17FCB" w:rsidRPr="00316742">
              <w:rPr>
                <w:rFonts w:ascii="Bookman Old Style" w:hAnsi="Bookman Old Style" w:cs="Arial"/>
                <w:bCs/>
              </w:rPr>
              <w:t>012</w:t>
            </w:r>
            <w:r w:rsidR="00AA1073" w:rsidRPr="00316742">
              <w:rPr>
                <w:rFonts w:ascii="Bookman Old Style" w:hAnsi="Bookman Old Style" w:cs="Arial"/>
                <w:bCs/>
              </w:rPr>
              <w:t xml:space="preserve"> de </w:t>
            </w:r>
            <w:r w:rsidR="00D17FCB" w:rsidRPr="00316742">
              <w:rPr>
                <w:rFonts w:ascii="Bookman Old Style" w:hAnsi="Bookman Old Style" w:cs="Arial"/>
                <w:bCs/>
              </w:rPr>
              <w:t>2018</w:t>
            </w:r>
            <w:r w:rsidR="008E5740" w:rsidRPr="00316742">
              <w:rPr>
                <w:rFonts w:ascii="Bookman Old Style" w:hAnsi="Bookman Old Style" w:cs="Arial"/>
                <w:bCs/>
              </w:rPr>
              <w:t xml:space="preserve">, modificada mediante </w:t>
            </w:r>
            <w:r w:rsidR="00316742">
              <w:rPr>
                <w:rFonts w:ascii="Bookman Old Style" w:hAnsi="Bookman Old Style" w:cs="Arial"/>
                <w:bCs/>
              </w:rPr>
              <w:t>R</w:t>
            </w:r>
            <w:r w:rsidR="008E5740" w:rsidRPr="00316742">
              <w:rPr>
                <w:rFonts w:ascii="Bookman Old Style" w:hAnsi="Bookman Old Style" w:cs="Arial"/>
                <w:bCs/>
              </w:rPr>
              <w:t>esolución</w:t>
            </w:r>
            <w:r w:rsidR="00D17FCB" w:rsidRPr="00316742">
              <w:rPr>
                <w:rFonts w:ascii="Bookman Old Style" w:hAnsi="Bookman Old Style" w:cs="Arial"/>
                <w:bCs/>
              </w:rPr>
              <w:t xml:space="preserve"> CREG 135 de 2019</w:t>
            </w:r>
            <w:r w:rsidR="00582F13" w:rsidRPr="00316742">
              <w:rPr>
                <w:rFonts w:ascii="Bookman Old Style" w:hAnsi="Bookman Old Style" w:cs="Arial"/>
                <w:bCs/>
              </w:rPr>
              <w:t>,</w:t>
            </w:r>
            <w:r w:rsidR="00BA2676" w:rsidRPr="00316742">
              <w:rPr>
                <w:rFonts w:ascii="Bookman Old Style" w:hAnsi="Bookman Old Style" w:cs="Arial"/>
                <w:bCs/>
              </w:rPr>
              <w:t xml:space="preserve"> para el mes </w:t>
            </w:r>
            <w:r w:rsidR="00BA2676" w:rsidRPr="00316742">
              <w:rPr>
                <w:rFonts w:ascii="Bookman Old Style" w:hAnsi="Bookman Old Style" w:cs="Arial"/>
                <w:bCs/>
                <w:i/>
              </w:rPr>
              <w:t>m</w:t>
            </w:r>
            <w:r w:rsidR="00BA2676" w:rsidRPr="00316742">
              <w:rPr>
                <w:rFonts w:ascii="Bookman Old Style" w:hAnsi="Bookman Old Style" w:cs="Arial"/>
                <w:bCs/>
              </w:rPr>
              <w:t>, expresado en pesos por kilovatio hora ($/kWh)</w:t>
            </w:r>
            <w:r w:rsidR="00952440" w:rsidRPr="00316742">
              <w:rPr>
                <w:rFonts w:ascii="Bookman Old Style" w:hAnsi="Bookman Old Style" w:cs="Arial"/>
                <w:bCs/>
              </w:rPr>
              <w:t>, calculado como se indica más adelante</w:t>
            </w:r>
            <w:r w:rsidR="00BA2676" w:rsidRPr="00316742">
              <w:rPr>
                <w:rFonts w:ascii="Bookman Old Style" w:hAnsi="Bookman Old Style" w:cs="Arial"/>
                <w:bCs/>
              </w:rPr>
              <w:t>.</w:t>
            </w:r>
          </w:p>
          <w:p w14:paraId="4DCD29AE" w14:textId="77777777" w:rsidR="00A913F1" w:rsidRPr="00316742" w:rsidRDefault="00A913F1" w:rsidP="00BA2676">
            <w:pPr>
              <w:contextualSpacing/>
              <w:jc w:val="both"/>
              <w:rPr>
                <w:rFonts w:ascii="Bookman Old Style" w:hAnsi="Bookman Old Style" w:cs="Arial"/>
                <w:bCs/>
              </w:rPr>
            </w:pPr>
          </w:p>
          <w:p w14:paraId="0D326FEE" w14:textId="348BE8B0" w:rsidR="009E3911" w:rsidRPr="00AD369B" w:rsidRDefault="00A27982" w:rsidP="009E3911">
            <w:pPr>
              <w:contextualSpacing/>
              <w:jc w:val="both"/>
              <w:rPr>
                <w:rFonts w:ascii="Bookman Old Style" w:hAnsi="Bookman Old Style" w:cs="Arial"/>
                <w:bCs/>
              </w:rPr>
            </w:pPr>
            <m:oMath>
              <m:sSub>
                <m:sSubPr>
                  <m:ctrlPr>
                    <w:rPr>
                      <w:rFonts w:ascii="Cambria Math" w:hAnsi="Cambria Math" w:cs="Arial"/>
                      <w:i/>
                    </w:rPr>
                  </m:ctrlPr>
                </m:sSubPr>
                <m:e>
                  <m:r>
                    <w:rPr>
                      <w:rFonts w:ascii="Cambria Math" w:hAnsi="Cambria Math" w:cs="Arial"/>
                    </w:rPr>
                    <m:t>G</m:t>
                  </m:r>
                </m:e>
                <m:sub>
                  <m:r>
                    <w:rPr>
                      <w:rFonts w:ascii="Cambria Math" w:hAnsi="Cambria Math" w:cs="Arial"/>
                    </w:rPr>
                    <m:t>A,m</m:t>
                  </m:r>
                </m:sub>
              </m:sSub>
            </m:oMath>
            <w:r w:rsidR="009E3911" w:rsidRPr="00CB0AB2">
              <w:rPr>
                <w:rFonts w:ascii="Bookman Old Style" w:hAnsi="Bookman Old Style" w:cs="Arial"/>
              </w:rPr>
              <w:t xml:space="preserve"> : Cargo máximo para generación con </w:t>
            </w:r>
            <w:r w:rsidR="009C5A4D" w:rsidRPr="00CB0AB2">
              <w:rPr>
                <w:rFonts w:ascii="Bookman Old Style" w:hAnsi="Bookman Old Style" w:cs="Arial"/>
              </w:rPr>
              <w:t xml:space="preserve">sistemas de </w:t>
            </w:r>
            <w:r w:rsidR="00D17FCB" w:rsidRPr="00CC638B">
              <w:rPr>
                <w:rFonts w:ascii="Bookman Old Style" w:hAnsi="Bookman Old Style" w:cs="Arial"/>
              </w:rPr>
              <w:t>acumulación de recurso solar fotovoltaico</w:t>
            </w:r>
            <w:r w:rsidR="009E3911" w:rsidRPr="00CB0AB2">
              <w:rPr>
                <w:rFonts w:ascii="Bookman Old Style" w:hAnsi="Bookman Old Style" w:cs="Arial"/>
                <w:bCs/>
              </w:rPr>
              <w:t xml:space="preserve">, para el mes </w:t>
            </w:r>
            <w:r w:rsidR="009E3911" w:rsidRPr="00CB0AB2">
              <w:rPr>
                <w:rFonts w:ascii="Bookman Old Style" w:hAnsi="Bookman Old Style" w:cs="Arial"/>
                <w:bCs/>
                <w:i/>
              </w:rPr>
              <w:t>m</w:t>
            </w:r>
            <w:r w:rsidR="009E3911" w:rsidRPr="00CB0AB2">
              <w:rPr>
                <w:rFonts w:ascii="Bookman Old Style" w:hAnsi="Bookman Old Style" w:cs="Arial"/>
                <w:bCs/>
              </w:rPr>
              <w:t>, expresado en pesos por kilovatio hora ($/kWh), calculado como se indica más adelante.</w:t>
            </w:r>
          </w:p>
          <w:p w14:paraId="673A42D0" w14:textId="46B7A6ED" w:rsidR="00D82E7F" w:rsidRPr="00AD369B" w:rsidRDefault="00D82E7F" w:rsidP="00B606A2">
            <w:pPr>
              <w:contextualSpacing/>
              <w:jc w:val="both"/>
              <w:rPr>
                <w:rFonts w:ascii="Bookman Old Style" w:hAnsi="Bookman Old Style" w:cs="Arial"/>
                <w:bCs/>
              </w:rPr>
            </w:pPr>
          </w:p>
        </w:tc>
      </w:tr>
      <w:tr w:rsidR="005E42A5" w:rsidRPr="00AD369B" w14:paraId="25BD431D" w14:textId="77777777" w:rsidTr="001A5475">
        <w:tc>
          <w:tcPr>
            <w:tcW w:w="912" w:type="dxa"/>
          </w:tcPr>
          <w:p w14:paraId="6AC89700" w14:textId="75D99662" w:rsidR="005E42A5" w:rsidRPr="00AD369B" w:rsidRDefault="00A27982" w:rsidP="00D6752E">
            <w:pPr>
              <w:contextualSpacing/>
              <w:rPr>
                <w:rFonts w:ascii="Bookman Old Style" w:hAnsi="Bookman Old Style" w:cs="Arial"/>
              </w:rPr>
            </w:pPr>
            <m:oMathPara>
              <m:oMathParaPr>
                <m:jc m:val="left"/>
              </m:oMathParaPr>
              <m:oMath>
                <m:sSub>
                  <m:sSubPr>
                    <m:ctrlPr>
                      <w:rPr>
                        <w:rFonts w:ascii="Cambria Math" w:hAnsi="Cambria Math" w:cs="Arial"/>
                        <w:i/>
                      </w:rPr>
                    </m:ctrlPr>
                  </m:sSubPr>
                  <m:e>
                    <m:r>
                      <w:rPr>
                        <w:rFonts w:ascii="Cambria Math" w:hAnsi="Cambria Math" w:cs="Arial"/>
                      </w:rPr>
                      <m:t>E</m:t>
                    </m:r>
                  </m:e>
                  <m:sub>
                    <m:r>
                      <w:rPr>
                        <w:rFonts w:ascii="Cambria Math" w:hAnsi="Cambria Math" w:cs="Arial"/>
                      </w:rPr>
                      <m:t>j,m-1</m:t>
                    </m:r>
                  </m:sub>
                </m:sSub>
              </m:oMath>
            </m:oMathPara>
          </w:p>
        </w:tc>
        <w:tc>
          <w:tcPr>
            <w:tcW w:w="435" w:type="dxa"/>
          </w:tcPr>
          <w:p w14:paraId="2C55D74F" w14:textId="4753D9CE" w:rsidR="005E42A5" w:rsidRPr="00AD369B" w:rsidRDefault="005E42A5" w:rsidP="00D6752E">
            <w:pPr>
              <w:contextualSpacing/>
              <w:jc w:val="both"/>
              <w:rPr>
                <w:rFonts w:ascii="Bookman Old Style" w:hAnsi="Bookman Old Style" w:cs="Arial"/>
                <w:bCs/>
              </w:rPr>
            </w:pPr>
          </w:p>
        </w:tc>
        <w:tc>
          <w:tcPr>
            <w:tcW w:w="8008" w:type="dxa"/>
          </w:tcPr>
          <w:p w14:paraId="0CDB2B0F" w14:textId="5CB52837" w:rsidR="00D6752E" w:rsidRPr="00AD369B" w:rsidRDefault="00D6752E" w:rsidP="00D6752E">
            <w:pPr>
              <w:contextualSpacing/>
              <w:jc w:val="both"/>
              <w:rPr>
                <w:rFonts w:ascii="Bookman Old Style" w:hAnsi="Bookman Old Style" w:cs="Arial"/>
              </w:rPr>
            </w:pPr>
            <w:r w:rsidRPr="00AD369B">
              <w:rPr>
                <w:rFonts w:ascii="Bookman Old Style" w:hAnsi="Bookman Old Style" w:cs="Arial"/>
              </w:rPr>
              <w:t xml:space="preserve">Energía total entregada al sistema de distribución del mercado relevante de comercialización respectivo, por el recurso energético </w:t>
            </w:r>
            <w:r w:rsidRPr="00AD369B">
              <w:rPr>
                <w:rFonts w:ascii="Bookman Old Style" w:hAnsi="Bookman Old Style" w:cs="Arial"/>
                <w:i/>
                <w:iCs/>
              </w:rPr>
              <w:t>j</w:t>
            </w:r>
            <w:r w:rsidRPr="00AD369B">
              <w:rPr>
                <w:rFonts w:ascii="Bookman Old Style" w:hAnsi="Bookman Old Style" w:cs="Arial"/>
              </w:rPr>
              <w:t xml:space="preserve"> del parque de generación conectado a dicho sistema de distribución, durante los últimos doce meses contados a partir del mes </w:t>
            </w:r>
            <w:r w:rsidRPr="00AD369B">
              <w:rPr>
                <w:rFonts w:ascii="Bookman Old Style" w:hAnsi="Bookman Old Style" w:cs="Arial"/>
                <w:i/>
              </w:rPr>
              <w:t>m-1</w:t>
            </w:r>
            <w:r w:rsidRPr="00AD369B">
              <w:rPr>
                <w:rFonts w:ascii="Bookman Old Style" w:hAnsi="Bookman Old Style" w:cs="Arial"/>
              </w:rPr>
              <w:t>.</w:t>
            </w:r>
          </w:p>
          <w:p w14:paraId="4F0FA4CE" w14:textId="77777777" w:rsidR="00D6752E" w:rsidRPr="00AD369B" w:rsidRDefault="00D6752E" w:rsidP="00D6752E">
            <w:pPr>
              <w:contextualSpacing/>
              <w:jc w:val="both"/>
              <w:rPr>
                <w:rFonts w:ascii="Bookman Old Style" w:hAnsi="Bookman Old Style" w:cs="Arial"/>
              </w:rPr>
            </w:pPr>
          </w:p>
          <w:p w14:paraId="2632622E" w14:textId="77777777" w:rsidR="00D6752E" w:rsidRPr="00AD369B" w:rsidRDefault="00D6752E" w:rsidP="00D6752E">
            <w:pPr>
              <w:contextualSpacing/>
              <w:jc w:val="both"/>
              <w:rPr>
                <w:rFonts w:ascii="Bookman Old Style" w:hAnsi="Bookman Old Style" w:cs="Arial"/>
              </w:rPr>
            </w:pPr>
            <w:r w:rsidRPr="00AD369B">
              <w:rPr>
                <w:rFonts w:ascii="Bookman Old Style" w:hAnsi="Bookman Old Style" w:cs="Arial"/>
              </w:rPr>
              <w:t>A partir de la entrada en vigencia de esta resolución, según lo previsto en el artículo 3 de esta resolución, y hasta contar con un histórico de 12 meses, se tomará la información acumulada de los meses que hayan transcurrido.</w:t>
            </w:r>
          </w:p>
          <w:p w14:paraId="31946A42" w14:textId="77777777" w:rsidR="005E42A5" w:rsidRPr="00AD369B" w:rsidRDefault="005E42A5" w:rsidP="00D6752E">
            <w:pPr>
              <w:contextualSpacing/>
              <w:jc w:val="both"/>
              <w:rPr>
                <w:rFonts w:ascii="Bookman Old Style" w:hAnsi="Bookman Old Style" w:cs="Arial"/>
                <w:bCs/>
              </w:rPr>
            </w:pPr>
          </w:p>
        </w:tc>
      </w:tr>
      <w:tr w:rsidR="005E42A5" w:rsidRPr="00AD369B" w14:paraId="2B0F0561" w14:textId="77777777" w:rsidTr="001A5475">
        <w:tc>
          <w:tcPr>
            <w:tcW w:w="912" w:type="dxa"/>
          </w:tcPr>
          <w:p w14:paraId="68C480E8" w14:textId="75ED5566" w:rsidR="005E42A5" w:rsidRPr="00AD369B" w:rsidRDefault="00A27982" w:rsidP="00D6752E">
            <w:pPr>
              <w:contextualSpacing/>
              <w:rPr>
                <w:rFonts w:ascii="Bookman Old Style" w:hAnsi="Bookman Old Style" w:cs="Arial"/>
              </w:rPr>
            </w:pPr>
            <m:oMathPara>
              <m:oMathParaPr>
                <m:jc m:val="left"/>
              </m:oMathParaPr>
              <m:oMath>
                <m:sSub>
                  <m:sSubPr>
                    <m:ctrlPr>
                      <w:rPr>
                        <w:rFonts w:ascii="Cambria Math" w:hAnsi="Cambria Math" w:cs="Arial"/>
                        <w:i/>
                      </w:rPr>
                    </m:ctrlPr>
                  </m:sSubPr>
                  <m:e>
                    <m:r>
                      <w:rPr>
                        <w:rFonts w:ascii="Cambria Math" w:hAnsi="Cambria Math" w:cs="Arial"/>
                      </w:rPr>
                      <m:t>ET</m:t>
                    </m:r>
                  </m:e>
                  <m:sub>
                    <m:r>
                      <w:rPr>
                        <w:rFonts w:ascii="Cambria Math" w:hAnsi="Cambria Math" w:cs="Arial"/>
                      </w:rPr>
                      <m:t>m-1</m:t>
                    </m:r>
                  </m:sub>
                </m:sSub>
              </m:oMath>
            </m:oMathPara>
          </w:p>
        </w:tc>
        <w:tc>
          <w:tcPr>
            <w:tcW w:w="435" w:type="dxa"/>
          </w:tcPr>
          <w:p w14:paraId="55922829" w14:textId="57619D40" w:rsidR="005E42A5" w:rsidRPr="00AD369B" w:rsidRDefault="005E42A5" w:rsidP="00D6752E">
            <w:pPr>
              <w:contextualSpacing/>
              <w:jc w:val="both"/>
              <w:rPr>
                <w:rFonts w:ascii="Bookman Old Style" w:hAnsi="Bookman Old Style" w:cs="Arial"/>
                <w:bCs/>
              </w:rPr>
            </w:pPr>
          </w:p>
        </w:tc>
        <w:tc>
          <w:tcPr>
            <w:tcW w:w="8008" w:type="dxa"/>
          </w:tcPr>
          <w:p w14:paraId="2CF23054" w14:textId="77777777" w:rsidR="00D6752E" w:rsidRPr="00AD369B" w:rsidRDefault="00D6752E" w:rsidP="00D6752E">
            <w:pPr>
              <w:contextualSpacing/>
              <w:jc w:val="both"/>
              <w:rPr>
                <w:rFonts w:ascii="Bookman Old Style" w:hAnsi="Bookman Old Style" w:cs="Arial"/>
              </w:rPr>
            </w:pPr>
            <w:r w:rsidRPr="00AD369B">
              <w:rPr>
                <w:rFonts w:ascii="Bookman Old Style" w:hAnsi="Bookman Old Style" w:cs="Arial"/>
              </w:rPr>
              <w:t xml:space="preserve">Energía total entregada al sistema de distribución del mercado relevante de comercialización respectivo, por el parque de generación conectado a dicho sistema de distribución, durante los últimos doce meses contados a partir del mes </w:t>
            </w:r>
            <w:r w:rsidRPr="00AD369B">
              <w:rPr>
                <w:rFonts w:ascii="Bookman Old Style" w:hAnsi="Bookman Old Style" w:cs="Arial"/>
                <w:i/>
              </w:rPr>
              <w:t>m-1</w:t>
            </w:r>
            <w:r w:rsidRPr="00AD369B">
              <w:rPr>
                <w:rFonts w:ascii="Bookman Old Style" w:hAnsi="Bookman Old Style" w:cs="Arial"/>
              </w:rPr>
              <w:t xml:space="preserve">. </w:t>
            </w:r>
          </w:p>
          <w:p w14:paraId="6234CD2C" w14:textId="77777777" w:rsidR="00D6752E" w:rsidRPr="00AD369B" w:rsidRDefault="00D6752E" w:rsidP="00D6752E">
            <w:pPr>
              <w:contextualSpacing/>
              <w:jc w:val="both"/>
              <w:rPr>
                <w:rFonts w:ascii="Bookman Old Style" w:hAnsi="Bookman Old Style" w:cs="Arial"/>
              </w:rPr>
            </w:pPr>
          </w:p>
          <w:p w14:paraId="1EAFF5D7" w14:textId="77777777" w:rsidR="00D6752E" w:rsidRPr="00AD369B" w:rsidRDefault="00D6752E" w:rsidP="00D6752E">
            <w:pPr>
              <w:contextualSpacing/>
              <w:jc w:val="both"/>
              <w:rPr>
                <w:rFonts w:ascii="Bookman Old Style" w:hAnsi="Bookman Old Style" w:cs="Arial"/>
              </w:rPr>
            </w:pPr>
            <w:r w:rsidRPr="00AD369B">
              <w:rPr>
                <w:rFonts w:ascii="Bookman Old Style" w:hAnsi="Bookman Old Style" w:cs="Arial"/>
              </w:rPr>
              <w:t xml:space="preserve">A partir de la entrada en vigencia de esta resolución, según lo previsto en el </w:t>
            </w:r>
            <w:r w:rsidRPr="00113109">
              <w:rPr>
                <w:rFonts w:ascii="Bookman Old Style" w:hAnsi="Bookman Old Style" w:cs="Arial"/>
              </w:rPr>
              <w:t>artículo 3 de</w:t>
            </w:r>
            <w:r w:rsidRPr="00AD369B">
              <w:rPr>
                <w:rFonts w:ascii="Bookman Old Style" w:hAnsi="Bookman Old Style" w:cs="Arial"/>
              </w:rPr>
              <w:t xml:space="preserve"> esta resolución, y hasta contar con un histórico de 12 meses, se tomará la información acumulada de los meses que hayan transcurrido.</w:t>
            </w:r>
          </w:p>
          <w:p w14:paraId="32C78390" w14:textId="77777777" w:rsidR="005E42A5" w:rsidRPr="00AD369B" w:rsidRDefault="005E42A5" w:rsidP="00D6752E">
            <w:pPr>
              <w:contextualSpacing/>
              <w:jc w:val="both"/>
              <w:rPr>
                <w:rFonts w:ascii="Bookman Old Style" w:hAnsi="Bookman Old Style" w:cs="Arial"/>
                <w:bCs/>
              </w:rPr>
            </w:pPr>
          </w:p>
        </w:tc>
      </w:tr>
      <w:tr w:rsidR="000B4CFD" w:rsidRPr="00AD369B" w14:paraId="63C3F826" w14:textId="77777777" w:rsidTr="001A5475">
        <w:tc>
          <w:tcPr>
            <w:tcW w:w="912" w:type="dxa"/>
          </w:tcPr>
          <w:p w14:paraId="15463B0E" w14:textId="1309CFAA" w:rsidR="000B4CFD" w:rsidRPr="00AD369B" w:rsidRDefault="00A27982" w:rsidP="000B4CFD">
            <w:pPr>
              <w:contextualSpacing/>
            </w:pPr>
            <m:oMathPara>
              <m:oMathParaPr>
                <m:jc m:val="left"/>
              </m:oMathParaPr>
              <m:oMath>
                <m:sSub>
                  <m:sSubPr>
                    <m:ctrlPr>
                      <w:rPr>
                        <w:rFonts w:ascii="Cambria Math" w:hAnsi="Cambria Math" w:cs="Arial"/>
                        <w:i/>
                      </w:rPr>
                    </m:ctrlPr>
                  </m:sSubPr>
                  <m:e>
                    <m:r>
                      <w:rPr>
                        <w:rFonts w:ascii="Cambria Math" w:hAnsi="Cambria Math" w:cs="Arial"/>
                      </w:rPr>
                      <m:t>M</m:t>
                    </m:r>
                  </m:e>
                  <m:sub>
                    <m:r>
                      <w:rPr>
                        <w:rFonts w:ascii="Cambria Math" w:hAnsi="Cambria Math" w:cs="Arial"/>
                      </w:rPr>
                      <m:t>m</m:t>
                    </m:r>
                  </m:sub>
                </m:sSub>
              </m:oMath>
            </m:oMathPara>
          </w:p>
        </w:tc>
        <w:tc>
          <w:tcPr>
            <w:tcW w:w="435" w:type="dxa"/>
          </w:tcPr>
          <w:p w14:paraId="42544DEB" w14:textId="7A706493" w:rsidR="000B4CFD" w:rsidRPr="00AD369B" w:rsidRDefault="000B4CFD" w:rsidP="000B4CFD">
            <w:pPr>
              <w:contextualSpacing/>
              <w:jc w:val="both"/>
              <w:rPr>
                <w:rFonts w:ascii="Bookman Old Style" w:hAnsi="Bookman Old Style" w:cs="Arial"/>
                <w:bCs/>
              </w:rPr>
            </w:pPr>
            <w:r w:rsidRPr="00AD369B">
              <w:rPr>
                <w:rFonts w:ascii="Bookman Old Style" w:hAnsi="Bookman Old Style" w:cs="Arial"/>
                <w:bCs/>
              </w:rPr>
              <w:t>:</w:t>
            </w:r>
          </w:p>
        </w:tc>
        <w:tc>
          <w:tcPr>
            <w:tcW w:w="8008" w:type="dxa"/>
          </w:tcPr>
          <w:p w14:paraId="44CF67F8" w14:textId="77777777" w:rsidR="000B4CFD" w:rsidRPr="00AD369B" w:rsidRDefault="000B4CFD" w:rsidP="000B4CFD">
            <w:pPr>
              <w:contextualSpacing/>
              <w:jc w:val="both"/>
              <w:rPr>
                <w:rFonts w:ascii="Bookman Old Style" w:hAnsi="Bookman Old Style" w:cs="Arial"/>
              </w:rPr>
            </w:pPr>
            <w:r w:rsidRPr="00AD369B">
              <w:rPr>
                <w:rFonts w:ascii="Bookman Old Style" w:hAnsi="Bookman Old Style" w:cs="Arial"/>
              </w:rPr>
              <w:t xml:space="preserve">Cargo máximo que remunera la actividad de monitoreo, expresado </w:t>
            </w:r>
            <w:r w:rsidRPr="00AD369B">
              <w:rPr>
                <w:rFonts w:ascii="Bookman Old Style" w:hAnsi="Bookman Old Style" w:cs="Arial"/>
                <w:bCs/>
              </w:rPr>
              <w:t xml:space="preserve">en pesos por kilovatio hora ($/kWh). Para los efectos de esta resolución, el valor reconocido será igual a cero (0). La </w:t>
            </w:r>
            <w:r w:rsidRPr="00AD369B">
              <w:rPr>
                <w:rFonts w:ascii="Bookman Old Style" w:hAnsi="Bookman Old Style" w:cs="Arial"/>
              </w:rPr>
              <w:t>CREG podrá revisar este valor, de oficio o por solicitud del prestador del servicio, en resolución posterior.</w:t>
            </w:r>
          </w:p>
          <w:p w14:paraId="373E154D" w14:textId="77777777" w:rsidR="000B4CFD" w:rsidRPr="00AD369B" w:rsidRDefault="000B4CFD" w:rsidP="000B4CFD">
            <w:pPr>
              <w:contextualSpacing/>
              <w:jc w:val="both"/>
              <w:rPr>
                <w:rFonts w:ascii="Bookman Old Style" w:hAnsi="Bookman Old Style" w:cs="Arial"/>
              </w:rPr>
            </w:pPr>
          </w:p>
        </w:tc>
      </w:tr>
      <w:tr w:rsidR="005E42A5" w:rsidRPr="00AD369B" w14:paraId="6645DA2B" w14:textId="77777777" w:rsidTr="001A5475">
        <w:tc>
          <w:tcPr>
            <w:tcW w:w="912" w:type="dxa"/>
          </w:tcPr>
          <w:p w14:paraId="76ADD65E" w14:textId="3D80464B" w:rsidR="005E42A5" w:rsidRPr="00A6346E" w:rsidRDefault="00DD4D71" w:rsidP="00B606A2">
            <w:pPr>
              <w:contextualSpacing/>
              <w:rPr>
                <w:rFonts w:ascii="Bookman Old Style" w:hAnsi="Bookman Old Style"/>
                <w:i/>
              </w:rPr>
            </w:pPr>
            <w:r w:rsidRPr="00A6346E">
              <w:rPr>
                <w:rFonts w:ascii="Bookman Old Style" w:hAnsi="Bookman Old Style"/>
                <w:i/>
              </w:rPr>
              <w:t>M</w:t>
            </w:r>
          </w:p>
        </w:tc>
        <w:tc>
          <w:tcPr>
            <w:tcW w:w="435" w:type="dxa"/>
          </w:tcPr>
          <w:p w14:paraId="0605CA64" w14:textId="77777777" w:rsidR="005E42A5" w:rsidRPr="00AD369B" w:rsidRDefault="005E42A5" w:rsidP="00B606A2">
            <w:pPr>
              <w:contextualSpacing/>
              <w:jc w:val="both"/>
              <w:rPr>
                <w:rFonts w:ascii="Bookman Old Style" w:hAnsi="Bookman Old Style" w:cs="Arial"/>
                <w:bCs/>
              </w:rPr>
            </w:pPr>
            <w:r w:rsidRPr="00AD369B">
              <w:rPr>
                <w:rFonts w:ascii="Bookman Old Style" w:hAnsi="Bookman Old Style" w:cs="Arial"/>
                <w:bCs/>
              </w:rPr>
              <w:t>:</w:t>
            </w:r>
          </w:p>
        </w:tc>
        <w:tc>
          <w:tcPr>
            <w:tcW w:w="8008" w:type="dxa"/>
          </w:tcPr>
          <w:p w14:paraId="273203B8" w14:textId="77777777" w:rsidR="005E42A5" w:rsidRPr="00AD369B" w:rsidRDefault="005E42A5" w:rsidP="00B606A2">
            <w:pPr>
              <w:contextualSpacing/>
              <w:jc w:val="both"/>
              <w:rPr>
                <w:rFonts w:ascii="Bookman Old Style" w:hAnsi="Bookman Old Style" w:cs="Arial"/>
              </w:rPr>
            </w:pPr>
            <w:r w:rsidRPr="00AD369B">
              <w:rPr>
                <w:rFonts w:ascii="Bookman Old Style" w:hAnsi="Bookman Old Style" w:cs="Arial"/>
              </w:rPr>
              <w:t>Mes de cálculo de la tarifa.</w:t>
            </w:r>
          </w:p>
          <w:p w14:paraId="44C575D2" w14:textId="77777777" w:rsidR="005E42A5" w:rsidRPr="00AD369B" w:rsidRDefault="005E42A5" w:rsidP="00B606A2">
            <w:pPr>
              <w:contextualSpacing/>
              <w:jc w:val="both"/>
              <w:rPr>
                <w:rFonts w:ascii="Bookman Old Style" w:hAnsi="Bookman Old Style" w:cs="Arial"/>
              </w:rPr>
            </w:pPr>
          </w:p>
        </w:tc>
      </w:tr>
    </w:tbl>
    <w:p w14:paraId="1AE6FE23" w14:textId="6F2AE9F2" w:rsidR="005E42A5" w:rsidRPr="00AD369B" w:rsidRDefault="005E42A5" w:rsidP="00B606A2">
      <w:pPr>
        <w:ind w:left="284"/>
        <w:contextualSpacing/>
        <w:jc w:val="both"/>
        <w:rPr>
          <w:rFonts w:ascii="Bookman Old Style" w:hAnsi="Bookman Old Style" w:cs="Arial"/>
        </w:rPr>
      </w:pPr>
      <w:r w:rsidRPr="00AD369B">
        <w:rPr>
          <w:rFonts w:ascii="Bookman Old Style" w:hAnsi="Bookman Old Style" w:cs="Arial"/>
        </w:rPr>
        <w:t xml:space="preserve">El valor de </w:t>
      </w:r>
      <m:oMath>
        <m:sSub>
          <m:sSubPr>
            <m:ctrlPr>
              <w:rPr>
                <w:rFonts w:ascii="Cambria Math" w:hAnsi="Cambria Math" w:cs="Arial"/>
                <w:i/>
              </w:rPr>
            </m:ctrlPr>
          </m:sSubPr>
          <m:e>
            <m:r>
              <w:rPr>
                <w:rFonts w:ascii="Cambria Math" w:hAnsi="Cambria Math" w:cs="Arial"/>
              </w:rPr>
              <m:t>G</m:t>
            </m:r>
          </m:e>
          <m:sub>
            <m:r>
              <w:rPr>
                <w:rFonts w:ascii="Cambria Math" w:hAnsi="Cambria Math" w:cs="Arial"/>
              </w:rPr>
              <m:t>D,m</m:t>
            </m:r>
          </m:sub>
        </m:sSub>
      </m:oMath>
      <w:r w:rsidRPr="00AD369B">
        <w:rPr>
          <w:rFonts w:ascii="Bookman Old Style" w:hAnsi="Bookman Old Style" w:cs="Arial"/>
        </w:rPr>
        <w:t xml:space="preserve"> se obtiene a partir de la siguiente fórmula:</w:t>
      </w:r>
    </w:p>
    <w:p w14:paraId="2AB0362B" w14:textId="77777777" w:rsidR="005E42A5" w:rsidRPr="00AD369B" w:rsidRDefault="005E42A5" w:rsidP="00B606A2">
      <w:pPr>
        <w:ind w:left="284"/>
        <w:contextualSpacing/>
        <w:jc w:val="both"/>
        <w:rPr>
          <w:rFonts w:ascii="Bookman Old Style" w:hAnsi="Bookman Old Style" w:cs="Arial"/>
        </w:rPr>
      </w:pPr>
    </w:p>
    <w:p w14:paraId="451AE4F7" w14:textId="48EC4CC0" w:rsidR="005E42A5" w:rsidRPr="00AD369B" w:rsidRDefault="00A27982" w:rsidP="00B606A2">
      <w:pPr>
        <w:ind w:left="284"/>
        <w:contextualSpacing/>
        <w:jc w:val="both"/>
        <w:rPr>
          <w:rFonts w:ascii="Bookman Old Style" w:hAnsi="Bookman Old Style" w:cs="Arial"/>
        </w:rPr>
      </w:pPr>
      <m:oMathPara>
        <m:oMath>
          <m:sSub>
            <m:sSubPr>
              <m:ctrlPr>
                <w:rPr>
                  <w:rFonts w:ascii="Cambria Math" w:hAnsi="Cambria Math" w:cs="Arial"/>
                  <w:i/>
                </w:rPr>
              </m:ctrlPr>
            </m:sSubPr>
            <m:e>
              <m:r>
                <w:rPr>
                  <w:rFonts w:ascii="Cambria Math" w:hAnsi="Cambria Math" w:cs="Arial"/>
                </w:rPr>
                <m:t>G</m:t>
              </m:r>
            </m:e>
            <m:sub>
              <m:r>
                <w:rPr>
                  <w:rFonts w:ascii="Cambria Math" w:hAnsi="Cambria Math" w:cs="Arial"/>
                </w:rPr>
                <m:t>D,m</m:t>
              </m:r>
            </m:sub>
          </m:sSub>
          <m:r>
            <w:rPr>
              <w:rFonts w:ascii="Cambria Math" w:hAnsi="Cambria Math" w:cs="Arial"/>
            </w:rPr>
            <m:t>=</m:t>
          </m:r>
          <m:d>
            <m:dPr>
              <m:begChr m:val="["/>
              <m:endChr m:val="]"/>
              <m:ctrlPr>
                <w:rPr>
                  <w:rFonts w:ascii="Cambria Math" w:hAnsi="Cambria Math" w:cs="Arial"/>
                  <w:i/>
                </w:rPr>
              </m:ctrlPr>
            </m:dPr>
            <m:e>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CI</m:t>
                      </m:r>
                    </m:e>
                    <m:sub>
                      <m:r>
                        <w:rPr>
                          <w:rFonts w:ascii="Cambria Math" w:hAnsi="Cambria Math" w:cs="Arial"/>
                        </w:rPr>
                        <m:t>D,0</m:t>
                      </m:r>
                    </m:sub>
                  </m:sSub>
                  <m:r>
                    <w:rPr>
                      <w:rFonts w:ascii="Cambria Math" w:hAnsi="Cambria Math" w:cs="Arial"/>
                    </w:rPr>
                    <m:t>+</m:t>
                  </m:r>
                  <m:sSub>
                    <m:sSubPr>
                      <m:ctrlPr>
                        <w:rPr>
                          <w:rFonts w:ascii="Cambria Math" w:hAnsi="Cambria Math" w:cs="Arial"/>
                          <w:i/>
                        </w:rPr>
                      </m:ctrlPr>
                    </m:sSubPr>
                    <m:e>
                      <m:r>
                        <w:rPr>
                          <w:rFonts w:ascii="Cambria Math" w:hAnsi="Cambria Math" w:cs="Arial"/>
                        </w:rPr>
                        <m:t>CM</m:t>
                      </m:r>
                    </m:e>
                    <m:sub>
                      <m:r>
                        <w:rPr>
                          <w:rFonts w:ascii="Cambria Math" w:hAnsi="Cambria Math" w:cs="Arial"/>
                        </w:rPr>
                        <m:t>D,0</m:t>
                      </m:r>
                    </m:sub>
                  </m:sSub>
                </m:e>
              </m:d>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IPP</m:t>
                      </m:r>
                    </m:e>
                    <m:sub>
                      <m:r>
                        <w:rPr>
                          <w:rFonts w:ascii="Cambria Math" w:hAnsi="Cambria Math" w:cs="Arial"/>
                        </w:rPr>
                        <m:t>m-1</m:t>
                      </m:r>
                    </m:sub>
                  </m:sSub>
                </m:num>
                <m:den>
                  <m:sSub>
                    <m:sSubPr>
                      <m:ctrlPr>
                        <w:rPr>
                          <w:rFonts w:ascii="Cambria Math" w:hAnsi="Cambria Math" w:cs="Arial"/>
                          <w:i/>
                        </w:rPr>
                      </m:ctrlPr>
                    </m:sSubPr>
                    <m:e>
                      <m:r>
                        <w:rPr>
                          <w:rFonts w:ascii="Cambria Math" w:hAnsi="Cambria Math" w:cs="Arial"/>
                        </w:rPr>
                        <m:t>IPP</m:t>
                      </m:r>
                    </m:e>
                    <m:sub>
                      <m:r>
                        <w:rPr>
                          <w:rFonts w:ascii="Cambria Math" w:hAnsi="Cambria Math" w:cs="Arial"/>
                        </w:rPr>
                        <m:t>0</m:t>
                      </m:r>
                    </m:sub>
                  </m:sSub>
                </m:den>
              </m:f>
              <m:r>
                <w:rPr>
                  <w:rFonts w:ascii="Cambria Math" w:hAnsi="Cambria Math" w:cs="Arial"/>
                </w:rPr>
                <m:t>+1,1</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CC</m:t>
                      </m:r>
                    </m:e>
                    <m:sub>
                      <m:r>
                        <w:rPr>
                          <w:rFonts w:ascii="Cambria Math" w:hAnsi="Cambria Math" w:cs="Arial"/>
                        </w:rPr>
                        <m:t>m</m:t>
                      </m:r>
                    </m:sub>
                  </m:sSub>
                  <m:r>
                    <w:rPr>
                      <w:rFonts w:ascii="Cambria Math" w:hAnsi="Cambria Math" w:cs="Arial"/>
                    </w:rPr>
                    <m:t>+</m:t>
                  </m:r>
                  <m:sSub>
                    <m:sSubPr>
                      <m:ctrlPr>
                        <w:rPr>
                          <w:rFonts w:ascii="Cambria Math" w:hAnsi="Cambria Math" w:cs="Arial"/>
                          <w:i/>
                        </w:rPr>
                      </m:ctrlPr>
                    </m:sSubPr>
                    <m:e>
                      <m:r>
                        <w:rPr>
                          <w:rFonts w:ascii="Cambria Math" w:hAnsi="Cambria Math" w:cs="Arial"/>
                        </w:rPr>
                        <m:t>CL</m:t>
                      </m:r>
                    </m:e>
                    <m:sub>
                      <m:r>
                        <w:rPr>
                          <w:rFonts w:ascii="Cambria Math" w:hAnsi="Cambria Math" w:cs="Arial"/>
                        </w:rPr>
                        <m:t>m</m:t>
                      </m:r>
                    </m:sub>
                  </m:sSub>
                </m:e>
              </m:d>
            </m:e>
          </m:d>
          <m:r>
            <w:rPr>
              <w:rFonts w:ascii="Cambria Math" w:hAnsi="Cambria Math" w:cs="Arial"/>
            </w:rPr>
            <m:t>*</m:t>
          </m:r>
          <m:d>
            <m:dPr>
              <m:ctrlPr>
                <w:rPr>
                  <w:rFonts w:ascii="Cambria Math" w:hAnsi="Cambria Math" w:cs="Arial"/>
                  <w:i/>
                </w:rPr>
              </m:ctrlPr>
            </m:dPr>
            <m:e>
              <m:r>
                <w:rPr>
                  <w:rFonts w:ascii="Cambria Math" w:hAnsi="Cambria Math" w:cs="Arial"/>
                </w:rPr>
                <m:t>1+PT</m:t>
              </m:r>
            </m:e>
          </m:d>
        </m:oMath>
      </m:oMathPara>
    </w:p>
    <w:p w14:paraId="26F4C092" w14:textId="77777777" w:rsidR="007C7AF7" w:rsidRPr="00AD369B" w:rsidRDefault="007C7AF7" w:rsidP="00B606A2">
      <w:pPr>
        <w:ind w:left="284"/>
        <w:contextualSpacing/>
        <w:jc w:val="both"/>
        <w:rPr>
          <w:rFonts w:ascii="Bookman Old Style" w:hAnsi="Bookman Old Style" w:cs="Arial"/>
        </w:rPr>
      </w:pPr>
    </w:p>
    <w:p w14:paraId="1ADB2716" w14:textId="77777777" w:rsidR="005E42A5" w:rsidRPr="00AD369B" w:rsidRDefault="005E42A5" w:rsidP="00B606A2">
      <w:pPr>
        <w:ind w:left="284"/>
        <w:contextualSpacing/>
        <w:jc w:val="both"/>
        <w:rPr>
          <w:rFonts w:ascii="Bookman Old Style" w:hAnsi="Bookman Old Style" w:cs="Arial"/>
        </w:rPr>
      </w:pPr>
      <w:r w:rsidRPr="00AD369B">
        <w:rPr>
          <w:rFonts w:ascii="Bookman Old Style" w:hAnsi="Bookman Old Style" w:cs="Arial"/>
        </w:rPr>
        <w:t>En donde,</w:t>
      </w:r>
    </w:p>
    <w:p w14:paraId="1D3649B0" w14:textId="77777777" w:rsidR="00843746" w:rsidRPr="00AD369B" w:rsidRDefault="00843746" w:rsidP="00B606A2">
      <w:pPr>
        <w:ind w:left="284"/>
        <w:contextualSpacing/>
        <w:jc w:val="both"/>
        <w:rPr>
          <w:rFonts w:ascii="Bookman Old Style" w:hAnsi="Bookman Old Style" w:cs="Arial"/>
        </w:rPr>
      </w:pPr>
    </w:p>
    <w:tbl>
      <w:tblPr>
        <w:tblStyle w:val="Tablaconcuadrcula"/>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
        <w:gridCol w:w="435"/>
        <w:gridCol w:w="7947"/>
      </w:tblGrid>
      <w:tr w:rsidR="005E42A5" w:rsidRPr="00AD369B" w14:paraId="57334BC4" w14:textId="77777777" w:rsidTr="001A5475">
        <w:tc>
          <w:tcPr>
            <w:tcW w:w="973" w:type="dxa"/>
          </w:tcPr>
          <w:p w14:paraId="4B48E7E5" w14:textId="492C3E3B" w:rsidR="005E42A5" w:rsidRPr="00AD369B" w:rsidRDefault="00A27982" w:rsidP="00B606A2">
            <w:pPr>
              <w:contextualSpacing/>
              <w:rPr>
                <w:rFonts w:ascii="Bookman Old Style" w:hAnsi="Bookman Old Style" w:cs="Arial"/>
                <w:bCs/>
              </w:rPr>
            </w:pPr>
            <m:oMathPara>
              <m:oMathParaPr>
                <m:jc m:val="left"/>
              </m:oMathParaPr>
              <m:oMath>
                <m:sSub>
                  <m:sSubPr>
                    <m:ctrlPr>
                      <w:rPr>
                        <w:rFonts w:ascii="Cambria Math" w:hAnsi="Cambria Math" w:cs="Arial"/>
                        <w:i/>
                      </w:rPr>
                    </m:ctrlPr>
                  </m:sSubPr>
                  <m:e>
                    <m:r>
                      <w:rPr>
                        <w:rFonts w:ascii="Cambria Math" w:hAnsi="Cambria Math" w:cs="Arial"/>
                      </w:rPr>
                      <m:t>CI</m:t>
                    </m:r>
                  </m:e>
                  <m:sub>
                    <m:r>
                      <w:rPr>
                        <w:rFonts w:ascii="Cambria Math" w:hAnsi="Cambria Math" w:cs="Arial"/>
                      </w:rPr>
                      <m:t>D,0</m:t>
                    </m:r>
                  </m:sub>
                </m:sSub>
              </m:oMath>
            </m:oMathPara>
          </w:p>
        </w:tc>
        <w:tc>
          <w:tcPr>
            <w:tcW w:w="435" w:type="dxa"/>
          </w:tcPr>
          <w:p w14:paraId="46F510DC" w14:textId="77777777" w:rsidR="005E42A5" w:rsidRPr="00AD369B" w:rsidRDefault="005E42A5" w:rsidP="00B606A2">
            <w:pPr>
              <w:contextualSpacing/>
              <w:jc w:val="both"/>
              <w:rPr>
                <w:rFonts w:ascii="Bookman Old Style" w:hAnsi="Bookman Old Style" w:cs="Arial"/>
                <w:bCs/>
              </w:rPr>
            </w:pPr>
            <w:r w:rsidRPr="00AD369B">
              <w:rPr>
                <w:rFonts w:ascii="Bookman Old Style" w:hAnsi="Bookman Old Style" w:cs="Arial"/>
                <w:bCs/>
              </w:rPr>
              <w:t>:</w:t>
            </w:r>
          </w:p>
        </w:tc>
        <w:tc>
          <w:tcPr>
            <w:tcW w:w="7947" w:type="dxa"/>
          </w:tcPr>
          <w:p w14:paraId="57BD32B3" w14:textId="44B39DD5" w:rsidR="00AD369B" w:rsidRDefault="005E42A5" w:rsidP="00B606A2">
            <w:pPr>
              <w:contextualSpacing/>
              <w:jc w:val="both"/>
              <w:rPr>
                <w:rFonts w:ascii="Bookman Old Style" w:hAnsi="Bookman Old Style" w:cs="Arial"/>
                <w:bCs/>
              </w:rPr>
            </w:pPr>
            <w:r w:rsidRPr="00AD369B">
              <w:rPr>
                <w:rFonts w:ascii="Bookman Old Style" w:hAnsi="Bookman Old Style" w:cs="Arial"/>
              </w:rPr>
              <w:t xml:space="preserve">Componente de remuneración del costo promedio ponderado de inversión, </w:t>
            </w:r>
            <w:r w:rsidR="00814CEC" w:rsidRPr="00AD369B">
              <w:rPr>
                <w:rFonts w:ascii="Bookman Old Style" w:hAnsi="Bookman Old Style" w:cs="Arial"/>
              </w:rPr>
              <w:t xml:space="preserve">expresado en pesos </w:t>
            </w:r>
            <w:r w:rsidR="002A7D05" w:rsidRPr="00AD369B">
              <w:rPr>
                <w:rFonts w:ascii="Bookman Old Style" w:hAnsi="Bookman Old Style" w:cs="Arial"/>
              </w:rPr>
              <w:t xml:space="preserve">por kilovatio hora </w:t>
            </w:r>
            <w:r w:rsidR="002A7D05" w:rsidRPr="00AD369B">
              <w:rPr>
                <w:rFonts w:ascii="Bookman Old Style" w:hAnsi="Bookman Old Style" w:cs="Arial"/>
                <w:bCs/>
              </w:rPr>
              <w:t>($/kWh)</w:t>
            </w:r>
            <w:r w:rsidR="007140CF" w:rsidRPr="00AD369B">
              <w:rPr>
                <w:rFonts w:ascii="Bookman Old Style" w:hAnsi="Bookman Old Style" w:cs="Arial"/>
                <w:bCs/>
              </w:rPr>
              <w:t xml:space="preserve">, </w:t>
            </w:r>
            <w:r w:rsidRPr="00AD369B">
              <w:rPr>
                <w:rFonts w:ascii="Bookman Old Style" w:hAnsi="Bookman Old Style" w:cs="Arial"/>
              </w:rPr>
              <w:t>por</w:t>
            </w:r>
            <w:r w:rsidR="007140CF" w:rsidRPr="00AD369B">
              <w:rPr>
                <w:rFonts w:ascii="Bookman Old Style" w:hAnsi="Bookman Old Style" w:cs="Arial"/>
              </w:rPr>
              <w:t xml:space="preserve"> la</w:t>
            </w:r>
            <w:r w:rsidRPr="00AD369B">
              <w:rPr>
                <w:rFonts w:ascii="Bookman Old Style" w:hAnsi="Bookman Old Style" w:cs="Arial"/>
              </w:rPr>
              <w:t xml:space="preserve"> energía generada de los recursos energéticos diésel, del mercado relevante de comercialización señalado en este artículo, expresado en pesos constantes de la fecha base, según lo previsto en el literal a) del artículo 22 de la Resolución CREG 091 de 2007, modificada mediante la Resolución CREG 057 de 2009.</w:t>
            </w:r>
          </w:p>
          <w:p w14:paraId="5C8436B3" w14:textId="26B3B897" w:rsidR="00AD369B" w:rsidRPr="00AD369B" w:rsidRDefault="00AD369B" w:rsidP="00B606A2">
            <w:pPr>
              <w:contextualSpacing/>
              <w:jc w:val="both"/>
              <w:rPr>
                <w:rFonts w:ascii="Bookman Old Style" w:hAnsi="Bookman Old Style" w:cs="Arial"/>
                <w:bCs/>
              </w:rPr>
            </w:pPr>
          </w:p>
        </w:tc>
      </w:tr>
      <w:tr w:rsidR="005E42A5" w:rsidRPr="00AD369B" w14:paraId="68826F67" w14:textId="77777777" w:rsidTr="001A5475">
        <w:tc>
          <w:tcPr>
            <w:tcW w:w="973" w:type="dxa"/>
          </w:tcPr>
          <w:p w14:paraId="65EE76C4" w14:textId="6FF85A24" w:rsidR="005E42A5" w:rsidRPr="00AD369B" w:rsidRDefault="00A27982" w:rsidP="00B606A2">
            <w:pPr>
              <w:contextualSpacing/>
              <w:rPr>
                <w:rFonts w:ascii="Bookman Old Style" w:hAnsi="Bookman Old Style" w:cs="Arial"/>
                <w:bCs/>
              </w:rPr>
            </w:pPr>
            <m:oMathPara>
              <m:oMath>
                <m:sSub>
                  <m:sSubPr>
                    <m:ctrlPr>
                      <w:rPr>
                        <w:rFonts w:ascii="Cambria Math" w:hAnsi="Cambria Math" w:cs="Arial"/>
                        <w:i/>
                      </w:rPr>
                    </m:ctrlPr>
                  </m:sSubPr>
                  <m:e>
                    <m:r>
                      <w:rPr>
                        <w:rFonts w:ascii="Cambria Math" w:hAnsi="Cambria Math" w:cs="Arial"/>
                      </w:rPr>
                      <m:t>CM</m:t>
                    </m:r>
                  </m:e>
                  <m:sub>
                    <m:r>
                      <w:rPr>
                        <w:rFonts w:ascii="Cambria Math" w:hAnsi="Cambria Math" w:cs="Arial"/>
                      </w:rPr>
                      <m:t>D,0</m:t>
                    </m:r>
                  </m:sub>
                </m:sSub>
              </m:oMath>
            </m:oMathPara>
          </w:p>
        </w:tc>
        <w:tc>
          <w:tcPr>
            <w:tcW w:w="435" w:type="dxa"/>
          </w:tcPr>
          <w:p w14:paraId="084F31DF" w14:textId="77777777" w:rsidR="005E42A5" w:rsidRPr="00AD369B" w:rsidRDefault="005E42A5" w:rsidP="00B606A2">
            <w:pPr>
              <w:contextualSpacing/>
              <w:jc w:val="both"/>
              <w:rPr>
                <w:rFonts w:ascii="Bookman Old Style" w:hAnsi="Bookman Old Style" w:cs="Arial"/>
                <w:bCs/>
              </w:rPr>
            </w:pPr>
            <w:r w:rsidRPr="00AD369B">
              <w:rPr>
                <w:rFonts w:ascii="Bookman Old Style" w:hAnsi="Bookman Old Style" w:cs="Arial"/>
                <w:bCs/>
              </w:rPr>
              <w:t>:</w:t>
            </w:r>
          </w:p>
        </w:tc>
        <w:tc>
          <w:tcPr>
            <w:tcW w:w="7947" w:type="dxa"/>
          </w:tcPr>
          <w:p w14:paraId="6138E45E" w14:textId="1A02806B" w:rsidR="005E42A5" w:rsidRPr="00AD369B" w:rsidRDefault="005E42A5" w:rsidP="00B606A2">
            <w:pPr>
              <w:contextualSpacing/>
              <w:jc w:val="both"/>
              <w:rPr>
                <w:rFonts w:ascii="Bookman Old Style" w:hAnsi="Bookman Old Style" w:cs="Arial"/>
              </w:rPr>
            </w:pPr>
            <w:r w:rsidRPr="00AD369B">
              <w:rPr>
                <w:rFonts w:ascii="Bookman Old Style" w:hAnsi="Bookman Old Style" w:cs="Arial"/>
              </w:rPr>
              <w:t xml:space="preserve">Componente de remuneración del costo promedio ponderado de mantenimiento, </w:t>
            </w:r>
            <w:r w:rsidR="00D13138" w:rsidRPr="00AD369B">
              <w:rPr>
                <w:rFonts w:ascii="Bookman Old Style" w:hAnsi="Bookman Old Style" w:cs="Arial"/>
              </w:rPr>
              <w:t xml:space="preserve">expresado en pesos por kilovatio hora </w:t>
            </w:r>
            <w:r w:rsidR="00D13138" w:rsidRPr="00AD369B">
              <w:rPr>
                <w:rFonts w:ascii="Bookman Old Style" w:hAnsi="Bookman Old Style" w:cs="Arial"/>
                <w:bCs/>
              </w:rPr>
              <w:t xml:space="preserve">($/kWh), </w:t>
            </w:r>
            <w:r w:rsidR="00D13138" w:rsidRPr="00AD369B">
              <w:rPr>
                <w:rFonts w:ascii="Bookman Old Style" w:hAnsi="Bookman Old Style" w:cs="Arial"/>
              </w:rPr>
              <w:t>por la energía generada de los recursos energéticos diésel</w:t>
            </w:r>
            <w:r w:rsidRPr="00AD369B">
              <w:rPr>
                <w:rFonts w:ascii="Bookman Old Style" w:hAnsi="Bookman Old Style" w:cs="Arial"/>
              </w:rPr>
              <w:t>, del mercado relevante de comercialización señalado en este artículo, expresado en pesos constantes de la fecha base, según lo previsto en el literal a) del artículo 22 de la Resolución CREG 091 de 2007, modificada mediante la Resolución CREG 057 de 2009.</w:t>
            </w:r>
          </w:p>
          <w:p w14:paraId="5E9DD85E" w14:textId="77777777" w:rsidR="005E42A5" w:rsidRPr="00AD369B" w:rsidRDefault="005E42A5" w:rsidP="00B606A2">
            <w:pPr>
              <w:contextualSpacing/>
              <w:jc w:val="both"/>
              <w:rPr>
                <w:rFonts w:ascii="Bookman Old Style" w:hAnsi="Bookman Old Style" w:cs="Arial"/>
              </w:rPr>
            </w:pPr>
          </w:p>
        </w:tc>
      </w:tr>
      <w:tr w:rsidR="005E42A5" w:rsidRPr="00AD369B" w14:paraId="4CF5E5F7" w14:textId="77777777" w:rsidTr="001A5475">
        <w:tc>
          <w:tcPr>
            <w:tcW w:w="973" w:type="dxa"/>
          </w:tcPr>
          <w:p w14:paraId="6EF8B9C7" w14:textId="77777777" w:rsidR="005E42A5" w:rsidRPr="00AD369B" w:rsidRDefault="00A27982" w:rsidP="00B606A2">
            <w:pPr>
              <w:contextualSpacing/>
              <w:rPr>
                <w:rFonts w:ascii="Bookman Old Style" w:hAnsi="Bookman Old Style" w:cs="Arial"/>
                <w:bCs/>
              </w:rPr>
            </w:pPr>
            <m:oMathPara>
              <m:oMathParaPr>
                <m:jc m:val="left"/>
              </m:oMathParaPr>
              <m:oMath>
                <m:sSub>
                  <m:sSubPr>
                    <m:ctrlPr>
                      <w:rPr>
                        <w:rFonts w:ascii="Cambria Math" w:hAnsi="Cambria Math" w:cs="Arial"/>
                        <w:i/>
                      </w:rPr>
                    </m:ctrlPr>
                  </m:sSubPr>
                  <m:e>
                    <m:r>
                      <w:rPr>
                        <w:rFonts w:ascii="Cambria Math" w:hAnsi="Cambria Math" w:cs="Arial"/>
                      </w:rPr>
                      <m:t>CC</m:t>
                    </m:r>
                  </m:e>
                  <m:sub>
                    <m:r>
                      <w:rPr>
                        <w:rFonts w:ascii="Cambria Math" w:hAnsi="Cambria Math" w:cs="Arial"/>
                      </w:rPr>
                      <m:t>m</m:t>
                    </m:r>
                  </m:sub>
                </m:sSub>
              </m:oMath>
            </m:oMathPara>
          </w:p>
        </w:tc>
        <w:tc>
          <w:tcPr>
            <w:tcW w:w="435" w:type="dxa"/>
          </w:tcPr>
          <w:p w14:paraId="56FBEEB1" w14:textId="77777777" w:rsidR="005E42A5" w:rsidRPr="00AD369B" w:rsidRDefault="005E42A5" w:rsidP="00B606A2">
            <w:pPr>
              <w:contextualSpacing/>
              <w:jc w:val="both"/>
              <w:rPr>
                <w:rFonts w:ascii="Bookman Old Style" w:hAnsi="Bookman Old Style" w:cs="Arial"/>
                <w:bCs/>
              </w:rPr>
            </w:pPr>
            <w:r w:rsidRPr="00AD369B">
              <w:rPr>
                <w:rFonts w:ascii="Bookman Old Style" w:hAnsi="Bookman Old Style" w:cs="Arial"/>
                <w:bCs/>
              </w:rPr>
              <w:t>:</w:t>
            </w:r>
          </w:p>
        </w:tc>
        <w:tc>
          <w:tcPr>
            <w:tcW w:w="7947" w:type="dxa"/>
          </w:tcPr>
          <w:p w14:paraId="1A00EF9E" w14:textId="5B09A041" w:rsidR="005E42A5" w:rsidRPr="00AD369B" w:rsidRDefault="005E42A5" w:rsidP="00B606A2">
            <w:pPr>
              <w:contextualSpacing/>
              <w:jc w:val="both"/>
              <w:rPr>
                <w:rFonts w:ascii="Bookman Old Style" w:hAnsi="Bookman Old Style" w:cs="Arial"/>
              </w:rPr>
            </w:pPr>
            <w:r w:rsidRPr="00AD369B">
              <w:rPr>
                <w:rFonts w:ascii="Bookman Old Style" w:hAnsi="Bookman Old Style" w:cs="Arial"/>
              </w:rPr>
              <w:t xml:space="preserve">Componente de remuneración del costo promedio de combustible, por energía generada, de los recursos energéticos diésel, del mercado relevante de comercialización señalado en este artículo, para el mes </w:t>
            </w:r>
            <w:r w:rsidRPr="00AD369B">
              <w:rPr>
                <w:rFonts w:ascii="Bookman Old Style" w:hAnsi="Bookman Old Style" w:cs="Arial"/>
                <w:i/>
              </w:rPr>
              <w:t>m</w:t>
            </w:r>
            <w:r w:rsidRPr="00AD369B">
              <w:rPr>
                <w:rFonts w:ascii="Bookman Old Style" w:hAnsi="Bookman Old Style" w:cs="Arial"/>
              </w:rPr>
              <w:t>, expresado en pesos por kilovatio hora ($/k</w:t>
            </w:r>
            <w:r w:rsidR="00376976" w:rsidRPr="00AD369B">
              <w:rPr>
                <w:rFonts w:ascii="Bookman Old Style" w:hAnsi="Bookman Old Style" w:cs="Arial"/>
              </w:rPr>
              <w:t>W</w:t>
            </w:r>
            <w:r w:rsidRPr="00AD369B">
              <w:rPr>
                <w:rFonts w:ascii="Bookman Old Style" w:hAnsi="Bookman Old Style" w:cs="Arial"/>
              </w:rPr>
              <w:t>h), según lo previsto en el numeral 24.1 del artículo 24 de la Resolución CREG 091 de 2007.</w:t>
            </w:r>
          </w:p>
          <w:p w14:paraId="30F548C8" w14:textId="77777777" w:rsidR="005E42A5" w:rsidRPr="00AD369B" w:rsidRDefault="005E42A5" w:rsidP="00B606A2">
            <w:pPr>
              <w:contextualSpacing/>
              <w:jc w:val="both"/>
              <w:rPr>
                <w:rFonts w:ascii="Bookman Old Style" w:hAnsi="Bookman Old Style" w:cs="Arial"/>
              </w:rPr>
            </w:pPr>
          </w:p>
        </w:tc>
      </w:tr>
      <w:tr w:rsidR="005E42A5" w:rsidRPr="00AD369B" w14:paraId="44E88437" w14:textId="77777777" w:rsidTr="001A5475">
        <w:tc>
          <w:tcPr>
            <w:tcW w:w="973" w:type="dxa"/>
          </w:tcPr>
          <w:p w14:paraId="10840F3F" w14:textId="77777777" w:rsidR="005E42A5" w:rsidRPr="00AD369B" w:rsidRDefault="00A27982" w:rsidP="00B606A2">
            <w:pPr>
              <w:contextualSpacing/>
              <w:rPr>
                <w:rFonts w:ascii="Bookman Old Style" w:hAnsi="Bookman Old Style" w:cs="Arial"/>
                <w:bCs/>
              </w:rPr>
            </w:pPr>
            <m:oMathPara>
              <m:oMathParaPr>
                <m:jc m:val="left"/>
              </m:oMathParaPr>
              <m:oMath>
                <m:sSub>
                  <m:sSubPr>
                    <m:ctrlPr>
                      <w:rPr>
                        <w:rFonts w:ascii="Cambria Math" w:hAnsi="Cambria Math" w:cs="Arial"/>
                        <w:i/>
                      </w:rPr>
                    </m:ctrlPr>
                  </m:sSubPr>
                  <m:e>
                    <m:r>
                      <w:rPr>
                        <w:rFonts w:ascii="Cambria Math" w:hAnsi="Cambria Math" w:cs="Arial"/>
                      </w:rPr>
                      <m:t>CL</m:t>
                    </m:r>
                  </m:e>
                  <m:sub>
                    <m:r>
                      <w:rPr>
                        <w:rFonts w:ascii="Cambria Math" w:hAnsi="Cambria Math" w:cs="Arial"/>
                      </w:rPr>
                      <m:t>m</m:t>
                    </m:r>
                  </m:sub>
                </m:sSub>
              </m:oMath>
            </m:oMathPara>
          </w:p>
        </w:tc>
        <w:tc>
          <w:tcPr>
            <w:tcW w:w="435" w:type="dxa"/>
          </w:tcPr>
          <w:p w14:paraId="3549A78C" w14:textId="77777777" w:rsidR="005E42A5" w:rsidRPr="00AD369B" w:rsidRDefault="005E42A5" w:rsidP="00B606A2">
            <w:pPr>
              <w:contextualSpacing/>
              <w:jc w:val="both"/>
              <w:rPr>
                <w:rFonts w:ascii="Bookman Old Style" w:hAnsi="Bookman Old Style" w:cs="Arial"/>
                <w:bCs/>
              </w:rPr>
            </w:pPr>
            <w:r w:rsidRPr="00AD369B">
              <w:rPr>
                <w:rFonts w:ascii="Bookman Old Style" w:hAnsi="Bookman Old Style" w:cs="Arial"/>
                <w:bCs/>
              </w:rPr>
              <w:t>:</w:t>
            </w:r>
          </w:p>
        </w:tc>
        <w:tc>
          <w:tcPr>
            <w:tcW w:w="7947" w:type="dxa"/>
          </w:tcPr>
          <w:p w14:paraId="65AD8085" w14:textId="43A500B7" w:rsidR="005E42A5" w:rsidRPr="00AD369B" w:rsidRDefault="005E42A5" w:rsidP="00B606A2">
            <w:pPr>
              <w:contextualSpacing/>
              <w:jc w:val="both"/>
              <w:rPr>
                <w:rFonts w:ascii="Bookman Old Style" w:hAnsi="Bookman Old Style" w:cs="Arial"/>
              </w:rPr>
            </w:pPr>
            <w:r w:rsidRPr="00AD369B">
              <w:rPr>
                <w:rFonts w:ascii="Bookman Old Style" w:hAnsi="Bookman Old Style" w:cs="Arial"/>
              </w:rPr>
              <w:t xml:space="preserve">Componente de remuneración del costo promedio de lubricante, por energía generada, de los recursos energéticos diésel, del mercado relevante de comercialización señalado en este artículo, para el mes </w:t>
            </w:r>
            <w:r w:rsidRPr="00AD369B">
              <w:rPr>
                <w:rFonts w:ascii="Bookman Old Style" w:hAnsi="Bookman Old Style" w:cs="Arial"/>
                <w:i/>
              </w:rPr>
              <w:t>m</w:t>
            </w:r>
            <w:r w:rsidRPr="00AD369B">
              <w:rPr>
                <w:rFonts w:ascii="Bookman Old Style" w:hAnsi="Bookman Old Style" w:cs="Arial"/>
              </w:rPr>
              <w:t>, expresado en pesos por kilovatio hora ($/k</w:t>
            </w:r>
            <w:r w:rsidR="00376976" w:rsidRPr="00AD369B">
              <w:rPr>
                <w:rFonts w:ascii="Bookman Old Style" w:hAnsi="Bookman Old Style" w:cs="Arial"/>
              </w:rPr>
              <w:t>W</w:t>
            </w:r>
            <w:r w:rsidRPr="00AD369B">
              <w:rPr>
                <w:rFonts w:ascii="Bookman Old Style" w:hAnsi="Bookman Old Style" w:cs="Arial"/>
              </w:rPr>
              <w:t>h), según lo previsto en el numeral 24.1 del artículo 24 de la Resolución CREG 091 de 2007.</w:t>
            </w:r>
          </w:p>
          <w:p w14:paraId="4C286647" w14:textId="46B594E4" w:rsidR="00843746" w:rsidRPr="00AD369B" w:rsidRDefault="00843746" w:rsidP="00B606A2">
            <w:pPr>
              <w:contextualSpacing/>
              <w:jc w:val="both"/>
              <w:rPr>
                <w:rFonts w:ascii="Bookman Old Style" w:hAnsi="Bookman Old Style" w:cs="Arial"/>
              </w:rPr>
            </w:pPr>
          </w:p>
        </w:tc>
      </w:tr>
      <w:tr w:rsidR="005E42A5" w:rsidRPr="00AD369B" w14:paraId="79C0523E" w14:textId="77777777" w:rsidTr="001A5475">
        <w:tc>
          <w:tcPr>
            <w:tcW w:w="973" w:type="dxa"/>
          </w:tcPr>
          <w:p w14:paraId="27250454" w14:textId="77777777" w:rsidR="005E42A5" w:rsidRPr="00AD369B" w:rsidRDefault="005E42A5" w:rsidP="00B606A2">
            <w:pPr>
              <w:contextualSpacing/>
            </w:pPr>
            <m:oMathPara>
              <m:oMathParaPr>
                <m:jc m:val="left"/>
              </m:oMathParaPr>
              <m:oMath>
                <m:r>
                  <w:rPr>
                    <w:rFonts w:ascii="Cambria Math" w:hAnsi="Cambria Math" w:cs="Arial"/>
                  </w:rPr>
                  <m:t>PT</m:t>
                </m:r>
              </m:oMath>
            </m:oMathPara>
          </w:p>
        </w:tc>
        <w:tc>
          <w:tcPr>
            <w:tcW w:w="435" w:type="dxa"/>
          </w:tcPr>
          <w:p w14:paraId="5223D5E5" w14:textId="77777777" w:rsidR="005E42A5" w:rsidRPr="00AD369B" w:rsidRDefault="005E42A5" w:rsidP="00B606A2">
            <w:pPr>
              <w:contextualSpacing/>
              <w:jc w:val="both"/>
              <w:rPr>
                <w:rFonts w:ascii="Bookman Old Style" w:hAnsi="Bookman Old Style" w:cs="Arial"/>
                <w:bCs/>
              </w:rPr>
            </w:pPr>
            <w:r w:rsidRPr="00AD369B">
              <w:rPr>
                <w:rFonts w:ascii="Bookman Old Style" w:hAnsi="Bookman Old Style" w:cs="Arial"/>
                <w:bCs/>
              </w:rPr>
              <w:t>:</w:t>
            </w:r>
          </w:p>
        </w:tc>
        <w:tc>
          <w:tcPr>
            <w:tcW w:w="7947" w:type="dxa"/>
          </w:tcPr>
          <w:p w14:paraId="43D181B1" w14:textId="77777777" w:rsidR="005E42A5" w:rsidRPr="00AD369B" w:rsidRDefault="005E42A5" w:rsidP="00B606A2">
            <w:pPr>
              <w:contextualSpacing/>
              <w:jc w:val="both"/>
              <w:rPr>
                <w:rFonts w:ascii="Bookman Old Style" w:hAnsi="Bookman Old Style" w:cs="Arial"/>
              </w:rPr>
            </w:pPr>
            <w:r w:rsidRPr="00AD369B">
              <w:rPr>
                <w:rFonts w:ascii="Bookman Old Style" w:hAnsi="Bookman Old Style" w:cs="Arial"/>
              </w:rPr>
              <w:t>Porcentaje de pérdidas promedio de transformación, de la conexión de los recursos energéticos diésel al sistema de distribución, del mercado relevante de comercialización señalado en este artículo, según lo previsto en el numeral 24.1 del artículo 24 de la Resolución CREG 091 de 2007.</w:t>
            </w:r>
          </w:p>
          <w:p w14:paraId="5769326D" w14:textId="77777777" w:rsidR="005E42A5" w:rsidRPr="00AD369B" w:rsidRDefault="005E42A5" w:rsidP="00B606A2">
            <w:pPr>
              <w:contextualSpacing/>
              <w:jc w:val="both"/>
              <w:rPr>
                <w:rFonts w:ascii="Bookman Old Style" w:hAnsi="Bookman Old Style" w:cs="Arial"/>
              </w:rPr>
            </w:pPr>
          </w:p>
        </w:tc>
      </w:tr>
      <w:tr w:rsidR="005E42A5" w:rsidRPr="00AD369B" w14:paraId="707C98B7" w14:textId="77777777" w:rsidTr="001A5475">
        <w:tc>
          <w:tcPr>
            <w:tcW w:w="973" w:type="dxa"/>
          </w:tcPr>
          <w:p w14:paraId="621FFBC6" w14:textId="77777777" w:rsidR="005E42A5" w:rsidRPr="00AD369B" w:rsidRDefault="00A27982" w:rsidP="00B606A2">
            <w:pPr>
              <w:contextualSpacing/>
              <w:rPr>
                <w:rFonts w:ascii="Bookman Old Style" w:hAnsi="Bookman Old Style" w:cs="Arial"/>
                <w:bCs/>
              </w:rPr>
            </w:pPr>
            <m:oMathPara>
              <m:oMathParaPr>
                <m:jc m:val="left"/>
              </m:oMathParaPr>
              <m:oMath>
                <m:sSub>
                  <m:sSubPr>
                    <m:ctrlPr>
                      <w:rPr>
                        <w:rFonts w:ascii="Cambria Math" w:hAnsi="Cambria Math" w:cs="Arial"/>
                        <w:i/>
                      </w:rPr>
                    </m:ctrlPr>
                  </m:sSubPr>
                  <m:e>
                    <m:r>
                      <w:rPr>
                        <w:rFonts w:ascii="Cambria Math" w:hAnsi="Cambria Math" w:cs="Arial"/>
                      </w:rPr>
                      <m:t>IPP</m:t>
                    </m:r>
                  </m:e>
                  <m:sub>
                    <m:r>
                      <w:rPr>
                        <w:rFonts w:ascii="Cambria Math" w:hAnsi="Cambria Math" w:cs="Arial"/>
                      </w:rPr>
                      <m:t>m-1</m:t>
                    </m:r>
                  </m:sub>
                </m:sSub>
              </m:oMath>
            </m:oMathPara>
          </w:p>
        </w:tc>
        <w:tc>
          <w:tcPr>
            <w:tcW w:w="435" w:type="dxa"/>
          </w:tcPr>
          <w:p w14:paraId="000AC076" w14:textId="77777777" w:rsidR="005E42A5" w:rsidRPr="00AD369B" w:rsidRDefault="005E42A5" w:rsidP="00B606A2">
            <w:pPr>
              <w:contextualSpacing/>
              <w:jc w:val="both"/>
              <w:rPr>
                <w:rFonts w:ascii="Bookman Old Style" w:hAnsi="Bookman Old Style" w:cs="Arial"/>
                <w:bCs/>
              </w:rPr>
            </w:pPr>
            <w:r w:rsidRPr="00AD369B">
              <w:rPr>
                <w:rFonts w:ascii="Bookman Old Style" w:hAnsi="Bookman Old Style" w:cs="Arial"/>
                <w:bCs/>
              </w:rPr>
              <w:t>:</w:t>
            </w:r>
          </w:p>
        </w:tc>
        <w:tc>
          <w:tcPr>
            <w:tcW w:w="7947" w:type="dxa"/>
          </w:tcPr>
          <w:p w14:paraId="37862710" w14:textId="77777777" w:rsidR="005E42A5" w:rsidRPr="00AD369B" w:rsidRDefault="005E42A5" w:rsidP="00B606A2">
            <w:pPr>
              <w:contextualSpacing/>
              <w:jc w:val="both"/>
              <w:rPr>
                <w:rFonts w:ascii="Bookman Old Style" w:hAnsi="Bookman Old Style" w:cs="Arial"/>
              </w:rPr>
            </w:pPr>
            <w:r w:rsidRPr="00AD369B">
              <w:rPr>
                <w:rFonts w:ascii="Bookman Old Style" w:hAnsi="Bookman Old Style" w:cs="Arial"/>
              </w:rPr>
              <w:t xml:space="preserve">Índice de precios al productor, Oferta Interna, del mes </w:t>
            </w:r>
            <w:r w:rsidRPr="00AD369B">
              <w:rPr>
                <w:rFonts w:ascii="Bookman Old Style" w:hAnsi="Bookman Old Style" w:cs="Arial"/>
                <w:i/>
              </w:rPr>
              <w:t>m-1</w:t>
            </w:r>
            <w:r w:rsidRPr="00AD369B">
              <w:rPr>
                <w:rFonts w:ascii="Bookman Old Style" w:hAnsi="Bookman Old Style" w:cs="Arial"/>
              </w:rPr>
              <w:t>.</w:t>
            </w:r>
          </w:p>
          <w:p w14:paraId="3095737F" w14:textId="77777777" w:rsidR="005E42A5" w:rsidRPr="00AD369B" w:rsidRDefault="005E42A5" w:rsidP="00B606A2">
            <w:pPr>
              <w:contextualSpacing/>
              <w:jc w:val="both"/>
              <w:rPr>
                <w:rFonts w:ascii="Bookman Old Style" w:hAnsi="Bookman Old Style" w:cs="Arial"/>
              </w:rPr>
            </w:pPr>
          </w:p>
        </w:tc>
      </w:tr>
      <w:tr w:rsidR="005E42A5" w:rsidRPr="00AD369B" w14:paraId="73ABFFD8" w14:textId="77777777" w:rsidTr="001A5475">
        <w:tc>
          <w:tcPr>
            <w:tcW w:w="973" w:type="dxa"/>
          </w:tcPr>
          <w:p w14:paraId="76FB8C8E" w14:textId="77777777" w:rsidR="005E42A5" w:rsidRPr="00AD369B" w:rsidRDefault="00A27982" w:rsidP="00B606A2">
            <w:pPr>
              <w:contextualSpacing/>
              <w:rPr>
                <w:rFonts w:ascii="Bookman Old Style" w:hAnsi="Bookman Old Style" w:cs="Arial"/>
                <w:bCs/>
              </w:rPr>
            </w:pPr>
            <m:oMathPara>
              <m:oMathParaPr>
                <m:jc m:val="left"/>
              </m:oMathParaPr>
              <m:oMath>
                <m:sSub>
                  <m:sSubPr>
                    <m:ctrlPr>
                      <w:rPr>
                        <w:rFonts w:ascii="Cambria Math" w:hAnsi="Cambria Math" w:cs="Arial"/>
                        <w:i/>
                      </w:rPr>
                    </m:ctrlPr>
                  </m:sSubPr>
                  <m:e>
                    <m:r>
                      <w:rPr>
                        <w:rFonts w:ascii="Cambria Math" w:hAnsi="Cambria Math" w:cs="Arial"/>
                      </w:rPr>
                      <m:t>IPP</m:t>
                    </m:r>
                  </m:e>
                  <m:sub>
                    <m:r>
                      <w:rPr>
                        <w:rFonts w:ascii="Cambria Math" w:hAnsi="Cambria Math" w:cs="Arial"/>
                      </w:rPr>
                      <m:t>0</m:t>
                    </m:r>
                  </m:sub>
                </m:sSub>
              </m:oMath>
            </m:oMathPara>
          </w:p>
        </w:tc>
        <w:tc>
          <w:tcPr>
            <w:tcW w:w="435" w:type="dxa"/>
          </w:tcPr>
          <w:p w14:paraId="2B4C08F7" w14:textId="77777777" w:rsidR="005E42A5" w:rsidRPr="00AD369B" w:rsidRDefault="005E42A5" w:rsidP="00B606A2">
            <w:pPr>
              <w:contextualSpacing/>
              <w:jc w:val="both"/>
              <w:rPr>
                <w:rFonts w:ascii="Bookman Old Style" w:hAnsi="Bookman Old Style" w:cs="Arial"/>
                <w:bCs/>
              </w:rPr>
            </w:pPr>
            <w:r w:rsidRPr="00AD369B">
              <w:rPr>
                <w:rFonts w:ascii="Bookman Old Style" w:hAnsi="Bookman Old Style" w:cs="Arial"/>
                <w:bCs/>
              </w:rPr>
              <w:t>:</w:t>
            </w:r>
          </w:p>
        </w:tc>
        <w:tc>
          <w:tcPr>
            <w:tcW w:w="7947" w:type="dxa"/>
          </w:tcPr>
          <w:p w14:paraId="1F00BC6E" w14:textId="77777777" w:rsidR="005E42A5" w:rsidRPr="00AD369B" w:rsidRDefault="005E42A5" w:rsidP="00B606A2">
            <w:pPr>
              <w:contextualSpacing/>
              <w:jc w:val="both"/>
              <w:rPr>
                <w:rFonts w:ascii="Bookman Old Style" w:hAnsi="Bookman Old Style" w:cs="Arial"/>
              </w:rPr>
            </w:pPr>
            <w:r w:rsidRPr="00AD369B">
              <w:rPr>
                <w:rFonts w:ascii="Bookman Old Style" w:hAnsi="Bookman Old Style" w:cs="Arial"/>
              </w:rPr>
              <w:t>Índice de precios al productor, Oferta Interna, de la fecha base.</w:t>
            </w:r>
          </w:p>
          <w:p w14:paraId="7A49937C" w14:textId="77777777" w:rsidR="005E42A5" w:rsidRPr="00AD369B" w:rsidRDefault="005E42A5" w:rsidP="00B606A2">
            <w:pPr>
              <w:contextualSpacing/>
              <w:jc w:val="both"/>
              <w:rPr>
                <w:rFonts w:ascii="Bookman Old Style" w:hAnsi="Bookman Old Style" w:cs="Arial"/>
              </w:rPr>
            </w:pPr>
          </w:p>
        </w:tc>
      </w:tr>
    </w:tbl>
    <w:p w14:paraId="420F95D2" w14:textId="07067E6E" w:rsidR="005E42A5" w:rsidRPr="008419E1" w:rsidRDefault="005E42A5" w:rsidP="00B606A2">
      <w:pPr>
        <w:ind w:left="284"/>
        <w:contextualSpacing/>
        <w:jc w:val="both"/>
        <w:rPr>
          <w:rFonts w:ascii="Bookman Old Style" w:hAnsi="Bookman Old Style" w:cs="Arial"/>
        </w:rPr>
      </w:pPr>
      <w:r w:rsidRPr="008419E1">
        <w:rPr>
          <w:rFonts w:ascii="Bookman Old Style" w:hAnsi="Bookman Old Style" w:cs="Arial"/>
        </w:rPr>
        <w:t xml:space="preserve">El valor de </w:t>
      </w:r>
      <m:oMath>
        <m:sSub>
          <m:sSubPr>
            <m:ctrlPr>
              <w:rPr>
                <w:rFonts w:ascii="Cambria Math" w:hAnsi="Cambria Math" w:cs="Arial"/>
                <w:i/>
              </w:rPr>
            </m:ctrlPr>
          </m:sSubPr>
          <m:e>
            <m:r>
              <w:rPr>
                <w:rFonts w:ascii="Cambria Math" w:hAnsi="Cambria Math" w:cs="Arial"/>
              </w:rPr>
              <m:t>G</m:t>
            </m:r>
          </m:e>
          <m:sub>
            <m:r>
              <w:rPr>
                <w:rFonts w:ascii="Cambria Math" w:hAnsi="Cambria Math" w:cs="Arial"/>
              </w:rPr>
              <m:t>SFV,m</m:t>
            </m:r>
          </m:sub>
        </m:sSub>
      </m:oMath>
      <w:r w:rsidRPr="008419E1">
        <w:rPr>
          <w:rFonts w:ascii="Bookman Old Style" w:hAnsi="Bookman Old Style" w:cs="Arial"/>
        </w:rPr>
        <w:t xml:space="preserve"> se obtiene a partir de la siguiente fórmula:</w:t>
      </w:r>
    </w:p>
    <w:p w14:paraId="0D94D65E" w14:textId="21F08514" w:rsidR="00C0359A" w:rsidRPr="008419E1" w:rsidRDefault="00C0359A" w:rsidP="00B606A2">
      <w:pPr>
        <w:ind w:left="284"/>
        <w:contextualSpacing/>
        <w:jc w:val="both"/>
        <w:rPr>
          <w:rFonts w:ascii="Bookman Old Style" w:hAnsi="Bookman Old Style" w:cs="Arial"/>
        </w:rPr>
      </w:pPr>
    </w:p>
    <w:p w14:paraId="232E1B32" w14:textId="292F229B" w:rsidR="00C0359A" w:rsidRPr="008419E1" w:rsidRDefault="00A27982" w:rsidP="00B606A2">
      <w:pPr>
        <w:ind w:left="284"/>
        <w:contextualSpacing/>
        <w:jc w:val="both"/>
        <w:rPr>
          <w:rFonts w:ascii="Bookman Old Style" w:hAnsi="Bookman Old Style" w:cs="Arial"/>
        </w:rPr>
      </w:pPr>
      <m:oMathPara>
        <m:oMath>
          <m:sSub>
            <m:sSubPr>
              <m:ctrlPr>
                <w:rPr>
                  <w:rFonts w:ascii="Cambria Math" w:hAnsi="Cambria Math" w:cs="Arial"/>
                  <w:i/>
                </w:rPr>
              </m:ctrlPr>
            </m:sSubPr>
            <m:e>
              <m:r>
                <w:rPr>
                  <w:rFonts w:ascii="Cambria Math" w:hAnsi="Cambria Math" w:cs="Arial"/>
                </w:rPr>
                <m:t>G</m:t>
              </m:r>
            </m:e>
            <m:sub>
              <m:r>
                <w:rPr>
                  <w:rFonts w:ascii="Cambria Math" w:hAnsi="Cambria Math" w:cs="Arial"/>
                </w:rPr>
                <m:t>SFV,m</m:t>
              </m:r>
            </m:sub>
          </m:sSub>
          <m:r>
            <w:rPr>
              <w:rFonts w:ascii="Cambria Math" w:hAnsi="Cambria Math" w:cs="Arial"/>
            </w:rPr>
            <m:t>=</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CI</m:t>
                  </m:r>
                </m:e>
                <m:sub>
                  <m:r>
                    <w:rPr>
                      <w:rFonts w:ascii="Cambria Math" w:hAnsi="Cambria Math" w:cs="Arial"/>
                    </w:rPr>
                    <m:t>SFV,0</m:t>
                  </m:r>
                </m:sub>
              </m:sSub>
              <m:r>
                <w:rPr>
                  <w:rFonts w:ascii="Cambria Math" w:hAnsi="Cambria Math" w:cs="Arial"/>
                </w:rPr>
                <m:t>+</m:t>
              </m:r>
              <m:sSub>
                <m:sSubPr>
                  <m:ctrlPr>
                    <w:rPr>
                      <w:rFonts w:ascii="Cambria Math" w:hAnsi="Cambria Math" w:cs="Arial"/>
                      <w:i/>
                    </w:rPr>
                  </m:ctrlPr>
                </m:sSubPr>
                <m:e>
                  <m:r>
                    <w:rPr>
                      <w:rFonts w:ascii="Cambria Math" w:hAnsi="Cambria Math" w:cs="Arial"/>
                    </w:rPr>
                    <m:t>CM</m:t>
                  </m:r>
                </m:e>
                <m:sub>
                  <m:r>
                    <w:rPr>
                      <w:rFonts w:ascii="Cambria Math" w:hAnsi="Cambria Math" w:cs="Arial"/>
                    </w:rPr>
                    <m:t>SFV,0</m:t>
                  </m:r>
                </m:sub>
              </m:sSub>
            </m:e>
          </m:d>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IPP</m:t>
                  </m:r>
                </m:e>
                <m:sub>
                  <m:r>
                    <w:rPr>
                      <w:rFonts w:ascii="Cambria Math" w:hAnsi="Cambria Math" w:cs="Arial"/>
                    </w:rPr>
                    <m:t>m-1</m:t>
                  </m:r>
                </m:sub>
              </m:sSub>
            </m:num>
            <m:den>
              <m:sSub>
                <m:sSubPr>
                  <m:ctrlPr>
                    <w:rPr>
                      <w:rFonts w:ascii="Cambria Math" w:hAnsi="Cambria Math" w:cs="Arial"/>
                      <w:i/>
                    </w:rPr>
                  </m:ctrlPr>
                </m:sSubPr>
                <m:e>
                  <m:r>
                    <w:rPr>
                      <w:rFonts w:ascii="Cambria Math" w:hAnsi="Cambria Math" w:cs="Arial"/>
                    </w:rPr>
                    <m:t>IPP</m:t>
                  </m:r>
                </m:e>
                <m:sub>
                  <m:r>
                    <w:rPr>
                      <w:rFonts w:ascii="Cambria Math" w:hAnsi="Cambria Math" w:cs="Arial"/>
                    </w:rPr>
                    <m:t>0</m:t>
                  </m:r>
                </m:sub>
              </m:sSub>
            </m:den>
          </m:f>
        </m:oMath>
      </m:oMathPara>
    </w:p>
    <w:p w14:paraId="42923AD5" w14:textId="77777777" w:rsidR="00C0359A" w:rsidRPr="008419E1" w:rsidRDefault="00C0359A" w:rsidP="00B606A2">
      <w:pPr>
        <w:ind w:left="284"/>
        <w:contextualSpacing/>
        <w:jc w:val="both"/>
        <w:rPr>
          <w:rFonts w:ascii="Bookman Old Style" w:hAnsi="Bookman Old Style" w:cs="Arial"/>
        </w:rPr>
      </w:pPr>
    </w:p>
    <w:p w14:paraId="24C0AC0F" w14:textId="77777777" w:rsidR="005E42A5" w:rsidRPr="008419E1" w:rsidRDefault="005E42A5" w:rsidP="00B606A2">
      <w:pPr>
        <w:ind w:left="284"/>
        <w:contextualSpacing/>
        <w:jc w:val="both"/>
        <w:rPr>
          <w:rFonts w:ascii="Bookman Old Style" w:hAnsi="Bookman Old Style" w:cs="Arial"/>
        </w:rPr>
      </w:pPr>
      <w:r w:rsidRPr="008419E1">
        <w:rPr>
          <w:rFonts w:ascii="Bookman Old Style" w:hAnsi="Bookman Old Style" w:cs="Arial"/>
        </w:rPr>
        <w:t>En donde,</w:t>
      </w:r>
    </w:p>
    <w:p w14:paraId="0E9577EB" w14:textId="77777777" w:rsidR="005E42A5" w:rsidRPr="008419E1" w:rsidRDefault="005E42A5" w:rsidP="00B606A2">
      <w:pPr>
        <w:ind w:left="284"/>
        <w:contextualSpacing/>
        <w:jc w:val="both"/>
        <w:rPr>
          <w:rFonts w:ascii="Bookman Old Style" w:hAnsi="Bookman Old Style" w:cs="Arial"/>
        </w:rPr>
      </w:pPr>
    </w:p>
    <w:tbl>
      <w:tblPr>
        <w:tblStyle w:val="Tablaconcuadrcula"/>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
        <w:gridCol w:w="435"/>
        <w:gridCol w:w="7911"/>
      </w:tblGrid>
      <w:tr w:rsidR="005E42A5" w:rsidRPr="008419E1" w14:paraId="1D2F0F44" w14:textId="77777777" w:rsidTr="00044955">
        <w:tc>
          <w:tcPr>
            <w:tcW w:w="1009" w:type="dxa"/>
          </w:tcPr>
          <w:p w14:paraId="17263C41" w14:textId="73D14670" w:rsidR="005E42A5" w:rsidRPr="008419E1" w:rsidRDefault="00A27982" w:rsidP="00B606A2">
            <w:pPr>
              <w:contextualSpacing/>
              <w:rPr>
                <w:rFonts w:ascii="Bookman Old Style" w:hAnsi="Bookman Old Style" w:cs="Arial"/>
                <w:bCs/>
              </w:rPr>
            </w:pPr>
            <m:oMathPara>
              <m:oMathParaPr>
                <m:jc m:val="left"/>
              </m:oMathParaPr>
              <m:oMath>
                <m:sSub>
                  <m:sSubPr>
                    <m:ctrlPr>
                      <w:rPr>
                        <w:rFonts w:ascii="Cambria Math" w:hAnsi="Cambria Math" w:cs="Arial"/>
                        <w:i/>
                      </w:rPr>
                    </m:ctrlPr>
                  </m:sSubPr>
                  <m:e>
                    <m:r>
                      <w:rPr>
                        <w:rFonts w:ascii="Cambria Math" w:hAnsi="Cambria Math" w:cs="Arial"/>
                      </w:rPr>
                      <m:t>CI</m:t>
                    </m:r>
                  </m:e>
                  <m:sub>
                    <m:r>
                      <w:rPr>
                        <w:rFonts w:ascii="Cambria Math" w:hAnsi="Cambria Math" w:cs="Arial"/>
                      </w:rPr>
                      <m:t>SFV,0</m:t>
                    </m:r>
                  </m:sub>
                </m:sSub>
              </m:oMath>
            </m:oMathPara>
          </w:p>
        </w:tc>
        <w:tc>
          <w:tcPr>
            <w:tcW w:w="435" w:type="dxa"/>
          </w:tcPr>
          <w:p w14:paraId="30E240D6" w14:textId="77777777" w:rsidR="005E42A5" w:rsidRPr="008419E1" w:rsidRDefault="005E42A5" w:rsidP="00B606A2">
            <w:pPr>
              <w:contextualSpacing/>
              <w:jc w:val="both"/>
              <w:rPr>
                <w:rFonts w:ascii="Bookman Old Style" w:hAnsi="Bookman Old Style" w:cs="Arial"/>
                <w:bCs/>
              </w:rPr>
            </w:pPr>
            <w:r w:rsidRPr="008419E1">
              <w:rPr>
                <w:rFonts w:ascii="Bookman Old Style" w:hAnsi="Bookman Old Style" w:cs="Arial"/>
                <w:bCs/>
              </w:rPr>
              <w:t>:</w:t>
            </w:r>
          </w:p>
        </w:tc>
        <w:tc>
          <w:tcPr>
            <w:tcW w:w="7911" w:type="dxa"/>
          </w:tcPr>
          <w:p w14:paraId="72DE268F" w14:textId="5D438655" w:rsidR="005E42A5" w:rsidRPr="008419E1" w:rsidRDefault="005E42A5" w:rsidP="00B606A2">
            <w:pPr>
              <w:contextualSpacing/>
              <w:jc w:val="both"/>
              <w:rPr>
                <w:rFonts w:ascii="Bookman Old Style" w:hAnsi="Bookman Old Style" w:cs="Arial"/>
                <w:bCs/>
              </w:rPr>
            </w:pPr>
            <w:r w:rsidRPr="008419E1">
              <w:rPr>
                <w:rFonts w:ascii="Bookman Old Style" w:hAnsi="Bookman Old Style" w:cs="Arial"/>
              </w:rPr>
              <w:t xml:space="preserve">Componente de remuneración del costo promedio ponderado de inversión, </w:t>
            </w:r>
            <w:r w:rsidR="007A78D6" w:rsidRPr="008419E1">
              <w:rPr>
                <w:rFonts w:ascii="Bookman Old Style" w:hAnsi="Bookman Old Style" w:cs="Arial"/>
              </w:rPr>
              <w:t xml:space="preserve">expresado en pesos por kilovatio hora </w:t>
            </w:r>
            <w:r w:rsidR="007A78D6" w:rsidRPr="008419E1">
              <w:rPr>
                <w:rFonts w:ascii="Bookman Old Style" w:hAnsi="Bookman Old Style" w:cs="Arial"/>
                <w:bCs/>
              </w:rPr>
              <w:t>($/kWh),</w:t>
            </w:r>
            <w:r w:rsidR="005A6B00" w:rsidRPr="008419E1">
              <w:rPr>
                <w:rFonts w:ascii="Bookman Old Style" w:hAnsi="Bookman Old Style" w:cs="Arial"/>
              </w:rPr>
              <w:t xml:space="preserve"> </w:t>
            </w:r>
            <w:r w:rsidR="005A6B00" w:rsidRPr="008419E1">
              <w:rPr>
                <w:rFonts w:ascii="Bookman Old Style" w:hAnsi="Bookman Old Style" w:cs="Arial"/>
                <w:bCs/>
              </w:rPr>
              <w:t xml:space="preserve">por la energía suministrada </w:t>
            </w:r>
            <w:r w:rsidRPr="008419E1">
              <w:rPr>
                <w:rFonts w:ascii="Bookman Old Style" w:hAnsi="Bookman Old Style" w:cs="Arial"/>
              </w:rPr>
              <w:t xml:space="preserve">de los recursos energéticos </w:t>
            </w:r>
            <w:r w:rsidRPr="008419E1">
              <w:rPr>
                <w:rFonts w:ascii="Bookman Old Style" w:hAnsi="Bookman Old Style" w:cs="Arial"/>
                <w:bCs/>
              </w:rPr>
              <w:t>solares fotovoltaicos con alimentación directa a la red de distribución</w:t>
            </w:r>
            <w:r w:rsidRPr="008419E1">
              <w:rPr>
                <w:rFonts w:ascii="Bookman Old Style" w:hAnsi="Bookman Old Style" w:cs="Arial"/>
              </w:rPr>
              <w:t xml:space="preserve">, del mercado relevante de comercialización </w:t>
            </w:r>
            <w:r w:rsidR="001A5475" w:rsidRPr="008419E1">
              <w:rPr>
                <w:rFonts w:ascii="Bookman Old Style" w:hAnsi="Bookman Old Style" w:cs="Arial"/>
              </w:rPr>
              <w:t>respectivo</w:t>
            </w:r>
            <w:r w:rsidRPr="008419E1">
              <w:rPr>
                <w:rFonts w:ascii="Bookman Old Style" w:hAnsi="Bookman Old Style" w:cs="Arial"/>
              </w:rPr>
              <w:t xml:space="preserve">, expresado en pesos constantes de la fecha base, según lo previsto en </w:t>
            </w:r>
            <w:r w:rsidR="00DB5492" w:rsidRPr="008419E1">
              <w:rPr>
                <w:rFonts w:ascii="Bookman Old Style" w:hAnsi="Bookman Old Style" w:cs="Arial"/>
              </w:rPr>
              <w:t>el artículo</w:t>
            </w:r>
            <w:r w:rsidRPr="008419E1">
              <w:rPr>
                <w:rFonts w:ascii="Bookman Old Style" w:hAnsi="Bookman Old Style" w:cs="Arial"/>
              </w:rPr>
              <w:t xml:space="preserve"> </w:t>
            </w:r>
            <w:r w:rsidR="00DB5492" w:rsidRPr="008419E1">
              <w:rPr>
                <w:rFonts w:ascii="Bookman Old Style" w:hAnsi="Bookman Old Style" w:cs="Arial"/>
              </w:rPr>
              <w:t xml:space="preserve">1 </w:t>
            </w:r>
            <w:r w:rsidRPr="008419E1">
              <w:rPr>
                <w:rFonts w:ascii="Bookman Old Style" w:hAnsi="Bookman Old Style" w:cs="Arial"/>
              </w:rPr>
              <w:t>de esta resolución.</w:t>
            </w:r>
          </w:p>
          <w:p w14:paraId="4F7A2D77" w14:textId="77777777" w:rsidR="005E42A5" w:rsidRPr="008419E1" w:rsidRDefault="005E42A5" w:rsidP="00B606A2">
            <w:pPr>
              <w:contextualSpacing/>
              <w:jc w:val="both"/>
              <w:rPr>
                <w:rFonts w:ascii="Bookman Old Style" w:hAnsi="Bookman Old Style" w:cs="Arial"/>
                <w:bCs/>
              </w:rPr>
            </w:pPr>
          </w:p>
        </w:tc>
      </w:tr>
      <w:tr w:rsidR="005E42A5" w:rsidRPr="008419E1" w14:paraId="2068BCB0" w14:textId="77777777" w:rsidTr="00044955">
        <w:tc>
          <w:tcPr>
            <w:tcW w:w="1009" w:type="dxa"/>
          </w:tcPr>
          <w:p w14:paraId="31695FCC" w14:textId="2CCAC50F" w:rsidR="005E42A5" w:rsidRPr="008419E1" w:rsidRDefault="00A27982" w:rsidP="00B606A2">
            <w:pPr>
              <w:contextualSpacing/>
              <w:rPr>
                <w:rFonts w:ascii="Bookman Old Style" w:hAnsi="Bookman Old Style" w:cs="Arial"/>
                <w:bCs/>
              </w:rPr>
            </w:pPr>
            <m:oMathPara>
              <m:oMathParaPr>
                <m:jc m:val="left"/>
              </m:oMathParaPr>
              <m:oMath>
                <m:sSub>
                  <m:sSubPr>
                    <m:ctrlPr>
                      <w:rPr>
                        <w:rFonts w:ascii="Cambria Math" w:hAnsi="Cambria Math" w:cs="Arial"/>
                        <w:i/>
                      </w:rPr>
                    </m:ctrlPr>
                  </m:sSubPr>
                  <m:e>
                    <m:r>
                      <w:rPr>
                        <w:rFonts w:ascii="Cambria Math" w:hAnsi="Cambria Math" w:cs="Arial"/>
                      </w:rPr>
                      <m:t>CM</m:t>
                    </m:r>
                  </m:e>
                  <m:sub>
                    <m:r>
                      <w:rPr>
                        <w:rFonts w:ascii="Cambria Math" w:hAnsi="Cambria Math" w:cs="Arial"/>
                      </w:rPr>
                      <m:t>SFV,0</m:t>
                    </m:r>
                  </m:sub>
                </m:sSub>
              </m:oMath>
            </m:oMathPara>
          </w:p>
        </w:tc>
        <w:tc>
          <w:tcPr>
            <w:tcW w:w="435" w:type="dxa"/>
          </w:tcPr>
          <w:p w14:paraId="328CE283" w14:textId="77777777" w:rsidR="005E42A5" w:rsidRPr="008419E1" w:rsidRDefault="005E42A5" w:rsidP="00B606A2">
            <w:pPr>
              <w:contextualSpacing/>
              <w:jc w:val="both"/>
              <w:rPr>
                <w:rFonts w:ascii="Bookman Old Style" w:hAnsi="Bookman Old Style" w:cs="Arial"/>
                <w:bCs/>
              </w:rPr>
            </w:pPr>
            <w:r w:rsidRPr="008419E1">
              <w:rPr>
                <w:rFonts w:ascii="Bookman Old Style" w:hAnsi="Bookman Old Style" w:cs="Arial"/>
                <w:bCs/>
              </w:rPr>
              <w:t>:</w:t>
            </w:r>
          </w:p>
        </w:tc>
        <w:tc>
          <w:tcPr>
            <w:tcW w:w="7911" w:type="dxa"/>
          </w:tcPr>
          <w:p w14:paraId="61DA876A" w14:textId="072AE569" w:rsidR="005E42A5" w:rsidRPr="008419E1" w:rsidRDefault="005E42A5" w:rsidP="00B606A2">
            <w:pPr>
              <w:contextualSpacing/>
              <w:jc w:val="both"/>
              <w:rPr>
                <w:rFonts w:ascii="Bookman Old Style" w:hAnsi="Bookman Old Style" w:cs="Arial"/>
              </w:rPr>
            </w:pPr>
            <w:r w:rsidRPr="008419E1">
              <w:rPr>
                <w:rFonts w:ascii="Bookman Old Style" w:hAnsi="Bookman Old Style" w:cs="Arial"/>
              </w:rPr>
              <w:t>Componente de remuneración de los costos promedios ponderados de administración, operación y mantenimiento,</w:t>
            </w:r>
            <w:r w:rsidR="00D04EAE" w:rsidRPr="008419E1">
              <w:rPr>
                <w:rFonts w:ascii="Bookman Old Style" w:hAnsi="Bookman Old Style" w:cs="Arial"/>
              </w:rPr>
              <w:t xml:space="preserve"> expresado en pesos por kilovatio hora </w:t>
            </w:r>
            <w:r w:rsidR="00D04EAE" w:rsidRPr="008419E1">
              <w:rPr>
                <w:rFonts w:ascii="Bookman Old Style" w:hAnsi="Bookman Old Style" w:cs="Arial"/>
                <w:bCs/>
              </w:rPr>
              <w:t>($/kWh)</w:t>
            </w:r>
            <w:r w:rsidR="005A6B00" w:rsidRPr="008419E1">
              <w:rPr>
                <w:rFonts w:ascii="Bookman Old Style" w:hAnsi="Bookman Old Style" w:cs="Arial"/>
                <w:bCs/>
              </w:rPr>
              <w:t>,</w:t>
            </w:r>
            <w:r w:rsidRPr="008419E1">
              <w:rPr>
                <w:rFonts w:ascii="Bookman Old Style" w:hAnsi="Bookman Old Style" w:cs="Arial"/>
              </w:rPr>
              <w:t xml:space="preserve"> por </w:t>
            </w:r>
            <w:r w:rsidR="005A6B00" w:rsidRPr="008419E1">
              <w:rPr>
                <w:rFonts w:ascii="Bookman Old Style" w:hAnsi="Bookman Old Style" w:cs="Arial"/>
              </w:rPr>
              <w:t xml:space="preserve">la </w:t>
            </w:r>
            <w:r w:rsidRPr="008419E1">
              <w:rPr>
                <w:rFonts w:ascii="Bookman Old Style" w:hAnsi="Bookman Old Style" w:cs="Arial"/>
              </w:rPr>
              <w:t>energía suministrada</w:t>
            </w:r>
            <w:r w:rsidR="005A6B00" w:rsidRPr="008419E1">
              <w:rPr>
                <w:rFonts w:ascii="Bookman Old Style" w:hAnsi="Bookman Old Style" w:cs="Arial"/>
              </w:rPr>
              <w:t xml:space="preserve"> </w:t>
            </w:r>
            <w:r w:rsidRPr="008419E1">
              <w:rPr>
                <w:rFonts w:ascii="Bookman Old Style" w:hAnsi="Bookman Old Style" w:cs="Arial"/>
              </w:rPr>
              <w:t xml:space="preserve">de los recursos energéticos </w:t>
            </w:r>
            <w:r w:rsidRPr="008419E1">
              <w:rPr>
                <w:rFonts w:ascii="Bookman Old Style" w:hAnsi="Bookman Old Style" w:cs="Arial"/>
                <w:bCs/>
              </w:rPr>
              <w:t>solares fotovoltaicos con alimentación directa a la red de distribución</w:t>
            </w:r>
            <w:r w:rsidRPr="008419E1">
              <w:rPr>
                <w:rFonts w:ascii="Bookman Old Style" w:hAnsi="Bookman Old Style" w:cs="Arial"/>
              </w:rPr>
              <w:t xml:space="preserve">, del mercado relevante de comercialización </w:t>
            </w:r>
            <w:r w:rsidR="001A5475" w:rsidRPr="008419E1">
              <w:rPr>
                <w:rFonts w:ascii="Bookman Old Style" w:hAnsi="Bookman Old Style" w:cs="Arial"/>
              </w:rPr>
              <w:t>respectivo</w:t>
            </w:r>
            <w:r w:rsidRPr="008419E1">
              <w:rPr>
                <w:rFonts w:ascii="Bookman Old Style" w:hAnsi="Bookman Old Style" w:cs="Arial"/>
              </w:rPr>
              <w:t xml:space="preserve">, expresado en pesos constantes de la fecha base, según lo previsto en </w:t>
            </w:r>
            <w:r w:rsidR="001A5475" w:rsidRPr="008419E1">
              <w:rPr>
                <w:rFonts w:ascii="Bookman Old Style" w:hAnsi="Bookman Old Style" w:cs="Arial"/>
              </w:rPr>
              <w:t>el artículo</w:t>
            </w:r>
            <w:r w:rsidR="00DB5492" w:rsidRPr="008419E1">
              <w:rPr>
                <w:rFonts w:ascii="Bookman Old Style" w:hAnsi="Bookman Old Style" w:cs="Arial"/>
              </w:rPr>
              <w:t xml:space="preserve"> </w:t>
            </w:r>
            <w:r w:rsidR="00742F35" w:rsidRPr="008419E1">
              <w:rPr>
                <w:rFonts w:ascii="Bookman Old Style" w:hAnsi="Bookman Old Style" w:cs="Arial"/>
              </w:rPr>
              <w:t xml:space="preserve">1 </w:t>
            </w:r>
            <w:r w:rsidRPr="008419E1">
              <w:rPr>
                <w:rFonts w:ascii="Bookman Old Style" w:hAnsi="Bookman Old Style" w:cs="Arial"/>
              </w:rPr>
              <w:t>de esta resolución.</w:t>
            </w:r>
          </w:p>
          <w:p w14:paraId="1789E6D2" w14:textId="77777777" w:rsidR="005E42A5" w:rsidRPr="008419E1" w:rsidRDefault="005E42A5" w:rsidP="00B606A2">
            <w:pPr>
              <w:contextualSpacing/>
              <w:jc w:val="both"/>
              <w:rPr>
                <w:rFonts w:ascii="Bookman Old Style" w:hAnsi="Bookman Old Style" w:cs="Arial"/>
              </w:rPr>
            </w:pPr>
          </w:p>
        </w:tc>
      </w:tr>
    </w:tbl>
    <w:p w14:paraId="54237882" w14:textId="476BF937" w:rsidR="0074584F" w:rsidRPr="008419E1" w:rsidRDefault="0074584F" w:rsidP="0074584F">
      <w:pPr>
        <w:ind w:left="284"/>
        <w:contextualSpacing/>
        <w:jc w:val="both"/>
        <w:rPr>
          <w:rFonts w:ascii="Bookman Old Style" w:hAnsi="Bookman Old Style" w:cs="Arial"/>
        </w:rPr>
      </w:pPr>
      <w:r w:rsidRPr="008419E1">
        <w:rPr>
          <w:rFonts w:ascii="Bookman Old Style" w:hAnsi="Bookman Old Style" w:cs="Arial"/>
        </w:rPr>
        <w:t xml:space="preserve">El valor de </w:t>
      </w:r>
      <m:oMath>
        <m:sSub>
          <m:sSubPr>
            <m:ctrlPr>
              <w:rPr>
                <w:rFonts w:ascii="Cambria Math" w:hAnsi="Cambria Math" w:cs="Arial"/>
                <w:i/>
              </w:rPr>
            </m:ctrlPr>
          </m:sSubPr>
          <m:e>
            <m:r>
              <w:rPr>
                <w:rFonts w:ascii="Cambria Math" w:hAnsi="Cambria Math" w:cs="Arial"/>
              </w:rPr>
              <m:t>G</m:t>
            </m:r>
          </m:e>
          <m:sub>
            <m:r>
              <w:rPr>
                <w:rFonts w:ascii="Cambria Math" w:hAnsi="Cambria Math" w:cs="Arial"/>
              </w:rPr>
              <m:t>A,m</m:t>
            </m:r>
          </m:sub>
        </m:sSub>
      </m:oMath>
      <w:r w:rsidRPr="008419E1">
        <w:rPr>
          <w:rFonts w:ascii="Bookman Old Style" w:hAnsi="Bookman Old Style" w:cs="Arial"/>
        </w:rPr>
        <w:t xml:space="preserve"> se obtiene a partir de la siguiente fórmula:</w:t>
      </w:r>
    </w:p>
    <w:p w14:paraId="6FD2F18F" w14:textId="77777777" w:rsidR="0074584F" w:rsidRPr="008419E1" w:rsidRDefault="0074584F" w:rsidP="0074584F">
      <w:pPr>
        <w:ind w:left="284"/>
        <w:contextualSpacing/>
        <w:jc w:val="both"/>
        <w:rPr>
          <w:rFonts w:ascii="Bookman Old Style" w:hAnsi="Bookman Old Style" w:cs="Arial"/>
        </w:rPr>
      </w:pPr>
    </w:p>
    <w:p w14:paraId="0A89EF17" w14:textId="375A6996" w:rsidR="0074584F" w:rsidRPr="008419E1" w:rsidRDefault="00A27982" w:rsidP="0074584F">
      <w:pPr>
        <w:ind w:left="284"/>
        <w:contextualSpacing/>
        <w:jc w:val="both"/>
        <w:rPr>
          <w:rFonts w:ascii="Bookman Old Style" w:hAnsi="Bookman Old Style" w:cs="Arial"/>
        </w:rPr>
      </w:pPr>
      <m:oMathPara>
        <m:oMath>
          <m:sSub>
            <m:sSubPr>
              <m:ctrlPr>
                <w:rPr>
                  <w:rFonts w:ascii="Cambria Math" w:hAnsi="Cambria Math" w:cs="Arial"/>
                  <w:i/>
                </w:rPr>
              </m:ctrlPr>
            </m:sSubPr>
            <m:e>
              <m:r>
                <w:rPr>
                  <w:rFonts w:ascii="Cambria Math" w:hAnsi="Cambria Math" w:cs="Arial"/>
                </w:rPr>
                <m:t>G</m:t>
              </m:r>
            </m:e>
            <m:sub>
              <m:r>
                <w:rPr>
                  <w:rFonts w:ascii="Cambria Math" w:hAnsi="Cambria Math" w:cs="Arial"/>
                </w:rPr>
                <m:t>A,m</m:t>
              </m:r>
            </m:sub>
          </m:sSub>
          <m:r>
            <w:rPr>
              <w:rFonts w:ascii="Cambria Math" w:hAnsi="Cambria Math" w:cs="Arial"/>
            </w:rPr>
            <m:t>=</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CI</m:t>
                  </m:r>
                </m:e>
                <m:sub>
                  <m:r>
                    <w:rPr>
                      <w:rFonts w:ascii="Cambria Math" w:hAnsi="Cambria Math" w:cs="Arial"/>
                    </w:rPr>
                    <m:t>A,0</m:t>
                  </m:r>
                </m:sub>
              </m:sSub>
              <m:r>
                <w:rPr>
                  <w:rFonts w:ascii="Cambria Math" w:hAnsi="Cambria Math" w:cs="Arial"/>
                </w:rPr>
                <m:t>+</m:t>
              </m:r>
              <m:sSub>
                <m:sSubPr>
                  <m:ctrlPr>
                    <w:rPr>
                      <w:rFonts w:ascii="Cambria Math" w:hAnsi="Cambria Math" w:cs="Arial"/>
                      <w:i/>
                    </w:rPr>
                  </m:ctrlPr>
                </m:sSubPr>
                <m:e>
                  <m:r>
                    <w:rPr>
                      <w:rFonts w:ascii="Cambria Math" w:hAnsi="Cambria Math" w:cs="Arial"/>
                    </w:rPr>
                    <m:t>CM</m:t>
                  </m:r>
                </m:e>
                <m:sub>
                  <m:r>
                    <w:rPr>
                      <w:rFonts w:ascii="Cambria Math" w:hAnsi="Cambria Math" w:cs="Arial"/>
                    </w:rPr>
                    <m:t>A,0</m:t>
                  </m:r>
                </m:sub>
              </m:sSub>
            </m:e>
          </m:d>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IPP</m:t>
                  </m:r>
                </m:e>
                <m:sub>
                  <m:r>
                    <w:rPr>
                      <w:rFonts w:ascii="Cambria Math" w:hAnsi="Cambria Math" w:cs="Arial"/>
                    </w:rPr>
                    <m:t>m-1</m:t>
                  </m:r>
                </m:sub>
              </m:sSub>
            </m:num>
            <m:den>
              <m:sSub>
                <m:sSubPr>
                  <m:ctrlPr>
                    <w:rPr>
                      <w:rFonts w:ascii="Cambria Math" w:hAnsi="Cambria Math" w:cs="Arial"/>
                      <w:i/>
                    </w:rPr>
                  </m:ctrlPr>
                </m:sSubPr>
                <m:e>
                  <m:r>
                    <w:rPr>
                      <w:rFonts w:ascii="Cambria Math" w:hAnsi="Cambria Math" w:cs="Arial"/>
                    </w:rPr>
                    <m:t>IPP</m:t>
                  </m:r>
                </m:e>
                <m:sub>
                  <m:r>
                    <w:rPr>
                      <w:rFonts w:ascii="Cambria Math" w:hAnsi="Cambria Math" w:cs="Arial"/>
                    </w:rPr>
                    <m:t>0</m:t>
                  </m:r>
                </m:sub>
              </m:sSub>
            </m:den>
          </m:f>
        </m:oMath>
      </m:oMathPara>
    </w:p>
    <w:p w14:paraId="68A60DCF" w14:textId="77777777" w:rsidR="0074584F" w:rsidRPr="008419E1" w:rsidRDefault="0074584F" w:rsidP="0074584F">
      <w:pPr>
        <w:ind w:left="284"/>
        <w:contextualSpacing/>
        <w:jc w:val="both"/>
        <w:rPr>
          <w:rFonts w:ascii="Bookman Old Style" w:hAnsi="Bookman Old Style" w:cs="Arial"/>
        </w:rPr>
      </w:pPr>
    </w:p>
    <w:p w14:paraId="456CB0D7" w14:textId="77777777" w:rsidR="0074584F" w:rsidRPr="008419E1" w:rsidRDefault="0074584F" w:rsidP="0074584F">
      <w:pPr>
        <w:ind w:left="284"/>
        <w:contextualSpacing/>
        <w:jc w:val="both"/>
        <w:rPr>
          <w:rFonts w:ascii="Bookman Old Style" w:hAnsi="Bookman Old Style" w:cs="Arial"/>
        </w:rPr>
      </w:pPr>
      <w:r w:rsidRPr="008419E1">
        <w:rPr>
          <w:rFonts w:ascii="Bookman Old Style" w:hAnsi="Bookman Old Style" w:cs="Arial"/>
        </w:rPr>
        <w:t>En donde,</w:t>
      </w:r>
    </w:p>
    <w:p w14:paraId="75C8FE7F" w14:textId="77777777" w:rsidR="0074584F" w:rsidRPr="008419E1" w:rsidRDefault="0074584F" w:rsidP="0074584F">
      <w:pPr>
        <w:ind w:left="284"/>
        <w:contextualSpacing/>
        <w:jc w:val="both"/>
        <w:rPr>
          <w:rFonts w:ascii="Bookman Old Style" w:hAnsi="Bookman Old Style" w:cs="Arial"/>
        </w:rPr>
      </w:pPr>
    </w:p>
    <w:tbl>
      <w:tblPr>
        <w:tblStyle w:val="Tablaconcuadrcula"/>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
        <w:gridCol w:w="435"/>
        <w:gridCol w:w="7911"/>
      </w:tblGrid>
      <w:tr w:rsidR="0074584F" w:rsidRPr="008419E1" w14:paraId="70DA68D6" w14:textId="77777777" w:rsidTr="005176A8">
        <w:tc>
          <w:tcPr>
            <w:tcW w:w="1009" w:type="dxa"/>
          </w:tcPr>
          <w:p w14:paraId="7701D4BB" w14:textId="77777777" w:rsidR="0074584F" w:rsidRPr="008419E1" w:rsidRDefault="00A27982" w:rsidP="005176A8">
            <w:pPr>
              <w:contextualSpacing/>
            </w:pPr>
            <m:oMathPara>
              <m:oMathParaPr>
                <m:jc m:val="left"/>
              </m:oMathParaPr>
              <m:oMath>
                <m:sSub>
                  <m:sSubPr>
                    <m:ctrlPr>
                      <w:rPr>
                        <w:rFonts w:ascii="Cambria Math" w:hAnsi="Cambria Math" w:cs="Arial"/>
                        <w:i/>
                      </w:rPr>
                    </m:ctrlPr>
                  </m:sSubPr>
                  <m:e>
                    <m:r>
                      <w:rPr>
                        <w:rFonts w:ascii="Cambria Math" w:hAnsi="Cambria Math" w:cs="Arial"/>
                      </w:rPr>
                      <m:t>CI</m:t>
                    </m:r>
                  </m:e>
                  <m:sub>
                    <m:r>
                      <w:rPr>
                        <w:rFonts w:ascii="Cambria Math" w:hAnsi="Cambria Math" w:cs="Arial"/>
                      </w:rPr>
                      <m:t>A,0</m:t>
                    </m:r>
                  </m:sub>
                </m:sSub>
              </m:oMath>
            </m:oMathPara>
          </w:p>
        </w:tc>
        <w:tc>
          <w:tcPr>
            <w:tcW w:w="435" w:type="dxa"/>
          </w:tcPr>
          <w:p w14:paraId="1C4AFB9A" w14:textId="77777777" w:rsidR="0074584F" w:rsidRPr="008419E1" w:rsidRDefault="0074584F" w:rsidP="005176A8">
            <w:pPr>
              <w:contextualSpacing/>
              <w:jc w:val="both"/>
              <w:rPr>
                <w:rFonts w:ascii="Bookman Old Style" w:hAnsi="Bookman Old Style" w:cs="Arial"/>
                <w:bCs/>
              </w:rPr>
            </w:pPr>
            <w:r w:rsidRPr="008419E1">
              <w:rPr>
                <w:rFonts w:ascii="Bookman Old Style" w:hAnsi="Bookman Old Style" w:cs="Arial"/>
                <w:bCs/>
              </w:rPr>
              <w:t>:</w:t>
            </w:r>
          </w:p>
        </w:tc>
        <w:tc>
          <w:tcPr>
            <w:tcW w:w="7911" w:type="dxa"/>
          </w:tcPr>
          <w:p w14:paraId="03A30B8E" w14:textId="77777777" w:rsidR="0074584F" w:rsidRPr="008419E1" w:rsidRDefault="0074584F" w:rsidP="005176A8">
            <w:pPr>
              <w:contextualSpacing/>
              <w:jc w:val="both"/>
              <w:rPr>
                <w:rFonts w:ascii="Bookman Old Style" w:hAnsi="Bookman Old Style" w:cs="Arial"/>
                <w:bCs/>
              </w:rPr>
            </w:pPr>
            <w:r w:rsidRPr="008419E1">
              <w:rPr>
                <w:rFonts w:ascii="Bookman Old Style" w:hAnsi="Bookman Old Style" w:cs="Arial"/>
              </w:rPr>
              <w:t xml:space="preserve">Componente de remuneración del costo promedio ponderado de inversión, expresado en pesos por kilovatio hora </w:t>
            </w:r>
            <w:r w:rsidRPr="008419E1">
              <w:rPr>
                <w:rFonts w:ascii="Bookman Old Style" w:hAnsi="Bookman Old Style" w:cs="Arial"/>
                <w:bCs/>
              </w:rPr>
              <w:t>($/kWh)</w:t>
            </w:r>
            <w:r w:rsidRPr="008419E1">
              <w:rPr>
                <w:rFonts w:ascii="Bookman Old Style" w:hAnsi="Bookman Old Style" w:cs="Arial"/>
              </w:rPr>
              <w:t xml:space="preserve"> por la energía suministrada </w:t>
            </w:r>
            <w:r w:rsidRPr="008419E1">
              <w:rPr>
                <w:rFonts w:ascii="Bookman Old Style" w:hAnsi="Bookman Old Style" w:cs="Arial"/>
                <w:bCs/>
              </w:rPr>
              <w:t>a partir de acumuladores de recursos energéticos solares fotovoltaicos</w:t>
            </w:r>
            <w:r w:rsidRPr="008419E1">
              <w:rPr>
                <w:rFonts w:ascii="Bookman Old Style" w:hAnsi="Bookman Old Style" w:cs="Arial"/>
              </w:rPr>
              <w:t>, del mercado relevante de comercialización respectivo, expresado en pesos constantes de la fecha base, según lo previsto en el artículo 1 de esta resolución.</w:t>
            </w:r>
          </w:p>
          <w:p w14:paraId="20FEFA70" w14:textId="77777777" w:rsidR="0074584F" w:rsidRPr="008419E1" w:rsidRDefault="0074584F" w:rsidP="005176A8">
            <w:pPr>
              <w:contextualSpacing/>
              <w:jc w:val="both"/>
              <w:rPr>
                <w:rFonts w:ascii="Bookman Old Style" w:hAnsi="Bookman Old Style" w:cs="Arial"/>
              </w:rPr>
            </w:pPr>
          </w:p>
        </w:tc>
      </w:tr>
      <w:tr w:rsidR="0074584F" w:rsidRPr="00AD369B" w14:paraId="2836D4FD" w14:textId="77777777" w:rsidTr="005176A8">
        <w:tc>
          <w:tcPr>
            <w:tcW w:w="1009" w:type="dxa"/>
          </w:tcPr>
          <w:p w14:paraId="05F4C4E5" w14:textId="77777777" w:rsidR="0074584F" w:rsidRPr="008419E1" w:rsidRDefault="00A27982" w:rsidP="005176A8">
            <w:pPr>
              <w:contextualSpacing/>
            </w:pPr>
            <m:oMathPara>
              <m:oMathParaPr>
                <m:jc m:val="left"/>
              </m:oMathParaPr>
              <m:oMath>
                <m:sSub>
                  <m:sSubPr>
                    <m:ctrlPr>
                      <w:rPr>
                        <w:rFonts w:ascii="Cambria Math" w:hAnsi="Cambria Math" w:cs="Arial"/>
                        <w:i/>
                      </w:rPr>
                    </m:ctrlPr>
                  </m:sSubPr>
                  <m:e>
                    <m:r>
                      <w:rPr>
                        <w:rFonts w:ascii="Cambria Math" w:hAnsi="Cambria Math" w:cs="Arial"/>
                      </w:rPr>
                      <m:t>CM</m:t>
                    </m:r>
                  </m:e>
                  <m:sub>
                    <m:r>
                      <w:rPr>
                        <w:rFonts w:ascii="Cambria Math" w:hAnsi="Cambria Math" w:cs="Arial"/>
                      </w:rPr>
                      <m:t>A,0</m:t>
                    </m:r>
                  </m:sub>
                </m:sSub>
              </m:oMath>
            </m:oMathPara>
          </w:p>
        </w:tc>
        <w:tc>
          <w:tcPr>
            <w:tcW w:w="435" w:type="dxa"/>
          </w:tcPr>
          <w:p w14:paraId="1A322F14" w14:textId="77777777" w:rsidR="0074584F" w:rsidRPr="008419E1" w:rsidRDefault="0074584F" w:rsidP="005176A8">
            <w:pPr>
              <w:contextualSpacing/>
              <w:jc w:val="both"/>
              <w:rPr>
                <w:rFonts w:ascii="Bookman Old Style" w:hAnsi="Bookman Old Style" w:cs="Arial"/>
                <w:bCs/>
              </w:rPr>
            </w:pPr>
            <w:r w:rsidRPr="008419E1">
              <w:rPr>
                <w:rFonts w:ascii="Bookman Old Style" w:hAnsi="Bookman Old Style" w:cs="Arial"/>
                <w:bCs/>
              </w:rPr>
              <w:t>:</w:t>
            </w:r>
          </w:p>
        </w:tc>
        <w:tc>
          <w:tcPr>
            <w:tcW w:w="7911" w:type="dxa"/>
          </w:tcPr>
          <w:p w14:paraId="1244DA5A" w14:textId="77777777" w:rsidR="0074584F" w:rsidRDefault="0074584F" w:rsidP="005176A8">
            <w:pPr>
              <w:contextualSpacing/>
              <w:jc w:val="both"/>
              <w:rPr>
                <w:rFonts w:ascii="Bookman Old Style" w:hAnsi="Bookman Old Style" w:cs="Arial"/>
              </w:rPr>
            </w:pPr>
            <w:r w:rsidRPr="008419E1">
              <w:rPr>
                <w:rFonts w:ascii="Bookman Old Style" w:hAnsi="Bookman Old Style" w:cs="Arial"/>
              </w:rPr>
              <w:t xml:space="preserve">Componente de remuneración de los costos promedios ponderados de administración, operación y mantenimiento, expresado en pesos por kilovatio hora </w:t>
            </w:r>
            <w:r w:rsidRPr="008419E1">
              <w:rPr>
                <w:rFonts w:ascii="Bookman Old Style" w:hAnsi="Bookman Old Style" w:cs="Arial"/>
                <w:bCs/>
              </w:rPr>
              <w:t>($/kWh)</w:t>
            </w:r>
            <w:r w:rsidRPr="008419E1">
              <w:rPr>
                <w:rFonts w:ascii="Bookman Old Style" w:hAnsi="Bookman Old Style" w:cs="Arial"/>
              </w:rPr>
              <w:t xml:space="preserve"> por la energía suministrada </w:t>
            </w:r>
            <w:r w:rsidRPr="008419E1">
              <w:rPr>
                <w:rFonts w:ascii="Bookman Old Style" w:hAnsi="Bookman Old Style" w:cs="Arial"/>
                <w:bCs/>
              </w:rPr>
              <w:t>a partir de acumuladores de recursos energéticos solares fotovoltaicos</w:t>
            </w:r>
            <w:r w:rsidRPr="008419E1">
              <w:rPr>
                <w:rFonts w:ascii="Bookman Old Style" w:hAnsi="Bookman Old Style" w:cs="Arial"/>
              </w:rPr>
              <w:t xml:space="preserve"> del mercado relevante de comercialización respectivo, expresado en pesos constantes de la fecha base, según lo previsto en el artículo 1 de esta resolución.</w:t>
            </w:r>
          </w:p>
          <w:p w14:paraId="76795821" w14:textId="77777777" w:rsidR="0074584F" w:rsidRPr="00AD369B" w:rsidRDefault="0074584F" w:rsidP="005176A8">
            <w:pPr>
              <w:contextualSpacing/>
              <w:jc w:val="both"/>
              <w:rPr>
                <w:rFonts w:ascii="Bookman Old Style" w:hAnsi="Bookman Old Style" w:cs="Arial"/>
              </w:rPr>
            </w:pPr>
          </w:p>
        </w:tc>
      </w:tr>
    </w:tbl>
    <w:p w14:paraId="4C8B463A" w14:textId="77777777" w:rsidR="004B3FD1" w:rsidRPr="004B3FD1" w:rsidRDefault="004B3FD1" w:rsidP="00B606A2">
      <w:pPr>
        <w:ind w:left="284" w:right="142"/>
        <w:contextualSpacing/>
        <w:jc w:val="both"/>
        <w:rPr>
          <w:rFonts w:ascii="Bookman Old Style" w:hAnsi="Bookman Old Style" w:cs="Arial"/>
          <w:bCs/>
        </w:rPr>
      </w:pPr>
    </w:p>
    <w:p w14:paraId="263F1A86" w14:textId="066E3245" w:rsidR="00CB2DEE" w:rsidRDefault="00AF1D01" w:rsidP="00B606A2">
      <w:pPr>
        <w:ind w:left="284" w:right="142"/>
        <w:contextualSpacing/>
        <w:jc w:val="both"/>
        <w:rPr>
          <w:rFonts w:ascii="Bookman Old Style" w:hAnsi="Bookman Old Style" w:cs="Arial"/>
        </w:rPr>
      </w:pPr>
      <w:r w:rsidRPr="00AD369B">
        <w:rPr>
          <w:rFonts w:ascii="Bookman Old Style" w:hAnsi="Bookman Old Style" w:cs="Arial"/>
          <w:b/>
        </w:rPr>
        <w:t xml:space="preserve">ARTÍCULO </w:t>
      </w:r>
      <w:r w:rsidR="00FE027C" w:rsidRPr="00AD369B">
        <w:rPr>
          <w:rFonts w:ascii="Bookman Old Style" w:hAnsi="Bookman Old Style" w:cs="Arial"/>
          <w:b/>
        </w:rPr>
        <w:t>3</w:t>
      </w:r>
      <w:r w:rsidRPr="00AD369B">
        <w:rPr>
          <w:rFonts w:ascii="Bookman Old Style" w:hAnsi="Bookman Old Style" w:cs="Arial"/>
          <w:b/>
        </w:rPr>
        <w:t>.</w:t>
      </w:r>
      <w:r w:rsidR="00076D43" w:rsidRPr="00AD369B">
        <w:rPr>
          <w:rFonts w:ascii="Bookman Old Style" w:hAnsi="Bookman Old Style" w:cs="Arial"/>
          <w:b/>
        </w:rPr>
        <w:t xml:space="preserve"> Principios y</w:t>
      </w:r>
      <w:r w:rsidRPr="00AD369B">
        <w:rPr>
          <w:rFonts w:ascii="Bookman Old Style" w:hAnsi="Bookman Old Style" w:cs="Arial"/>
          <w:b/>
        </w:rPr>
        <w:t xml:space="preserve"> </w:t>
      </w:r>
      <w:r w:rsidR="00257F07">
        <w:rPr>
          <w:rFonts w:ascii="Bookman Old Style" w:hAnsi="Bookman Old Style" w:cs="Arial"/>
          <w:b/>
        </w:rPr>
        <w:t>r</w:t>
      </w:r>
      <w:r w:rsidR="00CB2DEE" w:rsidRPr="00AD369B">
        <w:rPr>
          <w:rFonts w:ascii="Bookman Old Style" w:hAnsi="Bookman Old Style" w:cs="Arial"/>
          <w:b/>
        </w:rPr>
        <w:t>eglas de despacho de recursos</w:t>
      </w:r>
      <w:r w:rsidR="00800DC3" w:rsidRPr="00AD369B">
        <w:rPr>
          <w:rFonts w:ascii="Bookman Old Style" w:hAnsi="Bookman Old Style" w:cs="Arial"/>
          <w:b/>
        </w:rPr>
        <w:t xml:space="preserve"> energéticos </w:t>
      </w:r>
      <w:r w:rsidR="00517BED" w:rsidRPr="00AD369B">
        <w:rPr>
          <w:rFonts w:ascii="Bookman Old Style" w:hAnsi="Bookman Old Style" w:cs="Arial"/>
          <w:b/>
        </w:rPr>
        <w:t>y</w:t>
      </w:r>
      <w:r w:rsidR="00C52C13" w:rsidRPr="00AD369B">
        <w:rPr>
          <w:rFonts w:ascii="Bookman Old Style" w:hAnsi="Bookman Old Style" w:cs="Arial"/>
          <w:b/>
        </w:rPr>
        <w:t xml:space="preserve"> mecanismos de comercialización de energía</w:t>
      </w:r>
      <w:r w:rsidR="00CB2DEE" w:rsidRPr="00AD369B">
        <w:rPr>
          <w:rFonts w:ascii="Bookman Old Style" w:hAnsi="Bookman Old Style" w:cs="Arial"/>
          <w:b/>
        </w:rPr>
        <w:t xml:space="preserve">. </w:t>
      </w:r>
      <w:r w:rsidR="003D4B93" w:rsidRPr="00AD369B">
        <w:rPr>
          <w:rFonts w:ascii="Bookman Old Style" w:hAnsi="Bookman Old Style" w:cs="Arial"/>
        </w:rPr>
        <w:t>En resolución posterior</w:t>
      </w:r>
      <w:r w:rsidR="007C7AF7" w:rsidRPr="00AD369B">
        <w:rPr>
          <w:rFonts w:ascii="Bookman Old Style" w:hAnsi="Bookman Old Style" w:cs="Arial"/>
        </w:rPr>
        <w:t xml:space="preserve"> de carácter general,</w:t>
      </w:r>
      <w:r w:rsidR="00C2251E" w:rsidRPr="00AD369B">
        <w:rPr>
          <w:rFonts w:ascii="Bookman Old Style" w:hAnsi="Bookman Old Style" w:cs="Arial"/>
        </w:rPr>
        <w:t xml:space="preserve"> </w:t>
      </w:r>
      <w:r w:rsidR="00800DC3" w:rsidRPr="00AD369B">
        <w:rPr>
          <w:rFonts w:ascii="Bookman Old Style" w:hAnsi="Bookman Old Style" w:cs="Arial"/>
        </w:rPr>
        <w:t xml:space="preserve">esta Comisión definirá </w:t>
      </w:r>
      <w:r w:rsidR="00076D43" w:rsidRPr="00AD369B">
        <w:rPr>
          <w:rFonts w:ascii="Bookman Old Style" w:hAnsi="Bookman Old Style" w:cs="Arial"/>
        </w:rPr>
        <w:t xml:space="preserve">los principios y </w:t>
      </w:r>
      <w:r w:rsidR="00800DC3" w:rsidRPr="00AD369B">
        <w:rPr>
          <w:rFonts w:ascii="Bookman Old Style" w:hAnsi="Bookman Old Style" w:cs="Arial"/>
        </w:rPr>
        <w:t xml:space="preserve">reglas aplicables para </w:t>
      </w:r>
      <w:r w:rsidR="00C01043" w:rsidRPr="00AD369B">
        <w:rPr>
          <w:rFonts w:ascii="Bookman Old Style" w:hAnsi="Bookman Old Style" w:cs="Arial"/>
        </w:rPr>
        <w:t>la coordinación d</w:t>
      </w:r>
      <w:r w:rsidR="00800DC3" w:rsidRPr="00AD369B">
        <w:rPr>
          <w:rFonts w:ascii="Bookman Old Style" w:hAnsi="Bookman Old Style" w:cs="Arial"/>
        </w:rPr>
        <w:t>el despacho</w:t>
      </w:r>
      <w:r w:rsidR="00C01043" w:rsidRPr="00AD369B">
        <w:rPr>
          <w:rFonts w:ascii="Bookman Old Style" w:hAnsi="Bookman Old Style" w:cs="Arial"/>
        </w:rPr>
        <w:t xml:space="preserve"> y operación </w:t>
      </w:r>
      <w:r w:rsidR="00800DC3" w:rsidRPr="00AD369B">
        <w:rPr>
          <w:rFonts w:ascii="Bookman Old Style" w:hAnsi="Bookman Old Style" w:cs="Arial"/>
        </w:rPr>
        <w:t>de recursos energéticos</w:t>
      </w:r>
      <w:r w:rsidR="00306F4C" w:rsidRPr="00AD369B">
        <w:rPr>
          <w:rFonts w:ascii="Bookman Old Style" w:hAnsi="Bookman Old Style" w:cs="Arial"/>
        </w:rPr>
        <w:t>,</w:t>
      </w:r>
      <w:r w:rsidR="00800DC3" w:rsidRPr="00AD369B">
        <w:rPr>
          <w:rFonts w:ascii="Bookman Old Style" w:hAnsi="Bookman Old Style" w:cs="Arial"/>
        </w:rPr>
        <w:t xml:space="preserve"> </w:t>
      </w:r>
      <w:r w:rsidR="00306F4C" w:rsidRPr="00AD369B">
        <w:rPr>
          <w:rFonts w:ascii="Bookman Old Style" w:hAnsi="Bookman Old Style" w:cs="Arial"/>
        </w:rPr>
        <w:t>así como los</w:t>
      </w:r>
      <w:r w:rsidR="009D0964" w:rsidRPr="00AD369B">
        <w:rPr>
          <w:rFonts w:ascii="Bookman Old Style" w:hAnsi="Bookman Old Style" w:cs="Arial"/>
        </w:rPr>
        <w:t xml:space="preserve"> mecanismos de comercialización de energía</w:t>
      </w:r>
      <w:r w:rsidR="00380808" w:rsidRPr="00AD369B">
        <w:rPr>
          <w:rFonts w:ascii="Bookman Old Style" w:hAnsi="Bookman Old Style" w:cs="Arial"/>
        </w:rPr>
        <w:t xml:space="preserve"> eléctrica</w:t>
      </w:r>
      <w:r w:rsidR="00031A48" w:rsidRPr="00AD369B">
        <w:rPr>
          <w:rFonts w:ascii="Bookman Old Style" w:hAnsi="Bookman Old Style" w:cs="Arial"/>
        </w:rPr>
        <w:t xml:space="preserve"> en las </w:t>
      </w:r>
      <w:r w:rsidR="007C7AF7" w:rsidRPr="00AD369B">
        <w:rPr>
          <w:rFonts w:ascii="Bookman Old Style" w:hAnsi="Bookman Old Style" w:cs="Arial"/>
        </w:rPr>
        <w:t>Z</w:t>
      </w:r>
      <w:r w:rsidR="00031A48" w:rsidRPr="00AD369B">
        <w:rPr>
          <w:rFonts w:ascii="Bookman Old Style" w:hAnsi="Bookman Old Style" w:cs="Arial"/>
        </w:rPr>
        <w:t xml:space="preserve">onas </w:t>
      </w:r>
      <w:r w:rsidR="007C7AF7" w:rsidRPr="00AD369B">
        <w:rPr>
          <w:rFonts w:ascii="Bookman Old Style" w:hAnsi="Bookman Old Style" w:cs="Arial"/>
        </w:rPr>
        <w:t>N</w:t>
      </w:r>
      <w:r w:rsidR="00031A48" w:rsidRPr="00AD369B">
        <w:rPr>
          <w:rFonts w:ascii="Bookman Old Style" w:hAnsi="Bookman Old Style" w:cs="Arial"/>
        </w:rPr>
        <w:t xml:space="preserve">o </w:t>
      </w:r>
      <w:r w:rsidR="007C7AF7" w:rsidRPr="00AD369B">
        <w:rPr>
          <w:rFonts w:ascii="Bookman Old Style" w:hAnsi="Bookman Old Style" w:cs="Arial"/>
        </w:rPr>
        <w:t>I</w:t>
      </w:r>
      <w:r w:rsidR="00031A48" w:rsidRPr="00AD369B">
        <w:rPr>
          <w:rFonts w:ascii="Bookman Old Style" w:hAnsi="Bookman Old Style" w:cs="Arial"/>
        </w:rPr>
        <w:t>nterconectadas</w:t>
      </w:r>
      <w:r w:rsidR="00800DC3" w:rsidRPr="00AD369B">
        <w:rPr>
          <w:rFonts w:ascii="Bookman Old Style" w:hAnsi="Bookman Old Style" w:cs="Arial"/>
        </w:rPr>
        <w:t>.</w:t>
      </w:r>
    </w:p>
    <w:p w14:paraId="23E9E5A9" w14:textId="77777777" w:rsidR="00BB5A32" w:rsidRPr="00AD369B" w:rsidRDefault="00BB5A32" w:rsidP="00B606A2">
      <w:pPr>
        <w:ind w:left="284" w:right="142"/>
        <w:contextualSpacing/>
        <w:jc w:val="both"/>
        <w:rPr>
          <w:rFonts w:ascii="Bookman Old Style" w:hAnsi="Bookman Old Style" w:cs="Arial"/>
          <w:bCs/>
        </w:rPr>
      </w:pPr>
    </w:p>
    <w:p w14:paraId="43861D2B" w14:textId="0B19C447" w:rsidR="00843746" w:rsidRDefault="00C40CC2" w:rsidP="00843746">
      <w:pPr>
        <w:ind w:left="284" w:right="142"/>
        <w:contextualSpacing/>
        <w:jc w:val="both"/>
        <w:rPr>
          <w:rFonts w:ascii="Bookman Old Style" w:hAnsi="Bookman Old Style" w:cs="Arial"/>
          <w:bCs/>
        </w:rPr>
      </w:pPr>
      <w:r w:rsidRPr="00AD369B">
        <w:rPr>
          <w:rFonts w:ascii="Bookman Old Style" w:hAnsi="Bookman Old Style" w:cs="Arial"/>
          <w:b/>
        </w:rPr>
        <w:t xml:space="preserve">ARTÍCULO </w:t>
      </w:r>
      <w:r w:rsidR="00843746">
        <w:rPr>
          <w:rFonts w:ascii="Bookman Old Style" w:hAnsi="Bookman Old Style" w:cs="Arial"/>
          <w:b/>
        </w:rPr>
        <w:t>4</w:t>
      </w:r>
      <w:r w:rsidRPr="00AD369B">
        <w:rPr>
          <w:rFonts w:ascii="Bookman Old Style" w:hAnsi="Bookman Old Style" w:cs="Arial"/>
          <w:b/>
        </w:rPr>
        <w:t>. Vigencia</w:t>
      </w:r>
      <w:r w:rsidR="000F6002" w:rsidRPr="00AD369B">
        <w:rPr>
          <w:rFonts w:ascii="Bookman Old Style" w:hAnsi="Bookman Old Style" w:cs="Arial"/>
          <w:b/>
        </w:rPr>
        <w:t xml:space="preserve"> de los cargos máximos de generación para el mercado relevante de </w:t>
      </w:r>
      <w:r w:rsidR="00843746">
        <w:rPr>
          <w:rFonts w:ascii="Bookman Old Style" w:hAnsi="Bookman Old Style" w:cs="Arial"/>
          <w:b/>
        </w:rPr>
        <w:t>Inírida</w:t>
      </w:r>
      <w:r w:rsidRPr="00AD369B">
        <w:rPr>
          <w:rFonts w:ascii="Bookman Old Style" w:hAnsi="Bookman Old Style" w:cs="Arial"/>
          <w:b/>
        </w:rPr>
        <w:t>.</w:t>
      </w:r>
      <w:r w:rsidRPr="00AD369B">
        <w:rPr>
          <w:rFonts w:ascii="Bookman Old Style" w:hAnsi="Bookman Old Style" w:cs="Arial"/>
        </w:rPr>
        <w:t xml:space="preserve"> Las componentes de inversión y de administración, operación y mantenimiento</w:t>
      </w:r>
      <w:r w:rsidR="007C7AF7" w:rsidRPr="00AD369B">
        <w:rPr>
          <w:rFonts w:ascii="Bookman Old Style" w:hAnsi="Bookman Old Style" w:cs="Arial"/>
        </w:rPr>
        <w:t>,</w:t>
      </w:r>
      <w:r w:rsidRPr="00AD369B">
        <w:rPr>
          <w:rFonts w:ascii="Bookman Old Style" w:hAnsi="Bookman Old Style" w:cs="Arial"/>
        </w:rPr>
        <w:t xml:space="preserve"> y la fórmula de actualización de cargos máximos, señalados en los artículos 1 y 2 de la presente resolución, serán aplicables </w:t>
      </w:r>
      <w:r w:rsidR="002739C6" w:rsidRPr="00AD369B">
        <w:rPr>
          <w:rFonts w:ascii="Bookman Old Style" w:hAnsi="Bookman Old Style" w:cs="Arial"/>
        </w:rPr>
        <w:t xml:space="preserve">para el mercado relevante de comercialización de </w:t>
      </w:r>
      <w:r w:rsidR="00843746">
        <w:rPr>
          <w:rFonts w:ascii="Bookman Old Style" w:hAnsi="Bookman Old Style" w:cs="Arial"/>
        </w:rPr>
        <w:t>Inírida</w:t>
      </w:r>
      <w:r w:rsidR="008B4B35" w:rsidRPr="00AD369B">
        <w:rPr>
          <w:rFonts w:ascii="Bookman Old Style" w:hAnsi="Bookman Old Style" w:cs="Arial"/>
        </w:rPr>
        <w:t>,</w:t>
      </w:r>
      <w:r w:rsidR="002739C6" w:rsidRPr="00AD369B">
        <w:rPr>
          <w:rFonts w:ascii="Bookman Old Style" w:hAnsi="Bookman Old Style" w:cs="Arial"/>
        </w:rPr>
        <w:t xml:space="preserve"> </w:t>
      </w:r>
      <w:r w:rsidRPr="00AD369B">
        <w:rPr>
          <w:rFonts w:ascii="Bookman Old Style" w:hAnsi="Bookman Old Style" w:cs="Arial"/>
        </w:rPr>
        <w:t xml:space="preserve">a partir de la </w:t>
      </w:r>
      <w:r w:rsidR="000F6002" w:rsidRPr="00AD369B">
        <w:rPr>
          <w:rFonts w:ascii="Bookman Old Style" w:hAnsi="Bookman Old Style" w:cs="Arial"/>
        </w:rPr>
        <w:t xml:space="preserve">fecha en que quede en firme la presente </w:t>
      </w:r>
      <w:r w:rsidR="009221E1" w:rsidRPr="00AD369B">
        <w:rPr>
          <w:rFonts w:ascii="Bookman Old Style" w:hAnsi="Bookman Old Style" w:cs="Arial"/>
        </w:rPr>
        <w:t xml:space="preserve">resolución </w:t>
      </w:r>
      <w:r w:rsidRPr="00AD369B">
        <w:rPr>
          <w:rFonts w:ascii="Bookman Old Style" w:hAnsi="Bookman Old Style" w:cs="Arial"/>
        </w:rPr>
        <w:t>y hasta la entrada en vigencia de la resolución que modifique o sustituya a la Resolución CREG 091 de 2007</w:t>
      </w:r>
      <w:r w:rsidR="00D94920" w:rsidRPr="00AD369B">
        <w:rPr>
          <w:rFonts w:ascii="Bookman Old Style" w:hAnsi="Bookman Old Style" w:cs="Arial"/>
          <w:bCs/>
        </w:rPr>
        <w:t>.</w:t>
      </w:r>
    </w:p>
    <w:p w14:paraId="20369D25" w14:textId="77777777" w:rsidR="00BB5A32" w:rsidRPr="00843746" w:rsidRDefault="00BB5A32" w:rsidP="00843746">
      <w:pPr>
        <w:ind w:left="284" w:right="142"/>
        <w:contextualSpacing/>
        <w:jc w:val="both"/>
        <w:rPr>
          <w:rFonts w:ascii="Bookman Old Style" w:hAnsi="Bookman Old Style" w:cs="Arial"/>
          <w:bCs/>
        </w:rPr>
      </w:pPr>
    </w:p>
    <w:p w14:paraId="2B708D62" w14:textId="3258404F" w:rsidR="00903C58" w:rsidRPr="00843746" w:rsidRDefault="2C8D86E6" w:rsidP="00843746">
      <w:pPr>
        <w:ind w:left="284" w:right="142"/>
        <w:contextualSpacing/>
        <w:jc w:val="both"/>
        <w:rPr>
          <w:rFonts w:ascii="Bookman Old Style" w:hAnsi="Bookman Old Style"/>
        </w:rPr>
      </w:pPr>
      <w:r w:rsidRPr="1B8620D5">
        <w:rPr>
          <w:rFonts w:ascii="Bookman Old Style" w:hAnsi="Bookman Old Style" w:cs="Arial"/>
          <w:b/>
          <w:bCs/>
        </w:rPr>
        <w:t xml:space="preserve">ARTÍCULO </w:t>
      </w:r>
      <w:r w:rsidR="745D9F10" w:rsidRPr="1B8620D5">
        <w:rPr>
          <w:rFonts w:ascii="Bookman Old Style" w:hAnsi="Bookman Old Style" w:cs="Arial"/>
          <w:b/>
          <w:bCs/>
        </w:rPr>
        <w:t>5</w:t>
      </w:r>
      <w:r w:rsidRPr="1B8620D5">
        <w:rPr>
          <w:rFonts w:ascii="Bookman Old Style" w:hAnsi="Bookman Old Style" w:cs="Arial"/>
          <w:b/>
          <w:bCs/>
        </w:rPr>
        <w:t xml:space="preserve">. </w:t>
      </w:r>
      <w:r w:rsidR="5364FA55" w:rsidRPr="1B8620D5">
        <w:rPr>
          <w:rFonts w:ascii="Bookman Old Style" w:hAnsi="Bookman Old Style" w:cs="Arial"/>
          <w:b/>
          <w:bCs/>
        </w:rPr>
        <w:t xml:space="preserve">Notificación. </w:t>
      </w:r>
      <w:r w:rsidR="4B49AAC8" w:rsidRPr="1B8620D5">
        <w:rPr>
          <w:rFonts w:ascii="Bookman Old Style" w:hAnsi="Bookman Old Style" w:cs="Arial"/>
        </w:rPr>
        <w:t>Notificar a</w:t>
      </w:r>
      <w:r w:rsidR="253C1A69" w:rsidRPr="1B8620D5">
        <w:rPr>
          <w:rFonts w:ascii="Bookman Old Style" w:hAnsi="Bookman Old Style" w:cs="Arial"/>
        </w:rPr>
        <w:t xml:space="preserve"> los representantes legales</w:t>
      </w:r>
      <w:r w:rsidR="4B49AAC8" w:rsidRPr="1B8620D5">
        <w:rPr>
          <w:rFonts w:ascii="Bookman Old Style" w:hAnsi="Bookman Old Style" w:cs="Arial"/>
        </w:rPr>
        <w:t xml:space="preserve"> de </w:t>
      </w:r>
      <w:r w:rsidR="253C1A69" w:rsidRPr="1B8620D5">
        <w:rPr>
          <w:rFonts w:ascii="Bookman Old Style" w:hAnsi="Bookman Old Style"/>
        </w:rPr>
        <w:t>G</w:t>
      </w:r>
      <w:r w:rsidR="56DB4ACF" w:rsidRPr="1B8620D5">
        <w:rPr>
          <w:rFonts w:ascii="Bookman Old Style" w:hAnsi="Bookman Old Style"/>
        </w:rPr>
        <w:t>ENSA</w:t>
      </w:r>
      <w:r w:rsidR="73D52DEB" w:rsidRPr="1B8620D5">
        <w:rPr>
          <w:rFonts w:ascii="Bookman Old Style" w:hAnsi="Bookman Old Style"/>
        </w:rPr>
        <w:t xml:space="preserve"> </w:t>
      </w:r>
      <w:r w:rsidR="745D9F10" w:rsidRPr="1B8620D5">
        <w:rPr>
          <w:rFonts w:ascii="Bookman Old Style" w:hAnsi="Bookman Old Style"/>
        </w:rPr>
        <w:t xml:space="preserve">y </w:t>
      </w:r>
      <w:r w:rsidR="0175F223" w:rsidRPr="5682232E">
        <w:rPr>
          <w:rFonts w:ascii="Bookman Old Style" w:hAnsi="Bookman Old Style"/>
        </w:rPr>
        <w:t>EMELCE,</w:t>
      </w:r>
      <w:r w:rsidR="745D9F10" w:rsidRPr="1B8620D5">
        <w:rPr>
          <w:rFonts w:ascii="Bookman Old Style" w:hAnsi="Bookman Old Style"/>
        </w:rPr>
        <w:t xml:space="preserve"> </w:t>
      </w:r>
      <w:r w:rsidR="4B49AAC8" w:rsidRPr="1B8620D5">
        <w:rPr>
          <w:rFonts w:ascii="Bookman Old Style" w:hAnsi="Bookman Old Style" w:cs="Arial"/>
        </w:rPr>
        <w:t xml:space="preserve">el contenido de </w:t>
      </w:r>
      <w:r w:rsidR="0CB80647" w:rsidRPr="1B8620D5">
        <w:rPr>
          <w:rFonts w:ascii="Bookman Old Style" w:hAnsi="Bookman Old Style" w:cs="Arial"/>
        </w:rPr>
        <w:t>esta resolución</w:t>
      </w:r>
      <w:r w:rsidR="4B49AAC8" w:rsidRPr="1B8620D5">
        <w:rPr>
          <w:rFonts w:ascii="Bookman Old Style" w:hAnsi="Bookman Old Style" w:cs="Arial"/>
        </w:rPr>
        <w:t xml:space="preserve">. Contra la presente </w:t>
      </w:r>
      <w:r w:rsidR="0CB80647" w:rsidRPr="1B8620D5">
        <w:rPr>
          <w:rFonts w:ascii="Bookman Old Style" w:hAnsi="Bookman Old Style" w:cs="Arial"/>
        </w:rPr>
        <w:t>resolución,</w:t>
      </w:r>
      <w:r w:rsidR="39F023DB" w:rsidRPr="1B8620D5">
        <w:rPr>
          <w:rFonts w:ascii="Bookman Old Style" w:hAnsi="Bookman Old Style" w:cs="Arial"/>
        </w:rPr>
        <w:t xml:space="preserve"> </w:t>
      </w:r>
      <w:r w:rsidR="4B49AAC8" w:rsidRPr="1B8620D5">
        <w:rPr>
          <w:rFonts w:ascii="Bookman Old Style" w:hAnsi="Bookman Old Style" w:cs="Arial"/>
        </w:rPr>
        <w:t>procede recurso de reposición</w:t>
      </w:r>
      <w:r w:rsidR="39F023DB" w:rsidRPr="1B8620D5">
        <w:rPr>
          <w:rFonts w:ascii="Bookman Old Style" w:hAnsi="Bookman Old Style" w:cs="Arial"/>
        </w:rPr>
        <w:t>,</w:t>
      </w:r>
      <w:r w:rsidR="4B49AAC8" w:rsidRPr="1B8620D5">
        <w:rPr>
          <w:rFonts w:ascii="Bookman Old Style" w:hAnsi="Bookman Old Style" w:cs="Arial"/>
        </w:rPr>
        <w:t xml:space="preserve"> el cual deberá interponerse ante la Dirección Ejecutiva de la CREG dentro de los cinco (5) días hábiles siguientes a su notificación.</w:t>
      </w:r>
    </w:p>
    <w:p w14:paraId="6FFDA574" w14:textId="77777777" w:rsidR="00FA2E6C" w:rsidRPr="00AD369B" w:rsidRDefault="00FA2E6C" w:rsidP="00B606A2">
      <w:pPr>
        <w:ind w:left="284" w:right="142"/>
        <w:contextualSpacing/>
        <w:jc w:val="both"/>
        <w:rPr>
          <w:rFonts w:ascii="Bookman Old Style" w:hAnsi="Bookman Old Style" w:cs="Arial"/>
        </w:rPr>
      </w:pPr>
    </w:p>
    <w:p w14:paraId="70C14FAB" w14:textId="77777777" w:rsidR="00DE4BF8" w:rsidRPr="00AD369B" w:rsidRDefault="00DE4BF8" w:rsidP="00B606A2">
      <w:pPr>
        <w:ind w:left="284" w:right="142"/>
        <w:contextualSpacing/>
        <w:jc w:val="center"/>
        <w:rPr>
          <w:rFonts w:ascii="Bookman Old Style" w:hAnsi="Bookman Old Style" w:cs="Arial"/>
          <w:b/>
        </w:rPr>
      </w:pPr>
      <w:r w:rsidRPr="00AD369B">
        <w:rPr>
          <w:rFonts w:ascii="Bookman Old Style" w:hAnsi="Bookman Old Style" w:cs="Arial"/>
          <w:b/>
        </w:rPr>
        <w:t>NOTIFÍQUESE, PUBLÍQUESE Y CÚMPLASE</w:t>
      </w:r>
    </w:p>
    <w:p w14:paraId="431A4F21" w14:textId="77777777" w:rsidR="00DE4BF8" w:rsidRPr="00AD369B" w:rsidRDefault="00DE4BF8" w:rsidP="00B606A2">
      <w:pPr>
        <w:ind w:left="284" w:right="142"/>
        <w:contextualSpacing/>
        <w:rPr>
          <w:rFonts w:ascii="Bookman Old Style" w:hAnsi="Bookman Old Style" w:cs="Arial"/>
        </w:rPr>
      </w:pPr>
    </w:p>
    <w:p w14:paraId="635A7024" w14:textId="68E72377" w:rsidR="00881DFA" w:rsidRDefault="00881DFA" w:rsidP="00B606A2">
      <w:pPr>
        <w:ind w:left="284"/>
        <w:contextualSpacing/>
        <w:rPr>
          <w:rFonts w:ascii="Bookman Old Style" w:hAnsi="Bookman Old Style"/>
          <w:b/>
          <w:bCs/>
        </w:rPr>
      </w:pPr>
      <w:r w:rsidRPr="00AD369B">
        <w:rPr>
          <w:rFonts w:ascii="Bookman Old Style" w:hAnsi="Bookman Old Style"/>
        </w:rPr>
        <w:t xml:space="preserve">Dada en Bogotá. D. C., </w:t>
      </w:r>
      <w:r w:rsidR="00341BFC" w:rsidRPr="00341BFC">
        <w:rPr>
          <w:rFonts w:ascii="Bookman Old Style" w:hAnsi="Bookman Old Style"/>
          <w:b/>
          <w:bCs/>
        </w:rPr>
        <w:t>17</w:t>
      </w:r>
      <w:r w:rsidR="648CF8AF" w:rsidRPr="254D034A">
        <w:rPr>
          <w:rFonts w:ascii="Bookman Old Style" w:hAnsi="Bookman Old Style"/>
          <w:b/>
          <w:bCs/>
        </w:rPr>
        <w:t xml:space="preserve"> </w:t>
      </w:r>
      <w:r w:rsidR="71FB1347" w:rsidRPr="254D034A">
        <w:rPr>
          <w:rFonts w:ascii="Bookman Old Style" w:hAnsi="Bookman Old Style"/>
          <w:b/>
          <w:bCs/>
        </w:rPr>
        <w:t>MAY</w:t>
      </w:r>
      <w:r w:rsidR="009E43E6">
        <w:rPr>
          <w:rFonts w:ascii="Bookman Old Style" w:hAnsi="Bookman Old Style"/>
          <w:b/>
          <w:bCs/>
        </w:rPr>
        <w:t>.</w:t>
      </w:r>
      <w:r w:rsidR="00843746">
        <w:rPr>
          <w:rFonts w:ascii="Bookman Old Style" w:hAnsi="Bookman Old Style"/>
          <w:b/>
          <w:bCs/>
        </w:rPr>
        <w:t xml:space="preserve"> </w:t>
      </w:r>
      <w:r w:rsidR="00AD369B" w:rsidRPr="00AD369B">
        <w:rPr>
          <w:rFonts w:ascii="Bookman Old Style" w:hAnsi="Bookman Old Style"/>
          <w:b/>
          <w:bCs/>
        </w:rPr>
        <w:t>202</w:t>
      </w:r>
      <w:r w:rsidR="00843746">
        <w:rPr>
          <w:rFonts w:ascii="Bookman Old Style" w:hAnsi="Bookman Old Style"/>
          <w:b/>
          <w:bCs/>
        </w:rPr>
        <w:t>2</w:t>
      </w:r>
    </w:p>
    <w:p w14:paraId="70DC64FC" w14:textId="77777777" w:rsidR="009159B9" w:rsidRDefault="009159B9" w:rsidP="00B606A2">
      <w:pPr>
        <w:ind w:left="284"/>
        <w:contextualSpacing/>
        <w:rPr>
          <w:rFonts w:ascii="Bookman Old Style" w:hAnsi="Bookman Old Style"/>
        </w:rPr>
      </w:pPr>
    </w:p>
    <w:p w14:paraId="663FE7F3" w14:textId="6296B48C" w:rsidR="009159B9" w:rsidRDefault="009159B9" w:rsidP="00B606A2">
      <w:pPr>
        <w:ind w:left="284"/>
        <w:contextualSpacing/>
        <w:rPr>
          <w:rFonts w:ascii="Bookman Old Style" w:hAnsi="Bookman Old Style"/>
        </w:rPr>
      </w:pPr>
    </w:p>
    <w:p w14:paraId="4A994FB3" w14:textId="769374FE" w:rsidR="000452FE" w:rsidRDefault="000452FE" w:rsidP="00B606A2">
      <w:pPr>
        <w:ind w:left="284"/>
        <w:contextualSpacing/>
        <w:rPr>
          <w:rFonts w:ascii="Bookman Old Style" w:hAnsi="Bookman Old Style"/>
        </w:rPr>
      </w:pPr>
    </w:p>
    <w:p w14:paraId="11FC34DB" w14:textId="77777777" w:rsidR="000452FE" w:rsidRDefault="000452FE" w:rsidP="00B606A2">
      <w:pPr>
        <w:ind w:left="284"/>
        <w:contextualSpacing/>
        <w:rPr>
          <w:rFonts w:ascii="Bookman Old Style" w:hAnsi="Bookman Old Style"/>
        </w:rPr>
      </w:pPr>
    </w:p>
    <w:p w14:paraId="38CCC014" w14:textId="77777777" w:rsidR="009159B9" w:rsidRDefault="009159B9" w:rsidP="00B606A2">
      <w:pPr>
        <w:ind w:left="284"/>
        <w:contextualSpacing/>
        <w:rPr>
          <w:rFonts w:ascii="Bookman Old Style" w:hAnsi="Bookman Old Style"/>
        </w:rPr>
      </w:pPr>
    </w:p>
    <w:tbl>
      <w:tblPr>
        <w:tblW w:w="9715" w:type="dxa"/>
        <w:jc w:val="center"/>
        <w:tblLayout w:type="fixed"/>
        <w:tblCellMar>
          <w:left w:w="70" w:type="dxa"/>
          <w:right w:w="70" w:type="dxa"/>
        </w:tblCellMar>
        <w:tblLook w:val="0000" w:firstRow="0" w:lastRow="0" w:firstColumn="0" w:lastColumn="0" w:noHBand="0" w:noVBand="0"/>
      </w:tblPr>
      <w:tblGrid>
        <w:gridCol w:w="4962"/>
        <w:gridCol w:w="4753"/>
      </w:tblGrid>
      <w:tr w:rsidR="000452FE" w:rsidRPr="00DA0C27" w14:paraId="55602077" w14:textId="77777777" w:rsidTr="00B501C4">
        <w:trPr>
          <w:trHeight w:val="864"/>
          <w:jc w:val="center"/>
        </w:trPr>
        <w:tc>
          <w:tcPr>
            <w:tcW w:w="4962" w:type="dxa"/>
          </w:tcPr>
          <w:p w14:paraId="09036E0E" w14:textId="77777777" w:rsidR="000452FE" w:rsidRPr="00DA0C27" w:rsidRDefault="000452FE" w:rsidP="00B501C4">
            <w:pPr>
              <w:tabs>
                <w:tab w:val="left" w:pos="-720"/>
              </w:tabs>
              <w:suppressAutoHyphens/>
              <w:jc w:val="center"/>
              <w:rPr>
                <w:rFonts w:ascii="Bookman Old Style" w:hAnsi="Bookman Old Style" w:cs="Arial"/>
                <w:b/>
                <w:spacing w:val="-3"/>
              </w:rPr>
            </w:pPr>
            <w:r w:rsidRPr="00DA0C27">
              <w:rPr>
                <w:rFonts w:ascii="Bookman Old Style" w:hAnsi="Bookman Old Style" w:cs="Arial"/>
                <w:b/>
                <w:spacing w:val="-3"/>
              </w:rPr>
              <w:t>MIGUEL LOTERO ROBLEDO</w:t>
            </w:r>
          </w:p>
          <w:p w14:paraId="63A1B406" w14:textId="77777777" w:rsidR="000452FE" w:rsidRPr="00AF6D27" w:rsidRDefault="000452FE" w:rsidP="00B501C4">
            <w:pPr>
              <w:tabs>
                <w:tab w:val="left" w:pos="-720"/>
              </w:tabs>
              <w:suppressAutoHyphens/>
              <w:jc w:val="center"/>
              <w:rPr>
                <w:rFonts w:ascii="Bookman Old Style" w:hAnsi="Bookman Old Style"/>
              </w:rPr>
            </w:pPr>
            <w:r w:rsidRPr="00AF6D27">
              <w:rPr>
                <w:rFonts w:ascii="Bookman Old Style" w:hAnsi="Bookman Old Style"/>
              </w:rPr>
              <w:t>Viceministro de Energía, Delegado</w:t>
            </w:r>
          </w:p>
          <w:p w14:paraId="4D843913" w14:textId="77777777" w:rsidR="000452FE" w:rsidRPr="00AF6D27" w:rsidRDefault="000452FE" w:rsidP="00B501C4">
            <w:pPr>
              <w:tabs>
                <w:tab w:val="left" w:pos="-720"/>
              </w:tabs>
              <w:suppressAutoHyphens/>
              <w:jc w:val="center"/>
              <w:rPr>
                <w:rFonts w:ascii="Bookman Old Style" w:hAnsi="Bookman Old Style"/>
              </w:rPr>
            </w:pPr>
            <w:r>
              <w:rPr>
                <w:rFonts w:ascii="Bookman Old Style" w:hAnsi="Bookman Old Style"/>
              </w:rPr>
              <w:t>d</w:t>
            </w:r>
            <w:r w:rsidRPr="00AF6D27">
              <w:rPr>
                <w:rFonts w:ascii="Bookman Old Style" w:hAnsi="Bookman Old Style"/>
              </w:rPr>
              <w:t xml:space="preserve">el Ministro de Minas y Energía </w:t>
            </w:r>
          </w:p>
          <w:p w14:paraId="648E6125" w14:textId="77777777" w:rsidR="000452FE" w:rsidRPr="00DA0C27" w:rsidRDefault="000452FE" w:rsidP="00B501C4">
            <w:pPr>
              <w:tabs>
                <w:tab w:val="left" w:pos="-720"/>
              </w:tabs>
              <w:suppressAutoHyphens/>
              <w:jc w:val="center"/>
              <w:rPr>
                <w:rFonts w:ascii="Bookman Old Style" w:hAnsi="Bookman Old Style" w:cs="Arial"/>
                <w:b/>
                <w:strike/>
                <w:spacing w:val="-3"/>
              </w:rPr>
            </w:pPr>
            <w:r w:rsidRPr="00AF6D27">
              <w:rPr>
                <w:rFonts w:ascii="Bookman Old Style" w:hAnsi="Bookman Old Style"/>
              </w:rPr>
              <w:t>Presidente</w:t>
            </w:r>
          </w:p>
        </w:tc>
        <w:tc>
          <w:tcPr>
            <w:tcW w:w="4753" w:type="dxa"/>
          </w:tcPr>
          <w:p w14:paraId="4531C113" w14:textId="77777777" w:rsidR="000452FE" w:rsidRPr="00DA0C27" w:rsidRDefault="000452FE" w:rsidP="00B501C4">
            <w:pPr>
              <w:tabs>
                <w:tab w:val="left" w:pos="-720"/>
              </w:tabs>
              <w:suppressAutoHyphens/>
              <w:jc w:val="center"/>
              <w:rPr>
                <w:rFonts w:ascii="Bookman Old Style" w:hAnsi="Bookman Old Style" w:cs="Arial"/>
                <w:b/>
              </w:rPr>
            </w:pPr>
            <w:r w:rsidRPr="00DA0C27">
              <w:rPr>
                <w:rFonts w:ascii="Bookman Old Style" w:hAnsi="Bookman Old Style" w:cs="Arial"/>
                <w:b/>
              </w:rPr>
              <w:t>JORGE ALBERTO VALENCIA MARÍN</w:t>
            </w:r>
          </w:p>
          <w:p w14:paraId="20C8E0AD" w14:textId="77777777" w:rsidR="000452FE" w:rsidRPr="00DA0C27" w:rsidRDefault="000452FE" w:rsidP="00B501C4">
            <w:pPr>
              <w:tabs>
                <w:tab w:val="left" w:pos="-720"/>
              </w:tabs>
              <w:suppressAutoHyphens/>
              <w:jc w:val="center"/>
              <w:rPr>
                <w:rFonts w:ascii="Bookman Old Style" w:hAnsi="Bookman Old Style" w:cs="Arial"/>
                <w:b/>
                <w:spacing w:val="-3"/>
              </w:rPr>
            </w:pPr>
            <w:r w:rsidRPr="00DA0C27">
              <w:rPr>
                <w:rFonts w:ascii="Bookman Old Style" w:hAnsi="Bookman Old Style" w:cs="Arial"/>
                <w:spacing w:val="-3"/>
              </w:rPr>
              <w:t>Director Ejecutivo</w:t>
            </w:r>
          </w:p>
        </w:tc>
      </w:tr>
    </w:tbl>
    <w:p w14:paraId="4B691F8B" w14:textId="77777777" w:rsidR="009159B9" w:rsidRDefault="009159B9" w:rsidP="00B606A2">
      <w:pPr>
        <w:ind w:left="284"/>
        <w:contextualSpacing/>
        <w:rPr>
          <w:rFonts w:ascii="Bookman Old Style" w:hAnsi="Bookman Old Style"/>
        </w:rPr>
      </w:pPr>
    </w:p>
    <w:p w14:paraId="75CF4578" w14:textId="77777777" w:rsidR="009159B9" w:rsidRPr="00AD369B" w:rsidRDefault="009159B9" w:rsidP="00B606A2">
      <w:pPr>
        <w:ind w:left="284"/>
        <w:contextualSpacing/>
        <w:rPr>
          <w:rFonts w:ascii="Bookman Old Style" w:hAnsi="Bookman Old Style"/>
        </w:rPr>
      </w:pPr>
    </w:p>
    <w:sectPr w:rsidR="009159B9" w:rsidRPr="00AD369B" w:rsidSect="00727040">
      <w:headerReference w:type="default" r:id="rId13"/>
      <w:headerReference w:type="first" r:id="rId14"/>
      <w:type w:val="continuous"/>
      <w:pgSz w:w="12242" w:h="18722" w:code="123"/>
      <w:pgMar w:top="1701" w:right="1185"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9D072" w14:textId="77777777" w:rsidR="00E33A15" w:rsidRDefault="00E33A15">
      <w:r>
        <w:separator/>
      </w:r>
    </w:p>
  </w:endnote>
  <w:endnote w:type="continuationSeparator" w:id="0">
    <w:p w14:paraId="152ED170" w14:textId="77777777" w:rsidR="00E33A15" w:rsidRDefault="00E33A15">
      <w:r>
        <w:continuationSeparator/>
      </w:r>
    </w:p>
  </w:endnote>
  <w:endnote w:type="continuationNotice" w:id="1">
    <w:p w14:paraId="7A4B135E" w14:textId="77777777" w:rsidR="00E33A15" w:rsidRDefault="00E33A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B4724" w14:textId="77777777" w:rsidR="00E33A15" w:rsidRDefault="00E33A15">
      <w:r>
        <w:separator/>
      </w:r>
    </w:p>
  </w:footnote>
  <w:footnote w:type="continuationSeparator" w:id="0">
    <w:p w14:paraId="2B069CAD" w14:textId="77777777" w:rsidR="00E33A15" w:rsidRDefault="00E33A15">
      <w:r>
        <w:continuationSeparator/>
      </w:r>
    </w:p>
  </w:footnote>
  <w:footnote w:type="continuationNotice" w:id="1">
    <w:p w14:paraId="42F889E8" w14:textId="77777777" w:rsidR="00E33A15" w:rsidRDefault="00E33A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4A9C5" w14:textId="61AEA546" w:rsidR="0082104D" w:rsidRDefault="0082104D" w:rsidP="00951F79">
    <w:pPr>
      <w:pStyle w:val="Ttulo1"/>
      <w:ind w:right="6"/>
      <w:jc w:val="left"/>
      <w:rPr>
        <w:rFonts w:ascii="Bookman Old Style" w:hAnsi="Bookman Old Style" w:cs="Arial"/>
        <w:b w:val="0"/>
        <w:sz w:val="22"/>
        <w:szCs w:val="22"/>
      </w:rPr>
    </w:pPr>
  </w:p>
  <w:p w14:paraId="36B1EA65" w14:textId="1F52940F" w:rsidR="0082104D" w:rsidRPr="00951F79" w:rsidRDefault="0082104D" w:rsidP="00951F79">
    <w:pPr>
      <w:pStyle w:val="Ttulo1"/>
      <w:ind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sidRPr="00AD369B">
      <w:rPr>
        <w:rFonts w:ascii="Bookman Old Style" w:hAnsi="Bookman Old Style" w:cs="Arial"/>
        <w:b w:val="0"/>
        <w:szCs w:val="24"/>
      </w:rPr>
      <w:t>.</w:t>
    </w:r>
    <w:r w:rsidRPr="00AD369B">
      <w:rPr>
        <w:rFonts w:ascii="Bookman Old Style" w:hAnsi="Bookman Old Style" w:cs="Arial"/>
        <w:bCs/>
        <w:szCs w:val="24"/>
        <w:u w:val="single"/>
      </w:rPr>
      <w:t xml:space="preserve"> </w:t>
    </w:r>
    <w:r>
      <w:rPr>
        <w:rFonts w:ascii="Bookman Old Style" w:hAnsi="Bookman Old Style" w:cs="Arial"/>
        <w:bCs/>
        <w:szCs w:val="24"/>
        <w:u w:val="single"/>
      </w:rPr>
      <w:t xml:space="preserve">501 </w:t>
    </w:r>
    <w:r w:rsidR="008F1A8D">
      <w:rPr>
        <w:rFonts w:ascii="Bookman Old Style" w:hAnsi="Bookman Old Style" w:cs="Arial"/>
        <w:bCs/>
        <w:szCs w:val="24"/>
        <w:u w:val="single"/>
      </w:rPr>
      <w:t>041</w:t>
    </w:r>
    <w:r>
      <w:rPr>
        <w:rFonts w:ascii="Bookman Old Style" w:hAnsi="Bookman Old Style" w:cs="Arial"/>
        <w:b w:val="0"/>
        <w:sz w:val="22"/>
        <w:szCs w:val="22"/>
      </w:rPr>
      <w:t xml:space="preserve"> </w:t>
    </w:r>
    <w:r w:rsidRPr="00654384">
      <w:rPr>
        <w:rFonts w:ascii="Bookman Old Style" w:hAnsi="Bookman Old Style" w:cs="Arial"/>
        <w:b w:val="0"/>
        <w:sz w:val="22"/>
        <w:szCs w:val="22"/>
      </w:rPr>
      <w:tab/>
    </w:r>
    <w:r>
      <w:rPr>
        <w:rFonts w:ascii="Bookman Old Style" w:hAnsi="Bookman Old Style" w:cs="Arial"/>
        <w:b w:val="0"/>
        <w:sz w:val="22"/>
        <w:szCs w:val="22"/>
      </w:rPr>
      <w:t xml:space="preserve">DE  </w:t>
    </w:r>
    <w:r w:rsidRPr="00AD369B">
      <w:rPr>
        <w:rFonts w:ascii="Bookman Old Style" w:hAnsi="Bookman Old Style" w:cs="Arial"/>
        <w:b w:val="0"/>
        <w:sz w:val="22"/>
        <w:szCs w:val="22"/>
        <w:u w:val="single"/>
      </w:rPr>
      <w:t xml:space="preserve"> </w:t>
    </w:r>
    <w:r w:rsidR="008F1A8D">
      <w:rPr>
        <w:rFonts w:ascii="Bookman Old Style" w:hAnsi="Bookman Old Style" w:cs="Arial"/>
        <w:bCs/>
        <w:szCs w:val="24"/>
        <w:u w:val="single"/>
      </w:rPr>
      <w:t>17</w:t>
    </w:r>
    <w:r w:rsidRPr="00AD369B">
      <w:rPr>
        <w:rFonts w:ascii="Bookman Old Style" w:hAnsi="Bookman Old Style" w:cs="Arial"/>
        <w:bCs/>
        <w:szCs w:val="24"/>
        <w:u w:val="single"/>
      </w:rPr>
      <w:t xml:space="preserve"> </w:t>
    </w:r>
    <w:r>
      <w:rPr>
        <w:rFonts w:ascii="Bookman Old Style" w:hAnsi="Bookman Old Style" w:cs="Arial"/>
        <w:bCs/>
        <w:szCs w:val="24"/>
        <w:u w:val="single"/>
      </w:rPr>
      <w:t>MAY</w:t>
    </w:r>
    <w:r w:rsidRPr="00AD369B">
      <w:rPr>
        <w:rFonts w:ascii="Bookman Old Style" w:hAnsi="Bookman Old Style" w:cs="Arial"/>
        <w:bCs/>
        <w:szCs w:val="24"/>
        <w:u w:val="single"/>
      </w:rPr>
      <w:t>. 202</w:t>
    </w:r>
    <w:r>
      <w:rPr>
        <w:rFonts w:ascii="Bookman Old Style" w:hAnsi="Bookman Old Style" w:cs="Arial"/>
        <w:bCs/>
        <w:szCs w:val="24"/>
        <w:u w:val="single"/>
      </w:rPr>
      <w:t>2</w:t>
    </w:r>
    <w:r w:rsidRPr="00AD369B">
      <w:rPr>
        <w:rFonts w:ascii="Bookman Old Style" w:hAnsi="Bookman Old Style" w:cs="Arial"/>
        <w:b w:val="0"/>
        <w:sz w:val="22"/>
        <w:szCs w:val="22"/>
        <w:u w:val="single"/>
      </w:rPr>
      <w:t xml:space="preserve"> </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A83854">
      <w:rPr>
        <w:rFonts w:ascii="Bookman Old Style" w:hAnsi="Bookman Old Style" w:cs="Arial"/>
        <w:b w:val="0"/>
        <w:noProof/>
        <w:sz w:val="22"/>
        <w:szCs w:val="22"/>
      </w:rPr>
      <w:t>16</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Pr>
        <w:rFonts w:ascii="Bookman Old Style" w:hAnsi="Bookman Old Style" w:cs="Arial"/>
        <w:b w:val="0"/>
        <w:sz w:val="22"/>
        <w:szCs w:val="22"/>
      </w:rPr>
      <w:fldChar w:fldCharType="begin"/>
    </w:r>
    <w:r>
      <w:rPr>
        <w:rFonts w:ascii="Bookman Old Style" w:hAnsi="Bookman Old Style" w:cs="Arial"/>
        <w:b w:val="0"/>
        <w:sz w:val="22"/>
        <w:szCs w:val="22"/>
      </w:rPr>
      <w:instrText xml:space="preserve"> NUMPAGES  \* MERGEFORMAT </w:instrText>
    </w:r>
    <w:r>
      <w:rPr>
        <w:rFonts w:ascii="Bookman Old Style" w:hAnsi="Bookman Old Style" w:cs="Arial"/>
        <w:b w:val="0"/>
        <w:sz w:val="22"/>
        <w:szCs w:val="22"/>
      </w:rPr>
      <w:fldChar w:fldCharType="separate"/>
    </w:r>
    <w:r w:rsidR="00A83854">
      <w:rPr>
        <w:rFonts w:ascii="Bookman Old Style" w:hAnsi="Bookman Old Style" w:cs="Arial"/>
        <w:b w:val="0"/>
        <w:noProof/>
        <w:sz w:val="22"/>
        <w:szCs w:val="22"/>
      </w:rPr>
      <w:t>16</w:t>
    </w:r>
    <w:r>
      <w:rPr>
        <w:rFonts w:ascii="Bookman Old Style" w:hAnsi="Bookman Old Style" w:cs="Arial"/>
        <w:b w:val="0"/>
        <w:sz w:val="22"/>
        <w:szCs w:val="22"/>
      </w:rPr>
      <w:fldChar w:fldCharType="end"/>
    </w:r>
  </w:p>
  <w:p w14:paraId="6279FA08" w14:textId="77777777" w:rsidR="0082104D" w:rsidRDefault="0082104D" w:rsidP="00053032">
    <w:pPr>
      <w:pStyle w:val="Textodebloque"/>
      <w:ind w:left="0" w:right="142"/>
      <w:rPr>
        <w:rFonts w:ascii="Bookman Old Style" w:hAnsi="Bookman Old Style" w:cs="Arial"/>
        <w:szCs w:val="24"/>
      </w:rPr>
    </w:pPr>
    <w:r>
      <w:rPr>
        <w:noProof/>
        <w:lang w:val="es-CO" w:eastAsia="es-CO"/>
      </w:rPr>
      <mc:AlternateContent>
        <mc:Choice Requires="wps">
          <w:drawing>
            <wp:anchor distT="0" distB="0" distL="114300" distR="114300" simplePos="0" relativeHeight="251658240" behindDoc="0" locked="0" layoutInCell="1" allowOverlap="1" wp14:anchorId="4489AA18" wp14:editId="704F40EB">
              <wp:simplePos x="0" y="0"/>
              <wp:positionH relativeFrom="column">
                <wp:posOffset>-9884</wp:posOffset>
              </wp:positionH>
              <wp:positionV relativeFrom="paragraph">
                <wp:posOffset>144475</wp:posOffset>
              </wp:positionV>
              <wp:extent cx="6342380" cy="9939131"/>
              <wp:effectExtent l="0" t="0" r="20320" b="2413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2380" cy="9939131"/>
                      </a:xfrm>
                      <a:prstGeom prst="rect">
                        <a:avLst/>
                      </a:prstGeom>
                      <a:noFill/>
                      <a:ln w="190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rect id="Rectangle 4" style="position:absolute;margin-left:-.8pt;margin-top:11.4pt;width:499.4pt;height:78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w14:anchorId="2E642D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"/>
          </w:pict>
        </mc:Fallback>
      </mc:AlternateContent>
    </w:r>
    <w:r w:rsidRPr="00507115">
      <w:rPr>
        <w:rFonts w:ascii="Bookman Old Style" w:hAnsi="Bookman Old Style" w:cs="Arial"/>
        <w:szCs w:val="24"/>
      </w:rPr>
      <w:t xml:space="preserve"> </w:t>
    </w:r>
  </w:p>
  <w:p w14:paraId="088D54CB" w14:textId="76AAB418" w:rsidR="0082104D" w:rsidRDefault="0082104D" w:rsidP="00AD369B">
    <w:pPr>
      <w:pStyle w:val="Textodebloque"/>
      <w:spacing w:after="0"/>
      <w:ind w:left="283" w:right="142"/>
      <w:rPr>
        <w:rFonts w:ascii="Bookman Old Style" w:hAnsi="Bookman Old Style"/>
      </w:rPr>
    </w:pPr>
    <w:r w:rsidRPr="003C303D">
      <w:rPr>
        <w:rFonts w:ascii="Bookman Old Style" w:hAnsi="Bookman Old Style"/>
      </w:rPr>
      <w:t>Por la cual se determina el cargo máximo de generación para sistemas de acumulación para el mercado relevante de comercialización de la cabecera municipal de Inírida en el Departamento del Guainía</w:t>
    </w:r>
    <w:r w:rsidRPr="00053032">
      <w:rPr>
        <w:rFonts w:ascii="Bookman Old Style" w:hAnsi="Bookman Old Style"/>
      </w:rPr>
      <w:t>.</w:t>
    </w:r>
  </w:p>
  <w:p w14:paraId="28F3F09E" w14:textId="426211CD" w:rsidR="0082104D" w:rsidRPr="00053032" w:rsidRDefault="0082104D" w:rsidP="00AD369B">
    <w:pPr>
      <w:pStyle w:val="Textodebloque"/>
      <w:spacing w:after="0"/>
      <w:ind w:left="283" w:right="142"/>
      <w:rPr>
        <w:rFonts w:ascii="Bookman Old Style" w:hAnsi="Bookman Old Style"/>
      </w:rPr>
    </w:pPr>
    <w:r>
      <w:rPr>
        <w:rFonts w:ascii="Bookman Old Style" w:hAnsi="Bookman Old Style"/>
      </w:rP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A145D" w14:textId="77777777" w:rsidR="0082104D" w:rsidRDefault="0082104D">
    <w:pPr>
      <w:pStyle w:val="Encabezado"/>
      <w:jc w:val="center"/>
      <w:rPr>
        <w:rFonts w:ascii="Arial" w:hAnsi="Arial" w:cs="Arial"/>
        <w:spacing w:val="20"/>
        <w:sz w:val="20"/>
      </w:rPr>
    </w:pPr>
    <w:r>
      <w:rPr>
        <w:rFonts w:ascii="Arial" w:hAnsi="Arial" w:cs="Arial"/>
        <w:spacing w:val="20"/>
        <w:sz w:val="20"/>
      </w:rPr>
      <w:t>República de Colombia</w:t>
    </w:r>
  </w:p>
  <w:p w14:paraId="1DEBF43A" w14:textId="77777777" w:rsidR="0082104D" w:rsidRDefault="0082104D">
    <w:pPr>
      <w:pStyle w:val="Encabezado"/>
      <w:jc w:val="center"/>
      <w:rPr>
        <w:rFonts w:ascii="Arial" w:hAnsi="Arial" w:cs="Arial"/>
        <w:spacing w:val="20"/>
        <w:sz w:val="20"/>
      </w:rPr>
    </w:pPr>
  </w:p>
  <w:p w14:paraId="000510A4" w14:textId="77777777" w:rsidR="0082104D" w:rsidRDefault="0082104D"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1" behindDoc="0" locked="0" layoutInCell="1" allowOverlap="1" wp14:anchorId="2B7A6E49" wp14:editId="12E5A430">
              <wp:simplePos x="0" y="0"/>
              <wp:positionH relativeFrom="column">
                <wp:posOffset>-8890</wp:posOffset>
              </wp:positionH>
              <wp:positionV relativeFrom="paragraph">
                <wp:posOffset>224790</wp:posOffset>
              </wp:positionV>
              <wp:extent cx="6308090" cy="9839325"/>
              <wp:effectExtent l="15240" t="14605" r="10795" b="1397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8090" cy="9839325"/>
                      </a:xfrm>
                      <a:prstGeom prst="rect">
                        <a:avLst/>
                      </a:prstGeom>
                      <a:noFill/>
                      <a:ln w="190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rect id="Rectangle 5" style="position:absolute;margin-left:-.7pt;margin-top:17.7pt;width:496.7pt;height:77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w14:anchorId="45F70C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3C95E8A"/>
    <w:multiLevelType w:val="hybridMultilevel"/>
    <w:tmpl w:val="3806B692"/>
    <w:lvl w:ilvl="0" w:tplc="0C0A0019">
      <w:start w:val="1"/>
      <w:numFmt w:val="lowerLetter"/>
      <w:lvlText w:val="%1."/>
      <w:lvlJc w:val="left"/>
      <w:pPr>
        <w:ind w:left="644" w:hanging="360"/>
      </w:pPr>
    </w:lvl>
    <w:lvl w:ilvl="1" w:tplc="0C0A0019">
      <w:start w:val="1"/>
      <w:numFmt w:val="lowerLetter"/>
      <w:lvlText w:val="%2."/>
      <w:lvlJc w:val="left"/>
      <w:pPr>
        <w:ind w:left="284" w:hanging="360"/>
      </w:pPr>
    </w:lvl>
    <w:lvl w:ilvl="2" w:tplc="0C0A001B">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 w15:restartNumberingAfterBreak="0">
    <w:nsid w:val="04561569"/>
    <w:multiLevelType w:val="hybridMultilevel"/>
    <w:tmpl w:val="FE6E4C60"/>
    <w:lvl w:ilvl="0" w:tplc="93268C86">
      <w:start w:val="1"/>
      <w:numFmt w:val="bullet"/>
      <w:lvlText w:val="•"/>
      <w:lvlJc w:val="left"/>
      <w:pPr>
        <w:tabs>
          <w:tab w:val="num" w:pos="720"/>
        </w:tabs>
        <w:ind w:left="720" w:hanging="360"/>
      </w:pPr>
      <w:rPr>
        <w:rFonts w:ascii="Times New Roman" w:hAnsi="Times New Roman" w:hint="default"/>
      </w:rPr>
    </w:lvl>
    <w:lvl w:ilvl="1" w:tplc="666470E6" w:tentative="1">
      <w:start w:val="1"/>
      <w:numFmt w:val="bullet"/>
      <w:lvlText w:val="•"/>
      <w:lvlJc w:val="left"/>
      <w:pPr>
        <w:tabs>
          <w:tab w:val="num" w:pos="1440"/>
        </w:tabs>
        <w:ind w:left="1440" w:hanging="360"/>
      </w:pPr>
      <w:rPr>
        <w:rFonts w:ascii="Times New Roman" w:hAnsi="Times New Roman" w:hint="default"/>
      </w:rPr>
    </w:lvl>
    <w:lvl w:ilvl="2" w:tplc="A7F60A86" w:tentative="1">
      <w:start w:val="1"/>
      <w:numFmt w:val="bullet"/>
      <w:lvlText w:val="•"/>
      <w:lvlJc w:val="left"/>
      <w:pPr>
        <w:tabs>
          <w:tab w:val="num" w:pos="2160"/>
        </w:tabs>
        <w:ind w:left="2160" w:hanging="360"/>
      </w:pPr>
      <w:rPr>
        <w:rFonts w:ascii="Times New Roman" w:hAnsi="Times New Roman" w:hint="default"/>
      </w:rPr>
    </w:lvl>
    <w:lvl w:ilvl="3" w:tplc="FCEC9788" w:tentative="1">
      <w:start w:val="1"/>
      <w:numFmt w:val="bullet"/>
      <w:lvlText w:val="•"/>
      <w:lvlJc w:val="left"/>
      <w:pPr>
        <w:tabs>
          <w:tab w:val="num" w:pos="2880"/>
        </w:tabs>
        <w:ind w:left="2880" w:hanging="360"/>
      </w:pPr>
      <w:rPr>
        <w:rFonts w:ascii="Times New Roman" w:hAnsi="Times New Roman" w:hint="default"/>
      </w:rPr>
    </w:lvl>
    <w:lvl w:ilvl="4" w:tplc="C0483474" w:tentative="1">
      <w:start w:val="1"/>
      <w:numFmt w:val="bullet"/>
      <w:lvlText w:val="•"/>
      <w:lvlJc w:val="left"/>
      <w:pPr>
        <w:tabs>
          <w:tab w:val="num" w:pos="3600"/>
        </w:tabs>
        <w:ind w:left="3600" w:hanging="360"/>
      </w:pPr>
      <w:rPr>
        <w:rFonts w:ascii="Times New Roman" w:hAnsi="Times New Roman" w:hint="default"/>
      </w:rPr>
    </w:lvl>
    <w:lvl w:ilvl="5" w:tplc="8CC83BA8" w:tentative="1">
      <w:start w:val="1"/>
      <w:numFmt w:val="bullet"/>
      <w:lvlText w:val="•"/>
      <w:lvlJc w:val="left"/>
      <w:pPr>
        <w:tabs>
          <w:tab w:val="num" w:pos="4320"/>
        </w:tabs>
        <w:ind w:left="4320" w:hanging="360"/>
      </w:pPr>
      <w:rPr>
        <w:rFonts w:ascii="Times New Roman" w:hAnsi="Times New Roman" w:hint="default"/>
      </w:rPr>
    </w:lvl>
    <w:lvl w:ilvl="6" w:tplc="11DCAB8A" w:tentative="1">
      <w:start w:val="1"/>
      <w:numFmt w:val="bullet"/>
      <w:lvlText w:val="•"/>
      <w:lvlJc w:val="left"/>
      <w:pPr>
        <w:tabs>
          <w:tab w:val="num" w:pos="5040"/>
        </w:tabs>
        <w:ind w:left="5040" w:hanging="360"/>
      </w:pPr>
      <w:rPr>
        <w:rFonts w:ascii="Times New Roman" w:hAnsi="Times New Roman" w:hint="default"/>
      </w:rPr>
    </w:lvl>
    <w:lvl w:ilvl="7" w:tplc="450AF894" w:tentative="1">
      <w:start w:val="1"/>
      <w:numFmt w:val="bullet"/>
      <w:lvlText w:val="•"/>
      <w:lvlJc w:val="left"/>
      <w:pPr>
        <w:tabs>
          <w:tab w:val="num" w:pos="5760"/>
        </w:tabs>
        <w:ind w:left="5760" w:hanging="360"/>
      </w:pPr>
      <w:rPr>
        <w:rFonts w:ascii="Times New Roman" w:hAnsi="Times New Roman" w:hint="default"/>
      </w:rPr>
    </w:lvl>
    <w:lvl w:ilvl="8" w:tplc="D69EF59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05844659"/>
    <w:multiLevelType w:val="multilevel"/>
    <w:tmpl w:val="DEA4FC0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07655057"/>
    <w:multiLevelType w:val="hybridMultilevel"/>
    <w:tmpl w:val="A828BA4E"/>
    <w:lvl w:ilvl="0" w:tplc="080A0017">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6" w15:restartNumberingAfterBreak="0">
    <w:nsid w:val="09720070"/>
    <w:multiLevelType w:val="hybridMultilevel"/>
    <w:tmpl w:val="71D2E7DC"/>
    <w:lvl w:ilvl="0" w:tplc="CFAA6A46">
      <w:start w:val="1"/>
      <w:numFmt w:val="lowerLetter"/>
      <w:lvlText w:val="%1."/>
      <w:lvlJc w:val="left"/>
      <w:pPr>
        <w:ind w:left="1552" w:hanging="420"/>
      </w:pPr>
      <w:rPr>
        <w:rFonts w:hint="default"/>
      </w:rPr>
    </w:lvl>
    <w:lvl w:ilvl="1" w:tplc="240A0019" w:tentative="1">
      <w:start w:val="1"/>
      <w:numFmt w:val="lowerLetter"/>
      <w:lvlText w:val="%2."/>
      <w:lvlJc w:val="left"/>
      <w:pPr>
        <w:ind w:left="2212" w:hanging="360"/>
      </w:pPr>
    </w:lvl>
    <w:lvl w:ilvl="2" w:tplc="240A001B" w:tentative="1">
      <w:start w:val="1"/>
      <w:numFmt w:val="lowerRoman"/>
      <w:lvlText w:val="%3."/>
      <w:lvlJc w:val="right"/>
      <w:pPr>
        <w:ind w:left="2932" w:hanging="180"/>
      </w:pPr>
    </w:lvl>
    <w:lvl w:ilvl="3" w:tplc="240A000F" w:tentative="1">
      <w:start w:val="1"/>
      <w:numFmt w:val="decimal"/>
      <w:lvlText w:val="%4."/>
      <w:lvlJc w:val="left"/>
      <w:pPr>
        <w:ind w:left="3652" w:hanging="360"/>
      </w:pPr>
    </w:lvl>
    <w:lvl w:ilvl="4" w:tplc="240A0019" w:tentative="1">
      <w:start w:val="1"/>
      <w:numFmt w:val="lowerLetter"/>
      <w:lvlText w:val="%5."/>
      <w:lvlJc w:val="left"/>
      <w:pPr>
        <w:ind w:left="4372" w:hanging="360"/>
      </w:pPr>
    </w:lvl>
    <w:lvl w:ilvl="5" w:tplc="240A001B" w:tentative="1">
      <w:start w:val="1"/>
      <w:numFmt w:val="lowerRoman"/>
      <w:lvlText w:val="%6."/>
      <w:lvlJc w:val="right"/>
      <w:pPr>
        <w:ind w:left="5092" w:hanging="180"/>
      </w:pPr>
    </w:lvl>
    <w:lvl w:ilvl="6" w:tplc="240A000F" w:tentative="1">
      <w:start w:val="1"/>
      <w:numFmt w:val="decimal"/>
      <w:lvlText w:val="%7."/>
      <w:lvlJc w:val="left"/>
      <w:pPr>
        <w:ind w:left="5812" w:hanging="360"/>
      </w:pPr>
    </w:lvl>
    <w:lvl w:ilvl="7" w:tplc="240A0019" w:tentative="1">
      <w:start w:val="1"/>
      <w:numFmt w:val="lowerLetter"/>
      <w:lvlText w:val="%8."/>
      <w:lvlJc w:val="left"/>
      <w:pPr>
        <w:ind w:left="6532" w:hanging="360"/>
      </w:pPr>
    </w:lvl>
    <w:lvl w:ilvl="8" w:tplc="240A001B" w:tentative="1">
      <w:start w:val="1"/>
      <w:numFmt w:val="lowerRoman"/>
      <w:lvlText w:val="%9."/>
      <w:lvlJc w:val="right"/>
      <w:pPr>
        <w:ind w:left="7252" w:hanging="180"/>
      </w:pPr>
    </w:lvl>
  </w:abstractNum>
  <w:abstractNum w:abstractNumId="7" w15:restartNumberingAfterBreak="0">
    <w:nsid w:val="0DD8419B"/>
    <w:multiLevelType w:val="multilevel"/>
    <w:tmpl w:val="F42CDCEA"/>
    <w:lvl w:ilvl="0">
      <w:start w:val="1"/>
      <w:numFmt w:val="decimal"/>
      <w:lvlText w:val="Artículo %1."/>
      <w:lvlJc w:val="right"/>
      <w:pPr>
        <w:tabs>
          <w:tab w:val="num" w:pos="247"/>
        </w:tabs>
        <w:ind w:left="-1474" w:firstLine="1474"/>
      </w:pPr>
      <w:rPr>
        <w:rFonts w:ascii="Bookman Old Style" w:hAnsi="Bookman Old Style" w:cs="Arial" w:hint="default"/>
        <w:b/>
        <w:i w:val="0"/>
        <w:color w:val="auto"/>
        <w:sz w:val="24"/>
        <w:szCs w:val="24"/>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8"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94114BA"/>
    <w:multiLevelType w:val="hybridMultilevel"/>
    <w:tmpl w:val="A73C32C2"/>
    <w:lvl w:ilvl="0" w:tplc="0C0A0017">
      <w:start w:val="1"/>
      <w:numFmt w:val="lowerLetter"/>
      <w:lvlText w:val="%1)"/>
      <w:lvlJc w:val="left"/>
      <w:pPr>
        <w:tabs>
          <w:tab w:val="num" w:pos="1068"/>
        </w:tabs>
        <w:ind w:left="1068" w:hanging="360"/>
      </w:pPr>
    </w:lvl>
    <w:lvl w:ilvl="1" w:tplc="0C0A0001">
      <w:start w:val="1"/>
      <w:numFmt w:val="bullet"/>
      <w:lvlText w:val=""/>
      <w:lvlJc w:val="left"/>
      <w:pPr>
        <w:tabs>
          <w:tab w:val="num" w:pos="1788"/>
        </w:tabs>
        <w:ind w:left="1788" w:hanging="360"/>
      </w:pPr>
      <w:rPr>
        <w:rFonts w:ascii="Symbol" w:hAnsi="Symbol" w:hint="default"/>
      </w:r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0" w15:restartNumberingAfterBreak="0">
    <w:nsid w:val="1F0D7481"/>
    <w:multiLevelType w:val="hybridMultilevel"/>
    <w:tmpl w:val="44364074"/>
    <w:lvl w:ilvl="0" w:tplc="0C0A0017">
      <w:start w:val="1"/>
      <w:numFmt w:val="lowerLetter"/>
      <w:lvlText w:val="%1)"/>
      <w:lvlJc w:val="left"/>
      <w:pPr>
        <w:tabs>
          <w:tab w:val="num" w:pos="1068"/>
        </w:tabs>
        <w:ind w:left="1068" w:hanging="360"/>
      </w:pPr>
    </w:lvl>
    <w:lvl w:ilvl="1" w:tplc="0C0A0001">
      <w:start w:val="1"/>
      <w:numFmt w:val="bullet"/>
      <w:lvlText w:val=""/>
      <w:lvlJc w:val="left"/>
      <w:pPr>
        <w:tabs>
          <w:tab w:val="num" w:pos="1788"/>
        </w:tabs>
        <w:ind w:left="1788" w:hanging="360"/>
      </w:pPr>
      <w:rPr>
        <w:rFonts w:ascii="Symbol" w:hAnsi="Symbol" w:hint="default"/>
      </w:r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1"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6B23CC3"/>
    <w:multiLevelType w:val="hybridMultilevel"/>
    <w:tmpl w:val="8A9C2C42"/>
    <w:lvl w:ilvl="0" w:tplc="24067DDC">
      <w:start w:val="1"/>
      <w:numFmt w:val="bullet"/>
      <w:lvlText w:val="•"/>
      <w:lvlJc w:val="left"/>
      <w:pPr>
        <w:tabs>
          <w:tab w:val="num" w:pos="720"/>
        </w:tabs>
        <w:ind w:left="720" w:hanging="360"/>
      </w:pPr>
      <w:rPr>
        <w:rFonts w:ascii="Times New Roman" w:hAnsi="Times New Roman" w:hint="default"/>
      </w:rPr>
    </w:lvl>
    <w:lvl w:ilvl="1" w:tplc="077EA892" w:tentative="1">
      <w:start w:val="1"/>
      <w:numFmt w:val="bullet"/>
      <w:lvlText w:val="•"/>
      <w:lvlJc w:val="left"/>
      <w:pPr>
        <w:tabs>
          <w:tab w:val="num" w:pos="1440"/>
        </w:tabs>
        <w:ind w:left="1440" w:hanging="360"/>
      </w:pPr>
      <w:rPr>
        <w:rFonts w:ascii="Times New Roman" w:hAnsi="Times New Roman" w:hint="default"/>
      </w:rPr>
    </w:lvl>
    <w:lvl w:ilvl="2" w:tplc="8356FBC6" w:tentative="1">
      <w:start w:val="1"/>
      <w:numFmt w:val="bullet"/>
      <w:lvlText w:val="•"/>
      <w:lvlJc w:val="left"/>
      <w:pPr>
        <w:tabs>
          <w:tab w:val="num" w:pos="2160"/>
        </w:tabs>
        <w:ind w:left="2160" w:hanging="360"/>
      </w:pPr>
      <w:rPr>
        <w:rFonts w:ascii="Times New Roman" w:hAnsi="Times New Roman" w:hint="default"/>
      </w:rPr>
    </w:lvl>
    <w:lvl w:ilvl="3" w:tplc="5FBE7D7C" w:tentative="1">
      <w:start w:val="1"/>
      <w:numFmt w:val="bullet"/>
      <w:lvlText w:val="•"/>
      <w:lvlJc w:val="left"/>
      <w:pPr>
        <w:tabs>
          <w:tab w:val="num" w:pos="2880"/>
        </w:tabs>
        <w:ind w:left="2880" w:hanging="360"/>
      </w:pPr>
      <w:rPr>
        <w:rFonts w:ascii="Times New Roman" w:hAnsi="Times New Roman" w:hint="default"/>
      </w:rPr>
    </w:lvl>
    <w:lvl w:ilvl="4" w:tplc="95320D2E" w:tentative="1">
      <w:start w:val="1"/>
      <w:numFmt w:val="bullet"/>
      <w:lvlText w:val="•"/>
      <w:lvlJc w:val="left"/>
      <w:pPr>
        <w:tabs>
          <w:tab w:val="num" w:pos="3600"/>
        </w:tabs>
        <w:ind w:left="3600" w:hanging="360"/>
      </w:pPr>
      <w:rPr>
        <w:rFonts w:ascii="Times New Roman" w:hAnsi="Times New Roman" w:hint="default"/>
      </w:rPr>
    </w:lvl>
    <w:lvl w:ilvl="5" w:tplc="1A1893EC" w:tentative="1">
      <w:start w:val="1"/>
      <w:numFmt w:val="bullet"/>
      <w:lvlText w:val="•"/>
      <w:lvlJc w:val="left"/>
      <w:pPr>
        <w:tabs>
          <w:tab w:val="num" w:pos="4320"/>
        </w:tabs>
        <w:ind w:left="4320" w:hanging="360"/>
      </w:pPr>
      <w:rPr>
        <w:rFonts w:ascii="Times New Roman" w:hAnsi="Times New Roman" w:hint="default"/>
      </w:rPr>
    </w:lvl>
    <w:lvl w:ilvl="6" w:tplc="5FAE00A4" w:tentative="1">
      <w:start w:val="1"/>
      <w:numFmt w:val="bullet"/>
      <w:lvlText w:val="•"/>
      <w:lvlJc w:val="left"/>
      <w:pPr>
        <w:tabs>
          <w:tab w:val="num" w:pos="5040"/>
        </w:tabs>
        <w:ind w:left="5040" w:hanging="360"/>
      </w:pPr>
      <w:rPr>
        <w:rFonts w:ascii="Times New Roman" w:hAnsi="Times New Roman" w:hint="default"/>
      </w:rPr>
    </w:lvl>
    <w:lvl w:ilvl="7" w:tplc="FC8C1D00" w:tentative="1">
      <w:start w:val="1"/>
      <w:numFmt w:val="bullet"/>
      <w:lvlText w:val="•"/>
      <w:lvlJc w:val="left"/>
      <w:pPr>
        <w:tabs>
          <w:tab w:val="num" w:pos="5760"/>
        </w:tabs>
        <w:ind w:left="5760" w:hanging="360"/>
      </w:pPr>
      <w:rPr>
        <w:rFonts w:ascii="Times New Roman" w:hAnsi="Times New Roman" w:hint="default"/>
      </w:rPr>
    </w:lvl>
    <w:lvl w:ilvl="8" w:tplc="EECEE5E6"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27BE515C"/>
    <w:multiLevelType w:val="hybridMultilevel"/>
    <w:tmpl w:val="F476072A"/>
    <w:lvl w:ilvl="0" w:tplc="080A0001">
      <w:start w:val="1"/>
      <w:numFmt w:val="bullet"/>
      <w:lvlText w:val=""/>
      <w:lvlJc w:val="left"/>
      <w:pPr>
        <w:ind w:left="1693" w:hanging="360"/>
      </w:pPr>
      <w:rPr>
        <w:rFonts w:ascii="Symbol" w:hAnsi="Symbol" w:hint="default"/>
      </w:rPr>
    </w:lvl>
    <w:lvl w:ilvl="1" w:tplc="080A0003" w:tentative="1">
      <w:start w:val="1"/>
      <w:numFmt w:val="bullet"/>
      <w:lvlText w:val="o"/>
      <w:lvlJc w:val="left"/>
      <w:pPr>
        <w:ind w:left="2413" w:hanging="360"/>
      </w:pPr>
      <w:rPr>
        <w:rFonts w:ascii="Courier New" w:hAnsi="Courier New" w:cs="Courier New" w:hint="default"/>
      </w:rPr>
    </w:lvl>
    <w:lvl w:ilvl="2" w:tplc="080A0005" w:tentative="1">
      <w:start w:val="1"/>
      <w:numFmt w:val="bullet"/>
      <w:lvlText w:val=""/>
      <w:lvlJc w:val="left"/>
      <w:pPr>
        <w:ind w:left="3133" w:hanging="360"/>
      </w:pPr>
      <w:rPr>
        <w:rFonts w:ascii="Wingdings" w:hAnsi="Wingdings" w:hint="default"/>
      </w:rPr>
    </w:lvl>
    <w:lvl w:ilvl="3" w:tplc="080A0001" w:tentative="1">
      <w:start w:val="1"/>
      <w:numFmt w:val="bullet"/>
      <w:lvlText w:val=""/>
      <w:lvlJc w:val="left"/>
      <w:pPr>
        <w:ind w:left="3853" w:hanging="360"/>
      </w:pPr>
      <w:rPr>
        <w:rFonts w:ascii="Symbol" w:hAnsi="Symbol" w:hint="default"/>
      </w:rPr>
    </w:lvl>
    <w:lvl w:ilvl="4" w:tplc="080A0003" w:tentative="1">
      <w:start w:val="1"/>
      <w:numFmt w:val="bullet"/>
      <w:lvlText w:val="o"/>
      <w:lvlJc w:val="left"/>
      <w:pPr>
        <w:ind w:left="4573" w:hanging="360"/>
      </w:pPr>
      <w:rPr>
        <w:rFonts w:ascii="Courier New" w:hAnsi="Courier New" w:cs="Courier New" w:hint="default"/>
      </w:rPr>
    </w:lvl>
    <w:lvl w:ilvl="5" w:tplc="080A0005" w:tentative="1">
      <w:start w:val="1"/>
      <w:numFmt w:val="bullet"/>
      <w:lvlText w:val=""/>
      <w:lvlJc w:val="left"/>
      <w:pPr>
        <w:ind w:left="5293" w:hanging="360"/>
      </w:pPr>
      <w:rPr>
        <w:rFonts w:ascii="Wingdings" w:hAnsi="Wingdings" w:hint="default"/>
      </w:rPr>
    </w:lvl>
    <w:lvl w:ilvl="6" w:tplc="080A0001" w:tentative="1">
      <w:start w:val="1"/>
      <w:numFmt w:val="bullet"/>
      <w:lvlText w:val=""/>
      <w:lvlJc w:val="left"/>
      <w:pPr>
        <w:ind w:left="6013" w:hanging="360"/>
      </w:pPr>
      <w:rPr>
        <w:rFonts w:ascii="Symbol" w:hAnsi="Symbol" w:hint="default"/>
      </w:rPr>
    </w:lvl>
    <w:lvl w:ilvl="7" w:tplc="080A0003" w:tentative="1">
      <w:start w:val="1"/>
      <w:numFmt w:val="bullet"/>
      <w:lvlText w:val="o"/>
      <w:lvlJc w:val="left"/>
      <w:pPr>
        <w:ind w:left="6733" w:hanging="360"/>
      </w:pPr>
      <w:rPr>
        <w:rFonts w:ascii="Courier New" w:hAnsi="Courier New" w:cs="Courier New" w:hint="default"/>
      </w:rPr>
    </w:lvl>
    <w:lvl w:ilvl="8" w:tplc="080A0005" w:tentative="1">
      <w:start w:val="1"/>
      <w:numFmt w:val="bullet"/>
      <w:lvlText w:val=""/>
      <w:lvlJc w:val="left"/>
      <w:pPr>
        <w:ind w:left="7453" w:hanging="360"/>
      </w:pPr>
      <w:rPr>
        <w:rFonts w:ascii="Wingdings" w:hAnsi="Wingdings" w:hint="default"/>
      </w:rPr>
    </w:lvl>
  </w:abstractNum>
  <w:abstractNum w:abstractNumId="14" w15:restartNumberingAfterBreak="0">
    <w:nsid w:val="2F9E6ECA"/>
    <w:multiLevelType w:val="hybridMultilevel"/>
    <w:tmpl w:val="254E9A9E"/>
    <w:lvl w:ilvl="0" w:tplc="07FCB602">
      <w:start w:val="1"/>
      <w:numFmt w:val="bullet"/>
      <w:lvlText w:val="•"/>
      <w:lvlJc w:val="left"/>
      <w:pPr>
        <w:tabs>
          <w:tab w:val="num" w:pos="720"/>
        </w:tabs>
        <w:ind w:left="720" w:hanging="360"/>
      </w:pPr>
      <w:rPr>
        <w:rFonts w:ascii="Times New Roman" w:hAnsi="Times New Roman" w:hint="default"/>
      </w:rPr>
    </w:lvl>
    <w:lvl w:ilvl="1" w:tplc="DA08F9F2" w:tentative="1">
      <w:start w:val="1"/>
      <w:numFmt w:val="bullet"/>
      <w:lvlText w:val="•"/>
      <w:lvlJc w:val="left"/>
      <w:pPr>
        <w:tabs>
          <w:tab w:val="num" w:pos="1440"/>
        </w:tabs>
        <w:ind w:left="1440" w:hanging="360"/>
      </w:pPr>
      <w:rPr>
        <w:rFonts w:ascii="Times New Roman" w:hAnsi="Times New Roman" w:hint="default"/>
      </w:rPr>
    </w:lvl>
    <w:lvl w:ilvl="2" w:tplc="4482A9F8" w:tentative="1">
      <w:start w:val="1"/>
      <w:numFmt w:val="bullet"/>
      <w:lvlText w:val="•"/>
      <w:lvlJc w:val="left"/>
      <w:pPr>
        <w:tabs>
          <w:tab w:val="num" w:pos="2160"/>
        </w:tabs>
        <w:ind w:left="2160" w:hanging="360"/>
      </w:pPr>
      <w:rPr>
        <w:rFonts w:ascii="Times New Roman" w:hAnsi="Times New Roman" w:hint="default"/>
      </w:rPr>
    </w:lvl>
    <w:lvl w:ilvl="3" w:tplc="38709DCA" w:tentative="1">
      <w:start w:val="1"/>
      <w:numFmt w:val="bullet"/>
      <w:lvlText w:val="•"/>
      <w:lvlJc w:val="left"/>
      <w:pPr>
        <w:tabs>
          <w:tab w:val="num" w:pos="2880"/>
        </w:tabs>
        <w:ind w:left="2880" w:hanging="360"/>
      </w:pPr>
      <w:rPr>
        <w:rFonts w:ascii="Times New Roman" w:hAnsi="Times New Roman" w:hint="default"/>
      </w:rPr>
    </w:lvl>
    <w:lvl w:ilvl="4" w:tplc="CFF21244" w:tentative="1">
      <w:start w:val="1"/>
      <w:numFmt w:val="bullet"/>
      <w:lvlText w:val="•"/>
      <w:lvlJc w:val="left"/>
      <w:pPr>
        <w:tabs>
          <w:tab w:val="num" w:pos="3600"/>
        </w:tabs>
        <w:ind w:left="3600" w:hanging="360"/>
      </w:pPr>
      <w:rPr>
        <w:rFonts w:ascii="Times New Roman" w:hAnsi="Times New Roman" w:hint="default"/>
      </w:rPr>
    </w:lvl>
    <w:lvl w:ilvl="5" w:tplc="2FD2D818" w:tentative="1">
      <w:start w:val="1"/>
      <w:numFmt w:val="bullet"/>
      <w:lvlText w:val="•"/>
      <w:lvlJc w:val="left"/>
      <w:pPr>
        <w:tabs>
          <w:tab w:val="num" w:pos="4320"/>
        </w:tabs>
        <w:ind w:left="4320" w:hanging="360"/>
      </w:pPr>
      <w:rPr>
        <w:rFonts w:ascii="Times New Roman" w:hAnsi="Times New Roman" w:hint="default"/>
      </w:rPr>
    </w:lvl>
    <w:lvl w:ilvl="6" w:tplc="87F090F0" w:tentative="1">
      <w:start w:val="1"/>
      <w:numFmt w:val="bullet"/>
      <w:lvlText w:val="•"/>
      <w:lvlJc w:val="left"/>
      <w:pPr>
        <w:tabs>
          <w:tab w:val="num" w:pos="5040"/>
        </w:tabs>
        <w:ind w:left="5040" w:hanging="360"/>
      </w:pPr>
      <w:rPr>
        <w:rFonts w:ascii="Times New Roman" w:hAnsi="Times New Roman" w:hint="default"/>
      </w:rPr>
    </w:lvl>
    <w:lvl w:ilvl="7" w:tplc="BC660A64" w:tentative="1">
      <w:start w:val="1"/>
      <w:numFmt w:val="bullet"/>
      <w:lvlText w:val="•"/>
      <w:lvlJc w:val="left"/>
      <w:pPr>
        <w:tabs>
          <w:tab w:val="num" w:pos="5760"/>
        </w:tabs>
        <w:ind w:left="5760" w:hanging="360"/>
      </w:pPr>
      <w:rPr>
        <w:rFonts w:ascii="Times New Roman" w:hAnsi="Times New Roman" w:hint="default"/>
      </w:rPr>
    </w:lvl>
    <w:lvl w:ilvl="8" w:tplc="0C101700"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32AA64B3"/>
    <w:multiLevelType w:val="hybridMultilevel"/>
    <w:tmpl w:val="71D2E7DC"/>
    <w:lvl w:ilvl="0" w:tplc="CFAA6A46">
      <w:start w:val="1"/>
      <w:numFmt w:val="lowerLetter"/>
      <w:lvlText w:val="%1."/>
      <w:lvlJc w:val="left"/>
      <w:pPr>
        <w:ind w:left="780" w:hanging="4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7283257"/>
    <w:multiLevelType w:val="multilevel"/>
    <w:tmpl w:val="745434BA"/>
    <w:lvl w:ilvl="0">
      <w:start w:val="1"/>
      <w:numFmt w:val="decimal"/>
      <w:lvlText w:val="%1."/>
      <w:lvlJc w:val="left"/>
      <w:pPr>
        <w:ind w:left="644" w:hanging="360"/>
      </w:pPr>
      <w:rPr>
        <w:b/>
      </w:rPr>
    </w:lvl>
    <w:lvl w:ilvl="1">
      <w:start w:val="1"/>
      <w:numFmt w:val="decimal"/>
      <w:lvlText w:val="%1.%2"/>
      <w:lvlJc w:val="left"/>
      <w:pPr>
        <w:ind w:left="1004" w:hanging="720"/>
      </w:pPr>
      <w:rPr>
        <w:b/>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7" w15:restartNumberingAfterBreak="0">
    <w:nsid w:val="3979120E"/>
    <w:multiLevelType w:val="hybridMultilevel"/>
    <w:tmpl w:val="E5C09F84"/>
    <w:lvl w:ilvl="0" w:tplc="6DC8016C">
      <w:numFmt w:val="bullet"/>
      <w:lvlText w:val="-"/>
      <w:lvlJc w:val="left"/>
      <w:pPr>
        <w:ind w:left="786" w:hanging="360"/>
      </w:pPr>
      <w:rPr>
        <w:rFonts w:ascii="Calibri" w:eastAsiaTheme="minorHAnsi" w:hAnsi="Calibri" w:cstheme="minorBidi"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18" w15:restartNumberingAfterBreak="0">
    <w:nsid w:val="3ECD7147"/>
    <w:multiLevelType w:val="hybridMultilevel"/>
    <w:tmpl w:val="232A81B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0D97D28"/>
    <w:multiLevelType w:val="hybridMultilevel"/>
    <w:tmpl w:val="56A67378"/>
    <w:lvl w:ilvl="0" w:tplc="DF1858F6">
      <w:start w:val="1"/>
      <w:numFmt w:val="decimal"/>
      <w:lvlText w:val="%1."/>
      <w:lvlJc w:val="left"/>
      <w:pPr>
        <w:ind w:left="1004" w:hanging="360"/>
      </w:pPr>
      <w:rPr>
        <w:rFonts w:hint="default"/>
        <w:color w:val="4F81BD" w:themeColor="accent1"/>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0" w15:restartNumberingAfterBreak="0">
    <w:nsid w:val="47E140E0"/>
    <w:multiLevelType w:val="hybridMultilevel"/>
    <w:tmpl w:val="31420C32"/>
    <w:lvl w:ilvl="0" w:tplc="55A89128">
      <w:start w:val="3"/>
      <w:numFmt w:val="upperLetter"/>
      <w:lvlText w:val="%1."/>
      <w:lvlJc w:val="left"/>
      <w:pPr>
        <w:ind w:left="1004" w:hanging="360"/>
      </w:pPr>
      <w:rPr>
        <w:rFonts w:hint="default"/>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1"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22" w15:restartNumberingAfterBreak="0">
    <w:nsid w:val="4CB860E7"/>
    <w:multiLevelType w:val="hybridMultilevel"/>
    <w:tmpl w:val="6D0C0874"/>
    <w:lvl w:ilvl="0" w:tplc="6DC8016C">
      <w:numFmt w:val="bullet"/>
      <w:lvlText w:val="-"/>
      <w:lvlJc w:val="left"/>
      <w:pPr>
        <w:ind w:left="1428" w:hanging="360"/>
      </w:pPr>
      <w:rPr>
        <w:rFonts w:ascii="Calibri" w:eastAsiaTheme="minorHAnsi" w:hAnsi="Calibri" w:cstheme="minorBidi"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23" w15:restartNumberingAfterBreak="0">
    <w:nsid w:val="501D1D75"/>
    <w:multiLevelType w:val="hybridMultilevel"/>
    <w:tmpl w:val="706C7AB4"/>
    <w:lvl w:ilvl="0" w:tplc="240A000F">
      <w:start w:val="1"/>
      <w:numFmt w:val="decimal"/>
      <w:lvlText w:val="%1."/>
      <w:lvlJc w:val="lef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24" w15:restartNumberingAfterBreak="0">
    <w:nsid w:val="521366A4"/>
    <w:multiLevelType w:val="hybridMultilevel"/>
    <w:tmpl w:val="52005356"/>
    <w:lvl w:ilvl="0" w:tplc="95927872">
      <w:start w:val="3"/>
      <w:numFmt w:val="lowerLetter"/>
      <w:lvlText w:val="%1."/>
      <w:lvlJc w:val="left"/>
      <w:pPr>
        <w:ind w:left="1004" w:hanging="360"/>
      </w:pPr>
      <w:rPr>
        <w:rFonts w:hint="default"/>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5" w15:restartNumberingAfterBreak="0">
    <w:nsid w:val="52B9427A"/>
    <w:multiLevelType w:val="hybridMultilevel"/>
    <w:tmpl w:val="07FCAB20"/>
    <w:lvl w:ilvl="0" w:tplc="6DC8016C">
      <w:numFmt w:val="bullet"/>
      <w:lvlText w:val="-"/>
      <w:lvlJc w:val="left"/>
      <w:pPr>
        <w:ind w:left="1004" w:hanging="360"/>
      </w:pPr>
      <w:rPr>
        <w:rFonts w:ascii="Calibri" w:eastAsiaTheme="minorHAnsi" w:hAnsi="Calibri" w:cstheme="minorBidi"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26" w15:restartNumberingAfterBreak="0">
    <w:nsid w:val="5318171C"/>
    <w:multiLevelType w:val="hybridMultilevel"/>
    <w:tmpl w:val="75F230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45638A4"/>
    <w:multiLevelType w:val="hybridMultilevel"/>
    <w:tmpl w:val="4844EFA8"/>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28"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D223715"/>
    <w:multiLevelType w:val="hybridMultilevel"/>
    <w:tmpl w:val="18305DF0"/>
    <w:lvl w:ilvl="0" w:tplc="E36AFB58">
      <w:start w:val="1"/>
      <w:numFmt w:val="low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0" w15:restartNumberingAfterBreak="0">
    <w:nsid w:val="5D820386"/>
    <w:multiLevelType w:val="hybridMultilevel"/>
    <w:tmpl w:val="9B1CF446"/>
    <w:lvl w:ilvl="0" w:tplc="240A0001">
      <w:start w:val="1"/>
      <w:numFmt w:val="bullet"/>
      <w:lvlText w:val=""/>
      <w:lvlJc w:val="left"/>
      <w:pPr>
        <w:ind w:left="1434" w:hanging="360"/>
      </w:pPr>
      <w:rPr>
        <w:rFonts w:ascii="Symbol" w:hAnsi="Symbol" w:hint="default"/>
      </w:rPr>
    </w:lvl>
    <w:lvl w:ilvl="1" w:tplc="240A0003" w:tentative="1">
      <w:start w:val="1"/>
      <w:numFmt w:val="bullet"/>
      <w:lvlText w:val="o"/>
      <w:lvlJc w:val="left"/>
      <w:pPr>
        <w:ind w:left="2154" w:hanging="360"/>
      </w:pPr>
      <w:rPr>
        <w:rFonts w:ascii="Courier New" w:hAnsi="Courier New" w:cs="Courier New" w:hint="default"/>
      </w:rPr>
    </w:lvl>
    <w:lvl w:ilvl="2" w:tplc="240A0005" w:tentative="1">
      <w:start w:val="1"/>
      <w:numFmt w:val="bullet"/>
      <w:lvlText w:val=""/>
      <w:lvlJc w:val="left"/>
      <w:pPr>
        <w:ind w:left="2874" w:hanging="360"/>
      </w:pPr>
      <w:rPr>
        <w:rFonts w:ascii="Wingdings" w:hAnsi="Wingdings" w:hint="default"/>
      </w:rPr>
    </w:lvl>
    <w:lvl w:ilvl="3" w:tplc="240A0001" w:tentative="1">
      <w:start w:val="1"/>
      <w:numFmt w:val="bullet"/>
      <w:lvlText w:val=""/>
      <w:lvlJc w:val="left"/>
      <w:pPr>
        <w:ind w:left="3594" w:hanging="360"/>
      </w:pPr>
      <w:rPr>
        <w:rFonts w:ascii="Symbol" w:hAnsi="Symbol" w:hint="default"/>
      </w:rPr>
    </w:lvl>
    <w:lvl w:ilvl="4" w:tplc="240A0003" w:tentative="1">
      <w:start w:val="1"/>
      <w:numFmt w:val="bullet"/>
      <w:lvlText w:val="o"/>
      <w:lvlJc w:val="left"/>
      <w:pPr>
        <w:ind w:left="4314" w:hanging="360"/>
      </w:pPr>
      <w:rPr>
        <w:rFonts w:ascii="Courier New" w:hAnsi="Courier New" w:cs="Courier New" w:hint="default"/>
      </w:rPr>
    </w:lvl>
    <w:lvl w:ilvl="5" w:tplc="240A0005" w:tentative="1">
      <w:start w:val="1"/>
      <w:numFmt w:val="bullet"/>
      <w:lvlText w:val=""/>
      <w:lvlJc w:val="left"/>
      <w:pPr>
        <w:ind w:left="5034" w:hanging="360"/>
      </w:pPr>
      <w:rPr>
        <w:rFonts w:ascii="Wingdings" w:hAnsi="Wingdings" w:hint="default"/>
      </w:rPr>
    </w:lvl>
    <w:lvl w:ilvl="6" w:tplc="240A0001" w:tentative="1">
      <w:start w:val="1"/>
      <w:numFmt w:val="bullet"/>
      <w:lvlText w:val=""/>
      <w:lvlJc w:val="left"/>
      <w:pPr>
        <w:ind w:left="5754" w:hanging="360"/>
      </w:pPr>
      <w:rPr>
        <w:rFonts w:ascii="Symbol" w:hAnsi="Symbol" w:hint="default"/>
      </w:rPr>
    </w:lvl>
    <w:lvl w:ilvl="7" w:tplc="240A0003" w:tentative="1">
      <w:start w:val="1"/>
      <w:numFmt w:val="bullet"/>
      <w:lvlText w:val="o"/>
      <w:lvlJc w:val="left"/>
      <w:pPr>
        <w:ind w:left="6474" w:hanging="360"/>
      </w:pPr>
      <w:rPr>
        <w:rFonts w:ascii="Courier New" w:hAnsi="Courier New" w:cs="Courier New" w:hint="default"/>
      </w:rPr>
    </w:lvl>
    <w:lvl w:ilvl="8" w:tplc="240A0005" w:tentative="1">
      <w:start w:val="1"/>
      <w:numFmt w:val="bullet"/>
      <w:lvlText w:val=""/>
      <w:lvlJc w:val="left"/>
      <w:pPr>
        <w:ind w:left="7194" w:hanging="360"/>
      </w:pPr>
      <w:rPr>
        <w:rFonts w:ascii="Wingdings" w:hAnsi="Wingdings" w:hint="default"/>
      </w:rPr>
    </w:lvl>
  </w:abstractNum>
  <w:abstractNum w:abstractNumId="31" w15:restartNumberingAfterBreak="0">
    <w:nsid w:val="5F63119C"/>
    <w:multiLevelType w:val="hybridMultilevel"/>
    <w:tmpl w:val="67E2BFD6"/>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2" w15:restartNumberingAfterBreak="0">
    <w:nsid w:val="61507CDC"/>
    <w:multiLevelType w:val="hybridMultilevel"/>
    <w:tmpl w:val="A73C32C2"/>
    <w:lvl w:ilvl="0" w:tplc="0C0A0017">
      <w:start w:val="1"/>
      <w:numFmt w:val="lowerLetter"/>
      <w:lvlText w:val="%1)"/>
      <w:lvlJc w:val="left"/>
      <w:pPr>
        <w:tabs>
          <w:tab w:val="num" w:pos="1068"/>
        </w:tabs>
        <w:ind w:left="1068" w:hanging="360"/>
      </w:pPr>
    </w:lvl>
    <w:lvl w:ilvl="1" w:tplc="0C0A0001">
      <w:start w:val="1"/>
      <w:numFmt w:val="bullet"/>
      <w:lvlText w:val=""/>
      <w:lvlJc w:val="left"/>
      <w:pPr>
        <w:tabs>
          <w:tab w:val="num" w:pos="1788"/>
        </w:tabs>
        <w:ind w:left="1788" w:hanging="360"/>
      </w:pPr>
      <w:rPr>
        <w:rFonts w:ascii="Symbol" w:hAnsi="Symbol" w:hint="default"/>
      </w:r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33" w15:restartNumberingAfterBreak="0">
    <w:nsid w:val="629D729B"/>
    <w:multiLevelType w:val="hybridMultilevel"/>
    <w:tmpl w:val="9AB6BA46"/>
    <w:lvl w:ilvl="0" w:tplc="240A0019">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4" w15:restartNumberingAfterBreak="0">
    <w:nsid w:val="663144B8"/>
    <w:multiLevelType w:val="hybridMultilevel"/>
    <w:tmpl w:val="D868BFC8"/>
    <w:lvl w:ilvl="0" w:tplc="276E2878">
      <w:start w:val="1"/>
      <w:numFmt w:val="upperLetter"/>
      <w:lvlText w:val="%1."/>
      <w:lvlJc w:val="left"/>
      <w:pPr>
        <w:ind w:left="1004" w:hanging="360"/>
      </w:pPr>
      <w:rPr>
        <w:rFonts w:hint="default"/>
        <w:b/>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35" w15:restartNumberingAfterBreak="0">
    <w:nsid w:val="696E61CE"/>
    <w:multiLevelType w:val="hybridMultilevel"/>
    <w:tmpl w:val="61DE126E"/>
    <w:lvl w:ilvl="0" w:tplc="7988C44E">
      <w:start w:val="1"/>
      <w:numFmt w:val="lowerLetter"/>
      <w:lvlText w:val="%1."/>
      <w:lvlJc w:val="left"/>
      <w:pPr>
        <w:ind w:left="928" w:hanging="360"/>
      </w:pPr>
      <w:rPr>
        <w:i w:val="0"/>
        <w:sz w:val="24"/>
        <w:szCs w:val="24"/>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6" w15:restartNumberingAfterBreak="0">
    <w:nsid w:val="697911D7"/>
    <w:multiLevelType w:val="hybridMultilevel"/>
    <w:tmpl w:val="1C4CFDE4"/>
    <w:lvl w:ilvl="0" w:tplc="0C0A0017">
      <w:start w:val="1"/>
      <w:numFmt w:val="lowerLetter"/>
      <w:lvlText w:val="%1)"/>
      <w:lvlJc w:val="left"/>
      <w:pPr>
        <w:tabs>
          <w:tab w:val="num" w:pos="1068"/>
        </w:tabs>
        <w:ind w:left="1068" w:hanging="360"/>
      </w:pPr>
    </w:lvl>
    <w:lvl w:ilvl="1" w:tplc="0C0A0001">
      <w:start w:val="1"/>
      <w:numFmt w:val="bullet"/>
      <w:lvlText w:val=""/>
      <w:lvlJc w:val="left"/>
      <w:pPr>
        <w:tabs>
          <w:tab w:val="num" w:pos="1788"/>
        </w:tabs>
        <w:ind w:left="1788" w:hanging="360"/>
      </w:pPr>
      <w:rPr>
        <w:rFonts w:ascii="Symbol" w:hAnsi="Symbol" w:hint="default"/>
      </w:r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37" w15:restartNumberingAfterBreak="0">
    <w:nsid w:val="6B3A5639"/>
    <w:multiLevelType w:val="multilevel"/>
    <w:tmpl w:val="4D787F6C"/>
    <w:lvl w:ilvl="0">
      <w:start w:val="1"/>
      <w:numFmt w:val="decimal"/>
      <w:lvlText w:val="%1."/>
      <w:lvlJc w:val="left"/>
      <w:pPr>
        <w:ind w:left="36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79BF78AB"/>
    <w:multiLevelType w:val="hybridMultilevel"/>
    <w:tmpl w:val="F46C5B44"/>
    <w:lvl w:ilvl="0" w:tplc="0C0A000F">
      <w:start w:val="1"/>
      <w:numFmt w:val="decimal"/>
      <w:lvlText w:val="%1."/>
      <w:lvlJc w:val="left"/>
      <w:pPr>
        <w:ind w:left="720" w:hanging="360"/>
      </w:pPr>
      <w:rPr>
        <w:rFonts w:hint="default"/>
      </w:rPr>
    </w:lvl>
    <w:lvl w:ilvl="1" w:tplc="0C0A0019">
      <w:start w:val="1"/>
      <w:numFmt w:val="lowerLetter"/>
      <w:lvlText w:val="%2."/>
      <w:lvlJc w:val="left"/>
      <w:pPr>
        <w:ind w:left="644"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9F339DD"/>
    <w:multiLevelType w:val="hybridMultilevel"/>
    <w:tmpl w:val="1D5EF93E"/>
    <w:lvl w:ilvl="0" w:tplc="080A0001">
      <w:start w:val="1"/>
      <w:numFmt w:val="bullet"/>
      <w:lvlText w:val=""/>
      <w:lvlJc w:val="left"/>
      <w:pPr>
        <w:ind w:left="1776" w:hanging="360"/>
      </w:pPr>
      <w:rPr>
        <w:rFonts w:ascii="Symbol" w:hAnsi="Symbol" w:hint="default"/>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40" w15:restartNumberingAfterBreak="0">
    <w:nsid w:val="7AE90809"/>
    <w:multiLevelType w:val="hybridMultilevel"/>
    <w:tmpl w:val="F5FEA0D6"/>
    <w:lvl w:ilvl="0" w:tplc="FFFFFFFF">
      <w:start w:val="1"/>
      <w:numFmt w:val="bullet"/>
      <w:lvlText w:val=""/>
      <w:lvlJc w:val="left"/>
      <w:pPr>
        <w:tabs>
          <w:tab w:val="num" w:pos="1428"/>
        </w:tabs>
        <w:ind w:left="1428" w:hanging="360"/>
      </w:pPr>
      <w:rPr>
        <w:rFonts w:ascii="Symbol" w:hAnsi="Symbol" w:hint="default"/>
      </w:rPr>
    </w:lvl>
    <w:lvl w:ilvl="1" w:tplc="FFFFFFFF" w:tentative="1">
      <w:start w:val="1"/>
      <w:numFmt w:val="bullet"/>
      <w:lvlText w:val="o"/>
      <w:lvlJc w:val="left"/>
      <w:pPr>
        <w:tabs>
          <w:tab w:val="num" w:pos="2148"/>
        </w:tabs>
        <w:ind w:left="2148" w:hanging="360"/>
      </w:pPr>
      <w:rPr>
        <w:rFonts w:ascii="Courier New" w:hAnsi="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41"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2" w15:restartNumberingAfterBreak="0">
    <w:nsid w:val="7B750D6A"/>
    <w:multiLevelType w:val="hybridMultilevel"/>
    <w:tmpl w:val="285E2A12"/>
    <w:lvl w:ilvl="0" w:tplc="0C0A0017">
      <w:start w:val="1"/>
      <w:numFmt w:val="lowerLetter"/>
      <w:lvlText w:val="%1)"/>
      <w:lvlJc w:val="left"/>
      <w:pPr>
        <w:tabs>
          <w:tab w:val="num" w:pos="1068"/>
        </w:tabs>
        <w:ind w:left="1068" w:hanging="360"/>
      </w:pPr>
    </w:lvl>
    <w:lvl w:ilvl="1" w:tplc="0C0A0001">
      <w:start w:val="1"/>
      <w:numFmt w:val="bullet"/>
      <w:lvlText w:val=""/>
      <w:lvlJc w:val="left"/>
      <w:pPr>
        <w:tabs>
          <w:tab w:val="num" w:pos="1788"/>
        </w:tabs>
        <w:ind w:left="1788" w:hanging="360"/>
      </w:pPr>
      <w:rPr>
        <w:rFonts w:ascii="Symbol" w:hAnsi="Symbol" w:hint="default"/>
      </w:r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num w:numId="1" w16cid:durableId="1602494567">
    <w:abstractNumId w:val="21"/>
  </w:num>
  <w:num w:numId="2" w16cid:durableId="603072024">
    <w:abstractNumId w:val="8"/>
  </w:num>
  <w:num w:numId="3" w16cid:durableId="67920382">
    <w:abstractNumId w:val="41"/>
  </w:num>
  <w:num w:numId="4" w16cid:durableId="610430572">
    <w:abstractNumId w:val="11"/>
  </w:num>
  <w:num w:numId="5" w16cid:durableId="1988318801">
    <w:abstractNumId w:val="28"/>
  </w:num>
  <w:num w:numId="6" w16cid:durableId="698900190">
    <w:abstractNumId w:val="3"/>
  </w:num>
  <w:num w:numId="7" w16cid:durableId="2115438912">
    <w:abstractNumId w:val="0"/>
  </w:num>
  <w:num w:numId="8" w16cid:durableId="1809198720">
    <w:abstractNumId w:val="16"/>
  </w:num>
  <w:num w:numId="9" w16cid:durableId="2048405544">
    <w:abstractNumId w:val="29"/>
  </w:num>
  <w:num w:numId="10" w16cid:durableId="2027708628">
    <w:abstractNumId w:val="6"/>
  </w:num>
  <w:num w:numId="11" w16cid:durableId="1327132965">
    <w:abstractNumId w:val="15"/>
  </w:num>
  <w:num w:numId="12" w16cid:durableId="2055612597">
    <w:abstractNumId w:val="4"/>
  </w:num>
  <w:num w:numId="13" w16cid:durableId="1950693630">
    <w:abstractNumId w:val="10"/>
  </w:num>
  <w:num w:numId="14" w16cid:durableId="1240480318">
    <w:abstractNumId w:val="27"/>
  </w:num>
  <w:num w:numId="15" w16cid:durableId="294602712">
    <w:abstractNumId w:val="42"/>
  </w:num>
  <w:num w:numId="16" w16cid:durableId="1372417263">
    <w:abstractNumId w:val="9"/>
  </w:num>
  <w:num w:numId="17" w16cid:durableId="406654109">
    <w:abstractNumId w:val="32"/>
  </w:num>
  <w:num w:numId="18" w16cid:durableId="993409004">
    <w:abstractNumId w:val="36"/>
  </w:num>
  <w:num w:numId="19" w16cid:durableId="190610815">
    <w:abstractNumId w:val="33"/>
  </w:num>
  <w:num w:numId="20" w16cid:durableId="1649701435">
    <w:abstractNumId w:val="2"/>
  </w:num>
  <w:num w:numId="21" w16cid:durableId="848062467">
    <w:abstractNumId w:val="23"/>
  </w:num>
  <w:num w:numId="22" w16cid:durableId="1132866409">
    <w:abstractNumId w:val="26"/>
  </w:num>
  <w:num w:numId="23" w16cid:durableId="2055805687">
    <w:abstractNumId w:val="18"/>
  </w:num>
  <w:num w:numId="24" w16cid:durableId="317343994">
    <w:abstractNumId w:val="40"/>
  </w:num>
  <w:num w:numId="25" w16cid:durableId="373391077">
    <w:abstractNumId w:val="38"/>
  </w:num>
  <w:num w:numId="26" w16cid:durableId="1650862479">
    <w:abstractNumId w:val="1"/>
  </w:num>
  <w:num w:numId="27" w16cid:durableId="1393427858">
    <w:abstractNumId w:val="17"/>
  </w:num>
  <w:num w:numId="28" w16cid:durableId="1765953930">
    <w:abstractNumId w:val="37"/>
  </w:num>
  <w:num w:numId="29" w16cid:durableId="1201087808">
    <w:abstractNumId w:val="35"/>
  </w:num>
  <w:num w:numId="30" w16cid:durableId="1310014533">
    <w:abstractNumId w:val="30"/>
  </w:num>
  <w:num w:numId="31" w16cid:durableId="1613901129">
    <w:abstractNumId w:val="7"/>
  </w:num>
  <w:num w:numId="32" w16cid:durableId="1678576011">
    <w:abstractNumId w:val="22"/>
  </w:num>
  <w:num w:numId="33" w16cid:durableId="1343162815">
    <w:abstractNumId w:val="25"/>
  </w:num>
  <w:num w:numId="34" w16cid:durableId="149295129">
    <w:abstractNumId w:val="13"/>
  </w:num>
  <w:num w:numId="35" w16cid:durableId="5331519">
    <w:abstractNumId w:val="39"/>
  </w:num>
  <w:num w:numId="36" w16cid:durableId="1281229268">
    <w:abstractNumId w:val="12"/>
  </w:num>
  <w:num w:numId="37" w16cid:durableId="1615097073">
    <w:abstractNumId w:val="14"/>
  </w:num>
  <w:num w:numId="38" w16cid:durableId="1663972391">
    <w:abstractNumId w:val="31"/>
  </w:num>
  <w:num w:numId="39" w16cid:durableId="190462198">
    <w:abstractNumId w:val="5"/>
  </w:num>
  <w:num w:numId="40" w16cid:durableId="808597115">
    <w:abstractNumId w:val="19"/>
  </w:num>
  <w:num w:numId="41" w16cid:durableId="433211728">
    <w:abstractNumId w:val="34"/>
  </w:num>
  <w:num w:numId="42" w16cid:durableId="1505366169">
    <w:abstractNumId w:val="24"/>
  </w:num>
  <w:num w:numId="43" w16cid:durableId="127829108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4B8"/>
    <w:rsid w:val="0000214C"/>
    <w:rsid w:val="00004A66"/>
    <w:rsid w:val="00005B58"/>
    <w:rsid w:val="000061AB"/>
    <w:rsid w:val="00006DEB"/>
    <w:rsid w:val="00007785"/>
    <w:rsid w:val="00007CB3"/>
    <w:rsid w:val="000109EE"/>
    <w:rsid w:val="000112AE"/>
    <w:rsid w:val="000127F4"/>
    <w:rsid w:val="000139E1"/>
    <w:rsid w:val="00013AAC"/>
    <w:rsid w:val="000146C9"/>
    <w:rsid w:val="0001567C"/>
    <w:rsid w:val="00015797"/>
    <w:rsid w:val="00015A2B"/>
    <w:rsid w:val="00017089"/>
    <w:rsid w:val="00017703"/>
    <w:rsid w:val="00021834"/>
    <w:rsid w:val="00023E1A"/>
    <w:rsid w:val="00023F19"/>
    <w:rsid w:val="0002667C"/>
    <w:rsid w:val="0002753E"/>
    <w:rsid w:val="00030FA5"/>
    <w:rsid w:val="00031A48"/>
    <w:rsid w:val="0003252F"/>
    <w:rsid w:val="00034B56"/>
    <w:rsid w:val="0003578C"/>
    <w:rsid w:val="00035ED8"/>
    <w:rsid w:val="000360EB"/>
    <w:rsid w:val="000361FF"/>
    <w:rsid w:val="00037C6F"/>
    <w:rsid w:val="00040619"/>
    <w:rsid w:val="0004144B"/>
    <w:rsid w:val="00044955"/>
    <w:rsid w:val="000452FE"/>
    <w:rsid w:val="000457FA"/>
    <w:rsid w:val="000463FE"/>
    <w:rsid w:val="00046C38"/>
    <w:rsid w:val="00051559"/>
    <w:rsid w:val="00052EC4"/>
    <w:rsid w:val="00053032"/>
    <w:rsid w:val="00055B77"/>
    <w:rsid w:val="00055F0D"/>
    <w:rsid w:val="00055F92"/>
    <w:rsid w:val="00061839"/>
    <w:rsid w:val="0006277F"/>
    <w:rsid w:val="00062A38"/>
    <w:rsid w:val="00065952"/>
    <w:rsid w:val="000660E4"/>
    <w:rsid w:val="000666B3"/>
    <w:rsid w:val="000672B2"/>
    <w:rsid w:val="000704C7"/>
    <w:rsid w:val="00072AD2"/>
    <w:rsid w:val="0007678D"/>
    <w:rsid w:val="00076D43"/>
    <w:rsid w:val="00077365"/>
    <w:rsid w:val="0008073E"/>
    <w:rsid w:val="000810B5"/>
    <w:rsid w:val="00081480"/>
    <w:rsid w:val="000843D6"/>
    <w:rsid w:val="00085854"/>
    <w:rsid w:val="00090208"/>
    <w:rsid w:val="00091CDB"/>
    <w:rsid w:val="00092663"/>
    <w:rsid w:val="00094181"/>
    <w:rsid w:val="00094B6C"/>
    <w:rsid w:val="00095E30"/>
    <w:rsid w:val="00096303"/>
    <w:rsid w:val="00096B56"/>
    <w:rsid w:val="000973AA"/>
    <w:rsid w:val="0009742A"/>
    <w:rsid w:val="000A0304"/>
    <w:rsid w:val="000A0A80"/>
    <w:rsid w:val="000A19AC"/>
    <w:rsid w:val="000A2F2D"/>
    <w:rsid w:val="000A4E13"/>
    <w:rsid w:val="000A5A20"/>
    <w:rsid w:val="000A620E"/>
    <w:rsid w:val="000B22B8"/>
    <w:rsid w:val="000B23C4"/>
    <w:rsid w:val="000B24D7"/>
    <w:rsid w:val="000B28DE"/>
    <w:rsid w:val="000B2B65"/>
    <w:rsid w:val="000B4CFD"/>
    <w:rsid w:val="000B7263"/>
    <w:rsid w:val="000B7421"/>
    <w:rsid w:val="000C01AB"/>
    <w:rsid w:val="000C28F8"/>
    <w:rsid w:val="000C2C3A"/>
    <w:rsid w:val="000C41F8"/>
    <w:rsid w:val="000C4D0D"/>
    <w:rsid w:val="000C529B"/>
    <w:rsid w:val="000C5DD0"/>
    <w:rsid w:val="000C7E0E"/>
    <w:rsid w:val="000D137F"/>
    <w:rsid w:val="000D1646"/>
    <w:rsid w:val="000D190A"/>
    <w:rsid w:val="000D20E4"/>
    <w:rsid w:val="000D26F8"/>
    <w:rsid w:val="000D2CC9"/>
    <w:rsid w:val="000D3A0C"/>
    <w:rsid w:val="000D3D2A"/>
    <w:rsid w:val="000D40FF"/>
    <w:rsid w:val="000D54B6"/>
    <w:rsid w:val="000D6F69"/>
    <w:rsid w:val="000D71CD"/>
    <w:rsid w:val="000E1096"/>
    <w:rsid w:val="000E3313"/>
    <w:rsid w:val="000F05C9"/>
    <w:rsid w:val="000F0A11"/>
    <w:rsid w:val="000F0C5F"/>
    <w:rsid w:val="000F1AEB"/>
    <w:rsid w:val="000F3415"/>
    <w:rsid w:val="000F6002"/>
    <w:rsid w:val="000F69F2"/>
    <w:rsid w:val="001007E9"/>
    <w:rsid w:val="00100A81"/>
    <w:rsid w:val="001028D9"/>
    <w:rsid w:val="00102975"/>
    <w:rsid w:val="00102F45"/>
    <w:rsid w:val="00105549"/>
    <w:rsid w:val="001058F5"/>
    <w:rsid w:val="00105C5E"/>
    <w:rsid w:val="00107522"/>
    <w:rsid w:val="001076A5"/>
    <w:rsid w:val="00110A41"/>
    <w:rsid w:val="00111860"/>
    <w:rsid w:val="00113109"/>
    <w:rsid w:val="00113916"/>
    <w:rsid w:val="001148AC"/>
    <w:rsid w:val="00115547"/>
    <w:rsid w:val="00121224"/>
    <w:rsid w:val="0012155C"/>
    <w:rsid w:val="00121840"/>
    <w:rsid w:val="00122AA7"/>
    <w:rsid w:val="00122CD7"/>
    <w:rsid w:val="0012349B"/>
    <w:rsid w:val="001244AE"/>
    <w:rsid w:val="00125180"/>
    <w:rsid w:val="00125FAF"/>
    <w:rsid w:val="001265D1"/>
    <w:rsid w:val="00126B7E"/>
    <w:rsid w:val="00127064"/>
    <w:rsid w:val="0013197C"/>
    <w:rsid w:val="00133B0C"/>
    <w:rsid w:val="001342BA"/>
    <w:rsid w:val="001354FE"/>
    <w:rsid w:val="00135FEE"/>
    <w:rsid w:val="00136087"/>
    <w:rsid w:val="001369C8"/>
    <w:rsid w:val="00137D54"/>
    <w:rsid w:val="001405C6"/>
    <w:rsid w:val="00140684"/>
    <w:rsid w:val="00140ABF"/>
    <w:rsid w:val="00141013"/>
    <w:rsid w:val="00141079"/>
    <w:rsid w:val="001429E1"/>
    <w:rsid w:val="001438C3"/>
    <w:rsid w:val="00143FD6"/>
    <w:rsid w:val="001441CF"/>
    <w:rsid w:val="00144684"/>
    <w:rsid w:val="001459AA"/>
    <w:rsid w:val="00145DE8"/>
    <w:rsid w:val="00146344"/>
    <w:rsid w:val="00147ADF"/>
    <w:rsid w:val="00147DF0"/>
    <w:rsid w:val="00150140"/>
    <w:rsid w:val="001503F7"/>
    <w:rsid w:val="00151C17"/>
    <w:rsid w:val="00152200"/>
    <w:rsid w:val="00152B46"/>
    <w:rsid w:val="00153FF0"/>
    <w:rsid w:val="00155143"/>
    <w:rsid w:val="00155936"/>
    <w:rsid w:val="00155D32"/>
    <w:rsid w:val="00156850"/>
    <w:rsid w:val="00160009"/>
    <w:rsid w:val="00162AEA"/>
    <w:rsid w:val="00163E02"/>
    <w:rsid w:val="00166694"/>
    <w:rsid w:val="001670A2"/>
    <w:rsid w:val="00175142"/>
    <w:rsid w:val="001758F9"/>
    <w:rsid w:val="00176394"/>
    <w:rsid w:val="00176E35"/>
    <w:rsid w:val="00185968"/>
    <w:rsid w:val="00185DDD"/>
    <w:rsid w:val="00187850"/>
    <w:rsid w:val="001909B5"/>
    <w:rsid w:val="00191128"/>
    <w:rsid w:val="00192CBF"/>
    <w:rsid w:val="00192FF1"/>
    <w:rsid w:val="001948E0"/>
    <w:rsid w:val="00194943"/>
    <w:rsid w:val="00196853"/>
    <w:rsid w:val="001A10CF"/>
    <w:rsid w:val="001A15DA"/>
    <w:rsid w:val="001A1A80"/>
    <w:rsid w:val="001A35DF"/>
    <w:rsid w:val="001A3886"/>
    <w:rsid w:val="001A3C92"/>
    <w:rsid w:val="001A5475"/>
    <w:rsid w:val="001A5AE8"/>
    <w:rsid w:val="001A5F1B"/>
    <w:rsid w:val="001A6946"/>
    <w:rsid w:val="001A74A7"/>
    <w:rsid w:val="001B0B2E"/>
    <w:rsid w:val="001B0D4D"/>
    <w:rsid w:val="001B2F58"/>
    <w:rsid w:val="001B458E"/>
    <w:rsid w:val="001B6785"/>
    <w:rsid w:val="001B7099"/>
    <w:rsid w:val="001B74BD"/>
    <w:rsid w:val="001C1D1F"/>
    <w:rsid w:val="001C2B80"/>
    <w:rsid w:val="001C2CE9"/>
    <w:rsid w:val="001C4A9D"/>
    <w:rsid w:val="001C5318"/>
    <w:rsid w:val="001D042A"/>
    <w:rsid w:val="001D374C"/>
    <w:rsid w:val="001D3BC6"/>
    <w:rsid w:val="001D5903"/>
    <w:rsid w:val="001D716C"/>
    <w:rsid w:val="001E04D1"/>
    <w:rsid w:val="001E18D3"/>
    <w:rsid w:val="001E379A"/>
    <w:rsid w:val="001E41FF"/>
    <w:rsid w:val="001E4D38"/>
    <w:rsid w:val="001E59E6"/>
    <w:rsid w:val="001E64AF"/>
    <w:rsid w:val="001F0119"/>
    <w:rsid w:val="001F02FE"/>
    <w:rsid w:val="001F184C"/>
    <w:rsid w:val="001F309C"/>
    <w:rsid w:val="001F35A9"/>
    <w:rsid w:val="001F5C6D"/>
    <w:rsid w:val="001F6751"/>
    <w:rsid w:val="001F6995"/>
    <w:rsid w:val="001F7DBA"/>
    <w:rsid w:val="0020138C"/>
    <w:rsid w:val="00202B60"/>
    <w:rsid w:val="002050FA"/>
    <w:rsid w:val="002073DC"/>
    <w:rsid w:val="00210345"/>
    <w:rsid w:val="00210C04"/>
    <w:rsid w:val="00211F9F"/>
    <w:rsid w:val="00211FFE"/>
    <w:rsid w:val="0021328C"/>
    <w:rsid w:val="002166F4"/>
    <w:rsid w:val="00216F51"/>
    <w:rsid w:val="0022157F"/>
    <w:rsid w:val="0022267F"/>
    <w:rsid w:val="00223319"/>
    <w:rsid w:val="00223B1C"/>
    <w:rsid w:val="00225188"/>
    <w:rsid w:val="00230DFD"/>
    <w:rsid w:val="00233BE1"/>
    <w:rsid w:val="0023469E"/>
    <w:rsid w:val="002400DF"/>
    <w:rsid w:val="00240149"/>
    <w:rsid w:val="0024250F"/>
    <w:rsid w:val="00243CF5"/>
    <w:rsid w:val="002467E6"/>
    <w:rsid w:val="00255AA6"/>
    <w:rsid w:val="00257F07"/>
    <w:rsid w:val="00263951"/>
    <w:rsid w:val="00263B7C"/>
    <w:rsid w:val="00264637"/>
    <w:rsid w:val="00265543"/>
    <w:rsid w:val="00265A84"/>
    <w:rsid w:val="00265D56"/>
    <w:rsid w:val="00270541"/>
    <w:rsid w:val="0027254B"/>
    <w:rsid w:val="002728B7"/>
    <w:rsid w:val="00272D34"/>
    <w:rsid w:val="002739C6"/>
    <w:rsid w:val="002762AC"/>
    <w:rsid w:val="00280716"/>
    <w:rsid w:val="002809FC"/>
    <w:rsid w:val="00282A59"/>
    <w:rsid w:val="00283DEE"/>
    <w:rsid w:val="0028786F"/>
    <w:rsid w:val="00290B43"/>
    <w:rsid w:val="00291A1D"/>
    <w:rsid w:val="0029263A"/>
    <w:rsid w:val="00292C7C"/>
    <w:rsid w:val="00293801"/>
    <w:rsid w:val="002950E0"/>
    <w:rsid w:val="002955EC"/>
    <w:rsid w:val="00297326"/>
    <w:rsid w:val="002A193A"/>
    <w:rsid w:val="002A1C6B"/>
    <w:rsid w:val="002A2AB5"/>
    <w:rsid w:val="002A4D8E"/>
    <w:rsid w:val="002A6844"/>
    <w:rsid w:val="002A7D05"/>
    <w:rsid w:val="002B0059"/>
    <w:rsid w:val="002B0AA1"/>
    <w:rsid w:val="002B24B8"/>
    <w:rsid w:val="002B4F2E"/>
    <w:rsid w:val="002B6D34"/>
    <w:rsid w:val="002C0E42"/>
    <w:rsid w:val="002C1CA4"/>
    <w:rsid w:val="002C2D45"/>
    <w:rsid w:val="002C4385"/>
    <w:rsid w:val="002C5C1E"/>
    <w:rsid w:val="002C691B"/>
    <w:rsid w:val="002D1BC1"/>
    <w:rsid w:val="002D3AE9"/>
    <w:rsid w:val="002D4D69"/>
    <w:rsid w:val="002D557A"/>
    <w:rsid w:val="002D5856"/>
    <w:rsid w:val="002D716C"/>
    <w:rsid w:val="002E02FD"/>
    <w:rsid w:val="002E408A"/>
    <w:rsid w:val="002E4D97"/>
    <w:rsid w:val="002E55A2"/>
    <w:rsid w:val="002E5821"/>
    <w:rsid w:val="002E7B6D"/>
    <w:rsid w:val="002F1691"/>
    <w:rsid w:val="002F42ED"/>
    <w:rsid w:val="002F46E7"/>
    <w:rsid w:val="002F4D96"/>
    <w:rsid w:val="002F5054"/>
    <w:rsid w:val="002F5AD6"/>
    <w:rsid w:val="002F6B4B"/>
    <w:rsid w:val="002F6CFD"/>
    <w:rsid w:val="00301011"/>
    <w:rsid w:val="003016E9"/>
    <w:rsid w:val="00301A2D"/>
    <w:rsid w:val="0030354E"/>
    <w:rsid w:val="00306F4C"/>
    <w:rsid w:val="00307E90"/>
    <w:rsid w:val="00312B4F"/>
    <w:rsid w:val="00315CA8"/>
    <w:rsid w:val="00316197"/>
    <w:rsid w:val="00316742"/>
    <w:rsid w:val="003211CE"/>
    <w:rsid w:val="00321605"/>
    <w:rsid w:val="00322AC4"/>
    <w:rsid w:val="00322C10"/>
    <w:rsid w:val="003235DA"/>
    <w:rsid w:val="00324744"/>
    <w:rsid w:val="00325347"/>
    <w:rsid w:val="00325826"/>
    <w:rsid w:val="00326048"/>
    <w:rsid w:val="0032687B"/>
    <w:rsid w:val="003338CE"/>
    <w:rsid w:val="003348F8"/>
    <w:rsid w:val="003359BE"/>
    <w:rsid w:val="00336AAD"/>
    <w:rsid w:val="00336D2A"/>
    <w:rsid w:val="0034034D"/>
    <w:rsid w:val="003410A6"/>
    <w:rsid w:val="00341BFC"/>
    <w:rsid w:val="0034326F"/>
    <w:rsid w:val="003464F3"/>
    <w:rsid w:val="003472E8"/>
    <w:rsid w:val="003479EF"/>
    <w:rsid w:val="003500C4"/>
    <w:rsid w:val="00354029"/>
    <w:rsid w:val="00356115"/>
    <w:rsid w:val="00356A02"/>
    <w:rsid w:val="0035705F"/>
    <w:rsid w:val="00357197"/>
    <w:rsid w:val="00357959"/>
    <w:rsid w:val="00357EC2"/>
    <w:rsid w:val="00360F8B"/>
    <w:rsid w:val="00361BF0"/>
    <w:rsid w:val="0036240D"/>
    <w:rsid w:val="00362E75"/>
    <w:rsid w:val="003673AC"/>
    <w:rsid w:val="003709B5"/>
    <w:rsid w:val="00370BFA"/>
    <w:rsid w:val="00374DEF"/>
    <w:rsid w:val="0037538B"/>
    <w:rsid w:val="0037544D"/>
    <w:rsid w:val="003759C2"/>
    <w:rsid w:val="00376976"/>
    <w:rsid w:val="003775DA"/>
    <w:rsid w:val="00380808"/>
    <w:rsid w:val="003824C1"/>
    <w:rsid w:val="00382F3A"/>
    <w:rsid w:val="00385CAA"/>
    <w:rsid w:val="00386703"/>
    <w:rsid w:val="00393867"/>
    <w:rsid w:val="003941FB"/>
    <w:rsid w:val="003A03E1"/>
    <w:rsid w:val="003A0E9C"/>
    <w:rsid w:val="003A0E9E"/>
    <w:rsid w:val="003A2582"/>
    <w:rsid w:val="003A368B"/>
    <w:rsid w:val="003A3D9D"/>
    <w:rsid w:val="003A424A"/>
    <w:rsid w:val="003A5BA7"/>
    <w:rsid w:val="003A60FF"/>
    <w:rsid w:val="003A7BD2"/>
    <w:rsid w:val="003A7EB9"/>
    <w:rsid w:val="003B0A64"/>
    <w:rsid w:val="003B1DEE"/>
    <w:rsid w:val="003B2192"/>
    <w:rsid w:val="003B57F4"/>
    <w:rsid w:val="003B5EFD"/>
    <w:rsid w:val="003C07DA"/>
    <w:rsid w:val="003C0A53"/>
    <w:rsid w:val="003C303D"/>
    <w:rsid w:val="003C3447"/>
    <w:rsid w:val="003C5490"/>
    <w:rsid w:val="003C59FA"/>
    <w:rsid w:val="003D076C"/>
    <w:rsid w:val="003D1CE4"/>
    <w:rsid w:val="003D3396"/>
    <w:rsid w:val="003D3571"/>
    <w:rsid w:val="003D4B93"/>
    <w:rsid w:val="003D56DD"/>
    <w:rsid w:val="003D7230"/>
    <w:rsid w:val="003D7604"/>
    <w:rsid w:val="003D7741"/>
    <w:rsid w:val="003E0E08"/>
    <w:rsid w:val="003E105D"/>
    <w:rsid w:val="003E6138"/>
    <w:rsid w:val="003F0220"/>
    <w:rsid w:val="003F1A81"/>
    <w:rsid w:val="003F1BFA"/>
    <w:rsid w:val="003F337F"/>
    <w:rsid w:val="003F51F8"/>
    <w:rsid w:val="003F5DA3"/>
    <w:rsid w:val="003F5F33"/>
    <w:rsid w:val="00400015"/>
    <w:rsid w:val="00401E97"/>
    <w:rsid w:val="0040201A"/>
    <w:rsid w:val="004025E0"/>
    <w:rsid w:val="00404054"/>
    <w:rsid w:val="00404E84"/>
    <w:rsid w:val="0041000E"/>
    <w:rsid w:val="004101D0"/>
    <w:rsid w:val="0041082F"/>
    <w:rsid w:val="0041200C"/>
    <w:rsid w:val="00414998"/>
    <w:rsid w:val="004175D5"/>
    <w:rsid w:val="00422ADD"/>
    <w:rsid w:val="00422D43"/>
    <w:rsid w:val="004237DF"/>
    <w:rsid w:val="00423A53"/>
    <w:rsid w:val="004256BB"/>
    <w:rsid w:val="004345D5"/>
    <w:rsid w:val="0043495F"/>
    <w:rsid w:val="0043541E"/>
    <w:rsid w:val="00442E69"/>
    <w:rsid w:val="00442E88"/>
    <w:rsid w:val="004437BD"/>
    <w:rsid w:val="00445EB4"/>
    <w:rsid w:val="00446675"/>
    <w:rsid w:val="00450A30"/>
    <w:rsid w:val="00451919"/>
    <w:rsid w:val="00452530"/>
    <w:rsid w:val="004526B2"/>
    <w:rsid w:val="00452BCD"/>
    <w:rsid w:val="00453AF5"/>
    <w:rsid w:val="0045699F"/>
    <w:rsid w:val="00456BE7"/>
    <w:rsid w:val="00460059"/>
    <w:rsid w:val="004604AC"/>
    <w:rsid w:val="004635BE"/>
    <w:rsid w:val="00465269"/>
    <w:rsid w:val="00466DD5"/>
    <w:rsid w:val="004708D8"/>
    <w:rsid w:val="00470F88"/>
    <w:rsid w:val="0047122B"/>
    <w:rsid w:val="00471DB5"/>
    <w:rsid w:val="00473244"/>
    <w:rsid w:val="00473359"/>
    <w:rsid w:val="00473B7A"/>
    <w:rsid w:val="0047432C"/>
    <w:rsid w:val="004765C2"/>
    <w:rsid w:val="00476652"/>
    <w:rsid w:val="0047793A"/>
    <w:rsid w:val="00480A11"/>
    <w:rsid w:val="0048195A"/>
    <w:rsid w:val="0048396A"/>
    <w:rsid w:val="00483D1D"/>
    <w:rsid w:val="004843D0"/>
    <w:rsid w:val="004844A1"/>
    <w:rsid w:val="00484BC3"/>
    <w:rsid w:val="00485F2C"/>
    <w:rsid w:val="0049047A"/>
    <w:rsid w:val="0049088D"/>
    <w:rsid w:val="00493613"/>
    <w:rsid w:val="00493B41"/>
    <w:rsid w:val="004951D8"/>
    <w:rsid w:val="0049797E"/>
    <w:rsid w:val="00497CDF"/>
    <w:rsid w:val="004A0B3B"/>
    <w:rsid w:val="004A1D1E"/>
    <w:rsid w:val="004A2373"/>
    <w:rsid w:val="004A2E88"/>
    <w:rsid w:val="004A3942"/>
    <w:rsid w:val="004A3E62"/>
    <w:rsid w:val="004A49B0"/>
    <w:rsid w:val="004A5305"/>
    <w:rsid w:val="004A5999"/>
    <w:rsid w:val="004A6481"/>
    <w:rsid w:val="004B03D3"/>
    <w:rsid w:val="004B0B28"/>
    <w:rsid w:val="004B2B06"/>
    <w:rsid w:val="004B3FD1"/>
    <w:rsid w:val="004B4F2F"/>
    <w:rsid w:val="004B6F15"/>
    <w:rsid w:val="004C18AB"/>
    <w:rsid w:val="004C1E0B"/>
    <w:rsid w:val="004C285C"/>
    <w:rsid w:val="004C2B0A"/>
    <w:rsid w:val="004C3986"/>
    <w:rsid w:val="004C39CF"/>
    <w:rsid w:val="004C3C03"/>
    <w:rsid w:val="004C4AFE"/>
    <w:rsid w:val="004C5071"/>
    <w:rsid w:val="004C63CD"/>
    <w:rsid w:val="004D071B"/>
    <w:rsid w:val="004D0BF2"/>
    <w:rsid w:val="004D17CE"/>
    <w:rsid w:val="004D1B09"/>
    <w:rsid w:val="004D28B1"/>
    <w:rsid w:val="004D2AB8"/>
    <w:rsid w:val="004D4433"/>
    <w:rsid w:val="004D5313"/>
    <w:rsid w:val="004E044B"/>
    <w:rsid w:val="004E2FCE"/>
    <w:rsid w:val="004E5151"/>
    <w:rsid w:val="004E5E63"/>
    <w:rsid w:val="004E7878"/>
    <w:rsid w:val="004F2711"/>
    <w:rsid w:val="004F5BE4"/>
    <w:rsid w:val="004F6050"/>
    <w:rsid w:val="004F60C9"/>
    <w:rsid w:val="005006B9"/>
    <w:rsid w:val="00500A77"/>
    <w:rsid w:val="0050336E"/>
    <w:rsid w:val="005047B4"/>
    <w:rsid w:val="0050594C"/>
    <w:rsid w:val="00507115"/>
    <w:rsid w:val="00510513"/>
    <w:rsid w:val="005110EB"/>
    <w:rsid w:val="005131B9"/>
    <w:rsid w:val="005176A8"/>
    <w:rsid w:val="00517BED"/>
    <w:rsid w:val="00520BB1"/>
    <w:rsid w:val="0052240C"/>
    <w:rsid w:val="005235E4"/>
    <w:rsid w:val="0052418F"/>
    <w:rsid w:val="0052432E"/>
    <w:rsid w:val="0052468A"/>
    <w:rsid w:val="00525937"/>
    <w:rsid w:val="00527D9B"/>
    <w:rsid w:val="00527F6E"/>
    <w:rsid w:val="005300D3"/>
    <w:rsid w:val="0053063C"/>
    <w:rsid w:val="00530B8D"/>
    <w:rsid w:val="00530CDD"/>
    <w:rsid w:val="0053254A"/>
    <w:rsid w:val="0053257C"/>
    <w:rsid w:val="00532C17"/>
    <w:rsid w:val="005330B4"/>
    <w:rsid w:val="00533124"/>
    <w:rsid w:val="00534EB4"/>
    <w:rsid w:val="00535608"/>
    <w:rsid w:val="00535847"/>
    <w:rsid w:val="0053585B"/>
    <w:rsid w:val="00535E68"/>
    <w:rsid w:val="00536BD9"/>
    <w:rsid w:val="0054083F"/>
    <w:rsid w:val="00542B7F"/>
    <w:rsid w:val="00542E9B"/>
    <w:rsid w:val="0054474F"/>
    <w:rsid w:val="005451E8"/>
    <w:rsid w:val="00545F20"/>
    <w:rsid w:val="005472FB"/>
    <w:rsid w:val="00547C4A"/>
    <w:rsid w:val="005506E8"/>
    <w:rsid w:val="00552D58"/>
    <w:rsid w:val="00552F05"/>
    <w:rsid w:val="00554656"/>
    <w:rsid w:val="00555B02"/>
    <w:rsid w:val="005571EA"/>
    <w:rsid w:val="00557359"/>
    <w:rsid w:val="00557672"/>
    <w:rsid w:val="00560C9C"/>
    <w:rsid w:val="00561ED5"/>
    <w:rsid w:val="005627CF"/>
    <w:rsid w:val="00562E5B"/>
    <w:rsid w:val="005632EE"/>
    <w:rsid w:val="005641D8"/>
    <w:rsid w:val="00565C93"/>
    <w:rsid w:val="00567500"/>
    <w:rsid w:val="00567755"/>
    <w:rsid w:val="0057094A"/>
    <w:rsid w:val="00573344"/>
    <w:rsid w:val="005741F8"/>
    <w:rsid w:val="00574750"/>
    <w:rsid w:val="00575164"/>
    <w:rsid w:val="00577F61"/>
    <w:rsid w:val="00581CA0"/>
    <w:rsid w:val="00581F4D"/>
    <w:rsid w:val="00582F13"/>
    <w:rsid w:val="00583A43"/>
    <w:rsid w:val="005843EA"/>
    <w:rsid w:val="00584E17"/>
    <w:rsid w:val="00584F15"/>
    <w:rsid w:val="00585F7F"/>
    <w:rsid w:val="00586737"/>
    <w:rsid w:val="00587735"/>
    <w:rsid w:val="005878BF"/>
    <w:rsid w:val="00587A21"/>
    <w:rsid w:val="00592404"/>
    <w:rsid w:val="005927DD"/>
    <w:rsid w:val="00593085"/>
    <w:rsid w:val="00593176"/>
    <w:rsid w:val="00593565"/>
    <w:rsid w:val="005936BD"/>
    <w:rsid w:val="00593C4F"/>
    <w:rsid w:val="005946A8"/>
    <w:rsid w:val="005947EA"/>
    <w:rsid w:val="005960EB"/>
    <w:rsid w:val="005A083E"/>
    <w:rsid w:val="005A08DA"/>
    <w:rsid w:val="005A0F99"/>
    <w:rsid w:val="005A14C7"/>
    <w:rsid w:val="005A1B43"/>
    <w:rsid w:val="005A1B5E"/>
    <w:rsid w:val="005A1E93"/>
    <w:rsid w:val="005A1EF8"/>
    <w:rsid w:val="005A2D18"/>
    <w:rsid w:val="005A4407"/>
    <w:rsid w:val="005A522D"/>
    <w:rsid w:val="005A6B00"/>
    <w:rsid w:val="005B04DE"/>
    <w:rsid w:val="005B1122"/>
    <w:rsid w:val="005B18A5"/>
    <w:rsid w:val="005B32F8"/>
    <w:rsid w:val="005B3476"/>
    <w:rsid w:val="005B5705"/>
    <w:rsid w:val="005B5C99"/>
    <w:rsid w:val="005B7B83"/>
    <w:rsid w:val="005C06A9"/>
    <w:rsid w:val="005C1FC1"/>
    <w:rsid w:val="005C64D6"/>
    <w:rsid w:val="005D0AE3"/>
    <w:rsid w:val="005D1310"/>
    <w:rsid w:val="005D1C3A"/>
    <w:rsid w:val="005D3BAF"/>
    <w:rsid w:val="005D5315"/>
    <w:rsid w:val="005D6BB7"/>
    <w:rsid w:val="005D7D84"/>
    <w:rsid w:val="005D7FC7"/>
    <w:rsid w:val="005E0146"/>
    <w:rsid w:val="005E0857"/>
    <w:rsid w:val="005E0A4E"/>
    <w:rsid w:val="005E22FC"/>
    <w:rsid w:val="005E42A5"/>
    <w:rsid w:val="005E565B"/>
    <w:rsid w:val="005E673E"/>
    <w:rsid w:val="005E7460"/>
    <w:rsid w:val="005F01FC"/>
    <w:rsid w:val="005F104E"/>
    <w:rsid w:val="005F1628"/>
    <w:rsid w:val="005F1A19"/>
    <w:rsid w:val="005F2B6B"/>
    <w:rsid w:val="005F39B6"/>
    <w:rsid w:val="005F4972"/>
    <w:rsid w:val="005F4D82"/>
    <w:rsid w:val="005F5CDB"/>
    <w:rsid w:val="005F7A74"/>
    <w:rsid w:val="006018D9"/>
    <w:rsid w:val="00604859"/>
    <w:rsid w:val="00604DC6"/>
    <w:rsid w:val="00606377"/>
    <w:rsid w:val="006125DF"/>
    <w:rsid w:val="00613AB6"/>
    <w:rsid w:val="006203BF"/>
    <w:rsid w:val="006207C7"/>
    <w:rsid w:val="00620A2D"/>
    <w:rsid w:val="00620B94"/>
    <w:rsid w:val="0062226A"/>
    <w:rsid w:val="0062386B"/>
    <w:rsid w:val="00623A39"/>
    <w:rsid w:val="00623E81"/>
    <w:rsid w:val="00624DCE"/>
    <w:rsid w:val="006259F6"/>
    <w:rsid w:val="00625DC6"/>
    <w:rsid w:val="006276AB"/>
    <w:rsid w:val="0062781E"/>
    <w:rsid w:val="00627BB6"/>
    <w:rsid w:val="006314FC"/>
    <w:rsid w:val="0063150A"/>
    <w:rsid w:val="00631D68"/>
    <w:rsid w:val="00633913"/>
    <w:rsid w:val="0063486C"/>
    <w:rsid w:val="006404C7"/>
    <w:rsid w:val="00640B96"/>
    <w:rsid w:val="0064377C"/>
    <w:rsid w:val="00643867"/>
    <w:rsid w:val="0064400E"/>
    <w:rsid w:val="006466F2"/>
    <w:rsid w:val="00646C71"/>
    <w:rsid w:val="00647724"/>
    <w:rsid w:val="00651821"/>
    <w:rsid w:val="00651A0C"/>
    <w:rsid w:val="00652F47"/>
    <w:rsid w:val="00653337"/>
    <w:rsid w:val="00653931"/>
    <w:rsid w:val="00653A16"/>
    <w:rsid w:val="006540B8"/>
    <w:rsid w:val="006542DE"/>
    <w:rsid w:val="00654384"/>
    <w:rsid w:val="00655849"/>
    <w:rsid w:val="0066037F"/>
    <w:rsid w:val="00660876"/>
    <w:rsid w:val="00660B17"/>
    <w:rsid w:val="00660B18"/>
    <w:rsid w:val="00660EA5"/>
    <w:rsid w:val="00661C4C"/>
    <w:rsid w:val="006631A6"/>
    <w:rsid w:val="006637C7"/>
    <w:rsid w:val="0066466E"/>
    <w:rsid w:val="0066683A"/>
    <w:rsid w:val="00670669"/>
    <w:rsid w:val="006713D4"/>
    <w:rsid w:val="0067162D"/>
    <w:rsid w:val="00673D40"/>
    <w:rsid w:val="006748D2"/>
    <w:rsid w:val="0067647F"/>
    <w:rsid w:val="00676EF8"/>
    <w:rsid w:val="0067736B"/>
    <w:rsid w:val="00677DD7"/>
    <w:rsid w:val="006824DC"/>
    <w:rsid w:val="00684435"/>
    <w:rsid w:val="00684D9B"/>
    <w:rsid w:val="00690836"/>
    <w:rsid w:val="0069185E"/>
    <w:rsid w:val="006926AA"/>
    <w:rsid w:val="006931CD"/>
    <w:rsid w:val="006947F4"/>
    <w:rsid w:val="006957EA"/>
    <w:rsid w:val="00695F53"/>
    <w:rsid w:val="00696219"/>
    <w:rsid w:val="00696AA5"/>
    <w:rsid w:val="00697556"/>
    <w:rsid w:val="00697EA9"/>
    <w:rsid w:val="006A1E31"/>
    <w:rsid w:val="006A472D"/>
    <w:rsid w:val="006A61C8"/>
    <w:rsid w:val="006A6F79"/>
    <w:rsid w:val="006A7A24"/>
    <w:rsid w:val="006A7A67"/>
    <w:rsid w:val="006B25AF"/>
    <w:rsid w:val="006B2E8F"/>
    <w:rsid w:val="006B2F13"/>
    <w:rsid w:val="006B464D"/>
    <w:rsid w:val="006B4C2B"/>
    <w:rsid w:val="006B5201"/>
    <w:rsid w:val="006B52BF"/>
    <w:rsid w:val="006B5F58"/>
    <w:rsid w:val="006B6651"/>
    <w:rsid w:val="006C08F1"/>
    <w:rsid w:val="006C1C25"/>
    <w:rsid w:val="006C28B8"/>
    <w:rsid w:val="006C2A6B"/>
    <w:rsid w:val="006C40CE"/>
    <w:rsid w:val="006C5C08"/>
    <w:rsid w:val="006D15B1"/>
    <w:rsid w:val="006D1E68"/>
    <w:rsid w:val="006D301C"/>
    <w:rsid w:val="006D49F9"/>
    <w:rsid w:val="006D6D78"/>
    <w:rsid w:val="006D74B7"/>
    <w:rsid w:val="006D790B"/>
    <w:rsid w:val="006D7D8C"/>
    <w:rsid w:val="006E1DB3"/>
    <w:rsid w:val="006E2DC4"/>
    <w:rsid w:val="006E5595"/>
    <w:rsid w:val="006E5F1D"/>
    <w:rsid w:val="006E75B7"/>
    <w:rsid w:val="006F04B9"/>
    <w:rsid w:val="006F105C"/>
    <w:rsid w:val="006F12DD"/>
    <w:rsid w:val="006F2776"/>
    <w:rsid w:val="006F3167"/>
    <w:rsid w:val="006F6BFF"/>
    <w:rsid w:val="006F6D95"/>
    <w:rsid w:val="006F747A"/>
    <w:rsid w:val="006F7BCD"/>
    <w:rsid w:val="007008EC"/>
    <w:rsid w:val="00703A2F"/>
    <w:rsid w:val="00705245"/>
    <w:rsid w:val="00706F13"/>
    <w:rsid w:val="00707C70"/>
    <w:rsid w:val="007140CF"/>
    <w:rsid w:val="00715697"/>
    <w:rsid w:val="00715B7F"/>
    <w:rsid w:val="007208AF"/>
    <w:rsid w:val="0072306A"/>
    <w:rsid w:val="007231E6"/>
    <w:rsid w:val="00723F9D"/>
    <w:rsid w:val="007249CE"/>
    <w:rsid w:val="00724DBA"/>
    <w:rsid w:val="00725C0F"/>
    <w:rsid w:val="00725FA4"/>
    <w:rsid w:val="00727040"/>
    <w:rsid w:val="007279FA"/>
    <w:rsid w:val="00727B77"/>
    <w:rsid w:val="00727EBD"/>
    <w:rsid w:val="0073119B"/>
    <w:rsid w:val="00733D19"/>
    <w:rsid w:val="0074106E"/>
    <w:rsid w:val="007414F7"/>
    <w:rsid w:val="00741663"/>
    <w:rsid w:val="00742F35"/>
    <w:rsid w:val="007438A9"/>
    <w:rsid w:val="0074491E"/>
    <w:rsid w:val="0074584F"/>
    <w:rsid w:val="00746E6C"/>
    <w:rsid w:val="00750E2C"/>
    <w:rsid w:val="00751007"/>
    <w:rsid w:val="007542EF"/>
    <w:rsid w:val="00754DE5"/>
    <w:rsid w:val="00760146"/>
    <w:rsid w:val="00763D60"/>
    <w:rsid w:val="0076507A"/>
    <w:rsid w:val="00765C62"/>
    <w:rsid w:val="00767878"/>
    <w:rsid w:val="00770316"/>
    <w:rsid w:val="00771386"/>
    <w:rsid w:val="00773605"/>
    <w:rsid w:val="0077400A"/>
    <w:rsid w:val="00776F52"/>
    <w:rsid w:val="00777F7B"/>
    <w:rsid w:val="00780F5E"/>
    <w:rsid w:val="00780FD1"/>
    <w:rsid w:val="00781E26"/>
    <w:rsid w:val="00784693"/>
    <w:rsid w:val="007860CA"/>
    <w:rsid w:val="0079059D"/>
    <w:rsid w:val="007915E0"/>
    <w:rsid w:val="00791CA1"/>
    <w:rsid w:val="00793B66"/>
    <w:rsid w:val="00793F52"/>
    <w:rsid w:val="00794BB4"/>
    <w:rsid w:val="0079518C"/>
    <w:rsid w:val="00795B6A"/>
    <w:rsid w:val="00795BFB"/>
    <w:rsid w:val="007A04FA"/>
    <w:rsid w:val="007A1624"/>
    <w:rsid w:val="007A2ABF"/>
    <w:rsid w:val="007A54CF"/>
    <w:rsid w:val="007A5599"/>
    <w:rsid w:val="007A6A5C"/>
    <w:rsid w:val="007A78D6"/>
    <w:rsid w:val="007B001D"/>
    <w:rsid w:val="007B005B"/>
    <w:rsid w:val="007B04CB"/>
    <w:rsid w:val="007B0A4E"/>
    <w:rsid w:val="007B21C8"/>
    <w:rsid w:val="007B2528"/>
    <w:rsid w:val="007C617F"/>
    <w:rsid w:val="007C7355"/>
    <w:rsid w:val="007C7AF7"/>
    <w:rsid w:val="007D1C65"/>
    <w:rsid w:val="007D1CC2"/>
    <w:rsid w:val="007D2A2F"/>
    <w:rsid w:val="007D2E75"/>
    <w:rsid w:val="007D31E0"/>
    <w:rsid w:val="007D3224"/>
    <w:rsid w:val="007D336B"/>
    <w:rsid w:val="007D337E"/>
    <w:rsid w:val="007D43DE"/>
    <w:rsid w:val="007D58E4"/>
    <w:rsid w:val="007D5B17"/>
    <w:rsid w:val="007D63FF"/>
    <w:rsid w:val="007E07AC"/>
    <w:rsid w:val="007E0C35"/>
    <w:rsid w:val="007E458F"/>
    <w:rsid w:val="007E55B8"/>
    <w:rsid w:val="007E601E"/>
    <w:rsid w:val="007E72DF"/>
    <w:rsid w:val="007F04C8"/>
    <w:rsid w:val="007F0FF2"/>
    <w:rsid w:val="007F390C"/>
    <w:rsid w:val="00800BF7"/>
    <w:rsid w:val="00800DC3"/>
    <w:rsid w:val="00801AC6"/>
    <w:rsid w:val="00801F28"/>
    <w:rsid w:val="0080272D"/>
    <w:rsid w:val="00803499"/>
    <w:rsid w:val="008039E9"/>
    <w:rsid w:val="00805205"/>
    <w:rsid w:val="008058F6"/>
    <w:rsid w:val="008062CD"/>
    <w:rsid w:val="008078F9"/>
    <w:rsid w:val="0081111F"/>
    <w:rsid w:val="00812AE1"/>
    <w:rsid w:val="008146D5"/>
    <w:rsid w:val="008148CC"/>
    <w:rsid w:val="00814CEC"/>
    <w:rsid w:val="008174D3"/>
    <w:rsid w:val="00820F61"/>
    <w:rsid w:val="0082104D"/>
    <w:rsid w:val="008211A4"/>
    <w:rsid w:val="008233F8"/>
    <w:rsid w:val="00823D51"/>
    <w:rsid w:val="00826D87"/>
    <w:rsid w:val="00830923"/>
    <w:rsid w:val="008326AB"/>
    <w:rsid w:val="0083324C"/>
    <w:rsid w:val="0083380E"/>
    <w:rsid w:val="0083412E"/>
    <w:rsid w:val="00834F8E"/>
    <w:rsid w:val="008363B7"/>
    <w:rsid w:val="008374D0"/>
    <w:rsid w:val="00840725"/>
    <w:rsid w:val="00841735"/>
    <w:rsid w:val="00841954"/>
    <w:rsid w:val="008419E1"/>
    <w:rsid w:val="00841C21"/>
    <w:rsid w:val="00843746"/>
    <w:rsid w:val="0084557C"/>
    <w:rsid w:val="00846344"/>
    <w:rsid w:val="0084642C"/>
    <w:rsid w:val="00846692"/>
    <w:rsid w:val="008505B9"/>
    <w:rsid w:val="00850762"/>
    <w:rsid w:val="00851448"/>
    <w:rsid w:val="00854309"/>
    <w:rsid w:val="008544CC"/>
    <w:rsid w:val="00854E71"/>
    <w:rsid w:val="0085510C"/>
    <w:rsid w:val="008568DC"/>
    <w:rsid w:val="0086078E"/>
    <w:rsid w:val="008621FD"/>
    <w:rsid w:val="0086440A"/>
    <w:rsid w:val="0086545E"/>
    <w:rsid w:val="008656D1"/>
    <w:rsid w:val="00865C62"/>
    <w:rsid w:val="008667ED"/>
    <w:rsid w:val="0086719C"/>
    <w:rsid w:val="008671C2"/>
    <w:rsid w:val="00873150"/>
    <w:rsid w:val="00873392"/>
    <w:rsid w:val="00874016"/>
    <w:rsid w:val="0087642E"/>
    <w:rsid w:val="0087657D"/>
    <w:rsid w:val="00877C77"/>
    <w:rsid w:val="00877D07"/>
    <w:rsid w:val="00880832"/>
    <w:rsid w:val="00881DFA"/>
    <w:rsid w:val="00882C4A"/>
    <w:rsid w:val="00883A56"/>
    <w:rsid w:val="00883E47"/>
    <w:rsid w:val="008840AA"/>
    <w:rsid w:val="00884A97"/>
    <w:rsid w:val="00886EE1"/>
    <w:rsid w:val="00890A22"/>
    <w:rsid w:val="00893EA3"/>
    <w:rsid w:val="00894D64"/>
    <w:rsid w:val="00895107"/>
    <w:rsid w:val="0089544B"/>
    <w:rsid w:val="008954AA"/>
    <w:rsid w:val="0089727F"/>
    <w:rsid w:val="00897C75"/>
    <w:rsid w:val="008A0A45"/>
    <w:rsid w:val="008A0E7B"/>
    <w:rsid w:val="008A1E0F"/>
    <w:rsid w:val="008A1F38"/>
    <w:rsid w:val="008A26EE"/>
    <w:rsid w:val="008A2DA0"/>
    <w:rsid w:val="008A3715"/>
    <w:rsid w:val="008A3DAF"/>
    <w:rsid w:val="008A452B"/>
    <w:rsid w:val="008A5128"/>
    <w:rsid w:val="008A738D"/>
    <w:rsid w:val="008A7BC4"/>
    <w:rsid w:val="008B0485"/>
    <w:rsid w:val="008B0E5D"/>
    <w:rsid w:val="008B11F8"/>
    <w:rsid w:val="008B128B"/>
    <w:rsid w:val="008B16B3"/>
    <w:rsid w:val="008B2C31"/>
    <w:rsid w:val="008B35A8"/>
    <w:rsid w:val="008B415B"/>
    <w:rsid w:val="008B4B35"/>
    <w:rsid w:val="008B4F1A"/>
    <w:rsid w:val="008B6CE5"/>
    <w:rsid w:val="008C1B94"/>
    <w:rsid w:val="008C2896"/>
    <w:rsid w:val="008D04DD"/>
    <w:rsid w:val="008D14D1"/>
    <w:rsid w:val="008D18E6"/>
    <w:rsid w:val="008D24B8"/>
    <w:rsid w:val="008D2A93"/>
    <w:rsid w:val="008D38DF"/>
    <w:rsid w:val="008D6849"/>
    <w:rsid w:val="008D6A5A"/>
    <w:rsid w:val="008E0D6D"/>
    <w:rsid w:val="008E0E1A"/>
    <w:rsid w:val="008E2B2A"/>
    <w:rsid w:val="008E5740"/>
    <w:rsid w:val="008E5A9F"/>
    <w:rsid w:val="008E7755"/>
    <w:rsid w:val="008F0710"/>
    <w:rsid w:val="008F18AB"/>
    <w:rsid w:val="008F1A8D"/>
    <w:rsid w:val="008F21F6"/>
    <w:rsid w:val="008F38CF"/>
    <w:rsid w:val="008F4E99"/>
    <w:rsid w:val="008F790D"/>
    <w:rsid w:val="008F7DEA"/>
    <w:rsid w:val="00901E56"/>
    <w:rsid w:val="00902875"/>
    <w:rsid w:val="00903C58"/>
    <w:rsid w:val="00907013"/>
    <w:rsid w:val="00907189"/>
    <w:rsid w:val="009076B4"/>
    <w:rsid w:val="00911122"/>
    <w:rsid w:val="00911656"/>
    <w:rsid w:val="00913524"/>
    <w:rsid w:val="0091524A"/>
    <w:rsid w:val="009159B9"/>
    <w:rsid w:val="00916275"/>
    <w:rsid w:val="009177A3"/>
    <w:rsid w:val="00920178"/>
    <w:rsid w:val="009208D2"/>
    <w:rsid w:val="00921267"/>
    <w:rsid w:val="00921895"/>
    <w:rsid w:val="00921B91"/>
    <w:rsid w:val="00921CF1"/>
    <w:rsid w:val="009221E1"/>
    <w:rsid w:val="009246EB"/>
    <w:rsid w:val="009269A6"/>
    <w:rsid w:val="009273A3"/>
    <w:rsid w:val="0093026D"/>
    <w:rsid w:val="009305B2"/>
    <w:rsid w:val="00930B31"/>
    <w:rsid w:val="0093232B"/>
    <w:rsid w:val="00932F07"/>
    <w:rsid w:val="009364E5"/>
    <w:rsid w:val="0093745B"/>
    <w:rsid w:val="009409E1"/>
    <w:rsid w:val="009417D6"/>
    <w:rsid w:val="00941D3F"/>
    <w:rsid w:val="00942419"/>
    <w:rsid w:val="00945715"/>
    <w:rsid w:val="00946D0B"/>
    <w:rsid w:val="00947F5A"/>
    <w:rsid w:val="00951F79"/>
    <w:rsid w:val="00952440"/>
    <w:rsid w:val="0095303A"/>
    <w:rsid w:val="00953FBD"/>
    <w:rsid w:val="00954164"/>
    <w:rsid w:val="009542F7"/>
    <w:rsid w:val="00957B92"/>
    <w:rsid w:val="009632EE"/>
    <w:rsid w:val="00963EBB"/>
    <w:rsid w:val="00965F61"/>
    <w:rsid w:val="009664B3"/>
    <w:rsid w:val="0096658C"/>
    <w:rsid w:val="00966CA8"/>
    <w:rsid w:val="00966F09"/>
    <w:rsid w:val="00967A25"/>
    <w:rsid w:val="00967D8F"/>
    <w:rsid w:val="00971BFA"/>
    <w:rsid w:val="00973840"/>
    <w:rsid w:val="00974FFD"/>
    <w:rsid w:val="00975EDB"/>
    <w:rsid w:val="009763C7"/>
    <w:rsid w:val="00976901"/>
    <w:rsid w:val="009802B3"/>
    <w:rsid w:val="0098394C"/>
    <w:rsid w:val="00984B53"/>
    <w:rsid w:val="009851D8"/>
    <w:rsid w:val="00986A69"/>
    <w:rsid w:val="00986AA1"/>
    <w:rsid w:val="0098706D"/>
    <w:rsid w:val="009871F8"/>
    <w:rsid w:val="009900EE"/>
    <w:rsid w:val="0099264B"/>
    <w:rsid w:val="00992E17"/>
    <w:rsid w:val="009935FB"/>
    <w:rsid w:val="00994621"/>
    <w:rsid w:val="0099606D"/>
    <w:rsid w:val="00996A27"/>
    <w:rsid w:val="00997188"/>
    <w:rsid w:val="00997CC2"/>
    <w:rsid w:val="009A0F0B"/>
    <w:rsid w:val="009A0F14"/>
    <w:rsid w:val="009A1556"/>
    <w:rsid w:val="009A3E1B"/>
    <w:rsid w:val="009A5703"/>
    <w:rsid w:val="009A59BD"/>
    <w:rsid w:val="009A720B"/>
    <w:rsid w:val="009B092B"/>
    <w:rsid w:val="009B28EA"/>
    <w:rsid w:val="009B4CF6"/>
    <w:rsid w:val="009B5A32"/>
    <w:rsid w:val="009B5B01"/>
    <w:rsid w:val="009B6038"/>
    <w:rsid w:val="009B6146"/>
    <w:rsid w:val="009B62AD"/>
    <w:rsid w:val="009B6719"/>
    <w:rsid w:val="009B6906"/>
    <w:rsid w:val="009B7376"/>
    <w:rsid w:val="009BCC3F"/>
    <w:rsid w:val="009C0229"/>
    <w:rsid w:val="009C209F"/>
    <w:rsid w:val="009C20DE"/>
    <w:rsid w:val="009C21F8"/>
    <w:rsid w:val="009C3B99"/>
    <w:rsid w:val="009C5484"/>
    <w:rsid w:val="009C57E2"/>
    <w:rsid w:val="009C5A4D"/>
    <w:rsid w:val="009D0297"/>
    <w:rsid w:val="009D02D6"/>
    <w:rsid w:val="009D0964"/>
    <w:rsid w:val="009D0AF6"/>
    <w:rsid w:val="009D2EC9"/>
    <w:rsid w:val="009D2EF3"/>
    <w:rsid w:val="009D47D0"/>
    <w:rsid w:val="009D61ED"/>
    <w:rsid w:val="009D70CE"/>
    <w:rsid w:val="009E032A"/>
    <w:rsid w:val="009E0DBE"/>
    <w:rsid w:val="009E3480"/>
    <w:rsid w:val="009E3606"/>
    <w:rsid w:val="009E3911"/>
    <w:rsid w:val="009E43E6"/>
    <w:rsid w:val="009E4C05"/>
    <w:rsid w:val="009E5F56"/>
    <w:rsid w:val="009E6611"/>
    <w:rsid w:val="009F048B"/>
    <w:rsid w:val="009F0D9A"/>
    <w:rsid w:val="009F45B7"/>
    <w:rsid w:val="009F5267"/>
    <w:rsid w:val="009F572E"/>
    <w:rsid w:val="009F74C4"/>
    <w:rsid w:val="009F78C3"/>
    <w:rsid w:val="00A01416"/>
    <w:rsid w:val="00A0321E"/>
    <w:rsid w:val="00A03236"/>
    <w:rsid w:val="00A0381B"/>
    <w:rsid w:val="00A04DEC"/>
    <w:rsid w:val="00A05048"/>
    <w:rsid w:val="00A11049"/>
    <w:rsid w:val="00A118B0"/>
    <w:rsid w:val="00A11EB4"/>
    <w:rsid w:val="00A125DE"/>
    <w:rsid w:val="00A129E5"/>
    <w:rsid w:val="00A13421"/>
    <w:rsid w:val="00A13E29"/>
    <w:rsid w:val="00A14495"/>
    <w:rsid w:val="00A147D1"/>
    <w:rsid w:val="00A16576"/>
    <w:rsid w:val="00A1702A"/>
    <w:rsid w:val="00A171CF"/>
    <w:rsid w:val="00A17B23"/>
    <w:rsid w:val="00A21CF7"/>
    <w:rsid w:val="00A22713"/>
    <w:rsid w:val="00A250F5"/>
    <w:rsid w:val="00A252AC"/>
    <w:rsid w:val="00A25FD7"/>
    <w:rsid w:val="00A261EC"/>
    <w:rsid w:val="00A27982"/>
    <w:rsid w:val="00A3160F"/>
    <w:rsid w:val="00A31AD1"/>
    <w:rsid w:val="00A31C0A"/>
    <w:rsid w:val="00A3212C"/>
    <w:rsid w:val="00A33177"/>
    <w:rsid w:val="00A337D7"/>
    <w:rsid w:val="00A354D5"/>
    <w:rsid w:val="00A35829"/>
    <w:rsid w:val="00A35B97"/>
    <w:rsid w:val="00A366C7"/>
    <w:rsid w:val="00A36D37"/>
    <w:rsid w:val="00A409E1"/>
    <w:rsid w:val="00A43AFF"/>
    <w:rsid w:val="00A4498B"/>
    <w:rsid w:val="00A45AE1"/>
    <w:rsid w:val="00A50E58"/>
    <w:rsid w:val="00A513FC"/>
    <w:rsid w:val="00A5293C"/>
    <w:rsid w:val="00A53A88"/>
    <w:rsid w:val="00A54473"/>
    <w:rsid w:val="00A56114"/>
    <w:rsid w:val="00A572B7"/>
    <w:rsid w:val="00A57A50"/>
    <w:rsid w:val="00A6346E"/>
    <w:rsid w:val="00A657D1"/>
    <w:rsid w:val="00A660CC"/>
    <w:rsid w:val="00A6610A"/>
    <w:rsid w:val="00A7155A"/>
    <w:rsid w:val="00A72235"/>
    <w:rsid w:val="00A72B18"/>
    <w:rsid w:val="00A72EB8"/>
    <w:rsid w:val="00A73E8C"/>
    <w:rsid w:val="00A75B2F"/>
    <w:rsid w:val="00A7659E"/>
    <w:rsid w:val="00A777EC"/>
    <w:rsid w:val="00A7793A"/>
    <w:rsid w:val="00A77C6C"/>
    <w:rsid w:val="00A808C8"/>
    <w:rsid w:val="00A82818"/>
    <w:rsid w:val="00A83854"/>
    <w:rsid w:val="00A85D08"/>
    <w:rsid w:val="00A87024"/>
    <w:rsid w:val="00A879D3"/>
    <w:rsid w:val="00A90D98"/>
    <w:rsid w:val="00A913F1"/>
    <w:rsid w:val="00A91C7A"/>
    <w:rsid w:val="00A936BE"/>
    <w:rsid w:val="00A93715"/>
    <w:rsid w:val="00A93746"/>
    <w:rsid w:val="00A93C29"/>
    <w:rsid w:val="00A9562B"/>
    <w:rsid w:val="00A96266"/>
    <w:rsid w:val="00A96EBA"/>
    <w:rsid w:val="00A974B8"/>
    <w:rsid w:val="00AA1073"/>
    <w:rsid w:val="00AA1FBA"/>
    <w:rsid w:val="00AA27B0"/>
    <w:rsid w:val="00AA45AF"/>
    <w:rsid w:val="00AA6119"/>
    <w:rsid w:val="00AA66B2"/>
    <w:rsid w:val="00AA6A88"/>
    <w:rsid w:val="00AB13BC"/>
    <w:rsid w:val="00AB1559"/>
    <w:rsid w:val="00AB4A76"/>
    <w:rsid w:val="00AB5871"/>
    <w:rsid w:val="00AB662D"/>
    <w:rsid w:val="00AC12B1"/>
    <w:rsid w:val="00AC249B"/>
    <w:rsid w:val="00AC2ADA"/>
    <w:rsid w:val="00AC5973"/>
    <w:rsid w:val="00AD01E4"/>
    <w:rsid w:val="00AD14CA"/>
    <w:rsid w:val="00AD369B"/>
    <w:rsid w:val="00AE4237"/>
    <w:rsid w:val="00AE5F8E"/>
    <w:rsid w:val="00AE7398"/>
    <w:rsid w:val="00AF0298"/>
    <w:rsid w:val="00AF0358"/>
    <w:rsid w:val="00AF1D01"/>
    <w:rsid w:val="00AF20A1"/>
    <w:rsid w:val="00AF5E1C"/>
    <w:rsid w:val="00AF682B"/>
    <w:rsid w:val="00AF7CBD"/>
    <w:rsid w:val="00B00E37"/>
    <w:rsid w:val="00B00FE4"/>
    <w:rsid w:val="00B012FB"/>
    <w:rsid w:val="00B017AB"/>
    <w:rsid w:val="00B031BD"/>
    <w:rsid w:val="00B0451B"/>
    <w:rsid w:val="00B04F9A"/>
    <w:rsid w:val="00B050BA"/>
    <w:rsid w:val="00B051D8"/>
    <w:rsid w:val="00B0563E"/>
    <w:rsid w:val="00B069E4"/>
    <w:rsid w:val="00B11990"/>
    <w:rsid w:val="00B12818"/>
    <w:rsid w:val="00B12915"/>
    <w:rsid w:val="00B141E7"/>
    <w:rsid w:val="00B14CDD"/>
    <w:rsid w:val="00B15031"/>
    <w:rsid w:val="00B1619C"/>
    <w:rsid w:val="00B16669"/>
    <w:rsid w:val="00B168E1"/>
    <w:rsid w:val="00B17070"/>
    <w:rsid w:val="00B20BAA"/>
    <w:rsid w:val="00B2123C"/>
    <w:rsid w:val="00B213F2"/>
    <w:rsid w:val="00B21582"/>
    <w:rsid w:val="00B22053"/>
    <w:rsid w:val="00B229AE"/>
    <w:rsid w:val="00B22F4F"/>
    <w:rsid w:val="00B306D7"/>
    <w:rsid w:val="00B31C5B"/>
    <w:rsid w:val="00B32CF3"/>
    <w:rsid w:val="00B32E5C"/>
    <w:rsid w:val="00B33CEC"/>
    <w:rsid w:val="00B33E8E"/>
    <w:rsid w:val="00B404D2"/>
    <w:rsid w:val="00B46BCA"/>
    <w:rsid w:val="00B50937"/>
    <w:rsid w:val="00B51E41"/>
    <w:rsid w:val="00B52CC2"/>
    <w:rsid w:val="00B53ABF"/>
    <w:rsid w:val="00B54D44"/>
    <w:rsid w:val="00B60158"/>
    <w:rsid w:val="00B606A2"/>
    <w:rsid w:val="00B60ECA"/>
    <w:rsid w:val="00B612C4"/>
    <w:rsid w:val="00B63A12"/>
    <w:rsid w:val="00B65828"/>
    <w:rsid w:val="00B6595A"/>
    <w:rsid w:val="00B65BAF"/>
    <w:rsid w:val="00B66162"/>
    <w:rsid w:val="00B67034"/>
    <w:rsid w:val="00B6724D"/>
    <w:rsid w:val="00B67FCA"/>
    <w:rsid w:val="00B7425B"/>
    <w:rsid w:val="00B77BD3"/>
    <w:rsid w:val="00B80510"/>
    <w:rsid w:val="00B83992"/>
    <w:rsid w:val="00B8578B"/>
    <w:rsid w:val="00B85F36"/>
    <w:rsid w:val="00B868A2"/>
    <w:rsid w:val="00B86F0B"/>
    <w:rsid w:val="00B87806"/>
    <w:rsid w:val="00B87EC9"/>
    <w:rsid w:val="00B90174"/>
    <w:rsid w:val="00B90E7B"/>
    <w:rsid w:val="00B91141"/>
    <w:rsid w:val="00B92512"/>
    <w:rsid w:val="00B94028"/>
    <w:rsid w:val="00B96102"/>
    <w:rsid w:val="00B97789"/>
    <w:rsid w:val="00B9788F"/>
    <w:rsid w:val="00B97A53"/>
    <w:rsid w:val="00BA0719"/>
    <w:rsid w:val="00BA0B36"/>
    <w:rsid w:val="00BA2676"/>
    <w:rsid w:val="00BA2B65"/>
    <w:rsid w:val="00BA2DAB"/>
    <w:rsid w:val="00BA36A1"/>
    <w:rsid w:val="00BA49A9"/>
    <w:rsid w:val="00BA4FF0"/>
    <w:rsid w:val="00BA5A27"/>
    <w:rsid w:val="00BA5E47"/>
    <w:rsid w:val="00BA783D"/>
    <w:rsid w:val="00BB0F1B"/>
    <w:rsid w:val="00BB36D6"/>
    <w:rsid w:val="00BB4687"/>
    <w:rsid w:val="00BB5A32"/>
    <w:rsid w:val="00BB6E8F"/>
    <w:rsid w:val="00BC3758"/>
    <w:rsid w:val="00BC38FD"/>
    <w:rsid w:val="00BCA391"/>
    <w:rsid w:val="00BD08F6"/>
    <w:rsid w:val="00BD0A30"/>
    <w:rsid w:val="00BD11B5"/>
    <w:rsid w:val="00BD1C99"/>
    <w:rsid w:val="00BD21FA"/>
    <w:rsid w:val="00BD2964"/>
    <w:rsid w:val="00BD2A6B"/>
    <w:rsid w:val="00BD600C"/>
    <w:rsid w:val="00BD75DA"/>
    <w:rsid w:val="00BE199A"/>
    <w:rsid w:val="00BE466D"/>
    <w:rsid w:val="00BE5DDF"/>
    <w:rsid w:val="00BE5FE4"/>
    <w:rsid w:val="00BE631D"/>
    <w:rsid w:val="00BE64A0"/>
    <w:rsid w:val="00BE66D6"/>
    <w:rsid w:val="00BF0A9B"/>
    <w:rsid w:val="00BF1B50"/>
    <w:rsid w:val="00BF2F63"/>
    <w:rsid w:val="00BF4D03"/>
    <w:rsid w:val="00C00D6C"/>
    <w:rsid w:val="00C01043"/>
    <w:rsid w:val="00C0359A"/>
    <w:rsid w:val="00C0434A"/>
    <w:rsid w:val="00C054BC"/>
    <w:rsid w:val="00C060C0"/>
    <w:rsid w:val="00C06E13"/>
    <w:rsid w:val="00C07BB0"/>
    <w:rsid w:val="00C10464"/>
    <w:rsid w:val="00C143F7"/>
    <w:rsid w:val="00C14C5E"/>
    <w:rsid w:val="00C156F3"/>
    <w:rsid w:val="00C16273"/>
    <w:rsid w:val="00C1757B"/>
    <w:rsid w:val="00C1760D"/>
    <w:rsid w:val="00C17897"/>
    <w:rsid w:val="00C21AD5"/>
    <w:rsid w:val="00C2251E"/>
    <w:rsid w:val="00C230CB"/>
    <w:rsid w:val="00C270D7"/>
    <w:rsid w:val="00C27DF0"/>
    <w:rsid w:val="00C31898"/>
    <w:rsid w:val="00C32FBD"/>
    <w:rsid w:val="00C33809"/>
    <w:rsid w:val="00C33F5F"/>
    <w:rsid w:val="00C3491B"/>
    <w:rsid w:val="00C369F9"/>
    <w:rsid w:val="00C3789E"/>
    <w:rsid w:val="00C409D5"/>
    <w:rsid w:val="00C40CC2"/>
    <w:rsid w:val="00C42D86"/>
    <w:rsid w:val="00C43318"/>
    <w:rsid w:val="00C455F0"/>
    <w:rsid w:val="00C47510"/>
    <w:rsid w:val="00C52178"/>
    <w:rsid w:val="00C52C13"/>
    <w:rsid w:val="00C535CA"/>
    <w:rsid w:val="00C54862"/>
    <w:rsid w:val="00C6049E"/>
    <w:rsid w:val="00C6234B"/>
    <w:rsid w:val="00C6300C"/>
    <w:rsid w:val="00C63EAE"/>
    <w:rsid w:val="00C64263"/>
    <w:rsid w:val="00C65126"/>
    <w:rsid w:val="00C67594"/>
    <w:rsid w:val="00C67BD3"/>
    <w:rsid w:val="00C67E29"/>
    <w:rsid w:val="00C726ED"/>
    <w:rsid w:val="00C73359"/>
    <w:rsid w:val="00C747BB"/>
    <w:rsid w:val="00C74E84"/>
    <w:rsid w:val="00C753EA"/>
    <w:rsid w:val="00C76004"/>
    <w:rsid w:val="00C7629F"/>
    <w:rsid w:val="00C768DA"/>
    <w:rsid w:val="00C76CD4"/>
    <w:rsid w:val="00C77D37"/>
    <w:rsid w:val="00C805CB"/>
    <w:rsid w:val="00C81620"/>
    <w:rsid w:val="00C8181C"/>
    <w:rsid w:val="00C8322D"/>
    <w:rsid w:val="00C83821"/>
    <w:rsid w:val="00C84812"/>
    <w:rsid w:val="00C8661B"/>
    <w:rsid w:val="00C873D6"/>
    <w:rsid w:val="00C87CFD"/>
    <w:rsid w:val="00C93A1A"/>
    <w:rsid w:val="00C93D0A"/>
    <w:rsid w:val="00C93DF5"/>
    <w:rsid w:val="00C9468B"/>
    <w:rsid w:val="00C94CE2"/>
    <w:rsid w:val="00C94F1A"/>
    <w:rsid w:val="00C958E7"/>
    <w:rsid w:val="00C964B0"/>
    <w:rsid w:val="00CA0209"/>
    <w:rsid w:val="00CA04B7"/>
    <w:rsid w:val="00CA04E8"/>
    <w:rsid w:val="00CA10DA"/>
    <w:rsid w:val="00CA1D22"/>
    <w:rsid w:val="00CA28A5"/>
    <w:rsid w:val="00CA4AA2"/>
    <w:rsid w:val="00CA5ED8"/>
    <w:rsid w:val="00CA77FB"/>
    <w:rsid w:val="00CA7BD7"/>
    <w:rsid w:val="00CB087A"/>
    <w:rsid w:val="00CB0AB2"/>
    <w:rsid w:val="00CB2DEE"/>
    <w:rsid w:val="00CB3143"/>
    <w:rsid w:val="00CB379B"/>
    <w:rsid w:val="00CB4C66"/>
    <w:rsid w:val="00CB5751"/>
    <w:rsid w:val="00CB5B20"/>
    <w:rsid w:val="00CB5CD7"/>
    <w:rsid w:val="00CB5DD0"/>
    <w:rsid w:val="00CB6ECD"/>
    <w:rsid w:val="00CB7F5E"/>
    <w:rsid w:val="00CC03B7"/>
    <w:rsid w:val="00CC0B82"/>
    <w:rsid w:val="00CC2482"/>
    <w:rsid w:val="00CC2A6F"/>
    <w:rsid w:val="00CC453F"/>
    <w:rsid w:val="00CC4B91"/>
    <w:rsid w:val="00CC4D5E"/>
    <w:rsid w:val="00CC51D4"/>
    <w:rsid w:val="00CC638B"/>
    <w:rsid w:val="00CC65DA"/>
    <w:rsid w:val="00CC6B86"/>
    <w:rsid w:val="00CD0063"/>
    <w:rsid w:val="00CD0B63"/>
    <w:rsid w:val="00CD195F"/>
    <w:rsid w:val="00CD2A4D"/>
    <w:rsid w:val="00CD5970"/>
    <w:rsid w:val="00CE0142"/>
    <w:rsid w:val="00CE020E"/>
    <w:rsid w:val="00CE0998"/>
    <w:rsid w:val="00CE09DF"/>
    <w:rsid w:val="00CE13EF"/>
    <w:rsid w:val="00CE1CA3"/>
    <w:rsid w:val="00CE2F61"/>
    <w:rsid w:val="00CE3B4F"/>
    <w:rsid w:val="00CE6FEE"/>
    <w:rsid w:val="00CF21B9"/>
    <w:rsid w:val="00CF22CD"/>
    <w:rsid w:val="00CF25F2"/>
    <w:rsid w:val="00CF375F"/>
    <w:rsid w:val="00CF403A"/>
    <w:rsid w:val="00CF5CF4"/>
    <w:rsid w:val="00CF62A3"/>
    <w:rsid w:val="00CF6BF9"/>
    <w:rsid w:val="00CF6EFD"/>
    <w:rsid w:val="00CF79A2"/>
    <w:rsid w:val="00CF7EC3"/>
    <w:rsid w:val="00D0056C"/>
    <w:rsid w:val="00D02570"/>
    <w:rsid w:val="00D0258A"/>
    <w:rsid w:val="00D02A10"/>
    <w:rsid w:val="00D032B5"/>
    <w:rsid w:val="00D03800"/>
    <w:rsid w:val="00D045C7"/>
    <w:rsid w:val="00D04EAE"/>
    <w:rsid w:val="00D04F90"/>
    <w:rsid w:val="00D065D3"/>
    <w:rsid w:val="00D06E77"/>
    <w:rsid w:val="00D06FCD"/>
    <w:rsid w:val="00D0765E"/>
    <w:rsid w:val="00D10091"/>
    <w:rsid w:val="00D11908"/>
    <w:rsid w:val="00D11B4E"/>
    <w:rsid w:val="00D127D0"/>
    <w:rsid w:val="00D13138"/>
    <w:rsid w:val="00D13297"/>
    <w:rsid w:val="00D1620A"/>
    <w:rsid w:val="00D1752C"/>
    <w:rsid w:val="00D17FCB"/>
    <w:rsid w:val="00D2185A"/>
    <w:rsid w:val="00D21F3C"/>
    <w:rsid w:val="00D2279B"/>
    <w:rsid w:val="00D22DBE"/>
    <w:rsid w:val="00D23527"/>
    <w:rsid w:val="00D238B3"/>
    <w:rsid w:val="00D24427"/>
    <w:rsid w:val="00D26683"/>
    <w:rsid w:val="00D26AFB"/>
    <w:rsid w:val="00D26B33"/>
    <w:rsid w:val="00D26BBC"/>
    <w:rsid w:val="00D300DD"/>
    <w:rsid w:val="00D30C66"/>
    <w:rsid w:val="00D3145F"/>
    <w:rsid w:val="00D36033"/>
    <w:rsid w:val="00D369C3"/>
    <w:rsid w:val="00D4024D"/>
    <w:rsid w:val="00D41922"/>
    <w:rsid w:val="00D451C0"/>
    <w:rsid w:val="00D45E9A"/>
    <w:rsid w:val="00D464BF"/>
    <w:rsid w:val="00D47DE8"/>
    <w:rsid w:val="00D500C5"/>
    <w:rsid w:val="00D50A58"/>
    <w:rsid w:val="00D52296"/>
    <w:rsid w:val="00D52B00"/>
    <w:rsid w:val="00D52FBD"/>
    <w:rsid w:val="00D53B4F"/>
    <w:rsid w:val="00D53E26"/>
    <w:rsid w:val="00D554A0"/>
    <w:rsid w:val="00D57F49"/>
    <w:rsid w:val="00D6311E"/>
    <w:rsid w:val="00D6752E"/>
    <w:rsid w:val="00D67FF8"/>
    <w:rsid w:val="00D726F0"/>
    <w:rsid w:val="00D728D6"/>
    <w:rsid w:val="00D7748E"/>
    <w:rsid w:val="00D77988"/>
    <w:rsid w:val="00D80949"/>
    <w:rsid w:val="00D80AC5"/>
    <w:rsid w:val="00D80BE3"/>
    <w:rsid w:val="00D80E82"/>
    <w:rsid w:val="00D81F71"/>
    <w:rsid w:val="00D82A48"/>
    <w:rsid w:val="00D82E7F"/>
    <w:rsid w:val="00D83874"/>
    <w:rsid w:val="00D8394C"/>
    <w:rsid w:val="00D83C2C"/>
    <w:rsid w:val="00D8403F"/>
    <w:rsid w:val="00D84855"/>
    <w:rsid w:val="00D8713F"/>
    <w:rsid w:val="00D90497"/>
    <w:rsid w:val="00D9085E"/>
    <w:rsid w:val="00D90B73"/>
    <w:rsid w:val="00D90DCA"/>
    <w:rsid w:val="00D915C5"/>
    <w:rsid w:val="00D93573"/>
    <w:rsid w:val="00D93779"/>
    <w:rsid w:val="00D9407D"/>
    <w:rsid w:val="00D94920"/>
    <w:rsid w:val="00D96F67"/>
    <w:rsid w:val="00D96F6B"/>
    <w:rsid w:val="00D9795B"/>
    <w:rsid w:val="00DA0B6E"/>
    <w:rsid w:val="00DA1407"/>
    <w:rsid w:val="00DA17AA"/>
    <w:rsid w:val="00DA1850"/>
    <w:rsid w:val="00DA1F9B"/>
    <w:rsid w:val="00DA3A45"/>
    <w:rsid w:val="00DA494F"/>
    <w:rsid w:val="00DA5A0E"/>
    <w:rsid w:val="00DA721B"/>
    <w:rsid w:val="00DA79F7"/>
    <w:rsid w:val="00DB0425"/>
    <w:rsid w:val="00DB230D"/>
    <w:rsid w:val="00DB2ABA"/>
    <w:rsid w:val="00DB3870"/>
    <w:rsid w:val="00DB4B44"/>
    <w:rsid w:val="00DB5492"/>
    <w:rsid w:val="00DB559B"/>
    <w:rsid w:val="00DB68ED"/>
    <w:rsid w:val="00DB6D76"/>
    <w:rsid w:val="00DB73DD"/>
    <w:rsid w:val="00DB7CC5"/>
    <w:rsid w:val="00DB7DC3"/>
    <w:rsid w:val="00DC01F9"/>
    <w:rsid w:val="00DC0975"/>
    <w:rsid w:val="00DC1227"/>
    <w:rsid w:val="00DC30AC"/>
    <w:rsid w:val="00DC5DD9"/>
    <w:rsid w:val="00DC6BF6"/>
    <w:rsid w:val="00DC6D5F"/>
    <w:rsid w:val="00DC7233"/>
    <w:rsid w:val="00DD0015"/>
    <w:rsid w:val="00DD1880"/>
    <w:rsid w:val="00DD1B49"/>
    <w:rsid w:val="00DD2CBE"/>
    <w:rsid w:val="00DD38E6"/>
    <w:rsid w:val="00DD4D31"/>
    <w:rsid w:val="00DD4D71"/>
    <w:rsid w:val="00DD4F0E"/>
    <w:rsid w:val="00DD6567"/>
    <w:rsid w:val="00DD7E68"/>
    <w:rsid w:val="00DE056C"/>
    <w:rsid w:val="00DE09CE"/>
    <w:rsid w:val="00DE0C57"/>
    <w:rsid w:val="00DE1462"/>
    <w:rsid w:val="00DE3E92"/>
    <w:rsid w:val="00DE4BF8"/>
    <w:rsid w:val="00DE4C18"/>
    <w:rsid w:val="00DE4FB0"/>
    <w:rsid w:val="00DE6A3B"/>
    <w:rsid w:val="00DF06C5"/>
    <w:rsid w:val="00DF0A30"/>
    <w:rsid w:val="00DF2957"/>
    <w:rsid w:val="00DF5013"/>
    <w:rsid w:val="00DF55E0"/>
    <w:rsid w:val="00DF6BB4"/>
    <w:rsid w:val="00DF763D"/>
    <w:rsid w:val="00DF7A28"/>
    <w:rsid w:val="00E001BD"/>
    <w:rsid w:val="00E00E80"/>
    <w:rsid w:val="00E04C05"/>
    <w:rsid w:val="00E04DD9"/>
    <w:rsid w:val="00E11573"/>
    <w:rsid w:val="00E1243F"/>
    <w:rsid w:val="00E12509"/>
    <w:rsid w:val="00E133A6"/>
    <w:rsid w:val="00E1539D"/>
    <w:rsid w:val="00E1765C"/>
    <w:rsid w:val="00E25B9F"/>
    <w:rsid w:val="00E25C2E"/>
    <w:rsid w:val="00E26D62"/>
    <w:rsid w:val="00E30E34"/>
    <w:rsid w:val="00E30F5F"/>
    <w:rsid w:val="00E3315D"/>
    <w:rsid w:val="00E33A15"/>
    <w:rsid w:val="00E35581"/>
    <w:rsid w:val="00E41921"/>
    <w:rsid w:val="00E42852"/>
    <w:rsid w:val="00E44B45"/>
    <w:rsid w:val="00E4715E"/>
    <w:rsid w:val="00E47C5A"/>
    <w:rsid w:val="00E5157E"/>
    <w:rsid w:val="00E52792"/>
    <w:rsid w:val="00E52A7D"/>
    <w:rsid w:val="00E52BDA"/>
    <w:rsid w:val="00E530FF"/>
    <w:rsid w:val="00E534CF"/>
    <w:rsid w:val="00E54AE6"/>
    <w:rsid w:val="00E54BB6"/>
    <w:rsid w:val="00E56080"/>
    <w:rsid w:val="00E57DE4"/>
    <w:rsid w:val="00E60D28"/>
    <w:rsid w:val="00E61A0F"/>
    <w:rsid w:val="00E62FA5"/>
    <w:rsid w:val="00E63E5A"/>
    <w:rsid w:val="00E6549A"/>
    <w:rsid w:val="00E67571"/>
    <w:rsid w:val="00E67A9F"/>
    <w:rsid w:val="00E701D1"/>
    <w:rsid w:val="00E7168A"/>
    <w:rsid w:val="00E71BAA"/>
    <w:rsid w:val="00E71D32"/>
    <w:rsid w:val="00E751AC"/>
    <w:rsid w:val="00E75E0A"/>
    <w:rsid w:val="00E806A0"/>
    <w:rsid w:val="00E80DC1"/>
    <w:rsid w:val="00E822B5"/>
    <w:rsid w:val="00E84990"/>
    <w:rsid w:val="00E86530"/>
    <w:rsid w:val="00E87470"/>
    <w:rsid w:val="00E91FB2"/>
    <w:rsid w:val="00E929F5"/>
    <w:rsid w:val="00E93A92"/>
    <w:rsid w:val="00E93B9A"/>
    <w:rsid w:val="00E96D4C"/>
    <w:rsid w:val="00E97117"/>
    <w:rsid w:val="00EA0752"/>
    <w:rsid w:val="00EA1B76"/>
    <w:rsid w:val="00EA471F"/>
    <w:rsid w:val="00EA4A44"/>
    <w:rsid w:val="00EA71E8"/>
    <w:rsid w:val="00EB137F"/>
    <w:rsid w:val="00EB373C"/>
    <w:rsid w:val="00EB37BE"/>
    <w:rsid w:val="00EB5BDC"/>
    <w:rsid w:val="00EB5E0B"/>
    <w:rsid w:val="00EB7106"/>
    <w:rsid w:val="00EC248E"/>
    <w:rsid w:val="00EC25D8"/>
    <w:rsid w:val="00EC2917"/>
    <w:rsid w:val="00EC4044"/>
    <w:rsid w:val="00EC4D6D"/>
    <w:rsid w:val="00EC6E44"/>
    <w:rsid w:val="00EC7750"/>
    <w:rsid w:val="00ED13D6"/>
    <w:rsid w:val="00ED2AF3"/>
    <w:rsid w:val="00ED2BE3"/>
    <w:rsid w:val="00ED385B"/>
    <w:rsid w:val="00ED514A"/>
    <w:rsid w:val="00ED55C6"/>
    <w:rsid w:val="00ED6FBF"/>
    <w:rsid w:val="00ED782F"/>
    <w:rsid w:val="00ED7F05"/>
    <w:rsid w:val="00ED7FFB"/>
    <w:rsid w:val="00EE0523"/>
    <w:rsid w:val="00EE1284"/>
    <w:rsid w:val="00EE1EB6"/>
    <w:rsid w:val="00EE21FC"/>
    <w:rsid w:val="00EE2E6E"/>
    <w:rsid w:val="00EE2EFB"/>
    <w:rsid w:val="00EE3D3B"/>
    <w:rsid w:val="00EE3EA3"/>
    <w:rsid w:val="00EE46B6"/>
    <w:rsid w:val="00EE48C6"/>
    <w:rsid w:val="00EE5170"/>
    <w:rsid w:val="00EE77CE"/>
    <w:rsid w:val="00EF0A6B"/>
    <w:rsid w:val="00EF1A72"/>
    <w:rsid w:val="00EF25BC"/>
    <w:rsid w:val="00EF38F6"/>
    <w:rsid w:val="00EF55A4"/>
    <w:rsid w:val="00EF59A6"/>
    <w:rsid w:val="00EF7207"/>
    <w:rsid w:val="00EF751F"/>
    <w:rsid w:val="00EF79B9"/>
    <w:rsid w:val="00F0017D"/>
    <w:rsid w:val="00F01D99"/>
    <w:rsid w:val="00F0393C"/>
    <w:rsid w:val="00F04930"/>
    <w:rsid w:val="00F054F8"/>
    <w:rsid w:val="00F057C7"/>
    <w:rsid w:val="00F05E19"/>
    <w:rsid w:val="00F0759E"/>
    <w:rsid w:val="00F076F4"/>
    <w:rsid w:val="00F077F6"/>
    <w:rsid w:val="00F15DE3"/>
    <w:rsid w:val="00F20106"/>
    <w:rsid w:val="00F20C4E"/>
    <w:rsid w:val="00F212B8"/>
    <w:rsid w:val="00F2456F"/>
    <w:rsid w:val="00F24BC2"/>
    <w:rsid w:val="00F259BF"/>
    <w:rsid w:val="00F268A3"/>
    <w:rsid w:val="00F30DF7"/>
    <w:rsid w:val="00F314C2"/>
    <w:rsid w:val="00F3163A"/>
    <w:rsid w:val="00F33E2F"/>
    <w:rsid w:val="00F33E94"/>
    <w:rsid w:val="00F34157"/>
    <w:rsid w:val="00F402E4"/>
    <w:rsid w:val="00F4135E"/>
    <w:rsid w:val="00F4192E"/>
    <w:rsid w:val="00F41E77"/>
    <w:rsid w:val="00F4201B"/>
    <w:rsid w:val="00F442DD"/>
    <w:rsid w:val="00F46A7B"/>
    <w:rsid w:val="00F47951"/>
    <w:rsid w:val="00F51E3D"/>
    <w:rsid w:val="00F53534"/>
    <w:rsid w:val="00F53D63"/>
    <w:rsid w:val="00F54393"/>
    <w:rsid w:val="00F55B58"/>
    <w:rsid w:val="00F5695C"/>
    <w:rsid w:val="00F5776A"/>
    <w:rsid w:val="00F57E6A"/>
    <w:rsid w:val="00F61A01"/>
    <w:rsid w:val="00F64630"/>
    <w:rsid w:val="00F64A24"/>
    <w:rsid w:val="00F656EA"/>
    <w:rsid w:val="00F65D02"/>
    <w:rsid w:val="00F65E88"/>
    <w:rsid w:val="00F66219"/>
    <w:rsid w:val="00F722CA"/>
    <w:rsid w:val="00F727C7"/>
    <w:rsid w:val="00F7336E"/>
    <w:rsid w:val="00F73531"/>
    <w:rsid w:val="00F743E7"/>
    <w:rsid w:val="00F74864"/>
    <w:rsid w:val="00F767B8"/>
    <w:rsid w:val="00F767CA"/>
    <w:rsid w:val="00F82339"/>
    <w:rsid w:val="00F84530"/>
    <w:rsid w:val="00F85E27"/>
    <w:rsid w:val="00F90FD0"/>
    <w:rsid w:val="00F91D79"/>
    <w:rsid w:val="00F92AAF"/>
    <w:rsid w:val="00F930D4"/>
    <w:rsid w:val="00F94DB6"/>
    <w:rsid w:val="00F94FEB"/>
    <w:rsid w:val="00F96AB7"/>
    <w:rsid w:val="00F96EC0"/>
    <w:rsid w:val="00FA0B92"/>
    <w:rsid w:val="00FA0D66"/>
    <w:rsid w:val="00FA1533"/>
    <w:rsid w:val="00FA2779"/>
    <w:rsid w:val="00FA27A4"/>
    <w:rsid w:val="00FA28B5"/>
    <w:rsid w:val="00FA2E6C"/>
    <w:rsid w:val="00FA3038"/>
    <w:rsid w:val="00FA3575"/>
    <w:rsid w:val="00FB0507"/>
    <w:rsid w:val="00FB087C"/>
    <w:rsid w:val="00FB29DE"/>
    <w:rsid w:val="00FB44F1"/>
    <w:rsid w:val="00FB483F"/>
    <w:rsid w:val="00FB4BFA"/>
    <w:rsid w:val="00FB5427"/>
    <w:rsid w:val="00FB562A"/>
    <w:rsid w:val="00FB65FA"/>
    <w:rsid w:val="00FB75BA"/>
    <w:rsid w:val="00FC0400"/>
    <w:rsid w:val="00FC0DDC"/>
    <w:rsid w:val="00FC1DB8"/>
    <w:rsid w:val="00FC2CF9"/>
    <w:rsid w:val="00FC3A71"/>
    <w:rsid w:val="00FC55A7"/>
    <w:rsid w:val="00FC58EF"/>
    <w:rsid w:val="00FC65B2"/>
    <w:rsid w:val="00FC697D"/>
    <w:rsid w:val="00FD0570"/>
    <w:rsid w:val="00FD1664"/>
    <w:rsid w:val="00FD2225"/>
    <w:rsid w:val="00FD2445"/>
    <w:rsid w:val="00FD39C9"/>
    <w:rsid w:val="00FD3AA8"/>
    <w:rsid w:val="00FD3F8F"/>
    <w:rsid w:val="00FD51AE"/>
    <w:rsid w:val="00FE027C"/>
    <w:rsid w:val="00FE0FDD"/>
    <w:rsid w:val="00FE2EB4"/>
    <w:rsid w:val="00FE553A"/>
    <w:rsid w:val="00FE5B4D"/>
    <w:rsid w:val="00FE714F"/>
    <w:rsid w:val="00FE72A8"/>
    <w:rsid w:val="00FF07FD"/>
    <w:rsid w:val="00FF0C5B"/>
    <w:rsid w:val="00FF28CA"/>
    <w:rsid w:val="00FF355A"/>
    <w:rsid w:val="00FF39C7"/>
    <w:rsid w:val="00FF46BD"/>
    <w:rsid w:val="00FF4A6D"/>
    <w:rsid w:val="00FF54B4"/>
    <w:rsid w:val="00FF7392"/>
    <w:rsid w:val="0149944B"/>
    <w:rsid w:val="0175F223"/>
    <w:rsid w:val="017AD9CE"/>
    <w:rsid w:val="01DB6BF2"/>
    <w:rsid w:val="01F6C700"/>
    <w:rsid w:val="02024D3A"/>
    <w:rsid w:val="02208870"/>
    <w:rsid w:val="028F42C2"/>
    <w:rsid w:val="02AEB07A"/>
    <w:rsid w:val="02EC12A4"/>
    <w:rsid w:val="0323720D"/>
    <w:rsid w:val="033D1F61"/>
    <w:rsid w:val="033D5CFA"/>
    <w:rsid w:val="03694EDD"/>
    <w:rsid w:val="04D2AC29"/>
    <w:rsid w:val="056F3D62"/>
    <w:rsid w:val="061FF0AF"/>
    <w:rsid w:val="063ADDB2"/>
    <w:rsid w:val="06659008"/>
    <w:rsid w:val="070B0DC3"/>
    <w:rsid w:val="080EEE01"/>
    <w:rsid w:val="08E50239"/>
    <w:rsid w:val="092AA4E1"/>
    <w:rsid w:val="0A7C6E0E"/>
    <w:rsid w:val="0AB784B3"/>
    <w:rsid w:val="0ACEF36F"/>
    <w:rsid w:val="0B007F76"/>
    <w:rsid w:val="0B154C9D"/>
    <w:rsid w:val="0B2257E5"/>
    <w:rsid w:val="0B37837F"/>
    <w:rsid w:val="0B701647"/>
    <w:rsid w:val="0BFD7EA7"/>
    <w:rsid w:val="0C87114B"/>
    <w:rsid w:val="0CB80647"/>
    <w:rsid w:val="0D49ED2B"/>
    <w:rsid w:val="0DF78AAA"/>
    <w:rsid w:val="0F1DCE9D"/>
    <w:rsid w:val="0F5FFF54"/>
    <w:rsid w:val="0F6BECC4"/>
    <w:rsid w:val="0FBDB95E"/>
    <w:rsid w:val="1009E29B"/>
    <w:rsid w:val="1142B16A"/>
    <w:rsid w:val="11C5C792"/>
    <w:rsid w:val="11C64239"/>
    <w:rsid w:val="12415E7A"/>
    <w:rsid w:val="12606A16"/>
    <w:rsid w:val="132A1558"/>
    <w:rsid w:val="133E19E5"/>
    <w:rsid w:val="13C5AEC1"/>
    <w:rsid w:val="141FDC96"/>
    <w:rsid w:val="145CEB36"/>
    <w:rsid w:val="14E0C51B"/>
    <w:rsid w:val="14F64947"/>
    <w:rsid w:val="14F9C95A"/>
    <w:rsid w:val="1579DD36"/>
    <w:rsid w:val="15A8D7AD"/>
    <w:rsid w:val="15B0894E"/>
    <w:rsid w:val="1616863F"/>
    <w:rsid w:val="16267E2B"/>
    <w:rsid w:val="16360861"/>
    <w:rsid w:val="167D4769"/>
    <w:rsid w:val="16D69F8B"/>
    <w:rsid w:val="16F8EA70"/>
    <w:rsid w:val="17A621AB"/>
    <w:rsid w:val="17ABD6D7"/>
    <w:rsid w:val="17E529DC"/>
    <w:rsid w:val="18155924"/>
    <w:rsid w:val="1899DA5C"/>
    <w:rsid w:val="18B0E680"/>
    <w:rsid w:val="19203F08"/>
    <w:rsid w:val="19226BF5"/>
    <w:rsid w:val="19B1FD1D"/>
    <w:rsid w:val="1A3426F7"/>
    <w:rsid w:val="1A984C76"/>
    <w:rsid w:val="1AAD2DCF"/>
    <w:rsid w:val="1AAD707B"/>
    <w:rsid w:val="1B4C7859"/>
    <w:rsid w:val="1B50F731"/>
    <w:rsid w:val="1B7FDCC0"/>
    <w:rsid w:val="1B8620D5"/>
    <w:rsid w:val="1BD0EEF4"/>
    <w:rsid w:val="1C039E70"/>
    <w:rsid w:val="1C6F4DF2"/>
    <w:rsid w:val="1C737687"/>
    <w:rsid w:val="1CCF3D46"/>
    <w:rsid w:val="1CE14263"/>
    <w:rsid w:val="1CE98A93"/>
    <w:rsid w:val="1CEB59FD"/>
    <w:rsid w:val="1D42A865"/>
    <w:rsid w:val="1DAA3927"/>
    <w:rsid w:val="1E1BF483"/>
    <w:rsid w:val="1E340775"/>
    <w:rsid w:val="1E3E8AB4"/>
    <w:rsid w:val="1E563460"/>
    <w:rsid w:val="1E5F69D8"/>
    <w:rsid w:val="1F2A5B80"/>
    <w:rsid w:val="1F7EBADD"/>
    <w:rsid w:val="1FA385E9"/>
    <w:rsid w:val="1FA4F8F1"/>
    <w:rsid w:val="1FFB86A6"/>
    <w:rsid w:val="2022E992"/>
    <w:rsid w:val="2063A14E"/>
    <w:rsid w:val="2064CA80"/>
    <w:rsid w:val="20E57A05"/>
    <w:rsid w:val="20F902C9"/>
    <w:rsid w:val="2153C878"/>
    <w:rsid w:val="21636D78"/>
    <w:rsid w:val="219C1393"/>
    <w:rsid w:val="21A2B275"/>
    <w:rsid w:val="21EF084F"/>
    <w:rsid w:val="22C23553"/>
    <w:rsid w:val="231B97AF"/>
    <w:rsid w:val="2353AB15"/>
    <w:rsid w:val="2402705E"/>
    <w:rsid w:val="242827BF"/>
    <w:rsid w:val="243778C2"/>
    <w:rsid w:val="243CBEF9"/>
    <w:rsid w:val="2440FB89"/>
    <w:rsid w:val="24E434EC"/>
    <w:rsid w:val="250839BB"/>
    <w:rsid w:val="253C1A69"/>
    <w:rsid w:val="254D034A"/>
    <w:rsid w:val="262983D0"/>
    <w:rsid w:val="264BB1BD"/>
    <w:rsid w:val="267DCE81"/>
    <w:rsid w:val="274C828A"/>
    <w:rsid w:val="27AFF5DD"/>
    <w:rsid w:val="27EB6147"/>
    <w:rsid w:val="2956278F"/>
    <w:rsid w:val="2A299A80"/>
    <w:rsid w:val="2A946A12"/>
    <w:rsid w:val="2B3B2DC5"/>
    <w:rsid w:val="2B43C291"/>
    <w:rsid w:val="2BBBDAF7"/>
    <w:rsid w:val="2BE60576"/>
    <w:rsid w:val="2C14D56A"/>
    <w:rsid w:val="2C5CE9BC"/>
    <w:rsid w:val="2C7DE8A1"/>
    <w:rsid w:val="2C8D86E6"/>
    <w:rsid w:val="2CB402D5"/>
    <w:rsid w:val="2E0A12F9"/>
    <w:rsid w:val="2E182E5C"/>
    <w:rsid w:val="2F5297C4"/>
    <w:rsid w:val="2F887E0A"/>
    <w:rsid w:val="300A8D70"/>
    <w:rsid w:val="30C8495F"/>
    <w:rsid w:val="310219A4"/>
    <w:rsid w:val="316AE7FF"/>
    <w:rsid w:val="31899AAA"/>
    <w:rsid w:val="321F10D8"/>
    <w:rsid w:val="329DEA05"/>
    <w:rsid w:val="32B50E64"/>
    <w:rsid w:val="3386C07A"/>
    <w:rsid w:val="33FF6226"/>
    <w:rsid w:val="347902DF"/>
    <w:rsid w:val="3563C1D6"/>
    <w:rsid w:val="364EB333"/>
    <w:rsid w:val="36A70DC2"/>
    <w:rsid w:val="36C45465"/>
    <w:rsid w:val="377C3D08"/>
    <w:rsid w:val="3799B39D"/>
    <w:rsid w:val="37AC4F6A"/>
    <w:rsid w:val="37B5FC8A"/>
    <w:rsid w:val="37D0B4F0"/>
    <w:rsid w:val="37F19E6C"/>
    <w:rsid w:val="3816D8E0"/>
    <w:rsid w:val="39ABA023"/>
    <w:rsid w:val="39F023DB"/>
    <w:rsid w:val="39FB74F3"/>
    <w:rsid w:val="3A09D723"/>
    <w:rsid w:val="3A0A09F4"/>
    <w:rsid w:val="3A366E27"/>
    <w:rsid w:val="3AA8FBE7"/>
    <w:rsid w:val="3AC79087"/>
    <w:rsid w:val="3B19BA55"/>
    <w:rsid w:val="3B5B041F"/>
    <w:rsid w:val="3B7AA027"/>
    <w:rsid w:val="3BE252DA"/>
    <w:rsid w:val="3C1E7076"/>
    <w:rsid w:val="3C34DF67"/>
    <w:rsid w:val="3C5434CD"/>
    <w:rsid w:val="3CC16FCB"/>
    <w:rsid w:val="3D14488D"/>
    <w:rsid w:val="3D2D6F25"/>
    <w:rsid w:val="3DBE29D3"/>
    <w:rsid w:val="3DEFCCC4"/>
    <w:rsid w:val="3E369421"/>
    <w:rsid w:val="3EEAB296"/>
    <w:rsid w:val="3F4416EF"/>
    <w:rsid w:val="3F8FD9ED"/>
    <w:rsid w:val="3FA1F893"/>
    <w:rsid w:val="3FA2A4B5"/>
    <w:rsid w:val="3FC163F9"/>
    <w:rsid w:val="4033586A"/>
    <w:rsid w:val="406B7B40"/>
    <w:rsid w:val="411EAC4A"/>
    <w:rsid w:val="413CAC12"/>
    <w:rsid w:val="41B67128"/>
    <w:rsid w:val="41D597AA"/>
    <w:rsid w:val="41E0DF06"/>
    <w:rsid w:val="422070F5"/>
    <w:rsid w:val="425E22B0"/>
    <w:rsid w:val="42E073D6"/>
    <w:rsid w:val="42E22A26"/>
    <w:rsid w:val="431F7024"/>
    <w:rsid w:val="43B6E087"/>
    <w:rsid w:val="440C2FB1"/>
    <w:rsid w:val="455FB136"/>
    <w:rsid w:val="45B31ACB"/>
    <w:rsid w:val="45DC7629"/>
    <w:rsid w:val="461AA549"/>
    <w:rsid w:val="463AAC8C"/>
    <w:rsid w:val="466E3B9C"/>
    <w:rsid w:val="468FEE61"/>
    <w:rsid w:val="4753719A"/>
    <w:rsid w:val="48A849A1"/>
    <w:rsid w:val="48CF1223"/>
    <w:rsid w:val="49459DC0"/>
    <w:rsid w:val="49CDD325"/>
    <w:rsid w:val="4A3FAA26"/>
    <w:rsid w:val="4A4D2A4A"/>
    <w:rsid w:val="4B49AAC8"/>
    <w:rsid w:val="4B8CD58E"/>
    <w:rsid w:val="4BB9E8FB"/>
    <w:rsid w:val="4CAD4E5A"/>
    <w:rsid w:val="4CB8FA72"/>
    <w:rsid w:val="4DC0A776"/>
    <w:rsid w:val="4E6369B0"/>
    <w:rsid w:val="4E9CDD41"/>
    <w:rsid w:val="4F4438E5"/>
    <w:rsid w:val="51140994"/>
    <w:rsid w:val="5124C42D"/>
    <w:rsid w:val="5153F6A0"/>
    <w:rsid w:val="518C55CE"/>
    <w:rsid w:val="51BF06EB"/>
    <w:rsid w:val="51C2DA0E"/>
    <w:rsid w:val="524799C6"/>
    <w:rsid w:val="524BFA5B"/>
    <w:rsid w:val="52566F9B"/>
    <w:rsid w:val="52BC69CF"/>
    <w:rsid w:val="52C1070D"/>
    <w:rsid w:val="52EF09DA"/>
    <w:rsid w:val="52FA1BC5"/>
    <w:rsid w:val="53240B4F"/>
    <w:rsid w:val="5327C2D8"/>
    <w:rsid w:val="5364FA55"/>
    <w:rsid w:val="53D99B9B"/>
    <w:rsid w:val="544A2A6B"/>
    <w:rsid w:val="54CF66A8"/>
    <w:rsid w:val="54DBB0B1"/>
    <w:rsid w:val="54FD776E"/>
    <w:rsid w:val="55431BBA"/>
    <w:rsid w:val="55D06AD5"/>
    <w:rsid w:val="5682232E"/>
    <w:rsid w:val="56DB4ACF"/>
    <w:rsid w:val="57317078"/>
    <w:rsid w:val="576564A6"/>
    <w:rsid w:val="57CDC30C"/>
    <w:rsid w:val="57DE74BE"/>
    <w:rsid w:val="580BC606"/>
    <w:rsid w:val="5846B796"/>
    <w:rsid w:val="588C08EC"/>
    <w:rsid w:val="58A10CAC"/>
    <w:rsid w:val="58C36909"/>
    <w:rsid w:val="58EA5A2E"/>
    <w:rsid w:val="596D94A3"/>
    <w:rsid w:val="59A33A83"/>
    <w:rsid w:val="59D41303"/>
    <w:rsid w:val="59EB09A1"/>
    <w:rsid w:val="5A56793C"/>
    <w:rsid w:val="5A6A0DA0"/>
    <w:rsid w:val="5AAF048F"/>
    <w:rsid w:val="5ACADB29"/>
    <w:rsid w:val="5B05CDCD"/>
    <w:rsid w:val="5B19BB3C"/>
    <w:rsid w:val="5B345FB9"/>
    <w:rsid w:val="5B34E410"/>
    <w:rsid w:val="5BADA287"/>
    <w:rsid w:val="5C149C76"/>
    <w:rsid w:val="5CCAAA39"/>
    <w:rsid w:val="5CF475F5"/>
    <w:rsid w:val="5D4064C5"/>
    <w:rsid w:val="5DB61AFF"/>
    <w:rsid w:val="5DF12C2D"/>
    <w:rsid w:val="5EF1503C"/>
    <w:rsid w:val="5F0046B1"/>
    <w:rsid w:val="5F19FA90"/>
    <w:rsid w:val="5F40414A"/>
    <w:rsid w:val="5F8FF1E3"/>
    <w:rsid w:val="5FD5A312"/>
    <w:rsid w:val="602C3030"/>
    <w:rsid w:val="607B2FD8"/>
    <w:rsid w:val="60BC441C"/>
    <w:rsid w:val="6100B41A"/>
    <w:rsid w:val="617E55F3"/>
    <w:rsid w:val="61DEBC8B"/>
    <w:rsid w:val="61EB2B63"/>
    <w:rsid w:val="622408CE"/>
    <w:rsid w:val="626D39F2"/>
    <w:rsid w:val="6470C251"/>
    <w:rsid w:val="648CF8AF"/>
    <w:rsid w:val="649CA803"/>
    <w:rsid w:val="6591C40B"/>
    <w:rsid w:val="65A2B476"/>
    <w:rsid w:val="66058C5B"/>
    <w:rsid w:val="663EB522"/>
    <w:rsid w:val="66BD5955"/>
    <w:rsid w:val="66ED33CF"/>
    <w:rsid w:val="66F06EDA"/>
    <w:rsid w:val="672E8217"/>
    <w:rsid w:val="67BCB028"/>
    <w:rsid w:val="67E05F43"/>
    <w:rsid w:val="68C0EE36"/>
    <w:rsid w:val="68D4A1F7"/>
    <w:rsid w:val="6946E8B7"/>
    <w:rsid w:val="695368A5"/>
    <w:rsid w:val="69818C94"/>
    <w:rsid w:val="69E637A5"/>
    <w:rsid w:val="6A1483E1"/>
    <w:rsid w:val="6A82C4B4"/>
    <w:rsid w:val="6A841C55"/>
    <w:rsid w:val="6AD91C53"/>
    <w:rsid w:val="6B2FF7AB"/>
    <w:rsid w:val="6B51E536"/>
    <w:rsid w:val="6CD6D925"/>
    <w:rsid w:val="6DDA36B1"/>
    <w:rsid w:val="6E0585B9"/>
    <w:rsid w:val="6E2CD343"/>
    <w:rsid w:val="6E821124"/>
    <w:rsid w:val="6EB220E4"/>
    <w:rsid w:val="6F149CD7"/>
    <w:rsid w:val="6F38E699"/>
    <w:rsid w:val="6F4FAED1"/>
    <w:rsid w:val="7034E93B"/>
    <w:rsid w:val="703C66B7"/>
    <w:rsid w:val="7051D6E7"/>
    <w:rsid w:val="70D810F9"/>
    <w:rsid w:val="7160F400"/>
    <w:rsid w:val="71FB1347"/>
    <w:rsid w:val="7220BC0A"/>
    <w:rsid w:val="722FF211"/>
    <w:rsid w:val="72906698"/>
    <w:rsid w:val="729E363E"/>
    <w:rsid w:val="72B3595F"/>
    <w:rsid w:val="72E2700F"/>
    <w:rsid w:val="732E7912"/>
    <w:rsid w:val="7365AB14"/>
    <w:rsid w:val="7392DB67"/>
    <w:rsid w:val="73D52DEB"/>
    <w:rsid w:val="73EE3382"/>
    <w:rsid w:val="740CAD55"/>
    <w:rsid w:val="7411D9D7"/>
    <w:rsid w:val="744B9553"/>
    <w:rsid w:val="744FD75D"/>
    <w:rsid w:val="745D9F10"/>
    <w:rsid w:val="7489175F"/>
    <w:rsid w:val="75382CE5"/>
    <w:rsid w:val="75896558"/>
    <w:rsid w:val="75A87DB6"/>
    <w:rsid w:val="7638B7AB"/>
    <w:rsid w:val="76397092"/>
    <w:rsid w:val="765E1761"/>
    <w:rsid w:val="76720E7F"/>
    <w:rsid w:val="768250AF"/>
    <w:rsid w:val="768421F6"/>
    <w:rsid w:val="76D7961C"/>
    <w:rsid w:val="77A01FCB"/>
    <w:rsid w:val="77F71AA0"/>
    <w:rsid w:val="78189F64"/>
    <w:rsid w:val="78C075AF"/>
    <w:rsid w:val="78C33CE6"/>
    <w:rsid w:val="78FB73B9"/>
    <w:rsid w:val="79160D8C"/>
    <w:rsid w:val="792A0C25"/>
    <w:rsid w:val="79EA9326"/>
    <w:rsid w:val="79F0925D"/>
    <w:rsid w:val="79FCF1C2"/>
    <w:rsid w:val="7A20A21D"/>
    <w:rsid w:val="7A60F762"/>
    <w:rsid w:val="7AB75695"/>
    <w:rsid w:val="7B54FBA6"/>
    <w:rsid w:val="7B7DEA6E"/>
    <w:rsid w:val="7B88DA29"/>
    <w:rsid w:val="7BEFDEDF"/>
    <w:rsid w:val="7BF1E163"/>
    <w:rsid w:val="7C7D8B1B"/>
    <w:rsid w:val="7C813EB6"/>
    <w:rsid w:val="7CF14384"/>
    <w:rsid w:val="7D95EE68"/>
    <w:rsid w:val="7DE9483D"/>
    <w:rsid w:val="7DF4B4F2"/>
    <w:rsid w:val="7E638A8F"/>
    <w:rsid w:val="7E6B76F9"/>
    <w:rsid w:val="7EB1E293"/>
    <w:rsid w:val="7EBF5B09"/>
    <w:rsid w:val="7EEC8B5C"/>
    <w:rsid w:val="7F0484C9"/>
    <w:rsid w:val="7FE5367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9DF5728"/>
  <w15:docId w15:val="{CE619A28-D2AB-4BAC-8DEA-1E44E2DBE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s-ES" w:eastAsia="es-ES"/>
    </w:rPr>
  </w:style>
  <w:style w:type="paragraph" w:styleId="Ttulo1">
    <w:name w:val="heading 1"/>
    <w:basedOn w:val="Normal"/>
    <w:next w:val="Normal"/>
    <w:qFormat/>
    <w:pPr>
      <w:keepNext/>
      <w:jc w:val="center"/>
      <w:outlineLvl w:val="0"/>
    </w:pPr>
    <w:rPr>
      <w:rFonts w:ascii="CG Times" w:hAnsi="CG Times"/>
      <w:b/>
      <w:szCs w:val="20"/>
      <w:lang w:val="es-CO"/>
    </w:rPr>
  </w:style>
  <w:style w:type="paragraph" w:styleId="Ttulo3">
    <w:name w:val="heading 3"/>
    <w:basedOn w:val="Normal"/>
    <w:next w:val="Normal"/>
    <w:link w:val="Ttulo3Car"/>
    <w:qFormat/>
    <w:pPr>
      <w:keepNext/>
      <w:jc w:val="center"/>
      <w:outlineLvl w:val="2"/>
    </w:pPr>
    <w:rPr>
      <w:rFonts w:ascii="CG Times" w:hAnsi="CG Times"/>
      <w:b/>
      <w:snapToGrid w:val="0"/>
      <w:color w:val="000000"/>
      <w:szCs w:val="20"/>
      <w:lang w:val="es-ES_tradnl" w:eastAsia="x-none"/>
    </w:rPr>
  </w:style>
  <w:style w:type="paragraph" w:styleId="Ttulo4">
    <w:name w:val="heading 4"/>
    <w:basedOn w:val="Normal"/>
    <w:next w:val="Normal"/>
    <w:link w:val="Ttulo4Car"/>
    <w:qFormat/>
    <w:pPr>
      <w:keepNext/>
      <w:jc w:val="center"/>
      <w:outlineLvl w:val="3"/>
    </w:pPr>
    <w:rPr>
      <w:rFonts w:ascii="Arial" w:hAnsi="Arial"/>
      <w:b/>
      <w:snapToGrid w:val="0"/>
      <w:color w:val="000000"/>
      <w:spacing w:val="20"/>
      <w:sz w:val="20"/>
      <w:szCs w:val="20"/>
      <w:lang w:val="es-ES_tradnl" w:eastAsia="x-none"/>
    </w:rPr>
  </w:style>
  <w:style w:type="paragraph" w:styleId="Ttulo5">
    <w:name w:val="heading 5"/>
    <w:basedOn w:val="Normal"/>
    <w:next w:val="Normal"/>
    <w:link w:val="Ttulo5Car"/>
    <w:qFormat/>
    <w:pPr>
      <w:keepNext/>
      <w:jc w:val="center"/>
      <w:outlineLvl w:val="4"/>
    </w:pPr>
    <w:rPr>
      <w:rFonts w:ascii="Arial" w:hAnsi="Arial"/>
      <w:b/>
      <w:snapToGrid w:val="0"/>
      <w:color w:val="000000"/>
      <w:spacing w:val="20"/>
      <w:sz w:val="28"/>
      <w:szCs w:val="20"/>
      <w:lang w:val="es-ES_tradnl" w:eastAsia="x-none"/>
    </w:rPr>
  </w:style>
  <w:style w:type="paragraph" w:styleId="Ttulo6">
    <w:name w:val="heading 6"/>
    <w:basedOn w:val="Normal"/>
    <w:next w:val="Normal"/>
    <w:link w:val="Ttulo6Car"/>
    <w:uiPriority w:val="9"/>
    <w:semiHidden/>
    <w:unhideWhenUsed/>
    <w:qFormat/>
    <w:rsid w:val="00795BFB"/>
    <w:pPr>
      <w:spacing w:before="240" w:after="60"/>
      <w:outlineLvl w:val="5"/>
    </w:pPr>
    <w:rPr>
      <w:rFonts w:ascii="Calibri" w:hAnsi="Calibri"/>
      <w:b/>
      <w:bCs/>
      <w:sz w:val="22"/>
      <w:szCs w:val="22"/>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rPr>
      <w:rFonts w:ascii="CG Times" w:hAnsi="CG Times"/>
      <w:szCs w:val="20"/>
      <w:lang w:val="es-CO" w:eastAsia="x-none"/>
    </w:rPr>
  </w:style>
  <w:style w:type="paragraph" w:styleId="Piedepgina">
    <w:name w:val="footer"/>
    <w:basedOn w:val="Normal"/>
    <w:semiHidden/>
    <w:pPr>
      <w:tabs>
        <w:tab w:val="center" w:pos="4252"/>
        <w:tab w:val="right" w:pos="8504"/>
      </w:tabs>
    </w:pPr>
  </w:style>
  <w:style w:type="paragraph" w:customStyle="1" w:styleId="Estilo1">
    <w:name w:val="Estilo1"/>
    <w:basedOn w:val="Normal"/>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style>
  <w:style w:type="paragraph" w:styleId="Textoindependiente">
    <w:name w:val="Body Text"/>
    <w:basedOn w:val="Normal"/>
    <w:link w:val="TextoindependienteCar"/>
    <w:semiHidden/>
    <w:pPr>
      <w:jc w:val="center"/>
    </w:pPr>
    <w:rPr>
      <w:rFonts w:ascii="Arial" w:hAnsi="Arial"/>
      <w:b/>
      <w:bCs/>
      <w:lang w:val="x-none" w:eastAsia="x-none"/>
    </w:rPr>
  </w:style>
  <w:style w:type="paragraph" w:styleId="Textoindependiente3">
    <w:name w:val="Body Text 3"/>
    <w:basedOn w:val="Normal"/>
    <w:link w:val="Textoindependiente3Car"/>
    <w:semiHidden/>
    <w:pPr>
      <w:jc w:val="center"/>
      <w:outlineLvl w:val="0"/>
    </w:pPr>
    <w:rPr>
      <w:rFonts w:ascii="Arial" w:hAnsi="Arial"/>
      <w:b/>
      <w:bCs/>
      <w:spacing w:val="-3"/>
      <w:lang w:val="x-none" w:eastAsia="x-none"/>
    </w:rPr>
  </w:style>
  <w:style w:type="paragraph" w:styleId="Textodeglobo">
    <w:name w:val="Balloon Text"/>
    <w:basedOn w:val="Normal"/>
    <w:link w:val="TextodegloboCar"/>
    <w:semiHidden/>
    <w:unhideWhenUsed/>
    <w:rsid w:val="00725FA4"/>
    <w:rPr>
      <w:rFonts w:ascii="Tahoma" w:hAnsi="Tahoma"/>
      <w:sz w:val="16"/>
      <w:szCs w:val="16"/>
      <w:lang w:val="x-none" w:eastAsia="x-none"/>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uiPriority w:val="9"/>
    <w:semiHidden/>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b/>
      <w:bCs/>
      <w:lang w:val="x-none" w:eastAsia="x-none"/>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eastAsia="x-none"/>
    </w:rPr>
  </w:style>
  <w:style w:type="character" w:customStyle="1" w:styleId="PrrafodelistaCar">
    <w:name w:val="Párrafo de lista Car"/>
    <w:link w:val="Prrafodelista"/>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semiHidden/>
    <w:rsid w:val="00D03800"/>
    <w:pPr>
      <w:suppressAutoHyphens/>
      <w:spacing w:after="240"/>
      <w:ind w:left="567" w:right="788"/>
      <w:jc w:val="both"/>
    </w:pPr>
    <w:rPr>
      <w:rFonts w:ascii="Arial" w:hAnsi="Arial"/>
      <w:spacing w:val="-3"/>
      <w:szCs w:val="20"/>
      <w:lang w:val="es-ES_tradnl"/>
    </w:rPr>
  </w:style>
  <w:style w:type="paragraph" w:styleId="Textoindependiente2">
    <w:name w:val="Body Text 2"/>
    <w:basedOn w:val="Normal"/>
    <w:link w:val="Textoindependiente2Car"/>
    <w:uiPriority w:val="99"/>
    <w:unhideWhenUsed/>
    <w:rsid w:val="00DE4BF8"/>
    <w:pPr>
      <w:spacing w:after="120" w:line="480" w:lineRule="auto"/>
    </w:pPr>
    <w:rPr>
      <w:lang w:val="x-none" w:eastAsia="x-none"/>
    </w:rPr>
  </w:style>
  <w:style w:type="character" w:customStyle="1" w:styleId="Textoindependiente2Car">
    <w:name w:val="Texto independiente 2 Car"/>
    <w:link w:val="Textoindependiente2"/>
    <w:uiPriority w:val="99"/>
    <w:rsid w:val="00DE4BF8"/>
    <w:rPr>
      <w:sz w:val="24"/>
      <w:szCs w:val="24"/>
    </w:rPr>
  </w:style>
  <w:style w:type="paragraph" w:customStyle="1" w:styleId="Textoindependiente21">
    <w:name w:val="Texto independiente 21"/>
    <w:basedOn w:val="Normal"/>
    <w:rsid w:val="00DE4BF8"/>
    <w:pPr>
      <w:overflowPunct w:val="0"/>
      <w:autoSpaceDE w:val="0"/>
      <w:autoSpaceDN w:val="0"/>
      <w:adjustRightInd w:val="0"/>
      <w:jc w:val="both"/>
      <w:textAlignment w:val="baseline"/>
    </w:pPr>
    <w:rPr>
      <w:rFonts w:ascii="Arial" w:hAnsi="Arial"/>
      <w:sz w:val="22"/>
      <w:szCs w:val="20"/>
      <w:lang w:val="es-ES_tradnl"/>
    </w:rPr>
  </w:style>
  <w:style w:type="character" w:styleId="Refdecomentario">
    <w:name w:val="annotation reference"/>
    <w:semiHidden/>
    <w:rsid w:val="00404E84"/>
    <w:rPr>
      <w:sz w:val="16"/>
    </w:rPr>
  </w:style>
  <w:style w:type="paragraph" w:styleId="Textocomentario">
    <w:name w:val="annotation text"/>
    <w:basedOn w:val="Normal"/>
    <w:link w:val="TextocomentarioCar"/>
    <w:semiHidden/>
    <w:rsid w:val="00404E84"/>
    <w:rPr>
      <w:rFonts w:ascii="CG Times" w:hAnsi="CG Times"/>
      <w:sz w:val="20"/>
      <w:szCs w:val="20"/>
      <w:lang w:val="x-none"/>
    </w:rPr>
  </w:style>
  <w:style w:type="character" w:customStyle="1" w:styleId="TextocomentarioCar">
    <w:name w:val="Texto comentario Car"/>
    <w:link w:val="Textocomentario"/>
    <w:semiHidden/>
    <w:rsid w:val="00404E84"/>
    <w:rPr>
      <w:rFonts w:ascii="CG Times" w:hAnsi="CG Times"/>
      <w:lang w:eastAsia="es-ES"/>
    </w:rPr>
  </w:style>
  <w:style w:type="paragraph" w:styleId="Asuntodelcomentario">
    <w:name w:val="annotation subject"/>
    <w:basedOn w:val="Textocomentario"/>
    <w:next w:val="Textocomentario"/>
    <w:link w:val="AsuntodelcomentarioCar"/>
    <w:uiPriority w:val="99"/>
    <w:semiHidden/>
    <w:unhideWhenUsed/>
    <w:rsid w:val="00D57F49"/>
    <w:rPr>
      <w:rFonts w:ascii="Times New Roman" w:hAnsi="Times New Roman"/>
      <w:b/>
      <w:bCs/>
      <w:lang w:val="es-ES"/>
    </w:rPr>
  </w:style>
  <w:style w:type="character" w:customStyle="1" w:styleId="AsuntodelcomentarioCar">
    <w:name w:val="Asunto del comentario Car"/>
    <w:link w:val="Asuntodelcomentario"/>
    <w:uiPriority w:val="99"/>
    <w:semiHidden/>
    <w:rsid w:val="00D57F49"/>
    <w:rPr>
      <w:rFonts w:ascii="CG Times" w:hAnsi="CG Times"/>
      <w:b/>
      <w:bCs/>
      <w:lang w:val="es-ES" w:eastAsia="es-ES"/>
    </w:rPr>
  </w:style>
  <w:style w:type="paragraph" w:customStyle="1" w:styleId="Textoindependiente22">
    <w:name w:val="Texto independiente 22"/>
    <w:basedOn w:val="Normal"/>
    <w:rsid w:val="005878BF"/>
    <w:pPr>
      <w:overflowPunct w:val="0"/>
      <w:autoSpaceDE w:val="0"/>
      <w:autoSpaceDN w:val="0"/>
      <w:adjustRightInd w:val="0"/>
      <w:jc w:val="both"/>
      <w:textAlignment w:val="baseline"/>
    </w:pPr>
    <w:rPr>
      <w:rFonts w:ascii="Arial" w:hAnsi="Arial"/>
      <w:sz w:val="22"/>
      <w:szCs w:val="20"/>
      <w:lang w:val="es-ES_tradnl"/>
    </w:rPr>
  </w:style>
  <w:style w:type="paragraph" w:styleId="Textonotapie">
    <w:name w:val="footnote text"/>
    <w:basedOn w:val="Normal"/>
    <w:link w:val="TextonotapieCar"/>
    <w:semiHidden/>
    <w:rsid w:val="007F0FF2"/>
    <w:pPr>
      <w:overflowPunct w:val="0"/>
      <w:autoSpaceDE w:val="0"/>
      <w:autoSpaceDN w:val="0"/>
      <w:adjustRightInd w:val="0"/>
      <w:jc w:val="both"/>
      <w:textAlignment w:val="baseline"/>
    </w:pPr>
    <w:rPr>
      <w:rFonts w:ascii="Arial" w:hAnsi="Arial"/>
      <w:sz w:val="20"/>
      <w:szCs w:val="20"/>
      <w:lang w:val="es-ES_tradnl"/>
    </w:rPr>
  </w:style>
  <w:style w:type="character" w:customStyle="1" w:styleId="TextonotapieCar">
    <w:name w:val="Texto nota pie Car"/>
    <w:link w:val="Textonotapie"/>
    <w:semiHidden/>
    <w:rsid w:val="007F0FF2"/>
    <w:rPr>
      <w:rFonts w:ascii="Arial" w:hAnsi="Arial"/>
      <w:lang w:val="es-ES_tradnl" w:eastAsia="es-ES"/>
    </w:rPr>
  </w:style>
  <w:style w:type="character" w:styleId="Refdenotaalpie">
    <w:name w:val="footnote reference"/>
    <w:semiHidden/>
    <w:rsid w:val="007F0FF2"/>
    <w:rPr>
      <w:vertAlign w:val="superscript"/>
    </w:rPr>
  </w:style>
  <w:style w:type="paragraph" w:styleId="Descripcin">
    <w:name w:val="caption"/>
    <w:basedOn w:val="Normal"/>
    <w:next w:val="Normal"/>
    <w:qFormat/>
    <w:rsid w:val="00B213F2"/>
    <w:pPr>
      <w:overflowPunct w:val="0"/>
      <w:autoSpaceDE w:val="0"/>
      <w:autoSpaceDN w:val="0"/>
      <w:adjustRightInd w:val="0"/>
      <w:spacing w:before="120" w:after="120"/>
      <w:jc w:val="both"/>
      <w:textAlignment w:val="baseline"/>
    </w:pPr>
    <w:rPr>
      <w:rFonts w:ascii="Arial Narrow" w:hAnsi="Arial Narrow"/>
      <w:b/>
      <w:bCs/>
      <w:sz w:val="20"/>
      <w:szCs w:val="20"/>
      <w:lang w:val="es-ES_tradnl"/>
    </w:rPr>
  </w:style>
  <w:style w:type="character" w:customStyle="1" w:styleId="CharStyle9">
    <w:name w:val="Char Style 9"/>
    <w:link w:val="Style2"/>
    <w:uiPriority w:val="99"/>
    <w:locked/>
    <w:rsid w:val="00270541"/>
    <w:rPr>
      <w:rFonts w:ascii="Arial" w:hAnsi="Arial" w:cs="Arial"/>
      <w:sz w:val="14"/>
      <w:szCs w:val="14"/>
      <w:shd w:val="clear" w:color="auto" w:fill="FFFFFF"/>
      <w:lang w:val="es-ES"/>
    </w:rPr>
  </w:style>
  <w:style w:type="paragraph" w:customStyle="1" w:styleId="Style2">
    <w:name w:val="Style 2"/>
    <w:basedOn w:val="Normal"/>
    <w:link w:val="CharStyle9"/>
    <w:uiPriority w:val="99"/>
    <w:rsid w:val="00270541"/>
    <w:pPr>
      <w:widowControl w:val="0"/>
      <w:shd w:val="clear" w:color="auto" w:fill="FFFFFF"/>
      <w:spacing w:before="120" w:line="240" w:lineRule="atLeast"/>
      <w:ind w:hanging="1420"/>
    </w:pPr>
    <w:rPr>
      <w:rFonts w:ascii="Arial" w:hAnsi="Arial" w:cs="Arial"/>
      <w:sz w:val="14"/>
      <w:szCs w:val="14"/>
      <w:lang w:eastAsia="es-CO"/>
    </w:rPr>
  </w:style>
  <w:style w:type="paragraph" w:styleId="NormalWeb">
    <w:name w:val="Normal (Web)"/>
    <w:basedOn w:val="Normal"/>
    <w:uiPriority w:val="99"/>
    <w:rsid w:val="0047432C"/>
    <w:pPr>
      <w:jc w:val="both"/>
    </w:pPr>
    <w:rPr>
      <w:spacing w:val="-5"/>
      <w:lang w:val="es-CO" w:eastAsia="en-US"/>
    </w:rPr>
  </w:style>
  <w:style w:type="paragraph" w:customStyle="1" w:styleId="Default">
    <w:name w:val="Default"/>
    <w:rsid w:val="0047432C"/>
    <w:pPr>
      <w:autoSpaceDE w:val="0"/>
      <w:autoSpaceDN w:val="0"/>
      <w:adjustRightInd w:val="0"/>
    </w:pPr>
    <w:rPr>
      <w:rFonts w:ascii="Arial" w:eastAsia="SimSun" w:hAnsi="Arial" w:cs="Arial"/>
      <w:color w:val="000000"/>
      <w:sz w:val="24"/>
      <w:szCs w:val="24"/>
    </w:rPr>
  </w:style>
  <w:style w:type="paragraph" w:customStyle="1" w:styleId="xl27">
    <w:name w:val="xl27"/>
    <w:basedOn w:val="Normal"/>
    <w:rsid w:val="00D02A10"/>
    <w:pPr>
      <w:spacing w:before="100" w:after="100"/>
      <w:jc w:val="both"/>
    </w:pPr>
    <w:rPr>
      <w:rFonts w:ascii="Bookman Old Style" w:eastAsia="Arial Unicode MS" w:hAnsi="Bookman Old Style"/>
      <w:szCs w:val="20"/>
    </w:rPr>
  </w:style>
  <w:style w:type="character" w:customStyle="1" w:styleId="apple-converted-space">
    <w:name w:val="apple-converted-space"/>
    <w:basedOn w:val="Fuentedeprrafopredeter"/>
    <w:rsid w:val="00CE09DF"/>
  </w:style>
  <w:style w:type="character" w:styleId="Textodelmarcadordeposicin">
    <w:name w:val="Placeholder Text"/>
    <w:basedOn w:val="Fuentedeprrafopredeter"/>
    <w:uiPriority w:val="99"/>
    <w:semiHidden/>
    <w:rsid w:val="00AF1D01"/>
    <w:rPr>
      <w:color w:val="808080"/>
    </w:rPr>
  </w:style>
  <w:style w:type="paragraph" w:customStyle="1" w:styleId="Pliego-Normal">
    <w:name w:val="Pliego-Normal"/>
    <w:basedOn w:val="Normal"/>
    <w:rsid w:val="007D3224"/>
    <w:pPr>
      <w:widowControl w:val="0"/>
      <w:adjustRightInd w:val="0"/>
      <w:spacing w:line="360" w:lineRule="atLeast"/>
      <w:jc w:val="both"/>
      <w:textAlignment w:val="baseline"/>
    </w:pPr>
    <w:rPr>
      <w:rFonts w:ascii="Garamond" w:hAnsi="Garamond"/>
      <w:bCs/>
      <w:sz w:val="22"/>
      <w:szCs w:val="20"/>
      <w:lang w:val="es-ES_tradnl"/>
    </w:rPr>
  </w:style>
  <w:style w:type="paragraph" w:styleId="Revisin">
    <w:name w:val="Revision"/>
    <w:hidden/>
    <w:uiPriority w:val="99"/>
    <w:semiHidden/>
    <w:rsid w:val="005E673E"/>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94810">
      <w:bodyDiv w:val="1"/>
      <w:marLeft w:val="0"/>
      <w:marRight w:val="0"/>
      <w:marTop w:val="0"/>
      <w:marBottom w:val="0"/>
      <w:divBdr>
        <w:top w:val="none" w:sz="0" w:space="0" w:color="auto"/>
        <w:left w:val="none" w:sz="0" w:space="0" w:color="auto"/>
        <w:bottom w:val="none" w:sz="0" w:space="0" w:color="auto"/>
        <w:right w:val="none" w:sz="0" w:space="0" w:color="auto"/>
      </w:divBdr>
    </w:div>
    <w:div w:id="177087638">
      <w:bodyDiv w:val="1"/>
      <w:marLeft w:val="0"/>
      <w:marRight w:val="0"/>
      <w:marTop w:val="0"/>
      <w:marBottom w:val="0"/>
      <w:divBdr>
        <w:top w:val="none" w:sz="0" w:space="0" w:color="auto"/>
        <w:left w:val="none" w:sz="0" w:space="0" w:color="auto"/>
        <w:bottom w:val="none" w:sz="0" w:space="0" w:color="auto"/>
        <w:right w:val="none" w:sz="0" w:space="0" w:color="auto"/>
      </w:divBdr>
      <w:divsChild>
        <w:div w:id="375012877">
          <w:marLeft w:val="0"/>
          <w:marRight w:val="0"/>
          <w:marTop w:val="0"/>
          <w:marBottom w:val="0"/>
          <w:divBdr>
            <w:top w:val="none" w:sz="0" w:space="0" w:color="auto"/>
            <w:left w:val="none" w:sz="0" w:space="0" w:color="auto"/>
            <w:bottom w:val="none" w:sz="0" w:space="0" w:color="auto"/>
            <w:right w:val="none" w:sz="0" w:space="0" w:color="auto"/>
          </w:divBdr>
          <w:divsChild>
            <w:div w:id="1129711777">
              <w:marLeft w:val="0"/>
              <w:marRight w:val="0"/>
              <w:marTop w:val="0"/>
              <w:marBottom w:val="0"/>
              <w:divBdr>
                <w:top w:val="none" w:sz="0" w:space="0" w:color="auto"/>
                <w:left w:val="none" w:sz="0" w:space="0" w:color="auto"/>
                <w:bottom w:val="none" w:sz="0" w:space="0" w:color="auto"/>
                <w:right w:val="none" w:sz="0" w:space="0" w:color="auto"/>
              </w:divBdr>
              <w:divsChild>
                <w:div w:id="66285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822239">
      <w:bodyDiv w:val="1"/>
      <w:marLeft w:val="0"/>
      <w:marRight w:val="0"/>
      <w:marTop w:val="0"/>
      <w:marBottom w:val="0"/>
      <w:divBdr>
        <w:top w:val="none" w:sz="0" w:space="0" w:color="auto"/>
        <w:left w:val="none" w:sz="0" w:space="0" w:color="auto"/>
        <w:bottom w:val="none" w:sz="0" w:space="0" w:color="auto"/>
        <w:right w:val="none" w:sz="0" w:space="0" w:color="auto"/>
      </w:divBdr>
    </w:div>
    <w:div w:id="447430438">
      <w:bodyDiv w:val="1"/>
      <w:marLeft w:val="0"/>
      <w:marRight w:val="0"/>
      <w:marTop w:val="0"/>
      <w:marBottom w:val="0"/>
      <w:divBdr>
        <w:top w:val="none" w:sz="0" w:space="0" w:color="auto"/>
        <w:left w:val="none" w:sz="0" w:space="0" w:color="auto"/>
        <w:bottom w:val="none" w:sz="0" w:space="0" w:color="auto"/>
        <w:right w:val="none" w:sz="0" w:space="0" w:color="auto"/>
      </w:divBdr>
      <w:divsChild>
        <w:div w:id="2781986">
          <w:marLeft w:val="547"/>
          <w:marRight w:val="0"/>
          <w:marTop w:val="0"/>
          <w:marBottom w:val="0"/>
          <w:divBdr>
            <w:top w:val="none" w:sz="0" w:space="0" w:color="auto"/>
            <w:left w:val="none" w:sz="0" w:space="0" w:color="auto"/>
            <w:bottom w:val="none" w:sz="0" w:space="0" w:color="auto"/>
            <w:right w:val="none" w:sz="0" w:space="0" w:color="auto"/>
          </w:divBdr>
        </w:div>
      </w:divsChild>
    </w:div>
    <w:div w:id="487593984">
      <w:bodyDiv w:val="1"/>
      <w:marLeft w:val="0"/>
      <w:marRight w:val="0"/>
      <w:marTop w:val="0"/>
      <w:marBottom w:val="0"/>
      <w:divBdr>
        <w:top w:val="none" w:sz="0" w:space="0" w:color="auto"/>
        <w:left w:val="none" w:sz="0" w:space="0" w:color="auto"/>
        <w:bottom w:val="none" w:sz="0" w:space="0" w:color="auto"/>
        <w:right w:val="none" w:sz="0" w:space="0" w:color="auto"/>
      </w:divBdr>
    </w:div>
    <w:div w:id="710114339">
      <w:bodyDiv w:val="1"/>
      <w:marLeft w:val="0"/>
      <w:marRight w:val="0"/>
      <w:marTop w:val="0"/>
      <w:marBottom w:val="0"/>
      <w:divBdr>
        <w:top w:val="none" w:sz="0" w:space="0" w:color="auto"/>
        <w:left w:val="none" w:sz="0" w:space="0" w:color="auto"/>
        <w:bottom w:val="none" w:sz="0" w:space="0" w:color="auto"/>
        <w:right w:val="none" w:sz="0" w:space="0" w:color="auto"/>
      </w:divBdr>
    </w:div>
    <w:div w:id="804274791">
      <w:bodyDiv w:val="1"/>
      <w:marLeft w:val="0"/>
      <w:marRight w:val="0"/>
      <w:marTop w:val="0"/>
      <w:marBottom w:val="0"/>
      <w:divBdr>
        <w:top w:val="none" w:sz="0" w:space="0" w:color="auto"/>
        <w:left w:val="none" w:sz="0" w:space="0" w:color="auto"/>
        <w:bottom w:val="none" w:sz="0" w:space="0" w:color="auto"/>
        <w:right w:val="none" w:sz="0" w:space="0" w:color="auto"/>
      </w:divBdr>
    </w:div>
    <w:div w:id="836312373">
      <w:bodyDiv w:val="1"/>
      <w:marLeft w:val="0"/>
      <w:marRight w:val="0"/>
      <w:marTop w:val="0"/>
      <w:marBottom w:val="0"/>
      <w:divBdr>
        <w:top w:val="none" w:sz="0" w:space="0" w:color="auto"/>
        <w:left w:val="none" w:sz="0" w:space="0" w:color="auto"/>
        <w:bottom w:val="none" w:sz="0" w:space="0" w:color="auto"/>
        <w:right w:val="none" w:sz="0" w:space="0" w:color="auto"/>
      </w:divBdr>
    </w:div>
    <w:div w:id="937718912">
      <w:bodyDiv w:val="1"/>
      <w:marLeft w:val="0"/>
      <w:marRight w:val="0"/>
      <w:marTop w:val="0"/>
      <w:marBottom w:val="0"/>
      <w:divBdr>
        <w:top w:val="none" w:sz="0" w:space="0" w:color="auto"/>
        <w:left w:val="none" w:sz="0" w:space="0" w:color="auto"/>
        <w:bottom w:val="none" w:sz="0" w:space="0" w:color="auto"/>
        <w:right w:val="none" w:sz="0" w:space="0" w:color="auto"/>
      </w:divBdr>
      <w:divsChild>
        <w:div w:id="1771464202">
          <w:marLeft w:val="547"/>
          <w:marRight w:val="0"/>
          <w:marTop w:val="0"/>
          <w:marBottom w:val="0"/>
          <w:divBdr>
            <w:top w:val="none" w:sz="0" w:space="0" w:color="auto"/>
            <w:left w:val="none" w:sz="0" w:space="0" w:color="auto"/>
            <w:bottom w:val="none" w:sz="0" w:space="0" w:color="auto"/>
            <w:right w:val="none" w:sz="0" w:space="0" w:color="auto"/>
          </w:divBdr>
        </w:div>
      </w:divsChild>
    </w:div>
    <w:div w:id="997342814">
      <w:bodyDiv w:val="1"/>
      <w:marLeft w:val="0"/>
      <w:marRight w:val="0"/>
      <w:marTop w:val="0"/>
      <w:marBottom w:val="0"/>
      <w:divBdr>
        <w:top w:val="none" w:sz="0" w:space="0" w:color="auto"/>
        <w:left w:val="none" w:sz="0" w:space="0" w:color="auto"/>
        <w:bottom w:val="none" w:sz="0" w:space="0" w:color="auto"/>
        <w:right w:val="none" w:sz="0" w:space="0" w:color="auto"/>
      </w:divBdr>
    </w:div>
    <w:div w:id="1040784384">
      <w:bodyDiv w:val="1"/>
      <w:marLeft w:val="0"/>
      <w:marRight w:val="0"/>
      <w:marTop w:val="0"/>
      <w:marBottom w:val="0"/>
      <w:divBdr>
        <w:top w:val="none" w:sz="0" w:space="0" w:color="auto"/>
        <w:left w:val="none" w:sz="0" w:space="0" w:color="auto"/>
        <w:bottom w:val="none" w:sz="0" w:space="0" w:color="auto"/>
        <w:right w:val="none" w:sz="0" w:space="0" w:color="auto"/>
      </w:divBdr>
    </w:div>
    <w:div w:id="1107121285">
      <w:bodyDiv w:val="1"/>
      <w:marLeft w:val="0"/>
      <w:marRight w:val="0"/>
      <w:marTop w:val="0"/>
      <w:marBottom w:val="0"/>
      <w:divBdr>
        <w:top w:val="none" w:sz="0" w:space="0" w:color="auto"/>
        <w:left w:val="none" w:sz="0" w:space="0" w:color="auto"/>
        <w:bottom w:val="none" w:sz="0" w:space="0" w:color="auto"/>
        <w:right w:val="none" w:sz="0" w:space="0" w:color="auto"/>
      </w:divBdr>
    </w:div>
    <w:div w:id="1169566138">
      <w:bodyDiv w:val="1"/>
      <w:marLeft w:val="0"/>
      <w:marRight w:val="0"/>
      <w:marTop w:val="0"/>
      <w:marBottom w:val="0"/>
      <w:divBdr>
        <w:top w:val="none" w:sz="0" w:space="0" w:color="auto"/>
        <w:left w:val="none" w:sz="0" w:space="0" w:color="auto"/>
        <w:bottom w:val="none" w:sz="0" w:space="0" w:color="auto"/>
        <w:right w:val="none" w:sz="0" w:space="0" w:color="auto"/>
      </w:divBdr>
    </w:div>
    <w:div w:id="1236017368">
      <w:bodyDiv w:val="1"/>
      <w:marLeft w:val="0"/>
      <w:marRight w:val="0"/>
      <w:marTop w:val="0"/>
      <w:marBottom w:val="0"/>
      <w:divBdr>
        <w:top w:val="none" w:sz="0" w:space="0" w:color="auto"/>
        <w:left w:val="none" w:sz="0" w:space="0" w:color="auto"/>
        <w:bottom w:val="none" w:sz="0" w:space="0" w:color="auto"/>
        <w:right w:val="none" w:sz="0" w:space="0" w:color="auto"/>
      </w:divBdr>
      <w:divsChild>
        <w:div w:id="1251040164">
          <w:marLeft w:val="547"/>
          <w:marRight w:val="0"/>
          <w:marTop w:val="0"/>
          <w:marBottom w:val="0"/>
          <w:divBdr>
            <w:top w:val="none" w:sz="0" w:space="0" w:color="auto"/>
            <w:left w:val="none" w:sz="0" w:space="0" w:color="auto"/>
            <w:bottom w:val="none" w:sz="0" w:space="0" w:color="auto"/>
            <w:right w:val="none" w:sz="0" w:space="0" w:color="auto"/>
          </w:divBdr>
        </w:div>
      </w:divsChild>
    </w:div>
    <w:div w:id="1236210951">
      <w:bodyDiv w:val="1"/>
      <w:marLeft w:val="0"/>
      <w:marRight w:val="0"/>
      <w:marTop w:val="0"/>
      <w:marBottom w:val="0"/>
      <w:divBdr>
        <w:top w:val="none" w:sz="0" w:space="0" w:color="auto"/>
        <w:left w:val="none" w:sz="0" w:space="0" w:color="auto"/>
        <w:bottom w:val="none" w:sz="0" w:space="0" w:color="auto"/>
        <w:right w:val="none" w:sz="0" w:space="0" w:color="auto"/>
      </w:divBdr>
      <w:divsChild>
        <w:div w:id="336618575">
          <w:marLeft w:val="547"/>
          <w:marRight w:val="0"/>
          <w:marTop w:val="0"/>
          <w:marBottom w:val="0"/>
          <w:divBdr>
            <w:top w:val="none" w:sz="0" w:space="0" w:color="auto"/>
            <w:left w:val="none" w:sz="0" w:space="0" w:color="auto"/>
            <w:bottom w:val="none" w:sz="0" w:space="0" w:color="auto"/>
            <w:right w:val="none" w:sz="0" w:space="0" w:color="auto"/>
          </w:divBdr>
        </w:div>
      </w:divsChild>
    </w:div>
    <w:div w:id="1287076730">
      <w:bodyDiv w:val="1"/>
      <w:marLeft w:val="0"/>
      <w:marRight w:val="0"/>
      <w:marTop w:val="0"/>
      <w:marBottom w:val="0"/>
      <w:divBdr>
        <w:top w:val="none" w:sz="0" w:space="0" w:color="auto"/>
        <w:left w:val="none" w:sz="0" w:space="0" w:color="auto"/>
        <w:bottom w:val="none" w:sz="0" w:space="0" w:color="auto"/>
        <w:right w:val="none" w:sz="0" w:space="0" w:color="auto"/>
      </w:divBdr>
      <w:divsChild>
        <w:div w:id="1677229557">
          <w:marLeft w:val="547"/>
          <w:marRight w:val="0"/>
          <w:marTop w:val="0"/>
          <w:marBottom w:val="0"/>
          <w:divBdr>
            <w:top w:val="none" w:sz="0" w:space="0" w:color="auto"/>
            <w:left w:val="none" w:sz="0" w:space="0" w:color="auto"/>
            <w:bottom w:val="none" w:sz="0" w:space="0" w:color="auto"/>
            <w:right w:val="none" w:sz="0" w:space="0" w:color="auto"/>
          </w:divBdr>
        </w:div>
      </w:divsChild>
    </w:div>
    <w:div w:id="1356736911">
      <w:bodyDiv w:val="1"/>
      <w:marLeft w:val="0"/>
      <w:marRight w:val="0"/>
      <w:marTop w:val="0"/>
      <w:marBottom w:val="0"/>
      <w:divBdr>
        <w:top w:val="none" w:sz="0" w:space="0" w:color="auto"/>
        <w:left w:val="none" w:sz="0" w:space="0" w:color="auto"/>
        <w:bottom w:val="none" w:sz="0" w:space="0" w:color="auto"/>
        <w:right w:val="none" w:sz="0" w:space="0" w:color="auto"/>
      </w:divBdr>
    </w:div>
    <w:div w:id="1563714998">
      <w:bodyDiv w:val="1"/>
      <w:marLeft w:val="0"/>
      <w:marRight w:val="0"/>
      <w:marTop w:val="0"/>
      <w:marBottom w:val="0"/>
      <w:divBdr>
        <w:top w:val="none" w:sz="0" w:space="0" w:color="auto"/>
        <w:left w:val="none" w:sz="0" w:space="0" w:color="auto"/>
        <w:bottom w:val="none" w:sz="0" w:space="0" w:color="auto"/>
        <w:right w:val="none" w:sz="0" w:space="0" w:color="auto"/>
      </w:divBdr>
    </w:div>
    <w:div w:id="1587881030">
      <w:bodyDiv w:val="1"/>
      <w:marLeft w:val="0"/>
      <w:marRight w:val="0"/>
      <w:marTop w:val="0"/>
      <w:marBottom w:val="0"/>
      <w:divBdr>
        <w:top w:val="none" w:sz="0" w:space="0" w:color="auto"/>
        <w:left w:val="none" w:sz="0" w:space="0" w:color="auto"/>
        <w:bottom w:val="none" w:sz="0" w:space="0" w:color="auto"/>
        <w:right w:val="none" w:sz="0" w:space="0" w:color="auto"/>
      </w:divBdr>
      <w:divsChild>
        <w:div w:id="1309751142">
          <w:marLeft w:val="0"/>
          <w:marRight w:val="0"/>
          <w:marTop w:val="0"/>
          <w:marBottom w:val="0"/>
          <w:divBdr>
            <w:top w:val="none" w:sz="0" w:space="0" w:color="auto"/>
            <w:left w:val="none" w:sz="0" w:space="0" w:color="auto"/>
            <w:bottom w:val="none" w:sz="0" w:space="0" w:color="auto"/>
            <w:right w:val="none" w:sz="0" w:space="0" w:color="auto"/>
          </w:divBdr>
          <w:divsChild>
            <w:div w:id="1886716540">
              <w:marLeft w:val="0"/>
              <w:marRight w:val="0"/>
              <w:marTop w:val="0"/>
              <w:marBottom w:val="0"/>
              <w:divBdr>
                <w:top w:val="none" w:sz="0" w:space="0" w:color="auto"/>
                <w:left w:val="none" w:sz="0" w:space="0" w:color="auto"/>
                <w:bottom w:val="none" w:sz="0" w:space="0" w:color="auto"/>
                <w:right w:val="none" w:sz="0" w:space="0" w:color="auto"/>
              </w:divBdr>
              <w:divsChild>
                <w:div w:id="142881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327079">
      <w:bodyDiv w:val="1"/>
      <w:marLeft w:val="0"/>
      <w:marRight w:val="0"/>
      <w:marTop w:val="0"/>
      <w:marBottom w:val="0"/>
      <w:divBdr>
        <w:top w:val="none" w:sz="0" w:space="0" w:color="auto"/>
        <w:left w:val="none" w:sz="0" w:space="0" w:color="auto"/>
        <w:bottom w:val="none" w:sz="0" w:space="0" w:color="auto"/>
        <w:right w:val="none" w:sz="0" w:space="0" w:color="auto"/>
      </w:divBdr>
    </w:div>
    <w:div w:id="1857185876">
      <w:bodyDiv w:val="1"/>
      <w:marLeft w:val="0"/>
      <w:marRight w:val="0"/>
      <w:marTop w:val="0"/>
      <w:marBottom w:val="0"/>
      <w:divBdr>
        <w:top w:val="none" w:sz="0" w:space="0" w:color="auto"/>
        <w:left w:val="none" w:sz="0" w:space="0" w:color="auto"/>
        <w:bottom w:val="none" w:sz="0" w:space="0" w:color="auto"/>
        <w:right w:val="none" w:sz="0" w:space="0" w:color="auto"/>
      </w:divBdr>
    </w:div>
    <w:div w:id="1926651726">
      <w:bodyDiv w:val="1"/>
      <w:marLeft w:val="0"/>
      <w:marRight w:val="0"/>
      <w:marTop w:val="0"/>
      <w:marBottom w:val="0"/>
      <w:divBdr>
        <w:top w:val="none" w:sz="0" w:space="0" w:color="auto"/>
        <w:left w:val="none" w:sz="0" w:space="0" w:color="auto"/>
        <w:bottom w:val="none" w:sz="0" w:space="0" w:color="auto"/>
        <w:right w:val="none" w:sz="0" w:space="0" w:color="auto"/>
      </w:divBdr>
    </w:div>
    <w:div w:id="1950232101">
      <w:bodyDiv w:val="1"/>
      <w:marLeft w:val="0"/>
      <w:marRight w:val="0"/>
      <w:marTop w:val="0"/>
      <w:marBottom w:val="0"/>
      <w:divBdr>
        <w:top w:val="none" w:sz="0" w:space="0" w:color="auto"/>
        <w:left w:val="none" w:sz="0" w:space="0" w:color="auto"/>
        <w:bottom w:val="none" w:sz="0" w:space="0" w:color="auto"/>
        <w:right w:val="none" w:sz="0" w:space="0" w:color="auto"/>
      </w:divBdr>
    </w:div>
    <w:div w:id="207234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lebarragan\plantilla\resolucion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7D4FDF199FE64438732850D4FBE260F" ma:contentTypeVersion="15" ma:contentTypeDescription="Crear nuevo documento." ma:contentTypeScope="" ma:versionID="6b5bdc1cce74b137d2e69d8153d0a8fb">
  <xsd:schema xmlns:xsd="http://www.w3.org/2001/XMLSchema" xmlns:xs="http://www.w3.org/2001/XMLSchema" xmlns:p="http://schemas.microsoft.com/office/2006/metadata/properties" xmlns:ns2="0f90cc45-9d06-4234-8034-eeec6c0c7cc1" xmlns:ns3="309f6219-a73f-4366-a00d-6bacb1e9f8e0" targetNamespace="http://schemas.microsoft.com/office/2006/metadata/properties" ma:root="true" ma:fieldsID="5901425aba8cf683fa08dc6686d9dc6d" ns2:_="" ns3:_="">
    <xsd:import namespace="0f90cc45-9d06-4234-8034-eeec6c0c7cc1"/>
    <xsd:import namespace="309f6219-a73f-4366-a00d-6bacb1e9f8e0"/>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90cc45-9d06-4234-8034-eeec6c0c7c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42cdfcee-ca2d-46b2-8159-5b17d2d80cf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9f6219-a73f-4366-a00d-6bacb1e9f8e0"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element name="TaxCatchAll" ma:index="21" nillable="true" ma:displayName="Taxonomy Catch All Column" ma:hidden="true" ma:list="{6ce1057a-84f0-41ef-9c26-068fafd6c4b9}" ma:internalName="TaxCatchAll" ma:showField="CatchAllData" ma:web="309f6219-a73f-4366-a00d-6bacb1e9f8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f90cc45-9d06-4234-8034-eeec6c0c7cc1">
      <Terms xmlns="http://schemas.microsoft.com/office/infopath/2007/PartnerControls"/>
    </lcf76f155ced4ddcb4097134ff3c332f>
    <TaxCatchAll xmlns="309f6219-a73f-4366-a00d-6bacb1e9f8e0" xsi:nil="true"/>
    <SharedWithUsers xmlns="309f6219-a73f-4366-a00d-6bacb1e9f8e0">
      <UserInfo>
        <DisplayName>Carlos Andres Castellanos Gamboa</DisplayName>
        <AccountId>9</AccountId>
        <AccountType/>
      </UserInfo>
      <UserInfo>
        <DisplayName>Andrea Paola Ahumada Forigua</DisplayName>
        <AccountId>17</AccountId>
        <AccountType/>
      </UserInfo>
      <UserInfo>
        <DisplayName>Juan Carlos Bonilla Borda</DisplayName>
        <AccountId>15</AccountId>
        <AccountType/>
      </UserInfo>
      <UserInfo>
        <DisplayName>Oscar Andres Zabaleta Montenegro</DisplayName>
        <AccountId>18</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1EA291-3B66-445B-BEE7-1A955368F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90cc45-9d06-4234-8034-eeec6c0c7cc1"/>
    <ds:schemaRef ds:uri="309f6219-a73f-4366-a00d-6bacb1e9f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328D52-C6AD-4CC0-A6BB-B54527BD791F}">
  <ds:schemaRefs>
    <ds:schemaRef ds:uri="http://schemas.microsoft.com/sharepoint/v3/contenttype/forms"/>
  </ds:schemaRefs>
</ds:datastoreItem>
</file>

<file path=customXml/itemProps3.xml><?xml version="1.0" encoding="utf-8"?>
<ds:datastoreItem xmlns:ds="http://schemas.openxmlformats.org/officeDocument/2006/customXml" ds:itemID="{5FDE2197-47FA-4565-9BAD-19733390382E}">
  <ds:schemaRefs>
    <ds:schemaRef ds:uri="http://schemas.microsoft.com/office/2006/metadata/properties"/>
    <ds:schemaRef ds:uri="http://schemas.microsoft.com/office/infopath/2007/PartnerControls"/>
    <ds:schemaRef ds:uri="0f90cc45-9d06-4234-8034-eeec6c0c7cc1"/>
    <ds:schemaRef ds:uri="309f6219-a73f-4366-a00d-6bacb1e9f8e0"/>
  </ds:schemaRefs>
</ds:datastoreItem>
</file>

<file path=customXml/itemProps4.xml><?xml version="1.0" encoding="utf-8"?>
<ds:datastoreItem xmlns:ds="http://schemas.openxmlformats.org/officeDocument/2006/customXml" ds:itemID="{F24F77FD-3B86-41F8-A3EA-AD650D786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resoluciones</Template>
  <TotalTime>0</TotalTime>
  <Pages>3</Pages>
  <Words>6308</Words>
  <Characters>34700</Characters>
  <Application>Microsoft Office Word</Application>
  <DocSecurity>0</DocSecurity>
  <Lines>289</Lines>
  <Paragraphs>81</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40927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Ramos;Carlos Castellanos;Andres Hernando Dominguez</dc:creator>
  <cp:keywords/>
  <cp:lastModifiedBy>Luz Stella Rojas Macias</cp:lastModifiedBy>
  <cp:revision>2</cp:revision>
  <cp:lastPrinted>2022-06-01T15:45:00Z</cp:lastPrinted>
  <dcterms:created xsi:type="dcterms:W3CDTF">2022-06-07T19:22:00Z</dcterms:created>
  <dcterms:modified xsi:type="dcterms:W3CDTF">2022-06-07T19:22:00Z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0x010100A7D4FDF199FE64438732850D4FBE260F</vt:lpwstr>
  </property>
  <property fmtid="{D5CDD505-2E9C-101B-9397-08002B2CF9AE}" pid="3" name="MediaServiceImageTags">
    <vt:lpwstr/>
  </property>
</Properties>
</file>