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D34DBB" w:rsidRDefault="00216F39"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9.55pt;width:52.5pt;height:48.75pt;z-index:251660288" fillcolor="#0c9">
            <v:imagedata r:id="rId9" o:title=""/>
          </v:shape>
          <o:OLEObject Type="Embed" ProgID="PBrush" ShapeID="_x0000_s1026" DrawAspect="Content" ObjectID="_1374491517" r:id="rId10"/>
        </w:pict>
      </w:r>
    </w:p>
    <w:p w:rsidR="00E433F6" w:rsidRPr="00D34DBB" w:rsidRDefault="00E433F6" w:rsidP="00E433F6">
      <w:pPr>
        <w:pStyle w:val="Ttulo4"/>
        <w:tabs>
          <w:tab w:val="left" w:pos="0"/>
          <w:tab w:val="right" w:pos="9356"/>
        </w:tabs>
        <w:ind w:left="0"/>
        <w:rPr>
          <w:rFonts w:ascii="Bookman Old Style" w:hAnsi="Bookman Old Style"/>
          <w:b w:val="0"/>
          <w:bCs/>
          <w:noProof/>
          <w:sz w:val="24"/>
          <w:szCs w:val="24"/>
          <w:lang w:val="es-ES"/>
        </w:rPr>
      </w:pPr>
      <w:r w:rsidRPr="00D34DBB">
        <w:rPr>
          <w:rFonts w:ascii="Bookman Old Style" w:hAnsi="Bookman Old Style"/>
          <w:b w:val="0"/>
          <w:bCs/>
          <w:sz w:val="24"/>
          <w:szCs w:val="24"/>
        </w:rPr>
        <w:t>Ministerio de Minas y Energía</w:t>
      </w:r>
    </w:p>
    <w:p w:rsidR="00E433F6" w:rsidRPr="00E20436" w:rsidRDefault="00E433F6" w:rsidP="00E433F6">
      <w:pPr>
        <w:pStyle w:val="Ttulo4"/>
        <w:tabs>
          <w:tab w:val="left" w:pos="0"/>
          <w:tab w:val="right" w:pos="9356"/>
        </w:tabs>
        <w:ind w:left="0"/>
        <w:rPr>
          <w:rFonts w:ascii="Bookman Old Style" w:hAnsi="Bookman Old Style"/>
          <w:b w:val="0"/>
          <w:bCs/>
          <w:sz w:val="24"/>
          <w:szCs w:val="24"/>
          <w:lang w:val="es-ES"/>
        </w:rPr>
      </w:pPr>
    </w:p>
    <w:p w:rsidR="00E433F6" w:rsidRPr="00D34DBB" w:rsidRDefault="00E433F6" w:rsidP="00E433F6">
      <w:pPr>
        <w:pStyle w:val="Ttulo3"/>
        <w:tabs>
          <w:tab w:val="left" w:pos="0"/>
          <w:tab w:val="right" w:pos="9356"/>
        </w:tabs>
        <w:ind w:left="0"/>
        <w:rPr>
          <w:rFonts w:ascii="Bookman Old Style" w:hAnsi="Bookman Old Style" w:cs="Arial"/>
          <w:spacing w:val="20"/>
          <w:szCs w:val="24"/>
        </w:rPr>
      </w:pPr>
      <w:r w:rsidRPr="00D34DBB">
        <w:rPr>
          <w:rFonts w:ascii="Bookman Old Style" w:hAnsi="Bookman Old Style" w:cs="Arial"/>
          <w:spacing w:val="20"/>
          <w:szCs w:val="24"/>
        </w:rPr>
        <w:t>COMISIÓN DE REGULACIÓN DE ENERGÍA Y GAS</w:t>
      </w:r>
    </w:p>
    <w:p w:rsidR="00E433F6" w:rsidRPr="00D34DBB" w:rsidRDefault="00E433F6" w:rsidP="00E433F6">
      <w:pPr>
        <w:pStyle w:val="Ttulo5"/>
        <w:tabs>
          <w:tab w:val="left" w:pos="0"/>
          <w:tab w:val="right" w:pos="9356"/>
        </w:tabs>
        <w:ind w:left="0"/>
        <w:rPr>
          <w:rFonts w:ascii="Bookman Old Style" w:hAnsi="Bookman Old Style"/>
          <w:sz w:val="24"/>
          <w:szCs w:val="24"/>
        </w:rPr>
      </w:pPr>
    </w:p>
    <w:p w:rsidR="00E433F6" w:rsidRPr="00D34DBB" w:rsidRDefault="00E433F6" w:rsidP="00E433F6">
      <w:pPr>
        <w:pStyle w:val="Ttulo5"/>
        <w:tabs>
          <w:tab w:val="left" w:pos="0"/>
          <w:tab w:val="right" w:pos="9356"/>
        </w:tabs>
        <w:ind w:left="0"/>
        <w:rPr>
          <w:rFonts w:ascii="Bookman Old Style" w:hAnsi="Bookman Old Style"/>
          <w:sz w:val="24"/>
          <w:szCs w:val="24"/>
        </w:rPr>
      </w:pPr>
    </w:p>
    <w:p w:rsidR="00E433F6" w:rsidRPr="00D34DBB" w:rsidRDefault="00E433F6" w:rsidP="00E433F6">
      <w:pPr>
        <w:pStyle w:val="Ttulo5"/>
        <w:tabs>
          <w:tab w:val="left" w:pos="0"/>
          <w:tab w:val="right" w:pos="9356"/>
        </w:tabs>
        <w:ind w:left="0"/>
        <w:rPr>
          <w:rFonts w:ascii="Bookman Old Style" w:hAnsi="Bookman Old Style"/>
          <w:sz w:val="24"/>
          <w:szCs w:val="24"/>
        </w:rPr>
      </w:pPr>
      <w:r w:rsidRPr="00D34DBB">
        <w:rPr>
          <w:rFonts w:ascii="Bookman Old Style" w:hAnsi="Bookman Old Style"/>
          <w:sz w:val="24"/>
          <w:szCs w:val="24"/>
        </w:rPr>
        <w:t>RESOLUCIÓN No.                   DE 201</w:t>
      </w:r>
      <w:r w:rsidR="00622E35">
        <w:rPr>
          <w:rFonts w:ascii="Bookman Old Style" w:hAnsi="Bookman Old Style"/>
          <w:sz w:val="24"/>
          <w:szCs w:val="24"/>
        </w:rPr>
        <w:t>1</w:t>
      </w:r>
    </w:p>
    <w:p w:rsidR="00E433F6" w:rsidRPr="00D34DBB"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D34DBB" w:rsidRDefault="00E433F6" w:rsidP="00E433F6">
      <w:pPr>
        <w:pStyle w:val="Ttulo3"/>
        <w:tabs>
          <w:tab w:val="left" w:pos="0"/>
          <w:tab w:val="right" w:pos="9356"/>
        </w:tabs>
        <w:ind w:left="0"/>
        <w:rPr>
          <w:rFonts w:ascii="Bookman Old Style" w:hAnsi="Bookman Old Style"/>
          <w:b w:val="0"/>
          <w:szCs w:val="24"/>
        </w:rPr>
      </w:pPr>
      <w:r w:rsidRPr="00D34DBB">
        <w:rPr>
          <w:rFonts w:ascii="Bookman Old Style" w:hAnsi="Bookman Old Style"/>
          <w:b w:val="0"/>
          <w:szCs w:val="24"/>
        </w:rPr>
        <w:t>(                                  )</w:t>
      </w:r>
    </w:p>
    <w:p w:rsidR="00E433F6" w:rsidRPr="00D34DBB" w:rsidRDefault="00E433F6" w:rsidP="00E433F6">
      <w:pPr>
        <w:tabs>
          <w:tab w:val="left" w:pos="0"/>
          <w:tab w:val="right" w:pos="9356"/>
        </w:tabs>
        <w:ind w:left="0"/>
        <w:jc w:val="center"/>
        <w:rPr>
          <w:rFonts w:ascii="Bookman Old Style" w:hAnsi="Bookman Old Style"/>
          <w:lang w:val="es-ES_tradnl"/>
        </w:rPr>
      </w:pPr>
    </w:p>
    <w:p w:rsidR="008A0C8F" w:rsidRDefault="008A0C8F" w:rsidP="009B125B">
      <w:pPr>
        <w:ind w:left="0"/>
        <w:jc w:val="both"/>
        <w:rPr>
          <w:rFonts w:ascii="Bookman Old Style" w:hAnsi="Bookman Old Style"/>
        </w:rPr>
      </w:pPr>
    </w:p>
    <w:p w:rsidR="008A0C8F" w:rsidRDefault="008A0C8F" w:rsidP="009B125B">
      <w:pPr>
        <w:ind w:left="0"/>
        <w:jc w:val="both"/>
        <w:rPr>
          <w:rFonts w:ascii="Bookman Old Style" w:hAnsi="Bookman Old Style"/>
        </w:rPr>
      </w:pPr>
    </w:p>
    <w:p w:rsidR="009B125B" w:rsidRPr="009B125B" w:rsidRDefault="009B125B" w:rsidP="009B125B">
      <w:pPr>
        <w:ind w:left="0"/>
        <w:jc w:val="both"/>
        <w:rPr>
          <w:rFonts w:ascii="Bookman Old Style" w:hAnsi="Bookman Old Style"/>
        </w:rPr>
      </w:pPr>
      <w:r w:rsidRPr="009B125B">
        <w:rPr>
          <w:rFonts w:ascii="Bookman Old Style" w:hAnsi="Bookman Old Style"/>
        </w:rPr>
        <w:t xml:space="preserve">Por la cual se resuelve el Recurso de Reposición interpuesto por </w:t>
      </w:r>
      <w:r w:rsidR="007776CD">
        <w:rPr>
          <w:rFonts w:ascii="Bookman Old Style" w:hAnsi="Bookman Old Style"/>
        </w:rPr>
        <w:t xml:space="preserve">la </w:t>
      </w:r>
      <w:r w:rsidR="00E11AE6">
        <w:rPr>
          <w:rFonts w:ascii="Bookman Old Style" w:hAnsi="Bookman Old Style"/>
        </w:rPr>
        <w:t>Empresa de Energía de Pereira</w:t>
      </w:r>
      <w:r w:rsidR="00344375">
        <w:rPr>
          <w:rFonts w:ascii="Bookman Old Style" w:hAnsi="Bookman Old Style"/>
        </w:rPr>
        <w:t xml:space="preserve"> S.A E.S.P.</w:t>
      </w:r>
      <w:r w:rsidRPr="009B125B">
        <w:rPr>
          <w:rFonts w:ascii="Bookman Old Style" w:hAnsi="Bookman Old Style"/>
        </w:rPr>
        <w:t xml:space="preserve">, contra la Resolución CREG </w:t>
      </w:r>
      <w:r w:rsidR="00E11AE6">
        <w:rPr>
          <w:rFonts w:ascii="Bookman Old Style" w:hAnsi="Bookman Old Style"/>
        </w:rPr>
        <w:t>034</w:t>
      </w:r>
      <w:r w:rsidRPr="009B125B">
        <w:rPr>
          <w:rFonts w:ascii="Bookman Old Style" w:hAnsi="Bookman Old Style"/>
        </w:rPr>
        <w:t xml:space="preserve"> de 20</w:t>
      </w:r>
      <w:r w:rsidR="005D5727">
        <w:rPr>
          <w:rFonts w:ascii="Bookman Old Style" w:hAnsi="Bookman Old Style"/>
        </w:rPr>
        <w:t>1</w:t>
      </w:r>
      <w:r w:rsidR="00E11AE6">
        <w:rPr>
          <w:rFonts w:ascii="Bookman Old Style" w:hAnsi="Bookman Old Style"/>
        </w:rPr>
        <w:t>1</w:t>
      </w:r>
      <w:r w:rsidRPr="009B125B">
        <w:rPr>
          <w:rFonts w:ascii="Bookman Old Style" w:hAnsi="Bookman Old Style"/>
        </w:rPr>
        <w:t>.</w:t>
      </w:r>
    </w:p>
    <w:p w:rsidR="000339B5" w:rsidRPr="00D2714F" w:rsidRDefault="000339B5" w:rsidP="00DB69FA">
      <w:pPr>
        <w:ind w:left="0"/>
        <w:rPr>
          <w:rFonts w:ascii="Bookman Old Style" w:hAnsi="Bookman Old Style"/>
        </w:rPr>
      </w:pPr>
    </w:p>
    <w:p w:rsidR="000339B5" w:rsidRPr="00D2714F" w:rsidRDefault="000339B5" w:rsidP="00DB69FA">
      <w:pPr>
        <w:ind w:left="0"/>
        <w:rPr>
          <w:rFonts w:ascii="Bookman Old Style" w:hAnsi="Bookman Old Style"/>
        </w:rPr>
      </w:pPr>
    </w:p>
    <w:p w:rsidR="000339B5" w:rsidRPr="00D2714F" w:rsidRDefault="000339B5" w:rsidP="000339B5">
      <w:pPr>
        <w:jc w:val="center"/>
        <w:rPr>
          <w:rFonts w:ascii="Bookman Old Style" w:hAnsi="Bookman Old Style" w:cs="Arial"/>
          <w:b/>
        </w:rPr>
      </w:pPr>
      <w:smartTag w:uri="urn:schemas-microsoft-com:office:smarttags" w:element="PersonName">
        <w:smartTagPr>
          <w:attr w:name="ProductID" w:val="LA COMISIￓN DE"/>
        </w:smartTagPr>
        <w:r w:rsidRPr="00D2714F">
          <w:rPr>
            <w:rFonts w:ascii="Bookman Old Style" w:hAnsi="Bookman Old Style" w:cs="Arial"/>
            <w:b/>
          </w:rPr>
          <w:t>LA COMISIÓN DE</w:t>
        </w:r>
      </w:smartTag>
      <w:r w:rsidRPr="00D2714F">
        <w:rPr>
          <w:rFonts w:ascii="Bookman Old Style" w:hAnsi="Bookman Old Style" w:cs="Arial"/>
          <w:b/>
        </w:rPr>
        <w:t xml:space="preserve"> REGULACIÓN DE ENERGÍA Y GAS</w:t>
      </w:r>
    </w:p>
    <w:p w:rsidR="000339B5" w:rsidRDefault="000339B5" w:rsidP="000339B5">
      <w:pPr>
        <w:jc w:val="center"/>
        <w:rPr>
          <w:rFonts w:ascii="Bookman Old Style" w:hAnsi="Bookman Old Style" w:cs="Arial"/>
        </w:rPr>
      </w:pPr>
    </w:p>
    <w:p w:rsidR="000339B5" w:rsidRPr="00D2714F" w:rsidRDefault="000339B5" w:rsidP="000339B5">
      <w:pPr>
        <w:jc w:val="center"/>
        <w:rPr>
          <w:rFonts w:ascii="Bookman Old Style" w:hAnsi="Bookman Old Style" w:cs="Arial"/>
        </w:rPr>
      </w:pPr>
    </w:p>
    <w:p w:rsidR="000339B5" w:rsidRPr="00D2714F" w:rsidRDefault="009B125B" w:rsidP="009B125B">
      <w:pPr>
        <w:ind w:left="0"/>
        <w:jc w:val="both"/>
        <w:rPr>
          <w:rFonts w:ascii="Bookman Old Style" w:hAnsi="Bookman Old Style"/>
        </w:rPr>
      </w:pPr>
      <w:r w:rsidRPr="009B125B">
        <w:rPr>
          <w:rFonts w:ascii="Bookman Old Style" w:hAnsi="Bookman Old Style"/>
        </w:rPr>
        <w:t>En ejercicio de sus atribuciones constitucionales y legales, en especial las conferidas por las Leyes 142 y 143 de 1994, y en desarrollo de los Decretos 1524 y 2253 de 1994.</w:t>
      </w:r>
    </w:p>
    <w:p w:rsidR="000339B5" w:rsidRDefault="000339B5" w:rsidP="000339B5">
      <w:pPr>
        <w:jc w:val="center"/>
        <w:rPr>
          <w:rFonts w:ascii="Bookman Old Style" w:hAnsi="Bookman Old Style" w:cs="Arial"/>
        </w:rPr>
      </w:pPr>
    </w:p>
    <w:p w:rsidR="00622E35" w:rsidRPr="00D2714F" w:rsidRDefault="00622E35" w:rsidP="000339B5">
      <w:pPr>
        <w:jc w:val="center"/>
        <w:rPr>
          <w:rFonts w:ascii="Bookman Old Style" w:hAnsi="Bookman Old Style" w:cs="Arial"/>
        </w:rPr>
      </w:pPr>
    </w:p>
    <w:p w:rsidR="000339B5" w:rsidRPr="00D2714F" w:rsidRDefault="000339B5" w:rsidP="000339B5">
      <w:pPr>
        <w:jc w:val="center"/>
        <w:rPr>
          <w:rFonts w:ascii="Bookman Old Style" w:hAnsi="Bookman Old Style" w:cs="Arial"/>
          <w:b/>
        </w:rPr>
      </w:pPr>
      <w:r w:rsidRPr="00D2714F">
        <w:rPr>
          <w:rFonts w:ascii="Bookman Old Style" w:hAnsi="Bookman Old Style"/>
          <w:b/>
          <w:spacing w:val="100"/>
        </w:rPr>
        <w:t>CONSIDERANDO</w:t>
      </w:r>
      <w:r w:rsidR="00821375">
        <w:rPr>
          <w:rFonts w:ascii="Bookman Old Style" w:hAnsi="Bookman Old Style"/>
          <w:b/>
          <w:spacing w:val="100"/>
        </w:rPr>
        <w:t xml:space="preserve"> QUE</w:t>
      </w:r>
      <w:r w:rsidRPr="00D2714F">
        <w:rPr>
          <w:rFonts w:ascii="Bookman Old Style" w:hAnsi="Bookman Old Style" w:cs="Arial"/>
          <w:b/>
        </w:rPr>
        <w:t>:</w:t>
      </w:r>
    </w:p>
    <w:p w:rsidR="000339B5" w:rsidRDefault="000339B5" w:rsidP="00DB69FA">
      <w:pPr>
        <w:ind w:left="0"/>
        <w:rPr>
          <w:rFonts w:ascii="Bookman Old Style" w:hAnsi="Bookman Old Style"/>
        </w:rPr>
      </w:pPr>
    </w:p>
    <w:p w:rsidR="00622E35" w:rsidRPr="00D2714F" w:rsidRDefault="00622E35" w:rsidP="00DB69FA">
      <w:pPr>
        <w:ind w:left="0"/>
        <w:rPr>
          <w:rFonts w:ascii="Bookman Old Style" w:hAnsi="Bookman Old Style"/>
        </w:rPr>
      </w:pPr>
    </w:p>
    <w:p w:rsidR="000339B5" w:rsidRPr="00D2714F" w:rsidRDefault="000339B5" w:rsidP="00DB69FA">
      <w:pPr>
        <w:ind w:left="0"/>
        <w:rPr>
          <w:rFonts w:ascii="Bookman Old Style" w:hAnsi="Bookman Old Style" w:cs="Arial"/>
          <w:b/>
          <w:highlight w:val="yellow"/>
        </w:rPr>
      </w:pPr>
    </w:p>
    <w:p w:rsidR="00B536F6" w:rsidRPr="00190ADA" w:rsidRDefault="00B536F6" w:rsidP="00B536F6">
      <w:pPr>
        <w:numPr>
          <w:ilvl w:val="0"/>
          <w:numId w:val="18"/>
        </w:numPr>
        <w:overflowPunct w:val="0"/>
        <w:autoSpaceDE w:val="0"/>
        <w:autoSpaceDN w:val="0"/>
        <w:adjustRightInd w:val="0"/>
        <w:jc w:val="both"/>
        <w:textAlignment w:val="baseline"/>
        <w:rPr>
          <w:rFonts w:ascii="Bookman Old Style" w:hAnsi="Bookman Old Style"/>
          <w:b/>
        </w:rPr>
      </w:pPr>
      <w:r w:rsidRPr="00190ADA">
        <w:rPr>
          <w:rFonts w:ascii="Bookman Old Style" w:hAnsi="Bookman Old Style"/>
          <w:b/>
        </w:rPr>
        <w:t>ANTECEDENTES.</w:t>
      </w:r>
    </w:p>
    <w:p w:rsidR="00B536F6" w:rsidRPr="00190ADA" w:rsidRDefault="00B536F6" w:rsidP="00B536F6">
      <w:pPr>
        <w:rPr>
          <w:rFonts w:ascii="Bookman Old Style" w:hAnsi="Bookman Old Style"/>
        </w:rPr>
      </w:pPr>
    </w:p>
    <w:p w:rsidR="005D5727" w:rsidRPr="005D5727" w:rsidRDefault="00821375" w:rsidP="005D5727">
      <w:pPr>
        <w:ind w:right="51"/>
        <w:jc w:val="both"/>
        <w:rPr>
          <w:rFonts w:ascii="Bookman Old Style" w:hAnsi="Bookman Old Style"/>
        </w:rPr>
      </w:pPr>
      <w:r>
        <w:rPr>
          <w:rFonts w:ascii="Bookman Old Style" w:hAnsi="Bookman Old Style"/>
        </w:rPr>
        <w:t>M</w:t>
      </w:r>
      <w:r w:rsidR="005D5727" w:rsidRPr="005D5727">
        <w:rPr>
          <w:rFonts w:ascii="Bookman Old Style" w:hAnsi="Bookman Old Style"/>
        </w:rPr>
        <w:t>ediante la Resolución CREG 097 de 2008, la Comisión aprobó los principios generales y la metodología para el establecimiento de los Cargos por Uso de los Sistemas de Transmisión Regional (STR</w:t>
      </w:r>
      <w:r>
        <w:rPr>
          <w:rFonts w:ascii="Bookman Old Style" w:hAnsi="Bookman Old Style"/>
        </w:rPr>
        <w:t>) y de Distribución Local (SDL).</w:t>
      </w:r>
    </w:p>
    <w:p w:rsidR="005D5727" w:rsidRPr="005D5727" w:rsidRDefault="005D5727" w:rsidP="005D5727">
      <w:pPr>
        <w:ind w:right="51"/>
        <w:jc w:val="both"/>
        <w:rPr>
          <w:rFonts w:ascii="Bookman Old Style" w:hAnsi="Bookman Old Style"/>
        </w:rPr>
      </w:pPr>
    </w:p>
    <w:p w:rsidR="00B536F6" w:rsidRDefault="00821375" w:rsidP="005D5727">
      <w:pPr>
        <w:ind w:right="51"/>
        <w:jc w:val="both"/>
        <w:rPr>
          <w:rFonts w:ascii="Bookman Old Style" w:hAnsi="Bookman Old Style"/>
        </w:rPr>
      </w:pPr>
      <w:r>
        <w:rPr>
          <w:rFonts w:ascii="Bookman Old Style" w:hAnsi="Bookman Old Style"/>
        </w:rPr>
        <w:t>E</w:t>
      </w:r>
      <w:r w:rsidR="005D5727" w:rsidRPr="005D5727">
        <w:rPr>
          <w:rFonts w:ascii="Bookman Old Style" w:hAnsi="Bookman Old Style"/>
        </w:rPr>
        <w:t>n el numeral 11.2 del capítulo 11 del anexo general de la Resolución CREG 097 de 2008 se estableció la metodología de evaluación de la calidad del servicio en e</w:t>
      </w:r>
      <w:r>
        <w:rPr>
          <w:rFonts w:ascii="Bookman Old Style" w:hAnsi="Bookman Old Style"/>
        </w:rPr>
        <w:t>l Sistema de Distribución Local.</w:t>
      </w:r>
    </w:p>
    <w:p w:rsidR="00821375" w:rsidRPr="00821375" w:rsidRDefault="00821375" w:rsidP="00821375">
      <w:pPr>
        <w:ind w:right="51"/>
        <w:jc w:val="both"/>
        <w:rPr>
          <w:rFonts w:ascii="Bookman Old Style" w:hAnsi="Bookman Old Style"/>
        </w:rPr>
      </w:pPr>
    </w:p>
    <w:p w:rsidR="00821375" w:rsidRDefault="00821375" w:rsidP="00821375">
      <w:pPr>
        <w:ind w:right="51"/>
        <w:jc w:val="both"/>
        <w:rPr>
          <w:rFonts w:ascii="Bookman Old Style" w:hAnsi="Bookman Old Style"/>
        </w:rPr>
      </w:pPr>
      <w:r>
        <w:rPr>
          <w:rFonts w:ascii="Bookman Old Style" w:hAnsi="Bookman Old Style"/>
        </w:rPr>
        <w:t>M</w:t>
      </w:r>
      <w:r w:rsidRPr="00821375">
        <w:rPr>
          <w:rFonts w:ascii="Bookman Old Style" w:hAnsi="Bookman Old Style"/>
        </w:rPr>
        <w:t xml:space="preserve">ediante la Resolución CREG </w:t>
      </w:r>
      <w:r w:rsidR="00344375">
        <w:rPr>
          <w:rFonts w:ascii="Bookman Old Style" w:hAnsi="Bookman Old Style"/>
        </w:rPr>
        <w:t>034</w:t>
      </w:r>
      <w:r w:rsidRPr="00821375">
        <w:rPr>
          <w:rFonts w:ascii="Bookman Old Style" w:hAnsi="Bookman Old Style"/>
        </w:rPr>
        <w:t xml:space="preserve"> de 201</w:t>
      </w:r>
      <w:r w:rsidR="00344375">
        <w:rPr>
          <w:rFonts w:ascii="Bookman Old Style" w:hAnsi="Bookman Old Style"/>
        </w:rPr>
        <w:t>1</w:t>
      </w:r>
      <w:r w:rsidRPr="00821375">
        <w:rPr>
          <w:rFonts w:ascii="Bookman Old Style" w:hAnsi="Bookman Old Style"/>
        </w:rPr>
        <w:t>, la Comisión aprobó</w:t>
      </w:r>
      <w:r w:rsidRPr="00821375">
        <w:t xml:space="preserve"> </w:t>
      </w:r>
      <w:r w:rsidRPr="00821375">
        <w:rPr>
          <w:rFonts w:ascii="Bookman Old Style" w:hAnsi="Bookman Old Style"/>
        </w:rPr>
        <w:t>los Índices de Ref</w:t>
      </w:r>
      <w:r w:rsidR="007776CD">
        <w:rPr>
          <w:rFonts w:ascii="Bookman Old Style" w:hAnsi="Bookman Old Style"/>
        </w:rPr>
        <w:t xml:space="preserve">erencia de la Discontinuidad de la </w:t>
      </w:r>
      <w:r w:rsidR="00344375">
        <w:rPr>
          <w:rFonts w:ascii="Bookman Old Style" w:hAnsi="Bookman Old Style"/>
        </w:rPr>
        <w:t>Empresa de Energía de Pereira S.A. E.S.P</w:t>
      </w:r>
      <w:r w:rsidR="007776CD" w:rsidRPr="007776CD">
        <w:rPr>
          <w:rFonts w:ascii="Bookman Old Style" w:hAnsi="Bookman Old Style"/>
        </w:rPr>
        <w:t>.</w:t>
      </w:r>
    </w:p>
    <w:p w:rsidR="005D5727" w:rsidRPr="00190ADA" w:rsidRDefault="005D5727" w:rsidP="005D5727">
      <w:pPr>
        <w:ind w:right="51"/>
        <w:jc w:val="both"/>
        <w:rPr>
          <w:rFonts w:ascii="Bookman Old Style" w:hAnsi="Bookman Old Style"/>
        </w:rPr>
      </w:pPr>
    </w:p>
    <w:p w:rsidR="00B536F6" w:rsidRPr="00190ADA" w:rsidRDefault="00822826" w:rsidP="005D5727">
      <w:pPr>
        <w:ind w:right="51"/>
        <w:jc w:val="both"/>
        <w:rPr>
          <w:rFonts w:ascii="Bookman Old Style" w:hAnsi="Bookman Old Style"/>
        </w:rPr>
      </w:pPr>
      <w:r>
        <w:rPr>
          <w:rFonts w:ascii="Bookman Old Style" w:hAnsi="Bookman Old Style"/>
        </w:rPr>
        <w:t>M</w:t>
      </w:r>
      <w:r w:rsidR="00B536F6" w:rsidRPr="00190ADA">
        <w:rPr>
          <w:rFonts w:ascii="Bookman Old Style" w:hAnsi="Bookman Old Style"/>
        </w:rPr>
        <w:t xml:space="preserve">ediante radicado CREG </w:t>
      </w:r>
      <w:r w:rsidR="00E43CBE">
        <w:rPr>
          <w:rFonts w:ascii="Bookman Old Style" w:hAnsi="Bookman Old Style"/>
          <w:lang w:val="es-CO"/>
        </w:rPr>
        <w:t>E-201</w:t>
      </w:r>
      <w:r w:rsidR="007776CD">
        <w:rPr>
          <w:rFonts w:ascii="Bookman Old Style" w:hAnsi="Bookman Old Style"/>
          <w:lang w:val="es-CO"/>
        </w:rPr>
        <w:t>1</w:t>
      </w:r>
      <w:r w:rsidR="00E43CBE">
        <w:rPr>
          <w:rFonts w:ascii="Bookman Old Style" w:hAnsi="Bookman Old Style"/>
          <w:lang w:val="es-CO"/>
        </w:rPr>
        <w:t>-00</w:t>
      </w:r>
      <w:r w:rsidR="00344375">
        <w:rPr>
          <w:rFonts w:ascii="Bookman Old Style" w:hAnsi="Bookman Old Style"/>
          <w:lang w:val="es-CO"/>
        </w:rPr>
        <w:t>4675</w:t>
      </w:r>
      <w:r w:rsidR="00B536F6" w:rsidRPr="00190ADA">
        <w:rPr>
          <w:rFonts w:ascii="Bookman Old Style" w:hAnsi="Bookman Old Style"/>
        </w:rPr>
        <w:t xml:space="preserve"> de fecha </w:t>
      </w:r>
      <w:r w:rsidR="00344375">
        <w:rPr>
          <w:rFonts w:ascii="Bookman Old Style" w:hAnsi="Bookman Old Style"/>
        </w:rPr>
        <w:t>13</w:t>
      </w:r>
      <w:r w:rsidR="00B536F6" w:rsidRPr="00190ADA">
        <w:rPr>
          <w:rFonts w:ascii="Bookman Old Style" w:hAnsi="Bookman Old Style"/>
        </w:rPr>
        <w:t xml:space="preserve"> de </w:t>
      </w:r>
      <w:r w:rsidR="00344375">
        <w:rPr>
          <w:rFonts w:ascii="Bookman Old Style" w:hAnsi="Bookman Old Style"/>
        </w:rPr>
        <w:t xml:space="preserve">mayo </w:t>
      </w:r>
      <w:r w:rsidR="00B536F6" w:rsidRPr="00190ADA">
        <w:rPr>
          <w:rFonts w:ascii="Bookman Old Style" w:hAnsi="Bookman Old Style"/>
        </w:rPr>
        <w:t>de 20</w:t>
      </w:r>
      <w:r w:rsidR="00485A63">
        <w:rPr>
          <w:rFonts w:ascii="Bookman Old Style" w:hAnsi="Bookman Old Style"/>
        </w:rPr>
        <w:t>1</w:t>
      </w:r>
      <w:r w:rsidR="007776CD">
        <w:rPr>
          <w:rFonts w:ascii="Bookman Old Style" w:hAnsi="Bookman Old Style"/>
        </w:rPr>
        <w:t>1</w:t>
      </w:r>
      <w:r w:rsidR="00B536F6" w:rsidRPr="00190ADA">
        <w:rPr>
          <w:rFonts w:ascii="Bookman Old Style" w:hAnsi="Bookman Old Style"/>
        </w:rPr>
        <w:t>,</w:t>
      </w:r>
      <w:r w:rsidR="00485A63">
        <w:rPr>
          <w:rFonts w:ascii="Bookman Old Style" w:hAnsi="Bookman Old Style"/>
        </w:rPr>
        <w:t xml:space="preserve"> </w:t>
      </w:r>
      <w:r w:rsidR="007776CD">
        <w:rPr>
          <w:rFonts w:ascii="Bookman Old Style" w:hAnsi="Bookman Old Style"/>
        </w:rPr>
        <w:t xml:space="preserve">la </w:t>
      </w:r>
      <w:r w:rsidR="00344375">
        <w:rPr>
          <w:rFonts w:ascii="Bookman Old Style" w:hAnsi="Bookman Old Style"/>
        </w:rPr>
        <w:t>Empresa de Energía de Pereira</w:t>
      </w:r>
      <w:r w:rsidR="007776CD" w:rsidRPr="007776CD">
        <w:rPr>
          <w:rFonts w:ascii="Bookman Old Style" w:hAnsi="Bookman Old Style"/>
        </w:rPr>
        <w:t xml:space="preserve"> S.A. E.S.P.</w:t>
      </w:r>
      <w:r w:rsidR="00B536F6" w:rsidRPr="007776CD">
        <w:rPr>
          <w:rFonts w:ascii="Bookman Old Style" w:hAnsi="Bookman Old Style"/>
        </w:rPr>
        <w:t>,</w:t>
      </w:r>
      <w:r w:rsidR="00B536F6" w:rsidRPr="00190ADA">
        <w:rPr>
          <w:rFonts w:ascii="Bookman Old Style" w:hAnsi="Bookman Old Style"/>
        </w:rPr>
        <w:t xml:space="preserve"> interpuso un recurso de reposic</w:t>
      </w:r>
      <w:r w:rsidR="00574558">
        <w:rPr>
          <w:rFonts w:ascii="Bookman Old Style" w:hAnsi="Bookman Old Style"/>
        </w:rPr>
        <w:t xml:space="preserve">ión contra la Resolución CREG </w:t>
      </w:r>
      <w:r w:rsidR="00344375">
        <w:rPr>
          <w:rFonts w:ascii="Bookman Old Style" w:hAnsi="Bookman Old Style"/>
        </w:rPr>
        <w:t>034</w:t>
      </w:r>
      <w:r w:rsidR="00B536F6" w:rsidRPr="00190ADA">
        <w:rPr>
          <w:rFonts w:ascii="Bookman Old Style" w:hAnsi="Bookman Old Style"/>
        </w:rPr>
        <w:t xml:space="preserve"> de 20</w:t>
      </w:r>
      <w:r w:rsidR="00574558">
        <w:rPr>
          <w:rFonts w:ascii="Bookman Old Style" w:hAnsi="Bookman Old Style"/>
        </w:rPr>
        <w:t>1</w:t>
      </w:r>
      <w:r w:rsidR="00344375">
        <w:rPr>
          <w:rFonts w:ascii="Bookman Old Style" w:hAnsi="Bookman Old Style"/>
        </w:rPr>
        <w:t>1</w:t>
      </w:r>
      <w:r w:rsidR="00B536F6" w:rsidRPr="00190ADA">
        <w:rPr>
          <w:rFonts w:ascii="Bookman Old Style" w:hAnsi="Bookman Old Style"/>
        </w:rPr>
        <w:t xml:space="preserve">, con los siguientes argumentos: </w:t>
      </w:r>
    </w:p>
    <w:p w:rsidR="00B536F6" w:rsidRDefault="00B536F6" w:rsidP="001D07EF">
      <w:pPr>
        <w:pStyle w:val="Sangradetextonormal"/>
        <w:ind w:left="284" w:right="567" w:firstLine="424"/>
        <w:rPr>
          <w:rFonts w:ascii="Bookman Old Style" w:hAnsi="Bookman Old Style"/>
          <w:i/>
        </w:rPr>
      </w:pPr>
    </w:p>
    <w:p w:rsidR="00F86C67" w:rsidRDefault="00403F64" w:rsidP="00344375">
      <w:pPr>
        <w:pStyle w:val="Sangradetextonormal"/>
        <w:ind w:left="709" w:right="567"/>
        <w:jc w:val="both"/>
        <w:rPr>
          <w:rFonts w:ascii="Bookman Old Style" w:hAnsi="Bookman Old Style"/>
          <w:i/>
        </w:rPr>
      </w:pPr>
      <w:r w:rsidRPr="00403F64">
        <w:rPr>
          <w:rFonts w:ascii="Bookman Old Style" w:hAnsi="Bookman Old Style"/>
          <w:i/>
        </w:rPr>
        <w:t>“</w:t>
      </w:r>
      <w:r w:rsidR="00344375" w:rsidRPr="00344375">
        <w:rPr>
          <w:rFonts w:ascii="Bookman Old Style" w:hAnsi="Bookman Old Style"/>
          <w:i/>
        </w:rPr>
        <w:t>Dando alcance</w:t>
      </w:r>
      <w:r w:rsidR="00344375">
        <w:rPr>
          <w:rFonts w:ascii="Bookman Old Style" w:hAnsi="Bookman Old Style"/>
          <w:i/>
        </w:rPr>
        <w:t xml:space="preserve"> a lo estipulado en el Artículo 5 de dicha Resolución, la Empresa de Energía de Pereira S.A. E.S.P. solicita a través del recurso </w:t>
      </w:r>
      <w:r w:rsidR="00F86C67">
        <w:rPr>
          <w:rFonts w:ascii="Bookman Old Style" w:hAnsi="Bookman Old Style"/>
          <w:i/>
        </w:rPr>
        <w:t xml:space="preserve">de reposición sean revisados los Índices de Referencia de la </w:t>
      </w:r>
      <w:r w:rsidR="00F86C67">
        <w:rPr>
          <w:rFonts w:ascii="Bookman Old Style" w:hAnsi="Bookman Old Style"/>
          <w:i/>
        </w:rPr>
        <w:lastRenderedPageBreak/>
        <w:t>Discontinuidad (IRADk) para el nivel de tensión 1 y los niveles de tensión 2-3 de los años 2006-2007, debido a lo siguiente:</w:t>
      </w:r>
    </w:p>
    <w:p w:rsidR="00F86C67" w:rsidRDefault="00F86C67" w:rsidP="00F86C67">
      <w:pPr>
        <w:pStyle w:val="Sangradetextonormal"/>
        <w:numPr>
          <w:ilvl w:val="0"/>
          <w:numId w:val="33"/>
        </w:numPr>
        <w:ind w:right="567"/>
        <w:jc w:val="both"/>
        <w:rPr>
          <w:rFonts w:ascii="Bookman Old Style" w:hAnsi="Bookman Old Style"/>
          <w:i/>
        </w:rPr>
      </w:pPr>
      <w:r>
        <w:rPr>
          <w:rFonts w:ascii="Bookman Old Style" w:hAnsi="Bookman Old Style"/>
          <w:i/>
        </w:rPr>
        <w:t>Se observó que la información comercial de los años 2006-2007, entregada en el Expediente 2010-0034 por la Comisión el 17 de Junio de 2010 a la EEP presentaba inconsistencias. Dichas inconsistencias radican especialmente en la relación de cuentas con tipo de conexión T que asocian cómo código de conexión un circuito; cuentas con tipo de conexión T y P que relacionan el código de conexión cero (0), el cual no existe en la base de datos de la EEP.</w:t>
      </w:r>
    </w:p>
    <w:p w:rsidR="00B675D6" w:rsidRDefault="00F86C67" w:rsidP="00F86C67">
      <w:pPr>
        <w:pStyle w:val="Sangradetextonormal"/>
        <w:numPr>
          <w:ilvl w:val="0"/>
          <w:numId w:val="33"/>
        </w:numPr>
        <w:ind w:right="567"/>
        <w:jc w:val="both"/>
        <w:rPr>
          <w:rFonts w:ascii="Bookman Old Style" w:hAnsi="Bookman Old Style"/>
          <w:i/>
        </w:rPr>
      </w:pPr>
      <w:r>
        <w:rPr>
          <w:rFonts w:ascii="Bookman Old Style" w:hAnsi="Bookman Old Style"/>
          <w:i/>
        </w:rPr>
        <w:t>Que la Empresa de Energía de Pereira, mediante oficio con número de radicado EEP 700-2923 enviado el 22 de Junio de 2010, dio respuesta al oficio enviado el pasado 04 de Junio de 2010 por la Comisión con número de radicado S-2010-002256, aduciendo que tras la revisión de la información tomada del Expediente  N°2010-0034 se encontró que la misma no era suficiente para calcular el componente EPU</w:t>
      </w:r>
      <w:r w:rsidRPr="00F86C67">
        <w:rPr>
          <w:rFonts w:ascii="Bookman Old Style" w:hAnsi="Bookman Old Style"/>
          <w:i/>
          <w:vertAlign w:val="subscript"/>
        </w:rPr>
        <w:t>n,q,p</w:t>
      </w:r>
      <w:r>
        <w:rPr>
          <w:rFonts w:ascii="Bookman Old Style" w:hAnsi="Bookman Old Style"/>
          <w:i/>
        </w:rPr>
        <w:t>.</w:t>
      </w:r>
    </w:p>
    <w:p w:rsidR="003B11C0" w:rsidRDefault="00B675D6" w:rsidP="00F86C67">
      <w:pPr>
        <w:pStyle w:val="Sangradetextonormal"/>
        <w:numPr>
          <w:ilvl w:val="0"/>
          <w:numId w:val="33"/>
        </w:numPr>
        <w:ind w:right="567"/>
        <w:jc w:val="both"/>
        <w:rPr>
          <w:rFonts w:ascii="Bookman Old Style" w:hAnsi="Bookman Old Style"/>
          <w:i/>
        </w:rPr>
      </w:pPr>
      <w:r>
        <w:rPr>
          <w:rFonts w:ascii="Bookman Old Style" w:hAnsi="Bookman Old Style"/>
          <w:i/>
        </w:rPr>
        <w:t>De la información identificada como exclusión en los formatos T, que se anexó como archivo magnético en el Documento CREG-031 del 07 de Abril de 2011, la cual fue base por parte de la Comisión para el cálculo del IRAD, se detalla que para el año 2006 no se tiene información de los meses de Enero, Febrero, Septiembre y Octubre; además las interrupciones de algunos circuitos no es coincidente con la información cargada y certificada al SUI por parte de la EEP. Para el año 2007, el Formato T sólo relaciona información para el mes de Noviembre. Adicionalmente, se detalla que algunos circuitos reportados al SUI no están relacionados en la información de dicho Formato.</w:t>
      </w:r>
      <w:r w:rsidR="003B11C0">
        <w:rPr>
          <w:rFonts w:ascii="Bookman Old Style" w:hAnsi="Bookman Old Style"/>
          <w:i/>
        </w:rPr>
        <w:t>”</w:t>
      </w:r>
    </w:p>
    <w:p w:rsidR="003B11C0" w:rsidRPr="00444EB6" w:rsidRDefault="003B11C0" w:rsidP="003B11C0">
      <w:pPr>
        <w:pStyle w:val="Sangradetextonormal"/>
        <w:ind w:left="851" w:right="567"/>
        <w:jc w:val="both"/>
        <w:rPr>
          <w:rFonts w:ascii="Bookman Old Style" w:hAnsi="Bookman Old Style"/>
          <w:i/>
        </w:rPr>
      </w:pPr>
    </w:p>
    <w:p w:rsidR="00B536F6" w:rsidRPr="00190ADA" w:rsidRDefault="00B536F6" w:rsidP="00B536F6">
      <w:pPr>
        <w:numPr>
          <w:ilvl w:val="0"/>
          <w:numId w:val="18"/>
        </w:numPr>
        <w:overflowPunct w:val="0"/>
        <w:autoSpaceDE w:val="0"/>
        <w:autoSpaceDN w:val="0"/>
        <w:adjustRightInd w:val="0"/>
        <w:jc w:val="both"/>
        <w:textAlignment w:val="baseline"/>
        <w:rPr>
          <w:rFonts w:ascii="Bookman Old Style" w:hAnsi="Bookman Old Style"/>
          <w:b/>
          <w:bCs/>
        </w:rPr>
      </w:pPr>
      <w:r w:rsidRPr="00190ADA">
        <w:rPr>
          <w:rFonts w:ascii="Bookman Old Style" w:hAnsi="Bookman Old Style"/>
          <w:b/>
          <w:bCs/>
        </w:rPr>
        <w:t>CONSIDERACIONES DE LA CREG.</w:t>
      </w:r>
    </w:p>
    <w:p w:rsidR="00B536F6" w:rsidRDefault="00B536F6" w:rsidP="00B536F6">
      <w:pPr>
        <w:pStyle w:val="Textoindependiente2"/>
        <w:spacing w:line="240" w:lineRule="auto"/>
        <w:rPr>
          <w:rFonts w:ascii="Bookman Old Style" w:hAnsi="Bookman Old Style"/>
        </w:rPr>
      </w:pPr>
    </w:p>
    <w:p w:rsidR="00830794" w:rsidRPr="00426303" w:rsidRDefault="00830794" w:rsidP="00830794">
      <w:pPr>
        <w:pStyle w:val="Textoindependiente2"/>
        <w:numPr>
          <w:ilvl w:val="0"/>
          <w:numId w:val="34"/>
        </w:numPr>
        <w:spacing w:line="240" w:lineRule="auto"/>
        <w:jc w:val="both"/>
        <w:rPr>
          <w:rFonts w:ascii="Bookman Old Style" w:hAnsi="Bookman Old Style"/>
          <w:b/>
        </w:rPr>
      </w:pPr>
      <w:r w:rsidRPr="00426303">
        <w:rPr>
          <w:rFonts w:ascii="Bookman Old Style" w:hAnsi="Bookman Old Style"/>
          <w:b/>
        </w:rPr>
        <w:t>Inconsistencias en la información comercial.</w:t>
      </w:r>
    </w:p>
    <w:p w:rsidR="00E56E10" w:rsidRDefault="007E1F82" w:rsidP="00830794">
      <w:pPr>
        <w:pStyle w:val="Textoindependiente2"/>
        <w:spacing w:line="240" w:lineRule="auto"/>
        <w:ind w:left="927"/>
        <w:jc w:val="both"/>
        <w:rPr>
          <w:rFonts w:ascii="Bookman Old Style" w:hAnsi="Bookman Old Style"/>
        </w:rPr>
      </w:pPr>
      <w:r>
        <w:rPr>
          <w:rFonts w:ascii="Bookman Old Style" w:hAnsi="Bookman Old Style"/>
        </w:rPr>
        <w:t xml:space="preserve">La información comercial utilizada para el cálculo de los índices de referencia de la discontinuidad fue consultada </w:t>
      </w:r>
      <w:r w:rsidR="00F37D58">
        <w:rPr>
          <w:rFonts w:ascii="Bookman Old Style" w:hAnsi="Bookman Old Style"/>
        </w:rPr>
        <w:t xml:space="preserve">por la CREG </w:t>
      </w:r>
      <w:r>
        <w:rPr>
          <w:rFonts w:ascii="Bookman Old Style" w:hAnsi="Bookman Old Style"/>
        </w:rPr>
        <w:t>directamente en la base de datos del SUI</w:t>
      </w:r>
      <w:r w:rsidR="00D14418">
        <w:rPr>
          <w:rFonts w:ascii="Bookman Old Style" w:hAnsi="Bookman Old Style"/>
        </w:rPr>
        <w:t>,</w:t>
      </w:r>
      <w:r w:rsidR="00D14418" w:rsidRPr="00D14418">
        <w:rPr>
          <w:rFonts w:ascii="Bookman Old Style" w:hAnsi="Bookman Old Style"/>
        </w:rPr>
        <w:t xml:space="preserve"> </w:t>
      </w:r>
      <w:r w:rsidR="009E4924">
        <w:rPr>
          <w:rFonts w:ascii="Bookman Old Style" w:hAnsi="Bookman Old Style"/>
        </w:rPr>
        <w:t xml:space="preserve">los días 25, 26 y 27 de marzo de 2010. </w:t>
      </w:r>
      <w:r w:rsidR="00E56E10">
        <w:rPr>
          <w:rFonts w:ascii="Bookman Old Style" w:hAnsi="Bookman Old Style"/>
        </w:rPr>
        <w:t xml:space="preserve">Dicha información fue remitida al expediente 2010-0034, mediante el radicado I-2010-001336 y tal como se hizo mención en la parte considerativa de la Resolución CREG 034 de 2011, corresponde a aquella reportada por la misma empresa en el SUI, </w:t>
      </w:r>
      <w:r w:rsidR="00F37D58">
        <w:rPr>
          <w:rFonts w:ascii="Bookman Old Style" w:hAnsi="Bookman Old Style"/>
        </w:rPr>
        <w:t>en los formatos C1 y C2</w:t>
      </w:r>
      <w:r w:rsidR="00E56E10">
        <w:rPr>
          <w:rFonts w:ascii="Bookman Old Style" w:hAnsi="Bookman Old Style"/>
        </w:rPr>
        <w:t>.</w:t>
      </w:r>
    </w:p>
    <w:p w:rsidR="00B26E70" w:rsidRDefault="009E4924" w:rsidP="00830794">
      <w:pPr>
        <w:pStyle w:val="Textoindependiente2"/>
        <w:spacing w:line="240" w:lineRule="auto"/>
        <w:ind w:left="927"/>
        <w:jc w:val="both"/>
        <w:rPr>
          <w:rFonts w:ascii="Bookman Old Style" w:hAnsi="Bookman Old Style"/>
        </w:rPr>
      </w:pPr>
      <w:r>
        <w:rPr>
          <w:rFonts w:ascii="Bookman Old Style" w:hAnsi="Bookman Old Style"/>
        </w:rPr>
        <w:t xml:space="preserve">En </w:t>
      </w:r>
      <w:r w:rsidR="00E56E10">
        <w:rPr>
          <w:rFonts w:ascii="Bookman Old Style" w:hAnsi="Bookman Old Style"/>
        </w:rPr>
        <w:t xml:space="preserve">consecuencia no se puede afirmar que la CREG le entrego a la empresa de </w:t>
      </w:r>
      <w:r w:rsidR="00B26E70">
        <w:rPr>
          <w:rFonts w:ascii="Bookman Old Style" w:hAnsi="Bookman Old Style"/>
        </w:rPr>
        <w:t>Energía</w:t>
      </w:r>
      <w:r w:rsidR="00E56E10">
        <w:rPr>
          <w:rFonts w:ascii="Bookman Old Style" w:hAnsi="Bookman Old Style"/>
        </w:rPr>
        <w:t xml:space="preserve"> de Pereira </w:t>
      </w:r>
      <w:r w:rsidR="00B26E70">
        <w:rPr>
          <w:rFonts w:ascii="Bookman Old Style" w:hAnsi="Bookman Old Style"/>
        </w:rPr>
        <w:t>información con inconsistencias, pues tal situación nunca se dio, toda vez que el proceder de la Comisión de Regulación de Energía y Gas se limit</w:t>
      </w:r>
      <w:r w:rsidR="00F37D58">
        <w:rPr>
          <w:rFonts w:ascii="Bookman Old Style" w:hAnsi="Bookman Old Style"/>
        </w:rPr>
        <w:t>ó</w:t>
      </w:r>
      <w:r w:rsidR="00B26E70">
        <w:rPr>
          <w:rFonts w:ascii="Bookman Old Style" w:hAnsi="Bookman Old Style"/>
        </w:rPr>
        <w:t xml:space="preserve"> a realizar una consulta de información en el SUI.</w:t>
      </w:r>
    </w:p>
    <w:p w:rsidR="007E1F82" w:rsidRDefault="00F37D58" w:rsidP="00830794">
      <w:pPr>
        <w:pStyle w:val="Textoindependiente2"/>
        <w:spacing w:line="240" w:lineRule="auto"/>
        <w:ind w:left="927"/>
        <w:jc w:val="both"/>
        <w:rPr>
          <w:rFonts w:ascii="Bookman Old Style" w:hAnsi="Bookman Old Style"/>
        </w:rPr>
      </w:pPr>
      <w:r>
        <w:rPr>
          <w:rFonts w:ascii="Bookman Old Style" w:hAnsi="Bookman Old Style"/>
        </w:rPr>
        <w:t>En el mismo sentido, s</w:t>
      </w:r>
      <w:r w:rsidR="00D14418" w:rsidRPr="00FA1B5E">
        <w:rPr>
          <w:rFonts w:ascii="Bookman Old Style" w:hAnsi="Bookman Old Style"/>
        </w:rPr>
        <w:t xml:space="preserve">egún lo establecido por la Ley 689 de 2001, </w:t>
      </w:r>
      <w:r w:rsidR="009E4924">
        <w:rPr>
          <w:rFonts w:ascii="Bookman Old Style" w:hAnsi="Bookman Old Style"/>
        </w:rPr>
        <w:t xml:space="preserve">el SUI </w:t>
      </w:r>
      <w:r w:rsidR="00D14418" w:rsidRPr="00FA1B5E">
        <w:rPr>
          <w:rFonts w:ascii="Bookman Old Style" w:hAnsi="Bookman Old Style"/>
        </w:rPr>
        <w:t xml:space="preserve">es el único sistema de información sobre el cual la CREG debe </w:t>
      </w:r>
      <w:r w:rsidR="00D14418" w:rsidRPr="00FA1B5E">
        <w:rPr>
          <w:rFonts w:ascii="Bookman Old Style" w:hAnsi="Bookman Old Style"/>
        </w:rPr>
        <w:lastRenderedPageBreak/>
        <w:t>apoyarse</w:t>
      </w:r>
      <w:r w:rsidR="00B26E70">
        <w:rPr>
          <w:rFonts w:ascii="Bookman Old Style" w:hAnsi="Bookman Old Style"/>
        </w:rPr>
        <w:t xml:space="preserve"> para el cumplimiento de sus funciones regulatorias</w:t>
      </w:r>
      <w:r w:rsidR="00D14418">
        <w:rPr>
          <w:rFonts w:ascii="Bookman Old Style" w:hAnsi="Bookman Old Style"/>
        </w:rPr>
        <w:t>,</w:t>
      </w:r>
      <w:r w:rsidR="00D14418" w:rsidRPr="00FA1B5E">
        <w:rPr>
          <w:rFonts w:ascii="Bookman Old Style" w:hAnsi="Bookman Old Style"/>
        </w:rPr>
        <w:t xml:space="preserve"> </w:t>
      </w:r>
      <w:r w:rsidR="00D14418">
        <w:rPr>
          <w:rFonts w:ascii="Bookman Old Style" w:hAnsi="Bookman Old Style"/>
        </w:rPr>
        <w:t xml:space="preserve">toda vez que la información que allí reposa </w:t>
      </w:r>
      <w:r w:rsidR="003C7A81">
        <w:rPr>
          <w:rFonts w:ascii="Bookman Old Style" w:hAnsi="Bookman Old Style"/>
        </w:rPr>
        <w:t xml:space="preserve">es de carácter oficial y en consecuencia </w:t>
      </w:r>
      <w:r w:rsidR="00B26E70">
        <w:rPr>
          <w:rFonts w:ascii="Bookman Old Style" w:hAnsi="Bookman Old Style"/>
        </w:rPr>
        <w:t xml:space="preserve">debe </w:t>
      </w:r>
      <w:r w:rsidR="00785A33">
        <w:rPr>
          <w:rFonts w:ascii="Bookman Old Style" w:hAnsi="Bookman Old Style"/>
        </w:rPr>
        <w:t xml:space="preserve"> tene</w:t>
      </w:r>
      <w:r w:rsidR="00B26E70">
        <w:rPr>
          <w:rFonts w:ascii="Bookman Old Style" w:hAnsi="Bookman Old Style"/>
        </w:rPr>
        <w:t>rse</w:t>
      </w:r>
      <w:r w:rsidR="00D14418">
        <w:rPr>
          <w:rFonts w:ascii="Bookman Old Style" w:hAnsi="Bookman Old Style"/>
        </w:rPr>
        <w:t xml:space="preserve"> por cierta y confiable</w:t>
      </w:r>
      <w:r w:rsidR="003C7A81">
        <w:rPr>
          <w:rFonts w:ascii="Bookman Old Style" w:hAnsi="Bookman Old Style"/>
        </w:rPr>
        <w:t xml:space="preserve"> hasta tanto no</w:t>
      </w:r>
      <w:r>
        <w:rPr>
          <w:rFonts w:ascii="Bookman Old Style" w:hAnsi="Bookman Old Style"/>
        </w:rPr>
        <w:t xml:space="preserve"> </w:t>
      </w:r>
      <w:r w:rsidR="003C7A81">
        <w:rPr>
          <w:rFonts w:ascii="Bookman Old Style" w:hAnsi="Bookman Old Style"/>
        </w:rPr>
        <w:t>se hagan correcciones o actualizaciones a la misma</w:t>
      </w:r>
      <w:r w:rsidR="00D14418">
        <w:rPr>
          <w:rFonts w:ascii="Bookman Old Style" w:hAnsi="Bookman Old Style"/>
        </w:rPr>
        <w:t>.</w:t>
      </w:r>
      <w:r w:rsidR="00426276">
        <w:rPr>
          <w:rFonts w:ascii="Bookman Old Style" w:hAnsi="Bookman Old Style"/>
        </w:rPr>
        <w:t xml:space="preserve"> </w:t>
      </w:r>
      <w:r w:rsidR="00785A33">
        <w:rPr>
          <w:rFonts w:ascii="Bookman Old Style" w:hAnsi="Bookman Old Style"/>
        </w:rPr>
        <w:t>Por esta razón, l</w:t>
      </w:r>
      <w:r w:rsidR="009E4924" w:rsidRPr="00FA1B5E">
        <w:rPr>
          <w:rFonts w:ascii="Bookman Old Style" w:hAnsi="Bookman Old Style"/>
        </w:rPr>
        <w:t xml:space="preserve">as acciones y gestiones necesarias para la aclaración o corrección de las diferencias </w:t>
      </w:r>
      <w:r w:rsidR="00785A33">
        <w:rPr>
          <w:rFonts w:ascii="Bookman Old Style" w:hAnsi="Bookman Old Style"/>
        </w:rPr>
        <w:t xml:space="preserve">de información que </w:t>
      </w:r>
      <w:r w:rsidR="00283270">
        <w:rPr>
          <w:rFonts w:ascii="Bookman Old Style" w:hAnsi="Bookman Old Style"/>
        </w:rPr>
        <w:t>sean identificadas por el OR</w:t>
      </w:r>
      <w:r w:rsidR="00283270" w:rsidRPr="00FA1B5E">
        <w:rPr>
          <w:rFonts w:ascii="Bookman Old Style" w:hAnsi="Bookman Old Style"/>
        </w:rPr>
        <w:t xml:space="preserve"> </w:t>
      </w:r>
      <w:r w:rsidR="00283270">
        <w:rPr>
          <w:rFonts w:ascii="Bookman Old Style" w:hAnsi="Bookman Old Style"/>
        </w:rPr>
        <w:t xml:space="preserve">en </w:t>
      </w:r>
      <w:r w:rsidR="00785A33">
        <w:rPr>
          <w:rFonts w:ascii="Bookman Old Style" w:hAnsi="Bookman Old Style"/>
        </w:rPr>
        <w:t>el SUI deben ser tramitadas ante la entidad responsable</w:t>
      </w:r>
      <w:r w:rsidR="003C7A81">
        <w:rPr>
          <w:rFonts w:ascii="Bookman Old Style" w:hAnsi="Bookman Old Style"/>
        </w:rPr>
        <w:t xml:space="preserve"> de la administración de dicho sistema</w:t>
      </w:r>
      <w:r w:rsidR="00785A33">
        <w:rPr>
          <w:rFonts w:ascii="Bookman Old Style" w:hAnsi="Bookman Old Style"/>
        </w:rPr>
        <w:t>.</w:t>
      </w:r>
    </w:p>
    <w:p w:rsidR="007E1F82" w:rsidRDefault="00283270" w:rsidP="00830794">
      <w:pPr>
        <w:pStyle w:val="Textoindependiente2"/>
        <w:spacing w:line="240" w:lineRule="auto"/>
        <w:ind w:left="927"/>
        <w:jc w:val="both"/>
        <w:rPr>
          <w:rFonts w:ascii="Bookman Old Style" w:hAnsi="Bookman Old Style"/>
        </w:rPr>
      </w:pPr>
      <w:r>
        <w:rPr>
          <w:rFonts w:ascii="Bookman Old Style" w:hAnsi="Bookman Old Style"/>
        </w:rPr>
        <w:t>Respecto a la posible utilización de información vinculada a códigos de conexión que no existen en la base de datos del OR</w:t>
      </w:r>
      <w:r w:rsidR="003D3B6B">
        <w:rPr>
          <w:rFonts w:ascii="Bookman Old Style" w:hAnsi="Bookman Old Style"/>
        </w:rPr>
        <w:t>,</w:t>
      </w:r>
      <w:r w:rsidR="00426276">
        <w:rPr>
          <w:rFonts w:ascii="Bookman Old Style" w:hAnsi="Bookman Old Style"/>
        </w:rPr>
        <w:t xml:space="preserve"> </w:t>
      </w:r>
      <w:r w:rsidR="003D3B6B">
        <w:rPr>
          <w:rFonts w:ascii="Bookman Old Style" w:hAnsi="Bookman Old Style"/>
        </w:rPr>
        <w:t>en el numeral 3 del Documento CREG 031 de 2011</w:t>
      </w:r>
      <w:r w:rsidR="00426276">
        <w:rPr>
          <w:rFonts w:ascii="Bookman Old Style" w:hAnsi="Bookman Old Style"/>
        </w:rPr>
        <w:t xml:space="preserve"> se menciona</w:t>
      </w:r>
      <w:r w:rsidR="003D3B6B">
        <w:rPr>
          <w:rFonts w:ascii="Bookman Old Style" w:hAnsi="Bookman Old Style"/>
        </w:rPr>
        <w:t xml:space="preserve"> que:</w:t>
      </w:r>
      <w:r w:rsidR="00426276">
        <w:rPr>
          <w:rFonts w:ascii="Bookman Old Style" w:hAnsi="Bookman Old Style"/>
        </w:rPr>
        <w:t xml:space="preserve"> </w:t>
      </w:r>
    </w:p>
    <w:p w:rsidR="007E1F82" w:rsidRPr="003D3B6B" w:rsidRDefault="003D3B6B" w:rsidP="00830794">
      <w:pPr>
        <w:pStyle w:val="Textoindependiente2"/>
        <w:spacing w:line="240" w:lineRule="auto"/>
        <w:ind w:left="1276" w:right="567"/>
        <w:jc w:val="both"/>
        <w:rPr>
          <w:rFonts w:ascii="Bookman Old Style" w:hAnsi="Bookman Old Style"/>
          <w:i/>
        </w:rPr>
      </w:pPr>
      <w:r w:rsidRPr="003D3B6B">
        <w:rPr>
          <w:rFonts w:ascii="Bookman Old Style" w:hAnsi="Bookman Old Style"/>
          <w:i/>
        </w:rPr>
        <w:t>“Sólo se utiliza la información que se puede cruzar entre la base de datos de calidad (formato, B1 y B2) y la base de datos comercial (formatos C1 y C2), para lo cual también se considera las equivalencias reportadas en respuesta la Circular CREG 123 de 2008.”</w:t>
      </w:r>
    </w:p>
    <w:p w:rsidR="007E1F82" w:rsidRDefault="003D3B6B" w:rsidP="00830794">
      <w:pPr>
        <w:pStyle w:val="Textoindependiente2"/>
        <w:spacing w:line="240" w:lineRule="auto"/>
        <w:ind w:left="927"/>
        <w:jc w:val="both"/>
        <w:rPr>
          <w:rFonts w:ascii="Bookman Old Style" w:hAnsi="Bookman Old Style"/>
        </w:rPr>
      </w:pPr>
      <w:r>
        <w:rPr>
          <w:rFonts w:ascii="Bookman Old Style" w:hAnsi="Bookman Old Style"/>
        </w:rPr>
        <w:t>De lo anterior</w:t>
      </w:r>
      <w:r w:rsidR="00283270">
        <w:rPr>
          <w:rFonts w:ascii="Bookman Old Style" w:hAnsi="Bookman Old Style"/>
        </w:rPr>
        <w:t>,</w:t>
      </w:r>
      <w:r>
        <w:rPr>
          <w:rFonts w:ascii="Bookman Old Style" w:hAnsi="Bookman Old Style"/>
        </w:rPr>
        <w:t xml:space="preserve"> se concluye que la información reportada en la base de datos comercial</w:t>
      </w:r>
      <w:r w:rsidR="00283270">
        <w:rPr>
          <w:rFonts w:ascii="Bookman Old Style" w:hAnsi="Bookman Old Style"/>
        </w:rPr>
        <w:t>,</w:t>
      </w:r>
      <w:r>
        <w:rPr>
          <w:rFonts w:ascii="Bookman Old Style" w:hAnsi="Bookman Old Style"/>
        </w:rPr>
        <w:t xml:space="preserve"> con códigos de conexión que no coinciden con los reportados por el OR en la base de datos de calidad</w:t>
      </w:r>
      <w:r w:rsidR="00283270">
        <w:rPr>
          <w:rFonts w:ascii="Bookman Old Style" w:hAnsi="Bookman Old Style"/>
        </w:rPr>
        <w:t>,</w:t>
      </w:r>
      <w:r>
        <w:rPr>
          <w:rFonts w:ascii="Bookman Old Style" w:hAnsi="Bookman Old Style"/>
        </w:rPr>
        <w:t xml:space="preserve"> no fue utilizada para el cálculo de los índices de referencia de la discontinuidad. </w:t>
      </w:r>
      <w:r w:rsidR="00283270">
        <w:rPr>
          <w:rFonts w:ascii="Bookman Old Style" w:hAnsi="Bookman Old Style"/>
        </w:rPr>
        <w:t>S</w:t>
      </w:r>
      <w:r w:rsidR="00B969D5">
        <w:rPr>
          <w:rFonts w:ascii="Bookman Old Style" w:hAnsi="Bookman Old Style"/>
        </w:rPr>
        <w:t>e aclara que al referirse a</w:t>
      </w:r>
      <w:r w:rsidR="00283270">
        <w:rPr>
          <w:rFonts w:ascii="Bookman Old Style" w:hAnsi="Bookman Old Style"/>
        </w:rPr>
        <w:t xml:space="preserve"> coincidencia entre códigos </w:t>
      </w:r>
      <w:r w:rsidR="00B969D5">
        <w:rPr>
          <w:rFonts w:ascii="Bookman Old Style" w:hAnsi="Bookman Old Style"/>
        </w:rPr>
        <w:t>se entiende</w:t>
      </w:r>
      <w:r w:rsidR="00283270">
        <w:rPr>
          <w:rFonts w:ascii="Bookman Old Style" w:hAnsi="Bookman Old Style"/>
        </w:rPr>
        <w:t xml:space="preserve"> que el código </w:t>
      </w:r>
      <w:r w:rsidR="00B969D5">
        <w:rPr>
          <w:rFonts w:ascii="Bookman Old Style" w:hAnsi="Bookman Old Style"/>
        </w:rPr>
        <w:t xml:space="preserve">de conexión </w:t>
      </w:r>
      <w:r w:rsidR="00283270">
        <w:rPr>
          <w:rFonts w:ascii="Bookman Old Style" w:hAnsi="Bookman Old Style"/>
        </w:rPr>
        <w:t xml:space="preserve">y el tipo de conexión asignados en la base comercial (formatos C1 y C2) </w:t>
      </w:r>
      <w:r w:rsidR="00B969D5">
        <w:rPr>
          <w:rFonts w:ascii="Bookman Old Style" w:hAnsi="Bookman Old Style"/>
        </w:rPr>
        <w:t>debe corresponder</w:t>
      </w:r>
      <w:r w:rsidR="00283270">
        <w:rPr>
          <w:rFonts w:ascii="Bookman Old Style" w:hAnsi="Bookman Old Style"/>
        </w:rPr>
        <w:t xml:space="preserve"> con el reporte hecho en la base de calidad (formatos B1 y B2)</w:t>
      </w:r>
      <w:r w:rsidR="00830794">
        <w:rPr>
          <w:rFonts w:ascii="Bookman Old Style" w:hAnsi="Bookman Old Style"/>
        </w:rPr>
        <w:t>.</w:t>
      </w:r>
    </w:p>
    <w:p w:rsidR="003C7A81" w:rsidRPr="00622E35" w:rsidRDefault="003C7A81" w:rsidP="00830794">
      <w:pPr>
        <w:pStyle w:val="Textoindependiente2"/>
        <w:spacing w:line="240" w:lineRule="auto"/>
        <w:ind w:left="927"/>
        <w:jc w:val="both"/>
        <w:rPr>
          <w:rFonts w:ascii="Bookman Old Style" w:hAnsi="Bookman Old Style"/>
          <w:sz w:val="4"/>
        </w:rPr>
      </w:pPr>
    </w:p>
    <w:p w:rsidR="00830794" w:rsidRPr="00426303" w:rsidRDefault="00431DA3" w:rsidP="00431DA3">
      <w:pPr>
        <w:pStyle w:val="Textoindependiente2"/>
        <w:numPr>
          <w:ilvl w:val="0"/>
          <w:numId w:val="34"/>
        </w:numPr>
        <w:spacing w:line="240" w:lineRule="auto"/>
        <w:jc w:val="both"/>
        <w:rPr>
          <w:rFonts w:ascii="Bookman Old Style" w:hAnsi="Bookman Old Style"/>
          <w:b/>
        </w:rPr>
      </w:pPr>
      <w:r w:rsidRPr="00426303">
        <w:rPr>
          <w:rFonts w:ascii="Bookman Old Style" w:hAnsi="Bookman Old Style"/>
          <w:b/>
        </w:rPr>
        <w:t xml:space="preserve">Oficio de la EEP </w:t>
      </w:r>
    </w:p>
    <w:p w:rsidR="006831DD" w:rsidRDefault="00431DA3" w:rsidP="00431DA3">
      <w:pPr>
        <w:pStyle w:val="Textoindependiente2"/>
        <w:spacing w:line="240" w:lineRule="auto"/>
        <w:ind w:left="927"/>
        <w:jc w:val="both"/>
        <w:rPr>
          <w:rFonts w:ascii="Bookman Old Style" w:hAnsi="Bookman Old Style"/>
        </w:rPr>
      </w:pPr>
      <w:r>
        <w:rPr>
          <w:rFonts w:ascii="Bookman Old Style" w:hAnsi="Bookman Old Style"/>
        </w:rPr>
        <w:t>La comunicación EEP 700-2923 de junio de 2010 menciona que</w:t>
      </w:r>
      <w:r w:rsidR="006831DD">
        <w:rPr>
          <w:rFonts w:ascii="Bookman Old Style" w:hAnsi="Bookman Old Style"/>
        </w:rPr>
        <w:t>:</w:t>
      </w:r>
    </w:p>
    <w:p w:rsidR="00830794" w:rsidRDefault="00431DA3" w:rsidP="00622E35">
      <w:pPr>
        <w:pStyle w:val="Textoindependiente2"/>
        <w:spacing w:after="0" w:line="240" w:lineRule="auto"/>
        <w:ind w:left="1276" w:right="567"/>
        <w:jc w:val="both"/>
        <w:rPr>
          <w:rFonts w:ascii="Bookman Old Style" w:hAnsi="Bookman Old Style"/>
          <w:i/>
        </w:rPr>
      </w:pPr>
      <w:r w:rsidRPr="006831DD">
        <w:rPr>
          <w:rFonts w:ascii="Bookman Old Style" w:hAnsi="Bookman Old Style"/>
          <w:i/>
        </w:rPr>
        <w:t>“</w:t>
      </w:r>
      <w:r w:rsidR="006831DD" w:rsidRPr="006831DD">
        <w:rPr>
          <w:rFonts w:ascii="Bookman Old Style" w:hAnsi="Bookman Old Style"/>
          <w:i/>
        </w:rPr>
        <w:t>(…)</w:t>
      </w:r>
      <w:r w:rsidR="006831DD">
        <w:rPr>
          <w:rFonts w:ascii="Bookman Old Style" w:hAnsi="Bookman Old Style"/>
          <w:i/>
        </w:rPr>
        <w:t xml:space="preserve"> </w:t>
      </w:r>
      <w:r w:rsidRPr="00431DA3">
        <w:rPr>
          <w:rFonts w:ascii="Bookman Old Style" w:hAnsi="Bookman Old Style"/>
          <w:i/>
        </w:rPr>
        <w:t>la información no es suficiente para los años 2006 y 2007 con la cual debe calcularse el componente EPU</w:t>
      </w:r>
      <w:r w:rsidRPr="006831DD">
        <w:rPr>
          <w:rFonts w:ascii="Bookman Old Style" w:hAnsi="Bookman Old Style"/>
          <w:i/>
          <w:vertAlign w:val="subscript"/>
        </w:rPr>
        <w:t xml:space="preserve">n,q,p </w:t>
      </w:r>
      <w:r w:rsidRPr="00431DA3">
        <w:rPr>
          <w:rFonts w:ascii="Bookman Old Style" w:hAnsi="Bookman Old Style"/>
          <w:i/>
        </w:rPr>
        <w:t>(Energía Promedio Por Usuario) según aclaración del artículo 3 de la Resolución CREG 067 de 2010 que modifica la Resolución CREG 098 de 2009, en la cual, debe disponerse para dicho cálculo del consumo y los días facturados mensualmente al usuario que es atendido por otros Comercializadores que atienden clientes en nuestro mercado</w:t>
      </w:r>
      <w:r w:rsidRPr="006831DD">
        <w:rPr>
          <w:rFonts w:ascii="Bookman Old Style" w:hAnsi="Bookman Old Style"/>
          <w:i/>
        </w:rPr>
        <w:t>.”</w:t>
      </w:r>
    </w:p>
    <w:p w:rsidR="00622E35" w:rsidRPr="006831DD" w:rsidRDefault="00622E35" w:rsidP="00622E35">
      <w:pPr>
        <w:pStyle w:val="Textoindependiente2"/>
        <w:spacing w:after="0" w:line="240" w:lineRule="auto"/>
        <w:ind w:left="1276" w:right="567"/>
        <w:jc w:val="both"/>
        <w:rPr>
          <w:rFonts w:ascii="Bookman Old Style" w:hAnsi="Bookman Old Style"/>
          <w:i/>
        </w:rPr>
      </w:pPr>
    </w:p>
    <w:p w:rsidR="007E1F82" w:rsidRDefault="00B223FA" w:rsidP="00622E35">
      <w:pPr>
        <w:pStyle w:val="Textoindependiente2"/>
        <w:spacing w:after="0" w:line="240" w:lineRule="auto"/>
        <w:ind w:left="927"/>
        <w:jc w:val="both"/>
        <w:rPr>
          <w:rFonts w:ascii="Bookman Old Style" w:hAnsi="Bookman Old Style"/>
        </w:rPr>
      </w:pPr>
      <w:r>
        <w:rPr>
          <w:rFonts w:ascii="Bookman Old Style" w:hAnsi="Bookman Old Style"/>
        </w:rPr>
        <w:t>Sobre el particular</w:t>
      </w:r>
      <w:r w:rsidR="003C7A81">
        <w:rPr>
          <w:rFonts w:ascii="Bookman Old Style" w:hAnsi="Bookman Old Style"/>
        </w:rPr>
        <w:t>,</w:t>
      </w:r>
      <w:r>
        <w:rPr>
          <w:rFonts w:ascii="Bookman Old Style" w:hAnsi="Bookman Old Style"/>
        </w:rPr>
        <w:t xml:space="preserve"> la CREG no coincide con la apreciación hecha por la Empresa de Energía de Pereira</w:t>
      </w:r>
      <w:r w:rsidR="006831DD">
        <w:rPr>
          <w:rFonts w:ascii="Bookman Old Style" w:hAnsi="Bookman Old Style"/>
        </w:rPr>
        <w:t>,</w:t>
      </w:r>
      <w:r>
        <w:rPr>
          <w:rFonts w:ascii="Bookman Old Style" w:hAnsi="Bookman Old Style"/>
        </w:rPr>
        <w:t xml:space="preserve"> ya que el porcentaje de cruce obtenido entre la base de datos comercial y la base de datos de calidad fue cercano al 100% como se manifestó en el Documento CREG 031 de 2011</w:t>
      </w:r>
      <w:r w:rsidR="003C7A81">
        <w:rPr>
          <w:rFonts w:ascii="Bookman Old Style" w:hAnsi="Bookman Old Style"/>
        </w:rPr>
        <w:t xml:space="preserve">el cual sirve de soporte a la Resolución CREG </w:t>
      </w:r>
      <w:r w:rsidR="002B2825">
        <w:rPr>
          <w:rFonts w:ascii="Bookman Old Style" w:hAnsi="Bookman Old Style"/>
        </w:rPr>
        <w:t>034 de 2011</w:t>
      </w:r>
      <w:r>
        <w:rPr>
          <w:rFonts w:ascii="Bookman Old Style" w:hAnsi="Bookman Old Style"/>
        </w:rPr>
        <w:t>:</w:t>
      </w:r>
    </w:p>
    <w:p w:rsidR="00622E35" w:rsidRDefault="00622E35" w:rsidP="00622E35">
      <w:pPr>
        <w:pStyle w:val="Textoindependiente2"/>
        <w:spacing w:after="0" w:line="240" w:lineRule="auto"/>
        <w:ind w:left="927"/>
        <w:jc w:val="both"/>
        <w:rPr>
          <w:rFonts w:ascii="Bookman Old Style" w:hAnsi="Bookman Old Style"/>
        </w:rPr>
      </w:pPr>
    </w:p>
    <w:p w:rsidR="00B223FA" w:rsidRDefault="00B223FA" w:rsidP="00622E35">
      <w:pPr>
        <w:pStyle w:val="Textoindependiente2"/>
        <w:spacing w:after="0" w:line="240" w:lineRule="auto"/>
        <w:ind w:left="1276" w:right="567"/>
        <w:jc w:val="both"/>
        <w:rPr>
          <w:rFonts w:ascii="Bookman Old Style" w:hAnsi="Bookman Old Style"/>
          <w:i/>
        </w:rPr>
      </w:pPr>
      <w:r w:rsidRPr="006831DD">
        <w:rPr>
          <w:rFonts w:ascii="Bookman Old Style" w:hAnsi="Bookman Old Style"/>
          <w:i/>
        </w:rPr>
        <w:t xml:space="preserve">“Finalmente al revisar la información de códigos NIU de los años 2006 y 2007 reportados en los formatos comerciales del SUI, para el mercado de comercialización atendido por la Empresa de Energía de Pereira S.A. E.S.P., se encontró que el 99.82% pueden ser asociados con la información </w:t>
      </w:r>
      <w:r w:rsidR="006831DD" w:rsidRPr="006831DD">
        <w:rPr>
          <w:rFonts w:ascii="Bookman Old Style" w:hAnsi="Bookman Old Style"/>
          <w:i/>
        </w:rPr>
        <w:t xml:space="preserve">reportada en los formatos de calidad. Por tanto la información que se utiliza para el cálculo </w:t>
      </w:r>
      <w:r w:rsidR="006831DD" w:rsidRPr="006831DD">
        <w:rPr>
          <w:rFonts w:ascii="Bookman Old Style" w:hAnsi="Bookman Old Style"/>
          <w:i/>
        </w:rPr>
        <w:lastRenderedPageBreak/>
        <w:t>corresponde a la mejor información disponible y se acoge a lo establecido en la Resolución CREG 097 de 2008.”</w:t>
      </w:r>
    </w:p>
    <w:p w:rsidR="00622E35" w:rsidRPr="006831DD" w:rsidRDefault="00622E35" w:rsidP="00622E35">
      <w:pPr>
        <w:pStyle w:val="Textoindependiente2"/>
        <w:spacing w:after="0" w:line="240" w:lineRule="auto"/>
        <w:ind w:left="1276" w:right="567"/>
        <w:jc w:val="both"/>
        <w:rPr>
          <w:rFonts w:ascii="Bookman Old Style" w:hAnsi="Bookman Old Style"/>
          <w:i/>
        </w:rPr>
      </w:pPr>
    </w:p>
    <w:p w:rsidR="007E1F82" w:rsidRDefault="006831DD" w:rsidP="006831DD">
      <w:pPr>
        <w:pStyle w:val="Textoindependiente2"/>
        <w:spacing w:line="240" w:lineRule="auto"/>
        <w:ind w:left="927"/>
        <w:jc w:val="both"/>
        <w:rPr>
          <w:rFonts w:ascii="Bookman Old Style" w:hAnsi="Bookman Old Style"/>
        </w:rPr>
      </w:pPr>
      <w:r>
        <w:rPr>
          <w:rFonts w:ascii="Bookman Old Style" w:hAnsi="Bookman Old Style"/>
        </w:rPr>
        <w:t xml:space="preserve">Sin embargo, es importante anotar que las posibles fallas en los reportes hechos al SUI por los comercializadores del mercado del OR no pueden ser subsanadas por la CREG, por las mismas razones que fueron expuestas en las consideraciones </w:t>
      </w:r>
      <w:r w:rsidR="00B969D5">
        <w:rPr>
          <w:rFonts w:ascii="Bookman Old Style" w:hAnsi="Bookman Old Style"/>
        </w:rPr>
        <w:t>d</w:t>
      </w:r>
      <w:r>
        <w:rPr>
          <w:rFonts w:ascii="Bookman Old Style" w:hAnsi="Bookman Old Style"/>
        </w:rPr>
        <w:t>el numeral anterior.</w:t>
      </w:r>
    </w:p>
    <w:p w:rsidR="002B2825" w:rsidRDefault="002B2825" w:rsidP="006831DD">
      <w:pPr>
        <w:pStyle w:val="Textoindependiente2"/>
        <w:spacing w:line="240" w:lineRule="auto"/>
        <w:ind w:left="927"/>
        <w:jc w:val="both"/>
        <w:rPr>
          <w:rFonts w:ascii="Bookman Old Style" w:hAnsi="Bookman Old Style"/>
        </w:rPr>
      </w:pPr>
    </w:p>
    <w:p w:rsidR="007E1F82" w:rsidRPr="00426303" w:rsidRDefault="00AA2C51" w:rsidP="00AA2C51">
      <w:pPr>
        <w:pStyle w:val="Textoindependiente2"/>
        <w:numPr>
          <w:ilvl w:val="0"/>
          <w:numId w:val="34"/>
        </w:numPr>
        <w:spacing w:line="240" w:lineRule="auto"/>
        <w:jc w:val="both"/>
        <w:rPr>
          <w:rFonts w:ascii="Bookman Old Style" w:hAnsi="Bookman Old Style"/>
          <w:b/>
        </w:rPr>
      </w:pPr>
      <w:r w:rsidRPr="00426303">
        <w:rPr>
          <w:rFonts w:ascii="Bookman Old Style" w:hAnsi="Bookman Old Style"/>
          <w:b/>
        </w:rPr>
        <w:t>Información identificada como exclusión en los Formatos T</w:t>
      </w:r>
    </w:p>
    <w:p w:rsidR="00D552E6" w:rsidRDefault="00D552E6" w:rsidP="00B969D5">
      <w:pPr>
        <w:pStyle w:val="Textoindependiente2"/>
        <w:spacing w:line="240" w:lineRule="auto"/>
        <w:ind w:left="927"/>
        <w:jc w:val="both"/>
      </w:pPr>
      <w:r>
        <w:rPr>
          <w:rFonts w:ascii="Bookman Old Style" w:hAnsi="Bookman Old Style"/>
        </w:rPr>
        <w:t>La CREG, mediante la Circular 047 de 2009</w:t>
      </w:r>
      <w:r w:rsidR="00586187">
        <w:rPr>
          <w:rFonts w:ascii="Bookman Old Style" w:hAnsi="Bookman Old Style"/>
        </w:rPr>
        <w:t>,</w:t>
      </w:r>
      <w:r>
        <w:rPr>
          <w:rFonts w:ascii="Bookman Old Style" w:hAnsi="Bookman Old Style"/>
        </w:rPr>
        <w:t xml:space="preserve"> solicitó a los OR:</w:t>
      </w:r>
      <w:r w:rsidRPr="00D552E6">
        <w:t xml:space="preserve"> </w:t>
      </w:r>
    </w:p>
    <w:p w:rsidR="00D552E6" w:rsidRDefault="00D552E6" w:rsidP="00D552E6"/>
    <w:p w:rsidR="00D552E6" w:rsidRPr="00D552E6" w:rsidRDefault="00D552E6" w:rsidP="00D552E6">
      <w:pPr>
        <w:pStyle w:val="Textoindependiente2"/>
        <w:spacing w:line="240" w:lineRule="auto"/>
        <w:ind w:left="1276" w:right="567"/>
        <w:jc w:val="both"/>
        <w:rPr>
          <w:rFonts w:ascii="Bookman Old Style" w:hAnsi="Bookman Old Style"/>
          <w:i/>
        </w:rPr>
      </w:pPr>
      <w:r>
        <w:rPr>
          <w:rFonts w:ascii="Bookman Old Style" w:hAnsi="Bookman Old Style"/>
          <w:i/>
        </w:rPr>
        <w:t xml:space="preserve">“(…) </w:t>
      </w:r>
      <w:r w:rsidRPr="00D552E6">
        <w:rPr>
          <w:rFonts w:ascii="Bookman Old Style" w:hAnsi="Bookman Old Style"/>
          <w:i/>
        </w:rPr>
        <w:t>reportar la información de las interrupciones que no deban ser incluidas en el cálculo del IRAD con base en las exclusiones descritas en los literales b), c), d) y h) del numeral 11.2.1.2 del anexo gener</w:t>
      </w:r>
      <w:r>
        <w:rPr>
          <w:rFonts w:ascii="Bookman Old Style" w:hAnsi="Bookman Old Style"/>
          <w:i/>
        </w:rPr>
        <w:t>al de la resolución mencionada.”</w:t>
      </w:r>
    </w:p>
    <w:p w:rsidR="00AA2C51" w:rsidRDefault="00D552E6" w:rsidP="00AA2C51">
      <w:pPr>
        <w:pStyle w:val="Textoindependiente2"/>
        <w:spacing w:line="240" w:lineRule="auto"/>
        <w:ind w:left="927"/>
        <w:jc w:val="both"/>
        <w:rPr>
          <w:rFonts w:ascii="Bookman Old Style" w:hAnsi="Bookman Old Style"/>
        </w:rPr>
      </w:pPr>
      <w:r>
        <w:rPr>
          <w:rFonts w:ascii="Bookman Old Style" w:hAnsi="Bookman Old Style"/>
        </w:rPr>
        <w:t>En respuesta a esta solicitud, mediante la comunicación con radicado CREG E-2009-011389 de diciembre de 2009</w:t>
      </w:r>
      <w:r w:rsidR="00586187">
        <w:rPr>
          <w:rFonts w:ascii="Bookman Old Style" w:hAnsi="Bookman Old Style"/>
        </w:rPr>
        <w:t>, la Empresa de E</w:t>
      </w:r>
      <w:r>
        <w:rPr>
          <w:rFonts w:ascii="Bookman Old Style" w:hAnsi="Bookman Old Style"/>
        </w:rPr>
        <w:t xml:space="preserve">nergía de Pereira manifestó </w:t>
      </w:r>
      <w:r w:rsidR="00586187">
        <w:rPr>
          <w:rFonts w:ascii="Bookman Old Style" w:hAnsi="Bookman Old Style"/>
        </w:rPr>
        <w:t>que:</w:t>
      </w:r>
    </w:p>
    <w:p w:rsidR="00586187" w:rsidRPr="00586187" w:rsidRDefault="00586187" w:rsidP="00586187">
      <w:pPr>
        <w:pStyle w:val="Textoindependiente2"/>
        <w:spacing w:line="240" w:lineRule="auto"/>
        <w:ind w:left="1276" w:right="567"/>
        <w:jc w:val="both"/>
        <w:rPr>
          <w:rFonts w:ascii="Bookman Old Style" w:hAnsi="Bookman Old Style"/>
          <w:i/>
        </w:rPr>
      </w:pPr>
      <w:r w:rsidRPr="00586187">
        <w:rPr>
          <w:rFonts w:ascii="Bookman Old Style" w:hAnsi="Bookman Old Style"/>
          <w:i/>
        </w:rPr>
        <w:t>“(…) no encontró información de interrupciones que deban ser excluidas del cálculo del IRAD según las exclusiones descritas en los literales b), c), d) y h) del numeral 11.2.1.2 del anexo general de la Resolución CREG 097 de 2008”.</w:t>
      </w:r>
    </w:p>
    <w:p w:rsidR="007E1F82" w:rsidRDefault="00586187" w:rsidP="00CB281C">
      <w:pPr>
        <w:pStyle w:val="Textoindependiente2"/>
        <w:spacing w:line="240" w:lineRule="auto"/>
        <w:ind w:left="927"/>
        <w:jc w:val="both"/>
        <w:rPr>
          <w:rFonts w:ascii="Bookman Old Style" w:hAnsi="Bookman Old Style"/>
        </w:rPr>
      </w:pPr>
      <w:r>
        <w:rPr>
          <w:rFonts w:ascii="Bookman Old Style" w:hAnsi="Bookman Old Style"/>
        </w:rPr>
        <w:t>De lo anterior la CREG entiende que la Empresa de Energía de Pereira afirma que las interrupciones reportadas por la empresa en los formatos B1 y B2 del SUI durante los años 2006 y 2007 no pueden ser clasificadas dentro de las exclusiones identificadas en la metodología establecida para el cálculo de los índices de discontinuidad.</w:t>
      </w:r>
    </w:p>
    <w:p w:rsidR="00586187" w:rsidRDefault="00586187" w:rsidP="00CB281C">
      <w:pPr>
        <w:pStyle w:val="Textoindependiente2"/>
        <w:spacing w:line="240" w:lineRule="auto"/>
        <w:ind w:left="927"/>
        <w:jc w:val="both"/>
        <w:rPr>
          <w:rFonts w:ascii="Bookman Old Style" w:hAnsi="Bookman Old Style"/>
        </w:rPr>
      </w:pPr>
      <w:r>
        <w:rPr>
          <w:rFonts w:ascii="Bookman Old Style" w:hAnsi="Bookman Old Style"/>
        </w:rPr>
        <w:t>Sin embargo, la CREG consultó la información reportada por el OR en los formatos T1 y T</w:t>
      </w:r>
      <w:r w:rsidR="009F3399">
        <w:rPr>
          <w:rFonts w:ascii="Bookman Old Style" w:hAnsi="Bookman Old Style"/>
        </w:rPr>
        <w:t>2 del SUI, en el que se detallaron</w:t>
      </w:r>
      <w:r>
        <w:rPr>
          <w:rFonts w:ascii="Bookman Old Style" w:hAnsi="Bookman Old Style"/>
        </w:rPr>
        <w:t xml:space="preserve"> las</w:t>
      </w:r>
      <w:r w:rsidR="009F3399">
        <w:rPr>
          <w:rFonts w:ascii="Bookman Old Style" w:hAnsi="Bookman Old Style"/>
        </w:rPr>
        <w:t xml:space="preserve"> causas y las duraciones de las interrupciones de fuerza mayor y exclusiones, reportadas con respecto a los años 2006 y 2007. A partir de esta consulta</w:t>
      </w:r>
      <w:r w:rsidR="00B969D5">
        <w:rPr>
          <w:rFonts w:ascii="Bookman Old Style" w:hAnsi="Bookman Old Style"/>
        </w:rPr>
        <w:t>,</w:t>
      </w:r>
      <w:r w:rsidR="009F3399">
        <w:rPr>
          <w:rFonts w:ascii="Bookman Old Style" w:hAnsi="Bookman Old Style"/>
        </w:rPr>
        <w:t xml:space="preserve"> la CREG </w:t>
      </w:r>
      <w:r w:rsidR="00CB281C">
        <w:rPr>
          <w:rFonts w:ascii="Bookman Old Style" w:hAnsi="Bookman Old Style"/>
        </w:rPr>
        <w:t>identificó interrupciones que con base en la descripción del evento</w:t>
      </w:r>
      <w:r w:rsidR="00B969D5">
        <w:rPr>
          <w:rFonts w:ascii="Bookman Old Style" w:hAnsi="Bookman Old Style"/>
        </w:rPr>
        <w:t>,</w:t>
      </w:r>
      <w:r w:rsidR="00CB281C">
        <w:rPr>
          <w:rFonts w:ascii="Bookman Old Style" w:hAnsi="Bookman Old Style"/>
        </w:rPr>
        <w:t xml:space="preserve"> hecha por el OR</w:t>
      </w:r>
      <w:r w:rsidR="00B969D5">
        <w:rPr>
          <w:rFonts w:ascii="Bookman Old Style" w:hAnsi="Bookman Old Style"/>
        </w:rPr>
        <w:t>,</w:t>
      </w:r>
      <w:r w:rsidR="00CB281C">
        <w:rPr>
          <w:rFonts w:ascii="Bookman Old Style" w:hAnsi="Bookman Old Style"/>
        </w:rPr>
        <w:t xml:space="preserve"> se ajustan a las exclusiones definidas en la Resolución CREG 097 de 2008</w:t>
      </w:r>
      <w:r w:rsidR="00B969D5">
        <w:rPr>
          <w:rFonts w:ascii="Bookman Old Style" w:hAnsi="Bookman Old Style"/>
        </w:rPr>
        <w:t>. Esta información fue remitida al expediente de la actuación administrativa</w:t>
      </w:r>
      <w:r w:rsidR="00CB281C">
        <w:rPr>
          <w:rFonts w:ascii="Bookman Old Style" w:hAnsi="Bookman Old Style"/>
        </w:rPr>
        <w:t>.</w:t>
      </w:r>
    </w:p>
    <w:p w:rsidR="00CB281C" w:rsidRDefault="00CB281C" w:rsidP="00CB281C">
      <w:pPr>
        <w:pStyle w:val="Textoindependiente2"/>
        <w:spacing w:line="240" w:lineRule="auto"/>
        <w:ind w:left="927"/>
        <w:jc w:val="both"/>
        <w:rPr>
          <w:rFonts w:ascii="Bookman Old Style" w:hAnsi="Bookman Old Style"/>
        </w:rPr>
      </w:pPr>
      <w:r>
        <w:rPr>
          <w:rFonts w:ascii="Bookman Old Style" w:hAnsi="Bookman Old Style"/>
        </w:rPr>
        <w:t>Al revisar los registros de la consulta</w:t>
      </w:r>
      <w:r w:rsidR="00B969D5">
        <w:rPr>
          <w:rFonts w:ascii="Bookman Old Style" w:hAnsi="Bookman Old Style"/>
        </w:rPr>
        <w:t xml:space="preserve"> SUI</w:t>
      </w:r>
      <w:r>
        <w:rPr>
          <w:rFonts w:ascii="Bookman Old Style" w:hAnsi="Bookman Old Style"/>
        </w:rPr>
        <w:t xml:space="preserve"> hecha el día 20 de noviembre de 2009,</w:t>
      </w:r>
      <w:r w:rsidR="00F37D58">
        <w:rPr>
          <w:rFonts w:ascii="Bookman Old Style" w:hAnsi="Bookman Old Style"/>
        </w:rPr>
        <w:t xml:space="preserve"> cuya información fue</w:t>
      </w:r>
      <w:r>
        <w:rPr>
          <w:rFonts w:ascii="Bookman Old Style" w:hAnsi="Bookman Old Style"/>
        </w:rPr>
        <w:t xml:space="preserve"> utilizada por la CREG para calcular los índices de la Resolución CREG 034 de 2011</w:t>
      </w:r>
      <w:r w:rsidR="00B969D5">
        <w:rPr>
          <w:rFonts w:ascii="Bookman Old Style" w:hAnsi="Bookman Old Style"/>
        </w:rPr>
        <w:t>,</w:t>
      </w:r>
      <w:r>
        <w:rPr>
          <w:rFonts w:ascii="Bookman Old Style" w:hAnsi="Bookman Old Style"/>
        </w:rPr>
        <w:t xml:space="preserve"> y compararla </w:t>
      </w:r>
      <w:r w:rsidR="002A7519">
        <w:rPr>
          <w:rFonts w:ascii="Bookman Old Style" w:hAnsi="Bookman Old Style"/>
        </w:rPr>
        <w:t xml:space="preserve">con </w:t>
      </w:r>
      <w:r w:rsidR="00B969D5">
        <w:rPr>
          <w:rFonts w:ascii="Bookman Old Style" w:hAnsi="Bookman Old Style"/>
        </w:rPr>
        <w:t>una nueva</w:t>
      </w:r>
      <w:r>
        <w:rPr>
          <w:rFonts w:ascii="Bookman Old Style" w:hAnsi="Bookman Old Style"/>
        </w:rPr>
        <w:t xml:space="preserve"> consulta</w:t>
      </w:r>
      <w:r w:rsidR="00980302">
        <w:rPr>
          <w:rFonts w:ascii="Bookman Old Style" w:hAnsi="Bookman Old Style"/>
        </w:rPr>
        <w:t>,</w:t>
      </w:r>
      <w:r w:rsidR="00B969D5">
        <w:rPr>
          <w:rFonts w:ascii="Bookman Old Style" w:hAnsi="Bookman Old Style"/>
        </w:rPr>
        <w:t xml:space="preserve"> </w:t>
      </w:r>
      <w:r>
        <w:rPr>
          <w:rFonts w:ascii="Bookman Old Style" w:hAnsi="Bookman Old Style"/>
        </w:rPr>
        <w:t>realizada el día 20 de mayo de 2011</w:t>
      </w:r>
      <w:r w:rsidR="00B969D5">
        <w:rPr>
          <w:rFonts w:ascii="Bookman Old Style" w:hAnsi="Bookman Old Style"/>
        </w:rPr>
        <w:t>,</w:t>
      </w:r>
      <w:r>
        <w:rPr>
          <w:rFonts w:ascii="Bookman Old Style" w:hAnsi="Bookman Old Style"/>
        </w:rPr>
        <w:t xml:space="preserve"> se encuentra que los registros de las dos consultas son idénticos.</w:t>
      </w:r>
    </w:p>
    <w:p w:rsidR="00CB281C" w:rsidRDefault="00CB281C" w:rsidP="00CB281C">
      <w:pPr>
        <w:pStyle w:val="Textoindependiente2"/>
        <w:spacing w:line="240" w:lineRule="auto"/>
        <w:ind w:left="927"/>
        <w:jc w:val="both"/>
        <w:rPr>
          <w:rFonts w:ascii="Bookman Old Style" w:hAnsi="Bookman Old Style"/>
        </w:rPr>
      </w:pPr>
      <w:r>
        <w:rPr>
          <w:rFonts w:ascii="Bookman Old Style" w:hAnsi="Bookman Old Style"/>
        </w:rPr>
        <w:t>Adic</w:t>
      </w:r>
      <w:r w:rsidR="006F551A">
        <w:rPr>
          <w:rFonts w:ascii="Bookman Old Style" w:hAnsi="Bookman Old Style"/>
        </w:rPr>
        <w:t>i</w:t>
      </w:r>
      <w:r>
        <w:rPr>
          <w:rFonts w:ascii="Bookman Old Style" w:hAnsi="Bookman Old Style"/>
        </w:rPr>
        <w:t>onalmente, la CREG encuentra que las diferencias identificadas por el OR re</w:t>
      </w:r>
      <w:r w:rsidR="006F551A">
        <w:rPr>
          <w:rFonts w:ascii="Bookman Old Style" w:hAnsi="Bookman Old Style"/>
        </w:rPr>
        <w:t>s</w:t>
      </w:r>
      <w:r>
        <w:rPr>
          <w:rFonts w:ascii="Bookman Old Style" w:hAnsi="Bookman Old Style"/>
        </w:rPr>
        <w:t>pecto a la información co</w:t>
      </w:r>
      <w:r w:rsidR="006F551A">
        <w:rPr>
          <w:rFonts w:ascii="Bookman Old Style" w:hAnsi="Bookman Old Style"/>
        </w:rPr>
        <w:t>n</w:t>
      </w:r>
      <w:r>
        <w:rPr>
          <w:rFonts w:ascii="Bookman Old Style" w:hAnsi="Bookman Old Style"/>
        </w:rPr>
        <w:t xml:space="preserve">signada en los formatos T1 y T2 del </w:t>
      </w:r>
      <w:r w:rsidR="006F551A">
        <w:rPr>
          <w:rFonts w:ascii="Bookman Old Style" w:hAnsi="Bookman Old Style"/>
        </w:rPr>
        <w:t>SUI</w:t>
      </w:r>
      <w:r w:rsidR="00F37D58">
        <w:rPr>
          <w:rFonts w:ascii="Bookman Old Style" w:hAnsi="Bookman Old Style"/>
        </w:rPr>
        <w:t xml:space="preserve"> y la anexada al </w:t>
      </w:r>
      <w:r w:rsidR="00720D57">
        <w:rPr>
          <w:rFonts w:ascii="Bookman Old Style" w:hAnsi="Bookman Old Style"/>
        </w:rPr>
        <w:t>documento de soporte</w:t>
      </w:r>
      <w:r w:rsidR="00980302">
        <w:rPr>
          <w:rFonts w:ascii="Bookman Old Style" w:hAnsi="Bookman Old Style"/>
        </w:rPr>
        <w:t>,</w:t>
      </w:r>
      <w:r>
        <w:rPr>
          <w:rFonts w:ascii="Bookman Old Style" w:hAnsi="Bookman Old Style"/>
        </w:rPr>
        <w:t xml:space="preserve"> para los años 2006 y 2007</w:t>
      </w:r>
      <w:r w:rsidR="00980302">
        <w:rPr>
          <w:rFonts w:ascii="Bookman Old Style" w:hAnsi="Bookman Old Style"/>
        </w:rPr>
        <w:t>,</w:t>
      </w:r>
      <w:r>
        <w:rPr>
          <w:rFonts w:ascii="Bookman Old Style" w:hAnsi="Bookman Old Style"/>
        </w:rPr>
        <w:t xml:space="preserve"> se deb</w:t>
      </w:r>
      <w:r w:rsidR="006F551A">
        <w:rPr>
          <w:rFonts w:ascii="Bookman Old Style" w:hAnsi="Bookman Old Style"/>
        </w:rPr>
        <w:t>e</w:t>
      </w:r>
      <w:r>
        <w:rPr>
          <w:rFonts w:ascii="Bookman Old Style" w:hAnsi="Bookman Old Style"/>
        </w:rPr>
        <w:t xml:space="preserve">n a que el anexo entregado con el Documento CREG 031 de 2011 únicamente contiene los registros que fueron </w:t>
      </w:r>
      <w:r w:rsidR="00980302">
        <w:rPr>
          <w:rFonts w:ascii="Bookman Old Style" w:hAnsi="Bookman Old Style"/>
        </w:rPr>
        <w:t>clasificados</w:t>
      </w:r>
      <w:r>
        <w:rPr>
          <w:rFonts w:ascii="Bookman Old Style" w:hAnsi="Bookman Old Style"/>
        </w:rPr>
        <w:t xml:space="preserve"> </w:t>
      </w:r>
      <w:r w:rsidR="006F551A">
        <w:rPr>
          <w:rFonts w:ascii="Bookman Old Style" w:hAnsi="Bookman Old Style"/>
        </w:rPr>
        <w:t xml:space="preserve">por la CREG </w:t>
      </w:r>
      <w:r>
        <w:rPr>
          <w:rFonts w:ascii="Bookman Old Style" w:hAnsi="Bookman Old Style"/>
        </w:rPr>
        <w:t xml:space="preserve">como excluibles del cálculo y por tanto </w:t>
      </w:r>
      <w:r w:rsidR="00F37D58">
        <w:rPr>
          <w:rFonts w:ascii="Bookman Old Style" w:hAnsi="Bookman Old Style"/>
        </w:rPr>
        <w:t xml:space="preserve">los </w:t>
      </w:r>
      <w:r w:rsidR="00980302">
        <w:rPr>
          <w:rFonts w:ascii="Bookman Old Style" w:hAnsi="Bookman Old Style"/>
        </w:rPr>
        <w:t>registro</w:t>
      </w:r>
      <w:r w:rsidR="00F37D58">
        <w:rPr>
          <w:rFonts w:ascii="Bookman Old Style" w:hAnsi="Bookman Old Style"/>
        </w:rPr>
        <w:t>s</w:t>
      </w:r>
      <w:r w:rsidR="00980302">
        <w:rPr>
          <w:rFonts w:ascii="Bookman Old Style" w:hAnsi="Bookman Old Style"/>
        </w:rPr>
        <w:t xml:space="preserve"> </w:t>
      </w:r>
      <w:r w:rsidR="00F37D58">
        <w:rPr>
          <w:rFonts w:ascii="Bookman Old Style" w:hAnsi="Bookman Old Style"/>
        </w:rPr>
        <w:t xml:space="preserve">que allí </w:t>
      </w:r>
      <w:r w:rsidR="00F37D58">
        <w:rPr>
          <w:rFonts w:ascii="Bookman Old Style" w:hAnsi="Bookman Old Style"/>
        </w:rPr>
        <w:lastRenderedPageBreak/>
        <w:t xml:space="preserve">reposan </w:t>
      </w:r>
      <w:r w:rsidR="00980302">
        <w:rPr>
          <w:rFonts w:ascii="Bookman Old Style" w:hAnsi="Bookman Old Style"/>
        </w:rPr>
        <w:t>no</w:t>
      </w:r>
      <w:r w:rsidR="00F37D58">
        <w:rPr>
          <w:rFonts w:ascii="Bookman Old Style" w:hAnsi="Bookman Old Style"/>
        </w:rPr>
        <w:t xml:space="preserve"> </w:t>
      </w:r>
      <w:r>
        <w:rPr>
          <w:rFonts w:ascii="Bookman Old Style" w:hAnsi="Bookman Old Style"/>
        </w:rPr>
        <w:t xml:space="preserve">son comparables con </w:t>
      </w:r>
      <w:r w:rsidR="00980302">
        <w:rPr>
          <w:rFonts w:ascii="Bookman Old Style" w:hAnsi="Bookman Old Style"/>
        </w:rPr>
        <w:t xml:space="preserve">los del </w:t>
      </w:r>
      <w:r w:rsidR="006F551A">
        <w:rPr>
          <w:rFonts w:ascii="Bookman Old Style" w:hAnsi="Bookman Old Style"/>
        </w:rPr>
        <w:t>reporte</w:t>
      </w:r>
      <w:r>
        <w:rPr>
          <w:rFonts w:ascii="Bookman Old Style" w:hAnsi="Bookman Old Style"/>
        </w:rPr>
        <w:t xml:space="preserve"> original </w:t>
      </w:r>
      <w:r w:rsidR="00AA07E8">
        <w:rPr>
          <w:rFonts w:ascii="Bookman Old Style" w:hAnsi="Bookman Old Style"/>
        </w:rPr>
        <w:t xml:space="preserve">contenido en </w:t>
      </w:r>
      <w:r>
        <w:rPr>
          <w:rFonts w:ascii="Bookman Old Style" w:hAnsi="Bookman Old Style"/>
        </w:rPr>
        <w:t>el SUI</w:t>
      </w:r>
      <w:r w:rsidR="006F551A">
        <w:rPr>
          <w:rFonts w:ascii="Bookman Old Style" w:hAnsi="Bookman Old Style"/>
        </w:rPr>
        <w:t>.</w:t>
      </w:r>
    </w:p>
    <w:p w:rsidR="00B536F6" w:rsidRPr="00190ADA" w:rsidRDefault="00B536F6" w:rsidP="00426303">
      <w:pPr>
        <w:pStyle w:val="Textoindependiente2"/>
        <w:keepNext/>
        <w:overflowPunct w:val="0"/>
        <w:autoSpaceDE w:val="0"/>
        <w:autoSpaceDN w:val="0"/>
        <w:adjustRightInd w:val="0"/>
        <w:spacing w:after="0" w:line="240" w:lineRule="auto"/>
        <w:jc w:val="both"/>
        <w:textAlignment w:val="baseline"/>
        <w:rPr>
          <w:rFonts w:ascii="Bookman Old Style" w:hAnsi="Bookman Old Style"/>
          <w:b/>
          <w:lang w:val="es-CO"/>
        </w:rPr>
      </w:pPr>
      <w:r w:rsidRPr="00190ADA">
        <w:rPr>
          <w:rFonts w:ascii="Bookman Old Style" w:hAnsi="Bookman Old Style"/>
          <w:b/>
          <w:lang w:val="es-CO"/>
        </w:rPr>
        <w:t xml:space="preserve">Conclusión </w:t>
      </w:r>
    </w:p>
    <w:p w:rsidR="00B536F6" w:rsidRPr="008A0C8F" w:rsidRDefault="00B536F6" w:rsidP="00426303">
      <w:pPr>
        <w:pStyle w:val="Textoindependiente2"/>
        <w:keepNext/>
        <w:spacing w:line="240" w:lineRule="auto"/>
        <w:rPr>
          <w:rFonts w:ascii="Bookman Old Style" w:hAnsi="Bookman Old Style"/>
          <w:b/>
          <w:sz w:val="16"/>
          <w:lang w:val="es-CO"/>
        </w:rPr>
      </w:pPr>
    </w:p>
    <w:p w:rsidR="00C21A5C" w:rsidRDefault="005D262B" w:rsidP="00CF039A">
      <w:pPr>
        <w:pStyle w:val="Textoindependiente2"/>
        <w:spacing w:line="240" w:lineRule="auto"/>
        <w:jc w:val="both"/>
        <w:rPr>
          <w:rFonts w:ascii="Bookman Old Style" w:hAnsi="Bookman Old Style"/>
          <w:lang w:val="es-CO"/>
        </w:rPr>
      </w:pPr>
      <w:r>
        <w:rPr>
          <w:rFonts w:ascii="Bookman Old Style" w:hAnsi="Bookman Old Style"/>
          <w:lang w:val="es-CO"/>
        </w:rPr>
        <w:t>Las observaciones y justificaciones presentadas por el OR en el recurso de reposició</w:t>
      </w:r>
      <w:r w:rsidR="00A605A8">
        <w:rPr>
          <w:rFonts w:ascii="Bookman Old Style" w:hAnsi="Bookman Old Style"/>
          <w:lang w:val="es-CO"/>
        </w:rPr>
        <w:t xml:space="preserve">n no demuestran que </w:t>
      </w:r>
      <w:r w:rsidR="004F7F87">
        <w:rPr>
          <w:rFonts w:ascii="Bookman Old Style" w:hAnsi="Bookman Old Style"/>
          <w:lang w:val="es-CO"/>
        </w:rPr>
        <w:t>sea necesario revisar los Índices de Referencia de la Discontinuidad, establecido por la Resolución CREG 034 de 2011</w:t>
      </w:r>
      <w:r w:rsidR="002B2825">
        <w:rPr>
          <w:rFonts w:ascii="Bookman Old Style" w:hAnsi="Bookman Old Style"/>
          <w:lang w:val="es-CO"/>
        </w:rPr>
        <w:t>, toda vez que no se evidencian ningún yerro jurídico</w:t>
      </w:r>
      <w:r w:rsidR="00426303">
        <w:rPr>
          <w:rFonts w:ascii="Bookman Old Style" w:hAnsi="Bookman Old Style"/>
          <w:lang w:val="es-CO"/>
        </w:rPr>
        <w:t xml:space="preserve">, </w:t>
      </w:r>
      <w:r w:rsidR="002B2825">
        <w:rPr>
          <w:rFonts w:ascii="Bookman Old Style" w:hAnsi="Bookman Old Style"/>
          <w:lang w:val="es-CO"/>
        </w:rPr>
        <w:t>procesal</w:t>
      </w:r>
      <w:r w:rsidR="00426303">
        <w:rPr>
          <w:rFonts w:ascii="Bookman Old Style" w:hAnsi="Bookman Old Style"/>
          <w:lang w:val="es-CO"/>
        </w:rPr>
        <w:t xml:space="preserve"> o de cálculo</w:t>
      </w:r>
      <w:r w:rsidR="002B2825">
        <w:rPr>
          <w:rFonts w:ascii="Bookman Old Style" w:hAnsi="Bookman Old Style"/>
          <w:lang w:val="es-CO"/>
        </w:rPr>
        <w:t xml:space="preserve"> que amerite la revisión o modificación solicitada</w:t>
      </w:r>
      <w:r w:rsidR="004F7F87">
        <w:rPr>
          <w:rFonts w:ascii="Bookman Old Style" w:hAnsi="Bookman Old Style"/>
          <w:lang w:val="es-CO"/>
        </w:rPr>
        <w:t>.</w:t>
      </w:r>
    </w:p>
    <w:p w:rsidR="008A0C8F" w:rsidRDefault="008A0C8F" w:rsidP="002A6A2F">
      <w:pPr>
        <w:ind w:left="0"/>
        <w:jc w:val="both"/>
        <w:rPr>
          <w:rFonts w:ascii="Bookman Old Style" w:hAnsi="Bookman Old Style"/>
        </w:rPr>
      </w:pPr>
    </w:p>
    <w:p w:rsidR="002A6A2F" w:rsidRPr="00D34DBB" w:rsidRDefault="002A6A2F" w:rsidP="002A6A2F">
      <w:pPr>
        <w:ind w:left="0"/>
        <w:jc w:val="both"/>
        <w:rPr>
          <w:rFonts w:ascii="Bookman Old Style" w:hAnsi="Bookman Old Style"/>
        </w:rPr>
      </w:pPr>
      <w:r>
        <w:rPr>
          <w:rFonts w:ascii="Bookman Old Style" w:hAnsi="Bookman Old Style"/>
        </w:rPr>
        <w:t xml:space="preserve">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w:t>
      </w:r>
      <w:r w:rsidR="005B1C8B">
        <w:rPr>
          <w:rFonts w:ascii="Bookman Old Style" w:hAnsi="Bookman Old Style"/>
        </w:rPr>
        <w:t>competencia en los mercados y</w:t>
      </w:r>
      <w:r>
        <w:rPr>
          <w:rFonts w:ascii="Bookman Old Style" w:hAnsi="Bookman Old Style"/>
        </w:rPr>
        <w:t xml:space="preserve"> no</w:t>
      </w:r>
      <w:r w:rsidR="005B1C8B">
        <w:rPr>
          <w:rFonts w:ascii="Bookman Old Style" w:hAnsi="Bookman Old Style"/>
        </w:rPr>
        <w:t xml:space="preserve"> se</w:t>
      </w:r>
      <w:r>
        <w:rPr>
          <w:rFonts w:ascii="Bookman Old Style" w:hAnsi="Bookman Old Style"/>
        </w:rPr>
        <w:t xml:space="preserve"> requiere informar a la Superintendencia de Industria y Comercio;</w:t>
      </w:r>
    </w:p>
    <w:p w:rsidR="00B536F6" w:rsidRPr="00190ADA" w:rsidRDefault="00B536F6" w:rsidP="00ED0343">
      <w:pPr>
        <w:spacing w:before="240"/>
        <w:ind w:left="0"/>
        <w:jc w:val="both"/>
        <w:rPr>
          <w:rFonts w:ascii="Bookman Old Style" w:hAnsi="Bookman Old Style"/>
        </w:rPr>
      </w:pPr>
      <w:r w:rsidRPr="00190ADA">
        <w:rPr>
          <w:rFonts w:ascii="Bookman Old Style" w:hAnsi="Bookman Old Style"/>
        </w:rPr>
        <w:t xml:space="preserve">La Comisión de Regulación de Energía y Gas, en su sesión No. </w:t>
      </w:r>
      <w:r w:rsidR="00622E35">
        <w:rPr>
          <w:rFonts w:ascii="Bookman Old Style" w:hAnsi="Bookman Old Style"/>
        </w:rPr>
        <w:t>493</w:t>
      </w:r>
      <w:r w:rsidRPr="00190ADA">
        <w:rPr>
          <w:rFonts w:ascii="Bookman Old Style" w:hAnsi="Bookman Old Style"/>
        </w:rPr>
        <w:t xml:space="preserve"> del </w:t>
      </w:r>
      <w:r w:rsidR="00622E35">
        <w:rPr>
          <w:rFonts w:ascii="Bookman Old Style" w:hAnsi="Bookman Old Style"/>
        </w:rPr>
        <w:t>29</w:t>
      </w:r>
      <w:r w:rsidRPr="00190ADA">
        <w:rPr>
          <w:rFonts w:ascii="Bookman Old Style" w:hAnsi="Bookman Old Style"/>
        </w:rPr>
        <w:t xml:space="preserve"> de </w:t>
      </w:r>
      <w:r w:rsidR="00622E35">
        <w:rPr>
          <w:rFonts w:ascii="Bookman Old Style" w:hAnsi="Bookman Old Style"/>
        </w:rPr>
        <w:t>julio</w:t>
      </w:r>
      <w:r w:rsidRPr="00190ADA">
        <w:rPr>
          <w:rFonts w:ascii="Bookman Old Style" w:hAnsi="Bookman Old Style"/>
        </w:rPr>
        <w:t xml:space="preserve"> de </w:t>
      </w:r>
      <w:r w:rsidR="005525A1">
        <w:rPr>
          <w:rFonts w:ascii="Bookman Old Style" w:hAnsi="Bookman Old Style"/>
        </w:rPr>
        <w:t>2011</w:t>
      </w:r>
      <w:r w:rsidRPr="00190ADA">
        <w:rPr>
          <w:rFonts w:ascii="Bookman Old Style" w:hAnsi="Bookman Old Style"/>
        </w:rPr>
        <w:t>, acordó expedir la presente Resolución;</w:t>
      </w:r>
    </w:p>
    <w:p w:rsidR="00B536F6" w:rsidRPr="00190ADA" w:rsidRDefault="00B536F6" w:rsidP="00B536F6">
      <w:pPr>
        <w:jc w:val="center"/>
        <w:rPr>
          <w:rFonts w:ascii="Bookman Old Style" w:hAnsi="Bookman Old Style"/>
          <w:b/>
        </w:rPr>
      </w:pPr>
    </w:p>
    <w:p w:rsidR="00B536F6" w:rsidRDefault="00B536F6" w:rsidP="00BC58F7">
      <w:pPr>
        <w:jc w:val="center"/>
        <w:rPr>
          <w:rFonts w:ascii="Bookman Old Style" w:hAnsi="Bookman Old Style"/>
          <w:b/>
        </w:rPr>
      </w:pPr>
      <w:r w:rsidRPr="00190ADA">
        <w:rPr>
          <w:rFonts w:ascii="Bookman Old Style" w:hAnsi="Bookman Old Style"/>
          <w:b/>
        </w:rPr>
        <w:t>R E</w:t>
      </w:r>
      <w:r w:rsidRPr="00190ADA">
        <w:rPr>
          <w:rFonts w:ascii="Bookman Old Style" w:hAnsi="Bookman Old Style"/>
        </w:rPr>
        <w:t xml:space="preserve"> </w:t>
      </w:r>
      <w:r w:rsidRPr="00190ADA">
        <w:rPr>
          <w:rFonts w:ascii="Bookman Old Style" w:hAnsi="Bookman Old Style"/>
          <w:b/>
        </w:rPr>
        <w:t>S U E L V E:</w:t>
      </w:r>
    </w:p>
    <w:p w:rsidR="00BC58F7" w:rsidRPr="00BC58F7" w:rsidRDefault="00BC58F7" w:rsidP="00BC58F7">
      <w:pPr>
        <w:jc w:val="center"/>
        <w:rPr>
          <w:rFonts w:ascii="Bookman Old Style" w:hAnsi="Bookman Old Style"/>
          <w:b/>
        </w:rPr>
      </w:pPr>
    </w:p>
    <w:p w:rsidR="00BC58F7" w:rsidRDefault="00BC58F7" w:rsidP="00BC58F7">
      <w:pPr>
        <w:spacing w:before="240"/>
        <w:ind w:left="0"/>
        <w:jc w:val="both"/>
        <w:rPr>
          <w:rFonts w:ascii="Bookman Old Style" w:hAnsi="Bookman Old Style"/>
        </w:rPr>
      </w:pPr>
      <w:r w:rsidRPr="00BC58F7">
        <w:rPr>
          <w:rFonts w:ascii="Bookman Old Style" w:hAnsi="Bookman Old Style"/>
          <w:b/>
        </w:rPr>
        <w:t>Artículo 1.</w:t>
      </w:r>
      <w:r w:rsidRPr="00BC58F7">
        <w:rPr>
          <w:rFonts w:ascii="Bookman Old Style" w:hAnsi="Bookman Old Style"/>
          <w:b/>
        </w:rPr>
        <w:tab/>
      </w:r>
      <w:r w:rsidRPr="00BC58F7">
        <w:rPr>
          <w:rFonts w:ascii="Bookman Old Style" w:hAnsi="Bookman Old Style"/>
        </w:rPr>
        <w:t xml:space="preserve">No reponer la Resolución CREG </w:t>
      </w:r>
      <w:r w:rsidR="004F7F87">
        <w:rPr>
          <w:rFonts w:ascii="Bookman Old Style" w:hAnsi="Bookman Old Style"/>
        </w:rPr>
        <w:t>034</w:t>
      </w:r>
      <w:r w:rsidRPr="00BC58F7">
        <w:rPr>
          <w:rFonts w:ascii="Bookman Old Style" w:hAnsi="Bookman Old Style"/>
        </w:rPr>
        <w:t xml:space="preserve"> de 20</w:t>
      </w:r>
      <w:r>
        <w:rPr>
          <w:rFonts w:ascii="Bookman Old Style" w:hAnsi="Bookman Old Style"/>
        </w:rPr>
        <w:t>1</w:t>
      </w:r>
      <w:r w:rsidR="004F7F87">
        <w:rPr>
          <w:rFonts w:ascii="Bookman Old Style" w:hAnsi="Bookman Old Style"/>
        </w:rPr>
        <w:t>1</w:t>
      </w:r>
      <w:r w:rsidRPr="00BC58F7">
        <w:rPr>
          <w:rFonts w:ascii="Bookman Old Style" w:hAnsi="Bookman Old Style"/>
        </w:rPr>
        <w:t xml:space="preserve">, </w:t>
      </w:r>
      <w:r>
        <w:rPr>
          <w:rFonts w:ascii="Bookman Old Style" w:hAnsi="Bookman Old Style"/>
        </w:rPr>
        <w:t>p</w:t>
      </w:r>
      <w:r w:rsidRPr="00BC58F7">
        <w:rPr>
          <w:rFonts w:ascii="Bookman Old Style" w:hAnsi="Bookman Old Style"/>
        </w:rPr>
        <w:t>or la cual se establecen los Índices de Referencia de la Discontinuidad de la</w:t>
      </w:r>
      <w:r w:rsidR="005525A1">
        <w:rPr>
          <w:rFonts w:ascii="Bookman Old Style" w:hAnsi="Bookman Old Style"/>
        </w:rPr>
        <w:t xml:space="preserve"> </w:t>
      </w:r>
      <w:r w:rsidR="004F7F87">
        <w:rPr>
          <w:rFonts w:ascii="Bookman Old Style" w:hAnsi="Bookman Old Style"/>
        </w:rPr>
        <w:t>Empresa de energía de Pereira</w:t>
      </w:r>
      <w:r w:rsidR="005525A1" w:rsidRPr="005525A1">
        <w:rPr>
          <w:rFonts w:ascii="Bookman Old Style" w:hAnsi="Bookman Old Style"/>
        </w:rPr>
        <w:t xml:space="preserve"> S.A. E.S.P.</w:t>
      </w:r>
      <w:r w:rsidRPr="00BC58F7">
        <w:rPr>
          <w:rFonts w:ascii="Bookman Old Style" w:hAnsi="Bookman Old Style"/>
        </w:rPr>
        <w:t>, por lo expuesto en la parte motiva de esta resolución.</w:t>
      </w:r>
    </w:p>
    <w:p w:rsidR="00BC58F7" w:rsidRPr="00623441" w:rsidRDefault="00BC58F7" w:rsidP="00BC58F7">
      <w:pPr>
        <w:spacing w:before="240"/>
        <w:ind w:left="0"/>
        <w:jc w:val="both"/>
        <w:rPr>
          <w:rFonts w:ascii="Bookman Old Style" w:hAnsi="Bookman Old Style"/>
        </w:rPr>
      </w:pPr>
      <w:r w:rsidRPr="00BC58F7">
        <w:rPr>
          <w:rFonts w:ascii="Bookman Old Style" w:hAnsi="Bookman Old Style"/>
          <w:b/>
        </w:rPr>
        <w:t>Artículo 2.</w:t>
      </w:r>
      <w:r w:rsidRPr="00BC58F7">
        <w:rPr>
          <w:rFonts w:ascii="Bookman Old Style" w:hAnsi="Bookman Old Style"/>
        </w:rPr>
        <w:tab/>
        <w:t xml:space="preserve"> Notificar personal</w:t>
      </w:r>
      <w:r w:rsidR="005525A1">
        <w:rPr>
          <w:rFonts w:ascii="Bookman Old Style" w:hAnsi="Bookman Old Style"/>
        </w:rPr>
        <w:t xml:space="preserve">mente al representante legal de la </w:t>
      </w:r>
      <w:r w:rsidR="00D84CF7">
        <w:rPr>
          <w:rFonts w:ascii="Bookman Old Style" w:hAnsi="Bookman Old Style"/>
        </w:rPr>
        <w:t>Empresa de Energía de Pereira</w:t>
      </w:r>
      <w:r w:rsidR="005525A1" w:rsidRPr="005525A1">
        <w:rPr>
          <w:rFonts w:ascii="Bookman Old Style" w:hAnsi="Bookman Old Style"/>
        </w:rPr>
        <w:t xml:space="preserve"> S.A. E.S.P.</w:t>
      </w:r>
      <w:r w:rsidR="005525A1">
        <w:rPr>
          <w:rFonts w:ascii="Bookman Old Style" w:hAnsi="Bookman Old Style"/>
        </w:rPr>
        <w:t xml:space="preserve"> </w:t>
      </w:r>
      <w:r w:rsidRPr="00BC58F7">
        <w:rPr>
          <w:rFonts w:ascii="Bookman Old Style" w:hAnsi="Bookman Old Style"/>
        </w:rPr>
        <w:t xml:space="preserve">el contenido de esta resolución, y hacerle saber que contra lo dispuesto en este acto no procede recurso alguno por la vía gubernativa. </w:t>
      </w:r>
      <w:r w:rsidR="00270DFB">
        <w:rPr>
          <w:rFonts w:ascii="Bookman Old Style" w:hAnsi="Bookman Old Style"/>
        </w:rPr>
        <w:t xml:space="preserve">Publíquese en el </w:t>
      </w:r>
      <w:r w:rsidR="00923A76" w:rsidRPr="00923A76">
        <w:rPr>
          <w:rFonts w:ascii="Bookman Old Style" w:hAnsi="Bookman Old Style"/>
          <w:i/>
        </w:rPr>
        <w:t>D</w:t>
      </w:r>
      <w:r w:rsidR="00270DFB" w:rsidRPr="00923A76">
        <w:rPr>
          <w:rFonts w:ascii="Bookman Old Style" w:hAnsi="Bookman Old Style"/>
          <w:i/>
        </w:rPr>
        <w:t xml:space="preserve">iario </w:t>
      </w:r>
      <w:r w:rsidR="00923A76" w:rsidRPr="00923A76">
        <w:rPr>
          <w:rFonts w:ascii="Bookman Old Style" w:hAnsi="Bookman Old Style"/>
          <w:i/>
        </w:rPr>
        <w:t>O</w:t>
      </w:r>
      <w:r w:rsidR="00270DFB" w:rsidRPr="00923A76">
        <w:rPr>
          <w:rFonts w:ascii="Bookman Old Style" w:hAnsi="Bookman Old Style"/>
          <w:i/>
        </w:rPr>
        <w:t>ficial</w:t>
      </w:r>
      <w:r w:rsidR="00270DFB">
        <w:rPr>
          <w:rFonts w:ascii="Bookman Old Style" w:hAnsi="Bookman Old Style"/>
        </w:rPr>
        <w:t>.</w:t>
      </w:r>
    </w:p>
    <w:p w:rsidR="00B536F6" w:rsidRPr="00190ADA" w:rsidRDefault="00B536F6" w:rsidP="00B536F6">
      <w:pPr>
        <w:rPr>
          <w:rFonts w:ascii="Bookman Old Style" w:hAnsi="Bookman Old Style"/>
        </w:rPr>
      </w:pPr>
    </w:p>
    <w:p w:rsidR="00B536F6" w:rsidRPr="00190ADA" w:rsidRDefault="00B536F6" w:rsidP="00B536F6">
      <w:pPr>
        <w:rPr>
          <w:rFonts w:ascii="Bookman Old Style" w:hAnsi="Bookman Old Style"/>
          <w:b/>
          <w:bCs/>
        </w:rPr>
      </w:pPr>
    </w:p>
    <w:p w:rsidR="00B536F6" w:rsidRPr="00190ADA" w:rsidRDefault="00BC58F7" w:rsidP="00855E18">
      <w:pPr>
        <w:ind w:left="0"/>
        <w:jc w:val="center"/>
        <w:rPr>
          <w:rFonts w:ascii="Bookman Old Style" w:hAnsi="Bookman Old Style" w:cs="Courier New"/>
          <w:b/>
          <w:bCs/>
          <w:spacing w:val="-3"/>
        </w:rPr>
      </w:pPr>
      <w:r>
        <w:rPr>
          <w:rFonts w:ascii="Bookman Old Style" w:hAnsi="Bookman Old Style"/>
          <w:b/>
          <w:bCs/>
        </w:rPr>
        <w:t xml:space="preserve">NOTIFÍQUESE </w:t>
      </w:r>
      <w:r w:rsidR="00270DFB">
        <w:rPr>
          <w:rFonts w:ascii="Bookman Old Style" w:hAnsi="Bookman Old Style"/>
          <w:b/>
          <w:bCs/>
        </w:rPr>
        <w:t xml:space="preserve">PUBLÍQUESE </w:t>
      </w:r>
      <w:r w:rsidR="00B536F6" w:rsidRPr="00190ADA">
        <w:rPr>
          <w:rFonts w:ascii="Bookman Old Style" w:hAnsi="Bookman Old Style"/>
          <w:b/>
          <w:bCs/>
        </w:rPr>
        <w:t>Y CÚMPLASE</w:t>
      </w:r>
    </w:p>
    <w:p w:rsidR="00B536F6" w:rsidRPr="00190ADA" w:rsidRDefault="00B536F6" w:rsidP="00B536F6">
      <w:pPr>
        <w:rPr>
          <w:rFonts w:ascii="Bookman Old Style" w:hAnsi="Bookman Old Style" w:cs="Arial"/>
          <w:spacing w:val="-3"/>
        </w:rPr>
      </w:pPr>
    </w:p>
    <w:p w:rsidR="00B536F6" w:rsidRPr="00190ADA" w:rsidRDefault="00B536F6" w:rsidP="00BC58F7">
      <w:pPr>
        <w:spacing w:before="240"/>
        <w:ind w:left="0"/>
        <w:jc w:val="both"/>
        <w:rPr>
          <w:rFonts w:ascii="Bookman Old Style" w:hAnsi="Bookman Old Style" w:cs="Arial"/>
          <w:spacing w:val="-3"/>
        </w:rPr>
      </w:pPr>
      <w:r w:rsidRPr="00190ADA">
        <w:rPr>
          <w:rFonts w:ascii="Bookman Old Style" w:hAnsi="Bookman Old Style" w:cs="Arial"/>
          <w:spacing w:val="-3"/>
        </w:rPr>
        <w:t xml:space="preserve">Dada en </w:t>
      </w:r>
      <w:r w:rsidRPr="00BC58F7">
        <w:rPr>
          <w:rFonts w:ascii="Bookman Old Style" w:hAnsi="Bookman Old Style"/>
        </w:rPr>
        <w:t>Bogotá</w:t>
      </w:r>
      <w:r w:rsidRPr="00190ADA">
        <w:rPr>
          <w:rFonts w:ascii="Bookman Old Style" w:hAnsi="Bookman Old Style" w:cs="Arial"/>
          <w:spacing w:val="-3"/>
        </w:rPr>
        <w:t>, D.C. a los</w:t>
      </w:r>
    </w:p>
    <w:p w:rsidR="00B536F6" w:rsidRPr="00190ADA" w:rsidRDefault="00B536F6" w:rsidP="00B536F6">
      <w:pPr>
        <w:rPr>
          <w:rFonts w:ascii="Bookman Old Style" w:hAnsi="Bookman Old Style" w:cs="Arial"/>
        </w:rPr>
      </w:pPr>
      <w:r w:rsidRPr="00190ADA">
        <w:rPr>
          <w:rFonts w:ascii="Bookman Old Style" w:hAnsi="Bookman Old Style" w:cs="Arial"/>
        </w:rPr>
        <w:br/>
      </w:r>
    </w:p>
    <w:p w:rsidR="00E433F6" w:rsidRPr="00D34DBB" w:rsidRDefault="00E433F6" w:rsidP="00E433F6">
      <w:pPr>
        <w:ind w:left="0"/>
        <w:rPr>
          <w:rFonts w:ascii="Bookman Old Style" w:hAnsi="Bookman Old Style"/>
        </w:rPr>
      </w:pPr>
    </w:p>
    <w:p w:rsidR="00E433F6" w:rsidRPr="00D34DBB" w:rsidRDefault="00E433F6" w:rsidP="00E433F6">
      <w:pPr>
        <w:ind w:left="0"/>
        <w:rPr>
          <w:rFonts w:ascii="Bookman Old Style" w:hAnsi="Bookman Old Style"/>
        </w:rPr>
      </w:pPr>
    </w:p>
    <w:tbl>
      <w:tblPr>
        <w:tblW w:w="0" w:type="auto"/>
        <w:jc w:val="center"/>
        <w:tblInd w:w="-508" w:type="dxa"/>
        <w:tblLayout w:type="fixed"/>
        <w:tblCellMar>
          <w:left w:w="70" w:type="dxa"/>
          <w:right w:w="70" w:type="dxa"/>
        </w:tblCellMar>
        <w:tblLook w:val="0000" w:firstRow="0" w:lastRow="0" w:firstColumn="0" w:lastColumn="0" w:noHBand="0" w:noVBand="0"/>
      </w:tblPr>
      <w:tblGrid>
        <w:gridCol w:w="4372"/>
        <w:gridCol w:w="4659"/>
      </w:tblGrid>
      <w:tr w:rsidR="00E433F6" w:rsidRPr="00D34DBB" w:rsidTr="000E6937">
        <w:trPr>
          <w:trHeight w:val="329"/>
          <w:jc w:val="center"/>
        </w:trPr>
        <w:tc>
          <w:tcPr>
            <w:tcW w:w="4372" w:type="dxa"/>
          </w:tcPr>
          <w:p w:rsidR="00B536F6" w:rsidRDefault="00B536F6" w:rsidP="00B510C7">
            <w:pPr>
              <w:keepNext/>
              <w:tabs>
                <w:tab w:val="left" w:pos="-720"/>
              </w:tabs>
              <w:suppressAutoHyphens/>
              <w:ind w:left="0"/>
              <w:jc w:val="center"/>
              <w:rPr>
                <w:rFonts w:ascii="Bookman Old Style" w:hAnsi="Bookman Old Style"/>
                <w:b/>
                <w:bCs/>
              </w:rPr>
            </w:pPr>
          </w:p>
          <w:p w:rsidR="00E433F6" w:rsidRPr="00D34DBB" w:rsidRDefault="00B536F6" w:rsidP="00B510C7">
            <w:pPr>
              <w:keepNext/>
              <w:tabs>
                <w:tab w:val="left" w:pos="-720"/>
              </w:tabs>
              <w:suppressAutoHyphens/>
              <w:ind w:left="0"/>
              <w:jc w:val="center"/>
              <w:rPr>
                <w:rFonts w:ascii="Bookman Old Style" w:hAnsi="Bookman Old Style"/>
                <w:b/>
              </w:rPr>
            </w:pPr>
            <w:r>
              <w:rPr>
                <w:rFonts w:ascii="Bookman Old Style" w:hAnsi="Bookman Old Style"/>
                <w:b/>
                <w:bCs/>
              </w:rPr>
              <w:t>TOMÁS GONZÁLEZ ESTRADA</w:t>
            </w:r>
          </w:p>
        </w:tc>
        <w:tc>
          <w:tcPr>
            <w:tcW w:w="4659" w:type="dxa"/>
            <w:vAlign w:val="center"/>
          </w:tcPr>
          <w:p w:rsidR="00E433F6" w:rsidRPr="00D34DBB" w:rsidRDefault="00E433F6" w:rsidP="000E6937">
            <w:pPr>
              <w:keepNext/>
              <w:tabs>
                <w:tab w:val="left" w:pos="-720"/>
              </w:tabs>
              <w:suppressAutoHyphens/>
              <w:jc w:val="center"/>
              <w:rPr>
                <w:rFonts w:ascii="Bookman Old Style" w:hAnsi="Bookman Old Style"/>
                <w:b/>
              </w:rPr>
            </w:pPr>
          </w:p>
          <w:p w:rsidR="00E433F6" w:rsidRPr="00D34DBB" w:rsidRDefault="00622E35" w:rsidP="000E6937">
            <w:pPr>
              <w:keepNext/>
              <w:suppressAutoHyphens/>
              <w:ind w:left="0"/>
              <w:jc w:val="center"/>
              <w:rPr>
                <w:rFonts w:ascii="Bookman Old Style" w:hAnsi="Bookman Old Style"/>
                <w:b/>
              </w:rPr>
            </w:pPr>
            <w:r>
              <w:rPr>
                <w:rFonts w:ascii="Bookman Old Style" w:hAnsi="Bookman Old Style"/>
                <w:b/>
              </w:rPr>
              <w:t>JUAN IGNACIO CAICEDO AYERBE</w:t>
            </w:r>
          </w:p>
        </w:tc>
      </w:tr>
      <w:tr w:rsidR="00E433F6" w:rsidRPr="00D34DBB" w:rsidTr="00B536F6">
        <w:trPr>
          <w:trHeight w:val="254"/>
          <w:jc w:val="center"/>
        </w:trPr>
        <w:tc>
          <w:tcPr>
            <w:tcW w:w="4372" w:type="dxa"/>
          </w:tcPr>
          <w:p w:rsidR="00E433F6" w:rsidRPr="00EE28F1" w:rsidRDefault="00B536F6" w:rsidP="00E433F6">
            <w:pPr>
              <w:ind w:left="0"/>
              <w:jc w:val="center"/>
              <w:rPr>
                <w:rFonts w:ascii="Bookman Old Style" w:hAnsi="Bookman Old Style" w:cs="Arial"/>
                <w:spacing w:val="-3"/>
              </w:rPr>
            </w:pPr>
            <w:r>
              <w:rPr>
                <w:rFonts w:ascii="Bookman Old Style" w:hAnsi="Bookman Old Style" w:cs="Arial"/>
                <w:spacing w:val="-3"/>
              </w:rPr>
              <w:t>Viceministro</w:t>
            </w:r>
            <w:r w:rsidR="00E433F6" w:rsidRPr="00EE28F1">
              <w:rPr>
                <w:rFonts w:ascii="Bookman Old Style" w:hAnsi="Bookman Old Style" w:cs="Arial"/>
                <w:spacing w:val="-3"/>
              </w:rPr>
              <w:t xml:space="preserve"> de Minas y Energía</w:t>
            </w:r>
          </w:p>
          <w:p w:rsidR="00E433F6" w:rsidRPr="00D34DBB" w:rsidRDefault="00B536F6" w:rsidP="000E6937">
            <w:pPr>
              <w:keepNext/>
              <w:suppressAutoHyphens/>
              <w:ind w:left="0"/>
              <w:jc w:val="center"/>
              <w:rPr>
                <w:rFonts w:ascii="Bookman Old Style" w:hAnsi="Bookman Old Style"/>
              </w:rPr>
            </w:pPr>
            <w:r>
              <w:rPr>
                <w:rFonts w:ascii="Bookman Old Style" w:hAnsi="Bookman Old Style" w:cs="Arial"/>
                <w:spacing w:val="-3"/>
              </w:rPr>
              <w:t>Delegado</w:t>
            </w:r>
            <w:r w:rsidR="00E433F6" w:rsidRPr="00EE28F1">
              <w:rPr>
                <w:rFonts w:ascii="Bookman Old Style" w:hAnsi="Bookman Old Style" w:cs="Arial"/>
                <w:spacing w:val="-3"/>
              </w:rPr>
              <w:t xml:space="preserve"> del Ministro de Minas y Energía</w:t>
            </w:r>
          </w:p>
        </w:tc>
        <w:tc>
          <w:tcPr>
            <w:tcW w:w="4659" w:type="dxa"/>
          </w:tcPr>
          <w:p w:rsidR="00E433F6" w:rsidRPr="00D34DBB" w:rsidRDefault="00E433F6" w:rsidP="00622E35">
            <w:pPr>
              <w:keepNext/>
              <w:tabs>
                <w:tab w:val="left" w:pos="-720"/>
              </w:tabs>
              <w:suppressAutoHyphens/>
              <w:ind w:left="0"/>
              <w:jc w:val="center"/>
              <w:rPr>
                <w:rFonts w:ascii="Bookman Old Style" w:hAnsi="Bookman Old Style"/>
              </w:rPr>
            </w:pPr>
            <w:r w:rsidRPr="00D34DBB">
              <w:rPr>
                <w:rFonts w:ascii="Bookman Old Style" w:hAnsi="Bookman Old Style"/>
              </w:rPr>
              <w:t>Director Ejecutivo</w:t>
            </w:r>
            <w:r w:rsidR="00622E35">
              <w:rPr>
                <w:rFonts w:ascii="Bookman Old Style" w:hAnsi="Bookman Old Style"/>
              </w:rPr>
              <w:t xml:space="preserve"> ( E)</w:t>
            </w:r>
          </w:p>
        </w:tc>
      </w:tr>
      <w:tr w:rsidR="00E433F6" w:rsidRPr="000A588D" w:rsidTr="000E6937">
        <w:trPr>
          <w:trHeight w:val="73"/>
          <w:jc w:val="center"/>
        </w:trPr>
        <w:tc>
          <w:tcPr>
            <w:tcW w:w="4372" w:type="dxa"/>
          </w:tcPr>
          <w:p w:rsidR="00E433F6" w:rsidRPr="000A588D" w:rsidRDefault="00E433F6" w:rsidP="00B510C7">
            <w:pPr>
              <w:tabs>
                <w:tab w:val="left" w:pos="-720"/>
              </w:tabs>
              <w:suppressAutoHyphens/>
              <w:ind w:left="0"/>
              <w:jc w:val="center"/>
              <w:rPr>
                <w:rFonts w:ascii="Bookman Old Style" w:hAnsi="Bookman Old Style"/>
              </w:rPr>
            </w:pPr>
            <w:r w:rsidRPr="00EE28F1">
              <w:rPr>
                <w:rFonts w:ascii="Bookman Old Style" w:hAnsi="Bookman Old Style" w:cs="Arial"/>
                <w:spacing w:val="-3"/>
              </w:rPr>
              <w:t>Presidente</w:t>
            </w:r>
          </w:p>
        </w:tc>
        <w:tc>
          <w:tcPr>
            <w:tcW w:w="4659" w:type="dxa"/>
            <w:vAlign w:val="center"/>
          </w:tcPr>
          <w:p w:rsidR="00E433F6" w:rsidRPr="000A588D" w:rsidRDefault="00E433F6" w:rsidP="00B510C7">
            <w:pPr>
              <w:ind w:left="708" w:hanging="708"/>
              <w:rPr>
                <w:rFonts w:ascii="Bookman Old Style" w:hAnsi="Bookman Old Style"/>
                <w:b/>
                <w:bCs/>
              </w:rPr>
            </w:pPr>
          </w:p>
        </w:tc>
      </w:tr>
    </w:tbl>
    <w:p w:rsidR="00E433F6" w:rsidRPr="000A588D" w:rsidRDefault="00E433F6" w:rsidP="00E433F6">
      <w:pPr>
        <w:ind w:right="-234"/>
        <w:rPr>
          <w:rFonts w:ascii="Bookman Old Style" w:hAnsi="Bookman Old Style" w:cs="Arial"/>
        </w:rPr>
      </w:pPr>
    </w:p>
    <w:p w:rsidR="00C04F7A" w:rsidRPr="00E433F6" w:rsidRDefault="00C04F7A" w:rsidP="00E433F6"/>
    <w:sectPr w:rsidR="00C04F7A" w:rsidRPr="00E433F6" w:rsidSect="008A0C8F">
      <w:headerReference w:type="default" r:id="rId11"/>
      <w:headerReference w:type="first" r:id="rId12"/>
      <w:type w:val="continuous"/>
      <w:pgSz w:w="12242" w:h="18722" w:code="123"/>
      <w:pgMar w:top="242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D58" w:rsidRDefault="00F37D58">
      <w:r>
        <w:separator/>
      </w:r>
    </w:p>
  </w:endnote>
  <w:endnote w:type="continuationSeparator" w:id="0">
    <w:p w:rsidR="00F37D58" w:rsidRDefault="00F3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D58" w:rsidRDefault="00F37D58">
      <w:r>
        <w:separator/>
      </w:r>
    </w:p>
  </w:footnote>
  <w:footnote w:type="continuationSeparator" w:id="0">
    <w:p w:rsidR="00F37D58" w:rsidRDefault="00F37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D58" w:rsidRDefault="00F37D58" w:rsidP="00951F79">
    <w:pPr>
      <w:pStyle w:val="Ttulo1"/>
      <w:ind w:right="6"/>
      <w:jc w:val="left"/>
      <w:rPr>
        <w:rFonts w:ascii="Bookman Old Style" w:hAnsi="Bookman Old Style" w:cs="Arial"/>
        <w:b w:val="0"/>
        <w:sz w:val="22"/>
        <w:szCs w:val="22"/>
      </w:rPr>
    </w:pPr>
  </w:p>
  <w:p w:rsidR="00F37D58" w:rsidRPr="00951F79" w:rsidRDefault="00F37D5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16F39">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216F39" w:rsidRPr="00216F39">
        <w:rPr>
          <w:rFonts w:ascii="Bookman Old Style" w:hAnsi="Bookman Old Style" w:cs="Arial"/>
          <w:b w:val="0"/>
          <w:noProof/>
          <w:sz w:val="22"/>
          <w:szCs w:val="22"/>
        </w:rPr>
        <w:t>5</w:t>
      </w:r>
    </w:fldSimple>
  </w:p>
  <w:p w:rsidR="00F37D58" w:rsidRDefault="00216F39"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F37D58" w:rsidRPr="00CB5DD0" w:rsidRDefault="00F37D58" w:rsidP="00F419C9">
    <w:pPr>
      <w:pBdr>
        <w:bottom w:val="single" w:sz="4" w:space="1" w:color="auto"/>
      </w:pBdr>
      <w:ind w:left="142" w:right="148"/>
      <w:jc w:val="both"/>
      <w:rPr>
        <w:b/>
      </w:rPr>
    </w:pPr>
    <w:r w:rsidRPr="00F419C9">
      <w:rPr>
        <w:rFonts w:ascii="Bookman Old Style" w:hAnsi="Bookman Old Style"/>
        <w:sz w:val="22"/>
        <w:szCs w:val="22"/>
      </w:rPr>
      <w:t xml:space="preserve">Por la cual se resuelve el recurso de reposición interpuesto por </w:t>
    </w:r>
    <w:r>
      <w:rPr>
        <w:rFonts w:ascii="Bookman Old Style" w:hAnsi="Bookman Old Style"/>
        <w:sz w:val="22"/>
        <w:szCs w:val="22"/>
      </w:rPr>
      <w:t xml:space="preserve">la </w:t>
    </w:r>
    <w:r>
      <w:rPr>
        <w:rFonts w:ascii="Bookman Old Style" w:hAnsi="Bookman Old Style"/>
        <w:sz w:val="22"/>
      </w:rPr>
      <w:t>Empresa de Energía de Pereira</w:t>
    </w:r>
    <w:r w:rsidRPr="00464E88">
      <w:rPr>
        <w:rFonts w:ascii="Bookman Old Style" w:hAnsi="Bookman Old Style"/>
        <w:sz w:val="22"/>
      </w:rPr>
      <w:t xml:space="preserve"> S.A. E.S.P.</w:t>
    </w:r>
    <w:r w:rsidRPr="00F419C9">
      <w:rPr>
        <w:rFonts w:ascii="Bookman Old Style" w:hAnsi="Bookman Old Style"/>
        <w:sz w:val="22"/>
        <w:szCs w:val="22"/>
      </w:rPr>
      <w:t xml:space="preserve"> contra la Resolución CREG </w:t>
    </w:r>
    <w:r>
      <w:rPr>
        <w:rFonts w:ascii="Bookman Old Style" w:hAnsi="Bookman Old Style"/>
        <w:sz w:val="22"/>
        <w:szCs w:val="22"/>
      </w:rPr>
      <w:t>034</w:t>
    </w:r>
    <w:r w:rsidRPr="00F419C9">
      <w:rPr>
        <w:rFonts w:ascii="Bookman Old Style" w:hAnsi="Bookman Old Style"/>
        <w:sz w:val="22"/>
        <w:szCs w:val="22"/>
      </w:rPr>
      <w:t xml:space="preserve"> de 20</w:t>
    </w:r>
    <w:r>
      <w:rPr>
        <w:rFonts w:ascii="Bookman Old Style" w:hAnsi="Bookman Old Style"/>
        <w:sz w:val="22"/>
        <w:szCs w:val="22"/>
      </w:rPr>
      <w:t>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D58" w:rsidRDefault="00F37D5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F37D58" w:rsidRDefault="00F37D58">
    <w:pPr>
      <w:pStyle w:val="Encabezado"/>
      <w:jc w:val="center"/>
      <w:rPr>
        <w:rFonts w:ascii="Arial" w:hAnsi="Arial" w:cs="Arial"/>
        <w:spacing w:val="20"/>
        <w:sz w:val="20"/>
      </w:rPr>
    </w:pPr>
  </w:p>
  <w:p w:rsidR="00F37D58" w:rsidRDefault="00216F39"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9AB0E73"/>
    <w:multiLevelType w:val="hybridMultilevel"/>
    <w:tmpl w:val="FAD0A876"/>
    <w:lvl w:ilvl="0" w:tplc="3B36187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1983361"/>
    <w:multiLevelType w:val="hybridMultilevel"/>
    <w:tmpl w:val="735ACF9E"/>
    <w:lvl w:ilvl="0" w:tplc="ABAA242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nsid w:val="12591B89"/>
    <w:multiLevelType w:val="hybridMultilevel"/>
    <w:tmpl w:val="30BAA2EE"/>
    <w:lvl w:ilvl="0" w:tplc="FFA4ED56">
      <w:start w:val="1"/>
      <w:numFmt w:val="decimal"/>
      <w:pStyle w:val="articulo"/>
      <w:lvlText w:val="Artículo %1."/>
      <w:lvlJc w:val="left"/>
      <w:pPr>
        <w:tabs>
          <w:tab w:val="num" w:pos="1440"/>
        </w:tabs>
        <w:ind w:left="0" w:firstLine="0"/>
      </w:pPr>
      <w:rPr>
        <w:rFonts w:hint="default"/>
        <w:b/>
        <w:i w:val="0"/>
        <w:sz w:val="24"/>
      </w:rPr>
    </w:lvl>
    <w:lvl w:ilvl="1" w:tplc="82AC8D2C">
      <w:numFmt w:val="bullet"/>
      <w:lvlText w:val="-"/>
      <w:lvlJc w:val="left"/>
      <w:pPr>
        <w:tabs>
          <w:tab w:val="num" w:pos="1440"/>
        </w:tabs>
        <w:ind w:left="1440" w:hanging="360"/>
      </w:pPr>
      <w:rPr>
        <w:rFonts w:ascii="Times New Roman" w:eastAsia="Times New Roman" w:hAnsi="Times New Roman" w:cs="Times New Roman" w:hint="default"/>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7E314E6"/>
    <w:multiLevelType w:val="hybridMultilevel"/>
    <w:tmpl w:val="EEEEC0F8"/>
    <w:lvl w:ilvl="0" w:tplc="2F52B9AA">
      <w:start w:val="10"/>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8DB1878"/>
    <w:multiLevelType w:val="hybridMultilevel"/>
    <w:tmpl w:val="43F46766"/>
    <w:lvl w:ilvl="0" w:tplc="192E586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1A3DE5"/>
    <w:multiLevelType w:val="hybridMultilevel"/>
    <w:tmpl w:val="70BC730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3">
    <w:nsid w:val="3EFB76E6"/>
    <w:multiLevelType w:val="hybridMultilevel"/>
    <w:tmpl w:val="E3667250"/>
    <w:lvl w:ilvl="0" w:tplc="2C02CACE">
      <w:start w:val="3"/>
      <w:numFmt w:val="decimal"/>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5">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7">
    <w:nsid w:val="4CFA5DE0"/>
    <w:multiLevelType w:val="hybridMultilevel"/>
    <w:tmpl w:val="C330A7E2"/>
    <w:lvl w:ilvl="0" w:tplc="3922506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nsid w:val="50157AB0"/>
    <w:multiLevelType w:val="hybridMultilevel"/>
    <w:tmpl w:val="4FB676E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nsid w:val="53471E70"/>
    <w:multiLevelType w:val="hybridMultilevel"/>
    <w:tmpl w:val="1B944768"/>
    <w:lvl w:ilvl="0" w:tplc="18FCC45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nsid w:val="567F0E84"/>
    <w:multiLevelType w:val="hybridMultilevel"/>
    <w:tmpl w:val="00A8A7B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DD341AC"/>
    <w:multiLevelType w:val="hybridMultilevel"/>
    <w:tmpl w:val="5240E934"/>
    <w:lvl w:ilvl="0" w:tplc="0C0A000F">
      <w:start w:val="1"/>
      <w:numFmt w:val="decimal"/>
      <w:lvlText w:val="%1."/>
      <w:lvlJc w:val="left"/>
      <w:pPr>
        <w:ind w:left="6948" w:hanging="360"/>
      </w:pPr>
      <w:rPr>
        <w:rFonts w:hint="default"/>
      </w:rPr>
    </w:lvl>
    <w:lvl w:ilvl="1" w:tplc="0C0A0019">
      <w:start w:val="1"/>
      <w:numFmt w:val="lowerLetter"/>
      <w:lvlText w:val="%2."/>
      <w:lvlJc w:val="left"/>
      <w:pPr>
        <w:ind w:left="7668" w:hanging="360"/>
      </w:pPr>
    </w:lvl>
    <w:lvl w:ilvl="2" w:tplc="0C0A001B" w:tentative="1">
      <w:start w:val="1"/>
      <w:numFmt w:val="lowerRoman"/>
      <w:lvlText w:val="%3."/>
      <w:lvlJc w:val="right"/>
      <w:pPr>
        <w:ind w:left="8388" w:hanging="180"/>
      </w:pPr>
    </w:lvl>
    <w:lvl w:ilvl="3" w:tplc="0C0A000F" w:tentative="1">
      <w:start w:val="1"/>
      <w:numFmt w:val="decimal"/>
      <w:lvlText w:val="%4."/>
      <w:lvlJc w:val="left"/>
      <w:pPr>
        <w:ind w:left="9108" w:hanging="360"/>
      </w:pPr>
    </w:lvl>
    <w:lvl w:ilvl="4" w:tplc="0C0A0019" w:tentative="1">
      <w:start w:val="1"/>
      <w:numFmt w:val="lowerLetter"/>
      <w:lvlText w:val="%5."/>
      <w:lvlJc w:val="left"/>
      <w:pPr>
        <w:ind w:left="9828" w:hanging="360"/>
      </w:pPr>
    </w:lvl>
    <w:lvl w:ilvl="5" w:tplc="0C0A001B" w:tentative="1">
      <w:start w:val="1"/>
      <w:numFmt w:val="lowerRoman"/>
      <w:lvlText w:val="%6."/>
      <w:lvlJc w:val="right"/>
      <w:pPr>
        <w:ind w:left="10548" w:hanging="180"/>
      </w:pPr>
    </w:lvl>
    <w:lvl w:ilvl="6" w:tplc="0C0A000F" w:tentative="1">
      <w:start w:val="1"/>
      <w:numFmt w:val="decimal"/>
      <w:lvlText w:val="%7."/>
      <w:lvlJc w:val="left"/>
      <w:pPr>
        <w:ind w:left="11268" w:hanging="360"/>
      </w:pPr>
    </w:lvl>
    <w:lvl w:ilvl="7" w:tplc="0C0A0019" w:tentative="1">
      <w:start w:val="1"/>
      <w:numFmt w:val="lowerLetter"/>
      <w:lvlText w:val="%8."/>
      <w:lvlJc w:val="left"/>
      <w:pPr>
        <w:ind w:left="11988" w:hanging="360"/>
      </w:pPr>
    </w:lvl>
    <w:lvl w:ilvl="8" w:tplc="0C0A001B" w:tentative="1">
      <w:start w:val="1"/>
      <w:numFmt w:val="lowerRoman"/>
      <w:lvlText w:val="%9."/>
      <w:lvlJc w:val="right"/>
      <w:pPr>
        <w:ind w:left="12708" w:hanging="180"/>
      </w:pPr>
    </w:lvl>
  </w:abstractNum>
  <w:abstractNum w:abstractNumId="23">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694E1C6E"/>
    <w:multiLevelType w:val="hybridMultilevel"/>
    <w:tmpl w:val="DE82D5EA"/>
    <w:lvl w:ilvl="0" w:tplc="EE3C1AF6">
      <w:start w:val="13"/>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E6A2EBE"/>
    <w:multiLevelType w:val="hybridMultilevel"/>
    <w:tmpl w:val="FC0AC5C2"/>
    <w:lvl w:ilvl="0" w:tplc="4828B2A6">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21843B0"/>
    <w:multiLevelType w:val="hybridMultilevel"/>
    <w:tmpl w:val="436CD57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2DA5AEB"/>
    <w:multiLevelType w:val="hybridMultilevel"/>
    <w:tmpl w:val="71A415B2"/>
    <w:lvl w:ilvl="0" w:tplc="1208248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BD62479"/>
    <w:multiLevelType w:val="hybridMultilevel"/>
    <w:tmpl w:val="58787B14"/>
    <w:lvl w:ilvl="0" w:tplc="DC567C4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nsid w:val="7C730D6B"/>
    <w:multiLevelType w:val="hybridMultilevel"/>
    <w:tmpl w:val="E70E8894"/>
    <w:lvl w:ilvl="0" w:tplc="2D625B10">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num w:numId="1">
    <w:abstractNumId w:val="14"/>
  </w:num>
  <w:num w:numId="2">
    <w:abstractNumId w:val="4"/>
  </w:num>
  <w:num w:numId="3">
    <w:abstractNumId w:val="30"/>
  </w:num>
  <w:num w:numId="4">
    <w:abstractNumId w:val="8"/>
  </w:num>
  <w:num w:numId="5">
    <w:abstractNumId w:val="21"/>
  </w:num>
  <w:num w:numId="6">
    <w:abstractNumId w:val="2"/>
  </w:num>
  <w:num w:numId="7">
    <w:abstractNumId w:val="1"/>
  </w:num>
  <w:num w:numId="8">
    <w:abstractNumId w:val="24"/>
  </w:num>
  <w:num w:numId="9">
    <w:abstractNumId w:val="23"/>
  </w:num>
  <w:num w:numId="10">
    <w:abstractNumId w:val="15"/>
  </w:num>
  <w:num w:numId="11">
    <w:abstractNumId w:val="31"/>
  </w:num>
  <w:num w:numId="12">
    <w:abstractNumId w:val="27"/>
  </w:num>
  <w:num w:numId="13">
    <w:abstractNumId w:val="10"/>
  </w:num>
  <w:num w:numId="14">
    <w:abstractNumId w:val="0"/>
  </w:num>
  <w:num w:numId="15">
    <w:abstractNumId w:val="12"/>
  </w:num>
  <w:num w:numId="16">
    <w:abstractNumId w:val="16"/>
  </w:num>
  <w:num w:numId="17">
    <w:abstractNumId w:val="6"/>
  </w:num>
  <w:num w:numId="18">
    <w:abstractNumId w:val="26"/>
  </w:num>
  <w:num w:numId="19">
    <w:abstractNumId w:val="28"/>
  </w:num>
  <w:num w:numId="20">
    <w:abstractNumId w:val="7"/>
  </w:num>
  <w:num w:numId="21">
    <w:abstractNumId w:val="25"/>
  </w:num>
  <w:num w:numId="22">
    <w:abstractNumId w:val="22"/>
  </w:num>
  <w:num w:numId="23">
    <w:abstractNumId w:val="32"/>
  </w:num>
  <w:num w:numId="24">
    <w:abstractNumId w:val="9"/>
  </w:num>
  <w:num w:numId="25">
    <w:abstractNumId w:val="29"/>
  </w:num>
  <w:num w:numId="26">
    <w:abstractNumId w:val="3"/>
  </w:num>
  <w:num w:numId="27">
    <w:abstractNumId w:val="11"/>
  </w:num>
  <w:num w:numId="28">
    <w:abstractNumId w:val="18"/>
  </w:num>
  <w:num w:numId="29">
    <w:abstractNumId w:val="20"/>
  </w:num>
  <w:num w:numId="30">
    <w:abstractNumId w:val="13"/>
  </w:num>
  <w:num w:numId="31">
    <w:abstractNumId w:val="17"/>
  </w:num>
  <w:num w:numId="32">
    <w:abstractNumId w:val="5"/>
  </w:num>
  <w:num w:numId="33">
    <w:abstractNumId w:val="3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07F91"/>
    <w:rsid w:val="00012259"/>
    <w:rsid w:val="00014EBB"/>
    <w:rsid w:val="00022BA2"/>
    <w:rsid w:val="00025383"/>
    <w:rsid w:val="000260C8"/>
    <w:rsid w:val="000275A8"/>
    <w:rsid w:val="000339B5"/>
    <w:rsid w:val="00034E89"/>
    <w:rsid w:val="00040C91"/>
    <w:rsid w:val="00061C2D"/>
    <w:rsid w:val="00063657"/>
    <w:rsid w:val="00076680"/>
    <w:rsid w:val="0008073E"/>
    <w:rsid w:val="00091994"/>
    <w:rsid w:val="00091CDB"/>
    <w:rsid w:val="000A19AC"/>
    <w:rsid w:val="000A24BE"/>
    <w:rsid w:val="000A3C9A"/>
    <w:rsid w:val="000C2E7E"/>
    <w:rsid w:val="000D26F8"/>
    <w:rsid w:val="000D3B0C"/>
    <w:rsid w:val="000D7E36"/>
    <w:rsid w:val="000E346A"/>
    <w:rsid w:val="000E6937"/>
    <w:rsid w:val="000E7B52"/>
    <w:rsid w:val="000E7EFC"/>
    <w:rsid w:val="000F0218"/>
    <w:rsid w:val="000F1EE3"/>
    <w:rsid w:val="0010128A"/>
    <w:rsid w:val="00102BA4"/>
    <w:rsid w:val="00107352"/>
    <w:rsid w:val="00130893"/>
    <w:rsid w:val="00131AFF"/>
    <w:rsid w:val="001349A9"/>
    <w:rsid w:val="00136D7B"/>
    <w:rsid w:val="00140112"/>
    <w:rsid w:val="001405C6"/>
    <w:rsid w:val="00141013"/>
    <w:rsid w:val="001469A8"/>
    <w:rsid w:val="00153137"/>
    <w:rsid w:val="001710FF"/>
    <w:rsid w:val="001715E0"/>
    <w:rsid w:val="0018589A"/>
    <w:rsid w:val="00192CBF"/>
    <w:rsid w:val="00192FF1"/>
    <w:rsid w:val="001A5F1B"/>
    <w:rsid w:val="001B1C22"/>
    <w:rsid w:val="001B28F9"/>
    <w:rsid w:val="001B34C6"/>
    <w:rsid w:val="001D07EF"/>
    <w:rsid w:val="001D5F50"/>
    <w:rsid w:val="001D714A"/>
    <w:rsid w:val="001D7832"/>
    <w:rsid w:val="001E29DE"/>
    <w:rsid w:val="001E406C"/>
    <w:rsid w:val="001E7FF2"/>
    <w:rsid w:val="00211D34"/>
    <w:rsid w:val="00214F04"/>
    <w:rsid w:val="00215B9E"/>
    <w:rsid w:val="00216F39"/>
    <w:rsid w:val="00220E5E"/>
    <w:rsid w:val="0022522C"/>
    <w:rsid w:val="002316A3"/>
    <w:rsid w:val="0023347E"/>
    <w:rsid w:val="00237EA6"/>
    <w:rsid w:val="00241C61"/>
    <w:rsid w:val="002520A5"/>
    <w:rsid w:val="00262490"/>
    <w:rsid w:val="00266CD6"/>
    <w:rsid w:val="00266DD0"/>
    <w:rsid w:val="00270DFB"/>
    <w:rsid w:val="0027728F"/>
    <w:rsid w:val="002815F9"/>
    <w:rsid w:val="00283270"/>
    <w:rsid w:val="00284CEC"/>
    <w:rsid w:val="002A6A2F"/>
    <w:rsid w:val="002A7519"/>
    <w:rsid w:val="002B11E2"/>
    <w:rsid w:val="002B24B8"/>
    <w:rsid w:val="002B2825"/>
    <w:rsid w:val="002B3702"/>
    <w:rsid w:val="002C16AD"/>
    <w:rsid w:val="002C78A3"/>
    <w:rsid w:val="002D3AE9"/>
    <w:rsid w:val="002F0734"/>
    <w:rsid w:val="002F38FF"/>
    <w:rsid w:val="002F46E7"/>
    <w:rsid w:val="002F7AFD"/>
    <w:rsid w:val="003043AA"/>
    <w:rsid w:val="00304B6E"/>
    <w:rsid w:val="003101DA"/>
    <w:rsid w:val="003132AA"/>
    <w:rsid w:val="00314757"/>
    <w:rsid w:val="003207F8"/>
    <w:rsid w:val="003211CE"/>
    <w:rsid w:val="00326007"/>
    <w:rsid w:val="00331D2B"/>
    <w:rsid w:val="003400CD"/>
    <w:rsid w:val="003424CC"/>
    <w:rsid w:val="003428D1"/>
    <w:rsid w:val="00344375"/>
    <w:rsid w:val="0035403A"/>
    <w:rsid w:val="0035515B"/>
    <w:rsid w:val="0035549C"/>
    <w:rsid w:val="0036394B"/>
    <w:rsid w:val="003709B5"/>
    <w:rsid w:val="00370BD1"/>
    <w:rsid w:val="003732AD"/>
    <w:rsid w:val="0037465B"/>
    <w:rsid w:val="003759C2"/>
    <w:rsid w:val="0038090A"/>
    <w:rsid w:val="00383480"/>
    <w:rsid w:val="003951EE"/>
    <w:rsid w:val="00397365"/>
    <w:rsid w:val="003A31F6"/>
    <w:rsid w:val="003A7E47"/>
    <w:rsid w:val="003B11C0"/>
    <w:rsid w:val="003B1201"/>
    <w:rsid w:val="003B6B6E"/>
    <w:rsid w:val="003B79BF"/>
    <w:rsid w:val="003C14BF"/>
    <w:rsid w:val="003C3447"/>
    <w:rsid w:val="003C3538"/>
    <w:rsid w:val="003C7A81"/>
    <w:rsid w:val="003D076C"/>
    <w:rsid w:val="003D3B6B"/>
    <w:rsid w:val="003D4786"/>
    <w:rsid w:val="003E0A6E"/>
    <w:rsid w:val="003E5019"/>
    <w:rsid w:val="003E63C6"/>
    <w:rsid w:val="003E6FCC"/>
    <w:rsid w:val="003F79BC"/>
    <w:rsid w:val="00403F64"/>
    <w:rsid w:val="00415BAB"/>
    <w:rsid w:val="00415ED2"/>
    <w:rsid w:val="0042068C"/>
    <w:rsid w:val="00426276"/>
    <w:rsid w:val="00426303"/>
    <w:rsid w:val="004311FB"/>
    <w:rsid w:val="0043189C"/>
    <w:rsid w:val="0043196D"/>
    <w:rsid w:val="00431DA3"/>
    <w:rsid w:val="004408E5"/>
    <w:rsid w:val="00444EB6"/>
    <w:rsid w:val="00445B18"/>
    <w:rsid w:val="0045506B"/>
    <w:rsid w:val="00455BEE"/>
    <w:rsid w:val="00464E88"/>
    <w:rsid w:val="0047122B"/>
    <w:rsid w:val="00473B7A"/>
    <w:rsid w:val="00480DC2"/>
    <w:rsid w:val="0048139F"/>
    <w:rsid w:val="00483942"/>
    <w:rsid w:val="00485A63"/>
    <w:rsid w:val="00485F87"/>
    <w:rsid w:val="00492E34"/>
    <w:rsid w:val="004960E9"/>
    <w:rsid w:val="004A2E88"/>
    <w:rsid w:val="004A5305"/>
    <w:rsid w:val="004B0BFC"/>
    <w:rsid w:val="004C4437"/>
    <w:rsid w:val="004C474E"/>
    <w:rsid w:val="004D7634"/>
    <w:rsid w:val="004E2565"/>
    <w:rsid w:val="004E7881"/>
    <w:rsid w:val="004F3187"/>
    <w:rsid w:val="004F7F87"/>
    <w:rsid w:val="00501DD2"/>
    <w:rsid w:val="00510A20"/>
    <w:rsid w:val="00513FA2"/>
    <w:rsid w:val="005142B8"/>
    <w:rsid w:val="005300D3"/>
    <w:rsid w:val="005363F2"/>
    <w:rsid w:val="005426F1"/>
    <w:rsid w:val="0054288D"/>
    <w:rsid w:val="00544F82"/>
    <w:rsid w:val="005525A1"/>
    <w:rsid w:val="0055301C"/>
    <w:rsid w:val="005547DE"/>
    <w:rsid w:val="00554AC3"/>
    <w:rsid w:val="00554CCB"/>
    <w:rsid w:val="00571605"/>
    <w:rsid w:val="00574558"/>
    <w:rsid w:val="005830B5"/>
    <w:rsid w:val="00585D3A"/>
    <w:rsid w:val="00586187"/>
    <w:rsid w:val="00587B93"/>
    <w:rsid w:val="00593C4F"/>
    <w:rsid w:val="005946A8"/>
    <w:rsid w:val="005A0C67"/>
    <w:rsid w:val="005A4407"/>
    <w:rsid w:val="005A59EF"/>
    <w:rsid w:val="005B1C8B"/>
    <w:rsid w:val="005C10AC"/>
    <w:rsid w:val="005C34DB"/>
    <w:rsid w:val="005D0640"/>
    <w:rsid w:val="005D0ABA"/>
    <w:rsid w:val="005D19C2"/>
    <w:rsid w:val="005D262B"/>
    <w:rsid w:val="005D5727"/>
    <w:rsid w:val="005D5ED6"/>
    <w:rsid w:val="005E04BC"/>
    <w:rsid w:val="005E2289"/>
    <w:rsid w:val="005E4343"/>
    <w:rsid w:val="005F1859"/>
    <w:rsid w:val="005F2A82"/>
    <w:rsid w:val="005F65F0"/>
    <w:rsid w:val="00601E4A"/>
    <w:rsid w:val="0061647C"/>
    <w:rsid w:val="0062050A"/>
    <w:rsid w:val="00622E35"/>
    <w:rsid w:val="006257E8"/>
    <w:rsid w:val="00625DC6"/>
    <w:rsid w:val="006261ED"/>
    <w:rsid w:val="00632810"/>
    <w:rsid w:val="00634693"/>
    <w:rsid w:val="0064398F"/>
    <w:rsid w:val="00643EF5"/>
    <w:rsid w:val="00646F87"/>
    <w:rsid w:val="00651821"/>
    <w:rsid w:val="00652550"/>
    <w:rsid w:val="006540AF"/>
    <w:rsid w:val="00654384"/>
    <w:rsid w:val="00654DC2"/>
    <w:rsid w:val="00666CE7"/>
    <w:rsid w:val="00667527"/>
    <w:rsid w:val="006675CD"/>
    <w:rsid w:val="00670BC4"/>
    <w:rsid w:val="0067218E"/>
    <w:rsid w:val="0068028C"/>
    <w:rsid w:val="006831DD"/>
    <w:rsid w:val="00684D9B"/>
    <w:rsid w:val="00690182"/>
    <w:rsid w:val="0069382C"/>
    <w:rsid w:val="00697556"/>
    <w:rsid w:val="006A3D41"/>
    <w:rsid w:val="006A540F"/>
    <w:rsid w:val="006A7269"/>
    <w:rsid w:val="006B4C2B"/>
    <w:rsid w:val="006B610C"/>
    <w:rsid w:val="006B6D47"/>
    <w:rsid w:val="006C098F"/>
    <w:rsid w:val="006D0146"/>
    <w:rsid w:val="006F551A"/>
    <w:rsid w:val="006F5C1E"/>
    <w:rsid w:val="006F6D95"/>
    <w:rsid w:val="00703880"/>
    <w:rsid w:val="00706F13"/>
    <w:rsid w:val="007072E8"/>
    <w:rsid w:val="007104E9"/>
    <w:rsid w:val="00712592"/>
    <w:rsid w:val="007135A2"/>
    <w:rsid w:val="00713E83"/>
    <w:rsid w:val="0071618D"/>
    <w:rsid w:val="00720D57"/>
    <w:rsid w:val="00725FA4"/>
    <w:rsid w:val="00726D7A"/>
    <w:rsid w:val="00731480"/>
    <w:rsid w:val="007327D9"/>
    <w:rsid w:val="00740446"/>
    <w:rsid w:val="007438A9"/>
    <w:rsid w:val="0074491E"/>
    <w:rsid w:val="00755584"/>
    <w:rsid w:val="007559B1"/>
    <w:rsid w:val="00760693"/>
    <w:rsid w:val="00772C3F"/>
    <w:rsid w:val="00775964"/>
    <w:rsid w:val="007776CD"/>
    <w:rsid w:val="00784D83"/>
    <w:rsid w:val="00785A33"/>
    <w:rsid w:val="00795BFB"/>
    <w:rsid w:val="0079645D"/>
    <w:rsid w:val="00797BE0"/>
    <w:rsid w:val="007B2760"/>
    <w:rsid w:val="007C4108"/>
    <w:rsid w:val="007C5B9C"/>
    <w:rsid w:val="007D2240"/>
    <w:rsid w:val="007D6F8D"/>
    <w:rsid w:val="007E1F82"/>
    <w:rsid w:val="007E65B5"/>
    <w:rsid w:val="007F3036"/>
    <w:rsid w:val="008012A9"/>
    <w:rsid w:val="00806599"/>
    <w:rsid w:val="00806C01"/>
    <w:rsid w:val="008115CC"/>
    <w:rsid w:val="00811BEF"/>
    <w:rsid w:val="008148CC"/>
    <w:rsid w:val="00815E78"/>
    <w:rsid w:val="008211A4"/>
    <w:rsid w:val="00821375"/>
    <w:rsid w:val="00822826"/>
    <w:rsid w:val="00830543"/>
    <w:rsid w:val="00830794"/>
    <w:rsid w:val="00845514"/>
    <w:rsid w:val="00851B92"/>
    <w:rsid w:val="00855E18"/>
    <w:rsid w:val="0085733C"/>
    <w:rsid w:val="00867F72"/>
    <w:rsid w:val="00872EA7"/>
    <w:rsid w:val="00873150"/>
    <w:rsid w:val="0087657D"/>
    <w:rsid w:val="008775D5"/>
    <w:rsid w:val="008807D5"/>
    <w:rsid w:val="00880832"/>
    <w:rsid w:val="00883C08"/>
    <w:rsid w:val="00886EE1"/>
    <w:rsid w:val="0088727D"/>
    <w:rsid w:val="00893C08"/>
    <w:rsid w:val="0089419C"/>
    <w:rsid w:val="00894DDF"/>
    <w:rsid w:val="00897C75"/>
    <w:rsid w:val="008A0C8F"/>
    <w:rsid w:val="008A15A0"/>
    <w:rsid w:val="008C1130"/>
    <w:rsid w:val="008C4993"/>
    <w:rsid w:val="008D18E6"/>
    <w:rsid w:val="008D2DEA"/>
    <w:rsid w:val="008D7A9B"/>
    <w:rsid w:val="008E32EA"/>
    <w:rsid w:val="008E76AC"/>
    <w:rsid w:val="008F11A3"/>
    <w:rsid w:val="008F206B"/>
    <w:rsid w:val="008F21F6"/>
    <w:rsid w:val="00912F58"/>
    <w:rsid w:val="00921D88"/>
    <w:rsid w:val="00923A76"/>
    <w:rsid w:val="009240AC"/>
    <w:rsid w:val="00924EFC"/>
    <w:rsid w:val="00925030"/>
    <w:rsid w:val="009511D7"/>
    <w:rsid w:val="00951F79"/>
    <w:rsid w:val="009623A1"/>
    <w:rsid w:val="00966E79"/>
    <w:rsid w:val="00973CBA"/>
    <w:rsid w:val="00974AB5"/>
    <w:rsid w:val="00980302"/>
    <w:rsid w:val="009856F3"/>
    <w:rsid w:val="0098706D"/>
    <w:rsid w:val="009935FB"/>
    <w:rsid w:val="009B125B"/>
    <w:rsid w:val="009C14F9"/>
    <w:rsid w:val="009C4EFE"/>
    <w:rsid w:val="009E3754"/>
    <w:rsid w:val="009E4924"/>
    <w:rsid w:val="009F3399"/>
    <w:rsid w:val="009F43AB"/>
    <w:rsid w:val="009F4A54"/>
    <w:rsid w:val="009F4BEC"/>
    <w:rsid w:val="009F5F5A"/>
    <w:rsid w:val="009F71E4"/>
    <w:rsid w:val="00A10359"/>
    <w:rsid w:val="00A106FD"/>
    <w:rsid w:val="00A17C23"/>
    <w:rsid w:val="00A17E0C"/>
    <w:rsid w:val="00A23FA4"/>
    <w:rsid w:val="00A25FD7"/>
    <w:rsid w:val="00A26A09"/>
    <w:rsid w:val="00A2790C"/>
    <w:rsid w:val="00A33C22"/>
    <w:rsid w:val="00A35E86"/>
    <w:rsid w:val="00A43AFF"/>
    <w:rsid w:val="00A5169B"/>
    <w:rsid w:val="00A605A8"/>
    <w:rsid w:val="00A61870"/>
    <w:rsid w:val="00A64866"/>
    <w:rsid w:val="00A70001"/>
    <w:rsid w:val="00A703A8"/>
    <w:rsid w:val="00A7793A"/>
    <w:rsid w:val="00A77D85"/>
    <w:rsid w:val="00A94B02"/>
    <w:rsid w:val="00A95565"/>
    <w:rsid w:val="00AA0080"/>
    <w:rsid w:val="00AA07E8"/>
    <w:rsid w:val="00AA0962"/>
    <w:rsid w:val="00AA1163"/>
    <w:rsid w:val="00AA2C51"/>
    <w:rsid w:val="00AA5577"/>
    <w:rsid w:val="00AA566A"/>
    <w:rsid w:val="00AA74E9"/>
    <w:rsid w:val="00AB666A"/>
    <w:rsid w:val="00AB6CA7"/>
    <w:rsid w:val="00AD01E4"/>
    <w:rsid w:val="00AD0858"/>
    <w:rsid w:val="00AD1FA6"/>
    <w:rsid w:val="00AD2A29"/>
    <w:rsid w:val="00AD3E8D"/>
    <w:rsid w:val="00AD7D42"/>
    <w:rsid w:val="00AE0B57"/>
    <w:rsid w:val="00AE1363"/>
    <w:rsid w:val="00AE7340"/>
    <w:rsid w:val="00AF1BBD"/>
    <w:rsid w:val="00AF35C7"/>
    <w:rsid w:val="00AF55A6"/>
    <w:rsid w:val="00B10207"/>
    <w:rsid w:val="00B11959"/>
    <w:rsid w:val="00B141E7"/>
    <w:rsid w:val="00B223FA"/>
    <w:rsid w:val="00B23CFB"/>
    <w:rsid w:val="00B260FD"/>
    <w:rsid w:val="00B26E70"/>
    <w:rsid w:val="00B351B4"/>
    <w:rsid w:val="00B355BF"/>
    <w:rsid w:val="00B35835"/>
    <w:rsid w:val="00B40B8F"/>
    <w:rsid w:val="00B46BCA"/>
    <w:rsid w:val="00B510C7"/>
    <w:rsid w:val="00B536F6"/>
    <w:rsid w:val="00B612B3"/>
    <w:rsid w:val="00B66DCE"/>
    <w:rsid w:val="00B675D6"/>
    <w:rsid w:val="00B72766"/>
    <w:rsid w:val="00B874BF"/>
    <w:rsid w:val="00B87806"/>
    <w:rsid w:val="00B87EC9"/>
    <w:rsid w:val="00B87FE6"/>
    <w:rsid w:val="00B94019"/>
    <w:rsid w:val="00B969D5"/>
    <w:rsid w:val="00BB4089"/>
    <w:rsid w:val="00BB6409"/>
    <w:rsid w:val="00BC2F99"/>
    <w:rsid w:val="00BC38FD"/>
    <w:rsid w:val="00BC58F7"/>
    <w:rsid w:val="00BD560E"/>
    <w:rsid w:val="00BD7B34"/>
    <w:rsid w:val="00C034CB"/>
    <w:rsid w:val="00C04F7A"/>
    <w:rsid w:val="00C051A8"/>
    <w:rsid w:val="00C054BC"/>
    <w:rsid w:val="00C1014F"/>
    <w:rsid w:val="00C1417B"/>
    <w:rsid w:val="00C1686E"/>
    <w:rsid w:val="00C17897"/>
    <w:rsid w:val="00C21A5C"/>
    <w:rsid w:val="00C32521"/>
    <w:rsid w:val="00C328DB"/>
    <w:rsid w:val="00C34EAF"/>
    <w:rsid w:val="00C409D5"/>
    <w:rsid w:val="00C44264"/>
    <w:rsid w:val="00C466B5"/>
    <w:rsid w:val="00C5333A"/>
    <w:rsid w:val="00C6234B"/>
    <w:rsid w:val="00C63EAE"/>
    <w:rsid w:val="00C70260"/>
    <w:rsid w:val="00C70E71"/>
    <w:rsid w:val="00C746E7"/>
    <w:rsid w:val="00C7629F"/>
    <w:rsid w:val="00C8661B"/>
    <w:rsid w:val="00C92465"/>
    <w:rsid w:val="00C9322C"/>
    <w:rsid w:val="00C978C2"/>
    <w:rsid w:val="00CA139A"/>
    <w:rsid w:val="00CA2899"/>
    <w:rsid w:val="00CA74F7"/>
    <w:rsid w:val="00CA77FB"/>
    <w:rsid w:val="00CB281C"/>
    <w:rsid w:val="00CB379B"/>
    <w:rsid w:val="00CB5786"/>
    <w:rsid w:val="00CB5DD0"/>
    <w:rsid w:val="00CC51D4"/>
    <w:rsid w:val="00CC64CD"/>
    <w:rsid w:val="00CC65DA"/>
    <w:rsid w:val="00CD157B"/>
    <w:rsid w:val="00CD6553"/>
    <w:rsid w:val="00CF039A"/>
    <w:rsid w:val="00CF21B9"/>
    <w:rsid w:val="00CF6BF9"/>
    <w:rsid w:val="00D03800"/>
    <w:rsid w:val="00D065D3"/>
    <w:rsid w:val="00D07078"/>
    <w:rsid w:val="00D07737"/>
    <w:rsid w:val="00D14418"/>
    <w:rsid w:val="00D14C94"/>
    <w:rsid w:val="00D16349"/>
    <w:rsid w:val="00D254E6"/>
    <w:rsid w:val="00D342A6"/>
    <w:rsid w:val="00D34DBB"/>
    <w:rsid w:val="00D42622"/>
    <w:rsid w:val="00D42FEA"/>
    <w:rsid w:val="00D464BF"/>
    <w:rsid w:val="00D53E26"/>
    <w:rsid w:val="00D552E6"/>
    <w:rsid w:val="00D5698E"/>
    <w:rsid w:val="00D65A27"/>
    <w:rsid w:val="00D670AA"/>
    <w:rsid w:val="00D7616D"/>
    <w:rsid w:val="00D84CF7"/>
    <w:rsid w:val="00D84DFF"/>
    <w:rsid w:val="00D87B20"/>
    <w:rsid w:val="00D9167C"/>
    <w:rsid w:val="00D922E9"/>
    <w:rsid w:val="00DB0F97"/>
    <w:rsid w:val="00DB51C7"/>
    <w:rsid w:val="00DB69FA"/>
    <w:rsid w:val="00DB7612"/>
    <w:rsid w:val="00DD1BF4"/>
    <w:rsid w:val="00DD3C00"/>
    <w:rsid w:val="00DD4A92"/>
    <w:rsid w:val="00DD4F0E"/>
    <w:rsid w:val="00DD5F03"/>
    <w:rsid w:val="00DD6D35"/>
    <w:rsid w:val="00DF0ACF"/>
    <w:rsid w:val="00DF375A"/>
    <w:rsid w:val="00DF52BD"/>
    <w:rsid w:val="00DF5593"/>
    <w:rsid w:val="00E0054B"/>
    <w:rsid w:val="00E00AAF"/>
    <w:rsid w:val="00E05E0A"/>
    <w:rsid w:val="00E0764F"/>
    <w:rsid w:val="00E10E03"/>
    <w:rsid w:val="00E11AE6"/>
    <w:rsid w:val="00E16122"/>
    <w:rsid w:val="00E16A5A"/>
    <w:rsid w:val="00E20436"/>
    <w:rsid w:val="00E23375"/>
    <w:rsid w:val="00E27B4D"/>
    <w:rsid w:val="00E36F86"/>
    <w:rsid w:val="00E379C1"/>
    <w:rsid w:val="00E433F6"/>
    <w:rsid w:val="00E43CBE"/>
    <w:rsid w:val="00E534CF"/>
    <w:rsid w:val="00E56E10"/>
    <w:rsid w:val="00E819A4"/>
    <w:rsid w:val="00E81CB4"/>
    <w:rsid w:val="00E8585B"/>
    <w:rsid w:val="00E8645D"/>
    <w:rsid w:val="00E923EC"/>
    <w:rsid w:val="00E93051"/>
    <w:rsid w:val="00E9449B"/>
    <w:rsid w:val="00E94997"/>
    <w:rsid w:val="00EA3F15"/>
    <w:rsid w:val="00EA40C9"/>
    <w:rsid w:val="00EA7847"/>
    <w:rsid w:val="00EB20C2"/>
    <w:rsid w:val="00EB5E86"/>
    <w:rsid w:val="00EC02BF"/>
    <w:rsid w:val="00EC1C8E"/>
    <w:rsid w:val="00ED0343"/>
    <w:rsid w:val="00EE2E6E"/>
    <w:rsid w:val="00EE3C86"/>
    <w:rsid w:val="00EF0538"/>
    <w:rsid w:val="00EF5C39"/>
    <w:rsid w:val="00F02F98"/>
    <w:rsid w:val="00F03D2D"/>
    <w:rsid w:val="00F05C63"/>
    <w:rsid w:val="00F0759E"/>
    <w:rsid w:val="00F115FA"/>
    <w:rsid w:val="00F12BA5"/>
    <w:rsid w:val="00F134DF"/>
    <w:rsid w:val="00F20171"/>
    <w:rsid w:val="00F26879"/>
    <w:rsid w:val="00F37D58"/>
    <w:rsid w:val="00F419C9"/>
    <w:rsid w:val="00F43023"/>
    <w:rsid w:val="00F74C6A"/>
    <w:rsid w:val="00F821A3"/>
    <w:rsid w:val="00F86C67"/>
    <w:rsid w:val="00F87EEB"/>
    <w:rsid w:val="00F9093F"/>
    <w:rsid w:val="00F9314A"/>
    <w:rsid w:val="00F970A3"/>
    <w:rsid w:val="00FA0872"/>
    <w:rsid w:val="00FB0D10"/>
    <w:rsid w:val="00FB29AB"/>
    <w:rsid w:val="00FC58EF"/>
    <w:rsid w:val="00FC7951"/>
    <w:rsid w:val="00FD33DF"/>
    <w:rsid w:val="00FD573A"/>
    <w:rsid w:val="00FD711C"/>
    <w:rsid w:val="00FE39D7"/>
    <w:rsid w:val="00FE466F"/>
    <w:rsid w:val="00FF2592"/>
    <w:rsid w:val="00FF280D"/>
    <w:rsid w:val="00FF63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paragraph" w:customStyle="1" w:styleId="articulo">
    <w:name w:val="articulo"/>
    <w:basedOn w:val="Normal"/>
    <w:next w:val="Normal"/>
    <w:autoRedefine/>
    <w:rsid w:val="000339B5"/>
    <w:pPr>
      <w:numPr>
        <w:numId w:val="17"/>
      </w:numPr>
      <w:tabs>
        <w:tab w:val="left" w:pos="-720"/>
        <w:tab w:val="left" w:pos="1620"/>
      </w:tabs>
      <w:suppressAutoHyphens/>
      <w:spacing w:before="240"/>
      <w:jc w:val="both"/>
    </w:pPr>
    <w:rPr>
      <w:rFonts w:ascii="Bookman Old Style" w:hAnsi="Bookman Old Style" w:cs="Arial"/>
      <w:bCs/>
      <w:spacing w:val="-4"/>
    </w:rPr>
  </w:style>
  <w:style w:type="paragraph" w:styleId="Sangra2detindependiente">
    <w:name w:val="Body Text Indent 2"/>
    <w:basedOn w:val="Normal"/>
    <w:link w:val="Sangra2detindependienteCar"/>
    <w:uiPriority w:val="99"/>
    <w:semiHidden/>
    <w:unhideWhenUsed/>
    <w:rsid w:val="00B536F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536F6"/>
    <w:rPr>
      <w:sz w:val="24"/>
      <w:szCs w:val="24"/>
    </w:rPr>
  </w:style>
  <w:style w:type="paragraph" w:styleId="Sangradetextonormal">
    <w:name w:val="Body Text Indent"/>
    <w:basedOn w:val="Normal"/>
    <w:link w:val="SangradetextonormalCar"/>
    <w:uiPriority w:val="99"/>
    <w:unhideWhenUsed/>
    <w:rsid w:val="00B536F6"/>
    <w:pPr>
      <w:spacing w:after="120"/>
      <w:ind w:left="283"/>
    </w:pPr>
  </w:style>
  <w:style w:type="character" w:customStyle="1" w:styleId="SangradetextonormalCar">
    <w:name w:val="Sangría de texto normal Car"/>
    <w:basedOn w:val="Fuentedeprrafopredeter"/>
    <w:link w:val="Sangradetextonormal"/>
    <w:uiPriority w:val="99"/>
    <w:rsid w:val="00B536F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paragraph" w:customStyle="1" w:styleId="articulo">
    <w:name w:val="articulo"/>
    <w:basedOn w:val="Normal"/>
    <w:next w:val="Normal"/>
    <w:autoRedefine/>
    <w:rsid w:val="000339B5"/>
    <w:pPr>
      <w:numPr>
        <w:numId w:val="17"/>
      </w:numPr>
      <w:tabs>
        <w:tab w:val="left" w:pos="-720"/>
        <w:tab w:val="left" w:pos="1620"/>
      </w:tabs>
      <w:suppressAutoHyphens/>
      <w:spacing w:before="240"/>
      <w:jc w:val="both"/>
    </w:pPr>
    <w:rPr>
      <w:rFonts w:ascii="Bookman Old Style" w:hAnsi="Bookman Old Style" w:cs="Arial"/>
      <w:bCs/>
      <w:spacing w:val="-4"/>
    </w:rPr>
  </w:style>
  <w:style w:type="paragraph" w:styleId="Sangra2detindependiente">
    <w:name w:val="Body Text Indent 2"/>
    <w:basedOn w:val="Normal"/>
    <w:link w:val="Sangra2detindependienteCar"/>
    <w:uiPriority w:val="99"/>
    <w:semiHidden/>
    <w:unhideWhenUsed/>
    <w:rsid w:val="00B536F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536F6"/>
    <w:rPr>
      <w:sz w:val="24"/>
      <w:szCs w:val="24"/>
    </w:rPr>
  </w:style>
  <w:style w:type="paragraph" w:styleId="Sangradetextonormal">
    <w:name w:val="Body Text Indent"/>
    <w:basedOn w:val="Normal"/>
    <w:link w:val="SangradetextonormalCar"/>
    <w:uiPriority w:val="99"/>
    <w:unhideWhenUsed/>
    <w:rsid w:val="00B536F6"/>
    <w:pPr>
      <w:spacing w:after="120"/>
      <w:ind w:left="283"/>
    </w:pPr>
  </w:style>
  <w:style w:type="character" w:customStyle="1" w:styleId="SangradetextonormalCar">
    <w:name w:val="Sangría de texto normal Car"/>
    <w:basedOn w:val="Fuentedeprrafopredeter"/>
    <w:link w:val="Sangradetextonormal"/>
    <w:uiPriority w:val="99"/>
    <w:rsid w:val="00B536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B33DC-A160-40F1-AF6E-C8FE574BE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1757</Words>
  <Characters>9665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2011-08-03T13:27:00Z</cp:lastPrinted>
  <dcterms:created xsi:type="dcterms:W3CDTF">2011-08-10T19:25:00Z</dcterms:created>
  <dcterms:modified xsi:type="dcterms:W3CDTF">2011-08-10T19:25:00Z</dcterms:modified>
</cp:coreProperties>
</file>