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6B4647" w:rsidRDefault="00BC6523"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o:OLEObject Type="Embed" ProgID="PBrush" ShapeID="_x0000_s1026" DrawAspect="Content" ObjectID="_1447506328" r:id="rId10"/>
        </w:pict>
      </w:r>
    </w:p>
    <w:p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E330DE">
        <w:rPr>
          <w:rFonts w:ascii="Bookman Old Style" w:hAnsi="Bookman Old Style"/>
          <w:sz w:val="24"/>
          <w:szCs w:val="24"/>
        </w:rPr>
        <w:t>3</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12200E" w:rsidRPr="006B4647" w:rsidRDefault="0012200E" w:rsidP="00012259">
      <w:pPr>
        <w:ind w:left="0"/>
        <w:rPr>
          <w:rFonts w:ascii="Bookman Old Style" w:hAnsi="Bookman Old Style"/>
          <w:bCs/>
          <w:lang w:val="es-CO"/>
        </w:rPr>
      </w:pPr>
    </w:p>
    <w:p w:rsidR="00B351B4" w:rsidRPr="006B4647" w:rsidRDefault="00B351B4" w:rsidP="00012259">
      <w:pPr>
        <w:ind w:left="0"/>
        <w:rPr>
          <w:rFonts w:ascii="Bookman Old Style" w:hAnsi="Bookman Old Style"/>
          <w:bCs/>
          <w:lang w:val="es-CO"/>
        </w:rPr>
      </w:pPr>
    </w:p>
    <w:p w:rsidR="00D03E47" w:rsidRPr="00D03E47" w:rsidRDefault="00D03E47" w:rsidP="00D03E47">
      <w:pPr>
        <w:widowControl w:val="0"/>
        <w:adjustRightInd w:val="0"/>
        <w:ind w:left="0" w:right="20"/>
        <w:jc w:val="both"/>
        <w:rPr>
          <w:rFonts w:ascii="Bookman Old Style" w:hAnsi="Bookman Old Style" w:cs="Arial"/>
          <w:lang w:val="es-ES_tradnl"/>
        </w:rPr>
      </w:pPr>
      <w:r w:rsidRPr="00D03E47">
        <w:rPr>
          <w:rFonts w:ascii="Bookman Old Style" w:hAnsi="Bookman Old Style" w:cs="Arial"/>
          <w:lang w:val="es-ES_tradnl"/>
        </w:rPr>
        <w:t xml:space="preserve">Por la cual se </w:t>
      </w:r>
      <w:r w:rsidR="00205101">
        <w:rPr>
          <w:rFonts w:ascii="Bookman Old Style" w:hAnsi="Bookman Old Style" w:cs="Arial"/>
          <w:lang w:val="es-ES_tradnl"/>
        </w:rPr>
        <w:t>determina el cargo por uso que el mercado relevante aprobado mediante Resolución CREG 074 de 2011</w:t>
      </w:r>
      <w:r w:rsidRPr="00D03E47">
        <w:rPr>
          <w:rFonts w:ascii="Bookman Old Style" w:hAnsi="Bookman Old Style" w:cs="Arial"/>
          <w:lang w:val="es-ES_tradnl"/>
        </w:rPr>
        <w:t>,</w:t>
      </w:r>
      <w:r w:rsidR="00205101">
        <w:rPr>
          <w:rFonts w:ascii="Bookman Old Style" w:hAnsi="Bookman Old Style" w:cs="Arial"/>
          <w:lang w:val="es-ES_tradnl"/>
        </w:rPr>
        <w:t xml:space="preserve"> deberá pagar al mercado relevante aprobado mediante r</w:t>
      </w:r>
      <w:r w:rsidR="00205101" w:rsidRPr="00205101">
        <w:rPr>
          <w:rFonts w:ascii="Bookman Old Style" w:hAnsi="Bookman Old Style" w:cs="Arial"/>
          <w:lang w:val="es-ES_tradnl"/>
        </w:rPr>
        <w:t>esoluci</w:t>
      </w:r>
      <w:r w:rsidR="00205101">
        <w:rPr>
          <w:rFonts w:ascii="Bookman Old Style" w:hAnsi="Bookman Old Style" w:cs="Arial"/>
          <w:lang w:val="es-ES_tradnl"/>
        </w:rPr>
        <w:t>ones</w:t>
      </w:r>
      <w:r w:rsidR="00205101" w:rsidRPr="00205101">
        <w:rPr>
          <w:rFonts w:ascii="Bookman Old Style" w:hAnsi="Bookman Old Style" w:cs="Arial"/>
          <w:lang w:val="es-ES_tradnl"/>
        </w:rPr>
        <w:t xml:space="preserve"> CREG 022 de 2004 y 087 de 2004</w:t>
      </w:r>
      <w:r w:rsidR="00205101">
        <w:rPr>
          <w:rFonts w:ascii="Bookman Old Style" w:hAnsi="Bookman Old Style" w:cs="Arial"/>
          <w:lang w:val="es-ES_tradnl"/>
        </w:rPr>
        <w:t xml:space="preserve"> por el uso de su sistema de distribución de gas natural.</w:t>
      </w:r>
      <w:r w:rsidR="00205101" w:rsidRPr="000C4FD4">
        <w:rPr>
          <w:rFonts w:cs="Arial"/>
        </w:rPr>
        <w:t xml:space="preserve"> </w:t>
      </w:r>
    </w:p>
    <w:p w:rsidR="00D03E47" w:rsidRDefault="00D03E47" w:rsidP="00D03E47">
      <w:pPr>
        <w:widowControl w:val="0"/>
        <w:adjustRightInd w:val="0"/>
        <w:ind w:left="0" w:right="20"/>
        <w:jc w:val="both"/>
        <w:rPr>
          <w:rFonts w:ascii="Bookman Old Style" w:hAnsi="Bookman Old Style" w:cs="Arial"/>
          <w:lang w:val="es-CO"/>
        </w:rPr>
      </w:pPr>
    </w:p>
    <w:p w:rsidR="006B4647" w:rsidRPr="006B4647" w:rsidRDefault="006B4647" w:rsidP="006B4647">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6B4647" w:rsidRPr="006B4647" w:rsidRDefault="006B4647" w:rsidP="006B4647">
      <w:pPr>
        <w:ind w:left="0"/>
        <w:jc w:val="both"/>
        <w:rPr>
          <w:rFonts w:ascii="Bookman Old Style" w:hAnsi="Bookman Old Style" w:cs="Arial"/>
          <w:b/>
        </w:rPr>
      </w:pPr>
    </w:p>
    <w:p w:rsidR="006B4647" w:rsidRPr="006B4647" w:rsidRDefault="006B4647" w:rsidP="006B4647">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 conferidas por la Ley 142 de 1994, y en desarrollo de los Decretos 1524 y 2253 de 1994.</w:t>
      </w:r>
    </w:p>
    <w:p w:rsidR="006B4647" w:rsidRDefault="006B4647" w:rsidP="006B4647">
      <w:pPr>
        <w:ind w:left="0"/>
        <w:jc w:val="both"/>
        <w:rPr>
          <w:rFonts w:ascii="Bookman Old Style" w:hAnsi="Bookman Old Style" w:cs="Arial"/>
        </w:rPr>
      </w:pPr>
    </w:p>
    <w:p w:rsidR="0012200E" w:rsidRPr="006B4647" w:rsidRDefault="0012200E" w:rsidP="006B4647">
      <w:pPr>
        <w:ind w:left="0"/>
        <w:jc w:val="both"/>
        <w:rPr>
          <w:rFonts w:ascii="Bookman Old Style" w:hAnsi="Bookman Old Style" w:cs="Arial"/>
        </w:rPr>
      </w:pPr>
    </w:p>
    <w:p w:rsidR="006B4647" w:rsidRPr="006B4647" w:rsidRDefault="006B4647" w:rsidP="006B4647">
      <w:pPr>
        <w:ind w:left="0"/>
        <w:jc w:val="center"/>
        <w:rPr>
          <w:rFonts w:ascii="Bookman Old Style" w:hAnsi="Bookman Old Style" w:cs="Arial"/>
          <w:b/>
        </w:rPr>
      </w:pPr>
      <w:r w:rsidRPr="006B4647">
        <w:rPr>
          <w:rFonts w:ascii="Bookman Old Style" w:hAnsi="Bookman Old Style" w:cs="Arial"/>
          <w:b/>
          <w:spacing w:val="80"/>
        </w:rPr>
        <w:t>CONSIDERANDO</w:t>
      </w:r>
      <w:r w:rsidR="00426523">
        <w:rPr>
          <w:rFonts w:ascii="Bookman Old Style" w:hAnsi="Bookman Old Style" w:cs="Arial"/>
          <w:b/>
          <w:spacing w:val="80"/>
        </w:rPr>
        <w:t xml:space="preserve"> QUE</w:t>
      </w:r>
      <w:r w:rsidRPr="006B4647">
        <w:rPr>
          <w:rFonts w:ascii="Bookman Old Style" w:hAnsi="Bookman Old Style" w:cs="Arial"/>
          <w:b/>
        </w:rPr>
        <w:t>:</w:t>
      </w:r>
    </w:p>
    <w:p w:rsidR="00433F0D" w:rsidRDefault="00433F0D" w:rsidP="00D03E47">
      <w:pPr>
        <w:widowControl w:val="0"/>
        <w:adjustRightInd w:val="0"/>
        <w:ind w:left="0" w:right="20"/>
        <w:jc w:val="both"/>
        <w:rPr>
          <w:rFonts w:ascii="Bookman Old Style" w:hAnsi="Bookman Old Style" w:cs="Arial"/>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sidR="00FC6DA4">
        <w:rPr>
          <w:rFonts w:ascii="Bookman Old Style" w:hAnsi="Bookman Old Style" w:cs="Arial"/>
        </w:rPr>
        <w:t>numeral</w:t>
      </w:r>
      <w:r w:rsidRPr="00D03E47">
        <w:rPr>
          <w:rFonts w:ascii="Bookman Old Style" w:hAnsi="Bookman Old Style" w:cs="Arial"/>
        </w:rPr>
        <w:t xml:space="preserve"> 14.28</w:t>
      </w:r>
      <w:r w:rsidR="00846EDC">
        <w:rPr>
          <w:rFonts w:ascii="Bookman Old Style" w:hAnsi="Bookman Old Style" w:cs="Arial"/>
        </w:rPr>
        <w:t xml:space="preserve"> del artículo 14</w:t>
      </w:r>
      <w:r w:rsidRPr="00D03E47">
        <w:rPr>
          <w:rFonts w:ascii="Bookman Old Style" w:hAnsi="Bookman Old Style" w:cs="Arial"/>
        </w:rPr>
        <w:t xml:space="preserve">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D03E47" w:rsidRPr="00D03E47" w:rsidRDefault="00D03E47" w:rsidP="00D03E47">
      <w:pPr>
        <w:widowControl w:val="0"/>
        <w:adjustRightInd w:val="0"/>
        <w:ind w:left="0" w:right="20"/>
        <w:jc w:val="both"/>
        <w:rPr>
          <w:rFonts w:ascii="Bookman Old Style" w:hAnsi="Bookman Old Style" w:cs="Arial"/>
          <w:spacing w:val="-3"/>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 xml:space="preserve">Según lo dispuesto por el </w:t>
      </w:r>
      <w:r w:rsidR="00426523">
        <w:rPr>
          <w:rFonts w:ascii="Bookman Old Style" w:hAnsi="Bookman Old Style" w:cs="Arial"/>
        </w:rPr>
        <w:t>a</w:t>
      </w:r>
      <w:r w:rsidRPr="00D03E47">
        <w:rPr>
          <w:rFonts w:ascii="Bookman Old Style" w:hAnsi="Bookman Old Style" w:cs="Arial"/>
        </w:rPr>
        <w:t>rtículo 28 de la Ley 142 de 1994, la construcción y operación de redes para el transporte de gas, así como el señalamiento de las tarifas por uso, se regirán exclusivamente por esa Ley.</w:t>
      </w:r>
    </w:p>
    <w:p w:rsidR="00D03E47" w:rsidRPr="00D03E47" w:rsidRDefault="00D03E47" w:rsidP="00D03E47">
      <w:pPr>
        <w:widowControl w:val="0"/>
        <w:adjustRightInd w:val="0"/>
        <w:ind w:left="0" w:right="20"/>
        <w:jc w:val="both"/>
        <w:rPr>
          <w:rFonts w:ascii="Bookman Old Style" w:hAnsi="Bookman Old Style" w:cs="Arial"/>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sidR="00FC6DA4">
        <w:rPr>
          <w:rFonts w:ascii="Bookman Old Style" w:hAnsi="Bookman Old Style" w:cs="Arial"/>
        </w:rPr>
        <w:t>numeral</w:t>
      </w:r>
      <w:r w:rsidRPr="00D03E47">
        <w:rPr>
          <w:rFonts w:ascii="Bookman Old Style" w:hAnsi="Bookman Old Style" w:cs="Arial"/>
        </w:rPr>
        <w:t xml:space="preserve"> 73.11 </w:t>
      </w:r>
      <w:r w:rsidR="00846EDC">
        <w:rPr>
          <w:rFonts w:ascii="Bookman Old Style" w:hAnsi="Bookman Old Style" w:cs="Arial"/>
        </w:rPr>
        <w:t xml:space="preserve">del artículo 73 </w:t>
      </w:r>
      <w:r w:rsidRPr="00D03E47">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rsidR="00D03E47" w:rsidRPr="00D03E47" w:rsidRDefault="00D03E47" w:rsidP="00D03E47">
      <w:pPr>
        <w:widowControl w:val="0"/>
        <w:adjustRightInd w:val="0"/>
        <w:ind w:left="0" w:right="20"/>
        <w:jc w:val="both"/>
        <w:rPr>
          <w:rFonts w:ascii="Bookman Old Style" w:hAnsi="Bookman Old Style" w:cs="Arial"/>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 xml:space="preserve">Según lo dispuesto por el </w:t>
      </w:r>
      <w:r w:rsidR="00FC6DA4">
        <w:rPr>
          <w:rFonts w:ascii="Bookman Old Style" w:hAnsi="Bookman Old Style" w:cs="Arial"/>
        </w:rPr>
        <w:t>numeral</w:t>
      </w:r>
      <w:r w:rsidRPr="00D03E47">
        <w:rPr>
          <w:rFonts w:ascii="Bookman Old Style" w:hAnsi="Bookman Old Style" w:cs="Arial"/>
        </w:rPr>
        <w:t xml:space="preserve"> 88.1 </w:t>
      </w:r>
      <w:r w:rsidR="00846EDC">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rsidR="00D03E47" w:rsidRPr="00D03E47" w:rsidRDefault="00D03E47" w:rsidP="00D03E47">
      <w:pPr>
        <w:widowControl w:val="0"/>
        <w:adjustRightInd w:val="0"/>
        <w:ind w:left="0" w:right="20"/>
        <w:jc w:val="both"/>
        <w:rPr>
          <w:rFonts w:ascii="Bookman Old Style" w:hAnsi="Bookman Old Style" w:cs="Arial"/>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 xml:space="preserve">El </w:t>
      </w:r>
      <w:r w:rsidR="00426523">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D03E47" w:rsidRPr="0012200E" w:rsidRDefault="00D03E47" w:rsidP="00D03E47">
      <w:pPr>
        <w:widowControl w:val="0"/>
        <w:adjustRightInd w:val="0"/>
        <w:ind w:left="0"/>
        <w:jc w:val="both"/>
        <w:rPr>
          <w:rFonts w:ascii="Bookman Old Style" w:hAnsi="Bookman Old Style" w:cs="Arial"/>
          <w:sz w:val="20"/>
        </w:rPr>
      </w:pPr>
    </w:p>
    <w:p w:rsidR="00433F0D" w:rsidRDefault="00433F0D" w:rsidP="00D03E47">
      <w:pPr>
        <w:widowControl w:val="0"/>
        <w:adjustRightInd w:val="0"/>
        <w:ind w:left="0" w:right="20"/>
        <w:jc w:val="both"/>
        <w:rPr>
          <w:rFonts w:ascii="Bookman Old Style" w:hAnsi="Bookman Old Style" w:cs="Arial"/>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Mediante las Resoluciones CREG-045 de 2002 y CREG-069 de 2006 se estableció la metodología de cálculo y ajuste para la determinación de la tasa de retorno que se utilizará en las fórmulas tarifarias de la actividad de distribución de gas combustible por redes para el próximo período.</w:t>
      </w:r>
    </w:p>
    <w:p w:rsidR="00D03E47" w:rsidRPr="0012200E" w:rsidRDefault="00D03E47" w:rsidP="00D03E47">
      <w:pPr>
        <w:widowControl w:val="0"/>
        <w:adjustRightInd w:val="0"/>
        <w:ind w:left="0" w:right="20"/>
        <w:jc w:val="both"/>
        <w:rPr>
          <w:rFonts w:ascii="Bookman Old Style" w:hAnsi="Bookman Old Style" w:cs="Arial"/>
          <w:sz w:val="20"/>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Mediante Resolución CREG-011 de 2003 se adoptó la metodología y criterios generales para determinar la remuneración de las actividades de distribución y comercialización de gas combustible y las fórmulas generales para la prestación del servicio público domiciliario de distribución de gas combustible por redes de tubería.</w:t>
      </w:r>
    </w:p>
    <w:p w:rsidR="00D03E47" w:rsidRPr="0012200E" w:rsidRDefault="00D03E47" w:rsidP="00D03E47">
      <w:pPr>
        <w:widowControl w:val="0"/>
        <w:adjustRightInd w:val="0"/>
        <w:ind w:left="0" w:right="20"/>
        <w:jc w:val="both"/>
        <w:rPr>
          <w:rFonts w:ascii="Bookman Old Style" w:hAnsi="Bookman Old Style" w:cs="Arial"/>
          <w:sz w:val="20"/>
        </w:rPr>
      </w:pPr>
    </w:p>
    <w:p w:rsidR="00194FF5" w:rsidRPr="00194FF5" w:rsidRDefault="00194FF5" w:rsidP="00194FF5">
      <w:pPr>
        <w:widowControl w:val="0"/>
        <w:adjustRightInd w:val="0"/>
        <w:ind w:left="0" w:right="20"/>
        <w:jc w:val="both"/>
        <w:rPr>
          <w:rFonts w:ascii="Bookman Old Style" w:hAnsi="Bookman Old Style" w:cs="Arial"/>
        </w:rPr>
      </w:pPr>
      <w:r>
        <w:rPr>
          <w:rFonts w:ascii="Bookman Old Style" w:hAnsi="Bookman Old Style" w:cs="Arial"/>
        </w:rPr>
        <w:t>M</w:t>
      </w:r>
      <w:r w:rsidRPr="00194FF5">
        <w:rPr>
          <w:rFonts w:ascii="Bookman Old Style" w:hAnsi="Bookman Old Style" w:cs="Arial"/>
        </w:rPr>
        <w:t>ediante Resoluci</w:t>
      </w:r>
      <w:r>
        <w:rPr>
          <w:rFonts w:ascii="Bookman Old Style" w:hAnsi="Bookman Old Style" w:cs="Arial"/>
        </w:rPr>
        <w:t>o</w:t>
      </w:r>
      <w:r w:rsidRPr="00194FF5">
        <w:rPr>
          <w:rFonts w:ascii="Bookman Old Style" w:hAnsi="Bookman Old Style" w:cs="Arial"/>
        </w:rPr>
        <w:t>n</w:t>
      </w:r>
      <w:r>
        <w:rPr>
          <w:rFonts w:ascii="Bookman Old Style" w:hAnsi="Bookman Old Style" w:cs="Arial"/>
        </w:rPr>
        <w:t>es</w:t>
      </w:r>
      <w:r w:rsidRPr="00194FF5">
        <w:rPr>
          <w:rFonts w:ascii="Bookman Old Style" w:hAnsi="Bookman Old Style" w:cs="Arial"/>
        </w:rPr>
        <w:t xml:space="preserve"> CREG 022 de 2004 y 087 de 2004 se aprobó  el Cargo Promedio de Distribución por uso del Sistema de Distribución de gas combustible por red y el Cargo Máximo Base de Comercialización de gas combustible por redes, para el mercado relevante conformado por los municipios de Barbosa, Girardota, Copacabana, Bello, Medellín, Envigado, Itagüí, Sabaneta, La Estrella y Caldas en el departamento de Antioquia, según solicitud tarifaria presentada por EMPRESAS PUBLICAS DE MEDELLIN E.S.P.</w:t>
      </w:r>
    </w:p>
    <w:p w:rsidR="00194FF5" w:rsidRDefault="00194FF5" w:rsidP="00B540E0">
      <w:pPr>
        <w:widowControl w:val="0"/>
        <w:adjustRightInd w:val="0"/>
        <w:ind w:left="0" w:right="20"/>
        <w:jc w:val="both"/>
        <w:rPr>
          <w:rFonts w:ascii="Bookman Old Style" w:hAnsi="Bookman Old Style" w:cs="Arial"/>
        </w:rPr>
      </w:pPr>
    </w:p>
    <w:p w:rsidR="00194FF5" w:rsidRDefault="00194FF5" w:rsidP="00B540E0">
      <w:pPr>
        <w:widowControl w:val="0"/>
        <w:adjustRightInd w:val="0"/>
        <w:ind w:left="0" w:right="20"/>
        <w:jc w:val="both"/>
        <w:rPr>
          <w:rFonts w:ascii="Bookman Old Style" w:hAnsi="Bookman Old Style" w:cs="Arial"/>
        </w:rPr>
      </w:pPr>
      <w:r>
        <w:rPr>
          <w:rFonts w:ascii="Bookman Old Style" w:hAnsi="Bookman Old Style" w:cs="Arial"/>
        </w:rPr>
        <w:t>M</w:t>
      </w:r>
      <w:r w:rsidRPr="00194FF5">
        <w:rPr>
          <w:rFonts w:ascii="Bookman Old Style" w:hAnsi="Bookman Old Style" w:cs="Arial"/>
        </w:rPr>
        <w:t>ediante Resolución CREG 0</w:t>
      </w:r>
      <w:r>
        <w:rPr>
          <w:rFonts w:ascii="Bookman Old Style" w:hAnsi="Bookman Old Style" w:cs="Arial"/>
        </w:rPr>
        <w:t>74</w:t>
      </w:r>
      <w:r w:rsidRPr="00194FF5">
        <w:rPr>
          <w:rFonts w:ascii="Bookman Old Style" w:hAnsi="Bookman Old Style" w:cs="Arial"/>
        </w:rPr>
        <w:t xml:space="preserve"> de 2</w:t>
      </w:r>
      <w:r>
        <w:rPr>
          <w:rFonts w:ascii="Bookman Old Style" w:hAnsi="Bookman Old Style" w:cs="Arial"/>
        </w:rPr>
        <w:t xml:space="preserve">011 </w:t>
      </w:r>
      <w:r w:rsidRPr="00194FF5">
        <w:rPr>
          <w:rFonts w:ascii="Bookman Old Style" w:hAnsi="Bookman Old Style" w:cs="Arial"/>
        </w:rPr>
        <w:t>se apr</w:t>
      </w:r>
      <w:r>
        <w:rPr>
          <w:rFonts w:ascii="Bookman Old Style" w:hAnsi="Bookman Old Style" w:cs="Arial"/>
        </w:rPr>
        <w:t>o</w:t>
      </w:r>
      <w:r w:rsidRPr="00194FF5">
        <w:rPr>
          <w:rFonts w:ascii="Bookman Old Style" w:hAnsi="Bookman Old Style" w:cs="Arial"/>
        </w:rPr>
        <w:t xml:space="preserve">bó el Cargo Promedio de Distribución por uso del Sistema de Distribución y el Cargo Máximo Base de Comercialización de gas combustible por redes de tubería a usuarios regulados, para el mercado relevante conformado por los municipios de </w:t>
      </w:r>
      <w:proofErr w:type="spellStart"/>
      <w:r w:rsidRPr="00194FF5">
        <w:rPr>
          <w:rFonts w:ascii="Bookman Old Style" w:hAnsi="Bookman Old Style" w:cs="Arial"/>
        </w:rPr>
        <w:t>Yarumal</w:t>
      </w:r>
      <w:proofErr w:type="spellEnd"/>
      <w:r w:rsidRPr="00194FF5">
        <w:rPr>
          <w:rFonts w:ascii="Bookman Old Style" w:hAnsi="Bookman Old Style" w:cs="Arial"/>
        </w:rPr>
        <w:t xml:space="preserve">, Santa Rosa de Osos, </w:t>
      </w:r>
      <w:proofErr w:type="spellStart"/>
      <w:r w:rsidRPr="00194FF5">
        <w:rPr>
          <w:rFonts w:ascii="Bookman Old Style" w:hAnsi="Bookman Old Style" w:cs="Arial"/>
        </w:rPr>
        <w:t>Donmatías</w:t>
      </w:r>
      <w:proofErr w:type="spellEnd"/>
      <w:r w:rsidRPr="00194FF5">
        <w:rPr>
          <w:rFonts w:ascii="Bookman Old Style" w:hAnsi="Bookman Old Style" w:cs="Arial"/>
        </w:rPr>
        <w:t xml:space="preserve">, </w:t>
      </w:r>
      <w:proofErr w:type="spellStart"/>
      <w:r w:rsidRPr="00194FF5">
        <w:rPr>
          <w:rFonts w:ascii="Bookman Old Style" w:hAnsi="Bookman Old Style" w:cs="Arial"/>
        </w:rPr>
        <w:t>Entrerríos</w:t>
      </w:r>
      <w:proofErr w:type="spellEnd"/>
      <w:r w:rsidRPr="00194FF5">
        <w:rPr>
          <w:rFonts w:ascii="Bookman Old Style" w:hAnsi="Bookman Old Style" w:cs="Arial"/>
        </w:rPr>
        <w:t xml:space="preserve"> y San Pedro de los Milagros ubicados en el departamento de Antioquia, según solicitud tarifaria presentada por EMPRESAS PUBLICAS DE MEDELLÍN S.A. E.S.P.</w:t>
      </w:r>
    </w:p>
    <w:p w:rsidR="00194FF5" w:rsidRPr="00B540E0" w:rsidRDefault="00194FF5" w:rsidP="00B540E0">
      <w:pPr>
        <w:widowControl w:val="0"/>
        <w:adjustRightInd w:val="0"/>
        <w:ind w:left="0" w:right="20"/>
        <w:jc w:val="both"/>
        <w:rPr>
          <w:rFonts w:ascii="Bookman Old Style" w:hAnsi="Bookman Old Style" w:cs="Arial"/>
        </w:rPr>
      </w:pPr>
    </w:p>
    <w:p w:rsidR="00194FF5" w:rsidRPr="00194FF5" w:rsidRDefault="00194FF5" w:rsidP="00194FF5">
      <w:pPr>
        <w:widowControl w:val="0"/>
        <w:adjustRightInd w:val="0"/>
        <w:ind w:left="0" w:right="20"/>
        <w:jc w:val="both"/>
        <w:rPr>
          <w:rFonts w:ascii="Bookman Old Style" w:hAnsi="Bookman Old Style" w:cs="Arial"/>
        </w:rPr>
      </w:pPr>
      <w:r>
        <w:rPr>
          <w:rFonts w:ascii="Bookman Old Style" w:hAnsi="Bookman Old Style" w:cs="Arial"/>
        </w:rPr>
        <w:t>E</w:t>
      </w:r>
      <w:r w:rsidRPr="00194FF5">
        <w:rPr>
          <w:rFonts w:ascii="Bookman Old Style" w:hAnsi="Bookman Old Style" w:cs="Arial"/>
        </w:rPr>
        <w:t>l artículo 2 de la Resolución CREG 011 de 2003, define acceso al sistema de distribución como “</w:t>
      </w:r>
      <w:r w:rsidRPr="00433F0D">
        <w:rPr>
          <w:rFonts w:ascii="Bookman Old Style" w:hAnsi="Bookman Old Style" w:cs="Arial"/>
        </w:rPr>
        <w:t>la utilización de los Sistemas de Distribución de gas combustible por redes de tubería, por parte de los Almacenadores, Comercializadores, otros Distribuidores y usuarios, a cambio del pago de cargos por uso de la red y de los cargos de conexión correspondientes, con los derechos y deberes establecidos en la Resolución CREG-067 de 1995 o aquellas disposiciones que lo sustituyan, modifiquen o complementen</w:t>
      </w:r>
      <w:r w:rsidRPr="00194FF5">
        <w:rPr>
          <w:rFonts w:ascii="Bookman Old Style" w:hAnsi="Bookman Old Style" w:cs="Arial"/>
        </w:rPr>
        <w:t xml:space="preserve">”. </w:t>
      </w:r>
    </w:p>
    <w:p w:rsidR="00194FF5" w:rsidRDefault="00194FF5" w:rsidP="00B540E0">
      <w:pPr>
        <w:widowControl w:val="0"/>
        <w:adjustRightInd w:val="0"/>
        <w:ind w:left="0" w:right="20"/>
        <w:jc w:val="both"/>
        <w:rPr>
          <w:rFonts w:ascii="Bookman Old Style" w:hAnsi="Bookman Old Style" w:cs="Arial"/>
        </w:rPr>
      </w:pPr>
    </w:p>
    <w:p w:rsidR="00194FF5" w:rsidRPr="00194FF5" w:rsidRDefault="00194FF5" w:rsidP="00194FF5">
      <w:pPr>
        <w:widowControl w:val="0"/>
        <w:adjustRightInd w:val="0"/>
        <w:ind w:left="0" w:right="20"/>
        <w:jc w:val="both"/>
        <w:rPr>
          <w:rFonts w:ascii="Bookman Old Style" w:hAnsi="Bookman Old Style" w:cs="Arial"/>
        </w:rPr>
      </w:pPr>
      <w:r w:rsidRPr="00194FF5">
        <w:rPr>
          <w:rFonts w:ascii="Bookman Old Style" w:hAnsi="Bookman Old Style" w:cs="Arial"/>
        </w:rPr>
        <w:t>EMPRESAS PUBLICAS DE MEDELLIN E.S.P. a través de la comunicación radicada en la CREG bajo el número E-2013-003373 del  2 de mayo de 2013, con base en lo establecido en la Resolución CREG 011 de 2003, solicitó la determinación del peaje que el mercado relevante del Norte (Antioquia)</w:t>
      </w:r>
      <w:r>
        <w:rPr>
          <w:rFonts w:ascii="Bookman Old Style" w:hAnsi="Bookman Old Style" w:cs="Arial"/>
        </w:rPr>
        <w:t xml:space="preserve"> aprobado mediante Resolución CREG 074 de 2011</w:t>
      </w:r>
      <w:r w:rsidRPr="00194FF5">
        <w:rPr>
          <w:rFonts w:ascii="Bookman Old Style" w:hAnsi="Bookman Old Style" w:cs="Arial"/>
        </w:rPr>
        <w:t>, deberá pagar al mercado relevante del Valle de Aburrá</w:t>
      </w:r>
      <w:r>
        <w:rPr>
          <w:rFonts w:ascii="Bookman Old Style" w:hAnsi="Bookman Old Style" w:cs="Arial"/>
        </w:rPr>
        <w:t xml:space="preserve"> aprobado mediante resoluciones CREG </w:t>
      </w:r>
      <w:r w:rsidR="00BD3110">
        <w:rPr>
          <w:rFonts w:ascii="Bookman Old Style" w:hAnsi="Bookman Old Style" w:cs="Arial"/>
        </w:rPr>
        <w:t>022 y 087 de 2004</w:t>
      </w:r>
      <w:r w:rsidRPr="00194FF5">
        <w:rPr>
          <w:rFonts w:ascii="Bookman Old Style" w:hAnsi="Bookman Old Style" w:cs="Arial"/>
        </w:rPr>
        <w:t xml:space="preserve"> por el uso de su sistema de distribución de gas natural</w:t>
      </w:r>
      <w:r w:rsidR="00BD3110">
        <w:rPr>
          <w:rFonts w:ascii="Bookman Old Style" w:hAnsi="Bookman Old Style" w:cs="Arial"/>
        </w:rPr>
        <w:t>.</w:t>
      </w:r>
    </w:p>
    <w:p w:rsidR="00D03E47" w:rsidRPr="000F3230" w:rsidRDefault="00D03E47" w:rsidP="00D03E47">
      <w:pPr>
        <w:widowControl w:val="0"/>
        <w:adjustRightInd w:val="0"/>
        <w:ind w:left="0" w:right="20"/>
        <w:jc w:val="both"/>
        <w:rPr>
          <w:rFonts w:ascii="Bookman Old Style" w:hAnsi="Bookman Old Style" w:cs="Arial"/>
          <w:sz w:val="16"/>
        </w:rPr>
      </w:pPr>
    </w:p>
    <w:p w:rsidR="00E45E25" w:rsidRPr="00E45E25" w:rsidRDefault="000F3230" w:rsidP="00E45E25">
      <w:pPr>
        <w:widowControl w:val="0"/>
        <w:adjustRightInd w:val="0"/>
        <w:ind w:left="0" w:right="20"/>
        <w:jc w:val="both"/>
        <w:rPr>
          <w:rFonts w:ascii="Bookman Old Style" w:hAnsi="Bookman Old Style" w:cs="Arial"/>
        </w:rPr>
      </w:pPr>
      <w:r w:rsidRPr="00E45E25">
        <w:rPr>
          <w:rFonts w:ascii="Bookman Old Style" w:hAnsi="Bookman Old Style" w:cs="Arial"/>
        </w:rPr>
        <w:t>L</w:t>
      </w:r>
      <w:r w:rsidRPr="000F3230">
        <w:rPr>
          <w:rFonts w:ascii="Bookman Old Style" w:hAnsi="Bookman Old Style" w:cs="Arial"/>
        </w:rPr>
        <w:t xml:space="preserve">a Dirección Ejecutiva de la Comisión, mediante auto proferido el día </w:t>
      </w:r>
      <w:r w:rsidR="00E45E25">
        <w:rPr>
          <w:rFonts w:ascii="Bookman Old Style" w:hAnsi="Bookman Old Style" w:cs="Arial"/>
        </w:rPr>
        <w:t>06</w:t>
      </w:r>
      <w:r w:rsidRPr="000F3230">
        <w:rPr>
          <w:rFonts w:ascii="Bookman Old Style" w:hAnsi="Bookman Old Style" w:cs="Arial"/>
        </w:rPr>
        <w:t xml:space="preserve"> de </w:t>
      </w:r>
      <w:r w:rsidR="00E45E25">
        <w:rPr>
          <w:rFonts w:ascii="Bookman Old Style" w:hAnsi="Bookman Old Style" w:cs="Arial"/>
        </w:rPr>
        <w:t>junio</w:t>
      </w:r>
      <w:r w:rsidRPr="000F3230">
        <w:rPr>
          <w:rFonts w:ascii="Bookman Old Style" w:hAnsi="Bookman Old Style" w:cs="Arial"/>
        </w:rPr>
        <w:t xml:space="preserve"> de 201</w:t>
      </w:r>
      <w:r w:rsidR="00A979C0">
        <w:rPr>
          <w:rFonts w:ascii="Bookman Old Style" w:hAnsi="Bookman Old Style" w:cs="Arial"/>
        </w:rPr>
        <w:t>3</w:t>
      </w:r>
      <w:r w:rsidRPr="000F3230">
        <w:rPr>
          <w:rFonts w:ascii="Bookman Old Style" w:hAnsi="Bookman Old Style" w:cs="Arial"/>
        </w:rPr>
        <w:t xml:space="preserve">, dispuso iniciar la respectiva actuación administrativa con fundamento en la </w:t>
      </w:r>
      <w:r w:rsidRPr="00E45E25">
        <w:rPr>
          <w:rFonts w:ascii="Bookman Old Style" w:hAnsi="Bookman Old Style" w:cs="Arial"/>
        </w:rPr>
        <w:t xml:space="preserve">solicitud presentada por </w:t>
      </w:r>
      <w:r w:rsidR="00A979C0" w:rsidRPr="00E45E25">
        <w:rPr>
          <w:rFonts w:ascii="Bookman Old Style" w:hAnsi="Bookman Old Style" w:cs="Arial"/>
        </w:rPr>
        <w:t>EPM</w:t>
      </w:r>
      <w:r w:rsidRPr="00E45E25">
        <w:rPr>
          <w:rFonts w:ascii="Bookman Old Style" w:hAnsi="Bookman Old Style" w:cs="Arial"/>
        </w:rPr>
        <w:t xml:space="preserve"> E.S.P. </w:t>
      </w:r>
      <w:r w:rsidR="00E45E25" w:rsidRPr="00E45E25">
        <w:rPr>
          <w:rFonts w:ascii="Bookman Old Style" w:hAnsi="Bookman Old Style" w:cs="Arial"/>
        </w:rPr>
        <w:t>para la determinación del cargo por uso que el mercado relevante del Norte (Antioquia), deberá pagar al mercado relevante del Valle de Aburrá por el uso de su sistema de distribución de gas natural.</w:t>
      </w:r>
    </w:p>
    <w:p w:rsidR="000F3230" w:rsidRPr="000F3230" w:rsidRDefault="000F3230" w:rsidP="00D03E47">
      <w:pPr>
        <w:widowControl w:val="0"/>
        <w:adjustRightInd w:val="0"/>
        <w:ind w:left="0" w:right="20"/>
        <w:jc w:val="both"/>
        <w:rPr>
          <w:rFonts w:ascii="Bookman Old Style" w:hAnsi="Bookman Old Style" w:cs="Arial"/>
          <w:sz w:val="16"/>
        </w:rPr>
      </w:pPr>
    </w:p>
    <w:p w:rsidR="004C4E22" w:rsidRPr="003C24AD" w:rsidRDefault="004C4E22" w:rsidP="00D03E47">
      <w:pPr>
        <w:widowControl w:val="0"/>
        <w:adjustRightInd w:val="0"/>
        <w:ind w:left="0" w:right="20"/>
        <w:jc w:val="both"/>
        <w:rPr>
          <w:rFonts w:ascii="Bookman Old Style" w:hAnsi="Bookman Old Style" w:cs="Arial"/>
          <w:szCs w:val="22"/>
        </w:rPr>
      </w:pPr>
      <w:r w:rsidRPr="005B5E40">
        <w:rPr>
          <w:rFonts w:ascii="Bookman Old Style" w:hAnsi="Bookman Old Style" w:cs="Arial"/>
          <w:szCs w:val="22"/>
        </w:rPr>
        <w:t>La Comisión para los efectos del artículo 37 del Código de Procedimiento Administrativo y de lo Contencioso Administrativo publicó en la página Web de la CREG y en el Diario Oficial</w:t>
      </w:r>
      <w:r w:rsidR="003C24AD" w:rsidRPr="005B5E40">
        <w:rPr>
          <w:rFonts w:ascii="Bookman Old Style" w:hAnsi="Bookman Old Style" w:cs="Arial"/>
          <w:szCs w:val="22"/>
        </w:rPr>
        <w:t xml:space="preserve"> No. </w:t>
      </w:r>
      <w:r w:rsidR="00C03071" w:rsidRPr="00C03071">
        <w:rPr>
          <w:rFonts w:ascii="Bookman Old Style" w:hAnsi="Bookman Old Style" w:cs="Arial"/>
          <w:szCs w:val="22"/>
        </w:rPr>
        <w:t>48.819</w:t>
      </w:r>
      <w:r w:rsidR="003C24AD" w:rsidRPr="00C03071">
        <w:rPr>
          <w:rFonts w:ascii="Bookman Old Style" w:hAnsi="Bookman Old Style" w:cs="Arial"/>
          <w:szCs w:val="22"/>
        </w:rPr>
        <w:t xml:space="preserve"> del </w:t>
      </w:r>
      <w:r w:rsidR="00C03071" w:rsidRPr="00C03071">
        <w:rPr>
          <w:rFonts w:ascii="Bookman Old Style" w:hAnsi="Bookman Old Style" w:cs="Arial"/>
          <w:szCs w:val="22"/>
        </w:rPr>
        <w:t>12</w:t>
      </w:r>
      <w:r w:rsidR="007F732E" w:rsidRPr="00C03071">
        <w:rPr>
          <w:rFonts w:ascii="Bookman Old Style" w:hAnsi="Bookman Old Style" w:cs="Arial"/>
          <w:szCs w:val="22"/>
        </w:rPr>
        <w:t xml:space="preserve"> </w:t>
      </w:r>
      <w:r w:rsidR="003C24AD" w:rsidRPr="00C03071">
        <w:rPr>
          <w:rFonts w:ascii="Bookman Old Style" w:hAnsi="Bookman Old Style" w:cs="Arial"/>
          <w:szCs w:val="22"/>
        </w:rPr>
        <w:t xml:space="preserve">de </w:t>
      </w:r>
      <w:r w:rsidR="00C03071" w:rsidRPr="00C03071">
        <w:rPr>
          <w:rFonts w:ascii="Bookman Old Style" w:hAnsi="Bookman Old Style" w:cs="Arial"/>
          <w:szCs w:val="22"/>
        </w:rPr>
        <w:t>junio</w:t>
      </w:r>
      <w:r w:rsidR="003C24AD" w:rsidRPr="00C03071">
        <w:rPr>
          <w:rFonts w:ascii="Bookman Old Style" w:hAnsi="Bookman Old Style" w:cs="Arial"/>
          <w:szCs w:val="22"/>
        </w:rPr>
        <w:t xml:space="preserve"> de 201</w:t>
      </w:r>
      <w:r w:rsidR="002F7404" w:rsidRPr="00C03071">
        <w:rPr>
          <w:rFonts w:ascii="Bookman Old Style" w:hAnsi="Bookman Old Style" w:cs="Arial"/>
          <w:szCs w:val="22"/>
        </w:rPr>
        <w:t>3</w:t>
      </w:r>
      <w:r w:rsidRPr="00C03071">
        <w:rPr>
          <w:rFonts w:ascii="Bookman Old Style" w:hAnsi="Bookman Old Style" w:cs="Arial"/>
          <w:szCs w:val="22"/>
        </w:rPr>
        <w:t>,</w:t>
      </w:r>
      <w:r w:rsidRPr="005B5E40">
        <w:rPr>
          <w:rFonts w:ascii="Bookman Old Style" w:hAnsi="Bookman Old Style" w:cs="Arial"/>
          <w:szCs w:val="22"/>
        </w:rPr>
        <w:t xml:space="preserve"> el </w:t>
      </w:r>
      <w:r w:rsidR="002F7404" w:rsidRPr="005B5E40">
        <w:rPr>
          <w:rFonts w:ascii="Bookman Old Style" w:hAnsi="Bookman Old Style" w:cs="Arial"/>
          <w:szCs w:val="22"/>
        </w:rPr>
        <w:t xml:space="preserve">Aviso Número </w:t>
      </w:r>
      <w:r w:rsidR="00C03071">
        <w:rPr>
          <w:rFonts w:ascii="Bookman Old Style" w:hAnsi="Bookman Old Style" w:cs="Arial"/>
          <w:szCs w:val="22"/>
        </w:rPr>
        <w:t>022</w:t>
      </w:r>
      <w:r w:rsidRPr="005B5E40">
        <w:rPr>
          <w:rFonts w:ascii="Bookman Old Style" w:hAnsi="Bookman Old Style" w:cs="Arial"/>
          <w:szCs w:val="22"/>
        </w:rPr>
        <w:t xml:space="preserve"> en el cual hace saber de la solicitud p</w:t>
      </w:r>
      <w:r w:rsidR="003C24AD" w:rsidRPr="005B5E40">
        <w:rPr>
          <w:rFonts w:ascii="Bookman Old Style" w:hAnsi="Bookman Old Style" w:cs="Arial"/>
          <w:szCs w:val="22"/>
        </w:rPr>
        <w:t>r</w:t>
      </w:r>
      <w:r w:rsidRPr="005B5E40">
        <w:rPr>
          <w:rFonts w:ascii="Bookman Old Style" w:hAnsi="Bookman Old Style" w:cs="Arial"/>
          <w:szCs w:val="22"/>
        </w:rPr>
        <w:t>e</w:t>
      </w:r>
      <w:r w:rsidR="003C24AD" w:rsidRPr="005B5E40">
        <w:rPr>
          <w:rFonts w:ascii="Bookman Old Style" w:hAnsi="Bookman Old Style" w:cs="Arial"/>
          <w:szCs w:val="22"/>
        </w:rPr>
        <w:t>s</w:t>
      </w:r>
      <w:r w:rsidRPr="005B5E40">
        <w:rPr>
          <w:rFonts w:ascii="Bookman Old Style" w:hAnsi="Bookman Old Style" w:cs="Arial"/>
          <w:szCs w:val="22"/>
        </w:rPr>
        <w:t xml:space="preserve">entada por </w:t>
      </w:r>
      <w:r w:rsidR="002F7404" w:rsidRPr="005B5E40">
        <w:rPr>
          <w:rFonts w:ascii="Bookman Old Style" w:hAnsi="Bookman Old Style" w:cs="Arial"/>
          <w:szCs w:val="22"/>
        </w:rPr>
        <w:t>EPM</w:t>
      </w:r>
      <w:r w:rsidRPr="005B5E40">
        <w:rPr>
          <w:rFonts w:ascii="Bookman Old Style" w:hAnsi="Bookman Old Style" w:cs="Arial"/>
          <w:szCs w:val="22"/>
        </w:rPr>
        <w:t xml:space="preserve"> E.S.P.</w:t>
      </w:r>
      <w:r w:rsidR="00C03071">
        <w:rPr>
          <w:rFonts w:ascii="Bookman Old Style" w:hAnsi="Bookman Old Style" w:cs="Arial"/>
          <w:szCs w:val="22"/>
        </w:rPr>
        <w:t xml:space="preserve"> </w:t>
      </w:r>
      <w:r w:rsidR="00C03071" w:rsidRPr="00E45E25">
        <w:rPr>
          <w:rFonts w:ascii="Bookman Old Style" w:hAnsi="Bookman Old Style" w:cs="Arial"/>
        </w:rPr>
        <w:t>para la determinación del cargo por uso que el mercado relevante del Norte (Antioquia), deberá pagar al mercado relevante del Valle de Aburrá por el uso de su sistema de distribución de gas natural</w:t>
      </w:r>
      <w:r w:rsidR="00C03071">
        <w:rPr>
          <w:rFonts w:ascii="Bookman Old Style" w:hAnsi="Bookman Old Style" w:cs="Arial"/>
        </w:rPr>
        <w:t xml:space="preserve">, </w:t>
      </w:r>
      <w:r w:rsidRPr="005B5E40">
        <w:rPr>
          <w:rFonts w:ascii="Bookman Old Style" w:hAnsi="Bookman Old Style" w:cs="Arial"/>
          <w:szCs w:val="22"/>
        </w:rPr>
        <w:t>a fin de que los terceros interesados puedan hacerse parte en la respectiva actuación</w:t>
      </w:r>
      <w:r w:rsidR="003C24AD" w:rsidRPr="005B5E40">
        <w:rPr>
          <w:rFonts w:ascii="Bookman Old Style" w:hAnsi="Bookman Old Style" w:cs="Arial"/>
          <w:szCs w:val="22"/>
        </w:rPr>
        <w:t>.</w:t>
      </w:r>
      <w:r w:rsidRPr="003C24AD">
        <w:rPr>
          <w:rFonts w:ascii="Bookman Old Style" w:hAnsi="Bookman Old Style" w:cs="Arial"/>
          <w:szCs w:val="22"/>
        </w:rPr>
        <w:t xml:space="preserve"> </w:t>
      </w:r>
    </w:p>
    <w:p w:rsidR="004C4E22" w:rsidRDefault="004C4E22" w:rsidP="00D03E47">
      <w:pPr>
        <w:widowControl w:val="0"/>
        <w:adjustRightInd w:val="0"/>
        <w:ind w:left="0" w:right="20"/>
        <w:jc w:val="both"/>
        <w:rPr>
          <w:rFonts w:ascii="Bookman Old Style" w:hAnsi="Bookman Old Style" w:cs="Arial"/>
          <w:sz w:val="20"/>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 xml:space="preserve">Como resultado del análisis de la información presentada a la Comisión por </w:t>
      </w:r>
      <w:r w:rsidR="002F7404">
        <w:rPr>
          <w:rFonts w:ascii="Bookman Old Style" w:hAnsi="Bookman Old Style" w:cs="Arial"/>
        </w:rPr>
        <w:t xml:space="preserve">EPM </w:t>
      </w:r>
      <w:r w:rsidR="00994981">
        <w:rPr>
          <w:rFonts w:ascii="Bookman Old Style" w:hAnsi="Bookman Old Style" w:cs="Arial"/>
        </w:rPr>
        <w:t>E.S.P.</w:t>
      </w:r>
      <w:r w:rsidR="00882263">
        <w:rPr>
          <w:rFonts w:ascii="Bookman Old Style" w:hAnsi="Bookman Old Style" w:cs="Arial"/>
        </w:rPr>
        <w:t xml:space="preserve"> </w:t>
      </w:r>
      <w:r w:rsidRPr="00D03E47">
        <w:rPr>
          <w:rFonts w:ascii="Bookman Old Style" w:hAnsi="Bookman Old Style" w:cs="Arial"/>
        </w:rPr>
        <w:t>mediante radicado E-20</w:t>
      </w:r>
      <w:r w:rsidR="001B0D07">
        <w:rPr>
          <w:rFonts w:ascii="Bookman Old Style" w:hAnsi="Bookman Old Style" w:cs="Arial"/>
        </w:rPr>
        <w:t>1</w:t>
      </w:r>
      <w:r w:rsidR="00884808">
        <w:rPr>
          <w:rFonts w:ascii="Bookman Old Style" w:hAnsi="Bookman Old Style" w:cs="Arial"/>
        </w:rPr>
        <w:t>3</w:t>
      </w:r>
      <w:r w:rsidRPr="00D03E47">
        <w:rPr>
          <w:rFonts w:ascii="Bookman Old Style" w:hAnsi="Bookman Old Style" w:cs="Arial"/>
        </w:rPr>
        <w:t>-</w:t>
      </w:r>
      <w:r w:rsidR="00884808">
        <w:rPr>
          <w:rFonts w:ascii="Bookman Old Style" w:hAnsi="Bookman Old Style" w:cs="Arial"/>
        </w:rPr>
        <w:t>00</w:t>
      </w:r>
      <w:r w:rsidR="00082FFB">
        <w:rPr>
          <w:rFonts w:ascii="Bookman Old Style" w:hAnsi="Bookman Old Style" w:cs="Arial"/>
        </w:rPr>
        <w:t>3773</w:t>
      </w:r>
      <w:r w:rsidR="00185E2A">
        <w:rPr>
          <w:rFonts w:ascii="Bookman Old Style" w:hAnsi="Bookman Old Style" w:cs="Arial"/>
        </w:rPr>
        <w:t xml:space="preserve"> </w:t>
      </w:r>
      <w:r w:rsidRPr="00D03E47">
        <w:rPr>
          <w:rFonts w:ascii="Bookman Old Style" w:hAnsi="Bookman Old Style" w:cs="Arial"/>
        </w:rPr>
        <w:t xml:space="preserve">se realizaron los </w:t>
      </w:r>
      <w:r w:rsidR="00082FFB">
        <w:rPr>
          <w:rFonts w:ascii="Bookman Old Style" w:hAnsi="Bookman Old Style" w:cs="Arial"/>
        </w:rPr>
        <w:t>cálculos correspondientes de</w:t>
      </w:r>
      <w:r w:rsidR="00082FFB" w:rsidRPr="00082FFB">
        <w:rPr>
          <w:rFonts w:ascii="Bookman Old Style" w:hAnsi="Bookman Old Style" w:cs="Arial"/>
        </w:rPr>
        <w:t xml:space="preserve"> </w:t>
      </w:r>
      <w:r w:rsidR="00082FFB" w:rsidRPr="00E45E25">
        <w:rPr>
          <w:rFonts w:ascii="Bookman Old Style" w:hAnsi="Bookman Old Style" w:cs="Arial"/>
        </w:rPr>
        <w:t>cargo por uso que el mercado relevante del Norte (Antioquia), deberá pagar al mercado relevante del Valle de Aburrá por el uso de su sistema de distribución de gas natural</w:t>
      </w:r>
      <w:r w:rsidRPr="00D03E47">
        <w:rPr>
          <w:rFonts w:ascii="Bookman Old Style" w:hAnsi="Bookman Old Style" w:cs="Arial"/>
        </w:rPr>
        <w:t xml:space="preserve">, según se relacionan, con su respectivo sustento, en </w:t>
      </w:r>
      <w:r w:rsidR="00082FFB" w:rsidRPr="00065FED">
        <w:rPr>
          <w:rFonts w:ascii="Bookman Old Style" w:hAnsi="Bookman Old Style" w:cs="Arial"/>
        </w:rPr>
        <w:t>Documento CREG-</w:t>
      </w:r>
      <w:r w:rsidR="00433F0D">
        <w:rPr>
          <w:rFonts w:ascii="Bookman Old Style" w:hAnsi="Bookman Old Style" w:cs="Arial"/>
        </w:rPr>
        <w:t>119</w:t>
      </w:r>
      <w:r w:rsidR="00082FFB" w:rsidRPr="00065FED">
        <w:rPr>
          <w:rFonts w:ascii="Bookman Old Style" w:hAnsi="Bookman Old Style" w:cs="Arial"/>
        </w:rPr>
        <w:t xml:space="preserve"> de 20</w:t>
      </w:r>
      <w:r w:rsidR="00082FFB">
        <w:rPr>
          <w:rFonts w:ascii="Bookman Old Style" w:hAnsi="Bookman Old Style" w:cs="Arial"/>
        </w:rPr>
        <w:t xml:space="preserve">13, </w:t>
      </w:r>
      <w:r w:rsidRPr="00D03E47">
        <w:rPr>
          <w:rFonts w:ascii="Bookman Old Style" w:hAnsi="Bookman Old Style" w:cs="Arial"/>
        </w:rPr>
        <w:t>soporte de la presente Resolución.</w:t>
      </w:r>
    </w:p>
    <w:p w:rsidR="00D03E47" w:rsidRDefault="00D03E47" w:rsidP="00D03E47">
      <w:pPr>
        <w:widowControl w:val="0"/>
        <w:adjustRightInd w:val="0"/>
        <w:ind w:left="0" w:right="20"/>
        <w:jc w:val="both"/>
        <w:rPr>
          <w:rFonts w:ascii="Bookman Old Style" w:hAnsi="Bookman Old Style" w:cs="Arial"/>
          <w:sz w:val="20"/>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sidR="00B75ED9">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433F0D">
        <w:rPr>
          <w:rFonts w:ascii="Bookman Old Style" w:hAnsi="Bookman Old Style" w:cs="Arial"/>
        </w:rPr>
        <w:t>120</w:t>
      </w:r>
      <w:r w:rsidR="006C2F36" w:rsidRPr="00D036CD">
        <w:rPr>
          <w:rFonts w:ascii="Bookman Old Style" w:hAnsi="Bookman Old Style" w:cs="Arial"/>
        </w:rPr>
        <w:t xml:space="preserve"> </w:t>
      </w:r>
      <w:r w:rsidRPr="00D036CD">
        <w:rPr>
          <w:rFonts w:ascii="Bookman Old Style" w:hAnsi="Bookman Old Style" w:cs="Arial"/>
        </w:rPr>
        <w:t>de 201</w:t>
      </w:r>
      <w:r w:rsidR="00E330DE">
        <w:rPr>
          <w:rFonts w:ascii="Bookman Old Style" w:hAnsi="Bookman Old Style" w:cs="Arial"/>
        </w:rPr>
        <w:t>3</w:t>
      </w:r>
      <w:r w:rsidRPr="006C2F36">
        <w:rPr>
          <w:rFonts w:ascii="Bookman Old Style" w:hAnsi="Bookman Old Style" w:cs="Arial"/>
        </w:rPr>
        <w:t>.</w:t>
      </w:r>
    </w:p>
    <w:p w:rsidR="00D03E47" w:rsidRPr="00D03E47" w:rsidRDefault="00D03E47" w:rsidP="00D03E47">
      <w:pPr>
        <w:widowControl w:val="0"/>
        <w:adjustRightInd w:val="0"/>
        <w:ind w:left="0" w:right="20"/>
        <w:jc w:val="both"/>
        <w:rPr>
          <w:rFonts w:ascii="Bookman Old Style" w:hAnsi="Bookman Old Style" w:cs="Arial"/>
        </w:rPr>
      </w:pPr>
    </w:p>
    <w:p w:rsidR="00D03E47" w:rsidRPr="00D03E47" w:rsidRDefault="00D03E47" w:rsidP="00D03E47">
      <w:pPr>
        <w:widowControl w:val="0"/>
        <w:adjustRightInd w:val="0"/>
        <w:ind w:left="0" w:right="20"/>
        <w:jc w:val="both"/>
        <w:rPr>
          <w:rFonts w:ascii="Bookman Old Style" w:hAnsi="Bookman Old Style" w:cs="Arial"/>
        </w:rPr>
      </w:pPr>
      <w:r w:rsidRPr="00D03E47">
        <w:rPr>
          <w:rFonts w:ascii="Bookman Old Style" w:hAnsi="Bookman Old Style" w:cs="Arial"/>
        </w:rPr>
        <w:t>Teniendo en cuenta l</w:t>
      </w:r>
      <w:r w:rsidR="00B75ED9">
        <w:rPr>
          <w:rFonts w:ascii="Bookman Old Style" w:hAnsi="Bookman Old Style" w:cs="Arial"/>
        </w:rPr>
        <w:t>a respuesta al cuestionario</w:t>
      </w:r>
      <w:r w:rsidRPr="00D03E47">
        <w:rPr>
          <w:rFonts w:ascii="Bookman Old Style" w:hAnsi="Bookman Old Style" w:cs="Arial"/>
        </w:rPr>
        <w:t>, y dado que la presente Resolución contiene un desarrollo y aplicación de la metodología y criterios generales para determinar la remuneración de la actividad de distribución de gas combustible y de las fórmulas generales para la prestación del servicio público domiciliario de distribución de gas combustible por redes de tubería adoptados mediante Resolución CREG 011 de 2003, el presente acto administrativo de carácter particular no requiere ser remitido a la SIC para los efectos establecidos en el Artículo 7 de la Ley 1340 de 2009, reglamentado por el Decreto 2897 de 2010</w:t>
      </w:r>
      <w:r w:rsidR="00B75ED9">
        <w:rPr>
          <w:rFonts w:ascii="Bookman Old Style" w:hAnsi="Bookman Old Style" w:cs="Arial"/>
        </w:rPr>
        <w:t>, por no tener incidencia sobre la libre competencia</w:t>
      </w:r>
      <w:r w:rsidRPr="00D03E47">
        <w:rPr>
          <w:rFonts w:ascii="Bookman Old Style" w:hAnsi="Bookman Old Style" w:cs="Arial"/>
        </w:rPr>
        <w:t xml:space="preserve">. </w:t>
      </w:r>
    </w:p>
    <w:p w:rsidR="00D03E47" w:rsidRPr="00D03E47" w:rsidRDefault="00D03E47" w:rsidP="00D03E47">
      <w:pPr>
        <w:widowControl w:val="0"/>
        <w:adjustRightInd w:val="0"/>
        <w:ind w:left="0" w:right="20"/>
        <w:jc w:val="both"/>
        <w:rPr>
          <w:rFonts w:ascii="Bookman Old Style" w:hAnsi="Bookman Old Style" w:cs="Arial"/>
        </w:rPr>
      </w:pPr>
    </w:p>
    <w:p w:rsidR="00D03E47" w:rsidRPr="00D03E47" w:rsidRDefault="00D03E47" w:rsidP="00D03E47">
      <w:pPr>
        <w:widowControl w:val="0"/>
        <w:adjustRightInd w:val="0"/>
        <w:ind w:left="0" w:right="20"/>
        <w:jc w:val="both"/>
        <w:rPr>
          <w:rFonts w:ascii="Bookman Old Style" w:hAnsi="Bookman Old Style" w:cs="Arial"/>
          <w:lang w:val="es-ES_tradnl"/>
        </w:rPr>
      </w:pPr>
      <w:r w:rsidRPr="00D03E47">
        <w:rPr>
          <w:rFonts w:ascii="Bookman Old Style" w:hAnsi="Bookman Old Style" w:cs="Arial"/>
          <w:szCs w:val="20"/>
          <w:lang w:val="es-ES_tradnl"/>
        </w:rPr>
        <w:t xml:space="preserve">La Comisión de Regulación de Energía y Gas, en su sesión </w:t>
      </w:r>
      <w:r w:rsidRPr="0012200E">
        <w:rPr>
          <w:rFonts w:ascii="Bookman Old Style" w:hAnsi="Bookman Old Style" w:cs="Arial"/>
          <w:szCs w:val="20"/>
          <w:lang w:val="es-ES_tradnl"/>
        </w:rPr>
        <w:t>No.</w:t>
      </w:r>
      <w:r w:rsidR="00433F0D">
        <w:rPr>
          <w:rFonts w:ascii="Bookman Old Style" w:hAnsi="Bookman Old Style" w:cs="Arial"/>
          <w:szCs w:val="20"/>
          <w:lang w:val="es-ES_tradnl"/>
        </w:rPr>
        <w:t>581</w:t>
      </w:r>
      <w:r w:rsidR="00872D82" w:rsidRPr="006C2F36">
        <w:rPr>
          <w:rFonts w:ascii="Bookman Old Style" w:hAnsi="Bookman Old Style" w:cs="Arial"/>
          <w:szCs w:val="20"/>
          <w:lang w:val="es-ES_tradnl"/>
        </w:rPr>
        <w:t xml:space="preserve">, </w:t>
      </w:r>
      <w:r w:rsidR="00872D82" w:rsidRPr="00D036CD">
        <w:rPr>
          <w:rFonts w:ascii="Bookman Old Style" w:hAnsi="Bookman Old Style" w:cs="Arial"/>
          <w:spacing w:val="-3"/>
        </w:rPr>
        <w:t>l</w:t>
      </w:r>
      <w:r w:rsidR="006C2F36">
        <w:rPr>
          <w:rFonts w:ascii="Bookman Old Style" w:hAnsi="Bookman Old Style" w:cs="Arial"/>
          <w:spacing w:val="-3"/>
        </w:rPr>
        <w:t>l</w:t>
      </w:r>
      <w:r w:rsidR="00872D82" w:rsidRPr="00D036CD">
        <w:rPr>
          <w:rFonts w:ascii="Bookman Old Style" w:hAnsi="Bookman Old Style" w:cs="Arial"/>
          <w:spacing w:val="-3"/>
        </w:rPr>
        <w:t xml:space="preserve">evada a cabo </w:t>
      </w:r>
      <w:r w:rsidR="009429E7">
        <w:rPr>
          <w:rFonts w:ascii="Bookman Old Style" w:hAnsi="Bookman Old Style" w:cs="Arial"/>
          <w:spacing w:val="-3"/>
        </w:rPr>
        <w:t xml:space="preserve">el </w:t>
      </w:r>
      <w:r w:rsidR="00433F0D">
        <w:rPr>
          <w:rFonts w:ascii="Bookman Old Style" w:hAnsi="Bookman Old Style" w:cs="Arial"/>
          <w:spacing w:val="-3"/>
        </w:rPr>
        <w:t>19</w:t>
      </w:r>
      <w:r w:rsidR="009429E7">
        <w:rPr>
          <w:rFonts w:ascii="Bookman Old Style" w:hAnsi="Bookman Old Style" w:cs="Arial"/>
          <w:spacing w:val="-3"/>
        </w:rPr>
        <w:t xml:space="preserve"> </w:t>
      </w:r>
      <w:r w:rsidR="00872D82" w:rsidRPr="00D036CD">
        <w:rPr>
          <w:rFonts w:ascii="Bookman Old Style" w:hAnsi="Bookman Old Style" w:cs="Arial"/>
          <w:spacing w:val="-3"/>
        </w:rPr>
        <w:t xml:space="preserve">de </w:t>
      </w:r>
      <w:r w:rsidR="006428EC">
        <w:rPr>
          <w:rFonts w:ascii="Bookman Old Style" w:hAnsi="Bookman Old Style" w:cs="Arial"/>
          <w:spacing w:val="-3"/>
        </w:rPr>
        <w:t>noviembre</w:t>
      </w:r>
      <w:r w:rsidR="00872D82" w:rsidRPr="00D036CD">
        <w:rPr>
          <w:rFonts w:ascii="Bookman Old Style" w:hAnsi="Bookman Old Style" w:cs="Arial"/>
          <w:spacing w:val="-3"/>
        </w:rPr>
        <w:t xml:space="preserve"> de 201</w:t>
      </w:r>
      <w:r w:rsidR="00E330DE">
        <w:rPr>
          <w:rFonts w:ascii="Bookman Old Style" w:hAnsi="Bookman Old Style" w:cs="Arial"/>
          <w:spacing w:val="-3"/>
        </w:rPr>
        <w:t>3</w:t>
      </w:r>
      <w:r w:rsidRPr="00D036CD">
        <w:rPr>
          <w:rFonts w:ascii="Bookman Old Style" w:hAnsi="Bookman Old Style" w:cs="Arial"/>
          <w:szCs w:val="20"/>
          <w:lang w:val="es-ES_tradnl"/>
        </w:rPr>
        <w:t>,</w:t>
      </w:r>
      <w:r w:rsidRPr="00D03E47">
        <w:rPr>
          <w:rFonts w:ascii="Bookman Old Style" w:hAnsi="Bookman Old Style" w:cs="Arial"/>
          <w:szCs w:val="20"/>
          <w:lang w:val="es-ES_tradnl"/>
        </w:rPr>
        <w:t xml:space="preserve"> aprobó </w:t>
      </w:r>
      <w:r w:rsidRPr="00D03E47">
        <w:rPr>
          <w:rFonts w:ascii="Bookman Old Style" w:hAnsi="Bookman Old Style" w:cs="Arial"/>
          <w:lang w:val="es-ES_tradnl"/>
        </w:rPr>
        <w:t xml:space="preserve">el </w:t>
      </w:r>
      <w:r w:rsidR="00082FFB">
        <w:rPr>
          <w:rFonts w:ascii="Bookman Old Style" w:hAnsi="Bookman Old Style" w:cs="Arial"/>
          <w:lang w:val="es-ES_tradnl"/>
        </w:rPr>
        <w:t>cargo por uso que el mercado relevante aprobado mediante Resolución CREG 074 de 2011</w:t>
      </w:r>
      <w:r w:rsidR="00082FFB" w:rsidRPr="00D03E47">
        <w:rPr>
          <w:rFonts w:ascii="Bookman Old Style" w:hAnsi="Bookman Old Style" w:cs="Arial"/>
          <w:lang w:val="es-ES_tradnl"/>
        </w:rPr>
        <w:t>,</w:t>
      </w:r>
      <w:r w:rsidR="00082FFB">
        <w:rPr>
          <w:rFonts w:ascii="Bookman Old Style" w:hAnsi="Bookman Old Style" w:cs="Arial"/>
          <w:lang w:val="es-ES_tradnl"/>
        </w:rPr>
        <w:t xml:space="preserve"> deberá pagar al mercado relevante aprobado mediante r</w:t>
      </w:r>
      <w:r w:rsidR="00082FFB" w:rsidRPr="00205101">
        <w:rPr>
          <w:rFonts w:ascii="Bookman Old Style" w:hAnsi="Bookman Old Style" w:cs="Arial"/>
          <w:lang w:val="es-ES_tradnl"/>
        </w:rPr>
        <w:t>esoluci</w:t>
      </w:r>
      <w:r w:rsidR="00082FFB">
        <w:rPr>
          <w:rFonts w:ascii="Bookman Old Style" w:hAnsi="Bookman Old Style" w:cs="Arial"/>
          <w:lang w:val="es-ES_tradnl"/>
        </w:rPr>
        <w:t>ones</w:t>
      </w:r>
      <w:r w:rsidR="00082FFB" w:rsidRPr="00205101">
        <w:rPr>
          <w:rFonts w:ascii="Bookman Old Style" w:hAnsi="Bookman Old Style" w:cs="Arial"/>
          <w:lang w:val="es-ES_tradnl"/>
        </w:rPr>
        <w:t xml:space="preserve"> CREG 022 de 2004 y 087 de 2004</w:t>
      </w:r>
      <w:r w:rsidR="00082FFB">
        <w:rPr>
          <w:rFonts w:ascii="Bookman Old Style" w:hAnsi="Bookman Old Style" w:cs="Arial"/>
          <w:lang w:val="es-ES_tradnl"/>
        </w:rPr>
        <w:t xml:space="preserve"> por el uso de su sistema de distribución de gas natural</w:t>
      </w:r>
      <w:r w:rsidR="00772807" w:rsidRPr="00D023FB">
        <w:rPr>
          <w:rFonts w:ascii="Bookman Old Style" w:hAnsi="Bookman Old Style" w:cs="Arial"/>
          <w:lang w:val="es-ES_tradnl"/>
        </w:rPr>
        <w:t>,</w:t>
      </w:r>
      <w:r w:rsidRPr="00D03E47">
        <w:rPr>
          <w:rFonts w:ascii="Bookman Old Style" w:hAnsi="Bookman Old Style" w:cs="Arial"/>
          <w:lang w:val="es-ES_tradnl"/>
        </w:rPr>
        <w:t xml:space="preserve"> según solicitud presentada por </w:t>
      </w:r>
      <w:r w:rsidR="00FD1445">
        <w:rPr>
          <w:rFonts w:ascii="Bookman Old Style" w:hAnsi="Bookman Old Style" w:cs="Arial"/>
          <w:lang w:val="es-ES_tradnl"/>
        </w:rPr>
        <w:t>EPM</w:t>
      </w:r>
      <w:r w:rsidR="00994981">
        <w:rPr>
          <w:rFonts w:ascii="Bookman Old Style" w:hAnsi="Bookman Old Style" w:cs="Arial"/>
          <w:lang w:val="es-ES_tradnl"/>
        </w:rPr>
        <w:t xml:space="preserve"> E.S.P.</w:t>
      </w:r>
    </w:p>
    <w:p w:rsidR="00F03154" w:rsidRDefault="00F03154" w:rsidP="006B4647">
      <w:pPr>
        <w:ind w:left="0"/>
        <w:jc w:val="center"/>
        <w:rPr>
          <w:rFonts w:ascii="Bookman Old Style" w:hAnsi="Bookman Old Style" w:cs="Arial"/>
          <w:b/>
          <w:spacing w:val="80"/>
          <w:lang w:val="es-ES_tradnl"/>
        </w:rPr>
      </w:pPr>
    </w:p>
    <w:p w:rsidR="00082FFB" w:rsidRDefault="00082FFB" w:rsidP="006B4647">
      <w:pPr>
        <w:ind w:left="0"/>
        <w:jc w:val="center"/>
        <w:rPr>
          <w:rFonts w:ascii="Bookman Old Style" w:hAnsi="Bookman Old Style" w:cs="Arial"/>
          <w:b/>
          <w:spacing w:val="80"/>
        </w:rPr>
      </w:pPr>
    </w:p>
    <w:p w:rsidR="006B4647" w:rsidRDefault="006B4647" w:rsidP="006B4647">
      <w:pPr>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34000D" w:rsidRPr="00945A3C" w:rsidRDefault="0034000D" w:rsidP="006B4647">
      <w:pPr>
        <w:ind w:left="0"/>
        <w:jc w:val="center"/>
        <w:rPr>
          <w:rFonts w:ascii="Bookman Old Style" w:hAnsi="Bookman Old Style" w:cs="Arial"/>
        </w:rPr>
      </w:pPr>
    </w:p>
    <w:p w:rsidR="00772807" w:rsidRPr="0012200E" w:rsidRDefault="00772807" w:rsidP="00772807">
      <w:pPr>
        <w:keepNext/>
        <w:widowControl w:val="0"/>
        <w:tabs>
          <w:tab w:val="left" w:pos="0"/>
        </w:tabs>
        <w:adjustRightInd w:val="0"/>
        <w:ind w:left="0" w:right="20"/>
        <w:jc w:val="both"/>
        <w:rPr>
          <w:rFonts w:ascii="Bookman Old Style" w:hAnsi="Bookman Old Style" w:cs="Arial"/>
          <w:bCs/>
          <w:sz w:val="18"/>
        </w:rPr>
      </w:pPr>
    </w:p>
    <w:p w:rsidR="007B79FC" w:rsidRPr="0034000D" w:rsidRDefault="00772807" w:rsidP="0034000D">
      <w:pPr>
        <w:widowControl w:val="0"/>
        <w:adjustRightInd w:val="0"/>
        <w:ind w:left="0" w:right="20"/>
        <w:jc w:val="both"/>
        <w:rPr>
          <w:rFonts w:ascii="Bookman Old Style" w:hAnsi="Bookman Old Style" w:cs="Arial"/>
        </w:rPr>
      </w:pPr>
      <w:r w:rsidRPr="0034000D">
        <w:rPr>
          <w:rFonts w:ascii="Bookman Old Style" w:hAnsi="Bookman Old Style" w:cs="Arial"/>
          <w:b/>
        </w:rPr>
        <w:t xml:space="preserve">ARTÍCULO 1. </w:t>
      </w:r>
      <w:r w:rsidR="0034000D" w:rsidRPr="0034000D">
        <w:rPr>
          <w:rFonts w:ascii="Bookman Old Style" w:hAnsi="Bookman Old Style" w:cs="Arial"/>
          <w:b/>
        </w:rPr>
        <w:t>Cargo Promedio de Distribución para la demanda de</w:t>
      </w:r>
      <w:r w:rsidR="00CB2ABA">
        <w:rPr>
          <w:rFonts w:ascii="Bookman Old Style" w:hAnsi="Bookman Old Style" w:cs="Arial"/>
          <w:b/>
        </w:rPr>
        <w:t>l</w:t>
      </w:r>
      <w:r w:rsidR="0034000D" w:rsidRPr="0034000D">
        <w:rPr>
          <w:rFonts w:ascii="Bookman Old Style" w:hAnsi="Bookman Old Style" w:cs="Arial"/>
          <w:b/>
        </w:rPr>
        <w:t xml:space="preserve"> </w:t>
      </w:r>
      <w:r w:rsidR="00CB2ABA">
        <w:rPr>
          <w:rFonts w:ascii="Bookman Old Style" w:hAnsi="Bookman Old Style" w:cs="Arial"/>
          <w:b/>
        </w:rPr>
        <w:t>mercado relevante aprobado mediante Resolución CREG 074 de 2011.</w:t>
      </w:r>
      <w:r w:rsidR="0034000D" w:rsidRPr="0034000D">
        <w:rPr>
          <w:rFonts w:ascii="Bookman Old Style" w:hAnsi="Bookman Old Style" w:cs="Arial"/>
        </w:rPr>
        <w:t xml:space="preserve"> A partir de la vigencia de la presente Resolución, el Cargo Máximo de Distribución por el uso conjunto de activos del Sistema de Distribución de</w:t>
      </w:r>
      <w:r w:rsidR="00CB2ABA">
        <w:rPr>
          <w:rFonts w:ascii="Bookman Old Style" w:hAnsi="Bookman Old Style" w:cs="Arial"/>
        </w:rPr>
        <w:t>l</w:t>
      </w:r>
      <w:r w:rsidR="0034000D" w:rsidRPr="0034000D">
        <w:rPr>
          <w:rFonts w:ascii="Bookman Old Style" w:hAnsi="Bookman Old Style" w:cs="Arial"/>
        </w:rPr>
        <w:t xml:space="preserve"> </w:t>
      </w:r>
      <w:r w:rsidR="00CB2ABA">
        <w:rPr>
          <w:rFonts w:ascii="Bookman Old Style" w:hAnsi="Bookman Old Style" w:cs="Arial"/>
        </w:rPr>
        <w:lastRenderedPageBreak/>
        <w:t xml:space="preserve">mercado relevante aprobado mediante resoluciones CREG 022 y 087 de 2004, </w:t>
      </w:r>
      <w:r w:rsidR="0034000D" w:rsidRPr="0034000D">
        <w:rPr>
          <w:rFonts w:ascii="Bookman Old Style" w:hAnsi="Bookman Old Style" w:cs="Arial"/>
        </w:rPr>
        <w:t xml:space="preserve">aplicable a la demanda </w:t>
      </w:r>
      <w:r w:rsidR="00CB2ABA">
        <w:rPr>
          <w:rFonts w:ascii="Bookman Old Style" w:hAnsi="Bookman Old Style" w:cs="Arial"/>
        </w:rPr>
        <w:t xml:space="preserve">del mercado relevante aprobado mediante </w:t>
      </w:r>
      <w:r w:rsidR="00826103">
        <w:rPr>
          <w:rFonts w:ascii="Bookman Old Style" w:hAnsi="Bookman Old Style" w:cs="Arial"/>
        </w:rPr>
        <w:t>Resolución</w:t>
      </w:r>
      <w:r w:rsidR="00CB2ABA">
        <w:rPr>
          <w:rFonts w:ascii="Bookman Old Style" w:hAnsi="Bookman Old Style" w:cs="Arial"/>
        </w:rPr>
        <w:t xml:space="preserve"> CREG 074 de 2011</w:t>
      </w:r>
      <w:r w:rsidR="0034000D" w:rsidRPr="0034000D">
        <w:rPr>
          <w:rFonts w:ascii="Bookman Old Style" w:hAnsi="Bookman Old Style" w:cs="Arial"/>
        </w:rPr>
        <w:t xml:space="preserve"> se fija en </w:t>
      </w:r>
      <w:r w:rsidR="00CB2ABA" w:rsidRPr="00066697">
        <w:rPr>
          <w:rFonts w:ascii="Bookman Old Style" w:hAnsi="Bookman Old Style" w:cs="Arial"/>
        </w:rPr>
        <w:t>4</w:t>
      </w:r>
      <w:r w:rsidR="0034000D" w:rsidRPr="00066697">
        <w:rPr>
          <w:rFonts w:ascii="Bookman Old Style" w:hAnsi="Bookman Old Style" w:cs="Arial"/>
        </w:rPr>
        <w:t>.1</w:t>
      </w:r>
      <w:r w:rsidR="00CB2ABA" w:rsidRPr="00066697">
        <w:rPr>
          <w:rFonts w:ascii="Bookman Old Style" w:hAnsi="Bookman Old Style" w:cs="Arial"/>
        </w:rPr>
        <w:t>2</w:t>
      </w:r>
      <w:r w:rsidR="00CB2ABA">
        <w:rPr>
          <w:rFonts w:ascii="Bookman Old Style" w:hAnsi="Bookman Old Style" w:cs="Arial"/>
        </w:rPr>
        <w:t xml:space="preserve"> $</w:t>
      </w:r>
      <w:r w:rsidR="0034000D" w:rsidRPr="0034000D">
        <w:rPr>
          <w:rFonts w:ascii="Bookman Old Style" w:hAnsi="Bookman Old Style" w:cs="Arial"/>
        </w:rPr>
        <w:t>/m3 (pesos de diciembre de 2002).</w:t>
      </w:r>
      <w:r w:rsidR="0034000D" w:rsidRPr="0034000D">
        <w:rPr>
          <w:rFonts w:ascii="Bookman Old Style" w:hAnsi="Bookman Old Style" w:cs="Arial"/>
        </w:rPr>
        <w:br/>
      </w:r>
      <w:r w:rsidR="0034000D" w:rsidRPr="0034000D">
        <w:rPr>
          <w:rFonts w:ascii="Bookman Old Style" w:hAnsi="Bookman Old Style" w:cs="Arial"/>
        </w:rPr>
        <w:br/>
      </w:r>
      <w:r w:rsidR="0034000D" w:rsidRPr="00CB2ABA">
        <w:rPr>
          <w:rFonts w:ascii="Bookman Old Style" w:hAnsi="Bookman Old Style" w:cs="Arial"/>
          <w:b/>
        </w:rPr>
        <w:t>Parágrafo:</w:t>
      </w:r>
      <w:r w:rsidR="0034000D" w:rsidRPr="0034000D">
        <w:rPr>
          <w:rFonts w:ascii="Bookman Old Style" w:hAnsi="Bookman Old Style" w:cs="Arial"/>
        </w:rPr>
        <w:t xml:space="preserve"> Este Cargo Promedio de Distribución se actualizará de conformidad con lo establecido en el numeral 7.8 </w:t>
      </w:r>
      <w:r w:rsidR="00846EDC">
        <w:rPr>
          <w:rFonts w:ascii="Bookman Old Style" w:hAnsi="Bookman Old Style" w:cs="Arial"/>
        </w:rPr>
        <w:t xml:space="preserve">del artículo 7 </w:t>
      </w:r>
      <w:r w:rsidR="0034000D" w:rsidRPr="0034000D">
        <w:rPr>
          <w:rFonts w:ascii="Bookman Old Style" w:hAnsi="Bookman Old Style" w:cs="Arial"/>
        </w:rPr>
        <w:t>de la Resolución CREG-011 de 2003.</w:t>
      </w:r>
    </w:p>
    <w:p w:rsidR="00CB2ABA" w:rsidRPr="00B01B3D" w:rsidRDefault="00CB2ABA" w:rsidP="00772807">
      <w:pPr>
        <w:widowControl w:val="0"/>
        <w:adjustRightInd w:val="0"/>
        <w:ind w:left="0" w:right="20"/>
        <w:jc w:val="both"/>
        <w:rPr>
          <w:rFonts w:ascii="Bookman Old Style" w:hAnsi="Bookman Old Style" w:cs="Arial"/>
          <w:b/>
          <w:sz w:val="22"/>
        </w:rPr>
      </w:pPr>
    </w:p>
    <w:p w:rsidR="00826103" w:rsidRDefault="00772807" w:rsidP="00826103">
      <w:pPr>
        <w:pStyle w:val="Piedepgina"/>
        <w:tabs>
          <w:tab w:val="clear" w:pos="4252"/>
          <w:tab w:val="clear" w:pos="8504"/>
        </w:tabs>
        <w:ind w:left="0"/>
        <w:jc w:val="both"/>
        <w:rPr>
          <w:rFonts w:ascii="Bookman Old Style" w:hAnsi="Bookman Old Style" w:cs="Arial"/>
        </w:rPr>
      </w:pPr>
      <w:r w:rsidRPr="00772807">
        <w:rPr>
          <w:rFonts w:ascii="Bookman Old Style" w:hAnsi="Bookman Old Style" w:cs="Arial"/>
          <w:b/>
        </w:rPr>
        <w:t>ARTÍCULO 2.</w:t>
      </w:r>
      <w:r w:rsidRPr="00772807">
        <w:rPr>
          <w:rFonts w:ascii="Bookman Old Style" w:hAnsi="Bookman Old Style" w:cs="Arial"/>
        </w:rPr>
        <w:t xml:space="preserve"> </w:t>
      </w:r>
      <w:r w:rsidR="00826103">
        <w:rPr>
          <w:rFonts w:ascii="Bookman Old Style" w:hAnsi="Bookman Old Style" w:cs="Arial"/>
          <w:bCs/>
        </w:rPr>
        <w:t>Modificar el artículo 5 de la Resolución CREG 087 de 2004, así:</w:t>
      </w:r>
    </w:p>
    <w:p w:rsidR="00826103" w:rsidRPr="00B01B3D" w:rsidRDefault="00826103" w:rsidP="00772807">
      <w:pPr>
        <w:widowControl w:val="0"/>
        <w:adjustRightInd w:val="0"/>
        <w:ind w:left="0" w:right="20"/>
        <w:jc w:val="both"/>
        <w:rPr>
          <w:rFonts w:ascii="Bookman Old Style" w:hAnsi="Bookman Old Style" w:cs="Arial"/>
          <w:sz w:val="16"/>
        </w:rPr>
      </w:pPr>
    </w:p>
    <w:p w:rsidR="00826103" w:rsidRPr="00066697" w:rsidRDefault="00826103" w:rsidP="003A531D">
      <w:pPr>
        <w:pStyle w:val="Piedepgina"/>
        <w:tabs>
          <w:tab w:val="clear" w:pos="4252"/>
          <w:tab w:val="clear" w:pos="8504"/>
        </w:tabs>
        <w:ind w:left="426"/>
        <w:jc w:val="both"/>
        <w:rPr>
          <w:rFonts w:ascii="Bookman Old Style" w:hAnsi="Bookman Old Style" w:cs="Arial"/>
          <w:bCs/>
        </w:rPr>
      </w:pPr>
      <w:r w:rsidRPr="00066697">
        <w:rPr>
          <w:rFonts w:ascii="Bookman Old Style" w:hAnsi="Bookman Old Style" w:cs="Arial"/>
          <w:b/>
          <w:bCs/>
        </w:rPr>
        <w:t>ARTÍCULO 5. Cargo Promedio de Distribución.</w:t>
      </w:r>
      <w:r w:rsidRPr="00066697">
        <w:rPr>
          <w:rFonts w:ascii="Bookman Old Style" w:hAnsi="Bookman Old Style" w:cs="Arial"/>
          <w:bCs/>
        </w:rPr>
        <w:t xml:space="preserve"> A partir de la vigencia de la presente Resolución, el cargo promedio de distribución aplicable en el Mercado Relevante establecido en el Artículo 1 de la presente Resolución, para recuperar los costos de inversión y los gastos de AOM para la distribución domiciliaria de gas combustible se fija en $1</w:t>
      </w:r>
      <w:r w:rsidR="003A531D" w:rsidRPr="00066697">
        <w:rPr>
          <w:rFonts w:ascii="Bookman Old Style" w:hAnsi="Bookman Old Style" w:cs="Arial"/>
          <w:bCs/>
        </w:rPr>
        <w:t>35</w:t>
      </w:r>
      <w:r w:rsidR="009A7090" w:rsidRPr="00066697">
        <w:rPr>
          <w:rFonts w:ascii="Bookman Old Style" w:hAnsi="Bookman Old Style" w:cs="Arial"/>
          <w:bCs/>
        </w:rPr>
        <w:t>,</w:t>
      </w:r>
      <w:r w:rsidR="003A531D" w:rsidRPr="00066697">
        <w:rPr>
          <w:rFonts w:ascii="Bookman Old Style" w:hAnsi="Bookman Old Style" w:cs="Arial"/>
          <w:bCs/>
        </w:rPr>
        <w:t>8</w:t>
      </w:r>
      <w:r w:rsidR="00585DB3" w:rsidRPr="00066697">
        <w:rPr>
          <w:rFonts w:ascii="Bookman Old Style" w:hAnsi="Bookman Old Style" w:cs="Arial"/>
          <w:bCs/>
        </w:rPr>
        <w:t>6</w:t>
      </w:r>
      <w:r w:rsidRPr="00066697">
        <w:rPr>
          <w:rFonts w:ascii="Bookman Old Style" w:hAnsi="Bookman Old Style" w:cs="Arial"/>
          <w:bCs/>
        </w:rPr>
        <w:t xml:space="preserve"> $/m3 ($ del 31 de Diciembre de 2002) desagregados de la siguiente manera:</w:t>
      </w:r>
    </w:p>
    <w:p w:rsidR="00826103" w:rsidRPr="00066697" w:rsidRDefault="00826103" w:rsidP="003A531D">
      <w:pPr>
        <w:pStyle w:val="Piedepgina"/>
        <w:tabs>
          <w:tab w:val="clear" w:pos="4252"/>
          <w:tab w:val="clear" w:pos="8504"/>
        </w:tabs>
        <w:ind w:left="426"/>
        <w:jc w:val="both"/>
        <w:rPr>
          <w:rFonts w:ascii="Bookman Old Style" w:hAnsi="Bookman Old Style" w:cs="Arial"/>
          <w:bCs/>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67"/>
        <w:gridCol w:w="2448"/>
      </w:tblGrid>
      <w:tr w:rsidR="00826103" w:rsidRPr="00066697" w:rsidTr="00035424">
        <w:trPr>
          <w:tblCellSpacing w:w="15" w:type="dxa"/>
          <w:jc w:val="center"/>
        </w:trPr>
        <w:tc>
          <w:tcPr>
            <w:tcW w:w="3822" w:type="dxa"/>
            <w:tcBorders>
              <w:top w:val="outset" w:sz="6" w:space="0" w:color="auto"/>
              <w:left w:val="outset" w:sz="6" w:space="0" w:color="auto"/>
              <w:bottom w:val="outset" w:sz="6" w:space="0" w:color="auto"/>
              <w:right w:val="outset" w:sz="6" w:space="0" w:color="auto"/>
            </w:tcBorders>
            <w:shd w:val="clear" w:color="auto" w:fill="C0C0C0"/>
            <w:hideMark/>
          </w:tcPr>
          <w:p w:rsidR="00826103" w:rsidRPr="00066697" w:rsidRDefault="00826103" w:rsidP="00035424">
            <w:pPr>
              <w:pStyle w:val="Piedepgina"/>
              <w:tabs>
                <w:tab w:val="clear" w:pos="4252"/>
                <w:tab w:val="clear" w:pos="8504"/>
              </w:tabs>
              <w:ind w:left="426"/>
              <w:jc w:val="center"/>
              <w:rPr>
                <w:rFonts w:ascii="Bookman Old Style" w:hAnsi="Bookman Old Style" w:cs="Arial"/>
                <w:b/>
                <w:bCs/>
              </w:rPr>
            </w:pPr>
            <w:r w:rsidRPr="00066697">
              <w:rPr>
                <w:rFonts w:ascii="Bookman Old Style" w:hAnsi="Bookman Old Style" w:cs="Arial"/>
                <w:b/>
                <w:bCs/>
              </w:rPr>
              <w:t>Componente</w:t>
            </w:r>
          </w:p>
        </w:tc>
        <w:tc>
          <w:tcPr>
            <w:tcW w:w="2403" w:type="dxa"/>
            <w:tcBorders>
              <w:top w:val="outset" w:sz="6" w:space="0" w:color="auto"/>
              <w:left w:val="outset" w:sz="6" w:space="0" w:color="auto"/>
              <w:bottom w:val="outset" w:sz="6" w:space="0" w:color="auto"/>
              <w:right w:val="outset" w:sz="6" w:space="0" w:color="auto"/>
            </w:tcBorders>
            <w:shd w:val="clear" w:color="auto" w:fill="C0C0C0"/>
            <w:hideMark/>
          </w:tcPr>
          <w:p w:rsidR="00826103" w:rsidRPr="00066697" w:rsidRDefault="00826103" w:rsidP="00035424">
            <w:pPr>
              <w:pStyle w:val="Piedepgina"/>
              <w:tabs>
                <w:tab w:val="clear" w:pos="4252"/>
                <w:tab w:val="clear" w:pos="8504"/>
              </w:tabs>
              <w:ind w:left="426"/>
              <w:jc w:val="center"/>
              <w:rPr>
                <w:rFonts w:ascii="Bookman Old Style" w:hAnsi="Bookman Old Style" w:cs="Arial"/>
                <w:b/>
                <w:bCs/>
              </w:rPr>
            </w:pPr>
            <w:r w:rsidRPr="00066697">
              <w:rPr>
                <w:rFonts w:ascii="Bookman Old Style" w:hAnsi="Bookman Old Style" w:cs="Arial"/>
                <w:b/>
                <w:bCs/>
              </w:rPr>
              <w:t>$/m3</w:t>
            </w:r>
          </w:p>
        </w:tc>
      </w:tr>
      <w:tr w:rsidR="00826103" w:rsidRPr="00066697" w:rsidTr="00035424">
        <w:trPr>
          <w:tblCellSpacing w:w="15" w:type="dxa"/>
          <w:jc w:val="center"/>
        </w:trPr>
        <w:tc>
          <w:tcPr>
            <w:tcW w:w="3822" w:type="dxa"/>
            <w:tcBorders>
              <w:top w:val="outset" w:sz="6" w:space="0" w:color="auto"/>
              <w:left w:val="outset" w:sz="6" w:space="0" w:color="auto"/>
              <w:bottom w:val="outset" w:sz="6" w:space="0" w:color="auto"/>
              <w:right w:val="outset" w:sz="6" w:space="0" w:color="auto"/>
            </w:tcBorders>
            <w:hideMark/>
          </w:tcPr>
          <w:p w:rsidR="00826103" w:rsidRPr="00066697" w:rsidRDefault="00826103" w:rsidP="003A531D">
            <w:pPr>
              <w:pStyle w:val="Piedepgina"/>
              <w:tabs>
                <w:tab w:val="clear" w:pos="4252"/>
                <w:tab w:val="clear" w:pos="8504"/>
              </w:tabs>
              <w:ind w:left="426"/>
              <w:jc w:val="both"/>
              <w:rPr>
                <w:rFonts w:ascii="Bookman Old Style" w:hAnsi="Bookman Old Style" w:cs="Arial"/>
                <w:bCs/>
              </w:rPr>
            </w:pPr>
            <w:r w:rsidRPr="00066697">
              <w:rPr>
                <w:rFonts w:ascii="Bookman Old Style" w:hAnsi="Bookman Old Style" w:cs="Arial"/>
                <w:bCs/>
              </w:rPr>
              <w:t>Cargo de distribución</w:t>
            </w:r>
          </w:p>
        </w:tc>
        <w:tc>
          <w:tcPr>
            <w:tcW w:w="2403" w:type="dxa"/>
            <w:tcBorders>
              <w:top w:val="outset" w:sz="6" w:space="0" w:color="auto"/>
              <w:left w:val="outset" w:sz="6" w:space="0" w:color="auto"/>
              <w:bottom w:val="outset" w:sz="6" w:space="0" w:color="auto"/>
              <w:right w:val="outset" w:sz="6" w:space="0" w:color="auto"/>
            </w:tcBorders>
            <w:vAlign w:val="center"/>
          </w:tcPr>
          <w:p w:rsidR="00826103" w:rsidRPr="00066697" w:rsidRDefault="003A531D" w:rsidP="00585DB3">
            <w:pPr>
              <w:pStyle w:val="Piedepgina"/>
              <w:tabs>
                <w:tab w:val="clear" w:pos="4252"/>
                <w:tab w:val="clear" w:pos="8504"/>
              </w:tabs>
              <w:ind w:left="0"/>
              <w:jc w:val="center"/>
              <w:rPr>
                <w:rFonts w:ascii="Bookman Old Style" w:hAnsi="Bookman Old Style" w:cs="Arial"/>
                <w:bCs/>
              </w:rPr>
            </w:pPr>
            <w:r w:rsidRPr="00066697">
              <w:rPr>
                <w:rFonts w:ascii="Bookman Old Style" w:hAnsi="Bookman Old Style" w:cs="Arial"/>
                <w:bCs/>
              </w:rPr>
              <w:t>135,8</w:t>
            </w:r>
            <w:r w:rsidR="00585DB3" w:rsidRPr="00066697">
              <w:rPr>
                <w:rFonts w:ascii="Bookman Old Style" w:hAnsi="Bookman Old Style" w:cs="Arial"/>
                <w:bCs/>
              </w:rPr>
              <w:t>6</w:t>
            </w:r>
          </w:p>
        </w:tc>
      </w:tr>
      <w:tr w:rsidR="00826103" w:rsidRPr="00066697" w:rsidTr="00035424">
        <w:trPr>
          <w:tblCellSpacing w:w="15" w:type="dxa"/>
          <w:jc w:val="center"/>
        </w:trPr>
        <w:tc>
          <w:tcPr>
            <w:tcW w:w="3822" w:type="dxa"/>
            <w:tcBorders>
              <w:top w:val="outset" w:sz="6" w:space="0" w:color="auto"/>
              <w:left w:val="outset" w:sz="6" w:space="0" w:color="auto"/>
              <w:bottom w:val="outset" w:sz="6" w:space="0" w:color="auto"/>
              <w:right w:val="outset" w:sz="6" w:space="0" w:color="auto"/>
            </w:tcBorders>
            <w:hideMark/>
          </w:tcPr>
          <w:p w:rsidR="00826103" w:rsidRPr="00066697" w:rsidRDefault="00826103" w:rsidP="003A531D">
            <w:pPr>
              <w:pStyle w:val="Piedepgina"/>
              <w:tabs>
                <w:tab w:val="clear" w:pos="4252"/>
                <w:tab w:val="clear" w:pos="8504"/>
              </w:tabs>
              <w:ind w:left="426"/>
              <w:jc w:val="both"/>
              <w:rPr>
                <w:rFonts w:ascii="Bookman Old Style" w:hAnsi="Bookman Old Style" w:cs="Arial"/>
                <w:bCs/>
              </w:rPr>
            </w:pPr>
            <w:r w:rsidRPr="00066697">
              <w:rPr>
                <w:rFonts w:ascii="Bookman Old Style" w:hAnsi="Bookman Old Style" w:cs="Arial"/>
                <w:bCs/>
              </w:rPr>
              <w:t>Componente de inversión</w:t>
            </w:r>
          </w:p>
        </w:tc>
        <w:tc>
          <w:tcPr>
            <w:tcW w:w="2403" w:type="dxa"/>
            <w:tcBorders>
              <w:top w:val="outset" w:sz="6" w:space="0" w:color="auto"/>
              <w:left w:val="outset" w:sz="6" w:space="0" w:color="auto"/>
              <w:bottom w:val="outset" w:sz="6" w:space="0" w:color="auto"/>
              <w:right w:val="outset" w:sz="6" w:space="0" w:color="auto"/>
            </w:tcBorders>
            <w:vAlign w:val="center"/>
          </w:tcPr>
          <w:p w:rsidR="00826103" w:rsidRPr="00066697" w:rsidRDefault="00035424" w:rsidP="00585DB3">
            <w:pPr>
              <w:pStyle w:val="Piedepgina"/>
              <w:tabs>
                <w:tab w:val="clear" w:pos="4252"/>
                <w:tab w:val="clear" w:pos="8504"/>
              </w:tabs>
              <w:ind w:left="0"/>
              <w:jc w:val="center"/>
              <w:rPr>
                <w:rFonts w:ascii="Bookman Old Style" w:hAnsi="Bookman Old Style" w:cs="Arial"/>
                <w:bCs/>
              </w:rPr>
            </w:pPr>
            <w:r w:rsidRPr="00066697">
              <w:rPr>
                <w:rFonts w:ascii="Bookman Old Style" w:hAnsi="Bookman Old Style" w:cs="Arial"/>
                <w:bCs/>
              </w:rPr>
              <w:t>99,7</w:t>
            </w:r>
            <w:r w:rsidR="00585DB3" w:rsidRPr="00066697">
              <w:rPr>
                <w:rFonts w:ascii="Bookman Old Style" w:hAnsi="Bookman Old Style" w:cs="Arial"/>
                <w:bCs/>
              </w:rPr>
              <w:t>1</w:t>
            </w:r>
          </w:p>
        </w:tc>
      </w:tr>
      <w:tr w:rsidR="00826103" w:rsidRPr="00066697" w:rsidTr="00035424">
        <w:trPr>
          <w:tblCellSpacing w:w="15" w:type="dxa"/>
          <w:jc w:val="center"/>
        </w:trPr>
        <w:tc>
          <w:tcPr>
            <w:tcW w:w="3822" w:type="dxa"/>
            <w:tcBorders>
              <w:top w:val="outset" w:sz="6" w:space="0" w:color="auto"/>
              <w:left w:val="outset" w:sz="6" w:space="0" w:color="auto"/>
              <w:bottom w:val="outset" w:sz="6" w:space="0" w:color="auto"/>
              <w:right w:val="outset" w:sz="6" w:space="0" w:color="auto"/>
            </w:tcBorders>
            <w:hideMark/>
          </w:tcPr>
          <w:p w:rsidR="00826103" w:rsidRPr="00066697" w:rsidRDefault="00826103" w:rsidP="003A531D">
            <w:pPr>
              <w:pStyle w:val="Piedepgina"/>
              <w:tabs>
                <w:tab w:val="clear" w:pos="4252"/>
                <w:tab w:val="clear" w:pos="8504"/>
              </w:tabs>
              <w:ind w:left="426"/>
              <w:jc w:val="both"/>
              <w:rPr>
                <w:rFonts w:ascii="Bookman Old Style" w:hAnsi="Bookman Old Style" w:cs="Arial"/>
                <w:bCs/>
              </w:rPr>
            </w:pPr>
            <w:r w:rsidRPr="00066697">
              <w:rPr>
                <w:rFonts w:ascii="Bookman Old Style" w:hAnsi="Bookman Old Style" w:cs="Arial"/>
                <w:bCs/>
              </w:rPr>
              <w:t>Gastos AOM</w:t>
            </w:r>
          </w:p>
        </w:tc>
        <w:tc>
          <w:tcPr>
            <w:tcW w:w="2403" w:type="dxa"/>
            <w:tcBorders>
              <w:top w:val="outset" w:sz="6" w:space="0" w:color="auto"/>
              <w:left w:val="outset" w:sz="6" w:space="0" w:color="auto"/>
              <w:bottom w:val="outset" w:sz="6" w:space="0" w:color="auto"/>
              <w:right w:val="outset" w:sz="6" w:space="0" w:color="auto"/>
            </w:tcBorders>
            <w:vAlign w:val="center"/>
          </w:tcPr>
          <w:p w:rsidR="00826103" w:rsidRPr="00066697" w:rsidRDefault="00035424" w:rsidP="00585DB3">
            <w:pPr>
              <w:pStyle w:val="Piedepgina"/>
              <w:tabs>
                <w:tab w:val="clear" w:pos="4252"/>
                <w:tab w:val="clear" w:pos="8504"/>
              </w:tabs>
              <w:ind w:left="0"/>
              <w:jc w:val="center"/>
              <w:rPr>
                <w:rFonts w:ascii="Bookman Old Style" w:hAnsi="Bookman Old Style" w:cs="Arial"/>
                <w:bCs/>
              </w:rPr>
            </w:pPr>
            <w:r w:rsidRPr="00066697">
              <w:rPr>
                <w:rFonts w:ascii="Bookman Old Style" w:hAnsi="Bookman Old Style" w:cs="Arial"/>
                <w:bCs/>
              </w:rPr>
              <w:t>36,1</w:t>
            </w:r>
            <w:r w:rsidR="00585DB3" w:rsidRPr="00066697">
              <w:rPr>
                <w:rFonts w:ascii="Bookman Old Style" w:hAnsi="Bookman Old Style" w:cs="Arial"/>
                <w:bCs/>
              </w:rPr>
              <w:t>5</w:t>
            </w:r>
          </w:p>
        </w:tc>
      </w:tr>
      <w:tr w:rsidR="00826103" w:rsidRPr="00066697" w:rsidTr="00035424">
        <w:trPr>
          <w:tblCellSpacing w:w="15" w:type="dxa"/>
          <w:jc w:val="center"/>
        </w:trPr>
        <w:tc>
          <w:tcPr>
            <w:tcW w:w="3822" w:type="dxa"/>
            <w:tcBorders>
              <w:top w:val="outset" w:sz="6" w:space="0" w:color="auto"/>
              <w:left w:val="outset" w:sz="6" w:space="0" w:color="auto"/>
              <w:bottom w:val="outset" w:sz="6" w:space="0" w:color="auto"/>
              <w:right w:val="outset" w:sz="6" w:space="0" w:color="auto"/>
            </w:tcBorders>
            <w:hideMark/>
          </w:tcPr>
          <w:p w:rsidR="00826103" w:rsidRPr="00066697" w:rsidRDefault="00826103" w:rsidP="003A531D">
            <w:pPr>
              <w:pStyle w:val="Piedepgina"/>
              <w:tabs>
                <w:tab w:val="clear" w:pos="4252"/>
                <w:tab w:val="clear" w:pos="8504"/>
              </w:tabs>
              <w:ind w:left="426"/>
              <w:jc w:val="both"/>
              <w:rPr>
                <w:rFonts w:ascii="Bookman Old Style" w:hAnsi="Bookman Old Style" w:cs="Arial"/>
                <w:bCs/>
              </w:rPr>
            </w:pPr>
            <w:r w:rsidRPr="00066697">
              <w:rPr>
                <w:rFonts w:ascii="Bookman Old Style" w:hAnsi="Bookman Old Style" w:cs="Arial"/>
                <w:bCs/>
              </w:rPr>
              <w:t>Cargo piso de distribución</w:t>
            </w:r>
          </w:p>
        </w:tc>
        <w:tc>
          <w:tcPr>
            <w:tcW w:w="2403" w:type="dxa"/>
            <w:tcBorders>
              <w:top w:val="outset" w:sz="6" w:space="0" w:color="auto"/>
              <w:left w:val="outset" w:sz="6" w:space="0" w:color="auto"/>
              <w:bottom w:val="outset" w:sz="6" w:space="0" w:color="auto"/>
              <w:right w:val="outset" w:sz="6" w:space="0" w:color="auto"/>
            </w:tcBorders>
            <w:vAlign w:val="center"/>
            <w:hideMark/>
          </w:tcPr>
          <w:p w:rsidR="00826103" w:rsidRPr="00066697" w:rsidRDefault="00826103" w:rsidP="00035424">
            <w:pPr>
              <w:pStyle w:val="Piedepgina"/>
              <w:tabs>
                <w:tab w:val="clear" w:pos="4252"/>
                <w:tab w:val="clear" w:pos="8504"/>
              </w:tabs>
              <w:ind w:left="0"/>
              <w:jc w:val="center"/>
              <w:rPr>
                <w:rFonts w:ascii="Bookman Old Style" w:hAnsi="Bookman Old Style" w:cs="Arial"/>
                <w:bCs/>
              </w:rPr>
            </w:pPr>
            <w:r w:rsidRPr="00066697">
              <w:rPr>
                <w:rFonts w:ascii="Bookman Old Style" w:hAnsi="Bookman Old Style" w:cs="Arial"/>
                <w:bCs/>
              </w:rPr>
              <w:t>24,76</w:t>
            </w:r>
          </w:p>
        </w:tc>
      </w:tr>
    </w:tbl>
    <w:p w:rsidR="00826103" w:rsidRPr="00066697" w:rsidRDefault="00035424" w:rsidP="00035424">
      <w:pPr>
        <w:pStyle w:val="Piedepgina"/>
        <w:tabs>
          <w:tab w:val="clear" w:pos="4252"/>
          <w:tab w:val="clear" w:pos="8504"/>
        </w:tabs>
        <w:ind w:left="1134" w:firstLine="282"/>
        <w:jc w:val="both"/>
        <w:rPr>
          <w:rFonts w:ascii="Bookman Old Style" w:hAnsi="Bookman Old Style" w:cs="Arial"/>
          <w:bCs/>
          <w:sz w:val="20"/>
        </w:rPr>
      </w:pPr>
      <w:r w:rsidRPr="00066697">
        <w:rPr>
          <w:rFonts w:ascii="Bookman Old Style" w:hAnsi="Bookman Old Style" w:cs="Arial"/>
          <w:bCs/>
          <w:sz w:val="20"/>
        </w:rPr>
        <w:t xml:space="preserve"> </w:t>
      </w:r>
      <w:r w:rsidR="00826103" w:rsidRPr="00066697">
        <w:rPr>
          <w:rFonts w:ascii="Bookman Old Style" w:hAnsi="Bookman Old Style" w:cs="Arial"/>
          <w:bCs/>
          <w:sz w:val="20"/>
        </w:rPr>
        <w:t>NOTA: Cifras en pesos del 31 de diciembre de 2002</w:t>
      </w:r>
    </w:p>
    <w:p w:rsidR="00035424" w:rsidRPr="00B01B3D" w:rsidRDefault="00035424" w:rsidP="003A531D">
      <w:pPr>
        <w:pStyle w:val="Piedepgina"/>
        <w:tabs>
          <w:tab w:val="clear" w:pos="4252"/>
          <w:tab w:val="clear" w:pos="8504"/>
        </w:tabs>
        <w:ind w:left="426"/>
        <w:jc w:val="both"/>
        <w:rPr>
          <w:rFonts w:ascii="Bookman Old Style" w:hAnsi="Bookman Old Style" w:cs="Arial"/>
          <w:bCs/>
          <w:sz w:val="16"/>
        </w:rPr>
      </w:pPr>
    </w:p>
    <w:p w:rsidR="00826103" w:rsidRPr="00066697" w:rsidRDefault="00826103" w:rsidP="003A531D">
      <w:pPr>
        <w:pStyle w:val="Piedepgina"/>
        <w:tabs>
          <w:tab w:val="clear" w:pos="4252"/>
          <w:tab w:val="clear" w:pos="8504"/>
        </w:tabs>
        <w:ind w:left="426"/>
        <w:jc w:val="both"/>
        <w:rPr>
          <w:rFonts w:ascii="Bookman Old Style" w:hAnsi="Bookman Old Style" w:cs="Arial"/>
          <w:bCs/>
        </w:rPr>
      </w:pPr>
      <w:r w:rsidRPr="00066697">
        <w:rPr>
          <w:rFonts w:ascii="Bookman Old Style" w:hAnsi="Bookman Old Style" w:cs="Arial"/>
          <w:b/>
          <w:bCs/>
        </w:rPr>
        <w:t>Parágrafo 1</w:t>
      </w:r>
      <w:r w:rsidRPr="00066697">
        <w:rPr>
          <w:rFonts w:ascii="Bookman Old Style" w:hAnsi="Bookman Old Style" w:cs="Arial"/>
          <w:bCs/>
        </w:rPr>
        <w:t xml:space="preserve"> El cargo piso aplicable en el Mercado Relevante del Artículo 1 se fija en $24,76/m3, expresado en pesos del 31 de diciembre de 2002. </w:t>
      </w:r>
    </w:p>
    <w:p w:rsidR="00035424" w:rsidRPr="00066697" w:rsidRDefault="00035424" w:rsidP="003A531D">
      <w:pPr>
        <w:pStyle w:val="Piedepgina"/>
        <w:tabs>
          <w:tab w:val="clear" w:pos="4252"/>
          <w:tab w:val="clear" w:pos="8504"/>
        </w:tabs>
        <w:ind w:left="426"/>
        <w:jc w:val="both"/>
        <w:rPr>
          <w:rFonts w:ascii="Bookman Old Style" w:hAnsi="Bookman Old Style" w:cs="Arial"/>
          <w:bCs/>
        </w:rPr>
      </w:pPr>
    </w:p>
    <w:p w:rsidR="00826103" w:rsidRPr="003A531D" w:rsidRDefault="00826103" w:rsidP="003A531D">
      <w:pPr>
        <w:pStyle w:val="Piedepgina"/>
        <w:tabs>
          <w:tab w:val="clear" w:pos="4252"/>
          <w:tab w:val="clear" w:pos="8504"/>
        </w:tabs>
        <w:ind w:left="426"/>
        <w:jc w:val="both"/>
        <w:rPr>
          <w:rFonts w:ascii="Bookman Old Style" w:hAnsi="Bookman Old Style" w:cs="Arial"/>
          <w:bCs/>
          <w:i/>
        </w:rPr>
      </w:pPr>
      <w:r w:rsidRPr="00066697">
        <w:rPr>
          <w:rFonts w:ascii="Bookman Old Style" w:hAnsi="Bookman Old Style" w:cs="Arial"/>
          <w:b/>
          <w:bCs/>
        </w:rPr>
        <w:t>Parágrafo 2:</w:t>
      </w:r>
      <w:r w:rsidRPr="00066697">
        <w:rPr>
          <w:rFonts w:ascii="Bookman Old Style" w:hAnsi="Bookman Old Style" w:cs="Arial"/>
          <w:bCs/>
        </w:rPr>
        <w:t xml:space="preserve"> Estos Cargos de Distribución se actualizarán de conformidad con lo establecido en el numeral 7.8 </w:t>
      </w:r>
      <w:r w:rsidR="00846EDC">
        <w:rPr>
          <w:rFonts w:ascii="Bookman Old Style" w:hAnsi="Bookman Old Style" w:cs="Arial"/>
          <w:bCs/>
        </w:rPr>
        <w:t xml:space="preserve">del artículo 7 </w:t>
      </w:r>
      <w:r w:rsidRPr="00066697">
        <w:rPr>
          <w:rFonts w:ascii="Bookman Old Style" w:hAnsi="Bookman Old Style" w:cs="Arial"/>
          <w:bCs/>
        </w:rPr>
        <w:t>de la Resolución CREG-011 de 2003</w:t>
      </w:r>
      <w:r w:rsidRPr="003A531D">
        <w:rPr>
          <w:rFonts w:ascii="Bookman Old Style" w:hAnsi="Bookman Old Style" w:cs="Arial"/>
          <w:bCs/>
          <w:i/>
        </w:rPr>
        <w:t>.</w:t>
      </w:r>
    </w:p>
    <w:p w:rsidR="00826103" w:rsidRPr="00B01B3D" w:rsidRDefault="00826103" w:rsidP="00772807">
      <w:pPr>
        <w:widowControl w:val="0"/>
        <w:adjustRightInd w:val="0"/>
        <w:ind w:left="0" w:right="20"/>
        <w:jc w:val="both"/>
        <w:rPr>
          <w:rFonts w:ascii="Bookman Old Style" w:hAnsi="Bookman Old Style" w:cs="Arial"/>
          <w:sz w:val="18"/>
        </w:rPr>
      </w:pPr>
    </w:p>
    <w:p w:rsidR="00772807" w:rsidRPr="00772807" w:rsidRDefault="00772807" w:rsidP="00772807">
      <w:pPr>
        <w:widowControl w:val="0"/>
        <w:adjustRightInd w:val="0"/>
        <w:ind w:left="0" w:right="20"/>
        <w:jc w:val="both"/>
        <w:rPr>
          <w:rFonts w:ascii="Bookman Old Style" w:hAnsi="Bookman Old Style" w:cs="Arial"/>
          <w:spacing w:val="-4"/>
        </w:rPr>
      </w:pPr>
      <w:r w:rsidRPr="00772807">
        <w:rPr>
          <w:rFonts w:ascii="Bookman Old Style" w:hAnsi="Bookman Old Style" w:cs="Arial"/>
          <w:b/>
        </w:rPr>
        <w:t xml:space="preserve">ARTÍCULO </w:t>
      </w:r>
      <w:r w:rsidR="00BF0F62">
        <w:rPr>
          <w:rFonts w:ascii="Bookman Old Style" w:hAnsi="Bookman Old Style" w:cs="Arial"/>
          <w:b/>
        </w:rPr>
        <w:t>3</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sidR="00631E8F">
        <w:rPr>
          <w:rFonts w:ascii="Bookman Old Style" w:hAnsi="Bookman Old Style" w:cs="Arial"/>
          <w:spacing w:val="-4"/>
        </w:rPr>
        <w:t xml:space="preserve">l representante legal de </w:t>
      </w:r>
      <w:r w:rsidRPr="00772807">
        <w:rPr>
          <w:rFonts w:ascii="Bookman Old Style" w:hAnsi="Bookman Old Style" w:cs="Arial"/>
          <w:spacing w:val="-4"/>
        </w:rPr>
        <w:t xml:space="preserve">  </w:t>
      </w:r>
      <w:r w:rsidR="00B026AE">
        <w:rPr>
          <w:rFonts w:ascii="Bookman Old Style" w:hAnsi="Bookman Old Style" w:cs="Arial"/>
          <w:spacing w:val="-4"/>
        </w:rPr>
        <w:t>EPM</w:t>
      </w:r>
      <w:r w:rsidR="00730C9E">
        <w:rPr>
          <w:rFonts w:ascii="Bookman Old Style" w:hAnsi="Bookman Old Style" w:cs="Arial"/>
          <w:spacing w:val="-4"/>
        </w:rPr>
        <w:t xml:space="preserve"> E.S.P</w:t>
      </w:r>
      <w:r w:rsidR="0082349C">
        <w:rPr>
          <w:rFonts w:ascii="Bookman Old Style" w:hAnsi="Bookman Old Style" w:cs="Arial"/>
          <w:spacing w:val="-4"/>
        </w:rPr>
        <w:t xml:space="preserve">. </w:t>
      </w:r>
      <w:r w:rsidR="00E523CE">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rsidR="00772807" w:rsidRDefault="00772807" w:rsidP="00772807">
      <w:pPr>
        <w:widowControl w:val="0"/>
        <w:adjustRightInd w:val="0"/>
        <w:ind w:left="0" w:right="20"/>
        <w:jc w:val="center"/>
        <w:rPr>
          <w:rFonts w:ascii="Bookman Old Style" w:hAnsi="Bookman Old Style" w:cs="Arial"/>
          <w:b/>
        </w:rPr>
      </w:pPr>
    </w:p>
    <w:p w:rsidR="00F35523" w:rsidRPr="00B01B3D" w:rsidRDefault="00F35523" w:rsidP="00772807">
      <w:pPr>
        <w:widowControl w:val="0"/>
        <w:adjustRightInd w:val="0"/>
        <w:ind w:left="0" w:right="20"/>
        <w:jc w:val="center"/>
        <w:rPr>
          <w:rFonts w:ascii="Bookman Old Style" w:hAnsi="Bookman Old Style" w:cs="Arial"/>
          <w:b/>
          <w:sz w:val="2"/>
        </w:rPr>
      </w:pPr>
    </w:p>
    <w:p w:rsidR="00772807" w:rsidRPr="00772807" w:rsidRDefault="00772807" w:rsidP="00772807">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772807" w:rsidRDefault="00772807" w:rsidP="00772807">
      <w:pPr>
        <w:widowControl w:val="0"/>
        <w:adjustRightInd w:val="0"/>
        <w:ind w:left="0" w:right="20"/>
        <w:jc w:val="both"/>
        <w:rPr>
          <w:rFonts w:ascii="Bookman Old Style" w:hAnsi="Bookman Old Style" w:cs="Arial"/>
        </w:rPr>
      </w:pPr>
    </w:p>
    <w:p w:rsidR="00772807" w:rsidRPr="00772807" w:rsidRDefault="00772807" w:rsidP="00772807">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9E11C8" w:rsidRDefault="009E11C8" w:rsidP="00772807">
      <w:pPr>
        <w:widowControl w:val="0"/>
        <w:tabs>
          <w:tab w:val="left" w:pos="-720"/>
        </w:tabs>
        <w:suppressAutoHyphens/>
        <w:adjustRightInd w:val="0"/>
        <w:ind w:left="0" w:right="20"/>
        <w:jc w:val="both"/>
        <w:rPr>
          <w:rFonts w:ascii="Bookman Old Style" w:hAnsi="Bookman Old Style" w:cs="Arial"/>
          <w:spacing w:val="-3"/>
        </w:rPr>
      </w:pPr>
    </w:p>
    <w:p w:rsidR="00433F0D" w:rsidRPr="00772807" w:rsidRDefault="00433F0D" w:rsidP="00772807">
      <w:pPr>
        <w:widowControl w:val="0"/>
        <w:tabs>
          <w:tab w:val="left" w:pos="-720"/>
        </w:tabs>
        <w:suppressAutoHyphens/>
        <w:adjustRightInd w:val="0"/>
        <w:ind w:left="0" w:right="20"/>
        <w:jc w:val="both"/>
        <w:rPr>
          <w:rFonts w:ascii="Bookman Old Style" w:hAnsi="Bookman Old Style" w:cs="Arial"/>
          <w:spacing w:val="-3"/>
        </w:rPr>
      </w:pPr>
    </w:p>
    <w:tbl>
      <w:tblPr>
        <w:tblW w:w="8985" w:type="dxa"/>
        <w:jc w:val="center"/>
        <w:tblLayout w:type="fixed"/>
        <w:tblCellMar>
          <w:left w:w="70" w:type="dxa"/>
          <w:right w:w="70" w:type="dxa"/>
        </w:tblCellMar>
        <w:tblLook w:val="04A0" w:firstRow="1" w:lastRow="0" w:firstColumn="1" w:lastColumn="0" w:noHBand="0" w:noVBand="1"/>
      </w:tblPr>
      <w:tblGrid>
        <w:gridCol w:w="4492"/>
        <w:gridCol w:w="4493"/>
      </w:tblGrid>
      <w:tr w:rsidR="00772807" w:rsidRPr="00772807" w:rsidTr="009E11C8">
        <w:trPr>
          <w:trHeight w:val="329"/>
          <w:jc w:val="center"/>
        </w:trPr>
        <w:tc>
          <w:tcPr>
            <w:tcW w:w="4492" w:type="dxa"/>
            <w:vAlign w:val="center"/>
          </w:tcPr>
          <w:p w:rsidR="00772807" w:rsidRPr="00772807" w:rsidRDefault="00772807" w:rsidP="00772807">
            <w:pPr>
              <w:ind w:left="0"/>
              <w:jc w:val="center"/>
              <w:rPr>
                <w:rFonts w:ascii="Bookman Old Style" w:hAnsi="Bookman Old Style"/>
                <w:b/>
                <w:bCs/>
                <w:color w:val="000000"/>
                <w:lang w:val="es-CO" w:eastAsia="es-CO"/>
              </w:rPr>
            </w:pPr>
          </w:p>
          <w:p w:rsidR="00772807" w:rsidRPr="00772807" w:rsidRDefault="00C379EF" w:rsidP="00772807">
            <w:pPr>
              <w:ind w:left="0"/>
              <w:jc w:val="center"/>
              <w:rPr>
                <w:rFonts w:ascii="Bookman Old Style" w:hAnsi="Bookman Old Style"/>
                <w:b/>
                <w:bCs/>
                <w:color w:val="000000"/>
                <w:lang w:val="es-CO" w:eastAsia="es-CO"/>
              </w:rPr>
            </w:pPr>
            <w:r>
              <w:rPr>
                <w:rFonts w:ascii="Bookman Old Style" w:hAnsi="Bookman Old Style" w:cs="Arial"/>
                <w:b/>
                <w:spacing w:val="-3"/>
              </w:rPr>
              <w:t>ORLANDO CABRALES SEGOVIA</w:t>
            </w:r>
          </w:p>
        </w:tc>
        <w:tc>
          <w:tcPr>
            <w:tcW w:w="4493" w:type="dxa"/>
            <w:vAlign w:val="center"/>
          </w:tcPr>
          <w:p w:rsidR="00772807" w:rsidRPr="00772807" w:rsidRDefault="00772807" w:rsidP="00772807">
            <w:pPr>
              <w:ind w:left="0"/>
              <w:jc w:val="center"/>
              <w:rPr>
                <w:rFonts w:ascii="Bookman Old Style" w:hAnsi="Bookman Old Style"/>
                <w:b/>
                <w:bCs/>
                <w:color w:val="000000"/>
                <w:lang w:val="es-CO" w:eastAsia="es-CO"/>
              </w:rPr>
            </w:pPr>
          </w:p>
          <w:p w:rsidR="00772807" w:rsidRPr="00772807" w:rsidRDefault="006C2F36" w:rsidP="00D036CD">
            <w:pPr>
              <w:ind w:left="0"/>
              <w:jc w:val="center"/>
              <w:rPr>
                <w:rFonts w:ascii="Bookman Old Style" w:hAnsi="Bookman Old Style" w:cs="Arial"/>
                <w:b/>
                <w:spacing w:val="-3"/>
                <w:highlight w:val="green"/>
              </w:rPr>
            </w:pPr>
            <w:r>
              <w:rPr>
                <w:rFonts w:ascii="Bookman Old Style" w:hAnsi="Bookman Old Style"/>
                <w:b/>
                <w:bCs/>
                <w:color w:val="000000"/>
                <w:lang w:val="es-CO" w:eastAsia="es-CO"/>
              </w:rPr>
              <w:t>GERM</w:t>
            </w:r>
            <w:r w:rsidR="00D036CD">
              <w:rPr>
                <w:rFonts w:ascii="Bookman Old Style" w:hAnsi="Bookman Old Style"/>
                <w:b/>
                <w:bCs/>
                <w:color w:val="000000"/>
                <w:lang w:val="es-CO" w:eastAsia="es-CO"/>
              </w:rPr>
              <w:t>Á</w:t>
            </w:r>
            <w:r>
              <w:rPr>
                <w:rFonts w:ascii="Bookman Old Style" w:hAnsi="Bookman Old Style"/>
                <w:b/>
                <w:bCs/>
                <w:color w:val="000000"/>
                <w:lang w:val="es-CO" w:eastAsia="es-CO"/>
              </w:rPr>
              <w:t xml:space="preserve">N </w:t>
            </w:r>
            <w:r w:rsidR="00AE556C">
              <w:rPr>
                <w:rFonts w:ascii="Bookman Old Style" w:hAnsi="Bookman Old Style"/>
                <w:b/>
                <w:bCs/>
                <w:color w:val="000000"/>
                <w:lang w:val="es-CO" w:eastAsia="es-CO"/>
              </w:rPr>
              <w:t>CASTRO FERREIRA</w:t>
            </w:r>
          </w:p>
        </w:tc>
      </w:tr>
      <w:tr w:rsidR="00772807" w:rsidRPr="00772807" w:rsidTr="009E11C8">
        <w:trPr>
          <w:jc w:val="center"/>
        </w:trPr>
        <w:tc>
          <w:tcPr>
            <w:tcW w:w="4492" w:type="dxa"/>
            <w:vAlign w:val="center"/>
            <w:hideMark/>
          </w:tcPr>
          <w:p w:rsidR="00772807" w:rsidRPr="00772807" w:rsidRDefault="00772807" w:rsidP="006C2F36">
            <w:pPr>
              <w:widowControl w:val="0"/>
              <w:tabs>
                <w:tab w:val="left" w:pos="-720"/>
              </w:tabs>
              <w:suppressAutoHyphens/>
              <w:adjustRightInd w:val="0"/>
              <w:ind w:left="0"/>
              <w:jc w:val="center"/>
              <w:rPr>
                <w:rFonts w:ascii="Bookman Old Style" w:hAnsi="Bookman Old Style" w:cs="Arial"/>
                <w:spacing w:val="-3"/>
              </w:rPr>
            </w:pPr>
            <w:r w:rsidRPr="00772807">
              <w:rPr>
                <w:rFonts w:ascii="Bookman Old Style" w:hAnsi="Bookman Old Style" w:cs="Arial"/>
                <w:spacing w:val="-3"/>
              </w:rPr>
              <w:t>Viceministro de Energía</w:t>
            </w:r>
          </w:p>
        </w:tc>
        <w:tc>
          <w:tcPr>
            <w:tcW w:w="4493" w:type="dxa"/>
            <w:vAlign w:val="center"/>
            <w:hideMark/>
          </w:tcPr>
          <w:p w:rsidR="00772807" w:rsidRPr="00772807" w:rsidRDefault="00772807" w:rsidP="00772807">
            <w:pPr>
              <w:widowControl w:val="0"/>
              <w:tabs>
                <w:tab w:val="left" w:pos="-720"/>
              </w:tabs>
              <w:suppressAutoHyphens/>
              <w:adjustRightInd w:val="0"/>
              <w:ind w:left="0"/>
              <w:jc w:val="center"/>
              <w:rPr>
                <w:rFonts w:ascii="Bookman Old Style" w:hAnsi="Bookman Old Style" w:cs="Arial"/>
                <w:spacing w:val="-3"/>
              </w:rPr>
            </w:pPr>
            <w:r w:rsidRPr="00772807">
              <w:rPr>
                <w:rFonts w:ascii="Bookman Old Style" w:hAnsi="Bookman Old Style" w:cs="Arial"/>
                <w:spacing w:val="-3"/>
              </w:rPr>
              <w:t>Director  Ejecutivo</w:t>
            </w:r>
          </w:p>
        </w:tc>
      </w:tr>
      <w:tr w:rsidR="00772807" w:rsidRPr="00772807" w:rsidTr="009E11C8">
        <w:trPr>
          <w:jc w:val="center"/>
        </w:trPr>
        <w:tc>
          <w:tcPr>
            <w:tcW w:w="4492" w:type="dxa"/>
            <w:vAlign w:val="center"/>
            <w:hideMark/>
          </w:tcPr>
          <w:p w:rsidR="00772807" w:rsidRPr="00772807" w:rsidRDefault="00772807" w:rsidP="00772807">
            <w:pPr>
              <w:widowControl w:val="0"/>
              <w:tabs>
                <w:tab w:val="left" w:pos="-720"/>
              </w:tabs>
              <w:suppressAutoHyphens/>
              <w:adjustRightInd w:val="0"/>
              <w:ind w:left="0"/>
              <w:jc w:val="center"/>
              <w:rPr>
                <w:rFonts w:ascii="Bookman Old Style" w:hAnsi="Bookman Old Style" w:cs="Arial"/>
                <w:spacing w:val="-3"/>
              </w:rPr>
            </w:pPr>
            <w:r w:rsidRPr="00772807">
              <w:rPr>
                <w:rFonts w:ascii="Bookman Old Style" w:hAnsi="Bookman Old Style" w:cs="Arial"/>
                <w:spacing w:val="-3"/>
              </w:rPr>
              <w:t>Delegado del Ministro de Minas y Energía</w:t>
            </w:r>
          </w:p>
          <w:p w:rsidR="00772807" w:rsidRPr="00772807" w:rsidRDefault="00772807" w:rsidP="00772807">
            <w:pPr>
              <w:widowControl w:val="0"/>
              <w:tabs>
                <w:tab w:val="left" w:pos="-720"/>
              </w:tabs>
              <w:suppressAutoHyphens/>
              <w:adjustRightInd w:val="0"/>
              <w:ind w:left="0"/>
              <w:jc w:val="center"/>
              <w:rPr>
                <w:rFonts w:ascii="Bookman Old Style" w:hAnsi="Bookman Old Style" w:cs="Arial"/>
                <w:spacing w:val="-3"/>
              </w:rPr>
            </w:pPr>
            <w:r w:rsidRPr="00772807">
              <w:rPr>
                <w:rFonts w:ascii="Bookman Old Style" w:hAnsi="Bookman Old Style" w:cs="Arial"/>
                <w:spacing w:val="-3"/>
              </w:rPr>
              <w:t>Presidente</w:t>
            </w:r>
          </w:p>
        </w:tc>
        <w:tc>
          <w:tcPr>
            <w:tcW w:w="4493" w:type="dxa"/>
            <w:vAlign w:val="center"/>
          </w:tcPr>
          <w:p w:rsidR="00772807" w:rsidRPr="00772807" w:rsidRDefault="00772807" w:rsidP="00772807">
            <w:pPr>
              <w:widowControl w:val="0"/>
              <w:tabs>
                <w:tab w:val="left" w:pos="-720"/>
              </w:tabs>
              <w:suppressAutoHyphens/>
              <w:adjustRightInd w:val="0"/>
              <w:ind w:left="0"/>
              <w:jc w:val="center"/>
              <w:rPr>
                <w:rFonts w:ascii="Bookman Old Style" w:hAnsi="Bookman Old Style" w:cs="Arial"/>
                <w:spacing w:val="-3"/>
              </w:rPr>
            </w:pPr>
          </w:p>
        </w:tc>
      </w:tr>
    </w:tbl>
    <w:p w:rsidR="00772807" w:rsidRPr="00772807" w:rsidRDefault="00772807" w:rsidP="00B01B3D">
      <w:pPr>
        <w:widowControl w:val="0"/>
        <w:adjustRightInd w:val="0"/>
        <w:ind w:left="0"/>
        <w:rPr>
          <w:rFonts w:ascii="Bookman Old Style" w:hAnsi="Bookman Old Style" w:cs="Arial"/>
          <w:b/>
          <w:bCs/>
        </w:rPr>
      </w:pPr>
    </w:p>
    <w:sectPr w:rsidR="00772807" w:rsidRPr="0077280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38" w:rsidRDefault="00E51E38">
      <w:r>
        <w:separator/>
      </w:r>
    </w:p>
  </w:endnote>
  <w:endnote w:type="continuationSeparator" w:id="0">
    <w:p w:rsidR="00E51E38" w:rsidRDefault="00E5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38" w:rsidRDefault="00E51E38">
      <w:r>
        <w:separator/>
      </w:r>
    </w:p>
  </w:footnote>
  <w:footnote w:type="continuationSeparator" w:id="0">
    <w:p w:rsidR="00E51E38" w:rsidRDefault="00E51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30" w:rsidRDefault="000F3230" w:rsidP="00951F79">
    <w:pPr>
      <w:pStyle w:val="Ttulo1"/>
      <w:ind w:right="6"/>
      <w:jc w:val="left"/>
      <w:rPr>
        <w:rFonts w:ascii="Bookman Old Style" w:hAnsi="Bookman Old Style" w:cs="Arial"/>
        <w:b w:val="0"/>
        <w:sz w:val="22"/>
        <w:szCs w:val="22"/>
      </w:rPr>
    </w:pPr>
  </w:p>
  <w:p w:rsidR="000F3230" w:rsidRPr="00951F79" w:rsidRDefault="000F323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C6523">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C6523">
      <w:fldChar w:fldCharType="begin"/>
    </w:r>
    <w:r w:rsidR="00BC6523">
      <w:instrText xml:space="preserve"> NUMPAGES  \* MERGEFORMAT </w:instrText>
    </w:r>
    <w:r w:rsidR="00BC6523">
      <w:fldChar w:fldCharType="separate"/>
    </w:r>
    <w:r w:rsidR="00BC6523" w:rsidRPr="00BC6523">
      <w:rPr>
        <w:rFonts w:ascii="Bookman Old Style" w:hAnsi="Bookman Old Style" w:cs="Arial"/>
        <w:b w:val="0"/>
        <w:noProof/>
        <w:sz w:val="22"/>
        <w:szCs w:val="22"/>
      </w:rPr>
      <w:t>4</w:t>
    </w:r>
    <w:r w:rsidR="00BC6523">
      <w:rPr>
        <w:rFonts w:ascii="Bookman Old Style" w:hAnsi="Bookman Old Style" w:cs="Arial"/>
        <w:b w:val="0"/>
        <w:noProof/>
        <w:sz w:val="22"/>
        <w:szCs w:val="22"/>
      </w:rPr>
      <w:fldChar w:fldCharType="end"/>
    </w:r>
  </w:p>
  <w:p w:rsidR="000F3230" w:rsidRDefault="00065FED"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E437C3B" wp14:editId="0E01C00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8346B" w:rsidRPr="00D03E47" w:rsidRDefault="0098346B" w:rsidP="0098346B">
    <w:pPr>
      <w:widowControl w:val="0"/>
      <w:adjustRightInd w:val="0"/>
      <w:ind w:left="0" w:right="20"/>
      <w:jc w:val="both"/>
      <w:rPr>
        <w:rFonts w:ascii="Bookman Old Style" w:hAnsi="Bookman Old Style" w:cs="Arial"/>
        <w:lang w:val="es-ES_tradnl"/>
      </w:rPr>
    </w:pPr>
    <w:r w:rsidRPr="00D03E47">
      <w:rPr>
        <w:rFonts w:ascii="Bookman Old Style" w:hAnsi="Bookman Old Style" w:cs="Arial"/>
        <w:lang w:val="es-ES_tradnl"/>
      </w:rPr>
      <w:t xml:space="preserve">Por la cual se </w:t>
    </w:r>
    <w:r>
      <w:rPr>
        <w:rFonts w:ascii="Bookman Old Style" w:hAnsi="Bookman Old Style" w:cs="Arial"/>
        <w:lang w:val="es-ES_tradnl"/>
      </w:rPr>
      <w:t>determina el cargo por uso que el mercado relevante aprobado mediante Resolución CREG 074 de 2011</w:t>
    </w:r>
    <w:r w:rsidRPr="00D03E47">
      <w:rPr>
        <w:rFonts w:ascii="Bookman Old Style" w:hAnsi="Bookman Old Style" w:cs="Arial"/>
        <w:lang w:val="es-ES_tradnl"/>
      </w:rPr>
      <w:t>,</w:t>
    </w:r>
    <w:r>
      <w:rPr>
        <w:rFonts w:ascii="Bookman Old Style" w:hAnsi="Bookman Old Style" w:cs="Arial"/>
        <w:lang w:val="es-ES_tradnl"/>
      </w:rPr>
      <w:t xml:space="preserve"> deberá pagar al mercado relevante aprobado mediante r</w:t>
    </w:r>
    <w:r w:rsidRPr="00205101">
      <w:rPr>
        <w:rFonts w:ascii="Bookman Old Style" w:hAnsi="Bookman Old Style" w:cs="Arial"/>
        <w:lang w:val="es-ES_tradnl"/>
      </w:rPr>
      <w:t>esoluci</w:t>
    </w:r>
    <w:r>
      <w:rPr>
        <w:rFonts w:ascii="Bookman Old Style" w:hAnsi="Bookman Old Style" w:cs="Arial"/>
        <w:lang w:val="es-ES_tradnl"/>
      </w:rPr>
      <w:t>ones</w:t>
    </w:r>
    <w:r w:rsidRPr="00205101">
      <w:rPr>
        <w:rFonts w:ascii="Bookman Old Style" w:hAnsi="Bookman Old Style" w:cs="Arial"/>
        <w:lang w:val="es-ES_tradnl"/>
      </w:rPr>
      <w:t xml:space="preserve"> CREG 022 de 2004 y 087 de 2004</w:t>
    </w:r>
    <w:r>
      <w:rPr>
        <w:rFonts w:ascii="Bookman Old Style" w:hAnsi="Bookman Old Style" w:cs="Arial"/>
        <w:lang w:val="es-ES_tradnl"/>
      </w:rPr>
      <w:t xml:space="preserve"> por el uso de su sistema de distribución de gas natural.</w:t>
    </w:r>
    <w:r w:rsidRPr="000C4FD4">
      <w:rPr>
        <w:rFonts w:cs="Arial"/>
      </w:rPr>
      <w:t xml:space="preserve"> </w:t>
    </w:r>
  </w:p>
  <w:p w:rsidR="000F3230" w:rsidRPr="00D036CD" w:rsidRDefault="000F3230"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30" w:rsidRDefault="000F323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F3230" w:rsidRDefault="000F3230">
    <w:pPr>
      <w:pStyle w:val="Encabezado"/>
      <w:jc w:val="center"/>
      <w:rPr>
        <w:rFonts w:ascii="Arial" w:hAnsi="Arial" w:cs="Arial"/>
        <w:spacing w:val="20"/>
        <w:sz w:val="20"/>
      </w:rPr>
    </w:pPr>
  </w:p>
  <w:p w:rsidR="000F3230" w:rsidRDefault="00065FED"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7644394" wp14:editId="5C81841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64555CAA"/>
    <w:multiLevelType w:val="hybridMultilevel"/>
    <w:tmpl w:val="E166ACE0"/>
    <w:lvl w:ilvl="0" w:tplc="A218F0F8">
      <w:start w:val="1"/>
      <w:numFmt w:val="decimal"/>
      <w:lvlText w:val="ARTÍCULO %1. "/>
      <w:lvlJc w:val="left"/>
      <w:pPr>
        <w:ind w:left="2062" w:hanging="360"/>
      </w:pPr>
      <w:rPr>
        <w:rFonts w:ascii="Bookman Old Style" w:hAnsi="Bookman Old Style" w:hint="default"/>
        <w:b/>
        <w:i w:val="0"/>
      </w:rPr>
    </w:lvl>
    <w:lvl w:ilvl="1" w:tplc="240A0019" w:tentative="1">
      <w:start w:val="1"/>
      <w:numFmt w:val="lowerLetter"/>
      <w:lvlText w:val="%2."/>
      <w:lvlJc w:val="left"/>
      <w:pPr>
        <w:ind w:left="2782" w:hanging="360"/>
      </w:pPr>
    </w:lvl>
    <w:lvl w:ilvl="2" w:tplc="240A001B" w:tentative="1">
      <w:start w:val="1"/>
      <w:numFmt w:val="lowerRoman"/>
      <w:lvlText w:val="%3."/>
      <w:lvlJc w:val="right"/>
      <w:pPr>
        <w:ind w:left="3502" w:hanging="180"/>
      </w:pPr>
    </w:lvl>
    <w:lvl w:ilvl="3" w:tplc="240A000F" w:tentative="1">
      <w:start w:val="1"/>
      <w:numFmt w:val="decimal"/>
      <w:lvlText w:val="%4."/>
      <w:lvlJc w:val="left"/>
      <w:pPr>
        <w:ind w:left="4222" w:hanging="360"/>
      </w:pPr>
    </w:lvl>
    <w:lvl w:ilvl="4" w:tplc="240A0019" w:tentative="1">
      <w:start w:val="1"/>
      <w:numFmt w:val="lowerLetter"/>
      <w:lvlText w:val="%5."/>
      <w:lvlJc w:val="left"/>
      <w:pPr>
        <w:ind w:left="4942" w:hanging="360"/>
      </w:pPr>
    </w:lvl>
    <w:lvl w:ilvl="5" w:tplc="240A001B" w:tentative="1">
      <w:start w:val="1"/>
      <w:numFmt w:val="lowerRoman"/>
      <w:lvlText w:val="%6."/>
      <w:lvlJc w:val="right"/>
      <w:pPr>
        <w:ind w:left="5662" w:hanging="180"/>
      </w:pPr>
    </w:lvl>
    <w:lvl w:ilvl="6" w:tplc="240A000F" w:tentative="1">
      <w:start w:val="1"/>
      <w:numFmt w:val="decimal"/>
      <w:lvlText w:val="%7."/>
      <w:lvlJc w:val="left"/>
      <w:pPr>
        <w:ind w:left="6382" w:hanging="360"/>
      </w:pPr>
    </w:lvl>
    <w:lvl w:ilvl="7" w:tplc="240A0019" w:tentative="1">
      <w:start w:val="1"/>
      <w:numFmt w:val="lowerLetter"/>
      <w:lvlText w:val="%8."/>
      <w:lvlJc w:val="left"/>
      <w:pPr>
        <w:ind w:left="7102" w:hanging="360"/>
      </w:pPr>
    </w:lvl>
    <w:lvl w:ilvl="8" w:tplc="240A001B" w:tentative="1">
      <w:start w:val="1"/>
      <w:numFmt w:val="lowerRoman"/>
      <w:lvlText w:val="%9."/>
      <w:lvlJc w:val="right"/>
      <w:pPr>
        <w:ind w:left="7822" w:hanging="180"/>
      </w:pPr>
    </w:lvl>
  </w:abstractNum>
  <w:abstractNum w:abstractNumId="24">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19"/>
  </w:num>
  <w:num w:numId="6">
    <w:abstractNumId w:val="3"/>
  </w:num>
  <w:num w:numId="7">
    <w:abstractNumId w:val="2"/>
  </w:num>
  <w:num w:numId="8">
    <w:abstractNumId w:val="22"/>
  </w:num>
  <w:num w:numId="9">
    <w:abstractNumId w:val="20"/>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7"/>
  </w:num>
  <w:num w:numId="21">
    <w:abstractNumId w:val="26"/>
  </w:num>
  <w:num w:numId="22">
    <w:abstractNumId w:val="21"/>
  </w:num>
  <w:num w:numId="23">
    <w:abstractNumId w:val="25"/>
  </w:num>
  <w:num w:numId="24">
    <w:abstractNumId w:val="9"/>
  </w:num>
  <w:num w:numId="25">
    <w:abstractNumId w:val="8"/>
  </w:num>
  <w:num w:numId="26">
    <w:abstractNumId w:val="18"/>
  </w:num>
  <w:num w:numId="27">
    <w:abstractNumId w:val="5"/>
  </w:num>
  <w:num w:numId="28">
    <w:abstractNumId w:val="6"/>
  </w:num>
  <w:num w:numId="29">
    <w:abstractNumId w:val="11"/>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175DD"/>
    <w:rsid w:val="00025383"/>
    <w:rsid w:val="000275B9"/>
    <w:rsid w:val="00034816"/>
    <w:rsid w:val="00035424"/>
    <w:rsid w:val="00045B65"/>
    <w:rsid w:val="000537E8"/>
    <w:rsid w:val="00055B77"/>
    <w:rsid w:val="00060D57"/>
    <w:rsid w:val="00063657"/>
    <w:rsid w:val="00065FED"/>
    <w:rsid w:val="00066697"/>
    <w:rsid w:val="00076680"/>
    <w:rsid w:val="00076A1D"/>
    <w:rsid w:val="0008073E"/>
    <w:rsid w:val="00082FFB"/>
    <w:rsid w:val="00091CDB"/>
    <w:rsid w:val="00096E1F"/>
    <w:rsid w:val="000A19AC"/>
    <w:rsid w:val="000B03C2"/>
    <w:rsid w:val="000B6275"/>
    <w:rsid w:val="000B667A"/>
    <w:rsid w:val="000D26F8"/>
    <w:rsid w:val="000D2E60"/>
    <w:rsid w:val="000E01B8"/>
    <w:rsid w:val="000E29EA"/>
    <w:rsid w:val="000E5299"/>
    <w:rsid w:val="000F1132"/>
    <w:rsid w:val="000F3230"/>
    <w:rsid w:val="000F410B"/>
    <w:rsid w:val="0010707E"/>
    <w:rsid w:val="00113128"/>
    <w:rsid w:val="0012200E"/>
    <w:rsid w:val="00122CFB"/>
    <w:rsid w:val="0014017F"/>
    <w:rsid w:val="001405C6"/>
    <w:rsid w:val="00141013"/>
    <w:rsid w:val="001465A5"/>
    <w:rsid w:val="00154D61"/>
    <w:rsid w:val="001638C9"/>
    <w:rsid w:val="001748A3"/>
    <w:rsid w:val="0018547A"/>
    <w:rsid w:val="001857F3"/>
    <w:rsid w:val="00185E2A"/>
    <w:rsid w:val="00192CBF"/>
    <w:rsid w:val="00192FF1"/>
    <w:rsid w:val="001946B2"/>
    <w:rsid w:val="00194FF5"/>
    <w:rsid w:val="00195E5B"/>
    <w:rsid w:val="001A5F1B"/>
    <w:rsid w:val="001B0D07"/>
    <w:rsid w:val="001B1C22"/>
    <w:rsid w:val="001B34C6"/>
    <w:rsid w:val="001B6003"/>
    <w:rsid w:val="001B61EB"/>
    <w:rsid w:val="001C1345"/>
    <w:rsid w:val="001C4977"/>
    <w:rsid w:val="001D033A"/>
    <w:rsid w:val="001D249F"/>
    <w:rsid w:val="001D7832"/>
    <w:rsid w:val="001F4B33"/>
    <w:rsid w:val="00205101"/>
    <w:rsid w:val="00211D34"/>
    <w:rsid w:val="00214469"/>
    <w:rsid w:val="00214F04"/>
    <w:rsid w:val="00215B3E"/>
    <w:rsid w:val="00221F55"/>
    <w:rsid w:val="00237FDF"/>
    <w:rsid w:val="00240455"/>
    <w:rsid w:val="00241181"/>
    <w:rsid w:val="00241399"/>
    <w:rsid w:val="00246AA1"/>
    <w:rsid w:val="00246C1A"/>
    <w:rsid w:val="002606F0"/>
    <w:rsid w:val="00266CD6"/>
    <w:rsid w:val="00275DAB"/>
    <w:rsid w:val="002817D6"/>
    <w:rsid w:val="00297954"/>
    <w:rsid w:val="002A782A"/>
    <w:rsid w:val="002B11E2"/>
    <w:rsid w:val="002B24B8"/>
    <w:rsid w:val="002B4EC0"/>
    <w:rsid w:val="002C2245"/>
    <w:rsid w:val="002D3AE9"/>
    <w:rsid w:val="002D4510"/>
    <w:rsid w:val="002D6B88"/>
    <w:rsid w:val="002F0734"/>
    <w:rsid w:val="002F0CC9"/>
    <w:rsid w:val="002F46E7"/>
    <w:rsid w:val="002F7404"/>
    <w:rsid w:val="003101DA"/>
    <w:rsid w:val="003106A1"/>
    <w:rsid w:val="00314757"/>
    <w:rsid w:val="00316EB3"/>
    <w:rsid w:val="003211CE"/>
    <w:rsid w:val="00321766"/>
    <w:rsid w:val="0032669A"/>
    <w:rsid w:val="0033342C"/>
    <w:rsid w:val="0034000D"/>
    <w:rsid w:val="00345C87"/>
    <w:rsid w:val="00346E50"/>
    <w:rsid w:val="003518A4"/>
    <w:rsid w:val="0035403A"/>
    <w:rsid w:val="00362172"/>
    <w:rsid w:val="0036394B"/>
    <w:rsid w:val="0036751E"/>
    <w:rsid w:val="003709B5"/>
    <w:rsid w:val="003759C2"/>
    <w:rsid w:val="003846C6"/>
    <w:rsid w:val="003943C4"/>
    <w:rsid w:val="00397365"/>
    <w:rsid w:val="003A24BA"/>
    <w:rsid w:val="003A31F6"/>
    <w:rsid w:val="003A36D1"/>
    <w:rsid w:val="003A531D"/>
    <w:rsid w:val="003B10B9"/>
    <w:rsid w:val="003B6A60"/>
    <w:rsid w:val="003B769B"/>
    <w:rsid w:val="003C24AD"/>
    <w:rsid w:val="003C3447"/>
    <w:rsid w:val="003D076C"/>
    <w:rsid w:val="003D5E91"/>
    <w:rsid w:val="003E78B5"/>
    <w:rsid w:val="00404DA1"/>
    <w:rsid w:val="00407E99"/>
    <w:rsid w:val="00415BAB"/>
    <w:rsid w:val="00415ED2"/>
    <w:rsid w:val="00416B74"/>
    <w:rsid w:val="0042068C"/>
    <w:rsid w:val="00426523"/>
    <w:rsid w:val="00433F0D"/>
    <w:rsid w:val="0044048C"/>
    <w:rsid w:val="00441C4E"/>
    <w:rsid w:val="00443D9A"/>
    <w:rsid w:val="004551B3"/>
    <w:rsid w:val="0046176B"/>
    <w:rsid w:val="00462C4F"/>
    <w:rsid w:val="00463F18"/>
    <w:rsid w:val="0047122B"/>
    <w:rsid w:val="00473B7A"/>
    <w:rsid w:val="00495A52"/>
    <w:rsid w:val="004960E9"/>
    <w:rsid w:val="004A2E88"/>
    <w:rsid w:val="004A5305"/>
    <w:rsid w:val="004C4E22"/>
    <w:rsid w:val="004C68BE"/>
    <w:rsid w:val="004C6E21"/>
    <w:rsid w:val="004D19FA"/>
    <w:rsid w:val="004D249B"/>
    <w:rsid w:val="004D7634"/>
    <w:rsid w:val="004E45FB"/>
    <w:rsid w:val="0050015E"/>
    <w:rsid w:val="00515932"/>
    <w:rsid w:val="005300D3"/>
    <w:rsid w:val="00535B16"/>
    <w:rsid w:val="00536323"/>
    <w:rsid w:val="00544F82"/>
    <w:rsid w:val="00553031"/>
    <w:rsid w:val="005544E8"/>
    <w:rsid w:val="00554FFF"/>
    <w:rsid w:val="00562E64"/>
    <w:rsid w:val="00563D5D"/>
    <w:rsid w:val="00582930"/>
    <w:rsid w:val="00585DB3"/>
    <w:rsid w:val="00587C89"/>
    <w:rsid w:val="00593C4F"/>
    <w:rsid w:val="005946A8"/>
    <w:rsid w:val="0059774E"/>
    <w:rsid w:val="005A05AA"/>
    <w:rsid w:val="005A4407"/>
    <w:rsid w:val="005A59EF"/>
    <w:rsid w:val="005A60DF"/>
    <w:rsid w:val="005B5E40"/>
    <w:rsid w:val="005C10C0"/>
    <w:rsid w:val="005C41AF"/>
    <w:rsid w:val="005C6868"/>
    <w:rsid w:val="005D0821"/>
    <w:rsid w:val="005D2852"/>
    <w:rsid w:val="005D7696"/>
    <w:rsid w:val="005D77A0"/>
    <w:rsid w:val="005E035F"/>
    <w:rsid w:val="005E260A"/>
    <w:rsid w:val="005E44A9"/>
    <w:rsid w:val="005F5F07"/>
    <w:rsid w:val="005F6F41"/>
    <w:rsid w:val="006005E4"/>
    <w:rsid w:val="00621590"/>
    <w:rsid w:val="00623051"/>
    <w:rsid w:val="00625DC6"/>
    <w:rsid w:val="006269FA"/>
    <w:rsid w:val="00631E8F"/>
    <w:rsid w:val="006428EC"/>
    <w:rsid w:val="0064391D"/>
    <w:rsid w:val="00643D49"/>
    <w:rsid w:val="0064486D"/>
    <w:rsid w:val="006508DD"/>
    <w:rsid w:val="00651821"/>
    <w:rsid w:val="00654384"/>
    <w:rsid w:val="00655051"/>
    <w:rsid w:val="00663D4F"/>
    <w:rsid w:val="0066559C"/>
    <w:rsid w:val="006672F7"/>
    <w:rsid w:val="006675CD"/>
    <w:rsid w:val="00684D9B"/>
    <w:rsid w:val="00697556"/>
    <w:rsid w:val="006A01FE"/>
    <w:rsid w:val="006B1C64"/>
    <w:rsid w:val="006B4647"/>
    <w:rsid w:val="006B4C2B"/>
    <w:rsid w:val="006B6D47"/>
    <w:rsid w:val="006C2F36"/>
    <w:rsid w:val="006C5AFE"/>
    <w:rsid w:val="006C709E"/>
    <w:rsid w:val="006F3BDC"/>
    <w:rsid w:val="006F58C5"/>
    <w:rsid w:val="006F6D95"/>
    <w:rsid w:val="006F7765"/>
    <w:rsid w:val="007009B9"/>
    <w:rsid w:val="00702FC2"/>
    <w:rsid w:val="00706F13"/>
    <w:rsid w:val="007072E8"/>
    <w:rsid w:val="0071618D"/>
    <w:rsid w:val="007258D0"/>
    <w:rsid w:val="00725FA4"/>
    <w:rsid w:val="00730825"/>
    <w:rsid w:val="00730C9E"/>
    <w:rsid w:val="00732179"/>
    <w:rsid w:val="00733551"/>
    <w:rsid w:val="00740446"/>
    <w:rsid w:val="0074082F"/>
    <w:rsid w:val="00741BCB"/>
    <w:rsid w:val="007438A9"/>
    <w:rsid w:val="00744756"/>
    <w:rsid w:val="0074491E"/>
    <w:rsid w:val="00752A24"/>
    <w:rsid w:val="00755165"/>
    <w:rsid w:val="00757F03"/>
    <w:rsid w:val="0076247A"/>
    <w:rsid w:val="00772807"/>
    <w:rsid w:val="00772DA8"/>
    <w:rsid w:val="00775964"/>
    <w:rsid w:val="007765FE"/>
    <w:rsid w:val="0078760A"/>
    <w:rsid w:val="00795BFB"/>
    <w:rsid w:val="00797093"/>
    <w:rsid w:val="007B2760"/>
    <w:rsid w:val="007B79FC"/>
    <w:rsid w:val="007D1EE9"/>
    <w:rsid w:val="007E1F80"/>
    <w:rsid w:val="007F1A26"/>
    <w:rsid w:val="007F732E"/>
    <w:rsid w:val="00800BA6"/>
    <w:rsid w:val="00806C01"/>
    <w:rsid w:val="008112E8"/>
    <w:rsid w:val="0081331D"/>
    <w:rsid w:val="008148CC"/>
    <w:rsid w:val="00815524"/>
    <w:rsid w:val="008211A4"/>
    <w:rsid w:val="0082349C"/>
    <w:rsid w:val="00823A07"/>
    <w:rsid w:val="00826103"/>
    <w:rsid w:val="00827924"/>
    <w:rsid w:val="008348CB"/>
    <w:rsid w:val="00837B9A"/>
    <w:rsid w:val="00845328"/>
    <w:rsid w:val="00846EDC"/>
    <w:rsid w:val="008525BA"/>
    <w:rsid w:val="00854C37"/>
    <w:rsid w:val="0085706C"/>
    <w:rsid w:val="008712A7"/>
    <w:rsid w:val="00872D82"/>
    <w:rsid w:val="00873150"/>
    <w:rsid w:val="0087657D"/>
    <w:rsid w:val="00877EC8"/>
    <w:rsid w:val="008807D5"/>
    <w:rsid w:val="00880832"/>
    <w:rsid w:val="00881F75"/>
    <w:rsid w:val="00882263"/>
    <w:rsid w:val="00884808"/>
    <w:rsid w:val="00886EE1"/>
    <w:rsid w:val="0088727D"/>
    <w:rsid w:val="008910CC"/>
    <w:rsid w:val="00897C75"/>
    <w:rsid w:val="00897DD2"/>
    <w:rsid w:val="008B649F"/>
    <w:rsid w:val="008C1130"/>
    <w:rsid w:val="008C2EDE"/>
    <w:rsid w:val="008D18E6"/>
    <w:rsid w:val="008D6573"/>
    <w:rsid w:val="008D74F5"/>
    <w:rsid w:val="008D7A9B"/>
    <w:rsid w:val="008E61CB"/>
    <w:rsid w:val="008E76AC"/>
    <w:rsid w:val="008F21F6"/>
    <w:rsid w:val="008F3972"/>
    <w:rsid w:val="009152F4"/>
    <w:rsid w:val="0092279E"/>
    <w:rsid w:val="00937565"/>
    <w:rsid w:val="009429E7"/>
    <w:rsid w:val="00945A3C"/>
    <w:rsid w:val="00951F79"/>
    <w:rsid w:val="0095363B"/>
    <w:rsid w:val="00967121"/>
    <w:rsid w:val="00967DCA"/>
    <w:rsid w:val="00974AB5"/>
    <w:rsid w:val="00975ABF"/>
    <w:rsid w:val="0098346B"/>
    <w:rsid w:val="0098706D"/>
    <w:rsid w:val="009935FB"/>
    <w:rsid w:val="00994981"/>
    <w:rsid w:val="009A7090"/>
    <w:rsid w:val="009B2CA8"/>
    <w:rsid w:val="009C2EEC"/>
    <w:rsid w:val="009C6488"/>
    <w:rsid w:val="009D63A2"/>
    <w:rsid w:val="009E11C8"/>
    <w:rsid w:val="009E2F5E"/>
    <w:rsid w:val="009F3140"/>
    <w:rsid w:val="009F4A54"/>
    <w:rsid w:val="009F4BEC"/>
    <w:rsid w:val="00A0795F"/>
    <w:rsid w:val="00A209C6"/>
    <w:rsid w:val="00A21A33"/>
    <w:rsid w:val="00A23A1B"/>
    <w:rsid w:val="00A25FD7"/>
    <w:rsid w:val="00A32981"/>
    <w:rsid w:val="00A3618A"/>
    <w:rsid w:val="00A43AFF"/>
    <w:rsid w:val="00A5654C"/>
    <w:rsid w:val="00A7793A"/>
    <w:rsid w:val="00A979C0"/>
    <w:rsid w:val="00AA44A7"/>
    <w:rsid w:val="00AA4CC7"/>
    <w:rsid w:val="00AA5E8E"/>
    <w:rsid w:val="00AA7BF1"/>
    <w:rsid w:val="00AB0D35"/>
    <w:rsid w:val="00AB6CA7"/>
    <w:rsid w:val="00AD01E4"/>
    <w:rsid w:val="00AD0858"/>
    <w:rsid w:val="00AE556C"/>
    <w:rsid w:val="00AE5C1B"/>
    <w:rsid w:val="00AE7206"/>
    <w:rsid w:val="00AE7340"/>
    <w:rsid w:val="00AF1BBD"/>
    <w:rsid w:val="00B01B3D"/>
    <w:rsid w:val="00B026AE"/>
    <w:rsid w:val="00B03641"/>
    <w:rsid w:val="00B101D3"/>
    <w:rsid w:val="00B10207"/>
    <w:rsid w:val="00B12F10"/>
    <w:rsid w:val="00B141E7"/>
    <w:rsid w:val="00B321AB"/>
    <w:rsid w:val="00B351B4"/>
    <w:rsid w:val="00B46BCA"/>
    <w:rsid w:val="00B522C2"/>
    <w:rsid w:val="00B526A3"/>
    <w:rsid w:val="00B540E0"/>
    <w:rsid w:val="00B56A16"/>
    <w:rsid w:val="00B70047"/>
    <w:rsid w:val="00B74F1F"/>
    <w:rsid w:val="00B75ED9"/>
    <w:rsid w:val="00B87806"/>
    <w:rsid w:val="00B87EC9"/>
    <w:rsid w:val="00B92BC9"/>
    <w:rsid w:val="00B92EAC"/>
    <w:rsid w:val="00B96FD6"/>
    <w:rsid w:val="00BA3D38"/>
    <w:rsid w:val="00BB05BB"/>
    <w:rsid w:val="00BB0F85"/>
    <w:rsid w:val="00BC38FD"/>
    <w:rsid w:val="00BC6523"/>
    <w:rsid w:val="00BD2C06"/>
    <w:rsid w:val="00BD3110"/>
    <w:rsid w:val="00BD3267"/>
    <w:rsid w:val="00BD3E8F"/>
    <w:rsid w:val="00BD7F14"/>
    <w:rsid w:val="00BE3F19"/>
    <w:rsid w:val="00BF0F62"/>
    <w:rsid w:val="00BF35DB"/>
    <w:rsid w:val="00BF4008"/>
    <w:rsid w:val="00C03071"/>
    <w:rsid w:val="00C034CB"/>
    <w:rsid w:val="00C051A8"/>
    <w:rsid w:val="00C054BC"/>
    <w:rsid w:val="00C11B83"/>
    <w:rsid w:val="00C122C4"/>
    <w:rsid w:val="00C17897"/>
    <w:rsid w:val="00C26A05"/>
    <w:rsid w:val="00C350E9"/>
    <w:rsid w:val="00C35B2B"/>
    <w:rsid w:val="00C379EF"/>
    <w:rsid w:val="00C409D5"/>
    <w:rsid w:val="00C424BA"/>
    <w:rsid w:val="00C435C3"/>
    <w:rsid w:val="00C6234B"/>
    <w:rsid w:val="00C63EAE"/>
    <w:rsid w:val="00C663AF"/>
    <w:rsid w:val="00C7629F"/>
    <w:rsid w:val="00C8661B"/>
    <w:rsid w:val="00C92827"/>
    <w:rsid w:val="00CA139A"/>
    <w:rsid w:val="00CA2899"/>
    <w:rsid w:val="00CA3A3D"/>
    <w:rsid w:val="00CA65DB"/>
    <w:rsid w:val="00CA77FB"/>
    <w:rsid w:val="00CB2ABA"/>
    <w:rsid w:val="00CB379B"/>
    <w:rsid w:val="00CB4ACB"/>
    <w:rsid w:val="00CB5DD0"/>
    <w:rsid w:val="00CC0B0B"/>
    <w:rsid w:val="00CC51D4"/>
    <w:rsid w:val="00CC65DA"/>
    <w:rsid w:val="00CD75E7"/>
    <w:rsid w:val="00CE21E3"/>
    <w:rsid w:val="00CE5A69"/>
    <w:rsid w:val="00CF21B9"/>
    <w:rsid w:val="00CF6BF9"/>
    <w:rsid w:val="00D0082F"/>
    <w:rsid w:val="00D01F0A"/>
    <w:rsid w:val="00D023FB"/>
    <w:rsid w:val="00D036CD"/>
    <w:rsid w:val="00D03800"/>
    <w:rsid w:val="00D03E47"/>
    <w:rsid w:val="00D065D3"/>
    <w:rsid w:val="00D11963"/>
    <w:rsid w:val="00D14C94"/>
    <w:rsid w:val="00D166A0"/>
    <w:rsid w:val="00D27114"/>
    <w:rsid w:val="00D313EC"/>
    <w:rsid w:val="00D342A6"/>
    <w:rsid w:val="00D36398"/>
    <w:rsid w:val="00D464BF"/>
    <w:rsid w:val="00D538D5"/>
    <w:rsid w:val="00D53E26"/>
    <w:rsid w:val="00D607B1"/>
    <w:rsid w:val="00D840AC"/>
    <w:rsid w:val="00D918F3"/>
    <w:rsid w:val="00DA3D58"/>
    <w:rsid w:val="00DC6D93"/>
    <w:rsid w:val="00DD0535"/>
    <w:rsid w:val="00DD1A96"/>
    <w:rsid w:val="00DD3CE8"/>
    <w:rsid w:val="00DD4F0E"/>
    <w:rsid w:val="00DE4017"/>
    <w:rsid w:val="00DE41B5"/>
    <w:rsid w:val="00DE756A"/>
    <w:rsid w:val="00DF05A3"/>
    <w:rsid w:val="00DF070D"/>
    <w:rsid w:val="00DF0BF0"/>
    <w:rsid w:val="00E0158D"/>
    <w:rsid w:val="00E05E0A"/>
    <w:rsid w:val="00E10E43"/>
    <w:rsid w:val="00E15224"/>
    <w:rsid w:val="00E233B4"/>
    <w:rsid w:val="00E330DE"/>
    <w:rsid w:val="00E333F7"/>
    <w:rsid w:val="00E40E17"/>
    <w:rsid w:val="00E41DFD"/>
    <w:rsid w:val="00E436A8"/>
    <w:rsid w:val="00E45E25"/>
    <w:rsid w:val="00E51E38"/>
    <w:rsid w:val="00E523CE"/>
    <w:rsid w:val="00E534CF"/>
    <w:rsid w:val="00E565C1"/>
    <w:rsid w:val="00E72C5E"/>
    <w:rsid w:val="00E81CB4"/>
    <w:rsid w:val="00E8585B"/>
    <w:rsid w:val="00E9006C"/>
    <w:rsid w:val="00E964AE"/>
    <w:rsid w:val="00EA3F15"/>
    <w:rsid w:val="00EA6C75"/>
    <w:rsid w:val="00EA7251"/>
    <w:rsid w:val="00EA7847"/>
    <w:rsid w:val="00EB4128"/>
    <w:rsid w:val="00EC6506"/>
    <w:rsid w:val="00ED6028"/>
    <w:rsid w:val="00EE0DCF"/>
    <w:rsid w:val="00EE2E6E"/>
    <w:rsid w:val="00F03154"/>
    <w:rsid w:val="00F0499E"/>
    <w:rsid w:val="00F04FA6"/>
    <w:rsid w:val="00F06BB2"/>
    <w:rsid w:val="00F0759E"/>
    <w:rsid w:val="00F22F1E"/>
    <w:rsid w:val="00F33A49"/>
    <w:rsid w:val="00F35523"/>
    <w:rsid w:val="00F4350B"/>
    <w:rsid w:val="00F5143E"/>
    <w:rsid w:val="00F7781C"/>
    <w:rsid w:val="00F821A3"/>
    <w:rsid w:val="00F828A9"/>
    <w:rsid w:val="00F843DB"/>
    <w:rsid w:val="00F9314A"/>
    <w:rsid w:val="00F9623D"/>
    <w:rsid w:val="00F969FC"/>
    <w:rsid w:val="00FB4372"/>
    <w:rsid w:val="00FC58EF"/>
    <w:rsid w:val="00FC6DA4"/>
    <w:rsid w:val="00FD1445"/>
    <w:rsid w:val="00FD33DF"/>
    <w:rsid w:val="00FD594D"/>
    <w:rsid w:val="00FD6206"/>
    <w:rsid w:val="00FE32F8"/>
    <w:rsid w:val="00FE39D7"/>
    <w:rsid w:val="00FF1CBF"/>
    <w:rsid w:val="00FF47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customStyle="1" w:styleId="xl26">
    <w:name w:val="xl26"/>
    <w:basedOn w:val="Normal"/>
    <w:rsid w:val="00316EB3"/>
    <w:pPr>
      <w:spacing w:before="100" w:beforeAutospacing="1" w:after="100" w:afterAutospacing="1"/>
      <w:ind w:left="0"/>
      <w:jc w:val="center"/>
    </w:pPr>
  </w:style>
  <w:style w:type="character" w:customStyle="1" w:styleId="PiedepginaCar">
    <w:name w:val="Pie de página Car"/>
    <w:link w:val="Piedepgina"/>
    <w:rsid w:val="00826103"/>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customStyle="1" w:styleId="xl26">
    <w:name w:val="xl26"/>
    <w:basedOn w:val="Normal"/>
    <w:rsid w:val="00316EB3"/>
    <w:pPr>
      <w:spacing w:before="100" w:beforeAutospacing="1" w:after="100" w:afterAutospacing="1"/>
      <w:ind w:left="0"/>
      <w:jc w:val="center"/>
    </w:pPr>
  </w:style>
  <w:style w:type="character" w:customStyle="1" w:styleId="PiedepginaCar">
    <w:name w:val="Pie de página Car"/>
    <w:link w:val="Piedepgina"/>
    <w:rsid w:val="0082610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420729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3622338">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8817069">
      <w:bodyDiv w:val="1"/>
      <w:marLeft w:val="0"/>
      <w:marRight w:val="0"/>
      <w:marTop w:val="0"/>
      <w:marBottom w:val="0"/>
      <w:divBdr>
        <w:top w:val="none" w:sz="0" w:space="0" w:color="auto"/>
        <w:left w:val="none" w:sz="0" w:space="0" w:color="auto"/>
        <w:bottom w:val="none" w:sz="0" w:space="0" w:color="auto"/>
        <w:right w:val="none" w:sz="0" w:space="0" w:color="auto"/>
      </w:divBdr>
    </w:div>
    <w:div w:id="176500479">
      <w:bodyDiv w:val="1"/>
      <w:marLeft w:val="0"/>
      <w:marRight w:val="0"/>
      <w:marTop w:val="0"/>
      <w:marBottom w:val="0"/>
      <w:divBdr>
        <w:top w:val="none" w:sz="0" w:space="0" w:color="auto"/>
        <w:left w:val="none" w:sz="0" w:space="0" w:color="auto"/>
        <w:bottom w:val="none" w:sz="0" w:space="0" w:color="auto"/>
        <w:right w:val="none" w:sz="0" w:space="0" w:color="auto"/>
      </w:divBdr>
    </w:div>
    <w:div w:id="20475502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9048428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7414047">
      <w:bodyDiv w:val="1"/>
      <w:marLeft w:val="0"/>
      <w:marRight w:val="0"/>
      <w:marTop w:val="0"/>
      <w:marBottom w:val="0"/>
      <w:divBdr>
        <w:top w:val="none" w:sz="0" w:space="0" w:color="auto"/>
        <w:left w:val="none" w:sz="0" w:space="0" w:color="auto"/>
        <w:bottom w:val="none" w:sz="0" w:space="0" w:color="auto"/>
        <w:right w:val="none" w:sz="0" w:space="0" w:color="auto"/>
      </w:divBdr>
    </w:div>
    <w:div w:id="457338990">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019734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88456540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442166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62979878">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215022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3732934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8EFC-2594-43E3-9B6D-8BD23E6B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1545</Words>
  <Characters>8108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2013-11-19T13:23:00Z</cp:lastPrinted>
  <dcterms:created xsi:type="dcterms:W3CDTF">2013-12-02T21:19:00Z</dcterms:created>
  <dcterms:modified xsi:type="dcterms:W3CDTF">2013-12-02T21:19:00Z</dcterms:modified>
</cp:coreProperties>
</file>