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C6" w:rsidRPr="00E060BE" w:rsidRDefault="007D0A61" w:rsidP="00012259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  <w:bookmarkStart w:id="0" w:name="_GoBack"/>
      <w:bookmarkEnd w:id="0"/>
      <w:r>
        <w:rPr>
          <w:rFonts w:ascii="Bookman Old Style" w:hAnsi="Bookman Old Style"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pt;margin-top:-53.35pt;width:52.5pt;height:48.75pt;z-index:251656704" fillcolor="#0c9">
            <v:imagedata r:id="rId9" o:title=""/>
          </v:shape>
          <o:OLEObject Type="Embed" ProgID="PBrush" ShapeID="_x0000_s1026" DrawAspect="Content" ObjectID="_1403013292" r:id="rId10"/>
        </w:pict>
      </w:r>
    </w:p>
    <w:p w:rsidR="00625DC6" w:rsidRPr="00E060BE" w:rsidRDefault="00625DC6" w:rsidP="00012259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</w:p>
    <w:p w:rsidR="00CA77FB" w:rsidRPr="00E060BE" w:rsidRDefault="00CA77FB" w:rsidP="00012259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noProof/>
          <w:sz w:val="24"/>
          <w:szCs w:val="24"/>
          <w:lang w:val="es-ES"/>
        </w:rPr>
      </w:pPr>
      <w:r w:rsidRPr="00E060BE">
        <w:rPr>
          <w:rFonts w:ascii="Bookman Old Style" w:hAnsi="Bookman Old Style"/>
          <w:b w:val="0"/>
          <w:bCs/>
          <w:sz w:val="24"/>
          <w:szCs w:val="24"/>
        </w:rPr>
        <w:t>Ministerio de Minas y Energía</w:t>
      </w:r>
    </w:p>
    <w:p w:rsidR="00CA77FB" w:rsidRPr="00E060BE" w:rsidRDefault="00CA77FB" w:rsidP="00012259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sz w:val="24"/>
          <w:szCs w:val="24"/>
        </w:rPr>
      </w:pPr>
    </w:p>
    <w:p w:rsidR="00CA77FB" w:rsidRPr="00E060BE" w:rsidRDefault="00CA77FB" w:rsidP="00012259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 w:cs="Arial"/>
          <w:spacing w:val="20"/>
          <w:szCs w:val="24"/>
        </w:rPr>
      </w:pPr>
      <w:r w:rsidRPr="00E060BE">
        <w:rPr>
          <w:rFonts w:ascii="Bookman Old Style" w:hAnsi="Bookman Old Style" w:cs="Arial"/>
          <w:spacing w:val="20"/>
          <w:szCs w:val="24"/>
        </w:rPr>
        <w:t>COMISIÓN DE REGULACIÓN DE ENERGÍA Y GAS</w:t>
      </w:r>
    </w:p>
    <w:p w:rsidR="00CA77FB" w:rsidRPr="00E060BE" w:rsidRDefault="00CA77FB" w:rsidP="00012259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:rsidR="00CA77FB" w:rsidRPr="00E060BE" w:rsidRDefault="00CA77FB" w:rsidP="00012259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:rsidR="00CA77FB" w:rsidRPr="00E060BE" w:rsidRDefault="00CA77FB" w:rsidP="00012259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  <w:r w:rsidRPr="00E060BE">
        <w:rPr>
          <w:rFonts w:ascii="Bookman Old Style" w:hAnsi="Bookman Old Style"/>
          <w:sz w:val="24"/>
          <w:szCs w:val="24"/>
        </w:rPr>
        <w:t xml:space="preserve">RESOLUCIÓN No. </w:t>
      </w:r>
      <w:r w:rsidR="00795BFB" w:rsidRPr="00E060BE">
        <w:rPr>
          <w:rFonts w:ascii="Bookman Old Style" w:hAnsi="Bookman Old Style"/>
          <w:sz w:val="24"/>
          <w:szCs w:val="24"/>
        </w:rPr>
        <w:t xml:space="preserve">                  </w:t>
      </w:r>
      <w:r w:rsidRPr="00E060BE">
        <w:rPr>
          <w:rFonts w:ascii="Bookman Old Style" w:hAnsi="Bookman Old Style"/>
          <w:sz w:val="24"/>
          <w:szCs w:val="24"/>
        </w:rPr>
        <w:t>DE 20</w:t>
      </w:r>
      <w:r w:rsidR="00795BFB" w:rsidRPr="00E060BE">
        <w:rPr>
          <w:rFonts w:ascii="Bookman Old Style" w:hAnsi="Bookman Old Style"/>
          <w:sz w:val="24"/>
          <w:szCs w:val="24"/>
        </w:rPr>
        <w:t>1</w:t>
      </w:r>
      <w:r w:rsidR="008E7091">
        <w:rPr>
          <w:rFonts w:ascii="Bookman Old Style" w:hAnsi="Bookman Old Style"/>
          <w:sz w:val="24"/>
          <w:szCs w:val="24"/>
        </w:rPr>
        <w:t>2</w:t>
      </w:r>
    </w:p>
    <w:p w:rsidR="00CA77FB" w:rsidRPr="00E060BE" w:rsidRDefault="00CA77FB" w:rsidP="00012259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 w:cs="Arial"/>
          <w:b/>
          <w:snapToGrid w:val="0"/>
          <w:color w:val="000000"/>
          <w:lang w:val="es-ES_tradnl"/>
        </w:rPr>
      </w:pPr>
    </w:p>
    <w:p w:rsidR="00CA77FB" w:rsidRPr="00E060BE" w:rsidRDefault="00CA77FB" w:rsidP="00012259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szCs w:val="24"/>
        </w:rPr>
      </w:pPr>
      <w:r w:rsidRPr="00E060BE">
        <w:rPr>
          <w:rFonts w:ascii="Bookman Old Style" w:hAnsi="Bookman Old Style"/>
          <w:b w:val="0"/>
          <w:szCs w:val="24"/>
        </w:rPr>
        <w:t>(                                  )</w:t>
      </w:r>
    </w:p>
    <w:p w:rsidR="00CA77FB" w:rsidRDefault="00CA77FB" w:rsidP="00012259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lang w:val="es-ES_tradnl"/>
        </w:rPr>
      </w:pPr>
    </w:p>
    <w:p w:rsidR="009E4187" w:rsidRDefault="009E4187" w:rsidP="00012259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lang w:val="es-ES_tradnl"/>
        </w:rPr>
      </w:pPr>
    </w:p>
    <w:p w:rsidR="00AD6E78" w:rsidRPr="00E060BE" w:rsidRDefault="00AD6E78" w:rsidP="00012259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lang w:val="es-ES_tradnl"/>
        </w:rPr>
      </w:pPr>
    </w:p>
    <w:p w:rsidR="004A7E12" w:rsidRDefault="00045D3D" w:rsidP="004A7E12">
      <w:pPr>
        <w:ind w:left="0"/>
        <w:jc w:val="both"/>
        <w:rPr>
          <w:rFonts w:ascii="Bookman Old Style" w:hAnsi="Bookman Old Style"/>
        </w:rPr>
      </w:pPr>
      <w:r w:rsidRPr="00C435C3">
        <w:rPr>
          <w:rFonts w:ascii="Bookman Old Style" w:hAnsi="Bookman Old Style"/>
        </w:rPr>
        <w:t xml:space="preserve">Por </w:t>
      </w:r>
      <w:r w:rsidR="00BA3CCB">
        <w:rPr>
          <w:rFonts w:ascii="Bookman Old Style" w:hAnsi="Bookman Old Style" w:cs="Arial"/>
          <w:color w:val="000000"/>
          <w:szCs w:val="27"/>
        </w:rPr>
        <w:t xml:space="preserve">la cual se </w:t>
      </w:r>
      <w:r w:rsidR="0056452F">
        <w:rPr>
          <w:rFonts w:ascii="Bookman Old Style" w:hAnsi="Bookman Old Style" w:cs="Arial"/>
          <w:color w:val="000000"/>
          <w:szCs w:val="27"/>
        </w:rPr>
        <w:t xml:space="preserve">amplía el </w:t>
      </w:r>
      <w:r w:rsidR="00336C3C">
        <w:rPr>
          <w:rFonts w:ascii="Bookman Old Style" w:hAnsi="Bookman Old Style" w:cs="Arial"/>
          <w:color w:val="000000"/>
          <w:szCs w:val="27"/>
        </w:rPr>
        <w:t>plazo para remitir obser</w:t>
      </w:r>
      <w:r w:rsidR="0056452F">
        <w:rPr>
          <w:rFonts w:ascii="Bookman Old Style" w:hAnsi="Bookman Old Style" w:cs="Arial"/>
          <w:color w:val="000000"/>
          <w:szCs w:val="27"/>
        </w:rPr>
        <w:t xml:space="preserve">vaciones </w:t>
      </w:r>
      <w:r w:rsidR="004A7E12">
        <w:rPr>
          <w:rFonts w:ascii="Bookman Old Style" w:hAnsi="Bookman Old Style" w:cs="Arial"/>
          <w:color w:val="000000"/>
          <w:szCs w:val="27"/>
        </w:rPr>
        <w:t xml:space="preserve">y sugerencias </w:t>
      </w:r>
      <w:r w:rsidR="0056452F">
        <w:rPr>
          <w:rFonts w:ascii="Bookman Old Style" w:hAnsi="Bookman Old Style" w:cs="Arial"/>
          <w:color w:val="000000"/>
          <w:szCs w:val="27"/>
        </w:rPr>
        <w:t>a</w:t>
      </w:r>
      <w:r w:rsidR="004A7E12">
        <w:rPr>
          <w:rFonts w:ascii="Bookman Old Style" w:hAnsi="Bookman Old Style" w:cs="Arial"/>
          <w:color w:val="000000"/>
          <w:szCs w:val="27"/>
        </w:rPr>
        <w:t>l proyecto de resolución</w:t>
      </w:r>
      <w:r w:rsidR="0056452F">
        <w:rPr>
          <w:rFonts w:ascii="Bookman Old Style" w:hAnsi="Bookman Old Style" w:cs="Arial"/>
          <w:color w:val="000000"/>
          <w:szCs w:val="27"/>
        </w:rPr>
        <w:t xml:space="preserve"> </w:t>
      </w:r>
      <w:r w:rsidR="004A7E12">
        <w:rPr>
          <w:rFonts w:ascii="Bookman Old Style" w:hAnsi="Bookman Old Style" w:cs="Arial"/>
        </w:rPr>
        <w:t>“Por la cual se establecen los criterios de confiabilidad, se fijan las reglas para la evaluación y la remuneración de los proyectos de inversión en confiabilidad del servicio público de gas natural</w:t>
      </w:r>
      <w:r w:rsidR="004A7E12">
        <w:rPr>
          <w:rFonts w:ascii="Bookman Old Style" w:hAnsi="Bookman Old Style"/>
        </w:rPr>
        <w:t xml:space="preserve">”. </w:t>
      </w:r>
    </w:p>
    <w:p w:rsidR="00BA3CCB" w:rsidRPr="00536791" w:rsidRDefault="00BA3CCB" w:rsidP="00BA3CCB">
      <w:pPr>
        <w:ind w:left="0"/>
        <w:jc w:val="center"/>
        <w:rPr>
          <w:rFonts w:ascii="Bookman Old Style" w:hAnsi="Bookman Old Style"/>
        </w:rPr>
      </w:pPr>
    </w:p>
    <w:p w:rsidR="009E4187" w:rsidRDefault="009E4187" w:rsidP="00045D3D">
      <w:pPr>
        <w:ind w:right="51"/>
        <w:jc w:val="center"/>
        <w:rPr>
          <w:rFonts w:ascii="Bookman Old Style" w:hAnsi="Bookman Old Style"/>
        </w:rPr>
      </w:pPr>
    </w:p>
    <w:p w:rsidR="009E4187" w:rsidRDefault="009E4187" w:rsidP="00045D3D">
      <w:pPr>
        <w:ind w:right="51"/>
        <w:jc w:val="center"/>
        <w:rPr>
          <w:rFonts w:ascii="Bookman Old Style" w:hAnsi="Bookman Old Style"/>
        </w:rPr>
      </w:pPr>
    </w:p>
    <w:p w:rsidR="00045D3D" w:rsidRPr="00C435C3" w:rsidRDefault="00045D3D" w:rsidP="00045D3D">
      <w:pPr>
        <w:ind w:right="51"/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>LA COMISIÓN DE REGULACIÓN DE  ENERGÍA Y GAS</w:t>
      </w:r>
    </w:p>
    <w:p w:rsidR="00045D3D" w:rsidRDefault="00045D3D" w:rsidP="00045D3D">
      <w:pPr>
        <w:ind w:left="0" w:right="51"/>
        <w:rPr>
          <w:rFonts w:ascii="Bookman Old Style" w:hAnsi="Bookman Old Style"/>
        </w:rPr>
      </w:pPr>
    </w:p>
    <w:p w:rsidR="009E4187" w:rsidRPr="00C435C3" w:rsidRDefault="009E4187" w:rsidP="00045D3D">
      <w:pPr>
        <w:ind w:left="0" w:right="51"/>
        <w:rPr>
          <w:rFonts w:ascii="Bookman Old Style" w:hAnsi="Bookman Old Style"/>
        </w:rPr>
      </w:pPr>
    </w:p>
    <w:p w:rsidR="00045D3D" w:rsidRPr="00C435C3" w:rsidRDefault="00045D3D" w:rsidP="00045D3D">
      <w:pPr>
        <w:ind w:left="0" w:right="51"/>
        <w:rPr>
          <w:rFonts w:ascii="Bookman Old Style" w:hAnsi="Bookman Old Style"/>
        </w:rPr>
      </w:pPr>
    </w:p>
    <w:p w:rsidR="00045D3D" w:rsidRPr="00C435C3" w:rsidRDefault="00045D3D" w:rsidP="00045D3D">
      <w:pPr>
        <w:pStyle w:val="Textoindependiente3"/>
        <w:ind w:left="0"/>
        <w:rPr>
          <w:rFonts w:ascii="Bookman Old Style" w:hAnsi="Bookman Old Style"/>
          <w:b w:val="0"/>
        </w:rPr>
      </w:pPr>
      <w:r w:rsidRPr="00C435C3">
        <w:rPr>
          <w:rFonts w:ascii="Bookman Old Style" w:hAnsi="Bookman Old Style"/>
          <w:b w:val="0"/>
        </w:rPr>
        <w:t>En ejercicio de sus atribuciones constitucionales y legales, en especial las conferidas por la Ley 142 de 1994, y en desarrollo de los Decretos 1524 y 2253 de 1994.</w:t>
      </w:r>
    </w:p>
    <w:p w:rsidR="00045D3D" w:rsidRDefault="00045D3D" w:rsidP="00045D3D">
      <w:pPr>
        <w:ind w:right="51"/>
        <w:rPr>
          <w:rFonts w:ascii="Bookman Old Style" w:hAnsi="Bookman Old Style"/>
        </w:rPr>
      </w:pPr>
    </w:p>
    <w:p w:rsidR="00045D3D" w:rsidRDefault="00045D3D" w:rsidP="00045D3D">
      <w:pPr>
        <w:ind w:right="51"/>
        <w:rPr>
          <w:rFonts w:ascii="Bookman Old Style" w:hAnsi="Bookman Old Style"/>
        </w:rPr>
      </w:pPr>
    </w:p>
    <w:p w:rsidR="00045D3D" w:rsidRPr="00C435C3" w:rsidRDefault="00045D3D" w:rsidP="00045D3D">
      <w:pPr>
        <w:ind w:right="51"/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>C O N S I D E R A N D O</w:t>
      </w:r>
      <w:r>
        <w:rPr>
          <w:rFonts w:ascii="Bookman Old Style" w:hAnsi="Bookman Old Style"/>
          <w:b/>
        </w:rPr>
        <w:t xml:space="preserve">  Q U E</w:t>
      </w:r>
      <w:r w:rsidRPr="00C435C3">
        <w:rPr>
          <w:rFonts w:ascii="Bookman Old Style" w:hAnsi="Bookman Old Style"/>
          <w:b/>
        </w:rPr>
        <w:t>:</w:t>
      </w:r>
    </w:p>
    <w:p w:rsidR="00045D3D" w:rsidRPr="00C435C3" w:rsidRDefault="00045D3D" w:rsidP="00045D3D">
      <w:pPr>
        <w:ind w:right="51"/>
        <w:jc w:val="center"/>
        <w:rPr>
          <w:rFonts w:ascii="Bookman Old Style" w:hAnsi="Bookman Old Style"/>
          <w:b/>
        </w:rPr>
      </w:pPr>
    </w:p>
    <w:p w:rsidR="009E4187" w:rsidRDefault="009E4187" w:rsidP="00045D3D">
      <w:pPr>
        <w:ind w:left="0"/>
        <w:jc w:val="both"/>
        <w:rPr>
          <w:rFonts w:ascii="Bookman Old Style" w:hAnsi="Bookman Old Style"/>
        </w:rPr>
      </w:pPr>
    </w:p>
    <w:p w:rsidR="003D3085" w:rsidRDefault="00336C3C" w:rsidP="003D3085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 </w:t>
      </w:r>
      <w:r w:rsidR="00FF50E5">
        <w:rPr>
          <w:rFonts w:ascii="Bookman Old Style" w:hAnsi="Bookman Old Style"/>
        </w:rPr>
        <w:t>Comisión de Regulación de Energía y Gas publicó la Resolución CREG 0</w:t>
      </w:r>
      <w:r w:rsidR="003D3085">
        <w:rPr>
          <w:rFonts w:ascii="Bookman Old Style" w:hAnsi="Bookman Old Style"/>
        </w:rPr>
        <w:t>54</w:t>
      </w:r>
      <w:r w:rsidR="00FF50E5">
        <w:rPr>
          <w:rFonts w:ascii="Bookman Old Style" w:hAnsi="Bookman Old Style"/>
        </w:rPr>
        <w:t xml:space="preserve"> de 2012 </w:t>
      </w:r>
      <w:r w:rsidR="00FF50E5">
        <w:rPr>
          <w:rFonts w:ascii="Bookman Old Style" w:hAnsi="Bookman Old Style" w:cs="Arial"/>
          <w:color w:val="000000"/>
          <w:szCs w:val="27"/>
        </w:rPr>
        <w:t>“</w:t>
      </w:r>
      <w:r w:rsidR="003D3085">
        <w:rPr>
          <w:rFonts w:ascii="Bookman Old Style" w:hAnsi="Bookman Old Style" w:cs="Arial"/>
        </w:rPr>
        <w:t>Por la cual se ordena hacer público un proyecto de resolución de carácter general “Por la cual se establecen los criterios de confiabilidad, se fijan las reglas para la evaluación y la remuneración de los proyectos de inversión en confiabilidad del servicio público de gas natural</w:t>
      </w:r>
      <w:r w:rsidR="003D3085">
        <w:rPr>
          <w:rFonts w:ascii="Bookman Old Style" w:hAnsi="Bookman Old Style"/>
        </w:rPr>
        <w:t xml:space="preserve">”. </w:t>
      </w:r>
    </w:p>
    <w:p w:rsidR="00336C3C" w:rsidRDefault="00336C3C" w:rsidP="00045D3D">
      <w:pPr>
        <w:ind w:left="0"/>
        <w:jc w:val="both"/>
        <w:rPr>
          <w:rFonts w:ascii="Bookman Old Style" w:hAnsi="Bookman Old Style"/>
        </w:rPr>
      </w:pPr>
    </w:p>
    <w:p w:rsidR="00C02582" w:rsidRDefault="00B44499" w:rsidP="00045D3D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 </w:t>
      </w:r>
      <w:r w:rsidR="009E4187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esolución conced</w:t>
      </w:r>
      <w:r w:rsidR="00F879A6">
        <w:rPr>
          <w:rFonts w:ascii="Bookman Old Style" w:hAnsi="Bookman Old Style"/>
        </w:rPr>
        <w:t>ió</w:t>
      </w:r>
      <w:r>
        <w:rPr>
          <w:rFonts w:ascii="Bookman Old Style" w:hAnsi="Bookman Old Style"/>
        </w:rPr>
        <w:t xml:space="preserve"> un plazo de veinte días calendario</w:t>
      </w:r>
      <w:r w:rsidR="00C02582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contados a partir de la publicación </w:t>
      </w:r>
      <w:r w:rsidR="007B2638">
        <w:rPr>
          <w:rFonts w:ascii="Bookman Old Style" w:hAnsi="Bookman Old Style"/>
        </w:rPr>
        <w:t>en la página web de la Comisión</w:t>
      </w:r>
      <w:r w:rsidR="00C02582">
        <w:rPr>
          <w:rFonts w:ascii="Bookman Old Style" w:hAnsi="Bookman Old Style"/>
        </w:rPr>
        <w:t>,</w:t>
      </w:r>
      <w:r w:rsidR="007B2638">
        <w:rPr>
          <w:rFonts w:ascii="Bookman Old Style" w:hAnsi="Bookman Old Style"/>
        </w:rPr>
        <w:t xml:space="preserve"> para remitir comentarios</w:t>
      </w:r>
      <w:r w:rsidR="009E4187">
        <w:rPr>
          <w:rFonts w:ascii="Bookman Old Style" w:hAnsi="Bookman Old Style"/>
        </w:rPr>
        <w:t>.</w:t>
      </w:r>
    </w:p>
    <w:p w:rsidR="00C02582" w:rsidRDefault="00C02582" w:rsidP="00045D3D">
      <w:pPr>
        <w:ind w:left="0"/>
        <w:jc w:val="both"/>
        <w:rPr>
          <w:rFonts w:ascii="Bookman Old Style" w:hAnsi="Bookman Old Style"/>
        </w:rPr>
      </w:pPr>
    </w:p>
    <w:p w:rsidR="00336C3C" w:rsidRDefault="00FF50E5" w:rsidP="00045D3D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 recibieron solicitudes de</w:t>
      </w:r>
      <w:r w:rsidR="00DB368B">
        <w:rPr>
          <w:rFonts w:ascii="Bookman Old Style" w:hAnsi="Bookman Old Style"/>
        </w:rPr>
        <w:t xml:space="preserve"> las siguientes empresas y gremios:</w:t>
      </w:r>
      <w:r>
        <w:rPr>
          <w:rFonts w:ascii="Bookman Old Style" w:hAnsi="Bookman Old Style"/>
        </w:rPr>
        <w:t xml:space="preserve"> </w:t>
      </w:r>
      <w:r w:rsidR="00452428">
        <w:rPr>
          <w:rFonts w:ascii="Bookman Old Style" w:hAnsi="Bookman Old Style"/>
        </w:rPr>
        <w:t>CORPORACIÓN SOLUCIONES ENERGÉ</w:t>
      </w:r>
      <w:r w:rsidR="00DB368B" w:rsidRPr="00DB368B">
        <w:rPr>
          <w:rFonts w:ascii="Bookman Old Style" w:hAnsi="Bookman Old Style"/>
        </w:rPr>
        <w:t>TICAS</w:t>
      </w:r>
      <w:r w:rsidR="00463FDB">
        <w:rPr>
          <w:rFonts w:ascii="Bookman Old Style" w:hAnsi="Bookman Old Style"/>
        </w:rPr>
        <w:t xml:space="preserve"> INTEGRALES S.A. -CO-SENIT S.A.-</w:t>
      </w:r>
      <w:r w:rsidR="00DB368B">
        <w:rPr>
          <w:rFonts w:ascii="Bookman Old Style" w:hAnsi="Bookman Old Style"/>
        </w:rPr>
        <w:t>(</w:t>
      </w:r>
      <w:r w:rsidR="00DB368B" w:rsidRPr="00DB368B">
        <w:rPr>
          <w:rFonts w:ascii="Bookman Old Style" w:hAnsi="Bookman Old Style"/>
        </w:rPr>
        <w:t>E-2012-006054</w:t>
      </w:r>
      <w:r w:rsidR="00DB368B">
        <w:rPr>
          <w:rFonts w:ascii="Bookman Old Style" w:hAnsi="Bookman Old Style"/>
        </w:rPr>
        <w:t xml:space="preserve">), </w:t>
      </w:r>
      <w:r w:rsidR="00DB368B" w:rsidRPr="00DB368B">
        <w:rPr>
          <w:rFonts w:ascii="Bookman Old Style" w:hAnsi="Bookman Old Style"/>
        </w:rPr>
        <w:t>EMPRESAS P</w:t>
      </w:r>
      <w:r w:rsidR="00452428">
        <w:rPr>
          <w:rFonts w:ascii="Bookman Old Style" w:hAnsi="Bookman Old Style"/>
        </w:rPr>
        <w:t>Ú</w:t>
      </w:r>
      <w:r w:rsidR="00DB368B" w:rsidRPr="00DB368B">
        <w:rPr>
          <w:rFonts w:ascii="Bookman Old Style" w:hAnsi="Bookman Old Style"/>
        </w:rPr>
        <w:t>BLICAS DE MEDELL</w:t>
      </w:r>
      <w:r w:rsidR="00452428">
        <w:rPr>
          <w:rFonts w:ascii="Bookman Old Style" w:hAnsi="Bookman Old Style"/>
        </w:rPr>
        <w:t>Í</w:t>
      </w:r>
      <w:r w:rsidR="00DB368B" w:rsidRPr="00DB368B">
        <w:rPr>
          <w:rFonts w:ascii="Bookman Old Style" w:hAnsi="Bookman Old Style"/>
        </w:rPr>
        <w:t>N E.S.P. -EEPP DE MEDELL</w:t>
      </w:r>
      <w:r w:rsidR="00452428">
        <w:rPr>
          <w:rFonts w:ascii="Bookman Old Style" w:hAnsi="Bookman Old Style"/>
        </w:rPr>
        <w:t>Í</w:t>
      </w:r>
      <w:r w:rsidR="00DB368B" w:rsidRPr="00DB368B">
        <w:rPr>
          <w:rFonts w:ascii="Bookman Old Style" w:hAnsi="Bookman Old Style"/>
        </w:rPr>
        <w:t>N-</w:t>
      </w:r>
      <w:r w:rsidR="00DB368B">
        <w:rPr>
          <w:rFonts w:ascii="Bookman Old Style" w:hAnsi="Bookman Old Style"/>
        </w:rPr>
        <w:t xml:space="preserve"> (</w:t>
      </w:r>
      <w:r w:rsidR="00DB368B" w:rsidRPr="00DB368B">
        <w:rPr>
          <w:rFonts w:ascii="Bookman Old Style" w:hAnsi="Bookman Old Style"/>
        </w:rPr>
        <w:t>E-2012-006070</w:t>
      </w:r>
      <w:r w:rsidR="00DB368B">
        <w:rPr>
          <w:rFonts w:ascii="Bookman Old Style" w:hAnsi="Bookman Old Style"/>
        </w:rPr>
        <w:t xml:space="preserve">), </w:t>
      </w:r>
      <w:r w:rsidR="00DB368B" w:rsidRPr="00DB368B">
        <w:rPr>
          <w:rFonts w:ascii="Bookman Old Style" w:hAnsi="Bookman Old Style"/>
        </w:rPr>
        <w:t>ASOCIACION COLOMBIANA DEL PETROLEO</w:t>
      </w:r>
      <w:r w:rsidR="00DB368B">
        <w:rPr>
          <w:rFonts w:ascii="Bookman Old Style" w:hAnsi="Bookman Old Style"/>
        </w:rPr>
        <w:t xml:space="preserve"> </w:t>
      </w:r>
      <w:r w:rsidR="00463FDB">
        <w:rPr>
          <w:rFonts w:ascii="Bookman Old Style" w:hAnsi="Bookman Old Style"/>
        </w:rPr>
        <w:t xml:space="preserve">-ACP- </w:t>
      </w:r>
      <w:r w:rsidR="00DB368B">
        <w:rPr>
          <w:rFonts w:ascii="Bookman Old Style" w:hAnsi="Bookman Old Style"/>
        </w:rPr>
        <w:t>(</w:t>
      </w:r>
      <w:r w:rsidR="00DB368B" w:rsidRPr="00DB368B">
        <w:rPr>
          <w:rFonts w:ascii="Bookman Old Style" w:hAnsi="Bookman Old Style"/>
        </w:rPr>
        <w:t>E-2012-006075</w:t>
      </w:r>
      <w:r w:rsidR="00DB368B">
        <w:rPr>
          <w:rFonts w:ascii="Bookman Old Style" w:hAnsi="Bookman Old Style"/>
        </w:rPr>
        <w:t xml:space="preserve">), </w:t>
      </w:r>
      <w:r w:rsidR="00DB368B" w:rsidRPr="00DB368B">
        <w:rPr>
          <w:rFonts w:ascii="Bookman Old Style" w:hAnsi="Bookman Old Style"/>
        </w:rPr>
        <w:t>CERRITO CAPITAL S.A.</w:t>
      </w:r>
      <w:r w:rsidR="00DB368B">
        <w:rPr>
          <w:rFonts w:ascii="Bookman Old Style" w:hAnsi="Bookman Old Style"/>
        </w:rPr>
        <w:t xml:space="preserve"> (</w:t>
      </w:r>
      <w:r w:rsidR="00DB368B" w:rsidRPr="00DB368B">
        <w:rPr>
          <w:rFonts w:ascii="Bookman Old Style" w:hAnsi="Bookman Old Style"/>
        </w:rPr>
        <w:t>E-2012-006100</w:t>
      </w:r>
      <w:r w:rsidR="00DB368B">
        <w:rPr>
          <w:rFonts w:ascii="Bookman Old Style" w:hAnsi="Bookman Old Style"/>
        </w:rPr>
        <w:t>),</w:t>
      </w:r>
      <w:r w:rsidR="00463FDB" w:rsidRPr="00463FDB">
        <w:t xml:space="preserve"> </w:t>
      </w:r>
      <w:r w:rsidR="00452428">
        <w:rPr>
          <w:rFonts w:ascii="Bookman Old Style" w:hAnsi="Bookman Old Style"/>
        </w:rPr>
        <w:t>ASOCIACIÓ</w:t>
      </w:r>
      <w:r w:rsidR="00463FDB" w:rsidRPr="00463FDB">
        <w:rPr>
          <w:rFonts w:ascii="Bookman Old Style" w:hAnsi="Bookman Old Style"/>
        </w:rPr>
        <w:t>N COLOMBIANA DE GENERADORES DE ENERG</w:t>
      </w:r>
      <w:r w:rsidR="00452428">
        <w:rPr>
          <w:rFonts w:ascii="Bookman Old Style" w:hAnsi="Bookman Old Style"/>
        </w:rPr>
        <w:t>ÍA ELÉ</w:t>
      </w:r>
      <w:r w:rsidR="00463FDB" w:rsidRPr="00463FDB">
        <w:rPr>
          <w:rFonts w:ascii="Bookman Old Style" w:hAnsi="Bookman Old Style"/>
        </w:rPr>
        <w:t>CTRICA -ACOLGEN-</w:t>
      </w:r>
      <w:r w:rsidR="00463FDB">
        <w:rPr>
          <w:rFonts w:ascii="Bookman Old Style" w:hAnsi="Bookman Old Style"/>
        </w:rPr>
        <w:t xml:space="preserve"> (</w:t>
      </w:r>
      <w:r w:rsidR="00463FDB" w:rsidRPr="00463FDB">
        <w:rPr>
          <w:rFonts w:ascii="Bookman Old Style" w:hAnsi="Bookman Old Style"/>
        </w:rPr>
        <w:t>E-2012-006165</w:t>
      </w:r>
      <w:r w:rsidR="00463FDB">
        <w:rPr>
          <w:rFonts w:ascii="Bookman Old Style" w:hAnsi="Bookman Old Style"/>
        </w:rPr>
        <w:t>),</w:t>
      </w:r>
      <w:r w:rsidR="00DB368B">
        <w:rPr>
          <w:rFonts w:ascii="Bookman Old Style" w:hAnsi="Bookman Old Style"/>
        </w:rPr>
        <w:t xml:space="preserve"> </w:t>
      </w:r>
      <w:r w:rsidR="00DB368B" w:rsidRPr="00DB368B">
        <w:rPr>
          <w:rFonts w:ascii="Bookman Old Style" w:hAnsi="Bookman Old Style"/>
        </w:rPr>
        <w:t>TRANSPORTADORA DE GAS INTERNACIONAL S.A. E.S.P. -TGI S.A. E.S.P.-</w:t>
      </w:r>
      <w:r w:rsidR="00DB368B">
        <w:rPr>
          <w:rFonts w:ascii="Bookman Old Style" w:hAnsi="Bookman Old Style"/>
        </w:rPr>
        <w:t xml:space="preserve"> </w:t>
      </w:r>
      <w:r w:rsidR="00463FDB">
        <w:rPr>
          <w:rFonts w:ascii="Bookman Old Style" w:hAnsi="Bookman Old Style"/>
        </w:rPr>
        <w:t>(</w:t>
      </w:r>
      <w:r w:rsidR="00463FDB" w:rsidRPr="00DB368B">
        <w:rPr>
          <w:rFonts w:ascii="Bookman Old Style" w:hAnsi="Bookman Old Style"/>
        </w:rPr>
        <w:t>E-2012-006144</w:t>
      </w:r>
      <w:r w:rsidR="00463FDB">
        <w:rPr>
          <w:rFonts w:ascii="Bookman Old Style" w:hAnsi="Bookman Old Style"/>
        </w:rPr>
        <w:t xml:space="preserve">), </w:t>
      </w:r>
      <w:r w:rsidR="00452428">
        <w:rPr>
          <w:rFonts w:ascii="Bookman Old Style" w:hAnsi="Bookman Old Style"/>
        </w:rPr>
        <w:t>CONSEJO NACIONAL DE OPERACIÓ</w:t>
      </w:r>
      <w:r w:rsidR="00463FDB" w:rsidRPr="00463FDB">
        <w:rPr>
          <w:rFonts w:ascii="Bookman Old Style" w:hAnsi="Bookman Old Style"/>
        </w:rPr>
        <w:t>N DE GAS NATURAL -CNO-GAS-</w:t>
      </w:r>
      <w:r w:rsidR="00463FDB">
        <w:rPr>
          <w:rFonts w:ascii="Bookman Old Style" w:hAnsi="Bookman Old Style"/>
        </w:rPr>
        <w:t xml:space="preserve"> (</w:t>
      </w:r>
      <w:r w:rsidR="00463FDB" w:rsidRPr="00463FDB">
        <w:rPr>
          <w:rFonts w:ascii="Bookman Old Style" w:hAnsi="Bookman Old Style"/>
        </w:rPr>
        <w:t>E-2012-006178</w:t>
      </w:r>
      <w:r w:rsidR="00463FDB">
        <w:rPr>
          <w:rFonts w:ascii="Bookman Old Style" w:hAnsi="Bookman Old Style"/>
        </w:rPr>
        <w:t xml:space="preserve">), </w:t>
      </w:r>
      <w:r w:rsidR="00463FDB" w:rsidRPr="00463FDB">
        <w:rPr>
          <w:rFonts w:ascii="Bookman Old Style" w:hAnsi="Bookman Old Style"/>
        </w:rPr>
        <w:t>ASOCIACI</w:t>
      </w:r>
      <w:r w:rsidR="00452428">
        <w:rPr>
          <w:rFonts w:ascii="Bookman Old Style" w:hAnsi="Bookman Old Style"/>
        </w:rPr>
        <w:t>Ó</w:t>
      </w:r>
      <w:r w:rsidR="00463FDB" w:rsidRPr="00463FDB">
        <w:rPr>
          <w:rFonts w:ascii="Bookman Old Style" w:hAnsi="Bookman Old Style"/>
        </w:rPr>
        <w:t>N COLOMBIANA DE GAS NATURAL -NATURGAS-</w:t>
      </w:r>
      <w:r w:rsidR="00463FDB">
        <w:rPr>
          <w:rFonts w:ascii="Bookman Old Style" w:hAnsi="Bookman Old Style"/>
        </w:rPr>
        <w:t xml:space="preserve"> (</w:t>
      </w:r>
      <w:r w:rsidR="00463FDB" w:rsidRPr="00463FDB">
        <w:rPr>
          <w:rFonts w:ascii="Bookman Old Style" w:hAnsi="Bookman Old Style"/>
        </w:rPr>
        <w:t>E-2012-006195</w:t>
      </w:r>
      <w:r w:rsidR="00463FDB">
        <w:rPr>
          <w:rFonts w:ascii="Bookman Old Style" w:hAnsi="Bookman Old Style"/>
        </w:rPr>
        <w:t xml:space="preserve">), </w:t>
      </w:r>
      <w:r w:rsidR="00F95B78">
        <w:rPr>
          <w:rFonts w:ascii="Bookman Old Style" w:hAnsi="Bookman Old Style"/>
        </w:rPr>
        <w:t>solicitan</w:t>
      </w:r>
      <w:r w:rsidR="0004485E">
        <w:rPr>
          <w:rFonts w:ascii="Bookman Old Style" w:hAnsi="Bookman Old Style"/>
        </w:rPr>
        <w:t xml:space="preserve">do ampliar </w:t>
      </w:r>
      <w:r w:rsidR="00F95B78">
        <w:rPr>
          <w:rFonts w:ascii="Bookman Old Style" w:hAnsi="Bookman Old Style"/>
        </w:rPr>
        <w:t>el plazo para remitir observaciones.</w:t>
      </w:r>
    </w:p>
    <w:p w:rsidR="00F95B78" w:rsidRPr="00F74426" w:rsidRDefault="00F95B78" w:rsidP="00045D3D">
      <w:pPr>
        <w:ind w:left="0"/>
        <w:jc w:val="both"/>
        <w:rPr>
          <w:rFonts w:ascii="Bookman Old Style" w:hAnsi="Bookman Old Style"/>
          <w:sz w:val="18"/>
        </w:rPr>
      </w:pPr>
    </w:p>
    <w:p w:rsidR="0004485E" w:rsidRDefault="00960406" w:rsidP="00045D3D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 Comisión considera </w:t>
      </w:r>
      <w:r w:rsidR="0004485E">
        <w:rPr>
          <w:rFonts w:ascii="Bookman Old Style" w:hAnsi="Bookman Old Style"/>
        </w:rPr>
        <w:t xml:space="preserve">conveniente </w:t>
      </w:r>
      <w:r>
        <w:rPr>
          <w:rFonts w:ascii="Bookman Old Style" w:hAnsi="Bookman Old Style"/>
        </w:rPr>
        <w:t xml:space="preserve">ampliar el plazo </w:t>
      </w:r>
      <w:r w:rsidR="00605F9E">
        <w:rPr>
          <w:rFonts w:ascii="Bookman Old Style" w:hAnsi="Bookman Old Style"/>
        </w:rPr>
        <w:t xml:space="preserve">hasta el 16 de julio de 2012 </w:t>
      </w:r>
      <w:r w:rsidR="0004485E">
        <w:rPr>
          <w:rFonts w:ascii="Bookman Old Style" w:hAnsi="Bookman Old Style"/>
        </w:rPr>
        <w:t xml:space="preserve">para que los agentes e interesados remitan comentarios. </w:t>
      </w:r>
    </w:p>
    <w:p w:rsidR="0004485E" w:rsidRPr="00F74426" w:rsidRDefault="0004485E" w:rsidP="00045D3D">
      <w:pPr>
        <w:ind w:left="0"/>
        <w:jc w:val="both"/>
        <w:rPr>
          <w:rFonts w:ascii="Bookman Old Style" w:hAnsi="Bookman Old Style"/>
          <w:sz w:val="20"/>
        </w:rPr>
      </w:pPr>
    </w:p>
    <w:p w:rsidR="0006079F" w:rsidRDefault="0006079F" w:rsidP="00045D3D">
      <w:pPr>
        <w:ind w:left="0"/>
        <w:jc w:val="both"/>
        <w:rPr>
          <w:rFonts w:ascii="Bookman Old Style" w:hAnsi="Bookman Old Style" w:cs="Arial"/>
        </w:rPr>
      </w:pPr>
      <w:r w:rsidRPr="00AD6E78">
        <w:rPr>
          <w:rFonts w:ascii="Bookman Old Style" w:hAnsi="Bookman Old Style" w:cs="Arial"/>
        </w:rPr>
        <w:t xml:space="preserve">Conforme a lo señalado en el artículo 4 del Decreto 2897 de 2010 no se informó sobre este acto a la Superintendencia de Industria y Comercio por cuanto dispone </w:t>
      </w:r>
      <w:r w:rsidR="00243E8B">
        <w:rPr>
          <w:rFonts w:ascii="Bookman Old Style" w:hAnsi="Bookman Old Style" w:cs="Arial"/>
        </w:rPr>
        <w:t>el otorgamiento de un nuevo plazo para comentarios</w:t>
      </w:r>
      <w:r w:rsidRPr="00AD6E78">
        <w:rPr>
          <w:rFonts w:ascii="Bookman Old Style" w:hAnsi="Bookman Old Style" w:cs="Arial"/>
        </w:rPr>
        <w:t>.</w:t>
      </w:r>
    </w:p>
    <w:p w:rsidR="00FC38C5" w:rsidRDefault="00FC38C5" w:rsidP="00045D3D">
      <w:pPr>
        <w:ind w:left="0"/>
        <w:jc w:val="both"/>
        <w:rPr>
          <w:rFonts w:ascii="Bookman Old Style" w:hAnsi="Bookman Old Style" w:cs="Arial"/>
        </w:rPr>
      </w:pPr>
    </w:p>
    <w:p w:rsidR="00FC38C5" w:rsidRPr="00AD6E78" w:rsidRDefault="00FC38C5" w:rsidP="00045D3D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 w:cs="Arial"/>
        </w:rPr>
        <w:t xml:space="preserve">Teniendo en cuenta que la presente resolución </w:t>
      </w:r>
      <w:r w:rsidR="00576854">
        <w:rPr>
          <w:rFonts w:ascii="Bookman Old Style" w:hAnsi="Bookman Old Style" w:cs="Arial"/>
        </w:rPr>
        <w:t xml:space="preserve">implica la ampliación de un plazo ya concedido para la consulta de un proyecto de acto administrativo, no se requiere dar aplicación al numeral 8 del artículo 8 del Código de Procedimiento Administrativo y de lo Contencioso Administrativo.  </w:t>
      </w:r>
    </w:p>
    <w:p w:rsidR="00AD6E78" w:rsidRDefault="00AD6E78" w:rsidP="00045D3D">
      <w:pPr>
        <w:ind w:left="0"/>
        <w:jc w:val="both"/>
        <w:rPr>
          <w:rFonts w:ascii="Bookman Old Style" w:hAnsi="Bookman Old Style"/>
        </w:rPr>
      </w:pPr>
    </w:p>
    <w:p w:rsidR="00045D3D" w:rsidRDefault="00045D3D" w:rsidP="00045D3D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 Comisión de Regulación de Energía y Gas, en su Sesión </w:t>
      </w:r>
      <w:r w:rsidR="00780A61">
        <w:rPr>
          <w:rFonts w:ascii="Bookman Old Style" w:hAnsi="Bookman Old Style"/>
        </w:rPr>
        <w:t>5</w:t>
      </w:r>
      <w:r w:rsidR="005E7818">
        <w:rPr>
          <w:rFonts w:ascii="Bookman Old Style" w:hAnsi="Bookman Old Style"/>
        </w:rPr>
        <w:t>25</w:t>
      </w:r>
      <w:r w:rsidR="0004485E">
        <w:rPr>
          <w:rFonts w:ascii="Bookman Old Style" w:hAnsi="Bookman Old Style"/>
        </w:rPr>
        <w:t xml:space="preserve"> </w:t>
      </w:r>
      <w:r w:rsidR="00DF3CA2">
        <w:rPr>
          <w:rFonts w:ascii="Bookman Old Style" w:hAnsi="Bookman Old Style"/>
        </w:rPr>
        <w:t xml:space="preserve">del </w:t>
      </w:r>
      <w:r w:rsidR="005E7818">
        <w:rPr>
          <w:rFonts w:ascii="Bookman Old Style" w:hAnsi="Bookman Old Style"/>
        </w:rPr>
        <w:t>5</w:t>
      </w:r>
      <w:r w:rsidR="0004485E">
        <w:rPr>
          <w:rFonts w:ascii="Bookman Old Style" w:hAnsi="Bookman Old Style"/>
        </w:rPr>
        <w:t xml:space="preserve"> </w:t>
      </w:r>
      <w:r w:rsidR="00F90E62">
        <w:rPr>
          <w:rFonts w:ascii="Bookman Old Style" w:hAnsi="Bookman Old Style"/>
        </w:rPr>
        <w:t xml:space="preserve">de </w:t>
      </w:r>
      <w:r w:rsidR="005E7818">
        <w:rPr>
          <w:rFonts w:ascii="Bookman Old Style" w:hAnsi="Bookman Old Style"/>
        </w:rPr>
        <w:t>julio</w:t>
      </w:r>
      <w:r w:rsidR="00F90E6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de </w:t>
      </w:r>
      <w:r w:rsidR="00230FBA">
        <w:rPr>
          <w:rFonts w:ascii="Bookman Old Style" w:hAnsi="Bookman Old Style"/>
        </w:rPr>
        <w:t>2012</w:t>
      </w:r>
      <w:r>
        <w:rPr>
          <w:rFonts w:ascii="Bookman Old Style" w:hAnsi="Bookman Old Style"/>
        </w:rPr>
        <w:t>,</w:t>
      </w:r>
      <w:r w:rsidR="00DB368B" w:rsidRPr="00DB368B">
        <w:rPr>
          <w:rFonts w:ascii="Bookman Old Style" w:hAnsi="Bookman Old Style"/>
        </w:rPr>
        <w:t xml:space="preserve"> </w:t>
      </w:r>
      <w:r w:rsidR="00DB368B" w:rsidRPr="00B54879">
        <w:rPr>
          <w:rFonts w:ascii="Bookman Old Style" w:hAnsi="Bookman Old Style"/>
        </w:rPr>
        <w:t>acordó expedir esta resolución</w:t>
      </w:r>
      <w:r w:rsidR="00E61576">
        <w:rPr>
          <w:rFonts w:ascii="Bookman Old Style" w:hAnsi="Bookman Old Style" w:cs="Arial"/>
          <w:szCs w:val="20"/>
        </w:rPr>
        <w:t>.</w:t>
      </w:r>
    </w:p>
    <w:p w:rsidR="00045D3D" w:rsidRPr="00F74426" w:rsidRDefault="00045D3D" w:rsidP="00045D3D">
      <w:pPr>
        <w:ind w:left="0"/>
        <w:rPr>
          <w:rFonts w:ascii="Bookman Old Style" w:hAnsi="Bookman Old Style"/>
          <w:sz w:val="12"/>
        </w:rPr>
      </w:pPr>
    </w:p>
    <w:p w:rsidR="009E4187" w:rsidRDefault="009E4187" w:rsidP="00045D3D">
      <w:pPr>
        <w:suppressAutoHyphens/>
        <w:jc w:val="center"/>
        <w:rPr>
          <w:rFonts w:ascii="Bookman Old Style" w:hAnsi="Bookman Old Style"/>
          <w:b/>
          <w:spacing w:val="-3"/>
        </w:rPr>
      </w:pPr>
    </w:p>
    <w:p w:rsidR="00045D3D" w:rsidRPr="00C435C3" w:rsidRDefault="00045D3D" w:rsidP="00045D3D">
      <w:pPr>
        <w:suppressAutoHyphens/>
        <w:jc w:val="center"/>
        <w:rPr>
          <w:rFonts w:ascii="Bookman Old Style" w:hAnsi="Bookman Old Style"/>
          <w:spacing w:val="-3"/>
        </w:rPr>
      </w:pPr>
      <w:r w:rsidRPr="00C435C3">
        <w:rPr>
          <w:rFonts w:ascii="Bookman Old Style" w:hAnsi="Bookman Old Style"/>
          <w:b/>
          <w:spacing w:val="-3"/>
        </w:rPr>
        <w:t>R E S U E L V E:</w:t>
      </w:r>
    </w:p>
    <w:p w:rsidR="00AD6E78" w:rsidRDefault="00AD6E78" w:rsidP="00045D3D">
      <w:pPr>
        <w:jc w:val="center"/>
        <w:rPr>
          <w:rFonts w:ascii="Bookman Old Style" w:hAnsi="Bookman Old Style"/>
        </w:rPr>
      </w:pPr>
    </w:p>
    <w:p w:rsidR="00E61576" w:rsidRDefault="00045D3D" w:rsidP="00E61576">
      <w:pPr>
        <w:ind w:left="0"/>
        <w:jc w:val="both"/>
        <w:rPr>
          <w:rFonts w:ascii="Bookman Old Style" w:hAnsi="Bookman Old Style"/>
        </w:rPr>
      </w:pPr>
      <w:r w:rsidRPr="002A782A">
        <w:rPr>
          <w:rFonts w:ascii="Bookman Old Style" w:hAnsi="Bookman Old Style"/>
          <w:b/>
        </w:rPr>
        <w:t xml:space="preserve">ARTÍCULO 1. </w:t>
      </w:r>
      <w:r w:rsidR="005E7818" w:rsidRPr="005E7818">
        <w:rPr>
          <w:rFonts w:ascii="Bookman Old Style" w:hAnsi="Bookman Old Style"/>
        </w:rPr>
        <w:t>Ampliar el</w:t>
      </w:r>
      <w:r w:rsidR="005E7818">
        <w:rPr>
          <w:rFonts w:ascii="Bookman Old Style" w:hAnsi="Bookman Old Style"/>
          <w:b/>
        </w:rPr>
        <w:t xml:space="preserve"> </w:t>
      </w:r>
      <w:r w:rsidR="005E7818" w:rsidRPr="005E7818">
        <w:rPr>
          <w:rFonts w:ascii="Bookman Old Style" w:hAnsi="Bookman Old Style"/>
        </w:rPr>
        <w:t>p</w:t>
      </w:r>
      <w:r w:rsidR="005E7818">
        <w:rPr>
          <w:rFonts w:ascii="Bookman Old Style" w:hAnsi="Bookman Old Style"/>
        </w:rPr>
        <w:t xml:space="preserve">lazo para remitir </w:t>
      </w:r>
      <w:r w:rsidR="005E7818">
        <w:rPr>
          <w:rFonts w:ascii="Bookman Old Style" w:hAnsi="Bookman Old Style" w:cs="Arial"/>
          <w:szCs w:val="27"/>
        </w:rPr>
        <w:t xml:space="preserve">observaciones y sugerencias </w:t>
      </w:r>
      <w:r w:rsidR="005E7818">
        <w:rPr>
          <w:rFonts w:ascii="Bookman Old Style" w:hAnsi="Bookman Old Style" w:cs="Arial"/>
          <w:color w:val="000000"/>
          <w:szCs w:val="27"/>
        </w:rPr>
        <w:t xml:space="preserve">al proyecto de resolución </w:t>
      </w:r>
      <w:r w:rsidR="005E7818">
        <w:rPr>
          <w:rFonts w:ascii="Bookman Old Style" w:hAnsi="Bookman Old Style" w:cs="Arial"/>
        </w:rPr>
        <w:t>“Por la cual se establecen los criterios de confiabilidad, se fijan las reglas para la evaluación y la remuneración de los proyectos de inversión en confiabilidad del servicio público de gas natural</w:t>
      </w:r>
      <w:r w:rsidR="005E7818">
        <w:rPr>
          <w:rFonts w:ascii="Bookman Old Style" w:hAnsi="Bookman Old Style"/>
        </w:rPr>
        <w:t>”, publicada como anexo de la Resolución CREG 054 de 2012</w:t>
      </w:r>
      <w:r w:rsidR="005E7818">
        <w:rPr>
          <w:rFonts w:ascii="Bookman Old Style" w:hAnsi="Bookman Old Style" w:cs="Arial"/>
          <w:szCs w:val="27"/>
        </w:rPr>
        <w:t xml:space="preserve">, </w:t>
      </w:r>
      <w:r w:rsidR="00605F9E">
        <w:rPr>
          <w:rFonts w:ascii="Bookman Old Style" w:hAnsi="Bookman Old Style"/>
        </w:rPr>
        <w:t>hasta el 16 de julio de 2012</w:t>
      </w:r>
      <w:r w:rsidR="005E7818">
        <w:rPr>
          <w:rFonts w:ascii="Bookman Old Style" w:hAnsi="Bookman Old Style"/>
        </w:rPr>
        <w:t>.</w:t>
      </w:r>
    </w:p>
    <w:p w:rsidR="00264F30" w:rsidRPr="00F74426" w:rsidRDefault="00264F30" w:rsidP="00264F30">
      <w:pPr>
        <w:ind w:left="0"/>
        <w:jc w:val="both"/>
        <w:rPr>
          <w:rFonts w:ascii="Bookman Old Style" w:hAnsi="Bookman Old Style" w:cs="Arial"/>
          <w:b/>
          <w:bCs/>
          <w:color w:val="000000"/>
          <w:sz w:val="6"/>
          <w:szCs w:val="27"/>
        </w:rPr>
      </w:pPr>
    </w:p>
    <w:p w:rsidR="005E7818" w:rsidRDefault="005E7818" w:rsidP="00264F30">
      <w:pPr>
        <w:ind w:left="0"/>
        <w:jc w:val="both"/>
        <w:rPr>
          <w:rFonts w:ascii="Bookman Old Style" w:hAnsi="Bookman Old Style" w:cs="Arial"/>
          <w:b/>
          <w:bCs/>
          <w:color w:val="000000"/>
          <w:szCs w:val="27"/>
        </w:rPr>
      </w:pPr>
    </w:p>
    <w:p w:rsidR="00264F30" w:rsidRDefault="00264F30" w:rsidP="00264F30">
      <w:pPr>
        <w:ind w:left="0"/>
        <w:jc w:val="both"/>
        <w:rPr>
          <w:rFonts w:ascii="Bookman Old Style" w:hAnsi="Bookman Old Style" w:cs="Arial"/>
          <w:color w:val="000000"/>
          <w:szCs w:val="27"/>
        </w:rPr>
      </w:pPr>
      <w:r>
        <w:rPr>
          <w:rFonts w:ascii="Bookman Old Style" w:hAnsi="Bookman Old Style" w:cs="Arial"/>
          <w:b/>
          <w:bCs/>
          <w:color w:val="000000"/>
          <w:szCs w:val="27"/>
        </w:rPr>
        <w:t xml:space="preserve">ARTÍCULO </w:t>
      </w:r>
      <w:r w:rsidR="00F95B78">
        <w:rPr>
          <w:rFonts w:ascii="Bookman Old Style" w:hAnsi="Bookman Old Style" w:cs="Arial"/>
          <w:b/>
          <w:bCs/>
          <w:color w:val="000000"/>
          <w:szCs w:val="27"/>
        </w:rPr>
        <w:t>2</w:t>
      </w:r>
      <w:r>
        <w:rPr>
          <w:rFonts w:ascii="Bookman Old Style" w:hAnsi="Bookman Old Style" w:cs="Arial"/>
          <w:color w:val="000000"/>
          <w:szCs w:val="27"/>
        </w:rPr>
        <w:t xml:space="preserve">. </w:t>
      </w:r>
      <w:r w:rsidR="00F95B78">
        <w:rPr>
          <w:rFonts w:ascii="Bookman Old Style" w:hAnsi="Bookman Old Style" w:cs="Arial"/>
          <w:color w:val="000000"/>
          <w:szCs w:val="27"/>
        </w:rPr>
        <w:t xml:space="preserve">Esta </w:t>
      </w:r>
      <w:r w:rsidR="009E4187">
        <w:rPr>
          <w:rFonts w:ascii="Bookman Old Style" w:hAnsi="Bookman Old Style" w:cs="Arial"/>
          <w:color w:val="000000"/>
          <w:szCs w:val="27"/>
        </w:rPr>
        <w:t>R</w:t>
      </w:r>
      <w:r w:rsidR="00F95B78">
        <w:rPr>
          <w:rFonts w:ascii="Bookman Old Style" w:hAnsi="Bookman Old Style" w:cs="Arial"/>
          <w:color w:val="000000"/>
          <w:szCs w:val="27"/>
        </w:rPr>
        <w:t xml:space="preserve">esolución rige a partir de su publicación en el </w:t>
      </w:r>
      <w:r w:rsidR="00F95B78" w:rsidRPr="00774049">
        <w:rPr>
          <w:rFonts w:ascii="Bookman Old Style" w:hAnsi="Bookman Old Style" w:cs="Arial"/>
          <w:i/>
          <w:color w:val="000000"/>
          <w:szCs w:val="27"/>
        </w:rPr>
        <w:t xml:space="preserve">Diario Oficial </w:t>
      </w:r>
      <w:r w:rsidR="00F95B78">
        <w:rPr>
          <w:rFonts w:ascii="Bookman Old Style" w:hAnsi="Bookman Old Style" w:cs="Arial"/>
          <w:color w:val="000000"/>
          <w:szCs w:val="27"/>
        </w:rPr>
        <w:t>y modifica las disposiciones que le sean contrarias.</w:t>
      </w:r>
    </w:p>
    <w:p w:rsidR="00045D3D" w:rsidRDefault="00045D3D" w:rsidP="00DF3CA2">
      <w:pPr>
        <w:ind w:left="0"/>
        <w:jc w:val="both"/>
        <w:rPr>
          <w:rFonts w:ascii="Bookman Old Style" w:hAnsi="Bookman Old Style"/>
          <w:i/>
          <w:sz w:val="22"/>
        </w:rPr>
      </w:pPr>
      <w:r>
        <w:rPr>
          <w:rFonts w:ascii="Bookman Old Style" w:hAnsi="Bookman Old Style"/>
          <w:i/>
          <w:sz w:val="22"/>
        </w:rPr>
        <w:t xml:space="preserve">   </w:t>
      </w:r>
    </w:p>
    <w:p w:rsidR="00045D3D" w:rsidRDefault="00045D3D" w:rsidP="00045D3D">
      <w:pPr>
        <w:ind w:left="0"/>
        <w:rPr>
          <w:rFonts w:ascii="Bookman Old Style" w:hAnsi="Bookman Old Style"/>
        </w:rPr>
      </w:pPr>
    </w:p>
    <w:p w:rsidR="00045D3D" w:rsidRPr="00C435C3" w:rsidRDefault="00045D3D" w:rsidP="00045D3D">
      <w:pPr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>PU</w:t>
      </w:r>
      <w:r w:rsidR="00774049">
        <w:rPr>
          <w:rFonts w:ascii="Bookman Old Style" w:hAnsi="Bookman Old Style"/>
          <w:b/>
        </w:rPr>
        <w:t>B</w:t>
      </w:r>
      <w:r w:rsidRPr="00C435C3">
        <w:rPr>
          <w:rFonts w:ascii="Bookman Old Style" w:hAnsi="Bookman Old Style"/>
          <w:b/>
        </w:rPr>
        <w:t>LÍQUESE Y CÚMPLASE</w:t>
      </w:r>
    </w:p>
    <w:p w:rsidR="00045D3D" w:rsidRPr="00C435C3" w:rsidRDefault="00045D3D" w:rsidP="00045D3D">
      <w:pPr>
        <w:rPr>
          <w:rFonts w:ascii="Bookman Old Style" w:hAnsi="Bookman Old Style"/>
        </w:rPr>
      </w:pPr>
    </w:p>
    <w:p w:rsidR="00045D3D" w:rsidRDefault="00045D3D" w:rsidP="00045D3D">
      <w:pPr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Dada en Bogotá, D.C.</w:t>
      </w:r>
    </w:p>
    <w:p w:rsidR="00045D3D" w:rsidRDefault="00045D3D" w:rsidP="00045D3D">
      <w:pPr>
        <w:ind w:left="0"/>
        <w:rPr>
          <w:rFonts w:ascii="Bookman Old Style" w:hAnsi="Bookman Old Style"/>
        </w:rPr>
      </w:pPr>
    </w:p>
    <w:p w:rsidR="00F74426" w:rsidRDefault="00F74426" w:rsidP="00045D3D">
      <w:pPr>
        <w:ind w:left="0"/>
        <w:rPr>
          <w:rFonts w:ascii="Bookman Old Style" w:hAnsi="Bookman Old Style"/>
        </w:rPr>
      </w:pPr>
    </w:p>
    <w:p w:rsidR="005958F9" w:rsidRDefault="005958F9" w:rsidP="00045D3D">
      <w:pPr>
        <w:ind w:left="0"/>
        <w:rPr>
          <w:rFonts w:ascii="Bookman Old Style" w:hAnsi="Bookman Old Style"/>
        </w:rPr>
      </w:pPr>
    </w:p>
    <w:p w:rsidR="00045D3D" w:rsidRDefault="00045D3D" w:rsidP="00045D3D">
      <w:pPr>
        <w:ind w:left="0"/>
        <w:rPr>
          <w:rFonts w:ascii="Bookman Old Style" w:hAnsi="Bookman Old Style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513"/>
      </w:tblGrid>
      <w:tr w:rsidR="00F74426" w:rsidRPr="009E2240" w:rsidTr="00B809D7">
        <w:trPr>
          <w:tblCellSpacing w:w="0" w:type="dxa"/>
          <w:jc w:val="center"/>
        </w:trPr>
        <w:tc>
          <w:tcPr>
            <w:tcW w:w="4320" w:type="dxa"/>
            <w:hideMark/>
          </w:tcPr>
          <w:p w:rsidR="00F74426" w:rsidRPr="009E2240" w:rsidRDefault="00F74426" w:rsidP="00B809D7">
            <w:pPr>
              <w:widowControl w:val="0"/>
              <w:ind w:left="0"/>
              <w:jc w:val="center"/>
              <w:rPr>
                <w:rFonts w:ascii="Bookman Old Style" w:hAnsi="Bookman Old Style" w:cs="Arial"/>
                <w:color w:val="000000"/>
              </w:rPr>
            </w:pPr>
            <w:r w:rsidRPr="009E2240">
              <w:rPr>
                <w:rFonts w:ascii="Bookman Old Style" w:hAnsi="Bookman Old Style" w:cs="Arial"/>
                <w:b/>
                <w:bCs/>
                <w:color w:val="000000"/>
              </w:rPr>
              <w:t>TOMÁS GONZÁLEZ ESTRADA</w:t>
            </w:r>
          </w:p>
        </w:tc>
        <w:tc>
          <w:tcPr>
            <w:tcW w:w="4513" w:type="dxa"/>
            <w:hideMark/>
          </w:tcPr>
          <w:p w:rsidR="00F74426" w:rsidRPr="009E2240" w:rsidRDefault="00F74426" w:rsidP="00B809D7">
            <w:pPr>
              <w:widowControl w:val="0"/>
              <w:ind w:left="0"/>
              <w:jc w:val="center"/>
              <w:rPr>
                <w:rFonts w:ascii="Bookman Old Style" w:hAnsi="Bookman Old Style" w:cs="Arial"/>
                <w:color w:val="000000"/>
              </w:rPr>
            </w:pPr>
            <w:r w:rsidRPr="009E2240">
              <w:rPr>
                <w:rFonts w:ascii="Bookman Old Style" w:hAnsi="Bookman Old Style" w:cs="Arial"/>
                <w:b/>
                <w:bCs/>
                <w:color w:val="000000"/>
              </w:rPr>
              <w:t>GERMÁN CASTRO FERREIRA</w:t>
            </w:r>
          </w:p>
        </w:tc>
      </w:tr>
      <w:tr w:rsidR="00F74426" w:rsidRPr="009E2240" w:rsidTr="00B809D7">
        <w:trPr>
          <w:tblCellSpacing w:w="0" w:type="dxa"/>
          <w:jc w:val="center"/>
        </w:trPr>
        <w:tc>
          <w:tcPr>
            <w:tcW w:w="4320" w:type="dxa"/>
            <w:hideMark/>
          </w:tcPr>
          <w:p w:rsidR="00F74426" w:rsidRPr="009E2240" w:rsidRDefault="00F74426" w:rsidP="00B809D7">
            <w:pPr>
              <w:widowControl w:val="0"/>
              <w:ind w:left="0"/>
              <w:jc w:val="center"/>
              <w:rPr>
                <w:rFonts w:ascii="Bookman Old Style" w:hAnsi="Bookman Old Style" w:cs="Arial"/>
                <w:color w:val="000000"/>
              </w:rPr>
            </w:pPr>
            <w:r w:rsidRPr="009E2240">
              <w:rPr>
                <w:rFonts w:ascii="Bookman Old Style" w:hAnsi="Bookman Old Style" w:cs="Arial"/>
                <w:color w:val="000000"/>
              </w:rPr>
              <w:t>Viceministro de Energía</w:t>
            </w:r>
          </w:p>
        </w:tc>
        <w:tc>
          <w:tcPr>
            <w:tcW w:w="4513" w:type="dxa"/>
            <w:hideMark/>
          </w:tcPr>
          <w:p w:rsidR="00F74426" w:rsidRPr="009E2240" w:rsidRDefault="00F74426" w:rsidP="00B809D7">
            <w:pPr>
              <w:widowControl w:val="0"/>
              <w:jc w:val="center"/>
              <w:rPr>
                <w:rFonts w:ascii="Bookman Old Style" w:hAnsi="Bookman Old Style" w:cs="Arial"/>
                <w:color w:val="000000"/>
              </w:rPr>
            </w:pPr>
            <w:r w:rsidRPr="009E2240">
              <w:rPr>
                <w:rFonts w:ascii="Bookman Old Style" w:hAnsi="Bookman Old Style" w:cs="Arial"/>
                <w:color w:val="000000"/>
              </w:rPr>
              <w:t>Director Ejecutivo</w:t>
            </w:r>
          </w:p>
        </w:tc>
      </w:tr>
      <w:tr w:rsidR="00F74426" w:rsidRPr="009E2240" w:rsidTr="00B809D7">
        <w:trPr>
          <w:tblCellSpacing w:w="0" w:type="dxa"/>
          <w:jc w:val="center"/>
        </w:trPr>
        <w:tc>
          <w:tcPr>
            <w:tcW w:w="4320" w:type="dxa"/>
            <w:hideMark/>
          </w:tcPr>
          <w:p w:rsidR="00F74426" w:rsidRPr="009E2240" w:rsidRDefault="00F74426" w:rsidP="00B809D7">
            <w:pPr>
              <w:widowControl w:val="0"/>
              <w:ind w:left="0"/>
              <w:jc w:val="center"/>
              <w:rPr>
                <w:rFonts w:ascii="Bookman Old Style" w:hAnsi="Bookman Old Style" w:cs="Arial"/>
                <w:color w:val="000000"/>
              </w:rPr>
            </w:pPr>
            <w:r w:rsidRPr="009E2240">
              <w:rPr>
                <w:rFonts w:ascii="Bookman Old Style" w:hAnsi="Bookman Old Style" w:cs="Arial"/>
                <w:color w:val="000000"/>
              </w:rPr>
              <w:t>Delegado del Ministro de Minas y Energía</w:t>
            </w:r>
            <w:r w:rsidRPr="009E2240">
              <w:rPr>
                <w:rFonts w:ascii="Bookman Old Style" w:hAnsi="Bookman Old Style" w:cs="Arial"/>
                <w:color w:val="000000"/>
              </w:rPr>
              <w:br/>
              <w:t>Presidente</w:t>
            </w:r>
          </w:p>
        </w:tc>
        <w:tc>
          <w:tcPr>
            <w:tcW w:w="4513" w:type="dxa"/>
            <w:hideMark/>
          </w:tcPr>
          <w:p w:rsidR="00F74426" w:rsidRPr="009E2240" w:rsidRDefault="00F74426" w:rsidP="00B809D7">
            <w:pPr>
              <w:widowControl w:val="0"/>
              <w:jc w:val="center"/>
              <w:rPr>
                <w:rFonts w:ascii="Bookman Old Style" w:hAnsi="Bookman Old Style" w:cs="Arial"/>
                <w:color w:val="000000"/>
              </w:rPr>
            </w:pPr>
            <w:r w:rsidRPr="009E2240">
              <w:rPr>
                <w:rFonts w:ascii="Bookman Old Style" w:hAnsi="Bookman Old Style" w:cs="Arial"/>
                <w:noProof/>
                <w:color w:val="000000"/>
                <w:lang w:val="es-CO" w:eastAsia="es-CO"/>
              </w:rPr>
              <w:drawing>
                <wp:inline distT="0" distB="0" distL="0" distR="0" wp14:anchorId="39F8A987" wp14:editId="138C6B0D">
                  <wp:extent cx="155575" cy="8890"/>
                  <wp:effectExtent l="0" t="0" r="0" b="0"/>
                  <wp:docPr id="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4F30" w:rsidRDefault="00264F30" w:rsidP="00045D3D">
      <w:pPr>
        <w:ind w:left="0"/>
        <w:rPr>
          <w:rFonts w:ascii="Bookman Old Style" w:hAnsi="Bookman Old Style"/>
        </w:rPr>
      </w:pPr>
    </w:p>
    <w:p w:rsidR="00045D3D" w:rsidRDefault="00045D3D" w:rsidP="00045D3D">
      <w:pPr>
        <w:ind w:left="0"/>
        <w:rPr>
          <w:rFonts w:ascii="Bookman Old Style" w:hAnsi="Bookman Old Style"/>
        </w:rPr>
      </w:pPr>
    </w:p>
    <w:sectPr w:rsidR="00045D3D" w:rsidSect="00F74426">
      <w:headerReference w:type="default" r:id="rId12"/>
      <w:headerReference w:type="first" r:id="rId13"/>
      <w:type w:val="continuous"/>
      <w:pgSz w:w="12242" w:h="18722" w:code="123"/>
      <w:pgMar w:top="2341" w:right="1185" w:bottom="17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8C5" w:rsidRDefault="00FC38C5">
      <w:r>
        <w:separator/>
      </w:r>
    </w:p>
  </w:endnote>
  <w:endnote w:type="continuationSeparator" w:id="0">
    <w:p w:rsidR="00FC38C5" w:rsidRDefault="00FC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8C5" w:rsidRDefault="00FC38C5">
      <w:r>
        <w:separator/>
      </w:r>
    </w:p>
  </w:footnote>
  <w:footnote w:type="continuationSeparator" w:id="0">
    <w:p w:rsidR="00FC38C5" w:rsidRDefault="00FC3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8C5" w:rsidRDefault="00FC38C5" w:rsidP="00951F79">
    <w:pPr>
      <w:pStyle w:val="Ttulo1"/>
      <w:ind w:right="6"/>
      <w:jc w:val="left"/>
      <w:rPr>
        <w:rFonts w:ascii="Bookman Old Style" w:hAnsi="Bookman Old Style" w:cs="Arial"/>
        <w:b w:val="0"/>
        <w:sz w:val="22"/>
        <w:szCs w:val="22"/>
      </w:rPr>
    </w:pPr>
  </w:p>
  <w:p w:rsidR="00FC38C5" w:rsidRPr="00951F79" w:rsidRDefault="00FC38C5" w:rsidP="009F4BEC">
    <w:pPr>
      <w:pStyle w:val="Ttulo1"/>
      <w:ind w:left="0" w:right="6"/>
      <w:jc w:val="left"/>
      <w:rPr>
        <w:rFonts w:ascii="Bookman Old Style" w:hAnsi="Bookman Old Style" w:cs="Arial"/>
        <w:b w:val="0"/>
        <w:sz w:val="22"/>
        <w:szCs w:val="22"/>
      </w:rPr>
    </w:pPr>
    <w:r w:rsidRPr="00654384">
      <w:rPr>
        <w:rFonts w:ascii="Bookman Old Style" w:hAnsi="Bookman Old Style" w:cs="Arial"/>
        <w:b w:val="0"/>
        <w:sz w:val="22"/>
        <w:szCs w:val="22"/>
      </w:rPr>
      <w:t>RESOLUCIÓN No.</w:t>
    </w:r>
    <w:r>
      <w:rPr>
        <w:rFonts w:ascii="Bookman Old Style" w:hAnsi="Bookman Old Style" w:cs="Arial"/>
        <w:b w:val="0"/>
        <w:sz w:val="22"/>
        <w:szCs w:val="22"/>
      </w:rPr>
      <w:t xml:space="preserve">  ________________</w:t>
    </w:r>
    <w:r w:rsidRPr="00654384">
      <w:rPr>
        <w:rFonts w:ascii="Bookman Old Style" w:hAnsi="Bookman Old Style" w:cs="Arial"/>
        <w:b w:val="0"/>
        <w:sz w:val="22"/>
        <w:szCs w:val="22"/>
      </w:rPr>
      <w:tab/>
    </w:r>
    <w:r>
      <w:rPr>
        <w:rFonts w:ascii="Bookman Old Style" w:hAnsi="Bookman Old Style" w:cs="Arial"/>
        <w:b w:val="0"/>
        <w:sz w:val="22"/>
        <w:szCs w:val="22"/>
      </w:rPr>
      <w:t>DE ________________</w:t>
    </w:r>
    <w:r>
      <w:rPr>
        <w:rFonts w:ascii="Bookman Old Style" w:hAnsi="Bookman Old Style" w:cs="Arial"/>
        <w:b w:val="0"/>
        <w:sz w:val="22"/>
        <w:szCs w:val="22"/>
      </w:rPr>
      <w:tab/>
    </w:r>
    <w:r w:rsidRPr="00654384">
      <w:rPr>
        <w:rFonts w:ascii="Bookman Old Style" w:hAnsi="Bookman Old Style" w:cs="Arial"/>
        <w:b w:val="0"/>
        <w:sz w:val="22"/>
        <w:szCs w:val="22"/>
      </w:rPr>
      <w:t xml:space="preserve">HOJA No. 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begin"/>
    </w:r>
    <w:r w:rsidRPr="00654384">
      <w:rPr>
        <w:rFonts w:ascii="Bookman Old Style" w:hAnsi="Bookman Old Style" w:cs="Arial"/>
        <w:b w:val="0"/>
        <w:sz w:val="22"/>
        <w:szCs w:val="22"/>
      </w:rPr>
      <w:instrText xml:space="preserve"> PAGE   \* MERGEFORMAT </w:instrText>
    </w:r>
    <w:r w:rsidRPr="00654384">
      <w:rPr>
        <w:rFonts w:ascii="Bookman Old Style" w:hAnsi="Bookman Old Style" w:cs="Arial"/>
        <w:b w:val="0"/>
        <w:sz w:val="22"/>
        <w:szCs w:val="22"/>
      </w:rPr>
      <w:fldChar w:fldCharType="separate"/>
    </w:r>
    <w:r w:rsidR="007D0A61">
      <w:rPr>
        <w:rFonts w:ascii="Bookman Old Style" w:hAnsi="Bookman Old Style" w:cs="Arial"/>
        <w:b w:val="0"/>
        <w:noProof/>
        <w:sz w:val="22"/>
        <w:szCs w:val="22"/>
      </w:rPr>
      <w:t>2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end"/>
    </w:r>
    <w:r w:rsidRPr="00654384">
      <w:rPr>
        <w:rFonts w:ascii="Bookman Old Style" w:hAnsi="Bookman Old Style" w:cs="Arial"/>
        <w:b w:val="0"/>
        <w:sz w:val="22"/>
        <w:szCs w:val="22"/>
      </w:rPr>
      <w:t>/</w:t>
    </w:r>
    <w:fldSimple w:instr=" NUMPAGES  \* MERGEFORMAT ">
      <w:r w:rsidR="007D0A61" w:rsidRPr="007D0A61">
        <w:rPr>
          <w:rFonts w:ascii="Bookman Old Style" w:hAnsi="Bookman Old Style" w:cs="Arial"/>
          <w:b w:val="0"/>
          <w:noProof/>
          <w:sz w:val="22"/>
          <w:szCs w:val="22"/>
        </w:rPr>
        <w:t>2</w:t>
      </w:r>
    </w:fldSimple>
  </w:p>
  <w:p w:rsidR="00FC38C5" w:rsidRDefault="00FC38C5" w:rsidP="00AD01E4">
    <w:pPr>
      <w:ind w:left="142" w:right="148"/>
      <w:rPr>
        <w:rFonts w:ascii="Bookman Old Style" w:hAnsi="Bookman Old Style" w:cs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820E6D" wp14:editId="73702A03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9525" t="14605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3.8pt;margin-top:10.95pt;width:493.5pt;height:77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" filled="f" strokeweight="1.5pt"/>
          </w:pict>
        </mc:Fallback>
      </mc:AlternateContent>
    </w:r>
  </w:p>
  <w:p w:rsidR="00FC38C5" w:rsidRPr="00F74426" w:rsidRDefault="00FC38C5" w:rsidP="00DB368B">
    <w:pPr>
      <w:ind w:left="0"/>
      <w:jc w:val="both"/>
      <w:rPr>
        <w:rFonts w:ascii="Bookman Old Style" w:hAnsi="Bookman Old Style"/>
        <w:sz w:val="22"/>
        <w:szCs w:val="22"/>
      </w:rPr>
    </w:pPr>
    <w:r w:rsidRPr="00F74426">
      <w:rPr>
        <w:rFonts w:ascii="Bookman Old Style" w:hAnsi="Bookman Old Style"/>
        <w:sz w:val="22"/>
        <w:szCs w:val="22"/>
      </w:rPr>
      <w:t xml:space="preserve">Por </w:t>
    </w:r>
    <w:r w:rsidRPr="00F74426">
      <w:rPr>
        <w:rFonts w:ascii="Bookman Old Style" w:hAnsi="Bookman Old Style" w:cs="Arial"/>
        <w:color w:val="000000"/>
        <w:sz w:val="22"/>
        <w:szCs w:val="22"/>
      </w:rPr>
      <w:t xml:space="preserve">la cual se amplía el plazo para remitir observaciones y sugerencias al proyecto de resolución </w:t>
    </w:r>
    <w:r w:rsidRPr="00F74426">
      <w:rPr>
        <w:rFonts w:ascii="Bookman Old Style" w:hAnsi="Bookman Old Style" w:cs="Arial"/>
        <w:sz w:val="22"/>
        <w:szCs w:val="22"/>
      </w:rPr>
      <w:t>“Por la cual se establecen los criterios de confiabilidad, se fijan las reglas para la evaluación y la remuneración de los proyectos de inversión en confiabilidad del servicio público de gas natural</w:t>
    </w:r>
    <w:r w:rsidRPr="00F74426">
      <w:rPr>
        <w:rFonts w:ascii="Bookman Old Style" w:hAnsi="Bookman Old Style"/>
        <w:sz w:val="22"/>
        <w:szCs w:val="22"/>
      </w:rPr>
      <w:t xml:space="preserve">”. </w:t>
    </w:r>
  </w:p>
  <w:p w:rsidR="00FC38C5" w:rsidRPr="009E4187" w:rsidRDefault="00FC38C5" w:rsidP="00AD01E4">
    <w:pPr>
      <w:pBdr>
        <w:bottom w:val="single" w:sz="4" w:space="1" w:color="auto"/>
      </w:pBdr>
      <w:ind w:left="142" w:right="148"/>
      <w:rPr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8C5" w:rsidRDefault="00FC38C5" w:rsidP="00025383">
    <w:pPr>
      <w:pStyle w:val="Encabezado"/>
      <w:jc w:val="both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 xml:space="preserve">                                   República de Colombia</w:t>
    </w:r>
  </w:p>
  <w:p w:rsidR="00FC38C5" w:rsidRDefault="00FC38C5">
    <w:pPr>
      <w:pStyle w:val="Encabezado"/>
      <w:jc w:val="center"/>
      <w:rPr>
        <w:rFonts w:ascii="Arial" w:hAnsi="Arial" w:cs="Arial"/>
        <w:spacing w:val="20"/>
        <w:sz w:val="20"/>
      </w:rPr>
    </w:pPr>
  </w:p>
  <w:p w:rsidR="00FC38C5" w:rsidRDefault="00FC38C5" w:rsidP="00CA77FB">
    <w:pPr>
      <w:pStyle w:val="Encabezado"/>
      <w:jc w:val="center"/>
    </w:pPr>
    <w:r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BB4750" wp14:editId="73ABBA7A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9525" t="12065" r="9525" b="1651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6.8pt;margin-top:29.7pt;width:499.5pt;height:7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24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>
    <w:nsid w:val="0000001F"/>
    <w:multiLevelType w:val="multilevel"/>
    <w:tmpl w:val="0000001F"/>
    <w:name w:val="WW8StyleNum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A050C49"/>
    <w:multiLevelType w:val="hybridMultilevel"/>
    <w:tmpl w:val="2B58250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0A6709"/>
    <w:multiLevelType w:val="hybridMultilevel"/>
    <w:tmpl w:val="A37ECB4A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6E088022">
      <w:start w:val="1"/>
      <w:numFmt w:val="lowerLetter"/>
      <w:lvlText w:val="%3)"/>
      <w:lvlJc w:val="left"/>
      <w:pPr>
        <w:ind w:left="2688" w:hanging="708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17452"/>
    <w:multiLevelType w:val="hybridMultilevel"/>
    <w:tmpl w:val="80909A14"/>
    <w:lvl w:ilvl="0" w:tplc="EFC62378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A3314"/>
    <w:multiLevelType w:val="hybridMultilevel"/>
    <w:tmpl w:val="68E45E3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C13C5"/>
    <w:multiLevelType w:val="hybridMultilevel"/>
    <w:tmpl w:val="58DC41FA"/>
    <w:lvl w:ilvl="0" w:tplc="952E9F3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C0A92"/>
    <w:multiLevelType w:val="hybridMultilevel"/>
    <w:tmpl w:val="4110539C"/>
    <w:lvl w:ilvl="0" w:tplc="240A0019">
      <w:start w:val="1"/>
      <w:numFmt w:val="lowerLetter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240A001B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4981B75"/>
    <w:multiLevelType w:val="hybridMultilevel"/>
    <w:tmpl w:val="FC26D358"/>
    <w:lvl w:ilvl="0" w:tplc="2F2C3B4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138B1"/>
    <w:multiLevelType w:val="hybridMultilevel"/>
    <w:tmpl w:val="0EA29D40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931E4"/>
    <w:multiLevelType w:val="multilevel"/>
    <w:tmpl w:val="64EC2B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2C2A7ABB"/>
    <w:multiLevelType w:val="hybridMultilevel"/>
    <w:tmpl w:val="6148705C"/>
    <w:lvl w:ilvl="0" w:tplc="9C108C4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21E0B"/>
    <w:multiLevelType w:val="hybridMultilevel"/>
    <w:tmpl w:val="8ADC8D4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A13F37"/>
    <w:multiLevelType w:val="hybridMultilevel"/>
    <w:tmpl w:val="DABA9F78"/>
    <w:lvl w:ilvl="0" w:tplc="7E54C4E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5F2D30"/>
    <w:multiLevelType w:val="hybridMultilevel"/>
    <w:tmpl w:val="89C6DBC0"/>
    <w:lvl w:ilvl="0" w:tplc="240A0019">
      <w:start w:val="1"/>
      <w:numFmt w:val="lowerLetter"/>
      <w:lvlText w:val="%1."/>
      <w:lvlJc w:val="left"/>
      <w:pPr>
        <w:ind w:left="1776" w:hanging="360"/>
      </w:p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480944F9"/>
    <w:multiLevelType w:val="hybridMultilevel"/>
    <w:tmpl w:val="79BA72EA"/>
    <w:lvl w:ilvl="0" w:tplc="240A001B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B630F2D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1821C3"/>
    <w:multiLevelType w:val="hybridMultilevel"/>
    <w:tmpl w:val="D480E740"/>
    <w:lvl w:ilvl="0" w:tplc="5A4C74E2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52B59"/>
    <w:multiLevelType w:val="hybridMultilevel"/>
    <w:tmpl w:val="6AE4204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784F5E"/>
    <w:multiLevelType w:val="hybridMultilevel"/>
    <w:tmpl w:val="127A4170"/>
    <w:lvl w:ilvl="0" w:tplc="D2F8F01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A02633"/>
    <w:multiLevelType w:val="hybridMultilevel"/>
    <w:tmpl w:val="4EC41BDE"/>
    <w:lvl w:ilvl="0" w:tplc="C0CCEA12">
      <w:start w:val="1"/>
      <w:numFmt w:val="lowerLetter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EF546C"/>
    <w:multiLevelType w:val="hybridMultilevel"/>
    <w:tmpl w:val="DB90D272"/>
    <w:lvl w:ilvl="0" w:tplc="BEE02D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187318"/>
    <w:multiLevelType w:val="hybridMultilevel"/>
    <w:tmpl w:val="5554FEBC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CDC0E7D"/>
    <w:multiLevelType w:val="hybridMultilevel"/>
    <w:tmpl w:val="34DC6078"/>
    <w:lvl w:ilvl="0" w:tplc="240A001B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75CA2"/>
    <w:multiLevelType w:val="hybridMultilevel"/>
    <w:tmpl w:val="68EEEF5E"/>
    <w:lvl w:ilvl="0" w:tplc="24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484591"/>
    <w:multiLevelType w:val="hybridMultilevel"/>
    <w:tmpl w:val="1AB4CB5A"/>
    <w:lvl w:ilvl="0" w:tplc="BD50335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37649C"/>
    <w:multiLevelType w:val="hybridMultilevel"/>
    <w:tmpl w:val="067E6CC4"/>
    <w:lvl w:ilvl="0" w:tplc="4836D3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7D030D"/>
    <w:multiLevelType w:val="hybridMultilevel"/>
    <w:tmpl w:val="5F2C7678"/>
    <w:lvl w:ilvl="0" w:tplc="8446F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7655B3"/>
    <w:multiLevelType w:val="hybridMultilevel"/>
    <w:tmpl w:val="BDB202E0"/>
    <w:lvl w:ilvl="0" w:tplc="240A0019">
      <w:start w:val="1"/>
      <w:numFmt w:val="lowerLetter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3"/>
  </w:num>
  <w:num w:numId="4">
    <w:abstractNumId w:val="22"/>
  </w:num>
  <w:num w:numId="5">
    <w:abstractNumId w:val="27"/>
  </w:num>
  <w:num w:numId="6">
    <w:abstractNumId w:val="3"/>
  </w:num>
  <w:num w:numId="7">
    <w:abstractNumId w:val="9"/>
  </w:num>
  <w:num w:numId="8">
    <w:abstractNumId w:val="10"/>
  </w:num>
  <w:num w:numId="9">
    <w:abstractNumId w:val="24"/>
  </w:num>
  <w:num w:numId="10">
    <w:abstractNumId w:val="7"/>
  </w:num>
  <w:num w:numId="11">
    <w:abstractNumId w:val="12"/>
  </w:num>
  <w:num w:numId="12">
    <w:abstractNumId w:val="21"/>
  </w:num>
  <w:num w:numId="13">
    <w:abstractNumId w:val="19"/>
  </w:num>
  <w:num w:numId="14">
    <w:abstractNumId w:val="4"/>
  </w:num>
  <w:num w:numId="15">
    <w:abstractNumId w:val="16"/>
  </w:num>
  <w:num w:numId="16">
    <w:abstractNumId w:val="2"/>
  </w:num>
  <w:num w:numId="17">
    <w:abstractNumId w:val="5"/>
  </w:num>
  <w:num w:numId="18">
    <w:abstractNumId w:val="18"/>
  </w:num>
  <w:num w:numId="19">
    <w:abstractNumId w:val="14"/>
  </w:num>
  <w:num w:numId="20">
    <w:abstractNumId w:val="25"/>
  </w:num>
  <w:num w:numId="21">
    <w:abstractNumId w:val="13"/>
  </w:num>
  <w:num w:numId="22">
    <w:abstractNumId w:val="6"/>
  </w:num>
  <w:num w:numId="23">
    <w:abstractNumId w:val="15"/>
  </w:num>
  <w:num w:numId="24">
    <w:abstractNumId w:val="26"/>
  </w:num>
  <w:num w:numId="25">
    <w:abstractNumId w:val="8"/>
  </w:num>
  <w:num w:numId="26">
    <w:abstractNumId w:val="17"/>
  </w:num>
  <w:num w:numId="27">
    <w:abstractNumId w:val="11"/>
  </w:num>
  <w:num w:numId="28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40"/>
    <w:rsid w:val="000025F1"/>
    <w:rsid w:val="00006AE2"/>
    <w:rsid w:val="000076A1"/>
    <w:rsid w:val="00012259"/>
    <w:rsid w:val="000131B5"/>
    <w:rsid w:val="00021A70"/>
    <w:rsid w:val="0002357E"/>
    <w:rsid w:val="00025383"/>
    <w:rsid w:val="000313A0"/>
    <w:rsid w:val="00031B7E"/>
    <w:rsid w:val="000357DA"/>
    <w:rsid w:val="00035ECB"/>
    <w:rsid w:val="0004485E"/>
    <w:rsid w:val="00045D3D"/>
    <w:rsid w:val="00053B50"/>
    <w:rsid w:val="00056D36"/>
    <w:rsid w:val="000577EC"/>
    <w:rsid w:val="0006079F"/>
    <w:rsid w:val="00060CB0"/>
    <w:rsid w:val="00063657"/>
    <w:rsid w:val="0006410B"/>
    <w:rsid w:val="000706E3"/>
    <w:rsid w:val="00076680"/>
    <w:rsid w:val="00076A1D"/>
    <w:rsid w:val="0008073E"/>
    <w:rsid w:val="00083786"/>
    <w:rsid w:val="00087C09"/>
    <w:rsid w:val="00091CDB"/>
    <w:rsid w:val="000931F8"/>
    <w:rsid w:val="00096FE2"/>
    <w:rsid w:val="00097331"/>
    <w:rsid w:val="000A0268"/>
    <w:rsid w:val="000A0B7F"/>
    <w:rsid w:val="000A19AC"/>
    <w:rsid w:val="000B0FF1"/>
    <w:rsid w:val="000B2EC9"/>
    <w:rsid w:val="000B4486"/>
    <w:rsid w:val="000B6074"/>
    <w:rsid w:val="000C1CA5"/>
    <w:rsid w:val="000C7FE5"/>
    <w:rsid w:val="000D26F8"/>
    <w:rsid w:val="000D3F4B"/>
    <w:rsid w:val="000D7CEC"/>
    <w:rsid w:val="000E4151"/>
    <w:rsid w:val="000E52BB"/>
    <w:rsid w:val="000F3D98"/>
    <w:rsid w:val="000F487C"/>
    <w:rsid w:val="0010144E"/>
    <w:rsid w:val="0011058F"/>
    <w:rsid w:val="00112A91"/>
    <w:rsid w:val="00125C5D"/>
    <w:rsid w:val="001317DA"/>
    <w:rsid w:val="0013526C"/>
    <w:rsid w:val="001405C6"/>
    <w:rsid w:val="00141013"/>
    <w:rsid w:val="00162E66"/>
    <w:rsid w:val="00174A24"/>
    <w:rsid w:val="00182A27"/>
    <w:rsid w:val="00185A78"/>
    <w:rsid w:val="001866F9"/>
    <w:rsid w:val="00192CBF"/>
    <w:rsid w:val="00192FF1"/>
    <w:rsid w:val="001A5F1B"/>
    <w:rsid w:val="001B1C22"/>
    <w:rsid w:val="001B1D58"/>
    <w:rsid w:val="001B34C6"/>
    <w:rsid w:val="001B53A4"/>
    <w:rsid w:val="001B5904"/>
    <w:rsid w:val="001B7105"/>
    <w:rsid w:val="001C6406"/>
    <w:rsid w:val="001C7514"/>
    <w:rsid w:val="001D0A0E"/>
    <w:rsid w:val="001D7832"/>
    <w:rsid w:val="001E05E9"/>
    <w:rsid w:val="001E53FD"/>
    <w:rsid w:val="001E6BF8"/>
    <w:rsid w:val="00202498"/>
    <w:rsid w:val="00205DDC"/>
    <w:rsid w:val="00205EC3"/>
    <w:rsid w:val="002064D8"/>
    <w:rsid w:val="00210DC1"/>
    <w:rsid w:val="00211D34"/>
    <w:rsid w:val="00214F04"/>
    <w:rsid w:val="0022170F"/>
    <w:rsid w:val="002301FE"/>
    <w:rsid w:val="0023044C"/>
    <w:rsid w:val="00230FBA"/>
    <w:rsid w:val="00231BFA"/>
    <w:rsid w:val="00243E8B"/>
    <w:rsid w:val="00251033"/>
    <w:rsid w:val="00264F30"/>
    <w:rsid w:val="00266CD6"/>
    <w:rsid w:val="00272F3D"/>
    <w:rsid w:val="00275DAB"/>
    <w:rsid w:val="00283C59"/>
    <w:rsid w:val="002A2AB3"/>
    <w:rsid w:val="002A326B"/>
    <w:rsid w:val="002A3CD9"/>
    <w:rsid w:val="002A782A"/>
    <w:rsid w:val="002B11E2"/>
    <w:rsid w:val="002B24B8"/>
    <w:rsid w:val="002B5912"/>
    <w:rsid w:val="002C30E0"/>
    <w:rsid w:val="002C31A9"/>
    <w:rsid w:val="002C6239"/>
    <w:rsid w:val="002D3AE9"/>
    <w:rsid w:val="002D4510"/>
    <w:rsid w:val="002D6BD5"/>
    <w:rsid w:val="002D723C"/>
    <w:rsid w:val="002E0C73"/>
    <w:rsid w:val="002E5A6A"/>
    <w:rsid w:val="002F0734"/>
    <w:rsid w:val="002F1D14"/>
    <w:rsid w:val="002F46E7"/>
    <w:rsid w:val="002F5FBA"/>
    <w:rsid w:val="002F6CF1"/>
    <w:rsid w:val="00301E31"/>
    <w:rsid w:val="003057F3"/>
    <w:rsid w:val="003101DA"/>
    <w:rsid w:val="00314757"/>
    <w:rsid w:val="003163BC"/>
    <w:rsid w:val="003211CE"/>
    <w:rsid w:val="00330A28"/>
    <w:rsid w:val="00336C3C"/>
    <w:rsid w:val="0034073A"/>
    <w:rsid w:val="00344373"/>
    <w:rsid w:val="00345679"/>
    <w:rsid w:val="0035403A"/>
    <w:rsid w:val="0036394B"/>
    <w:rsid w:val="00366DB6"/>
    <w:rsid w:val="003709B5"/>
    <w:rsid w:val="00371889"/>
    <w:rsid w:val="003759C2"/>
    <w:rsid w:val="00397365"/>
    <w:rsid w:val="003A250F"/>
    <w:rsid w:val="003A31F6"/>
    <w:rsid w:val="003B6640"/>
    <w:rsid w:val="003B752B"/>
    <w:rsid w:val="003C3447"/>
    <w:rsid w:val="003C389E"/>
    <w:rsid w:val="003C3E73"/>
    <w:rsid w:val="003C4C80"/>
    <w:rsid w:val="003D0673"/>
    <w:rsid w:val="003D076C"/>
    <w:rsid w:val="003D2014"/>
    <w:rsid w:val="003D3085"/>
    <w:rsid w:val="003D3E22"/>
    <w:rsid w:val="003E439A"/>
    <w:rsid w:val="003E4E07"/>
    <w:rsid w:val="003E78B5"/>
    <w:rsid w:val="00401668"/>
    <w:rsid w:val="004126E8"/>
    <w:rsid w:val="00412BC0"/>
    <w:rsid w:val="004140B9"/>
    <w:rsid w:val="0041473D"/>
    <w:rsid w:val="00415BAB"/>
    <w:rsid w:val="00415ED2"/>
    <w:rsid w:val="0042068C"/>
    <w:rsid w:val="00422314"/>
    <w:rsid w:val="00433CCA"/>
    <w:rsid w:val="004412D3"/>
    <w:rsid w:val="0044318E"/>
    <w:rsid w:val="00443B35"/>
    <w:rsid w:val="00447509"/>
    <w:rsid w:val="00452428"/>
    <w:rsid w:val="00463FDB"/>
    <w:rsid w:val="00471070"/>
    <w:rsid w:val="0047122B"/>
    <w:rsid w:val="00473B7A"/>
    <w:rsid w:val="00495466"/>
    <w:rsid w:val="004960E9"/>
    <w:rsid w:val="004A2E88"/>
    <w:rsid w:val="004A5305"/>
    <w:rsid w:val="004A7930"/>
    <w:rsid w:val="004A7E12"/>
    <w:rsid w:val="004B082F"/>
    <w:rsid w:val="004B1081"/>
    <w:rsid w:val="004B2A6F"/>
    <w:rsid w:val="004B517C"/>
    <w:rsid w:val="004C1248"/>
    <w:rsid w:val="004C1DE8"/>
    <w:rsid w:val="004C3733"/>
    <w:rsid w:val="004D7634"/>
    <w:rsid w:val="004D7AAC"/>
    <w:rsid w:val="004E361F"/>
    <w:rsid w:val="004E4630"/>
    <w:rsid w:val="004E5334"/>
    <w:rsid w:val="004E611A"/>
    <w:rsid w:val="004F3640"/>
    <w:rsid w:val="004F39AF"/>
    <w:rsid w:val="005029F7"/>
    <w:rsid w:val="00502BA6"/>
    <w:rsid w:val="00504ADC"/>
    <w:rsid w:val="00506327"/>
    <w:rsid w:val="00522C8E"/>
    <w:rsid w:val="00524F2E"/>
    <w:rsid w:val="00525579"/>
    <w:rsid w:val="005300D3"/>
    <w:rsid w:val="00541254"/>
    <w:rsid w:val="00543CB7"/>
    <w:rsid w:val="00544F82"/>
    <w:rsid w:val="00546A11"/>
    <w:rsid w:val="005509D2"/>
    <w:rsid w:val="0055152C"/>
    <w:rsid w:val="00551CA0"/>
    <w:rsid w:val="005576BC"/>
    <w:rsid w:val="0056452F"/>
    <w:rsid w:val="005701E8"/>
    <w:rsid w:val="00575D13"/>
    <w:rsid w:val="00576854"/>
    <w:rsid w:val="00580106"/>
    <w:rsid w:val="00582F38"/>
    <w:rsid w:val="00586025"/>
    <w:rsid w:val="005920DF"/>
    <w:rsid w:val="00593190"/>
    <w:rsid w:val="00593C4F"/>
    <w:rsid w:val="005946A8"/>
    <w:rsid w:val="005958F9"/>
    <w:rsid w:val="005A2B4D"/>
    <w:rsid w:val="005A4407"/>
    <w:rsid w:val="005A59EF"/>
    <w:rsid w:val="005B1C7E"/>
    <w:rsid w:val="005C3F2A"/>
    <w:rsid w:val="005C6976"/>
    <w:rsid w:val="005C6EAC"/>
    <w:rsid w:val="005E17F4"/>
    <w:rsid w:val="005E2A46"/>
    <w:rsid w:val="005E7818"/>
    <w:rsid w:val="005F6F41"/>
    <w:rsid w:val="00605F9E"/>
    <w:rsid w:val="00614D01"/>
    <w:rsid w:val="00625DC6"/>
    <w:rsid w:val="00633E7A"/>
    <w:rsid w:val="00636B5E"/>
    <w:rsid w:val="00640382"/>
    <w:rsid w:val="0064391D"/>
    <w:rsid w:val="00651821"/>
    <w:rsid w:val="00654384"/>
    <w:rsid w:val="00661E64"/>
    <w:rsid w:val="0066698F"/>
    <w:rsid w:val="006675CD"/>
    <w:rsid w:val="0067206E"/>
    <w:rsid w:val="00676709"/>
    <w:rsid w:val="00684D9B"/>
    <w:rsid w:val="0068510A"/>
    <w:rsid w:val="00697556"/>
    <w:rsid w:val="006978D7"/>
    <w:rsid w:val="006A57CA"/>
    <w:rsid w:val="006B4647"/>
    <w:rsid w:val="006B4C2B"/>
    <w:rsid w:val="006B50AF"/>
    <w:rsid w:val="006B5F53"/>
    <w:rsid w:val="006B6194"/>
    <w:rsid w:val="006B6D47"/>
    <w:rsid w:val="006C145F"/>
    <w:rsid w:val="006C5AFE"/>
    <w:rsid w:val="006C6C91"/>
    <w:rsid w:val="006C76B0"/>
    <w:rsid w:val="006D33A1"/>
    <w:rsid w:val="006E4859"/>
    <w:rsid w:val="006F05C5"/>
    <w:rsid w:val="006F22B5"/>
    <w:rsid w:val="006F6D95"/>
    <w:rsid w:val="00704093"/>
    <w:rsid w:val="0070527B"/>
    <w:rsid w:val="00706F13"/>
    <w:rsid w:val="007072E8"/>
    <w:rsid w:val="007124F3"/>
    <w:rsid w:val="00713D6C"/>
    <w:rsid w:val="0071618D"/>
    <w:rsid w:val="00725FA4"/>
    <w:rsid w:val="007343EA"/>
    <w:rsid w:val="0073555D"/>
    <w:rsid w:val="0073712A"/>
    <w:rsid w:val="00737EE1"/>
    <w:rsid w:val="00737F10"/>
    <w:rsid w:val="00740446"/>
    <w:rsid w:val="00742B65"/>
    <w:rsid w:val="007438A9"/>
    <w:rsid w:val="0074491E"/>
    <w:rsid w:val="0076247A"/>
    <w:rsid w:val="00765AF4"/>
    <w:rsid w:val="00766D44"/>
    <w:rsid w:val="00774049"/>
    <w:rsid w:val="00775964"/>
    <w:rsid w:val="007765FE"/>
    <w:rsid w:val="00780A61"/>
    <w:rsid w:val="00785DCD"/>
    <w:rsid w:val="00792978"/>
    <w:rsid w:val="00794E2E"/>
    <w:rsid w:val="00795BFB"/>
    <w:rsid w:val="0079603D"/>
    <w:rsid w:val="007B2638"/>
    <w:rsid w:val="007B2756"/>
    <w:rsid w:val="007B2760"/>
    <w:rsid w:val="007B5922"/>
    <w:rsid w:val="007B616A"/>
    <w:rsid w:val="007C1157"/>
    <w:rsid w:val="007C652E"/>
    <w:rsid w:val="007D0057"/>
    <w:rsid w:val="007D0A61"/>
    <w:rsid w:val="007E1530"/>
    <w:rsid w:val="007E5749"/>
    <w:rsid w:val="007E60EC"/>
    <w:rsid w:val="007F0A17"/>
    <w:rsid w:val="007F7175"/>
    <w:rsid w:val="00805E3F"/>
    <w:rsid w:val="008066F0"/>
    <w:rsid w:val="00806C01"/>
    <w:rsid w:val="00812DCC"/>
    <w:rsid w:val="008148CC"/>
    <w:rsid w:val="0081575C"/>
    <w:rsid w:val="008211A4"/>
    <w:rsid w:val="008277AE"/>
    <w:rsid w:val="00834DC9"/>
    <w:rsid w:val="00845EFB"/>
    <w:rsid w:val="00855F3F"/>
    <w:rsid w:val="00873150"/>
    <w:rsid w:val="0087657D"/>
    <w:rsid w:val="00876CA9"/>
    <w:rsid w:val="008807D5"/>
    <w:rsid w:val="00880832"/>
    <w:rsid w:val="0088328A"/>
    <w:rsid w:val="00883AFD"/>
    <w:rsid w:val="00886EE1"/>
    <w:rsid w:val="0088727D"/>
    <w:rsid w:val="008925C9"/>
    <w:rsid w:val="008954C9"/>
    <w:rsid w:val="00897C75"/>
    <w:rsid w:val="008A645A"/>
    <w:rsid w:val="008A6CC8"/>
    <w:rsid w:val="008B573C"/>
    <w:rsid w:val="008C1130"/>
    <w:rsid w:val="008D0E4E"/>
    <w:rsid w:val="008D18E6"/>
    <w:rsid w:val="008D2FF2"/>
    <w:rsid w:val="008D502B"/>
    <w:rsid w:val="008D7A9B"/>
    <w:rsid w:val="008E0060"/>
    <w:rsid w:val="008E3EFF"/>
    <w:rsid w:val="008E7091"/>
    <w:rsid w:val="008E76AC"/>
    <w:rsid w:val="008F21F6"/>
    <w:rsid w:val="008F2B56"/>
    <w:rsid w:val="00905646"/>
    <w:rsid w:val="00905CA9"/>
    <w:rsid w:val="00906440"/>
    <w:rsid w:val="00910DEB"/>
    <w:rsid w:val="00913ADF"/>
    <w:rsid w:val="00913DC8"/>
    <w:rsid w:val="00921C22"/>
    <w:rsid w:val="00922962"/>
    <w:rsid w:val="00935660"/>
    <w:rsid w:val="009453F1"/>
    <w:rsid w:val="00946544"/>
    <w:rsid w:val="00946A97"/>
    <w:rsid w:val="0095126F"/>
    <w:rsid w:val="00951F79"/>
    <w:rsid w:val="00952614"/>
    <w:rsid w:val="00960406"/>
    <w:rsid w:val="009625F2"/>
    <w:rsid w:val="00963DA8"/>
    <w:rsid w:val="00964F16"/>
    <w:rsid w:val="00974AB5"/>
    <w:rsid w:val="00975314"/>
    <w:rsid w:val="00980FED"/>
    <w:rsid w:val="00981C84"/>
    <w:rsid w:val="00982465"/>
    <w:rsid w:val="009841D5"/>
    <w:rsid w:val="0098706D"/>
    <w:rsid w:val="009935FB"/>
    <w:rsid w:val="009A2368"/>
    <w:rsid w:val="009A7B7F"/>
    <w:rsid w:val="009B09AF"/>
    <w:rsid w:val="009B27A6"/>
    <w:rsid w:val="009C3BEE"/>
    <w:rsid w:val="009E4187"/>
    <w:rsid w:val="009E7022"/>
    <w:rsid w:val="009F1672"/>
    <w:rsid w:val="009F4A54"/>
    <w:rsid w:val="009F4BEC"/>
    <w:rsid w:val="009F5874"/>
    <w:rsid w:val="00A00382"/>
    <w:rsid w:val="00A165DC"/>
    <w:rsid w:val="00A25FD7"/>
    <w:rsid w:val="00A26CC4"/>
    <w:rsid w:val="00A278E9"/>
    <w:rsid w:val="00A310EC"/>
    <w:rsid w:val="00A43AFF"/>
    <w:rsid w:val="00A43CA4"/>
    <w:rsid w:val="00A44B63"/>
    <w:rsid w:val="00A55DE6"/>
    <w:rsid w:val="00A60C08"/>
    <w:rsid w:val="00A755E7"/>
    <w:rsid w:val="00A75B79"/>
    <w:rsid w:val="00A7793A"/>
    <w:rsid w:val="00A923AA"/>
    <w:rsid w:val="00AA34DE"/>
    <w:rsid w:val="00AA4CC7"/>
    <w:rsid w:val="00AA5E8E"/>
    <w:rsid w:val="00AA63BE"/>
    <w:rsid w:val="00AB2C5F"/>
    <w:rsid w:val="00AB6CA7"/>
    <w:rsid w:val="00AD01E4"/>
    <w:rsid w:val="00AD0858"/>
    <w:rsid w:val="00AD4B14"/>
    <w:rsid w:val="00AD6E78"/>
    <w:rsid w:val="00AE1881"/>
    <w:rsid w:val="00AE2BC9"/>
    <w:rsid w:val="00AE7340"/>
    <w:rsid w:val="00AF0BCC"/>
    <w:rsid w:val="00AF1BBD"/>
    <w:rsid w:val="00AF221E"/>
    <w:rsid w:val="00AF2491"/>
    <w:rsid w:val="00B01240"/>
    <w:rsid w:val="00B01CD6"/>
    <w:rsid w:val="00B06911"/>
    <w:rsid w:val="00B10207"/>
    <w:rsid w:val="00B1360B"/>
    <w:rsid w:val="00B141E7"/>
    <w:rsid w:val="00B1534C"/>
    <w:rsid w:val="00B26CA0"/>
    <w:rsid w:val="00B311C3"/>
    <w:rsid w:val="00B351B4"/>
    <w:rsid w:val="00B353B4"/>
    <w:rsid w:val="00B40971"/>
    <w:rsid w:val="00B44499"/>
    <w:rsid w:val="00B447E5"/>
    <w:rsid w:val="00B468CA"/>
    <w:rsid w:val="00B46BCA"/>
    <w:rsid w:val="00B478AA"/>
    <w:rsid w:val="00B53A10"/>
    <w:rsid w:val="00B634EA"/>
    <w:rsid w:val="00B642EA"/>
    <w:rsid w:val="00B65873"/>
    <w:rsid w:val="00B70245"/>
    <w:rsid w:val="00B70679"/>
    <w:rsid w:val="00B70AB3"/>
    <w:rsid w:val="00B7644C"/>
    <w:rsid w:val="00B8290B"/>
    <w:rsid w:val="00B87806"/>
    <w:rsid w:val="00B87EC9"/>
    <w:rsid w:val="00B91B77"/>
    <w:rsid w:val="00BA3CCB"/>
    <w:rsid w:val="00BA7C4B"/>
    <w:rsid w:val="00BB02A5"/>
    <w:rsid w:val="00BB1822"/>
    <w:rsid w:val="00BB6211"/>
    <w:rsid w:val="00BC38FD"/>
    <w:rsid w:val="00BC4506"/>
    <w:rsid w:val="00BC4C75"/>
    <w:rsid w:val="00BC5C7E"/>
    <w:rsid w:val="00BC7A94"/>
    <w:rsid w:val="00BE4720"/>
    <w:rsid w:val="00BF2088"/>
    <w:rsid w:val="00BF5B71"/>
    <w:rsid w:val="00BF6A46"/>
    <w:rsid w:val="00C02582"/>
    <w:rsid w:val="00C028C9"/>
    <w:rsid w:val="00C034CB"/>
    <w:rsid w:val="00C050A4"/>
    <w:rsid w:val="00C051A8"/>
    <w:rsid w:val="00C054BC"/>
    <w:rsid w:val="00C0581F"/>
    <w:rsid w:val="00C100E9"/>
    <w:rsid w:val="00C10BF5"/>
    <w:rsid w:val="00C14A4F"/>
    <w:rsid w:val="00C165F2"/>
    <w:rsid w:val="00C16EF4"/>
    <w:rsid w:val="00C17897"/>
    <w:rsid w:val="00C2797E"/>
    <w:rsid w:val="00C409D5"/>
    <w:rsid w:val="00C4282F"/>
    <w:rsid w:val="00C429E2"/>
    <w:rsid w:val="00C435C3"/>
    <w:rsid w:val="00C45836"/>
    <w:rsid w:val="00C462FD"/>
    <w:rsid w:val="00C5095A"/>
    <w:rsid w:val="00C51B82"/>
    <w:rsid w:val="00C6234B"/>
    <w:rsid w:val="00C63EAE"/>
    <w:rsid w:val="00C73260"/>
    <w:rsid w:val="00C7629F"/>
    <w:rsid w:val="00C8049D"/>
    <w:rsid w:val="00C8661B"/>
    <w:rsid w:val="00C9105E"/>
    <w:rsid w:val="00C91212"/>
    <w:rsid w:val="00C96ACC"/>
    <w:rsid w:val="00C9746F"/>
    <w:rsid w:val="00CA139A"/>
    <w:rsid w:val="00CA2899"/>
    <w:rsid w:val="00CA3A3D"/>
    <w:rsid w:val="00CA642F"/>
    <w:rsid w:val="00CA77FB"/>
    <w:rsid w:val="00CB16DA"/>
    <w:rsid w:val="00CB379B"/>
    <w:rsid w:val="00CB5DD0"/>
    <w:rsid w:val="00CC0D34"/>
    <w:rsid w:val="00CC239F"/>
    <w:rsid w:val="00CC36C0"/>
    <w:rsid w:val="00CC4ED2"/>
    <w:rsid w:val="00CC51D4"/>
    <w:rsid w:val="00CC5F73"/>
    <w:rsid w:val="00CC65DA"/>
    <w:rsid w:val="00CD5E2B"/>
    <w:rsid w:val="00CE00F2"/>
    <w:rsid w:val="00CF0D18"/>
    <w:rsid w:val="00CF21B9"/>
    <w:rsid w:val="00CF39E4"/>
    <w:rsid w:val="00CF6BF9"/>
    <w:rsid w:val="00D03800"/>
    <w:rsid w:val="00D065D3"/>
    <w:rsid w:val="00D14C94"/>
    <w:rsid w:val="00D22290"/>
    <w:rsid w:val="00D22776"/>
    <w:rsid w:val="00D23890"/>
    <w:rsid w:val="00D275D7"/>
    <w:rsid w:val="00D318DC"/>
    <w:rsid w:val="00D321BF"/>
    <w:rsid w:val="00D342A6"/>
    <w:rsid w:val="00D3463A"/>
    <w:rsid w:val="00D35E58"/>
    <w:rsid w:val="00D365E8"/>
    <w:rsid w:val="00D36D1A"/>
    <w:rsid w:val="00D40BEF"/>
    <w:rsid w:val="00D45CA6"/>
    <w:rsid w:val="00D464BF"/>
    <w:rsid w:val="00D53201"/>
    <w:rsid w:val="00D53E26"/>
    <w:rsid w:val="00D56709"/>
    <w:rsid w:val="00D60BE4"/>
    <w:rsid w:val="00D66E45"/>
    <w:rsid w:val="00D73472"/>
    <w:rsid w:val="00D73BCE"/>
    <w:rsid w:val="00D8712E"/>
    <w:rsid w:val="00D967A6"/>
    <w:rsid w:val="00DA3F77"/>
    <w:rsid w:val="00DB368B"/>
    <w:rsid w:val="00DB44E6"/>
    <w:rsid w:val="00DC2DC9"/>
    <w:rsid w:val="00DC4F83"/>
    <w:rsid w:val="00DC5BAA"/>
    <w:rsid w:val="00DD4F0E"/>
    <w:rsid w:val="00DE65E0"/>
    <w:rsid w:val="00DF0BF0"/>
    <w:rsid w:val="00DF3CA2"/>
    <w:rsid w:val="00DF3E56"/>
    <w:rsid w:val="00E01463"/>
    <w:rsid w:val="00E05E0A"/>
    <w:rsid w:val="00E060BE"/>
    <w:rsid w:val="00E06AEF"/>
    <w:rsid w:val="00E07D0A"/>
    <w:rsid w:val="00E10794"/>
    <w:rsid w:val="00E130FE"/>
    <w:rsid w:val="00E159AB"/>
    <w:rsid w:val="00E15B9C"/>
    <w:rsid w:val="00E23B97"/>
    <w:rsid w:val="00E449B9"/>
    <w:rsid w:val="00E46BB3"/>
    <w:rsid w:val="00E52189"/>
    <w:rsid w:val="00E52279"/>
    <w:rsid w:val="00E534CF"/>
    <w:rsid w:val="00E53D0C"/>
    <w:rsid w:val="00E61367"/>
    <w:rsid w:val="00E61576"/>
    <w:rsid w:val="00E63388"/>
    <w:rsid w:val="00E76D75"/>
    <w:rsid w:val="00E81CB4"/>
    <w:rsid w:val="00E8527D"/>
    <w:rsid w:val="00E8585B"/>
    <w:rsid w:val="00E85F95"/>
    <w:rsid w:val="00E86F6A"/>
    <w:rsid w:val="00E95942"/>
    <w:rsid w:val="00E97940"/>
    <w:rsid w:val="00EA142B"/>
    <w:rsid w:val="00EA3F15"/>
    <w:rsid w:val="00EA472E"/>
    <w:rsid w:val="00EA67AE"/>
    <w:rsid w:val="00EA7847"/>
    <w:rsid w:val="00EB4C2F"/>
    <w:rsid w:val="00EB72BA"/>
    <w:rsid w:val="00EC5AAB"/>
    <w:rsid w:val="00ED0E88"/>
    <w:rsid w:val="00EE2E6E"/>
    <w:rsid w:val="00EF0AFF"/>
    <w:rsid w:val="00F0055F"/>
    <w:rsid w:val="00F03DF9"/>
    <w:rsid w:val="00F0759E"/>
    <w:rsid w:val="00F135CE"/>
    <w:rsid w:val="00F13E8E"/>
    <w:rsid w:val="00F16A43"/>
    <w:rsid w:val="00F16BFC"/>
    <w:rsid w:val="00F22ACC"/>
    <w:rsid w:val="00F27297"/>
    <w:rsid w:val="00F31B8B"/>
    <w:rsid w:val="00F33387"/>
    <w:rsid w:val="00F430A1"/>
    <w:rsid w:val="00F45114"/>
    <w:rsid w:val="00F46780"/>
    <w:rsid w:val="00F505A9"/>
    <w:rsid w:val="00F52DA3"/>
    <w:rsid w:val="00F616A3"/>
    <w:rsid w:val="00F6430F"/>
    <w:rsid w:val="00F67D3A"/>
    <w:rsid w:val="00F71CDA"/>
    <w:rsid w:val="00F74426"/>
    <w:rsid w:val="00F76A7C"/>
    <w:rsid w:val="00F77FDF"/>
    <w:rsid w:val="00F801CA"/>
    <w:rsid w:val="00F80FD4"/>
    <w:rsid w:val="00F821A3"/>
    <w:rsid w:val="00F83667"/>
    <w:rsid w:val="00F879A6"/>
    <w:rsid w:val="00F90E62"/>
    <w:rsid w:val="00F9314A"/>
    <w:rsid w:val="00F940B2"/>
    <w:rsid w:val="00F95B78"/>
    <w:rsid w:val="00FA1BB9"/>
    <w:rsid w:val="00FA1C49"/>
    <w:rsid w:val="00FA4E1D"/>
    <w:rsid w:val="00FB4010"/>
    <w:rsid w:val="00FC38C5"/>
    <w:rsid w:val="00FC4907"/>
    <w:rsid w:val="00FC58EF"/>
    <w:rsid w:val="00FD2694"/>
    <w:rsid w:val="00FD33DF"/>
    <w:rsid w:val="00FE39D7"/>
    <w:rsid w:val="00FF50E5"/>
    <w:rsid w:val="00FF5D55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3">
    <w:name w:val="heading 3"/>
    <w:basedOn w:val="Normal"/>
    <w:next w:val="Normal"/>
    <w:link w:val="Ttulo3Car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4647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semiHidden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semiHidden/>
    <w:rsid w:val="003101DA"/>
  </w:style>
  <w:style w:type="paragraph" w:styleId="Textoindependiente">
    <w:name w:val="Body Text"/>
    <w:basedOn w:val="Normal"/>
    <w:link w:val="TextoindependienteCar"/>
    <w:semiHidden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semiHidden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semiHidden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semiHidden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link w:val="Prrafodelista"/>
    <w:uiPriority w:val="34"/>
    <w:rsid w:val="001405C6"/>
    <w:rPr>
      <w:lang w:val="es-CO"/>
    </w:rPr>
  </w:style>
  <w:style w:type="paragraph" w:styleId="TDC1">
    <w:name w:val="toc 1"/>
    <w:basedOn w:val="Normal"/>
    <w:next w:val="Normal"/>
    <w:autoRedefine/>
    <w:semiHidden/>
    <w:rsid w:val="00D03800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6AE2"/>
    <w:rPr>
      <w:sz w:val="24"/>
      <w:szCs w:val="24"/>
    </w:rPr>
  </w:style>
  <w:style w:type="paragraph" w:styleId="Epgrafe">
    <w:name w:val="caption"/>
    <w:basedOn w:val="Normal"/>
    <w:next w:val="Normal"/>
    <w:uiPriority w:val="35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semiHidden/>
    <w:rsid w:val="006B464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0146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060B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E060BE"/>
    <w:rPr>
      <w:sz w:val="24"/>
      <w:szCs w:val="24"/>
      <w:lang w:val="es-ES" w:eastAsia="es-ES"/>
    </w:rPr>
  </w:style>
  <w:style w:type="paragraph" w:styleId="Lista">
    <w:name w:val="List"/>
    <w:basedOn w:val="Textoindependiente"/>
    <w:semiHidden/>
    <w:rsid w:val="00F76A7C"/>
    <w:pPr>
      <w:suppressAutoHyphens/>
      <w:spacing w:after="120"/>
      <w:ind w:left="0"/>
      <w:jc w:val="both"/>
    </w:pPr>
    <w:rPr>
      <w:rFonts w:cs="Tahoma"/>
      <w:b w:val="0"/>
      <w:bCs w:val="0"/>
      <w:sz w:val="22"/>
      <w:lang w:eastAsia="ar-S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91B7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B91B77"/>
    <w:rPr>
      <w:sz w:val="16"/>
      <w:szCs w:val="16"/>
      <w:lang w:val="es-ES" w:eastAsia="es-ES"/>
    </w:rPr>
  </w:style>
  <w:style w:type="paragraph" w:styleId="NormalWeb">
    <w:name w:val="Normal (Web)"/>
    <w:basedOn w:val="Normal"/>
    <w:semiHidden/>
    <w:rsid w:val="00B91B77"/>
    <w:pPr>
      <w:spacing w:before="100" w:beforeAutospacing="1" w:after="100" w:afterAutospacing="1"/>
      <w:ind w:left="0"/>
    </w:pPr>
    <w:rPr>
      <w:rFonts w:ascii="Arial Unicode MS" w:eastAsia="Arial Unicode MS" w:hAnsi="Arial Unicode MS" w:cs="Arial Unicode MS"/>
      <w:color w:val="000000"/>
    </w:rPr>
  </w:style>
  <w:style w:type="paragraph" w:customStyle="1" w:styleId="Textoindependiente21">
    <w:name w:val="Texto independiente 21"/>
    <w:basedOn w:val="Normal"/>
    <w:rsid w:val="00B91B77"/>
    <w:pPr>
      <w:ind w:left="0"/>
      <w:jc w:val="both"/>
    </w:pPr>
    <w:rPr>
      <w:rFonts w:ascii="Arial" w:hAnsi="Arial"/>
      <w:sz w:val="22"/>
      <w:szCs w:val="20"/>
      <w:lang w:val="es-CO"/>
    </w:rPr>
  </w:style>
  <w:style w:type="character" w:styleId="Refdecomentario">
    <w:name w:val="annotation reference"/>
    <w:uiPriority w:val="99"/>
    <w:semiHidden/>
    <w:unhideWhenUsed/>
    <w:rsid w:val="004710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107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471070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107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71070"/>
    <w:rPr>
      <w:b/>
      <w:bCs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3">
    <w:name w:val="heading 3"/>
    <w:basedOn w:val="Normal"/>
    <w:next w:val="Normal"/>
    <w:link w:val="Ttulo3Car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4647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semiHidden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semiHidden/>
    <w:rsid w:val="003101DA"/>
  </w:style>
  <w:style w:type="paragraph" w:styleId="Textoindependiente">
    <w:name w:val="Body Text"/>
    <w:basedOn w:val="Normal"/>
    <w:link w:val="TextoindependienteCar"/>
    <w:semiHidden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semiHidden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semiHidden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semiHidden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link w:val="Prrafodelista"/>
    <w:uiPriority w:val="34"/>
    <w:rsid w:val="001405C6"/>
    <w:rPr>
      <w:lang w:val="es-CO"/>
    </w:rPr>
  </w:style>
  <w:style w:type="paragraph" w:styleId="TDC1">
    <w:name w:val="toc 1"/>
    <w:basedOn w:val="Normal"/>
    <w:next w:val="Normal"/>
    <w:autoRedefine/>
    <w:semiHidden/>
    <w:rsid w:val="00D03800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6AE2"/>
    <w:rPr>
      <w:sz w:val="24"/>
      <w:szCs w:val="24"/>
    </w:rPr>
  </w:style>
  <w:style w:type="paragraph" w:styleId="Epgrafe">
    <w:name w:val="caption"/>
    <w:basedOn w:val="Normal"/>
    <w:next w:val="Normal"/>
    <w:uiPriority w:val="35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semiHidden/>
    <w:rsid w:val="006B464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0146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060B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E060BE"/>
    <w:rPr>
      <w:sz w:val="24"/>
      <w:szCs w:val="24"/>
      <w:lang w:val="es-ES" w:eastAsia="es-ES"/>
    </w:rPr>
  </w:style>
  <w:style w:type="paragraph" w:styleId="Lista">
    <w:name w:val="List"/>
    <w:basedOn w:val="Textoindependiente"/>
    <w:semiHidden/>
    <w:rsid w:val="00F76A7C"/>
    <w:pPr>
      <w:suppressAutoHyphens/>
      <w:spacing w:after="120"/>
      <w:ind w:left="0"/>
      <w:jc w:val="both"/>
    </w:pPr>
    <w:rPr>
      <w:rFonts w:cs="Tahoma"/>
      <w:b w:val="0"/>
      <w:bCs w:val="0"/>
      <w:sz w:val="22"/>
      <w:lang w:eastAsia="ar-S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91B7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B91B77"/>
    <w:rPr>
      <w:sz w:val="16"/>
      <w:szCs w:val="16"/>
      <w:lang w:val="es-ES" w:eastAsia="es-ES"/>
    </w:rPr>
  </w:style>
  <w:style w:type="paragraph" w:styleId="NormalWeb">
    <w:name w:val="Normal (Web)"/>
    <w:basedOn w:val="Normal"/>
    <w:semiHidden/>
    <w:rsid w:val="00B91B77"/>
    <w:pPr>
      <w:spacing w:before="100" w:beforeAutospacing="1" w:after="100" w:afterAutospacing="1"/>
      <w:ind w:left="0"/>
    </w:pPr>
    <w:rPr>
      <w:rFonts w:ascii="Arial Unicode MS" w:eastAsia="Arial Unicode MS" w:hAnsi="Arial Unicode MS" w:cs="Arial Unicode MS"/>
      <w:color w:val="000000"/>
    </w:rPr>
  </w:style>
  <w:style w:type="paragraph" w:customStyle="1" w:styleId="Textoindependiente21">
    <w:name w:val="Texto independiente 21"/>
    <w:basedOn w:val="Normal"/>
    <w:rsid w:val="00B91B77"/>
    <w:pPr>
      <w:ind w:left="0"/>
      <w:jc w:val="both"/>
    </w:pPr>
    <w:rPr>
      <w:rFonts w:ascii="Arial" w:hAnsi="Arial"/>
      <w:sz w:val="22"/>
      <w:szCs w:val="20"/>
      <w:lang w:val="es-CO"/>
    </w:rPr>
  </w:style>
  <w:style w:type="character" w:styleId="Refdecomentario">
    <w:name w:val="annotation reference"/>
    <w:uiPriority w:val="99"/>
    <w:semiHidden/>
    <w:unhideWhenUsed/>
    <w:rsid w:val="004710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107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471070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107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71070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56411-4DFB-46BC-A667-C392D73F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</Template>
  <TotalTime>0</TotalTime>
  <Pages>2</Pages>
  <Words>526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LSROJAS</dc:creator>
  <cp:lastModifiedBy>Luz Stella Rojas Macias</cp:lastModifiedBy>
  <cp:revision>2</cp:revision>
  <cp:lastPrinted>2012-07-05T17:26:00Z</cp:lastPrinted>
  <dcterms:created xsi:type="dcterms:W3CDTF">2012-07-05T22:08:00Z</dcterms:created>
  <dcterms:modified xsi:type="dcterms:W3CDTF">2012-07-05T22:08:00Z</dcterms:modified>
</cp:coreProperties>
</file>