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F7234" w:rsidRDefault="00AE3B67" w:rsidP="008F6530">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393743651" r:id="rId10"/>
        </w:pict>
      </w:r>
    </w:p>
    <w:p w:rsidR="00625DC6" w:rsidRPr="004F7234" w:rsidRDefault="00625DC6" w:rsidP="008F6530"/>
    <w:p w:rsidR="00CA77FB" w:rsidRPr="004F7234" w:rsidRDefault="000E651D" w:rsidP="008F6530">
      <w:pPr>
        <w:jc w:val="center"/>
        <w:rPr>
          <w:b/>
          <w:noProof/>
          <w:spacing w:val="20"/>
        </w:rPr>
      </w:pPr>
      <w:r w:rsidRPr="004F7234">
        <w:rPr>
          <w:bCs/>
          <w:spacing w:val="20"/>
        </w:rPr>
        <w:t>Ministerio de Minas y Energía</w:t>
      </w:r>
    </w:p>
    <w:p w:rsidR="00CA77FB" w:rsidRPr="004F7234" w:rsidRDefault="00CA77FB" w:rsidP="008F6530">
      <w:pPr>
        <w:jc w:val="center"/>
      </w:pPr>
    </w:p>
    <w:p w:rsidR="00CA77FB" w:rsidRPr="004F7234" w:rsidRDefault="00CA77FB" w:rsidP="008F6530">
      <w:pPr>
        <w:jc w:val="center"/>
        <w:rPr>
          <w:b/>
          <w:bCs/>
          <w:spacing w:val="20"/>
        </w:rPr>
      </w:pPr>
      <w:r w:rsidRPr="004F7234">
        <w:rPr>
          <w:b/>
          <w:bCs/>
          <w:spacing w:val="20"/>
        </w:rPr>
        <w:t>COMISIÓN DE REGULACIÓN DE ENERGÍA Y GAS</w:t>
      </w:r>
    </w:p>
    <w:p w:rsidR="00CA77FB" w:rsidRPr="004F7234" w:rsidRDefault="00CA77FB" w:rsidP="008F6530">
      <w:pPr>
        <w:jc w:val="center"/>
      </w:pPr>
    </w:p>
    <w:p w:rsidR="00CA77FB" w:rsidRPr="004F7234" w:rsidRDefault="00CA77FB" w:rsidP="008F6530">
      <w:pPr>
        <w:jc w:val="center"/>
      </w:pPr>
    </w:p>
    <w:p w:rsidR="00CA77FB" w:rsidRPr="004F7234" w:rsidRDefault="00CA77FB" w:rsidP="008F6530">
      <w:pPr>
        <w:jc w:val="center"/>
        <w:rPr>
          <w:b/>
          <w:spacing w:val="20"/>
        </w:rPr>
      </w:pPr>
      <w:r w:rsidRPr="004F7234">
        <w:rPr>
          <w:b/>
          <w:spacing w:val="20"/>
        </w:rPr>
        <w:t xml:space="preserve">RESOLUCIÓN No. </w:t>
      </w:r>
      <w:r w:rsidR="00795BFB" w:rsidRPr="004F7234">
        <w:rPr>
          <w:b/>
          <w:spacing w:val="20"/>
        </w:rPr>
        <w:t xml:space="preserve">                  </w:t>
      </w:r>
      <w:r w:rsidRPr="004F7234">
        <w:rPr>
          <w:b/>
          <w:spacing w:val="20"/>
        </w:rPr>
        <w:t xml:space="preserve">DE </w:t>
      </w:r>
      <w:r w:rsidR="00BF3155" w:rsidRPr="004F7234">
        <w:rPr>
          <w:b/>
          <w:spacing w:val="20"/>
        </w:rPr>
        <w:t>201</w:t>
      </w:r>
      <w:r w:rsidR="00BF3155">
        <w:rPr>
          <w:b/>
          <w:spacing w:val="20"/>
        </w:rPr>
        <w:t>2</w:t>
      </w:r>
    </w:p>
    <w:p w:rsidR="00CA77FB" w:rsidRPr="004F7234" w:rsidRDefault="00CA77FB" w:rsidP="008F6530">
      <w:pPr>
        <w:tabs>
          <w:tab w:val="left" w:pos="0"/>
          <w:tab w:val="right" w:pos="9356"/>
        </w:tabs>
        <w:jc w:val="center"/>
        <w:rPr>
          <w:rFonts w:cs="Arial"/>
          <w:b/>
          <w:snapToGrid w:val="0"/>
          <w:color w:val="000000"/>
          <w:lang w:val="es-ES_tradnl"/>
        </w:rPr>
      </w:pPr>
    </w:p>
    <w:p w:rsidR="00CA77FB" w:rsidRPr="004F7234" w:rsidRDefault="00CA77FB" w:rsidP="008F6530">
      <w:pPr>
        <w:jc w:val="center"/>
        <w:rPr>
          <w:b/>
        </w:rPr>
      </w:pPr>
      <w:r w:rsidRPr="004F7234">
        <w:rPr>
          <w:b/>
        </w:rPr>
        <w:t>(                                  )</w:t>
      </w:r>
    </w:p>
    <w:p w:rsidR="00CA77FB" w:rsidRDefault="00CA77FB" w:rsidP="008F6530">
      <w:pPr>
        <w:tabs>
          <w:tab w:val="left" w:pos="0"/>
          <w:tab w:val="right" w:pos="9356"/>
        </w:tabs>
        <w:jc w:val="center"/>
        <w:rPr>
          <w:lang w:val="es-ES_tradnl"/>
        </w:rPr>
      </w:pPr>
    </w:p>
    <w:p w:rsidR="004865DB" w:rsidRDefault="004865DB" w:rsidP="008F6530">
      <w:pPr>
        <w:tabs>
          <w:tab w:val="left" w:pos="0"/>
          <w:tab w:val="right" w:pos="9356"/>
        </w:tabs>
        <w:jc w:val="center"/>
        <w:rPr>
          <w:lang w:val="es-ES_tradnl"/>
        </w:rPr>
      </w:pPr>
    </w:p>
    <w:p w:rsidR="004865DB" w:rsidRDefault="004865DB" w:rsidP="008F6530">
      <w:pPr>
        <w:tabs>
          <w:tab w:val="left" w:pos="0"/>
          <w:tab w:val="right" w:pos="9356"/>
        </w:tabs>
        <w:jc w:val="center"/>
        <w:rPr>
          <w:lang w:val="es-ES_tradnl"/>
        </w:rPr>
      </w:pPr>
    </w:p>
    <w:p w:rsidR="00C73220" w:rsidRPr="004F7234" w:rsidRDefault="00C73220" w:rsidP="008F6530">
      <w:pPr>
        <w:tabs>
          <w:tab w:val="left" w:pos="0"/>
          <w:tab w:val="right" w:pos="9356"/>
        </w:tabs>
        <w:jc w:val="center"/>
        <w:rPr>
          <w:lang w:val="es-ES_tradnl"/>
        </w:rPr>
      </w:pPr>
    </w:p>
    <w:p w:rsidR="0080129A" w:rsidRPr="004F7234" w:rsidRDefault="000662EB" w:rsidP="000662EB">
      <w:pPr>
        <w:rPr>
          <w:rFonts w:cs="Arial"/>
        </w:rPr>
      </w:pPr>
      <w:r w:rsidRPr="000662EB">
        <w:t>Por la cual se resuelve l</w:t>
      </w:r>
      <w:r w:rsidR="00A41B7E">
        <w:t>a solicitud de la empresa Distasa</w:t>
      </w:r>
      <w:r w:rsidRPr="000662EB">
        <w:t xml:space="preserve"> S.A. E.S.P. para la inclusión de una unidad constructiva en la base de activos</w:t>
      </w:r>
      <w:r w:rsidR="004865DB">
        <w:t>.</w:t>
      </w:r>
    </w:p>
    <w:p w:rsidR="0080129A" w:rsidRDefault="0080129A" w:rsidP="0080129A">
      <w:pPr>
        <w:ind w:left="540" w:right="587"/>
        <w:jc w:val="center"/>
        <w:rPr>
          <w:rFonts w:cs="Arial"/>
        </w:rPr>
      </w:pPr>
    </w:p>
    <w:p w:rsidR="004865DB" w:rsidRPr="004F7234" w:rsidRDefault="004865DB" w:rsidP="0080129A">
      <w:pPr>
        <w:ind w:left="540" w:right="587"/>
        <w:jc w:val="center"/>
        <w:rPr>
          <w:rFonts w:cs="Arial"/>
        </w:rPr>
      </w:pPr>
    </w:p>
    <w:p w:rsidR="0080129A" w:rsidRPr="004F7234" w:rsidRDefault="0080129A" w:rsidP="0080129A">
      <w:pPr>
        <w:jc w:val="center"/>
        <w:rPr>
          <w:b/>
        </w:rPr>
      </w:pPr>
      <w:r w:rsidRPr="004F7234">
        <w:rPr>
          <w:b/>
        </w:rPr>
        <w:t>LA COMISIÓN DE REGULACIÓN DE ENERGÍA Y GAS</w:t>
      </w:r>
    </w:p>
    <w:p w:rsidR="0080129A" w:rsidRPr="004F7234" w:rsidRDefault="0080129A" w:rsidP="0080129A">
      <w:pPr>
        <w:tabs>
          <w:tab w:val="left" w:pos="8640"/>
        </w:tabs>
        <w:ind w:left="720" w:right="766"/>
        <w:rPr>
          <w:rFonts w:cs="Arial"/>
          <w:bCs/>
        </w:rPr>
      </w:pPr>
    </w:p>
    <w:p w:rsidR="0080129A" w:rsidRPr="004F7234" w:rsidRDefault="0080129A" w:rsidP="0080129A">
      <w:pPr>
        <w:tabs>
          <w:tab w:val="left" w:pos="8640"/>
        </w:tabs>
        <w:ind w:left="720" w:right="766"/>
        <w:rPr>
          <w:rFonts w:cs="Arial"/>
          <w:bCs/>
        </w:rPr>
      </w:pPr>
    </w:p>
    <w:p w:rsidR="0080129A" w:rsidRPr="004F7234" w:rsidRDefault="0080129A" w:rsidP="0080129A">
      <w:pPr>
        <w:pStyle w:val="Textoindependiente2"/>
        <w:spacing w:line="240" w:lineRule="auto"/>
        <w:rPr>
          <w:bCs/>
        </w:rPr>
      </w:pPr>
      <w:r w:rsidRPr="004F7234">
        <w:rPr>
          <w:bCs/>
        </w:rPr>
        <w:t>En ejercicio de sus atribuciones legales, en especial de las conferidas por las Leyes 142 de 1994 y 143 de 1994, y en desarrollo de los Decretos 1524 y 2253 de 1994, y</w:t>
      </w:r>
    </w:p>
    <w:p w:rsidR="0080129A" w:rsidRPr="004F7234" w:rsidRDefault="0080129A" w:rsidP="0080129A">
      <w:pPr>
        <w:tabs>
          <w:tab w:val="left" w:pos="8640"/>
        </w:tabs>
        <w:ind w:left="720" w:right="766"/>
        <w:rPr>
          <w:rFonts w:cs="Arial"/>
        </w:rPr>
      </w:pPr>
    </w:p>
    <w:p w:rsidR="0080129A" w:rsidRPr="004F7234" w:rsidRDefault="0080129A" w:rsidP="0080129A">
      <w:pPr>
        <w:pStyle w:val="Ttulo6"/>
        <w:numPr>
          <w:ilvl w:val="0"/>
          <w:numId w:val="0"/>
        </w:numPr>
        <w:ind w:left="1152" w:hanging="1152"/>
        <w:jc w:val="center"/>
        <w:rPr>
          <w:rFonts w:ascii="Bookman Old Style" w:hAnsi="Bookman Old Style"/>
          <w:spacing w:val="60"/>
          <w:sz w:val="24"/>
        </w:rPr>
      </w:pPr>
      <w:r w:rsidRPr="004F7234">
        <w:rPr>
          <w:rFonts w:ascii="Bookman Old Style" w:hAnsi="Bookman Old Style"/>
          <w:spacing w:val="60"/>
          <w:sz w:val="24"/>
        </w:rPr>
        <w:t>CONSIDERANDO QUE:</w:t>
      </w:r>
    </w:p>
    <w:p w:rsidR="0080129A" w:rsidRDefault="0080129A" w:rsidP="0080129A">
      <w:pPr>
        <w:ind w:right="51"/>
        <w:rPr>
          <w:rFonts w:cs="Arial"/>
        </w:rPr>
      </w:pPr>
    </w:p>
    <w:p w:rsidR="004865DB" w:rsidRPr="004F7234" w:rsidRDefault="004865DB" w:rsidP="0080129A">
      <w:pPr>
        <w:ind w:right="51"/>
        <w:rPr>
          <w:rFonts w:cs="Arial"/>
        </w:rPr>
      </w:pPr>
    </w:p>
    <w:p w:rsidR="0080129A" w:rsidRPr="004F7234" w:rsidRDefault="0080129A" w:rsidP="00860776">
      <w:pPr>
        <w:numPr>
          <w:ilvl w:val="0"/>
          <w:numId w:val="4"/>
        </w:numPr>
        <w:overflowPunct w:val="0"/>
        <w:autoSpaceDE w:val="0"/>
        <w:autoSpaceDN w:val="0"/>
        <w:adjustRightInd w:val="0"/>
        <w:textAlignment w:val="baseline"/>
        <w:rPr>
          <w:b/>
        </w:rPr>
      </w:pPr>
      <w:r w:rsidRPr="004F7234">
        <w:rPr>
          <w:b/>
        </w:rPr>
        <w:t>ANTECEDENTES</w:t>
      </w:r>
    </w:p>
    <w:p w:rsidR="0080129A" w:rsidRPr="004F7234" w:rsidRDefault="0080129A" w:rsidP="0080129A"/>
    <w:p w:rsidR="009F069E" w:rsidRPr="009F069E" w:rsidRDefault="009F069E" w:rsidP="009F069E">
      <w:pPr>
        <w:suppressAutoHyphens/>
        <w:rPr>
          <w:rFonts w:cs="Arial"/>
          <w:spacing w:val="-3"/>
        </w:rPr>
      </w:pPr>
      <w:r w:rsidRPr="009F069E">
        <w:rPr>
          <w:rFonts w:cs="Arial"/>
          <w:spacing w:val="-3"/>
        </w:rPr>
        <w:t>Mediante la Resolución CREG 011 de 2009 se aprobó la metodología y fórmulas tarifarias para la remuneración de la actividad de transmisión de energía eléctrica en el Sistema de Transmisión Nacional.</w:t>
      </w:r>
    </w:p>
    <w:p w:rsidR="009F069E" w:rsidRPr="009F069E" w:rsidRDefault="009F069E" w:rsidP="009F069E">
      <w:pPr>
        <w:suppressAutoHyphens/>
        <w:rPr>
          <w:rFonts w:cs="Arial"/>
          <w:spacing w:val="-3"/>
        </w:rPr>
      </w:pPr>
    </w:p>
    <w:p w:rsidR="009F069E" w:rsidRPr="009F069E" w:rsidRDefault="00C43FA1" w:rsidP="009F069E">
      <w:pPr>
        <w:suppressAutoHyphens/>
        <w:rPr>
          <w:rFonts w:cs="Arial"/>
          <w:spacing w:val="-3"/>
        </w:rPr>
      </w:pPr>
      <w:r>
        <w:rPr>
          <w:rFonts w:cs="Arial"/>
          <w:spacing w:val="-3"/>
        </w:rPr>
        <w:t>Con base en la metodología y</w:t>
      </w:r>
      <w:r w:rsidR="00960FFA">
        <w:rPr>
          <w:rFonts w:cs="Arial"/>
          <w:spacing w:val="-3"/>
        </w:rPr>
        <w:t xml:space="preserve"> la información reportada por la</w:t>
      </w:r>
      <w:r>
        <w:rPr>
          <w:rFonts w:cs="Arial"/>
          <w:spacing w:val="-3"/>
        </w:rPr>
        <w:t xml:space="preserve"> empresa, a través de </w:t>
      </w:r>
      <w:r w:rsidR="009F069E" w:rsidRPr="009F069E">
        <w:rPr>
          <w:rFonts w:cs="Arial"/>
          <w:spacing w:val="-3"/>
        </w:rPr>
        <w:t xml:space="preserve">la Resolución CREG 105 de 2010, la Comisión aprobó la base de activos y los parámetros necesarios para determinar la remuneración de </w:t>
      </w:r>
      <w:proofErr w:type="spellStart"/>
      <w:r w:rsidR="009F069E" w:rsidRPr="009F069E">
        <w:rPr>
          <w:rFonts w:cs="Arial"/>
          <w:spacing w:val="-3"/>
        </w:rPr>
        <w:t>D</w:t>
      </w:r>
      <w:r w:rsidR="0086451A">
        <w:rPr>
          <w:rFonts w:cs="Arial"/>
          <w:spacing w:val="-3"/>
        </w:rPr>
        <w:t>istasa</w:t>
      </w:r>
      <w:proofErr w:type="spellEnd"/>
      <w:r w:rsidR="009F069E" w:rsidRPr="009F069E">
        <w:rPr>
          <w:rFonts w:cs="Arial"/>
          <w:spacing w:val="-3"/>
        </w:rPr>
        <w:t xml:space="preserve"> S.A. E.S.P. en el Sistema de Transmisión Nacional.</w:t>
      </w:r>
    </w:p>
    <w:p w:rsidR="009F069E" w:rsidRPr="009F069E" w:rsidRDefault="009F069E" w:rsidP="009F069E">
      <w:pPr>
        <w:suppressAutoHyphens/>
        <w:rPr>
          <w:rFonts w:cs="Arial"/>
          <w:spacing w:val="-3"/>
        </w:rPr>
      </w:pPr>
    </w:p>
    <w:p w:rsidR="0080129A" w:rsidRPr="004F7234" w:rsidRDefault="00960FFA" w:rsidP="009F069E">
      <w:pPr>
        <w:suppressAutoHyphens/>
        <w:rPr>
          <w:rFonts w:cs="Arial"/>
          <w:b/>
          <w:spacing w:val="-3"/>
        </w:rPr>
      </w:pPr>
      <w:r>
        <w:rPr>
          <w:rFonts w:cs="Arial"/>
          <w:spacing w:val="-3"/>
        </w:rPr>
        <w:t xml:space="preserve">Con la comunicación radicada </w:t>
      </w:r>
      <w:r w:rsidR="00C43FA1">
        <w:rPr>
          <w:rFonts w:cs="Arial"/>
          <w:spacing w:val="-3"/>
        </w:rPr>
        <w:t xml:space="preserve">en la </w:t>
      </w:r>
      <w:r w:rsidR="009F069E" w:rsidRPr="009F069E">
        <w:rPr>
          <w:rFonts w:cs="Arial"/>
          <w:spacing w:val="-3"/>
        </w:rPr>
        <w:t xml:space="preserve">CREG </w:t>
      </w:r>
      <w:r w:rsidR="00C43FA1">
        <w:rPr>
          <w:rFonts w:cs="Arial"/>
          <w:spacing w:val="-3"/>
        </w:rPr>
        <w:t xml:space="preserve">con el número </w:t>
      </w:r>
      <w:r w:rsidR="0086451A">
        <w:rPr>
          <w:rFonts w:cs="Arial"/>
          <w:spacing w:val="-3"/>
        </w:rPr>
        <w:t xml:space="preserve">E-2011-009668, </w:t>
      </w:r>
      <w:proofErr w:type="spellStart"/>
      <w:r w:rsidR="0086451A">
        <w:rPr>
          <w:rFonts w:cs="Arial"/>
          <w:spacing w:val="-3"/>
        </w:rPr>
        <w:t>Distasa</w:t>
      </w:r>
      <w:proofErr w:type="spellEnd"/>
      <w:r w:rsidR="009F069E" w:rsidRPr="009F069E">
        <w:rPr>
          <w:rFonts w:cs="Arial"/>
          <w:spacing w:val="-3"/>
        </w:rPr>
        <w:t xml:space="preserve"> S.A. E.S.P. solicitó la modificación de la base de activos de la empresa, definida en la Resolución CREG 105 de 201</w:t>
      </w:r>
      <w:r w:rsidR="00AE073A">
        <w:rPr>
          <w:rFonts w:cs="Arial"/>
          <w:spacing w:val="-3"/>
        </w:rPr>
        <w:t>0</w:t>
      </w:r>
      <w:r w:rsidR="003B2C20">
        <w:rPr>
          <w:rFonts w:cs="Arial"/>
          <w:spacing w:val="-3"/>
        </w:rPr>
        <w:t>.</w:t>
      </w:r>
    </w:p>
    <w:p w:rsidR="0080129A" w:rsidRPr="004F7234" w:rsidRDefault="0080129A" w:rsidP="0080129A">
      <w:pPr>
        <w:suppressAutoHyphens/>
        <w:rPr>
          <w:rFonts w:cs="Arial"/>
          <w:b/>
          <w:spacing w:val="-3"/>
        </w:rPr>
      </w:pPr>
    </w:p>
    <w:p w:rsidR="0080129A" w:rsidRPr="004F7234" w:rsidRDefault="0080129A" w:rsidP="00860776">
      <w:pPr>
        <w:numPr>
          <w:ilvl w:val="0"/>
          <w:numId w:val="4"/>
        </w:numPr>
        <w:overflowPunct w:val="0"/>
        <w:autoSpaceDE w:val="0"/>
        <w:autoSpaceDN w:val="0"/>
        <w:adjustRightInd w:val="0"/>
        <w:textAlignment w:val="baseline"/>
        <w:rPr>
          <w:b/>
        </w:rPr>
      </w:pPr>
      <w:r w:rsidRPr="004F7234">
        <w:rPr>
          <w:b/>
        </w:rPr>
        <w:t>ARGUMENTOS DE LA EMPRESA</w:t>
      </w:r>
    </w:p>
    <w:p w:rsidR="0080129A" w:rsidRPr="004F7234" w:rsidRDefault="0080129A" w:rsidP="0080129A">
      <w:pPr>
        <w:suppressAutoHyphens/>
        <w:rPr>
          <w:rFonts w:cs="Arial"/>
          <w:b/>
          <w:spacing w:val="-3"/>
        </w:rPr>
      </w:pPr>
    </w:p>
    <w:p w:rsidR="009F069E" w:rsidRPr="009F069E" w:rsidRDefault="009F069E" w:rsidP="009F069E">
      <w:pPr>
        <w:rPr>
          <w:rFonts w:cs="Arial"/>
          <w:spacing w:val="-3"/>
        </w:rPr>
      </w:pPr>
      <w:proofErr w:type="spellStart"/>
      <w:r w:rsidRPr="009F069E">
        <w:rPr>
          <w:rFonts w:cs="Arial"/>
          <w:spacing w:val="-3"/>
        </w:rPr>
        <w:t>D</w:t>
      </w:r>
      <w:r w:rsidR="0086451A">
        <w:rPr>
          <w:rFonts w:cs="Arial"/>
          <w:spacing w:val="-3"/>
        </w:rPr>
        <w:t>istasa</w:t>
      </w:r>
      <w:proofErr w:type="spellEnd"/>
      <w:r w:rsidRPr="009F069E">
        <w:rPr>
          <w:rFonts w:cs="Arial"/>
          <w:spacing w:val="-3"/>
        </w:rPr>
        <w:t xml:space="preserve"> S.A. E.S.P. presentó los siguientes argumentos como sustento de su solicitud:</w:t>
      </w:r>
    </w:p>
    <w:p w:rsidR="009F069E" w:rsidRPr="009F069E" w:rsidRDefault="009F069E" w:rsidP="009F069E">
      <w:pPr>
        <w:rPr>
          <w:rFonts w:cs="Arial"/>
          <w:spacing w:val="-3"/>
        </w:rPr>
      </w:pPr>
    </w:p>
    <w:p w:rsidR="009F069E" w:rsidRPr="009F069E" w:rsidRDefault="009F069E" w:rsidP="002F0281">
      <w:pPr>
        <w:keepNext/>
        <w:ind w:left="567" w:right="567"/>
        <w:rPr>
          <w:rFonts w:cs="Arial"/>
          <w:spacing w:val="-3"/>
          <w:sz w:val="22"/>
          <w:szCs w:val="22"/>
        </w:rPr>
      </w:pPr>
      <w:r w:rsidRPr="009F069E">
        <w:rPr>
          <w:rFonts w:cs="Arial"/>
          <w:spacing w:val="-3"/>
          <w:sz w:val="22"/>
          <w:szCs w:val="22"/>
        </w:rPr>
        <w:lastRenderedPageBreak/>
        <w:t>“CONSIDERANDOS</w:t>
      </w:r>
    </w:p>
    <w:p w:rsidR="009F069E" w:rsidRPr="009F069E" w:rsidRDefault="009F069E" w:rsidP="002F0281">
      <w:pPr>
        <w:keepNext/>
        <w:ind w:left="567" w:right="567"/>
        <w:rPr>
          <w:rFonts w:cs="Arial"/>
          <w:spacing w:val="-3"/>
          <w:sz w:val="22"/>
          <w:szCs w:val="22"/>
        </w:rPr>
      </w:pPr>
    </w:p>
    <w:p w:rsidR="009F069E" w:rsidRPr="009F069E" w:rsidRDefault="009F069E" w:rsidP="002F0281">
      <w:pPr>
        <w:keepNext/>
        <w:ind w:left="567" w:right="567"/>
        <w:rPr>
          <w:rFonts w:cs="Arial"/>
          <w:spacing w:val="-3"/>
          <w:sz w:val="22"/>
          <w:szCs w:val="22"/>
        </w:rPr>
      </w:pPr>
      <w:r w:rsidRPr="009F069E">
        <w:rPr>
          <w:rFonts w:cs="Arial"/>
          <w:spacing w:val="-3"/>
          <w:sz w:val="22"/>
          <w:szCs w:val="22"/>
        </w:rPr>
        <w:t>(…)</w:t>
      </w:r>
    </w:p>
    <w:p w:rsidR="009F069E" w:rsidRPr="009F069E" w:rsidRDefault="009F069E" w:rsidP="009F069E">
      <w:pPr>
        <w:ind w:left="567" w:right="567"/>
        <w:rPr>
          <w:rFonts w:cs="Arial"/>
          <w:spacing w:val="-3"/>
          <w:sz w:val="22"/>
          <w:szCs w:val="22"/>
        </w:rPr>
      </w:pPr>
      <w:r w:rsidRPr="009F069E">
        <w:rPr>
          <w:rFonts w:cs="Arial"/>
          <w:spacing w:val="-3"/>
          <w:sz w:val="22"/>
          <w:szCs w:val="22"/>
        </w:rPr>
        <w:t>9. La CREG, en su sesión 458 del 1 de julio de 2010, aprobó la base de activos y los parámetros necesarios para determinar la remuneración de DISTASA S.A. E.S.P. en el Sistema de Transmisión Nacional.</w:t>
      </w:r>
    </w:p>
    <w:p w:rsidR="009F069E" w:rsidRPr="009F069E" w:rsidRDefault="009F069E" w:rsidP="009F069E">
      <w:pPr>
        <w:ind w:left="567" w:right="567"/>
        <w:rPr>
          <w:rFonts w:cs="Arial"/>
          <w:spacing w:val="-3"/>
          <w:sz w:val="22"/>
          <w:szCs w:val="22"/>
        </w:rPr>
      </w:pPr>
    </w:p>
    <w:p w:rsidR="009F069E" w:rsidRPr="009F069E" w:rsidRDefault="009F069E" w:rsidP="009F069E">
      <w:pPr>
        <w:ind w:left="567" w:right="567"/>
        <w:rPr>
          <w:rFonts w:cs="Arial"/>
          <w:spacing w:val="-3"/>
          <w:sz w:val="22"/>
          <w:szCs w:val="22"/>
        </w:rPr>
      </w:pPr>
      <w:r w:rsidRPr="009F069E">
        <w:rPr>
          <w:rFonts w:cs="Arial"/>
          <w:spacing w:val="-3"/>
          <w:sz w:val="22"/>
          <w:szCs w:val="22"/>
        </w:rPr>
        <w:t>10. Así las cosas, la CREG mediante Resolución 105 de 2010 aprueba la base de activos y los parámetros necesarios para determinar la remuneración de DISTASA S.A. E.S.P. en el Sistema de Transmisión Nacional.</w:t>
      </w:r>
    </w:p>
    <w:p w:rsidR="009F069E" w:rsidRPr="009F069E" w:rsidRDefault="009F069E" w:rsidP="009F069E">
      <w:pPr>
        <w:ind w:left="567" w:right="567"/>
        <w:rPr>
          <w:rFonts w:cs="Arial"/>
          <w:spacing w:val="-3"/>
          <w:sz w:val="22"/>
          <w:szCs w:val="22"/>
        </w:rPr>
      </w:pPr>
    </w:p>
    <w:p w:rsidR="009F069E" w:rsidRPr="009F069E" w:rsidRDefault="009F069E" w:rsidP="009F069E">
      <w:pPr>
        <w:ind w:left="567" w:right="567"/>
        <w:rPr>
          <w:rFonts w:cs="Arial"/>
          <w:spacing w:val="-3"/>
          <w:sz w:val="22"/>
          <w:szCs w:val="22"/>
        </w:rPr>
      </w:pPr>
      <w:r w:rsidRPr="009F069E">
        <w:rPr>
          <w:rFonts w:cs="Arial"/>
          <w:spacing w:val="-3"/>
          <w:sz w:val="22"/>
          <w:szCs w:val="22"/>
        </w:rPr>
        <w:t>11. Que por un error involuntario de DISTASA S.A. E.S.P. al momento de hacer el inventario de sus activos, no reportó la Unidad Constructiv</w:t>
      </w:r>
      <w:r w:rsidR="002F0281">
        <w:rPr>
          <w:rFonts w:cs="Arial"/>
          <w:spacing w:val="-3"/>
          <w:sz w:val="22"/>
          <w:szCs w:val="22"/>
        </w:rPr>
        <w:t>a</w:t>
      </w:r>
      <w:r w:rsidRPr="009F069E">
        <w:rPr>
          <w:rFonts w:cs="Arial"/>
          <w:spacing w:val="-3"/>
          <w:sz w:val="22"/>
          <w:szCs w:val="22"/>
        </w:rPr>
        <w:t xml:space="preserve"> CC106 “Edificio de Control”.</w:t>
      </w:r>
    </w:p>
    <w:p w:rsidR="009F069E" w:rsidRPr="004865DB" w:rsidRDefault="009F069E" w:rsidP="009F069E">
      <w:pPr>
        <w:ind w:left="567" w:right="567"/>
        <w:rPr>
          <w:rFonts w:cs="Arial"/>
          <w:spacing w:val="-3"/>
          <w:szCs w:val="22"/>
        </w:rPr>
      </w:pPr>
    </w:p>
    <w:p w:rsidR="009F069E" w:rsidRPr="009F069E" w:rsidRDefault="009F069E" w:rsidP="009F069E">
      <w:pPr>
        <w:ind w:left="567" w:right="567"/>
        <w:rPr>
          <w:rFonts w:cs="Arial"/>
          <w:spacing w:val="-3"/>
          <w:sz w:val="22"/>
          <w:szCs w:val="22"/>
        </w:rPr>
      </w:pPr>
      <w:r w:rsidRPr="009F069E">
        <w:rPr>
          <w:rFonts w:cs="Arial"/>
          <w:spacing w:val="-3"/>
          <w:sz w:val="22"/>
          <w:szCs w:val="22"/>
        </w:rPr>
        <w:t>12. Que por lo anterior, se presentó un error en el cálculo del Ingreso Anual para el Transportador – IAT por no incluir el activo mencionado en el numeral anterior, por lo que se ha visto afectado el ingreso de la compañía.</w:t>
      </w:r>
    </w:p>
    <w:p w:rsidR="009F069E" w:rsidRPr="009F069E" w:rsidRDefault="009F069E" w:rsidP="009F069E">
      <w:pPr>
        <w:ind w:left="567" w:right="567"/>
        <w:rPr>
          <w:rFonts w:cs="Arial"/>
          <w:spacing w:val="-3"/>
          <w:sz w:val="22"/>
          <w:szCs w:val="22"/>
        </w:rPr>
      </w:pPr>
    </w:p>
    <w:p w:rsidR="009F069E" w:rsidRPr="009F069E" w:rsidRDefault="009F069E" w:rsidP="009F069E">
      <w:pPr>
        <w:ind w:left="567" w:right="567"/>
        <w:rPr>
          <w:rFonts w:cs="Arial"/>
          <w:spacing w:val="-3"/>
          <w:sz w:val="22"/>
          <w:szCs w:val="22"/>
        </w:rPr>
      </w:pPr>
      <w:r w:rsidRPr="009F069E">
        <w:rPr>
          <w:rFonts w:cs="Arial"/>
          <w:spacing w:val="-3"/>
          <w:sz w:val="22"/>
          <w:szCs w:val="22"/>
        </w:rPr>
        <w:t>13. En consecuencia y de conformidad con el artículo 126 de la Ley 142 de 1994 que establece que las fórmulas tarifarias tendrán una vigencia de 5 años pero podrán modificarse, de oficio o a petición de parte, antes del plazo indicado cuando sea evidente que se cometieron graves errores en su cálculo, que lesionan injustamente los intereses de los usuarios o de la empresas, (…)</w:t>
      </w:r>
    </w:p>
    <w:p w:rsidR="009F069E" w:rsidRPr="009F069E" w:rsidRDefault="009F069E" w:rsidP="009F069E">
      <w:pPr>
        <w:ind w:left="567" w:right="567"/>
        <w:rPr>
          <w:rFonts w:cs="Arial"/>
          <w:spacing w:val="-3"/>
          <w:sz w:val="22"/>
          <w:szCs w:val="22"/>
        </w:rPr>
      </w:pPr>
    </w:p>
    <w:p w:rsidR="009F069E" w:rsidRPr="009F069E" w:rsidRDefault="009F069E" w:rsidP="009F069E">
      <w:pPr>
        <w:ind w:left="567" w:right="567"/>
        <w:rPr>
          <w:rFonts w:cs="Arial"/>
          <w:spacing w:val="-3"/>
          <w:sz w:val="22"/>
          <w:szCs w:val="22"/>
        </w:rPr>
      </w:pPr>
      <w:r w:rsidRPr="009F069E">
        <w:rPr>
          <w:rFonts w:cs="Arial"/>
          <w:spacing w:val="-3"/>
          <w:sz w:val="22"/>
          <w:szCs w:val="22"/>
        </w:rPr>
        <w:t>PETICIÓN</w:t>
      </w:r>
    </w:p>
    <w:p w:rsidR="009F069E" w:rsidRPr="009F069E" w:rsidRDefault="009F069E" w:rsidP="009F069E">
      <w:pPr>
        <w:ind w:left="567" w:right="567"/>
        <w:rPr>
          <w:rFonts w:cs="Arial"/>
          <w:spacing w:val="-3"/>
          <w:sz w:val="22"/>
          <w:szCs w:val="22"/>
        </w:rPr>
      </w:pPr>
    </w:p>
    <w:p w:rsidR="009F069E" w:rsidRDefault="009F069E" w:rsidP="009F069E">
      <w:pPr>
        <w:pStyle w:val="Prrafodelista"/>
        <w:numPr>
          <w:ilvl w:val="0"/>
          <w:numId w:val="11"/>
        </w:numPr>
        <w:ind w:right="567"/>
        <w:rPr>
          <w:rFonts w:cs="Arial"/>
          <w:spacing w:val="-3"/>
          <w:sz w:val="22"/>
          <w:szCs w:val="22"/>
        </w:rPr>
      </w:pPr>
      <w:r w:rsidRPr="009F069E">
        <w:rPr>
          <w:rFonts w:cs="Arial"/>
          <w:spacing w:val="-3"/>
          <w:sz w:val="22"/>
          <w:szCs w:val="22"/>
        </w:rPr>
        <w:t xml:space="preserve">Incluir la Unidad Constructiva </w:t>
      </w:r>
      <w:r>
        <w:rPr>
          <w:rFonts w:cs="Arial"/>
          <w:spacing w:val="-3"/>
          <w:sz w:val="22"/>
          <w:szCs w:val="22"/>
        </w:rPr>
        <w:t xml:space="preserve">CC106 “Edificio de Control” dentro de la base de activos que DISTASA S.A. E.S.P. representa ante el Liquidador </w:t>
      </w:r>
      <w:r w:rsidR="004E354A">
        <w:rPr>
          <w:rFonts w:cs="Arial"/>
          <w:spacing w:val="-3"/>
          <w:sz w:val="22"/>
          <w:szCs w:val="22"/>
        </w:rPr>
        <w:t>y Administrador de Cuentas – LAC.</w:t>
      </w:r>
    </w:p>
    <w:p w:rsidR="004E354A" w:rsidRDefault="004E354A" w:rsidP="009F069E">
      <w:pPr>
        <w:pStyle w:val="Prrafodelista"/>
        <w:numPr>
          <w:ilvl w:val="0"/>
          <w:numId w:val="11"/>
        </w:numPr>
        <w:ind w:right="567"/>
        <w:rPr>
          <w:rFonts w:cs="Arial"/>
          <w:spacing w:val="-3"/>
          <w:sz w:val="22"/>
          <w:szCs w:val="22"/>
        </w:rPr>
      </w:pPr>
      <w:r>
        <w:rPr>
          <w:rFonts w:cs="Arial"/>
          <w:spacing w:val="-3"/>
          <w:sz w:val="22"/>
          <w:szCs w:val="22"/>
        </w:rPr>
        <w:t>Aplicar nuevamente la metodología para calcular el Costo Anual Equivalente del Activo Eléctrico – CAEA valorado a costo de reposición, incluyendo la información omitida y en consecuencia modificar la resolución CREG 105 de 2010.</w:t>
      </w:r>
    </w:p>
    <w:p w:rsidR="004E354A" w:rsidRDefault="004E354A" w:rsidP="009F069E">
      <w:pPr>
        <w:pStyle w:val="Prrafodelista"/>
        <w:numPr>
          <w:ilvl w:val="0"/>
          <w:numId w:val="11"/>
        </w:numPr>
        <w:ind w:right="567"/>
        <w:rPr>
          <w:rFonts w:cs="Arial"/>
          <w:spacing w:val="-3"/>
          <w:sz w:val="22"/>
          <w:szCs w:val="22"/>
        </w:rPr>
      </w:pPr>
      <w:r>
        <w:rPr>
          <w:rFonts w:cs="Arial"/>
          <w:spacing w:val="-3"/>
          <w:sz w:val="22"/>
          <w:szCs w:val="22"/>
        </w:rPr>
        <w:t>Reconocer retroactivamente las sumas dejadas de percibir por parte de DISTASA S.A. E.S.P., al no haber incluido dentro del cálculo del Ingreso Anual para el Transportador – IAT,</w:t>
      </w:r>
      <w:r w:rsidR="002F0281">
        <w:rPr>
          <w:rFonts w:cs="Arial"/>
          <w:spacing w:val="-3"/>
          <w:sz w:val="22"/>
          <w:szCs w:val="22"/>
        </w:rPr>
        <w:t xml:space="preserve"> la Unidad Constructiva CC106 “E</w:t>
      </w:r>
      <w:r>
        <w:rPr>
          <w:rFonts w:cs="Arial"/>
          <w:spacing w:val="-3"/>
          <w:sz w:val="22"/>
          <w:szCs w:val="22"/>
        </w:rPr>
        <w:t>dificio de Control”</w:t>
      </w:r>
    </w:p>
    <w:p w:rsidR="00507A7F" w:rsidRDefault="00507A7F" w:rsidP="00507A7F">
      <w:pPr>
        <w:ind w:right="567"/>
        <w:rPr>
          <w:rFonts w:cs="Arial"/>
          <w:spacing w:val="-3"/>
          <w:sz w:val="22"/>
          <w:szCs w:val="22"/>
        </w:rPr>
      </w:pPr>
    </w:p>
    <w:p w:rsidR="00507A7F" w:rsidRDefault="00507A7F" w:rsidP="00507A7F">
      <w:pPr>
        <w:ind w:left="567" w:right="567"/>
        <w:rPr>
          <w:rFonts w:cs="Arial"/>
          <w:spacing w:val="-3"/>
          <w:sz w:val="22"/>
          <w:szCs w:val="22"/>
        </w:rPr>
      </w:pPr>
      <w:r>
        <w:rPr>
          <w:rFonts w:cs="Arial"/>
          <w:spacing w:val="-3"/>
          <w:sz w:val="22"/>
          <w:szCs w:val="22"/>
        </w:rPr>
        <w:t>FUNDAMENTOS DE DERECHO</w:t>
      </w:r>
    </w:p>
    <w:p w:rsidR="003B2C20" w:rsidRDefault="003B2C20" w:rsidP="00507A7F">
      <w:pPr>
        <w:ind w:left="567" w:right="567"/>
        <w:rPr>
          <w:rFonts w:cs="Arial"/>
          <w:spacing w:val="-3"/>
          <w:sz w:val="22"/>
          <w:szCs w:val="22"/>
        </w:rPr>
      </w:pPr>
    </w:p>
    <w:p w:rsidR="00507A7F" w:rsidRDefault="00507A7F" w:rsidP="00507A7F">
      <w:pPr>
        <w:ind w:left="567" w:right="567"/>
        <w:rPr>
          <w:rFonts w:cs="Arial"/>
          <w:spacing w:val="-3"/>
          <w:sz w:val="22"/>
          <w:szCs w:val="22"/>
        </w:rPr>
      </w:pPr>
      <w:r>
        <w:rPr>
          <w:rFonts w:cs="Arial"/>
          <w:spacing w:val="-3"/>
          <w:sz w:val="22"/>
          <w:szCs w:val="22"/>
        </w:rPr>
        <w:t>Los fundamentos en que se basa la presente solicitud</w:t>
      </w:r>
      <w:r w:rsidR="003B2C20">
        <w:rPr>
          <w:rFonts w:cs="Arial"/>
          <w:spacing w:val="-3"/>
          <w:sz w:val="22"/>
          <w:szCs w:val="22"/>
        </w:rPr>
        <w:t xml:space="preserve"> son los artículos 126 de la Ley 142 de 1994 y, 20 y 23 d</w:t>
      </w:r>
      <w:r w:rsidR="00960FFA">
        <w:rPr>
          <w:rFonts w:cs="Arial"/>
          <w:spacing w:val="-3"/>
          <w:sz w:val="22"/>
          <w:szCs w:val="22"/>
        </w:rPr>
        <w:t>e</w:t>
      </w:r>
      <w:r w:rsidR="003B2C20">
        <w:rPr>
          <w:rFonts w:cs="Arial"/>
          <w:spacing w:val="-3"/>
          <w:sz w:val="22"/>
          <w:szCs w:val="22"/>
        </w:rPr>
        <w:t xml:space="preserve"> la Ley 143 de 1994, la Resolución CREG 011 de 1999 y demás normas concordantes.”</w:t>
      </w:r>
    </w:p>
    <w:p w:rsidR="00126C44" w:rsidRPr="00C73220" w:rsidRDefault="00126C44" w:rsidP="00126C44">
      <w:pPr>
        <w:rPr>
          <w:sz w:val="32"/>
          <w:highlight w:val="yellow"/>
        </w:rPr>
      </w:pPr>
    </w:p>
    <w:p w:rsidR="0080129A" w:rsidRPr="00AE6F24" w:rsidRDefault="003B2C20" w:rsidP="00860776">
      <w:pPr>
        <w:numPr>
          <w:ilvl w:val="0"/>
          <w:numId w:val="4"/>
        </w:numPr>
        <w:overflowPunct w:val="0"/>
        <w:autoSpaceDE w:val="0"/>
        <w:autoSpaceDN w:val="0"/>
        <w:adjustRightInd w:val="0"/>
        <w:textAlignment w:val="baseline"/>
        <w:rPr>
          <w:b/>
        </w:rPr>
      </w:pPr>
      <w:r w:rsidRPr="00AE6F24">
        <w:rPr>
          <w:b/>
        </w:rPr>
        <w:t>TRÁMITE ADELANTADO</w:t>
      </w:r>
    </w:p>
    <w:p w:rsidR="0080129A" w:rsidRPr="004865DB" w:rsidRDefault="0080129A" w:rsidP="0080129A">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sz w:val="22"/>
          <w:highlight w:val="yellow"/>
        </w:rPr>
      </w:pPr>
    </w:p>
    <w:p w:rsidR="0080129A" w:rsidRPr="003B2C20" w:rsidRDefault="003B2C20" w:rsidP="003B2C20">
      <w:pPr>
        <w:rPr>
          <w:rFonts w:cs="Arial"/>
          <w:spacing w:val="-3"/>
        </w:rPr>
      </w:pPr>
      <w:r>
        <w:rPr>
          <w:rFonts w:cs="Arial"/>
          <w:spacing w:val="-3"/>
        </w:rPr>
        <w:t>Mediante Auto del día 25 de noviembre de 2011 se dio in</w:t>
      </w:r>
      <w:r w:rsidR="00AE6F24">
        <w:rPr>
          <w:rFonts w:cs="Arial"/>
          <w:spacing w:val="-3"/>
        </w:rPr>
        <w:t>i</w:t>
      </w:r>
      <w:r>
        <w:rPr>
          <w:rFonts w:cs="Arial"/>
          <w:spacing w:val="-3"/>
        </w:rPr>
        <w:t xml:space="preserve">cio a la actuación administrativa para dar respuesta a la solicitud hecha por </w:t>
      </w:r>
      <w:proofErr w:type="spellStart"/>
      <w:r>
        <w:rPr>
          <w:rFonts w:cs="Arial"/>
          <w:spacing w:val="-3"/>
        </w:rPr>
        <w:t>D</w:t>
      </w:r>
      <w:r w:rsidR="0086451A">
        <w:rPr>
          <w:rFonts w:cs="Arial"/>
          <w:spacing w:val="-3"/>
        </w:rPr>
        <w:t>istasa</w:t>
      </w:r>
      <w:proofErr w:type="spellEnd"/>
      <w:r w:rsidR="00AE6F24">
        <w:rPr>
          <w:rFonts w:cs="Arial"/>
          <w:spacing w:val="-3"/>
        </w:rPr>
        <w:t xml:space="preserve"> S.A. E.S.P. Para tal fin, mediante comunicación con radicado CREG S-2011-005161 se solicitó a la empresa publicar en diario de amplia circulación nacional un extracto sobre el inicio de la actuación, el cual fue efectuado el día 1 de diciembre de 2011 en el diario El Espectador. </w:t>
      </w:r>
    </w:p>
    <w:p w:rsidR="00126C44" w:rsidRDefault="00126C44" w:rsidP="0080129A">
      <w:pPr>
        <w:suppressAutoHyphens/>
        <w:rPr>
          <w:rFonts w:cs="Arial"/>
          <w:b/>
          <w:spacing w:val="-3"/>
        </w:rPr>
      </w:pPr>
    </w:p>
    <w:p w:rsidR="0080129A" w:rsidRDefault="0080129A" w:rsidP="002F0281">
      <w:pPr>
        <w:keepNext/>
        <w:numPr>
          <w:ilvl w:val="0"/>
          <w:numId w:val="4"/>
        </w:numPr>
        <w:overflowPunct w:val="0"/>
        <w:autoSpaceDE w:val="0"/>
        <w:autoSpaceDN w:val="0"/>
        <w:adjustRightInd w:val="0"/>
        <w:textAlignment w:val="baseline"/>
        <w:rPr>
          <w:b/>
        </w:rPr>
      </w:pPr>
      <w:r w:rsidRPr="004F7234">
        <w:rPr>
          <w:b/>
        </w:rPr>
        <w:lastRenderedPageBreak/>
        <w:t>CONSIDERACIONES DE LA CREG</w:t>
      </w:r>
    </w:p>
    <w:p w:rsidR="004865DB" w:rsidRPr="004865DB" w:rsidRDefault="004865DB" w:rsidP="004865DB">
      <w:pPr>
        <w:overflowPunct w:val="0"/>
        <w:autoSpaceDE w:val="0"/>
        <w:autoSpaceDN w:val="0"/>
        <w:adjustRightInd w:val="0"/>
        <w:ind w:left="720"/>
        <w:textAlignment w:val="baseline"/>
        <w:rPr>
          <w:b/>
          <w:sz w:val="20"/>
        </w:rPr>
      </w:pPr>
    </w:p>
    <w:p w:rsidR="00775AD2" w:rsidRDefault="0086451A" w:rsidP="0080129A">
      <w:pPr>
        <w:suppressAutoHyphens/>
        <w:rPr>
          <w:rFonts w:cs="Arial"/>
          <w:spacing w:val="-3"/>
        </w:rPr>
      </w:pPr>
      <w:r>
        <w:rPr>
          <w:rFonts w:cs="Arial"/>
          <w:spacing w:val="-3"/>
        </w:rPr>
        <w:t xml:space="preserve">La empresa </w:t>
      </w:r>
      <w:proofErr w:type="spellStart"/>
      <w:r>
        <w:rPr>
          <w:rFonts w:cs="Arial"/>
          <w:spacing w:val="-3"/>
        </w:rPr>
        <w:t>Distasa</w:t>
      </w:r>
      <w:proofErr w:type="spellEnd"/>
      <w:r w:rsidR="00775AD2">
        <w:rPr>
          <w:rFonts w:cs="Arial"/>
          <w:spacing w:val="-3"/>
        </w:rPr>
        <w:t xml:space="preserve"> S.A. E.S.P. sustenta su s</w:t>
      </w:r>
      <w:r w:rsidR="00C43FA1">
        <w:rPr>
          <w:rFonts w:cs="Arial"/>
          <w:spacing w:val="-3"/>
        </w:rPr>
        <w:t>olicitud en el error grave de cá</w:t>
      </w:r>
      <w:r w:rsidR="00775AD2">
        <w:rPr>
          <w:rFonts w:cs="Arial"/>
          <w:spacing w:val="-3"/>
        </w:rPr>
        <w:t>lculo, que se encuentra contem</w:t>
      </w:r>
      <w:r>
        <w:rPr>
          <w:rFonts w:cs="Arial"/>
          <w:spacing w:val="-3"/>
        </w:rPr>
        <w:t>plado en el artículo 126 de la L</w:t>
      </w:r>
      <w:r w:rsidR="00775AD2">
        <w:rPr>
          <w:rFonts w:cs="Arial"/>
          <w:spacing w:val="-3"/>
        </w:rPr>
        <w:t>ey 142 de 1994 co</w:t>
      </w:r>
      <w:r w:rsidR="002F0281">
        <w:rPr>
          <w:rFonts w:cs="Arial"/>
          <w:spacing w:val="-3"/>
        </w:rPr>
        <w:t>mo una causal vá</w:t>
      </w:r>
      <w:r w:rsidR="00775AD2">
        <w:rPr>
          <w:rFonts w:cs="Arial"/>
          <w:spacing w:val="-3"/>
        </w:rPr>
        <w:t>lida para solicitar</w:t>
      </w:r>
      <w:r>
        <w:rPr>
          <w:rFonts w:cs="Arial"/>
          <w:spacing w:val="-3"/>
        </w:rPr>
        <w:t>,</w:t>
      </w:r>
      <w:r w:rsidR="00775AD2">
        <w:rPr>
          <w:rFonts w:cs="Arial"/>
          <w:spacing w:val="-3"/>
        </w:rPr>
        <w:t xml:space="preserve"> </w:t>
      </w:r>
      <w:r w:rsidR="00EE1D13">
        <w:rPr>
          <w:rFonts w:cs="Arial"/>
          <w:spacing w:val="-3"/>
        </w:rPr>
        <w:t>en este caso</w:t>
      </w:r>
      <w:r>
        <w:rPr>
          <w:rFonts w:cs="Arial"/>
          <w:spacing w:val="-3"/>
        </w:rPr>
        <w:t>,</w:t>
      </w:r>
      <w:r w:rsidR="00EE1D13">
        <w:rPr>
          <w:rFonts w:cs="Arial"/>
          <w:spacing w:val="-3"/>
        </w:rPr>
        <w:t xml:space="preserve"> </w:t>
      </w:r>
      <w:r w:rsidR="00775AD2">
        <w:rPr>
          <w:rFonts w:cs="Arial"/>
          <w:spacing w:val="-3"/>
        </w:rPr>
        <w:t xml:space="preserve">la modificación de </w:t>
      </w:r>
      <w:r w:rsidR="00EE1D13">
        <w:rPr>
          <w:rFonts w:cs="Arial"/>
          <w:spacing w:val="-3"/>
        </w:rPr>
        <w:t>l</w:t>
      </w:r>
      <w:r w:rsidR="00775AD2">
        <w:rPr>
          <w:rFonts w:cs="Arial"/>
          <w:spacing w:val="-3"/>
        </w:rPr>
        <w:t xml:space="preserve">a </w:t>
      </w:r>
      <w:r w:rsidR="00EE1D13">
        <w:rPr>
          <w:rFonts w:cs="Arial"/>
          <w:spacing w:val="-3"/>
        </w:rPr>
        <w:t xml:space="preserve">respectiva </w:t>
      </w:r>
      <w:r w:rsidR="002F0281">
        <w:rPr>
          <w:rFonts w:cs="Arial"/>
          <w:spacing w:val="-3"/>
        </w:rPr>
        <w:t>fó</w:t>
      </w:r>
      <w:r w:rsidR="00775AD2">
        <w:rPr>
          <w:rFonts w:cs="Arial"/>
          <w:spacing w:val="-3"/>
        </w:rPr>
        <w:t>rmula tarifaria.</w:t>
      </w:r>
    </w:p>
    <w:p w:rsidR="00775AD2" w:rsidRDefault="00775AD2" w:rsidP="0080129A">
      <w:pPr>
        <w:suppressAutoHyphens/>
        <w:rPr>
          <w:rFonts w:cs="Arial"/>
          <w:spacing w:val="-3"/>
        </w:rPr>
      </w:pPr>
    </w:p>
    <w:p w:rsidR="00EE1D13" w:rsidRDefault="00EE1D13" w:rsidP="0080129A">
      <w:pPr>
        <w:suppressAutoHyphens/>
        <w:rPr>
          <w:rFonts w:cs="Arial"/>
          <w:spacing w:val="-3"/>
        </w:rPr>
      </w:pPr>
      <w:r>
        <w:rPr>
          <w:rFonts w:cs="Arial"/>
          <w:spacing w:val="-3"/>
        </w:rPr>
        <w:t xml:space="preserve">En consideración a lo anterior, procederá esta Comisión a analizar la procedencia de la solicitud de cara a lo establecido en el mencionado artículo y en </w:t>
      </w:r>
      <w:r w:rsidR="002F0281">
        <w:rPr>
          <w:rFonts w:cs="Arial"/>
          <w:spacing w:val="-3"/>
        </w:rPr>
        <w:t>consecuencia ordenará</w:t>
      </w:r>
      <w:r>
        <w:rPr>
          <w:rFonts w:cs="Arial"/>
          <w:spacing w:val="-3"/>
        </w:rPr>
        <w:t xml:space="preserve"> la modificación correspondiente</w:t>
      </w:r>
      <w:r w:rsidR="0086451A">
        <w:rPr>
          <w:rFonts w:cs="Arial"/>
          <w:spacing w:val="-3"/>
        </w:rPr>
        <w:t>,</w:t>
      </w:r>
      <w:r>
        <w:rPr>
          <w:rFonts w:cs="Arial"/>
          <w:spacing w:val="-3"/>
        </w:rPr>
        <w:t xml:space="preserve"> si enc</w:t>
      </w:r>
      <w:r w:rsidR="002D38B9">
        <w:rPr>
          <w:rFonts w:cs="Arial"/>
          <w:spacing w:val="-3"/>
        </w:rPr>
        <w:t>u</w:t>
      </w:r>
      <w:r>
        <w:rPr>
          <w:rFonts w:cs="Arial"/>
          <w:spacing w:val="-3"/>
        </w:rPr>
        <w:t xml:space="preserve">entra que hay lugar a ello. </w:t>
      </w:r>
    </w:p>
    <w:p w:rsidR="00EE1D13" w:rsidRDefault="00EE1D13" w:rsidP="00AE6F24">
      <w:pPr>
        <w:suppressAutoHyphens/>
        <w:rPr>
          <w:rFonts w:cs="Arial"/>
          <w:spacing w:val="-3"/>
        </w:rPr>
      </w:pPr>
      <w:r>
        <w:rPr>
          <w:rFonts w:cs="Arial"/>
          <w:spacing w:val="-3"/>
        </w:rPr>
        <w:t xml:space="preserve"> </w:t>
      </w:r>
    </w:p>
    <w:p w:rsidR="00AE6F24" w:rsidRPr="00AE6F24" w:rsidRDefault="00272760" w:rsidP="00AE6F24">
      <w:pPr>
        <w:suppressAutoHyphens/>
        <w:rPr>
          <w:rFonts w:cs="Arial"/>
          <w:spacing w:val="-3"/>
        </w:rPr>
      </w:pPr>
      <w:r>
        <w:rPr>
          <w:rFonts w:cs="Arial"/>
          <w:spacing w:val="-3"/>
        </w:rPr>
        <w:t>E</w:t>
      </w:r>
      <w:r w:rsidR="00AE6F24" w:rsidRPr="00AE6F24">
        <w:rPr>
          <w:rFonts w:cs="Arial"/>
          <w:spacing w:val="-3"/>
        </w:rPr>
        <w:t>l artículo 126 de la Ley 142 de 1994 establece lo siguiente:</w:t>
      </w:r>
    </w:p>
    <w:p w:rsidR="00AE6F24" w:rsidRPr="00AE6F24" w:rsidRDefault="00AE6F24" w:rsidP="00AE6F24">
      <w:pPr>
        <w:suppressAutoHyphens/>
        <w:rPr>
          <w:rFonts w:cs="Arial"/>
          <w:spacing w:val="-3"/>
        </w:rPr>
      </w:pPr>
    </w:p>
    <w:p w:rsidR="00AE6F24" w:rsidRPr="002A67FA" w:rsidRDefault="008F6299" w:rsidP="00EF1B92">
      <w:pPr>
        <w:suppressAutoHyphens/>
        <w:ind w:left="567" w:right="567"/>
        <w:rPr>
          <w:rFonts w:cs="Arial"/>
          <w:i/>
          <w:spacing w:val="-3"/>
          <w:sz w:val="22"/>
        </w:rPr>
      </w:pPr>
      <w:r w:rsidRPr="001B6FB4">
        <w:rPr>
          <w:rFonts w:cs="Arial"/>
          <w:b/>
          <w:spacing w:val="-3"/>
          <w:sz w:val="22"/>
        </w:rPr>
        <w:t>“</w:t>
      </w:r>
      <w:r w:rsidRPr="001B6FB4">
        <w:rPr>
          <w:rFonts w:cs="Arial"/>
          <w:b/>
          <w:i/>
          <w:spacing w:val="-3"/>
          <w:sz w:val="22"/>
        </w:rPr>
        <w:t>AR</w:t>
      </w:r>
      <w:r w:rsidR="00EF1B92" w:rsidRPr="001B6FB4">
        <w:rPr>
          <w:rFonts w:cs="Arial"/>
          <w:b/>
          <w:i/>
          <w:spacing w:val="-3"/>
          <w:sz w:val="22"/>
        </w:rPr>
        <w:t>TÍ</w:t>
      </w:r>
      <w:r w:rsidRPr="001B6FB4">
        <w:rPr>
          <w:rFonts w:cs="Arial"/>
          <w:b/>
          <w:i/>
          <w:spacing w:val="-3"/>
          <w:sz w:val="22"/>
        </w:rPr>
        <w:t>CULO 126. VIGENCIA DE LAS FÓRMULAS TARIFARIAS.</w:t>
      </w:r>
      <w:r w:rsidRPr="002A67FA">
        <w:rPr>
          <w:rFonts w:cs="Arial"/>
          <w:i/>
          <w:spacing w:val="-3"/>
          <w:sz w:val="22"/>
        </w:rPr>
        <w:t xml:space="preserve"> Las fórmulas tarifarias tendrán una vigencia de cinco años, salvo que antes haya acuerdo entre la empresa de servicios públicos y la comisión para modificarlas o prorrogarlas por un periodo igual. Excepcionalmente podrán modificarse, de oficio o petición de parte, antes del plazo indicado </w:t>
      </w:r>
      <w:r w:rsidRPr="00272760">
        <w:rPr>
          <w:rFonts w:cs="Arial"/>
          <w:i/>
          <w:spacing w:val="-3"/>
          <w:sz w:val="22"/>
        </w:rPr>
        <w:t>c</w:t>
      </w:r>
      <w:r w:rsidR="00D01989" w:rsidRPr="00272760">
        <w:rPr>
          <w:rFonts w:cs="Arial"/>
          <w:i/>
          <w:spacing w:val="-3"/>
          <w:sz w:val="22"/>
        </w:rPr>
        <w:t>u</w:t>
      </w:r>
      <w:r w:rsidRPr="00272760">
        <w:rPr>
          <w:rFonts w:cs="Arial"/>
          <w:i/>
          <w:spacing w:val="-3"/>
          <w:sz w:val="22"/>
        </w:rPr>
        <w:t>ando sea evidente que se cometieron graves errores en su cálculo, que lesionan injustamente los intereses d</w:t>
      </w:r>
      <w:r w:rsidR="002F0281">
        <w:rPr>
          <w:rFonts w:cs="Arial"/>
          <w:i/>
          <w:spacing w:val="-3"/>
          <w:sz w:val="22"/>
        </w:rPr>
        <w:t>e los usuarios o de la empresa;</w:t>
      </w:r>
      <w:r w:rsidR="0086451A">
        <w:rPr>
          <w:rFonts w:cs="Arial"/>
          <w:i/>
          <w:spacing w:val="-3"/>
          <w:sz w:val="22"/>
        </w:rPr>
        <w:t xml:space="preserve"> </w:t>
      </w:r>
      <w:r w:rsidRPr="00272760">
        <w:rPr>
          <w:rFonts w:cs="Arial"/>
          <w:i/>
          <w:spacing w:val="-3"/>
          <w:sz w:val="22"/>
        </w:rPr>
        <w:t>o que ha habido razones de caso fortuito o fuerza mayor que comprometen en forma grave la capacidad financiera de la empresa para continuar prestando el servicio en las condiciones</w:t>
      </w:r>
      <w:r w:rsidRPr="002A67FA">
        <w:rPr>
          <w:rFonts w:cs="Arial"/>
          <w:i/>
          <w:spacing w:val="-3"/>
          <w:sz w:val="22"/>
        </w:rPr>
        <w:t xml:space="preserve"> tarifarias previstas.</w:t>
      </w:r>
    </w:p>
    <w:p w:rsidR="002A67FA" w:rsidRPr="002A67FA" w:rsidRDefault="002A67FA" w:rsidP="00EF1B92">
      <w:pPr>
        <w:suppressAutoHyphens/>
        <w:ind w:left="567" w:right="567"/>
        <w:rPr>
          <w:rFonts w:cs="Arial"/>
          <w:i/>
          <w:spacing w:val="-3"/>
          <w:sz w:val="22"/>
          <w:u w:val="single"/>
        </w:rPr>
      </w:pPr>
    </w:p>
    <w:p w:rsidR="008F6299" w:rsidRPr="00EF1B92" w:rsidRDefault="008F6299" w:rsidP="00EF1B92">
      <w:pPr>
        <w:suppressAutoHyphens/>
        <w:ind w:left="567" w:right="567"/>
        <w:rPr>
          <w:rFonts w:cs="Arial"/>
          <w:spacing w:val="-3"/>
          <w:sz w:val="22"/>
        </w:rPr>
      </w:pPr>
      <w:r w:rsidRPr="002A67FA">
        <w:rPr>
          <w:rFonts w:cs="Arial"/>
          <w:i/>
          <w:spacing w:val="-3"/>
          <w:sz w:val="22"/>
        </w:rPr>
        <w:t xml:space="preserve">Vencido el periodo de vigencia de las fórmulas tarifarias, continuarán rigiendo mientras </w:t>
      </w:r>
      <w:r w:rsidR="00EF1B92" w:rsidRPr="002A67FA">
        <w:rPr>
          <w:rFonts w:cs="Arial"/>
          <w:i/>
          <w:spacing w:val="-3"/>
          <w:sz w:val="22"/>
        </w:rPr>
        <w:t>la comisión no fije las nuevas</w:t>
      </w:r>
      <w:r w:rsidR="00EF1B92" w:rsidRPr="00EF1B92">
        <w:rPr>
          <w:rFonts w:cs="Arial"/>
          <w:spacing w:val="-3"/>
          <w:sz w:val="22"/>
        </w:rPr>
        <w:t>.”</w:t>
      </w:r>
      <w:r w:rsidR="002A67FA">
        <w:rPr>
          <w:rFonts w:cs="Arial"/>
          <w:spacing w:val="-3"/>
          <w:sz w:val="22"/>
        </w:rPr>
        <w:t xml:space="preserve"> </w:t>
      </w:r>
    </w:p>
    <w:p w:rsidR="00AE6F24" w:rsidRDefault="00AE6F24" w:rsidP="00AE6F24">
      <w:pPr>
        <w:suppressAutoHyphens/>
        <w:rPr>
          <w:rFonts w:cs="Arial"/>
          <w:spacing w:val="-3"/>
        </w:rPr>
      </w:pPr>
    </w:p>
    <w:p w:rsidR="00AE6F24" w:rsidRPr="00AE6F24" w:rsidRDefault="00272760" w:rsidP="00AE6F24">
      <w:pPr>
        <w:suppressAutoHyphens/>
        <w:rPr>
          <w:rFonts w:cs="Arial"/>
          <w:spacing w:val="-3"/>
        </w:rPr>
      </w:pPr>
      <w:r w:rsidRPr="00272760">
        <w:rPr>
          <w:rFonts w:cs="Arial"/>
          <w:spacing w:val="-3"/>
        </w:rPr>
        <w:t>No obstante</w:t>
      </w:r>
      <w:r w:rsidR="002F0281">
        <w:rPr>
          <w:rFonts w:cs="Arial"/>
          <w:spacing w:val="-3"/>
        </w:rPr>
        <w:t>,</w:t>
      </w:r>
      <w:r w:rsidR="00960FFA">
        <w:rPr>
          <w:rFonts w:cs="Arial"/>
          <w:spacing w:val="-3"/>
        </w:rPr>
        <w:t xml:space="preserve"> el a</w:t>
      </w:r>
      <w:r w:rsidRPr="00272760">
        <w:rPr>
          <w:rFonts w:cs="Arial"/>
          <w:spacing w:val="-3"/>
        </w:rPr>
        <w:t xml:space="preserve">rtículo 126 permite que dentro del periodo de vigencia de las fórmulas tarifarias se celebre un acuerdo entre la </w:t>
      </w:r>
      <w:r w:rsidR="0086451A">
        <w:rPr>
          <w:rFonts w:cs="Arial"/>
          <w:spacing w:val="-3"/>
        </w:rPr>
        <w:t>e</w:t>
      </w:r>
      <w:r w:rsidRPr="00272760">
        <w:rPr>
          <w:rFonts w:cs="Arial"/>
          <w:spacing w:val="-3"/>
        </w:rPr>
        <w:t xml:space="preserve">mpresa de </w:t>
      </w:r>
      <w:r w:rsidR="0086451A">
        <w:rPr>
          <w:rFonts w:cs="Arial"/>
          <w:spacing w:val="-3"/>
        </w:rPr>
        <w:t>s</w:t>
      </w:r>
      <w:r w:rsidRPr="00272760">
        <w:rPr>
          <w:rFonts w:cs="Arial"/>
          <w:spacing w:val="-3"/>
        </w:rPr>
        <w:t xml:space="preserve">ervicios </w:t>
      </w:r>
      <w:r w:rsidR="0086451A">
        <w:rPr>
          <w:rFonts w:cs="Arial"/>
          <w:spacing w:val="-3"/>
        </w:rPr>
        <w:t>p</w:t>
      </w:r>
      <w:r w:rsidRPr="00272760">
        <w:rPr>
          <w:rFonts w:cs="Arial"/>
          <w:spacing w:val="-3"/>
        </w:rPr>
        <w:t>úblicos y la Comisión para modificarlas</w:t>
      </w:r>
      <w:r w:rsidR="002F0281">
        <w:rPr>
          <w:rFonts w:cs="Arial"/>
          <w:spacing w:val="-3"/>
        </w:rPr>
        <w:t>.</w:t>
      </w:r>
      <w:r>
        <w:rPr>
          <w:rFonts w:cs="Arial"/>
          <w:color w:val="666666"/>
          <w:sz w:val="27"/>
          <w:szCs w:val="27"/>
        </w:rPr>
        <w:t xml:space="preserve"> </w:t>
      </w:r>
      <w:r w:rsidR="002F0281">
        <w:rPr>
          <w:rFonts w:cs="Arial"/>
          <w:color w:val="666666"/>
          <w:sz w:val="27"/>
          <w:szCs w:val="27"/>
        </w:rPr>
        <w:t>T</w:t>
      </w:r>
      <w:r>
        <w:rPr>
          <w:rFonts w:cs="Arial"/>
          <w:spacing w:val="-3"/>
        </w:rPr>
        <w:t xml:space="preserve">ambién establece dicho artículo </w:t>
      </w:r>
      <w:r w:rsidR="00FB6EC2">
        <w:rPr>
          <w:rFonts w:cs="Arial"/>
          <w:spacing w:val="-3"/>
        </w:rPr>
        <w:t xml:space="preserve">que </w:t>
      </w:r>
      <w:r>
        <w:rPr>
          <w:rFonts w:cs="Arial"/>
          <w:spacing w:val="-3"/>
        </w:rPr>
        <w:t>excepcionalmente</w:t>
      </w:r>
      <w:r w:rsidR="0086451A">
        <w:rPr>
          <w:rFonts w:cs="Arial"/>
          <w:spacing w:val="-3"/>
        </w:rPr>
        <w:t>,</w:t>
      </w:r>
      <w:r>
        <w:rPr>
          <w:rFonts w:cs="Arial"/>
          <w:spacing w:val="-3"/>
        </w:rPr>
        <w:t xml:space="preserve"> </w:t>
      </w:r>
      <w:r w:rsidR="00657AEA">
        <w:rPr>
          <w:rFonts w:cs="Arial"/>
          <w:spacing w:val="-3"/>
        </w:rPr>
        <w:t xml:space="preserve">de oficio o a solicitud de parte, </w:t>
      </w:r>
      <w:r>
        <w:rPr>
          <w:rFonts w:cs="Arial"/>
          <w:spacing w:val="-3"/>
        </w:rPr>
        <w:t>l</w:t>
      </w:r>
      <w:r w:rsidR="00FB6EC2">
        <w:rPr>
          <w:rFonts w:cs="Arial"/>
          <w:spacing w:val="-3"/>
        </w:rPr>
        <w:t>a</w:t>
      </w:r>
      <w:r w:rsidR="009A4147">
        <w:rPr>
          <w:rFonts w:cs="Arial"/>
          <w:spacing w:val="-3"/>
        </w:rPr>
        <w:t>s</w:t>
      </w:r>
      <w:r w:rsidR="002F0281">
        <w:rPr>
          <w:rFonts w:cs="Arial"/>
          <w:spacing w:val="-3"/>
        </w:rPr>
        <w:t xml:space="preserve"> fó</w:t>
      </w:r>
      <w:r w:rsidR="00FB6EC2">
        <w:rPr>
          <w:rFonts w:cs="Arial"/>
          <w:spacing w:val="-3"/>
        </w:rPr>
        <w:t xml:space="preserve">rmulas </w:t>
      </w:r>
      <w:r>
        <w:rPr>
          <w:rFonts w:cs="Arial"/>
          <w:spacing w:val="-3"/>
        </w:rPr>
        <w:t xml:space="preserve">tarifarias </w:t>
      </w:r>
      <w:r w:rsidR="002F0281">
        <w:rPr>
          <w:rFonts w:cs="Arial"/>
          <w:spacing w:val="-3"/>
        </w:rPr>
        <w:t>só</w:t>
      </w:r>
      <w:r w:rsidR="00FB6EC2">
        <w:rPr>
          <w:rFonts w:cs="Arial"/>
          <w:spacing w:val="-3"/>
        </w:rPr>
        <w:t xml:space="preserve">lo podrán modificarse </w:t>
      </w:r>
      <w:r>
        <w:rPr>
          <w:rFonts w:cs="Arial"/>
          <w:spacing w:val="-3"/>
        </w:rPr>
        <w:t xml:space="preserve">cuando </w:t>
      </w:r>
      <w:r w:rsidRPr="00272760">
        <w:rPr>
          <w:rFonts w:cs="Arial"/>
          <w:i/>
          <w:spacing w:val="-3"/>
        </w:rPr>
        <w:t>i)</w:t>
      </w:r>
      <w:r>
        <w:rPr>
          <w:rFonts w:cs="Arial"/>
          <w:spacing w:val="-3"/>
        </w:rPr>
        <w:t xml:space="preserve"> sea</w:t>
      </w:r>
      <w:r w:rsidR="00AE6F24" w:rsidRPr="00AE6F24">
        <w:rPr>
          <w:rFonts w:cs="Arial"/>
          <w:spacing w:val="-3"/>
        </w:rPr>
        <w:t xml:space="preserve"> eviden</w:t>
      </w:r>
      <w:r>
        <w:rPr>
          <w:rFonts w:cs="Arial"/>
          <w:spacing w:val="-3"/>
        </w:rPr>
        <w:t xml:space="preserve">te </w:t>
      </w:r>
      <w:r w:rsidR="00AE6F24" w:rsidRPr="00AE6F24">
        <w:rPr>
          <w:rFonts w:cs="Arial"/>
          <w:spacing w:val="-3"/>
        </w:rPr>
        <w:t xml:space="preserve">que se cometieron graves errores en </w:t>
      </w:r>
      <w:r>
        <w:rPr>
          <w:rFonts w:cs="Arial"/>
          <w:spacing w:val="-3"/>
        </w:rPr>
        <w:t>su</w:t>
      </w:r>
      <w:r w:rsidR="00C43FA1">
        <w:rPr>
          <w:rFonts w:cs="Arial"/>
          <w:spacing w:val="-3"/>
        </w:rPr>
        <w:t xml:space="preserve"> cá</w:t>
      </w:r>
      <w:r w:rsidR="00AE6F24" w:rsidRPr="00AE6F24">
        <w:rPr>
          <w:rFonts w:cs="Arial"/>
          <w:spacing w:val="-3"/>
        </w:rPr>
        <w:t>lculo que lesion</w:t>
      </w:r>
      <w:r>
        <w:rPr>
          <w:rFonts w:cs="Arial"/>
          <w:spacing w:val="-3"/>
        </w:rPr>
        <w:t>a</w:t>
      </w:r>
      <w:r w:rsidR="002F0281">
        <w:rPr>
          <w:rFonts w:cs="Arial"/>
          <w:spacing w:val="-3"/>
        </w:rPr>
        <w:t>n injustamente los intere</w:t>
      </w:r>
      <w:r w:rsidR="00AE6F24" w:rsidRPr="00AE6F24">
        <w:rPr>
          <w:rFonts w:cs="Arial"/>
          <w:spacing w:val="-3"/>
        </w:rPr>
        <w:t>s</w:t>
      </w:r>
      <w:r w:rsidR="002F0281">
        <w:rPr>
          <w:rFonts w:cs="Arial"/>
          <w:spacing w:val="-3"/>
        </w:rPr>
        <w:t>es</w:t>
      </w:r>
      <w:r w:rsidR="00AE6F24" w:rsidRPr="00AE6F24">
        <w:rPr>
          <w:rFonts w:cs="Arial"/>
          <w:spacing w:val="-3"/>
        </w:rPr>
        <w:t xml:space="preserve"> de los usuarios o de las empresa,</w:t>
      </w:r>
      <w:r w:rsidR="009A4147">
        <w:rPr>
          <w:rFonts w:cs="Arial"/>
          <w:spacing w:val="-3"/>
        </w:rPr>
        <w:t xml:space="preserve"> </w:t>
      </w:r>
      <w:r>
        <w:rPr>
          <w:rFonts w:cs="Arial"/>
          <w:spacing w:val="-3"/>
        </w:rPr>
        <w:t xml:space="preserve">o </w:t>
      </w:r>
      <w:r w:rsidRPr="00272760">
        <w:rPr>
          <w:rFonts w:cs="Arial"/>
          <w:i/>
          <w:spacing w:val="-3"/>
        </w:rPr>
        <w:t>ii)</w:t>
      </w:r>
      <w:r>
        <w:rPr>
          <w:rFonts w:cs="Arial"/>
          <w:spacing w:val="-3"/>
        </w:rPr>
        <w:t xml:space="preserve"> que </w:t>
      </w:r>
      <w:r w:rsidR="00AE6F24" w:rsidRPr="00AE6F24">
        <w:rPr>
          <w:rFonts w:cs="Arial"/>
          <w:spacing w:val="-3"/>
        </w:rPr>
        <w:t>existen razones de caso fortuito o fuerza mayor que comprometan en forma grave la capacidad financiera de la empresa para continuar prestando el servicio en las condiciones tarifarias previstas.</w:t>
      </w:r>
    </w:p>
    <w:p w:rsidR="00945D1F" w:rsidRDefault="00945D1F" w:rsidP="00945D1F">
      <w:pPr>
        <w:suppressAutoHyphens/>
        <w:rPr>
          <w:rFonts w:cs="Arial"/>
          <w:spacing w:val="-3"/>
        </w:rPr>
      </w:pPr>
    </w:p>
    <w:p w:rsidR="00945D1F" w:rsidRDefault="00945D1F" w:rsidP="00945D1F">
      <w:pPr>
        <w:suppressAutoHyphens/>
        <w:rPr>
          <w:rFonts w:cs="Arial"/>
          <w:spacing w:val="-3"/>
        </w:rPr>
      </w:pPr>
      <w:r>
        <w:rPr>
          <w:rFonts w:cs="Arial"/>
          <w:spacing w:val="-3"/>
        </w:rPr>
        <w:t xml:space="preserve">En el presente caso, la actuación adelantada </w:t>
      </w:r>
      <w:r w:rsidR="00EE1D13">
        <w:rPr>
          <w:rFonts w:cs="Arial"/>
          <w:spacing w:val="-3"/>
        </w:rPr>
        <w:t xml:space="preserve">por esta Comisión, </w:t>
      </w:r>
      <w:r>
        <w:rPr>
          <w:rFonts w:cs="Arial"/>
          <w:spacing w:val="-3"/>
        </w:rPr>
        <w:t xml:space="preserve">da cuenta de que </w:t>
      </w:r>
      <w:r w:rsidR="00EE1D13">
        <w:rPr>
          <w:rFonts w:cs="Arial"/>
          <w:spacing w:val="-3"/>
        </w:rPr>
        <w:t xml:space="preserve">a petición de parte </w:t>
      </w:r>
      <w:r>
        <w:rPr>
          <w:rFonts w:cs="Arial"/>
          <w:spacing w:val="-3"/>
        </w:rPr>
        <w:t>es ne</w:t>
      </w:r>
      <w:r w:rsidR="002F0281">
        <w:rPr>
          <w:rFonts w:cs="Arial"/>
          <w:spacing w:val="-3"/>
        </w:rPr>
        <w:t>cesario revisar la respectiva fó</w:t>
      </w:r>
      <w:r>
        <w:rPr>
          <w:rFonts w:cs="Arial"/>
          <w:spacing w:val="-3"/>
        </w:rPr>
        <w:t>rmula tarifaria, debido a una situación que</w:t>
      </w:r>
      <w:r w:rsidR="00C43FA1">
        <w:rPr>
          <w:rFonts w:cs="Arial"/>
          <w:spacing w:val="-3"/>
        </w:rPr>
        <w:t>,</w:t>
      </w:r>
      <w:r>
        <w:rPr>
          <w:rFonts w:cs="Arial"/>
          <w:spacing w:val="-3"/>
        </w:rPr>
        <w:t xml:space="preserve"> aunque no es atribuible a la CREG, genera una lesión </w:t>
      </w:r>
      <w:r w:rsidR="00775AD2">
        <w:rPr>
          <w:rFonts w:cs="Arial"/>
          <w:spacing w:val="-3"/>
        </w:rPr>
        <w:t xml:space="preserve">a </w:t>
      </w:r>
      <w:r>
        <w:rPr>
          <w:rFonts w:cs="Arial"/>
          <w:spacing w:val="-3"/>
        </w:rPr>
        <w:t>lo</w:t>
      </w:r>
      <w:r w:rsidR="00775AD2">
        <w:rPr>
          <w:rFonts w:cs="Arial"/>
          <w:spacing w:val="-3"/>
        </w:rPr>
        <w:t>s</w:t>
      </w:r>
      <w:r>
        <w:rPr>
          <w:rFonts w:cs="Arial"/>
          <w:spacing w:val="-3"/>
        </w:rPr>
        <w:t xml:space="preserve"> intereses de la empresa</w:t>
      </w:r>
      <w:r w:rsidR="00775AD2">
        <w:rPr>
          <w:rFonts w:cs="Arial"/>
          <w:spacing w:val="-3"/>
        </w:rPr>
        <w:t xml:space="preserve">, lo </w:t>
      </w:r>
      <w:r w:rsidR="00C43FA1">
        <w:rPr>
          <w:rFonts w:cs="Arial"/>
          <w:spacing w:val="-3"/>
        </w:rPr>
        <w:t>cual encuentra su sustento no só</w:t>
      </w:r>
      <w:r w:rsidR="00775AD2">
        <w:rPr>
          <w:rFonts w:cs="Arial"/>
          <w:spacing w:val="-3"/>
        </w:rPr>
        <w:t xml:space="preserve">lo en el olvido </w:t>
      </w:r>
      <w:r w:rsidR="0086451A">
        <w:rPr>
          <w:rFonts w:cs="Arial"/>
          <w:spacing w:val="-3"/>
        </w:rPr>
        <w:t xml:space="preserve">que cometió </w:t>
      </w:r>
      <w:proofErr w:type="spellStart"/>
      <w:r w:rsidR="0086451A">
        <w:rPr>
          <w:rFonts w:cs="Arial"/>
          <w:spacing w:val="-3"/>
        </w:rPr>
        <w:t>Distasa</w:t>
      </w:r>
      <w:proofErr w:type="spellEnd"/>
      <w:r w:rsidR="00EE1D13">
        <w:rPr>
          <w:rFonts w:cs="Arial"/>
          <w:spacing w:val="-3"/>
        </w:rPr>
        <w:t xml:space="preserve"> S.A. E.S.P. </w:t>
      </w:r>
      <w:r w:rsidR="00775AD2">
        <w:rPr>
          <w:rFonts w:cs="Arial"/>
          <w:spacing w:val="-3"/>
        </w:rPr>
        <w:t>en el momento de report</w:t>
      </w:r>
      <w:r w:rsidR="00EE1D13">
        <w:rPr>
          <w:rFonts w:cs="Arial"/>
          <w:spacing w:val="-3"/>
        </w:rPr>
        <w:t>ar</w:t>
      </w:r>
      <w:r w:rsidR="00775AD2">
        <w:rPr>
          <w:rFonts w:cs="Arial"/>
          <w:spacing w:val="-3"/>
        </w:rPr>
        <w:t xml:space="preserve"> l</w:t>
      </w:r>
      <w:r w:rsidR="00EE1D13">
        <w:rPr>
          <w:rFonts w:cs="Arial"/>
          <w:spacing w:val="-3"/>
        </w:rPr>
        <w:t>a información</w:t>
      </w:r>
      <w:r w:rsidR="00A56FE5">
        <w:rPr>
          <w:rFonts w:cs="Arial"/>
          <w:spacing w:val="-3"/>
        </w:rPr>
        <w:t xml:space="preserve"> </w:t>
      </w:r>
      <w:r w:rsidR="00EE1D13">
        <w:rPr>
          <w:rFonts w:cs="Arial"/>
          <w:spacing w:val="-3"/>
        </w:rPr>
        <w:t>n</w:t>
      </w:r>
      <w:r w:rsidR="00A56FE5">
        <w:rPr>
          <w:rFonts w:cs="Arial"/>
          <w:spacing w:val="-3"/>
        </w:rPr>
        <w:t>e</w:t>
      </w:r>
      <w:r w:rsidR="00C43FA1">
        <w:rPr>
          <w:rFonts w:cs="Arial"/>
          <w:spacing w:val="-3"/>
        </w:rPr>
        <w:t>cesaria para el cá</w:t>
      </w:r>
      <w:r w:rsidR="00EE1D13">
        <w:rPr>
          <w:rFonts w:cs="Arial"/>
          <w:spacing w:val="-3"/>
        </w:rPr>
        <w:t xml:space="preserve">lculo correspondiente, </w:t>
      </w:r>
      <w:r w:rsidR="00C43FA1">
        <w:rPr>
          <w:rFonts w:cs="Arial"/>
          <w:spacing w:val="-3"/>
        </w:rPr>
        <w:t xml:space="preserve">sino </w:t>
      </w:r>
      <w:r w:rsidR="00ED055F">
        <w:rPr>
          <w:rFonts w:cs="Arial"/>
          <w:spacing w:val="-3"/>
        </w:rPr>
        <w:t xml:space="preserve">en </w:t>
      </w:r>
      <w:r w:rsidR="00C43FA1">
        <w:rPr>
          <w:rFonts w:cs="Arial"/>
          <w:spacing w:val="-3"/>
        </w:rPr>
        <w:t>la</w:t>
      </w:r>
      <w:r w:rsidR="00775AD2">
        <w:rPr>
          <w:rFonts w:cs="Arial"/>
          <w:spacing w:val="-3"/>
        </w:rPr>
        <w:t xml:space="preserve"> verificación que ha podido realizar esta Comisión</w:t>
      </w:r>
      <w:r w:rsidR="00A56FE5">
        <w:rPr>
          <w:rFonts w:cs="Arial"/>
          <w:spacing w:val="-3"/>
        </w:rPr>
        <w:t xml:space="preserve"> por la simple omisión de</w:t>
      </w:r>
      <w:r w:rsidR="00960FFA">
        <w:rPr>
          <w:rFonts w:cs="Arial"/>
          <w:spacing w:val="-3"/>
        </w:rPr>
        <w:t>l activo que actualmente no está</w:t>
      </w:r>
      <w:r w:rsidR="00A56FE5">
        <w:rPr>
          <w:rFonts w:cs="Arial"/>
          <w:spacing w:val="-3"/>
        </w:rPr>
        <w:t xml:space="preserve"> siendo remunerado</w:t>
      </w:r>
      <w:r w:rsidR="00775AD2">
        <w:rPr>
          <w:rFonts w:cs="Arial"/>
          <w:spacing w:val="-3"/>
        </w:rPr>
        <w:t>.</w:t>
      </w:r>
    </w:p>
    <w:p w:rsidR="00945D1F" w:rsidRDefault="00945D1F" w:rsidP="00945D1F">
      <w:pPr>
        <w:suppressAutoHyphens/>
        <w:rPr>
          <w:rFonts w:cs="Arial"/>
          <w:spacing w:val="-3"/>
        </w:rPr>
      </w:pPr>
    </w:p>
    <w:p w:rsidR="00945D1F" w:rsidRPr="00AE6F24" w:rsidRDefault="00945D1F" w:rsidP="00945D1F">
      <w:pPr>
        <w:suppressAutoHyphens/>
        <w:rPr>
          <w:rFonts w:cs="Arial"/>
          <w:spacing w:val="-3"/>
        </w:rPr>
      </w:pPr>
      <w:r w:rsidRPr="00AE6F24">
        <w:rPr>
          <w:rFonts w:cs="Arial"/>
          <w:spacing w:val="-3"/>
        </w:rPr>
        <w:t>E</w:t>
      </w:r>
      <w:r>
        <w:rPr>
          <w:rFonts w:cs="Arial"/>
          <w:spacing w:val="-3"/>
        </w:rPr>
        <w:t xml:space="preserve">n la comunicación enviada a </w:t>
      </w:r>
      <w:r w:rsidR="00775AD2">
        <w:rPr>
          <w:rFonts w:cs="Arial"/>
          <w:spacing w:val="-3"/>
        </w:rPr>
        <w:t>la CREG</w:t>
      </w:r>
      <w:r>
        <w:rPr>
          <w:rFonts w:cs="Arial"/>
          <w:spacing w:val="-3"/>
        </w:rPr>
        <w:t xml:space="preserve">, la empresa </w:t>
      </w:r>
      <w:proofErr w:type="spellStart"/>
      <w:r w:rsidR="0086451A">
        <w:rPr>
          <w:rFonts w:cs="Arial"/>
          <w:spacing w:val="-3"/>
        </w:rPr>
        <w:t>Distasa</w:t>
      </w:r>
      <w:proofErr w:type="spellEnd"/>
      <w:r w:rsidRPr="00AE6F24">
        <w:rPr>
          <w:rFonts w:cs="Arial"/>
          <w:spacing w:val="-3"/>
        </w:rPr>
        <w:t xml:space="preserve"> S.A. E.S.P.</w:t>
      </w:r>
      <w:r>
        <w:rPr>
          <w:rFonts w:cs="Arial"/>
          <w:spacing w:val="-3"/>
        </w:rPr>
        <w:t xml:space="preserve"> fundamenta su solicitud en la ocurrencia de un error grave que lesiona injustamente los intereses de la empresa</w:t>
      </w:r>
      <w:r w:rsidR="00775AD2">
        <w:rPr>
          <w:rFonts w:cs="Arial"/>
          <w:spacing w:val="-3"/>
        </w:rPr>
        <w:t xml:space="preserve"> </w:t>
      </w:r>
      <w:r w:rsidR="00A56FE5">
        <w:rPr>
          <w:rFonts w:cs="Arial"/>
          <w:spacing w:val="-3"/>
        </w:rPr>
        <w:t xml:space="preserve">en los </w:t>
      </w:r>
      <w:r w:rsidR="00775AD2">
        <w:rPr>
          <w:rFonts w:cs="Arial"/>
          <w:spacing w:val="-3"/>
        </w:rPr>
        <w:t>siguiente</w:t>
      </w:r>
      <w:r w:rsidR="00A56FE5">
        <w:rPr>
          <w:rFonts w:cs="Arial"/>
          <w:spacing w:val="-3"/>
        </w:rPr>
        <w:t>s</w:t>
      </w:r>
      <w:r w:rsidR="00775AD2">
        <w:rPr>
          <w:rFonts w:cs="Arial"/>
          <w:spacing w:val="-3"/>
        </w:rPr>
        <w:t xml:space="preserve"> </w:t>
      </w:r>
      <w:r w:rsidR="00C43FA1">
        <w:rPr>
          <w:rFonts w:cs="Arial"/>
          <w:spacing w:val="-3"/>
        </w:rPr>
        <w:t>términos</w:t>
      </w:r>
      <w:r w:rsidRPr="00AE6F24">
        <w:rPr>
          <w:rFonts w:cs="Arial"/>
          <w:spacing w:val="-3"/>
        </w:rPr>
        <w:t>:</w:t>
      </w:r>
    </w:p>
    <w:p w:rsidR="00945D1F" w:rsidRPr="00AE6F24" w:rsidRDefault="00945D1F" w:rsidP="00945D1F">
      <w:pPr>
        <w:suppressAutoHyphens/>
        <w:rPr>
          <w:rFonts w:cs="Arial"/>
          <w:spacing w:val="-3"/>
        </w:rPr>
      </w:pPr>
    </w:p>
    <w:p w:rsidR="00945D1F" w:rsidRPr="009F069E" w:rsidRDefault="00945D1F" w:rsidP="00945D1F">
      <w:pPr>
        <w:ind w:left="567" w:right="567"/>
        <w:rPr>
          <w:rFonts w:cs="Arial"/>
          <w:spacing w:val="-3"/>
          <w:sz w:val="22"/>
          <w:szCs w:val="22"/>
        </w:rPr>
      </w:pPr>
      <w:r>
        <w:rPr>
          <w:rFonts w:cs="Arial"/>
          <w:spacing w:val="-3"/>
          <w:sz w:val="22"/>
          <w:szCs w:val="22"/>
        </w:rPr>
        <w:lastRenderedPageBreak/>
        <w:t>“</w:t>
      </w:r>
      <w:r w:rsidRPr="009F069E">
        <w:rPr>
          <w:rFonts w:cs="Arial"/>
          <w:spacing w:val="-3"/>
          <w:sz w:val="22"/>
          <w:szCs w:val="22"/>
        </w:rPr>
        <w:t xml:space="preserve">11. Que por </w:t>
      </w:r>
      <w:r w:rsidRPr="00945D1F">
        <w:rPr>
          <w:rFonts w:cs="Arial"/>
          <w:spacing w:val="-3"/>
          <w:sz w:val="22"/>
          <w:szCs w:val="22"/>
          <w:u w:val="single"/>
        </w:rPr>
        <w:t>un error involuntario de DISTASA S.A. E.S.P.</w:t>
      </w:r>
      <w:r w:rsidRPr="009F069E">
        <w:rPr>
          <w:rFonts w:cs="Arial"/>
          <w:spacing w:val="-3"/>
          <w:sz w:val="22"/>
          <w:szCs w:val="22"/>
        </w:rPr>
        <w:t xml:space="preserve"> al momento de hacer el inventario de sus activos, no reportó la Unidad Constructiv</w:t>
      </w:r>
      <w:r>
        <w:rPr>
          <w:rFonts w:cs="Arial"/>
          <w:spacing w:val="-3"/>
          <w:sz w:val="22"/>
          <w:szCs w:val="22"/>
        </w:rPr>
        <w:t>a</w:t>
      </w:r>
      <w:r w:rsidRPr="009F069E">
        <w:rPr>
          <w:rFonts w:cs="Arial"/>
          <w:spacing w:val="-3"/>
          <w:sz w:val="22"/>
          <w:szCs w:val="22"/>
        </w:rPr>
        <w:t xml:space="preserve"> CC106 “Edificio de Control”.</w:t>
      </w:r>
    </w:p>
    <w:p w:rsidR="00945D1F" w:rsidRPr="009F069E" w:rsidRDefault="00945D1F" w:rsidP="00945D1F">
      <w:pPr>
        <w:ind w:left="567" w:right="567"/>
        <w:rPr>
          <w:rFonts w:cs="Arial"/>
          <w:spacing w:val="-3"/>
          <w:sz w:val="22"/>
          <w:szCs w:val="22"/>
        </w:rPr>
      </w:pPr>
    </w:p>
    <w:p w:rsidR="00945D1F" w:rsidRPr="009F069E" w:rsidRDefault="00945D1F" w:rsidP="00945D1F">
      <w:pPr>
        <w:ind w:left="567" w:right="567"/>
        <w:rPr>
          <w:rFonts w:cs="Arial"/>
          <w:spacing w:val="-3"/>
          <w:sz w:val="22"/>
          <w:szCs w:val="22"/>
        </w:rPr>
      </w:pPr>
      <w:r w:rsidRPr="009F069E">
        <w:rPr>
          <w:rFonts w:cs="Arial"/>
          <w:spacing w:val="-3"/>
          <w:sz w:val="22"/>
          <w:szCs w:val="22"/>
        </w:rPr>
        <w:t xml:space="preserve">12. Que por lo anterior, se presentó un error en el cálculo del Ingreso Anual para el Transportador – IAT por no incluir el activo mencionado en el numeral anterior, </w:t>
      </w:r>
      <w:r w:rsidRPr="00945D1F">
        <w:rPr>
          <w:rFonts w:cs="Arial"/>
          <w:spacing w:val="-3"/>
          <w:sz w:val="22"/>
          <w:szCs w:val="22"/>
          <w:u w:val="single"/>
        </w:rPr>
        <w:t>por lo que se ha visto afectado el ingreso de la compañía</w:t>
      </w:r>
      <w:r w:rsidRPr="009F069E">
        <w:rPr>
          <w:rFonts w:cs="Arial"/>
          <w:spacing w:val="-3"/>
          <w:sz w:val="22"/>
          <w:szCs w:val="22"/>
        </w:rPr>
        <w:t>.</w:t>
      </w:r>
      <w:r>
        <w:rPr>
          <w:rFonts w:cs="Arial"/>
          <w:spacing w:val="-3"/>
          <w:sz w:val="22"/>
          <w:szCs w:val="22"/>
        </w:rPr>
        <w:t xml:space="preserve">” (Subraya fuera de texto) </w:t>
      </w:r>
    </w:p>
    <w:p w:rsidR="00945D1F" w:rsidRDefault="00945D1F" w:rsidP="00945D1F">
      <w:pPr>
        <w:suppressAutoHyphens/>
        <w:rPr>
          <w:rFonts w:cs="Arial"/>
          <w:spacing w:val="-3"/>
        </w:rPr>
      </w:pPr>
    </w:p>
    <w:p w:rsidR="00775AD2" w:rsidRDefault="00775AD2" w:rsidP="00945D1F">
      <w:pPr>
        <w:suppressAutoHyphens/>
        <w:rPr>
          <w:rFonts w:cs="Arial"/>
          <w:spacing w:val="-3"/>
        </w:rPr>
      </w:pPr>
      <w:r>
        <w:rPr>
          <w:rFonts w:cs="Arial"/>
          <w:spacing w:val="-3"/>
        </w:rPr>
        <w:t xml:space="preserve">Y como sustento </w:t>
      </w:r>
      <w:r w:rsidR="00A56FE5">
        <w:rPr>
          <w:rFonts w:cs="Arial"/>
          <w:spacing w:val="-3"/>
        </w:rPr>
        <w:t xml:space="preserve">jurídico </w:t>
      </w:r>
      <w:r>
        <w:rPr>
          <w:rFonts w:cs="Arial"/>
          <w:spacing w:val="-3"/>
        </w:rPr>
        <w:t>de dicha solicitud</w:t>
      </w:r>
      <w:r w:rsidR="00A56FE5">
        <w:rPr>
          <w:rFonts w:cs="Arial"/>
          <w:spacing w:val="-3"/>
        </w:rPr>
        <w:t>, cita</w:t>
      </w:r>
      <w:r>
        <w:rPr>
          <w:rFonts w:cs="Arial"/>
          <w:spacing w:val="-3"/>
        </w:rPr>
        <w:t xml:space="preserve"> lo establecido en el artículo 126 de la Ley 142 de 1994.</w:t>
      </w:r>
    </w:p>
    <w:p w:rsidR="00775AD2" w:rsidRDefault="00775AD2" w:rsidP="00945D1F">
      <w:pPr>
        <w:suppressAutoHyphens/>
        <w:rPr>
          <w:rFonts w:cs="Arial"/>
          <w:spacing w:val="-3"/>
        </w:rPr>
      </w:pPr>
    </w:p>
    <w:p w:rsidR="00775AD2" w:rsidRPr="009F069E" w:rsidRDefault="00775AD2" w:rsidP="00775AD2">
      <w:pPr>
        <w:ind w:left="567" w:right="567"/>
        <w:rPr>
          <w:rFonts w:cs="Arial"/>
          <w:spacing w:val="-3"/>
          <w:sz w:val="22"/>
          <w:szCs w:val="22"/>
        </w:rPr>
      </w:pPr>
      <w:r>
        <w:rPr>
          <w:rFonts w:cs="Arial"/>
          <w:spacing w:val="-3"/>
          <w:sz w:val="22"/>
          <w:szCs w:val="22"/>
        </w:rPr>
        <w:t>“</w:t>
      </w:r>
      <w:r w:rsidRPr="009F069E">
        <w:rPr>
          <w:rFonts w:cs="Arial"/>
          <w:spacing w:val="-3"/>
          <w:sz w:val="22"/>
          <w:szCs w:val="22"/>
        </w:rPr>
        <w:t>13. En consecuencia y de conformidad con el artículo 126 de la Ley 142 de 1994 que establece que las fórmulas tarifarias tendrán una vigencia de 5 años pero podrán modificarse, de oficio o a petición de parte, antes del plazo indicado cuando sea evidente que se cometieron graves errores en su cálculo, que lesionan injustamente los intereses de</w:t>
      </w:r>
      <w:r>
        <w:rPr>
          <w:rFonts w:cs="Arial"/>
          <w:spacing w:val="-3"/>
          <w:sz w:val="22"/>
          <w:szCs w:val="22"/>
        </w:rPr>
        <w:t xml:space="preserve"> los usuarios o de la empresas, </w:t>
      </w:r>
      <w:r w:rsidRPr="009F069E">
        <w:rPr>
          <w:rFonts w:cs="Arial"/>
          <w:spacing w:val="-3"/>
          <w:sz w:val="22"/>
          <w:szCs w:val="22"/>
        </w:rPr>
        <w:t>(…)</w:t>
      </w:r>
      <w:r>
        <w:rPr>
          <w:rFonts w:cs="Arial"/>
          <w:spacing w:val="-3"/>
          <w:sz w:val="22"/>
          <w:szCs w:val="22"/>
        </w:rPr>
        <w:t>”</w:t>
      </w:r>
    </w:p>
    <w:p w:rsidR="00775AD2" w:rsidRDefault="00775AD2" w:rsidP="00945D1F">
      <w:pPr>
        <w:suppressAutoHyphens/>
        <w:rPr>
          <w:rFonts w:cs="Arial"/>
          <w:spacing w:val="-3"/>
        </w:rPr>
      </w:pPr>
    </w:p>
    <w:p w:rsidR="00A56FE5" w:rsidRDefault="00A56FE5" w:rsidP="00945D1F">
      <w:pPr>
        <w:suppressAutoHyphens/>
        <w:rPr>
          <w:rFonts w:cs="Arial"/>
          <w:spacing w:val="-3"/>
        </w:rPr>
      </w:pPr>
      <w:r>
        <w:rPr>
          <w:rFonts w:cs="Arial"/>
          <w:spacing w:val="-3"/>
        </w:rPr>
        <w:t>El análisis que debe realizar la Comisión para este caso en particular, debe centra</w:t>
      </w:r>
      <w:r w:rsidR="002F0281">
        <w:rPr>
          <w:rFonts w:cs="Arial"/>
          <w:spacing w:val="-3"/>
        </w:rPr>
        <w:t>rse en primer té</w:t>
      </w:r>
      <w:r>
        <w:rPr>
          <w:rFonts w:cs="Arial"/>
          <w:spacing w:val="-3"/>
        </w:rPr>
        <w:t xml:space="preserve">rmino en la ocurrencia </w:t>
      </w:r>
      <w:r w:rsidR="00C43FA1">
        <w:rPr>
          <w:rFonts w:cs="Arial"/>
          <w:spacing w:val="-3"/>
        </w:rPr>
        <w:t>de un grave error de cá</w:t>
      </w:r>
      <w:r>
        <w:rPr>
          <w:rFonts w:cs="Arial"/>
          <w:spacing w:val="-3"/>
        </w:rPr>
        <w:t>lculo para asegurar la procedibilidad de la solicitud por la causal invocada, y en segundo lugar a si efectivamente se le est</w:t>
      </w:r>
      <w:r w:rsidR="002F0281">
        <w:rPr>
          <w:rFonts w:cs="Arial"/>
          <w:spacing w:val="-3"/>
        </w:rPr>
        <w:t>á</w:t>
      </w:r>
      <w:r>
        <w:rPr>
          <w:rFonts w:cs="Arial"/>
          <w:spacing w:val="-3"/>
        </w:rPr>
        <w:t xml:space="preserve"> causando una lesión injusta a los intereses de la respectiva empresa y en consecuencia proceder de acuerdo a los lineamentos de Ley.  </w:t>
      </w:r>
    </w:p>
    <w:p w:rsidR="00A56FE5" w:rsidRDefault="00A56FE5" w:rsidP="00945D1F">
      <w:pPr>
        <w:suppressAutoHyphens/>
        <w:rPr>
          <w:rFonts w:cs="Arial"/>
          <w:spacing w:val="-3"/>
        </w:rPr>
      </w:pPr>
    </w:p>
    <w:p w:rsidR="00945D1F" w:rsidRDefault="00945D1F" w:rsidP="00945D1F">
      <w:pPr>
        <w:suppressAutoHyphens/>
        <w:rPr>
          <w:rFonts w:cs="Arial"/>
          <w:spacing w:val="-3"/>
        </w:rPr>
      </w:pPr>
      <w:r w:rsidRPr="00AE6F24">
        <w:rPr>
          <w:rFonts w:cs="Arial"/>
          <w:spacing w:val="-3"/>
        </w:rPr>
        <w:t xml:space="preserve">Al respecto debe decirse que si bien </w:t>
      </w:r>
      <w:r w:rsidR="00A56FE5">
        <w:rPr>
          <w:rFonts w:cs="Arial"/>
          <w:spacing w:val="-3"/>
        </w:rPr>
        <w:t xml:space="preserve">en el caso que nos ocupa, </w:t>
      </w:r>
      <w:r w:rsidRPr="00AE6F24">
        <w:rPr>
          <w:rFonts w:cs="Arial"/>
          <w:spacing w:val="-3"/>
        </w:rPr>
        <w:t xml:space="preserve">existió un error involuntario por </w:t>
      </w:r>
      <w:r>
        <w:rPr>
          <w:rFonts w:cs="Arial"/>
          <w:spacing w:val="-3"/>
        </w:rPr>
        <w:t xml:space="preserve">parte de la empresa, al omitir el reporte de una de las unidades constructivas que componen su base de activos, es claro que dicho error es imputable en su totalidad a la empresa solicitante y </w:t>
      </w:r>
      <w:r w:rsidR="00775AD2">
        <w:rPr>
          <w:rFonts w:cs="Arial"/>
          <w:spacing w:val="-3"/>
        </w:rPr>
        <w:t xml:space="preserve">por consiguiente, </w:t>
      </w:r>
      <w:r>
        <w:rPr>
          <w:rFonts w:cs="Arial"/>
          <w:spacing w:val="-3"/>
        </w:rPr>
        <w:t xml:space="preserve">a juicio de esta Comisión tal circunstancia </w:t>
      </w:r>
      <w:r w:rsidR="00775AD2">
        <w:rPr>
          <w:rFonts w:cs="Arial"/>
          <w:spacing w:val="-3"/>
        </w:rPr>
        <w:t xml:space="preserve">bien </w:t>
      </w:r>
      <w:r>
        <w:rPr>
          <w:rFonts w:cs="Arial"/>
          <w:spacing w:val="-3"/>
        </w:rPr>
        <w:t>podría excluir la aplicación d</w:t>
      </w:r>
      <w:r w:rsidR="00C43FA1">
        <w:rPr>
          <w:rFonts w:cs="Arial"/>
          <w:spacing w:val="-3"/>
        </w:rPr>
        <w:t>e la causal de error grave de cá</w:t>
      </w:r>
      <w:r>
        <w:rPr>
          <w:rFonts w:cs="Arial"/>
          <w:spacing w:val="-3"/>
        </w:rPr>
        <w:t>lculo que contempla el artículo 1</w:t>
      </w:r>
      <w:r w:rsidR="0086451A">
        <w:rPr>
          <w:rFonts w:cs="Arial"/>
          <w:spacing w:val="-3"/>
        </w:rPr>
        <w:t>26 de la Ley 142 de 1994 y en la</w:t>
      </w:r>
      <w:r>
        <w:rPr>
          <w:rFonts w:cs="Arial"/>
          <w:spacing w:val="-3"/>
        </w:rPr>
        <w:t xml:space="preserve"> cual se fundamenta la solicitud de la empresa.</w:t>
      </w:r>
    </w:p>
    <w:p w:rsidR="00945D1F" w:rsidRDefault="00945D1F" w:rsidP="00945D1F">
      <w:pPr>
        <w:suppressAutoHyphens/>
        <w:rPr>
          <w:rFonts w:cs="Arial"/>
          <w:spacing w:val="-3"/>
        </w:rPr>
      </w:pPr>
    </w:p>
    <w:p w:rsidR="00945D1F" w:rsidRDefault="00945D1F" w:rsidP="00945D1F">
      <w:pPr>
        <w:suppressAutoHyphens/>
        <w:rPr>
          <w:rFonts w:cs="Arial"/>
          <w:spacing w:val="-3"/>
        </w:rPr>
      </w:pPr>
      <w:r>
        <w:rPr>
          <w:rFonts w:cs="Arial"/>
          <w:spacing w:val="-3"/>
        </w:rPr>
        <w:t>E</w:t>
      </w:r>
      <w:r w:rsidR="00A56FE5">
        <w:rPr>
          <w:rFonts w:cs="Arial"/>
          <w:spacing w:val="-3"/>
        </w:rPr>
        <w:t xml:space="preserve">n varias ocasiones en las que se ha requerido un análisis de lo establecido en el artículo 126 de la Ley 142 de 1994, esta Comisión ha </w:t>
      </w:r>
      <w:r>
        <w:rPr>
          <w:rFonts w:cs="Arial"/>
          <w:spacing w:val="-3"/>
        </w:rPr>
        <w:t xml:space="preserve">entendido que el </w:t>
      </w:r>
      <w:r w:rsidR="00A56FE5">
        <w:rPr>
          <w:rFonts w:cs="Arial"/>
          <w:spacing w:val="-3"/>
        </w:rPr>
        <w:t xml:space="preserve">referido </w:t>
      </w:r>
      <w:r>
        <w:rPr>
          <w:rFonts w:cs="Arial"/>
          <w:spacing w:val="-3"/>
        </w:rPr>
        <w:t xml:space="preserve">artículo, claramente clasifica el tipo de error que permite </w:t>
      </w:r>
      <w:r w:rsidR="00BF1CAE">
        <w:rPr>
          <w:rFonts w:cs="Arial"/>
          <w:spacing w:val="-3"/>
        </w:rPr>
        <w:t xml:space="preserve">excepcionalmente la modificación de las </w:t>
      </w:r>
      <w:r w:rsidR="002F0281">
        <w:rPr>
          <w:rFonts w:cs="Arial"/>
          <w:spacing w:val="-3"/>
        </w:rPr>
        <w:t>fó</w:t>
      </w:r>
      <w:r w:rsidR="00A56FE5">
        <w:rPr>
          <w:rFonts w:cs="Arial"/>
          <w:spacing w:val="-3"/>
        </w:rPr>
        <w:t xml:space="preserve">rmulas </w:t>
      </w:r>
      <w:r w:rsidR="00BF1CAE">
        <w:rPr>
          <w:rFonts w:cs="Arial"/>
          <w:spacing w:val="-3"/>
        </w:rPr>
        <w:t>tarifa</w:t>
      </w:r>
      <w:r w:rsidR="00A56FE5">
        <w:rPr>
          <w:rFonts w:cs="Arial"/>
          <w:spacing w:val="-3"/>
        </w:rPr>
        <w:t xml:space="preserve">rias </w:t>
      </w:r>
      <w:r w:rsidR="00BF1CAE">
        <w:rPr>
          <w:rFonts w:cs="Arial"/>
          <w:spacing w:val="-3"/>
        </w:rPr>
        <w:t xml:space="preserve">como </w:t>
      </w:r>
      <w:r>
        <w:rPr>
          <w:rFonts w:cs="Arial"/>
          <w:spacing w:val="-3"/>
        </w:rPr>
        <w:t>un “</w:t>
      </w:r>
      <w:r w:rsidRPr="00945D1F">
        <w:rPr>
          <w:rFonts w:cs="Arial"/>
          <w:i/>
          <w:spacing w:val="-3"/>
        </w:rPr>
        <w:t>grave error de cálculo</w:t>
      </w:r>
      <w:r>
        <w:rPr>
          <w:rFonts w:cs="Arial"/>
          <w:spacing w:val="-3"/>
        </w:rPr>
        <w:t>”</w:t>
      </w:r>
      <w:r w:rsidRPr="00945D1F">
        <w:rPr>
          <w:rFonts w:cs="Arial"/>
          <w:spacing w:val="-3"/>
        </w:rPr>
        <w:t xml:space="preserve"> </w:t>
      </w:r>
      <w:r w:rsidRPr="00EF4050">
        <w:rPr>
          <w:rFonts w:cs="Arial"/>
          <w:spacing w:val="-3"/>
        </w:rPr>
        <w:t>que</w:t>
      </w:r>
      <w:r w:rsidR="00B37F10">
        <w:rPr>
          <w:rFonts w:cs="Arial"/>
          <w:spacing w:val="-3"/>
        </w:rPr>
        <w:t xml:space="preserve"> lesiona</w:t>
      </w:r>
      <w:r w:rsidR="002F0281">
        <w:rPr>
          <w:rFonts w:cs="Arial"/>
          <w:spacing w:val="-3"/>
        </w:rPr>
        <w:t xml:space="preserve"> injustamente los intere</w:t>
      </w:r>
      <w:r w:rsidRPr="00EF4050">
        <w:rPr>
          <w:rFonts w:cs="Arial"/>
          <w:spacing w:val="-3"/>
        </w:rPr>
        <w:t>s</w:t>
      </w:r>
      <w:r w:rsidR="002F0281">
        <w:rPr>
          <w:rFonts w:cs="Arial"/>
          <w:spacing w:val="-3"/>
        </w:rPr>
        <w:t>es</w:t>
      </w:r>
      <w:r w:rsidRPr="00EF4050">
        <w:rPr>
          <w:rFonts w:cs="Arial"/>
          <w:spacing w:val="-3"/>
        </w:rPr>
        <w:t xml:space="preserve"> de los usuarios o de las empresa</w:t>
      </w:r>
      <w:r w:rsidR="00317FA7">
        <w:rPr>
          <w:rFonts w:cs="Arial"/>
          <w:spacing w:val="-3"/>
        </w:rPr>
        <w:t>s</w:t>
      </w:r>
      <w:r w:rsidR="00A56FE5">
        <w:rPr>
          <w:rFonts w:cs="Arial"/>
          <w:spacing w:val="-3"/>
        </w:rPr>
        <w:t xml:space="preserve"> </w:t>
      </w:r>
      <w:r w:rsidR="00BF1CAE">
        <w:rPr>
          <w:rFonts w:cs="Arial"/>
          <w:spacing w:val="-3"/>
        </w:rPr>
        <w:t xml:space="preserve">y </w:t>
      </w:r>
      <w:r w:rsidR="00A56FE5">
        <w:rPr>
          <w:rFonts w:cs="Arial"/>
          <w:spacing w:val="-3"/>
        </w:rPr>
        <w:t>es por tal razón que</w:t>
      </w:r>
      <w:r w:rsidR="00B37F10">
        <w:rPr>
          <w:rFonts w:cs="Arial"/>
          <w:spacing w:val="-3"/>
        </w:rPr>
        <w:t>,</w:t>
      </w:r>
      <w:r w:rsidR="00A56FE5">
        <w:rPr>
          <w:rFonts w:cs="Arial"/>
          <w:spacing w:val="-3"/>
        </w:rPr>
        <w:t xml:space="preserve"> </w:t>
      </w:r>
      <w:r w:rsidR="00775AD2">
        <w:rPr>
          <w:rFonts w:cs="Arial"/>
          <w:spacing w:val="-3"/>
        </w:rPr>
        <w:t xml:space="preserve">dependiendo de las circunstancias que se den en cada caso </w:t>
      </w:r>
      <w:r w:rsidR="00A56FE5">
        <w:rPr>
          <w:rFonts w:cs="Arial"/>
          <w:spacing w:val="-3"/>
        </w:rPr>
        <w:t>particular</w:t>
      </w:r>
      <w:r w:rsidR="00B37F10">
        <w:rPr>
          <w:rFonts w:cs="Arial"/>
          <w:spacing w:val="-3"/>
        </w:rPr>
        <w:t>,</w:t>
      </w:r>
      <w:r w:rsidR="00A56FE5">
        <w:rPr>
          <w:rFonts w:cs="Arial"/>
          <w:spacing w:val="-3"/>
        </w:rPr>
        <w:t xml:space="preserve"> se </w:t>
      </w:r>
      <w:r w:rsidR="00775AD2">
        <w:rPr>
          <w:rFonts w:cs="Arial"/>
          <w:spacing w:val="-3"/>
        </w:rPr>
        <w:t xml:space="preserve">debe analizar entonces </w:t>
      </w:r>
      <w:r w:rsidR="00BF1CAE">
        <w:rPr>
          <w:rFonts w:cs="Arial"/>
          <w:spacing w:val="-3"/>
        </w:rPr>
        <w:t xml:space="preserve">el </w:t>
      </w:r>
      <w:r w:rsidR="00775AD2">
        <w:rPr>
          <w:rFonts w:cs="Arial"/>
          <w:spacing w:val="-3"/>
        </w:rPr>
        <w:t>tipo</w:t>
      </w:r>
      <w:r w:rsidR="00317FA7">
        <w:rPr>
          <w:rFonts w:cs="Arial"/>
          <w:spacing w:val="-3"/>
        </w:rPr>
        <w:t xml:space="preserve"> de error que se cometa y a quié</w:t>
      </w:r>
      <w:r w:rsidR="00775AD2">
        <w:rPr>
          <w:rFonts w:cs="Arial"/>
          <w:spacing w:val="-3"/>
        </w:rPr>
        <w:t xml:space="preserve">n se le atribuye el mismo para determinar si se trata del </w:t>
      </w:r>
      <w:r w:rsidR="00C43FA1">
        <w:rPr>
          <w:rFonts w:cs="Arial"/>
          <w:spacing w:val="-3"/>
        </w:rPr>
        <w:t>grave error de cá</w:t>
      </w:r>
      <w:r w:rsidR="00BF1CAE">
        <w:rPr>
          <w:rFonts w:cs="Arial"/>
          <w:spacing w:val="-3"/>
        </w:rPr>
        <w:t xml:space="preserve">lculo </w:t>
      </w:r>
      <w:r w:rsidR="00775AD2">
        <w:rPr>
          <w:rFonts w:cs="Arial"/>
          <w:spacing w:val="-3"/>
        </w:rPr>
        <w:t>del que habla la norma.</w:t>
      </w:r>
      <w:r>
        <w:rPr>
          <w:rFonts w:cs="Arial"/>
          <w:spacing w:val="-3"/>
        </w:rPr>
        <w:t xml:space="preserve"> </w:t>
      </w:r>
    </w:p>
    <w:p w:rsidR="00945D1F" w:rsidRDefault="00945D1F" w:rsidP="00945D1F">
      <w:pPr>
        <w:suppressAutoHyphens/>
        <w:rPr>
          <w:rFonts w:cs="Arial"/>
          <w:spacing w:val="-3"/>
        </w:rPr>
      </w:pPr>
    </w:p>
    <w:p w:rsidR="00945D1F" w:rsidRDefault="00945D1F" w:rsidP="00945D1F">
      <w:pPr>
        <w:suppressAutoHyphens/>
        <w:rPr>
          <w:rFonts w:cs="Arial"/>
          <w:spacing w:val="-3"/>
        </w:rPr>
      </w:pPr>
      <w:r>
        <w:rPr>
          <w:rFonts w:cs="Arial"/>
          <w:spacing w:val="-3"/>
        </w:rPr>
        <w:t>De acuerdo con lo anterior</w:t>
      </w:r>
      <w:r w:rsidR="00EE1D13">
        <w:rPr>
          <w:rFonts w:cs="Arial"/>
          <w:spacing w:val="-3"/>
        </w:rPr>
        <w:t xml:space="preserve"> y </w:t>
      </w:r>
      <w:r w:rsidR="00A56FE5">
        <w:rPr>
          <w:rFonts w:cs="Arial"/>
          <w:spacing w:val="-3"/>
        </w:rPr>
        <w:t>atendiendo a</w:t>
      </w:r>
      <w:r w:rsidR="00EE1D13">
        <w:rPr>
          <w:rFonts w:cs="Arial"/>
          <w:spacing w:val="-3"/>
        </w:rPr>
        <w:t xml:space="preserve"> la declaración particular que la empresa </w:t>
      </w:r>
      <w:proofErr w:type="spellStart"/>
      <w:r w:rsidR="00A56FE5">
        <w:rPr>
          <w:rFonts w:cs="Arial"/>
          <w:spacing w:val="-3"/>
        </w:rPr>
        <w:t>D</w:t>
      </w:r>
      <w:r w:rsidR="0086451A">
        <w:rPr>
          <w:rFonts w:cs="Arial"/>
          <w:spacing w:val="-3"/>
        </w:rPr>
        <w:t>istasa</w:t>
      </w:r>
      <w:proofErr w:type="spellEnd"/>
      <w:r w:rsidR="00A56FE5">
        <w:rPr>
          <w:rFonts w:cs="Arial"/>
          <w:spacing w:val="-3"/>
        </w:rPr>
        <w:t xml:space="preserve"> S.A. E.S.P. </w:t>
      </w:r>
      <w:r w:rsidR="00EE1D13">
        <w:rPr>
          <w:rFonts w:cs="Arial"/>
          <w:spacing w:val="-3"/>
        </w:rPr>
        <w:t>hace en este caso</w:t>
      </w:r>
      <w:r>
        <w:rPr>
          <w:rFonts w:cs="Arial"/>
          <w:spacing w:val="-3"/>
        </w:rPr>
        <w:t xml:space="preserve">, </w:t>
      </w:r>
      <w:r w:rsidR="00A56FE5">
        <w:rPr>
          <w:rFonts w:cs="Arial"/>
          <w:spacing w:val="-3"/>
        </w:rPr>
        <w:t xml:space="preserve">al aceptar que ha sido un error </w:t>
      </w:r>
      <w:r w:rsidR="00B37F10">
        <w:rPr>
          <w:rFonts w:cs="Arial"/>
          <w:spacing w:val="-3"/>
        </w:rPr>
        <w:t xml:space="preserve">propio </w:t>
      </w:r>
      <w:r w:rsidR="00A56FE5">
        <w:rPr>
          <w:rFonts w:cs="Arial"/>
          <w:spacing w:val="-3"/>
        </w:rPr>
        <w:t xml:space="preserve">involuntario, </w:t>
      </w:r>
      <w:r>
        <w:rPr>
          <w:rFonts w:cs="Arial"/>
          <w:spacing w:val="-3"/>
        </w:rPr>
        <w:t>es preciso afirmar que es el</w:t>
      </w:r>
      <w:r w:rsidR="00C43FA1">
        <w:rPr>
          <w:rFonts w:cs="Arial"/>
          <w:spacing w:val="-3"/>
        </w:rPr>
        <w:t xml:space="preserve"> grave error de cálculo en la fó</w:t>
      </w:r>
      <w:r>
        <w:rPr>
          <w:rFonts w:cs="Arial"/>
          <w:spacing w:val="-3"/>
        </w:rPr>
        <w:t xml:space="preserve">rmula tarifaria el que permite la modificación </w:t>
      </w:r>
      <w:r w:rsidR="00C43FA1">
        <w:rPr>
          <w:rFonts w:cs="Arial"/>
          <w:spacing w:val="-3"/>
        </w:rPr>
        <w:t>de las tarifas</w:t>
      </w:r>
      <w:r>
        <w:rPr>
          <w:rFonts w:cs="Arial"/>
          <w:spacing w:val="-3"/>
        </w:rPr>
        <w:t xml:space="preserve"> y </w:t>
      </w:r>
      <w:r w:rsidR="00BF1CAE">
        <w:rPr>
          <w:rFonts w:cs="Arial"/>
          <w:spacing w:val="-3"/>
        </w:rPr>
        <w:t xml:space="preserve">no </w:t>
      </w:r>
      <w:r>
        <w:rPr>
          <w:rFonts w:cs="Arial"/>
          <w:spacing w:val="-3"/>
        </w:rPr>
        <w:t xml:space="preserve">el error </w:t>
      </w:r>
      <w:r w:rsidR="00C43FA1">
        <w:rPr>
          <w:rFonts w:cs="Arial"/>
          <w:spacing w:val="-3"/>
        </w:rPr>
        <w:t>que cometa</w:t>
      </w:r>
      <w:r w:rsidR="00BF1CAE">
        <w:rPr>
          <w:rFonts w:cs="Arial"/>
          <w:spacing w:val="-3"/>
        </w:rPr>
        <w:t xml:space="preserve"> </w:t>
      </w:r>
      <w:r w:rsidR="00C43FA1">
        <w:rPr>
          <w:rFonts w:cs="Arial"/>
          <w:spacing w:val="-3"/>
        </w:rPr>
        <w:t xml:space="preserve">una </w:t>
      </w:r>
      <w:r w:rsidR="00317FA7">
        <w:rPr>
          <w:rFonts w:cs="Arial"/>
          <w:spacing w:val="-3"/>
        </w:rPr>
        <w:t>empresa por sí</w:t>
      </w:r>
      <w:r w:rsidR="00BF1CAE">
        <w:rPr>
          <w:rFonts w:cs="Arial"/>
          <w:spacing w:val="-3"/>
        </w:rPr>
        <w:t xml:space="preserve"> misma</w:t>
      </w:r>
      <w:r w:rsidR="00EE1D13">
        <w:rPr>
          <w:rFonts w:cs="Arial"/>
          <w:spacing w:val="-3"/>
        </w:rPr>
        <w:t>,</w:t>
      </w:r>
      <w:r w:rsidR="00BF1CAE">
        <w:rPr>
          <w:rFonts w:cs="Arial"/>
          <w:spacing w:val="-3"/>
        </w:rPr>
        <w:t xml:space="preserve"> pues tal situación no es atribuible a</w:t>
      </w:r>
      <w:r w:rsidR="00317FA7">
        <w:rPr>
          <w:rFonts w:cs="Arial"/>
          <w:spacing w:val="-3"/>
        </w:rPr>
        <w:t xml:space="preserve"> </w:t>
      </w:r>
      <w:r w:rsidR="00BF1CAE">
        <w:rPr>
          <w:rFonts w:cs="Arial"/>
          <w:spacing w:val="-3"/>
        </w:rPr>
        <w:t>l</w:t>
      </w:r>
      <w:r w:rsidR="00317FA7">
        <w:rPr>
          <w:rFonts w:cs="Arial"/>
          <w:spacing w:val="-3"/>
        </w:rPr>
        <w:t>a</w:t>
      </w:r>
      <w:r w:rsidR="00BF1CAE">
        <w:rPr>
          <w:rFonts w:cs="Arial"/>
          <w:spacing w:val="-3"/>
        </w:rPr>
        <w:t xml:space="preserve"> CREG y en el caso bajo estudio </w:t>
      </w:r>
      <w:r w:rsidR="00EE1D13">
        <w:rPr>
          <w:rFonts w:cs="Arial"/>
          <w:spacing w:val="-3"/>
        </w:rPr>
        <w:t>se trata de una información reportada e</w:t>
      </w:r>
      <w:r w:rsidR="000F6012">
        <w:rPr>
          <w:rFonts w:cs="Arial"/>
          <w:spacing w:val="-3"/>
        </w:rPr>
        <w:t xml:space="preserve">quivocadamente </w:t>
      </w:r>
      <w:r w:rsidR="00EE1D13">
        <w:rPr>
          <w:rFonts w:cs="Arial"/>
          <w:spacing w:val="-3"/>
        </w:rPr>
        <w:t>y no un c</w:t>
      </w:r>
      <w:r w:rsidR="00C43FA1">
        <w:rPr>
          <w:rFonts w:cs="Arial"/>
          <w:spacing w:val="-3"/>
        </w:rPr>
        <w:t>á</w:t>
      </w:r>
      <w:r w:rsidR="00EE1D13">
        <w:rPr>
          <w:rFonts w:cs="Arial"/>
          <w:spacing w:val="-3"/>
        </w:rPr>
        <w:t>lculo mal realizado</w:t>
      </w:r>
      <w:r w:rsidR="00BF1CAE">
        <w:rPr>
          <w:rFonts w:cs="Arial"/>
          <w:spacing w:val="-3"/>
        </w:rPr>
        <w:t>.</w:t>
      </w:r>
    </w:p>
    <w:p w:rsidR="00AE6F24" w:rsidRDefault="00AE6F24" w:rsidP="00AE6F24">
      <w:pPr>
        <w:suppressAutoHyphens/>
        <w:rPr>
          <w:rFonts w:cs="Arial"/>
          <w:spacing w:val="-3"/>
        </w:rPr>
      </w:pPr>
    </w:p>
    <w:p w:rsidR="00BF1CAE" w:rsidRDefault="00BF1CAE" w:rsidP="00AE6F24">
      <w:pPr>
        <w:suppressAutoHyphens/>
        <w:rPr>
          <w:rFonts w:cs="Arial"/>
          <w:spacing w:val="-3"/>
        </w:rPr>
      </w:pPr>
      <w:r>
        <w:rPr>
          <w:rFonts w:cs="Arial"/>
          <w:spacing w:val="-3"/>
        </w:rPr>
        <w:lastRenderedPageBreak/>
        <w:t>En ese orden de idea</w:t>
      </w:r>
      <w:r w:rsidR="00EE1D13">
        <w:rPr>
          <w:rFonts w:cs="Arial"/>
          <w:spacing w:val="-3"/>
        </w:rPr>
        <w:t>s</w:t>
      </w:r>
      <w:r>
        <w:rPr>
          <w:rFonts w:cs="Arial"/>
          <w:spacing w:val="-3"/>
        </w:rPr>
        <w:t xml:space="preserve"> debe considerase que </w:t>
      </w:r>
      <w:r w:rsidR="000F6012">
        <w:rPr>
          <w:rFonts w:cs="Arial"/>
          <w:spacing w:val="-3"/>
        </w:rPr>
        <w:t xml:space="preserve">en este caso en particular, </w:t>
      </w:r>
      <w:r w:rsidR="00317FA7">
        <w:rPr>
          <w:rFonts w:cs="Arial"/>
          <w:spacing w:val="-3"/>
        </w:rPr>
        <w:t>la situación alegada por la</w:t>
      </w:r>
      <w:r w:rsidR="00066AEB">
        <w:rPr>
          <w:rFonts w:cs="Arial"/>
          <w:spacing w:val="-3"/>
        </w:rPr>
        <w:t xml:space="preserve"> empresa en su solicitud,</w:t>
      </w:r>
      <w:r>
        <w:rPr>
          <w:rFonts w:cs="Arial"/>
          <w:spacing w:val="-3"/>
        </w:rPr>
        <w:t xml:space="preserve"> excluye</w:t>
      </w:r>
      <w:r w:rsidR="000F6012">
        <w:rPr>
          <w:rFonts w:cs="Arial"/>
          <w:spacing w:val="-3"/>
        </w:rPr>
        <w:t xml:space="preserve"> de plano</w:t>
      </w:r>
      <w:r w:rsidR="00066AEB">
        <w:rPr>
          <w:rFonts w:cs="Arial"/>
          <w:spacing w:val="-3"/>
        </w:rPr>
        <w:t xml:space="preserve"> </w:t>
      </w:r>
      <w:r>
        <w:rPr>
          <w:rFonts w:cs="Arial"/>
          <w:spacing w:val="-3"/>
        </w:rPr>
        <w:t>la aplicación de</w:t>
      </w:r>
      <w:r w:rsidR="00066AEB">
        <w:rPr>
          <w:rFonts w:cs="Arial"/>
          <w:spacing w:val="-3"/>
        </w:rPr>
        <w:t xml:space="preserve"> </w:t>
      </w:r>
      <w:r>
        <w:rPr>
          <w:rFonts w:cs="Arial"/>
          <w:spacing w:val="-3"/>
        </w:rPr>
        <w:t xml:space="preserve">la causal </w:t>
      </w:r>
      <w:r w:rsidR="00066AEB">
        <w:rPr>
          <w:rFonts w:cs="Arial"/>
          <w:spacing w:val="-3"/>
        </w:rPr>
        <w:t>de “</w:t>
      </w:r>
      <w:r w:rsidR="00C43FA1">
        <w:rPr>
          <w:rFonts w:cs="Arial"/>
          <w:i/>
          <w:spacing w:val="-3"/>
        </w:rPr>
        <w:t>error grave de cá</w:t>
      </w:r>
      <w:r w:rsidR="00066AEB" w:rsidRPr="00066AEB">
        <w:rPr>
          <w:rFonts w:cs="Arial"/>
          <w:i/>
          <w:spacing w:val="-3"/>
        </w:rPr>
        <w:t>lculo</w:t>
      </w:r>
      <w:r w:rsidR="00066AEB">
        <w:rPr>
          <w:rFonts w:cs="Arial"/>
          <w:spacing w:val="-3"/>
        </w:rPr>
        <w:t xml:space="preserve">” contemplada en el articulo 126 de la Ley 142 </w:t>
      </w:r>
      <w:r>
        <w:rPr>
          <w:rFonts w:cs="Arial"/>
          <w:spacing w:val="-3"/>
        </w:rPr>
        <w:t xml:space="preserve">de </w:t>
      </w:r>
      <w:r w:rsidR="00066AEB">
        <w:rPr>
          <w:rFonts w:cs="Arial"/>
          <w:spacing w:val="-3"/>
        </w:rPr>
        <w:t xml:space="preserve">1994, pero </w:t>
      </w:r>
      <w:r w:rsidR="00EE1D13">
        <w:rPr>
          <w:rFonts w:cs="Arial"/>
          <w:spacing w:val="-3"/>
        </w:rPr>
        <w:t>teniendo en cuenta que de todas formas existe una</w:t>
      </w:r>
      <w:r w:rsidR="00066AEB">
        <w:rPr>
          <w:rFonts w:cs="Arial"/>
          <w:spacing w:val="-3"/>
        </w:rPr>
        <w:t xml:space="preserve"> afectación que </w:t>
      </w:r>
      <w:r w:rsidR="00EE1D13">
        <w:rPr>
          <w:rFonts w:cs="Arial"/>
          <w:spacing w:val="-3"/>
        </w:rPr>
        <w:t xml:space="preserve">la misma empresa ha puesto en evidencia, </w:t>
      </w:r>
      <w:r w:rsidR="00066AEB">
        <w:rPr>
          <w:rFonts w:cs="Arial"/>
          <w:spacing w:val="-3"/>
        </w:rPr>
        <w:t>no puede pasar por alto esta Comisión la previsión hecha por el numeral 87.4 del artículo 87 de la Ley de Servicios Públicos Domiciliarios</w:t>
      </w:r>
      <w:r w:rsidR="00EE1D13">
        <w:rPr>
          <w:rFonts w:cs="Arial"/>
          <w:spacing w:val="-3"/>
        </w:rPr>
        <w:t>,</w:t>
      </w:r>
      <w:r w:rsidR="00066AEB">
        <w:rPr>
          <w:rFonts w:cs="Arial"/>
          <w:spacing w:val="-3"/>
        </w:rPr>
        <w:t xml:space="preserve"> que obliga a que las f</w:t>
      </w:r>
      <w:r w:rsidR="00317FA7">
        <w:rPr>
          <w:rFonts w:cs="Arial"/>
          <w:spacing w:val="-3"/>
        </w:rPr>
        <w:t>ó</w:t>
      </w:r>
      <w:r w:rsidR="00066AEB">
        <w:rPr>
          <w:rFonts w:cs="Arial"/>
          <w:spacing w:val="-3"/>
        </w:rPr>
        <w:t xml:space="preserve">rmulas tarifarias garanticen la recuperación de todos los costos de las empresas prestadoras de los servicios públicos. </w:t>
      </w:r>
    </w:p>
    <w:p w:rsidR="00BF1CAE" w:rsidRPr="00C73220" w:rsidRDefault="00BF1CAE" w:rsidP="00AE6F24">
      <w:pPr>
        <w:suppressAutoHyphens/>
        <w:rPr>
          <w:rFonts w:cs="Arial"/>
          <w:spacing w:val="-3"/>
          <w:sz w:val="22"/>
        </w:rPr>
      </w:pPr>
    </w:p>
    <w:p w:rsidR="009C24FC" w:rsidRDefault="00657AEA" w:rsidP="00AE6F24">
      <w:pPr>
        <w:suppressAutoHyphens/>
        <w:rPr>
          <w:rFonts w:cs="Arial"/>
          <w:spacing w:val="-3"/>
        </w:rPr>
      </w:pPr>
      <w:r>
        <w:rPr>
          <w:rFonts w:cs="Arial"/>
          <w:spacing w:val="-3"/>
        </w:rPr>
        <w:t xml:space="preserve">Teniendo en cuenta </w:t>
      </w:r>
      <w:r w:rsidR="00066AEB">
        <w:rPr>
          <w:rFonts w:cs="Arial"/>
          <w:spacing w:val="-3"/>
        </w:rPr>
        <w:t xml:space="preserve">las </w:t>
      </w:r>
      <w:r w:rsidR="00066AEB" w:rsidRPr="00657AEA">
        <w:rPr>
          <w:rFonts w:cs="Arial"/>
          <w:spacing w:val="-3"/>
        </w:rPr>
        <w:t xml:space="preserve">normas legales </w:t>
      </w:r>
      <w:r w:rsidR="000F6012">
        <w:rPr>
          <w:rFonts w:cs="Arial"/>
          <w:spacing w:val="-3"/>
        </w:rPr>
        <w:t xml:space="preserve">vigentes </w:t>
      </w:r>
      <w:r w:rsidR="00066AEB" w:rsidRPr="00657AEA">
        <w:rPr>
          <w:rFonts w:cs="Arial"/>
          <w:spacing w:val="-3"/>
        </w:rPr>
        <w:t>sobre régimen tarifario</w:t>
      </w:r>
      <w:r w:rsidR="00066AEB">
        <w:rPr>
          <w:rFonts w:cs="Arial"/>
          <w:spacing w:val="-3"/>
        </w:rPr>
        <w:t xml:space="preserve"> </w:t>
      </w:r>
      <w:r w:rsidR="000F6012">
        <w:rPr>
          <w:rFonts w:cs="Arial"/>
          <w:spacing w:val="-3"/>
        </w:rPr>
        <w:t>que esta Comisión siempre ha observado y</w:t>
      </w:r>
      <w:r w:rsidR="00C26580">
        <w:rPr>
          <w:rFonts w:cs="Arial"/>
          <w:spacing w:val="-3"/>
        </w:rPr>
        <w:t xml:space="preserve"> sobre las que se</w:t>
      </w:r>
      <w:r w:rsidR="000F6012">
        <w:rPr>
          <w:rFonts w:cs="Arial"/>
          <w:spacing w:val="-3"/>
        </w:rPr>
        <w:t xml:space="preserve"> han regido sus actuaciones</w:t>
      </w:r>
      <w:r w:rsidR="00C26580">
        <w:rPr>
          <w:rFonts w:cs="Arial"/>
          <w:spacing w:val="-3"/>
        </w:rPr>
        <w:t>,</w:t>
      </w:r>
      <w:r w:rsidR="000F6012">
        <w:rPr>
          <w:rFonts w:cs="Arial"/>
          <w:spacing w:val="-3"/>
        </w:rPr>
        <w:t xml:space="preserve"> como la mencionada anteriormente</w:t>
      </w:r>
      <w:r w:rsidR="00C26580">
        <w:rPr>
          <w:rFonts w:cs="Arial"/>
          <w:spacing w:val="-3"/>
        </w:rPr>
        <w:t>,</w:t>
      </w:r>
      <w:r w:rsidR="000F6012">
        <w:rPr>
          <w:rFonts w:cs="Arial"/>
          <w:spacing w:val="-3"/>
        </w:rPr>
        <w:t xml:space="preserve"> </w:t>
      </w:r>
      <w:r w:rsidR="00066AEB">
        <w:rPr>
          <w:rFonts w:cs="Arial"/>
          <w:spacing w:val="-3"/>
        </w:rPr>
        <w:t xml:space="preserve">y </w:t>
      </w:r>
      <w:r>
        <w:rPr>
          <w:rFonts w:cs="Arial"/>
          <w:spacing w:val="-3"/>
        </w:rPr>
        <w:t xml:space="preserve">que </w:t>
      </w:r>
      <w:r w:rsidR="00317FA7">
        <w:rPr>
          <w:rFonts w:cs="Arial"/>
          <w:spacing w:val="-3"/>
        </w:rPr>
        <w:t>el artí</w:t>
      </w:r>
      <w:r w:rsidRPr="00657AEA">
        <w:rPr>
          <w:rFonts w:cs="Arial"/>
          <w:spacing w:val="-3"/>
        </w:rPr>
        <w:t xml:space="preserve">culo </w:t>
      </w:r>
      <w:r w:rsidR="00BF1CAE">
        <w:rPr>
          <w:rFonts w:cs="Arial"/>
          <w:spacing w:val="-3"/>
        </w:rPr>
        <w:t xml:space="preserve">126 de la Ley 142 de 1994 </w:t>
      </w:r>
      <w:r w:rsidR="00066AEB">
        <w:rPr>
          <w:rFonts w:cs="Arial"/>
          <w:spacing w:val="-3"/>
        </w:rPr>
        <w:t>consagra una</w:t>
      </w:r>
      <w:r w:rsidR="00066AEB" w:rsidRPr="00657AEA">
        <w:rPr>
          <w:rFonts w:cs="Arial"/>
          <w:spacing w:val="-3"/>
        </w:rPr>
        <w:t xml:space="preserve"> facultad </w:t>
      </w:r>
      <w:r w:rsidR="000F6012">
        <w:rPr>
          <w:rFonts w:cs="Arial"/>
          <w:spacing w:val="-3"/>
        </w:rPr>
        <w:t xml:space="preserve">especial </w:t>
      </w:r>
      <w:r w:rsidR="00066AEB">
        <w:rPr>
          <w:rFonts w:cs="Arial"/>
          <w:spacing w:val="-3"/>
        </w:rPr>
        <w:t xml:space="preserve">que </w:t>
      </w:r>
      <w:r w:rsidRPr="00657AEA">
        <w:rPr>
          <w:rFonts w:cs="Arial"/>
          <w:spacing w:val="-3"/>
        </w:rPr>
        <w:t xml:space="preserve">permite acordar </w:t>
      </w:r>
      <w:r w:rsidR="00066AEB">
        <w:rPr>
          <w:rFonts w:cs="Arial"/>
          <w:spacing w:val="-3"/>
        </w:rPr>
        <w:t xml:space="preserve">de mutuo acuerdo </w:t>
      </w:r>
      <w:r w:rsidR="000F6012">
        <w:rPr>
          <w:rFonts w:cs="Arial"/>
          <w:spacing w:val="-3"/>
        </w:rPr>
        <w:t xml:space="preserve">entre las partes </w:t>
      </w:r>
      <w:r w:rsidR="00C26580">
        <w:rPr>
          <w:rFonts w:cs="Arial"/>
          <w:spacing w:val="-3"/>
        </w:rPr>
        <w:t>las fó</w:t>
      </w:r>
      <w:r w:rsidR="00066AEB">
        <w:rPr>
          <w:rFonts w:cs="Arial"/>
          <w:spacing w:val="-3"/>
        </w:rPr>
        <w:t>rmulas tarifarias</w:t>
      </w:r>
      <w:r w:rsidR="009C24FC">
        <w:rPr>
          <w:rFonts w:cs="Arial"/>
          <w:spacing w:val="-3"/>
        </w:rPr>
        <w:t>,</w:t>
      </w:r>
      <w:r w:rsidR="00066AEB">
        <w:rPr>
          <w:rFonts w:cs="Arial"/>
          <w:spacing w:val="-3"/>
        </w:rPr>
        <w:t xml:space="preserve"> </w:t>
      </w:r>
      <w:r w:rsidR="000F6012">
        <w:rPr>
          <w:rFonts w:cs="Arial"/>
          <w:spacing w:val="-3"/>
        </w:rPr>
        <w:t xml:space="preserve">se considera que en este caso </w:t>
      </w:r>
      <w:r w:rsidRPr="00657AEA">
        <w:rPr>
          <w:rFonts w:cs="Arial"/>
          <w:spacing w:val="-3"/>
        </w:rPr>
        <w:t>debe la administración actuar conforme a los principios y límites de la Ley para el efecto,</w:t>
      </w:r>
      <w:r w:rsidR="009C24FC">
        <w:rPr>
          <w:rFonts w:cs="Arial"/>
          <w:spacing w:val="-3"/>
        </w:rPr>
        <w:t xml:space="preserve"> para lo cual se hará la modificación de la base de activo</w:t>
      </w:r>
      <w:r w:rsidR="00C26580">
        <w:rPr>
          <w:rFonts w:cs="Arial"/>
          <w:spacing w:val="-3"/>
        </w:rPr>
        <w:t>s</w:t>
      </w:r>
      <w:r w:rsidR="009C24FC">
        <w:rPr>
          <w:rFonts w:cs="Arial"/>
          <w:spacing w:val="-3"/>
        </w:rPr>
        <w:t xml:space="preserve"> solicitada por la empresa </w:t>
      </w:r>
      <w:proofErr w:type="spellStart"/>
      <w:r w:rsidR="009C24FC">
        <w:rPr>
          <w:rFonts w:cs="Arial"/>
          <w:spacing w:val="-3"/>
        </w:rPr>
        <w:t>D</w:t>
      </w:r>
      <w:r w:rsidR="0086451A">
        <w:rPr>
          <w:rFonts w:cs="Arial"/>
          <w:spacing w:val="-3"/>
        </w:rPr>
        <w:t>istasa</w:t>
      </w:r>
      <w:proofErr w:type="spellEnd"/>
      <w:r w:rsidR="00272760">
        <w:rPr>
          <w:rFonts w:cs="Arial"/>
          <w:spacing w:val="-3"/>
        </w:rPr>
        <w:t xml:space="preserve"> S.A. E.S.P. </w:t>
      </w:r>
      <w:r w:rsidR="009C24FC">
        <w:rPr>
          <w:rFonts w:cs="Arial"/>
          <w:spacing w:val="-3"/>
        </w:rPr>
        <w:t>mediante mutuo acuerdo</w:t>
      </w:r>
      <w:r w:rsidR="00EE1D13">
        <w:rPr>
          <w:rFonts w:cs="Arial"/>
          <w:spacing w:val="-3"/>
        </w:rPr>
        <w:t>,</w:t>
      </w:r>
      <w:r w:rsidR="009C24FC">
        <w:rPr>
          <w:rFonts w:cs="Arial"/>
          <w:spacing w:val="-3"/>
        </w:rPr>
        <w:t xml:space="preserve"> ampar</w:t>
      </w:r>
      <w:r w:rsidR="005F4E9E">
        <w:rPr>
          <w:rFonts w:cs="Arial"/>
          <w:spacing w:val="-3"/>
        </w:rPr>
        <w:t>ado en lo establecido en el artí</w:t>
      </w:r>
      <w:r w:rsidR="009C24FC">
        <w:rPr>
          <w:rFonts w:cs="Arial"/>
          <w:spacing w:val="-3"/>
        </w:rPr>
        <w:t>culo 126 ya analizado</w:t>
      </w:r>
      <w:r w:rsidR="00C26580">
        <w:rPr>
          <w:rFonts w:cs="Arial"/>
          <w:spacing w:val="-3"/>
        </w:rPr>
        <w:t>,</w:t>
      </w:r>
      <w:r w:rsidR="000F6012">
        <w:rPr>
          <w:rFonts w:cs="Arial"/>
          <w:spacing w:val="-3"/>
        </w:rPr>
        <w:t xml:space="preserve"> toda vez que es menester </w:t>
      </w:r>
      <w:r w:rsidR="00C26580">
        <w:rPr>
          <w:rFonts w:cs="Arial"/>
          <w:spacing w:val="-3"/>
        </w:rPr>
        <w:t>de la CREG garantizar que las fó</w:t>
      </w:r>
      <w:r w:rsidR="000F6012">
        <w:rPr>
          <w:rFonts w:cs="Arial"/>
          <w:spacing w:val="-3"/>
        </w:rPr>
        <w:t>rmulas tarifarias reconozcan los costos de las empresas prestadoras de los servicios públicos</w:t>
      </w:r>
      <w:r w:rsidR="009C24FC">
        <w:rPr>
          <w:rFonts w:cs="Arial"/>
          <w:spacing w:val="-3"/>
        </w:rPr>
        <w:t>.</w:t>
      </w:r>
    </w:p>
    <w:p w:rsidR="000F6012" w:rsidRPr="00C73220" w:rsidRDefault="000F6012" w:rsidP="00AE6F24">
      <w:pPr>
        <w:suppressAutoHyphens/>
        <w:rPr>
          <w:rFonts w:cs="Arial"/>
          <w:spacing w:val="-3"/>
          <w:sz w:val="22"/>
        </w:rPr>
      </w:pPr>
    </w:p>
    <w:p w:rsidR="000F6012" w:rsidRDefault="000F6012" w:rsidP="00AE6F24">
      <w:pPr>
        <w:suppressAutoHyphens/>
        <w:rPr>
          <w:rFonts w:cs="Arial"/>
          <w:spacing w:val="-3"/>
        </w:rPr>
      </w:pPr>
      <w:r>
        <w:rPr>
          <w:rFonts w:cs="Arial"/>
          <w:spacing w:val="-3"/>
        </w:rPr>
        <w:t xml:space="preserve">Es con fundamento en los principios rectores </w:t>
      </w:r>
      <w:r w:rsidR="00ED07A7">
        <w:rPr>
          <w:rFonts w:cs="Arial"/>
          <w:spacing w:val="-3"/>
        </w:rPr>
        <w:t>como el de la suficiencia financiera y las normas que en general regulan el régimen tarifario de las empresas que esta Comisión accede a realizar los ajustes a l</w:t>
      </w:r>
      <w:r w:rsidR="00C26580">
        <w:rPr>
          <w:rFonts w:cs="Arial"/>
          <w:spacing w:val="-3"/>
        </w:rPr>
        <w:t>a base de activos solicitada, ma</w:t>
      </w:r>
      <w:r w:rsidR="00ED07A7">
        <w:rPr>
          <w:rFonts w:cs="Arial"/>
          <w:spacing w:val="-3"/>
        </w:rPr>
        <w:t>s no por la oc</w:t>
      </w:r>
      <w:r w:rsidR="00C43FA1">
        <w:rPr>
          <w:rFonts w:cs="Arial"/>
          <w:spacing w:val="-3"/>
        </w:rPr>
        <w:t>urrencia de un grave error de cá</w:t>
      </w:r>
      <w:r w:rsidR="00ED07A7">
        <w:rPr>
          <w:rFonts w:cs="Arial"/>
          <w:spacing w:val="-3"/>
        </w:rPr>
        <w:t>lculo, pues como lo demuestra el análisis</w:t>
      </w:r>
      <w:r w:rsidR="00D6092D">
        <w:rPr>
          <w:rFonts w:cs="Arial"/>
          <w:spacing w:val="-3"/>
        </w:rPr>
        <w:t xml:space="preserve"> ya realizado</w:t>
      </w:r>
      <w:r w:rsidR="00ED07A7">
        <w:rPr>
          <w:rFonts w:cs="Arial"/>
          <w:spacing w:val="-3"/>
        </w:rPr>
        <w:t>, claramente no es la situación de este caso.</w:t>
      </w:r>
    </w:p>
    <w:p w:rsidR="009C24FC" w:rsidRPr="00C73220" w:rsidRDefault="009C24FC" w:rsidP="00AE6F24">
      <w:pPr>
        <w:suppressAutoHyphens/>
        <w:rPr>
          <w:rFonts w:cs="Arial"/>
          <w:spacing w:val="-3"/>
          <w:sz w:val="20"/>
        </w:rPr>
      </w:pPr>
    </w:p>
    <w:p w:rsidR="009C24FC" w:rsidRDefault="00ED07A7" w:rsidP="00AE6F24">
      <w:pPr>
        <w:suppressAutoHyphens/>
        <w:rPr>
          <w:rFonts w:cs="Arial"/>
          <w:spacing w:val="-3"/>
        </w:rPr>
      </w:pPr>
      <w:r>
        <w:rPr>
          <w:rFonts w:cs="Arial"/>
          <w:spacing w:val="-3"/>
        </w:rPr>
        <w:t>En ese orden de ideas</w:t>
      </w:r>
      <w:r w:rsidR="00C26580">
        <w:rPr>
          <w:rFonts w:cs="Arial"/>
          <w:spacing w:val="-3"/>
        </w:rPr>
        <w:t>,</w:t>
      </w:r>
      <w:r>
        <w:rPr>
          <w:rFonts w:cs="Arial"/>
          <w:spacing w:val="-3"/>
        </w:rPr>
        <w:t xml:space="preserve"> se procederá </w:t>
      </w:r>
      <w:r w:rsidR="00D6092D">
        <w:rPr>
          <w:rFonts w:cs="Arial"/>
          <w:spacing w:val="-3"/>
        </w:rPr>
        <w:t xml:space="preserve">de común acuerdo </w:t>
      </w:r>
      <w:r>
        <w:rPr>
          <w:rFonts w:cs="Arial"/>
          <w:spacing w:val="-3"/>
        </w:rPr>
        <w:t>a realizar la modificación pertinente, s</w:t>
      </w:r>
      <w:r w:rsidR="009C24FC">
        <w:rPr>
          <w:rFonts w:cs="Arial"/>
          <w:spacing w:val="-3"/>
        </w:rPr>
        <w:t>in embargo, no será posible para esta Comisión acceder a las demás pretensiones q</w:t>
      </w:r>
      <w:r w:rsidR="00C43FA1">
        <w:rPr>
          <w:rFonts w:cs="Arial"/>
          <w:spacing w:val="-3"/>
        </w:rPr>
        <w:t>ue componen la solicitud de la e</w:t>
      </w:r>
      <w:r w:rsidR="009C24FC">
        <w:rPr>
          <w:rFonts w:cs="Arial"/>
          <w:spacing w:val="-3"/>
        </w:rPr>
        <w:t>mpresa en cuestión</w:t>
      </w:r>
      <w:r w:rsidR="005F4E9E">
        <w:rPr>
          <w:rFonts w:cs="Arial"/>
          <w:spacing w:val="-3"/>
        </w:rPr>
        <w:t>,</w:t>
      </w:r>
      <w:r w:rsidR="009C24FC">
        <w:rPr>
          <w:rFonts w:cs="Arial"/>
          <w:spacing w:val="-3"/>
        </w:rPr>
        <w:t xml:space="preserve"> pues fiel a los principios </w:t>
      </w:r>
      <w:r w:rsidR="005F4E9E">
        <w:rPr>
          <w:rFonts w:cs="Arial"/>
          <w:spacing w:val="-3"/>
        </w:rPr>
        <w:t xml:space="preserve">generales </w:t>
      </w:r>
      <w:r w:rsidR="009C24FC">
        <w:rPr>
          <w:rFonts w:cs="Arial"/>
          <w:spacing w:val="-3"/>
        </w:rPr>
        <w:t>de</w:t>
      </w:r>
      <w:r w:rsidR="005F4E9E">
        <w:rPr>
          <w:rFonts w:cs="Arial"/>
          <w:spacing w:val="-3"/>
        </w:rPr>
        <w:t xml:space="preserve">l </w:t>
      </w:r>
      <w:r w:rsidR="009C24FC">
        <w:rPr>
          <w:rFonts w:cs="Arial"/>
          <w:spacing w:val="-3"/>
        </w:rPr>
        <w:t xml:space="preserve">derecho que en </w:t>
      </w:r>
      <w:r w:rsidR="00C26580">
        <w:rPr>
          <w:rFonts w:cs="Arial"/>
          <w:spacing w:val="-3"/>
        </w:rPr>
        <w:t>cualquier caso rigen las actuacio</w:t>
      </w:r>
      <w:r w:rsidR="005F4E9E">
        <w:rPr>
          <w:rFonts w:cs="Arial"/>
          <w:spacing w:val="-3"/>
        </w:rPr>
        <w:t>n</w:t>
      </w:r>
      <w:r w:rsidR="00C26580">
        <w:rPr>
          <w:rFonts w:cs="Arial"/>
          <w:spacing w:val="-3"/>
        </w:rPr>
        <w:t>es</w:t>
      </w:r>
      <w:r w:rsidR="005F4E9E">
        <w:rPr>
          <w:rFonts w:cs="Arial"/>
          <w:spacing w:val="-3"/>
        </w:rPr>
        <w:t xml:space="preserve"> </w:t>
      </w:r>
      <w:r>
        <w:rPr>
          <w:rFonts w:cs="Arial"/>
          <w:spacing w:val="-3"/>
        </w:rPr>
        <w:t>de la administración</w:t>
      </w:r>
      <w:r w:rsidR="00C26580">
        <w:rPr>
          <w:rFonts w:cs="Arial"/>
          <w:spacing w:val="-3"/>
        </w:rPr>
        <w:t xml:space="preserve">, </w:t>
      </w:r>
      <w:r w:rsidR="005F4E9E">
        <w:rPr>
          <w:rFonts w:cs="Arial"/>
          <w:spacing w:val="-3"/>
        </w:rPr>
        <w:t xml:space="preserve">es claro para la CREG que </w:t>
      </w:r>
      <w:r w:rsidR="009C24FC">
        <w:rPr>
          <w:rFonts w:cs="Arial"/>
          <w:spacing w:val="-3"/>
        </w:rPr>
        <w:t xml:space="preserve">nadie puede </w:t>
      </w:r>
      <w:r w:rsidR="005F4E9E">
        <w:rPr>
          <w:rFonts w:cs="Arial"/>
          <w:spacing w:val="-3"/>
        </w:rPr>
        <w:t xml:space="preserve">obtener provecho de su </w:t>
      </w:r>
      <w:r w:rsidR="009C24FC">
        <w:rPr>
          <w:rFonts w:cs="Arial"/>
          <w:spacing w:val="-3"/>
        </w:rPr>
        <w:t>propia culpa</w:t>
      </w:r>
      <w:r>
        <w:rPr>
          <w:rFonts w:cs="Arial"/>
          <w:spacing w:val="-3"/>
        </w:rPr>
        <w:t xml:space="preserve"> y en consecuencia no se podrá acceder al reconocimiento retroactivo de las sumas que se afirma se dejaron de percibir.</w:t>
      </w:r>
      <w:r w:rsidR="009C24FC">
        <w:rPr>
          <w:rFonts w:cs="Arial"/>
          <w:spacing w:val="-3"/>
        </w:rPr>
        <w:t xml:space="preserve">    </w:t>
      </w:r>
    </w:p>
    <w:p w:rsidR="00272760" w:rsidRPr="00C73220" w:rsidRDefault="009C24FC" w:rsidP="00AE6F24">
      <w:pPr>
        <w:suppressAutoHyphens/>
        <w:rPr>
          <w:rFonts w:cs="Arial"/>
          <w:spacing w:val="-3"/>
          <w:sz w:val="22"/>
        </w:rPr>
      </w:pPr>
      <w:r>
        <w:rPr>
          <w:rFonts w:cs="Arial"/>
          <w:spacing w:val="-3"/>
        </w:rPr>
        <w:t xml:space="preserve"> </w:t>
      </w:r>
    </w:p>
    <w:p w:rsidR="00B15E8F" w:rsidRPr="00193601" w:rsidRDefault="00B15E8F" w:rsidP="00B15E8F">
      <w:pPr>
        <w:tabs>
          <w:tab w:val="center" w:pos="4680"/>
        </w:tabs>
        <w:rPr>
          <w:rFonts w:cs="Arial"/>
          <w:spacing w:val="-3"/>
        </w:rPr>
      </w:pPr>
      <w:r>
        <w:rPr>
          <w:rFonts w:cs="Arial"/>
          <w:spacing w:val="-3"/>
        </w:rPr>
        <w:t>Teniendo en cuenta lo anterior</w:t>
      </w:r>
      <w:r w:rsidR="0086451A">
        <w:rPr>
          <w:rFonts w:cs="Arial"/>
          <w:spacing w:val="-3"/>
        </w:rPr>
        <w:t>,</w:t>
      </w:r>
      <w:r>
        <w:rPr>
          <w:rFonts w:cs="Arial"/>
          <w:spacing w:val="-3"/>
        </w:rPr>
        <w:t xml:space="preserve"> se hace necesario modificar el Ingreso Anual del Transmisor a partir de la aplicación de la metodología contenida en la Res</w:t>
      </w:r>
      <w:r w:rsidR="00D6092D">
        <w:rPr>
          <w:rFonts w:cs="Arial"/>
          <w:spacing w:val="-3"/>
        </w:rPr>
        <w:t>olución CREG 011 de 2009, con la cual</w:t>
      </w:r>
      <w:r>
        <w:rPr>
          <w:rFonts w:cs="Arial"/>
          <w:spacing w:val="-3"/>
        </w:rPr>
        <w:t xml:space="preserve"> se calculan las siguientes variables principales: </w:t>
      </w:r>
    </w:p>
    <w:p w:rsidR="00B15E8F" w:rsidRDefault="00B15E8F" w:rsidP="00B15E8F">
      <w:pPr>
        <w:tabs>
          <w:tab w:val="center" w:pos="4680"/>
        </w:tabs>
        <w:rPr>
          <w:rFonts w:cs="Arial"/>
          <w:spacing w:val="-3"/>
        </w:rPr>
      </w:pPr>
    </w:p>
    <w:p w:rsidR="00D6092D" w:rsidRPr="00B84711" w:rsidRDefault="00D6092D" w:rsidP="00B15E8F">
      <w:pPr>
        <w:tabs>
          <w:tab w:val="center" w:pos="4680"/>
        </w:tabs>
        <w:rPr>
          <w:rFonts w:cs="Arial"/>
          <w:spacing w:val="-3"/>
        </w:rPr>
      </w:pPr>
    </w:p>
    <w:tbl>
      <w:tblPr>
        <w:tblW w:w="8227"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5"/>
        <w:gridCol w:w="2552"/>
      </w:tblGrid>
      <w:tr w:rsidR="00B15E8F" w:rsidRPr="00B84711" w:rsidTr="00B15E8F">
        <w:trPr>
          <w:trHeight w:val="503"/>
          <w:tblHeader/>
          <w:jc w:val="center"/>
        </w:trPr>
        <w:tc>
          <w:tcPr>
            <w:tcW w:w="5675" w:type="dxa"/>
            <w:shd w:val="clear" w:color="auto" w:fill="auto"/>
            <w:vAlign w:val="center"/>
            <w:hideMark/>
          </w:tcPr>
          <w:p w:rsidR="00B15E8F" w:rsidRPr="00B84711" w:rsidRDefault="00B15E8F" w:rsidP="0086451A">
            <w:pPr>
              <w:keepNext/>
              <w:jc w:val="center"/>
              <w:rPr>
                <w:rFonts w:cs="Calibri"/>
                <w:b/>
                <w:bCs/>
                <w:color w:val="000000"/>
                <w:sz w:val="22"/>
                <w:szCs w:val="22"/>
                <w:lang w:val="es-CO" w:eastAsia="es-CO"/>
              </w:rPr>
            </w:pPr>
            <w:r w:rsidRPr="00B84711">
              <w:rPr>
                <w:rFonts w:cs="Calibri"/>
                <w:b/>
                <w:bCs/>
                <w:color w:val="000000"/>
                <w:sz w:val="22"/>
                <w:szCs w:val="22"/>
                <w:lang w:val="es-CO" w:eastAsia="es-CO"/>
              </w:rPr>
              <w:t>Costo Anual</w:t>
            </w:r>
          </w:p>
        </w:tc>
        <w:tc>
          <w:tcPr>
            <w:tcW w:w="2552" w:type="dxa"/>
            <w:shd w:val="clear" w:color="auto" w:fill="auto"/>
            <w:vAlign w:val="center"/>
            <w:hideMark/>
          </w:tcPr>
          <w:p w:rsidR="00B15E8F" w:rsidRPr="00B84711" w:rsidRDefault="00B15E8F" w:rsidP="0086451A">
            <w:pPr>
              <w:keepNext/>
              <w:jc w:val="center"/>
              <w:rPr>
                <w:rFonts w:cs="Calibri"/>
                <w:b/>
                <w:bCs/>
                <w:color w:val="000000"/>
                <w:sz w:val="22"/>
                <w:szCs w:val="22"/>
                <w:lang w:val="es-CO" w:eastAsia="es-CO"/>
              </w:rPr>
            </w:pPr>
            <w:r w:rsidRPr="00B84711">
              <w:rPr>
                <w:rFonts w:cs="Calibri"/>
                <w:b/>
                <w:bCs/>
                <w:color w:val="000000"/>
                <w:sz w:val="22"/>
                <w:szCs w:val="22"/>
                <w:lang w:val="es-CO" w:eastAsia="es-CO"/>
              </w:rPr>
              <w:t>Pesos de diciembre de 2008</w:t>
            </w:r>
          </w:p>
        </w:tc>
      </w:tr>
      <w:tr w:rsidR="00B15E8F" w:rsidRPr="00B84711" w:rsidTr="00B15E8F">
        <w:trPr>
          <w:trHeight w:val="360"/>
          <w:jc w:val="center"/>
        </w:trPr>
        <w:tc>
          <w:tcPr>
            <w:tcW w:w="5675" w:type="dxa"/>
            <w:shd w:val="clear" w:color="auto" w:fill="auto"/>
            <w:vAlign w:val="center"/>
            <w:hideMark/>
          </w:tcPr>
          <w:p w:rsidR="00B15E8F" w:rsidRPr="00B84711" w:rsidRDefault="00B15E8F" w:rsidP="0086451A">
            <w:pPr>
              <w:keepNext/>
              <w:tabs>
                <w:tab w:val="center" w:pos="4680"/>
              </w:tabs>
              <w:rPr>
                <w:rFonts w:cs="Arial"/>
                <w:spacing w:val="-3"/>
                <w:sz w:val="22"/>
                <w:szCs w:val="22"/>
              </w:rPr>
            </w:pPr>
            <w:r w:rsidRPr="00B84711">
              <w:rPr>
                <w:rFonts w:cs="Arial"/>
                <w:spacing w:val="-3"/>
                <w:sz w:val="22"/>
                <w:szCs w:val="22"/>
              </w:rPr>
              <w:t>Costo Anual Equivalente del Activo Eléctrico (</w:t>
            </w:r>
            <w:proofErr w:type="spellStart"/>
            <w:r w:rsidRPr="00B84711">
              <w:rPr>
                <w:rFonts w:cs="Arial"/>
                <w:spacing w:val="-3"/>
                <w:sz w:val="22"/>
                <w:szCs w:val="22"/>
              </w:rPr>
              <w:t>CAEA</w:t>
            </w:r>
            <w:r w:rsidRPr="00A81241">
              <w:rPr>
                <w:rFonts w:cs="Arial"/>
                <w:spacing w:val="-3"/>
                <w:sz w:val="22"/>
                <w:szCs w:val="22"/>
                <w:vertAlign w:val="subscript"/>
              </w:rPr>
              <w:t>j</w:t>
            </w:r>
            <w:proofErr w:type="spellEnd"/>
            <w:r w:rsidRPr="00B84711">
              <w:rPr>
                <w:rFonts w:cs="Arial"/>
                <w:spacing w:val="-3"/>
                <w:sz w:val="22"/>
                <w:szCs w:val="22"/>
              </w:rPr>
              <w:t>)</w:t>
            </w:r>
          </w:p>
        </w:tc>
        <w:tc>
          <w:tcPr>
            <w:tcW w:w="2552" w:type="dxa"/>
            <w:shd w:val="clear" w:color="auto" w:fill="auto"/>
            <w:vAlign w:val="center"/>
          </w:tcPr>
          <w:p w:rsidR="00B15E8F" w:rsidRPr="00B84711" w:rsidRDefault="00B15E8F" w:rsidP="0086451A">
            <w:pPr>
              <w:keepNext/>
              <w:jc w:val="right"/>
              <w:rPr>
                <w:sz w:val="22"/>
                <w:szCs w:val="22"/>
              </w:rPr>
            </w:pPr>
            <w:r>
              <w:rPr>
                <w:sz w:val="22"/>
                <w:szCs w:val="22"/>
              </w:rPr>
              <w:t>2.744.413.732</w:t>
            </w:r>
          </w:p>
        </w:tc>
      </w:tr>
      <w:tr w:rsidR="00B15E8F" w:rsidRPr="00B84711" w:rsidTr="00B15E8F">
        <w:trPr>
          <w:trHeight w:val="360"/>
          <w:jc w:val="center"/>
        </w:trPr>
        <w:tc>
          <w:tcPr>
            <w:tcW w:w="5675" w:type="dxa"/>
            <w:shd w:val="clear" w:color="auto" w:fill="auto"/>
            <w:vAlign w:val="center"/>
          </w:tcPr>
          <w:p w:rsidR="00B15E8F" w:rsidRPr="00B84711" w:rsidRDefault="00B15E8F" w:rsidP="0086451A">
            <w:pPr>
              <w:keepNext/>
              <w:tabs>
                <w:tab w:val="center" w:pos="4680"/>
              </w:tabs>
              <w:rPr>
                <w:rFonts w:cs="Arial"/>
                <w:spacing w:val="-3"/>
                <w:sz w:val="22"/>
                <w:szCs w:val="22"/>
              </w:rPr>
            </w:pPr>
            <w:r w:rsidRPr="006958A8">
              <w:rPr>
                <w:rFonts w:cs="Arial"/>
                <w:spacing w:val="-3"/>
                <w:sz w:val="22"/>
                <w:szCs w:val="22"/>
              </w:rPr>
              <w:t>Valor de los gastos de AOM (</w:t>
            </w:r>
            <w:proofErr w:type="spellStart"/>
            <w:r w:rsidRPr="006958A8">
              <w:rPr>
                <w:rFonts w:cs="Arial"/>
                <w:spacing w:val="-3"/>
                <w:sz w:val="22"/>
                <w:szCs w:val="22"/>
              </w:rPr>
              <w:t>VAOM</w:t>
            </w:r>
            <w:r w:rsidRPr="00A81241">
              <w:rPr>
                <w:rFonts w:cs="Arial"/>
                <w:spacing w:val="-3"/>
                <w:sz w:val="22"/>
                <w:szCs w:val="22"/>
                <w:vertAlign w:val="subscript"/>
              </w:rPr>
              <w:t>j</w:t>
            </w:r>
            <w:proofErr w:type="spellEnd"/>
            <w:r w:rsidRPr="006958A8">
              <w:rPr>
                <w:rFonts w:cs="Arial"/>
                <w:spacing w:val="-3"/>
                <w:sz w:val="22"/>
                <w:szCs w:val="22"/>
              </w:rPr>
              <w:t>)</w:t>
            </w:r>
          </w:p>
        </w:tc>
        <w:tc>
          <w:tcPr>
            <w:tcW w:w="2552" w:type="dxa"/>
            <w:shd w:val="clear" w:color="auto" w:fill="auto"/>
            <w:vAlign w:val="center"/>
          </w:tcPr>
          <w:p w:rsidR="00B15E8F" w:rsidRPr="00B84711" w:rsidRDefault="00EE2EEE" w:rsidP="00EE2EEE">
            <w:pPr>
              <w:keepNext/>
              <w:jc w:val="right"/>
              <w:rPr>
                <w:sz w:val="22"/>
                <w:szCs w:val="22"/>
              </w:rPr>
            </w:pPr>
            <w:r>
              <w:rPr>
                <w:sz w:val="22"/>
                <w:szCs w:val="22"/>
              </w:rPr>
              <w:t>982</w:t>
            </w:r>
            <w:r w:rsidR="00B15E8F">
              <w:rPr>
                <w:sz w:val="22"/>
                <w:szCs w:val="22"/>
              </w:rPr>
              <w:t>.</w:t>
            </w:r>
            <w:r>
              <w:rPr>
                <w:sz w:val="22"/>
                <w:szCs w:val="22"/>
              </w:rPr>
              <w:t>379</w:t>
            </w:r>
            <w:r w:rsidR="00B15E8F">
              <w:rPr>
                <w:sz w:val="22"/>
                <w:szCs w:val="22"/>
              </w:rPr>
              <w:t>.</w:t>
            </w:r>
            <w:r>
              <w:rPr>
                <w:sz w:val="22"/>
                <w:szCs w:val="22"/>
              </w:rPr>
              <w:t>107</w:t>
            </w:r>
          </w:p>
        </w:tc>
      </w:tr>
      <w:tr w:rsidR="00B15E8F" w:rsidRPr="00B84711" w:rsidTr="00B15E8F">
        <w:trPr>
          <w:trHeight w:val="360"/>
          <w:jc w:val="center"/>
        </w:trPr>
        <w:tc>
          <w:tcPr>
            <w:tcW w:w="5675" w:type="dxa"/>
            <w:shd w:val="clear" w:color="auto" w:fill="auto"/>
            <w:vAlign w:val="center"/>
            <w:hideMark/>
          </w:tcPr>
          <w:p w:rsidR="00B15E8F" w:rsidRPr="00B84711" w:rsidRDefault="00B15E8F" w:rsidP="0086451A">
            <w:pPr>
              <w:keepNext/>
              <w:tabs>
                <w:tab w:val="center" w:pos="4680"/>
              </w:tabs>
              <w:rPr>
                <w:rFonts w:cs="Arial"/>
                <w:spacing w:val="-3"/>
                <w:sz w:val="22"/>
                <w:szCs w:val="22"/>
              </w:rPr>
            </w:pPr>
            <w:r w:rsidRPr="00B84711">
              <w:rPr>
                <w:rFonts w:cs="Arial"/>
                <w:spacing w:val="-3"/>
                <w:sz w:val="22"/>
                <w:szCs w:val="22"/>
              </w:rPr>
              <w:t>Costo Anual Equivalente de Terrenos (</w:t>
            </w:r>
            <w:proofErr w:type="spellStart"/>
            <w:r w:rsidRPr="00B84711">
              <w:rPr>
                <w:rFonts w:cs="Arial"/>
                <w:spacing w:val="-3"/>
                <w:sz w:val="22"/>
                <w:szCs w:val="22"/>
              </w:rPr>
              <w:t>CAET</w:t>
            </w:r>
            <w:r w:rsidRPr="00A81241">
              <w:rPr>
                <w:rFonts w:cs="Arial"/>
                <w:spacing w:val="-3"/>
                <w:sz w:val="22"/>
                <w:szCs w:val="22"/>
                <w:vertAlign w:val="subscript"/>
              </w:rPr>
              <w:t>j</w:t>
            </w:r>
            <w:proofErr w:type="spellEnd"/>
            <w:r w:rsidRPr="00B84711">
              <w:rPr>
                <w:rFonts w:cs="Arial"/>
                <w:spacing w:val="-3"/>
                <w:sz w:val="22"/>
                <w:szCs w:val="22"/>
              </w:rPr>
              <w:t>)</w:t>
            </w:r>
          </w:p>
        </w:tc>
        <w:tc>
          <w:tcPr>
            <w:tcW w:w="2552" w:type="dxa"/>
            <w:shd w:val="clear" w:color="auto" w:fill="auto"/>
            <w:vAlign w:val="center"/>
          </w:tcPr>
          <w:p w:rsidR="00B15E8F" w:rsidRPr="00B84711" w:rsidRDefault="00B15E8F" w:rsidP="0086451A">
            <w:pPr>
              <w:keepNext/>
              <w:jc w:val="right"/>
              <w:rPr>
                <w:sz w:val="22"/>
                <w:szCs w:val="22"/>
              </w:rPr>
            </w:pPr>
            <w:r>
              <w:rPr>
                <w:sz w:val="22"/>
                <w:szCs w:val="22"/>
              </w:rPr>
              <w:t>531.259</w:t>
            </w:r>
          </w:p>
        </w:tc>
      </w:tr>
      <w:tr w:rsidR="00B15E8F" w:rsidRPr="00B84711" w:rsidTr="00B15E8F">
        <w:trPr>
          <w:trHeight w:val="360"/>
          <w:jc w:val="center"/>
        </w:trPr>
        <w:tc>
          <w:tcPr>
            <w:tcW w:w="5675" w:type="dxa"/>
            <w:shd w:val="clear" w:color="auto" w:fill="auto"/>
            <w:vAlign w:val="center"/>
          </w:tcPr>
          <w:p w:rsidR="00B15E8F" w:rsidRPr="008B5880" w:rsidRDefault="00B15E8F" w:rsidP="0086451A">
            <w:pPr>
              <w:keepNext/>
              <w:tabs>
                <w:tab w:val="center" w:pos="4680"/>
              </w:tabs>
              <w:rPr>
                <w:rFonts w:cs="Arial"/>
                <w:spacing w:val="-3"/>
                <w:sz w:val="22"/>
                <w:szCs w:val="22"/>
              </w:rPr>
            </w:pPr>
            <w:r w:rsidRPr="008B5880">
              <w:rPr>
                <w:rFonts w:cs="Arial"/>
                <w:spacing w:val="-3"/>
                <w:sz w:val="22"/>
                <w:szCs w:val="22"/>
              </w:rPr>
              <w:t>Costo Anual Equivalente de Servidumbres (</w:t>
            </w:r>
            <w:proofErr w:type="spellStart"/>
            <w:r w:rsidRPr="008B5880">
              <w:rPr>
                <w:rFonts w:cs="Arial"/>
                <w:spacing w:val="-3"/>
                <w:sz w:val="22"/>
                <w:szCs w:val="22"/>
              </w:rPr>
              <w:t>CAES</w:t>
            </w:r>
            <w:r w:rsidRPr="00A81241">
              <w:rPr>
                <w:rFonts w:cs="Arial"/>
                <w:spacing w:val="-3"/>
                <w:sz w:val="22"/>
                <w:szCs w:val="22"/>
                <w:vertAlign w:val="subscript"/>
              </w:rPr>
              <w:t>j</w:t>
            </w:r>
            <w:proofErr w:type="spellEnd"/>
            <w:r w:rsidRPr="008B5880">
              <w:rPr>
                <w:rFonts w:cs="Arial"/>
                <w:spacing w:val="-3"/>
                <w:sz w:val="22"/>
                <w:szCs w:val="22"/>
              </w:rPr>
              <w:t>)</w:t>
            </w:r>
          </w:p>
        </w:tc>
        <w:tc>
          <w:tcPr>
            <w:tcW w:w="2552" w:type="dxa"/>
            <w:shd w:val="clear" w:color="auto" w:fill="auto"/>
            <w:vAlign w:val="center"/>
          </w:tcPr>
          <w:p w:rsidR="00B15E8F" w:rsidRPr="008B5880" w:rsidRDefault="00B15E8F" w:rsidP="0086451A">
            <w:pPr>
              <w:keepNext/>
              <w:jc w:val="right"/>
              <w:rPr>
                <w:sz w:val="22"/>
                <w:szCs w:val="22"/>
              </w:rPr>
            </w:pPr>
            <w:r>
              <w:rPr>
                <w:sz w:val="22"/>
                <w:szCs w:val="22"/>
              </w:rPr>
              <w:t>0</w:t>
            </w:r>
          </w:p>
        </w:tc>
      </w:tr>
      <w:tr w:rsidR="00B15E8F" w:rsidRPr="00B84711" w:rsidTr="00B15E8F">
        <w:trPr>
          <w:trHeight w:val="360"/>
          <w:jc w:val="center"/>
        </w:trPr>
        <w:tc>
          <w:tcPr>
            <w:tcW w:w="5675" w:type="dxa"/>
            <w:shd w:val="clear" w:color="auto" w:fill="auto"/>
            <w:vAlign w:val="center"/>
          </w:tcPr>
          <w:p w:rsidR="00B15E8F" w:rsidRPr="008B5880" w:rsidRDefault="00B15E8F" w:rsidP="00B15E8F">
            <w:pPr>
              <w:tabs>
                <w:tab w:val="center" w:pos="4680"/>
              </w:tabs>
              <w:rPr>
                <w:rFonts w:cs="Arial"/>
                <w:spacing w:val="-3"/>
                <w:sz w:val="22"/>
                <w:szCs w:val="22"/>
              </w:rPr>
            </w:pPr>
            <w:r w:rsidRPr="008B5880">
              <w:rPr>
                <w:rFonts w:cs="Arial"/>
                <w:spacing w:val="-3"/>
                <w:sz w:val="22"/>
                <w:szCs w:val="22"/>
              </w:rPr>
              <w:t>Otros Ingresos (</w:t>
            </w:r>
            <w:proofErr w:type="spellStart"/>
            <w:r w:rsidRPr="008B5880">
              <w:rPr>
                <w:rFonts w:cs="Arial"/>
                <w:spacing w:val="-3"/>
                <w:sz w:val="22"/>
                <w:szCs w:val="22"/>
              </w:rPr>
              <w:t>OI</w:t>
            </w:r>
            <w:r w:rsidRPr="00A81241">
              <w:rPr>
                <w:rFonts w:cs="Arial"/>
                <w:spacing w:val="-3"/>
                <w:sz w:val="22"/>
                <w:szCs w:val="22"/>
                <w:vertAlign w:val="subscript"/>
              </w:rPr>
              <w:t>j</w:t>
            </w:r>
            <w:proofErr w:type="spellEnd"/>
            <w:r w:rsidRPr="008B5880">
              <w:rPr>
                <w:rFonts w:cs="Arial"/>
                <w:spacing w:val="-3"/>
                <w:sz w:val="22"/>
                <w:szCs w:val="22"/>
              </w:rPr>
              <w:t>)</w:t>
            </w:r>
          </w:p>
        </w:tc>
        <w:tc>
          <w:tcPr>
            <w:tcW w:w="2552" w:type="dxa"/>
            <w:shd w:val="clear" w:color="auto" w:fill="auto"/>
            <w:vAlign w:val="center"/>
          </w:tcPr>
          <w:p w:rsidR="00B15E8F" w:rsidRPr="008B5880" w:rsidRDefault="00B15E8F" w:rsidP="00B15E8F">
            <w:pPr>
              <w:jc w:val="right"/>
              <w:rPr>
                <w:sz w:val="22"/>
                <w:szCs w:val="22"/>
              </w:rPr>
            </w:pPr>
            <w:r>
              <w:rPr>
                <w:sz w:val="22"/>
                <w:szCs w:val="22"/>
              </w:rPr>
              <w:t>0</w:t>
            </w:r>
            <w:r w:rsidRPr="008B5880">
              <w:rPr>
                <w:sz w:val="22"/>
                <w:szCs w:val="22"/>
              </w:rPr>
              <w:t xml:space="preserve"> </w:t>
            </w:r>
          </w:p>
        </w:tc>
      </w:tr>
    </w:tbl>
    <w:p w:rsidR="00B15E8F" w:rsidRDefault="00B15E8F" w:rsidP="00AE6F24">
      <w:pPr>
        <w:suppressAutoHyphens/>
        <w:rPr>
          <w:rFonts w:cs="Arial"/>
          <w:spacing w:val="-3"/>
        </w:rPr>
      </w:pPr>
    </w:p>
    <w:p w:rsidR="00B15E8F" w:rsidRPr="00B84711" w:rsidRDefault="00B15E8F" w:rsidP="00B15E8F">
      <w:pPr>
        <w:tabs>
          <w:tab w:val="center" w:pos="4680"/>
        </w:tabs>
        <w:rPr>
          <w:rFonts w:cs="Arial"/>
          <w:spacing w:val="-3"/>
        </w:rPr>
      </w:pPr>
      <w:r w:rsidRPr="00B84711">
        <w:rPr>
          <w:rFonts w:cs="Arial"/>
          <w:spacing w:val="-3"/>
        </w:rPr>
        <w:lastRenderedPageBreak/>
        <w:t xml:space="preserve">La Comisión de Regulación de Energía y Gas, en su sesión </w:t>
      </w:r>
      <w:r w:rsidR="004865DB">
        <w:rPr>
          <w:rFonts w:cs="Arial"/>
          <w:spacing w:val="-3"/>
        </w:rPr>
        <w:t>513</w:t>
      </w:r>
      <w:r w:rsidRPr="00B84711">
        <w:rPr>
          <w:rFonts w:cs="Arial"/>
          <w:spacing w:val="-3"/>
        </w:rPr>
        <w:t xml:space="preserve"> del </w:t>
      </w:r>
      <w:r w:rsidR="004865DB">
        <w:rPr>
          <w:rFonts w:cs="Arial"/>
          <w:spacing w:val="-3"/>
        </w:rPr>
        <w:t>29</w:t>
      </w:r>
      <w:r w:rsidRPr="00B84711">
        <w:rPr>
          <w:rFonts w:cs="Arial"/>
          <w:spacing w:val="-3"/>
        </w:rPr>
        <w:t xml:space="preserve"> de </w:t>
      </w:r>
      <w:r w:rsidR="004865DB">
        <w:rPr>
          <w:rFonts w:cs="Arial"/>
          <w:spacing w:val="-3"/>
        </w:rPr>
        <w:t>febrero</w:t>
      </w:r>
      <w:r w:rsidRPr="00B84711">
        <w:rPr>
          <w:rFonts w:cs="Arial"/>
          <w:spacing w:val="-3"/>
        </w:rPr>
        <w:t xml:space="preserve"> de 201</w:t>
      </w:r>
      <w:r>
        <w:rPr>
          <w:rFonts w:cs="Arial"/>
          <w:spacing w:val="-3"/>
        </w:rPr>
        <w:t>2</w:t>
      </w:r>
      <w:r w:rsidRPr="00B84711">
        <w:rPr>
          <w:rFonts w:cs="Arial"/>
          <w:spacing w:val="-3"/>
        </w:rPr>
        <w:t xml:space="preserve">, aprobó </w:t>
      </w:r>
      <w:r>
        <w:rPr>
          <w:rFonts w:cs="Arial"/>
          <w:spacing w:val="-3"/>
        </w:rPr>
        <w:t xml:space="preserve">actualizar la base de activos de </w:t>
      </w:r>
      <w:proofErr w:type="spellStart"/>
      <w:r>
        <w:rPr>
          <w:rFonts w:cs="Arial"/>
          <w:spacing w:val="-3"/>
        </w:rPr>
        <w:t>Distasa</w:t>
      </w:r>
      <w:proofErr w:type="spellEnd"/>
      <w:r w:rsidRPr="00B84711">
        <w:rPr>
          <w:rFonts w:cs="Arial"/>
          <w:spacing w:val="-3"/>
        </w:rPr>
        <w:t xml:space="preserve"> S.A. E.S.P. </w:t>
      </w:r>
      <w:r>
        <w:rPr>
          <w:rFonts w:cs="Arial"/>
          <w:spacing w:val="-3"/>
        </w:rPr>
        <w:t xml:space="preserve">y </w:t>
      </w:r>
      <w:r>
        <w:t>expedir la presente resolución</w:t>
      </w:r>
      <w:r w:rsidRPr="00B84711">
        <w:rPr>
          <w:rFonts w:cs="Arial"/>
          <w:spacing w:val="-3"/>
        </w:rPr>
        <w:t>.</w:t>
      </w:r>
    </w:p>
    <w:p w:rsidR="00272760" w:rsidRDefault="00272760" w:rsidP="0080129A">
      <w:pPr>
        <w:suppressAutoHyphens/>
        <w:jc w:val="center"/>
        <w:rPr>
          <w:rFonts w:cs="Arial"/>
          <w:b/>
          <w:spacing w:val="-3"/>
        </w:rPr>
      </w:pPr>
    </w:p>
    <w:p w:rsidR="00272760" w:rsidRPr="004F7234" w:rsidRDefault="00272760" w:rsidP="0080129A">
      <w:pPr>
        <w:suppressAutoHyphens/>
        <w:jc w:val="center"/>
        <w:rPr>
          <w:rFonts w:cs="Arial"/>
          <w:b/>
          <w:spacing w:val="-3"/>
        </w:rPr>
      </w:pPr>
    </w:p>
    <w:p w:rsidR="0080129A" w:rsidRPr="004F7234" w:rsidRDefault="0080129A" w:rsidP="0080129A">
      <w:pPr>
        <w:keepNext/>
        <w:suppressAutoHyphens/>
        <w:jc w:val="center"/>
        <w:rPr>
          <w:rFonts w:cs="Arial"/>
          <w:b/>
          <w:spacing w:val="-3"/>
        </w:rPr>
      </w:pPr>
      <w:r w:rsidRPr="004F7234">
        <w:rPr>
          <w:rFonts w:cs="Arial"/>
          <w:b/>
          <w:spacing w:val="-3"/>
        </w:rPr>
        <w:t>R E S U E L V E:</w:t>
      </w:r>
    </w:p>
    <w:p w:rsidR="0080129A" w:rsidRDefault="0080129A" w:rsidP="0080129A">
      <w:pPr>
        <w:keepNext/>
        <w:tabs>
          <w:tab w:val="left" w:pos="-720"/>
        </w:tabs>
        <w:suppressAutoHyphens/>
        <w:rPr>
          <w:rFonts w:cs="Arial"/>
          <w:spacing w:val="-3"/>
        </w:rPr>
      </w:pPr>
    </w:p>
    <w:p w:rsidR="004865DB" w:rsidRPr="004F7234" w:rsidRDefault="004865DB" w:rsidP="0080129A">
      <w:pPr>
        <w:keepNext/>
        <w:tabs>
          <w:tab w:val="left" w:pos="-720"/>
        </w:tabs>
        <w:suppressAutoHyphens/>
        <w:rPr>
          <w:rFonts w:cs="Arial"/>
          <w:spacing w:val="-3"/>
        </w:rPr>
      </w:pPr>
    </w:p>
    <w:p w:rsidR="004D41A2" w:rsidRDefault="005F4E9E" w:rsidP="004D41A2">
      <w:pPr>
        <w:pStyle w:val="Artculo"/>
        <w:ind w:left="0" w:firstLine="0"/>
      </w:pPr>
      <w:r>
        <w:t>Acceder a</w:t>
      </w:r>
      <w:r w:rsidR="007E269A">
        <w:rPr>
          <w:spacing w:val="-3"/>
        </w:rPr>
        <w:t xml:space="preserve"> la solicitud de modificación de la base de a</w:t>
      </w:r>
      <w:r w:rsidR="00DD7C9B">
        <w:rPr>
          <w:spacing w:val="-3"/>
        </w:rPr>
        <w:t xml:space="preserve">ctivos de </w:t>
      </w:r>
      <w:proofErr w:type="spellStart"/>
      <w:r w:rsidR="00DD7C9B">
        <w:rPr>
          <w:spacing w:val="-3"/>
        </w:rPr>
        <w:t>Distasa</w:t>
      </w:r>
      <w:proofErr w:type="spellEnd"/>
      <w:r w:rsidR="0080129A" w:rsidRPr="004F7234">
        <w:rPr>
          <w:spacing w:val="-3"/>
        </w:rPr>
        <w:t xml:space="preserve"> S.A. E.S.P., </w:t>
      </w:r>
      <w:r w:rsidR="0080129A" w:rsidRPr="004F7234">
        <w:t xml:space="preserve">por las razones expuestas en la parte motiva de esta </w:t>
      </w:r>
      <w:r w:rsidR="0080129A" w:rsidRPr="000F435C">
        <w:t>Resolución</w:t>
      </w:r>
      <w:r w:rsidRPr="000F435C">
        <w:t xml:space="preserve"> y en consecuencia </w:t>
      </w:r>
      <w:r w:rsidR="00A41B7E" w:rsidRPr="000F435C">
        <w:t>adicionar</w:t>
      </w:r>
      <w:r w:rsidR="004D41A2" w:rsidRPr="000F435C">
        <w:t xml:space="preserve"> el</w:t>
      </w:r>
      <w:r w:rsidR="004D41A2">
        <w:t xml:space="preserve"> siguiente registro al numeral </w:t>
      </w:r>
      <w:r w:rsidR="004D41A2" w:rsidRPr="00384C39">
        <w:rPr>
          <w:i/>
        </w:rPr>
        <w:t>1.</w:t>
      </w:r>
      <w:r w:rsidR="00A81241">
        <w:rPr>
          <w:i/>
        </w:rPr>
        <w:t> </w:t>
      </w:r>
      <w:r w:rsidR="004D41A2" w:rsidRPr="00384C39">
        <w:rPr>
          <w:i/>
        </w:rPr>
        <w:t>Subestaciones</w:t>
      </w:r>
      <w:r w:rsidR="004D41A2">
        <w:t xml:space="preserve"> </w:t>
      </w:r>
      <w:r w:rsidR="004D41A2" w:rsidRPr="00A720D3">
        <w:t xml:space="preserve">de la base de activos del </w:t>
      </w:r>
      <w:r w:rsidR="00A41B7E">
        <w:t>a</w:t>
      </w:r>
      <w:r w:rsidR="004D41A2" w:rsidRPr="00A720D3">
        <w:t>nexo de la Resolución CREG 10</w:t>
      </w:r>
      <w:r w:rsidR="004D41A2">
        <w:t>5</w:t>
      </w:r>
      <w:r w:rsidR="004D41A2" w:rsidRPr="00A720D3">
        <w:t xml:space="preserve"> de 2010</w:t>
      </w:r>
      <w:r w:rsidR="004D41A2">
        <w:t>:</w:t>
      </w:r>
    </w:p>
    <w:p w:rsidR="004D41A2" w:rsidRDefault="004D41A2" w:rsidP="004D41A2"/>
    <w:tbl>
      <w:tblPr>
        <w:tblW w:w="459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68" w:type="dxa"/>
          <w:right w:w="70" w:type="dxa"/>
        </w:tblCellMar>
        <w:tblLook w:val="04A0" w:firstRow="1" w:lastRow="0" w:firstColumn="1" w:lastColumn="0" w:noHBand="0" w:noVBand="1"/>
      </w:tblPr>
      <w:tblGrid>
        <w:gridCol w:w="584"/>
        <w:gridCol w:w="2010"/>
        <w:gridCol w:w="917"/>
        <w:gridCol w:w="1083"/>
      </w:tblGrid>
      <w:tr w:rsidR="004D41A2" w:rsidRPr="00B84711" w:rsidTr="004D41A2">
        <w:trPr>
          <w:trHeight w:val="227"/>
          <w:tblHeader/>
          <w:jc w:val="center"/>
        </w:trPr>
        <w:tc>
          <w:tcPr>
            <w:tcW w:w="584" w:type="dxa"/>
            <w:vAlign w:val="center"/>
          </w:tcPr>
          <w:p w:rsidR="004D41A2" w:rsidRPr="00B84711" w:rsidRDefault="004D41A2" w:rsidP="004D41A2">
            <w:pPr>
              <w:keepNext/>
              <w:jc w:val="center"/>
              <w:rPr>
                <w:rFonts w:cs="Arial"/>
                <w:b/>
                <w:bCs/>
                <w:i/>
                <w:color w:val="000000"/>
                <w:sz w:val="22"/>
                <w:szCs w:val="18"/>
              </w:rPr>
            </w:pPr>
            <w:r w:rsidRPr="00B84711">
              <w:rPr>
                <w:rFonts w:cs="Arial"/>
                <w:b/>
                <w:bCs/>
                <w:i/>
                <w:color w:val="000000"/>
                <w:sz w:val="22"/>
                <w:szCs w:val="18"/>
              </w:rPr>
              <w:t>No.</w:t>
            </w:r>
          </w:p>
        </w:tc>
        <w:tc>
          <w:tcPr>
            <w:tcW w:w="2010" w:type="dxa"/>
            <w:shd w:val="clear" w:color="auto" w:fill="auto"/>
            <w:noWrap/>
            <w:vAlign w:val="center"/>
            <w:hideMark/>
          </w:tcPr>
          <w:p w:rsidR="004D41A2" w:rsidRPr="00B84711" w:rsidRDefault="004D41A2" w:rsidP="004D41A2">
            <w:pPr>
              <w:keepNext/>
              <w:jc w:val="center"/>
              <w:rPr>
                <w:rFonts w:cs="Arial"/>
                <w:b/>
                <w:bCs/>
                <w:i/>
                <w:color w:val="000000"/>
                <w:sz w:val="22"/>
                <w:szCs w:val="18"/>
              </w:rPr>
            </w:pPr>
            <w:r w:rsidRPr="00B84711">
              <w:rPr>
                <w:rFonts w:cs="Arial"/>
                <w:b/>
                <w:bCs/>
                <w:i/>
                <w:color w:val="000000"/>
                <w:sz w:val="22"/>
                <w:szCs w:val="18"/>
              </w:rPr>
              <w:t>Subestación</w:t>
            </w:r>
          </w:p>
        </w:tc>
        <w:tc>
          <w:tcPr>
            <w:tcW w:w="917" w:type="dxa"/>
            <w:shd w:val="clear" w:color="auto" w:fill="auto"/>
            <w:noWrap/>
            <w:vAlign w:val="center"/>
            <w:hideMark/>
          </w:tcPr>
          <w:p w:rsidR="004D41A2" w:rsidRPr="00B84711" w:rsidRDefault="004D41A2" w:rsidP="004D41A2">
            <w:pPr>
              <w:keepNext/>
              <w:jc w:val="center"/>
              <w:rPr>
                <w:rFonts w:cs="Arial"/>
                <w:b/>
                <w:bCs/>
                <w:i/>
                <w:color w:val="000000"/>
                <w:sz w:val="22"/>
                <w:szCs w:val="18"/>
              </w:rPr>
            </w:pPr>
            <w:r w:rsidRPr="00B84711">
              <w:rPr>
                <w:rFonts w:cs="Arial"/>
                <w:b/>
                <w:bCs/>
                <w:i/>
                <w:color w:val="000000"/>
                <w:sz w:val="22"/>
                <w:szCs w:val="18"/>
              </w:rPr>
              <w:t>UC</w:t>
            </w:r>
          </w:p>
        </w:tc>
        <w:tc>
          <w:tcPr>
            <w:tcW w:w="1083" w:type="dxa"/>
            <w:shd w:val="clear" w:color="auto" w:fill="auto"/>
            <w:noWrap/>
            <w:vAlign w:val="center"/>
            <w:hideMark/>
          </w:tcPr>
          <w:p w:rsidR="004D41A2" w:rsidRPr="00B84711" w:rsidRDefault="004D41A2" w:rsidP="004D41A2">
            <w:pPr>
              <w:keepNext/>
              <w:jc w:val="center"/>
              <w:rPr>
                <w:rFonts w:cs="Arial"/>
                <w:b/>
                <w:bCs/>
                <w:i/>
                <w:color w:val="000000"/>
                <w:sz w:val="22"/>
                <w:szCs w:val="18"/>
              </w:rPr>
            </w:pPr>
            <w:r w:rsidRPr="00B84711">
              <w:rPr>
                <w:rFonts w:cs="Arial"/>
                <w:b/>
                <w:bCs/>
                <w:i/>
                <w:color w:val="000000"/>
                <w:sz w:val="22"/>
                <w:szCs w:val="18"/>
              </w:rPr>
              <w:t>PU</w:t>
            </w:r>
          </w:p>
        </w:tc>
      </w:tr>
      <w:tr w:rsidR="004D41A2" w:rsidRPr="00B84711" w:rsidTr="004D41A2">
        <w:trPr>
          <w:trHeight w:val="227"/>
          <w:jc w:val="center"/>
        </w:trPr>
        <w:tc>
          <w:tcPr>
            <w:tcW w:w="584" w:type="dxa"/>
            <w:vAlign w:val="center"/>
          </w:tcPr>
          <w:p w:rsidR="004D41A2" w:rsidRPr="00B84711" w:rsidRDefault="004D41A2" w:rsidP="004D41A2">
            <w:pPr>
              <w:ind w:right="-144"/>
              <w:rPr>
                <w:rFonts w:cs="Arial"/>
                <w:i/>
                <w:color w:val="000000"/>
                <w:sz w:val="22"/>
                <w:szCs w:val="18"/>
              </w:rPr>
            </w:pPr>
            <w:r>
              <w:rPr>
                <w:rFonts w:cs="Arial"/>
                <w:i/>
                <w:color w:val="000000"/>
                <w:sz w:val="22"/>
                <w:szCs w:val="18"/>
              </w:rPr>
              <w:t>11</w:t>
            </w:r>
          </w:p>
        </w:tc>
        <w:tc>
          <w:tcPr>
            <w:tcW w:w="2010" w:type="dxa"/>
            <w:shd w:val="clear" w:color="auto" w:fill="auto"/>
            <w:noWrap/>
            <w:vAlign w:val="center"/>
            <w:hideMark/>
          </w:tcPr>
          <w:p w:rsidR="004D41A2" w:rsidRPr="00B84711" w:rsidRDefault="004D41A2" w:rsidP="004D41A2">
            <w:pPr>
              <w:ind w:left="21"/>
              <w:jc w:val="center"/>
              <w:rPr>
                <w:rFonts w:cs="Arial"/>
                <w:i/>
                <w:color w:val="000000"/>
                <w:sz w:val="22"/>
                <w:szCs w:val="18"/>
              </w:rPr>
            </w:pPr>
            <w:r>
              <w:rPr>
                <w:rFonts w:cs="Arial"/>
                <w:i/>
                <w:color w:val="000000"/>
                <w:sz w:val="22"/>
                <w:szCs w:val="18"/>
              </w:rPr>
              <w:t>TASAJERO</w:t>
            </w:r>
          </w:p>
        </w:tc>
        <w:tc>
          <w:tcPr>
            <w:tcW w:w="917" w:type="dxa"/>
            <w:shd w:val="clear" w:color="auto" w:fill="auto"/>
            <w:noWrap/>
            <w:vAlign w:val="center"/>
            <w:hideMark/>
          </w:tcPr>
          <w:p w:rsidR="004D41A2" w:rsidRPr="00B84711" w:rsidRDefault="004D41A2" w:rsidP="004D41A2">
            <w:pPr>
              <w:ind w:left="52"/>
              <w:jc w:val="center"/>
              <w:rPr>
                <w:rFonts w:cs="Arial"/>
                <w:i/>
                <w:color w:val="000000"/>
                <w:sz w:val="22"/>
                <w:szCs w:val="18"/>
              </w:rPr>
            </w:pPr>
            <w:r>
              <w:rPr>
                <w:rFonts w:cs="Arial"/>
                <w:i/>
                <w:color w:val="000000"/>
                <w:sz w:val="22"/>
                <w:szCs w:val="18"/>
              </w:rPr>
              <w:t>CC106</w:t>
            </w:r>
          </w:p>
        </w:tc>
        <w:tc>
          <w:tcPr>
            <w:tcW w:w="1083" w:type="dxa"/>
            <w:shd w:val="clear" w:color="auto" w:fill="auto"/>
            <w:noWrap/>
            <w:vAlign w:val="center"/>
            <w:hideMark/>
          </w:tcPr>
          <w:p w:rsidR="004D41A2" w:rsidRPr="00B84711" w:rsidRDefault="004D41A2" w:rsidP="004D41A2">
            <w:pPr>
              <w:jc w:val="center"/>
              <w:rPr>
                <w:rFonts w:cs="Arial"/>
                <w:i/>
                <w:color w:val="000000"/>
                <w:sz w:val="22"/>
                <w:szCs w:val="18"/>
              </w:rPr>
            </w:pPr>
            <w:r>
              <w:rPr>
                <w:rFonts w:cs="Arial"/>
                <w:i/>
                <w:color w:val="000000"/>
                <w:sz w:val="22"/>
                <w:szCs w:val="18"/>
              </w:rPr>
              <w:t>0</w:t>
            </w:r>
            <w:r w:rsidRPr="00B84711">
              <w:rPr>
                <w:rFonts w:cs="Arial"/>
                <w:i/>
                <w:color w:val="000000"/>
                <w:sz w:val="22"/>
                <w:szCs w:val="18"/>
              </w:rPr>
              <w:t>,</w:t>
            </w:r>
            <w:r>
              <w:rPr>
                <w:rFonts w:cs="Arial"/>
                <w:i/>
                <w:color w:val="000000"/>
                <w:sz w:val="22"/>
                <w:szCs w:val="18"/>
              </w:rPr>
              <w:t>6</w:t>
            </w:r>
            <w:r w:rsidRPr="00B84711">
              <w:rPr>
                <w:rFonts w:cs="Arial"/>
                <w:i/>
                <w:color w:val="000000"/>
                <w:sz w:val="22"/>
                <w:szCs w:val="18"/>
              </w:rPr>
              <w:t>0000</w:t>
            </w:r>
          </w:p>
        </w:tc>
      </w:tr>
    </w:tbl>
    <w:p w:rsidR="004D41A2" w:rsidRPr="00B84711" w:rsidRDefault="004D41A2" w:rsidP="004D41A2"/>
    <w:p w:rsidR="004D41A2" w:rsidRDefault="004D41A2" w:rsidP="005F4E9E">
      <w:pPr>
        <w:pStyle w:val="Artculo"/>
        <w:ind w:left="0" w:firstLine="0"/>
        <w:rPr>
          <w:bCs/>
        </w:rPr>
      </w:pPr>
      <w:r>
        <w:rPr>
          <w:bCs/>
        </w:rPr>
        <w:t>Modificar el artículo 1 de l</w:t>
      </w:r>
      <w:r w:rsidR="00A81241">
        <w:rPr>
          <w:bCs/>
        </w:rPr>
        <w:t>a</w:t>
      </w:r>
      <w:r>
        <w:rPr>
          <w:bCs/>
        </w:rPr>
        <w:t xml:space="preserve"> Resolución CRE</w:t>
      </w:r>
      <w:r w:rsidR="002B5E28">
        <w:rPr>
          <w:bCs/>
        </w:rPr>
        <w:t>G</w:t>
      </w:r>
      <w:r>
        <w:rPr>
          <w:bCs/>
        </w:rPr>
        <w:t xml:space="preserve"> 105 de 2010, el cual quedará así:</w:t>
      </w:r>
    </w:p>
    <w:p w:rsidR="004D41A2" w:rsidRDefault="004D41A2" w:rsidP="004D41A2">
      <w:pPr>
        <w:pStyle w:val="Artculo"/>
        <w:numPr>
          <w:ilvl w:val="0"/>
          <w:numId w:val="0"/>
        </w:numPr>
        <w:ind w:left="360" w:hanging="360"/>
        <w:rPr>
          <w:bCs/>
        </w:rPr>
      </w:pPr>
    </w:p>
    <w:p w:rsidR="004D41A2" w:rsidRDefault="004D41A2" w:rsidP="004D41A2">
      <w:pPr>
        <w:pStyle w:val="Artculo"/>
        <w:numPr>
          <w:ilvl w:val="0"/>
          <w:numId w:val="0"/>
        </w:numPr>
        <w:ind w:left="360"/>
        <w:rPr>
          <w:bCs/>
          <w:i/>
        </w:rPr>
      </w:pPr>
      <w:r>
        <w:rPr>
          <w:bCs/>
        </w:rPr>
        <w:t>“</w:t>
      </w:r>
      <w:r w:rsidRPr="004D41A2">
        <w:rPr>
          <w:b/>
          <w:bCs/>
          <w:i/>
        </w:rPr>
        <w:t>Artículo 1.</w:t>
      </w:r>
      <w:r w:rsidRPr="004D41A2">
        <w:rPr>
          <w:b/>
          <w:bCs/>
          <w:i/>
        </w:rPr>
        <w:tab/>
        <w:t>Ingreso Anual.</w:t>
      </w:r>
      <w:r w:rsidRPr="004D41A2">
        <w:rPr>
          <w:bCs/>
          <w:i/>
        </w:rPr>
        <w:t xml:space="preserve"> El Ingreso Anual (</w:t>
      </w:r>
      <w:proofErr w:type="spellStart"/>
      <w:r w:rsidRPr="004D41A2">
        <w:rPr>
          <w:bCs/>
          <w:i/>
        </w:rPr>
        <w:t>IAT</w:t>
      </w:r>
      <w:r w:rsidRPr="00B37F10">
        <w:rPr>
          <w:bCs/>
          <w:i/>
          <w:vertAlign w:val="subscript"/>
        </w:rPr>
        <w:t>j</w:t>
      </w:r>
      <w:proofErr w:type="spellEnd"/>
      <w:r w:rsidRPr="004D41A2">
        <w:rPr>
          <w:bCs/>
          <w:i/>
        </w:rPr>
        <w:t xml:space="preserve">) por los activos </w:t>
      </w:r>
      <w:r w:rsidR="00DD7C9B">
        <w:rPr>
          <w:bCs/>
          <w:i/>
        </w:rPr>
        <w:t xml:space="preserve">representados por </w:t>
      </w:r>
      <w:proofErr w:type="spellStart"/>
      <w:r w:rsidR="00DD7C9B">
        <w:rPr>
          <w:bCs/>
          <w:i/>
        </w:rPr>
        <w:t>Distasa</w:t>
      </w:r>
      <w:proofErr w:type="spellEnd"/>
      <w:r w:rsidRPr="004D41A2">
        <w:rPr>
          <w:bCs/>
          <w:i/>
        </w:rPr>
        <w:t xml:space="preserve"> S.A. E.S.P. en el Sistema de Transmisión Nacional, calculado en la forma establecida en la Resolución CREG 011 de 2009, es el siguiente:</w:t>
      </w:r>
    </w:p>
    <w:p w:rsidR="004D41A2" w:rsidRPr="00384C39" w:rsidRDefault="004D41A2" w:rsidP="004D41A2">
      <w:pPr>
        <w:rPr>
          <w:i/>
        </w:rPr>
      </w:pPr>
    </w:p>
    <w:tbl>
      <w:tblPr>
        <w:tblW w:w="6910" w:type="dxa"/>
        <w:jc w:val="center"/>
        <w:tblInd w:w="-177" w:type="dxa"/>
        <w:tblCellMar>
          <w:left w:w="70" w:type="dxa"/>
          <w:right w:w="70" w:type="dxa"/>
        </w:tblCellMar>
        <w:tblLook w:val="04A0" w:firstRow="1" w:lastRow="0" w:firstColumn="1" w:lastColumn="0" w:noHBand="0" w:noVBand="1"/>
      </w:tblPr>
      <w:tblGrid>
        <w:gridCol w:w="4161"/>
        <w:gridCol w:w="2446"/>
        <w:gridCol w:w="303"/>
      </w:tblGrid>
      <w:tr w:rsidR="004D41A2" w:rsidRPr="00384C39" w:rsidTr="004D41A2">
        <w:trPr>
          <w:trHeight w:val="360"/>
          <w:jc w:val="center"/>
        </w:trPr>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1A2" w:rsidRPr="00384C39" w:rsidRDefault="004D41A2" w:rsidP="004D41A2">
            <w:pPr>
              <w:jc w:val="center"/>
              <w:rPr>
                <w:rFonts w:cs="Calibri"/>
                <w:b/>
                <w:bCs/>
                <w:i/>
                <w:color w:val="000000"/>
                <w:sz w:val="22"/>
                <w:szCs w:val="20"/>
                <w:lang w:val="es-CO" w:eastAsia="es-CO"/>
              </w:rPr>
            </w:pPr>
            <w:r w:rsidRPr="00384C39">
              <w:rPr>
                <w:rFonts w:cs="Calibri"/>
                <w:b/>
                <w:bCs/>
                <w:i/>
                <w:color w:val="000000"/>
                <w:sz w:val="22"/>
                <w:szCs w:val="20"/>
                <w:lang w:val="es-CO" w:eastAsia="es-CO"/>
              </w:rPr>
              <w:t>Ingreso Anual</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rsidR="004D41A2" w:rsidRPr="00384C39" w:rsidRDefault="004D41A2" w:rsidP="004D41A2">
            <w:pPr>
              <w:jc w:val="center"/>
              <w:rPr>
                <w:rFonts w:cs="Calibri"/>
                <w:b/>
                <w:bCs/>
                <w:i/>
                <w:color w:val="000000"/>
                <w:sz w:val="22"/>
                <w:szCs w:val="20"/>
                <w:lang w:val="es-CO" w:eastAsia="es-CO"/>
              </w:rPr>
            </w:pPr>
            <w:r w:rsidRPr="00384C39">
              <w:rPr>
                <w:rFonts w:cs="Calibri"/>
                <w:b/>
                <w:bCs/>
                <w:i/>
                <w:color w:val="000000"/>
                <w:sz w:val="22"/>
                <w:szCs w:val="20"/>
                <w:lang w:val="es-CO" w:eastAsia="es-CO"/>
              </w:rPr>
              <w:t>Pesos de diciembre de 2008</w:t>
            </w:r>
          </w:p>
        </w:tc>
        <w:tc>
          <w:tcPr>
            <w:tcW w:w="299" w:type="dxa"/>
            <w:tcBorders>
              <w:left w:val="single" w:sz="4" w:space="0" w:color="auto"/>
            </w:tcBorders>
          </w:tcPr>
          <w:p w:rsidR="004D41A2" w:rsidRPr="00384C39" w:rsidRDefault="004D41A2" w:rsidP="004D41A2">
            <w:pPr>
              <w:jc w:val="center"/>
              <w:rPr>
                <w:rFonts w:cs="Calibri"/>
                <w:b/>
                <w:bCs/>
                <w:i/>
                <w:color w:val="000000"/>
                <w:sz w:val="22"/>
                <w:szCs w:val="20"/>
                <w:lang w:val="es-CO" w:eastAsia="es-CO"/>
              </w:rPr>
            </w:pPr>
          </w:p>
        </w:tc>
      </w:tr>
      <w:tr w:rsidR="004D41A2" w:rsidRPr="00384C39" w:rsidTr="004D41A2">
        <w:trPr>
          <w:trHeight w:val="360"/>
          <w:jc w:val="center"/>
        </w:trPr>
        <w:tc>
          <w:tcPr>
            <w:tcW w:w="4164" w:type="dxa"/>
            <w:tcBorders>
              <w:top w:val="nil"/>
              <w:left w:val="single" w:sz="4" w:space="0" w:color="auto"/>
              <w:bottom w:val="single" w:sz="4" w:space="0" w:color="auto"/>
              <w:right w:val="single" w:sz="4" w:space="0" w:color="auto"/>
            </w:tcBorders>
            <w:shd w:val="clear" w:color="auto" w:fill="auto"/>
            <w:vAlign w:val="center"/>
            <w:hideMark/>
          </w:tcPr>
          <w:p w:rsidR="004D41A2" w:rsidRPr="00384C39" w:rsidRDefault="004D41A2" w:rsidP="004D41A2">
            <w:pPr>
              <w:jc w:val="center"/>
              <w:rPr>
                <w:rFonts w:cs="Calibri"/>
                <w:i/>
                <w:color w:val="000000"/>
                <w:sz w:val="22"/>
                <w:szCs w:val="20"/>
                <w:lang w:val="es-CO" w:eastAsia="es-CO"/>
              </w:rPr>
            </w:pPr>
            <w:r w:rsidRPr="00384C39">
              <w:rPr>
                <w:rFonts w:cs="Calibri"/>
                <w:i/>
                <w:color w:val="000000"/>
                <w:sz w:val="22"/>
                <w:szCs w:val="20"/>
                <w:lang w:val="es-CO" w:eastAsia="es-CO"/>
              </w:rPr>
              <w:t>Ingreso Anual del Transmisor  (</w:t>
            </w:r>
            <w:proofErr w:type="spellStart"/>
            <w:r w:rsidRPr="00384C39">
              <w:rPr>
                <w:rFonts w:cs="Calibri"/>
                <w:i/>
                <w:iCs/>
                <w:color w:val="000000"/>
                <w:sz w:val="22"/>
                <w:szCs w:val="20"/>
                <w:lang w:val="es-CO" w:eastAsia="es-CO"/>
              </w:rPr>
              <w:t>IAT</w:t>
            </w:r>
            <w:r w:rsidRPr="00384C39">
              <w:rPr>
                <w:rFonts w:cs="Calibri"/>
                <w:i/>
                <w:iCs/>
                <w:color w:val="000000"/>
                <w:sz w:val="22"/>
                <w:szCs w:val="20"/>
                <w:vertAlign w:val="subscript"/>
                <w:lang w:val="es-CO" w:eastAsia="es-CO"/>
              </w:rPr>
              <w:t>j</w:t>
            </w:r>
            <w:proofErr w:type="spellEnd"/>
            <w:r w:rsidRPr="00384C39">
              <w:rPr>
                <w:rFonts w:cs="Calibri"/>
                <w:i/>
                <w:color w:val="000000"/>
                <w:sz w:val="22"/>
                <w:szCs w:val="20"/>
                <w:lang w:val="es-CO" w:eastAsia="es-CO"/>
              </w:rPr>
              <w:t>)</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rsidR="004D41A2" w:rsidRPr="00480BED" w:rsidRDefault="00DD7C9B" w:rsidP="004D41A2">
            <w:pPr>
              <w:jc w:val="center"/>
              <w:rPr>
                <w:rFonts w:cs="Calibri"/>
                <w:i/>
                <w:color w:val="000000"/>
                <w:sz w:val="22"/>
                <w:szCs w:val="20"/>
                <w:lang w:val="es-CO" w:eastAsia="es-CO"/>
              </w:rPr>
            </w:pPr>
            <w:r>
              <w:rPr>
                <w:rFonts w:cs="Calibri"/>
                <w:i/>
                <w:color w:val="000000"/>
                <w:sz w:val="22"/>
                <w:szCs w:val="20"/>
                <w:lang w:val="es-CO" w:eastAsia="es-CO"/>
              </w:rPr>
              <w:t>3.864</w:t>
            </w:r>
            <w:r w:rsidR="004D41A2">
              <w:rPr>
                <w:rFonts w:cs="Calibri"/>
                <w:i/>
                <w:color w:val="000000"/>
                <w:sz w:val="22"/>
                <w:szCs w:val="20"/>
                <w:lang w:val="es-CO" w:eastAsia="es-CO"/>
              </w:rPr>
              <w:t>.544.785</w:t>
            </w:r>
          </w:p>
        </w:tc>
        <w:tc>
          <w:tcPr>
            <w:tcW w:w="299" w:type="dxa"/>
            <w:tcBorders>
              <w:top w:val="nil"/>
              <w:left w:val="single" w:sz="4" w:space="0" w:color="auto"/>
            </w:tcBorders>
          </w:tcPr>
          <w:p w:rsidR="004D41A2" w:rsidRPr="00384C39" w:rsidRDefault="004D41A2" w:rsidP="004D41A2">
            <w:pPr>
              <w:jc w:val="center"/>
              <w:rPr>
                <w:rFonts w:cs="Calibri"/>
                <w:i/>
                <w:color w:val="000000"/>
                <w:sz w:val="22"/>
                <w:szCs w:val="20"/>
                <w:lang w:val="es-CO" w:eastAsia="es-CO"/>
              </w:rPr>
            </w:pPr>
            <w:r w:rsidRPr="00384C39">
              <w:rPr>
                <w:rFonts w:cs="Calibri"/>
                <w:i/>
                <w:color w:val="FFFFFF"/>
                <w:sz w:val="22"/>
                <w:szCs w:val="20"/>
                <w:lang w:val="es-CO" w:eastAsia="es-CO"/>
              </w:rPr>
              <w:t>.</w:t>
            </w:r>
            <w:r w:rsidRPr="00384C39">
              <w:rPr>
                <w:rFonts w:cs="Calibri"/>
                <w:i/>
                <w:color w:val="000000"/>
                <w:sz w:val="22"/>
                <w:szCs w:val="20"/>
                <w:lang w:val="es-CO" w:eastAsia="es-CO"/>
              </w:rPr>
              <w:t>”</w:t>
            </w:r>
          </w:p>
        </w:tc>
      </w:tr>
    </w:tbl>
    <w:p w:rsidR="004D41A2" w:rsidRPr="004D41A2" w:rsidRDefault="004D41A2" w:rsidP="004D41A2">
      <w:pPr>
        <w:pStyle w:val="Artculo"/>
        <w:numPr>
          <w:ilvl w:val="0"/>
          <w:numId w:val="0"/>
        </w:numPr>
        <w:rPr>
          <w:bCs/>
        </w:rPr>
      </w:pPr>
      <w:r>
        <w:rPr>
          <w:bCs/>
        </w:rPr>
        <w:t xml:space="preserve">  </w:t>
      </w:r>
    </w:p>
    <w:p w:rsidR="004D41A2" w:rsidRPr="004D41A2" w:rsidRDefault="004D41A2" w:rsidP="004D41A2">
      <w:pPr>
        <w:pStyle w:val="Artculo"/>
        <w:numPr>
          <w:ilvl w:val="0"/>
          <w:numId w:val="0"/>
        </w:numPr>
        <w:ind w:left="360" w:hanging="360"/>
        <w:rPr>
          <w:bCs/>
        </w:rPr>
      </w:pPr>
    </w:p>
    <w:p w:rsidR="002B5E28" w:rsidRDefault="00B37F10" w:rsidP="002B5E28">
      <w:pPr>
        <w:pStyle w:val="Artculo"/>
        <w:ind w:left="0" w:firstLine="0"/>
        <w:rPr>
          <w:bCs/>
        </w:rPr>
      </w:pPr>
      <w:r>
        <w:rPr>
          <w:bCs/>
        </w:rPr>
        <w:t>Modificar el a</w:t>
      </w:r>
      <w:r w:rsidR="002B5E28" w:rsidRPr="002B5E28">
        <w:rPr>
          <w:bCs/>
        </w:rPr>
        <w:t>rtículo 4 de la Resolución CREG 10</w:t>
      </w:r>
      <w:r w:rsidR="002B5E28">
        <w:rPr>
          <w:bCs/>
        </w:rPr>
        <w:t>5</w:t>
      </w:r>
      <w:r w:rsidR="00DD7C9B">
        <w:rPr>
          <w:bCs/>
        </w:rPr>
        <w:t xml:space="preserve"> de 2010</w:t>
      </w:r>
      <w:r w:rsidR="002B5E28">
        <w:rPr>
          <w:bCs/>
        </w:rPr>
        <w:t xml:space="preserve">, </w:t>
      </w:r>
      <w:r w:rsidR="002B5E28" w:rsidRPr="002B5E28">
        <w:rPr>
          <w:bCs/>
        </w:rPr>
        <w:t>el cual quedará así:</w:t>
      </w:r>
    </w:p>
    <w:p w:rsidR="002B5E28" w:rsidRDefault="002B5E28" w:rsidP="002B5E28">
      <w:pPr>
        <w:pStyle w:val="Artculo"/>
        <w:numPr>
          <w:ilvl w:val="0"/>
          <w:numId w:val="0"/>
        </w:numPr>
        <w:rPr>
          <w:bCs/>
        </w:rPr>
      </w:pPr>
    </w:p>
    <w:p w:rsidR="002B5E28" w:rsidRPr="00DD7C9B" w:rsidRDefault="002B5E28" w:rsidP="002B5E28">
      <w:pPr>
        <w:pStyle w:val="Artculo"/>
        <w:numPr>
          <w:ilvl w:val="0"/>
          <w:numId w:val="0"/>
        </w:numPr>
        <w:ind w:left="360"/>
        <w:rPr>
          <w:i/>
        </w:rPr>
      </w:pPr>
      <w:r w:rsidRPr="00DD7C9B">
        <w:rPr>
          <w:i/>
        </w:rPr>
        <w:t>“</w:t>
      </w:r>
      <w:r w:rsidRPr="00DD7C9B">
        <w:rPr>
          <w:b/>
          <w:i/>
        </w:rPr>
        <w:t>Artículo 4. Costo de Reposición de los Activos Eléctricos.</w:t>
      </w:r>
      <w:r w:rsidRPr="00DD7C9B">
        <w:rPr>
          <w:i/>
        </w:rPr>
        <w:t xml:space="preserve"> El costo de reposición de los activos eléctricos (</w:t>
      </w:r>
      <w:proofErr w:type="spellStart"/>
      <w:r w:rsidRPr="00DD7C9B">
        <w:rPr>
          <w:i/>
        </w:rPr>
        <w:t>CRE</w:t>
      </w:r>
      <w:r w:rsidRPr="00DD7C9B">
        <w:rPr>
          <w:i/>
          <w:vertAlign w:val="subscript"/>
        </w:rPr>
        <w:t>j</w:t>
      </w:r>
      <w:proofErr w:type="spellEnd"/>
      <w:r w:rsidRPr="00DD7C9B">
        <w:rPr>
          <w:i/>
        </w:rPr>
        <w:t xml:space="preserve">) remunerados mediante cargos por uso a </w:t>
      </w:r>
      <w:proofErr w:type="spellStart"/>
      <w:r w:rsidR="00DD7C9B">
        <w:rPr>
          <w:i/>
          <w:spacing w:val="-3"/>
        </w:rPr>
        <w:t>Distasa</w:t>
      </w:r>
      <w:proofErr w:type="spellEnd"/>
      <w:r w:rsidRPr="00DD7C9B">
        <w:rPr>
          <w:i/>
          <w:spacing w:val="-3"/>
        </w:rPr>
        <w:t xml:space="preserve"> S.A. E.S.P.</w:t>
      </w:r>
      <w:r w:rsidRPr="00DD7C9B">
        <w:rPr>
          <w:i/>
        </w:rPr>
        <w:t>, calculado con la base de activos a</w:t>
      </w:r>
      <w:r w:rsidR="00A81241">
        <w:rPr>
          <w:i/>
        </w:rPr>
        <w:t xml:space="preserve"> </w:t>
      </w:r>
      <w:r w:rsidRPr="00DD7C9B">
        <w:rPr>
          <w:i/>
        </w:rPr>
        <w:t>l</w:t>
      </w:r>
      <w:r w:rsidR="00A81241">
        <w:rPr>
          <w:i/>
        </w:rPr>
        <w:t>a</w:t>
      </w:r>
      <w:r w:rsidRPr="00DD7C9B">
        <w:rPr>
          <w:i/>
        </w:rPr>
        <w:t xml:space="preserve"> que hace referencia el artículo 3 de la presente Resolución y de acuerdo con lo señalado en la Resolución CREG 011 de 2009 es:</w:t>
      </w:r>
    </w:p>
    <w:p w:rsidR="002B5E28" w:rsidRPr="001A59AF" w:rsidRDefault="002B5E28" w:rsidP="002B5E28">
      <w:pPr>
        <w:pStyle w:val="Artculo"/>
        <w:numPr>
          <w:ilvl w:val="0"/>
          <w:numId w:val="0"/>
        </w:numPr>
        <w:ind w:left="360"/>
      </w:pPr>
    </w:p>
    <w:tbl>
      <w:tblPr>
        <w:tblW w:w="0" w:type="auto"/>
        <w:jc w:val="center"/>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4"/>
        <w:gridCol w:w="2534"/>
      </w:tblGrid>
      <w:tr w:rsidR="002B5E28" w:rsidRPr="002C2007" w:rsidTr="00DD7C9B">
        <w:trPr>
          <w:trHeight w:val="346"/>
          <w:jc w:val="center"/>
        </w:trPr>
        <w:tc>
          <w:tcPr>
            <w:tcW w:w="5164" w:type="dxa"/>
            <w:vAlign w:val="center"/>
          </w:tcPr>
          <w:p w:rsidR="002B5E28" w:rsidRPr="002C2007" w:rsidRDefault="002B5E28" w:rsidP="0086451A">
            <w:pPr>
              <w:keepNext/>
              <w:tabs>
                <w:tab w:val="center" w:pos="4680"/>
              </w:tabs>
              <w:jc w:val="center"/>
              <w:rPr>
                <w:rFonts w:cs="Arial"/>
                <w:b/>
                <w:i/>
                <w:spacing w:val="-3"/>
                <w:sz w:val="22"/>
                <w:szCs w:val="22"/>
              </w:rPr>
            </w:pPr>
            <w:r w:rsidRPr="002C2007">
              <w:rPr>
                <w:rFonts w:cs="Arial"/>
                <w:b/>
                <w:i/>
                <w:spacing w:val="-3"/>
                <w:sz w:val="22"/>
                <w:szCs w:val="22"/>
              </w:rPr>
              <w:t>Costo de Reposición</w:t>
            </w:r>
          </w:p>
        </w:tc>
        <w:tc>
          <w:tcPr>
            <w:tcW w:w="2534" w:type="dxa"/>
            <w:vAlign w:val="center"/>
          </w:tcPr>
          <w:p w:rsidR="002B5E28" w:rsidRPr="002C2007" w:rsidRDefault="002B5E28" w:rsidP="0086451A">
            <w:pPr>
              <w:keepNext/>
              <w:tabs>
                <w:tab w:val="center" w:pos="4680"/>
              </w:tabs>
              <w:ind w:left="42"/>
              <w:jc w:val="center"/>
              <w:rPr>
                <w:rFonts w:cs="Arial"/>
                <w:b/>
                <w:i/>
                <w:spacing w:val="-3"/>
                <w:sz w:val="22"/>
                <w:szCs w:val="22"/>
              </w:rPr>
            </w:pPr>
            <w:r w:rsidRPr="002C2007">
              <w:rPr>
                <w:rFonts w:cs="Arial"/>
                <w:b/>
                <w:i/>
                <w:spacing w:val="-3"/>
                <w:sz w:val="22"/>
                <w:szCs w:val="22"/>
              </w:rPr>
              <w:t>Pesos de diciembre de 2008</w:t>
            </w:r>
          </w:p>
        </w:tc>
      </w:tr>
      <w:tr w:rsidR="002B5E28" w:rsidRPr="002B5E28" w:rsidTr="00DD7C9B">
        <w:trPr>
          <w:trHeight w:val="346"/>
          <w:jc w:val="center"/>
        </w:trPr>
        <w:tc>
          <w:tcPr>
            <w:tcW w:w="5164" w:type="dxa"/>
            <w:vAlign w:val="center"/>
          </w:tcPr>
          <w:p w:rsidR="002B5E28" w:rsidRPr="002C2007" w:rsidRDefault="002B5E28" w:rsidP="0086451A">
            <w:pPr>
              <w:keepNext/>
              <w:tabs>
                <w:tab w:val="center" w:pos="4680"/>
              </w:tabs>
              <w:rPr>
                <w:rFonts w:cs="Arial"/>
                <w:i/>
                <w:spacing w:val="-3"/>
                <w:sz w:val="22"/>
                <w:szCs w:val="22"/>
              </w:rPr>
            </w:pPr>
            <w:r w:rsidRPr="002C2007">
              <w:rPr>
                <w:rFonts w:cs="Arial"/>
                <w:i/>
                <w:spacing w:val="-3"/>
                <w:sz w:val="22"/>
                <w:szCs w:val="22"/>
              </w:rPr>
              <w:t>Costo de reposición de activos eléctricos</w:t>
            </w:r>
            <w:r w:rsidRPr="002C2007">
              <w:rPr>
                <w:rFonts w:cs="Arial"/>
                <w:i/>
                <w:sz w:val="22"/>
                <w:szCs w:val="22"/>
              </w:rPr>
              <w:t xml:space="preserve"> (</w:t>
            </w:r>
            <w:proofErr w:type="spellStart"/>
            <w:r w:rsidRPr="002C2007">
              <w:rPr>
                <w:rFonts w:cs="Arial"/>
                <w:i/>
                <w:sz w:val="22"/>
                <w:szCs w:val="22"/>
              </w:rPr>
              <w:t>CRE</w:t>
            </w:r>
            <w:r w:rsidRPr="002C2007">
              <w:rPr>
                <w:rFonts w:cs="Arial"/>
                <w:i/>
                <w:sz w:val="22"/>
                <w:szCs w:val="22"/>
                <w:vertAlign w:val="subscript"/>
              </w:rPr>
              <w:t>j</w:t>
            </w:r>
            <w:proofErr w:type="spellEnd"/>
            <w:r w:rsidRPr="002C2007">
              <w:rPr>
                <w:rFonts w:cs="Arial"/>
                <w:i/>
                <w:sz w:val="22"/>
                <w:szCs w:val="22"/>
              </w:rPr>
              <w:t>)</w:t>
            </w:r>
          </w:p>
        </w:tc>
        <w:tc>
          <w:tcPr>
            <w:tcW w:w="2534" w:type="dxa"/>
            <w:vAlign w:val="center"/>
          </w:tcPr>
          <w:p w:rsidR="002B5E28" w:rsidRPr="002B5E28" w:rsidRDefault="00DD7C9B" w:rsidP="0086451A">
            <w:pPr>
              <w:keepNext/>
              <w:tabs>
                <w:tab w:val="center" w:pos="4680"/>
              </w:tabs>
              <w:jc w:val="center"/>
              <w:rPr>
                <w:rFonts w:cs="Arial"/>
                <w:i/>
                <w:spacing w:val="-3"/>
                <w:sz w:val="22"/>
                <w:szCs w:val="22"/>
                <w:highlight w:val="yellow"/>
              </w:rPr>
            </w:pPr>
            <w:r w:rsidRPr="00DD7C9B">
              <w:rPr>
                <w:rFonts w:cs="Arial"/>
                <w:i/>
                <w:spacing w:val="-3"/>
                <w:sz w:val="22"/>
                <w:szCs w:val="22"/>
              </w:rPr>
              <w:t>22.524.048.468</w:t>
            </w:r>
          </w:p>
        </w:tc>
      </w:tr>
    </w:tbl>
    <w:p w:rsidR="002B5E28" w:rsidRPr="002C2007" w:rsidRDefault="002B5E28" w:rsidP="002B5E28">
      <w:pPr>
        <w:ind w:left="426" w:right="425"/>
        <w:rPr>
          <w:rFonts w:cs="Arial"/>
          <w:i/>
          <w:sz w:val="22"/>
          <w:szCs w:val="22"/>
        </w:rPr>
      </w:pPr>
    </w:p>
    <w:p w:rsidR="002B5E28" w:rsidRDefault="002B5E28" w:rsidP="002B5E28">
      <w:pPr>
        <w:ind w:left="426" w:right="425"/>
        <w:rPr>
          <w:rFonts w:cs="Arial"/>
          <w:i/>
        </w:rPr>
      </w:pPr>
      <w:bookmarkStart w:id="1" w:name="_Ref188082874"/>
      <w:r w:rsidRPr="002C2007">
        <w:rPr>
          <w:rFonts w:cs="Arial"/>
          <w:i/>
        </w:rPr>
        <w:t>La base de activos y los valores aquí aprobados resultan de las variables y de la información que se identifican en la parte motiva de este acto y de las contenidas en el documento soporte.</w:t>
      </w:r>
      <w:bookmarkEnd w:id="1"/>
      <w:r w:rsidRPr="002C2007">
        <w:rPr>
          <w:rFonts w:cs="Arial"/>
          <w:i/>
        </w:rPr>
        <w:t>”</w:t>
      </w:r>
    </w:p>
    <w:p w:rsidR="000F435C" w:rsidRPr="002C2007" w:rsidRDefault="000F435C" w:rsidP="002B5E28">
      <w:pPr>
        <w:ind w:left="426" w:right="425"/>
        <w:rPr>
          <w:rFonts w:cs="Arial"/>
          <w:i/>
        </w:rPr>
      </w:pPr>
    </w:p>
    <w:p w:rsidR="00A23177" w:rsidRPr="00A23177" w:rsidRDefault="00A23177" w:rsidP="00A23177">
      <w:pPr>
        <w:pStyle w:val="Artculo"/>
        <w:ind w:left="0" w:firstLine="0"/>
        <w:rPr>
          <w:bCs/>
        </w:rPr>
      </w:pPr>
      <w:proofErr w:type="spellStart"/>
      <w:r>
        <w:rPr>
          <w:spacing w:val="-3"/>
        </w:rPr>
        <w:t>Distasa</w:t>
      </w:r>
      <w:proofErr w:type="spellEnd"/>
      <w:r w:rsidRPr="004F7234">
        <w:rPr>
          <w:spacing w:val="-3"/>
        </w:rPr>
        <w:t xml:space="preserve"> S.A. E.S.P., </w:t>
      </w:r>
      <w:r w:rsidRPr="00A23177">
        <w:rPr>
          <w:bCs/>
        </w:rPr>
        <w:t xml:space="preserve">dispone del término de cinco (5) días </w:t>
      </w:r>
      <w:r w:rsidR="00A81241">
        <w:rPr>
          <w:bCs/>
        </w:rPr>
        <w:t xml:space="preserve">hábiles </w:t>
      </w:r>
      <w:r w:rsidRPr="00A23177">
        <w:rPr>
          <w:bCs/>
        </w:rPr>
        <w:t>contados a partir de la firmeza de esta Resolución, para manifestar expresamente si acepta los cargos establecidos en los artículos anteriores.</w:t>
      </w:r>
    </w:p>
    <w:p w:rsidR="00A23177" w:rsidRPr="00A23177" w:rsidRDefault="00A23177" w:rsidP="00A23177">
      <w:pPr>
        <w:pStyle w:val="Artculo"/>
        <w:numPr>
          <w:ilvl w:val="0"/>
          <w:numId w:val="0"/>
        </w:numPr>
      </w:pPr>
      <w:r w:rsidRPr="00A23177">
        <w:rPr>
          <w:color w:val="666666"/>
          <w:sz w:val="27"/>
          <w:szCs w:val="27"/>
        </w:rPr>
        <w:t xml:space="preserve"> </w:t>
      </w:r>
    </w:p>
    <w:p w:rsidR="000F435C" w:rsidRDefault="000F435C" w:rsidP="000F435C">
      <w:pPr>
        <w:pStyle w:val="Artculo"/>
        <w:ind w:left="0" w:firstLine="0"/>
      </w:pPr>
      <w:r>
        <w:lastRenderedPageBreak/>
        <w:t>Los cargos aprobados en esta r</w:t>
      </w:r>
      <w:r w:rsidRPr="00DD7C9B">
        <w:t xml:space="preserve">esolución se podrán aplicar a partir del </w:t>
      </w:r>
      <w:r>
        <w:t xml:space="preserve">primer día calendario del </w:t>
      </w:r>
      <w:r w:rsidRPr="00DD7C9B">
        <w:t>mes siguiente a</w:t>
      </w:r>
      <w:r>
        <w:t xml:space="preserve"> </w:t>
      </w:r>
      <w:r w:rsidRPr="00DD7C9B">
        <w:t>l</w:t>
      </w:r>
      <w:r>
        <w:t xml:space="preserve">a fecha </w:t>
      </w:r>
      <w:r w:rsidRPr="00DD7C9B">
        <w:t xml:space="preserve">de aceptación por </w:t>
      </w:r>
      <w:proofErr w:type="spellStart"/>
      <w:r>
        <w:t>Distasa</w:t>
      </w:r>
      <w:proofErr w:type="spellEnd"/>
      <w:r>
        <w:t xml:space="preserve"> </w:t>
      </w:r>
      <w:r w:rsidRPr="00DD7C9B">
        <w:t>S.A</w:t>
      </w:r>
      <w:r>
        <w:t>. E.S.P. de conformidad con el a</w:t>
      </w:r>
      <w:r w:rsidRPr="00DD7C9B">
        <w:t xml:space="preserve">rtículo </w:t>
      </w:r>
      <w:r w:rsidR="00A23177">
        <w:t>4</w:t>
      </w:r>
      <w:r w:rsidRPr="00DD7C9B">
        <w:t xml:space="preserve"> de esta </w:t>
      </w:r>
      <w:r>
        <w:t>r</w:t>
      </w:r>
      <w:r w:rsidRPr="00DD7C9B">
        <w:t>esolución</w:t>
      </w:r>
      <w:r>
        <w:t xml:space="preserve">. </w:t>
      </w:r>
    </w:p>
    <w:p w:rsidR="002B5E28" w:rsidRPr="002B5E28" w:rsidRDefault="002B5E28" w:rsidP="00DD7C9B">
      <w:pPr>
        <w:pStyle w:val="Artculo"/>
        <w:numPr>
          <w:ilvl w:val="0"/>
          <w:numId w:val="0"/>
        </w:numPr>
        <w:rPr>
          <w:bCs/>
        </w:rPr>
      </w:pPr>
    </w:p>
    <w:p w:rsidR="00DF60A6" w:rsidRPr="004F7234" w:rsidRDefault="00DF60A6" w:rsidP="005F4E9E">
      <w:pPr>
        <w:pStyle w:val="Artculo"/>
        <w:ind w:left="0" w:firstLine="0"/>
        <w:rPr>
          <w:bCs/>
        </w:rPr>
      </w:pPr>
      <w:r>
        <w:t xml:space="preserve">No acceder a las demás </w:t>
      </w:r>
      <w:r w:rsidR="005F4E9E">
        <w:t>pretensiones de la solicitud</w:t>
      </w:r>
      <w:r w:rsidR="0086451A">
        <w:t>,</w:t>
      </w:r>
      <w:r w:rsidR="005F4E9E">
        <w:t xml:space="preserve"> por las razones expuestas en la parte motiva del presente acto</w:t>
      </w:r>
      <w:r>
        <w:t>.</w:t>
      </w:r>
    </w:p>
    <w:p w:rsidR="005F4E9E" w:rsidRDefault="005F4E9E" w:rsidP="005F4E9E">
      <w:pPr>
        <w:rPr>
          <w:rFonts w:cs="Arial"/>
          <w:b/>
          <w:bCs/>
          <w:color w:val="666666"/>
          <w:sz w:val="27"/>
          <w:szCs w:val="27"/>
        </w:rPr>
      </w:pPr>
    </w:p>
    <w:p w:rsidR="005F4E9E" w:rsidRDefault="00212980" w:rsidP="00212980">
      <w:pPr>
        <w:pStyle w:val="Artculo"/>
        <w:ind w:left="0" w:firstLine="0"/>
      </w:pPr>
      <w:r w:rsidRPr="00212980">
        <w:t>Contra lo dispuesto en este acto procede el recurso de reposición, el cual se podrá interponer ante la Dirección Ejecutiva de la CREG dentro de los cinco (5) días hábiles siguientes a la fecha de su notificación.</w:t>
      </w:r>
      <w:r>
        <w:t xml:space="preserve"> </w:t>
      </w:r>
    </w:p>
    <w:p w:rsidR="00212980" w:rsidRDefault="00212980" w:rsidP="00212980">
      <w:pPr>
        <w:pStyle w:val="Prrafodelista"/>
        <w:numPr>
          <w:ilvl w:val="0"/>
          <w:numId w:val="0"/>
        </w:numPr>
        <w:ind w:left="720"/>
      </w:pPr>
    </w:p>
    <w:p w:rsidR="00E07B45" w:rsidRPr="00635FCF" w:rsidRDefault="00E07B45" w:rsidP="00E07B45">
      <w:pPr>
        <w:rPr>
          <w:rFonts w:cs="Arial"/>
          <w:sz w:val="32"/>
        </w:rPr>
      </w:pPr>
    </w:p>
    <w:p w:rsidR="00E07B45" w:rsidRPr="004F7234" w:rsidRDefault="00E07B45" w:rsidP="00E07B45">
      <w:pPr>
        <w:tabs>
          <w:tab w:val="left" w:pos="-720"/>
        </w:tabs>
        <w:suppressAutoHyphens/>
        <w:jc w:val="center"/>
        <w:rPr>
          <w:rFonts w:cs="Arial"/>
          <w:spacing w:val="-3"/>
        </w:rPr>
      </w:pPr>
      <w:r w:rsidRPr="004F7234">
        <w:rPr>
          <w:rFonts w:cs="Arial"/>
          <w:b/>
          <w:spacing w:val="-3"/>
        </w:rPr>
        <w:t>NOTIFÍQUESE, PUBLÍQUESE Y CÚMPLASE</w:t>
      </w:r>
    </w:p>
    <w:p w:rsidR="00E07B45" w:rsidRDefault="00E07B45" w:rsidP="00E07B45">
      <w:pPr>
        <w:rPr>
          <w:rFonts w:cs="Arial"/>
        </w:rPr>
      </w:pPr>
    </w:p>
    <w:p w:rsidR="00E07B45" w:rsidRPr="004F7234" w:rsidRDefault="00E07B45" w:rsidP="00E07B45">
      <w:pPr>
        <w:rPr>
          <w:rFonts w:cs="Arial"/>
        </w:rPr>
      </w:pPr>
    </w:p>
    <w:p w:rsidR="00E07B45" w:rsidRPr="004F7234" w:rsidRDefault="00E07B45" w:rsidP="00E07B45">
      <w:pPr>
        <w:rPr>
          <w:rFonts w:cs="Arial"/>
          <w:spacing w:val="-3"/>
        </w:rPr>
      </w:pPr>
      <w:r w:rsidRPr="004F7234">
        <w:rPr>
          <w:rFonts w:cs="Arial"/>
        </w:rPr>
        <w:t xml:space="preserve">Dada en Bogotá, D.C., </w:t>
      </w:r>
    </w:p>
    <w:p w:rsidR="00E07B45" w:rsidRPr="004F7234" w:rsidRDefault="00E07B45" w:rsidP="00E07B45">
      <w:pPr>
        <w:rPr>
          <w:rFonts w:cs="Arial"/>
          <w:spacing w:val="-3"/>
        </w:rPr>
      </w:pPr>
    </w:p>
    <w:p w:rsidR="00E07B45" w:rsidRPr="004F7234" w:rsidRDefault="00E07B45" w:rsidP="00E07B45">
      <w:pPr>
        <w:rPr>
          <w:rFonts w:cs="Arial"/>
          <w:spacing w:val="-3"/>
        </w:rPr>
      </w:pPr>
    </w:p>
    <w:p w:rsidR="00E07B45" w:rsidRPr="004F7234" w:rsidRDefault="00E07B45" w:rsidP="00E07B45">
      <w:pPr>
        <w:rPr>
          <w:rFonts w:cs="Arial"/>
          <w:spacing w:val="-3"/>
        </w:rPr>
      </w:pPr>
    </w:p>
    <w:p w:rsidR="00E07B45" w:rsidRPr="004F7234" w:rsidRDefault="00E07B45" w:rsidP="00E07B45">
      <w:pPr>
        <w:rPr>
          <w:rFonts w:cs="Arial"/>
          <w:spacing w:val="-3"/>
        </w:rPr>
      </w:pPr>
    </w:p>
    <w:p w:rsidR="00E07B45" w:rsidRPr="004F7234" w:rsidRDefault="00E07B45" w:rsidP="00E07B45">
      <w:pPr>
        <w:rPr>
          <w:rFonts w:cs="Arial"/>
          <w:spacing w:val="-3"/>
        </w:rPr>
      </w:pPr>
    </w:p>
    <w:tbl>
      <w:tblPr>
        <w:tblW w:w="0" w:type="auto"/>
        <w:jc w:val="center"/>
        <w:tblInd w:w="-465" w:type="dxa"/>
        <w:tblLayout w:type="fixed"/>
        <w:tblCellMar>
          <w:left w:w="70" w:type="dxa"/>
          <w:right w:w="70" w:type="dxa"/>
        </w:tblCellMar>
        <w:tblLook w:val="0000" w:firstRow="0" w:lastRow="0" w:firstColumn="0" w:lastColumn="0" w:noHBand="0" w:noVBand="0"/>
      </w:tblPr>
      <w:tblGrid>
        <w:gridCol w:w="5104"/>
        <w:gridCol w:w="4445"/>
      </w:tblGrid>
      <w:tr w:rsidR="00E07B45" w:rsidRPr="004F7234" w:rsidTr="007B3367">
        <w:trPr>
          <w:trHeight w:val="329"/>
          <w:jc w:val="center"/>
        </w:trPr>
        <w:tc>
          <w:tcPr>
            <w:tcW w:w="5104" w:type="dxa"/>
            <w:vAlign w:val="center"/>
          </w:tcPr>
          <w:p w:rsidR="00E07B45" w:rsidRPr="004F7234" w:rsidRDefault="00E07B45" w:rsidP="0043283B">
            <w:pPr>
              <w:tabs>
                <w:tab w:val="left" w:pos="-720"/>
              </w:tabs>
              <w:suppressAutoHyphens/>
              <w:jc w:val="center"/>
              <w:rPr>
                <w:rFonts w:cs="Arial"/>
                <w:b/>
                <w:spacing w:val="-3"/>
              </w:rPr>
            </w:pPr>
            <w:r w:rsidRPr="00DE53B8">
              <w:rPr>
                <w:rFonts w:cs="Arial"/>
                <w:b/>
                <w:bCs/>
                <w:szCs w:val="22"/>
              </w:rPr>
              <w:t>TOMÁS GONZÁLEZ ESTRADA</w:t>
            </w:r>
          </w:p>
        </w:tc>
        <w:tc>
          <w:tcPr>
            <w:tcW w:w="4445" w:type="dxa"/>
            <w:vAlign w:val="center"/>
          </w:tcPr>
          <w:p w:rsidR="00E07B45" w:rsidRPr="004F7234" w:rsidRDefault="00A41B7E" w:rsidP="0043283B">
            <w:pPr>
              <w:tabs>
                <w:tab w:val="left" w:pos="-720"/>
              </w:tabs>
              <w:suppressAutoHyphens/>
              <w:jc w:val="center"/>
              <w:rPr>
                <w:rFonts w:cs="Arial"/>
                <w:b/>
                <w:spacing w:val="-3"/>
              </w:rPr>
            </w:pPr>
            <w:r>
              <w:rPr>
                <w:rFonts w:cs="Arial"/>
                <w:b/>
                <w:spacing w:val="-3"/>
              </w:rPr>
              <w:t>GERMÁN CASTRO FERREIRA</w:t>
            </w:r>
          </w:p>
        </w:tc>
      </w:tr>
      <w:tr w:rsidR="00E07B45" w:rsidRPr="004F7234" w:rsidTr="007B3367">
        <w:trPr>
          <w:trHeight w:val="329"/>
          <w:jc w:val="center"/>
        </w:trPr>
        <w:tc>
          <w:tcPr>
            <w:tcW w:w="5104" w:type="dxa"/>
            <w:vAlign w:val="center"/>
          </w:tcPr>
          <w:p w:rsidR="00E07B45" w:rsidRPr="004F7234" w:rsidRDefault="00E07B45" w:rsidP="0043283B">
            <w:pPr>
              <w:tabs>
                <w:tab w:val="left" w:pos="-720"/>
              </w:tabs>
              <w:suppressAutoHyphens/>
              <w:jc w:val="center"/>
              <w:rPr>
                <w:rFonts w:cs="Arial"/>
                <w:spacing w:val="-3"/>
              </w:rPr>
            </w:pPr>
            <w:r w:rsidRPr="004F7234">
              <w:rPr>
                <w:rFonts w:cs="Arial"/>
                <w:spacing w:val="-3"/>
              </w:rPr>
              <w:t>Viceministr</w:t>
            </w:r>
            <w:r>
              <w:rPr>
                <w:rFonts w:cs="Arial"/>
                <w:spacing w:val="-3"/>
              </w:rPr>
              <w:t>o</w:t>
            </w:r>
            <w:r w:rsidR="00A41B7E">
              <w:rPr>
                <w:rFonts w:cs="Arial"/>
                <w:spacing w:val="-3"/>
              </w:rPr>
              <w:t xml:space="preserve"> de </w:t>
            </w:r>
            <w:r w:rsidRPr="004F7234">
              <w:rPr>
                <w:rFonts w:cs="Arial"/>
                <w:spacing w:val="-3"/>
              </w:rPr>
              <w:t>Energía</w:t>
            </w:r>
          </w:p>
        </w:tc>
        <w:tc>
          <w:tcPr>
            <w:tcW w:w="4445" w:type="dxa"/>
            <w:vAlign w:val="center"/>
          </w:tcPr>
          <w:p w:rsidR="00E07B45" w:rsidRPr="004F7234" w:rsidRDefault="00E07B45" w:rsidP="0043283B">
            <w:pPr>
              <w:tabs>
                <w:tab w:val="left" w:pos="-720"/>
              </w:tabs>
              <w:suppressAutoHyphens/>
              <w:jc w:val="center"/>
              <w:rPr>
                <w:rFonts w:cs="Arial"/>
                <w:spacing w:val="-3"/>
              </w:rPr>
            </w:pPr>
            <w:r w:rsidRPr="004F7234">
              <w:rPr>
                <w:rFonts w:cs="Arial"/>
                <w:spacing w:val="-3"/>
              </w:rPr>
              <w:t>Director Ejecutivo</w:t>
            </w:r>
          </w:p>
        </w:tc>
      </w:tr>
      <w:tr w:rsidR="00E07B45" w:rsidRPr="004F7234" w:rsidTr="007B3367">
        <w:trPr>
          <w:trHeight w:val="329"/>
          <w:jc w:val="center"/>
        </w:trPr>
        <w:tc>
          <w:tcPr>
            <w:tcW w:w="5104" w:type="dxa"/>
            <w:vAlign w:val="center"/>
          </w:tcPr>
          <w:p w:rsidR="00E07B45" w:rsidRPr="007B3367" w:rsidRDefault="00E07B45" w:rsidP="0043283B">
            <w:pPr>
              <w:tabs>
                <w:tab w:val="left" w:pos="-720"/>
              </w:tabs>
              <w:suppressAutoHyphens/>
              <w:jc w:val="center"/>
              <w:rPr>
                <w:rFonts w:cs="Arial"/>
                <w:spacing w:val="-3"/>
              </w:rPr>
            </w:pPr>
            <w:r w:rsidRPr="007B3367">
              <w:rPr>
                <w:rFonts w:cs="Arial"/>
                <w:spacing w:val="-3"/>
              </w:rPr>
              <w:t>Delegado del Ministro de Minas y Energía</w:t>
            </w:r>
          </w:p>
          <w:p w:rsidR="00E07B45" w:rsidRPr="004F7234" w:rsidRDefault="00E07B45" w:rsidP="0043283B">
            <w:pPr>
              <w:tabs>
                <w:tab w:val="left" w:pos="-720"/>
              </w:tabs>
              <w:suppressAutoHyphens/>
              <w:jc w:val="center"/>
              <w:rPr>
                <w:rFonts w:cs="Arial"/>
                <w:spacing w:val="-3"/>
              </w:rPr>
            </w:pPr>
            <w:r w:rsidRPr="004F7234">
              <w:rPr>
                <w:rFonts w:cs="Arial"/>
                <w:spacing w:val="-3"/>
              </w:rPr>
              <w:t>Presidente</w:t>
            </w:r>
          </w:p>
        </w:tc>
        <w:tc>
          <w:tcPr>
            <w:tcW w:w="4445" w:type="dxa"/>
            <w:vAlign w:val="center"/>
          </w:tcPr>
          <w:p w:rsidR="00E07B45" w:rsidRPr="004F7234" w:rsidRDefault="00E07B45" w:rsidP="0043283B">
            <w:pPr>
              <w:tabs>
                <w:tab w:val="left" w:pos="-720"/>
              </w:tabs>
              <w:suppressAutoHyphens/>
              <w:jc w:val="center"/>
              <w:rPr>
                <w:rFonts w:cs="Arial"/>
                <w:b/>
                <w:spacing w:val="-3"/>
              </w:rPr>
            </w:pPr>
          </w:p>
        </w:tc>
      </w:tr>
    </w:tbl>
    <w:p w:rsidR="0080129A" w:rsidRPr="004F7234" w:rsidRDefault="0080129A" w:rsidP="007E269A">
      <w:pPr>
        <w:jc w:val="left"/>
      </w:pPr>
    </w:p>
    <w:sectPr w:rsidR="0080129A" w:rsidRPr="004F7234"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1A" w:rsidRDefault="0086451A">
      <w:r>
        <w:separator/>
      </w:r>
    </w:p>
  </w:endnote>
  <w:endnote w:type="continuationSeparator" w:id="0">
    <w:p w:rsidR="0086451A" w:rsidRDefault="0086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1A" w:rsidRDefault="0086451A">
      <w:r>
        <w:separator/>
      </w:r>
    </w:p>
  </w:footnote>
  <w:footnote w:type="continuationSeparator" w:id="0">
    <w:p w:rsidR="0086451A" w:rsidRDefault="00864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51A" w:rsidRDefault="0086451A" w:rsidP="0020511E"/>
  <w:p w:rsidR="0086451A" w:rsidRPr="00951F79" w:rsidRDefault="0086451A" w:rsidP="0020511E">
    <w:r w:rsidRPr="00654384">
      <w:t>RESOLUCIÓN No.</w:t>
    </w:r>
    <w:r>
      <w:t xml:space="preserve">  ________________</w:t>
    </w:r>
    <w:r w:rsidRPr="00654384">
      <w:tab/>
    </w:r>
    <w:r>
      <w:t>DE ________________</w:t>
    </w:r>
    <w:r>
      <w:tab/>
    </w:r>
    <w:r w:rsidRPr="00654384">
      <w:t xml:space="preserve">HOJA No. </w:t>
    </w:r>
    <w:r>
      <w:fldChar w:fldCharType="begin"/>
    </w:r>
    <w:r>
      <w:instrText xml:space="preserve"> PAGE   \* MERGEFORMAT </w:instrText>
    </w:r>
    <w:r>
      <w:fldChar w:fldCharType="separate"/>
    </w:r>
    <w:r w:rsidR="00AE3B67">
      <w:rPr>
        <w:noProof/>
      </w:rPr>
      <w:t>7</w:t>
    </w:r>
    <w:r>
      <w:rPr>
        <w:noProof/>
      </w:rPr>
      <w:fldChar w:fldCharType="end"/>
    </w:r>
    <w:r w:rsidRPr="00654384">
      <w:t>/</w:t>
    </w:r>
    <w:r w:rsidR="00AE3B67">
      <w:fldChar w:fldCharType="begin"/>
    </w:r>
    <w:r w:rsidR="00AE3B67">
      <w:instrText xml:space="preserve"> NUMPAGES  \* MERGEFORMAT </w:instrText>
    </w:r>
    <w:r w:rsidR="00AE3B67">
      <w:fldChar w:fldCharType="separate"/>
    </w:r>
    <w:r w:rsidR="00AE3B67">
      <w:rPr>
        <w:noProof/>
      </w:rPr>
      <w:t>7</w:t>
    </w:r>
    <w:r w:rsidR="00AE3B67">
      <w:rPr>
        <w:noProof/>
      </w:rPr>
      <w:fldChar w:fldCharType="end"/>
    </w:r>
  </w:p>
  <w:p w:rsidR="0086451A" w:rsidRDefault="0086451A"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4011D3CD" wp14:editId="06F73365">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6451A" w:rsidRPr="004865DB" w:rsidRDefault="0086451A" w:rsidP="00934E08">
    <w:pPr>
      <w:tabs>
        <w:tab w:val="left" w:pos="-851"/>
        <w:tab w:val="left" w:pos="-720"/>
        <w:tab w:val="left" w:pos="-567"/>
      </w:tabs>
      <w:rPr>
        <w:rFonts w:cs="Arial"/>
        <w:spacing w:val="-3"/>
        <w:sz w:val="22"/>
        <w:szCs w:val="22"/>
      </w:rPr>
    </w:pPr>
    <w:r w:rsidRPr="004865DB">
      <w:rPr>
        <w:sz w:val="22"/>
        <w:szCs w:val="22"/>
      </w:rPr>
      <w:t xml:space="preserve">Por la cual se resuelve la solicitud de la empresa </w:t>
    </w:r>
    <w:proofErr w:type="spellStart"/>
    <w:r w:rsidRPr="004865DB">
      <w:rPr>
        <w:sz w:val="22"/>
        <w:szCs w:val="22"/>
      </w:rPr>
      <w:t>Distasa</w:t>
    </w:r>
    <w:proofErr w:type="spellEnd"/>
    <w:r w:rsidRPr="004865DB">
      <w:rPr>
        <w:sz w:val="22"/>
        <w:szCs w:val="22"/>
      </w:rPr>
      <w:t xml:space="preserve"> S.A. E.S.P. para la inclusión de una unidad constructiva en la base de activos.</w:t>
    </w:r>
  </w:p>
  <w:p w:rsidR="0086451A" w:rsidRPr="00DF40E1" w:rsidRDefault="0086451A" w:rsidP="00341540">
    <w:pPr>
      <w:pBdr>
        <w:bottom w:val="single" w:sz="4" w:space="1" w:color="auto"/>
      </w:pBdr>
      <w:tabs>
        <w:tab w:val="left" w:pos="-851"/>
        <w:tab w:val="left" w:pos="-720"/>
        <w:tab w:val="left" w:pos="-567"/>
      </w:tabs>
      <w:rPr>
        <w:rFonts w:cs="Arial"/>
        <w:spacing w:val="-3"/>
        <w:sz w:val="16"/>
        <w:szCs w:val="22"/>
      </w:rPr>
    </w:pPr>
  </w:p>
  <w:p w:rsidR="0086451A" w:rsidRPr="00DF40E1" w:rsidRDefault="0086451A" w:rsidP="00934E08">
    <w:pPr>
      <w:tabs>
        <w:tab w:val="left" w:pos="-851"/>
        <w:tab w:val="left" w:pos="-720"/>
        <w:tab w:val="left" w:pos="-567"/>
      </w:tabs>
      <w:rPr>
        <w:rFonts w:cs="Arial"/>
        <w:spacing w:val="-3"/>
        <w:sz w:val="16"/>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51A" w:rsidRDefault="0086451A"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86451A" w:rsidRDefault="0086451A">
    <w:pPr>
      <w:pStyle w:val="Encabezado"/>
      <w:jc w:val="center"/>
      <w:rPr>
        <w:rFonts w:ascii="Arial" w:hAnsi="Arial" w:cs="Arial"/>
        <w:spacing w:val="20"/>
        <w:sz w:val="20"/>
      </w:rPr>
    </w:pPr>
  </w:p>
  <w:p w:rsidR="0086451A" w:rsidRDefault="0086451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3B6B"/>
    <w:multiLevelType w:val="hybridMultilevel"/>
    <w:tmpl w:val="5A0E21B4"/>
    <w:lvl w:ilvl="0" w:tplc="E8E2C20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2">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2C3C3AAC"/>
    <w:multiLevelType w:val="hybridMultilevel"/>
    <w:tmpl w:val="EEC835DA"/>
    <w:lvl w:ilvl="0" w:tplc="E8E2C20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28E72FC"/>
    <w:multiLevelType w:val="hybridMultilevel"/>
    <w:tmpl w:val="742AD0D2"/>
    <w:lvl w:ilvl="0" w:tplc="D682F744">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
    <w:nsid w:val="478445C4"/>
    <w:multiLevelType w:val="hybridMultilevel"/>
    <w:tmpl w:val="6108DC3A"/>
    <w:lvl w:ilvl="0" w:tplc="0C0A0017">
      <w:start w:val="1"/>
      <w:numFmt w:val="lowerLetter"/>
      <w:lvlText w:val="%1)"/>
      <w:lvlJc w:val="left"/>
      <w:pPr>
        <w:ind w:left="1004" w:hanging="360"/>
      </w:p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48454F71"/>
    <w:multiLevelType w:val="hybridMultilevel"/>
    <w:tmpl w:val="B5B21B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9B02B60"/>
    <w:multiLevelType w:val="hybridMultilevel"/>
    <w:tmpl w:val="24321EAA"/>
    <w:lvl w:ilvl="0" w:tplc="62FA7EF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nsid w:val="52EF74C9"/>
    <w:multiLevelType w:val="hybridMultilevel"/>
    <w:tmpl w:val="24CCED44"/>
    <w:name w:val="Lista4322"/>
    <w:lvl w:ilvl="0" w:tplc="131EE4F6">
      <w:start w:val="1"/>
      <w:numFmt w:val="decimal"/>
      <w:pStyle w:val="Artculo"/>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10">
    <w:nsid w:val="626D3B3B"/>
    <w:multiLevelType w:val="hybridMultilevel"/>
    <w:tmpl w:val="7492754A"/>
    <w:lvl w:ilvl="0" w:tplc="C4CA137A">
      <w:start w:val="1"/>
      <w:numFmt w:val="bullet"/>
      <w:lvlText w:val="-"/>
      <w:lvlJc w:val="left"/>
      <w:pPr>
        <w:ind w:left="720" w:hanging="360"/>
      </w:pPr>
      <w:rPr>
        <w:rFonts w:ascii="Bookman Old Style" w:eastAsia="Calibri" w:hAnsi="Bookman Old Style" w:cs="Bookman Old Styl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E6A2EBE"/>
    <w:multiLevelType w:val="hybridMultilevel"/>
    <w:tmpl w:val="59546988"/>
    <w:lvl w:ilvl="0" w:tplc="0C0A0001">
      <w:start w:val="1"/>
      <w:numFmt w:val="upperRoman"/>
      <w:lvlText w:val="%1."/>
      <w:lvlJc w:val="left"/>
      <w:pPr>
        <w:tabs>
          <w:tab w:val="num" w:pos="720"/>
        </w:tabs>
        <w:ind w:left="720" w:hanging="720"/>
      </w:pPr>
      <w:rPr>
        <w:rFonts w:hint="default"/>
      </w:rPr>
    </w:lvl>
    <w:lvl w:ilvl="1" w:tplc="E8E2C20E">
      <w:start w:val="1"/>
      <w:numFmt w:val="decimal"/>
      <w:lvlText w:val="%2."/>
      <w:lvlJc w:val="left"/>
      <w:pPr>
        <w:ind w:left="1080" w:hanging="360"/>
      </w:pPr>
      <w:rPr>
        <w:rFonts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2">
    <w:nsid w:val="7E94396A"/>
    <w:multiLevelType w:val="hybridMultilevel"/>
    <w:tmpl w:val="1C72ADB2"/>
    <w:lvl w:ilvl="0" w:tplc="11F4421A">
      <w:start w:val="1"/>
      <w:numFmt w:val="decimal"/>
      <w:lvlText w:val="Artículo %1."/>
      <w:lvlJc w:val="left"/>
      <w:pPr>
        <w:ind w:left="77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11"/>
  </w:num>
  <w:num w:numId="5">
    <w:abstractNumId w:val="0"/>
  </w:num>
  <w:num w:numId="6">
    <w:abstractNumId w:val="8"/>
  </w:num>
  <w:num w:numId="7">
    <w:abstractNumId w:val="10"/>
  </w:num>
  <w:num w:numId="8">
    <w:abstractNumId w:val="7"/>
  </w:num>
  <w:num w:numId="9">
    <w:abstractNumId w:val="6"/>
  </w:num>
  <w:num w:numId="10">
    <w:abstractNumId w:val="3"/>
  </w:num>
  <w:num w:numId="11">
    <w:abstractNumId w:val="5"/>
  </w:num>
  <w:num w:numId="12">
    <w:abstractNumId w:val="9"/>
  </w:num>
  <w:num w:numId="13">
    <w:abstractNumId w:val="9"/>
  </w:num>
  <w:num w:numId="14">
    <w:abstractNumId w:val="9"/>
  </w:num>
  <w:num w:numId="15">
    <w:abstractNumId w:val="12"/>
  </w:num>
  <w:num w:numId="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A40"/>
    <w:rsid w:val="00006AE2"/>
    <w:rsid w:val="0000704A"/>
    <w:rsid w:val="000076A1"/>
    <w:rsid w:val="00011C4F"/>
    <w:rsid w:val="00012259"/>
    <w:rsid w:val="00013D35"/>
    <w:rsid w:val="00015866"/>
    <w:rsid w:val="00025383"/>
    <w:rsid w:val="00034654"/>
    <w:rsid w:val="00034BC6"/>
    <w:rsid w:val="00035C6D"/>
    <w:rsid w:val="00036588"/>
    <w:rsid w:val="00043C5E"/>
    <w:rsid w:val="00052ED2"/>
    <w:rsid w:val="000530CB"/>
    <w:rsid w:val="0005390B"/>
    <w:rsid w:val="00057118"/>
    <w:rsid w:val="00057F3B"/>
    <w:rsid w:val="00063657"/>
    <w:rsid w:val="0006438C"/>
    <w:rsid w:val="000662EB"/>
    <w:rsid w:val="00066AEB"/>
    <w:rsid w:val="00070CA9"/>
    <w:rsid w:val="000727BE"/>
    <w:rsid w:val="00076680"/>
    <w:rsid w:val="00077C46"/>
    <w:rsid w:val="0008073E"/>
    <w:rsid w:val="000813E1"/>
    <w:rsid w:val="00091CDB"/>
    <w:rsid w:val="00094A9B"/>
    <w:rsid w:val="0009527B"/>
    <w:rsid w:val="00096A9C"/>
    <w:rsid w:val="000A19AC"/>
    <w:rsid w:val="000A3D48"/>
    <w:rsid w:val="000A532F"/>
    <w:rsid w:val="000A75B4"/>
    <w:rsid w:val="000B74D6"/>
    <w:rsid w:val="000B762B"/>
    <w:rsid w:val="000C0CB5"/>
    <w:rsid w:val="000C3952"/>
    <w:rsid w:val="000C42BA"/>
    <w:rsid w:val="000C4938"/>
    <w:rsid w:val="000C5469"/>
    <w:rsid w:val="000C74AB"/>
    <w:rsid w:val="000D26F8"/>
    <w:rsid w:val="000D3420"/>
    <w:rsid w:val="000D5E0D"/>
    <w:rsid w:val="000E0B2A"/>
    <w:rsid w:val="000E1218"/>
    <w:rsid w:val="000E1E62"/>
    <w:rsid w:val="000E5356"/>
    <w:rsid w:val="000E651D"/>
    <w:rsid w:val="000F0D98"/>
    <w:rsid w:val="000F2100"/>
    <w:rsid w:val="000F2B5F"/>
    <w:rsid w:val="000F435C"/>
    <w:rsid w:val="000F491A"/>
    <w:rsid w:val="000F6012"/>
    <w:rsid w:val="00103B01"/>
    <w:rsid w:val="001041F0"/>
    <w:rsid w:val="00105843"/>
    <w:rsid w:val="00105950"/>
    <w:rsid w:val="00106BAB"/>
    <w:rsid w:val="001124B2"/>
    <w:rsid w:val="00113281"/>
    <w:rsid w:val="0012332D"/>
    <w:rsid w:val="001264D6"/>
    <w:rsid w:val="00126C44"/>
    <w:rsid w:val="001405C6"/>
    <w:rsid w:val="00140B61"/>
    <w:rsid w:val="00141013"/>
    <w:rsid w:val="001429FF"/>
    <w:rsid w:val="00162054"/>
    <w:rsid w:val="00181647"/>
    <w:rsid w:val="001842A1"/>
    <w:rsid w:val="00185C03"/>
    <w:rsid w:val="00187D6B"/>
    <w:rsid w:val="00192CBF"/>
    <w:rsid w:val="00192FF1"/>
    <w:rsid w:val="00196C3B"/>
    <w:rsid w:val="001A0B9C"/>
    <w:rsid w:val="001A3F8D"/>
    <w:rsid w:val="001A43EE"/>
    <w:rsid w:val="001A5A61"/>
    <w:rsid w:val="001A5F1B"/>
    <w:rsid w:val="001A605E"/>
    <w:rsid w:val="001B1C22"/>
    <w:rsid w:val="001B246A"/>
    <w:rsid w:val="001B320C"/>
    <w:rsid w:val="001B34C6"/>
    <w:rsid w:val="001B57F3"/>
    <w:rsid w:val="001B6FB4"/>
    <w:rsid w:val="001C74B8"/>
    <w:rsid w:val="001D30B4"/>
    <w:rsid w:val="001D3C42"/>
    <w:rsid w:val="001D4581"/>
    <w:rsid w:val="001D7832"/>
    <w:rsid w:val="001D7BB5"/>
    <w:rsid w:val="001E30A0"/>
    <w:rsid w:val="001E45E6"/>
    <w:rsid w:val="001F2AE0"/>
    <w:rsid w:val="001F57D8"/>
    <w:rsid w:val="00201132"/>
    <w:rsid w:val="00203533"/>
    <w:rsid w:val="0020511E"/>
    <w:rsid w:val="00211D34"/>
    <w:rsid w:val="00212980"/>
    <w:rsid w:val="00214681"/>
    <w:rsid w:val="00214F04"/>
    <w:rsid w:val="0021539F"/>
    <w:rsid w:val="00220F8C"/>
    <w:rsid w:val="00224F0F"/>
    <w:rsid w:val="0023176A"/>
    <w:rsid w:val="00233B70"/>
    <w:rsid w:val="002439AE"/>
    <w:rsid w:val="002500B3"/>
    <w:rsid w:val="00250596"/>
    <w:rsid w:val="00261CA0"/>
    <w:rsid w:val="00266CD6"/>
    <w:rsid w:val="00272760"/>
    <w:rsid w:val="00274C96"/>
    <w:rsid w:val="002752CB"/>
    <w:rsid w:val="00282A18"/>
    <w:rsid w:val="00294292"/>
    <w:rsid w:val="00294352"/>
    <w:rsid w:val="00294B39"/>
    <w:rsid w:val="002973E4"/>
    <w:rsid w:val="002A0346"/>
    <w:rsid w:val="002A3282"/>
    <w:rsid w:val="002A650B"/>
    <w:rsid w:val="002A67FA"/>
    <w:rsid w:val="002A77CA"/>
    <w:rsid w:val="002B11E2"/>
    <w:rsid w:val="002B24B8"/>
    <w:rsid w:val="002B54AB"/>
    <w:rsid w:val="002B5E28"/>
    <w:rsid w:val="002C2EF2"/>
    <w:rsid w:val="002C2FC7"/>
    <w:rsid w:val="002C6D5B"/>
    <w:rsid w:val="002D26E5"/>
    <w:rsid w:val="002D38B9"/>
    <w:rsid w:val="002D3AE9"/>
    <w:rsid w:val="002D732C"/>
    <w:rsid w:val="002E2E97"/>
    <w:rsid w:val="002E4D03"/>
    <w:rsid w:val="002E7002"/>
    <w:rsid w:val="002E7458"/>
    <w:rsid w:val="002F0281"/>
    <w:rsid w:val="002F0734"/>
    <w:rsid w:val="002F46E7"/>
    <w:rsid w:val="002F5392"/>
    <w:rsid w:val="002F5FEA"/>
    <w:rsid w:val="002F60B5"/>
    <w:rsid w:val="002F6AD5"/>
    <w:rsid w:val="00301ECA"/>
    <w:rsid w:val="00304120"/>
    <w:rsid w:val="003101DA"/>
    <w:rsid w:val="00314757"/>
    <w:rsid w:val="00317FA7"/>
    <w:rsid w:val="003211CE"/>
    <w:rsid w:val="00321AD1"/>
    <w:rsid w:val="00322E0B"/>
    <w:rsid w:val="003309AB"/>
    <w:rsid w:val="0033513D"/>
    <w:rsid w:val="00336526"/>
    <w:rsid w:val="00336A64"/>
    <w:rsid w:val="00341540"/>
    <w:rsid w:val="00343A7B"/>
    <w:rsid w:val="0035403A"/>
    <w:rsid w:val="003542CD"/>
    <w:rsid w:val="003565E6"/>
    <w:rsid w:val="0036394B"/>
    <w:rsid w:val="003709B5"/>
    <w:rsid w:val="00374808"/>
    <w:rsid w:val="003759C2"/>
    <w:rsid w:val="003826FA"/>
    <w:rsid w:val="00382B4B"/>
    <w:rsid w:val="00382D23"/>
    <w:rsid w:val="003912BA"/>
    <w:rsid w:val="00397365"/>
    <w:rsid w:val="003A31F6"/>
    <w:rsid w:val="003A5954"/>
    <w:rsid w:val="003B2C20"/>
    <w:rsid w:val="003B526C"/>
    <w:rsid w:val="003B6F96"/>
    <w:rsid w:val="003B7BC4"/>
    <w:rsid w:val="003C0E64"/>
    <w:rsid w:val="003C3447"/>
    <w:rsid w:val="003D076C"/>
    <w:rsid w:val="003E315C"/>
    <w:rsid w:val="003E32D4"/>
    <w:rsid w:val="003E4001"/>
    <w:rsid w:val="003E6108"/>
    <w:rsid w:val="003E78D5"/>
    <w:rsid w:val="003F09B1"/>
    <w:rsid w:val="003F6E9A"/>
    <w:rsid w:val="00402B5C"/>
    <w:rsid w:val="004030EE"/>
    <w:rsid w:val="00403F0E"/>
    <w:rsid w:val="004103C7"/>
    <w:rsid w:val="00413A60"/>
    <w:rsid w:val="00414D91"/>
    <w:rsid w:val="0041566A"/>
    <w:rsid w:val="00415BAB"/>
    <w:rsid w:val="00415ED2"/>
    <w:rsid w:val="00416F4F"/>
    <w:rsid w:val="0042068C"/>
    <w:rsid w:val="00421665"/>
    <w:rsid w:val="00424BD7"/>
    <w:rsid w:val="00431503"/>
    <w:rsid w:val="0043283B"/>
    <w:rsid w:val="00435E51"/>
    <w:rsid w:val="00446E84"/>
    <w:rsid w:val="004511D3"/>
    <w:rsid w:val="00454193"/>
    <w:rsid w:val="00455C01"/>
    <w:rsid w:val="00457622"/>
    <w:rsid w:val="004639BD"/>
    <w:rsid w:val="0046528E"/>
    <w:rsid w:val="0047122B"/>
    <w:rsid w:val="00473B7A"/>
    <w:rsid w:val="00481379"/>
    <w:rsid w:val="00483B33"/>
    <w:rsid w:val="004865DB"/>
    <w:rsid w:val="00492F71"/>
    <w:rsid w:val="004960E9"/>
    <w:rsid w:val="0049775B"/>
    <w:rsid w:val="004A2E88"/>
    <w:rsid w:val="004A5305"/>
    <w:rsid w:val="004B4186"/>
    <w:rsid w:val="004C4AA9"/>
    <w:rsid w:val="004C68AC"/>
    <w:rsid w:val="004D06FD"/>
    <w:rsid w:val="004D41A2"/>
    <w:rsid w:val="004D7634"/>
    <w:rsid w:val="004E1518"/>
    <w:rsid w:val="004E1FCC"/>
    <w:rsid w:val="004E354A"/>
    <w:rsid w:val="004E7FF7"/>
    <w:rsid w:val="004F6D80"/>
    <w:rsid w:val="004F70D2"/>
    <w:rsid w:val="004F7234"/>
    <w:rsid w:val="004F7AFB"/>
    <w:rsid w:val="00501938"/>
    <w:rsid w:val="00507A7F"/>
    <w:rsid w:val="00515AAC"/>
    <w:rsid w:val="0052131A"/>
    <w:rsid w:val="00521350"/>
    <w:rsid w:val="005300D3"/>
    <w:rsid w:val="00544F82"/>
    <w:rsid w:val="0054530F"/>
    <w:rsid w:val="00550373"/>
    <w:rsid w:val="00551CE8"/>
    <w:rsid w:val="00553553"/>
    <w:rsid w:val="00555064"/>
    <w:rsid w:val="00567238"/>
    <w:rsid w:val="00571925"/>
    <w:rsid w:val="005773BB"/>
    <w:rsid w:val="00580984"/>
    <w:rsid w:val="00581644"/>
    <w:rsid w:val="00586B4D"/>
    <w:rsid w:val="00593C4F"/>
    <w:rsid w:val="005946A8"/>
    <w:rsid w:val="005A0C10"/>
    <w:rsid w:val="005A4407"/>
    <w:rsid w:val="005A59EF"/>
    <w:rsid w:val="005A6A35"/>
    <w:rsid w:val="005A7083"/>
    <w:rsid w:val="005C0F38"/>
    <w:rsid w:val="005C5DFC"/>
    <w:rsid w:val="005D271F"/>
    <w:rsid w:val="005D4D1F"/>
    <w:rsid w:val="005D6DAB"/>
    <w:rsid w:val="005E775B"/>
    <w:rsid w:val="005F4E9E"/>
    <w:rsid w:val="00603768"/>
    <w:rsid w:val="00625DC6"/>
    <w:rsid w:val="00635849"/>
    <w:rsid w:val="00637189"/>
    <w:rsid w:val="00645492"/>
    <w:rsid w:val="00651821"/>
    <w:rsid w:val="00654384"/>
    <w:rsid w:val="00657AEA"/>
    <w:rsid w:val="00660F3C"/>
    <w:rsid w:val="00664E94"/>
    <w:rsid w:val="006675CD"/>
    <w:rsid w:val="00674CDC"/>
    <w:rsid w:val="00675C5D"/>
    <w:rsid w:val="00684D9B"/>
    <w:rsid w:val="00685339"/>
    <w:rsid w:val="006873BD"/>
    <w:rsid w:val="0069304E"/>
    <w:rsid w:val="00694EBF"/>
    <w:rsid w:val="006962EC"/>
    <w:rsid w:val="00697556"/>
    <w:rsid w:val="00697BA7"/>
    <w:rsid w:val="006A217C"/>
    <w:rsid w:val="006A4FA6"/>
    <w:rsid w:val="006A645B"/>
    <w:rsid w:val="006A6D70"/>
    <w:rsid w:val="006B0FB1"/>
    <w:rsid w:val="006B1919"/>
    <w:rsid w:val="006B34BE"/>
    <w:rsid w:val="006B4527"/>
    <w:rsid w:val="006B4C2B"/>
    <w:rsid w:val="006B6D47"/>
    <w:rsid w:val="006C46F3"/>
    <w:rsid w:val="006D79F0"/>
    <w:rsid w:val="006E56AD"/>
    <w:rsid w:val="006F0457"/>
    <w:rsid w:val="006F1BBE"/>
    <w:rsid w:val="006F6D95"/>
    <w:rsid w:val="007019FD"/>
    <w:rsid w:val="00701ACB"/>
    <w:rsid w:val="00706F13"/>
    <w:rsid w:val="007072E8"/>
    <w:rsid w:val="00713159"/>
    <w:rsid w:val="0071618D"/>
    <w:rsid w:val="00716318"/>
    <w:rsid w:val="00717DD5"/>
    <w:rsid w:val="00725FA4"/>
    <w:rsid w:val="00730815"/>
    <w:rsid w:val="0073443E"/>
    <w:rsid w:val="007354A4"/>
    <w:rsid w:val="00737B45"/>
    <w:rsid w:val="00737B50"/>
    <w:rsid w:val="00740446"/>
    <w:rsid w:val="007438A9"/>
    <w:rsid w:val="007439E0"/>
    <w:rsid w:val="0074491E"/>
    <w:rsid w:val="00754052"/>
    <w:rsid w:val="00756AAD"/>
    <w:rsid w:val="007571D6"/>
    <w:rsid w:val="007616CB"/>
    <w:rsid w:val="00766F89"/>
    <w:rsid w:val="0076761A"/>
    <w:rsid w:val="00767652"/>
    <w:rsid w:val="0077482C"/>
    <w:rsid w:val="00775964"/>
    <w:rsid w:val="00775AD2"/>
    <w:rsid w:val="00776376"/>
    <w:rsid w:val="007769DE"/>
    <w:rsid w:val="00780870"/>
    <w:rsid w:val="0078136C"/>
    <w:rsid w:val="007918F6"/>
    <w:rsid w:val="00795BFB"/>
    <w:rsid w:val="007A62EA"/>
    <w:rsid w:val="007A6623"/>
    <w:rsid w:val="007A6868"/>
    <w:rsid w:val="007A6B79"/>
    <w:rsid w:val="007B2760"/>
    <w:rsid w:val="007B3367"/>
    <w:rsid w:val="007B4F8C"/>
    <w:rsid w:val="007B7B7A"/>
    <w:rsid w:val="007C0224"/>
    <w:rsid w:val="007C38DD"/>
    <w:rsid w:val="007D3280"/>
    <w:rsid w:val="007E0CAD"/>
    <w:rsid w:val="007E269A"/>
    <w:rsid w:val="007E6E52"/>
    <w:rsid w:val="007F05BB"/>
    <w:rsid w:val="007F2485"/>
    <w:rsid w:val="007F3525"/>
    <w:rsid w:val="007F4278"/>
    <w:rsid w:val="007F4339"/>
    <w:rsid w:val="007F5241"/>
    <w:rsid w:val="008002A1"/>
    <w:rsid w:val="0080129A"/>
    <w:rsid w:val="00806C01"/>
    <w:rsid w:val="00810E7B"/>
    <w:rsid w:val="00811667"/>
    <w:rsid w:val="0081199F"/>
    <w:rsid w:val="008148CC"/>
    <w:rsid w:val="008153F2"/>
    <w:rsid w:val="008156A0"/>
    <w:rsid w:val="00816A9A"/>
    <w:rsid w:val="008207F3"/>
    <w:rsid w:val="008211A4"/>
    <w:rsid w:val="00821C68"/>
    <w:rsid w:val="00832864"/>
    <w:rsid w:val="008331B3"/>
    <w:rsid w:val="008337DA"/>
    <w:rsid w:val="008349EB"/>
    <w:rsid w:val="00836369"/>
    <w:rsid w:val="00841BF0"/>
    <w:rsid w:val="0085270D"/>
    <w:rsid w:val="00856CFB"/>
    <w:rsid w:val="00860776"/>
    <w:rsid w:val="008617CB"/>
    <w:rsid w:val="00863487"/>
    <w:rsid w:val="0086451A"/>
    <w:rsid w:val="00873150"/>
    <w:rsid w:val="008736B8"/>
    <w:rsid w:val="00875E17"/>
    <w:rsid w:val="0087657D"/>
    <w:rsid w:val="008803A1"/>
    <w:rsid w:val="008807D5"/>
    <w:rsid w:val="00880832"/>
    <w:rsid w:val="00886EE1"/>
    <w:rsid w:val="0088727D"/>
    <w:rsid w:val="00891130"/>
    <w:rsid w:val="00892684"/>
    <w:rsid w:val="00894ED1"/>
    <w:rsid w:val="00897C75"/>
    <w:rsid w:val="008A1D08"/>
    <w:rsid w:val="008A5CED"/>
    <w:rsid w:val="008A7457"/>
    <w:rsid w:val="008B622D"/>
    <w:rsid w:val="008C1130"/>
    <w:rsid w:val="008C1CFA"/>
    <w:rsid w:val="008D0A20"/>
    <w:rsid w:val="008D18E6"/>
    <w:rsid w:val="008D52A9"/>
    <w:rsid w:val="008D7A9B"/>
    <w:rsid w:val="008E76AC"/>
    <w:rsid w:val="008F21F6"/>
    <w:rsid w:val="008F6299"/>
    <w:rsid w:val="008F6530"/>
    <w:rsid w:val="00900465"/>
    <w:rsid w:val="009058AC"/>
    <w:rsid w:val="0090607F"/>
    <w:rsid w:val="009065D7"/>
    <w:rsid w:val="0090780F"/>
    <w:rsid w:val="009115EA"/>
    <w:rsid w:val="00911BEF"/>
    <w:rsid w:val="00911FBC"/>
    <w:rsid w:val="009137C4"/>
    <w:rsid w:val="00915A96"/>
    <w:rsid w:val="009209CD"/>
    <w:rsid w:val="00922C35"/>
    <w:rsid w:val="00930376"/>
    <w:rsid w:val="00933462"/>
    <w:rsid w:val="00934E08"/>
    <w:rsid w:val="0094185F"/>
    <w:rsid w:val="00945D1F"/>
    <w:rsid w:val="00951890"/>
    <w:rsid w:val="00951F79"/>
    <w:rsid w:val="0095358A"/>
    <w:rsid w:val="00953B91"/>
    <w:rsid w:val="00960FFA"/>
    <w:rsid w:val="009611BB"/>
    <w:rsid w:val="00962EE6"/>
    <w:rsid w:val="00964DF0"/>
    <w:rsid w:val="00967E17"/>
    <w:rsid w:val="00967F2C"/>
    <w:rsid w:val="00974AB5"/>
    <w:rsid w:val="00976F2C"/>
    <w:rsid w:val="0098150B"/>
    <w:rsid w:val="0098565E"/>
    <w:rsid w:val="0098706D"/>
    <w:rsid w:val="009914BC"/>
    <w:rsid w:val="00991C16"/>
    <w:rsid w:val="009935FB"/>
    <w:rsid w:val="009A0C26"/>
    <w:rsid w:val="009A1782"/>
    <w:rsid w:val="009A22C0"/>
    <w:rsid w:val="009A4147"/>
    <w:rsid w:val="009C24FC"/>
    <w:rsid w:val="009D507F"/>
    <w:rsid w:val="009E3EB5"/>
    <w:rsid w:val="009E480B"/>
    <w:rsid w:val="009E4D64"/>
    <w:rsid w:val="009E6CF7"/>
    <w:rsid w:val="009F069E"/>
    <w:rsid w:val="009F4A54"/>
    <w:rsid w:val="009F4BEC"/>
    <w:rsid w:val="009F5BFE"/>
    <w:rsid w:val="009F5D1F"/>
    <w:rsid w:val="00A02A71"/>
    <w:rsid w:val="00A04597"/>
    <w:rsid w:val="00A12BAF"/>
    <w:rsid w:val="00A23177"/>
    <w:rsid w:val="00A25B4A"/>
    <w:rsid w:val="00A25FD7"/>
    <w:rsid w:val="00A26EBD"/>
    <w:rsid w:val="00A3333F"/>
    <w:rsid w:val="00A36E12"/>
    <w:rsid w:val="00A40A79"/>
    <w:rsid w:val="00A41B7E"/>
    <w:rsid w:val="00A424C6"/>
    <w:rsid w:val="00A43AFF"/>
    <w:rsid w:val="00A441E9"/>
    <w:rsid w:val="00A466BC"/>
    <w:rsid w:val="00A55A9E"/>
    <w:rsid w:val="00A56FE5"/>
    <w:rsid w:val="00A606AA"/>
    <w:rsid w:val="00A61846"/>
    <w:rsid w:val="00A70F06"/>
    <w:rsid w:val="00A7793A"/>
    <w:rsid w:val="00A80287"/>
    <w:rsid w:val="00A81241"/>
    <w:rsid w:val="00A818AC"/>
    <w:rsid w:val="00A8650D"/>
    <w:rsid w:val="00A908AC"/>
    <w:rsid w:val="00A9400E"/>
    <w:rsid w:val="00A94C83"/>
    <w:rsid w:val="00AB0B80"/>
    <w:rsid w:val="00AB1BDB"/>
    <w:rsid w:val="00AB29FD"/>
    <w:rsid w:val="00AB3AC6"/>
    <w:rsid w:val="00AB6AC0"/>
    <w:rsid w:val="00AB6CA7"/>
    <w:rsid w:val="00AC074B"/>
    <w:rsid w:val="00AC51C0"/>
    <w:rsid w:val="00AD01E4"/>
    <w:rsid w:val="00AD0858"/>
    <w:rsid w:val="00AD701B"/>
    <w:rsid w:val="00AE073A"/>
    <w:rsid w:val="00AE3404"/>
    <w:rsid w:val="00AE3B67"/>
    <w:rsid w:val="00AE6F24"/>
    <w:rsid w:val="00AE7340"/>
    <w:rsid w:val="00AF1BBD"/>
    <w:rsid w:val="00AF35CA"/>
    <w:rsid w:val="00B01CF9"/>
    <w:rsid w:val="00B10207"/>
    <w:rsid w:val="00B128A2"/>
    <w:rsid w:val="00B12C03"/>
    <w:rsid w:val="00B141E7"/>
    <w:rsid w:val="00B15E8F"/>
    <w:rsid w:val="00B22BC1"/>
    <w:rsid w:val="00B25FC8"/>
    <w:rsid w:val="00B268AD"/>
    <w:rsid w:val="00B33FD6"/>
    <w:rsid w:val="00B34417"/>
    <w:rsid w:val="00B351B4"/>
    <w:rsid w:val="00B37F10"/>
    <w:rsid w:val="00B40538"/>
    <w:rsid w:val="00B40A9C"/>
    <w:rsid w:val="00B40AAB"/>
    <w:rsid w:val="00B42966"/>
    <w:rsid w:val="00B43FB5"/>
    <w:rsid w:val="00B451B4"/>
    <w:rsid w:val="00B4672B"/>
    <w:rsid w:val="00B46BCA"/>
    <w:rsid w:val="00B51749"/>
    <w:rsid w:val="00B56945"/>
    <w:rsid w:val="00B6051B"/>
    <w:rsid w:val="00B66917"/>
    <w:rsid w:val="00B82C21"/>
    <w:rsid w:val="00B8422F"/>
    <w:rsid w:val="00B84D24"/>
    <w:rsid w:val="00B84E38"/>
    <w:rsid w:val="00B85E34"/>
    <w:rsid w:val="00B87806"/>
    <w:rsid w:val="00B87DD6"/>
    <w:rsid w:val="00B87EC9"/>
    <w:rsid w:val="00B91A16"/>
    <w:rsid w:val="00B91A71"/>
    <w:rsid w:val="00B92B37"/>
    <w:rsid w:val="00BA1013"/>
    <w:rsid w:val="00BA1670"/>
    <w:rsid w:val="00BA3698"/>
    <w:rsid w:val="00BB53DC"/>
    <w:rsid w:val="00BC38FD"/>
    <w:rsid w:val="00BC3FE4"/>
    <w:rsid w:val="00BC4FA6"/>
    <w:rsid w:val="00BC709E"/>
    <w:rsid w:val="00BE00F7"/>
    <w:rsid w:val="00BE4088"/>
    <w:rsid w:val="00BE64A7"/>
    <w:rsid w:val="00BF09C9"/>
    <w:rsid w:val="00BF1CAE"/>
    <w:rsid w:val="00BF2AEA"/>
    <w:rsid w:val="00BF3155"/>
    <w:rsid w:val="00C034CB"/>
    <w:rsid w:val="00C051A8"/>
    <w:rsid w:val="00C054BC"/>
    <w:rsid w:val="00C055B9"/>
    <w:rsid w:val="00C1381C"/>
    <w:rsid w:val="00C17897"/>
    <w:rsid w:val="00C26580"/>
    <w:rsid w:val="00C362FB"/>
    <w:rsid w:val="00C40072"/>
    <w:rsid w:val="00C40279"/>
    <w:rsid w:val="00C409D5"/>
    <w:rsid w:val="00C43FA1"/>
    <w:rsid w:val="00C4558E"/>
    <w:rsid w:val="00C45948"/>
    <w:rsid w:val="00C516F4"/>
    <w:rsid w:val="00C5380E"/>
    <w:rsid w:val="00C54013"/>
    <w:rsid w:val="00C55D13"/>
    <w:rsid w:val="00C57726"/>
    <w:rsid w:val="00C6234B"/>
    <w:rsid w:val="00C63EA6"/>
    <w:rsid w:val="00C63EAE"/>
    <w:rsid w:val="00C65EA1"/>
    <w:rsid w:val="00C7096A"/>
    <w:rsid w:val="00C717F6"/>
    <w:rsid w:val="00C73220"/>
    <w:rsid w:val="00C7629F"/>
    <w:rsid w:val="00C770F7"/>
    <w:rsid w:val="00C8661B"/>
    <w:rsid w:val="00CA139A"/>
    <w:rsid w:val="00CA2899"/>
    <w:rsid w:val="00CA77FB"/>
    <w:rsid w:val="00CB149F"/>
    <w:rsid w:val="00CB379B"/>
    <w:rsid w:val="00CB4B5E"/>
    <w:rsid w:val="00CB5DD0"/>
    <w:rsid w:val="00CC031B"/>
    <w:rsid w:val="00CC51D4"/>
    <w:rsid w:val="00CC5AFD"/>
    <w:rsid w:val="00CC65DA"/>
    <w:rsid w:val="00CC7741"/>
    <w:rsid w:val="00CD0A34"/>
    <w:rsid w:val="00CE4C66"/>
    <w:rsid w:val="00CE515B"/>
    <w:rsid w:val="00CE742A"/>
    <w:rsid w:val="00CF21B9"/>
    <w:rsid w:val="00CF3491"/>
    <w:rsid w:val="00CF4B84"/>
    <w:rsid w:val="00CF6BF9"/>
    <w:rsid w:val="00D01388"/>
    <w:rsid w:val="00D01989"/>
    <w:rsid w:val="00D02CA4"/>
    <w:rsid w:val="00D03800"/>
    <w:rsid w:val="00D065D3"/>
    <w:rsid w:val="00D14C94"/>
    <w:rsid w:val="00D177DE"/>
    <w:rsid w:val="00D21071"/>
    <w:rsid w:val="00D2342A"/>
    <w:rsid w:val="00D342A6"/>
    <w:rsid w:val="00D34E4D"/>
    <w:rsid w:val="00D45184"/>
    <w:rsid w:val="00D464BF"/>
    <w:rsid w:val="00D53E26"/>
    <w:rsid w:val="00D56930"/>
    <w:rsid w:val="00D6092D"/>
    <w:rsid w:val="00D6242F"/>
    <w:rsid w:val="00D72F79"/>
    <w:rsid w:val="00D749EF"/>
    <w:rsid w:val="00D77F9F"/>
    <w:rsid w:val="00D91C06"/>
    <w:rsid w:val="00DA294E"/>
    <w:rsid w:val="00DA3D8D"/>
    <w:rsid w:val="00DB4FE2"/>
    <w:rsid w:val="00DC4EBC"/>
    <w:rsid w:val="00DC7BD4"/>
    <w:rsid w:val="00DD4F0E"/>
    <w:rsid w:val="00DD5C49"/>
    <w:rsid w:val="00DD6645"/>
    <w:rsid w:val="00DD7C9B"/>
    <w:rsid w:val="00DE14C7"/>
    <w:rsid w:val="00DE3846"/>
    <w:rsid w:val="00DE3F7C"/>
    <w:rsid w:val="00DE4813"/>
    <w:rsid w:val="00DE53B8"/>
    <w:rsid w:val="00DE62E3"/>
    <w:rsid w:val="00DF11ED"/>
    <w:rsid w:val="00DF24F7"/>
    <w:rsid w:val="00DF40E1"/>
    <w:rsid w:val="00DF40E2"/>
    <w:rsid w:val="00DF60A6"/>
    <w:rsid w:val="00E02D66"/>
    <w:rsid w:val="00E05E0A"/>
    <w:rsid w:val="00E07B45"/>
    <w:rsid w:val="00E13B65"/>
    <w:rsid w:val="00E16FA0"/>
    <w:rsid w:val="00E213CE"/>
    <w:rsid w:val="00E26585"/>
    <w:rsid w:val="00E32726"/>
    <w:rsid w:val="00E41E7D"/>
    <w:rsid w:val="00E42045"/>
    <w:rsid w:val="00E5184F"/>
    <w:rsid w:val="00E534CF"/>
    <w:rsid w:val="00E5689C"/>
    <w:rsid w:val="00E638DD"/>
    <w:rsid w:val="00E6564C"/>
    <w:rsid w:val="00E65B06"/>
    <w:rsid w:val="00E7418C"/>
    <w:rsid w:val="00E81CB4"/>
    <w:rsid w:val="00E83C39"/>
    <w:rsid w:val="00E8585B"/>
    <w:rsid w:val="00E8758F"/>
    <w:rsid w:val="00EA3F15"/>
    <w:rsid w:val="00EA460D"/>
    <w:rsid w:val="00EA7847"/>
    <w:rsid w:val="00EB4882"/>
    <w:rsid w:val="00EC1C6F"/>
    <w:rsid w:val="00EC2904"/>
    <w:rsid w:val="00EC6205"/>
    <w:rsid w:val="00EC75CB"/>
    <w:rsid w:val="00ED055F"/>
    <w:rsid w:val="00ED07A7"/>
    <w:rsid w:val="00ED3149"/>
    <w:rsid w:val="00ED4FF5"/>
    <w:rsid w:val="00ED7FDF"/>
    <w:rsid w:val="00EE1D13"/>
    <w:rsid w:val="00EE28D3"/>
    <w:rsid w:val="00EE2E6E"/>
    <w:rsid w:val="00EE2EEE"/>
    <w:rsid w:val="00EE4140"/>
    <w:rsid w:val="00EF1B92"/>
    <w:rsid w:val="00EF4050"/>
    <w:rsid w:val="00F03968"/>
    <w:rsid w:val="00F04104"/>
    <w:rsid w:val="00F06FB5"/>
    <w:rsid w:val="00F0759E"/>
    <w:rsid w:val="00F11C4C"/>
    <w:rsid w:val="00F2089D"/>
    <w:rsid w:val="00F20B49"/>
    <w:rsid w:val="00F27942"/>
    <w:rsid w:val="00F31978"/>
    <w:rsid w:val="00F379EF"/>
    <w:rsid w:val="00F37C63"/>
    <w:rsid w:val="00F43A0D"/>
    <w:rsid w:val="00F475D8"/>
    <w:rsid w:val="00F50B3D"/>
    <w:rsid w:val="00F64922"/>
    <w:rsid w:val="00F665DA"/>
    <w:rsid w:val="00F722B5"/>
    <w:rsid w:val="00F77405"/>
    <w:rsid w:val="00F805F9"/>
    <w:rsid w:val="00F81D5F"/>
    <w:rsid w:val="00F821A3"/>
    <w:rsid w:val="00F926AB"/>
    <w:rsid w:val="00F9314A"/>
    <w:rsid w:val="00FA61CC"/>
    <w:rsid w:val="00FB56BD"/>
    <w:rsid w:val="00FB69C6"/>
    <w:rsid w:val="00FB6EC2"/>
    <w:rsid w:val="00FC0C9A"/>
    <w:rsid w:val="00FC493C"/>
    <w:rsid w:val="00FC58EF"/>
    <w:rsid w:val="00FD33DF"/>
    <w:rsid w:val="00FD711F"/>
    <w:rsid w:val="00FD7129"/>
    <w:rsid w:val="00FD75C9"/>
    <w:rsid w:val="00FE39D7"/>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989"/>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3"/>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3"/>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3"/>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rsid w:val="00795BFB"/>
    <w:pPr>
      <w:numPr>
        <w:ilvl w:val="5"/>
        <w:numId w:val="3"/>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3"/>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3"/>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3"/>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numPr>
        <w:numId w:val="1"/>
      </w:numPr>
    </w:pPr>
    <w:rPr>
      <w:sz w:val="20"/>
      <w:szCs w:val="20"/>
      <w:lang w:val="es-CO"/>
    </w:rPr>
  </w:style>
  <w:style w:type="character" w:customStyle="1" w:styleId="PrrafodelistaCar">
    <w:name w:val="Párrafo de lista Car"/>
    <w:basedOn w:val="Fuentedeprrafopredeter"/>
    <w:link w:val="Prrafodelista"/>
    <w:uiPriority w:val="34"/>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5F4E9E"/>
    <w:pPr>
      <w:numPr>
        <w:numId w:val="2"/>
      </w:numPr>
    </w:pPr>
    <w:rPr>
      <w:rFonts w:cs="Arial"/>
    </w:rPr>
  </w:style>
  <w:style w:type="character" w:customStyle="1" w:styleId="ArtculoCar">
    <w:name w:val="Artículo Car"/>
    <w:basedOn w:val="Fuentedeprrafopredeter"/>
    <w:link w:val="Artculo"/>
    <w:rsid w:val="005F4E9E"/>
    <w:rPr>
      <w:rFonts w:ascii="Bookman Old Style" w:hAnsi="Bookman Old Style" w:cs="Arial"/>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 w:type="paragraph" w:customStyle="1" w:styleId="c92">
    <w:name w:val="c92"/>
    <w:basedOn w:val="Normal"/>
    <w:uiPriority w:val="99"/>
    <w:rsid w:val="0080129A"/>
    <w:pPr>
      <w:widowControl w:val="0"/>
      <w:autoSpaceDE w:val="0"/>
      <w:autoSpaceDN w:val="0"/>
      <w:adjustRightInd w:val="0"/>
      <w:spacing w:line="240" w:lineRule="atLeast"/>
      <w:jc w:val="center"/>
    </w:pPr>
    <w:rPr>
      <w:rFonts w:ascii="Times New Roman" w:hAnsi="Times New Roman"/>
      <w:lang w:val="en-US" w:eastAsia="es-CO"/>
    </w:rPr>
  </w:style>
  <w:style w:type="paragraph" w:customStyle="1" w:styleId="p93">
    <w:name w:val="p93"/>
    <w:basedOn w:val="Normal"/>
    <w:uiPriority w:val="99"/>
    <w:rsid w:val="0080129A"/>
    <w:pPr>
      <w:widowControl w:val="0"/>
      <w:tabs>
        <w:tab w:val="left" w:pos="3526"/>
      </w:tabs>
      <w:autoSpaceDE w:val="0"/>
      <w:autoSpaceDN w:val="0"/>
      <w:adjustRightInd w:val="0"/>
      <w:spacing w:line="240" w:lineRule="atLeast"/>
      <w:ind w:left="726"/>
      <w:jc w:val="left"/>
    </w:pPr>
    <w:rPr>
      <w:rFonts w:ascii="Times New Roman" w:hAnsi="Times New Roman"/>
      <w:lang w:val="en-US"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989"/>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3"/>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3"/>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3"/>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rsid w:val="00795BFB"/>
    <w:pPr>
      <w:numPr>
        <w:ilvl w:val="5"/>
        <w:numId w:val="3"/>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3"/>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3"/>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3"/>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numPr>
        <w:numId w:val="1"/>
      </w:numPr>
    </w:pPr>
    <w:rPr>
      <w:sz w:val="20"/>
      <w:szCs w:val="20"/>
      <w:lang w:val="es-CO"/>
    </w:rPr>
  </w:style>
  <w:style w:type="character" w:customStyle="1" w:styleId="PrrafodelistaCar">
    <w:name w:val="Párrafo de lista Car"/>
    <w:basedOn w:val="Fuentedeprrafopredeter"/>
    <w:link w:val="Prrafodelista"/>
    <w:uiPriority w:val="34"/>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5F4E9E"/>
    <w:pPr>
      <w:numPr>
        <w:numId w:val="2"/>
      </w:numPr>
    </w:pPr>
    <w:rPr>
      <w:rFonts w:cs="Arial"/>
    </w:rPr>
  </w:style>
  <w:style w:type="character" w:customStyle="1" w:styleId="ArtculoCar">
    <w:name w:val="Artículo Car"/>
    <w:basedOn w:val="Fuentedeprrafopredeter"/>
    <w:link w:val="Artculo"/>
    <w:rsid w:val="005F4E9E"/>
    <w:rPr>
      <w:rFonts w:ascii="Bookman Old Style" w:hAnsi="Bookman Old Style" w:cs="Arial"/>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 w:type="paragraph" w:customStyle="1" w:styleId="c92">
    <w:name w:val="c92"/>
    <w:basedOn w:val="Normal"/>
    <w:uiPriority w:val="99"/>
    <w:rsid w:val="0080129A"/>
    <w:pPr>
      <w:widowControl w:val="0"/>
      <w:autoSpaceDE w:val="0"/>
      <w:autoSpaceDN w:val="0"/>
      <w:adjustRightInd w:val="0"/>
      <w:spacing w:line="240" w:lineRule="atLeast"/>
      <w:jc w:val="center"/>
    </w:pPr>
    <w:rPr>
      <w:rFonts w:ascii="Times New Roman" w:hAnsi="Times New Roman"/>
      <w:lang w:val="en-US" w:eastAsia="es-CO"/>
    </w:rPr>
  </w:style>
  <w:style w:type="paragraph" w:customStyle="1" w:styleId="p93">
    <w:name w:val="p93"/>
    <w:basedOn w:val="Normal"/>
    <w:uiPriority w:val="99"/>
    <w:rsid w:val="0080129A"/>
    <w:pPr>
      <w:widowControl w:val="0"/>
      <w:tabs>
        <w:tab w:val="left" w:pos="3526"/>
      </w:tabs>
      <w:autoSpaceDE w:val="0"/>
      <w:autoSpaceDN w:val="0"/>
      <w:adjustRightInd w:val="0"/>
      <w:spacing w:line="240" w:lineRule="atLeast"/>
      <w:ind w:left="726"/>
      <w:jc w:val="left"/>
    </w:pPr>
    <w:rPr>
      <w:rFonts w:ascii="Times New Roman" w:hAnsi="Times New Roman"/>
      <w:lang w:val="en-U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232964">
      <w:bodyDiv w:val="1"/>
      <w:marLeft w:val="0"/>
      <w:marRight w:val="0"/>
      <w:marTop w:val="0"/>
      <w:marBottom w:val="0"/>
      <w:divBdr>
        <w:top w:val="none" w:sz="0" w:space="0" w:color="auto"/>
        <w:left w:val="none" w:sz="0" w:space="0" w:color="auto"/>
        <w:bottom w:val="none" w:sz="0" w:space="0" w:color="auto"/>
        <w:right w:val="none" w:sz="0" w:space="0" w:color="auto"/>
      </w:divBdr>
      <w:divsChild>
        <w:div w:id="750079938">
          <w:marLeft w:val="0"/>
          <w:marRight w:val="0"/>
          <w:marTop w:val="0"/>
          <w:marBottom w:val="0"/>
          <w:divBdr>
            <w:top w:val="none" w:sz="0" w:space="0" w:color="auto"/>
            <w:left w:val="none" w:sz="0" w:space="0" w:color="auto"/>
            <w:bottom w:val="none" w:sz="0" w:space="0" w:color="auto"/>
            <w:right w:val="none" w:sz="0" w:space="0" w:color="auto"/>
          </w:divBdr>
        </w:div>
        <w:div w:id="1711420033">
          <w:marLeft w:val="0"/>
          <w:marRight w:val="0"/>
          <w:marTop w:val="0"/>
          <w:marBottom w:val="0"/>
          <w:divBdr>
            <w:top w:val="none" w:sz="0" w:space="0" w:color="auto"/>
            <w:left w:val="none" w:sz="0" w:space="0" w:color="auto"/>
            <w:bottom w:val="none" w:sz="0" w:space="0" w:color="auto"/>
            <w:right w:val="none" w:sz="0" w:space="0" w:color="auto"/>
          </w:divBdr>
        </w:div>
        <w:div w:id="633826549">
          <w:marLeft w:val="0"/>
          <w:marRight w:val="0"/>
          <w:marTop w:val="0"/>
          <w:marBottom w:val="0"/>
          <w:divBdr>
            <w:top w:val="none" w:sz="0" w:space="0" w:color="auto"/>
            <w:left w:val="none" w:sz="0" w:space="0" w:color="auto"/>
            <w:bottom w:val="none" w:sz="0" w:space="0" w:color="auto"/>
            <w:right w:val="none" w:sz="0" w:space="0" w:color="auto"/>
          </w:divBdr>
        </w:div>
        <w:div w:id="144201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668EA-0031-41ED-A2C7-F372EB88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7</Pages>
  <Words>2355</Words>
  <Characters>12958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2012-03-05T15:07:00Z</cp:lastPrinted>
  <dcterms:created xsi:type="dcterms:W3CDTF">2012-03-20T15:14:00Z</dcterms:created>
  <dcterms:modified xsi:type="dcterms:W3CDTF">2012-03-20T15:14:00Z</dcterms:modified>
</cp:coreProperties>
</file>