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6E3" w:rsidRPr="006B4647" w:rsidRDefault="003F7533" w:rsidP="00D126E3">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7728" fillcolor="#0c9">
            <v:imagedata r:id="rId8" o:title=""/>
          </v:shape>
          <o:OLEObject Type="Embed" ProgID="PBrush" ShapeID="_x0000_s1027" DrawAspect="Content" ObjectID="_1542618560" r:id="rId9"/>
        </w:object>
      </w:r>
    </w:p>
    <w:p w:rsidR="00D126E3" w:rsidRPr="0007548D" w:rsidRDefault="00D126E3" w:rsidP="00D126E3">
      <w:pPr>
        <w:pStyle w:val="Encabezado"/>
        <w:tabs>
          <w:tab w:val="clear" w:pos="8504"/>
          <w:tab w:val="left" w:pos="0"/>
          <w:tab w:val="right" w:pos="9498"/>
        </w:tabs>
        <w:ind w:left="0" w:right="-142"/>
        <w:jc w:val="both"/>
        <w:rPr>
          <w:rFonts w:ascii="Bookman Old Style" w:hAnsi="Bookman Old Style"/>
          <w:szCs w:val="24"/>
        </w:rPr>
      </w:pPr>
    </w:p>
    <w:p w:rsidR="00D126E3" w:rsidRPr="006B4647" w:rsidRDefault="00D126E3" w:rsidP="00D126E3">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D126E3" w:rsidRPr="003234E2" w:rsidRDefault="00D126E3" w:rsidP="00D126E3">
      <w:pPr>
        <w:pStyle w:val="Ttulo4"/>
        <w:tabs>
          <w:tab w:val="left" w:pos="0"/>
          <w:tab w:val="right" w:pos="9498"/>
        </w:tabs>
        <w:ind w:left="0" w:right="-142"/>
        <w:rPr>
          <w:rFonts w:ascii="Bookman Old Style" w:hAnsi="Bookman Old Style"/>
          <w:b w:val="0"/>
          <w:bCs/>
          <w:sz w:val="22"/>
          <w:szCs w:val="24"/>
        </w:rPr>
      </w:pPr>
    </w:p>
    <w:p w:rsidR="00D126E3" w:rsidRPr="006B4647" w:rsidRDefault="00D126E3" w:rsidP="00D126E3">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D126E3" w:rsidRPr="003234E2" w:rsidRDefault="00D126E3" w:rsidP="00D126E3">
      <w:pPr>
        <w:pStyle w:val="Ttulo5"/>
        <w:tabs>
          <w:tab w:val="left" w:pos="0"/>
          <w:tab w:val="right" w:pos="9498"/>
        </w:tabs>
        <w:ind w:left="0" w:right="-142"/>
        <w:rPr>
          <w:rFonts w:ascii="Bookman Old Style" w:hAnsi="Bookman Old Style"/>
          <w:sz w:val="22"/>
          <w:szCs w:val="24"/>
        </w:rPr>
      </w:pPr>
    </w:p>
    <w:p w:rsidR="00D126E3" w:rsidRPr="007507BF" w:rsidRDefault="00D126E3" w:rsidP="00D126E3">
      <w:pPr>
        <w:pStyle w:val="Ttulo5"/>
        <w:tabs>
          <w:tab w:val="left" w:pos="0"/>
          <w:tab w:val="right" w:pos="9498"/>
        </w:tabs>
        <w:ind w:left="0" w:right="-142"/>
        <w:rPr>
          <w:rFonts w:ascii="Bookman Old Style" w:hAnsi="Bookman Old Style"/>
          <w:sz w:val="22"/>
          <w:szCs w:val="24"/>
        </w:rPr>
      </w:pPr>
    </w:p>
    <w:p w:rsidR="00D126E3" w:rsidRPr="006B4647" w:rsidRDefault="00D126E3" w:rsidP="00D126E3">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sidR="00EC3BB2">
        <w:rPr>
          <w:rFonts w:ascii="Bookman Old Style" w:hAnsi="Bookman Old Style"/>
          <w:sz w:val="24"/>
          <w:szCs w:val="24"/>
        </w:rPr>
        <w:t>6</w:t>
      </w:r>
    </w:p>
    <w:p w:rsidR="00D126E3" w:rsidRPr="006B4647" w:rsidRDefault="00D126E3" w:rsidP="00D126E3">
      <w:pPr>
        <w:tabs>
          <w:tab w:val="left" w:pos="0"/>
          <w:tab w:val="right" w:pos="9498"/>
        </w:tabs>
        <w:ind w:left="0" w:right="-142"/>
        <w:jc w:val="center"/>
        <w:rPr>
          <w:rFonts w:ascii="Bookman Old Style" w:hAnsi="Bookman Old Style" w:cs="Arial"/>
          <w:b/>
          <w:snapToGrid w:val="0"/>
          <w:color w:val="000000"/>
          <w:lang w:val="es-ES_tradnl"/>
        </w:rPr>
      </w:pPr>
    </w:p>
    <w:p w:rsidR="00D126E3" w:rsidRPr="006B4647" w:rsidRDefault="00D126E3" w:rsidP="00D126E3">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D126E3" w:rsidRDefault="00D126E3" w:rsidP="00D126E3">
      <w:pPr>
        <w:tabs>
          <w:tab w:val="right" w:pos="9498"/>
        </w:tabs>
        <w:ind w:left="0" w:right="-142"/>
        <w:rPr>
          <w:rFonts w:ascii="Bookman Old Style" w:hAnsi="Bookman Old Style"/>
          <w:bCs/>
          <w:sz w:val="22"/>
          <w:lang w:val="es-CO"/>
        </w:rPr>
      </w:pPr>
    </w:p>
    <w:p w:rsidR="003E628D" w:rsidRPr="007507BF" w:rsidRDefault="003E628D" w:rsidP="00D126E3">
      <w:pPr>
        <w:tabs>
          <w:tab w:val="right" w:pos="9498"/>
        </w:tabs>
        <w:ind w:left="0" w:right="-142"/>
        <w:rPr>
          <w:rFonts w:ascii="Bookman Old Style" w:hAnsi="Bookman Old Style"/>
          <w:bCs/>
          <w:sz w:val="22"/>
          <w:lang w:val="es-CO"/>
        </w:rPr>
      </w:pPr>
    </w:p>
    <w:p w:rsidR="00D126E3" w:rsidRPr="00D7035A" w:rsidRDefault="00D126E3" w:rsidP="00D126E3">
      <w:pPr>
        <w:ind w:left="0"/>
        <w:jc w:val="center"/>
        <w:rPr>
          <w:rFonts w:ascii="Bookman Old Style" w:hAnsi="Bookman Old Style"/>
          <w:bCs/>
          <w:lang w:val="es-CO"/>
        </w:rPr>
      </w:pPr>
      <w:r w:rsidRPr="00D7035A">
        <w:rPr>
          <w:rFonts w:ascii="Bookman Old Style" w:hAnsi="Bookman Old Style"/>
          <w:bCs/>
          <w:lang w:val="es-CO"/>
        </w:rPr>
        <w:t xml:space="preserve">Por la cual se resuelve el recurso de reposición interpuesto por </w:t>
      </w:r>
      <w:r w:rsidR="00236883">
        <w:rPr>
          <w:rFonts w:ascii="Bookman Old Style" w:hAnsi="Bookman Old Style"/>
          <w:bCs/>
          <w:lang w:val="es-CO"/>
        </w:rPr>
        <w:t>Gas Superior S.A</w:t>
      </w:r>
      <w:r w:rsidR="00A00879">
        <w:rPr>
          <w:rFonts w:ascii="Bookman Old Style" w:hAnsi="Bookman Old Style"/>
          <w:bCs/>
          <w:lang w:val="es-CO"/>
        </w:rPr>
        <w:t>. E.S.P.</w:t>
      </w:r>
      <w:r w:rsidR="00970C82">
        <w:rPr>
          <w:rFonts w:ascii="Bookman Old Style" w:hAnsi="Bookman Old Style"/>
          <w:bCs/>
          <w:lang w:val="es-CO"/>
        </w:rPr>
        <w:t xml:space="preserve"> </w:t>
      </w:r>
      <w:r w:rsidRPr="00D7035A">
        <w:rPr>
          <w:rFonts w:ascii="Bookman Old Style" w:hAnsi="Bookman Old Style"/>
          <w:bCs/>
          <w:lang w:val="es-CO"/>
        </w:rPr>
        <w:t xml:space="preserve">contra la Resolución CREG </w:t>
      </w:r>
      <w:r w:rsidR="00C11DE1">
        <w:rPr>
          <w:rFonts w:ascii="Bookman Old Style" w:hAnsi="Bookman Old Style"/>
          <w:bCs/>
          <w:lang w:val="es-CO"/>
        </w:rPr>
        <w:t>075</w:t>
      </w:r>
      <w:r w:rsidR="00EC3BB2">
        <w:rPr>
          <w:rFonts w:ascii="Bookman Old Style" w:hAnsi="Bookman Old Style"/>
          <w:bCs/>
          <w:lang w:val="es-CO"/>
        </w:rPr>
        <w:t xml:space="preserve"> de 2016</w:t>
      </w:r>
    </w:p>
    <w:p w:rsidR="00D126E3" w:rsidRPr="00EC3BB2" w:rsidRDefault="00D126E3" w:rsidP="00D126E3">
      <w:pPr>
        <w:widowControl w:val="0"/>
        <w:tabs>
          <w:tab w:val="right" w:pos="9498"/>
        </w:tabs>
        <w:adjustRightInd w:val="0"/>
        <w:ind w:left="0" w:right="-142"/>
        <w:jc w:val="both"/>
        <w:rPr>
          <w:rFonts w:ascii="Bookman Old Style" w:hAnsi="Bookman Old Style" w:cs="Arial"/>
          <w:sz w:val="20"/>
          <w:lang w:val="es-CO"/>
        </w:rPr>
      </w:pPr>
    </w:p>
    <w:p w:rsidR="00D126E3" w:rsidRPr="006B4647" w:rsidRDefault="00D126E3" w:rsidP="00D126E3">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D126E3" w:rsidRDefault="00D126E3" w:rsidP="00067308">
      <w:pPr>
        <w:ind w:left="0"/>
        <w:rPr>
          <w:rFonts w:ascii="Bookman Old Style" w:hAnsi="Bookman Old Style"/>
          <w:bCs/>
          <w:sz w:val="22"/>
          <w:lang w:val="es-CO"/>
        </w:rPr>
      </w:pPr>
    </w:p>
    <w:p w:rsidR="003E628D" w:rsidRPr="003234E2" w:rsidRDefault="003E628D" w:rsidP="00067308">
      <w:pPr>
        <w:ind w:left="0"/>
        <w:rPr>
          <w:rFonts w:ascii="Bookman Old Style" w:hAnsi="Bookman Old Style"/>
          <w:bCs/>
          <w:sz w:val="22"/>
          <w:lang w:val="es-CO"/>
        </w:rPr>
      </w:pPr>
    </w:p>
    <w:p w:rsidR="00D126E3" w:rsidRDefault="00EC3BB2" w:rsidP="00EC3BB2">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D126E3" w:rsidRDefault="00D126E3" w:rsidP="00D126E3">
      <w:pPr>
        <w:tabs>
          <w:tab w:val="right" w:pos="9498"/>
        </w:tabs>
        <w:ind w:left="0" w:right="-142"/>
        <w:jc w:val="both"/>
        <w:rPr>
          <w:rFonts w:ascii="Bookman Old Style" w:hAnsi="Bookman Old Style" w:cs="Arial"/>
          <w:sz w:val="22"/>
        </w:rPr>
      </w:pPr>
    </w:p>
    <w:p w:rsidR="00BA698C" w:rsidRPr="003234E2" w:rsidRDefault="00BA698C" w:rsidP="00D126E3">
      <w:pPr>
        <w:tabs>
          <w:tab w:val="right" w:pos="9498"/>
        </w:tabs>
        <w:ind w:left="0" w:right="-142"/>
        <w:jc w:val="both"/>
        <w:rPr>
          <w:rFonts w:ascii="Bookman Old Style" w:hAnsi="Bookman Old Style" w:cs="Arial"/>
          <w:sz w:val="22"/>
        </w:rPr>
      </w:pPr>
    </w:p>
    <w:p w:rsidR="00D126E3" w:rsidRPr="00BA698C" w:rsidRDefault="00D126E3" w:rsidP="00BA698C">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00BA698C">
        <w:rPr>
          <w:rFonts w:ascii="Bookman Old Style" w:hAnsi="Bookman Old Style" w:cs="Arial"/>
          <w:b/>
        </w:rPr>
        <w:t>:</w:t>
      </w:r>
    </w:p>
    <w:p w:rsidR="00D126E3" w:rsidRDefault="00D126E3" w:rsidP="003E628D">
      <w:pPr>
        <w:tabs>
          <w:tab w:val="right" w:pos="9498"/>
        </w:tabs>
        <w:ind w:left="0" w:right="-142"/>
        <w:rPr>
          <w:rFonts w:ascii="Bookman Old Style" w:hAnsi="Bookman Old Style" w:cs="Arial"/>
          <w:b/>
        </w:rPr>
      </w:pPr>
    </w:p>
    <w:p w:rsidR="00D126E3" w:rsidRPr="00D549B1" w:rsidRDefault="00D126E3" w:rsidP="00D126E3">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D126E3" w:rsidRDefault="00D126E3" w:rsidP="00D126E3">
      <w:pPr>
        <w:widowControl w:val="0"/>
        <w:tabs>
          <w:tab w:val="right" w:pos="9498"/>
        </w:tabs>
        <w:adjustRightInd w:val="0"/>
        <w:ind w:left="0" w:right="-142"/>
        <w:jc w:val="both"/>
        <w:rPr>
          <w:rFonts w:ascii="Bookman Old Style" w:hAnsi="Bookman Old Style" w:cs="Arial"/>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ejercicio de </w:t>
      </w:r>
      <w:r w:rsidRPr="00EC3BB2">
        <w:rPr>
          <w:rFonts w:ascii="Bookman Old Style" w:hAnsi="Bookman Old Style"/>
        </w:rPr>
        <w:t>sus</w:t>
      </w:r>
      <w:r w:rsidRPr="00EC3BB2">
        <w:rPr>
          <w:rFonts w:ascii="Bookman Old Style" w:hAnsi="Bookman Old Style" w:cs="Arial"/>
          <w:spacing w:val="-5"/>
          <w:lang w:val="es-CO" w:eastAsia="en-US"/>
        </w:rPr>
        <w:t xml:space="preserve"> facultades regulatorias previstas entre otras en la Ley 142 de 1994 y en el artículo 62 de la Ley 1151 de 2007</w:t>
      </w:r>
      <w:r w:rsidRPr="00EC3BB2">
        <w:rPr>
          <w:rFonts w:ascii="Bookman Old Style" w:hAnsi="Bookman Old Style" w:cs="Arial"/>
          <w:spacing w:val="-5"/>
          <w:vertAlign w:val="superscript"/>
          <w:lang w:val="es-CO" w:eastAsia="en-US"/>
        </w:rPr>
        <w:footnoteReference w:id="1"/>
      </w:r>
      <w:r w:rsidRPr="00EC3BB2">
        <w:rPr>
          <w:rFonts w:ascii="Bookman Old Style" w:hAnsi="Bookman Old Style" w:cs="Arial"/>
          <w:spacing w:val="-5"/>
          <w:lang w:val="es-CO"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dicho acto administrativo, así como en su documento soporte D-030 de 2016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Lo anterior, luego de haberse surtido el proceso de consulta a que hace referencia el Decreto 2696 de 2004 y el numeral 8 del artículo 8 de la Ley 1437 de 2011.</w:t>
      </w:r>
    </w:p>
    <w:p w:rsidR="00067308" w:rsidRPr="00EC3BB2" w:rsidRDefault="00067308"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dicha norma, atendiendo la capacidad de envase en kilogramos registrado de acuerdo </w:t>
      </w:r>
      <w:r w:rsidRPr="00EC3BB2">
        <w:rPr>
          <w:rFonts w:ascii="Bookman Old Style" w:hAnsi="Bookman Old Style" w:cs="Arial"/>
          <w:spacing w:val="-5"/>
          <w:lang w:val="es-CO" w:eastAsia="en-US"/>
        </w:rPr>
        <w:lastRenderedPageBreak/>
        <w:t>con la información reportada en el Sistema Único de Información – SUI. En relación con lo anterior, el artículo 8 de la Resolución CREG 063 de 2016 establece lo siguiente:</w:t>
      </w:r>
    </w:p>
    <w:p w:rsidR="00EC3BB2" w:rsidRPr="00EC3BB2" w:rsidRDefault="00EC3BB2" w:rsidP="00EC3BB2">
      <w:pPr>
        <w:ind w:left="0"/>
        <w:jc w:val="both"/>
        <w:rPr>
          <w:rFonts w:ascii="Bookman Old Style" w:hAnsi="Bookman Old Style" w:cs="Arial"/>
          <w:spacing w:val="-5"/>
          <w:lang w:val="es-CO" w:eastAsia="en-US"/>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 xml:space="preserve">“Artículo </w:t>
      </w:r>
      <w:r w:rsidRPr="00EC3BB2">
        <w:rPr>
          <w:rFonts w:ascii="Bookman Old Style" w:hAnsi="Bookman Old Style" w:cs="Arial"/>
          <w:b/>
          <w:sz w:val="22"/>
          <w:szCs w:val="22"/>
        </w:rPr>
        <w:fldChar w:fldCharType="begin"/>
      </w:r>
      <w:r w:rsidRPr="00EC3BB2">
        <w:rPr>
          <w:rFonts w:ascii="Bookman Old Style" w:hAnsi="Bookman Old Style" w:cs="Arial"/>
          <w:b/>
          <w:sz w:val="22"/>
          <w:szCs w:val="22"/>
        </w:rPr>
        <w:instrText xml:space="preserve"> SEQ Artículo \* ARABIC </w:instrText>
      </w:r>
      <w:r w:rsidRPr="00EC3BB2">
        <w:rPr>
          <w:rFonts w:ascii="Bookman Old Style" w:hAnsi="Bookman Old Style" w:cs="Arial"/>
          <w:b/>
          <w:sz w:val="22"/>
          <w:szCs w:val="22"/>
        </w:rPr>
        <w:fldChar w:fldCharType="separate"/>
      </w:r>
      <w:r w:rsidRPr="00EC3BB2">
        <w:rPr>
          <w:rFonts w:ascii="Bookman Old Style" w:hAnsi="Bookman Old Style" w:cs="Arial"/>
          <w:b/>
          <w:noProof/>
          <w:sz w:val="22"/>
          <w:szCs w:val="22"/>
        </w:rPr>
        <w:t>8</w:t>
      </w:r>
      <w:r w:rsidRPr="00EC3BB2">
        <w:rPr>
          <w:rFonts w:ascii="Bookman Old Style" w:hAnsi="Bookman Old Style" w:cs="Arial"/>
          <w:b/>
          <w:sz w:val="22"/>
          <w:szCs w:val="22"/>
        </w:rPr>
        <w:fldChar w:fldCharType="end"/>
      </w:r>
      <w:r w:rsidRPr="00EC3BB2">
        <w:rPr>
          <w:rFonts w:ascii="Bookman Old Style" w:hAnsi="Bookman Old Style" w:cs="Arial"/>
          <w:b/>
          <w:sz w:val="22"/>
          <w:szCs w:val="22"/>
        </w:rPr>
        <w:t xml:space="preserve">. Capacidad de compras. </w:t>
      </w:r>
      <w:r w:rsidRPr="00EC3BB2">
        <w:rPr>
          <w:rFonts w:ascii="Bookman Old Style" w:hAnsi="Bookman Old Style" w:cs="Arial"/>
          <w:sz w:val="22"/>
          <w:szCs w:val="22"/>
        </w:rPr>
        <w:t>La capacidad disponible de compra de los distribuidores que adquieran GLP en el mercado mayorista se determinará así:</w:t>
      </w:r>
    </w:p>
    <w:p w:rsidR="00EC3BB2" w:rsidRPr="00EC3BB2" w:rsidRDefault="00EC3BB2" w:rsidP="00EC3BB2">
      <w:pPr>
        <w:jc w:val="both"/>
        <w:rPr>
          <w:rFonts w:ascii="Bookman Old Style" w:hAnsi="Bookman Old Style" w:cs="Arial"/>
          <w:sz w:val="22"/>
          <w:szCs w:val="22"/>
        </w:rPr>
      </w:pPr>
    </w:p>
    <w:p w:rsidR="00EC3BB2" w:rsidRPr="00BA5F8E" w:rsidRDefault="00BA5F8E" w:rsidP="00EC3BB2">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EC3BB2" w:rsidRPr="00EC3BB2" w:rsidRDefault="00EC3BB2" w:rsidP="00EC3BB2">
      <w:pPr>
        <w:rPr>
          <w:rFonts w:ascii="Bookman Old Style" w:hAnsi="Bookman Old Style"/>
          <w:sz w:val="22"/>
          <w:szCs w:val="22"/>
        </w:rPr>
      </w:pPr>
      <w:proofErr w:type="gramStart"/>
      <w:r w:rsidRPr="00EC3BB2">
        <w:rPr>
          <w:rFonts w:ascii="Bookman Old Style" w:hAnsi="Bookman Old Style"/>
          <w:sz w:val="22"/>
          <w:szCs w:val="22"/>
        </w:rPr>
        <w:t>donde</w:t>
      </w:r>
      <w:proofErr w:type="gramEnd"/>
      <w:r w:rsidRPr="00EC3BB2">
        <w:rPr>
          <w:rFonts w:ascii="Bookman Old Style" w:hAnsi="Bookman Old Style"/>
          <w:sz w:val="22"/>
          <w:szCs w:val="22"/>
        </w:rPr>
        <w:t>,</w:t>
      </w:r>
    </w:p>
    <w:p w:rsidR="00EC3BB2" w:rsidRPr="00EC3BB2" w:rsidRDefault="00EC3BB2" w:rsidP="00EC3BB2">
      <w:pPr>
        <w:rPr>
          <w:rFonts w:ascii="Bookman Old Style" w:hAnsi="Bookman Old Style"/>
          <w:sz w:val="22"/>
          <w:szCs w:val="22"/>
        </w:rPr>
      </w:pPr>
    </w:p>
    <w:tbl>
      <w:tblPr>
        <w:tblW w:w="0" w:type="auto"/>
        <w:tblInd w:w="1134" w:type="dxa"/>
        <w:tblLook w:val="04A0" w:firstRow="1" w:lastRow="0" w:firstColumn="1" w:lastColumn="0" w:noHBand="0" w:noVBand="1"/>
      </w:tblPr>
      <w:tblGrid>
        <w:gridCol w:w="1236"/>
        <w:gridCol w:w="6986"/>
      </w:tblGrid>
      <w:tr w:rsidR="00EC3BB2" w:rsidRPr="005217A1" w:rsidTr="005217A1">
        <w:tc>
          <w:tcPr>
            <w:tcW w:w="1242" w:type="dxa"/>
            <w:shd w:val="clear" w:color="auto" w:fill="auto"/>
          </w:tcPr>
          <w:p w:rsidR="00EC3BB2" w:rsidRPr="005217A1" w:rsidRDefault="00BA5F8E" w:rsidP="005217A1">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Capacidad disponible de compra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para el periodo de compra </w:t>
            </w:r>
            <w:r w:rsidRPr="005217A1">
              <w:rPr>
                <w:rFonts w:ascii="Bookman Old Style" w:hAnsi="Bookman Old Style" w:cs="Arial"/>
                <w:i/>
                <w:sz w:val="22"/>
                <w:szCs w:val="22"/>
              </w:rPr>
              <w:t>t</w:t>
            </w:r>
            <w:r w:rsidRPr="005217A1">
              <w:rPr>
                <w:rFonts w:ascii="Bookman Old Style" w:hAnsi="Bookman Old Style" w:cs="Arial"/>
                <w:sz w:val="22"/>
                <w:szCs w:val="22"/>
              </w:rPr>
              <w:t xml:space="preserve">, calculada para el mes </w:t>
            </w:r>
            <w:r w:rsidRPr="005217A1">
              <w:rPr>
                <w:rFonts w:ascii="Bookman Old Style" w:hAnsi="Bookman Old Style" w:cs="Arial"/>
                <w:i/>
                <w:sz w:val="22"/>
                <w:szCs w:val="22"/>
              </w:rPr>
              <w:t>m</w:t>
            </w:r>
            <w:r w:rsidRPr="005217A1">
              <w:rPr>
                <w:rFonts w:ascii="Bookman Old Style" w:hAnsi="Bookman Old Style" w:cs="Arial"/>
                <w:sz w:val="22"/>
                <w:szCs w:val="22"/>
              </w:rPr>
              <w:t>, medida en kilogramos.</w:t>
            </w:r>
          </w:p>
        </w:tc>
      </w:tr>
      <w:tr w:rsidR="00EC3BB2" w:rsidRPr="005217A1" w:rsidTr="005217A1">
        <w:tc>
          <w:tcPr>
            <w:tcW w:w="1242" w:type="dxa"/>
            <w:shd w:val="clear" w:color="auto" w:fill="auto"/>
          </w:tcPr>
          <w:p w:rsidR="00EC3BB2" w:rsidRPr="005217A1" w:rsidRDefault="003F7533"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34" w:firstLine="4"/>
              <w:jc w:val="both"/>
              <w:rPr>
                <w:rFonts w:ascii="Bookman Old Style" w:hAnsi="Bookman Old Style"/>
                <w:sz w:val="22"/>
                <w:szCs w:val="22"/>
              </w:rPr>
            </w:pPr>
            <w:r w:rsidRPr="005217A1">
              <w:rPr>
                <w:rFonts w:ascii="Bookman Old Style" w:hAnsi="Bookman Old Style" w:cs="Arial"/>
                <w:sz w:val="22"/>
                <w:szCs w:val="22"/>
              </w:rPr>
              <w:t>Capacidad de compra del distribuidor i, para el periodo de compra t, medida en kilogramos.</w:t>
            </w:r>
          </w:p>
        </w:tc>
      </w:tr>
      <w:tr w:rsidR="00EC3BB2" w:rsidRPr="005217A1" w:rsidTr="005217A1">
        <w:tc>
          <w:tcPr>
            <w:tcW w:w="1242" w:type="dxa"/>
            <w:shd w:val="clear" w:color="auto" w:fill="auto"/>
          </w:tcPr>
          <w:p w:rsidR="00EC3BB2" w:rsidRPr="005217A1" w:rsidRDefault="003F7533"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EC3BB2" w:rsidRPr="005217A1" w:rsidTr="005217A1">
        <w:tc>
          <w:tcPr>
            <w:tcW w:w="1242" w:type="dxa"/>
            <w:shd w:val="clear" w:color="auto" w:fill="auto"/>
          </w:tcPr>
          <w:p w:rsidR="00EC3BB2" w:rsidRPr="005217A1" w:rsidRDefault="003F7533"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5217A1">
              <w:rPr>
                <w:rFonts w:ascii="Bookman Old Style" w:hAnsi="Bookman Old Style"/>
                <w:sz w:val="22"/>
                <w:szCs w:val="22"/>
              </w:rPr>
              <w:t xml:space="preserve"> será igual a cero (0).</w:t>
            </w:r>
          </w:p>
        </w:tc>
      </w:tr>
      <w:tr w:rsidR="00EC3BB2" w:rsidRPr="005217A1" w:rsidTr="005217A1">
        <w:tc>
          <w:tcPr>
            <w:tcW w:w="1242" w:type="dxa"/>
            <w:shd w:val="clear" w:color="auto" w:fill="auto"/>
          </w:tcPr>
          <w:p w:rsidR="00EC3BB2" w:rsidRPr="005217A1" w:rsidRDefault="00BA5F8E" w:rsidP="005217A1">
            <w:pPr>
              <w:ind w:left="0"/>
              <w:rPr>
                <w:rFonts w:ascii="Bookman Old Style" w:hAnsi="Bookman Old Style"/>
                <w:sz w:val="22"/>
                <w:szCs w:val="22"/>
              </w:rPr>
            </w:pPr>
            <m:oMath>
              <m:r>
                <w:rPr>
                  <w:rFonts w:ascii="Cambria Math" w:hAnsi="Cambria Math"/>
                  <w:sz w:val="22"/>
                  <w:szCs w:val="22"/>
                </w:rPr>
                <m:t>m</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Mes de cálculo de la capacidad disponible de compra.</w:t>
            </w:r>
          </w:p>
        </w:tc>
      </w:tr>
      <w:tr w:rsidR="00EC3BB2" w:rsidRPr="005217A1" w:rsidTr="005217A1">
        <w:tc>
          <w:tcPr>
            <w:tcW w:w="1242" w:type="dxa"/>
            <w:shd w:val="clear" w:color="auto" w:fill="auto"/>
          </w:tcPr>
          <w:p w:rsidR="00EC3BB2" w:rsidRPr="005217A1" w:rsidRDefault="00BA5F8E" w:rsidP="005217A1">
            <w:pPr>
              <w:ind w:left="0"/>
              <w:rPr>
                <w:rFonts w:ascii="Bookman Old Style" w:hAnsi="Bookman Old Style"/>
                <w:sz w:val="22"/>
                <w:szCs w:val="22"/>
              </w:rPr>
            </w:pPr>
            <m:oMath>
              <m:r>
                <w:rPr>
                  <w:rFonts w:ascii="Cambria Math" w:hAnsi="Cambria Math"/>
                  <w:sz w:val="22"/>
                  <w:szCs w:val="22"/>
                </w:rPr>
                <m:t>t</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5217A1">
              <w:rPr>
                <w:rFonts w:ascii="Bookman Old Style" w:hAnsi="Bookman Old Style"/>
                <w:sz w:val="22"/>
                <w:szCs w:val="22"/>
              </w:rPr>
              <w:t>.</w:t>
            </w:r>
          </w:p>
        </w:tc>
      </w:tr>
    </w:tbl>
    <w:p w:rsidR="00EC3BB2" w:rsidRPr="00EC3BB2" w:rsidRDefault="00EC3BB2" w:rsidP="00EC3BB2">
      <w:pPr>
        <w:ind w:left="1134"/>
        <w:rPr>
          <w:rFonts w:ascii="Bookman Old Style" w:hAnsi="Bookman Old Style"/>
          <w:sz w:val="22"/>
          <w:szCs w:val="22"/>
        </w:rPr>
      </w:pPr>
    </w:p>
    <w:p w:rsidR="00EC3BB2" w:rsidRPr="00EC3BB2" w:rsidRDefault="00EC3BB2" w:rsidP="00EC3BB2">
      <w:pPr>
        <w:jc w:val="both"/>
        <w:rPr>
          <w:rFonts w:ascii="Bookman Old Style" w:hAnsi="Bookman Old Style"/>
          <w:b/>
          <w:sz w:val="22"/>
          <w:szCs w:val="22"/>
        </w:rPr>
      </w:pPr>
      <w:r w:rsidRPr="00EC3BB2">
        <w:rPr>
          <w:rFonts w:ascii="Bookman Old Style" w:hAnsi="Bookman Old Style"/>
          <w:b/>
          <w:sz w:val="22"/>
          <w:szCs w:val="22"/>
        </w:rPr>
        <w:t xml:space="preserve">Parágrafo 1. </w:t>
      </w:r>
      <w:r w:rsidRPr="00EC3BB2">
        <w:rPr>
          <w:rFonts w:ascii="Bookman Old Style" w:hAnsi="Bookman Old Style"/>
          <w:sz w:val="22"/>
          <w:szCs w:val="22"/>
        </w:rPr>
        <w:t xml:space="preserve">La capacidad de compra de cada distribuidor se calculará de acuerdo con la siguiente fórmula. </w:t>
      </w:r>
      <w:r w:rsidRPr="00EC3BB2">
        <w:rPr>
          <w:rFonts w:ascii="Bookman Old Style" w:hAnsi="Bookman Old Style"/>
          <w:b/>
          <w:sz w:val="22"/>
          <w:szCs w:val="22"/>
        </w:rPr>
        <w:t xml:space="preserve"> </w:t>
      </w:r>
    </w:p>
    <w:p w:rsidR="00EC3BB2" w:rsidRPr="00EC3BB2" w:rsidRDefault="00EC3BB2" w:rsidP="00EC3BB2">
      <w:pPr>
        <w:ind w:left="1272" w:hanging="705"/>
        <w:jc w:val="both"/>
        <w:rPr>
          <w:rFonts w:ascii="Bookman Old Style" w:hAnsi="Bookman Old Style" w:cs="Arial"/>
          <w:sz w:val="22"/>
          <w:szCs w:val="22"/>
        </w:rPr>
      </w:pPr>
    </w:p>
    <w:p w:rsidR="00EC3BB2" w:rsidRPr="00BA5F8E" w:rsidRDefault="003F7533" w:rsidP="00EC3BB2">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EC3BB2" w:rsidRPr="00EC3BB2" w:rsidRDefault="00EC3BB2" w:rsidP="00EC3BB2">
      <w:pPr>
        <w:ind w:left="1272" w:hanging="705"/>
        <w:jc w:val="both"/>
        <w:rPr>
          <w:rFonts w:ascii="Bookman Old Style" w:hAnsi="Bookman Old Style" w:cs="Arial"/>
          <w:sz w:val="22"/>
          <w:szCs w:val="22"/>
        </w:rPr>
      </w:pPr>
    </w:p>
    <w:tbl>
      <w:tblPr>
        <w:tblW w:w="0" w:type="auto"/>
        <w:tblInd w:w="1272" w:type="dxa"/>
        <w:tblLook w:val="04A0" w:firstRow="1" w:lastRow="0" w:firstColumn="1" w:lastColumn="0" w:noHBand="0" w:noVBand="1"/>
      </w:tblPr>
      <w:tblGrid>
        <w:gridCol w:w="1269"/>
        <w:gridCol w:w="6815"/>
      </w:tblGrid>
      <w:tr w:rsidR="00EC3BB2" w:rsidRPr="005217A1" w:rsidTr="005217A1">
        <w:tc>
          <w:tcPr>
            <w:tcW w:w="1271" w:type="dxa"/>
            <w:shd w:val="clear" w:color="auto" w:fill="auto"/>
          </w:tcPr>
          <w:p w:rsidR="00EC3BB2" w:rsidRPr="005217A1" w:rsidRDefault="003F7533" w:rsidP="005217A1">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EC3BB2" w:rsidRPr="005217A1" w:rsidTr="005217A1">
        <w:tc>
          <w:tcPr>
            <w:tcW w:w="1271" w:type="dxa"/>
            <w:shd w:val="clear" w:color="auto" w:fill="auto"/>
          </w:tcPr>
          <w:p w:rsidR="00EC3BB2" w:rsidRPr="005217A1" w:rsidRDefault="003F7533" w:rsidP="005217A1">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Factor de equivalencia de envasado en cilindros y tanques estacionarios, corresponde a: 0,3.</w:t>
            </w:r>
          </w:p>
        </w:tc>
      </w:tr>
      <w:tr w:rsidR="00EC3BB2" w:rsidRPr="005217A1" w:rsidTr="005217A1">
        <w:tc>
          <w:tcPr>
            <w:tcW w:w="1271" w:type="dxa"/>
            <w:shd w:val="clear" w:color="auto" w:fill="auto"/>
          </w:tcPr>
          <w:p w:rsidR="00EC3BB2" w:rsidRPr="005217A1" w:rsidRDefault="00BA5F8E" w:rsidP="005217A1">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envase en cilindros de propiedad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271" w:type="dxa"/>
            <w:shd w:val="clear" w:color="auto" w:fill="auto"/>
          </w:tcPr>
          <w:p w:rsidR="00EC3BB2" w:rsidRPr="005217A1" w:rsidRDefault="00BA5F8E"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bl>
    <w:p w:rsidR="00EC3BB2" w:rsidRPr="00EC3BB2" w:rsidRDefault="00EC3BB2" w:rsidP="00EC3BB2">
      <w:pPr>
        <w:ind w:left="1272" w:hanging="705"/>
        <w:jc w:val="both"/>
        <w:rPr>
          <w:rFonts w:ascii="Bookman Old Style" w:hAnsi="Bookman Old Style" w:cs="Arial"/>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2.</w:t>
      </w:r>
      <w:r w:rsidRPr="00EC3BB2">
        <w:rPr>
          <w:rFonts w:ascii="Bookman Old Style" w:hAnsi="Bookman Old Style" w:cs="Arial"/>
          <w:sz w:val="22"/>
          <w:szCs w:val="22"/>
        </w:rPr>
        <w:t xml:space="preserve"> La capacidad total de envase en cilindros, de propiedad del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BA5F8E" w:rsidRDefault="00BA5F8E" w:rsidP="00EC3BB2">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EC3BB2" w:rsidRPr="00EC3BB2" w:rsidRDefault="00EC3BB2" w:rsidP="00EC3BB2">
      <w:pPr>
        <w:ind w:left="709" w:firstLine="566"/>
        <w:jc w:val="both"/>
        <w:rPr>
          <w:rFonts w:ascii="Bookman Old Style" w:hAnsi="Bookman Old Style"/>
          <w:sz w:val="22"/>
          <w:szCs w:val="22"/>
        </w:rPr>
      </w:pPr>
      <w:proofErr w:type="gramStart"/>
      <w:r w:rsidRPr="00EC3BB2">
        <w:rPr>
          <w:rFonts w:ascii="Bookman Old Style" w:hAnsi="Bookman Old Style"/>
          <w:sz w:val="22"/>
          <w:szCs w:val="22"/>
        </w:rPr>
        <w:t>donde</w:t>
      </w:r>
      <w:proofErr w:type="gramEnd"/>
      <w:r w:rsidRPr="00EC3BB2">
        <w:rPr>
          <w:rFonts w:ascii="Bookman Old Style" w:hAnsi="Bookman Old Style"/>
          <w:sz w:val="22"/>
          <w:szCs w:val="22"/>
        </w:rPr>
        <w:t>,</w:t>
      </w:r>
    </w:p>
    <w:tbl>
      <w:tblPr>
        <w:tblW w:w="8080" w:type="dxa"/>
        <w:tblInd w:w="1242" w:type="dxa"/>
        <w:tblLook w:val="04A0" w:firstRow="1" w:lastRow="0" w:firstColumn="1" w:lastColumn="0" w:noHBand="0" w:noVBand="1"/>
      </w:tblPr>
      <w:tblGrid>
        <w:gridCol w:w="1659"/>
        <w:gridCol w:w="6421"/>
      </w:tblGrid>
      <w:tr w:rsidR="00EC3BB2" w:rsidRPr="005217A1" w:rsidTr="005217A1">
        <w:trPr>
          <w:trHeight w:val="966"/>
        </w:trPr>
        <w:tc>
          <w:tcPr>
            <w:tcW w:w="1659" w:type="dxa"/>
            <w:shd w:val="clear" w:color="auto" w:fill="auto"/>
            <w:hideMark/>
          </w:tcPr>
          <w:p w:rsidR="00EC3BB2" w:rsidRPr="005217A1" w:rsidRDefault="00BA5F8E" w:rsidP="005217A1">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00EC3BB2" w:rsidRPr="005217A1">
              <w:rPr>
                <w:rFonts w:ascii="Bookman Old Style" w:hAnsi="Bookman Old Style"/>
                <w:sz w:val="22"/>
                <w:szCs w:val="22"/>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rPr>
              <w:t>Capacidad total de envase en cilindros de propiedad del distribuidor i, en el periodo t, medida en kilogramos, registrado en el SUI.</w:t>
            </w:r>
          </w:p>
        </w:tc>
      </w:tr>
      <w:tr w:rsidR="00EC3BB2" w:rsidRPr="005217A1" w:rsidTr="005217A1">
        <w:trPr>
          <w:trHeight w:val="1359"/>
        </w:trPr>
        <w:tc>
          <w:tcPr>
            <w:tcW w:w="1659" w:type="dxa"/>
            <w:shd w:val="clear" w:color="auto" w:fill="auto"/>
            <w:hideMark/>
          </w:tcPr>
          <w:p w:rsidR="00EC3BB2" w:rsidRPr="005217A1" w:rsidRDefault="00BA5F8E" w:rsidP="005217A1">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00EC3BB2" w:rsidRPr="005217A1">
              <w:rPr>
                <w:rFonts w:ascii="Bookman Old Style" w:hAnsi="Bookman Old Style"/>
                <w:sz w:val="22"/>
                <w:szCs w:val="22"/>
                <w:lang w:val="es-CO"/>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EC3BB2" w:rsidRPr="00EC3BB2" w:rsidRDefault="00EC3BB2" w:rsidP="00EC3BB2">
      <w:pPr>
        <w:ind w:left="2694" w:hanging="2127"/>
        <w:jc w:val="both"/>
        <w:rPr>
          <w:rFonts w:ascii="Bookman Old Style" w:hAnsi="Bookman Old Style"/>
          <w:sz w:val="22"/>
          <w:szCs w:val="22"/>
        </w:rPr>
      </w:pPr>
    </w:p>
    <w:p w:rsidR="00EC3BB2" w:rsidRPr="00BA5F8E" w:rsidRDefault="00BA5F8E"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EC3BB2" w:rsidRPr="00EC3BB2" w:rsidRDefault="00EC3BB2" w:rsidP="00EC3BB2">
      <w:pPr>
        <w:ind w:left="2694" w:hanging="2127"/>
        <w:jc w:val="both"/>
        <w:rPr>
          <w:rFonts w:ascii="Bookman Old Style" w:hAnsi="Bookman Old Style"/>
          <w:iCs/>
          <w:sz w:val="22"/>
          <w:szCs w:val="22"/>
        </w:rPr>
      </w:pPr>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EC3BB2" w:rsidRPr="00EC3BB2" w:rsidTr="00967468">
        <w:trPr>
          <w:trHeight w:val="1359"/>
        </w:trPr>
        <w:tc>
          <w:tcPr>
            <w:tcW w:w="1418" w:type="dxa"/>
            <w:shd w:val="clear" w:color="auto" w:fill="auto"/>
            <w:tcMar>
              <w:top w:w="15" w:type="dxa"/>
              <w:left w:w="108" w:type="dxa"/>
              <w:bottom w:w="0" w:type="dxa"/>
              <w:right w:w="108" w:type="dxa"/>
            </w:tcMar>
            <w:hideMark/>
          </w:tcPr>
          <w:p w:rsidR="00EC3BB2" w:rsidRPr="00EC3BB2" w:rsidRDefault="00BA5F8E"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EC3BB2">
              <w:rPr>
                <w:rFonts w:ascii="Bookman Old Style" w:hAnsi="Bookman Old Style"/>
                <w:color w:val="000000"/>
                <w:kern w:val="24"/>
                <w:sz w:val="22"/>
                <w:szCs w:val="22"/>
                <w:lang w:val="es-CO" w:eastAsia="es-CO"/>
              </w:rPr>
              <w:t>registrada desde el 2008 hasta octubre de 2012, por AIC proyectos y</w:t>
            </w:r>
            <w:r w:rsidRPr="00EC3BB2">
              <w:rPr>
                <w:rFonts w:ascii="Bookman Old Style" w:hAnsi="Bookman Old Style" w:cs="Arial"/>
                <w:color w:val="000000"/>
                <w:kern w:val="24"/>
                <w:sz w:val="22"/>
                <w:szCs w:val="22"/>
                <w:lang w:eastAsia="es-CO"/>
              </w:rPr>
              <w:t xml:space="preserve"> publicada en el SUI.</w:t>
            </w:r>
          </w:p>
        </w:tc>
      </w:tr>
      <w:tr w:rsidR="00EC3BB2" w:rsidRPr="00EC3BB2" w:rsidTr="00967468">
        <w:trPr>
          <w:trHeight w:val="1021"/>
        </w:trPr>
        <w:tc>
          <w:tcPr>
            <w:tcW w:w="1418" w:type="dxa"/>
            <w:shd w:val="clear" w:color="auto" w:fill="auto"/>
            <w:tcMar>
              <w:top w:w="15" w:type="dxa"/>
              <w:left w:w="108" w:type="dxa"/>
              <w:bottom w:w="0" w:type="dxa"/>
              <w:right w:w="108" w:type="dxa"/>
            </w:tcMar>
            <w:hideMark/>
          </w:tcPr>
          <w:p w:rsidR="00EC3BB2" w:rsidRPr="00EC3BB2" w:rsidRDefault="00BA5F8E"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Lb</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524"/>
        </w:trPr>
        <w:tc>
          <w:tcPr>
            <w:tcW w:w="1418" w:type="dxa"/>
            <w:shd w:val="clear" w:color="auto" w:fill="auto"/>
            <w:tcMar>
              <w:top w:w="15" w:type="dxa"/>
              <w:left w:w="108" w:type="dxa"/>
              <w:bottom w:w="0" w:type="dxa"/>
              <w:right w:w="108" w:type="dxa"/>
            </w:tcMar>
            <w:hideMark/>
          </w:tcPr>
          <w:p w:rsidR="00EC3BB2" w:rsidRPr="00EC3BB2" w:rsidRDefault="00BA5F8E" w:rsidP="00EC3BB2">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Cantidad de kilogramos por libras americanas, de acuerdo con la NTC 3853.  </w:t>
            </w:r>
          </w:p>
        </w:tc>
      </w:tr>
      <w:tr w:rsidR="00EC3BB2" w:rsidRPr="00EC3BB2" w:rsidTr="00967468">
        <w:trPr>
          <w:trHeight w:val="416"/>
        </w:trPr>
        <w:tc>
          <w:tcPr>
            <w:tcW w:w="1418" w:type="dxa"/>
            <w:shd w:val="clear" w:color="auto" w:fill="auto"/>
            <w:tcMar>
              <w:top w:w="15" w:type="dxa"/>
              <w:left w:w="108" w:type="dxa"/>
              <w:bottom w:w="0" w:type="dxa"/>
              <w:right w:w="108" w:type="dxa"/>
            </w:tcMar>
            <w:hideMark/>
          </w:tcPr>
          <w:p w:rsidR="00EC3BB2" w:rsidRPr="00EC3BB2" w:rsidRDefault="00BA5F8E"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EC3BB2" w:rsidRPr="00EC3BB2" w:rsidTr="00967468">
        <w:trPr>
          <w:trHeight w:val="1021"/>
        </w:trPr>
        <w:tc>
          <w:tcPr>
            <w:tcW w:w="2040" w:type="dxa"/>
            <w:shd w:val="clear" w:color="auto" w:fill="auto"/>
            <w:tcMar>
              <w:top w:w="15" w:type="dxa"/>
              <w:left w:w="108" w:type="dxa"/>
              <w:bottom w:w="0" w:type="dxa"/>
              <w:right w:w="108" w:type="dxa"/>
            </w:tcMar>
            <w:hideMark/>
          </w:tcPr>
          <w:p w:rsidR="00EC3BB2" w:rsidRPr="00EC3BB2" w:rsidRDefault="00BA5F8E"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00EC3BB2" w:rsidRPr="00EC3BB2">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EC3BB2">
              <w:rPr>
                <w:rFonts w:ascii="Bookman Old Style" w:hAnsi="Bookman Old Style"/>
                <w:color w:val="000000"/>
                <w:kern w:val="24"/>
                <w:sz w:val="22"/>
                <w:szCs w:val="22"/>
                <w:lang w:val="es-CO" w:eastAsia="es-CO"/>
              </w:rPr>
              <w:t>, definida de la siguiente forma:</w:t>
            </w:r>
          </w:p>
        </w:tc>
      </w:tr>
    </w:tbl>
    <w:p w:rsidR="00EC3BB2" w:rsidRPr="00BA5F8E" w:rsidRDefault="00BA5F8E"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EC3BB2" w:rsidRPr="00EC3BB2" w:rsidTr="00967468">
        <w:trPr>
          <w:trHeight w:val="1359"/>
        </w:trPr>
        <w:tc>
          <w:tcPr>
            <w:tcW w:w="1276" w:type="dxa"/>
            <w:shd w:val="clear" w:color="auto" w:fill="auto"/>
            <w:tcMar>
              <w:top w:w="15" w:type="dxa"/>
              <w:left w:w="108" w:type="dxa"/>
              <w:bottom w:w="0" w:type="dxa"/>
              <w:right w:w="108" w:type="dxa"/>
            </w:tcMar>
            <w:hideMark/>
          </w:tcPr>
          <w:p w:rsidR="00EC3BB2" w:rsidRPr="00EC3BB2" w:rsidRDefault="00BA5F8E"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EC3BB2">
              <w:rPr>
                <w:rFonts w:ascii="Bookman Old Style" w:hAnsi="Bookman Old Style"/>
                <w:color w:val="000000"/>
                <w:kern w:val="24"/>
                <w:sz w:val="22"/>
                <w:szCs w:val="22"/>
                <w:lang w:val="es-CO" w:eastAsia="es-CO"/>
              </w:rPr>
              <w:t>registrada al SUI desde noviembre de 2012 hasta la fecha</w:t>
            </w:r>
            <w:r w:rsidRPr="00EC3BB2">
              <w:rPr>
                <w:rFonts w:ascii="Bookman Old Style" w:hAnsi="Bookman Old Style" w:cs="Arial"/>
                <w:color w:val="000000"/>
                <w:kern w:val="24"/>
                <w:sz w:val="22"/>
                <w:szCs w:val="22"/>
                <w:lang w:eastAsia="es-CO"/>
              </w:rPr>
              <w:t>.</w:t>
            </w:r>
          </w:p>
        </w:tc>
      </w:tr>
      <w:tr w:rsidR="00EC3BB2" w:rsidRPr="00EC3BB2" w:rsidTr="00967468">
        <w:trPr>
          <w:trHeight w:val="1021"/>
        </w:trPr>
        <w:tc>
          <w:tcPr>
            <w:tcW w:w="1276" w:type="dxa"/>
            <w:shd w:val="clear" w:color="auto" w:fill="auto"/>
            <w:tcMar>
              <w:top w:w="15" w:type="dxa"/>
              <w:left w:w="108" w:type="dxa"/>
              <w:bottom w:w="0" w:type="dxa"/>
              <w:right w:w="108" w:type="dxa"/>
            </w:tcMar>
            <w:hideMark/>
          </w:tcPr>
          <w:p w:rsidR="00EC3BB2" w:rsidRPr="00EC3BB2" w:rsidRDefault="00BA5F8E"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Kg</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416"/>
        </w:trPr>
        <w:tc>
          <w:tcPr>
            <w:tcW w:w="1276" w:type="dxa"/>
            <w:shd w:val="clear" w:color="auto" w:fill="auto"/>
            <w:tcMar>
              <w:top w:w="15" w:type="dxa"/>
              <w:left w:w="108" w:type="dxa"/>
              <w:bottom w:w="0" w:type="dxa"/>
              <w:right w:w="108" w:type="dxa"/>
            </w:tcMar>
            <w:hideMark/>
          </w:tcPr>
          <w:p w:rsidR="00EC3BB2" w:rsidRPr="00EC3BB2" w:rsidRDefault="00BA5F8E"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3.</w:t>
      </w:r>
      <w:r w:rsidRPr="00EC3BB2">
        <w:rPr>
          <w:rFonts w:ascii="Bookman Old Style" w:hAnsi="Bookman Old Style" w:cs="Arial"/>
          <w:sz w:val="22"/>
          <w:szCs w:val="22"/>
        </w:rPr>
        <w:t xml:space="preserve"> La capacidad total de tanques estacionarios atendidos por 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BA5F8E" w:rsidRDefault="00BA5F8E" w:rsidP="00EC3BB2">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sz w:val="22"/>
          <w:szCs w:val="22"/>
        </w:rPr>
        <w:t xml:space="preserve">Donde, </w:t>
      </w:r>
    </w:p>
    <w:tbl>
      <w:tblPr>
        <w:tblW w:w="0" w:type="auto"/>
        <w:tblInd w:w="1242" w:type="dxa"/>
        <w:tblLook w:val="04A0" w:firstRow="1" w:lastRow="0" w:firstColumn="1" w:lastColumn="0" w:noHBand="0" w:noVBand="1"/>
      </w:tblPr>
      <w:tblGrid>
        <w:gridCol w:w="1413"/>
        <w:gridCol w:w="6701"/>
      </w:tblGrid>
      <w:tr w:rsidR="00EC3BB2" w:rsidRPr="005217A1" w:rsidTr="005217A1">
        <w:tc>
          <w:tcPr>
            <w:tcW w:w="1418" w:type="dxa"/>
            <w:shd w:val="clear" w:color="auto" w:fill="auto"/>
          </w:tcPr>
          <w:p w:rsidR="00EC3BB2" w:rsidRPr="005217A1" w:rsidRDefault="00BA5F8E"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418" w:type="dxa"/>
            <w:shd w:val="clear" w:color="auto" w:fill="auto"/>
          </w:tcPr>
          <w:p w:rsidR="00EC3BB2" w:rsidRPr="005217A1" w:rsidRDefault="00BA5F8E" w:rsidP="005217A1">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sz w:val="22"/>
                <w:szCs w:val="22"/>
              </w:rPr>
              <w:t xml:space="preserve">Capacidad de cada uno de los tanques estacionarios atendidos por el distribuidor </w:t>
            </w:r>
            <w:r w:rsidRPr="005217A1">
              <w:rPr>
                <w:rFonts w:ascii="Bookman Old Style" w:hAnsi="Bookman Old Style"/>
                <w:i/>
                <w:sz w:val="22"/>
                <w:szCs w:val="22"/>
              </w:rPr>
              <w:t>i</w:t>
            </w:r>
            <w:r w:rsidRPr="005217A1">
              <w:rPr>
                <w:rFonts w:ascii="Bookman Old Style" w:hAnsi="Bookman Old Style"/>
                <w:sz w:val="22"/>
                <w:szCs w:val="22"/>
              </w:rPr>
              <w:t>, galones, de acuerdo con la información publicada en el SUI.</w:t>
            </w:r>
          </w:p>
        </w:tc>
      </w:tr>
      <w:tr w:rsidR="00EC3BB2" w:rsidRPr="005217A1" w:rsidTr="005217A1">
        <w:tc>
          <w:tcPr>
            <w:tcW w:w="1418" w:type="dxa"/>
            <w:shd w:val="clear" w:color="auto" w:fill="auto"/>
          </w:tcPr>
          <w:p w:rsidR="00EC3BB2" w:rsidRPr="005217A1" w:rsidRDefault="00BA5F8E" w:rsidP="005217A1">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Número de tanques estacionarios atendidos por 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con una capacidad </w:t>
            </w:r>
            <w:r w:rsidRPr="005217A1">
              <w:rPr>
                <w:rFonts w:ascii="Bookman Old Style" w:hAnsi="Bookman Old Style" w:cs="Arial"/>
                <w:i/>
                <w:sz w:val="22"/>
                <w:szCs w:val="22"/>
              </w:rPr>
              <w:t>CV</w:t>
            </w:r>
            <w:r w:rsidRPr="005217A1">
              <w:rPr>
                <w:rFonts w:ascii="Bookman Old Style" w:hAnsi="Bookman Old Style" w:cs="Arial"/>
                <w:sz w:val="22"/>
                <w:szCs w:val="22"/>
              </w:rPr>
              <w:t xml:space="preserve">, de acuerdo con la información reportada al SUI. </w:t>
            </w:r>
          </w:p>
        </w:tc>
      </w:tr>
      <w:tr w:rsidR="00EC3BB2" w:rsidRPr="005217A1" w:rsidTr="005217A1">
        <w:tc>
          <w:tcPr>
            <w:tcW w:w="1418" w:type="dxa"/>
            <w:shd w:val="clear" w:color="auto" w:fill="auto"/>
          </w:tcPr>
          <w:p w:rsidR="00EC3BB2" w:rsidRPr="005217A1" w:rsidRDefault="00BA5F8E" w:rsidP="005217A1">
            <w:pPr>
              <w:ind w:left="0"/>
              <w:jc w:val="both"/>
              <w:rPr>
                <w:rFonts w:ascii="Bookman Old Style" w:hAnsi="Bookman Old Style" w:cs="Arial"/>
                <w:sz w:val="22"/>
                <w:szCs w:val="22"/>
              </w:rPr>
            </w:pPr>
            <m:oMath>
              <m:r>
                <w:rPr>
                  <w:rFonts w:ascii="Cambria Math" w:hAnsi="Cambria Math" w:cs="Arial"/>
                  <w:sz w:val="22"/>
                  <w:szCs w:val="22"/>
                </w:rPr>
                <m:t>2,10</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Factor de conversión kilogramos por galón. </w:t>
            </w:r>
          </w:p>
        </w:tc>
      </w:tr>
      <w:tr w:rsidR="00EC3BB2" w:rsidRPr="005217A1" w:rsidTr="005217A1">
        <w:trPr>
          <w:trHeight w:val="356"/>
        </w:trPr>
        <w:tc>
          <w:tcPr>
            <w:tcW w:w="1418" w:type="dxa"/>
            <w:shd w:val="clear" w:color="auto" w:fill="auto"/>
          </w:tcPr>
          <w:p w:rsidR="00EC3BB2" w:rsidRPr="005217A1" w:rsidRDefault="00BA5F8E" w:rsidP="005217A1">
            <w:pPr>
              <w:ind w:left="708" w:hanging="708"/>
              <w:jc w:val="both"/>
              <w:rPr>
                <w:rFonts w:ascii="Bookman Old Style" w:hAnsi="Bookman Old Style" w:cs="Arial"/>
                <w:sz w:val="22"/>
                <w:szCs w:val="22"/>
              </w:rPr>
            </w:pPr>
            <m:oMath>
              <m:r>
                <w:rPr>
                  <w:rFonts w:ascii="Cambria Math" w:hAnsi="Cambria Math" w:cs="Arial"/>
                  <w:sz w:val="22"/>
                  <w:szCs w:val="22"/>
                </w:rPr>
                <m:t>6</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Número de meses del periodo de compra.</w:t>
            </w:r>
          </w:p>
        </w:tc>
      </w:tr>
    </w:tbl>
    <w:p w:rsidR="00EC3BB2" w:rsidRPr="00EC3BB2" w:rsidRDefault="00EC3BB2" w:rsidP="00EC3BB2">
      <w:pPr>
        <w:jc w:val="both"/>
        <w:rPr>
          <w:rFonts w:ascii="Bookman Old Style" w:hAnsi="Bookman Old Style" w:cs="Arial"/>
          <w:b/>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4.</w:t>
      </w:r>
      <w:r w:rsidRPr="00EC3BB2">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EC3BB2" w:rsidRPr="00EC3BB2" w:rsidRDefault="00EC3BB2" w:rsidP="00EC3BB2">
      <w:pPr>
        <w:ind w:right="142"/>
        <w:jc w:val="both"/>
        <w:rPr>
          <w:rFonts w:ascii="Bookman Old Style" w:hAnsi="Bookman Old Style" w:cs="Arial"/>
          <w:sz w:val="22"/>
          <w:szCs w:val="22"/>
        </w:rPr>
      </w:pPr>
    </w:p>
    <w:p w:rsidR="00EC3BB2" w:rsidRPr="00EC3BB2" w:rsidRDefault="00EC3BB2" w:rsidP="00EC3BB2">
      <w:pPr>
        <w:tabs>
          <w:tab w:val="left" w:pos="-720"/>
          <w:tab w:val="left" w:pos="1276"/>
        </w:tabs>
        <w:suppressAutoHyphens/>
        <w:overflowPunct w:val="0"/>
        <w:autoSpaceDE w:val="0"/>
        <w:jc w:val="both"/>
        <w:textAlignment w:val="baseline"/>
        <w:rPr>
          <w:rFonts w:ascii="Bookman Old Style" w:hAnsi="Bookman Old Style" w:cs="Arial"/>
          <w:szCs w:val="20"/>
        </w:rPr>
      </w:pPr>
      <w:r w:rsidRPr="00EC3BB2">
        <w:rPr>
          <w:rFonts w:ascii="Bookman Old Style" w:hAnsi="Bookman Old Style" w:cs="Arial"/>
          <w:b/>
          <w:sz w:val="22"/>
          <w:szCs w:val="22"/>
        </w:rPr>
        <w:t xml:space="preserve">Parágrafo 5. </w:t>
      </w:r>
      <w:r w:rsidRPr="00EC3BB2">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 acuerdo con lo dispuesto en esta norma, se estableció el concepto de “capacidad disponible de compra”, el cual corresponde a la cantidad total de GLP, medida en kilogramos, que puede comprar un distribuidor en el mercado mayorista, durante lo que resta del periodo de compra. Así mismo, este “período de compra” ha sido definido como el periodo de 6 meses que inicia un primero (1) de julio de cada año y terminará el treinta y uno (31) de diciembre del mismo año o aquel que inicia un primero (1) de enero de cada año y termina el treinta (30) del mismo año”.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lo anterior, el artículo 9 de la Resolución CREG 063 de 2016 estableció que:</w:t>
      </w:r>
    </w:p>
    <w:p w:rsidR="00EC3BB2" w:rsidRPr="00EC3BB2" w:rsidRDefault="00EC3BB2" w:rsidP="00EC3BB2">
      <w:pPr>
        <w:ind w:left="0"/>
        <w:jc w:val="both"/>
        <w:rPr>
          <w:rFonts w:ascii="Arial" w:eastAsia="MS Mincho" w:hAnsi="Arial" w:cs="Arial"/>
          <w:sz w:val="22"/>
          <w:szCs w:val="22"/>
          <w:lang w:val="es-CO" w:eastAsia="en-US"/>
        </w:rPr>
      </w:pPr>
    </w:p>
    <w:p w:rsidR="00EC3BB2" w:rsidRPr="00AC20F9" w:rsidRDefault="00EC3BB2" w:rsidP="00AC20F9">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rPr>
      </w:pPr>
      <w:r w:rsidRPr="00EA1547">
        <w:rPr>
          <w:rFonts w:ascii="Bookman Old Style" w:hAnsi="Bookman Old Style" w:cs="Arial"/>
          <w:b/>
          <w:sz w:val="22"/>
          <w:szCs w:val="22"/>
        </w:rPr>
        <w:t xml:space="preserve">“Artículo 9. Determinación y publicación de información. </w:t>
      </w:r>
      <w:r w:rsidRPr="00EA1547">
        <w:rPr>
          <w:rFonts w:ascii="Bookman Old Style" w:hAnsi="Bookman Old Style" w:cs="Arial"/>
          <w:sz w:val="22"/>
          <w:szCs w:val="22"/>
        </w:rPr>
        <w:t xml:space="preserve">Atendiendo lo dispuesto en el artículo anterior, </w:t>
      </w:r>
      <w:r w:rsidRPr="00EA1547">
        <w:rPr>
          <w:rFonts w:ascii="Bookman Old Style" w:hAnsi="Bookman Old Style" w:cs="Arial"/>
          <w:b/>
          <w:sz w:val="22"/>
          <w:szCs w:val="22"/>
          <w:u w:val="single"/>
        </w:rPr>
        <w:t>la CREG determinará</w:t>
      </w:r>
      <w:r w:rsidRPr="00EA1547">
        <w:rPr>
          <w:rFonts w:ascii="Bookman Old Style" w:hAnsi="Bookman Old Style" w:cs="Arial"/>
          <w:sz w:val="22"/>
          <w:szCs w:val="22"/>
        </w:rPr>
        <w:t xml:space="preserve"> y publicará, por lo menos con un (1) mes de anterioridad al inicio del periodo de compra, la capacidad de compra de cada distribuidor, </w:t>
      </w:r>
      <w:r w:rsidRPr="00EA1547">
        <w:rPr>
          <w:rFonts w:ascii="Bookman Old Style" w:hAnsi="Bookman Old Style" w:cs="Arial"/>
          <w:b/>
          <w:sz w:val="22"/>
          <w:szCs w:val="22"/>
          <w:u w:val="single"/>
        </w:rPr>
        <w:t xml:space="preserve">con información reportada al SUI, hasta el </w:t>
      </w:r>
      <w:r w:rsidR="00AC20F9">
        <w:rPr>
          <w:rFonts w:ascii="Bookman Old Style" w:hAnsi="Bookman Old Style" w:cs="Arial"/>
          <w:b/>
          <w:sz w:val="22"/>
          <w:szCs w:val="22"/>
          <w:u w:val="single"/>
        </w:rPr>
        <w:t xml:space="preserve">día 10 del mes correspondiente. </w:t>
      </w:r>
      <w:r w:rsidRPr="00EA1547">
        <w:rPr>
          <w:rFonts w:ascii="Bookman Old Style" w:hAnsi="Bookman Old Style" w:cs="Arial"/>
          <w:sz w:val="22"/>
          <w:szCs w:val="22"/>
          <w:lang w:val="es-ES_tradnl" w:eastAsia="ar-SA"/>
        </w:rPr>
        <w:t xml:space="preserve">(…)” </w:t>
      </w:r>
    </w:p>
    <w:p w:rsidR="00EC3BB2" w:rsidRPr="00EC3BB2" w:rsidRDefault="00EC3BB2" w:rsidP="00EC3BB2">
      <w:pPr>
        <w:tabs>
          <w:tab w:val="left" w:pos="-720"/>
          <w:tab w:val="left" w:pos="1276"/>
        </w:tabs>
        <w:suppressAutoHyphens/>
        <w:overflowPunct w:val="0"/>
        <w:autoSpaceDE w:val="0"/>
        <w:ind w:left="0" w:right="284"/>
        <w:jc w:val="both"/>
        <w:textAlignment w:val="baseline"/>
        <w:rPr>
          <w:rFonts w:ascii="Arial" w:hAnsi="Arial" w:cs="Arial"/>
          <w:sz w:val="22"/>
          <w:szCs w:val="22"/>
          <w:lang w:val="es-ES_tradnl" w:eastAsia="ar-SA"/>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Arial" w:hAnsi="Arial" w:cs="Arial"/>
          <w:i/>
          <w:color w:val="000000"/>
          <w:sz w:val="22"/>
          <w:szCs w:val="22"/>
          <w:lang w:val="es-CO" w:eastAsia="es-CO"/>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i/>
          <w:color w:val="000000"/>
          <w:sz w:val="22"/>
          <w:szCs w:val="22"/>
          <w:lang w:val="es-CO" w:eastAsia="es-CO"/>
        </w:rPr>
        <w:t>"</w:t>
      </w:r>
      <w:r w:rsidRPr="00EA1547">
        <w:rPr>
          <w:rFonts w:ascii="Bookman Old Style" w:hAnsi="Bookman Old Style" w:cs="Arial"/>
          <w:b/>
          <w:sz w:val="22"/>
          <w:szCs w:val="22"/>
          <w:lang w:val="es-ES_tradnl" w:eastAsia="ar-SA"/>
        </w:rPr>
        <w:t xml:space="preserve">Artículo nuevo. </w:t>
      </w:r>
      <w:r w:rsidRPr="00553850">
        <w:rPr>
          <w:rFonts w:ascii="Bookman Old Style" w:hAnsi="Bookman Old Style" w:cs="Arial"/>
          <w:sz w:val="22"/>
          <w:szCs w:val="22"/>
          <w:lang w:val="es-ES_tradnl" w:eastAsia="ar-SA"/>
        </w:rPr>
        <w:t>Del sistema único de información. Corresponde a la Superintendencia de Servicios Públicos Domiciliarios, en desarrollo de sus funciones de inspección y vigilancia, establecer, administrar, mantener y operar</w:t>
      </w:r>
      <w:r w:rsidRPr="00EA1547">
        <w:rPr>
          <w:rFonts w:ascii="Bookman Old Style" w:hAnsi="Bookman Old Style" w:cs="Arial"/>
          <w:b/>
          <w:sz w:val="22"/>
          <w:szCs w:val="22"/>
          <w:lang w:val="es-ES_tradnl" w:eastAsia="ar-SA"/>
        </w:rPr>
        <w:t xml:space="preserve"> </w:t>
      </w:r>
      <w:r w:rsidRPr="00EA1547">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EA1547">
        <w:rPr>
          <w:rFonts w:ascii="Bookman Old Style" w:hAnsi="Bookman Old Style" w:cs="Arial"/>
          <w:b/>
          <w:sz w:val="22"/>
          <w:szCs w:val="22"/>
          <w:lang w:val="es-ES_tradnl" w:eastAsia="ar-SA"/>
        </w:rPr>
        <w:t xml:space="preserve"> </w:t>
      </w:r>
      <w:r w:rsidRPr="00EA1547">
        <w:rPr>
          <w:rFonts w:ascii="Bookman Old Style" w:hAnsi="Bookman Old Style" w:cs="Arial"/>
          <w:sz w:val="22"/>
          <w:szCs w:val="22"/>
          <w:lang w:val="es-ES_tradnl" w:eastAsia="ar-SA"/>
        </w:rPr>
        <w:t>para que su presentación al público sea confiable, conforme a lo establecido en el artículo 53 de la Ley 142 de 1994.</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lastRenderedPageBreak/>
        <w:t>1. Evitar la duplicidad de funciones en materia de información relativa a los servicios públicos.</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4. Apoyar las funciones asignadas a las Comisiones de Regulación.</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b/>
          <w:sz w:val="22"/>
          <w:szCs w:val="22"/>
          <w:lang w:val="es-ES_tradnl" w:eastAsia="ar-SA"/>
        </w:rPr>
        <w:t>Parágrafo 1°.</w:t>
      </w:r>
      <w:r w:rsidRPr="00EA1547">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 de la Superintendencia de Servicios Públicos Domiciliarios atendido lo dispuesto en el artículo 14 de la Ley 689 de 2001.  En este sentido, el artículo 3 de la Resolución CREG 177 dispuso lo siguiente:</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“Artículo 3. El numeral 8 del Artículo 6 de la Resolución CREG 023 de 2008, modificado por el artículo 4 de la Resolución CREG 165 de 2008, el cual establece las Obligaciones Generales del Distribuidor, quedará así:</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“8. Los Distribuidores deben llevar un registro pormenorizado de los cilindros marcados que van introduciendo al parque en las siguientes condiciones:</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a.</w:t>
      </w:r>
      <w:r w:rsidRPr="00EA1547">
        <w:rPr>
          <w:rFonts w:ascii="Bookman Old Style" w:hAnsi="Bookman Old Style" w:cs="Arial"/>
          <w:sz w:val="22"/>
          <w:szCs w:val="22"/>
          <w:lang w:val="es-ES_tradnl" w:eastAsia="ar-SA"/>
        </w:rPr>
        <w:tab/>
        <w:t>Mientras dure el Período de Transición y el Período de Cierre a través del sistema de información SICMA que debe llevar la Interventoría del esquema centralizado.</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b.</w:t>
      </w:r>
      <w:r w:rsidRPr="00EA1547">
        <w:rPr>
          <w:rFonts w:ascii="Bookman Old Style" w:hAnsi="Bookman Old Style" w:cs="Arial"/>
          <w:sz w:val="22"/>
          <w:szCs w:val="22"/>
          <w:lang w:val="es-ES_tradnl" w:eastAsia="ar-SA"/>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c.</w:t>
      </w:r>
      <w:r w:rsidRPr="00EA1547">
        <w:rPr>
          <w:rFonts w:ascii="Bookman Old Style" w:hAnsi="Bookman Old Style" w:cs="Arial"/>
          <w:sz w:val="22"/>
          <w:szCs w:val="22"/>
          <w:lang w:val="es-ES_tradnl" w:eastAsia="ar-SA"/>
        </w:rPr>
        <w:tab/>
        <w:t xml:space="preserve">Corresponde a la Interventoría del esquema centralizado crear el SICMA adecuando el sistema de información existente para que se realice adecuadamente </w:t>
      </w:r>
      <w:r w:rsidRPr="00EA1547">
        <w:rPr>
          <w:rFonts w:ascii="Bookman Old Style" w:hAnsi="Bookman Old Style" w:cs="Arial"/>
          <w:sz w:val="22"/>
          <w:szCs w:val="22"/>
          <w:lang w:val="es-ES_tradnl" w:eastAsia="ar-SA"/>
        </w:rPr>
        <w:lastRenderedPageBreak/>
        <w:t>el registro de los cilindros marcados y realizar la entrega total y en funcionamiento de éste al SUI una vez finalice el período de cierre.” (Resaltado fuera de texto)</w:t>
      </w:r>
    </w:p>
    <w:p w:rsidR="00EC3BB2" w:rsidRPr="00EC3BB2"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0"/>
          <w:szCs w:val="20"/>
          <w:lang w:val="es-ES_tradnl" w:eastAsia="ar-SA"/>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Teniendo en cuenta lo anterior, mediante Resolución SSPD 20141300040755 de 2014 de la Superintendencia de Servicios Públicos Domiciliarios se establecieron los plazos y formatos para el reporte de tal información al SUI, se utilizará dicha información para ejercer un control de los cilindros marcados que cada agente ha introducido al mercado para atender sus usuarios. Lo anterior, atendiendo la información de cilindros marcados de cada agente que debe reportar al SUI de conformidad de las resoluciones CREG 045 de 2008 y CREG 177 de 2011.</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Atendiendo esta disposición, la Comisión de Regulación de Energía y Gas mediante comunicación con radicado CREG S-2016-001811 de abril de 2016 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81562F">
        <w:rPr>
          <w:rFonts w:ascii="Bookman Old Style" w:hAnsi="Bookman Old Style" w:cs="Arial"/>
          <w:spacing w:val="-5"/>
          <w:vertAlign w:val="superscript"/>
          <w:lang w:val="es-CO" w:eastAsia="en-US"/>
        </w:rPr>
        <w:footnoteReference w:id="2"/>
      </w:r>
      <w:r w:rsidRPr="00EC3BB2">
        <w:rPr>
          <w:rFonts w:ascii="Bookman Old Style" w:hAnsi="Bookman Old Style" w:cs="Arial"/>
          <w:spacing w:val="-5"/>
          <w:lang w:val="es-CO" w:eastAsia="en-US"/>
        </w:rPr>
        <w:t>. Esta información fue remitida por parte de la Superintendencia de Servicios Públicos Domiciliarios y reposa en esta Entidad con el número de radicado CREG E-2016-005769 de 18 de mayo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La Comisión al contar con la información oficial, pertinente, necesaria y útil procedió a llevar a cabo el cálculo para la definición de la capacidad de compra a que hace referencia el artículo 8 de la Resolución CREG 063 de 2016, mediante las resoluciones CREG 075 y 089 de 2016. Los cálculos y la información que se tuvo en cuenta para la publicación de esta capacidad se encuentran consignados en los Anexos que hace parte de dichas resoluciones.</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Esta capacidad es aplicable a los distribuidores que, se encuentren reportando información en el SUI y/o se encuentren en el Registro Único de Prestadores de la Superintendencia de Servicios Públicos Domiciliarios que, directamente o representados por un comercializador mayorista, compran GLP, así como a comercializadores mayoristas que venden GLP a distribuidores, así como aquellos agentes que realizan la actividad de distribución de GLP en los términos de la </w:t>
      </w:r>
      <w:r w:rsidRPr="00EC3BB2">
        <w:rPr>
          <w:rFonts w:ascii="Bookman Old Style" w:hAnsi="Bookman Old Style" w:cs="Arial"/>
          <w:spacing w:val="-5"/>
          <w:lang w:val="es-CO" w:eastAsia="en-US"/>
        </w:rPr>
        <w:lastRenderedPageBreak/>
        <w:t>Resolución CREG 023 de 2008 o aquella que la modifique, derogue o sustituya y tiene efectos dentro de las actividades de comercialización mayorista y distribución de GLP, atendiendo lo dispuesto en la Resolución CREG 063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la Resolución CREG </w:t>
      </w:r>
      <w:r w:rsidR="00553850">
        <w:rPr>
          <w:rFonts w:ascii="Bookman Old Style" w:hAnsi="Bookman Old Style" w:cs="Arial"/>
          <w:spacing w:val="-5"/>
          <w:lang w:val="es-CO" w:eastAsia="en-US"/>
        </w:rPr>
        <w:t>075</w:t>
      </w:r>
      <w:r w:rsidRPr="00EC3BB2">
        <w:rPr>
          <w:rFonts w:ascii="Bookman Old Style" w:hAnsi="Bookman Old Style" w:cs="Arial"/>
          <w:spacing w:val="-5"/>
          <w:lang w:val="es-CO" w:eastAsia="en-US"/>
        </w:rPr>
        <w:t xml:space="preserve"> de 2016 se estableció en su artículo 1º lo siguiente:</w:t>
      </w:r>
    </w:p>
    <w:p w:rsidR="00EC3BB2" w:rsidRPr="00EC3BB2" w:rsidRDefault="00EC3BB2" w:rsidP="00EC3BB2">
      <w:pPr>
        <w:ind w:left="-142" w:right="-142"/>
        <w:jc w:val="both"/>
        <w:rPr>
          <w:rFonts w:ascii="Arial" w:eastAsia="MS Mincho" w:hAnsi="Arial" w:cs="Arial"/>
          <w:sz w:val="22"/>
          <w:szCs w:val="22"/>
          <w:lang w:eastAsia="en-US"/>
        </w:rPr>
      </w:pPr>
    </w:p>
    <w:p w:rsidR="00EC3BB2" w:rsidRPr="00EC3BB2" w:rsidRDefault="00EC3BB2" w:rsidP="00BD1622">
      <w:pPr>
        <w:ind w:left="284" w:right="284"/>
        <w:jc w:val="both"/>
        <w:rPr>
          <w:rFonts w:ascii="Bookman Old Style" w:hAnsi="Bookman Old Style" w:cs="Arial"/>
          <w:color w:val="000000"/>
          <w:sz w:val="20"/>
          <w:szCs w:val="20"/>
          <w:lang w:val="es-CO" w:eastAsia="es-CO"/>
        </w:rPr>
      </w:pPr>
      <w:r w:rsidRPr="00EC3BB2">
        <w:rPr>
          <w:rFonts w:ascii="Bookman Old Style" w:eastAsia="MS Mincho" w:hAnsi="Bookman Old Style" w:cs="Arial"/>
          <w:b/>
          <w:sz w:val="20"/>
          <w:szCs w:val="20"/>
          <w:lang w:eastAsia="en-US"/>
        </w:rPr>
        <w:t xml:space="preserve">“Artículo 1º. Capacidad de Compra: </w:t>
      </w:r>
      <w:r w:rsidRPr="00EC3BB2">
        <w:rPr>
          <w:rFonts w:ascii="Bookman Old Style" w:eastAsia="MS Mincho" w:hAnsi="Bookman Old Style" w:cs="Arial"/>
          <w:sz w:val="20"/>
          <w:szCs w:val="20"/>
          <w:lang w:eastAsia="en-US"/>
        </w:rPr>
        <w:t xml:space="preserve">La siguiente corresponde a la Capacidad de Compra </w:t>
      </w:r>
      <w:r w:rsidRPr="00BD1622">
        <w:rPr>
          <w:rFonts w:ascii="Bookman Old Style" w:hAnsi="Bookman Old Style" w:cs="Arial"/>
          <w:iCs/>
          <w:sz w:val="20"/>
          <w:szCs w:val="20"/>
          <w:lang w:val="es-CO" w:eastAsia="en-US"/>
        </w:rPr>
        <w:t>para cada uno de los códigos SUI de las empresas</w:t>
      </w:r>
      <w:r w:rsidRPr="00EC3BB2">
        <w:rPr>
          <w:rFonts w:ascii="Bookman Old Style" w:hAnsi="Bookman Old Style" w:cs="Arial"/>
          <w:color w:val="000000"/>
          <w:sz w:val="20"/>
          <w:szCs w:val="20"/>
          <w:lang w:val="es-CO" w:eastAsia="es-CO"/>
        </w:rPr>
        <w:t>:</w:t>
      </w:r>
    </w:p>
    <w:p w:rsidR="00EC3BB2" w:rsidRPr="00EC3BB2" w:rsidRDefault="00EC3BB2" w:rsidP="00BD1622">
      <w:pPr>
        <w:ind w:left="284" w:right="284"/>
        <w:jc w:val="both"/>
        <w:rPr>
          <w:rFonts w:ascii="Bookman Old Style" w:hAnsi="Bookman Old Style" w:cs="Arial"/>
          <w:color w:val="000000"/>
          <w:sz w:val="20"/>
          <w:szCs w:val="20"/>
          <w:lang w:val="es-CO" w:eastAsia="es-CO"/>
        </w:rPr>
      </w:pPr>
    </w:p>
    <w:tbl>
      <w:tblPr>
        <w:tblW w:w="8788" w:type="dxa"/>
        <w:jc w:val="center"/>
        <w:tblCellMar>
          <w:left w:w="70" w:type="dxa"/>
          <w:right w:w="70" w:type="dxa"/>
        </w:tblCellMar>
        <w:tblLook w:val="04A0" w:firstRow="1" w:lastRow="0" w:firstColumn="1" w:lastColumn="0" w:noHBand="0" w:noVBand="1"/>
      </w:tblPr>
      <w:tblGrid>
        <w:gridCol w:w="2268"/>
        <w:gridCol w:w="4111"/>
        <w:gridCol w:w="2409"/>
      </w:tblGrid>
      <w:tr w:rsidR="00EC3BB2" w:rsidRPr="00406B33" w:rsidTr="00EE0855">
        <w:trPr>
          <w:trHeight w:val="405"/>
          <w:tblHeader/>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3BB2" w:rsidRPr="00406B33" w:rsidRDefault="00EC3BB2" w:rsidP="00BD1622">
            <w:pPr>
              <w:ind w:left="284" w:right="284"/>
              <w:jc w:val="center"/>
              <w:rPr>
                <w:rFonts w:ascii="Bookman Old Style" w:hAnsi="Bookman Old Style" w:cs="Arial"/>
                <w:b/>
                <w:bCs/>
                <w:color w:val="000000"/>
                <w:sz w:val="20"/>
                <w:szCs w:val="20"/>
                <w:lang w:val="es-CO" w:eastAsia="es-CO"/>
              </w:rPr>
            </w:pPr>
            <w:r w:rsidRPr="00406B33">
              <w:rPr>
                <w:rFonts w:ascii="Bookman Old Style" w:hAnsi="Bookman Old Style" w:cs="Arial"/>
                <w:b/>
                <w:bCs/>
                <w:color w:val="000000"/>
                <w:sz w:val="20"/>
                <w:szCs w:val="20"/>
                <w:lang w:val="es-CO" w:eastAsia="es-CO"/>
              </w:rPr>
              <w:t>Código SUI</w:t>
            </w:r>
          </w:p>
        </w:tc>
        <w:tc>
          <w:tcPr>
            <w:tcW w:w="4111" w:type="dxa"/>
            <w:tcBorders>
              <w:top w:val="single" w:sz="4" w:space="0" w:color="auto"/>
              <w:left w:val="nil"/>
              <w:bottom w:val="single" w:sz="4" w:space="0" w:color="auto"/>
              <w:right w:val="single" w:sz="4" w:space="0" w:color="auto"/>
            </w:tcBorders>
            <w:shd w:val="clear" w:color="auto" w:fill="auto"/>
            <w:noWrap/>
            <w:vAlign w:val="center"/>
          </w:tcPr>
          <w:p w:rsidR="00EC3BB2" w:rsidRPr="00406B33" w:rsidRDefault="00EC3BB2" w:rsidP="00BD1622">
            <w:pPr>
              <w:ind w:left="284" w:right="284"/>
              <w:jc w:val="center"/>
              <w:rPr>
                <w:rFonts w:ascii="Bookman Old Style" w:hAnsi="Bookman Old Style" w:cs="Arial"/>
                <w:b/>
                <w:bCs/>
                <w:color w:val="000000"/>
                <w:sz w:val="20"/>
                <w:szCs w:val="20"/>
                <w:lang w:val="es-CO" w:eastAsia="es-CO"/>
              </w:rPr>
            </w:pPr>
            <w:r w:rsidRPr="00406B33">
              <w:rPr>
                <w:rFonts w:ascii="Bookman Old Style" w:hAnsi="Bookman Old Style" w:cs="Arial"/>
                <w:b/>
                <w:bCs/>
                <w:color w:val="000000"/>
                <w:sz w:val="20"/>
                <w:szCs w:val="20"/>
                <w:lang w:val="es-CO" w:eastAsia="es-CO"/>
              </w:rPr>
              <w:t>Agente</w:t>
            </w: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EC3BB2" w:rsidRPr="00406B33" w:rsidRDefault="00EC3BB2" w:rsidP="00BD1622">
            <w:pPr>
              <w:ind w:left="284" w:right="284"/>
              <w:jc w:val="center"/>
              <w:rPr>
                <w:rFonts w:ascii="Bookman Old Style" w:hAnsi="Bookman Old Style" w:cs="Arial"/>
                <w:b/>
                <w:bCs/>
                <w:color w:val="000000"/>
                <w:sz w:val="20"/>
                <w:szCs w:val="20"/>
                <w:lang w:val="es-CO" w:eastAsia="es-CO"/>
              </w:rPr>
            </w:pPr>
            <w:r w:rsidRPr="00406B33">
              <w:rPr>
                <w:rFonts w:ascii="Bookman Old Style" w:hAnsi="Bookman Old Style" w:cs="Arial"/>
                <w:b/>
                <w:bCs/>
                <w:color w:val="000000"/>
                <w:sz w:val="20"/>
                <w:szCs w:val="20"/>
                <w:lang w:val="es-CO" w:eastAsia="es-CO"/>
              </w:rPr>
              <w:t xml:space="preserve">Capacidad de compra </w:t>
            </w:r>
            <m:oMath>
              <m:r>
                <m:rPr>
                  <m:sty m:val="bi"/>
                </m:rPr>
                <w:rPr>
                  <w:rFonts w:ascii="Cambria Math" w:hAnsi="Cambria Math" w:cs="Arial"/>
                  <w:color w:val="000000"/>
                  <w:sz w:val="20"/>
                  <w:szCs w:val="20"/>
                  <w:lang w:val="es-CO" w:eastAsia="es-CO"/>
                </w:rPr>
                <m:t>C</m:t>
              </m:r>
              <m:sSub>
                <m:sSubPr>
                  <m:ctrlPr>
                    <w:rPr>
                      <w:rFonts w:ascii="Cambria Math" w:hAnsi="Cambria Math" w:cs="Arial"/>
                      <w:b/>
                      <w:bCs/>
                      <w:i/>
                      <w:iCs/>
                      <w:color w:val="000000"/>
                      <w:sz w:val="20"/>
                      <w:szCs w:val="20"/>
                      <w:lang w:val="es-CO" w:eastAsia="es-CO"/>
                    </w:rPr>
                  </m:ctrlPr>
                </m:sSubPr>
                <m:e>
                  <m:r>
                    <m:rPr>
                      <m:sty m:val="bi"/>
                    </m:rPr>
                    <w:rPr>
                      <w:rFonts w:ascii="Cambria Math" w:hAnsi="Cambria Math" w:cs="Arial"/>
                      <w:color w:val="000000"/>
                      <w:sz w:val="20"/>
                      <w:szCs w:val="20"/>
                      <w:lang w:val="es-CO" w:eastAsia="es-CO"/>
                    </w:rPr>
                    <m:t>C</m:t>
                  </m:r>
                </m:e>
                <m:sub>
                  <m:r>
                    <m:rPr>
                      <m:sty m:val="bi"/>
                    </m:rPr>
                    <w:rPr>
                      <w:rFonts w:ascii="Cambria Math" w:hAnsi="Cambria Math" w:cs="Arial"/>
                      <w:color w:val="000000"/>
                      <w:sz w:val="20"/>
                      <w:szCs w:val="20"/>
                      <w:lang w:val="es-CO" w:eastAsia="es-CO"/>
                    </w:rPr>
                    <m:t>i,t</m:t>
                  </m:r>
                </m:sub>
              </m:sSub>
            </m:oMath>
          </w:p>
        </w:tc>
      </w:tr>
      <w:tr w:rsidR="00043EB9" w:rsidRPr="00EE0855" w:rsidTr="00783B84">
        <w:trPr>
          <w:trHeight w:val="405"/>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043EB9" w:rsidRPr="00043EB9" w:rsidRDefault="00043EB9" w:rsidP="00043EB9">
            <w:pPr>
              <w:rPr>
                <w:rFonts w:ascii="Bookman Old Style" w:hAnsi="Bookman Old Style" w:cs="Arial"/>
                <w:sz w:val="18"/>
                <w:szCs w:val="18"/>
              </w:rPr>
            </w:pPr>
            <w:r w:rsidRPr="00043EB9">
              <w:rPr>
                <w:rFonts w:ascii="Bookman Old Style" w:hAnsi="Bookman Old Style" w:cs="Arial"/>
                <w:sz w:val="18"/>
                <w:szCs w:val="18"/>
              </w:rPr>
              <w:t>24963</w:t>
            </w:r>
          </w:p>
        </w:tc>
        <w:tc>
          <w:tcPr>
            <w:tcW w:w="4111" w:type="dxa"/>
            <w:tcBorders>
              <w:top w:val="nil"/>
              <w:left w:val="nil"/>
              <w:bottom w:val="single" w:sz="4" w:space="0" w:color="auto"/>
              <w:right w:val="single" w:sz="4" w:space="0" w:color="auto"/>
            </w:tcBorders>
            <w:shd w:val="clear" w:color="auto" w:fill="auto"/>
            <w:noWrap/>
            <w:vAlign w:val="center"/>
            <w:hideMark/>
          </w:tcPr>
          <w:p w:rsidR="00043EB9" w:rsidRPr="00043EB9" w:rsidRDefault="00043EB9" w:rsidP="00783B84">
            <w:pPr>
              <w:ind w:left="0"/>
              <w:rPr>
                <w:rFonts w:ascii="Bookman Old Style" w:hAnsi="Bookman Old Style" w:cs="Arial"/>
                <w:sz w:val="18"/>
                <w:szCs w:val="18"/>
              </w:rPr>
            </w:pPr>
            <w:r w:rsidRPr="00043EB9">
              <w:rPr>
                <w:rFonts w:ascii="Bookman Old Style" w:hAnsi="Bookman Old Style" w:cs="Arial"/>
                <w:sz w:val="18"/>
                <w:szCs w:val="18"/>
              </w:rPr>
              <w:t>GAS SUPERIOR DE COLOMBIA S.A. E.S.P.</w:t>
            </w:r>
          </w:p>
        </w:tc>
        <w:tc>
          <w:tcPr>
            <w:tcW w:w="2409" w:type="dxa"/>
            <w:tcBorders>
              <w:top w:val="nil"/>
              <w:left w:val="nil"/>
              <w:bottom w:val="single" w:sz="4" w:space="0" w:color="auto"/>
              <w:right w:val="single" w:sz="4" w:space="0" w:color="auto"/>
            </w:tcBorders>
            <w:shd w:val="clear" w:color="auto" w:fill="auto"/>
            <w:noWrap/>
            <w:vAlign w:val="center"/>
            <w:hideMark/>
          </w:tcPr>
          <w:p w:rsidR="00043EB9" w:rsidRPr="00043EB9" w:rsidRDefault="00043EB9" w:rsidP="00043EB9">
            <w:pPr>
              <w:rPr>
                <w:rFonts w:ascii="Bookman Old Style" w:hAnsi="Bookman Old Style" w:cs="Arial"/>
                <w:sz w:val="18"/>
                <w:szCs w:val="18"/>
              </w:rPr>
            </w:pPr>
            <w:r w:rsidRPr="00043EB9">
              <w:rPr>
                <w:rFonts w:ascii="Bookman Old Style" w:hAnsi="Bookman Old Style" w:cs="Arial"/>
                <w:sz w:val="18"/>
                <w:szCs w:val="18"/>
              </w:rPr>
              <w:t>171.103</w:t>
            </w:r>
          </w:p>
        </w:tc>
      </w:tr>
    </w:tbl>
    <w:p w:rsidR="003E628D" w:rsidRPr="00EE0855" w:rsidRDefault="00AC20F9" w:rsidP="00AC20F9">
      <w:pPr>
        <w:ind w:left="284" w:right="284"/>
        <w:jc w:val="both"/>
        <w:rPr>
          <w:rFonts w:ascii="Bookman Old Style" w:eastAsia="MS Mincho" w:hAnsi="Bookman Old Style" w:cs="Arial"/>
          <w:sz w:val="20"/>
          <w:szCs w:val="20"/>
          <w:lang w:val="es-CO" w:eastAsia="en-US"/>
        </w:rPr>
      </w:pPr>
      <w:r w:rsidRPr="00EE0855">
        <w:rPr>
          <w:rFonts w:ascii="Bookman Old Style" w:eastAsia="MS Mincho" w:hAnsi="Bookman Old Style" w:cs="Arial"/>
          <w:sz w:val="20"/>
          <w:szCs w:val="20"/>
          <w:lang w:val="es-CO" w:eastAsia="en-US"/>
        </w:rPr>
        <w:tab/>
      </w:r>
    </w:p>
    <w:p w:rsidR="00EC3BB2" w:rsidRPr="00EC3BB2" w:rsidRDefault="00EC3BB2" w:rsidP="00AC20F9">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val="es-CO" w:eastAsia="en-US"/>
        </w:rPr>
        <w:t>(…)</w:t>
      </w:r>
    </w:p>
    <w:p w:rsidR="00EC3BB2" w:rsidRPr="00EC3BB2" w:rsidRDefault="00EC3BB2" w:rsidP="00BD1622">
      <w:pPr>
        <w:ind w:left="284" w:right="284"/>
        <w:jc w:val="both"/>
        <w:rPr>
          <w:rFonts w:ascii="Bookman Old Style" w:eastAsia="MS Mincho" w:hAnsi="Bookman Old Style" w:cs="Arial"/>
          <w:sz w:val="20"/>
          <w:szCs w:val="20"/>
          <w:lang w:val="es-CO" w:eastAsia="en-US"/>
        </w:rPr>
      </w:pPr>
    </w:p>
    <w:p w:rsidR="00EC3BB2" w:rsidRPr="00EC3BB2" w:rsidRDefault="00EC3BB2" w:rsidP="00BD1622">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eastAsia="en-US"/>
        </w:rPr>
        <w:t>Dicha capacidad ha sido calculada atendiendo el procedimiento establecido en el artículo 8 de la Resolución CREG 063 de 2016 con información del Sistema Único de Información – sui con corte al 10 de mayo de 2016. El cálculo para cada empresa se detalla en el Anexo que hace parte de la presente resolución.”</w:t>
      </w:r>
    </w:p>
    <w:p w:rsidR="00EC3BB2" w:rsidRPr="00EC3BB2" w:rsidRDefault="00EC3BB2" w:rsidP="00BD1622">
      <w:pPr>
        <w:tabs>
          <w:tab w:val="right" w:pos="9498"/>
        </w:tabs>
        <w:ind w:left="284" w:right="284"/>
        <w:jc w:val="both"/>
        <w:rPr>
          <w:rFonts w:ascii="Bookman Old Style" w:hAnsi="Bookman Old Style" w:cs="Arial"/>
          <w:sz w:val="20"/>
          <w:szCs w:val="20"/>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p>
    <w:p w:rsidR="00EC3BB2" w:rsidRP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Mediante escrito radicado en esta Comisión con número E-2016-</w:t>
      </w:r>
      <w:r w:rsidR="00043EB9">
        <w:rPr>
          <w:rFonts w:ascii="Bookman Old Style" w:hAnsi="Bookman Old Style" w:cs="Arial"/>
          <w:spacing w:val="-5"/>
          <w:lang w:val="es-CO" w:eastAsia="en-US"/>
        </w:rPr>
        <w:t>007309</w:t>
      </w:r>
      <w:r w:rsidRPr="00EC3BB2">
        <w:rPr>
          <w:rFonts w:ascii="Bookman Old Style" w:hAnsi="Bookman Old Style" w:cs="Arial"/>
          <w:spacing w:val="-5"/>
          <w:lang w:val="es-CO" w:eastAsia="en-US"/>
        </w:rPr>
        <w:t xml:space="preserve"> de </w:t>
      </w:r>
      <w:r w:rsidR="00043EB9">
        <w:rPr>
          <w:rFonts w:ascii="Bookman Old Style" w:hAnsi="Bookman Old Style" w:cs="Arial"/>
          <w:spacing w:val="-5"/>
          <w:lang w:val="es-CO" w:eastAsia="en-US"/>
        </w:rPr>
        <w:t>28</w:t>
      </w:r>
      <w:r w:rsidRPr="00EC3BB2">
        <w:rPr>
          <w:rFonts w:ascii="Bookman Old Style" w:hAnsi="Bookman Old Style" w:cs="Arial"/>
          <w:spacing w:val="-5"/>
          <w:lang w:val="es-CO" w:eastAsia="en-US"/>
        </w:rPr>
        <w:t xml:space="preserve"> de </w:t>
      </w:r>
      <w:r w:rsidR="00BA05D2">
        <w:rPr>
          <w:rFonts w:ascii="Bookman Old Style" w:hAnsi="Bookman Old Style" w:cs="Arial"/>
          <w:spacing w:val="-5"/>
          <w:lang w:val="es-CO" w:eastAsia="en-US"/>
        </w:rPr>
        <w:t>jun</w:t>
      </w:r>
      <w:r w:rsidR="000E38F7">
        <w:rPr>
          <w:rFonts w:ascii="Bookman Old Style" w:hAnsi="Bookman Old Style" w:cs="Arial"/>
          <w:spacing w:val="-5"/>
          <w:lang w:val="es-CO" w:eastAsia="en-US"/>
        </w:rPr>
        <w:t>io</w:t>
      </w:r>
      <w:r w:rsidRPr="00EC3BB2">
        <w:rPr>
          <w:rFonts w:ascii="Bookman Old Style" w:hAnsi="Bookman Old Style" w:cs="Arial"/>
          <w:spacing w:val="-5"/>
          <w:lang w:val="es-CO" w:eastAsia="en-US"/>
        </w:rPr>
        <w:t xml:space="preserve"> de 2016, </w:t>
      </w:r>
      <w:r w:rsidR="00EA1547">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representante legal de la empresa </w:t>
      </w:r>
      <w:r w:rsidR="00043EB9">
        <w:rPr>
          <w:rFonts w:ascii="Bookman Old Style" w:hAnsi="Bookman Old Style" w:cs="Arial"/>
          <w:spacing w:val="-5"/>
          <w:lang w:val="es-CO" w:eastAsia="en-US"/>
        </w:rPr>
        <w:t>Gas Superior de Colombia S.A.</w:t>
      </w:r>
      <w:r w:rsidR="00B16D10">
        <w:rPr>
          <w:rFonts w:ascii="Bookman Old Style" w:hAnsi="Bookman Old Style" w:cs="Arial"/>
          <w:spacing w:val="-5"/>
          <w:lang w:val="es-CO" w:eastAsia="en-US"/>
        </w:rPr>
        <w:t xml:space="preserve"> E.S.P.</w:t>
      </w:r>
      <w:r w:rsidR="00EA1547">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 xml:space="preserve">interpuso recurso de reposición contra la Resolución CREG </w:t>
      </w:r>
      <w:r w:rsidR="009004E0">
        <w:rPr>
          <w:rFonts w:ascii="Bookman Old Style" w:hAnsi="Bookman Old Style" w:cs="Arial"/>
          <w:spacing w:val="-5"/>
          <w:lang w:val="es-CO" w:eastAsia="en-US"/>
        </w:rPr>
        <w:t>075</w:t>
      </w:r>
      <w:r w:rsidRPr="00EC3BB2">
        <w:rPr>
          <w:rFonts w:ascii="Bookman Old Style" w:hAnsi="Bookman Old Style" w:cs="Arial"/>
          <w:spacing w:val="-5"/>
          <w:lang w:val="es-CO" w:eastAsia="en-US"/>
        </w:rPr>
        <w:t xml:space="preserve"> de 2016, para lo cual realiza las siguientes solicitudes:</w:t>
      </w:r>
    </w:p>
    <w:p w:rsidR="0045042D" w:rsidRDefault="0045042D" w:rsidP="00B36FE8">
      <w:pPr>
        <w:pStyle w:val="Textoindependiente2"/>
        <w:spacing w:after="0" w:line="240" w:lineRule="auto"/>
        <w:ind w:left="-142" w:right="-142"/>
        <w:jc w:val="both"/>
        <w:rPr>
          <w:rFonts w:ascii="Bookman Old Style" w:hAnsi="Bookman Old Style" w:cs="Arial"/>
          <w:spacing w:val="-5"/>
          <w:lang w:val="es-CO" w:eastAsia="en-US"/>
        </w:rPr>
      </w:pPr>
    </w:p>
    <w:p w:rsidR="00043EB9" w:rsidRDefault="007D1246" w:rsidP="00043EB9">
      <w:pPr>
        <w:pStyle w:val="Style17"/>
        <w:shd w:val="clear" w:color="auto" w:fill="auto"/>
        <w:spacing w:before="0" w:after="0" w:line="240" w:lineRule="auto"/>
        <w:ind w:left="284" w:right="284" w:firstLine="0"/>
        <w:rPr>
          <w:rStyle w:val="CharStyle18"/>
          <w:rFonts w:ascii="Bookman Old Style" w:hAnsi="Bookman Old Style"/>
          <w:i/>
          <w:color w:val="000000"/>
          <w:sz w:val="22"/>
          <w:szCs w:val="22"/>
          <w:lang w:eastAsia="es-ES_tradnl"/>
        </w:rPr>
      </w:pPr>
      <w:r w:rsidRPr="007D1246">
        <w:rPr>
          <w:rStyle w:val="CharStyle18"/>
          <w:rFonts w:ascii="Bookman Old Style" w:hAnsi="Bookman Old Style"/>
          <w:i/>
          <w:color w:val="000000"/>
          <w:sz w:val="22"/>
          <w:szCs w:val="22"/>
          <w:lang w:eastAsia="es-ES_tradnl"/>
        </w:rPr>
        <w:t>“</w:t>
      </w:r>
      <w:r w:rsidR="00043EB9">
        <w:rPr>
          <w:rStyle w:val="CharStyle18"/>
          <w:rFonts w:ascii="Bookman Old Style" w:hAnsi="Bookman Old Style"/>
          <w:i/>
          <w:color w:val="000000"/>
          <w:sz w:val="22"/>
          <w:szCs w:val="22"/>
          <w:lang w:eastAsia="es-ES_tradnl"/>
        </w:rPr>
        <w:t>PRIMERA. Se solicita a la CREG, realizar nuevamente revisión de los reportes de compra y venta de GLP.</w:t>
      </w:r>
    </w:p>
    <w:p w:rsidR="00043EB9" w:rsidRDefault="00043EB9" w:rsidP="00043EB9">
      <w:pPr>
        <w:pStyle w:val="Style17"/>
        <w:shd w:val="clear" w:color="auto" w:fill="auto"/>
        <w:spacing w:before="0" w:after="0" w:line="240" w:lineRule="auto"/>
        <w:ind w:left="284" w:right="284" w:firstLine="0"/>
        <w:rPr>
          <w:rStyle w:val="CharStyle18"/>
          <w:rFonts w:ascii="Bookman Old Style" w:hAnsi="Bookman Old Style"/>
          <w:i/>
          <w:color w:val="000000"/>
          <w:sz w:val="22"/>
          <w:szCs w:val="22"/>
          <w:lang w:eastAsia="es-ES_tradnl"/>
        </w:rPr>
      </w:pPr>
    </w:p>
    <w:p w:rsidR="00043EB9" w:rsidRDefault="00043EB9" w:rsidP="00043EB9">
      <w:pPr>
        <w:pStyle w:val="Style17"/>
        <w:shd w:val="clear" w:color="auto" w:fill="auto"/>
        <w:spacing w:before="0" w:after="0" w:line="240" w:lineRule="auto"/>
        <w:ind w:left="284" w:right="284" w:firstLine="0"/>
        <w:rPr>
          <w:rStyle w:val="CharStyle18"/>
          <w:rFonts w:ascii="Bookman Old Style" w:hAnsi="Bookman Old Style"/>
          <w:i/>
          <w:color w:val="000000"/>
          <w:sz w:val="22"/>
          <w:szCs w:val="22"/>
          <w:lang w:eastAsia="es-ES_tradnl"/>
        </w:rPr>
      </w:pPr>
      <w:r>
        <w:rPr>
          <w:rStyle w:val="CharStyle18"/>
          <w:rFonts w:ascii="Bookman Old Style" w:hAnsi="Bookman Old Style"/>
          <w:i/>
          <w:color w:val="000000"/>
          <w:sz w:val="22"/>
          <w:szCs w:val="22"/>
          <w:lang w:eastAsia="es-ES_tradnl"/>
        </w:rPr>
        <w:t>SEGUNDA. Se solicita a la CREG, realizar nuevamente revisión del parque de cilindros propiedad de la firma y los tanques atendidos.</w:t>
      </w:r>
    </w:p>
    <w:p w:rsidR="00043EB9" w:rsidRDefault="00043EB9" w:rsidP="00043EB9">
      <w:pPr>
        <w:pStyle w:val="Style17"/>
        <w:shd w:val="clear" w:color="auto" w:fill="auto"/>
        <w:spacing w:before="0" w:after="0" w:line="240" w:lineRule="auto"/>
        <w:ind w:left="284" w:right="284" w:firstLine="0"/>
        <w:rPr>
          <w:rStyle w:val="CharStyle18"/>
          <w:rFonts w:ascii="Bookman Old Style" w:hAnsi="Bookman Old Style"/>
          <w:i/>
          <w:color w:val="000000"/>
          <w:sz w:val="22"/>
          <w:szCs w:val="22"/>
          <w:lang w:eastAsia="es-ES_tradnl"/>
        </w:rPr>
      </w:pPr>
    </w:p>
    <w:p w:rsidR="00406B33" w:rsidRPr="00553850" w:rsidRDefault="00043EB9" w:rsidP="00553850">
      <w:pPr>
        <w:pStyle w:val="Style17"/>
        <w:shd w:val="clear" w:color="auto" w:fill="auto"/>
        <w:spacing w:before="0" w:after="0" w:line="240" w:lineRule="auto"/>
        <w:ind w:left="284" w:right="284" w:firstLine="0"/>
        <w:rPr>
          <w:rFonts w:ascii="Bookman Old Style" w:hAnsi="Bookman Old Style"/>
          <w:i/>
          <w:color w:val="000000"/>
          <w:sz w:val="22"/>
          <w:szCs w:val="22"/>
          <w:shd w:val="clear" w:color="auto" w:fill="FFFFFF"/>
          <w:lang w:eastAsia="es-ES_tradnl"/>
        </w:rPr>
      </w:pPr>
      <w:r>
        <w:rPr>
          <w:rStyle w:val="CharStyle18"/>
          <w:rFonts w:ascii="Bookman Old Style" w:hAnsi="Bookman Old Style"/>
          <w:i/>
          <w:color w:val="000000"/>
          <w:sz w:val="22"/>
          <w:szCs w:val="22"/>
          <w:lang w:eastAsia="es-ES_tradnl"/>
        </w:rPr>
        <w:t>TERCERA. Se solicita revocar parcialmente la resolución de la referencia, en lo que respecta a los kilos asignados y ajustarlos a lo que solicitamos para el semestre</w:t>
      </w:r>
      <w:r w:rsidR="00553850">
        <w:rPr>
          <w:rStyle w:val="CharStyle18"/>
          <w:rFonts w:ascii="Bookman Old Style" w:hAnsi="Bookman Old Style"/>
          <w:i/>
          <w:color w:val="000000"/>
          <w:sz w:val="22"/>
          <w:szCs w:val="22"/>
          <w:lang w:eastAsia="es-ES_tradnl"/>
        </w:rPr>
        <w:t xml:space="preserve"> (…) </w:t>
      </w:r>
      <w:r>
        <w:rPr>
          <w:rStyle w:val="CharStyle18"/>
          <w:rFonts w:ascii="Bookman Old Style" w:hAnsi="Bookman Old Style"/>
          <w:i/>
          <w:color w:val="000000"/>
          <w:sz w:val="22"/>
          <w:szCs w:val="22"/>
          <w:lang w:eastAsia="es-ES_tradnl"/>
        </w:rPr>
        <w:t>Kilo mes: 120.000 Total semestre: 720.000</w:t>
      </w:r>
      <w:r w:rsidR="00603DD8">
        <w:rPr>
          <w:rStyle w:val="CharStyle18"/>
          <w:rFonts w:ascii="Bookman Old Style" w:hAnsi="Bookman Old Style"/>
          <w:i/>
          <w:color w:val="000000"/>
          <w:sz w:val="22"/>
          <w:szCs w:val="22"/>
          <w:lang w:eastAsia="es-ES_tradnl"/>
        </w:rPr>
        <w:t>”</w:t>
      </w:r>
    </w:p>
    <w:p w:rsidR="0045042D" w:rsidRDefault="0045042D" w:rsidP="00BA05D2">
      <w:pPr>
        <w:pStyle w:val="Textoindependiente2"/>
        <w:spacing w:after="0" w:line="240" w:lineRule="auto"/>
        <w:ind w:left="0" w:right="-142"/>
        <w:jc w:val="both"/>
        <w:rPr>
          <w:rFonts w:ascii="Bookman Old Style" w:hAnsi="Bookman Old Style" w:cs="Arial"/>
          <w:spacing w:val="-5"/>
          <w:lang w:val="es-CO" w:eastAsia="en-US"/>
        </w:rPr>
      </w:pPr>
    </w:p>
    <w:p w:rsidR="00BA05D2" w:rsidRPr="00BA05D2" w:rsidRDefault="00BA05D2" w:rsidP="00BA05D2">
      <w:pPr>
        <w:ind w:left="-142" w:right="-142"/>
        <w:jc w:val="both"/>
        <w:rPr>
          <w:rFonts w:ascii="Bookman Old Style" w:hAnsi="Bookman Old Style" w:cs="Arial"/>
          <w:spacing w:val="-5"/>
          <w:lang w:val="es-CO" w:eastAsia="en-US"/>
        </w:rPr>
      </w:pPr>
      <w:r w:rsidRPr="00BA05D2">
        <w:rPr>
          <w:rFonts w:ascii="Bookman Old Style" w:hAnsi="Bookman Old Style" w:cs="Arial"/>
          <w:spacing w:val="-5"/>
          <w:lang w:val="es-CO" w:eastAsia="en-US"/>
        </w:rPr>
        <w:t xml:space="preserve">La Resolución CREG 075 de 2016 fue notificada a </w:t>
      </w:r>
      <w:r w:rsidR="00043EB9">
        <w:rPr>
          <w:rFonts w:ascii="Bookman Old Style" w:hAnsi="Bookman Old Style" w:cs="Arial"/>
          <w:spacing w:val="-5"/>
          <w:lang w:val="es-CO" w:eastAsia="en-US"/>
        </w:rPr>
        <w:t>Gas Superior</w:t>
      </w:r>
      <w:r w:rsidRPr="00BA05D2">
        <w:rPr>
          <w:rFonts w:ascii="Bookman Old Style" w:hAnsi="Bookman Old Style" w:cs="Arial"/>
          <w:spacing w:val="-5"/>
          <w:lang w:val="es-CO" w:eastAsia="en-US"/>
        </w:rPr>
        <w:t xml:space="preserve"> mediante notificación personal I-2016-</w:t>
      </w:r>
      <w:r w:rsidR="00043EB9">
        <w:rPr>
          <w:rFonts w:ascii="Bookman Old Style" w:hAnsi="Bookman Old Style" w:cs="Arial"/>
          <w:spacing w:val="-5"/>
          <w:lang w:val="es-CO" w:eastAsia="en-US"/>
        </w:rPr>
        <w:t>003158</w:t>
      </w:r>
      <w:r w:rsidRPr="00BA05D2">
        <w:rPr>
          <w:rFonts w:ascii="Bookman Old Style" w:hAnsi="Bookman Old Style" w:cs="Arial"/>
          <w:spacing w:val="-5"/>
          <w:lang w:val="es-CO" w:eastAsia="en-US"/>
        </w:rPr>
        <w:t xml:space="preserve"> de </w:t>
      </w:r>
      <w:r w:rsidR="00043EB9">
        <w:rPr>
          <w:rFonts w:ascii="Bookman Old Style" w:hAnsi="Bookman Old Style" w:cs="Arial"/>
          <w:spacing w:val="-5"/>
          <w:lang w:val="es-CO" w:eastAsia="en-US"/>
        </w:rPr>
        <w:t>21</w:t>
      </w:r>
      <w:r w:rsidRPr="00BA05D2">
        <w:rPr>
          <w:rFonts w:ascii="Bookman Old Style" w:hAnsi="Bookman Old Style" w:cs="Arial"/>
          <w:spacing w:val="-5"/>
          <w:lang w:val="es-CO" w:eastAsia="en-US"/>
        </w:rPr>
        <w:t xml:space="preserve"> de junio de 2016 atendiendo lo dispuesto en el artículo 67</w:t>
      </w:r>
      <w:r w:rsidRPr="00BA05D2">
        <w:rPr>
          <w:rFonts w:ascii="Bookman Old Style" w:hAnsi="Bookman Old Style" w:cs="Arial"/>
          <w:spacing w:val="-5"/>
          <w:vertAlign w:val="superscript"/>
          <w:lang w:val="es-CO" w:eastAsia="en-US"/>
        </w:rPr>
        <w:footnoteReference w:id="3"/>
      </w:r>
      <w:r w:rsidRPr="00BA05D2">
        <w:rPr>
          <w:rFonts w:ascii="Bookman Old Style" w:hAnsi="Bookman Old Style" w:cs="Arial"/>
          <w:spacing w:val="-5"/>
          <w:lang w:val="es-CO" w:eastAsia="en-US"/>
        </w:rPr>
        <w:t xml:space="preserve"> de la Ley 1437 de 2011. </w:t>
      </w:r>
    </w:p>
    <w:p w:rsidR="00BA05D2" w:rsidRPr="00BA05D2" w:rsidRDefault="00BA05D2" w:rsidP="00BA05D2">
      <w:pPr>
        <w:ind w:left="-142" w:right="-142"/>
        <w:jc w:val="both"/>
        <w:rPr>
          <w:rFonts w:ascii="Bookman Old Style" w:hAnsi="Bookman Old Style" w:cs="Arial"/>
          <w:spacing w:val="-5"/>
          <w:lang w:val="es-CO" w:eastAsia="en-US"/>
        </w:rPr>
      </w:pPr>
    </w:p>
    <w:p w:rsidR="00BA05D2" w:rsidRPr="00BA05D2" w:rsidRDefault="00BA05D2" w:rsidP="00BA05D2">
      <w:pPr>
        <w:ind w:left="-142" w:right="-142"/>
        <w:jc w:val="both"/>
        <w:rPr>
          <w:rFonts w:ascii="Bookman Old Style" w:hAnsi="Bookman Old Style" w:cs="Arial"/>
          <w:spacing w:val="-5"/>
          <w:lang w:val="es-CO" w:eastAsia="en-US"/>
        </w:rPr>
      </w:pPr>
      <w:r w:rsidRPr="00BA05D2">
        <w:rPr>
          <w:rFonts w:ascii="Bookman Old Style" w:hAnsi="Bookman Old Style" w:cs="Arial"/>
          <w:spacing w:val="-5"/>
          <w:lang w:val="es-CO" w:eastAsia="en-US"/>
        </w:rPr>
        <w:t xml:space="preserve">Una vez establecida la fecha de notificación y verificada la fecha de interposición del recurso, se establece que el recurso de reposición fue interpuesto en tiempo, toda vez que el plazo máximo vencía el día </w:t>
      </w:r>
      <w:r w:rsidR="00043EB9">
        <w:rPr>
          <w:rFonts w:ascii="Bookman Old Style" w:hAnsi="Bookman Old Style" w:cs="Arial"/>
          <w:spacing w:val="-5"/>
          <w:lang w:val="es-CO" w:eastAsia="en-US"/>
        </w:rPr>
        <w:t>28</w:t>
      </w:r>
      <w:r w:rsidRPr="00BA05D2">
        <w:rPr>
          <w:rFonts w:ascii="Bookman Old Style" w:hAnsi="Bookman Old Style" w:cs="Arial"/>
          <w:spacing w:val="-5"/>
          <w:lang w:val="es-CO" w:eastAsia="en-US"/>
        </w:rPr>
        <w:t xml:space="preserve"> de junio del 2016.  </w:t>
      </w:r>
    </w:p>
    <w:p w:rsidR="00CD67E2" w:rsidRDefault="00CD67E2" w:rsidP="002C5546">
      <w:pPr>
        <w:pStyle w:val="Textoindependiente2"/>
        <w:spacing w:after="0" w:line="240" w:lineRule="auto"/>
        <w:ind w:left="0" w:right="-142"/>
        <w:jc w:val="both"/>
        <w:rPr>
          <w:rFonts w:ascii="Bookman Old Style" w:hAnsi="Bookman Old Style" w:cs="Arial"/>
          <w:spacing w:val="-5"/>
          <w:lang w:val="es-CO" w:eastAsia="en-US"/>
        </w:rPr>
      </w:pPr>
    </w:p>
    <w:p w:rsidR="00CD67E2" w:rsidRPr="00D549B1" w:rsidRDefault="00CD67E2" w:rsidP="00CD67E2">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lastRenderedPageBreak/>
        <w:t>En virtud de lo anterior y una vez verificado el cumplimiento de los requisitos a los que hace referencia el artículo 77</w:t>
      </w:r>
      <w:r w:rsidRPr="00D549B1">
        <w:rPr>
          <w:rFonts w:ascii="Bookman Old Style" w:hAnsi="Bookman Old Style"/>
          <w:szCs w:val="27"/>
          <w:vertAlign w:val="superscript"/>
        </w:rPr>
        <w:footnoteReference w:id="4"/>
      </w:r>
      <w:r w:rsidRPr="00D549B1">
        <w:rPr>
          <w:rFonts w:ascii="Bookman Old Style" w:hAnsi="Bookman Old Style"/>
          <w:szCs w:val="27"/>
        </w:rPr>
        <w:t xml:space="preserve"> del Código de Procedimiento Administrativo y de 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D126E3" w:rsidRDefault="00D126E3" w:rsidP="00D126E3">
      <w:pPr>
        <w:widowControl w:val="0"/>
        <w:tabs>
          <w:tab w:val="right" w:pos="9498"/>
        </w:tabs>
        <w:adjustRightInd w:val="0"/>
        <w:ind w:left="0" w:right="-142"/>
        <w:jc w:val="both"/>
        <w:rPr>
          <w:rFonts w:ascii="Bookman Old Style" w:hAnsi="Bookman Old Style" w:cs="Arial"/>
          <w:lang w:val="es-CO"/>
        </w:rPr>
      </w:pPr>
    </w:p>
    <w:p w:rsidR="00D126E3" w:rsidRPr="009011F4" w:rsidRDefault="00D126E3" w:rsidP="00D126E3">
      <w:pPr>
        <w:widowControl w:val="0"/>
        <w:tabs>
          <w:tab w:val="right" w:pos="9498"/>
        </w:tabs>
        <w:adjustRightInd w:val="0"/>
        <w:ind w:left="0" w:right="-142"/>
        <w:jc w:val="both"/>
        <w:rPr>
          <w:rFonts w:ascii="Bookman Old Style" w:hAnsi="Bookman Old Style" w:cs="Arial"/>
          <w:b/>
        </w:rPr>
      </w:pPr>
      <w:r>
        <w:rPr>
          <w:rFonts w:ascii="Bookman Old Style" w:hAnsi="Bookman Old Style" w:cs="Arial"/>
          <w:b/>
          <w:lang w:val="es-CO"/>
        </w:rPr>
        <w:t>2</w:t>
      </w:r>
      <w:r w:rsidRPr="00D549B1">
        <w:rPr>
          <w:rFonts w:ascii="Bookman Old Style" w:hAnsi="Bookman Old Style"/>
          <w:b/>
          <w:szCs w:val="27"/>
        </w:rPr>
        <w:t>. Fundamentos del recurso</w:t>
      </w:r>
    </w:p>
    <w:p w:rsidR="00D126E3" w:rsidRDefault="00D126E3" w:rsidP="00D126E3">
      <w:pPr>
        <w:widowControl w:val="0"/>
        <w:tabs>
          <w:tab w:val="right" w:pos="9498"/>
        </w:tabs>
        <w:adjustRightInd w:val="0"/>
        <w:ind w:left="0" w:right="-142"/>
        <w:jc w:val="both"/>
        <w:rPr>
          <w:rFonts w:ascii="Bookman Old Style" w:hAnsi="Bookman Old Style" w:cs="Arial"/>
        </w:rPr>
      </w:pPr>
    </w:p>
    <w:p w:rsidR="00D126E3" w:rsidRDefault="002C5546" w:rsidP="002A452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Los argumentos del</w:t>
      </w:r>
      <w:r w:rsidR="00D126E3" w:rsidRPr="00D549B1">
        <w:rPr>
          <w:rFonts w:ascii="Bookman Old Style" w:hAnsi="Bookman Old Style"/>
          <w:szCs w:val="27"/>
        </w:rPr>
        <w:t xml:space="preserve"> recurso de reposición interpuesto por </w:t>
      </w:r>
      <w:r w:rsidR="00043EB9">
        <w:rPr>
          <w:rFonts w:ascii="Bookman Old Style" w:hAnsi="Bookman Old Style"/>
          <w:szCs w:val="27"/>
        </w:rPr>
        <w:t>Gas Superior</w:t>
      </w:r>
      <w:r w:rsidR="00652F6D">
        <w:rPr>
          <w:rFonts w:ascii="Bookman Old Style" w:hAnsi="Bookman Old Style"/>
          <w:szCs w:val="27"/>
        </w:rPr>
        <w:t xml:space="preserve"> </w:t>
      </w:r>
      <w:r w:rsidR="002A452D">
        <w:rPr>
          <w:rFonts w:ascii="Bookman Old Style" w:hAnsi="Bookman Old Style"/>
          <w:szCs w:val="27"/>
        </w:rPr>
        <w:t>hacen referencia a lo siguiente:</w:t>
      </w:r>
    </w:p>
    <w:p w:rsidR="002A452D" w:rsidRPr="00FA4085" w:rsidRDefault="002A452D" w:rsidP="002A452D">
      <w:pPr>
        <w:ind w:left="284" w:right="284"/>
        <w:jc w:val="both"/>
        <w:rPr>
          <w:rFonts w:ascii="Bookman Old Style" w:hAnsi="Bookman Old Style" w:cs="Arial"/>
          <w:i/>
          <w:sz w:val="22"/>
          <w:szCs w:val="22"/>
        </w:rPr>
      </w:pPr>
    </w:p>
    <w:p w:rsidR="00043EB9" w:rsidRPr="00FA4085" w:rsidRDefault="0045042D" w:rsidP="00043EB9">
      <w:pPr>
        <w:ind w:left="284" w:right="284"/>
        <w:jc w:val="both"/>
        <w:rPr>
          <w:rFonts w:ascii="Bookman Old Style" w:hAnsi="Bookman Old Style" w:cs="Arial"/>
          <w:i/>
          <w:sz w:val="22"/>
          <w:szCs w:val="22"/>
        </w:rPr>
      </w:pPr>
      <w:r w:rsidRPr="00FA4085">
        <w:rPr>
          <w:rFonts w:ascii="Bookman Old Style" w:hAnsi="Bookman Old Style" w:cs="Arial"/>
          <w:i/>
          <w:sz w:val="22"/>
          <w:szCs w:val="22"/>
        </w:rPr>
        <w:t>“</w:t>
      </w:r>
      <w:r w:rsidR="00043EB9" w:rsidRPr="00FA4085">
        <w:rPr>
          <w:rFonts w:ascii="Bookman Old Style" w:hAnsi="Bookman Old Style" w:cs="Arial"/>
          <w:i/>
          <w:sz w:val="22"/>
          <w:szCs w:val="22"/>
        </w:rPr>
        <w:t xml:space="preserve"> (…)</w:t>
      </w:r>
    </w:p>
    <w:p w:rsidR="00043EB9" w:rsidRPr="00FA4085" w:rsidRDefault="00043EB9" w:rsidP="00043EB9">
      <w:pPr>
        <w:ind w:left="284" w:right="284"/>
        <w:jc w:val="both"/>
        <w:rPr>
          <w:rFonts w:ascii="Bookman Old Style" w:hAnsi="Bookman Old Style" w:cs="Arial"/>
          <w:i/>
          <w:sz w:val="22"/>
          <w:szCs w:val="22"/>
        </w:rPr>
      </w:pPr>
    </w:p>
    <w:p w:rsidR="00043EB9" w:rsidRPr="00FA4085" w:rsidRDefault="00043EB9" w:rsidP="00043EB9">
      <w:pPr>
        <w:pStyle w:val="Textoindependiente2"/>
        <w:spacing w:after="0" w:line="240" w:lineRule="auto"/>
        <w:ind w:left="284" w:right="284"/>
        <w:jc w:val="both"/>
        <w:rPr>
          <w:rFonts w:ascii="Bookman Old Style" w:hAnsi="Bookman Old Style"/>
          <w:sz w:val="22"/>
          <w:szCs w:val="22"/>
        </w:rPr>
      </w:pPr>
      <w:r w:rsidRPr="00FA4085">
        <w:rPr>
          <w:rFonts w:ascii="Bookman Old Style" w:hAnsi="Bookman Old Style"/>
          <w:sz w:val="22"/>
          <w:szCs w:val="22"/>
        </w:rPr>
        <w:t>Teniendo en cuenta que se nos está violando el Derecho a Crear empresa a permanecer el mercado pues aunque se nos otorgaron 171.103 Kilos, este extracto matemático y estadístico desconoció nuestra compra y venta que ha sido en los últimos 17 meses.</w:t>
      </w:r>
    </w:p>
    <w:p w:rsidR="00043EB9" w:rsidRPr="00FA4085" w:rsidRDefault="00043EB9" w:rsidP="00043EB9">
      <w:pPr>
        <w:pStyle w:val="Textoindependiente2"/>
        <w:spacing w:after="0" w:line="240" w:lineRule="auto"/>
        <w:ind w:left="284" w:right="284"/>
        <w:jc w:val="both"/>
        <w:rPr>
          <w:rFonts w:ascii="Bookman Old Style" w:hAnsi="Bookman Old Style"/>
          <w:sz w:val="22"/>
          <w:szCs w:val="22"/>
        </w:rPr>
      </w:pPr>
    </w:p>
    <w:p w:rsidR="00043EB9" w:rsidRPr="00FA4085" w:rsidRDefault="00043EB9" w:rsidP="00FA4085">
      <w:pPr>
        <w:pStyle w:val="Textoindependiente2"/>
        <w:spacing w:after="0" w:line="240" w:lineRule="auto"/>
        <w:ind w:left="284" w:right="284"/>
        <w:jc w:val="center"/>
        <w:rPr>
          <w:rFonts w:ascii="Bookman Old Style" w:hAnsi="Bookman Old Style"/>
          <w:sz w:val="22"/>
          <w:szCs w:val="22"/>
        </w:rPr>
      </w:pPr>
      <w:r w:rsidRPr="00FA4085">
        <w:rPr>
          <w:rFonts w:ascii="Bookman Old Style" w:hAnsi="Bookman Old Style"/>
          <w:sz w:val="22"/>
          <w:szCs w:val="22"/>
        </w:rPr>
        <w:t>Tabla 2</w:t>
      </w:r>
    </w:p>
    <w:p w:rsidR="00FA4085" w:rsidRPr="00FA4085" w:rsidRDefault="00FA4085" w:rsidP="00783B84">
      <w:pPr>
        <w:pStyle w:val="Textoindependiente2"/>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84" w:right="284"/>
        <w:jc w:val="center"/>
        <w:rPr>
          <w:rFonts w:ascii="Bookman Old Style" w:hAnsi="Bookman Old Style"/>
          <w:sz w:val="22"/>
          <w:szCs w:val="22"/>
        </w:rPr>
      </w:pPr>
      <w:r w:rsidRPr="00FA4085">
        <w:rPr>
          <w:rFonts w:ascii="Bookman Old Style" w:hAnsi="Bookman Old Style"/>
          <w:sz w:val="22"/>
          <w:szCs w:val="22"/>
        </w:rPr>
        <w:t>AÑO</w:t>
      </w:r>
      <w:r w:rsidRPr="00FA4085">
        <w:rPr>
          <w:rFonts w:ascii="Bookman Old Style" w:hAnsi="Bookman Old Style"/>
          <w:sz w:val="22"/>
          <w:szCs w:val="22"/>
        </w:rPr>
        <w:tab/>
        <w:t>1 MES</w:t>
      </w:r>
      <w:r w:rsidRPr="00FA4085">
        <w:rPr>
          <w:rFonts w:ascii="Bookman Old Style" w:hAnsi="Bookman Old Style"/>
          <w:sz w:val="22"/>
          <w:szCs w:val="22"/>
        </w:rPr>
        <w:tab/>
        <w:t>COMPRAS</w:t>
      </w:r>
      <w:r w:rsidRPr="00FA4085">
        <w:rPr>
          <w:rFonts w:ascii="Bookman Old Style" w:hAnsi="Bookman Old Style"/>
          <w:sz w:val="22"/>
          <w:szCs w:val="22"/>
        </w:rPr>
        <w:tab/>
        <w:t>VENTAS GRANEL</w:t>
      </w:r>
      <w:r w:rsidRPr="00FA4085">
        <w:rPr>
          <w:rFonts w:ascii="Bookman Old Style" w:hAnsi="Bookman Old Style"/>
          <w:sz w:val="22"/>
          <w:szCs w:val="22"/>
        </w:rPr>
        <w:tab/>
        <w:t xml:space="preserve">   VENTA CILINDRO</w:t>
      </w:r>
    </w:p>
    <w:p w:rsidR="00FA4085" w:rsidRPr="00FA4085" w:rsidRDefault="00FA4085" w:rsidP="00783B84">
      <w:pPr>
        <w:pStyle w:val="Textoindependiente2"/>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84" w:right="284"/>
        <w:rPr>
          <w:rFonts w:ascii="Bookman Old Style" w:hAnsi="Bookman Old Style"/>
          <w:sz w:val="22"/>
          <w:szCs w:val="22"/>
        </w:rPr>
      </w:pPr>
      <w:r w:rsidRPr="00FA4085">
        <w:rPr>
          <w:rFonts w:ascii="Bookman Old Style" w:hAnsi="Bookman Old Style"/>
          <w:sz w:val="22"/>
          <w:szCs w:val="22"/>
        </w:rPr>
        <w:t>(…)</w:t>
      </w:r>
    </w:p>
    <w:p w:rsidR="00FA4085" w:rsidRPr="00FA4085" w:rsidRDefault="00FA4085" w:rsidP="00783B84">
      <w:pPr>
        <w:pStyle w:val="Textoindependiente2"/>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84" w:right="284"/>
        <w:rPr>
          <w:rFonts w:ascii="Bookman Old Style" w:hAnsi="Bookman Old Style"/>
          <w:sz w:val="22"/>
          <w:szCs w:val="22"/>
        </w:rPr>
      </w:pPr>
      <w:proofErr w:type="gramStart"/>
      <w:r w:rsidRPr="00FA4085">
        <w:rPr>
          <w:rFonts w:ascii="Bookman Old Style" w:hAnsi="Bookman Old Style"/>
          <w:sz w:val="22"/>
          <w:szCs w:val="22"/>
        </w:rPr>
        <w:t>TOTAL  17</w:t>
      </w:r>
      <w:proofErr w:type="gramEnd"/>
      <w:r w:rsidRPr="00FA4085">
        <w:rPr>
          <w:rFonts w:ascii="Bookman Old Style" w:hAnsi="Bookman Old Style"/>
          <w:sz w:val="22"/>
          <w:szCs w:val="22"/>
        </w:rPr>
        <w:t xml:space="preserve"> MESES</w:t>
      </w:r>
      <w:r w:rsidRPr="00FA4085">
        <w:rPr>
          <w:rFonts w:ascii="Bookman Old Style" w:hAnsi="Bookman Old Style"/>
          <w:sz w:val="22"/>
          <w:szCs w:val="22"/>
        </w:rPr>
        <w:tab/>
        <w:t>1680213</w:t>
      </w:r>
      <w:r w:rsidRPr="00FA4085">
        <w:rPr>
          <w:rFonts w:ascii="Bookman Old Style" w:hAnsi="Bookman Old Style"/>
          <w:sz w:val="22"/>
          <w:szCs w:val="22"/>
        </w:rPr>
        <w:tab/>
      </w:r>
      <w:r w:rsidRPr="00FA4085">
        <w:rPr>
          <w:rFonts w:ascii="Bookman Old Style" w:hAnsi="Bookman Old Style"/>
          <w:sz w:val="22"/>
          <w:szCs w:val="22"/>
        </w:rPr>
        <w:tab/>
        <w:t>564153</w:t>
      </w:r>
      <w:r w:rsidRPr="00FA4085">
        <w:rPr>
          <w:rFonts w:ascii="Bookman Old Style" w:hAnsi="Bookman Old Style"/>
          <w:sz w:val="22"/>
          <w:szCs w:val="22"/>
        </w:rPr>
        <w:tab/>
      </w:r>
      <w:r w:rsidRPr="00FA4085">
        <w:rPr>
          <w:rFonts w:ascii="Bookman Old Style" w:hAnsi="Bookman Old Style"/>
          <w:sz w:val="22"/>
          <w:szCs w:val="22"/>
        </w:rPr>
        <w:tab/>
      </w:r>
      <w:r w:rsidRPr="00FA4085">
        <w:rPr>
          <w:rFonts w:ascii="Bookman Old Style" w:hAnsi="Bookman Old Style"/>
          <w:sz w:val="22"/>
          <w:szCs w:val="22"/>
        </w:rPr>
        <w:tab/>
        <w:t>1116060</w:t>
      </w:r>
    </w:p>
    <w:p w:rsidR="00FA4085" w:rsidRPr="00FA4085" w:rsidRDefault="00FA4085" w:rsidP="00783B84">
      <w:pPr>
        <w:pStyle w:val="Textoindependiente2"/>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84" w:right="284"/>
        <w:rPr>
          <w:rFonts w:ascii="Bookman Old Style" w:hAnsi="Bookman Old Style"/>
          <w:sz w:val="22"/>
          <w:szCs w:val="22"/>
        </w:rPr>
      </w:pPr>
    </w:p>
    <w:p w:rsidR="00FA4085" w:rsidRPr="00FA4085" w:rsidRDefault="00FA4085" w:rsidP="00783B84">
      <w:pPr>
        <w:pStyle w:val="Textoindependiente2"/>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84" w:right="284"/>
        <w:rPr>
          <w:rFonts w:ascii="Bookman Old Style" w:hAnsi="Bookman Old Style"/>
          <w:sz w:val="22"/>
          <w:szCs w:val="22"/>
        </w:rPr>
      </w:pPr>
      <w:r w:rsidRPr="00FA4085">
        <w:rPr>
          <w:rFonts w:ascii="Bookman Old Style" w:hAnsi="Bookman Old Style"/>
          <w:sz w:val="22"/>
          <w:szCs w:val="22"/>
        </w:rPr>
        <w:t>PROMEDIO</w:t>
      </w:r>
    </w:p>
    <w:p w:rsidR="00FA4085" w:rsidRPr="00FA4085" w:rsidRDefault="00FA4085" w:rsidP="00783B84">
      <w:pPr>
        <w:pStyle w:val="Textoindependiente2"/>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84" w:right="284"/>
        <w:rPr>
          <w:rFonts w:ascii="Bookman Old Style" w:hAnsi="Bookman Old Style"/>
          <w:sz w:val="22"/>
          <w:szCs w:val="22"/>
        </w:rPr>
      </w:pPr>
      <w:r w:rsidRPr="00FA4085">
        <w:rPr>
          <w:rFonts w:ascii="Bookman Old Style" w:hAnsi="Bookman Old Style"/>
          <w:sz w:val="22"/>
          <w:szCs w:val="22"/>
        </w:rPr>
        <w:t>MENSUAL</w:t>
      </w:r>
      <w:r w:rsidRPr="00FA4085">
        <w:rPr>
          <w:rFonts w:ascii="Bookman Old Style" w:hAnsi="Bookman Old Style"/>
          <w:sz w:val="22"/>
          <w:szCs w:val="22"/>
        </w:rPr>
        <w:tab/>
      </w:r>
      <w:r w:rsidRPr="00FA4085">
        <w:rPr>
          <w:rFonts w:ascii="Bookman Old Style" w:hAnsi="Bookman Old Style"/>
          <w:sz w:val="22"/>
          <w:szCs w:val="22"/>
        </w:rPr>
        <w:tab/>
      </w:r>
      <w:r>
        <w:rPr>
          <w:rFonts w:ascii="Bookman Old Style" w:hAnsi="Bookman Old Style"/>
          <w:sz w:val="22"/>
          <w:szCs w:val="22"/>
        </w:rPr>
        <w:tab/>
      </w:r>
      <w:r>
        <w:rPr>
          <w:rFonts w:ascii="Bookman Old Style" w:hAnsi="Bookman Old Style"/>
          <w:sz w:val="22"/>
          <w:szCs w:val="22"/>
        </w:rPr>
        <w:tab/>
      </w:r>
      <w:r w:rsidRPr="00FA4085">
        <w:rPr>
          <w:rFonts w:ascii="Bookman Old Style" w:hAnsi="Bookman Old Style"/>
          <w:sz w:val="22"/>
          <w:szCs w:val="22"/>
        </w:rPr>
        <w:t>98836</w:t>
      </w:r>
      <w:r w:rsidRPr="00FA4085">
        <w:rPr>
          <w:rFonts w:ascii="Bookman Old Style" w:hAnsi="Bookman Old Style"/>
          <w:sz w:val="22"/>
          <w:szCs w:val="22"/>
        </w:rPr>
        <w:tab/>
      </w:r>
      <w:r w:rsidRPr="00FA4085">
        <w:rPr>
          <w:rFonts w:ascii="Bookman Old Style" w:hAnsi="Bookman Old Style"/>
          <w:sz w:val="22"/>
          <w:szCs w:val="22"/>
        </w:rPr>
        <w:tab/>
        <w:t>33185</w:t>
      </w:r>
      <w:r w:rsidRPr="00FA4085">
        <w:rPr>
          <w:rFonts w:ascii="Bookman Old Style" w:hAnsi="Bookman Old Style"/>
          <w:sz w:val="22"/>
          <w:szCs w:val="22"/>
        </w:rPr>
        <w:tab/>
      </w:r>
      <w:r w:rsidRPr="00FA4085">
        <w:rPr>
          <w:rFonts w:ascii="Bookman Old Style" w:hAnsi="Bookman Old Style"/>
          <w:sz w:val="22"/>
          <w:szCs w:val="22"/>
        </w:rPr>
        <w:tab/>
      </w:r>
      <w:r w:rsidRPr="00FA4085">
        <w:rPr>
          <w:rFonts w:ascii="Bookman Old Style" w:hAnsi="Bookman Old Style"/>
          <w:sz w:val="22"/>
          <w:szCs w:val="22"/>
        </w:rPr>
        <w:tab/>
        <w:t>65650</w:t>
      </w:r>
    </w:p>
    <w:p w:rsidR="00FA4085" w:rsidRPr="00FA4085" w:rsidRDefault="00FA4085" w:rsidP="00783B84">
      <w:pPr>
        <w:pStyle w:val="Textoindependiente2"/>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left="284" w:right="284"/>
        <w:rPr>
          <w:rFonts w:ascii="Bookman Old Style" w:hAnsi="Bookman Old Style"/>
          <w:sz w:val="22"/>
          <w:szCs w:val="22"/>
        </w:rPr>
      </w:pPr>
      <w:r w:rsidRPr="00FA4085">
        <w:rPr>
          <w:rFonts w:ascii="Bookman Old Style" w:hAnsi="Bookman Old Style"/>
          <w:sz w:val="22"/>
          <w:szCs w:val="22"/>
        </w:rPr>
        <w:t>VENTA KILOS MENSUALES VENTA REAL</w:t>
      </w:r>
      <w:r w:rsidRPr="00FA4085">
        <w:rPr>
          <w:rFonts w:ascii="Bookman Old Style" w:hAnsi="Bookman Old Style"/>
          <w:sz w:val="22"/>
          <w:szCs w:val="22"/>
        </w:rPr>
        <w:tab/>
        <w:t>98.835</w:t>
      </w:r>
    </w:p>
    <w:p w:rsidR="00FA4085" w:rsidRPr="00FA4085" w:rsidRDefault="00FA4085" w:rsidP="00FA4085">
      <w:pPr>
        <w:pStyle w:val="Textoindependiente2"/>
        <w:spacing w:after="0" w:line="240" w:lineRule="auto"/>
        <w:ind w:left="284" w:right="284"/>
        <w:jc w:val="both"/>
        <w:rPr>
          <w:rFonts w:ascii="Bookman Old Style" w:hAnsi="Bookman Old Style"/>
          <w:sz w:val="22"/>
          <w:szCs w:val="22"/>
        </w:rPr>
      </w:pPr>
    </w:p>
    <w:p w:rsidR="00FA4085" w:rsidRDefault="00FA4085" w:rsidP="00FA4085">
      <w:pPr>
        <w:pStyle w:val="Textoindependiente2"/>
        <w:spacing w:after="0" w:line="240" w:lineRule="auto"/>
        <w:ind w:left="284" w:right="284"/>
        <w:jc w:val="both"/>
        <w:rPr>
          <w:rFonts w:ascii="Bookman Old Style" w:hAnsi="Bookman Old Style"/>
          <w:sz w:val="22"/>
          <w:szCs w:val="22"/>
        </w:rPr>
      </w:pPr>
      <w:r w:rsidRPr="00FA4085">
        <w:rPr>
          <w:rFonts w:ascii="Bookman Old Style" w:hAnsi="Bookman Old Style"/>
          <w:sz w:val="22"/>
          <w:szCs w:val="22"/>
        </w:rPr>
        <w:t>Esto sin tener en cuenta, que la inversión en cilindros y tanques continúa y que se hace necesario tener, GLP, para la continuidad de ampliación de mercado y abastecimiento de nuestra nueva adquisición la cual es de 2000 cilindros, de 18 Kg. (Anexo facturas y NIF), a más de ello que se han cancelado de manera religiosa las contribuciones, al igual que las obligaciones con la DIAN y demás entidades, haciendo de esta una empresa completamente legal. Que solo solicita le otorguen GLP suficiente para poder seguir creciendo, pues con lo otorgado no se cubre ni al menos los clientes de granel. Con esa asignación estamos condenados a desaparecer y como consecuencia de ello perder todos estos años de esfuerzo e inversión de cada uno de los socios.</w:t>
      </w:r>
    </w:p>
    <w:p w:rsidR="00FA4085" w:rsidRDefault="00FA4085" w:rsidP="00FA4085">
      <w:pPr>
        <w:pStyle w:val="Textoindependiente2"/>
        <w:spacing w:after="0" w:line="240" w:lineRule="auto"/>
        <w:ind w:left="284" w:right="284"/>
        <w:jc w:val="both"/>
        <w:rPr>
          <w:rFonts w:ascii="Bookman Old Style" w:hAnsi="Bookman Old Style"/>
          <w:sz w:val="22"/>
          <w:szCs w:val="22"/>
        </w:rPr>
      </w:pPr>
    </w:p>
    <w:p w:rsidR="00FA4085" w:rsidRDefault="00FA4085" w:rsidP="00FA4085">
      <w:pPr>
        <w:pStyle w:val="Textoindependiente2"/>
        <w:spacing w:after="0" w:line="240" w:lineRule="auto"/>
        <w:ind w:left="284" w:right="284"/>
        <w:jc w:val="both"/>
        <w:rPr>
          <w:rFonts w:ascii="Bookman Old Style" w:hAnsi="Bookman Old Style"/>
          <w:sz w:val="22"/>
          <w:szCs w:val="22"/>
        </w:rPr>
      </w:pPr>
      <w:r w:rsidRPr="00FA4085">
        <w:rPr>
          <w:rFonts w:ascii="Bookman Old Style" w:hAnsi="Bookman Old Style"/>
          <w:sz w:val="22"/>
          <w:szCs w:val="22"/>
        </w:rPr>
        <w:t>Teniendo en cuenta</w:t>
      </w:r>
      <w:r>
        <w:rPr>
          <w:rFonts w:ascii="Bookman Old Style" w:hAnsi="Bookman Old Style"/>
          <w:sz w:val="22"/>
          <w:szCs w:val="22"/>
        </w:rPr>
        <w:t xml:space="preserve"> lo normado</w:t>
      </w:r>
      <w:r w:rsidRPr="00FA4085">
        <w:rPr>
          <w:rFonts w:ascii="Bookman Old Style" w:hAnsi="Bookman Old Style"/>
          <w:sz w:val="22"/>
          <w:szCs w:val="22"/>
        </w:rPr>
        <w:t xml:space="preserve"> en </w:t>
      </w:r>
      <w:r>
        <w:rPr>
          <w:rFonts w:ascii="Bookman Old Style" w:hAnsi="Bookman Old Style"/>
          <w:sz w:val="22"/>
          <w:szCs w:val="22"/>
        </w:rPr>
        <w:t>los</w:t>
      </w:r>
      <w:r w:rsidRPr="00FA4085">
        <w:rPr>
          <w:rFonts w:ascii="Bookman Old Style" w:hAnsi="Bookman Old Style"/>
          <w:sz w:val="22"/>
          <w:szCs w:val="22"/>
        </w:rPr>
        <w:t xml:space="preserve"> considerandos,</w:t>
      </w:r>
      <w:r>
        <w:rPr>
          <w:rFonts w:ascii="Bookman Old Style" w:hAnsi="Bookman Old Style"/>
          <w:sz w:val="22"/>
          <w:szCs w:val="22"/>
        </w:rPr>
        <w:t xml:space="preserve"> </w:t>
      </w:r>
      <w:r w:rsidRPr="00FA4085">
        <w:rPr>
          <w:rFonts w:ascii="Bookman Old Style" w:hAnsi="Bookman Old Style"/>
          <w:sz w:val="22"/>
          <w:szCs w:val="22"/>
        </w:rPr>
        <w:t xml:space="preserve">se puede establecer que </w:t>
      </w:r>
      <w:r>
        <w:rPr>
          <w:rFonts w:ascii="Bookman Old Style" w:hAnsi="Bookman Old Style"/>
          <w:sz w:val="22"/>
          <w:szCs w:val="22"/>
        </w:rPr>
        <w:t xml:space="preserve">GAS SUPERIOR DE COLOMBIA </w:t>
      </w:r>
      <w:r w:rsidRPr="00FA4085">
        <w:rPr>
          <w:rFonts w:ascii="Bookman Old Style" w:hAnsi="Bookman Old Style"/>
          <w:sz w:val="22"/>
          <w:szCs w:val="22"/>
        </w:rPr>
        <w:t>desde</w:t>
      </w:r>
      <w:r>
        <w:rPr>
          <w:rFonts w:ascii="Bookman Old Style" w:hAnsi="Bookman Old Style"/>
          <w:sz w:val="22"/>
          <w:szCs w:val="22"/>
        </w:rPr>
        <w:t xml:space="preserve"> O</w:t>
      </w:r>
      <w:r w:rsidRPr="00FA4085">
        <w:rPr>
          <w:rFonts w:ascii="Bookman Old Style" w:hAnsi="Bookman Old Style"/>
          <w:sz w:val="22"/>
          <w:szCs w:val="22"/>
        </w:rPr>
        <w:t>ctubre</w:t>
      </w:r>
      <w:r>
        <w:rPr>
          <w:rFonts w:ascii="Bookman Old Style" w:hAnsi="Bookman Old Style"/>
          <w:sz w:val="22"/>
          <w:szCs w:val="22"/>
        </w:rPr>
        <w:t xml:space="preserve"> </w:t>
      </w:r>
      <w:r w:rsidRPr="00FA4085">
        <w:rPr>
          <w:rFonts w:ascii="Bookman Old Style" w:hAnsi="Bookman Old Style"/>
          <w:sz w:val="22"/>
          <w:szCs w:val="22"/>
        </w:rPr>
        <w:t>de</w:t>
      </w:r>
      <w:r>
        <w:rPr>
          <w:rFonts w:ascii="Bookman Old Style" w:hAnsi="Bookman Old Style"/>
          <w:sz w:val="22"/>
          <w:szCs w:val="22"/>
        </w:rPr>
        <w:t xml:space="preserve"> </w:t>
      </w:r>
      <w:r w:rsidRPr="00FA4085">
        <w:rPr>
          <w:rFonts w:ascii="Bookman Old Style" w:hAnsi="Bookman Old Style"/>
          <w:sz w:val="22"/>
          <w:szCs w:val="22"/>
        </w:rPr>
        <w:t>2018, y hasta</w:t>
      </w:r>
      <w:r>
        <w:rPr>
          <w:rFonts w:ascii="Bookman Old Style" w:hAnsi="Bookman Old Style"/>
          <w:sz w:val="22"/>
          <w:szCs w:val="22"/>
        </w:rPr>
        <w:t xml:space="preserve"> </w:t>
      </w:r>
      <w:r w:rsidRPr="00FA4085">
        <w:rPr>
          <w:rFonts w:ascii="Bookman Old Style" w:hAnsi="Bookman Old Style"/>
          <w:sz w:val="22"/>
          <w:szCs w:val="22"/>
        </w:rPr>
        <w:t>la</w:t>
      </w:r>
      <w:r>
        <w:rPr>
          <w:rFonts w:ascii="Bookman Old Style" w:hAnsi="Bookman Old Style"/>
          <w:sz w:val="22"/>
          <w:szCs w:val="22"/>
        </w:rPr>
        <w:t xml:space="preserve"> </w:t>
      </w:r>
      <w:r w:rsidRPr="00FA4085">
        <w:rPr>
          <w:rFonts w:ascii="Bookman Old Style" w:hAnsi="Bookman Old Style"/>
          <w:sz w:val="22"/>
          <w:szCs w:val="22"/>
        </w:rPr>
        <w:t>presente</w:t>
      </w:r>
      <w:r>
        <w:rPr>
          <w:rFonts w:ascii="Bookman Old Style" w:hAnsi="Bookman Old Style"/>
          <w:sz w:val="22"/>
          <w:szCs w:val="22"/>
        </w:rPr>
        <w:t xml:space="preserve"> </w:t>
      </w:r>
      <w:r w:rsidRPr="00FA4085">
        <w:rPr>
          <w:rFonts w:ascii="Bookman Old Style" w:hAnsi="Bookman Old Style"/>
          <w:sz w:val="22"/>
          <w:szCs w:val="22"/>
        </w:rPr>
        <w:t>fecha ha cumplido</w:t>
      </w:r>
      <w:r>
        <w:rPr>
          <w:rFonts w:ascii="Bookman Old Style" w:hAnsi="Bookman Old Style"/>
          <w:sz w:val="22"/>
          <w:szCs w:val="22"/>
        </w:rPr>
        <w:t xml:space="preserve"> </w:t>
      </w:r>
      <w:r w:rsidRPr="00FA4085">
        <w:rPr>
          <w:rFonts w:ascii="Bookman Old Style" w:hAnsi="Bookman Old Style"/>
          <w:sz w:val="22"/>
          <w:szCs w:val="22"/>
        </w:rPr>
        <w:t>a</w:t>
      </w:r>
      <w:r>
        <w:rPr>
          <w:rFonts w:ascii="Bookman Old Style" w:hAnsi="Bookman Old Style"/>
          <w:sz w:val="22"/>
          <w:szCs w:val="22"/>
        </w:rPr>
        <w:t xml:space="preserve"> </w:t>
      </w:r>
      <w:r w:rsidRPr="00FA4085">
        <w:rPr>
          <w:rFonts w:ascii="Bookman Old Style" w:hAnsi="Bookman Old Style"/>
          <w:sz w:val="22"/>
          <w:szCs w:val="22"/>
        </w:rPr>
        <w:t>cabalidad con la obligación de tener un parque de cilindros propiedad de la firma,</w:t>
      </w:r>
      <w:r>
        <w:rPr>
          <w:rFonts w:ascii="Bookman Old Style" w:hAnsi="Bookman Old Style"/>
          <w:sz w:val="22"/>
          <w:szCs w:val="22"/>
        </w:rPr>
        <w:t xml:space="preserve"> </w:t>
      </w:r>
      <w:r w:rsidRPr="00FA4085">
        <w:rPr>
          <w:rFonts w:ascii="Bookman Old Style" w:hAnsi="Bookman Old Style"/>
          <w:sz w:val="22"/>
          <w:szCs w:val="22"/>
        </w:rPr>
        <w:t>sin desconocer que en el año 2012,</w:t>
      </w:r>
      <w:r>
        <w:rPr>
          <w:rFonts w:ascii="Bookman Old Style" w:hAnsi="Bookman Old Style"/>
          <w:sz w:val="22"/>
          <w:szCs w:val="22"/>
        </w:rPr>
        <w:t xml:space="preserve"> </w:t>
      </w:r>
      <w:r w:rsidRPr="00FA4085">
        <w:rPr>
          <w:rFonts w:ascii="Bookman Old Style" w:hAnsi="Bookman Old Style"/>
          <w:sz w:val="22"/>
          <w:szCs w:val="22"/>
        </w:rPr>
        <w:t>según archivos se hizo compra</w:t>
      </w:r>
      <w:r>
        <w:rPr>
          <w:rFonts w:ascii="Bookman Old Style" w:hAnsi="Bookman Old Style"/>
          <w:sz w:val="22"/>
          <w:szCs w:val="22"/>
        </w:rPr>
        <w:t xml:space="preserve"> </w:t>
      </w:r>
      <w:r w:rsidRPr="00FA4085">
        <w:rPr>
          <w:rFonts w:ascii="Bookman Old Style" w:hAnsi="Bookman Old Style"/>
          <w:sz w:val="22"/>
          <w:szCs w:val="22"/>
        </w:rPr>
        <w:t>a</w:t>
      </w:r>
      <w:r>
        <w:rPr>
          <w:rFonts w:ascii="Bookman Old Style" w:hAnsi="Bookman Old Style"/>
          <w:sz w:val="22"/>
          <w:szCs w:val="22"/>
        </w:rPr>
        <w:t xml:space="preserve"> </w:t>
      </w:r>
      <w:proofErr w:type="spellStart"/>
      <w:r w:rsidRPr="00FA4085">
        <w:rPr>
          <w:rFonts w:ascii="Bookman Old Style" w:hAnsi="Bookman Old Style"/>
          <w:sz w:val="22"/>
          <w:szCs w:val="22"/>
        </w:rPr>
        <w:t>Gilgas</w:t>
      </w:r>
      <w:proofErr w:type="spellEnd"/>
      <w:r>
        <w:rPr>
          <w:rFonts w:ascii="Bookman Old Style" w:hAnsi="Bookman Old Style"/>
          <w:sz w:val="22"/>
          <w:szCs w:val="22"/>
        </w:rPr>
        <w:t xml:space="preserve"> </w:t>
      </w:r>
      <w:r w:rsidRPr="00FA4085">
        <w:rPr>
          <w:rFonts w:ascii="Bookman Old Style" w:hAnsi="Bookman Old Style"/>
          <w:sz w:val="22"/>
          <w:szCs w:val="22"/>
        </w:rPr>
        <w:t xml:space="preserve">y desde </w:t>
      </w:r>
      <w:r>
        <w:rPr>
          <w:rFonts w:ascii="Bookman Old Style" w:hAnsi="Bookman Old Style"/>
          <w:sz w:val="22"/>
          <w:szCs w:val="22"/>
        </w:rPr>
        <w:t xml:space="preserve">ahí </w:t>
      </w:r>
      <w:r w:rsidRPr="00FA4085">
        <w:rPr>
          <w:rFonts w:ascii="Bookman Old Style" w:hAnsi="Bookman Old Style"/>
          <w:sz w:val="22"/>
          <w:szCs w:val="22"/>
        </w:rPr>
        <w:t>a</w:t>
      </w:r>
      <w:r>
        <w:rPr>
          <w:rFonts w:ascii="Bookman Old Style" w:hAnsi="Bookman Old Style"/>
          <w:sz w:val="22"/>
          <w:szCs w:val="22"/>
        </w:rPr>
        <w:t xml:space="preserve"> </w:t>
      </w:r>
      <w:proofErr w:type="spellStart"/>
      <w:r w:rsidRPr="00FA4085">
        <w:rPr>
          <w:rFonts w:ascii="Bookman Old Style" w:hAnsi="Bookman Old Style"/>
          <w:sz w:val="22"/>
          <w:szCs w:val="22"/>
        </w:rPr>
        <w:t>Gidegas</w:t>
      </w:r>
      <w:proofErr w:type="spellEnd"/>
      <w:r w:rsidRPr="00FA4085">
        <w:rPr>
          <w:rFonts w:ascii="Bookman Old Style" w:hAnsi="Bookman Old Style"/>
          <w:sz w:val="22"/>
          <w:szCs w:val="22"/>
        </w:rPr>
        <w:t xml:space="preserve"> Hasta llegar</w:t>
      </w:r>
      <w:r>
        <w:rPr>
          <w:rFonts w:ascii="Bookman Old Style" w:hAnsi="Bookman Old Style"/>
          <w:sz w:val="22"/>
          <w:szCs w:val="22"/>
        </w:rPr>
        <w:t xml:space="preserve"> </w:t>
      </w:r>
      <w:r w:rsidRPr="00FA4085">
        <w:rPr>
          <w:rFonts w:ascii="Bookman Old Style" w:hAnsi="Bookman Old Style"/>
          <w:sz w:val="22"/>
          <w:szCs w:val="22"/>
        </w:rPr>
        <w:t>a</w:t>
      </w:r>
      <w:r>
        <w:rPr>
          <w:rFonts w:ascii="Bookman Old Style" w:hAnsi="Bookman Old Style"/>
          <w:sz w:val="22"/>
          <w:szCs w:val="22"/>
        </w:rPr>
        <w:t xml:space="preserve"> </w:t>
      </w:r>
      <w:r w:rsidRPr="00FA4085">
        <w:rPr>
          <w:rFonts w:ascii="Bookman Old Style" w:hAnsi="Bookman Old Style"/>
          <w:sz w:val="22"/>
          <w:szCs w:val="22"/>
        </w:rPr>
        <w:t>la compra de 2000 cilindros de 18 kl,</w:t>
      </w:r>
      <w:r>
        <w:rPr>
          <w:rFonts w:ascii="Bookman Old Style" w:hAnsi="Bookman Old Style"/>
          <w:sz w:val="22"/>
          <w:szCs w:val="22"/>
        </w:rPr>
        <w:t xml:space="preserve"> </w:t>
      </w:r>
      <w:r w:rsidRPr="00FA4085">
        <w:rPr>
          <w:rFonts w:ascii="Bookman Old Style" w:hAnsi="Bookman Old Style"/>
          <w:sz w:val="22"/>
          <w:szCs w:val="22"/>
        </w:rPr>
        <w:t>en junio de 2018,</w:t>
      </w:r>
      <w:r>
        <w:rPr>
          <w:rFonts w:ascii="Bookman Old Style" w:hAnsi="Bookman Old Style"/>
          <w:sz w:val="22"/>
          <w:szCs w:val="22"/>
        </w:rPr>
        <w:t xml:space="preserve"> </w:t>
      </w:r>
      <w:r w:rsidRPr="00FA4085">
        <w:rPr>
          <w:rFonts w:ascii="Bookman Old Style" w:hAnsi="Bookman Old Style"/>
          <w:sz w:val="22"/>
          <w:szCs w:val="22"/>
        </w:rPr>
        <w:t>para continuar con el proceso de inversión</w:t>
      </w:r>
      <w:r>
        <w:rPr>
          <w:rFonts w:ascii="Bookman Old Style" w:hAnsi="Bookman Old Style"/>
          <w:sz w:val="22"/>
          <w:szCs w:val="22"/>
        </w:rPr>
        <w:t xml:space="preserve"> </w:t>
      </w:r>
      <w:r w:rsidRPr="00FA4085">
        <w:rPr>
          <w:rFonts w:ascii="Bookman Old Style" w:hAnsi="Bookman Old Style"/>
          <w:sz w:val="22"/>
          <w:szCs w:val="22"/>
        </w:rPr>
        <w:t>y</w:t>
      </w:r>
      <w:r>
        <w:rPr>
          <w:rFonts w:ascii="Bookman Old Style" w:hAnsi="Bookman Old Style"/>
          <w:sz w:val="22"/>
          <w:szCs w:val="22"/>
        </w:rPr>
        <w:t xml:space="preserve"> </w:t>
      </w:r>
      <w:r w:rsidRPr="00FA4085">
        <w:rPr>
          <w:rFonts w:ascii="Bookman Old Style" w:hAnsi="Bookman Old Style"/>
          <w:sz w:val="22"/>
          <w:szCs w:val="22"/>
        </w:rPr>
        <w:t>crecimiento</w:t>
      </w:r>
      <w:r w:rsidR="002E27A0">
        <w:rPr>
          <w:rFonts w:ascii="Bookman Old Style" w:hAnsi="Bookman Old Style"/>
          <w:sz w:val="22"/>
          <w:szCs w:val="22"/>
        </w:rPr>
        <w:t>.</w:t>
      </w:r>
    </w:p>
    <w:p w:rsidR="002E27A0" w:rsidRPr="00FA4085" w:rsidRDefault="002E27A0" w:rsidP="00FA4085">
      <w:pPr>
        <w:pStyle w:val="Textoindependiente2"/>
        <w:spacing w:after="0" w:line="240" w:lineRule="auto"/>
        <w:ind w:left="284" w:right="284"/>
        <w:jc w:val="both"/>
        <w:rPr>
          <w:rFonts w:ascii="Bookman Old Style" w:hAnsi="Bookman Old Style"/>
          <w:sz w:val="22"/>
          <w:szCs w:val="22"/>
        </w:rPr>
      </w:pPr>
    </w:p>
    <w:p w:rsidR="000E312A" w:rsidRDefault="000E312A" w:rsidP="00FA4085">
      <w:pPr>
        <w:pStyle w:val="Textoindependiente2"/>
        <w:spacing w:after="0" w:line="240" w:lineRule="auto"/>
        <w:ind w:left="284" w:right="284"/>
        <w:jc w:val="both"/>
        <w:rPr>
          <w:rFonts w:ascii="Bookman Old Style" w:hAnsi="Bookman Old Style"/>
          <w:sz w:val="22"/>
          <w:szCs w:val="22"/>
        </w:rPr>
      </w:pPr>
    </w:p>
    <w:p w:rsidR="00FA4085" w:rsidRPr="00FA4085" w:rsidRDefault="00FA4085" w:rsidP="00FA4085">
      <w:pPr>
        <w:pStyle w:val="Textoindependiente2"/>
        <w:spacing w:after="0" w:line="240" w:lineRule="auto"/>
        <w:ind w:left="284" w:right="284"/>
        <w:jc w:val="both"/>
        <w:rPr>
          <w:rFonts w:ascii="Bookman Old Style" w:hAnsi="Bookman Old Style"/>
          <w:sz w:val="22"/>
          <w:szCs w:val="22"/>
        </w:rPr>
      </w:pPr>
      <w:r w:rsidRPr="00FA4085">
        <w:rPr>
          <w:rFonts w:ascii="Bookman Old Style" w:hAnsi="Bookman Old Style"/>
          <w:sz w:val="22"/>
          <w:szCs w:val="22"/>
        </w:rPr>
        <w:lastRenderedPageBreak/>
        <w:t>Por mala interpretación de</w:t>
      </w:r>
      <w:r w:rsidR="000E312A">
        <w:rPr>
          <w:rFonts w:ascii="Bookman Old Style" w:hAnsi="Bookman Old Style"/>
          <w:sz w:val="22"/>
          <w:szCs w:val="22"/>
        </w:rPr>
        <w:t xml:space="preserve"> </w:t>
      </w:r>
      <w:r w:rsidRPr="00FA4085">
        <w:rPr>
          <w:rFonts w:ascii="Bookman Old Style" w:hAnsi="Bookman Old Style"/>
          <w:sz w:val="22"/>
          <w:szCs w:val="22"/>
        </w:rPr>
        <w:t>la</w:t>
      </w:r>
      <w:r w:rsidR="000E312A">
        <w:rPr>
          <w:rFonts w:ascii="Bookman Old Style" w:hAnsi="Bookman Old Style"/>
          <w:sz w:val="22"/>
          <w:szCs w:val="22"/>
        </w:rPr>
        <w:t xml:space="preserve"> resolución</w:t>
      </w:r>
      <w:r w:rsidRPr="00FA4085">
        <w:rPr>
          <w:rFonts w:ascii="Bookman Old Style" w:hAnsi="Bookman Old Style"/>
          <w:sz w:val="22"/>
          <w:szCs w:val="22"/>
        </w:rPr>
        <w:t xml:space="preserve"> </w:t>
      </w:r>
      <w:r w:rsidR="000E312A">
        <w:rPr>
          <w:rFonts w:ascii="Bookman Old Style" w:hAnsi="Bookman Old Style"/>
          <w:sz w:val="22"/>
          <w:szCs w:val="22"/>
        </w:rPr>
        <w:t>CREG</w:t>
      </w:r>
      <w:r w:rsidRPr="00FA4085">
        <w:rPr>
          <w:rFonts w:ascii="Bookman Old Style" w:hAnsi="Bookman Old Style"/>
          <w:sz w:val="22"/>
          <w:szCs w:val="22"/>
        </w:rPr>
        <w:t xml:space="preserve"> y actuando de buena </w:t>
      </w:r>
      <w:r w:rsidR="000E312A">
        <w:rPr>
          <w:rFonts w:ascii="Bookman Old Style" w:hAnsi="Bookman Old Style"/>
          <w:sz w:val="22"/>
          <w:szCs w:val="22"/>
        </w:rPr>
        <w:t>fe</w:t>
      </w:r>
      <w:r w:rsidRPr="00FA4085">
        <w:rPr>
          <w:rFonts w:ascii="Bookman Old Style" w:hAnsi="Bookman Old Style"/>
          <w:sz w:val="22"/>
          <w:szCs w:val="22"/>
        </w:rPr>
        <w:t xml:space="preserve"> cuando la</w:t>
      </w:r>
    </w:p>
    <w:p w:rsidR="00FA4085" w:rsidRDefault="00FA4085" w:rsidP="00FA4085">
      <w:pPr>
        <w:pStyle w:val="Textoindependiente2"/>
        <w:spacing w:after="0" w:line="240" w:lineRule="auto"/>
        <w:ind w:left="284" w:right="284"/>
        <w:jc w:val="both"/>
        <w:rPr>
          <w:rFonts w:ascii="Bookman Old Style" w:hAnsi="Bookman Old Style"/>
          <w:sz w:val="22"/>
          <w:szCs w:val="22"/>
        </w:rPr>
      </w:pPr>
      <w:proofErr w:type="gramStart"/>
      <w:r w:rsidRPr="00FA4085">
        <w:rPr>
          <w:rFonts w:ascii="Bookman Old Style" w:hAnsi="Bookman Old Style"/>
          <w:sz w:val="22"/>
          <w:szCs w:val="22"/>
        </w:rPr>
        <w:t>planta</w:t>
      </w:r>
      <w:proofErr w:type="gramEnd"/>
      <w:r w:rsidRPr="00FA4085">
        <w:rPr>
          <w:rFonts w:ascii="Bookman Old Style" w:hAnsi="Bookman Old Style"/>
          <w:sz w:val="22"/>
          <w:szCs w:val="22"/>
        </w:rPr>
        <w:t xml:space="preserve"> envasador</w:t>
      </w:r>
      <w:r w:rsidR="000E312A">
        <w:rPr>
          <w:rFonts w:ascii="Bookman Old Style" w:hAnsi="Bookman Old Style"/>
          <w:sz w:val="22"/>
          <w:szCs w:val="22"/>
        </w:rPr>
        <w:t xml:space="preserve">a fue </w:t>
      </w:r>
      <w:r w:rsidRPr="00FA4085">
        <w:rPr>
          <w:rFonts w:ascii="Bookman Old Style" w:hAnsi="Bookman Old Style"/>
          <w:sz w:val="22"/>
          <w:szCs w:val="22"/>
        </w:rPr>
        <w:t>comprada se nos hizo entregado 5588 cilindros de 15 kl readecuados, cilindros que fueron enviados a empresa INGGMET GAG, para verificación de estado técnico,</w:t>
      </w:r>
      <w:r w:rsidR="000E312A">
        <w:rPr>
          <w:rFonts w:ascii="Bookman Old Style" w:hAnsi="Bookman Old Style"/>
          <w:sz w:val="22"/>
          <w:szCs w:val="22"/>
        </w:rPr>
        <w:t xml:space="preserve"> </w:t>
      </w:r>
      <w:r w:rsidRPr="00FA4085">
        <w:rPr>
          <w:rFonts w:ascii="Bookman Old Style" w:hAnsi="Bookman Old Style"/>
          <w:sz w:val="22"/>
          <w:szCs w:val="22"/>
        </w:rPr>
        <w:t>se les hizo mantenimiento</w:t>
      </w:r>
      <w:r w:rsidR="000E312A">
        <w:rPr>
          <w:rFonts w:ascii="Bookman Old Style" w:hAnsi="Bookman Old Style"/>
          <w:sz w:val="22"/>
          <w:szCs w:val="22"/>
        </w:rPr>
        <w:t xml:space="preserve"> </w:t>
      </w:r>
      <w:r w:rsidRPr="00FA4085">
        <w:rPr>
          <w:rFonts w:ascii="Bookman Old Style" w:hAnsi="Bookman Old Style"/>
          <w:sz w:val="22"/>
          <w:szCs w:val="22"/>
        </w:rPr>
        <w:t>y</w:t>
      </w:r>
      <w:r w:rsidR="000E312A">
        <w:rPr>
          <w:rFonts w:ascii="Bookman Old Style" w:hAnsi="Bookman Old Style"/>
          <w:sz w:val="22"/>
          <w:szCs w:val="22"/>
        </w:rPr>
        <w:t xml:space="preserve"> </w:t>
      </w:r>
      <w:r w:rsidRPr="00FA4085">
        <w:rPr>
          <w:rFonts w:ascii="Bookman Old Style" w:hAnsi="Bookman Old Style"/>
          <w:sz w:val="22"/>
          <w:szCs w:val="22"/>
        </w:rPr>
        <w:t xml:space="preserve">esta firma nos manifiesta que estos cilindros </w:t>
      </w:r>
      <w:r w:rsidR="000E312A" w:rsidRPr="00FA4085">
        <w:rPr>
          <w:rFonts w:ascii="Bookman Old Style" w:hAnsi="Bookman Old Style"/>
          <w:sz w:val="22"/>
          <w:szCs w:val="22"/>
        </w:rPr>
        <w:t>habían</w:t>
      </w:r>
      <w:r w:rsidRPr="00FA4085">
        <w:rPr>
          <w:rFonts w:ascii="Bookman Old Style" w:hAnsi="Bookman Old Style"/>
          <w:sz w:val="22"/>
          <w:szCs w:val="22"/>
        </w:rPr>
        <w:t xml:space="preserve"> sido Inscritos Con la sorpresa de que nuestro auditor la firma </w:t>
      </w:r>
      <w:r w:rsidR="000E312A">
        <w:rPr>
          <w:rFonts w:ascii="Bookman Old Style" w:hAnsi="Bookman Old Style"/>
          <w:sz w:val="22"/>
          <w:szCs w:val="22"/>
        </w:rPr>
        <w:t>ASPED CONSULTORES</w:t>
      </w:r>
      <w:r w:rsidRPr="00FA4085">
        <w:rPr>
          <w:rFonts w:ascii="Bookman Old Style" w:hAnsi="Bookman Old Style"/>
          <w:sz w:val="22"/>
          <w:szCs w:val="22"/>
        </w:rPr>
        <w:t>, nos manifiesta que esto no esté registrado por cuanto no era procedente.</w:t>
      </w:r>
    </w:p>
    <w:p w:rsidR="000E312A" w:rsidRPr="00FA4085" w:rsidRDefault="000E312A" w:rsidP="00FA4085">
      <w:pPr>
        <w:pStyle w:val="Textoindependiente2"/>
        <w:spacing w:after="0" w:line="240" w:lineRule="auto"/>
        <w:ind w:left="284" w:right="284"/>
        <w:jc w:val="both"/>
        <w:rPr>
          <w:rFonts w:ascii="Bookman Old Style" w:hAnsi="Bookman Old Style"/>
          <w:sz w:val="22"/>
          <w:szCs w:val="22"/>
        </w:rPr>
      </w:pPr>
    </w:p>
    <w:p w:rsidR="00FA4085" w:rsidRPr="00FA4085" w:rsidRDefault="000E312A" w:rsidP="00FA4085">
      <w:pPr>
        <w:pStyle w:val="Textoindependiente2"/>
        <w:spacing w:after="0" w:line="240" w:lineRule="auto"/>
        <w:ind w:left="284" w:right="284"/>
        <w:jc w:val="both"/>
        <w:rPr>
          <w:rFonts w:ascii="Bookman Old Style" w:hAnsi="Bookman Old Style"/>
          <w:sz w:val="22"/>
          <w:szCs w:val="22"/>
        </w:rPr>
      </w:pPr>
      <w:r>
        <w:rPr>
          <w:rFonts w:ascii="Bookman Old Style" w:hAnsi="Bookman Old Style"/>
          <w:sz w:val="22"/>
          <w:szCs w:val="22"/>
        </w:rPr>
        <w:t xml:space="preserve">(…) </w:t>
      </w:r>
    </w:p>
    <w:p w:rsidR="000E312A" w:rsidRDefault="000E312A" w:rsidP="00FA4085">
      <w:pPr>
        <w:pStyle w:val="Textoindependiente2"/>
        <w:spacing w:after="0" w:line="240" w:lineRule="auto"/>
        <w:ind w:left="284" w:right="284"/>
        <w:jc w:val="both"/>
        <w:rPr>
          <w:rFonts w:ascii="Bookman Old Style" w:hAnsi="Bookman Old Style"/>
          <w:sz w:val="22"/>
          <w:szCs w:val="22"/>
        </w:rPr>
      </w:pPr>
    </w:p>
    <w:p w:rsidR="00494422" w:rsidRDefault="000E312A" w:rsidP="000E312A">
      <w:pPr>
        <w:pStyle w:val="Textoindependiente2"/>
        <w:spacing w:after="0" w:line="240" w:lineRule="auto"/>
        <w:ind w:left="284" w:right="284"/>
        <w:jc w:val="both"/>
        <w:rPr>
          <w:rFonts w:ascii="Bookman Old Style" w:hAnsi="Bookman Old Style" w:cs="Arial"/>
          <w:i/>
          <w:sz w:val="22"/>
          <w:szCs w:val="22"/>
        </w:rPr>
      </w:pPr>
      <w:r>
        <w:rPr>
          <w:rFonts w:ascii="Bookman Old Style" w:hAnsi="Bookman Old Style"/>
          <w:sz w:val="22"/>
          <w:szCs w:val="22"/>
        </w:rPr>
        <w:t>C</w:t>
      </w:r>
      <w:r w:rsidR="00FA4085" w:rsidRPr="00FA4085">
        <w:rPr>
          <w:rFonts w:ascii="Bookman Old Style" w:hAnsi="Bookman Old Style"/>
          <w:sz w:val="22"/>
          <w:szCs w:val="22"/>
        </w:rPr>
        <w:t xml:space="preserve">on la cantidad de Kilos asignada se nos </w:t>
      </w:r>
      <w:r w:rsidRPr="00FA4085">
        <w:rPr>
          <w:rFonts w:ascii="Bookman Old Style" w:hAnsi="Bookman Old Style"/>
          <w:sz w:val="22"/>
          <w:szCs w:val="22"/>
        </w:rPr>
        <w:t>está</w:t>
      </w:r>
      <w:r w:rsidR="00FA4085" w:rsidRPr="00FA4085">
        <w:rPr>
          <w:rFonts w:ascii="Bookman Old Style" w:hAnsi="Bookman Old Style"/>
          <w:sz w:val="22"/>
          <w:szCs w:val="22"/>
        </w:rPr>
        <w:t xml:space="preserve"> impidiendo continuar en el mercado, y consideramos que se estén patrocinando por parte de la </w:t>
      </w:r>
      <w:r>
        <w:rPr>
          <w:rFonts w:ascii="Bookman Old Style" w:hAnsi="Bookman Old Style"/>
          <w:sz w:val="22"/>
          <w:szCs w:val="22"/>
        </w:rPr>
        <w:t>CREG</w:t>
      </w:r>
      <w:r w:rsidR="00FA4085" w:rsidRPr="00FA4085">
        <w:rPr>
          <w:rFonts w:ascii="Bookman Old Style" w:hAnsi="Bookman Old Style"/>
          <w:sz w:val="22"/>
          <w:szCs w:val="22"/>
        </w:rPr>
        <w:t>, el monopolio, pues solo garantiza el mercado a comercializadoras y distribuidores de capitales económicos exorbitantes, que gozan de una posición dominante en el mercado del GLP,</w:t>
      </w:r>
      <w:r>
        <w:rPr>
          <w:rFonts w:ascii="Bookman Old Style" w:hAnsi="Bookman Old Style"/>
          <w:sz w:val="22"/>
          <w:szCs w:val="22"/>
        </w:rPr>
        <w:t xml:space="preserve"> </w:t>
      </w:r>
      <w:r w:rsidR="00FA4085" w:rsidRPr="00FA4085">
        <w:rPr>
          <w:rFonts w:ascii="Bookman Old Style" w:hAnsi="Bookman Old Style"/>
          <w:sz w:val="22"/>
          <w:szCs w:val="22"/>
        </w:rPr>
        <w:t xml:space="preserve">pues </w:t>
      </w:r>
      <w:r>
        <w:rPr>
          <w:rFonts w:ascii="Bookman Old Style" w:hAnsi="Bookman Old Style"/>
          <w:sz w:val="22"/>
          <w:szCs w:val="22"/>
        </w:rPr>
        <w:t xml:space="preserve">entrarían </w:t>
      </w:r>
      <w:r w:rsidR="00FA4085" w:rsidRPr="00FA4085">
        <w:rPr>
          <w:rFonts w:ascii="Bookman Old Style" w:hAnsi="Bookman Old Style"/>
          <w:sz w:val="22"/>
          <w:szCs w:val="22"/>
        </w:rPr>
        <w:t>a</w:t>
      </w:r>
      <w:r>
        <w:rPr>
          <w:rFonts w:ascii="Bookman Old Style" w:hAnsi="Bookman Old Style"/>
          <w:sz w:val="22"/>
          <w:szCs w:val="22"/>
        </w:rPr>
        <w:t xml:space="preserve"> </w:t>
      </w:r>
      <w:r w:rsidR="00FA4085" w:rsidRPr="00FA4085">
        <w:rPr>
          <w:rFonts w:ascii="Bookman Old Style" w:hAnsi="Bookman Old Style"/>
          <w:sz w:val="22"/>
          <w:szCs w:val="22"/>
        </w:rPr>
        <w:t>ser</w:t>
      </w:r>
      <w:r>
        <w:rPr>
          <w:rFonts w:ascii="Bookman Old Style" w:hAnsi="Bookman Old Style"/>
          <w:sz w:val="22"/>
          <w:szCs w:val="22"/>
        </w:rPr>
        <w:t xml:space="preserve"> bs únicos oferentes (…)</w:t>
      </w:r>
      <w:r>
        <w:rPr>
          <w:rFonts w:ascii="Bookman Old Style" w:hAnsi="Bookman Old Style" w:cs="Arial"/>
          <w:i/>
          <w:sz w:val="22"/>
          <w:szCs w:val="22"/>
        </w:rPr>
        <w:t xml:space="preserve">” </w:t>
      </w:r>
    </w:p>
    <w:p w:rsidR="004454DA" w:rsidRDefault="004454DA" w:rsidP="004454DA">
      <w:pPr>
        <w:ind w:left="0" w:right="284"/>
        <w:jc w:val="both"/>
        <w:rPr>
          <w:rFonts w:ascii="Bookman Old Style" w:hAnsi="Bookman Old Style" w:cs="Arial"/>
          <w:i/>
          <w:sz w:val="22"/>
          <w:szCs w:val="22"/>
        </w:rPr>
      </w:pPr>
    </w:p>
    <w:p w:rsidR="00B12F18" w:rsidRPr="004454DA" w:rsidRDefault="004454DA" w:rsidP="00FE2354">
      <w:pPr>
        <w:pStyle w:val="Textoindependiente2"/>
        <w:spacing w:after="0" w:line="240" w:lineRule="auto"/>
        <w:ind w:left="-142" w:right="-142"/>
        <w:jc w:val="both"/>
        <w:rPr>
          <w:rFonts w:ascii="Bookman Old Style" w:hAnsi="Bookman Old Style"/>
        </w:rPr>
      </w:pPr>
      <w:r w:rsidRPr="004454DA">
        <w:rPr>
          <w:rFonts w:ascii="Bookman Old Style" w:hAnsi="Bookman Old Style" w:cs="Arial"/>
        </w:rPr>
        <w:t>Adicionalme</w:t>
      </w:r>
      <w:r w:rsidRPr="004454DA">
        <w:rPr>
          <w:rFonts w:ascii="Bookman Old Style" w:hAnsi="Bookman Old Style"/>
        </w:rPr>
        <w:t xml:space="preserve">nte, </w:t>
      </w:r>
      <w:r w:rsidR="000E312A">
        <w:rPr>
          <w:rFonts w:ascii="Bookman Old Style" w:hAnsi="Bookman Old Style"/>
        </w:rPr>
        <w:t>Gas Superior</w:t>
      </w:r>
      <w:r w:rsidRPr="004454DA">
        <w:rPr>
          <w:rFonts w:ascii="Bookman Old Style" w:hAnsi="Bookman Old Style"/>
        </w:rPr>
        <w:t xml:space="preserve"> solicita se tenga como prueba </w:t>
      </w:r>
      <w:r>
        <w:rPr>
          <w:rFonts w:ascii="Bookman Old Style" w:hAnsi="Bookman Old Style"/>
        </w:rPr>
        <w:t xml:space="preserve">y soporte de sus </w:t>
      </w:r>
      <w:r w:rsidRPr="00FE2354">
        <w:rPr>
          <w:rFonts w:ascii="Bookman Old Style" w:hAnsi="Bookman Old Style"/>
          <w:szCs w:val="27"/>
        </w:rPr>
        <w:t>argumentos</w:t>
      </w:r>
      <w:r>
        <w:rPr>
          <w:rFonts w:ascii="Bookman Old Style" w:hAnsi="Bookman Old Style"/>
        </w:rPr>
        <w:t xml:space="preserve"> certificaciones cargue al SUI de cilindros y tanques estacionarios, </w:t>
      </w:r>
      <w:r w:rsidR="000E312A">
        <w:rPr>
          <w:rFonts w:ascii="Bookman Old Style" w:hAnsi="Bookman Old Style"/>
        </w:rPr>
        <w:t>así como facturas de mantenimiento y compras de cilindros, así como</w:t>
      </w:r>
      <w:r>
        <w:rPr>
          <w:rFonts w:ascii="Bookman Old Style" w:hAnsi="Bookman Old Style"/>
        </w:rPr>
        <w:t xml:space="preserve"> gestiones en este sentido llevadas a cabo ante la Superintendencia de Servicios Públicos Domiciliarios.</w:t>
      </w:r>
    </w:p>
    <w:p w:rsidR="0045042D" w:rsidRPr="004454DA" w:rsidRDefault="0045042D" w:rsidP="004454DA">
      <w:pPr>
        <w:ind w:left="284" w:right="284"/>
        <w:jc w:val="both"/>
        <w:rPr>
          <w:rFonts w:ascii="Bookman Old Style" w:hAnsi="Bookman Old Style" w:cs="Arial"/>
          <w:i/>
          <w:sz w:val="22"/>
          <w:szCs w:val="22"/>
        </w:rPr>
      </w:pPr>
    </w:p>
    <w:p w:rsidR="00EE6670" w:rsidRPr="00EE6670" w:rsidRDefault="00EE6670" w:rsidP="00EE6670">
      <w:pPr>
        <w:pStyle w:val="Textoindependiente2"/>
        <w:spacing w:after="0" w:line="240" w:lineRule="auto"/>
        <w:ind w:left="-142" w:right="-142"/>
        <w:jc w:val="both"/>
        <w:rPr>
          <w:rFonts w:ascii="Bookman Old Style" w:hAnsi="Bookman Old Style"/>
          <w:b/>
          <w:szCs w:val="27"/>
        </w:rPr>
      </w:pPr>
      <w:r w:rsidRPr="00EE6670">
        <w:rPr>
          <w:rFonts w:ascii="Bookman Old Style" w:hAnsi="Bookman Old Style"/>
          <w:b/>
          <w:szCs w:val="27"/>
        </w:rPr>
        <w:t>3. Decreto y práctica de pruebas de oficio por parte de la CREG</w:t>
      </w:r>
    </w:p>
    <w:p w:rsidR="00EE6670" w:rsidRPr="00EE6670" w:rsidRDefault="00EE6670" w:rsidP="00EE6670">
      <w:pPr>
        <w:pStyle w:val="Textoindependiente2"/>
        <w:spacing w:after="0" w:line="240" w:lineRule="auto"/>
        <w:ind w:left="-142" w:right="-142"/>
        <w:jc w:val="both"/>
        <w:rPr>
          <w:rFonts w:ascii="Bookman Old Style" w:hAnsi="Bookman Old Style"/>
          <w:szCs w:val="27"/>
        </w:rPr>
      </w:pPr>
    </w:p>
    <w:p w:rsidR="00EE6670" w:rsidRPr="00EE6670"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Teniendo en cuenta que dentro de los argumentos expuestos por la empresa a efectos de sustentar su recurso de reposición se encontraban elementos relacionados con una posible diferencia de información del Sistema Único de Información – SUI</w:t>
      </w:r>
      <w:r w:rsidR="004D7892">
        <w:rPr>
          <w:rFonts w:ascii="Bookman Old Style" w:hAnsi="Bookman Old Style"/>
          <w:szCs w:val="27"/>
        </w:rPr>
        <w:t>,</w:t>
      </w:r>
      <w:r w:rsidRPr="00EE6670">
        <w:rPr>
          <w:rFonts w:ascii="Bookman Old Style" w:hAnsi="Bookman Old Style"/>
          <w:szCs w:val="27"/>
        </w:rPr>
        <w:t xml:space="preserve"> en relación con el número </w:t>
      </w:r>
      <w:r w:rsidR="007D1246">
        <w:rPr>
          <w:rFonts w:ascii="Bookman Old Style" w:hAnsi="Bookman Old Style"/>
          <w:szCs w:val="27"/>
        </w:rPr>
        <w:t xml:space="preserve">de cilindros marcados y de </w:t>
      </w:r>
      <w:r w:rsidR="004D7892">
        <w:rPr>
          <w:rFonts w:ascii="Bookman Old Style" w:hAnsi="Bookman Old Style"/>
          <w:szCs w:val="27"/>
        </w:rPr>
        <w:t>tanques estacionarios</w:t>
      </w:r>
      <w:r w:rsidRPr="00EE6670">
        <w:rPr>
          <w:rFonts w:ascii="Bookman Old Style" w:hAnsi="Bookman Old Style"/>
          <w:szCs w:val="27"/>
        </w:rPr>
        <w:t xml:space="preserve"> efectivamente reportados por </w:t>
      </w:r>
      <w:r w:rsidR="000E312A">
        <w:rPr>
          <w:rFonts w:ascii="Bookman Old Style" w:hAnsi="Bookman Old Style"/>
          <w:szCs w:val="27"/>
        </w:rPr>
        <w:t>Gas Superior de Colombia</w:t>
      </w:r>
      <w:r w:rsidR="00B13E0A">
        <w:rPr>
          <w:rFonts w:ascii="Bookman Old Style" w:hAnsi="Bookman Old Style"/>
          <w:szCs w:val="27"/>
        </w:rPr>
        <w:t xml:space="preserve">, </w:t>
      </w:r>
      <w:r w:rsidR="000E4A6C">
        <w:rPr>
          <w:rFonts w:ascii="Bookman Old Style" w:hAnsi="Bookman Old Style"/>
          <w:szCs w:val="27"/>
        </w:rPr>
        <w:t xml:space="preserve">por lo que </w:t>
      </w:r>
      <w:r w:rsidR="004D7892">
        <w:rPr>
          <w:rFonts w:ascii="Bookman Old Style" w:hAnsi="Bookman Old Style"/>
          <w:szCs w:val="27"/>
        </w:rPr>
        <w:t>esta Comisión de acuerdo con las</w:t>
      </w:r>
      <w:r w:rsidRPr="00EE6670">
        <w:rPr>
          <w:rFonts w:ascii="Bookman Old Style" w:hAnsi="Bookman Old Style"/>
          <w:szCs w:val="27"/>
        </w:rPr>
        <w:t xml:space="preserve"> facultades </w:t>
      </w:r>
      <w:r w:rsidR="004D7892">
        <w:rPr>
          <w:rFonts w:ascii="Bookman Old Style" w:hAnsi="Bookman Old Style"/>
          <w:szCs w:val="27"/>
        </w:rPr>
        <w:t xml:space="preserve">con las que cuenta en </w:t>
      </w:r>
      <w:r w:rsidRPr="00EE6670">
        <w:rPr>
          <w:rFonts w:ascii="Bookman Old Style" w:hAnsi="Bookman Old Style"/>
          <w:szCs w:val="27"/>
        </w:rPr>
        <w:t xml:space="preserve">materia probatoria, previstas en la Ley 142 de 1994, procedió a decretar de manera oficiosa la práctica de pruebas, para lo cual expidió el Auto I-2016-003755 en el cual se solicitó a la Superintendencia de Servicios Públicos Domiciliarios, en calidad de administrador de dicha herramienta, lo siguiente: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Pr>
          <w:rFonts w:ascii="Bookman Old Style" w:hAnsi="Bookman Old Style" w:cs="Arial"/>
          <w:i/>
          <w:sz w:val="22"/>
          <w:szCs w:val="22"/>
        </w:rPr>
        <w:t>“</w:t>
      </w:r>
      <w:r w:rsidRPr="00EE6670">
        <w:rPr>
          <w:rFonts w:ascii="Bookman Old Style" w:hAnsi="Bookman Old Style" w:cs="Arial"/>
          <w:i/>
          <w:sz w:val="22"/>
          <w:szCs w:val="22"/>
        </w:rPr>
        <w:t>Artículo 1. Decretar de manera oficiosa la práctica de las siguientes pruebas a efectos de que esta Comisión pueda resolver los recursos de reposición interpuestos en contra de las resoluciones CREG 075 y 089 de 2016:</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Oficiar a la Superintendencia de Servicios Públicos Domiciliarios para que en el término de quince (15) días hábiles siguientes al recibo de la presente comunicación manifieste e informe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reportes y pantallazos que se adjuntan en los recursos de reposición por parte de las empresas.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Así mismo, manifestar e informar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w:t>
      </w:r>
      <w:r w:rsidRPr="00EE6670">
        <w:rPr>
          <w:rFonts w:ascii="Bookman Old Style" w:hAnsi="Bookman Old Style" w:cs="Arial"/>
          <w:i/>
          <w:sz w:val="22"/>
          <w:szCs w:val="22"/>
        </w:rPr>
        <w:lastRenderedPageBreak/>
        <w:t>distribuidores de GLP ante la Superintendencia, desde el año 2012 hasta el 15 de mayo de 2016, con respecto a los informes de cesión de marcas realizados a la Superintendencia por parte de las empresas distribuidoras de acuerdo con los soportes adjuntos en los recursos de reposición.</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Para el efecto se remitirá a la Superintendencia la información del archivo Excel correspondiente al radicado CREG E-2016-005769, así como copia de los recursos de reposición interpuestos en contra de las resoluciones CREG 075 y 089 de 2016.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EE6670" w:rsidRPr="00EE6670" w:rsidRDefault="00EE6670" w:rsidP="00EE6670">
      <w:pPr>
        <w:ind w:left="284" w:right="284"/>
        <w:jc w:val="both"/>
        <w:rPr>
          <w:rFonts w:ascii="Bookman Old Style" w:hAnsi="Bookman Old Style" w:cs="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42"/>
        <w:gridCol w:w="2929"/>
      </w:tblGrid>
      <w:tr w:rsidR="006B1C94" w:rsidRPr="006B1C94" w:rsidTr="006B1C94">
        <w:trPr>
          <w:jc w:val="center"/>
        </w:trPr>
        <w:tc>
          <w:tcPr>
            <w:tcW w:w="2408"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Identificador de empresa (código SUI)</w:t>
            </w:r>
          </w:p>
        </w:tc>
        <w:tc>
          <w:tcPr>
            <w:tcW w:w="2442"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Código de presentación del cilindro</w:t>
            </w:r>
          </w:p>
        </w:tc>
        <w:tc>
          <w:tcPr>
            <w:tcW w:w="2929"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 xml:space="preserve">Cantidad de cilindros por cada código de presentación </w:t>
            </w:r>
          </w:p>
        </w:tc>
      </w:tr>
    </w:tbl>
    <w:p w:rsidR="00EE6670" w:rsidRDefault="00EE6670" w:rsidP="00EE6670">
      <w:pPr>
        <w:pStyle w:val="Textoindependiente"/>
        <w:rPr>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remitir la información de tanques estacionarios atendidos por cada distribuidor y su capacidad en galones correspondiente al año 2015 de acuerdo con lo reportado a la Superintendencia de Servicios Públicos Domiciliarios en el Sistema Único de Información - SUI.</w:t>
      </w:r>
      <w:r>
        <w:rPr>
          <w:rFonts w:ascii="Bookman Old Style" w:hAnsi="Bookman Old Style" w:cs="Arial"/>
          <w:i/>
          <w:sz w:val="22"/>
          <w:szCs w:val="22"/>
        </w:rPr>
        <w:t>”</w:t>
      </w:r>
    </w:p>
    <w:p w:rsidR="00EE6670" w:rsidRPr="007F1548" w:rsidRDefault="00EE6670" w:rsidP="00EE6670">
      <w:pPr>
        <w:jc w:val="both"/>
        <w:rPr>
          <w:rFonts w:ascii="Arial" w:hAnsi="Arial" w:cs="Arial"/>
          <w:bCs/>
          <w:sz w:val="22"/>
          <w:szCs w:val="22"/>
          <w:lang w:val="es-CO"/>
        </w:rPr>
      </w:pPr>
    </w:p>
    <w:p w:rsidR="00EE6670" w:rsidRPr="00EE6670"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 xml:space="preserve">Posteriormente se expidió el Auto I-2016-004099 a efectos de incluir a las empresas Gases de Popayán y </w:t>
      </w:r>
      <w:proofErr w:type="spellStart"/>
      <w:r w:rsidRPr="00EE6670">
        <w:rPr>
          <w:rFonts w:ascii="Bookman Old Style" w:hAnsi="Bookman Old Style"/>
          <w:szCs w:val="27"/>
        </w:rPr>
        <w:t>Electrogas</w:t>
      </w:r>
      <w:proofErr w:type="spellEnd"/>
      <w:r w:rsidRPr="00EE6670">
        <w:rPr>
          <w:rFonts w:ascii="Bookman Old Style" w:hAnsi="Bookman Old Style"/>
          <w:szCs w:val="27"/>
        </w:rPr>
        <w:t xml:space="preserve"> dentro de la misma solicitud hecha a la Superintendencia, como parte del decreto y práctica de pruebas hecho inicialmente para 12 empresas distribuidoras en el Auto I-2016-003755.</w:t>
      </w:r>
    </w:p>
    <w:p w:rsidR="00EE6670" w:rsidRPr="00EE6670" w:rsidRDefault="00EE6670" w:rsidP="00EE6670">
      <w:pPr>
        <w:pStyle w:val="Textoindependiente2"/>
        <w:spacing w:after="0" w:line="240" w:lineRule="auto"/>
        <w:ind w:left="-142" w:right="-142"/>
        <w:jc w:val="both"/>
        <w:rPr>
          <w:rFonts w:ascii="Bookman Old Style" w:hAnsi="Bookman Old Style"/>
          <w:szCs w:val="27"/>
        </w:rPr>
      </w:pPr>
    </w:p>
    <w:p w:rsidR="00EE6670" w:rsidRPr="00EE6670"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 xml:space="preserve">Ahora, mediante el Auto I-2016-004402 se amplió el plazo otorgado en los Autos I-2017-003755 e I-2017-004099 en 30 días adicionales al inicialmente </w:t>
      </w:r>
      <w:proofErr w:type="gramStart"/>
      <w:r w:rsidRPr="00EE6670">
        <w:rPr>
          <w:rFonts w:ascii="Bookman Old Style" w:hAnsi="Bookman Old Style"/>
          <w:szCs w:val="27"/>
        </w:rPr>
        <w:t>previsto  informando</w:t>
      </w:r>
      <w:proofErr w:type="gramEnd"/>
      <w:r w:rsidRPr="00EE6670">
        <w:rPr>
          <w:rFonts w:ascii="Bookman Old Style" w:hAnsi="Bookman Old Style"/>
          <w:szCs w:val="27"/>
        </w:rPr>
        <w:t xml:space="preserve"> de esta situación a la Superintendencia de Servicios Públicos Domiciliarios.  </w:t>
      </w:r>
    </w:p>
    <w:p w:rsidR="00EE6670" w:rsidRPr="00EE6670" w:rsidRDefault="00EE6670" w:rsidP="00EE6670">
      <w:pPr>
        <w:pStyle w:val="Textoindependiente2"/>
        <w:spacing w:after="0" w:line="240" w:lineRule="auto"/>
        <w:ind w:left="-142" w:right="-142"/>
        <w:jc w:val="both"/>
        <w:rPr>
          <w:rFonts w:ascii="Bookman Old Style" w:hAnsi="Bookman Old Style"/>
          <w:szCs w:val="27"/>
        </w:rPr>
      </w:pPr>
    </w:p>
    <w:p w:rsidR="00EE6670" w:rsidRDefault="00FE2354" w:rsidP="001B4F52">
      <w:pPr>
        <w:pStyle w:val="Textoindependiente2"/>
        <w:spacing w:after="0" w:line="240" w:lineRule="auto"/>
        <w:ind w:left="-142" w:right="-142"/>
        <w:jc w:val="both"/>
        <w:rPr>
          <w:rFonts w:ascii="Bookman Old Style" w:hAnsi="Bookman Old Style"/>
          <w:szCs w:val="27"/>
        </w:rPr>
      </w:pPr>
      <w:r w:rsidRPr="00FE2354">
        <w:rPr>
          <w:rFonts w:ascii="Bookman Old Style" w:hAnsi="Bookman Old Style"/>
          <w:szCs w:val="27"/>
        </w:rPr>
        <w:t xml:space="preserve">Mediante oficio con radicado CREG E-2016-010390 de 23 de septiembre de 2016 la Superintendencia de Servicios Públicos </w:t>
      </w:r>
      <w:proofErr w:type="gramStart"/>
      <w:r w:rsidRPr="00FE2354">
        <w:rPr>
          <w:rFonts w:ascii="Bookman Old Style" w:hAnsi="Bookman Old Style"/>
          <w:szCs w:val="27"/>
        </w:rPr>
        <w:t>Domiciliarios  a</w:t>
      </w:r>
      <w:proofErr w:type="gramEnd"/>
      <w:r w:rsidRPr="00FE2354">
        <w:rPr>
          <w:rFonts w:ascii="Bookman Old Style" w:hAnsi="Bookman Old Style"/>
          <w:szCs w:val="27"/>
        </w:rPr>
        <w:t xml:space="preserve"> través de la Delegada de Energía Eléctrica y Gas Combustible remitió la información solicitada por esta Comisión. En atención a lo anterior procederá esta Comisión a exponer el análisis de los resultados de la misma, así como resolver las consideraciones y argumentos expuestos por parte de Gas </w:t>
      </w:r>
      <w:r w:rsidR="001B4F52">
        <w:rPr>
          <w:rFonts w:ascii="Bookman Old Style" w:hAnsi="Bookman Old Style"/>
          <w:szCs w:val="27"/>
        </w:rPr>
        <w:t>Superior</w:t>
      </w:r>
      <w:r w:rsidRPr="00FE2354">
        <w:rPr>
          <w:rFonts w:ascii="Bookman Old Style" w:hAnsi="Bookman Old Style"/>
          <w:szCs w:val="27"/>
        </w:rPr>
        <w:t xml:space="preserve"> en su recurso frente a la Resolución CREG 075 de 2016.</w:t>
      </w:r>
    </w:p>
    <w:p w:rsidR="00FE2354" w:rsidRDefault="00FE2354" w:rsidP="00D126E3">
      <w:pPr>
        <w:widowControl w:val="0"/>
        <w:tabs>
          <w:tab w:val="right" w:pos="9498"/>
        </w:tabs>
        <w:adjustRightInd w:val="0"/>
        <w:ind w:left="0" w:right="-142"/>
        <w:jc w:val="both"/>
        <w:rPr>
          <w:rFonts w:ascii="Bookman Old Style" w:hAnsi="Bookman Old Style" w:cs="Arial"/>
          <w:i/>
          <w:sz w:val="22"/>
          <w:szCs w:val="22"/>
        </w:rPr>
      </w:pPr>
    </w:p>
    <w:p w:rsidR="00D126E3" w:rsidRDefault="00D126E3" w:rsidP="00D126E3">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rsidR="003234E2" w:rsidRPr="00BD0898" w:rsidRDefault="003234E2" w:rsidP="00D126E3">
      <w:pPr>
        <w:widowControl w:val="0"/>
        <w:tabs>
          <w:tab w:val="right" w:pos="9498"/>
        </w:tabs>
        <w:adjustRightInd w:val="0"/>
        <w:ind w:left="0" w:right="-142"/>
        <w:jc w:val="both"/>
        <w:rPr>
          <w:rFonts w:ascii="Bookman Old Style" w:hAnsi="Bookman Old Style"/>
          <w:b/>
          <w:szCs w:val="27"/>
        </w:rPr>
      </w:pPr>
    </w:p>
    <w:p w:rsidR="000E4A6C" w:rsidRPr="004D378D" w:rsidRDefault="000E4A6C" w:rsidP="000E312A">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Pr>
          <w:rFonts w:ascii="Bookman Old Style" w:hAnsi="Bookman Old Style"/>
          <w:szCs w:val="27"/>
        </w:rPr>
        <w:t xml:space="preserve"> en la Resolución CREG 075 de 2016, a efectos de que esta Comisión lleve a </w:t>
      </w:r>
      <w:r w:rsidRPr="00B42221">
        <w:rPr>
          <w:rFonts w:ascii="Bookman Old Style" w:hAnsi="Bookman Old Style"/>
          <w:szCs w:val="27"/>
        </w:rPr>
        <w:t xml:space="preserve">cabo </w:t>
      </w:r>
      <w:r>
        <w:rPr>
          <w:rFonts w:ascii="Bookman Old Style" w:hAnsi="Bookman Old Style"/>
          <w:szCs w:val="27"/>
        </w:rPr>
        <w:t>una nueva</w:t>
      </w:r>
      <w:r w:rsidRPr="00B42221">
        <w:rPr>
          <w:rFonts w:ascii="Bookman Old Style" w:hAnsi="Bookman Old Style"/>
          <w:szCs w:val="27"/>
        </w:rPr>
        <w:t xml:space="preserve"> definición de la capacidad de compra para la empresa</w:t>
      </w:r>
      <w:r>
        <w:rPr>
          <w:rFonts w:ascii="Bookman Old Style" w:hAnsi="Bookman Old Style"/>
          <w:szCs w:val="27"/>
        </w:rPr>
        <w:t xml:space="preserve"> </w:t>
      </w:r>
      <w:r w:rsidR="00007FAB">
        <w:rPr>
          <w:rFonts w:ascii="Bookman Old Style" w:hAnsi="Bookman Old Style"/>
          <w:szCs w:val="27"/>
        </w:rPr>
        <w:t>Gas Superior de Colombia</w:t>
      </w:r>
      <w:r>
        <w:rPr>
          <w:rFonts w:ascii="Bookman Old Style" w:hAnsi="Bookman Old Style"/>
          <w:szCs w:val="27"/>
        </w:rPr>
        <w:t xml:space="preserve">, </w:t>
      </w:r>
      <w:r w:rsidR="000E312A">
        <w:rPr>
          <w:rFonts w:ascii="Bookman Old Style" w:hAnsi="Bookman Old Style"/>
          <w:szCs w:val="27"/>
        </w:rPr>
        <w:t xml:space="preserve">toda vez que la </w:t>
      </w:r>
      <w:r w:rsidRPr="004D378D">
        <w:rPr>
          <w:rFonts w:ascii="Bookman Old Style" w:hAnsi="Bookman Old Style"/>
          <w:szCs w:val="27"/>
        </w:rPr>
        <w:t xml:space="preserve">empresa advierte una diferencia en la información reportada en el Sistema Único de Información – SUI, </w:t>
      </w:r>
      <w:r w:rsidRPr="004D378D">
        <w:rPr>
          <w:rFonts w:ascii="Bookman Old Style" w:hAnsi="Bookman Old Style"/>
          <w:szCs w:val="27"/>
        </w:rPr>
        <w:lastRenderedPageBreak/>
        <w:t xml:space="preserve">utilizada por esta Comisión para efectos de llevar a cabo la definición de la capacidad de compra a nivel de </w:t>
      </w:r>
      <w:r w:rsidR="005853B5" w:rsidRPr="004D378D">
        <w:rPr>
          <w:rFonts w:ascii="Bookman Old Style" w:hAnsi="Bookman Old Style"/>
          <w:szCs w:val="27"/>
        </w:rPr>
        <w:t xml:space="preserve">cilindros marcados, como de </w:t>
      </w:r>
      <w:r w:rsidRPr="004D378D">
        <w:rPr>
          <w:rFonts w:ascii="Bookman Old Style" w:hAnsi="Bookman Old Style"/>
          <w:szCs w:val="27"/>
        </w:rPr>
        <w:t>tanques estacionarios.</w:t>
      </w:r>
      <w:r w:rsidR="004D378D">
        <w:rPr>
          <w:rFonts w:ascii="Bookman Old Style" w:hAnsi="Bookman Old Style"/>
          <w:szCs w:val="27"/>
        </w:rPr>
        <w:t xml:space="preserve"> </w:t>
      </w:r>
    </w:p>
    <w:p w:rsidR="00BE1396" w:rsidRDefault="00BE1396" w:rsidP="000E312A">
      <w:pPr>
        <w:pStyle w:val="Textoindependiente2"/>
        <w:spacing w:after="0" w:line="240" w:lineRule="auto"/>
        <w:ind w:left="0" w:right="-142"/>
        <w:jc w:val="both"/>
        <w:rPr>
          <w:rFonts w:ascii="Bookman Old Style" w:hAnsi="Bookman Old Style"/>
          <w:szCs w:val="27"/>
        </w:rPr>
      </w:pPr>
    </w:p>
    <w:p w:rsidR="001B4F52" w:rsidRDefault="001B4F52" w:rsidP="001B4F52">
      <w:pPr>
        <w:ind w:left="-142" w:right="-142"/>
        <w:jc w:val="both"/>
        <w:rPr>
          <w:rFonts w:ascii="Bookman Old Style" w:hAnsi="Bookman Old Style"/>
          <w:szCs w:val="27"/>
        </w:rPr>
      </w:pPr>
      <w:r w:rsidRPr="00AF57EF">
        <w:rPr>
          <w:rFonts w:ascii="Bookman Old Style" w:hAnsi="Bookman Old Style"/>
          <w:szCs w:val="27"/>
        </w:rPr>
        <w:t>Frente a la información remitida a esta Comisión en atención a los autos de prueba decretados, la Superintendencia de Servicios Públicos Domiciliarios informa lo siguiente</w:t>
      </w:r>
      <w:r w:rsidRPr="00AF57EF">
        <w:rPr>
          <w:rFonts w:ascii="Bookman Old Style" w:hAnsi="Bookman Old Style"/>
          <w:szCs w:val="27"/>
          <w:vertAlign w:val="superscript"/>
        </w:rPr>
        <w:footnoteReference w:id="5"/>
      </w:r>
      <w:r w:rsidRPr="00AF57EF">
        <w:rPr>
          <w:rFonts w:ascii="Bookman Old Style" w:hAnsi="Bookman Old Style"/>
          <w:szCs w:val="27"/>
        </w:rPr>
        <w:t>:</w:t>
      </w:r>
    </w:p>
    <w:p w:rsidR="000A1F81" w:rsidRPr="00AF57EF" w:rsidRDefault="000A1F81" w:rsidP="001B4F52">
      <w:pPr>
        <w:ind w:left="-142" w:right="-142"/>
        <w:jc w:val="both"/>
        <w:rPr>
          <w:rFonts w:ascii="Bookman Old Style" w:hAnsi="Bookman Old Style"/>
          <w:szCs w:val="27"/>
        </w:rPr>
      </w:pPr>
    </w:p>
    <w:p w:rsidR="001B4F52" w:rsidRDefault="00BA5F8E" w:rsidP="001B4F52">
      <w:pPr>
        <w:pStyle w:val="Textoindependiente2"/>
        <w:spacing w:after="0" w:line="240" w:lineRule="auto"/>
        <w:ind w:left="-142" w:right="-142"/>
        <w:jc w:val="center"/>
        <w:rPr>
          <w:rFonts w:ascii="Bookman Old Style" w:hAnsi="Bookman Old Style"/>
          <w:szCs w:val="27"/>
        </w:rPr>
      </w:pPr>
      <w:r w:rsidRPr="001B4F52">
        <w:rPr>
          <w:rFonts w:ascii="Bookman Old Style" w:hAnsi="Bookman Old Style"/>
          <w:noProof/>
          <w:szCs w:val="27"/>
          <w:lang w:val="es-CO" w:eastAsia="es-CO"/>
        </w:rPr>
        <w:drawing>
          <wp:inline distT="0" distB="0" distL="0" distR="0">
            <wp:extent cx="5939790" cy="2345690"/>
            <wp:effectExtent l="0" t="0" r="3810"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39790" cy="2345690"/>
                    </a:xfrm>
                    <a:prstGeom prst="rect">
                      <a:avLst/>
                    </a:prstGeom>
                    <a:noFill/>
                    <a:ln>
                      <a:noFill/>
                    </a:ln>
                  </pic:spPr>
                </pic:pic>
              </a:graphicData>
            </a:graphic>
          </wp:inline>
        </w:drawing>
      </w:r>
      <w:r w:rsidR="001B4F52">
        <w:rPr>
          <w:rFonts w:ascii="Bookman Old Style" w:hAnsi="Bookman Old Style"/>
          <w:szCs w:val="27"/>
        </w:rPr>
        <w:br/>
      </w:r>
      <w:r w:rsidRPr="001B4F52">
        <w:rPr>
          <w:rFonts w:ascii="Bookman Old Style" w:hAnsi="Bookman Old Style"/>
          <w:noProof/>
          <w:szCs w:val="27"/>
          <w:lang w:val="es-CO" w:eastAsia="es-CO"/>
        </w:rPr>
        <w:drawing>
          <wp:inline distT="0" distB="0" distL="0" distR="0">
            <wp:extent cx="5939790" cy="318135"/>
            <wp:effectExtent l="0" t="0" r="3810" b="5715"/>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18135"/>
                    </a:xfrm>
                    <a:prstGeom prst="rect">
                      <a:avLst/>
                    </a:prstGeom>
                    <a:noFill/>
                    <a:ln>
                      <a:noFill/>
                    </a:ln>
                  </pic:spPr>
                </pic:pic>
              </a:graphicData>
            </a:graphic>
          </wp:inline>
        </w:drawing>
      </w:r>
    </w:p>
    <w:p w:rsidR="001B4F52" w:rsidRDefault="001B4F52" w:rsidP="001B4F52">
      <w:pPr>
        <w:pStyle w:val="Textoindependiente2"/>
        <w:spacing w:after="0" w:line="240" w:lineRule="auto"/>
        <w:ind w:left="-142" w:right="-142"/>
        <w:jc w:val="center"/>
        <w:rPr>
          <w:rFonts w:ascii="Bookman Old Style" w:hAnsi="Bookman Old Style"/>
          <w:szCs w:val="27"/>
        </w:rPr>
      </w:pPr>
    </w:p>
    <w:p w:rsidR="00DE1C02" w:rsidRPr="00DE1C02" w:rsidRDefault="00DE1C02" w:rsidP="00DE1C02">
      <w:pPr>
        <w:ind w:left="-142" w:right="-142"/>
        <w:jc w:val="both"/>
        <w:rPr>
          <w:rFonts w:ascii="Bookman Old Style" w:hAnsi="Bookman Old Style"/>
          <w:szCs w:val="27"/>
        </w:rPr>
      </w:pPr>
      <w:r w:rsidRPr="00DE1C02">
        <w:rPr>
          <w:rFonts w:ascii="Bookman Old Style" w:hAnsi="Bookman Old Style"/>
          <w:szCs w:val="27"/>
        </w:rPr>
        <w:t xml:space="preserve">Adicionalmente, dentro del Auto de pruebas Auto I-2016-003755 esta Comisión manifestó lo siguiente: </w:t>
      </w:r>
    </w:p>
    <w:p w:rsidR="00DE1C02" w:rsidRPr="00DE1C02" w:rsidRDefault="00DE1C02" w:rsidP="00DE1C02">
      <w:pPr>
        <w:ind w:left="284" w:right="284"/>
        <w:jc w:val="both"/>
        <w:rPr>
          <w:rFonts w:ascii="Bookman Old Style" w:hAnsi="Bookman Old Style" w:cs="Arial"/>
          <w:i/>
          <w:sz w:val="22"/>
          <w:szCs w:val="22"/>
        </w:rPr>
      </w:pPr>
    </w:p>
    <w:p w:rsidR="00DE1C02" w:rsidRPr="00DE1C02" w:rsidRDefault="00DE1C02" w:rsidP="00DE1C02">
      <w:pPr>
        <w:ind w:left="284" w:right="284"/>
        <w:jc w:val="both"/>
        <w:rPr>
          <w:rFonts w:ascii="Bookman Old Style" w:hAnsi="Bookman Old Style" w:cs="Arial"/>
          <w:i/>
          <w:sz w:val="22"/>
          <w:szCs w:val="22"/>
        </w:rPr>
      </w:pPr>
      <w:r w:rsidRPr="00DE1C02">
        <w:rPr>
          <w:rFonts w:ascii="Bookman Old Style" w:hAnsi="Bookman Old Style" w:cs="Arial"/>
          <w:i/>
          <w:sz w:val="22"/>
          <w:szCs w:val="22"/>
        </w:rPr>
        <w:t xml:space="preserve">“Artículo 1. (….) 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DE1C02" w:rsidRPr="00DE1C02" w:rsidRDefault="00DE1C02" w:rsidP="00DE1C02">
      <w:pPr>
        <w:ind w:left="284" w:right="284"/>
        <w:jc w:val="both"/>
        <w:rPr>
          <w:rFonts w:ascii="Bookman Old Style" w:hAnsi="Bookman Old Style" w:cs="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42"/>
        <w:gridCol w:w="2929"/>
      </w:tblGrid>
      <w:tr w:rsidR="00DE1C02" w:rsidRPr="00DE1C02" w:rsidTr="007D43E0">
        <w:trPr>
          <w:jc w:val="center"/>
        </w:trPr>
        <w:tc>
          <w:tcPr>
            <w:tcW w:w="2408" w:type="dxa"/>
            <w:shd w:val="clear" w:color="auto" w:fill="auto"/>
            <w:vAlign w:val="center"/>
          </w:tcPr>
          <w:p w:rsidR="00DE1C02" w:rsidRPr="00DE1C02" w:rsidRDefault="00DE1C02" w:rsidP="00DE1C02">
            <w:pPr>
              <w:rPr>
                <w:rFonts w:ascii="Bookman Old Style" w:hAnsi="Bookman Old Style" w:cs="Arial"/>
                <w:bCs/>
                <w:sz w:val="20"/>
                <w:szCs w:val="20"/>
              </w:rPr>
            </w:pPr>
            <w:r w:rsidRPr="00DE1C02">
              <w:rPr>
                <w:rFonts w:ascii="Bookman Old Style" w:hAnsi="Bookman Old Style" w:cs="Arial"/>
                <w:bCs/>
                <w:sz w:val="20"/>
                <w:szCs w:val="20"/>
              </w:rPr>
              <w:t>Identificador de empresa (código SUI)</w:t>
            </w:r>
          </w:p>
        </w:tc>
        <w:tc>
          <w:tcPr>
            <w:tcW w:w="2442" w:type="dxa"/>
            <w:shd w:val="clear" w:color="auto" w:fill="auto"/>
            <w:vAlign w:val="center"/>
          </w:tcPr>
          <w:p w:rsidR="00DE1C02" w:rsidRPr="00DE1C02" w:rsidRDefault="00DE1C02" w:rsidP="00DE1C02">
            <w:pPr>
              <w:rPr>
                <w:rFonts w:ascii="Bookman Old Style" w:hAnsi="Bookman Old Style" w:cs="Arial"/>
                <w:bCs/>
                <w:sz w:val="20"/>
                <w:szCs w:val="20"/>
              </w:rPr>
            </w:pPr>
            <w:r w:rsidRPr="00DE1C02">
              <w:rPr>
                <w:rFonts w:ascii="Bookman Old Style" w:hAnsi="Bookman Old Style" w:cs="Arial"/>
                <w:bCs/>
                <w:sz w:val="20"/>
                <w:szCs w:val="20"/>
              </w:rPr>
              <w:t>Código de presentación del cilindro</w:t>
            </w:r>
          </w:p>
        </w:tc>
        <w:tc>
          <w:tcPr>
            <w:tcW w:w="2929" w:type="dxa"/>
            <w:shd w:val="clear" w:color="auto" w:fill="auto"/>
            <w:vAlign w:val="center"/>
          </w:tcPr>
          <w:p w:rsidR="00DE1C02" w:rsidRPr="00DE1C02" w:rsidRDefault="00DE1C02" w:rsidP="00DE1C02">
            <w:pPr>
              <w:rPr>
                <w:rFonts w:ascii="Bookman Old Style" w:hAnsi="Bookman Old Style" w:cs="Arial"/>
                <w:bCs/>
                <w:sz w:val="20"/>
                <w:szCs w:val="20"/>
              </w:rPr>
            </w:pPr>
            <w:r w:rsidRPr="00DE1C02">
              <w:rPr>
                <w:rFonts w:ascii="Bookman Old Style" w:hAnsi="Bookman Old Style" w:cs="Arial"/>
                <w:bCs/>
                <w:sz w:val="20"/>
                <w:szCs w:val="20"/>
              </w:rPr>
              <w:t xml:space="preserve">Cantidad de cilindros por cada código de presentación </w:t>
            </w:r>
          </w:p>
        </w:tc>
      </w:tr>
    </w:tbl>
    <w:p w:rsidR="00DE1C02" w:rsidRPr="00DE1C02" w:rsidRDefault="00DE1C02" w:rsidP="00DE1C02">
      <w:pPr>
        <w:jc w:val="center"/>
        <w:rPr>
          <w:rFonts w:ascii="Arial" w:hAnsi="Arial" w:cs="Arial"/>
          <w:b/>
          <w:bCs/>
          <w:sz w:val="22"/>
          <w:szCs w:val="22"/>
        </w:rPr>
      </w:pPr>
    </w:p>
    <w:p w:rsidR="00DE1C02" w:rsidRPr="00DE1C02" w:rsidRDefault="00DE1C02" w:rsidP="00DE1C02">
      <w:pPr>
        <w:ind w:left="284" w:right="284"/>
        <w:jc w:val="both"/>
        <w:rPr>
          <w:rFonts w:ascii="Bookman Old Style" w:hAnsi="Bookman Old Style" w:cs="Arial"/>
          <w:i/>
          <w:sz w:val="22"/>
          <w:szCs w:val="22"/>
        </w:rPr>
      </w:pPr>
      <w:r w:rsidRPr="00DE1C02">
        <w:rPr>
          <w:rFonts w:ascii="Bookman Old Style" w:hAnsi="Bookman Old Style" w:cs="Arial"/>
          <w:i/>
          <w:sz w:val="22"/>
          <w:szCs w:val="22"/>
        </w:rPr>
        <w:t>Así mismo, remitir la información de tanques estacionarios atendidos por cada distribuidor y su capacidad en galones correspondiente al año 2015 de acuerdo con lo reportado a la Superintendencia de Servicios Públicos Domiciliarios en el Sistema Único de Información - SUI.”</w:t>
      </w:r>
    </w:p>
    <w:p w:rsidR="00DE1C02" w:rsidRPr="00DE1C02" w:rsidRDefault="00DE1C02" w:rsidP="00DE1C02">
      <w:pPr>
        <w:ind w:left="-142" w:right="-142"/>
        <w:jc w:val="both"/>
        <w:rPr>
          <w:rFonts w:ascii="Bookman Old Style" w:hAnsi="Bookman Old Style"/>
          <w:szCs w:val="27"/>
        </w:rPr>
      </w:pPr>
    </w:p>
    <w:p w:rsidR="00DE1C02" w:rsidRPr="00DE1C02" w:rsidRDefault="00DE1C02" w:rsidP="00DE1C02">
      <w:pPr>
        <w:ind w:left="-142" w:right="-142"/>
        <w:jc w:val="both"/>
        <w:rPr>
          <w:rFonts w:ascii="Bookman Old Style" w:hAnsi="Bookman Old Style"/>
          <w:szCs w:val="27"/>
        </w:rPr>
      </w:pPr>
      <w:r w:rsidRPr="00DE1C02">
        <w:rPr>
          <w:rFonts w:ascii="Bookman Old Style" w:hAnsi="Bookman Old Style"/>
          <w:szCs w:val="27"/>
        </w:rPr>
        <w:t>En relación con esta solicitud la Superintendencia de Servicios Públicos Domiciliarios expuso:</w:t>
      </w:r>
    </w:p>
    <w:p w:rsidR="00DE1C02" w:rsidRPr="00DE1C02" w:rsidRDefault="00DE1C02" w:rsidP="00DE1C02">
      <w:pPr>
        <w:ind w:left="0" w:right="-142"/>
        <w:jc w:val="both"/>
        <w:rPr>
          <w:rFonts w:ascii="Bookman Old Style" w:hAnsi="Bookman Old Style"/>
          <w:szCs w:val="27"/>
        </w:rPr>
      </w:pPr>
    </w:p>
    <w:p w:rsidR="00DE1C02" w:rsidRPr="00DE1C02" w:rsidRDefault="00BA5F8E" w:rsidP="00DE1C02">
      <w:pPr>
        <w:ind w:left="-142" w:right="-142"/>
        <w:jc w:val="both"/>
        <w:rPr>
          <w:rFonts w:ascii="Bookman Old Style" w:hAnsi="Bookman Old Style"/>
          <w:szCs w:val="27"/>
        </w:rPr>
      </w:pPr>
      <w:r w:rsidRPr="00DE1C02">
        <w:rPr>
          <w:rFonts w:ascii="Bookman Old Style" w:hAnsi="Bookman Old Style"/>
          <w:noProof/>
          <w:szCs w:val="27"/>
          <w:lang w:val="es-CO" w:eastAsia="es-CO"/>
        </w:rPr>
        <w:lastRenderedPageBreak/>
        <w:drawing>
          <wp:inline distT="0" distB="0" distL="0" distR="0">
            <wp:extent cx="5931535" cy="938530"/>
            <wp:effectExtent l="0" t="0" r="0"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1535" cy="938530"/>
                    </a:xfrm>
                    <a:prstGeom prst="rect">
                      <a:avLst/>
                    </a:prstGeom>
                    <a:noFill/>
                    <a:ln>
                      <a:noFill/>
                    </a:ln>
                  </pic:spPr>
                </pic:pic>
              </a:graphicData>
            </a:graphic>
          </wp:inline>
        </w:drawing>
      </w:r>
    </w:p>
    <w:p w:rsidR="00DE1C02" w:rsidRDefault="00DE1C02" w:rsidP="00DE1C02">
      <w:pPr>
        <w:pStyle w:val="Textoindependiente2"/>
        <w:spacing w:after="0" w:line="240" w:lineRule="auto"/>
        <w:ind w:left="0" w:right="-142"/>
        <w:jc w:val="both"/>
        <w:rPr>
          <w:rFonts w:ascii="Bookman Old Style" w:hAnsi="Bookman Old Style"/>
          <w:szCs w:val="27"/>
        </w:rPr>
      </w:pPr>
    </w:p>
    <w:p w:rsidR="001B4F52" w:rsidRDefault="001B4F52" w:rsidP="001B4F52">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Con respecto a la información de tanques estacionarios, se debe precisar en primer lugar que esta Comisión </w:t>
      </w:r>
      <w:r w:rsidRPr="00A45909">
        <w:rPr>
          <w:rFonts w:ascii="Bookman Old Style" w:hAnsi="Bookman Old Style"/>
          <w:szCs w:val="27"/>
        </w:rPr>
        <w:t>atendiendo el procedimiento establecido en el artículo 8 de la Resolución CREG 063 de 2016</w:t>
      </w:r>
      <w:r>
        <w:rPr>
          <w:rFonts w:ascii="Bookman Old Style" w:hAnsi="Bookman Old Style"/>
          <w:szCs w:val="27"/>
        </w:rPr>
        <w:t>, llevo a cabo la definición de la capacidad de compra en la Resolución CREG 075 de 2016</w:t>
      </w:r>
      <w:r w:rsidRPr="00A45909">
        <w:rPr>
          <w:rFonts w:ascii="Bookman Old Style" w:hAnsi="Bookman Old Style"/>
          <w:szCs w:val="27"/>
        </w:rPr>
        <w:t xml:space="preserve"> con información </w:t>
      </w:r>
      <w:r>
        <w:rPr>
          <w:rFonts w:ascii="Bookman Old Style" w:hAnsi="Bookman Old Style"/>
          <w:szCs w:val="27"/>
        </w:rPr>
        <w:t>publicada en e</w:t>
      </w:r>
      <w:r w:rsidRPr="00A45909">
        <w:rPr>
          <w:rFonts w:ascii="Bookman Old Style" w:hAnsi="Bookman Old Style"/>
          <w:szCs w:val="27"/>
        </w:rPr>
        <w:t xml:space="preserve">l Sistema Único de Información – </w:t>
      </w:r>
      <w:r>
        <w:rPr>
          <w:rFonts w:ascii="Bookman Old Style" w:hAnsi="Bookman Old Style"/>
          <w:szCs w:val="27"/>
        </w:rPr>
        <w:t>SUI</w:t>
      </w:r>
      <w:r w:rsidRPr="00A45909">
        <w:rPr>
          <w:rFonts w:ascii="Bookman Old Style" w:hAnsi="Bookman Old Style"/>
          <w:szCs w:val="27"/>
        </w:rPr>
        <w:t xml:space="preserve"> con corte al 10 de mayo de 2016.</w:t>
      </w:r>
      <w:r>
        <w:rPr>
          <w:rFonts w:ascii="Bookman Old Style" w:hAnsi="Bookman Old Style"/>
          <w:szCs w:val="27"/>
        </w:rPr>
        <w:t xml:space="preserve"> La Superintendencia advierte en este punto que no existe ninguna modificación o ajuste a la información utilizada para la definición de la capacidad de compra.</w:t>
      </w:r>
    </w:p>
    <w:p w:rsidR="001B4F52" w:rsidRDefault="001B4F52" w:rsidP="001B4F52">
      <w:pPr>
        <w:pStyle w:val="Textoindependiente2"/>
        <w:spacing w:after="0" w:line="240" w:lineRule="auto"/>
        <w:ind w:left="0" w:right="-142"/>
        <w:jc w:val="both"/>
        <w:rPr>
          <w:rFonts w:ascii="Bookman Old Style" w:hAnsi="Bookman Old Style"/>
          <w:szCs w:val="27"/>
        </w:rPr>
      </w:pPr>
    </w:p>
    <w:p w:rsidR="001B4F52" w:rsidRDefault="001B4F52" w:rsidP="001B4F52">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Ahora, en atención a lo expuesto por parte de la Superintendencia de Servicios Públicos Domiciliarios como resultado del decretó y práctica de pruebas llevado a cabo por la CREG, se establece la procedencia de modificar la Resolución CREG 075 de 2016 en relación con la definición de la capacidad de compra para la empresa Gas Superior de Colombia S.A. E.S.P., en relación con la información de cilindros marcados. </w:t>
      </w:r>
    </w:p>
    <w:p w:rsidR="001B4F52" w:rsidRDefault="001B4F52" w:rsidP="001B4F52">
      <w:pPr>
        <w:pStyle w:val="Textoindependiente2"/>
        <w:spacing w:after="0" w:line="240" w:lineRule="auto"/>
        <w:ind w:left="0" w:right="-142"/>
        <w:jc w:val="both"/>
        <w:rPr>
          <w:rFonts w:ascii="Bookman Old Style" w:hAnsi="Bookman Old Style"/>
          <w:szCs w:val="27"/>
        </w:rPr>
      </w:pPr>
    </w:p>
    <w:p w:rsidR="001B4F52" w:rsidRPr="003E59E7" w:rsidRDefault="001B4F52" w:rsidP="001B4F52">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szCs w:val="27"/>
        </w:rPr>
        <w:t xml:space="preserve">Una vez expuestos los anteriores argumentos, la Comisión de Regulación de Energía y Gas, en su sesión No. </w:t>
      </w:r>
      <w:r w:rsidR="00783B84">
        <w:rPr>
          <w:rFonts w:ascii="Bookman Old Style" w:hAnsi="Bookman Old Style"/>
          <w:szCs w:val="27"/>
        </w:rPr>
        <w:t>746</w:t>
      </w:r>
      <w:r w:rsidRPr="003E59E7">
        <w:rPr>
          <w:rFonts w:ascii="Bookman Old Style" w:hAnsi="Bookman Old Style"/>
          <w:szCs w:val="27"/>
        </w:rPr>
        <w:t xml:space="preserve"> del </w:t>
      </w:r>
      <w:r w:rsidR="00783B84">
        <w:rPr>
          <w:rFonts w:ascii="Bookman Old Style" w:hAnsi="Bookman Old Style"/>
          <w:szCs w:val="27"/>
        </w:rPr>
        <w:t>21</w:t>
      </w:r>
      <w:r w:rsidRPr="003E59E7">
        <w:rPr>
          <w:rFonts w:ascii="Bookman Old Style" w:hAnsi="Bookman Old Style"/>
          <w:szCs w:val="27"/>
        </w:rPr>
        <w:t xml:space="preserve"> de </w:t>
      </w:r>
      <w:r w:rsidR="00783B84">
        <w:rPr>
          <w:rFonts w:ascii="Bookman Old Style" w:hAnsi="Bookman Old Style"/>
          <w:szCs w:val="27"/>
        </w:rPr>
        <w:t>noviembre</w:t>
      </w:r>
      <w:r w:rsidRPr="003E59E7">
        <w:rPr>
          <w:rFonts w:ascii="Bookman Old Style" w:hAnsi="Bookman Old Style"/>
          <w:szCs w:val="27"/>
        </w:rPr>
        <w:t xml:space="preserve"> de 201</w:t>
      </w:r>
      <w:r>
        <w:rPr>
          <w:rFonts w:ascii="Bookman Old Style" w:hAnsi="Bookman Old Style"/>
          <w:szCs w:val="27"/>
        </w:rPr>
        <w:t>6, acordó expedir la presente r</w:t>
      </w:r>
      <w:r w:rsidRPr="003E59E7">
        <w:rPr>
          <w:rFonts w:ascii="Bookman Old Style" w:hAnsi="Bookman Old Style"/>
          <w:szCs w:val="27"/>
        </w:rPr>
        <w:t>esolución.</w:t>
      </w:r>
    </w:p>
    <w:p w:rsidR="001B4F52" w:rsidRDefault="001B4F52" w:rsidP="001B4F52">
      <w:pPr>
        <w:pStyle w:val="Textoindependiente2"/>
        <w:spacing w:after="0" w:line="240" w:lineRule="auto"/>
        <w:ind w:left="-142" w:right="-142"/>
        <w:jc w:val="both"/>
        <w:rPr>
          <w:rFonts w:ascii="Bookman Old Style" w:hAnsi="Bookman Old Style"/>
          <w:szCs w:val="27"/>
        </w:rPr>
      </w:pPr>
    </w:p>
    <w:p w:rsidR="001B4F52" w:rsidRPr="003234E2" w:rsidRDefault="001B4F52" w:rsidP="001B4F52">
      <w:pPr>
        <w:tabs>
          <w:tab w:val="right" w:pos="9498"/>
        </w:tabs>
        <w:ind w:left="0" w:right="-142"/>
        <w:jc w:val="both"/>
        <w:rPr>
          <w:rFonts w:ascii="Bookman Old Style" w:hAnsi="Bookman Old Style"/>
          <w:bCs/>
          <w:sz w:val="20"/>
        </w:rPr>
      </w:pPr>
    </w:p>
    <w:p w:rsidR="001B4F52" w:rsidRPr="00BB7AEA" w:rsidRDefault="001B4F52" w:rsidP="001B4F52">
      <w:pPr>
        <w:tabs>
          <w:tab w:val="right" w:pos="9498"/>
        </w:tabs>
        <w:ind w:left="0" w:right="-142"/>
        <w:jc w:val="center"/>
        <w:rPr>
          <w:rFonts w:ascii="Bookman Old Style" w:hAnsi="Bookman Old Style" w:cs="Arial"/>
        </w:rPr>
      </w:pPr>
      <w:r w:rsidRPr="00945A3C">
        <w:rPr>
          <w:rFonts w:ascii="Bookman Old Style" w:hAnsi="Bookman Old Style" w:cs="Arial"/>
          <w:b/>
          <w:spacing w:val="80"/>
        </w:rPr>
        <w:t>RESUELVE</w:t>
      </w:r>
      <w:r>
        <w:rPr>
          <w:rFonts w:ascii="Bookman Old Style" w:hAnsi="Bookman Old Style" w:cs="Arial"/>
        </w:rPr>
        <w:t>:</w:t>
      </w:r>
    </w:p>
    <w:p w:rsidR="001B4F52" w:rsidRPr="003234E2" w:rsidRDefault="001B4F52" w:rsidP="001B4F52">
      <w:pPr>
        <w:tabs>
          <w:tab w:val="right" w:pos="9498"/>
        </w:tabs>
        <w:ind w:left="0" w:right="-142"/>
        <w:jc w:val="both"/>
        <w:rPr>
          <w:rFonts w:ascii="Bookman Old Style" w:hAnsi="Bookman Old Style" w:cs="Arial"/>
          <w:b/>
          <w:spacing w:val="-3"/>
          <w:sz w:val="20"/>
        </w:rPr>
      </w:pPr>
    </w:p>
    <w:p w:rsidR="001B4F52" w:rsidRDefault="001B4F52" w:rsidP="001B4F52">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b/>
          <w:szCs w:val="27"/>
        </w:rPr>
        <w:t>Artículo 1</w:t>
      </w:r>
      <w:r w:rsidRPr="003E59E7">
        <w:rPr>
          <w:rFonts w:ascii="Bookman Old Style" w:hAnsi="Bookman Old Style"/>
          <w:szCs w:val="27"/>
        </w:rPr>
        <w:t xml:space="preserve">. </w:t>
      </w:r>
      <w:r>
        <w:rPr>
          <w:rFonts w:ascii="Bookman Old Style" w:hAnsi="Bookman Old Style"/>
          <w:szCs w:val="27"/>
        </w:rPr>
        <w:t>Modificar el artículo 1 de la Resolución CREG 075 de 2016 de la siguiente forma:</w:t>
      </w:r>
    </w:p>
    <w:p w:rsidR="001B4F52" w:rsidRDefault="001B4F52" w:rsidP="001B4F52">
      <w:pPr>
        <w:pStyle w:val="Textoindependiente2"/>
        <w:spacing w:after="0" w:line="240" w:lineRule="auto"/>
        <w:ind w:left="-142" w:right="-142"/>
        <w:jc w:val="both"/>
        <w:rPr>
          <w:rFonts w:ascii="Bookman Old Style" w:hAnsi="Bookman Old Style"/>
          <w:szCs w:val="27"/>
        </w:rPr>
      </w:pPr>
    </w:p>
    <w:p w:rsidR="001B4F52" w:rsidRDefault="001B4F52" w:rsidP="001B4F52">
      <w:pPr>
        <w:pStyle w:val="Textoindependiente2"/>
        <w:spacing w:after="0" w:line="240" w:lineRule="auto"/>
        <w:ind w:left="-142" w:right="-142"/>
        <w:jc w:val="both"/>
        <w:rPr>
          <w:rFonts w:ascii="Bookman Old Style" w:hAnsi="Bookman Old Style"/>
          <w:szCs w:val="27"/>
        </w:rPr>
      </w:pPr>
      <w:r w:rsidRPr="00E16D13">
        <w:rPr>
          <w:rFonts w:ascii="Bookman Old Style" w:hAnsi="Bookman Old Style"/>
          <w:szCs w:val="27"/>
        </w:rPr>
        <w:t>La siguiente corresponde a la Capacidad de Compra para cada uno de los códigos SUI de las empresas:</w:t>
      </w:r>
    </w:p>
    <w:p w:rsidR="001B4F52" w:rsidRDefault="001B4F52" w:rsidP="001B4F52">
      <w:pPr>
        <w:pStyle w:val="Textoindependiente2"/>
        <w:spacing w:after="0" w:line="240" w:lineRule="auto"/>
        <w:ind w:left="-142" w:right="-142"/>
        <w:jc w:val="both"/>
        <w:rPr>
          <w:rFonts w:ascii="Bookman Old Style" w:hAnsi="Bookman Old Style"/>
          <w:szCs w:val="27"/>
        </w:rPr>
      </w:pPr>
    </w:p>
    <w:tbl>
      <w:tblPr>
        <w:tblW w:w="8028" w:type="dxa"/>
        <w:jc w:val="center"/>
        <w:tblCellMar>
          <w:left w:w="70" w:type="dxa"/>
          <w:right w:w="70" w:type="dxa"/>
        </w:tblCellMar>
        <w:tblLook w:val="04A0" w:firstRow="1" w:lastRow="0" w:firstColumn="1" w:lastColumn="0" w:noHBand="0" w:noVBand="1"/>
      </w:tblPr>
      <w:tblGrid>
        <w:gridCol w:w="1348"/>
        <w:gridCol w:w="4964"/>
        <w:gridCol w:w="1716"/>
      </w:tblGrid>
      <w:tr w:rsidR="001B4F52" w:rsidRPr="00C139AB" w:rsidTr="007D43E0">
        <w:trPr>
          <w:trHeight w:val="405"/>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1B4F52" w:rsidRPr="00C139AB" w:rsidRDefault="001B4F52" w:rsidP="00E734F8">
            <w:pPr>
              <w:ind w:left="0"/>
              <w:jc w:val="center"/>
              <w:rPr>
                <w:rFonts w:ascii="Bookman Old Style" w:hAnsi="Bookman Old Style"/>
                <w:b/>
                <w:bCs/>
                <w:color w:val="000000"/>
                <w:sz w:val="18"/>
                <w:szCs w:val="18"/>
                <w:lang w:eastAsia="es-CO"/>
              </w:rPr>
            </w:pPr>
            <w:r w:rsidRPr="00C139AB">
              <w:rPr>
                <w:rFonts w:ascii="Bookman Old Style" w:hAnsi="Bookman Old Style"/>
                <w:b/>
                <w:bCs/>
                <w:color w:val="000000"/>
                <w:sz w:val="18"/>
                <w:szCs w:val="18"/>
                <w:lang w:eastAsia="es-CO"/>
              </w:rPr>
              <w:t>Código SUI</w:t>
            </w:r>
          </w:p>
        </w:tc>
        <w:tc>
          <w:tcPr>
            <w:tcW w:w="4964" w:type="dxa"/>
            <w:tcBorders>
              <w:top w:val="single" w:sz="4" w:space="0" w:color="auto"/>
              <w:left w:val="nil"/>
              <w:bottom w:val="single" w:sz="4" w:space="0" w:color="auto"/>
              <w:right w:val="single" w:sz="4" w:space="0" w:color="auto"/>
            </w:tcBorders>
            <w:shd w:val="clear" w:color="auto" w:fill="auto"/>
            <w:noWrap/>
            <w:vAlign w:val="center"/>
          </w:tcPr>
          <w:p w:rsidR="001B4F52" w:rsidRPr="00C139AB" w:rsidRDefault="001B4F52" w:rsidP="00E734F8">
            <w:pPr>
              <w:ind w:left="0"/>
              <w:jc w:val="center"/>
              <w:rPr>
                <w:rFonts w:ascii="Bookman Old Style" w:hAnsi="Bookman Old Style"/>
                <w:b/>
                <w:bCs/>
                <w:color w:val="000000"/>
                <w:sz w:val="18"/>
                <w:szCs w:val="18"/>
                <w:lang w:eastAsia="es-CO"/>
              </w:rPr>
            </w:pPr>
            <w:r w:rsidRPr="00C139AB">
              <w:rPr>
                <w:rFonts w:ascii="Bookman Old Style" w:hAnsi="Bookman Old Style"/>
                <w:b/>
                <w:bCs/>
                <w:color w:val="000000"/>
                <w:sz w:val="18"/>
                <w:szCs w:val="18"/>
                <w:lang w:eastAsia="es-CO"/>
              </w:rPr>
              <w:t>Agente</w:t>
            </w:r>
          </w:p>
        </w:tc>
        <w:tc>
          <w:tcPr>
            <w:tcW w:w="1716" w:type="dxa"/>
            <w:tcBorders>
              <w:top w:val="single" w:sz="4" w:space="0" w:color="auto"/>
              <w:left w:val="nil"/>
              <w:bottom w:val="single" w:sz="4" w:space="0" w:color="auto"/>
              <w:right w:val="single" w:sz="4" w:space="0" w:color="auto"/>
            </w:tcBorders>
            <w:shd w:val="clear" w:color="auto" w:fill="auto"/>
            <w:noWrap/>
            <w:vAlign w:val="center"/>
          </w:tcPr>
          <w:p w:rsidR="001B4F52" w:rsidRPr="00C139AB" w:rsidRDefault="001B4F52" w:rsidP="00E734F8">
            <w:pPr>
              <w:ind w:left="0"/>
              <w:jc w:val="center"/>
              <w:rPr>
                <w:rFonts w:ascii="Bookman Old Style" w:hAnsi="Bookman Old Style"/>
                <w:b/>
                <w:bCs/>
                <w:color w:val="000000"/>
                <w:sz w:val="18"/>
                <w:szCs w:val="18"/>
                <w:lang w:eastAsia="es-CO"/>
              </w:rPr>
            </w:pPr>
            <w:r w:rsidRPr="00C139AB">
              <w:rPr>
                <w:rFonts w:ascii="Bookman Old Style" w:hAnsi="Bookman Old Style"/>
                <w:b/>
                <w:bCs/>
                <w:color w:val="000000"/>
                <w:sz w:val="18"/>
                <w:szCs w:val="18"/>
                <w:lang w:eastAsia="es-CO"/>
              </w:rPr>
              <w:t>Capacidad de compra</w:t>
            </w:r>
            <w:r>
              <w:rPr>
                <w:rFonts w:ascii="Bookman Old Style" w:hAnsi="Bookman Old Style"/>
                <w:b/>
                <w:bCs/>
                <w:color w:val="000000"/>
                <w:sz w:val="18"/>
                <w:szCs w:val="18"/>
                <w:lang w:eastAsia="es-CO"/>
              </w:rPr>
              <w:t xml:space="preserve"> </w:t>
            </w: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w:p>
        </w:tc>
      </w:tr>
      <w:tr w:rsidR="001B4F52" w:rsidRPr="00FB4BC2" w:rsidTr="00E734F8">
        <w:trPr>
          <w:trHeight w:val="40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4F52" w:rsidRPr="00E16D13" w:rsidRDefault="001B4F52" w:rsidP="00E734F8">
            <w:pPr>
              <w:ind w:left="0"/>
              <w:rPr>
                <w:rFonts w:ascii="Bookman Old Style" w:hAnsi="Bookman Old Style"/>
                <w:sz w:val="18"/>
                <w:szCs w:val="18"/>
              </w:rPr>
            </w:pPr>
            <w:r>
              <w:rPr>
                <w:rFonts w:ascii="Bookman Old Style" w:hAnsi="Bookman Old Style"/>
                <w:sz w:val="18"/>
                <w:szCs w:val="18"/>
              </w:rPr>
              <w:t>24963</w:t>
            </w:r>
          </w:p>
        </w:tc>
        <w:tc>
          <w:tcPr>
            <w:tcW w:w="4964" w:type="dxa"/>
            <w:tcBorders>
              <w:top w:val="single" w:sz="4" w:space="0" w:color="auto"/>
              <w:left w:val="nil"/>
              <w:bottom w:val="single" w:sz="4" w:space="0" w:color="auto"/>
              <w:right w:val="single" w:sz="4" w:space="0" w:color="auto"/>
            </w:tcBorders>
            <w:shd w:val="clear" w:color="auto" w:fill="auto"/>
            <w:noWrap/>
            <w:vAlign w:val="center"/>
            <w:hideMark/>
          </w:tcPr>
          <w:p w:rsidR="001B4F52" w:rsidRPr="00E16D13" w:rsidRDefault="001B4F52" w:rsidP="00E734F8">
            <w:pPr>
              <w:ind w:left="0"/>
              <w:rPr>
                <w:rFonts w:ascii="Bookman Old Style" w:hAnsi="Bookman Old Style"/>
                <w:sz w:val="18"/>
                <w:szCs w:val="18"/>
              </w:rPr>
            </w:pPr>
            <w:r>
              <w:rPr>
                <w:rFonts w:ascii="Bookman Old Style" w:hAnsi="Bookman Old Style"/>
                <w:sz w:val="18"/>
                <w:szCs w:val="18"/>
              </w:rPr>
              <w:t>GAS SUPERIOR DE COLOMBIA S.A. E.S.P.</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1B4F52" w:rsidRPr="00E16D13" w:rsidRDefault="00E734F8" w:rsidP="00E734F8">
            <w:pPr>
              <w:ind w:left="0"/>
              <w:rPr>
                <w:rFonts w:ascii="Bookman Old Style" w:hAnsi="Bookman Old Style"/>
                <w:sz w:val="18"/>
                <w:szCs w:val="18"/>
              </w:rPr>
            </w:pPr>
            <w:r>
              <w:rPr>
                <w:rFonts w:ascii="Bookman Old Style" w:hAnsi="Bookman Old Style"/>
                <w:sz w:val="18"/>
                <w:szCs w:val="18"/>
              </w:rPr>
              <w:t>246.433</w:t>
            </w:r>
          </w:p>
        </w:tc>
      </w:tr>
    </w:tbl>
    <w:p w:rsidR="001B4F52" w:rsidRDefault="001B4F52" w:rsidP="001B4F52">
      <w:pPr>
        <w:tabs>
          <w:tab w:val="right" w:pos="9498"/>
        </w:tabs>
        <w:ind w:left="0" w:right="-142"/>
        <w:jc w:val="both"/>
        <w:rPr>
          <w:rFonts w:ascii="Bookman Old Style" w:hAnsi="Bookman Old Style" w:cs="Arial"/>
          <w:b/>
          <w:bCs/>
          <w:color w:val="666666"/>
          <w:sz w:val="27"/>
          <w:szCs w:val="27"/>
          <w:lang w:val="es-CO" w:eastAsia="es-CO"/>
        </w:rPr>
      </w:pPr>
    </w:p>
    <w:p w:rsidR="001B4F52" w:rsidRDefault="001B4F52" w:rsidP="001B4F52">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b/>
          <w:szCs w:val="27"/>
        </w:rPr>
        <w:t>Artículo 2.</w:t>
      </w:r>
      <w:r>
        <w:rPr>
          <w:rFonts w:ascii="Bookman Old Style" w:hAnsi="Bookman Old Style"/>
          <w:szCs w:val="27"/>
        </w:rPr>
        <w:t xml:space="preserve"> Modificar el Anexo de la </w:t>
      </w:r>
      <w:r w:rsidRPr="00E16D13">
        <w:rPr>
          <w:rFonts w:ascii="Bookman Old Style" w:hAnsi="Bookman Old Style"/>
          <w:szCs w:val="27"/>
        </w:rPr>
        <w:t>Resolución CREG 075 de 2016 de la siguiente forma:</w:t>
      </w:r>
    </w:p>
    <w:p w:rsidR="001B4F52" w:rsidRDefault="001B4F52" w:rsidP="001B4F52">
      <w:pPr>
        <w:pStyle w:val="Textoindependiente2"/>
        <w:spacing w:after="0" w:line="240" w:lineRule="auto"/>
        <w:ind w:left="-142" w:right="-142"/>
        <w:jc w:val="both"/>
        <w:rPr>
          <w:rFonts w:ascii="Bookman Old Style" w:hAnsi="Bookman Old Style"/>
          <w:szCs w:val="27"/>
        </w:rPr>
      </w:pPr>
    </w:p>
    <w:p w:rsidR="00BA5F8E" w:rsidRPr="00CD74B5" w:rsidRDefault="00BA5F8E" w:rsidP="00BA5F8E">
      <w:pPr>
        <w:ind w:right="-93"/>
        <w:jc w:val="center"/>
        <w:rPr>
          <w:rFonts w:ascii="Bookman Old Style" w:eastAsia="MS Mincho" w:hAnsi="Bookman Old Style" w:cs="Arial"/>
          <w:b/>
        </w:rPr>
      </w:pPr>
      <w:r w:rsidRPr="00CD74B5">
        <w:rPr>
          <w:rFonts w:ascii="Bookman Old Style" w:eastAsia="MS Mincho" w:hAnsi="Bookman Old Style" w:cs="Arial"/>
          <w:b/>
        </w:rPr>
        <w:t>CAPACIDAD DE COMPRA</w:t>
      </w:r>
    </w:p>
    <w:p w:rsidR="00BA5F8E" w:rsidRDefault="00BA5F8E" w:rsidP="00BA5F8E">
      <w:pPr>
        <w:jc w:val="both"/>
        <w:rPr>
          <w:rFonts w:ascii="Bookman Old Style" w:hAnsi="Bookman Old Style"/>
        </w:rPr>
      </w:pPr>
    </w:p>
    <w:p w:rsidR="00BA5F8E" w:rsidRDefault="00BA5F8E" w:rsidP="00BA5F8E">
      <w:pPr>
        <w:jc w:val="both"/>
        <w:rPr>
          <w:rFonts w:ascii="Bookman Old Style" w:hAnsi="Bookman Old Style"/>
        </w:rPr>
      </w:pPr>
      <w:r>
        <w:rPr>
          <w:rFonts w:ascii="Bookman Old Style" w:hAnsi="Bookman Old Style"/>
        </w:rPr>
        <w:t xml:space="preserve">A continuación se detalla el cálculo de la capacidad de compra del artículo 1 de la presente resolución. </w:t>
      </w:r>
    </w:p>
    <w:p w:rsidR="00BA5F8E" w:rsidRDefault="00BA5F8E" w:rsidP="00BA5F8E">
      <w:pPr>
        <w:jc w:val="both"/>
        <w:rPr>
          <w:rFonts w:ascii="Bookman Old Style" w:hAnsi="Bookman Old Style"/>
        </w:rPr>
      </w:pPr>
    </w:p>
    <w:p w:rsidR="00BA5F8E" w:rsidRDefault="00BA5F8E" w:rsidP="00BA5F8E">
      <w:pPr>
        <w:pStyle w:val="Prrafodelista"/>
        <w:numPr>
          <w:ilvl w:val="0"/>
          <w:numId w:val="46"/>
        </w:numPr>
        <w:contextualSpacing/>
        <w:jc w:val="both"/>
        <w:rPr>
          <w:rFonts w:ascii="Bookman Old Style" w:hAnsi="Bookman Old Style"/>
          <w:sz w:val="24"/>
          <w:szCs w:val="24"/>
        </w:rPr>
      </w:pPr>
      <w:r w:rsidRPr="001C513B">
        <w:rPr>
          <w:rFonts w:ascii="Bookman Old Style" w:hAnsi="Bookman Old Style"/>
          <w:sz w:val="24"/>
          <w:szCs w:val="24"/>
        </w:rPr>
        <w:t xml:space="preserve">De acuerdo con el parágrafo </w:t>
      </w:r>
      <w:r>
        <w:rPr>
          <w:rFonts w:ascii="Bookman Old Style" w:hAnsi="Bookman Old Style"/>
          <w:sz w:val="24"/>
          <w:szCs w:val="24"/>
        </w:rPr>
        <w:t>2</w:t>
      </w:r>
      <w:r w:rsidRPr="001C513B">
        <w:rPr>
          <w:rFonts w:ascii="Bookman Old Style" w:hAnsi="Bookman Old Style"/>
          <w:sz w:val="24"/>
          <w:szCs w:val="24"/>
        </w:rPr>
        <w:t xml:space="preserve"> del artículo </w:t>
      </w:r>
      <w:r>
        <w:rPr>
          <w:rFonts w:ascii="Bookman Old Style" w:hAnsi="Bookman Old Style"/>
          <w:sz w:val="24"/>
          <w:szCs w:val="24"/>
        </w:rPr>
        <w:t>8</w:t>
      </w:r>
      <w:r w:rsidRPr="001C513B">
        <w:rPr>
          <w:rFonts w:ascii="Bookman Old Style" w:hAnsi="Bookman Old Style"/>
          <w:sz w:val="24"/>
          <w:szCs w:val="24"/>
        </w:rPr>
        <w:t xml:space="preserve"> de la resolución</w:t>
      </w:r>
      <w:r>
        <w:rPr>
          <w:rFonts w:ascii="Bookman Old Style" w:hAnsi="Bookman Old Style"/>
          <w:sz w:val="24"/>
          <w:szCs w:val="24"/>
        </w:rPr>
        <w:t xml:space="preserve"> CREG</w:t>
      </w:r>
      <w:r w:rsidRPr="001C513B">
        <w:rPr>
          <w:rFonts w:ascii="Bookman Old Style" w:hAnsi="Bookman Old Style"/>
          <w:sz w:val="24"/>
          <w:szCs w:val="24"/>
        </w:rPr>
        <w:t xml:space="preserve"> </w:t>
      </w:r>
      <w:r>
        <w:rPr>
          <w:rFonts w:ascii="Bookman Old Style" w:hAnsi="Bookman Old Style"/>
          <w:sz w:val="24"/>
          <w:szCs w:val="24"/>
        </w:rPr>
        <w:t>063 de 2016</w:t>
      </w:r>
      <w:r w:rsidRPr="001C513B">
        <w:rPr>
          <w:rFonts w:ascii="Bookman Old Style" w:hAnsi="Bookman Old Style"/>
          <w:sz w:val="24"/>
          <w:szCs w:val="24"/>
        </w:rPr>
        <w:t xml:space="preserve">, se calcula la variable </w:t>
      </w:r>
      <m:oMath>
        <m:r>
          <w:rPr>
            <w:rFonts w:ascii="Cambria Math" w:hAnsi="Cambria Math"/>
          </w:rPr>
          <m:t>Cap.</m:t>
        </m:r>
        <m:sSub>
          <m:sSubPr>
            <m:ctrlPr>
              <w:rPr>
                <w:rFonts w:ascii="Cambria Math" w:hAnsi="Cambria Math"/>
                <w:i/>
                <w:iCs/>
              </w:rPr>
            </m:ctrlPr>
          </m:sSubPr>
          <m:e>
            <m:r>
              <w:rPr>
                <w:rFonts w:ascii="Cambria Math" w:hAnsi="Cambria Math"/>
              </w:rPr>
              <m:t>1</m:t>
            </m:r>
          </m:e>
          <m:sub>
            <m:r>
              <w:rPr>
                <w:rFonts w:ascii="Cambria Math" w:hAnsi="Cambria Math"/>
              </w:rPr>
              <m:t>i,t</m:t>
            </m:r>
          </m:sub>
        </m:sSub>
      </m:oMath>
      <w:r w:rsidRPr="00CB0253">
        <w:rPr>
          <w:rFonts w:ascii="Bookman Old Style" w:hAnsi="Bookman Old Style"/>
          <w:iCs/>
          <w:sz w:val="24"/>
          <w:szCs w:val="24"/>
        </w:rPr>
        <w:t xml:space="preserve">, a continuación se muestra el conteo de cilindros por código de presentación para cada uno de los códigos SUI de las empresas. </w:t>
      </w:r>
      <w:r w:rsidRPr="001C513B">
        <w:rPr>
          <w:rFonts w:ascii="Bookman Old Style" w:hAnsi="Bookman Old Style"/>
          <w:sz w:val="24"/>
          <w:szCs w:val="24"/>
        </w:rPr>
        <w:t xml:space="preserve"> </w:t>
      </w:r>
    </w:p>
    <w:p w:rsidR="00BA5F8E" w:rsidRPr="001C513B" w:rsidRDefault="00BA5F8E" w:rsidP="00BA5F8E">
      <w:pPr>
        <w:pStyle w:val="Prrafodelista"/>
        <w:jc w:val="both"/>
        <w:rPr>
          <w:rFonts w:ascii="Bookman Old Style" w:hAnsi="Bookman Old Style"/>
          <w:sz w:val="24"/>
          <w:szCs w:val="24"/>
        </w:rPr>
      </w:pPr>
    </w:p>
    <w:tbl>
      <w:tblPr>
        <w:tblW w:w="9487" w:type="dxa"/>
        <w:jc w:val="center"/>
        <w:tblCellMar>
          <w:left w:w="70" w:type="dxa"/>
          <w:right w:w="70" w:type="dxa"/>
        </w:tblCellMar>
        <w:tblLook w:val="04A0" w:firstRow="1" w:lastRow="0" w:firstColumn="1" w:lastColumn="0" w:noHBand="0" w:noVBand="1"/>
      </w:tblPr>
      <w:tblGrid>
        <w:gridCol w:w="844"/>
        <w:gridCol w:w="868"/>
        <w:gridCol w:w="688"/>
        <w:gridCol w:w="756"/>
        <w:gridCol w:w="756"/>
        <w:gridCol w:w="868"/>
        <w:gridCol w:w="868"/>
        <w:gridCol w:w="704"/>
        <w:gridCol w:w="832"/>
        <w:gridCol w:w="1037"/>
        <w:gridCol w:w="1266"/>
      </w:tblGrid>
      <w:tr w:rsidR="00BA5F8E" w:rsidRPr="00CF4873" w:rsidTr="001D5510">
        <w:trPr>
          <w:trHeight w:val="570"/>
          <w:tblHeader/>
          <w:jc w:val="center"/>
        </w:trPr>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F8E" w:rsidRPr="00313D63" w:rsidRDefault="00BA5F8E" w:rsidP="001D5510">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lastRenderedPageBreak/>
              <w:t>Código SUI</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BA5F8E" w:rsidRPr="00313D63" w:rsidRDefault="00BA5F8E" w:rsidP="001D5510">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10 Lb</w:t>
            </w:r>
          </w:p>
        </w:tc>
        <w:tc>
          <w:tcPr>
            <w:tcW w:w="688" w:type="dxa"/>
            <w:tcBorders>
              <w:top w:val="single" w:sz="4" w:space="0" w:color="auto"/>
              <w:left w:val="nil"/>
              <w:bottom w:val="single" w:sz="4" w:space="0" w:color="auto"/>
              <w:right w:val="single" w:sz="4" w:space="0" w:color="auto"/>
            </w:tcBorders>
            <w:shd w:val="clear" w:color="auto" w:fill="auto"/>
            <w:noWrap/>
            <w:vAlign w:val="center"/>
            <w:hideMark/>
          </w:tcPr>
          <w:p w:rsidR="00BA5F8E" w:rsidRPr="00313D63" w:rsidRDefault="00BA5F8E" w:rsidP="001D5510">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15 Lb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BA5F8E" w:rsidRPr="00313D63" w:rsidRDefault="00BA5F8E" w:rsidP="001D5510">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20 Lb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BA5F8E" w:rsidRPr="00313D63" w:rsidRDefault="00BA5F8E" w:rsidP="001D5510">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24 Lb</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BA5F8E" w:rsidRPr="00313D63" w:rsidRDefault="00BA5F8E" w:rsidP="001D5510">
            <w:pPr>
              <w:ind w:left="0"/>
              <w:jc w:val="center"/>
              <w:rPr>
                <w:rFonts w:ascii="Bookman Old Style" w:hAnsi="Bookman Old Style"/>
                <w:b/>
                <w:bCs/>
                <w:color w:val="000000"/>
                <w:sz w:val="16"/>
                <w:szCs w:val="16"/>
                <w:lang w:eastAsia="es-CO"/>
              </w:rPr>
            </w:pPr>
            <w:r>
              <w:rPr>
                <w:rFonts w:ascii="Bookman Old Style" w:hAnsi="Bookman Old Style"/>
                <w:b/>
                <w:bCs/>
                <w:color w:val="000000"/>
                <w:sz w:val="16"/>
                <w:szCs w:val="16"/>
                <w:lang w:eastAsia="es-CO"/>
              </w:rPr>
              <w:t>30</w:t>
            </w:r>
            <w:r w:rsidRPr="00313D63">
              <w:rPr>
                <w:rFonts w:ascii="Bookman Old Style" w:hAnsi="Bookman Old Style"/>
                <w:b/>
                <w:bCs/>
                <w:color w:val="000000"/>
                <w:sz w:val="16"/>
                <w:szCs w:val="16"/>
                <w:lang w:eastAsia="es-CO"/>
              </w:rPr>
              <w:t xml:space="preserve"> Lb</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BA5F8E" w:rsidRPr="00313D63" w:rsidRDefault="00BA5F8E" w:rsidP="001D5510">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40 Lb</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rsidR="00BA5F8E" w:rsidRPr="00313D63" w:rsidRDefault="00BA5F8E" w:rsidP="001D5510">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80 Lb</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BA5F8E" w:rsidRPr="00313D63" w:rsidRDefault="00BA5F8E" w:rsidP="001D5510">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100 Lb</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rsidR="00BA5F8E" w:rsidRPr="00313D63" w:rsidRDefault="00BA5F8E" w:rsidP="001D5510">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Total conteo</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BA5F8E" w:rsidRPr="00BA5F8E" w:rsidRDefault="00BA5F8E" w:rsidP="001D5510">
            <w:pPr>
              <w:ind w:left="0"/>
              <w:jc w:val="center"/>
              <w:rPr>
                <w:rFonts w:ascii="Bookman Old Style" w:hAnsi="Bookman Old Style"/>
                <w:b/>
                <w:bCs/>
                <w:color w:val="000000"/>
                <w:sz w:val="16"/>
                <w:szCs w:val="16"/>
                <w:lang w:eastAsia="es-CO"/>
              </w:rPr>
            </w:pPr>
            <m:oMathPara>
              <m:oMathParaPr>
                <m:jc m:val="center"/>
              </m:oMathParaPr>
              <m:oMath>
                <m:r>
                  <m:rPr>
                    <m:sty m:val="bi"/>
                  </m:rPr>
                  <w:rPr>
                    <w:rFonts w:ascii="Cambria Math" w:hAnsi="Cambria Math"/>
                    <w:color w:val="000000"/>
                    <w:sz w:val="16"/>
                    <w:szCs w:val="16"/>
                  </w:rPr>
                  <m:t>Cap.</m:t>
                </m:r>
                <m:sSub>
                  <m:sSubPr>
                    <m:ctrlPr>
                      <w:rPr>
                        <w:rFonts w:ascii="Cambria Math" w:hAnsi="Cambria Math"/>
                        <w:b/>
                        <w:bCs/>
                        <w:i/>
                        <w:iCs/>
                        <w:color w:val="000000"/>
                        <w:sz w:val="16"/>
                        <w:szCs w:val="16"/>
                      </w:rPr>
                    </m:ctrlPr>
                  </m:sSubPr>
                  <m:e>
                    <m:r>
                      <m:rPr>
                        <m:sty m:val="bi"/>
                      </m:rPr>
                      <w:rPr>
                        <w:rFonts w:ascii="Cambria Math" w:hAnsi="Cambria Math"/>
                        <w:color w:val="000000"/>
                        <w:sz w:val="16"/>
                        <w:szCs w:val="16"/>
                      </w:rPr>
                      <m:t>1</m:t>
                    </m:r>
                  </m:e>
                  <m:sub>
                    <m:r>
                      <m:rPr>
                        <m:sty m:val="bi"/>
                      </m:rPr>
                      <w:rPr>
                        <w:rFonts w:ascii="Cambria Math" w:hAnsi="Cambria Math"/>
                        <w:color w:val="000000"/>
                        <w:sz w:val="16"/>
                        <w:szCs w:val="16"/>
                      </w:rPr>
                      <m:t>i,t</m:t>
                    </m:r>
                  </m:sub>
                </m:sSub>
              </m:oMath>
            </m:oMathPara>
          </w:p>
        </w:tc>
      </w:tr>
      <w:tr w:rsidR="00BA5F8E" w:rsidRPr="00CF4873" w:rsidTr="001D5510">
        <w:trPr>
          <w:trHeight w:val="405"/>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BA5F8E" w:rsidRPr="0093479E" w:rsidRDefault="00BA5F8E" w:rsidP="001D5510">
            <w:pPr>
              <w:ind w:left="0"/>
              <w:jc w:val="center"/>
              <w:rPr>
                <w:rFonts w:ascii="Bookman Old Style" w:hAnsi="Bookman Old Style"/>
                <w:color w:val="000000"/>
                <w:sz w:val="18"/>
                <w:szCs w:val="20"/>
              </w:rPr>
            </w:pPr>
            <w:r>
              <w:rPr>
                <w:rFonts w:ascii="Bookman Old Style" w:hAnsi="Bookman Old Style"/>
                <w:color w:val="000000"/>
                <w:sz w:val="18"/>
                <w:szCs w:val="20"/>
              </w:rPr>
              <w:t>24963</w:t>
            </w:r>
          </w:p>
        </w:tc>
        <w:tc>
          <w:tcPr>
            <w:tcW w:w="868" w:type="dxa"/>
            <w:tcBorders>
              <w:top w:val="nil"/>
              <w:left w:val="nil"/>
              <w:bottom w:val="single" w:sz="4" w:space="0" w:color="auto"/>
              <w:right w:val="single" w:sz="4" w:space="0" w:color="auto"/>
            </w:tcBorders>
            <w:shd w:val="clear" w:color="auto" w:fill="auto"/>
            <w:noWrap/>
            <w:vAlign w:val="center"/>
          </w:tcPr>
          <w:p w:rsidR="00BA5F8E" w:rsidRDefault="00BA5F8E" w:rsidP="001D5510">
            <w:pPr>
              <w:ind w:left="93"/>
              <w:jc w:val="center"/>
            </w:pPr>
            <w:r w:rsidRPr="003C3A01">
              <w:rPr>
                <w:rFonts w:ascii="Bookman Old Style" w:hAnsi="Bookman Old Style"/>
                <w:sz w:val="18"/>
              </w:rPr>
              <w:t>NR*</w:t>
            </w:r>
          </w:p>
        </w:tc>
        <w:tc>
          <w:tcPr>
            <w:tcW w:w="688" w:type="dxa"/>
            <w:tcBorders>
              <w:top w:val="nil"/>
              <w:left w:val="nil"/>
              <w:bottom w:val="single" w:sz="4" w:space="0" w:color="auto"/>
              <w:right w:val="single" w:sz="4" w:space="0" w:color="auto"/>
            </w:tcBorders>
            <w:shd w:val="clear" w:color="auto" w:fill="auto"/>
            <w:noWrap/>
            <w:vAlign w:val="center"/>
          </w:tcPr>
          <w:p w:rsidR="00BA5F8E" w:rsidRDefault="00BA5F8E" w:rsidP="001D5510">
            <w:pPr>
              <w:ind w:left="93"/>
              <w:jc w:val="center"/>
            </w:pPr>
            <w:r w:rsidRPr="003C3A01">
              <w:rPr>
                <w:rFonts w:ascii="Bookman Old Style" w:hAnsi="Bookman Old Style"/>
                <w:sz w:val="18"/>
              </w:rPr>
              <w:t>NR*</w:t>
            </w:r>
          </w:p>
        </w:tc>
        <w:tc>
          <w:tcPr>
            <w:tcW w:w="756" w:type="dxa"/>
            <w:tcBorders>
              <w:top w:val="nil"/>
              <w:left w:val="nil"/>
              <w:bottom w:val="single" w:sz="4" w:space="0" w:color="auto"/>
              <w:right w:val="single" w:sz="4" w:space="0" w:color="auto"/>
            </w:tcBorders>
            <w:shd w:val="clear" w:color="auto" w:fill="auto"/>
            <w:noWrap/>
            <w:vAlign w:val="center"/>
          </w:tcPr>
          <w:p w:rsidR="00BA5F8E" w:rsidRDefault="00BA5F8E" w:rsidP="001D5510">
            <w:pPr>
              <w:ind w:left="93"/>
              <w:jc w:val="center"/>
            </w:pPr>
            <w:r w:rsidRPr="003C3A01">
              <w:rPr>
                <w:rFonts w:ascii="Bookman Old Style" w:hAnsi="Bookman Old Style"/>
                <w:sz w:val="18"/>
              </w:rPr>
              <w:t>NR*</w:t>
            </w:r>
          </w:p>
        </w:tc>
        <w:tc>
          <w:tcPr>
            <w:tcW w:w="756" w:type="dxa"/>
            <w:tcBorders>
              <w:top w:val="nil"/>
              <w:left w:val="nil"/>
              <w:bottom w:val="single" w:sz="4" w:space="0" w:color="auto"/>
              <w:right w:val="single" w:sz="4" w:space="0" w:color="auto"/>
            </w:tcBorders>
            <w:shd w:val="clear" w:color="auto" w:fill="auto"/>
            <w:noWrap/>
            <w:vAlign w:val="center"/>
          </w:tcPr>
          <w:p w:rsidR="00BA5F8E" w:rsidRDefault="00BA5F8E" w:rsidP="001D5510">
            <w:pPr>
              <w:ind w:left="93"/>
              <w:jc w:val="center"/>
            </w:pPr>
            <w:r w:rsidRPr="003C3A01">
              <w:rPr>
                <w:rFonts w:ascii="Bookman Old Style" w:hAnsi="Bookman Old Style"/>
                <w:sz w:val="18"/>
              </w:rPr>
              <w:t>NR*</w:t>
            </w:r>
          </w:p>
        </w:tc>
        <w:tc>
          <w:tcPr>
            <w:tcW w:w="868" w:type="dxa"/>
            <w:tcBorders>
              <w:top w:val="nil"/>
              <w:left w:val="nil"/>
              <w:bottom w:val="single" w:sz="4" w:space="0" w:color="auto"/>
              <w:right w:val="single" w:sz="4" w:space="0" w:color="auto"/>
            </w:tcBorders>
            <w:shd w:val="clear" w:color="auto" w:fill="auto"/>
            <w:noWrap/>
            <w:vAlign w:val="center"/>
          </w:tcPr>
          <w:p w:rsidR="00BA5F8E" w:rsidRPr="00074C7D" w:rsidRDefault="00BA5F8E" w:rsidP="001D5510">
            <w:pPr>
              <w:ind w:left="-92"/>
              <w:jc w:val="center"/>
              <w:rPr>
                <w:rFonts w:ascii="Bookman Old Style" w:hAnsi="Bookman Old Style"/>
                <w:color w:val="000000"/>
                <w:sz w:val="18"/>
                <w:szCs w:val="20"/>
              </w:rPr>
            </w:pPr>
            <w:r>
              <w:rPr>
                <w:rFonts w:ascii="Bookman Old Style" w:hAnsi="Bookman Old Style"/>
                <w:color w:val="000000"/>
                <w:sz w:val="18"/>
                <w:szCs w:val="20"/>
              </w:rPr>
              <w:t>708</w:t>
            </w:r>
          </w:p>
        </w:tc>
        <w:tc>
          <w:tcPr>
            <w:tcW w:w="868" w:type="dxa"/>
            <w:tcBorders>
              <w:top w:val="nil"/>
              <w:left w:val="nil"/>
              <w:bottom w:val="single" w:sz="4" w:space="0" w:color="auto"/>
              <w:right w:val="single" w:sz="4" w:space="0" w:color="auto"/>
            </w:tcBorders>
            <w:shd w:val="clear" w:color="auto" w:fill="auto"/>
            <w:noWrap/>
            <w:vAlign w:val="center"/>
          </w:tcPr>
          <w:p w:rsidR="00BA5F8E" w:rsidRPr="00074C7D" w:rsidRDefault="00BA5F8E" w:rsidP="001D5510">
            <w:pPr>
              <w:ind w:left="0"/>
              <w:jc w:val="center"/>
              <w:rPr>
                <w:rFonts w:ascii="Bookman Old Style" w:hAnsi="Bookman Old Style"/>
                <w:color w:val="000000"/>
                <w:sz w:val="18"/>
                <w:szCs w:val="20"/>
              </w:rPr>
            </w:pPr>
            <w:r>
              <w:rPr>
                <w:rFonts w:ascii="Bookman Old Style" w:hAnsi="Bookman Old Style"/>
                <w:color w:val="000000"/>
                <w:sz w:val="18"/>
                <w:szCs w:val="20"/>
              </w:rPr>
              <w:t>200</w:t>
            </w:r>
          </w:p>
        </w:tc>
        <w:tc>
          <w:tcPr>
            <w:tcW w:w="704" w:type="dxa"/>
            <w:tcBorders>
              <w:top w:val="nil"/>
              <w:left w:val="nil"/>
              <w:bottom w:val="single" w:sz="4" w:space="0" w:color="auto"/>
              <w:right w:val="single" w:sz="4" w:space="0" w:color="auto"/>
            </w:tcBorders>
            <w:shd w:val="clear" w:color="auto" w:fill="auto"/>
            <w:noWrap/>
            <w:vAlign w:val="center"/>
          </w:tcPr>
          <w:p w:rsidR="00BA5F8E" w:rsidRPr="00074C7D" w:rsidRDefault="00BA5F8E" w:rsidP="001D5510">
            <w:pPr>
              <w:ind w:left="0"/>
              <w:jc w:val="center"/>
              <w:rPr>
                <w:rFonts w:ascii="Bookman Old Style" w:hAnsi="Bookman Old Style"/>
                <w:color w:val="000000"/>
                <w:sz w:val="18"/>
                <w:szCs w:val="20"/>
              </w:rPr>
            </w:pPr>
            <w:r>
              <w:rPr>
                <w:rFonts w:ascii="Bookman Old Style" w:hAnsi="Bookman Old Style"/>
                <w:color w:val="000000"/>
                <w:sz w:val="18"/>
                <w:szCs w:val="20"/>
              </w:rPr>
              <w:t>NR*</w:t>
            </w:r>
          </w:p>
        </w:tc>
        <w:tc>
          <w:tcPr>
            <w:tcW w:w="832" w:type="dxa"/>
            <w:tcBorders>
              <w:top w:val="nil"/>
              <w:left w:val="nil"/>
              <w:bottom w:val="single" w:sz="4" w:space="0" w:color="auto"/>
              <w:right w:val="single" w:sz="4" w:space="0" w:color="auto"/>
            </w:tcBorders>
            <w:shd w:val="clear" w:color="auto" w:fill="auto"/>
            <w:noWrap/>
            <w:vAlign w:val="center"/>
          </w:tcPr>
          <w:p w:rsidR="00BA5F8E" w:rsidRPr="00074C7D" w:rsidRDefault="00BA5F8E" w:rsidP="001D5510">
            <w:pPr>
              <w:ind w:left="-128"/>
              <w:jc w:val="center"/>
              <w:rPr>
                <w:rFonts w:ascii="Bookman Old Style" w:hAnsi="Bookman Old Style"/>
                <w:color w:val="000000"/>
                <w:sz w:val="18"/>
                <w:szCs w:val="20"/>
              </w:rPr>
            </w:pPr>
            <w:r>
              <w:rPr>
                <w:rFonts w:ascii="Bookman Old Style" w:hAnsi="Bookman Old Style"/>
                <w:color w:val="000000"/>
                <w:sz w:val="18"/>
                <w:szCs w:val="20"/>
              </w:rPr>
              <w:t>100</w:t>
            </w:r>
          </w:p>
        </w:tc>
        <w:tc>
          <w:tcPr>
            <w:tcW w:w="1037" w:type="dxa"/>
            <w:tcBorders>
              <w:top w:val="nil"/>
              <w:left w:val="nil"/>
              <w:bottom w:val="single" w:sz="4" w:space="0" w:color="auto"/>
              <w:right w:val="single" w:sz="4" w:space="0" w:color="auto"/>
            </w:tcBorders>
            <w:shd w:val="clear" w:color="auto" w:fill="auto"/>
            <w:noWrap/>
            <w:vAlign w:val="center"/>
          </w:tcPr>
          <w:p w:rsidR="00BA5F8E" w:rsidRPr="00074C7D" w:rsidRDefault="00BA5F8E" w:rsidP="001D5510">
            <w:pPr>
              <w:ind w:left="-378"/>
              <w:jc w:val="center"/>
              <w:rPr>
                <w:rFonts w:ascii="Bookman Old Style" w:hAnsi="Bookman Old Style"/>
                <w:color w:val="000000"/>
                <w:sz w:val="18"/>
                <w:szCs w:val="20"/>
              </w:rPr>
            </w:pPr>
            <w:r>
              <w:rPr>
                <w:rFonts w:ascii="Bookman Old Style" w:hAnsi="Bookman Old Style"/>
                <w:color w:val="000000"/>
                <w:sz w:val="18"/>
                <w:szCs w:val="20"/>
              </w:rPr>
              <w:t>1.008</w:t>
            </w:r>
          </w:p>
        </w:tc>
        <w:tc>
          <w:tcPr>
            <w:tcW w:w="1266" w:type="dxa"/>
            <w:tcBorders>
              <w:top w:val="nil"/>
              <w:left w:val="nil"/>
              <w:bottom w:val="single" w:sz="4" w:space="0" w:color="auto"/>
              <w:right w:val="single" w:sz="4" w:space="0" w:color="auto"/>
            </w:tcBorders>
            <w:shd w:val="clear" w:color="auto" w:fill="auto"/>
            <w:noWrap/>
            <w:vAlign w:val="center"/>
          </w:tcPr>
          <w:p w:rsidR="00BA5F8E" w:rsidRPr="00074C7D" w:rsidRDefault="00BA5F8E" w:rsidP="00BA5F8E">
            <w:pPr>
              <w:ind w:left="-3"/>
              <w:jc w:val="center"/>
              <w:rPr>
                <w:rFonts w:ascii="Bookman Old Style" w:hAnsi="Bookman Old Style"/>
                <w:color w:val="000000"/>
                <w:sz w:val="18"/>
                <w:szCs w:val="20"/>
              </w:rPr>
            </w:pPr>
            <w:r>
              <w:rPr>
                <w:rFonts w:ascii="Bookman Old Style" w:hAnsi="Bookman Old Style"/>
                <w:color w:val="000000"/>
                <w:sz w:val="18"/>
                <w:szCs w:val="20"/>
              </w:rPr>
              <w:t>112.676</w:t>
            </w:r>
          </w:p>
        </w:tc>
      </w:tr>
    </w:tbl>
    <w:p w:rsidR="00BA5F8E" w:rsidRDefault="00BA5F8E" w:rsidP="00BA5F8E">
      <w:pPr>
        <w:jc w:val="center"/>
        <w:rPr>
          <w:rFonts w:ascii="Bookman Old Style" w:hAnsi="Bookman Old Style"/>
          <w:sz w:val="18"/>
        </w:rPr>
      </w:pPr>
      <w:r>
        <w:rPr>
          <w:rFonts w:ascii="Bookman Old Style" w:hAnsi="Bookman Old Style"/>
          <w:sz w:val="18"/>
        </w:rPr>
        <w:t>NR</w:t>
      </w:r>
      <w:r w:rsidRPr="002B4873">
        <w:rPr>
          <w:rFonts w:ascii="Bookman Old Style" w:hAnsi="Bookman Old Style"/>
          <w:sz w:val="18"/>
        </w:rPr>
        <w:t>*</w:t>
      </w:r>
      <w:r>
        <w:rPr>
          <w:rFonts w:ascii="Bookman Old Style" w:hAnsi="Bookman Old Style"/>
          <w:sz w:val="18"/>
        </w:rPr>
        <w:t xml:space="preserve">: No presenta registro de información en el SUI, </w:t>
      </w:r>
      <w:r w:rsidRPr="00074962">
        <w:rPr>
          <w:rFonts w:ascii="Bookman Old Style" w:hAnsi="Bookman Old Style"/>
          <w:sz w:val="18"/>
        </w:rPr>
        <w:t>de acuerdo con la información registrada al SUI</w:t>
      </w:r>
      <w:r>
        <w:rPr>
          <w:rFonts w:ascii="Bookman Old Style" w:hAnsi="Bookman Old Style"/>
          <w:sz w:val="18"/>
        </w:rPr>
        <w:t>, por AIC proyectos,</w:t>
      </w:r>
      <w:r w:rsidRPr="00074962">
        <w:rPr>
          <w:rFonts w:ascii="Bookman Old Style" w:hAnsi="Bookman Old Style"/>
          <w:sz w:val="18"/>
        </w:rPr>
        <w:t xml:space="preserve"> desde</w:t>
      </w:r>
      <w:r>
        <w:rPr>
          <w:rFonts w:ascii="Bookman Old Style" w:hAnsi="Bookman Old Style"/>
          <w:sz w:val="18"/>
        </w:rPr>
        <w:t xml:space="preserve"> 2008 hasta 2012.</w:t>
      </w:r>
    </w:p>
    <w:p w:rsidR="00BA5F8E" w:rsidRDefault="00BA5F8E" w:rsidP="00BA5F8E">
      <w:pPr>
        <w:jc w:val="center"/>
        <w:rPr>
          <w:rFonts w:ascii="Bookman Old Style" w:hAnsi="Bookman Old Style"/>
        </w:rPr>
      </w:pPr>
    </w:p>
    <w:p w:rsidR="00BA5F8E" w:rsidRPr="002E27A0" w:rsidRDefault="00BA5F8E" w:rsidP="00BA5F8E">
      <w:pPr>
        <w:pStyle w:val="Prrafodelista"/>
        <w:numPr>
          <w:ilvl w:val="0"/>
          <w:numId w:val="46"/>
        </w:numPr>
        <w:contextualSpacing/>
        <w:jc w:val="both"/>
        <w:rPr>
          <w:rFonts w:ascii="Bookman Old Style" w:hAnsi="Bookman Old Style"/>
          <w:sz w:val="24"/>
          <w:szCs w:val="24"/>
        </w:rPr>
      </w:pPr>
      <w:r>
        <w:rPr>
          <w:rFonts w:ascii="Bookman Old Style" w:hAnsi="Bookman Old Style"/>
          <w:sz w:val="24"/>
          <w:szCs w:val="24"/>
        </w:rPr>
        <w:t xml:space="preserve">De acuerdo con parágrafo 2 del artículo 8 de la resolución CREG 063 de 2016, se calcula la </w:t>
      </w:r>
      <w:r w:rsidRPr="00AE5D16">
        <w:rPr>
          <w:rFonts w:ascii="Bookman Old Style" w:hAnsi="Bookman Old Style"/>
          <w:sz w:val="24"/>
          <w:szCs w:val="24"/>
        </w:rPr>
        <w:t xml:space="preserve">variable </w:t>
      </w:r>
      <m:oMath>
        <m:r>
          <w:rPr>
            <w:rFonts w:ascii="Cambria Math" w:hAnsi="Cambria Math"/>
          </w:rPr>
          <m:t>Cap.</m:t>
        </m:r>
        <m:sSub>
          <m:sSubPr>
            <m:ctrlPr>
              <w:rPr>
                <w:rFonts w:ascii="Cambria Math" w:hAnsi="Cambria Math"/>
                <w:i/>
                <w:iCs/>
              </w:rPr>
            </m:ctrlPr>
          </m:sSubPr>
          <m:e>
            <m:r>
              <w:rPr>
                <w:rFonts w:ascii="Cambria Math" w:hAnsi="Cambria Math"/>
              </w:rPr>
              <m:t>2</m:t>
            </m:r>
          </m:e>
          <m:sub>
            <m:r>
              <w:rPr>
                <w:rFonts w:ascii="Cambria Math" w:hAnsi="Cambria Math"/>
              </w:rPr>
              <m:t>i,t</m:t>
            </m:r>
          </m:sub>
        </m:sSub>
      </m:oMath>
      <w:r w:rsidRPr="00CB0253">
        <w:rPr>
          <w:rFonts w:ascii="Bookman Old Style" w:hAnsi="Bookman Old Style"/>
          <w:iCs/>
          <w:sz w:val="24"/>
          <w:szCs w:val="24"/>
        </w:rPr>
        <w:t xml:space="preserve">, a continuación se muestra el conteo de cilindros por código de presentación para cada uno de los códigos SUI de las empresas. </w:t>
      </w:r>
    </w:p>
    <w:p w:rsidR="002E27A0" w:rsidRPr="002E47EE" w:rsidRDefault="002E27A0" w:rsidP="002E27A0">
      <w:pPr>
        <w:pStyle w:val="Prrafodelista"/>
        <w:ind w:left="720"/>
        <w:contextualSpacing/>
        <w:jc w:val="both"/>
        <w:rPr>
          <w:rFonts w:ascii="Bookman Old Style" w:hAnsi="Bookman Old Style"/>
          <w:sz w:val="24"/>
          <w:szCs w:val="24"/>
        </w:rPr>
      </w:pPr>
    </w:p>
    <w:tbl>
      <w:tblPr>
        <w:tblStyle w:val="Tablaconcuadrcula"/>
        <w:tblW w:w="0" w:type="auto"/>
        <w:jc w:val="center"/>
        <w:tblLook w:val="04A0" w:firstRow="1" w:lastRow="0" w:firstColumn="1" w:lastColumn="0" w:noHBand="0" w:noVBand="1"/>
      </w:tblPr>
      <w:tblGrid>
        <w:gridCol w:w="1473"/>
        <w:gridCol w:w="1792"/>
      </w:tblGrid>
      <w:tr w:rsidR="00BA5F8E" w:rsidRPr="00060097" w:rsidTr="001D5510">
        <w:trPr>
          <w:trHeight w:val="443"/>
          <w:jc w:val="center"/>
        </w:trPr>
        <w:tc>
          <w:tcPr>
            <w:tcW w:w="1473" w:type="dxa"/>
            <w:vAlign w:val="center"/>
          </w:tcPr>
          <w:p w:rsidR="00BA5F8E" w:rsidRPr="00060097" w:rsidRDefault="00BA5F8E" w:rsidP="001D5510">
            <w:pPr>
              <w:ind w:left="0"/>
              <w:jc w:val="center"/>
              <w:rPr>
                <w:rFonts w:ascii="Bookman Old Style" w:hAnsi="Bookman Old Style"/>
                <w:b/>
                <w:sz w:val="18"/>
                <w:szCs w:val="18"/>
              </w:rPr>
            </w:pPr>
            <w:r w:rsidRPr="00060097">
              <w:rPr>
                <w:rFonts w:ascii="Bookman Old Style" w:hAnsi="Bookman Old Style"/>
                <w:b/>
                <w:sz w:val="18"/>
                <w:szCs w:val="18"/>
              </w:rPr>
              <w:t>Código SUI</w:t>
            </w:r>
          </w:p>
        </w:tc>
        <w:tc>
          <w:tcPr>
            <w:tcW w:w="1792" w:type="dxa"/>
            <w:vAlign w:val="center"/>
          </w:tcPr>
          <w:p w:rsidR="00BA5F8E" w:rsidRPr="00216D63" w:rsidRDefault="00BA5F8E" w:rsidP="001D5510">
            <w:pPr>
              <w:ind w:left="52"/>
              <w:jc w:val="center"/>
              <w:rPr>
                <w:rFonts w:ascii="Bookman Old Style" w:hAnsi="Bookman Old Style"/>
                <w:b/>
                <w:sz w:val="18"/>
                <w:szCs w:val="18"/>
              </w:rPr>
            </w:pPr>
            <w:r>
              <w:rPr>
                <w:rFonts w:ascii="Bookman Old Style" w:hAnsi="Bookman Old Style"/>
                <w:b/>
                <w:sz w:val="18"/>
                <w:szCs w:val="18"/>
              </w:rPr>
              <w:t>24963</w:t>
            </w:r>
          </w:p>
        </w:tc>
      </w:tr>
      <w:tr w:rsidR="00BA5F8E" w:rsidRPr="00060097" w:rsidTr="001D5510">
        <w:trPr>
          <w:trHeight w:val="443"/>
          <w:jc w:val="center"/>
        </w:trPr>
        <w:tc>
          <w:tcPr>
            <w:tcW w:w="1473" w:type="dxa"/>
            <w:vAlign w:val="center"/>
          </w:tcPr>
          <w:p w:rsidR="00BA5F8E" w:rsidRPr="00060097" w:rsidRDefault="00BA5F8E" w:rsidP="001D5510">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4 Kg</w:t>
            </w:r>
          </w:p>
        </w:tc>
        <w:tc>
          <w:tcPr>
            <w:tcW w:w="1792" w:type="dxa"/>
            <w:vAlign w:val="center"/>
          </w:tcPr>
          <w:p w:rsidR="00BA5F8E" w:rsidRDefault="00BA5F8E" w:rsidP="001D5510">
            <w:pPr>
              <w:ind w:left="0"/>
              <w:jc w:val="center"/>
            </w:pPr>
            <w:r w:rsidRPr="00E73D7E">
              <w:rPr>
                <w:rFonts w:ascii="Bookman Old Style" w:hAnsi="Bookman Old Style"/>
                <w:sz w:val="18"/>
              </w:rPr>
              <w:t>NR*</w:t>
            </w:r>
          </w:p>
        </w:tc>
      </w:tr>
      <w:tr w:rsidR="00BA5F8E" w:rsidRPr="00060097" w:rsidTr="001D5510">
        <w:trPr>
          <w:trHeight w:val="443"/>
          <w:jc w:val="center"/>
        </w:trPr>
        <w:tc>
          <w:tcPr>
            <w:tcW w:w="1473" w:type="dxa"/>
            <w:vAlign w:val="center"/>
          </w:tcPr>
          <w:p w:rsidR="00BA5F8E" w:rsidRPr="00060097" w:rsidRDefault="00BA5F8E" w:rsidP="001D5510">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5 Kg</w:t>
            </w:r>
          </w:p>
        </w:tc>
        <w:tc>
          <w:tcPr>
            <w:tcW w:w="1792" w:type="dxa"/>
            <w:vAlign w:val="center"/>
          </w:tcPr>
          <w:p w:rsidR="00BA5F8E" w:rsidRDefault="00BA5F8E" w:rsidP="001D5510">
            <w:pPr>
              <w:ind w:left="0"/>
              <w:jc w:val="center"/>
            </w:pPr>
            <w:r w:rsidRPr="00E73D7E">
              <w:rPr>
                <w:rFonts w:ascii="Bookman Old Style" w:hAnsi="Bookman Old Style"/>
                <w:sz w:val="18"/>
              </w:rPr>
              <w:t>NR*</w:t>
            </w:r>
          </w:p>
        </w:tc>
      </w:tr>
      <w:tr w:rsidR="00BA5F8E" w:rsidRPr="00060097" w:rsidTr="001D5510">
        <w:trPr>
          <w:trHeight w:val="443"/>
          <w:jc w:val="center"/>
        </w:trPr>
        <w:tc>
          <w:tcPr>
            <w:tcW w:w="1473" w:type="dxa"/>
            <w:vAlign w:val="center"/>
          </w:tcPr>
          <w:p w:rsidR="00BA5F8E" w:rsidRPr="00060097" w:rsidRDefault="00BA5F8E" w:rsidP="001D5510">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7 Kg</w:t>
            </w:r>
          </w:p>
        </w:tc>
        <w:tc>
          <w:tcPr>
            <w:tcW w:w="1792" w:type="dxa"/>
            <w:vAlign w:val="center"/>
          </w:tcPr>
          <w:p w:rsidR="00BA5F8E" w:rsidRDefault="00BA5F8E" w:rsidP="001D5510">
            <w:pPr>
              <w:ind w:left="0"/>
              <w:jc w:val="center"/>
            </w:pPr>
            <w:r w:rsidRPr="00E73D7E">
              <w:rPr>
                <w:rFonts w:ascii="Bookman Old Style" w:hAnsi="Bookman Old Style"/>
                <w:sz w:val="18"/>
              </w:rPr>
              <w:t>NR*</w:t>
            </w:r>
          </w:p>
        </w:tc>
      </w:tr>
      <w:tr w:rsidR="00BA5F8E" w:rsidRPr="00060097" w:rsidTr="001D5510">
        <w:trPr>
          <w:trHeight w:val="443"/>
          <w:jc w:val="center"/>
        </w:trPr>
        <w:tc>
          <w:tcPr>
            <w:tcW w:w="1473" w:type="dxa"/>
            <w:vAlign w:val="center"/>
          </w:tcPr>
          <w:p w:rsidR="00BA5F8E" w:rsidRPr="00060097" w:rsidRDefault="00BA5F8E" w:rsidP="001D5510">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9 Kg</w:t>
            </w:r>
          </w:p>
        </w:tc>
        <w:tc>
          <w:tcPr>
            <w:tcW w:w="1792" w:type="dxa"/>
            <w:vAlign w:val="center"/>
          </w:tcPr>
          <w:p w:rsidR="00BA5F8E" w:rsidRDefault="00BA5F8E" w:rsidP="001D5510">
            <w:pPr>
              <w:ind w:left="0"/>
              <w:jc w:val="center"/>
            </w:pPr>
            <w:r>
              <w:rPr>
                <w:rFonts w:ascii="Bookman Old Style" w:hAnsi="Bookman Old Style"/>
                <w:sz w:val="18"/>
              </w:rPr>
              <w:t>300</w:t>
            </w:r>
          </w:p>
        </w:tc>
      </w:tr>
      <w:tr w:rsidR="00BA5F8E" w:rsidRPr="00060097" w:rsidTr="001D5510">
        <w:trPr>
          <w:trHeight w:val="443"/>
          <w:jc w:val="center"/>
        </w:trPr>
        <w:tc>
          <w:tcPr>
            <w:tcW w:w="1473" w:type="dxa"/>
            <w:vAlign w:val="center"/>
          </w:tcPr>
          <w:p w:rsidR="00BA5F8E" w:rsidRPr="00060097" w:rsidRDefault="00BA5F8E" w:rsidP="001D5510">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10 Kg</w:t>
            </w:r>
          </w:p>
        </w:tc>
        <w:tc>
          <w:tcPr>
            <w:tcW w:w="1792" w:type="dxa"/>
            <w:vAlign w:val="center"/>
          </w:tcPr>
          <w:p w:rsidR="00BA5F8E" w:rsidRDefault="00BA5F8E" w:rsidP="001D5510">
            <w:pPr>
              <w:ind w:left="0"/>
              <w:jc w:val="center"/>
            </w:pPr>
            <w:r w:rsidRPr="00E73D7E">
              <w:rPr>
                <w:rFonts w:ascii="Bookman Old Style" w:hAnsi="Bookman Old Style"/>
                <w:sz w:val="18"/>
              </w:rPr>
              <w:t>NR*</w:t>
            </w:r>
          </w:p>
        </w:tc>
      </w:tr>
      <w:tr w:rsidR="00BA5F8E" w:rsidRPr="00060097" w:rsidTr="001D5510">
        <w:trPr>
          <w:trHeight w:val="443"/>
          <w:jc w:val="center"/>
        </w:trPr>
        <w:tc>
          <w:tcPr>
            <w:tcW w:w="1473" w:type="dxa"/>
            <w:vAlign w:val="center"/>
          </w:tcPr>
          <w:p w:rsidR="00BA5F8E" w:rsidRPr="00060097" w:rsidRDefault="00BA5F8E" w:rsidP="001D5510">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15 Kg</w:t>
            </w:r>
          </w:p>
        </w:tc>
        <w:tc>
          <w:tcPr>
            <w:tcW w:w="1792" w:type="dxa"/>
            <w:vAlign w:val="center"/>
          </w:tcPr>
          <w:p w:rsidR="00BA5F8E" w:rsidRPr="00060097" w:rsidRDefault="00BA5F8E" w:rsidP="001D5510">
            <w:pPr>
              <w:ind w:left="0"/>
              <w:jc w:val="center"/>
              <w:rPr>
                <w:rFonts w:ascii="Bookman Old Style" w:hAnsi="Bookman Old Style"/>
                <w:sz w:val="18"/>
                <w:szCs w:val="18"/>
              </w:rPr>
            </w:pPr>
            <w:r>
              <w:rPr>
                <w:rFonts w:ascii="Bookman Old Style" w:hAnsi="Bookman Old Style"/>
                <w:sz w:val="18"/>
              </w:rPr>
              <w:t>2.700</w:t>
            </w:r>
          </w:p>
        </w:tc>
      </w:tr>
      <w:tr w:rsidR="00BA5F8E" w:rsidRPr="00060097" w:rsidTr="001D5510">
        <w:trPr>
          <w:trHeight w:val="443"/>
          <w:jc w:val="center"/>
        </w:trPr>
        <w:tc>
          <w:tcPr>
            <w:tcW w:w="1473" w:type="dxa"/>
            <w:vAlign w:val="center"/>
          </w:tcPr>
          <w:p w:rsidR="00BA5F8E" w:rsidRPr="00060097" w:rsidRDefault="00BA5F8E" w:rsidP="001D5510">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18 Kg</w:t>
            </w:r>
          </w:p>
        </w:tc>
        <w:tc>
          <w:tcPr>
            <w:tcW w:w="1792" w:type="dxa"/>
            <w:vAlign w:val="center"/>
          </w:tcPr>
          <w:p w:rsidR="00BA5F8E" w:rsidRPr="00060097" w:rsidRDefault="00BA5F8E" w:rsidP="001D5510">
            <w:pPr>
              <w:ind w:left="0"/>
              <w:jc w:val="center"/>
              <w:rPr>
                <w:rFonts w:ascii="Bookman Old Style" w:hAnsi="Bookman Old Style"/>
                <w:sz w:val="18"/>
                <w:szCs w:val="18"/>
              </w:rPr>
            </w:pPr>
            <w:r>
              <w:rPr>
                <w:rFonts w:ascii="Bookman Old Style" w:hAnsi="Bookman Old Style"/>
                <w:sz w:val="18"/>
                <w:szCs w:val="18"/>
              </w:rPr>
              <w:t>1.606</w:t>
            </w:r>
          </w:p>
        </w:tc>
      </w:tr>
      <w:tr w:rsidR="00BA5F8E" w:rsidRPr="00060097" w:rsidTr="001D5510">
        <w:trPr>
          <w:trHeight w:val="443"/>
          <w:jc w:val="center"/>
        </w:trPr>
        <w:tc>
          <w:tcPr>
            <w:tcW w:w="1473" w:type="dxa"/>
            <w:vAlign w:val="center"/>
          </w:tcPr>
          <w:p w:rsidR="00BA5F8E" w:rsidRPr="00060097" w:rsidRDefault="00BA5F8E" w:rsidP="001D5510">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20 Kg</w:t>
            </w:r>
          </w:p>
        </w:tc>
        <w:tc>
          <w:tcPr>
            <w:tcW w:w="1792" w:type="dxa"/>
            <w:vAlign w:val="center"/>
          </w:tcPr>
          <w:p w:rsidR="00BA5F8E" w:rsidRDefault="00BA5F8E" w:rsidP="001D5510">
            <w:pPr>
              <w:ind w:left="0"/>
              <w:jc w:val="center"/>
            </w:pPr>
            <w:r w:rsidRPr="008D60FC">
              <w:rPr>
                <w:rFonts w:ascii="Bookman Old Style" w:hAnsi="Bookman Old Style"/>
                <w:sz w:val="18"/>
              </w:rPr>
              <w:t>NR*</w:t>
            </w:r>
          </w:p>
        </w:tc>
      </w:tr>
      <w:tr w:rsidR="00BA5F8E" w:rsidRPr="00060097" w:rsidTr="001D5510">
        <w:trPr>
          <w:trHeight w:val="443"/>
          <w:jc w:val="center"/>
        </w:trPr>
        <w:tc>
          <w:tcPr>
            <w:tcW w:w="1473" w:type="dxa"/>
            <w:vAlign w:val="center"/>
          </w:tcPr>
          <w:p w:rsidR="00BA5F8E" w:rsidRPr="00060097" w:rsidRDefault="00BA5F8E" w:rsidP="001D5510">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30 Kg</w:t>
            </w:r>
          </w:p>
        </w:tc>
        <w:tc>
          <w:tcPr>
            <w:tcW w:w="1792" w:type="dxa"/>
            <w:vAlign w:val="center"/>
          </w:tcPr>
          <w:p w:rsidR="00BA5F8E" w:rsidRDefault="00BA5F8E" w:rsidP="001D5510">
            <w:pPr>
              <w:ind w:left="0"/>
              <w:jc w:val="center"/>
            </w:pPr>
            <w:r w:rsidRPr="008D60FC">
              <w:rPr>
                <w:rFonts w:ascii="Bookman Old Style" w:hAnsi="Bookman Old Style"/>
                <w:sz w:val="18"/>
              </w:rPr>
              <w:t>NR*</w:t>
            </w:r>
          </w:p>
        </w:tc>
      </w:tr>
      <w:tr w:rsidR="00BA5F8E" w:rsidRPr="00060097" w:rsidTr="001D5510">
        <w:trPr>
          <w:trHeight w:val="443"/>
          <w:jc w:val="center"/>
        </w:trPr>
        <w:tc>
          <w:tcPr>
            <w:tcW w:w="1473" w:type="dxa"/>
            <w:vAlign w:val="center"/>
          </w:tcPr>
          <w:p w:rsidR="00BA5F8E" w:rsidRPr="00060097" w:rsidRDefault="00BA5F8E" w:rsidP="001D5510">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33 Kg</w:t>
            </w:r>
          </w:p>
        </w:tc>
        <w:tc>
          <w:tcPr>
            <w:tcW w:w="1792" w:type="dxa"/>
            <w:vAlign w:val="center"/>
          </w:tcPr>
          <w:p w:rsidR="00BA5F8E" w:rsidRDefault="00BA5F8E" w:rsidP="001D5510">
            <w:pPr>
              <w:ind w:left="0"/>
              <w:jc w:val="center"/>
            </w:pPr>
            <w:r w:rsidRPr="008D60FC">
              <w:rPr>
                <w:rFonts w:ascii="Bookman Old Style" w:hAnsi="Bookman Old Style"/>
                <w:sz w:val="18"/>
              </w:rPr>
              <w:t>NR*</w:t>
            </w:r>
          </w:p>
        </w:tc>
      </w:tr>
      <w:tr w:rsidR="00BA5F8E" w:rsidRPr="00060097" w:rsidTr="001D5510">
        <w:trPr>
          <w:trHeight w:val="443"/>
          <w:jc w:val="center"/>
        </w:trPr>
        <w:tc>
          <w:tcPr>
            <w:tcW w:w="1473" w:type="dxa"/>
            <w:vAlign w:val="center"/>
          </w:tcPr>
          <w:p w:rsidR="00BA5F8E" w:rsidRPr="00060097" w:rsidRDefault="00BA5F8E" w:rsidP="001D5510">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35 Kg</w:t>
            </w:r>
          </w:p>
        </w:tc>
        <w:tc>
          <w:tcPr>
            <w:tcW w:w="1792" w:type="dxa"/>
            <w:vAlign w:val="center"/>
          </w:tcPr>
          <w:p w:rsidR="00BA5F8E" w:rsidRDefault="00BA5F8E" w:rsidP="001D5510">
            <w:pPr>
              <w:ind w:left="0"/>
              <w:jc w:val="center"/>
            </w:pPr>
            <w:r w:rsidRPr="008D60FC">
              <w:rPr>
                <w:rFonts w:ascii="Bookman Old Style" w:hAnsi="Bookman Old Style"/>
                <w:sz w:val="18"/>
              </w:rPr>
              <w:t>NR*</w:t>
            </w:r>
          </w:p>
        </w:tc>
      </w:tr>
      <w:tr w:rsidR="00BA5F8E" w:rsidRPr="00060097" w:rsidTr="001D5510">
        <w:trPr>
          <w:trHeight w:val="443"/>
          <w:jc w:val="center"/>
        </w:trPr>
        <w:tc>
          <w:tcPr>
            <w:tcW w:w="1473" w:type="dxa"/>
            <w:vAlign w:val="center"/>
          </w:tcPr>
          <w:p w:rsidR="00BA5F8E" w:rsidRPr="00060097" w:rsidRDefault="00BA5F8E" w:rsidP="001D5510">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40 Kg</w:t>
            </w:r>
          </w:p>
        </w:tc>
        <w:tc>
          <w:tcPr>
            <w:tcW w:w="1792" w:type="dxa"/>
            <w:vAlign w:val="center"/>
          </w:tcPr>
          <w:p w:rsidR="00BA5F8E" w:rsidRDefault="00BA5F8E" w:rsidP="001D5510">
            <w:pPr>
              <w:ind w:left="0"/>
              <w:jc w:val="center"/>
            </w:pPr>
            <w:r w:rsidRPr="008D60FC">
              <w:rPr>
                <w:rFonts w:ascii="Bookman Old Style" w:hAnsi="Bookman Old Style"/>
                <w:sz w:val="18"/>
              </w:rPr>
              <w:t>NR*</w:t>
            </w:r>
          </w:p>
        </w:tc>
      </w:tr>
      <w:tr w:rsidR="00BA5F8E" w:rsidRPr="00060097" w:rsidTr="001D5510">
        <w:trPr>
          <w:trHeight w:val="443"/>
          <w:jc w:val="center"/>
        </w:trPr>
        <w:tc>
          <w:tcPr>
            <w:tcW w:w="1473" w:type="dxa"/>
            <w:vAlign w:val="center"/>
          </w:tcPr>
          <w:p w:rsidR="00BA5F8E" w:rsidRPr="00060097" w:rsidRDefault="00BA5F8E" w:rsidP="001D5510">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45 Kg</w:t>
            </w:r>
          </w:p>
        </w:tc>
        <w:tc>
          <w:tcPr>
            <w:tcW w:w="1792" w:type="dxa"/>
            <w:vAlign w:val="center"/>
          </w:tcPr>
          <w:p w:rsidR="00BA5F8E" w:rsidRPr="00060097" w:rsidRDefault="00BA5F8E" w:rsidP="001D5510">
            <w:pPr>
              <w:ind w:left="0"/>
              <w:jc w:val="center"/>
              <w:rPr>
                <w:rFonts w:ascii="Bookman Old Style" w:hAnsi="Bookman Old Style"/>
                <w:sz w:val="18"/>
                <w:szCs w:val="18"/>
              </w:rPr>
            </w:pPr>
            <w:r w:rsidRPr="008D60FC">
              <w:rPr>
                <w:rFonts w:ascii="Bookman Old Style" w:hAnsi="Bookman Old Style"/>
                <w:sz w:val="18"/>
              </w:rPr>
              <w:t>NR*</w:t>
            </w:r>
          </w:p>
        </w:tc>
      </w:tr>
      <w:tr w:rsidR="00BA5F8E" w:rsidRPr="00060097" w:rsidTr="001D5510">
        <w:trPr>
          <w:trHeight w:val="443"/>
          <w:jc w:val="center"/>
        </w:trPr>
        <w:tc>
          <w:tcPr>
            <w:tcW w:w="1473" w:type="dxa"/>
            <w:vAlign w:val="center"/>
          </w:tcPr>
          <w:p w:rsidR="00BA5F8E" w:rsidRPr="00060097" w:rsidRDefault="00BA5F8E" w:rsidP="001D5510">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100 Kg</w:t>
            </w:r>
          </w:p>
        </w:tc>
        <w:tc>
          <w:tcPr>
            <w:tcW w:w="1792" w:type="dxa"/>
            <w:vAlign w:val="center"/>
          </w:tcPr>
          <w:p w:rsidR="00BA5F8E" w:rsidRPr="00060097" w:rsidRDefault="00BA5F8E" w:rsidP="001D5510">
            <w:pPr>
              <w:ind w:left="0"/>
              <w:jc w:val="center"/>
              <w:rPr>
                <w:rFonts w:ascii="Bookman Old Style" w:hAnsi="Bookman Old Style"/>
                <w:sz w:val="18"/>
                <w:szCs w:val="18"/>
              </w:rPr>
            </w:pPr>
            <w:r w:rsidRPr="00074962">
              <w:rPr>
                <w:rFonts w:ascii="Bookman Old Style" w:hAnsi="Bookman Old Style"/>
                <w:sz w:val="18"/>
              </w:rPr>
              <w:t>NR*</w:t>
            </w:r>
          </w:p>
        </w:tc>
      </w:tr>
      <w:tr w:rsidR="00BA5F8E" w:rsidRPr="00060097" w:rsidTr="001D5510">
        <w:trPr>
          <w:trHeight w:val="443"/>
          <w:jc w:val="center"/>
        </w:trPr>
        <w:tc>
          <w:tcPr>
            <w:tcW w:w="1473" w:type="dxa"/>
            <w:vAlign w:val="center"/>
          </w:tcPr>
          <w:p w:rsidR="00BA5F8E" w:rsidRPr="00060097" w:rsidRDefault="00BA5F8E" w:rsidP="001D5510">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Total general</w:t>
            </w:r>
          </w:p>
        </w:tc>
        <w:tc>
          <w:tcPr>
            <w:tcW w:w="1792" w:type="dxa"/>
            <w:vAlign w:val="center"/>
          </w:tcPr>
          <w:p w:rsidR="00BA5F8E" w:rsidRPr="00060097" w:rsidRDefault="00BA5F8E" w:rsidP="001D5510">
            <w:pPr>
              <w:ind w:left="0"/>
              <w:jc w:val="center"/>
              <w:rPr>
                <w:rFonts w:ascii="Bookman Old Style" w:hAnsi="Bookman Old Style"/>
                <w:sz w:val="18"/>
                <w:szCs w:val="18"/>
              </w:rPr>
            </w:pPr>
            <w:r>
              <w:rPr>
                <w:rFonts w:ascii="Bookman Old Style" w:hAnsi="Bookman Old Style"/>
                <w:sz w:val="18"/>
                <w:szCs w:val="18"/>
              </w:rPr>
              <w:t>4.306</w:t>
            </w:r>
          </w:p>
        </w:tc>
      </w:tr>
      <w:tr w:rsidR="00BA5F8E" w:rsidRPr="00060097" w:rsidTr="001D5510">
        <w:trPr>
          <w:trHeight w:val="443"/>
          <w:jc w:val="center"/>
        </w:trPr>
        <w:tc>
          <w:tcPr>
            <w:tcW w:w="1473" w:type="dxa"/>
            <w:vAlign w:val="center"/>
          </w:tcPr>
          <w:p w:rsidR="00BA5F8E" w:rsidRPr="00BA5F8E" w:rsidRDefault="00BA5F8E" w:rsidP="001D5510">
            <w:pPr>
              <w:ind w:left="0"/>
              <w:jc w:val="center"/>
              <w:rPr>
                <w:rFonts w:ascii="Bookman Old Style" w:hAnsi="Bookman Old Style"/>
                <w:b/>
                <w:color w:val="000000"/>
                <w:sz w:val="18"/>
                <w:szCs w:val="18"/>
              </w:rPr>
            </w:pPr>
            <m:oMathPara>
              <m:oMath>
                <m:r>
                  <m:rPr>
                    <m:sty m:val="bi"/>
                  </m:rPr>
                  <w:rPr>
                    <w:rFonts w:ascii="Cambria Math" w:hAnsi="Cambria Math"/>
                    <w:color w:val="000000"/>
                    <w:sz w:val="18"/>
                    <w:szCs w:val="18"/>
                  </w:rPr>
                  <m:t>Cap.</m:t>
                </m:r>
                <m:sSub>
                  <m:sSubPr>
                    <m:ctrlPr>
                      <w:rPr>
                        <w:rFonts w:ascii="Cambria Math" w:hAnsi="Cambria Math"/>
                        <w:b/>
                        <w:i/>
                        <w:color w:val="000000"/>
                        <w:sz w:val="18"/>
                        <w:szCs w:val="18"/>
                        <w:lang w:eastAsia="es-CO"/>
                      </w:rPr>
                    </m:ctrlPr>
                  </m:sSubPr>
                  <m:e>
                    <m:r>
                      <m:rPr>
                        <m:sty m:val="bi"/>
                      </m:rPr>
                      <w:rPr>
                        <w:rFonts w:ascii="Cambria Math" w:hAnsi="Cambria Math"/>
                        <w:color w:val="000000"/>
                        <w:sz w:val="18"/>
                        <w:szCs w:val="18"/>
                      </w:rPr>
                      <m:t>2</m:t>
                    </m:r>
                  </m:e>
                  <m:sub>
                    <m:r>
                      <m:rPr>
                        <m:sty m:val="bi"/>
                      </m:rPr>
                      <w:rPr>
                        <w:rFonts w:ascii="Cambria Math" w:hAnsi="Cambria Math"/>
                        <w:color w:val="000000"/>
                        <w:sz w:val="18"/>
                        <w:szCs w:val="18"/>
                      </w:rPr>
                      <m:t>i,t</m:t>
                    </m:r>
                  </m:sub>
                </m:sSub>
                <m:r>
                  <m:rPr>
                    <m:sty m:val="bi"/>
                  </m:rPr>
                  <w:rPr>
                    <w:rFonts w:ascii="Cambria Math" w:hAnsi="Cambria Math"/>
                    <w:color w:val="000000"/>
                    <w:sz w:val="18"/>
                    <w:szCs w:val="18"/>
                  </w:rPr>
                  <m:t xml:space="preserve"> </m:t>
                </m:r>
              </m:oMath>
            </m:oMathPara>
          </w:p>
        </w:tc>
        <w:tc>
          <w:tcPr>
            <w:tcW w:w="1792" w:type="dxa"/>
            <w:vAlign w:val="center"/>
          </w:tcPr>
          <w:p w:rsidR="00BA5F8E" w:rsidRPr="00060097" w:rsidRDefault="00BA5F8E" w:rsidP="001D5510">
            <w:pPr>
              <w:ind w:left="0"/>
              <w:jc w:val="center"/>
              <w:rPr>
                <w:rFonts w:ascii="Bookman Old Style" w:hAnsi="Bookman Old Style"/>
                <w:sz w:val="18"/>
                <w:szCs w:val="18"/>
              </w:rPr>
            </w:pPr>
            <w:r>
              <w:rPr>
                <w:rFonts w:ascii="Bookman Old Style" w:hAnsi="Bookman Old Style"/>
                <w:sz w:val="18"/>
                <w:szCs w:val="18"/>
              </w:rPr>
              <w:t>416.448</w:t>
            </w:r>
          </w:p>
        </w:tc>
      </w:tr>
    </w:tbl>
    <w:p w:rsidR="00BA5F8E" w:rsidRPr="00074962" w:rsidRDefault="00BA5F8E" w:rsidP="00BA5F8E">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presenta registro de información, de acuerdo con la información registrada al SUI desde noviembre de 2012 hasta la fecha</w:t>
      </w:r>
      <w:r>
        <w:rPr>
          <w:rFonts w:ascii="Bookman Old Style" w:hAnsi="Bookman Old Style"/>
          <w:sz w:val="18"/>
        </w:rPr>
        <w:t>.</w:t>
      </w:r>
    </w:p>
    <w:p w:rsidR="00BA5F8E" w:rsidRDefault="00BA5F8E" w:rsidP="00BA5F8E">
      <w:pPr>
        <w:jc w:val="center"/>
        <w:rPr>
          <w:rFonts w:ascii="Bookman Old Style" w:hAnsi="Bookman Old Style"/>
          <w:sz w:val="18"/>
        </w:rPr>
      </w:pPr>
    </w:p>
    <w:p w:rsidR="00BA5F8E" w:rsidRPr="00CB0253" w:rsidRDefault="00BA5F8E" w:rsidP="00BA5F8E">
      <w:pPr>
        <w:pStyle w:val="Prrafodelista"/>
        <w:numPr>
          <w:ilvl w:val="0"/>
          <w:numId w:val="46"/>
        </w:numPr>
        <w:contextualSpacing/>
        <w:jc w:val="both"/>
        <w:rPr>
          <w:rFonts w:ascii="Bookman Old Style" w:eastAsia="Calibri" w:hAnsi="Bookman Old Style"/>
          <w:sz w:val="24"/>
          <w:szCs w:val="24"/>
        </w:rPr>
      </w:pPr>
      <w:r>
        <w:rPr>
          <w:rFonts w:ascii="Bookman Old Style" w:hAnsi="Bookman Old Style"/>
          <w:sz w:val="24"/>
          <w:szCs w:val="24"/>
        </w:rPr>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cil</m:t>
            </m:r>
          </m:e>
          <m:sub>
            <m:r>
              <w:rPr>
                <w:rFonts w:ascii="Cambria Math" w:hAnsi="Cambria Math"/>
              </w:rPr>
              <m:t>i,t</m:t>
            </m:r>
          </m:sub>
        </m:sSub>
      </m:oMath>
      <w:r w:rsidRPr="00CB0253">
        <w:rPr>
          <w:rFonts w:ascii="Bookman Old Style" w:hAnsi="Bookman Old Style"/>
          <w:iCs/>
          <w:sz w:val="24"/>
          <w:szCs w:val="24"/>
        </w:rPr>
        <w:t xml:space="preserve">, a continuación se muestra el conteo de cilindros por código de presentación para cada uno de los códigos SUI de las empresas. </w:t>
      </w:r>
    </w:p>
    <w:p w:rsidR="00BA5F8E" w:rsidRPr="0089470C" w:rsidRDefault="00BA5F8E" w:rsidP="00BA5F8E">
      <w:pPr>
        <w:pStyle w:val="Prrafodelista"/>
        <w:ind w:left="720"/>
        <w:jc w:val="both"/>
        <w:rPr>
          <w:rFonts w:ascii="Bookman Old Style" w:hAnsi="Bookman Old Style"/>
          <w:sz w:val="24"/>
          <w:szCs w:val="24"/>
        </w:rPr>
      </w:pPr>
    </w:p>
    <w:tbl>
      <w:tblPr>
        <w:tblW w:w="6612" w:type="dxa"/>
        <w:jc w:val="center"/>
        <w:tblCellMar>
          <w:left w:w="70" w:type="dxa"/>
          <w:right w:w="70" w:type="dxa"/>
        </w:tblCellMar>
        <w:tblLook w:val="04A0" w:firstRow="1" w:lastRow="0" w:firstColumn="1" w:lastColumn="0" w:noHBand="0" w:noVBand="1"/>
      </w:tblPr>
      <w:tblGrid>
        <w:gridCol w:w="1420"/>
        <w:gridCol w:w="1660"/>
        <w:gridCol w:w="1704"/>
        <w:gridCol w:w="1828"/>
      </w:tblGrid>
      <w:tr w:rsidR="00BA5F8E" w:rsidRPr="00074962" w:rsidTr="00BA5F8E">
        <w:trPr>
          <w:trHeight w:val="405"/>
          <w:tblHeader/>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F8E" w:rsidRPr="00074962" w:rsidRDefault="00BA5F8E" w:rsidP="001D5510">
            <w:pPr>
              <w:ind w:left="67"/>
              <w:jc w:val="center"/>
              <w:rPr>
                <w:rFonts w:ascii="Bookman Old Style" w:hAnsi="Bookman Old Style"/>
                <w:color w:val="000000"/>
                <w:sz w:val="20"/>
                <w:szCs w:val="20"/>
                <w:lang w:eastAsia="es-CO"/>
              </w:rPr>
            </w:pPr>
            <w:r w:rsidRPr="00074962">
              <w:rPr>
                <w:rFonts w:ascii="Bookman Old Style" w:hAnsi="Bookman Old Style"/>
                <w:b/>
                <w:bCs/>
                <w:color w:val="000000"/>
                <w:sz w:val="20"/>
                <w:szCs w:val="20"/>
                <w:lang w:eastAsia="es-CO"/>
              </w:rPr>
              <w:t>Código SUI</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BA5F8E" w:rsidRPr="00BA5F8E" w:rsidRDefault="00BA5F8E" w:rsidP="001D5510">
            <w:pPr>
              <w:ind w:left="67"/>
              <w:jc w:val="center"/>
              <w:rPr>
                <w:rFonts w:ascii="Bookman Old Style" w:hAnsi="Bookman Old Style"/>
                <w:b/>
                <w:bCs/>
                <w:color w:val="000000"/>
                <w:sz w:val="20"/>
                <w:szCs w:val="20"/>
                <w:lang w:eastAsia="es-CO"/>
              </w:rPr>
            </w:pPr>
            <m:oMathPara>
              <m:oMathParaPr>
                <m:jc m:val="center"/>
              </m:oMathParaPr>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1</m:t>
                    </m:r>
                  </m:e>
                  <m:sub>
                    <m:r>
                      <m:rPr>
                        <m:sty m:val="bi"/>
                      </m:rPr>
                      <w:rPr>
                        <w:rFonts w:ascii="Cambria Math" w:hAnsi="Cambria Math"/>
                        <w:color w:val="000000"/>
                        <w:sz w:val="20"/>
                        <w:szCs w:val="20"/>
                        <w:lang w:eastAsia="es-CO"/>
                      </w:rPr>
                      <m:t>i,t</m:t>
                    </m:r>
                  </m:sub>
                </m:sSub>
              </m:oMath>
            </m:oMathPara>
          </w:p>
        </w:tc>
        <w:tc>
          <w:tcPr>
            <w:tcW w:w="1704" w:type="dxa"/>
            <w:tcBorders>
              <w:top w:val="single" w:sz="4" w:space="0" w:color="auto"/>
              <w:left w:val="nil"/>
              <w:bottom w:val="single" w:sz="4" w:space="0" w:color="auto"/>
              <w:right w:val="single" w:sz="4" w:space="0" w:color="auto"/>
            </w:tcBorders>
            <w:shd w:val="clear" w:color="auto" w:fill="auto"/>
            <w:noWrap/>
            <w:vAlign w:val="center"/>
          </w:tcPr>
          <w:p w:rsidR="00BA5F8E" w:rsidRPr="00BA5F8E" w:rsidRDefault="00BA5F8E" w:rsidP="001D5510">
            <w:pPr>
              <w:ind w:left="67"/>
              <w:jc w:val="cente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2</m:t>
                    </m:r>
                  </m:e>
                  <m:sub>
                    <m:r>
                      <m:rPr>
                        <m:sty m:val="bi"/>
                      </m:rPr>
                      <w:rPr>
                        <w:rFonts w:ascii="Cambria Math" w:hAnsi="Cambria Math"/>
                        <w:color w:val="000000"/>
                        <w:sz w:val="20"/>
                        <w:szCs w:val="20"/>
                        <w:lang w:eastAsia="es-CO"/>
                      </w:rPr>
                      <m:t>i,t</m:t>
                    </m:r>
                  </m:sub>
                </m:sSub>
              </m:oMath>
            </m:oMathPara>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BA5F8E" w:rsidRPr="00BA5F8E" w:rsidRDefault="00BA5F8E" w:rsidP="001D5510">
            <w:pPr>
              <w:ind w:left="67"/>
              <w:jc w:val="cente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cil</m:t>
                    </m:r>
                  </m:e>
                  <m:sub>
                    <m:r>
                      <m:rPr>
                        <m:sty m:val="bi"/>
                      </m:rPr>
                      <w:rPr>
                        <w:rFonts w:ascii="Cambria Math" w:hAnsi="Cambria Math"/>
                        <w:color w:val="000000"/>
                        <w:sz w:val="20"/>
                        <w:szCs w:val="20"/>
                        <w:lang w:eastAsia="es-CO"/>
                      </w:rPr>
                      <m:t>i,t</m:t>
                    </m:r>
                  </m:sub>
                </m:sSub>
              </m:oMath>
            </m:oMathPara>
          </w:p>
        </w:tc>
      </w:tr>
      <w:tr w:rsidR="00BA5F8E" w:rsidRPr="00074962" w:rsidTr="00BA5F8E">
        <w:trPr>
          <w:trHeight w:val="311"/>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A5F8E" w:rsidRPr="0093479E" w:rsidRDefault="00BA5F8E" w:rsidP="00BA5F8E">
            <w:pPr>
              <w:ind w:left="67"/>
              <w:jc w:val="center"/>
              <w:rPr>
                <w:rFonts w:ascii="Bookman Old Style" w:hAnsi="Bookman Old Style"/>
                <w:color w:val="000000"/>
                <w:sz w:val="18"/>
                <w:szCs w:val="20"/>
              </w:rPr>
            </w:pPr>
            <w:r>
              <w:rPr>
                <w:rFonts w:ascii="Bookman Old Style" w:hAnsi="Bookman Old Style"/>
                <w:color w:val="000000"/>
                <w:sz w:val="18"/>
                <w:szCs w:val="20"/>
              </w:rPr>
              <w:t>24963</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BA5F8E" w:rsidRDefault="00BA5F8E" w:rsidP="00BA5F8E">
            <w:pPr>
              <w:ind w:left="0"/>
              <w:rPr>
                <w:rFonts w:ascii="Bookman Old Style" w:hAnsi="Bookman Old Style"/>
                <w:color w:val="000000"/>
                <w:sz w:val="20"/>
                <w:szCs w:val="20"/>
                <w:lang w:val="es-CO" w:eastAsia="es-CO"/>
              </w:rPr>
            </w:pPr>
            <w:r>
              <w:rPr>
                <w:rFonts w:ascii="Bookman Old Style" w:hAnsi="Bookman Old Style"/>
                <w:color w:val="000000"/>
                <w:sz w:val="20"/>
                <w:szCs w:val="20"/>
              </w:rPr>
              <w:t>112.676</w:t>
            </w:r>
          </w:p>
        </w:tc>
        <w:tc>
          <w:tcPr>
            <w:tcW w:w="1704" w:type="dxa"/>
            <w:tcBorders>
              <w:top w:val="single" w:sz="4" w:space="0" w:color="auto"/>
              <w:left w:val="nil"/>
              <w:bottom w:val="single" w:sz="4" w:space="0" w:color="auto"/>
              <w:right w:val="single" w:sz="4" w:space="0" w:color="auto"/>
            </w:tcBorders>
            <w:shd w:val="clear" w:color="auto" w:fill="auto"/>
            <w:noWrap/>
            <w:vAlign w:val="center"/>
          </w:tcPr>
          <w:p w:rsidR="00BA5F8E" w:rsidRDefault="00BA5F8E" w:rsidP="00BA5F8E">
            <w:pPr>
              <w:rPr>
                <w:rFonts w:ascii="Bookman Old Style" w:hAnsi="Bookman Old Style"/>
                <w:color w:val="000000"/>
                <w:sz w:val="20"/>
                <w:szCs w:val="20"/>
              </w:rPr>
            </w:pPr>
            <w:r>
              <w:rPr>
                <w:rFonts w:ascii="Bookman Old Style" w:hAnsi="Bookman Old Style"/>
                <w:color w:val="000000"/>
                <w:sz w:val="20"/>
                <w:szCs w:val="20"/>
              </w:rPr>
              <w:t>416.448</w:t>
            </w:r>
          </w:p>
        </w:tc>
        <w:tc>
          <w:tcPr>
            <w:tcW w:w="1828" w:type="dxa"/>
            <w:tcBorders>
              <w:top w:val="single" w:sz="4" w:space="0" w:color="auto"/>
              <w:left w:val="nil"/>
              <w:bottom w:val="single" w:sz="4" w:space="0" w:color="auto"/>
              <w:right w:val="single" w:sz="4" w:space="0" w:color="auto"/>
            </w:tcBorders>
            <w:shd w:val="clear" w:color="auto" w:fill="auto"/>
            <w:noWrap/>
            <w:vAlign w:val="center"/>
          </w:tcPr>
          <w:p w:rsidR="00BA5F8E" w:rsidRDefault="00BA5F8E" w:rsidP="00BA5F8E">
            <w:pPr>
              <w:rPr>
                <w:rFonts w:ascii="Bookman Old Style" w:hAnsi="Bookman Old Style"/>
                <w:color w:val="000000"/>
                <w:sz w:val="20"/>
                <w:szCs w:val="20"/>
              </w:rPr>
            </w:pPr>
            <w:r>
              <w:rPr>
                <w:rFonts w:ascii="Bookman Old Style" w:hAnsi="Bookman Old Style"/>
                <w:color w:val="000000"/>
                <w:sz w:val="20"/>
                <w:szCs w:val="20"/>
              </w:rPr>
              <w:t>529.124</w:t>
            </w:r>
          </w:p>
        </w:tc>
      </w:tr>
    </w:tbl>
    <w:p w:rsidR="00BA5F8E" w:rsidRPr="00074962" w:rsidRDefault="00BA5F8E" w:rsidP="00BA5F8E">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presenta registro de información, de acuerdo con la información registrada al SUI desde noviembre de 2012 hasta la fecha</w:t>
      </w:r>
      <w:r>
        <w:rPr>
          <w:rFonts w:ascii="Bookman Old Style" w:hAnsi="Bookman Old Style"/>
          <w:sz w:val="18"/>
        </w:rPr>
        <w:t>.</w:t>
      </w:r>
    </w:p>
    <w:p w:rsidR="00BA5F8E" w:rsidRDefault="00BA5F8E" w:rsidP="00BA5F8E">
      <w:pPr>
        <w:rPr>
          <w:rFonts w:ascii="Bookman Old Style" w:hAnsi="Bookman Old Style"/>
        </w:rPr>
      </w:pPr>
    </w:p>
    <w:p w:rsidR="00BA5F8E" w:rsidRPr="004443F3" w:rsidRDefault="00BA5F8E" w:rsidP="00BA5F8E">
      <w:pPr>
        <w:pStyle w:val="Prrafodelista"/>
        <w:numPr>
          <w:ilvl w:val="0"/>
          <w:numId w:val="46"/>
        </w:numPr>
        <w:contextualSpacing/>
        <w:jc w:val="both"/>
        <w:rPr>
          <w:rFonts w:ascii="Bookman Old Style" w:hAnsi="Bookman Old Style"/>
          <w:sz w:val="24"/>
          <w:szCs w:val="24"/>
        </w:rPr>
      </w:pPr>
      <w:r w:rsidRPr="004443F3">
        <w:rPr>
          <w:rFonts w:ascii="Bookman Old Style" w:hAnsi="Bookman Old Style"/>
          <w:sz w:val="24"/>
          <w:szCs w:val="24"/>
        </w:rPr>
        <w:lastRenderedPageBreak/>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TE</m:t>
            </m:r>
          </m:e>
          <m:sub>
            <m:r>
              <w:rPr>
                <w:rFonts w:ascii="Cambria Math" w:hAnsi="Cambria Math"/>
              </w:rPr>
              <m:t>i,t</m:t>
            </m:r>
          </m:sub>
        </m:sSub>
      </m:oMath>
      <w:r w:rsidRPr="00CB0253">
        <w:rPr>
          <w:rFonts w:ascii="Bookman Old Style" w:hAnsi="Bookman Old Style"/>
          <w:iCs/>
          <w:sz w:val="24"/>
          <w:szCs w:val="24"/>
        </w:rPr>
        <w:t xml:space="preserve">, a continuación se muestra el conteo de cilindros por código de presentación para cada uno de los códigos SUI de las empresas. </w:t>
      </w:r>
    </w:p>
    <w:tbl>
      <w:tblPr>
        <w:tblW w:w="6492" w:type="dxa"/>
        <w:jc w:val="center"/>
        <w:tblCellMar>
          <w:left w:w="70" w:type="dxa"/>
          <w:right w:w="70" w:type="dxa"/>
        </w:tblCellMar>
        <w:tblLook w:val="04A0" w:firstRow="1" w:lastRow="0" w:firstColumn="1" w:lastColumn="0" w:noHBand="0" w:noVBand="1"/>
      </w:tblPr>
      <w:tblGrid>
        <w:gridCol w:w="1266"/>
        <w:gridCol w:w="1640"/>
        <w:gridCol w:w="1882"/>
        <w:gridCol w:w="1704"/>
      </w:tblGrid>
      <w:tr w:rsidR="00BA5F8E" w:rsidRPr="0056639C" w:rsidTr="001D5510">
        <w:trPr>
          <w:trHeight w:val="791"/>
          <w:jc w:val="center"/>
        </w:trPr>
        <w:tc>
          <w:tcPr>
            <w:tcW w:w="12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5F8E" w:rsidRPr="0056639C" w:rsidRDefault="00BA5F8E" w:rsidP="001D5510">
            <w:pPr>
              <w:ind w:left="67"/>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Código SUI</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BA5F8E" w:rsidRPr="0056639C" w:rsidRDefault="00BA5F8E" w:rsidP="001D5510">
            <w:pPr>
              <w:ind w:left="67"/>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Capacidad total (</w:t>
            </w:r>
            <w:proofErr w:type="spellStart"/>
            <w:r w:rsidRPr="0056639C">
              <w:rPr>
                <w:rFonts w:ascii="Bookman Old Style" w:hAnsi="Bookman Old Style"/>
                <w:b/>
                <w:bCs/>
                <w:color w:val="000000"/>
                <w:sz w:val="20"/>
                <w:szCs w:val="20"/>
                <w:lang w:eastAsia="es-CO"/>
              </w:rPr>
              <w:t>gl</w:t>
            </w:r>
            <w:proofErr w:type="spellEnd"/>
            <w:r w:rsidRPr="0056639C">
              <w:rPr>
                <w:rFonts w:ascii="Bookman Old Style" w:hAnsi="Bookman Old Style"/>
                <w:b/>
                <w:bCs/>
                <w:color w:val="000000"/>
                <w:sz w:val="20"/>
                <w:szCs w:val="20"/>
                <w:lang w:eastAsia="es-CO"/>
              </w:rPr>
              <w:t>)</w:t>
            </w:r>
            <w:r>
              <w:rPr>
                <w:rFonts w:ascii="Bookman Old Style" w:hAnsi="Bookman Old Style"/>
                <w:b/>
                <w:bCs/>
                <w:color w:val="000000"/>
                <w:sz w:val="20"/>
                <w:szCs w:val="20"/>
                <w:lang w:eastAsia="es-CO"/>
              </w:rPr>
              <w:t xml:space="preserve"> (</w:t>
            </w:r>
            <m:oMath>
              <m:nary>
                <m:naryPr>
                  <m:chr m:val="∑"/>
                  <m:limLoc m:val="undOvr"/>
                  <m:subHide m:val="1"/>
                  <m:supHide m:val="1"/>
                  <m:ctrlPr>
                    <w:rPr>
                      <w:rFonts w:ascii="Cambria Math" w:hAnsi="Cambria Math"/>
                      <w:b/>
                      <w:bCs/>
                      <w:i/>
                      <w:color w:val="000000"/>
                      <w:sz w:val="20"/>
                      <w:szCs w:val="20"/>
                      <w:lang w:eastAsia="es-CO"/>
                    </w:rPr>
                  </m:ctrlPr>
                </m:naryPr>
                <m:sub/>
                <m:sup/>
                <m:e>
                  <m:r>
                    <m:rPr>
                      <m:sty m:val="bi"/>
                    </m:rPr>
                    <w:rPr>
                      <w:rFonts w:ascii="Cambria Math" w:hAnsi="Cambria Math"/>
                      <w:color w:val="000000"/>
                      <w:sz w:val="20"/>
                      <w:szCs w:val="20"/>
                      <w:lang w:eastAsia="es-CO"/>
                    </w:rPr>
                    <m:t>CV*NT</m:t>
                  </m:r>
                  <m:sSub>
                    <m:sSubPr>
                      <m:ctrlPr>
                        <w:rPr>
                          <w:rFonts w:ascii="Cambria Math" w:hAnsi="Cambria Math"/>
                          <w:b/>
                          <w:bCs/>
                          <w:i/>
                          <w:color w:val="000000"/>
                          <w:sz w:val="20"/>
                          <w:szCs w:val="20"/>
                          <w:lang w:eastAsia="es-CO"/>
                        </w:rPr>
                      </m:ctrlPr>
                    </m:sSubPr>
                    <m:e>
                      <m:r>
                        <m:rPr>
                          <m:sty m:val="bi"/>
                        </m:rPr>
                        <w:rPr>
                          <w:rFonts w:ascii="Cambria Math" w:hAnsi="Cambria Math"/>
                          <w:color w:val="000000"/>
                          <w:sz w:val="20"/>
                          <w:szCs w:val="20"/>
                          <w:lang w:eastAsia="es-CO"/>
                        </w:rPr>
                        <m:t>E</m:t>
                      </m:r>
                    </m:e>
                    <m:sub>
                      <m:r>
                        <m:rPr>
                          <m:sty m:val="bi"/>
                        </m:rPr>
                        <w:rPr>
                          <w:rFonts w:ascii="Cambria Math" w:hAnsi="Cambria Math"/>
                          <w:color w:val="000000"/>
                          <w:sz w:val="20"/>
                          <w:szCs w:val="20"/>
                          <w:lang w:eastAsia="es-CO"/>
                        </w:rPr>
                        <m:t>CV</m:t>
                      </m:r>
                    </m:sub>
                  </m:sSub>
                </m:e>
              </m:nary>
            </m:oMath>
            <w:r>
              <w:rPr>
                <w:rFonts w:ascii="Bookman Old Style" w:hAnsi="Bookman Old Style"/>
                <w:b/>
                <w:bCs/>
                <w:color w:val="000000"/>
                <w:sz w:val="20"/>
                <w:szCs w:val="20"/>
                <w:lang w:eastAsia="es-CO"/>
              </w:rPr>
              <w:t>)</w:t>
            </w:r>
          </w:p>
        </w:tc>
        <w:tc>
          <w:tcPr>
            <w:tcW w:w="1882" w:type="dxa"/>
            <w:tcBorders>
              <w:top w:val="single" w:sz="4" w:space="0" w:color="auto"/>
              <w:left w:val="nil"/>
              <w:bottom w:val="single" w:sz="4" w:space="0" w:color="auto"/>
              <w:right w:val="single" w:sz="4" w:space="0" w:color="auto"/>
            </w:tcBorders>
            <w:shd w:val="clear" w:color="auto" w:fill="auto"/>
            <w:vAlign w:val="center"/>
            <w:hideMark/>
          </w:tcPr>
          <w:p w:rsidR="00BA5F8E" w:rsidRPr="0056639C" w:rsidRDefault="00BA5F8E" w:rsidP="001D5510">
            <w:pPr>
              <w:ind w:left="67"/>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Número tanques estacionarios</w:t>
            </w:r>
            <w:r>
              <w:rPr>
                <w:rFonts w:ascii="Bookman Old Style" w:hAnsi="Bookman Old Style"/>
                <w:b/>
                <w:bCs/>
                <w:color w:val="000000"/>
                <w:sz w:val="20"/>
                <w:szCs w:val="20"/>
                <w:lang w:eastAsia="es-CO"/>
              </w:rPr>
              <w:t xml:space="preserve"> (</w:t>
            </w:r>
            <m:oMath>
              <m:r>
                <m:rPr>
                  <m:sty m:val="bi"/>
                </m:rPr>
                <w:rPr>
                  <w:rFonts w:ascii="Cambria Math" w:hAnsi="Cambria Math"/>
                  <w:color w:val="000000"/>
                  <w:sz w:val="20"/>
                  <w:szCs w:val="20"/>
                  <w:lang w:eastAsia="es-CO"/>
                </w:rPr>
                <m:t>NT</m:t>
              </m:r>
              <m:sSub>
                <m:sSubPr>
                  <m:ctrlPr>
                    <w:rPr>
                      <w:rFonts w:ascii="Cambria Math" w:hAnsi="Cambria Math"/>
                      <w:b/>
                      <w:bCs/>
                      <w:i/>
                      <w:color w:val="000000"/>
                      <w:sz w:val="20"/>
                      <w:szCs w:val="20"/>
                      <w:lang w:eastAsia="es-CO"/>
                    </w:rPr>
                  </m:ctrlPr>
                </m:sSubPr>
                <m:e>
                  <m:r>
                    <m:rPr>
                      <m:sty m:val="bi"/>
                    </m:rPr>
                    <w:rPr>
                      <w:rFonts w:ascii="Cambria Math" w:hAnsi="Cambria Math"/>
                      <w:color w:val="000000"/>
                      <w:sz w:val="20"/>
                      <w:szCs w:val="20"/>
                      <w:lang w:eastAsia="es-CO"/>
                    </w:rPr>
                    <m:t>E</m:t>
                  </m:r>
                </m:e>
                <m:sub>
                  <m:r>
                    <m:rPr>
                      <m:sty m:val="bi"/>
                    </m:rPr>
                    <w:rPr>
                      <w:rFonts w:ascii="Cambria Math" w:hAnsi="Cambria Math"/>
                      <w:color w:val="000000"/>
                      <w:sz w:val="20"/>
                      <w:szCs w:val="20"/>
                      <w:lang w:eastAsia="es-CO"/>
                    </w:rPr>
                    <m:t>CV</m:t>
                  </m:r>
                </m:sub>
              </m:sSub>
            </m:oMath>
            <w:r>
              <w:rPr>
                <w:rFonts w:ascii="Bookman Old Style" w:hAnsi="Bookman Old Style"/>
                <w:b/>
                <w:bCs/>
                <w:color w:val="000000"/>
                <w:sz w:val="20"/>
                <w:szCs w:val="20"/>
                <w:lang w:eastAsia="es-CO"/>
              </w:rPr>
              <w:t>)</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rsidR="00BA5F8E" w:rsidRPr="0056639C" w:rsidRDefault="00BA5F8E" w:rsidP="001D5510">
            <w:pPr>
              <w:ind w:left="67"/>
              <w:jc w:val="center"/>
              <w:rPr>
                <w:rFonts w:ascii="Bookman Old Style" w:hAnsi="Bookman Old Style"/>
                <w:b/>
                <w:bCs/>
                <w:color w:val="000000"/>
                <w:sz w:val="20"/>
                <w:szCs w:val="20"/>
                <w:lang w:eastAsia="es-CO"/>
              </w:rPr>
            </w:pPr>
            <m:oMath>
              <m:r>
                <m:rPr>
                  <m:sty m:val="bi"/>
                </m:rPr>
                <w:rPr>
                  <w:rFonts w:ascii="Cambria Math" w:hAnsi="Cambria Math"/>
                </w:rPr>
                <m:t>Cap.</m:t>
              </m:r>
              <m:sSub>
                <m:sSubPr>
                  <m:ctrlPr>
                    <w:rPr>
                      <w:rFonts w:ascii="Cambria Math" w:hAnsi="Cambria Math"/>
                      <w:b/>
                      <w:i/>
                      <w:iCs/>
                    </w:rPr>
                  </m:ctrlPr>
                </m:sSubPr>
                <m:e>
                  <m:r>
                    <m:rPr>
                      <m:sty m:val="bi"/>
                    </m:rPr>
                    <w:rPr>
                      <w:rFonts w:ascii="Cambria Math" w:hAnsi="Cambria Math"/>
                    </w:rPr>
                    <m:t>TE</m:t>
                  </m:r>
                </m:e>
                <m:sub>
                  <m:r>
                    <m:rPr>
                      <m:sty m:val="bi"/>
                    </m:rPr>
                    <w:rPr>
                      <w:rFonts w:ascii="Cambria Math" w:hAnsi="Cambria Math"/>
                    </w:rPr>
                    <m:t>i,t</m:t>
                  </m:r>
                </m:sub>
              </m:sSub>
            </m:oMath>
            <w:r w:rsidRPr="0056639C">
              <w:rPr>
                <w:rFonts w:ascii="Bookman Old Style" w:hAnsi="Bookman Old Style"/>
                <w:b/>
                <w:bCs/>
                <w:color w:val="000000"/>
                <w:sz w:val="20"/>
                <w:szCs w:val="20"/>
                <w:lang w:eastAsia="es-CO"/>
              </w:rPr>
              <w:t> </w:t>
            </w:r>
          </w:p>
        </w:tc>
      </w:tr>
      <w:tr w:rsidR="00BA5F8E" w:rsidRPr="0056639C" w:rsidTr="001D5510">
        <w:trPr>
          <w:trHeight w:val="300"/>
          <w:jc w:val="center"/>
        </w:trPr>
        <w:tc>
          <w:tcPr>
            <w:tcW w:w="1266" w:type="dxa"/>
            <w:tcBorders>
              <w:top w:val="nil"/>
              <w:left w:val="single" w:sz="4" w:space="0" w:color="auto"/>
              <w:bottom w:val="single" w:sz="4" w:space="0" w:color="auto"/>
              <w:right w:val="single" w:sz="4" w:space="0" w:color="auto"/>
            </w:tcBorders>
            <w:shd w:val="clear" w:color="auto" w:fill="auto"/>
            <w:noWrap/>
            <w:vAlign w:val="center"/>
          </w:tcPr>
          <w:p w:rsidR="00BA5F8E" w:rsidRDefault="00BA5F8E" w:rsidP="00BA5F8E">
            <w:pPr>
              <w:ind w:left="0"/>
              <w:jc w:val="center"/>
              <w:rPr>
                <w:rFonts w:ascii="Bookman Old Style" w:hAnsi="Bookman Old Style"/>
                <w:color w:val="000000"/>
                <w:sz w:val="20"/>
                <w:szCs w:val="20"/>
                <w:lang w:val="es-CO" w:eastAsia="es-CO"/>
              </w:rPr>
            </w:pPr>
            <w:r>
              <w:rPr>
                <w:rFonts w:ascii="Bookman Old Style" w:hAnsi="Bookman Old Style"/>
                <w:color w:val="000000"/>
                <w:sz w:val="20"/>
                <w:szCs w:val="20"/>
              </w:rPr>
              <w:t>24963</w:t>
            </w:r>
          </w:p>
        </w:tc>
        <w:tc>
          <w:tcPr>
            <w:tcW w:w="1640" w:type="dxa"/>
            <w:tcBorders>
              <w:top w:val="nil"/>
              <w:left w:val="nil"/>
              <w:bottom w:val="single" w:sz="4" w:space="0" w:color="auto"/>
              <w:right w:val="single" w:sz="4" w:space="0" w:color="auto"/>
            </w:tcBorders>
            <w:shd w:val="clear" w:color="auto" w:fill="auto"/>
            <w:noWrap/>
            <w:vAlign w:val="center"/>
          </w:tcPr>
          <w:p w:rsidR="00BA5F8E" w:rsidRDefault="00BA5F8E" w:rsidP="00BA5F8E">
            <w:pPr>
              <w:ind w:left="67"/>
              <w:jc w:val="center"/>
              <w:rPr>
                <w:rFonts w:ascii="Bookman Old Style" w:hAnsi="Bookman Old Style"/>
                <w:color w:val="000000"/>
                <w:sz w:val="20"/>
                <w:szCs w:val="20"/>
              </w:rPr>
            </w:pPr>
            <w:r>
              <w:rPr>
                <w:rFonts w:ascii="Bookman Old Style" w:hAnsi="Bookman Old Style"/>
                <w:color w:val="000000"/>
                <w:sz w:val="20"/>
                <w:szCs w:val="20"/>
              </w:rPr>
              <w:t>24.820</w:t>
            </w:r>
          </w:p>
        </w:tc>
        <w:tc>
          <w:tcPr>
            <w:tcW w:w="1882" w:type="dxa"/>
            <w:tcBorders>
              <w:top w:val="nil"/>
              <w:left w:val="nil"/>
              <w:bottom w:val="single" w:sz="4" w:space="0" w:color="auto"/>
              <w:right w:val="single" w:sz="4" w:space="0" w:color="auto"/>
            </w:tcBorders>
            <w:shd w:val="clear" w:color="auto" w:fill="auto"/>
            <w:noWrap/>
            <w:vAlign w:val="center"/>
          </w:tcPr>
          <w:p w:rsidR="00BA5F8E" w:rsidRDefault="00BA5F8E" w:rsidP="00BA5F8E">
            <w:pPr>
              <w:ind w:left="67"/>
              <w:jc w:val="center"/>
              <w:rPr>
                <w:rFonts w:ascii="Bookman Old Style" w:hAnsi="Bookman Old Style"/>
                <w:color w:val="000000"/>
                <w:sz w:val="20"/>
                <w:szCs w:val="20"/>
              </w:rPr>
            </w:pPr>
            <w:r>
              <w:rPr>
                <w:rFonts w:ascii="Bookman Old Style" w:hAnsi="Bookman Old Style"/>
                <w:color w:val="000000"/>
                <w:sz w:val="20"/>
                <w:szCs w:val="20"/>
              </w:rPr>
              <w:t>178</w:t>
            </w:r>
          </w:p>
        </w:tc>
        <w:tc>
          <w:tcPr>
            <w:tcW w:w="1704" w:type="dxa"/>
            <w:tcBorders>
              <w:top w:val="nil"/>
              <w:left w:val="nil"/>
              <w:bottom w:val="single" w:sz="4" w:space="0" w:color="auto"/>
              <w:right w:val="single" w:sz="4" w:space="0" w:color="auto"/>
            </w:tcBorders>
            <w:shd w:val="clear" w:color="auto" w:fill="auto"/>
            <w:noWrap/>
            <w:vAlign w:val="center"/>
          </w:tcPr>
          <w:p w:rsidR="00BA5F8E" w:rsidRDefault="00BA5F8E" w:rsidP="00BA5F8E">
            <w:pPr>
              <w:ind w:left="67"/>
              <w:jc w:val="center"/>
              <w:rPr>
                <w:rFonts w:ascii="Bookman Old Style" w:hAnsi="Bookman Old Style"/>
                <w:color w:val="000000"/>
                <w:sz w:val="20"/>
                <w:szCs w:val="20"/>
              </w:rPr>
            </w:pPr>
            <w:r>
              <w:rPr>
                <w:rFonts w:ascii="Bookman Old Style" w:hAnsi="Bookman Old Style"/>
                <w:color w:val="000000"/>
                <w:sz w:val="20"/>
                <w:szCs w:val="20"/>
              </w:rPr>
              <w:t>312.732</w:t>
            </w:r>
          </w:p>
        </w:tc>
      </w:tr>
    </w:tbl>
    <w:p w:rsidR="00BA5F8E" w:rsidRDefault="00BA5F8E" w:rsidP="00BA5F8E">
      <w:pPr>
        <w:pStyle w:val="Prrafodelista"/>
        <w:jc w:val="both"/>
        <w:rPr>
          <w:rFonts w:ascii="Bookman Old Style" w:hAnsi="Bookman Old Style"/>
          <w:sz w:val="24"/>
          <w:szCs w:val="24"/>
        </w:rPr>
      </w:pPr>
    </w:p>
    <w:p w:rsidR="00BA5F8E" w:rsidRPr="004443F3" w:rsidRDefault="00BA5F8E" w:rsidP="00BA5F8E">
      <w:pPr>
        <w:pStyle w:val="Prrafodelista"/>
        <w:numPr>
          <w:ilvl w:val="0"/>
          <w:numId w:val="46"/>
        </w:numPr>
        <w:spacing w:after="200" w:line="276" w:lineRule="auto"/>
        <w:contextualSpacing/>
        <w:rPr>
          <w:rFonts w:ascii="Bookman Old Style" w:hAnsi="Bookman Old Style"/>
          <w:sz w:val="24"/>
          <w:szCs w:val="24"/>
        </w:rPr>
      </w:pPr>
      <w:r w:rsidRPr="004443F3">
        <w:rPr>
          <w:rFonts w:ascii="Bookman Old Style" w:hAnsi="Bookman Old Style"/>
          <w:sz w:val="24"/>
          <w:szCs w:val="24"/>
        </w:rPr>
        <w:t xml:space="preserve">De acuerdo con parágrafo 1 del artículo 8 de la resolución CREG 063 de 2016, se calcula la variable </w:t>
      </w:r>
      <m:oMath>
        <m:r>
          <w:rPr>
            <w:rFonts w:ascii="Cambria Math" w:hAnsi="Cambria Math"/>
          </w:rPr>
          <m:t>C</m:t>
        </m:r>
        <m:sSub>
          <m:sSubPr>
            <m:ctrlPr>
              <w:rPr>
                <w:rFonts w:ascii="Cambria Math" w:hAnsi="Cambria Math"/>
                <w:i/>
              </w:rPr>
            </m:ctrlPr>
          </m:sSubPr>
          <m:e>
            <m:r>
              <w:rPr>
                <w:rFonts w:ascii="Cambria Math" w:hAnsi="Cambria Math"/>
              </w:rPr>
              <m:t>C</m:t>
            </m:r>
          </m:e>
          <m:sub>
            <m:r>
              <w:rPr>
                <w:rFonts w:ascii="Cambria Math" w:hAnsi="Cambria Math"/>
              </w:rPr>
              <m:t>i,t</m:t>
            </m:r>
          </m:sub>
        </m:sSub>
      </m:oMath>
      <w:r w:rsidRPr="00CB0253">
        <w:rPr>
          <w:rFonts w:ascii="Bookman Old Style" w:hAnsi="Bookman Old Style"/>
          <w:iCs/>
          <w:sz w:val="24"/>
          <w:szCs w:val="24"/>
        </w:rPr>
        <w:t xml:space="preserve">, a continuación se muestra el conteo de cilindros por código de presentación para cada uno de los códigos SUI de las empresas. </w:t>
      </w:r>
    </w:p>
    <w:p w:rsidR="00BA5F8E" w:rsidRDefault="00BA5F8E" w:rsidP="00BA5F8E">
      <w:pPr>
        <w:pStyle w:val="Prrafodelista"/>
        <w:ind w:left="0"/>
        <w:jc w:val="center"/>
        <w:rPr>
          <w:rFonts w:ascii="Bookman Old Style" w:hAnsi="Bookman Old Style"/>
          <w:sz w:val="18"/>
          <w:szCs w:val="24"/>
        </w:rPr>
      </w:pPr>
    </w:p>
    <w:tbl>
      <w:tblPr>
        <w:tblW w:w="6340" w:type="dxa"/>
        <w:jc w:val="center"/>
        <w:tblCellMar>
          <w:left w:w="70" w:type="dxa"/>
          <w:right w:w="70" w:type="dxa"/>
        </w:tblCellMar>
        <w:tblLook w:val="04A0" w:firstRow="1" w:lastRow="0" w:firstColumn="1" w:lastColumn="0" w:noHBand="0" w:noVBand="1"/>
      </w:tblPr>
      <w:tblGrid>
        <w:gridCol w:w="1420"/>
        <w:gridCol w:w="1700"/>
        <w:gridCol w:w="1704"/>
        <w:gridCol w:w="1516"/>
      </w:tblGrid>
      <w:tr w:rsidR="00BA5F8E" w:rsidRPr="000768E2" w:rsidTr="001D5510">
        <w:trPr>
          <w:trHeight w:val="570"/>
          <w:tblHeader/>
          <w:jc w:val="center"/>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5F8E" w:rsidRPr="000768E2" w:rsidRDefault="00BA5F8E" w:rsidP="001D5510">
            <w:pPr>
              <w:ind w:left="67"/>
              <w:jc w:val="center"/>
              <w:rPr>
                <w:rFonts w:ascii="Bookman Old Style" w:hAnsi="Bookman Old Style"/>
                <w:b/>
                <w:bCs/>
                <w:color w:val="000000"/>
                <w:sz w:val="20"/>
                <w:szCs w:val="20"/>
                <w:lang w:eastAsia="es-CO"/>
              </w:rPr>
            </w:pPr>
            <w:r w:rsidRPr="000768E2">
              <w:rPr>
                <w:rFonts w:ascii="Bookman Old Style" w:hAnsi="Bookman Old Style"/>
                <w:b/>
                <w:bCs/>
                <w:color w:val="000000"/>
                <w:sz w:val="20"/>
                <w:szCs w:val="20"/>
                <w:lang w:eastAsia="es-CO"/>
              </w:rPr>
              <w:t>Código SUI</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BA5F8E" w:rsidRPr="00BA5F8E" w:rsidRDefault="00BA5F8E" w:rsidP="001D5510">
            <w:pPr>
              <w:ind w:left="67"/>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cil</m:t>
                    </m:r>
                  </m:e>
                  <m:sub>
                    <m:r>
                      <m:rPr>
                        <m:sty m:val="bi"/>
                      </m:rPr>
                      <w:rPr>
                        <w:rFonts w:ascii="Cambria Math" w:hAnsi="Cambria Math"/>
                        <w:color w:val="000000"/>
                        <w:sz w:val="20"/>
                        <w:szCs w:val="20"/>
                        <w:lang w:eastAsia="es-CO"/>
                      </w:rPr>
                      <m:t>i,t</m:t>
                    </m:r>
                  </m:sub>
                </m:sSub>
              </m:oMath>
            </m:oMathPara>
          </w:p>
        </w:tc>
        <w:tc>
          <w:tcPr>
            <w:tcW w:w="1704" w:type="dxa"/>
            <w:tcBorders>
              <w:top w:val="single" w:sz="4" w:space="0" w:color="auto"/>
              <w:left w:val="nil"/>
              <w:bottom w:val="single" w:sz="4" w:space="0" w:color="auto"/>
              <w:right w:val="single" w:sz="4" w:space="0" w:color="auto"/>
            </w:tcBorders>
            <w:shd w:val="clear" w:color="auto" w:fill="auto"/>
            <w:noWrap/>
            <w:vAlign w:val="center"/>
            <w:hideMark/>
          </w:tcPr>
          <w:p w:rsidR="00BA5F8E" w:rsidRPr="00BA5F8E" w:rsidRDefault="00BA5F8E" w:rsidP="001D5510">
            <w:pPr>
              <w:ind w:left="67"/>
              <w:rPr>
                <w:rFonts w:ascii="Bookman Old Style" w:hAnsi="Bookman Old Style"/>
                <w:b/>
                <w:bCs/>
                <w:color w:val="000000"/>
                <w:sz w:val="20"/>
                <w:szCs w:val="20"/>
                <w:lang w:eastAsia="es-CO"/>
              </w:rPr>
            </w:pPr>
            <m:oMathPara>
              <m:oMath>
                <m:r>
                  <m:rPr>
                    <m:sty m:val="bi"/>
                  </m:rPr>
                  <w:rPr>
                    <w:rFonts w:ascii="Cambria Math" w:hAnsi="Cambria Math"/>
                    <w:sz w:val="20"/>
                    <w:szCs w:val="20"/>
                  </w:rPr>
                  <m:t>Cap.</m:t>
                </m:r>
                <m:sSub>
                  <m:sSubPr>
                    <m:ctrlPr>
                      <w:rPr>
                        <w:rFonts w:ascii="Cambria Math" w:hAnsi="Cambria Math"/>
                        <w:b/>
                        <w:i/>
                        <w:iCs/>
                        <w:sz w:val="20"/>
                        <w:szCs w:val="20"/>
                      </w:rPr>
                    </m:ctrlPr>
                  </m:sSubPr>
                  <m:e>
                    <m:r>
                      <m:rPr>
                        <m:sty m:val="bi"/>
                      </m:rPr>
                      <w:rPr>
                        <w:rFonts w:ascii="Cambria Math" w:hAnsi="Cambria Math"/>
                        <w:sz w:val="20"/>
                        <w:szCs w:val="20"/>
                      </w:rPr>
                      <m:t>TE</m:t>
                    </m:r>
                  </m:e>
                  <m:sub>
                    <m:r>
                      <m:rPr>
                        <m:sty m:val="bi"/>
                      </m:rPr>
                      <w:rPr>
                        <w:rFonts w:ascii="Cambria Math" w:hAnsi="Cambria Math"/>
                        <w:sz w:val="20"/>
                        <w:szCs w:val="20"/>
                      </w:rPr>
                      <m:t>i,t</m:t>
                    </m:r>
                  </m:sub>
                </m:sSub>
              </m:oMath>
            </m:oMathPara>
          </w:p>
        </w:tc>
        <w:tc>
          <w:tcPr>
            <w:tcW w:w="1516" w:type="dxa"/>
            <w:tcBorders>
              <w:top w:val="single" w:sz="4" w:space="0" w:color="auto"/>
              <w:left w:val="nil"/>
              <w:bottom w:val="single" w:sz="4" w:space="0" w:color="auto"/>
              <w:right w:val="single" w:sz="4" w:space="0" w:color="auto"/>
            </w:tcBorders>
            <w:shd w:val="clear" w:color="auto" w:fill="auto"/>
            <w:noWrap/>
            <w:vAlign w:val="center"/>
            <w:hideMark/>
          </w:tcPr>
          <w:p w:rsidR="00BA5F8E" w:rsidRPr="00BA5F8E" w:rsidRDefault="00BA5F8E" w:rsidP="001D5510">
            <w:pPr>
              <w:ind w:left="67"/>
              <w:rPr>
                <w:rFonts w:ascii="Bookman Old Style" w:hAnsi="Bookman Old Style"/>
                <w:b/>
                <w:bCs/>
                <w:color w:val="000000"/>
                <w:sz w:val="20"/>
                <w:szCs w:val="20"/>
                <w:lang w:eastAsia="es-CO"/>
              </w:rPr>
            </w:pPr>
            <m:oMathPara>
              <m:oMathParaPr>
                <m:jc m:val="center"/>
              </m:oMathParaP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,t</m:t>
                    </m:r>
                  </m:sub>
                </m:sSub>
              </m:oMath>
            </m:oMathPara>
          </w:p>
        </w:tc>
      </w:tr>
      <w:tr w:rsidR="00BA5F8E" w:rsidRPr="000768E2" w:rsidTr="001D5510">
        <w:trPr>
          <w:trHeight w:val="220"/>
          <w:jc w:val="center"/>
        </w:trPr>
        <w:tc>
          <w:tcPr>
            <w:tcW w:w="1420" w:type="dxa"/>
            <w:tcBorders>
              <w:top w:val="nil"/>
              <w:left w:val="single" w:sz="4" w:space="0" w:color="auto"/>
              <w:bottom w:val="single" w:sz="4" w:space="0" w:color="auto"/>
              <w:right w:val="single" w:sz="4" w:space="0" w:color="auto"/>
            </w:tcBorders>
            <w:shd w:val="clear" w:color="auto" w:fill="auto"/>
            <w:noWrap/>
            <w:vAlign w:val="center"/>
          </w:tcPr>
          <w:p w:rsidR="00BA5F8E" w:rsidRDefault="00BA5F8E" w:rsidP="00BA5F8E">
            <w:pPr>
              <w:ind w:left="0"/>
              <w:jc w:val="center"/>
              <w:rPr>
                <w:rFonts w:ascii="Bookman Old Style" w:hAnsi="Bookman Old Style"/>
                <w:color w:val="000000"/>
                <w:sz w:val="20"/>
                <w:szCs w:val="20"/>
                <w:lang w:val="es-CO" w:eastAsia="es-CO"/>
              </w:rPr>
            </w:pPr>
            <w:r>
              <w:rPr>
                <w:rFonts w:ascii="Bookman Old Style" w:hAnsi="Bookman Old Style"/>
                <w:color w:val="000000"/>
                <w:sz w:val="20"/>
                <w:szCs w:val="20"/>
              </w:rPr>
              <w:t>24963</w:t>
            </w:r>
          </w:p>
        </w:tc>
        <w:tc>
          <w:tcPr>
            <w:tcW w:w="1700" w:type="dxa"/>
            <w:tcBorders>
              <w:top w:val="nil"/>
              <w:left w:val="nil"/>
              <w:bottom w:val="single" w:sz="4" w:space="0" w:color="auto"/>
              <w:right w:val="single" w:sz="4" w:space="0" w:color="auto"/>
            </w:tcBorders>
            <w:shd w:val="clear" w:color="auto" w:fill="auto"/>
            <w:noWrap/>
            <w:vAlign w:val="center"/>
          </w:tcPr>
          <w:p w:rsidR="00BA5F8E" w:rsidRDefault="00BA5F8E" w:rsidP="00BA5F8E">
            <w:pPr>
              <w:ind w:left="121"/>
              <w:jc w:val="center"/>
              <w:rPr>
                <w:rFonts w:ascii="Bookman Old Style" w:hAnsi="Bookman Old Style"/>
                <w:color w:val="000000"/>
                <w:sz w:val="20"/>
                <w:szCs w:val="20"/>
              </w:rPr>
            </w:pPr>
            <w:r>
              <w:rPr>
                <w:rFonts w:ascii="Bookman Old Style" w:hAnsi="Bookman Old Style"/>
                <w:color w:val="000000"/>
                <w:sz w:val="20"/>
                <w:szCs w:val="20"/>
              </w:rPr>
              <w:t>529.124</w:t>
            </w:r>
          </w:p>
        </w:tc>
        <w:tc>
          <w:tcPr>
            <w:tcW w:w="1704" w:type="dxa"/>
            <w:tcBorders>
              <w:top w:val="nil"/>
              <w:left w:val="nil"/>
              <w:bottom w:val="single" w:sz="4" w:space="0" w:color="auto"/>
              <w:right w:val="single" w:sz="4" w:space="0" w:color="auto"/>
            </w:tcBorders>
            <w:shd w:val="clear" w:color="auto" w:fill="auto"/>
            <w:noWrap/>
            <w:vAlign w:val="center"/>
          </w:tcPr>
          <w:p w:rsidR="00BA5F8E" w:rsidRDefault="00BA5F8E" w:rsidP="00BA5F8E">
            <w:pPr>
              <w:ind w:left="121"/>
              <w:jc w:val="center"/>
              <w:rPr>
                <w:rFonts w:ascii="Bookman Old Style" w:hAnsi="Bookman Old Style"/>
                <w:color w:val="000000"/>
                <w:sz w:val="20"/>
                <w:szCs w:val="20"/>
              </w:rPr>
            </w:pPr>
            <w:r>
              <w:rPr>
                <w:rFonts w:ascii="Bookman Old Style" w:hAnsi="Bookman Old Style"/>
                <w:color w:val="000000"/>
                <w:sz w:val="20"/>
                <w:szCs w:val="20"/>
              </w:rPr>
              <w:t>312.732</w:t>
            </w:r>
          </w:p>
        </w:tc>
        <w:tc>
          <w:tcPr>
            <w:tcW w:w="1516" w:type="dxa"/>
            <w:tcBorders>
              <w:top w:val="nil"/>
              <w:left w:val="nil"/>
              <w:bottom w:val="single" w:sz="4" w:space="0" w:color="auto"/>
              <w:right w:val="single" w:sz="4" w:space="0" w:color="auto"/>
            </w:tcBorders>
            <w:shd w:val="clear" w:color="auto" w:fill="auto"/>
            <w:noWrap/>
            <w:vAlign w:val="center"/>
          </w:tcPr>
          <w:p w:rsidR="00BA5F8E" w:rsidRDefault="00BA5F8E" w:rsidP="00BA5F8E">
            <w:pPr>
              <w:ind w:left="121"/>
              <w:jc w:val="center"/>
              <w:rPr>
                <w:rFonts w:ascii="Bookman Old Style" w:hAnsi="Bookman Old Style"/>
                <w:color w:val="000000"/>
                <w:sz w:val="20"/>
                <w:szCs w:val="20"/>
              </w:rPr>
            </w:pPr>
            <w:r>
              <w:rPr>
                <w:rFonts w:ascii="Bookman Old Style" w:hAnsi="Bookman Old Style"/>
                <w:color w:val="000000"/>
                <w:sz w:val="20"/>
                <w:szCs w:val="20"/>
              </w:rPr>
              <w:t>246.433</w:t>
            </w:r>
          </w:p>
        </w:tc>
      </w:tr>
    </w:tbl>
    <w:p w:rsidR="001B4F52" w:rsidRPr="00BA5F8E" w:rsidRDefault="00BA5F8E" w:rsidP="00BA5F8E">
      <w:pPr>
        <w:pStyle w:val="Prrafodelista"/>
        <w:ind w:left="0"/>
        <w:jc w:val="center"/>
        <w:rPr>
          <w:rFonts w:ascii="Bookman Old Style" w:hAnsi="Bookman Old Style"/>
          <w:sz w:val="18"/>
          <w:szCs w:val="24"/>
        </w:rPr>
      </w:pPr>
      <w:r>
        <w:rPr>
          <w:rFonts w:ascii="Bookman Old Style" w:hAnsi="Bookman Old Style"/>
          <w:sz w:val="18"/>
          <w:szCs w:val="24"/>
        </w:rPr>
        <w:t>NR</w:t>
      </w:r>
      <w:r w:rsidRPr="002B4873">
        <w:rPr>
          <w:rFonts w:ascii="Bookman Old Style" w:hAnsi="Bookman Old Style"/>
          <w:sz w:val="18"/>
          <w:szCs w:val="24"/>
        </w:rPr>
        <w:t>*</w:t>
      </w:r>
      <w:r>
        <w:rPr>
          <w:rFonts w:ascii="Bookman Old Style" w:hAnsi="Bookman Old Style"/>
          <w:sz w:val="18"/>
          <w:szCs w:val="24"/>
        </w:rPr>
        <w:t>:</w:t>
      </w:r>
      <w:r w:rsidRPr="00EB559D">
        <w:t xml:space="preserve"> </w:t>
      </w:r>
      <w:r w:rsidRPr="002B4873">
        <w:rPr>
          <w:rFonts w:ascii="Bookman Old Style" w:hAnsi="Bookman Old Style"/>
          <w:sz w:val="18"/>
          <w:szCs w:val="24"/>
        </w:rPr>
        <w:t>no p</w:t>
      </w:r>
      <w:r>
        <w:rPr>
          <w:rFonts w:ascii="Bookman Old Style" w:hAnsi="Bookman Old Style"/>
          <w:sz w:val="18"/>
          <w:szCs w:val="24"/>
        </w:rPr>
        <w:t>resenta registro de información</w:t>
      </w:r>
      <w:r w:rsidRPr="002B4873">
        <w:rPr>
          <w:rFonts w:ascii="Bookman Old Style" w:hAnsi="Bookman Old Style"/>
          <w:sz w:val="18"/>
          <w:szCs w:val="24"/>
        </w:rPr>
        <w:t xml:space="preserve"> </w:t>
      </w:r>
      <w:r>
        <w:rPr>
          <w:rFonts w:ascii="Bookman Old Style" w:hAnsi="Bookman Old Style"/>
          <w:sz w:val="18"/>
          <w:szCs w:val="24"/>
        </w:rPr>
        <w:t>al SUI.</w:t>
      </w:r>
    </w:p>
    <w:p w:rsidR="001B4F52" w:rsidRDefault="001B4F52" w:rsidP="001B4F52">
      <w:pPr>
        <w:pStyle w:val="Textoindependiente2"/>
        <w:spacing w:after="0" w:line="240" w:lineRule="auto"/>
        <w:ind w:left="-142" w:right="-142"/>
        <w:jc w:val="both"/>
        <w:rPr>
          <w:rFonts w:ascii="Bookman Old Style" w:hAnsi="Bookman Old Style"/>
          <w:szCs w:val="27"/>
        </w:rPr>
      </w:pPr>
    </w:p>
    <w:p w:rsidR="001B4F52" w:rsidRDefault="001B4F52" w:rsidP="001B4F52">
      <w:pPr>
        <w:pStyle w:val="Textoindependiente2"/>
        <w:spacing w:after="0" w:line="240" w:lineRule="auto"/>
        <w:ind w:left="-142" w:right="-142"/>
        <w:jc w:val="both"/>
        <w:rPr>
          <w:rFonts w:ascii="Bookman Old Style" w:hAnsi="Bookman Old Style"/>
          <w:szCs w:val="27"/>
        </w:rPr>
      </w:pPr>
      <w:r>
        <w:rPr>
          <w:rFonts w:ascii="Bookman Old Style" w:hAnsi="Bookman Old Style"/>
          <w:b/>
          <w:szCs w:val="27"/>
        </w:rPr>
        <w:t xml:space="preserve">Artículo 3. </w:t>
      </w:r>
      <w:r>
        <w:rPr>
          <w:rFonts w:ascii="Bookman Old Style" w:hAnsi="Bookman Old Style"/>
          <w:szCs w:val="27"/>
        </w:rPr>
        <w:t>La presente r</w:t>
      </w:r>
      <w:r w:rsidRPr="003E59E7">
        <w:rPr>
          <w:rFonts w:ascii="Bookman Old Style" w:hAnsi="Bookman Old Style"/>
          <w:szCs w:val="27"/>
        </w:rPr>
        <w:t xml:space="preserve">esolución deberá notificarse a la empresa </w:t>
      </w:r>
      <w:r>
        <w:rPr>
          <w:rFonts w:ascii="Bookman Old Style" w:hAnsi="Bookman Old Style"/>
          <w:szCs w:val="27"/>
        </w:rPr>
        <w:t xml:space="preserve">Gas Superior de Colombia S.A. E.S.P. </w:t>
      </w:r>
      <w:r w:rsidRPr="00067308">
        <w:rPr>
          <w:rFonts w:ascii="Bookman Old Style" w:hAnsi="Bookman Old Style"/>
          <w:szCs w:val="27"/>
        </w:rPr>
        <w:t>Contra lo aquí dispuesto no procede recurso alguno por haber finalizado la actuación administrativa correspondiente a la presentación de recursos previsto en la Ley.</w:t>
      </w:r>
    </w:p>
    <w:p w:rsidR="001B4F52" w:rsidRDefault="001B4F52" w:rsidP="001B4F52">
      <w:pPr>
        <w:tabs>
          <w:tab w:val="right" w:pos="9498"/>
        </w:tabs>
        <w:ind w:left="0" w:right="-142"/>
        <w:rPr>
          <w:rFonts w:ascii="Bookman Old Style" w:hAnsi="Bookman Old Style" w:cs="Arial"/>
          <w:sz w:val="22"/>
        </w:rPr>
      </w:pPr>
    </w:p>
    <w:p w:rsidR="001B4F52" w:rsidRPr="003234E2" w:rsidRDefault="001B4F52" w:rsidP="001B4F52">
      <w:pPr>
        <w:tabs>
          <w:tab w:val="right" w:pos="9498"/>
        </w:tabs>
        <w:ind w:left="0" w:right="-142"/>
        <w:rPr>
          <w:rFonts w:ascii="Bookman Old Style" w:hAnsi="Bookman Old Style" w:cs="Arial"/>
          <w:sz w:val="22"/>
        </w:rPr>
      </w:pPr>
    </w:p>
    <w:p w:rsidR="001B4F52" w:rsidRPr="005023D3" w:rsidRDefault="001B4F52" w:rsidP="001B4F52">
      <w:pPr>
        <w:ind w:left="-181"/>
        <w:jc w:val="center"/>
        <w:rPr>
          <w:rFonts w:ascii="Bookman Old Style" w:hAnsi="Bookman Old Style" w:cs="Arial"/>
          <w:b/>
        </w:rPr>
      </w:pPr>
      <w:r>
        <w:rPr>
          <w:rFonts w:ascii="Bookman Old Style" w:hAnsi="Bookman Old Style" w:cs="Arial"/>
          <w:b/>
        </w:rPr>
        <w:t xml:space="preserve">     NOTIFÍQUESE </w:t>
      </w:r>
      <w:r w:rsidR="00553850">
        <w:rPr>
          <w:rFonts w:ascii="Bookman Old Style" w:hAnsi="Bookman Old Style" w:cs="Arial"/>
          <w:b/>
        </w:rPr>
        <w:t>Y CÚMPLASE</w:t>
      </w:r>
    </w:p>
    <w:p w:rsidR="001B4F52" w:rsidRPr="003234E2" w:rsidRDefault="001B4F52" w:rsidP="001B4F52">
      <w:pPr>
        <w:ind w:left="0"/>
        <w:rPr>
          <w:rFonts w:ascii="Bookman Old Style" w:hAnsi="Bookman Old Style" w:cs="Arial"/>
          <w:sz w:val="20"/>
          <w:szCs w:val="20"/>
        </w:rPr>
      </w:pPr>
    </w:p>
    <w:p w:rsidR="001B4F52" w:rsidRDefault="001B4F52" w:rsidP="00553850">
      <w:pPr>
        <w:ind w:left="0"/>
        <w:rPr>
          <w:rFonts w:ascii="Bookman Old Style" w:hAnsi="Bookman Old Style" w:cs="Arial"/>
          <w:szCs w:val="20"/>
        </w:rPr>
      </w:pPr>
      <w:r w:rsidRPr="005023D3">
        <w:rPr>
          <w:rFonts w:ascii="Bookman Old Style" w:hAnsi="Bookman Old Style" w:cs="Arial"/>
          <w:szCs w:val="20"/>
        </w:rPr>
        <w:t>Dada en Bogotá, D.C.</w:t>
      </w:r>
    </w:p>
    <w:tbl>
      <w:tblPr>
        <w:tblW w:w="9498" w:type="dxa"/>
        <w:jc w:val="center"/>
        <w:tblCellSpacing w:w="0" w:type="dxa"/>
        <w:tblCellMar>
          <w:left w:w="0" w:type="dxa"/>
          <w:right w:w="0" w:type="dxa"/>
        </w:tblCellMar>
        <w:tblLook w:val="04A0" w:firstRow="1" w:lastRow="0" w:firstColumn="1" w:lastColumn="0" w:noHBand="0" w:noVBand="1"/>
      </w:tblPr>
      <w:tblGrid>
        <w:gridCol w:w="5529"/>
        <w:gridCol w:w="3969"/>
      </w:tblGrid>
      <w:tr w:rsidR="00553850" w:rsidRPr="00A14C71" w:rsidTr="005D266B">
        <w:trPr>
          <w:tblCellSpacing w:w="0" w:type="dxa"/>
          <w:jc w:val="center"/>
        </w:trPr>
        <w:tc>
          <w:tcPr>
            <w:tcW w:w="5529" w:type="dxa"/>
            <w:hideMark/>
          </w:tcPr>
          <w:p w:rsidR="00553850" w:rsidRPr="00A14C71" w:rsidRDefault="00553850" w:rsidP="005D266B">
            <w:pPr>
              <w:ind w:left="0"/>
              <w:rPr>
                <w:rFonts w:ascii="Bookman Old Style" w:hAnsi="Bookman Old Style" w:cs="Arial"/>
                <w:b/>
                <w:spacing w:val="-3"/>
              </w:rPr>
            </w:pPr>
          </w:p>
          <w:p w:rsidR="00553850" w:rsidRPr="00A14C71" w:rsidRDefault="00553850" w:rsidP="005D266B">
            <w:pPr>
              <w:ind w:left="0"/>
              <w:rPr>
                <w:rFonts w:ascii="Bookman Old Style" w:hAnsi="Bookman Old Style" w:cs="Arial"/>
                <w:b/>
                <w:spacing w:val="-3"/>
              </w:rPr>
            </w:pPr>
          </w:p>
          <w:p w:rsidR="00553850" w:rsidRPr="00A14C71" w:rsidRDefault="00553850" w:rsidP="005D266B">
            <w:pPr>
              <w:ind w:left="0"/>
              <w:rPr>
                <w:rFonts w:ascii="Bookman Old Style" w:hAnsi="Bookman Old Style" w:cs="Arial"/>
                <w:b/>
                <w:spacing w:val="-3"/>
              </w:rPr>
            </w:pPr>
          </w:p>
          <w:p w:rsidR="00553850" w:rsidRPr="00A14C71" w:rsidRDefault="00553850" w:rsidP="005D266B">
            <w:pPr>
              <w:ind w:left="66"/>
              <w:jc w:val="center"/>
              <w:rPr>
                <w:rFonts w:ascii="Bookman Old Style" w:hAnsi="Bookman Old Style" w:cs="Arial"/>
                <w:b/>
                <w:spacing w:val="-3"/>
              </w:rPr>
            </w:pPr>
          </w:p>
          <w:p w:rsidR="00553850" w:rsidRPr="00A14C71" w:rsidRDefault="00553850" w:rsidP="005D266B">
            <w:pPr>
              <w:ind w:left="66"/>
              <w:jc w:val="center"/>
              <w:rPr>
                <w:rFonts w:ascii="Bookman Old Style" w:hAnsi="Bookman Old Style" w:cs="Arial"/>
                <w:b/>
                <w:spacing w:val="-3"/>
              </w:rPr>
            </w:pPr>
            <w:r w:rsidRPr="00A14C71">
              <w:rPr>
                <w:rFonts w:ascii="Bookman Old Style" w:hAnsi="Bookman Old Style" w:cs="Arial"/>
                <w:b/>
                <w:spacing w:val="-3"/>
              </w:rPr>
              <w:t>RUTTY PAOLA ORTIZ JARA</w:t>
            </w:r>
          </w:p>
        </w:tc>
        <w:tc>
          <w:tcPr>
            <w:tcW w:w="3969" w:type="dxa"/>
            <w:hideMark/>
          </w:tcPr>
          <w:p w:rsidR="00553850" w:rsidRPr="00A14C71" w:rsidRDefault="00553850" w:rsidP="005D266B">
            <w:pPr>
              <w:ind w:left="89"/>
              <w:jc w:val="center"/>
              <w:rPr>
                <w:rFonts w:ascii="Bookman Old Style" w:hAnsi="Bookman Old Style" w:cs="Arial"/>
                <w:b/>
                <w:spacing w:val="-3"/>
              </w:rPr>
            </w:pPr>
          </w:p>
          <w:p w:rsidR="00553850" w:rsidRPr="00A14C71" w:rsidRDefault="00553850" w:rsidP="005D266B">
            <w:pPr>
              <w:ind w:left="89"/>
              <w:jc w:val="center"/>
              <w:rPr>
                <w:rFonts w:ascii="Bookman Old Style" w:hAnsi="Bookman Old Style" w:cs="Arial"/>
                <w:b/>
                <w:spacing w:val="-3"/>
              </w:rPr>
            </w:pPr>
          </w:p>
          <w:p w:rsidR="00553850" w:rsidRPr="00A14C71" w:rsidRDefault="00553850" w:rsidP="005D266B">
            <w:pPr>
              <w:ind w:left="89"/>
              <w:jc w:val="center"/>
              <w:rPr>
                <w:rFonts w:ascii="Bookman Old Style" w:hAnsi="Bookman Old Style" w:cs="Arial"/>
                <w:b/>
                <w:spacing w:val="-3"/>
              </w:rPr>
            </w:pPr>
          </w:p>
          <w:p w:rsidR="00553850" w:rsidRPr="00A14C71" w:rsidRDefault="00553850" w:rsidP="005D266B">
            <w:pPr>
              <w:ind w:left="89"/>
              <w:jc w:val="center"/>
              <w:rPr>
                <w:rFonts w:ascii="Bookman Old Style" w:hAnsi="Bookman Old Style" w:cs="Arial"/>
                <w:b/>
                <w:spacing w:val="-3"/>
              </w:rPr>
            </w:pPr>
          </w:p>
          <w:p w:rsidR="00553850" w:rsidRPr="00A14C71" w:rsidRDefault="00553850" w:rsidP="005D266B">
            <w:pPr>
              <w:ind w:left="89"/>
              <w:jc w:val="center"/>
              <w:rPr>
                <w:rFonts w:ascii="Bookman Old Style" w:hAnsi="Bookman Old Style" w:cs="Arial"/>
                <w:b/>
                <w:spacing w:val="-3"/>
              </w:rPr>
            </w:pPr>
            <w:r w:rsidRPr="00A14C71">
              <w:rPr>
                <w:rFonts w:ascii="Bookman Old Style" w:hAnsi="Bookman Old Style" w:cs="Arial"/>
                <w:b/>
                <w:spacing w:val="-3"/>
              </w:rPr>
              <w:t>GERMÁN CASTRO FERREIRA</w:t>
            </w:r>
          </w:p>
        </w:tc>
      </w:tr>
      <w:tr w:rsidR="00553850" w:rsidRPr="00A14C71" w:rsidTr="005D266B">
        <w:trPr>
          <w:tblCellSpacing w:w="0" w:type="dxa"/>
          <w:jc w:val="center"/>
        </w:trPr>
        <w:tc>
          <w:tcPr>
            <w:tcW w:w="5529" w:type="dxa"/>
            <w:hideMark/>
          </w:tcPr>
          <w:p w:rsidR="00553850" w:rsidRDefault="00553850" w:rsidP="005D266B">
            <w:pPr>
              <w:ind w:left="66"/>
              <w:jc w:val="center"/>
              <w:rPr>
                <w:rFonts w:ascii="Bookman Old Style" w:hAnsi="Bookman Old Style" w:cs="Arial"/>
                <w:spacing w:val="-3"/>
              </w:rPr>
            </w:pPr>
            <w:r w:rsidRPr="00A14C71">
              <w:rPr>
                <w:rFonts w:ascii="Bookman Old Style" w:hAnsi="Bookman Old Style" w:cs="Arial"/>
                <w:spacing w:val="-3"/>
              </w:rPr>
              <w:t>Viceministra de Energía</w:t>
            </w:r>
          </w:p>
          <w:p w:rsidR="002E27A0" w:rsidRPr="00A14C71" w:rsidRDefault="002E27A0"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Delegada del Ministro de Minas y Energía</w:t>
            </w:r>
          </w:p>
        </w:tc>
        <w:tc>
          <w:tcPr>
            <w:tcW w:w="3969" w:type="dxa"/>
            <w:hideMark/>
          </w:tcPr>
          <w:p w:rsidR="00553850" w:rsidRPr="00A14C71" w:rsidRDefault="00553850" w:rsidP="005D266B">
            <w:pPr>
              <w:ind w:left="0"/>
              <w:jc w:val="center"/>
              <w:rPr>
                <w:rFonts w:ascii="Bookman Old Style" w:eastAsia="Arial Unicode MS" w:hAnsi="Bookman Old Style" w:cs="Arial"/>
                <w:color w:val="000000"/>
              </w:rPr>
            </w:pPr>
            <w:r w:rsidRPr="00A14C71">
              <w:rPr>
                <w:rFonts w:ascii="Bookman Old Style" w:hAnsi="Bookman Old Style" w:cs="Arial"/>
                <w:spacing w:val="-3"/>
              </w:rPr>
              <w:t>Director Ejecutivo</w:t>
            </w:r>
          </w:p>
        </w:tc>
      </w:tr>
      <w:tr w:rsidR="00553850" w:rsidRPr="00A14C71" w:rsidTr="005D266B">
        <w:trPr>
          <w:tblCellSpacing w:w="0" w:type="dxa"/>
          <w:jc w:val="center"/>
        </w:trPr>
        <w:tc>
          <w:tcPr>
            <w:tcW w:w="5529" w:type="dxa"/>
            <w:hideMark/>
          </w:tcPr>
          <w:p w:rsidR="00553850" w:rsidRPr="00A14C71" w:rsidRDefault="00553850"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Presidente</w:t>
            </w:r>
          </w:p>
        </w:tc>
        <w:tc>
          <w:tcPr>
            <w:tcW w:w="3969" w:type="dxa"/>
          </w:tcPr>
          <w:p w:rsidR="00553850" w:rsidRPr="00A14C71" w:rsidRDefault="00553850" w:rsidP="005D266B">
            <w:pPr>
              <w:ind w:left="0"/>
              <w:jc w:val="center"/>
              <w:rPr>
                <w:rFonts w:ascii="Bookman Old Style" w:eastAsia="Arial Unicode MS" w:hAnsi="Bookman Old Style" w:cs="Arial"/>
                <w:color w:val="000000"/>
              </w:rPr>
            </w:pPr>
          </w:p>
        </w:tc>
      </w:tr>
    </w:tbl>
    <w:p w:rsidR="001B4F52" w:rsidRPr="00FE2D9D" w:rsidRDefault="001B4F52" w:rsidP="001B4F52">
      <w:pPr>
        <w:rPr>
          <w:rFonts w:ascii="Bookman Old Style" w:hAnsi="Bookman Old Style" w:cs="Arial"/>
          <w:szCs w:val="20"/>
        </w:rPr>
      </w:pPr>
    </w:p>
    <w:p w:rsidR="001B4F52" w:rsidRPr="003234E2" w:rsidRDefault="001B4F52" w:rsidP="001B4F52">
      <w:pPr>
        <w:ind w:left="0"/>
        <w:rPr>
          <w:sz w:val="20"/>
        </w:rPr>
      </w:pPr>
    </w:p>
    <w:p w:rsidR="001B4F52" w:rsidRDefault="001B4F52" w:rsidP="001B4F52">
      <w:pPr>
        <w:pStyle w:val="Textoindependiente2"/>
        <w:spacing w:after="0" w:line="240" w:lineRule="auto"/>
        <w:ind w:left="-142" w:right="-142"/>
        <w:jc w:val="both"/>
        <w:rPr>
          <w:rFonts w:ascii="Bookman Old Style" w:hAnsi="Bookman Old Style"/>
          <w:szCs w:val="27"/>
        </w:rPr>
      </w:pPr>
    </w:p>
    <w:p w:rsidR="001B4F52" w:rsidRDefault="001B4F52" w:rsidP="001B4F52">
      <w:pPr>
        <w:pStyle w:val="Textoindependiente2"/>
        <w:spacing w:after="0" w:line="240" w:lineRule="auto"/>
        <w:ind w:left="-142" w:right="-142"/>
        <w:jc w:val="both"/>
        <w:rPr>
          <w:rFonts w:ascii="Bookman Old Style" w:hAnsi="Bookman Old Style"/>
          <w:szCs w:val="27"/>
        </w:rPr>
      </w:pPr>
    </w:p>
    <w:p w:rsidR="001B4F52" w:rsidRDefault="001B4F52" w:rsidP="00BE1396">
      <w:pPr>
        <w:pStyle w:val="Textoindependiente2"/>
        <w:spacing w:after="0" w:line="240" w:lineRule="auto"/>
        <w:ind w:left="-142" w:right="-142"/>
        <w:jc w:val="both"/>
        <w:rPr>
          <w:rFonts w:ascii="Bookman Old Style" w:hAnsi="Bookman Old Style"/>
          <w:szCs w:val="27"/>
        </w:rPr>
      </w:pPr>
    </w:p>
    <w:p w:rsidR="001B4F52" w:rsidRDefault="001B4F52" w:rsidP="00BE1396">
      <w:pPr>
        <w:pStyle w:val="Textoindependiente2"/>
        <w:spacing w:after="0" w:line="240" w:lineRule="auto"/>
        <w:ind w:left="-142" w:right="-142"/>
        <w:jc w:val="both"/>
        <w:rPr>
          <w:rFonts w:ascii="Bookman Old Style" w:hAnsi="Bookman Old Style"/>
          <w:szCs w:val="27"/>
        </w:rPr>
      </w:pPr>
    </w:p>
    <w:p w:rsidR="001B4F52" w:rsidRDefault="001B4F52" w:rsidP="00BE1396">
      <w:pPr>
        <w:pStyle w:val="Textoindependiente2"/>
        <w:spacing w:after="0" w:line="240" w:lineRule="auto"/>
        <w:ind w:left="-142" w:right="-142"/>
        <w:jc w:val="both"/>
        <w:rPr>
          <w:rFonts w:ascii="Bookman Old Style" w:hAnsi="Bookman Old Style"/>
          <w:szCs w:val="27"/>
        </w:rPr>
      </w:pPr>
    </w:p>
    <w:p w:rsidR="001B4F52" w:rsidRDefault="001B4F52" w:rsidP="00BE1396">
      <w:pPr>
        <w:pStyle w:val="Textoindependiente2"/>
        <w:spacing w:after="0" w:line="240" w:lineRule="auto"/>
        <w:ind w:left="-142" w:right="-142"/>
        <w:jc w:val="both"/>
        <w:rPr>
          <w:rFonts w:ascii="Bookman Old Style" w:hAnsi="Bookman Old Style"/>
          <w:szCs w:val="27"/>
        </w:rPr>
      </w:pPr>
    </w:p>
    <w:p w:rsidR="001B4F52" w:rsidRDefault="001B4F52" w:rsidP="00BE1396">
      <w:pPr>
        <w:pStyle w:val="Textoindependiente2"/>
        <w:spacing w:after="0" w:line="240" w:lineRule="auto"/>
        <w:ind w:left="-142" w:right="-142"/>
        <w:jc w:val="both"/>
        <w:rPr>
          <w:rFonts w:ascii="Bookman Old Style" w:hAnsi="Bookman Old Style"/>
          <w:szCs w:val="27"/>
        </w:rPr>
      </w:pPr>
    </w:p>
    <w:sectPr w:rsidR="001B4F52" w:rsidSect="00D549B1">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894" w:rsidRDefault="00A34894">
      <w:r>
        <w:separator/>
      </w:r>
    </w:p>
  </w:endnote>
  <w:endnote w:type="continuationSeparator" w:id="0">
    <w:p w:rsidR="00A34894" w:rsidRDefault="00A34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894" w:rsidRDefault="00A34894">
      <w:r>
        <w:separator/>
      </w:r>
    </w:p>
  </w:footnote>
  <w:footnote w:type="continuationSeparator" w:id="0">
    <w:p w:rsidR="00A34894" w:rsidRDefault="00A34894">
      <w:r>
        <w:continuationSeparator/>
      </w:r>
    </w:p>
  </w:footnote>
  <w:footnote w:id="1">
    <w:p w:rsidR="00521029" w:rsidRPr="00EC3BB2" w:rsidRDefault="00521029" w:rsidP="00EC3BB2">
      <w:pPr>
        <w:pStyle w:val="Textonotapie"/>
        <w:jc w:val="both"/>
        <w:rPr>
          <w:rFonts w:ascii="Bookman Old Style" w:hAnsi="Bookman Old Style" w:cs="Arial"/>
          <w:sz w:val="16"/>
          <w:szCs w:val="16"/>
        </w:rPr>
      </w:pPr>
      <w:r w:rsidRPr="00EC3BB2">
        <w:rPr>
          <w:rStyle w:val="Refdenotaalpie"/>
          <w:rFonts w:ascii="Bookman Old Style" w:hAnsi="Bookman Old Style" w:cs="Arial"/>
          <w:sz w:val="16"/>
          <w:szCs w:val="16"/>
        </w:rPr>
        <w:footnoteRef/>
      </w:r>
      <w:r w:rsidRPr="00EC3BB2">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521029" w:rsidRPr="00BD1622" w:rsidRDefault="00521029" w:rsidP="00EC3BB2">
      <w:pPr>
        <w:pStyle w:val="Textonotapie"/>
        <w:jc w:val="both"/>
        <w:rPr>
          <w:rFonts w:ascii="Bookman Old Style" w:hAnsi="Bookman Old Style" w:cs="Arial"/>
          <w:sz w:val="16"/>
          <w:szCs w:val="16"/>
        </w:rPr>
      </w:pPr>
      <w:r w:rsidRPr="00BD1622">
        <w:rPr>
          <w:rStyle w:val="Refdenotaalpie"/>
          <w:rFonts w:ascii="Bookman Old Style" w:hAnsi="Bookman Old Style" w:cs="Arial"/>
          <w:sz w:val="16"/>
          <w:szCs w:val="16"/>
        </w:rPr>
        <w:footnoteRef/>
      </w:r>
      <w:r w:rsidRPr="00BD1622">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BD1622">
        <w:rPr>
          <w:rFonts w:ascii="Bookman Old Style" w:hAnsi="Bookman Old Style" w:cs="Arial"/>
        </w:rPr>
        <w:t xml:space="preserve"> </w:t>
      </w:r>
      <w:r w:rsidRPr="00BD1622">
        <w:rPr>
          <w:rFonts w:ascii="Bookman Old Style" w:hAnsi="Bookman Old Style" w:cs="Arial"/>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3">
    <w:p w:rsidR="00521029" w:rsidRPr="00FC2C01" w:rsidRDefault="00521029" w:rsidP="00BA05D2">
      <w:pPr>
        <w:pStyle w:val="Textonotapie"/>
        <w:jc w:val="both"/>
        <w:rPr>
          <w:rFonts w:ascii="Bookman Old Style" w:hAnsi="Bookman Old Style" w:cs="Arial"/>
          <w:sz w:val="16"/>
          <w:szCs w:val="16"/>
        </w:rPr>
      </w:pPr>
      <w:r w:rsidRPr="00CD67E2">
        <w:rPr>
          <w:rFonts w:ascii="Bookman Old Style" w:hAnsi="Bookman Old Style" w:cs="Arial"/>
          <w:sz w:val="16"/>
          <w:szCs w:val="16"/>
        </w:rPr>
        <w:footnoteRef/>
      </w:r>
      <w:r w:rsidRPr="00CD67E2">
        <w:rPr>
          <w:rFonts w:ascii="Bookman Old Style" w:hAnsi="Bookman Old Style" w:cs="Arial"/>
          <w:sz w:val="16"/>
          <w:szCs w:val="16"/>
        </w:rPr>
        <w:t xml:space="preserve"> “Ley 1437 de 2011. </w:t>
      </w:r>
      <w:proofErr w:type="gramStart"/>
      <w:r w:rsidRPr="00FC2C01">
        <w:rPr>
          <w:rFonts w:ascii="Bookman Old Style" w:hAnsi="Bookman Old Style" w:cs="Arial"/>
          <w:sz w:val="16"/>
          <w:szCs w:val="16"/>
        </w:rPr>
        <w:t>Artículo  67</w:t>
      </w:r>
      <w:proofErr w:type="gramEnd"/>
      <w:r w:rsidRPr="00FC2C01">
        <w:rPr>
          <w:rFonts w:ascii="Bookman Old Style" w:hAnsi="Bookman Old Style" w:cs="Arial"/>
          <w:sz w:val="16"/>
          <w:szCs w:val="16"/>
        </w:rPr>
        <w:t>. Notificación personal. Las decisiones que pongan término a una actuación administrativa se notificarán personalmente al interesado, a su representante o apoderado, o a la persona debidamente autorizada por el interesado para notificarse.</w:t>
      </w:r>
    </w:p>
    <w:p w:rsidR="00521029" w:rsidRPr="00FC2C01" w:rsidRDefault="00521029" w:rsidP="00BA05D2">
      <w:pPr>
        <w:pStyle w:val="Textonotapie"/>
        <w:jc w:val="both"/>
        <w:rPr>
          <w:rFonts w:ascii="Bookman Old Style" w:hAnsi="Bookman Old Style" w:cs="Arial"/>
          <w:sz w:val="16"/>
          <w:szCs w:val="16"/>
        </w:rPr>
      </w:pPr>
    </w:p>
    <w:p w:rsidR="00521029" w:rsidRPr="00CD67E2" w:rsidRDefault="00521029" w:rsidP="00BA05D2">
      <w:pPr>
        <w:pStyle w:val="Textonotapie"/>
        <w:jc w:val="both"/>
        <w:rPr>
          <w:rFonts w:ascii="Bookman Old Style" w:hAnsi="Bookman Old Style" w:cs="Arial"/>
          <w:sz w:val="16"/>
          <w:szCs w:val="16"/>
        </w:rPr>
      </w:pPr>
      <w:r w:rsidRPr="00FC2C01">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w:t>
      </w:r>
      <w:r>
        <w:rPr>
          <w:rFonts w:ascii="Bookman Old Style" w:hAnsi="Bookman Old Style" w:cs="Arial"/>
          <w:sz w:val="16"/>
          <w:szCs w:val="16"/>
        </w:rPr>
        <w:t xml:space="preserve"> (…)</w:t>
      </w:r>
      <w:r w:rsidRPr="00CD67E2">
        <w:rPr>
          <w:rFonts w:ascii="Bookman Old Style" w:hAnsi="Bookman Old Style" w:cs="Arial"/>
          <w:sz w:val="16"/>
          <w:szCs w:val="16"/>
        </w:rPr>
        <w:t>.”</w:t>
      </w:r>
    </w:p>
  </w:footnote>
  <w:footnote w:id="4">
    <w:p w:rsidR="00521029" w:rsidRPr="00FA7CDB" w:rsidRDefault="00521029" w:rsidP="00CD67E2">
      <w:pPr>
        <w:pStyle w:val="Textonotapie"/>
        <w:jc w:val="both"/>
        <w:rPr>
          <w:rFonts w:ascii="Bookman Old Style" w:hAnsi="Bookman Old Style" w:cs="Arial"/>
          <w:sz w:val="16"/>
          <w:szCs w:val="16"/>
        </w:rPr>
      </w:pPr>
    </w:p>
    <w:p w:rsidR="00521029" w:rsidRPr="00FA7CDB" w:rsidRDefault="00521029" w:rsidP="00CD67E2">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521029" w:rsidRPr="00FA7CDB" w:rsidRDefault="00521029"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521029" w:rsidRPr="00FA7CDB" w:rsidRDefault="00521029"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521029" w:rsidRPr="00FA7CDB" w:rsidRDefault="00521029"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521029" w:rsidRDefault="00521029" w:rsidP="00CD67E2">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5">
    <w:p w:rsidR="001B4F52" w:rsidRPr="00BB7AEA" w:rsidRDefault="001B4F52" w:rsidP="001B4F52">
      <w:pPr>
        <w:pStyle w:val="Textonotapie"/>
        <w:jc w:val="both"/>
        <w:rPr>
          <w:rFonts w:ascii="Bookman Old Style" w:hAnsi="Bookman Old Style"/>
          <w:sz w:val="16"/>
          <w:szCs w:val="16"/>
        </w:rPr>
      </w:pPr>
      <w:r w:rsidRPr="00BB7AEA">
        <w:rPr>
          <w:rStyle w:val="Refdenotaalpie"/>
          <w:rFonts w:ascii="Bookman Old Style" w:hAnsi="Bookman Old Style"/>
          <w:sz w:val="16"/>
          <w:szCs w:val="16"/>
        </w:rPr>
        <w:footnoteRef/>
      </w:r>
      <w:r w:rsidRPr="00BB7AEA">
        <w:rPr>
          <w:rFonts w:ascii="Bookman Old Style" w:hAnsi="Bookman Old Style"/>
          <w:sz w:val="16"/>
          <w:szCs w:val="16"/>
        </w:rPr>
        <w:t xml:space="preserve"> La información remitida por la Superintendencia de Servicios Públicos Domiciliarios hace parte del expediente administrativo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029" w:rsidRDefault="00521029" w:rsidP="00951F79">
    <w:pPr>
      <w:pStyle w:val="Ttulo1"/>
      <w:ind w:right="6"/>
      <w:jc w:val="left"/>
      <w:rPr>
        <w:rFonts w:ascii="Bookman Old Style" w:hAnsi="Bookman Old Style" w:cs="Arial"/>
        <w:b w:val="0"/>
        <w:sz w:val="22"/>
        <w:szCs w:val="22"/>
      </w:rPr>
    </w:pPr>
  </w:p>
  <w:p w:rsidR="00521029" w:rsidRPr="00951F79" w:rsidRDefault="00521029"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3F7533">
      <w:rPr>
        <w:rFonts w:ascii="Bookman Old Style" w:hAnsi="Bookman Old Style" w:cs="Arial"/>
        <w:b w:val="0"/>
        <w:noProof/>
        <w:sz w:val="22"/>
        <w:szCs w:val="22"/>
      </w:rPr>
      <w:t>14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3F7533" w:rsidRPr="003F7533">
        <w:rPr>
          <w:rFonts w:ascii="Bookman Old Style" w:hAnsi="Bookman Old Style" w:cs="Arial"/>
          <w:b w:val="0"/>
          <w:noProof/>
          <w:sz w:val="22"/>
          <w:szCs w:val="22"/>
        </w:rPr>
        <w:t>14</w:t>
      </w:r>
    </w:fldSimple>
  </w:p>
  <w:p w:rsidR="00521029" w:rsidRDefault="00BA5F8E"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670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D9E25" id="Rectangle 1" o:spid="_x0000_s1026" style="position:absolute;margin-left:-13.8pt;margin-top:10.95pt;width:493.5pt;height:77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521029" w:rsidRPr="00616D65" w:rsidRDefault="00521029" w:rsidP="00BD0898">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 xml:space="preserve">interpuesto por </w:t>
    </w:r>
    <w:r w:rsidR="00236883">
      <w:rPr>
        <w:rFonts w:ascii="Bookman Old Style" w:hAnsi="Bookman Old Style" w:cs="Arial"/>
        <w:sz w:val="22"/>
        <w:szCs w:val="22"/>
      </w:rPr>
      <w:t xml:space="preserve">Gas Superior S.A. </w:t>
    </w:r>
    <w:r w:rsidRPr="00603DD8">
      <w:rPr>
        <w:rFonts w:ascii="Bookman Old Style" w:hAnsi="Bookman Old Style" w:cs="Arial"/>
        <w:sz w:val="22"/>
        <w:szCs w:val="22"/>
      </w:rPr>
      <w:t xml:space="preserve">E.S.P. </w:t>
    </w:r>
    <w:r w:rsidRPr="0081562F">
      <w:rPr>
        <w:rFonts w:ascii="Bookman Old Style" w:hAnsi="Bookman Old Style" w:cs="Arial"/>
        <w:sz w:val="22"/>
        <w:szCs w:val="22"/>
      </w:rPr>
      <w:t xml:space="preserve">contra la Resolución CREG </w:t>
    </w:r>
    <w:r>
      <w:rPr>
        <w:rFonts w:ascii="Bookman Old Style" w:hAnsi="Bookman Old Style" w:cs="Arial"/>
        <w:sz w:val="22"/>
        <w:szCs w:val="22"/>
      </w:rPr>
      <w:t>075</w:t>
    </w:r>
    <w:r w:rsidRPr="0081562F">
      <w:rPr>
        <w:rFonts w:ascii="Bookman Old Style" w:hAnsi="Bookman Old Style" w:cs="Arial"/>
        <w:sz w:val="22"/>
        <w:szCs w:val="22"/>
      </w:rPr>
      <w:t xml:space="preserve"> de 2016</w:t>
    </w:r>
  </w:p>
  <w:p w:rsidR="00521029" w:rsidRPr="00730C9E" w:rsidRDefault="00BA5F8E" w:rsidP="0098213C">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5875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A2609C" id="_x0000_t32" coordsize="21600,21600" o:spt="32" o:oned="t" path="m,l21600,21600e" filled="f">
              <v:path arrowok="t" fillok="f" o:connecttype="none"/>
              <o:lock v:ext="edit" shapetype="t"/>
            </v:shapetype>
            <v:shape id="AutoShape 3" o:spid="_x0000_s1026" type="#_x0000_t32" style="position:absolute;margin-left:-8.55pt;margin-top:7.65pt;width:47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CoHQ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1029" w:rsidRDefault="00521029"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521029" w:rsidRDefault="00521029">
    <w:pPr>
      <w:pStyle w:val="Encabezado"/>
      <w:jc w:val="center"/>
      <w:rPr>
        <w:rFonts w:ascii="Arial" w:hAnsi="Arial" w:cs="Arial"/>
        <w:spacing w:val="20"/>
        <w:sz w:val="20"/>
      </w:rPr>
    </w:pPr>
  </w:p>
  <w:p w:rsidR="00521029" w:rsidRDefault="00BA5F8E"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772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F623F" id="Rectangle 2" o:spid="_x0000_s1026" style="position:absolute;margin-left:-16.8pt;margin-top:29.7pt;width:499.5pt;height:77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4"/>
    <w:lvl w:ilvl="0">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0000009"/>
    <w:multiLevelType w:val="multilevel"/>
    <w:tmpl w:val="00000008"/>
    <w:lvl w:ilvl="0">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1">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2">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3">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4">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5">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6">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7">
      <w:start w:val="1"/>
      <w:numFmt w:val="decimal"/>
      <w:lvlText w:val="1.%1."/>
      <w:lvlJc w:val="left"/>
      <w:rPr>
        <w:rFonts w:ascii="Arial" w:hAnsi="Arial" w:cs="Arial"/>
        <w:b/>
        <w:bCs/>
        <w:i w:val="0"/>
        <w:iCs w:val="0"/>
        <w:smallCaps w:val="0"/>
        <w:strike w:val="0"/>
        <w:color w:val="000000"/>
        <w:spacing w:val="0"/>
        <w:w w:val="100"/>
        <w:position w:val="0"/>
        <w:sz w:val="18"/>
        <w:szCs w:val="18"/>
        <w:u w:val="none"/>
      </w:rPr>
    </w:lvl>
    <w:lvl w:ilvl="8">
      <w:start w:val="1"/>
      <w:numFmt w:val="decimal"/>
      <w:lvlText w:val="1.%1."/>
      <w:lvlJc w:val="left"/>
      <w:rPr>
        <w:rFonts w:ascii="Arial" w:hAnsi="Arial" w:cs="Arial"/>
        <w:b/>
        <w:bCs/>
        <w:i w:val="0"/>
        <w:iCs w:val="0"/>
        <w:smallCaps w:val="0"/>
        <w:strike w:val="0"/>
        <w:color w:val="000000"/>
        <w:spacing w:val="0"/>
        <w:w w:val="100"/>
        <w:position w:val="0"/>
        <w:sz w:val="18"/>
        <w:szCs w:val="18"/>
        <w:u w:val="none"/>
      </w:rPr>
    </w:lvl>
  </w:abstractNum>
  <w:abstractNum w:abstractNumId="2"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3"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5F9432F"/>
    <w:multiLevelType w:val="hybridMultilevel"/>
    <w:tmpl w:val="C0B22564"/>
    <w:lvl w:ilvl="0" w:tplc="D390E580">
      <w:start w:val="1"/>
      <w:numFmt w:val="upperLetter"/>
      <w:lvlText w:val="%1."/>
      <w:lvlJc w:val="left"/>
      <w:pPr>
        <w:ind w:left="644" w:hanging="360"/>
      </w:pPr>
      <w:rPr>
        <w:rFonts w:ascii="Bookman Old Style" w:eastAsia="Times New Roman" w:hAnsi="Bookman Old Style" w:cs="Arial"/>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7" w15:restartNumberingAfterBreak="0">
    <w:nsid w:val="081E25A9"/>
    <w:multiLevelType w:val="hybridMultilevel"/>
    <w:tmpl w:val="390AA722"/>
    <w:lvl w:ilvl="0" w:tplc="4F4C82E0">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8"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E0603AA"/>
    <w:multiLevelType w:val="hybridMultilevel"/>
    <w:tmpl w:val="6336A47C"/>
    <w:lvl w:ilvl="0" w:tplc="19CCFD62">
      <w:start w:val="190"/>
      <w:numFmt w:val="bullet"/>
      <w:lvlText w:val="-"/>
      <w:lvlJc w:val="left"/>
      <w:pPr>
        <w:ind w:left="1004" w:hanging="360"/>
      </w:pPr>
      <w:rPr>
        <w:rFonts w:ascii="Bookman Old Style" w:eastAsia="Times New Roman" w:hAnsi="Bookman Old Style" w:cs="Aria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4" w15:restartNumberingAfterBreak="0">
    <w:nsid w:val="207C672C"/>
    <w:multiLevelType w:val="hybridMultilevel"/>
    <w:tmpl w:val="B7FCF0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7632FF8"/>
    <w:multiLevelType w:val="multilevel"/>
    <w:tmpl w:val="F6303B04"/>
    <w:lvl w:ilvl="0">
      <w:start w:val="1"/>
      <w:numFmt w:val="decimal"/>
      <w:lvlText w:val="%1."/>
      <w:lvlJc w:val="left"/>
      <w:pPr>
        <w:ind w:left="384" w:hanging="384"/>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8A6241"/>
    <w:multiLevelType w:val="hybridMultilevel"/>
    <w:tmpl w:val="6524936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21" w15:restartNumberingAfterBreak="0">
    <w:nsid w:val="3EC01567"/>
    <w:multiLevelType w:val="hybridMultilevel"/>
    <w:tmpl w:val="AC723F76"/>
    <w:lvl w:ilvl="0" w:tplc="1AC07D20">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22" w15:restartNumberingAfterBreak="0">
    <w:nsid w:val="45FC18E6"/>
    <w:multiLevelType w:val="hybridMultilevel"/>
    <w:tmpl w:val="E75094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64B532B"/>
    <w:multiLevelType w:val="hybridMultilevel"/>
    <w:tmpl w:val="89D2C1AC"/>
    <w:lvl w:ilvl="0" w:tplc="240A0001">
      <w:start w:val="1"/>
      <w:numFmt w:val="bullet"/>
      <w:lvlText w:val=""/>
      <w:lvlJc w:val="left"/>
      <w:pPr>
        <w:ind w:left="578" w:hanging="360"/>
      </w:pPr>
      <w:rPr>
        <w:rFonts w:ascii="Symbol" w:hAnsi="Symbol" w:hint="default"/>
      </w:rPr>
    </w:lvl>
    <w:lvl w:ilvl="1" w:tplc="240A0003" w:tentative="1">
      <w:start w:val="1"/>
      <w:numFmt w:val="bullet"/>
      <w:lvlText w:val="o"/>
      <w:lvlJc w:val="left"/>
      <w:pPr>
        <w:ind w:left="1298" w:hanging="360"/>
      </w:pPr>
      <w:rPr>
        <w:rFonts w:ascii="Courier New" w:hAnsi="Courier New" w:cs="Courier New" w:hint="default"/>
      </w:rPr>
    </w:lvl>
    <w:lvl w:ilvl="2" w:tplc="240A0005" w:tentative="1">
      <w:start w:val="1"/>
      <w:numFmt w:val="bullet"/>
      <w:lvlText w:val=""/>
      <w:lvlJc w:val="left"/>
      <w:pPr>
        <w:ind w:left="2018" w:hanging="360"/>
      </w:pPr>
      <w:rPr>
        <w:rFonts w:ascii="Wingdings" w:hAnsi="Wingdings" w:hint="default"/>
      </w:rPr>
    </w:lvl>
    <w:lvl w:ilvl="3" w:tplc="240A0001" w:tentative="1">
      <w:start w:val="1"/>
      <w:numFmt w:val="bullet"/>
      <w:lvlText w:val=""/>
      <w:lvlJc w:val="left"/>
      <w:pPr>
        <w:ind w:left="2738" w:hanging="360"/>
      </w:pPr>
      <w:rPr>
        <w:rFonts w:ascii="Symbol" w:hAnsi="Symbol" w:hint="default"/>
      </w:rPr>
    </w:lvl>
    <w:lvl w:ilvl="4" w:tplc="240A0003" w:tentative="1">
      <w:start w:val="1"/>
      <w:numFmt w:val="bullet"/>
      <w:lvlText w:val="o"/>
      <w:lvlJc w:val="left"/>
      <w:pPr>
        <w:ind w:left="3458" w:hanging="360"/>
      </w:pPr>
      <w:rPr>
        <w:rFonts w:ascii="Courier New" w:hAnsi="Courier New" w:cs="Courier New" w:hint="default"/>
      </w:rPr>
    </w:lvl>
    <w:lvl w:ilvl="5" w:tplc="240A0005" w:tentative="1">
      <w:start w:val="1"/>
      <w:numFmt w:val="bullet"/>
      <w:lvlText w:val=""/>
      <w:lvlJc w:val="left"/>
      <w:pPr>
        <w:ind w:left="4178" w:hanging="360"/>
      </w:pPr>
      <w:rPr>
        <w:rFonts w:ascii="Wingdings" w:hAnsi="Wingdings" w:hint="default"/>
      </w:rPr>
    </w:lvl>
    <w:lvl w:ilvl="6" w:tplc="240A0001" w:tentative="1">
      <w:start w:val="1"/>
      <w:numFmt w:val="bullet"/>
      <w:lvlText w:val=""/>
      <w:lvlJc w:val="left"/>
      <w:pPr>
        <w:ind w:left="4898" w:hanging="360"/>
      </w:pPr>
      <w:rPr>
        <w:rFonts w:ascii="Symbol" w:hAnsi="Symbol" w:hint="default"/>
      </w:rPr>
    </w:lvl>
    <w:lvl w:ilvl="7" w:tplc="240A0003" w:tentative="1">
      <w:start w:val="1"/>
      <w:numFmt w:val="bullet"/>
      <w:lvlText w:val="o"/>
      <w:lvlJc w:val="left"/>
      <w:pPr>
        <w:ind w:left="5618" w:hanging="360"/>
      </w:pPr>
      <w:rPr>
        <w:rFonts w:ascii="Courier New" w:hAnsi="Courier New" w:cs="Courier New" w:hint="default"/>
      </w:rPr>
    </w:lvl>
    <w:lvl w:ilvl="8" w:tplc="240A0005" w:tentative="1">
      <w:start w:val="1"/>
      <w:numFmt w:val="bullet"/>
      <w:lvlText w:val=""/>
      <w:lvlJc w:val="left"/>
      <w:pPr>
        <w:ind w:left="6338" w:hanging="360"/>
      </w:pPr>
      <w:rPr>
        <w:rFonts w:ascii="Wingdings" w:hAnsi="Wingdings" w:hint="default"/>
      </w:rPr>
    </w:lvl>
  </w:abstractNum>
  <w:abstractNum w:abstractNumId="2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5C1604DB"/>
    <w:multiLevelType w:val="multilevel"/>
    <w:tmpl w:val="F9F4D0E4"/>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64EA3B11"/>
    <w:multiLevelType w:val="hybridMultilevel"/>
    <w:tmpl w:val="0816837A"/>
    <w:lvl w:ilvl="0" w:tplc="76122128">
      <w:start w:val="1"/>
      <w:numFmt w:val="upperLetter"/>
      <w:lvlText w:val="%1."/>
      <w:lvlJc w:val="left"/>
      <w:pPr>
        <w:ind w:left="218" w:hanging="360"/>
      </w:pPr>
      <w:rPr>
        <w:rFonts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6"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7" w15:restartNumberingAfterBreak="0">
    <w:nsid w:val="69680EF2"/>
    <w:multiLevelType w:val="hybridMultilevel"/>
    <w:tmpl w:val="DDB860DC"/>
    <w:lvl w:ilvl="0" w:tplc="7BB08B64">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8"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7055A9F"/>
    <w:multiLevelType w:val="hybridMultilevel"/>
    <w:tmpl w:val="4C0A70D6"/>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43"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4"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D922DDE"/>
    <w:multiLevelType w:val="hybridMultilevel"/>
    <w:tmpl w:val="9E466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3"/>
  </w:num>
  <w:num w:numId="2">
    <w:abstractNumId w:val="8"/>
  </w:num>
  <w:num w:numId="3">
    <w:abstractNumId w:val="43"/>
  </w:num>
  <w:num w:numId="4">
    <w:abstractNumId w:val="16"/>
  </w:num>
  <w:num w:numId="5">
    <w:abstractNumId w:val="30"/>
  </w:num>
  <w:num w:numId="6">
    <w:abstractNumId w:val="5"/>
  </w:num>
  <w:num w:numId="7">
    <w:abstractNumId w:val="4"/>
  </w:num>
  <w:num w:numId="8">
    <w:abstractNumId w:val="34"/>
  </w:num>
  <w:num w:numId="9">
    <w:abstractNumId w:val="32"/>
  </w:num>
  <w:num w:numId="10">
    <w:abstractNumId w:val="24"/>
  </w:num>
  <w:num w:numId="11">
    <w:abstractNumId w:val="44"/>
  </w:num>
  <w:num w:numId="12">
    <w:abstractNumId w:val="40"/>
  </w:num>
  <w:num w:numId="13">
    <w:abstractNumId w:val="19"/>
  </w:num>
  <w:num w:numId="14">
    <w:abstractNumId w:val="3"/>
  </w:num>
  <w:num w:numId="15">
    <w:abstractNumId w:val="25"/>
  </w:num>
  <w:num w:numId="16">
    <w:abstractNumId w:val="2"/>
  </w:num>
  <w:num w:numId="17">
    <w:abstractNumId w:val="41"/>
  </w:num>
  <w:num w:numId="18">
    <w:abstractNumId w:val="11"/>
  </w:num>
  <w:num w:numId="19">
    <w:abstractNumId w:val="26"/>
  </w:num>
  <w:num w:numId="20">
    <w:abstractNumId w:val="28"/>
  </w:num>
  <w:num w:numId="21">
    <w:abstractNumId w:val="39"/>
  </w:num>
  <w:num w:numId="22">
    <w:abstractNumId w:val="33"/>
  </w:num>
  <w:num w:numId="23">
    <w:abstractNumId w:val="38"/>
  </w:num>
  <w:num w:numId="24">
    <w:abstractNumId w:val="15"/>
  </w:num>
  <w:num w:numId="25">
    <w:abstractNumId w:val="12"/>
  </w:num>
  <w:num w:numId="26">
    <w:abstractNumId w:val="29"/>
  </w:num>
  <w:num w:numId="27">
    <w:abstractNumId w:val="9"/>
  </w:num>
  <w:num w:numId="28">
    <w:abstractNumId w:val="10"/>
  </w:num>
  <w:num w:numId="29">
    <w:abstractNumId w:val="18"/>
  </w:num>
  <w:num w:numId="30">
    <w:abstractNumId w:val="36"/>
  </w:num>
  <w:num w:numId="31">
    <w:abstractNumId w:val="14"/>
  </w:num>
  <w:num w:numId="32">
    <w:abstractNumId w:val="20"/>
  </w:num>
  <w:num w:numId="33">
    <w:abstractNumId w:val="35"/>
  </w:num>
  <w:num w:numId="34">
    <w:abstractNumId w:val="45"/>
  </w:num>
  <w:num w:numId="35">
    <w:abstractNumId w:val="6"/>
  </w:num>
  <w:num w:numId="36">
    <w:abstractNumId w:val="7"/>
  </w:num>
  <w:num w:numId="37">
    <w:abstractNumId w:val="0"/>
  </w:num>
  <w:num w:numId="38">
    <w:abstractNumId w:val="21"/>
  </w:num>
  <w:num w:numId="39">
    <w:abstractNumId w:val="13"/>
  </w:num>
  <w:num w:numId="40">
    <w:abstractNumId w:val="37"/>
  </w:num>
  <w:num w:numId="41">
    <w:abstractNumId w:val="27"/>
  </w:num>
  <w:num w:numId="42">
    <w:abstractNumId w:val="17"/>
  </w:num>
  <w:num w:numId="43">
    <w:abstractNumId w:val="31"/>
  </w:num>
  <w:num w:numId="44">
    <w:abstractNumId w:val="1"/>
  </w:num>
  <w:num w:numId="45">
    <w:abstractNumId w:val="42"/>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EAC"/>
    <w:rsid w:val="00006AE2"/>
    <w:rsid w:val="000076A1"/>
    <w:rsid w:val="00007FAB"/>
    <w:rsid w:val="00010A83"/>
    <w:rsid w:val="000114E5"/>
    <w:rsid w:val="00012259"/>
    <w:rsid w:val="000175DD"/>
    <w:rsid w:val="0002201E"/>
    <w:rsid w:val="00024FE0"/>
    <w:rsid w:val="00025383"/>
    <w:rsid w:val="000275B9"/>
    <w:rsid w:val="0003034D"/>
    <w:rsid w:val="000337A6"/>
    <w:rsid w:val="00034816"/>
    <w:rsid w:val="00034C6F"/>
    <w:rsid w:val="00034F40"/>
    <w:rsid w:val="000432F7"/>
    <w:rsid w:val="00043EB9"/>
    <w:rsid w:val="00045675"/>
    <w:rsid w:val="0004674A"/>
    <w:rsid w:val="00050346"/>
    <w:rsid w:val="000537E8"/>
    <w:rsid w:val="00055951"/>
    <w:rsid w:val="00060D57"/>
    <w:rsid w:val="000623A6"/>
    <w:rsid w:val="00063657"/>
    <w:rsid w:val="00065504"/>
    <w:rsid w:val="000657E2"/>
    <w:rsid w:val="00066D23"/>
    <w:rsid w:val="00067308"/>
    <w:rsid w:val="00070222"/>
    <w:rsid w:val="00070B2B"/>
    <w:rsid w:val="00072400"/>
    <w:rsid w:val="0007402F"/>
    <w:rsid w:val="0007548D"/>
    <w:rsid w:val="00076680"/>
    <w:rsid w:val="00076A1D"/>
    <w:rsid w:val="0008073E"/>
    <w:rsid w:val="00084B8C"/>
    <w:rsid w:val="000867FA"/>
    <w:rsid w:val="00087733"/>
    <w:rsid w:val="00090E52"/>
    <w:rsid w:val="00091CDB"/>
    <w:rsid w:val="00092215"/>
    <w:rsid w:val="00096E1F"/>
    <w:rsid w:val="00097013"/>
    <w:rsid w:val="000A061F"/>
    <w:rsid w:val="000A19AC"/>
    <w:rsid w:val="000A1F81"/>
    <w:rsid w:val="000A2705"/>
    <w:rsid w:val="000B03C2"/>
    <w:rsid w:val="000B20EA"/>
    <w:rsid w:val="000B27E6"/>
    <w:rsid w:val="000B48BF"/>
    <w:rsid w:val="000B4B19"/>
    <w:rsid w:val="000B52EA"/>
    <w:rsid w:val="000B667A"/>
    <w:rsid w:val="000C27EB"/>
    <w:rsid w:val="000C6FE5"/>
    <w:rsid w:val="000D22D4"/>
    <w:rsid w:val="000D26F8"/>
    <w:rsid w:val="000E01B8"/>
    <w:rsid w:val="000E312A"/>
    <w:rsid w:val="000E38F7"/>
    <w:rsid w:val="000E4A6C"/>
    <w:rsid w:val="000F1132"/>
    <w:rsid w:val="000F410B"/>
    <w:rsid w:val="000F5641"/>
    <w:rsid w:val="00100A80"/>
    <w:rsid w:val="00100EBA"/>
    <w:rsid w:val="00103ECB"/>
    <w:rsid w:val="0010707E"/>
    <w:rsid w:val="00111AE3"/>
    <w:rsid w:val="00112FAE"/>
    <w:rsid w:val="00113128"/>
    <w:rsid w:val="0011359D"/>
    <w:rsid w:val="00115E75"/>
    <w:rsid w:val="0011665A"/>
    <w:rsid w:val="00116953"/>
    <w:rsid w:val="001206A0"/>
    <w:rsid w:val="0012200E"/>
    <w:rsid w:val="00122C3D"/>
    <w:rsid w:val="00130821"/>
    <w:rsid w:val="00135474"/>
    <w:rsid w:val="0014017F"/>
    <w:rsid w:val="001405C6"/>
    <w:rsid w:val="00141013"/>
    <w:rsid w:val="00142085"/>
    <w:rsid w:val="00142711"/>
    <w:rsid w:val="00143C0C"/>
    <w:rsid w:val="0014428A"/>
    <w:rsid w:val="00144441"/>
    <w:rsid w:val="00151E8C"/>
    <w:rsid w:val="001635F2"/>
    <w:rsid w:val="0016590D"/>
    <w:rsid w:val="001670CB"/>
    <w:rsid w:val="00167993"/>
    <w:rsid w:val="001779AB"/>
    <w:rsid w:val="00177FE3"/>
    <w:rsid w:val="00182917"/>
    <w:rsid w:val="0018547A"/>
    <w:rsid w:val="00191FB9"/>
    <w:rsid w:val="00192CBF"/>
    <w:rsid w:val="00192FF1"/>
    <w:rsid w:val="001946B2"/>
    <w:rsid w:val="00195B37"/>
    <w:rsid w:val="00195E5B"/>
    <w:rsid w:val="001A4274"/>
    <w:rsid w:val="001A43F3"/>
    <w:rsid w:val="001A59B6"/>
    <w:rsid w:val="001A5A68"/>
    <w:rsid w:val="001A5F1B"/>
    <w:rsid w:val="001B1780"/>
    <w:rsid w:val="001B1C22"/>
    <w:rsid w:val="001B34C6"/>
    <w:rsid w:val="001B4314"/>
    <w:rsid w:val="001B4F52"/>
    <w:rsid w:val="001B5CDD"/>
    <w:rsid w:val="001B6003"/>
    <w:rsid w:val="001B61EB"/>
    <w:rsid w:val="001D033A"/>
    <w:rsid w:val="001D48AE"/>
    <w:rsid w:val="001D7832"/>
    <w:rsid w:val="001E0774"/>
    <w:rsid w:val="001E27EF"/>
    <w:rsid w:val="001E42F6"/>
    <w:rsid w:val="001E70A9"/>
    <w:rsid w:val="001F091E"/>
    <w:rsid w:val="001F4E31"/>
    <w:rsid w:val="001F501A"/>
    <w:rsid w:val="0020108D"/>
    <w:rsid w:val="00202EAD"/>
    <w:rsid w:val="00204A96"/>
    <w:rsid w:val="00206C47"/>
    <w:rsid w:val="00207B65"/>
    <w:rsid w:val="00211523"/>
    <w:rsid w:val="00211D34"/>
    <w:rsid w:val="00212A88"/>
    <w:rsid w:val="00214F04"/>
    <w:rsid w:val="00215B3E"/>
    <w:rsid w:val="00216767"/>
    <w:rsid w:val="00217BEC"/>
    <w:rsid w:val="002205E2"/>
    <w:rsid w:val="00221498"/>
    <w:rsid w:val="00221A27"/>
    <w:rsid w:val="00223B98"/>
    <w:rsid w:val="00226B1A"/>
    <w:rsid w:val="00233E7D"/>
    <w:rsid w:val="00236883"/>
    <w:rsid w:val="00240455"/>
    <w:rsid w:val="00241399"/>
    <w:rsid w:val="00241733"/>
    <w:rsid w:val="00241898"/>
    <w:rsid w:val="00241F57"/>
    <w:rsid w:val="00244B23"/>
    <w:rsid w:val="00244C3F"/>
    <w:rsid w:val="00246AA1"/>
    <w:rsid w:val="00246C1A"/>
    <w:rsid w:val="0025091B"/>
    <w:rsid w:val="002528AF"/>
    <w:rsid w:val="00253E07"/>
    <w:rsid w:val="002606C2"/>
    <w:rsid w:val="002606F0"/>
    <w:rsid w:val="00260CE3"/>
    <w:rsid w:val="00266CD6"/>
    <w:rsid w:val="002709FC"/>
    <w:rsid w:val="00273C18"/>
    <w:rsid w:val="00275DAB"/>
    <w:rsid w:val="00275FA7"/>
    <w:rsid w:val="002817D6"/>
    <w:rsid w:val="002870E7"/>
    <w:rsid w:val="0029597D"/>
    <w:rsid w:val="00295B70"/>
    <w:rsid w:val="00297D3E"/>
    <w:rsid w:val="002A01F2"/>
    <w:rsid w:val="002A452D"/>
    <w:rsid w:val="002A4E70"/>
    <w:rsid w:val="002A579E"/>
    <w:rsid w:val="002A782A"/>
    <w:rsid w:val="002A7F80"/>
    <w:rsid w:val="002B11E2"/>
    <w:rsid w:val="002B18C8"/>
    <w:rsid w:val="002B24B8"/>
    <w:rsid w:val="002B3063"/>
    <w:rsid w:val="002B38EF"/>
    <w:rsid w:val="002B3CF4"/>
    <w:rsid w:val="002B43F8"/>
    <w:rsid w:val="002C5546"/>
    <w:rsid w:val="002D23DD"/>
    <w:rsid w:val="002D3AE9"/>
    <w:rsid w:val="002D4510"/>
    <w:rsid w:val="002D656D"/>
    <w:rsid w:val="002D6B5D"/>
    <w:rsid w:val="002D7D3D"/>
    <w:rsid w:val="002E06B1"/>
    <w:rsid w:val="002E27A0"/>
    <w:rsid w:val="002E3349"/>
    <w:rsid w:val="002F0734"/>
    <w:rsid w:val="002F32A4"/>
    <w:rsid w:val="002F46E7"/>
    <w:rsid w:val="002F5A0E"/>
    <w:rsid w:val="00304121"/>
    <w:rsid w:val="00306779"/>
    <w:rsid w:val="003101DA"/>
    <w:rsid w:val="00314757"/>
    <w:rsid w:val="0031530D"/>
    <w:rsid w:val="00316A9A"/>
    <w:rsid w:val="00317791"/>
    <w:rsid w:val="003211CE"/>
    <w:rsid w:val="003234E2"/>
    <w:rsid w:val="0032669A"/>
    <w:rsid w:val="00332B81"/>
    <w:rsid w:val="00332BE1"/>
    <w:rsid w:val="003330F3"/>
    <w:rsid w:val="00333DFB"/>
    <w:rsid w:val="00334A2B"/>
    <w:rsid w:val="00335916"/>
    <w:rsid w:val="00341341"/>
    <w:rsid w:val="00346E50"/>
    <w:rsid w:val="0035403A"/>
    <w:rsid w:val="003603A7"/>
    <w:rsid w:val="00360E6C"/>
    <w:rsid w:val="003638D6"/>
    <w:rsid w:val="0036394B"/>
    <w:rsid w:val="00366D5C"/>
    <w:rsid w:val="003674CD"/>
    <w:rsid w:val="0036751E"/>
    <w:rsid w:val="003709B5"/>
    <w:rsid w:val="00373D56"/>
    <w:rsid w:val="00374471"/>
    <w:rsid w:val="003759C2"/>
    <w:rsid w:val="00376A8A"/>
    <w:rsid w:val="00380F4F"/>
    <w:rsid w:val="00381139"/>
    <w:rsid w:val="0038380F"/>
    <w:rsid w:val="003846C6"/>
    <w:rsid w:val="0038623A"/>
    <w:rsid w:val="0039315E"/>
    <w:rsid w:val="00393F0D"/>
    <w:rsid w:val="003943C4"/>
    <w:rsid w:val="00397365"/>
    <w:rsid w:val="003A31F6"/>
    <w:rsid w:val="003A3AAF"/>
    <w:rsid w:val="003B10B0"/>
    <w:rsid w:val="003B10B9"/>
    <w:rsid w:val="003B17FC"/>
    <w:rsid w:val="003B4844"/>
    <w:rsid w:val="003B54E5"/>
    <w:rsid w:val="003B6A60"/>
    <w:rsid w:val="003B769B"/>
    <w:rsid w:val="003C157F"/>
    <w:rsid w:val="003C1AEF"/>
    <w:rsid w:val="003C3447"/>
    <w:rsid w:val="003C35A2"/>
    <w:rsid w:val="003C5787"/>
    <w:rsid w:val="003D076C"/>
    <w:rsid w:val="003D2A46"/>
    <w:rsid w:val="003D47BD"/>
    <w:rsid w:val="003D5E91"/>
    <w:rsid w:val="003E26E3"/>
    <w:rsid w:val="003E3304"/>
    <w:rsid w:val="003E41AA"/>
    <w:rsid w:val="003E4875"/>
    <w:rsid w:val="003E59E7"/>
    <w:rsid w:val="003E628D"/>
    <w:rsid w:val="003E78B5"/>
    <w:rsid w:val="003F023F"/>
    <w:rsid w:val="003F3E5B"/>
    <w:rsid w:val="003F6ACE"/>
    <w:rsid w:val="003F7533"/>
    <w:rsid w:val="00404DA1"/>
    <w:rsid w:val="00406B33"/>
    <w:rsid w:val="00407E99"/>
    <w:rsid w:val="00412BB6"/>
    <w:rsid w:val="00415BAB"/>
    <w:rsid w:val="00415ED2"/>
    <w:rsid w:val="00417B3D"/>
    <w:rsid w:val="0042068C"/>
    <w:rsid w:val="00426523"/>
    <w:rsid w:val="00433128"/>
    <w:rsid w:val="00435119"/>
    <w:rsid w:val="0044048C"/>
    <w:rsid w:val="00441C4E"/>
    <w:rsid w:val="00442915"/>
    <w:rsid w:val="00443C12"/>
    <w:rsid w:val="00443D9A"/>
    <w:rsid w:val="00444A03"/>
    <w:rsid w:val="004454DA"/>
    <w:rsid w:val="00447C6D"/>
    <w:rsid w:val="0045042D"/>
    <w:rsid w:val="00451434"/>
    <w:rsid w:val="004526E0"/>
    <w:rsid w:val="004532A9"/>
    <w:rsid w:val="00454019"/>
    <w:rsid w:val="004551B3"/>
    <w:rsid w:val="00456FE2"/>
    <w:rsid w:val="00457D70"/>
    <w:rsid w:val="0046024D"/>
    <w:rsid w:val="0046176B"/>
    <w:rsid w:val="00463F18"/>
    <w:rsid w:val="004708A3"/>
    <w:rsid w:val="0047122B"/>
    <w:rsid w:val="00473B7A"/>
    <w:rsid w:val="0047410D"/>
    <w:rsid w:val="00481A57"/>
    <w:rsid w:val="004822BE"/>
    <w:rsid w:val="00483A01"/>
    <w:rsid w:val="00490647"/>
    <w:rsid w:val="00491E18"/>
    <w:rsid w:val="004926FE"/>
    <w:rsid w:val="00493726"/>
    <w:rsid w:val="00494422"/>
    <w:rsid w:val="00495A52"/>
    <w:rsid w:val="00496008"/>
    <w:rsid w:val="004960E9"/>
    <w:rsid w:val="004A2E88"/>
    <w:rsid w:val="004A5305"/>
    <w:rsid w:val="004A6EE1"/>
    <w:rsid w:val="004B0C00"/>
    <w:rsid w:val="004B5D5F"/>
    <w:rsid w:val="004B78C1"/>
    <w:rsid w:val="004C0BFE"/>
    <w:rsid w:val="004C19C2"/>
    <w:rsid w:val="004C7BD8"/>
    <w:rsid w:val="004D19FA"/>
    <w:rsid w:val="004D1BE8"/>
    <w:rsid w:val="004D3045"/>
    <w:rsid w:val="004D378D"/>
    <w:rsid w:val="004D7634"/>
    <w:rsid w:val="004D7892"/>
    <w:rsid w:val="004E1536"/>
    <w:rsid w:val="004E198F"/>
    <w:rsid w:val="004E33F2"/>
    <w:rsid w:val="004F3744"/>
    <w:rsid w:val="004F7D1F"/>
    <w:rsid w:val="0050015E"/>
    <w:rsid w:val="00503267"/>
    <w:rsid w:val="00510398"/>
    <w:rsid w:val="0051257C"/>
    <w:rsid w:val="00513865"/>
    <w:rsid w:val="00515932"/>
    <w:rsid w:val="00521029"/>
    <w:rsid w:val="00521349"/>
    <w:rsid w:val="005217A1"/>
    <w:rsid w:val="005300D3"/>
    <w:rsid w:val="00535B16"/>
    <w:rsid w:val="00536323"/>
    <w:rsid w:val="0054284F"/>
    <w:rsid w:val="00544F82"/>
    <w:rsid w:val="005457C2"/>
    <w:rsid w:val="00547183"/>
    <w:rsid w:val="005536C8"/>
    <w:rsid w:val="00553850"/>
    <w:rsid w:val="005544E8"/>
    <w:rsid w:val="00554FFF"/>
    <w:rsid w:val="00557C22"/>
    <w:rsid w:val="00566104"/>
    <w:rsid w:val="00567915"/>
    <w:rsid w:val="00573970"/>
    <w:rsid w:val="00573C98"/>
    <w:rsid w:val="005750EF"/>
    <w:rsid w:val="00575ABF"/>
    <w:rsid w:val="00581094"/>
    <w:rsid w:val="0058201E"/>
    <w:rsid w:val="005853B5"/>
    <w:rsid w:val="00593C4F"/>
    <w:rsid w:val="005946A8"/>
    <w:rsid w:val="00596B5A"/>
    <w:rsid w:val="00596EEA"/>
    <w:rsid w:val="00596EFA"/>
    <w:rsid w:val="005972F1"/>
    <w:rsid w:val="005A0D57"/>
    <w:rsid w:val="005A1309"/>
    <w:rsid w:val="005A4407"/>
    <w:rsid w:val="005A59EF"/>
    <w:rsid w:val="005A6E1A"/>
    <w:rsid w:val="005B1B14"/>
    <w:rsid w:val="005B47F5"/>
    <w:rsid w:val="005C41AF"/>
    <w:rsid w:val="005C568C"/>
    <w:rsid w:val="005C6BB2"/>
    <w:rsid w:val="005C6E8F"/>
    <w:rsid w:val="005D77A0"/>
    <w:rsid w:val="005E035F"/>
    <w:rsid w:val="005E253A"/>
    <w:rsid w:val="005E260A"/>
    <w:rsid w:val="005E42A6"/>
    <w:rsid w:val="005E44A9"/>
    <w:rsid w:val="005E7350"/>
    <w:rsid w:val="005F26E0"/>
    <w:rsid w:val="005F49DD"/>
    <w:rsid w:val="005F4BB9"/>
    <w:rsid w:val="005F5F07"/>
    <w:rsid w:val="005F6F41"/>
    <w:rsid w:val="005F7184"/>
    <w:rsid w:val="00603DD8"/>
    <w:rsid w:val="00606FD6"/>
    <w:rsid w:val="00612CEA"/>
    <w:rsid w:val="00616D65"/>
    <w:rsid w:val="0062102E"/>
    <w:rsid w:val="00621590"/>
    <w:rsid w:val="006234BC"/>
    <w:rsid w:val="00625DC6"/>
    <w:rsid w:val="00630F5A"/>
    <w:rsid w:val="00631E8F"/>
    <w:rsid w:val="00635B0A"/>
    <w:rsid w:val="00637285"/>
    <w:rsid w:val="00640301"/>
    <w:rsid w:val="00640E4D"/>
    <w:rsid w:val="00642281"/>
    <w:rsid w:val="0064391D"/>
    <w:rsid w:val="0064486D"/>
    <w:rsid w:val="00645549"/>
    <w:rsid w:val="00647A97"/>
    <w:rsid w:val="00651821"/>
    <w:rsid w:val="00652F6D"/>
    <w:rsid w:val="00654384"/>
    <w:rsid w:val="00654D63"/>
    <w:rsid w:val="00655884"/>
    <w:rsid w:val="00660346"/>
    <w:rsid w:val="006605EA"/>
    <w:rsid w:val="00663D4F"/>
    <w:rsid w:val="006672F7"/>
    <w:rsid w:val="006674B6"/>
    <w:rsid w:val="006675CD"/>
    <w:rsid w:val="006701E6"/>
    <w:rsid w:val="00671A62"/>
    <w:rsid w:val="00671EB8"/>
    <w:rsid w:val="00673146"/>
    <w:rsid w:val="00675AF8"/>
    <w:rsid w:val="00682473"/>
    <w:rsid w:val="00684D9B"/>
    <w:rsid w:val="006867EF"/>
    <w:rsid w:val="00686E48"/>
    <w:rsid w:val="00690C05"/>
    <w:rsid w:val="00693339"/>
    <w:rsid w:val="006965D3"/>
    <w:rsid w:val="00697556"/>
    <w:rsid w:val="006A01FE"/>
    <w:rsid w:val="006A4917"/>
    <w:rsid w:val="006A4D4F"/>
    <w:rsid w:val="006A5FD7"/>
    <w:rsid w:val="006B0FE8"/>
    <w:rsid w:val="006B1C64"/>
    <w:rsid w:val="006B1C94"/>
    <w:rsid w:val="006B4647"/>
    <w:rsid w:val="006B4C2B"/>
    <w:rsid w:val="006B6D47"/>
    <w:rsid w:val="006C2624"/>
    <w:rsid w:val="006C5AFE"/>
    <w:rsid w:val="006C709E"/>
    <w:rsid w:val="006D3C10"/>
    <w:rsid w:val="006D3E42"/>
    <w:rsid w:val="006D5418"/>
    <w:rsid w:val="006D6139"/>
    <w:rsid w:val="006D79D9"/>
    <w:rsid w:val="006E6198"/>
    <w:rsid w:val="006E73A5"/>
    <w:rsid w:val="006E7E8B"/>
    <w:rsid w:val="006F02B8"/>
    <w:rsid w:val="006F193C"/>
    <w:rsid w:val="006F1D41"/>
    <w:rsid w:val="006F3BDC"/>
    <w:rsid w:val="006F586A"/>
    <w:rsid w:val="006F6D95"/>
    <w:rsid w:val="006F73FB"/>
    <w:rsid w:val="006F7765"/>
    <w:rsid w:val="00703722"/>
    <w:rsid w:val="00704759"/>
    <w:rsid w:val="00705E2A"/>
    <w:rsid w:val="00706F13"/>
    <w:rsid w:val="007072E8"/>
    <w:rsid w:val="00710289"/>
    <w:rsid w:val="0071618D"/>
    <w:rsid w:val="00717187"/>
    <w:rsid w:val="00720F3F"/>
    <w:rsid w:val="0072310E"/>
    <w:rsid w:val="00725FA4"/>
    <w:rsid w:val="00726A1D"/>
    <w:rsid w:val="00730825"/>
    <w:rsid w:val="00730B0C"/>
    <w:rsid w:val="00730C9E"/>
    <w:rsid w:val="0073215E"/>
    <w:rsid w:val="00732179"/>
    <w:rsid w:val="00733551"/>
    <w:rsid w:val="00735FB9"/>
    <w:rsid w:val="0074029E"/>
    <w:rsid w:val="00740446"/>
    <w:rsid w:val="00740A1D"/>
    <w:rsid w:val="007438A9"/>
    <w:rsid w:val="0074491E"/>
    <w:rsid w:val="00744B02"/>
    <w:rsid w:val="007507BF"/>
    <w:rsid w:val="00751023"/>
    <w:rsid w:val="00755165"/>
    <w:rsid w:val="00755A34"/>
    <w:rsid w:val="0076247A"/>
    <w:rsid w:val="0076483A"/>
    <w:rsid w:val="00766560"/>
    <w:rsid w:val="00767CCD"/>
    <w:rsid w:val="007715F0"/>
    <w:rsid w:val="00772807"/>
    <w:rsid w:val="00772DA8"/>
    <w:rsid w:val="00773C92"/>
    <w:rsid w:val="00773FFC"/>
    <w:rsid w:val="00775891"/>
    <w:rsid w:val="00775964"/>
    <w:rsid w:val="007765FE"/>
    <w:rsid w:val="00780FAA"/>
    <w:rsid w:val="00783B84"/>
    <w:rsid w:val="0078760A"/>
    <w:rsid w:val="00790CEA"/>
    <w:rsid w:val="00792D35"/>
    <w:rsid w:val="00793152"/>
    <w:rsid w:val="00793834"/>
    <w:rsid w:val="00795983"/>
    <w:rsid w:val="00795BFB"/>
    <w:rsid w:val="00796875"/>
    <w:rsid w:val="007974F9"/>
    <w:rsid w:val="007A0FE6"/>
    <w:rsid w:val="007A2F35"/>
    <w:rsid w:val="007B122F"/>
    <w:rsid w:val="007B1F48"/>
    <w:rsid w:val="007B2760"/>
    <w:rsid w:val="007B40C9"/>
    <w:rsid w:val="007B453E"/>
    <w:rsid w:val="007C56A8"/>
    <w:rsid w:val="007C6762"/>
    <w:rsid w:val="007D111E"/>
    <w:rsid w:val="007D1246"/>
    <w:rsid w:val="007D195A"/>
    <w:rsid w:val="007D1EE9"/>
    <w:rsid w:val="007D43E0"/>
    <w:rsid w:val="007E1F80"/>
    <w:rsid w:val="007E3AB1"/>
    <w:rsid w:val="007F0732"/>
    <w:rsid w:val="007F278C"/>
    <w:rsid w:val="008009C2"/>
    <w:rsid w:val="00802179"/>
    <w:rsid w:val="00802330"/>
    <w:rsid w:val="00804473"/>
    <w:rsid w:val="00804B35"/>
    <w:rsid w:val="00806C01"/>
    <w:rsid w:val="008074E7"/>
    <w:rsid w:val="00810E7F"/>
    <w:rsid w:val="008112E8"/>
    <w:rsid w:val="008136C3"/>
    <w:rsid w:val="008148CC"/>
    <w:rsid w:val="0081562F"/>
    <w:rsid w:val="00820A7B"/>
    <w:rsid w:val="008211A4"/>
    <w:rsid w:val="00823A07"/>
    <w:rsid w:val="008251F0"/>
    <w:rsid w:val="00825B13"/>
    <w:rsid w:val="00832398"/>
    <w:rsid w:val="00833BEE"/>
    <w:rsid w:val="008348CB"/>
    <w:rsid w:val="00836006"/>
    <w:rsid w:val="008403F6"/>
    <w:rsid w:val="00850F85"/>
    <w:rsid w:val="00854C37"/>
    <w:rsid w:val="0085598C"/>
    <w:rsid w:val="00862B36"/>
    <w:rsid w:val="00864289"/>
    <w:rsid w:val="00865BD4"/>
    <w:rsid w:val="00866E89"/>
    <w:rsid w:val="008679A0"/>
    <w:rsid w:val="00873150"/>
    <w:rsid w:val="0087657D"/>
    <w:rsid w:val="008807D5"/>
    <w:rsid w:val="00880832"/>
    <w:rsid w:val="00882263"/>
    <w:rsid w:val="00883C72"/>
    <w:rsid w:val="00885091"/>
    <w:rsid w:val="00885F45"/>
    <w:rsid w:val="00886EE1"/>
    <w:rsid w:val="0088727D"/>
    <w:rsid w:val="00895F71"/>
    <w:rsid w:val="0089643C"/>
    <w:rsid w:val="00897C75"/>
    <w:rsid w:val="008A0383"/>
    <w:rsid w:val="008A2456"/>
    <w:rsid w:val="008A4076"/>
    <w:rsid w:val="008A657A"/>
    <w:rsid w:val="008B413B"/>
    <w:rsid w:val="008C1130"/>
    <w:rsid w:val="008C3095"/>
    <w:rsid w:val="008D0995"/>
    <w:rsid w:val="008D18E6"/>
    <w:rsid w:val="008D191F"/>
    <w:rsid w:val="008D2C00"/>
    <w:rsid w:val="008D464B"/>
    <w:rsid w:val="008D675E"/>
    <w:rsid w:val="008D7A9B"/>
    <w:rsid w:val="008E02E1"/>
    <w:rsid w:val="008E2BF5"/>
    <w:rsid w:val="008E61CB"/>
    <w:rsid w:val="008E7049"/>
    <w:rsid w:val="008E76AC"/>
    <w:rsid w:val="008F1017"/>
    <w:rsid w:val="008F21F6"/>
    <w:rsid w:val="008F2A14"/>
    <w:rsid w:val="008F3972"/>
    <w:rsid w:val="009004E0"/>
    <w:rsid w:val="00900CA0"/>
    <w:rsid w:val="009011F4"/>
    <w:rsid w:val="00902D87"/>
    <w:rsid w:val="0090417A"/>
    <w:rsid w:val="0090775A"/>
    <w:rsid w:val="00913905"/>
    <w:rsid w:val="00916247"/>
    <w:rsid w:val="00916F00"/>
    <w:rsid w:val="00917874"/>
    <w:rsid w:val="0092279E"/>
    <w:rsid w:val="00922CA7"/>
    <w:rsid w:val="009246BD"/>
    <w:rsid w:val="009269A7"/>
    <w:rsid w:val="009270E0"/>
    <w:rsid w:val="00927FA3"/>
    <w:rsid w:val="00931F7E"/>
    <w:rsid w:val="0093345C"/>
    <w:rsid w:val="00936888"/>
    <w:rsid w:val="00937565"/>
    <w:rsid w:val="009410CB"/>
    <w:rsid w:val="009438AD"/>
    <w:rsid w:val="00945A3C"/>
    <w:rsid w:val="00950E0A"/>
    <w:rsid w:val="00951F79"/>
    <w:rsid w:val="00952ADF"/>
    <w:rsid w:val="00952F4A"/>
    <w:rsid w:val="00960049"/>
    <w:rsid w:val="00960FB7"/>
    <w:rsid w:val="00962962"/>
    <w:rsid w:val="00963809"/>
    <w:rsid w:val="00965DF7"/>
    <w:rsid w:val="00967121"/>
    <w:rsid w:val="00967468"/>
    <w:rsid w:val="00970C82"/>
    <w:rsid w:val="00971FF2"/>
    <w:rsid w:val="00973049"/>
    <w:rsid w:val="009742E8"/>
    <w:rsid w:val="00974AB5"/>
    <w:rsid w:val="00980704"/>
    <w:rsid w:val="009813EE"/>
    <w:rsid w:val="0098213C"/>
    <w:rsid w:val="00985A22"/>
    <w:rsid w:val="00986161"/>
    <w:rsid w:val="0098706D"/>
    <w:rsid w:val="009935FB"/>
    <w:rsid w:val="0099379E"/>
    <w:rsid w:val="009955D1"/>
    <w:rsid w:val="0099780A"/>
    <w:rsid w:val="009A6E35"/>
    <w:rsid w:val="009B2AED"/>
    <w:rsid w:val="009B3501"/>
    <w:rsid w:val="009C0467"/>
    <w:rsid w:val="009C1F60"/>
    <w:rsid w:val="009C6488"/>
    <w:rsid w:val="009C6539"/>
    <w:rsid w:val="009C7A49"/>
    <w:rsid w:val="009D0036"/>
    <w:rsid w:val="009D15DF"/>
    <w:rsid w:val="009D262C"/>
    <w:rsid w:val="009D42C8"/>
    <w:rsid w:val="009D53A9"/>
    <w:rsid w:val="009D56A3"/>
    <w:rsid w:val="009E11C8"/>
    <w:rsid w:val="009E2F5E"/>
    <w:rsid w:val="009E6478"/>
    <w:rsid w:val="009E7A7F"/>
    <w:rsid w:val="009F0D98"/>
    <w:rsid w:val="009F4A3B"/>
    <w:rsid w:val="009F4A54"/>
    <w:rsid w:val="009F4B06"/>
    <w:rsid w:val="009F4BEC"/>
    <w:rsid w:val="00A00879"/>
    <w:rsid w:val="00A04C6F"/>
    <w:rsid w:val="00A10A0B"/>
    <w:rsid w:val="00A1296D"/>
    <w:rsid w:val="00A16385"/>
    <w:rsid w:val="00A21A33"/>
    <w:rsid w:val="00A22D58"/>
    <w:rsid w:val="00A23A1B"/>
    <w:rsid w:val="00A25FD7"/>
    <w:rsid w:val="00A30197"/>
    <w:rsid w:val="00A34894"/>
    <w:rsid w:val="00A35FEF"/>
    <w:rsid w:val="00A40EC5"/>
    <w:rsid w:val="00A419BB"/>
    <w:rsid w:val="00A42FAB"/>
    <w:rsid w:val="00A433C5"/>
    <w:rsid w:val="00A43AFF"/>
    <w:rsid w:val="00A478A0"/>
    <w:rsid w:val="00A47F3A"/>
    <w:rsid w:val="00A50502"/>
    <w:rsid w:val="00A5373F"/>
    <w:rsid w:val="00A54052"/>
    <w:rsid w:val="00A631A3"/>
    <w:rsid w:val="00A654DC"/>
    <w:rsid w:val="00A658CC"/>
    <w:rsid w:val="00A70F81"/>
    <w:rsid w:val="00A74AF2"/>
    <w:rsid w:val="00A7793A"/>
    <w:rsid w:val="00A8027B"/>
    <w:rsid w:val="00A87B7A"/>
    <w:rsid w:val="00AA4CC7"/>
    <w:rsid w:val="00AA4F68"/>
    <w:rsid w:val="00AA5E8E"/>
    <w:rsid w:val="00AB2A7D"/>
    <w:rsid w:val="00AB2ACC"/>
    <w:rsid w:val="00AB6CA7"/>
    <w:rsid w:val="00AB6CE2"/>
    <w:rsid w:val="00AC20F9"/>
    <w:rsid w:val="00AC453E"/>
    <w:rsid w:val="00AC7A58"/>
    <w:rsid w:val="00AD01E4"/>
    <w:rsid w:val="00AD0844"/>
    <w:rsid w:val="00AD0858"/>
    <w:rsid w:val="00AD1559"/>
    <w:rsid w:val="00AD2158"/>
    <w:rsid w:val="00AD4DB6"/>
    <w:rsid w:val="00AD5E02"/>
    <w:rsid w:val="00AE556C"/>
    <w:rsid w:val="00AE7340"/>
    <w:rsid w:val="00AE7DA4"/>
    <w:rsid w:val="00AF1558"/>
    <w:rsid w:val="00AF1BBD"/>
    <w:rsid w:val="00AF3B72"/>
    <w:rsid w:val="00AF3BE3"/>
    <w:rsid w:val="00AF6DEF"/>
    <w:rsid w:val="00B01B73"/>
    <w:rsid w:val="00B04B81"/>
    <w:rsid w:val="00B05626"/>
    <w:rsid w:val="00B05914"/>
    <w:rsid w:val="00B10207"/>
    <w:rsid w:val="00B12F18"/>
    <w:rsid w:val="00B13E0A"/>
    <w:rsid w:val="00B13E74"/>
    <w:rsid w:val="00B141E7"/>
    <w:rsid w:val="00B16D10"/>
    <w:rsid w:val="00B23A09"/>
    <w:rsid w:val="00B279C2"/>
    <w:rsid w:val="00B309B2"/>
    <w:rsid w:val="00B31959"/>
    <w:rsid w:val="00B351B4"/>
    <w:rsid w:val="00B36712"/>
    <w:rsid w:val="00B36FE8"/>
    <w:rsid w:val="00B43FE4"/>
    <w:rsid w:val="00B46BCA"/>
    <w:rsid w:val="00B4775D"/>
    <w:rsid w:val="00B526A3"/>
    <w:rsid w:val="00B54F3C"/>
    <w:rsid w:val="00B55F26"/>
    <w:rsid w:val="00B563ED"/>
    <w:rsid w:val="00B60A3F"/>
    <w:rsid w:val="00B60A77"/>
    <w:rsid w:val="00B63B12"/>
    <w:rsid w:val="00B717D6"/>
    <w:rsid w:val="00B747A1"/>
    <w:rsid w:val="00B74F1F"/>
    <w:rsid w:val="00B75ED9"/>
    <w:rsid w:val="00B7686B"/>
    <w:rsid w:val="00B825E3"/>
    <w:rsid w:val="00B8328F"/>
    <w:rsid w:val="00B83F3A"/>
    <w:rsid w:val="00B87806"/>
    <w:rsid w:val="00B87EC9"/>
    <w:rsid w:val="00B905E0"/>
    <w:rsid w:val="00B92BC9"/>
    <w:rsid w:val="00B92EAC"/>
    <w:rsid w:val="00BA05D2"/>
    <w:rsid w:val="00BA3201"/>
    <w:rsid w:val="00BA3338"/>
    <w:rsid w:val="00BA5F8E"/>
    <w:rsid w:val="00BA67CD"/>
    <w:rsid w:val="00BA698C"/>
    <w:rsid w:val="00BB076C"/>
    <w:rsid w:val="00BB63C5"/>
    <w:rsid w:val="00BC2BE8"/>
    <w:rsid w:val="00BC38FD"/>
    <w:rsid w:val="00BC4AE4"/>
    <w:rsid w:val="00BC794F"/>
    <w:rsid w:val="00BD0385"/>
    <w:rsid w:val="00BD0898"/>
    <w:rsid w:val="00BD1622"/>
    <w:rsid w:val="00BD3267"/>
    <w:rsid w:val="00BE1396"/>
    <w:rsid w:val="00BF35DB"/>
    <w:rsid w:val="00BF4008"/>
    <w:rsid w:val="00BF4A20"/>
    <w:rsid w:val="00C013F0"/>
    <w:rsid w:val="00C034CB"/>
    <w:rsid w:val="00C051A8"/>
    <w:rsid w:val="00C054BC"/>
    <w:rsid w:val="00C0554D"/>
    <w:rsid w:val="00C11DE1"/>
    <w:rsid w:val="00C122C4"/>
    <w:rsid w:val="00C15604"/>
    <w:rsid w:val="00C15CDD"/>
    <w:rsid w:val="00C17897"/>
    <w:rsid w:val="00C17DB0"/>
    <w:rsid w:val="00C20BF7"/>
    <w:rsid w:val="00C22517"/>
    <w:rsid w:val="00C225E7"/>
    <w:rsid w:val="00C2670B"/>
    <w:rsid w:val="00C322F9"/>
    <w:rsid w:val="00C350E9"/>
    <w:rsid w:val="00C3527A"/>
    <w:rsid w:val="00C35B2B"/>
    <w:rsid w:val="00C3612F"/>
    <w:rsid w:val="00C400BD"/>
    <w:rsid w:val="00C409D5"/>
    <w:rsid w:val="00C4104C"/>
    <w:rsid w:val="00C435C3"/>
    <w:rsid w:val="00C53E81"/>
    <w:rsid w:val="00C609F5"/>
    <w:rsid w:val="00C6234B"/>
    <w:rsid w:val="00C62D01"/>
    <w:rsid w:val="00C63EAE"/>
    <w:rsid w:val="00C63FC3"/>
    <w:rsid w:val="00C64697"/>
    <w:rsid w:val="00C667C1"/>
    <w:rsid w:val="00C70A73"/>
    <w:rsid w:val="00C721CE"/>
    <w:rsid w:val="00C7430C"/>
    <w:rsid w:val="00C7517C"/>
    <w:rsid w:val="00C7629F"/>
    <w:rsid w:val="00C820DC"/>
    <w:rsid w:val="00C85364"/>
    <w:rsid w:val="00C8661B"/>
    <w:rsid w:val="00C90ED8"/>
    <w:rsid w:val="00C9491C"/>
    <w:rsid w:val="00CA139A"/>
    <w:rsid w:val="00CA2899"/>
    <w:rsid w:val="00CA2B1D"/>
    <w:rsid w:val="00CA3A3D"/>
    <w:rsid w:val="00CA77FB"/>
    <w:rsid w:val="00CB379B"/>
    <w:rsid w:val="00CB3D87"/>
    <w:rsid w:val="00CB460F"/>
    <w:rsid w:val="00CB4ACB"/>
    <w:rsid w:val="00CB5DD0"/>
    <w:rsid w:val="00CB605B"/>
    <w:rsid w:val="00CB7F94"/>
    <w:rsid w:val="00CC0B0B"/>
    <w:rsid w:val="00CC51D4"/>
    <w:rsid w:val="00CC65DA"/>
    <w:rsid w:val="00CD0158"/>
    <w:rsid w:val="00CD3BBA"/>
    <w:rsid w:val="00CD67E2"/>
    <w:rsid w:val="00CD75E7"/>
    <w:rsid w:val="00CE1EEF"/>
    <w:rsid w:val="00CE21E3"/>
    <w:rsid w:val="00CE2929"/>
    <w:rsid w:val="00CE701E"/>
    <w:rsid w:val="00CF21B9"/>
    <w:rsid w:val="00CF6BF9"/>
    <w:rsid w:val="00CF7CC6"/>
    <w:rsid w:val="00D0082F"/>
    <w:rsid w:val="00D01F0A"/>
    <w:rsid w:val="00D03800"/>
    <w:rsid w:val="00D03E47"/>
    <w:rsid w:val="00D065D3"/>
    <w:rsid w:val="00D11415"/>
    <w:rsid w:val="00D126E3"/>
    <w:rsid w:val="00D14C94"/>
    <w:rsid w:val="00D16F2E"/>
    <w:rsid w:val="00D20911"/>
    <w:rsid w:val="00D27114"/>
    <w:rsid w:val="00D313EC"/>
    <w:rsid w:val="00D32669"/>
    <w:rsid w:val="00D342A6"/>
    <w:rsid w:val="00D356D0"/>
    <w:rsid w:val="00D35AB2"/>
    <w:rsid w:val="00D36ABB"/>
    <w:rsid w:val="00D40598"/>
    <w:rsid w:val="00D42A15"/>
    <w:rsid w:val="00D460EB"/>
    <w:rsid w:val="00D464BF"/>
    <w:rsid w:val="00D47AB0"/>
    <w:rsid w:val="00D52BC6"/>
    <w:rsid w:val="00D53E26"/>
    <w:rsid w:val="00D549B1"/>
    <w:rsid w:val="00D55DCB"/>
    <w:rsid w:val="00D6036E"/>
    <w:rsid w:val="00D607B1"/>
    <w:rsid w:val="00D62044"/>
    <w:rsid w:val="00D639B7"/>
    <w:rsid w:val="00D7035A"/>
    <w:rsid w:val="00D74A42"/>
    <w:rsid w:val="00D74BAC"/>
    <w:rsid w:val="00D82268"/>
    <w:rsid w:val="00D83101"/>
    <w:rsid w:val="00D84F46"/>
    <w:rsid w:val="00D92EC6"/>
    <w:rsid w:val="00D95493"/>
    <w:rsid w:val="00D96E9A"/>
    <w:rsid w:val="00DA0D65"/>
    <w:rsid w:val="00DA3ED9"/>
    <w:rsid w:val="00DA4135"/>
    <w:rsid w:val="00DA4BB6"/>
    <w:rsid w:val="00DB122B"/>
    <w:rsid w:val="00DB5631"/>
    <w:rsid w:val="00DB7AC1"/>
    <w:rsid w:val="00DC2818"/>
    <w:rsid w:val="00DC2D17"/>
    <w:rsid w:val="00DC3340"/>
    <w:rsid w:val="00DD192E"/>
    <w:rsid w:val="00DD3CE8"/>
    <w:rsid w:val="00DD4F0E"/>
    <w:rsid w:val="00DE1C02"/>
    <w:rsid w:val="00DE4017"/>
    <w:rsid w:val="00DF070D"/>
    <w:rsid w:val="00DF0BF0"/>
    <w:rsid w:val="00DF465D"/>
    <w:rsid w:val="00DF4E15"/>
    <w:rsid w:val="00DF4F58"/>
    <w:rsid w:val="00DF7B9C"/>
    <w:rsid w:val="00E010B3"/>
    <w:rsid w:val="00E0158D"/>
    <w:rsid w:val="00E0456C"/>
    <w:rsid w:val="00E048D6"/>
    <w:rsid w:val="00E05E0A"/>
    <w:rsid w:val="00E06ECE"/>
    <w:rsid w:val="00E101ED"/>
    <w:rsid w:val="00E14E26"/>
    <w:rsid w:val="00E15D29"/>
    <w:rsid w:val="00E20A83"/>
    <w:rsid w:val="00E20AA8"/>
    <w:rsid w:val="00E21057"/>
    <w:rsid w:val="00E233B4"/>
    <w:rsid w:val="00E3198B"/>
    <w:rsid w:val="00E35D4F"/>
    <w:rsid w:val="00E37248"/>
    <w:rsid w:val="00E37400"/>
    <w:rsid w:val="00E41DFD"/>
    <w:rsid w:val="00E436A8"/>
    <w:rsid w:val="00E43916"/>
    <w:rsid w:val="00E534CF"/>
    <w:rsid w:val="00E56ED5"/>
    <w:rsid w:val="00E57338"/>
    <w:rsid w:val="00E61467"/>
    <w:rsid w:val="00E61DA0"/>
    <w:rsid w:val="00E7046A"/>
    <w:rsid w:val="00E72868"/>
    <w:rsid w:val="00E72C5E"/>
    <w:rsid w:val="00E734F8"/>
    <w:rsid w:val="00E81CB4"/>
    <w:rsid w:val="00E8585B"/>
    <w:rsid w:val="00E877F1"/>
    <w:rsid w:val="00E958BA"/>
    <w:rsid w:val="00EA1547"/>
    <w:rsid w:val="00EA20EE"/>
    <w:rsid w:val="00EA3F15"/>
    <w:rsid w:val="00EA7847"/>
    <w:rsid w:val="00EB1916"/>
    <w:rsid w:val="00EB2614"/>
    <w:rsid w:val="00EB3344"/>
    <w:rsid w:val="00EB4BA1"/>
    <w:rsid w:val="00EB54E4"/>
    <w:rsid w:val="00EC28B2"/>
    <w:rsid w:val="00EC3BB2"/>
    <w:rsid w:val="00ED028D"/>
    <w:rsid w:val="00ED048C"/>
    <w:rsid w:val="00ED1F55"/>
    <w:rsid w:val="00ED5722"/>
    <w:rsid w:val="00EE0855"/>
    <w:rsid w:val="00EE25CE"/>
    <w:rsid w:val="00EE2E6E"/>
    <w:rsid w:val="00EE6670"/>
    <w:rsid w:val="00EF3822"/>
    <w:rsid w:val="00EF78A2"/>
    <w:rsid w:val="00F0000A"/>
    <w:rsid w:val="00F01F07"/>
    <w:rsid w:val="00F03154"/>
    <w:rsid w:val="00F0499E"/>
    <w:rsid w:val="00F06BB2"/>
    <w:rsid w:val="00F0759E"/>
    <w:rsid w:val="00F1260B"/>
    <w:rsid w:val="00F14B80"/>
    <w:rsid w:val="00F15477"/>
    <w:rsid w:val="00F16F1A"/>
    <w:rsid w:val="00F205F5"/>
    <w:rsid w:val="00F22B1C"/>
    <w:rsid w:val="00F22E25"/>
    <w:rsid w:val="00F30C51"/>
    <w:rsid w:val="00F30F7F"/>
    <w:rsid w:val="00F31FCD"/>
    <w:rsid w:val="00F32D64"/>
    <w:rsid w:val="00F35523"/>
    <w:rsid w:val="00F369F8"/>
    <w:rsid w:val="00F37CD2"/>
    <w:rsid w:val="00F4350B"/>
    <w:rsid w:val="00F43F5B"/>
    <w:rsid w:val="00F452BE"/>
    <w:rsid w:val="00F471E0"/>
    <w:rsid w:val="00F509F9"/>
    <w:rsid w:val="00F50EDA"/>
    <w:rsid w:val="00F5143E"/>
    <w:rsid w:val="00F53BD8"/>
    <w:rsid w:val="00F57246"/>
    <w:rsid w:val="00F630ED"/>
    <w:rsid w:val="00F66752"/>
    <w:rsid w:val="00F75127"/>
    <w:rsid w:val="00F75280"/>
    <w:rsid w:val="00F821A3"/>
    <w:rsid w:val="00F9314A"/>
    <w:rsid w:val="00F95C9F"/>
    <w:rsid w:val="00FA0494"/>
    <w:rsid w:val="00FA049B"/>
    <w:rsid w:val="00FA4085"/>
    <w:rsid w:val="00FA717D"/>
    <w:rsid w:val="00FA79AB"/>
    <w:rsid w:val="00FA7CDB"/>
    <w:rsid w:val="00FB5E09"/>
    <w:rsid w:val="00FB6E4D"/>
    <w:rsid w:val="00FC462E"/>
    <w:rsid w:val="00FC55EF"/>
    <w:rsid w:val="00FC58EF"/>
    <w:rsid w:val="00FD33DF"/>
    <w:rsid w:val="00FD6BF7"/>
    <w:rsid w:val="00FD7259"/>
    <w:rsid w:val="00FE01D4"/>
    <w:rsid w:val="00FE1FDD"/>
    <w:rsid w:val="00FE2354"/>
    <w:rsid w:val="00FE2D9D"/>
    <w:rsid w:val="00FE39D7"/>
    <w:rsid w:val="00FE3F15"/>
    <w:rsid w:val="00FE6D32"/>
    <w:rsid w:val="00FF1CBF"/>
    <w:rsid w:val="00FF2AEA"/>
    <w:rsid w:val="00FF37A1"/>
    <w:rsid w:val="00FF77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3F5C77C4-DC4C-460A-8446-788A86375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Puesto">
    <w:name w:val="Title"/>
    <w:aliases w:val="Título"/>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aliases w:val="Títul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Descripcin">
    <w:name w:val="caption"/>
    <w:aliases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uiPriority w:val="99"/>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376A8A"/>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376A8A"/>
    <w:rPr>
      <w:sz w:val="16"/>
      <w:szCs w:val="16"/>
    </w:rPr>
  </w:style>
  <w:style w:type="paragraph" w:styleId="Textocomentario">
    <w:name w:val="annotation text"/>
    <w:basedOn w:val="Normal"/>
    <w:link w:val="TextocomentarioCar"/>
    <w:uiPriority w:val="99"/>
    <w:semiHidden/>
    <w:unhideWhenUsed/>
    <w:rsid w:val="00376A8A"/>
    <w:rPr>
      <w:sz w:val="20"/>
      <w:szCs w:val="20"/>
    </w:rPr>
  </w:style>
  <w:style w:type="character" w:customStyle="1" w:styleId="TextocomentarioCar">
    <w:name w:val="Texto comentario Car"/>
    <w:link w:val="Textocomentario"/>
    <w:uiPriority w:val="99"/>
    <w:semiHidden/>
    <w:rsid w:val="00376A8A"/>
    <w:rPr>
      <w:lang w:val="es-ES" w:eastAsia="es-ES"/>
    </w:rPr>
  </w:style>
  <w:style w:type="paragraph" w:styleId="Asuntodelcomentario">
    <w:name w:val="annotation subject"/>
    <w:basedOn w:val="Textocomentario"/>
    <w:next w:val="Textocomentario"/>
    <w:link w:val="AsuntodelcomentarioCar"/>
    <w:uiPriority w:val="99"/>
    <w:semiHidden/>
    <w:unhideWhenUsed/>
    <w:rsid w:val="00376A8A"/>
    <w:rPr>
      <w:b/>
      <w:bCs/>
    </w:rPr>
  </w:style>
  <w:style w:type="character" w:customStyle="1" w:styleId="AsuntodelcomentarioCar">
    <w:name w:val="Asunto del comentario Car"/>
    <w:link w:val="Asuntodelcomentario"/>
    <w:uiPriority w:val="99"/>
    <w:semiHidden/>
    <w:rsid w:val="00376A8A"/>
    <w:rPr>
      <w:b/>
      <w:bCs/>
      <w:lang w:val="es-ES" w:eastAsia="es-ES"/>
    </w:rPr>
  </w:style>
  <w:style w:type="paragraph" w:customStyle="1" w:styleId="Default">
    <w:name w:val="Default"/>
    <w:rsid w:val="00084B8C"/>
    <w:pPr>
      <w:autoSpaceDE w:val="0"/>
      <w:autoSpaceDN w:val="0"/>
      <w:adjustRightInd w:val="0"/>
    </w:pPr>
    <w:rPr>
      <w:rFonts w:ascii="Arial" w:hAnsi="Arial" w:cs="Arial"/>
      <w:color w:val="000000"/>
      <w:sz w:val="24"/>
      <w:szCs w:val="24"/>
    </w:rPr>
  </w:style>
  <w:style w:type="character" w:customStyle="1" w:styleId="Ttulo1Car">
    <w:name w:val="Título 1 Car"/>
    <w:link w:val="Ttulo1"/>
    <w:rsid w:val="00802330"/>
    <w:rPr>
      <w:rFonts w:ascii="CG Times" w:hAnsi="CG Times"/>
      <w:b/>
      <w:sz w:val="24"/>
      <w:lang w:eastAsia="es-ES"/>
    </w:rPr>
  </w:style>
  <w:style w:type="paragraph" w:customStyle="1" w:styleId="TableHeading">
    <w:name w:val="Table Heading"/>
    <w:basedOn w:val="Normal"/>
    <w:rsid w:val="00767CCD"/>
    <w:pPr>
      <w:suppressLineNumbers/>
      <w:suppressAutoHyphens/>
      <w:ind w:left="0"/>
      <w:jc w:val="center"/>
    </w:pPr>
    <w:rPr>
      <w:rFonts w:ascii="Arial" w:hAnsi="Arial"/>
      <w:b/>
      <w:bCs/>
      <w:sz w:val="22"/>
      <w:lang w:eastAsia="ar-SA"/>
    </w:rPr>
  </w:style>
  <w:style w:type="table" w:customStyle="1" w:styleId="Tablaconcuadrcula1">
    <w:name w:val="Tabla con cuadrícula1"/>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EC3BB2"/>
    <w:rPr>
      <w:color w:val="0000FF"/>
      <w:u w:val="single"/>
    </w:rPr>
  </w:style>
  <w:style w:type="table" w:customStyle="1" w:styleId="Tablaconcuadrcula3">
    <w:name w:val="Tabla con cuadrícula3"/>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Style30">
    <w:name w:val="Char Style 30"/>
    <w:link w:val="Style29"/>
    <w:uiPriority w:val="99"/>
    <w:rsid w:val="00EE6670"/>
    <w:rPr>
      <w:rFonts w:ascii="Courier New" w:hAnsi="Courier New" w:cs="Courier New"/>
      <w:sz w:val="17"/>
      <w:szCs w:val="17"/>
      <w:shd w:val="clear" w:color="auto" w:fill="FFFFFF"/>
    </w:rPr>
  </w:style>
  <w:style w:type="character" w:customStyle="1" w:styleId="CharStyle34">
    <w:name w:val="Char Style 34"/>
    <w:link w:val="Style33"/>
    <w:uiPriority w:val="99"/>
    <w:rsid w:val="00EE6670"/>
    <w:rPr>
      <w:rFonts w:ascii="Arial" w:hAnsi="Arial" w:cs="Arial"/>
      <w:sz w:val="22"/>
      <w:szCs w:val="22"/>
      <w:shd w:val="clear" w:color="auto" w:fill="FFFFFF"/>
    </w:rPr>
  </w:style>
  <w:style w:type="character" w:customStyle="1" w:styleId="CharStyle35">
    <w:name w:val="Char Style 35"/>
    <w:link w:val="Style34"/>
    <w:uiPriority w:val="99"/>
    <w:rsid w:val="00EE6670"/>
    <w:rPr>
      <w:rFonts w:ascii="Courier New" w:hAnsi="Courier New" w:cs="Courier New"/>
      <w:sz w:val="17"/>
      <w:szCs w:val="17"/>
      <w:shd w:val="clear" w:color="auto" w:fill="FFFFFF"/>
    </w:rPr>
  </w:style>
  <w:style w:type="character" w:customStyle="1" w:styleId="CharStyle36">
    <w:name w:val="Char Style 36"/>
    <w:uiPriority w:val="99"/>
    <w:rsid w:val="00EE6670"/>
    <w:rPr>
      <w:rFonts w:ascii="Courier New" w:hAnsi="Courier New" w:cs="Courier New"/>
      <w:sz w:val="17"/>
      <w:szCs w:val="17"/>
      <w:shd w:val="clear" w:color="auto" w:fill="FFFFFF"/>
    </w:rPr>
  </w:style>
  <w:style w:type="character" w:customStyle="1" w:styleId="CharStyle37">
    <w:name w:val="Char Style 37"/>
    <w:uiPriority w:val="99"/>
    <w:rsid w:val="00EE6670"/>
    <w:rPr>
      <w:rFonts w:ascii="Arial" w:hAnsi="Arial" w:cs="Arial"/>
      <w:b/>
      <w:bCs/>
      <w:sz w:val="18"/>
      <w:szCs w:val="18"/>
      <w:shd w:val="clear" w:color="auto" w:fill="FFFFFF"/>
    </w:rPr>
  </w:style>
  <w:style w:type="character" w:customStyle="1" w:styleId="CharStyle38">
    <w:name w:val="Char Style 38"/>
    <w:uiPriority w:val="99"/>
    <w:rsid w:val="00EE6670"/>
    <w:rPr>
      <w:rFonts w:ascii="Arial" w:hAnsi="Arial" w:cs="Arial"/>
      <w:sz w:val="19"/>
      <w:szCs w:val="19"/>
      <w:shd w:val="clear" w:color="auto" w:fill="FFFFFF"/>
    </w:rPr>
  </w:style>
  <w:style w:type="paragraph" w:customStyle="1" w:styleId="Style29">
    <w:name w:val="Style 29"/>
    <w:basedOn w:val="Normal"/>
    <w:link w:val="CharStyle30"/>
    <w:uiPriority w:val="99"/>
    <w:rsid w:val="00EE6670"/>
    <w:pPr>
      <w:widowControl w:val="0"/>
      <w:shd w:val="clear" w:color="auto" w:fill="FFFFFF"/>
      <w:spacing w:after="780" w:line="240" w:lineRule="atLeast"/>
      <w:ind w:left="0" w:hanging="100"/>
      <w:jc w:val="both"/>
    </w:pPr>
    <w:rPr>
      <w:rFonts w:ascii="Courier New" w:hAnsi="Courier New" w:cs="Courier New"/>
      <w:sz w:val="17"/>
      <w:szCs w:val="17"/>
      <w:lang w:val="es-CO" w:eastAsia="es-CO"/>
    </w:rPr>
  </w:style>
  <w:style w:type="paragraph" w:customStyle="1" w:styleId="Style33">
    <w:name w:val="Style 33"/>
    <w:basedOn w:val="Normal"/>
    <w:link w:val="CharStyle34"/>
    <w:uiPriority w:val="99"/>
    <w:rsid w:val="00EE6670"/>
    <w:pPr>
      <w:widowControl w:val="0"/>
      <w:shd w:val="clear" w:color="auto" w:fill="FFFFFF"/>
      <w:spacing w:before="180" w:after="360" w:line="326" w:lineRule="exact"/>
      <w:ind w:left="0" w:hanging="360"/>
      <w:jc w:val="both"/>
      <w:outlineLvl w:val="6"/>
    </w:pPr>
    <w:rPr>
      <w:rFonts w:ascii="Arial" w:hAnsi="Arial" w:cs="Arial"/>
      <w:sz w:val="22"/>
      <w:szCs w:val="22"/>
      <w:lang w:val="es-CO" w:eastAsia="es-CO"/>
    </w:rPr>
  </w:style>
  <w:style w:type="character" w:customStyle="1" w:styleId="CharStyle10">
    <w:name w:val="Char Style 10"/>
    <w:link w:val="Style9"/>
    <w:uiPriority w:val="99"/>
    <w:rsid w:val="008403F6"/>
    <w:rPr>
      <w:shd w:val="clear" w:color="auto" w:fill="FFFFFF"/>
    </w:rPr>
  </w:style>
  <w:style w:type="character" w:customStyle="1" w:styleId="CharStyle23">
    <w:name w:val="Char Style 23"/>
    <w:uiPriority w:val="99"/>
    <w:rsid w:val="008403F6"/>
    <w:rPr>
      <w:b/>
      <w:bCs/>
      <w:sz w:val="20"/>
      <w:szCs w:val="20"/>
      <w:shd w:val="clear" w:color="auto" w:fill="FFFFFF"/>
    </w:rPr>
  </w:style>
  <w:style w:type="character" w:customStyle="1" w:styleId="CharStyle24">
    <w:name w:val="Char Style 24"/>
    <w:uiPriority w:val="99"/>
    <w:rsid w:val="008403F6"/>
  </w:style>
  <w:style w:type="paragraph" w:customStyle="1" w:styleId="Style9">
    <w:name w:val="Style 9"/>
    <w:basedOn w:val="Normal"/>
    <w:link w:val="CharStyle10"/>
    <w:uiPriority w:val="99"/>
    <w:rsid w:val="008403F6"/>
    <w:pPr>
      <w:widowControl w:val="0"/>
      <w:shd w:val="clear" w:color="auto" w:fill="FFFFFF"/>
      <w:spacing w:line="240" w:lineRule="atLeast"/>
      <w:ind w:left="0" w:hanging="360"/>
      <w:jc w:val="both"/>
    </w:pPr>
    <w:rPr>
      <w:sz w:val="20"/>
      <w:szCs w:val="20"/>
      <w:lang w:val="es-CO" w:eastAsia="es-CO"/>
    </w:rPr>
  </w:style>
  <w:style w:type="character" w:customStyle="1" w:styleId="CharStyle29">
    <w:name w:val="Char Style 29"/>
    <w:link w:val="Style28"/>
    <w:uiPriority w:val="99"/>
    <w:rsid w:val="005B47F5"/>
    <w:rPr>
      <w:spacing w:val="-10"/>
      <w:sz w:val="22"/>
      <w:szCs w:val="22"/>
      <w:shd w:val="clear" w:color="auto" w:fill="FFFFFF"/>
    </w:rPr>
  </w:style>
  <w:style w:type="character" w:customStyle="1" w:styleId="CharStyle31">
    <w:name w:val="Char Style 31"/>
    <w:uiPriority w:val="99"/>
    <w:rsid w:val="005B47F5"/>
    <w:rPr>
      <w:spacing w:val="0"/>
      <w:sz w:val="17"/>
      <w:szCs w:val="17"/>
      <w:shd w:val="clear" w:color="auto" w:fill="FFFFFF"/>
    </w:rPr>
  </w:style>
  <w:style w:type="paragraph" w:customStyle="1" w:styleId="Style28">
    <w:name w:val="Style 28"/>
    <w:basedOn w:val="Normal"/>
    <w:link w:val="CharStyle29"/>
    <w:uiPriority w:val="99"/>
    <w:rsid w:val="005B47F5"/>
    <w:pPr>
      <w:widowControl w:val="0"/>
      <w:shd w:val="clear" w:color="auto" w:fill="FFFFFF"/>
      <w:spacing w:after="60" w:line="240" w:lineRule="atLeast"/>
      <w:ind w:left="0" w:hanging="1060"/>
    </w:pPr>
    <w:rPr>
      <w:spacing w:val="-10"/>
      <w:sz w:val="22"/>
      <w:szCs w:val="22"/>
      <w:lang w:val="es-CO" w:eastAsia="es-CO"/>
    </w:rPr>
  </w:style>
  <w:style w:type="character" w:customStyle="1" w:styleId="CharStyle18">
    <w:name w:val="Char Style 18"/>
    <w:link w:val="Style17"/>
    <w:uiPriority w:val="99"/>
    <w:rsid w:val="007D1246"/>
    <w:rPr>
      <w:rFonts w:ascii="Arial" w:hAnsi="Arial" w:cs="Arial"/>
      <w:sz w:val="19"/>
      <w:szCs w:val="19"/>
      <w:shd w:val="clear" w:color="auto" w:fill="FFFFFF"/>
    </w:rPr>
  </w:style>
  <w:style w:type="character" w:customStyle="1" w:styleId="CharStyle47">
    <w:name w:val="Char Style 47"/>
    <w:uiPriority w:val="99"/>
    <w:rsid w:val="007D1246"/>
    <w:rPr>
      <w:rFonts w:ascii="Arial" w:hAnsi="Arial" w:cs="Arial"/>
      <w:b/>
      <w:bCs/>
      <w:sz w:val="19"/>
      <w:szCs w:val="19"/>
      <w:u w:val="single"/>
      <w:shd w:val="clear" w:color="auto" w:fill="FFFFFF"/>
    </w:rPr>
  </w:style>
  <w:style w:type="character" w:customStyle="1" w:styleId="CharStyle55">
    <w:name w:val="Char Style 55"/>
    <w:uiPriority w:val="99"/>
    <w:rsid w:val="007D1246"/>
    <w:rPr>
      <w:rFonts w:ascii="Arial" w:hAnsi="Arial" w:cs="Arial"/>
      <w:b/>
      <w:bCs/>
      <w:i/>
      <w:iCs/>
      <w:spacing w:val="20"/>
      <w:sz w:val="19"/>
      <w:szCs w:val="19"/>
      <w:shd w:val="clear" w:color="auto" w:fill="FFFFFF"/>
    </w:rPr>
  </w:style>
  <w:style w:type="character" w:customStyle="1" w:styleId="CharStyle56">
    <w:name w:val="Char Style 56"/>
    <w:uiPriority w:val="99"/>
    <w:rsid w:val="007D1246"/>
    <w:rPr>
      <w:rFonts w:ascii="Courier New" w:hAnsi="Courier New" w:cs="Courier New"/>
      <w:i/>
      <w:iCs/>
      <w:smallCaps/>
      <w:sz w:val="15"/>
      <w:szCs w:val="15"/>
      <w:shd w:val="clear" w:color="auto" w:fill="FFFFFF"/>
    </w:rPr>
  </w:style>
  <w:style w:type="character" w:customStyle="1" w:styleId="CharStyle57">
    <w:name w:val="Char Style 57"/>
    <w:uiPriority w:val="99"/>
    <w:rsid w:val="007D1246"/>
    <w:rPr>
      <w:rFonts w:ascii="Arial" w:hAnsi="Arial" w:cs="Arial"/>
      <w:spacing w:val="10"/>
      <w:sz w:val="11"/>
      <w:szCs w:val="11"/>
      <w:shd w:val="clear" w:color="auto" w:fill="FFFFFF"/>
    </w:rPr>
  </w:style>
  <w:style w:type="character" w:customStyle="1" w:styleId="CharStyle59">
    <w:name w:val="Char Style 59"/>
    <w:link w:val="Style58"/>
    <w:uiPriority w:val="99"/>
    <w:rsid w:val="007D1246"/>
    <w:rPr>
      <w:rFonts w:ascii="Arial" w:hAnsi="Arial" w:cs="Arial"/>
      <w:b/>
      <w:bCs/>
      <w:i/>
      <w:iCs/>
      <w:sz w:val="19"/>
      <w:szCs w:val="19"/>
      <w:shd w:val="clear" w:color="auto" w:fill="FFFFFF"/>
    </w:rPr>
  </w:style>
  <w:style w:type="character" w:customStyle="1" w:styleId="CharStyle60">
    <w:name w:val="Char Style 60"/>
    <w:uiPriority w:val="99"/>
    <w:rsid w:val="007D1246"/>
    <w:rPr>
      <w:rFonts w:ascii="Arial" w:hAnsi="Arial" w:cs="Arial"/>
      <w:b w:val="0"/>
      <w:bCs w:val="0"/>
      <w:i w:val="0"/>
      <w:iCs w:val="0"/>
      <w:sz w:val="19"/>
      <w:szCs w:val="19"/>
      <w:shd w:val="clear" w:color="auto" w:fill="FFFFFF"/>
    </w:rPr>
  </w:style>
  <w:style w:type="paragraph" w:customStyle="1" w:styleId="Style17">
    <w:name w:val="Style 17"/>
    <w:basedOn w:val="Normal"/>
    <w:link w:val="CharStyle18"/>
    <w:uiPriority w:val="99"/>
    <w:rsid w:val="007D1246"/>
    <w:pPr>
      <w:widowControl w:val="0"/>
      <w:shd w:val="clear" w:color="auto" w:fill="FFFFFF"/>
      <w:spacing w:before="1080" w:after="660" w:line="240" w:lineRule="atLeast"/>
      <w:ind w:left="0" w:hanging="340"/>
      <w:jc w:val="both"/>
    </w:pPr>
    <w:rPr>
      <w:rFonts w:ascii="Arial" w:hAnsi="Arial" w:cs="Arial"/>
      <w:sz w:val="19"/>
      <w:szCs w:val="19"/>
      <w:lang w:val="es-CO" w:eastAsia="es-CO"/>
    </w:rPr>
  </w:style>
  <w:style w:type="paragraph" w:customStyle="1" w:styleId="Style58">
    <w:name w:val="Style 58"/>
    <w:basedOn w:val="Normal"/>
    <w:link w:val="CharStyle59"/>
    <w:uiPriority w:val="99"/>
    <w:rsid w:val="007D1246"/>
    <w:pPr>
      <w:widowControl w:val="0"/>
      <w:shd w:val="clear" w:color="auto" w:fill="FFFFFF"/>
      <w:spacing w:before="360" w:after="240" w:line="240" w:lineRule="atLeast"/>
      <w:ind w:left="0"/>
      <w:jc w:val="both"/>
    </w:pPr>
    <w:rPr>
      <w:rFonts w:ascii="Arial" w:hAnsi="Arial" w:cs="Arial"/>
      <w:b/>
      <w:bCs/>
      <w:i/>
      <w:iCs/>
      <w:sz w:val="19"/>
      <w:szCs w:val="19"/>
      <w:lang w:val="es-CO" w:eastAsia="es-CO"/>
    </w:rPr>
  </w:style>
  <w:style w:type="paragraph" w:customStyle="1" w:styleId="Style34">
    <w:name w:val="Style 34"/>
    <w:basedOn w:val="Normal"/>
    <w:link w:val="CharStyle35"/>
    <w:uiPriority w:val="99"/>
    <w:rsid w:val="0025091B"/>
    <w:pPr>
      <w:widowControl w:val="0"/>
      <w:shd w:val="clear" w:color="auto" w:fill="FFFFFF"/>
      <w:spacing w:line="240" w:lineRule="atLeast"/>
      <w:ind w:left="0"/>
    </w:pPr>
    <w:rPr>
      <w:rFonts w:ascii="Courier New" w:hAnsi="Courier New" w:cs="Courier New"/>
      <w:sz w:val="17"/>
      <w:szCs w:val="17"/>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87623879">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56580303">
      <w:bodyDiv w:val="1"/>
      <w:marLeft w:val="0"/>
      <w:marRight w:val="0"/>
      <w:marTop w:val="0"/>
      <w:marBottom w:val="0"/>
      <w:divBdr>
        <w:top w:val="none" w:sz="0" w:space="0" w:color="auto"/>
        <w:left w:val="none" w:sz="0" w:space="0" w:color="auto"/>
        <w:bottom w:val="none" w:sz="0" w:space="0" w:color="auto"/>
        <w:right w:val="none" w:sz="0" w:space="0" w:color="auto"/>
      </w:divBdr>
    </w:div>
    <w:div w:id="21909990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51150456">
      <w:bodyDiv w:val="1"/>
      <w:marLeft w:val="0"/>
      <w:marRight w:val="0"/>
      <w:marTop w:val="0"/>
      <w:marBottom w:val="0"/>
      <w:divBdr>
        <w:top w:val="none" w:sz="0" w:space="0" w:color="auto"/>
        <w:left w:val="none" w:sz="0" w:space="0" w:color="auto"/>
        <w:bottom w:val="none" w:sz="0" w:space="0" w:color="auto"/>
        <w:right w:val="none" w:sz="0" w:space="0" w:color="auto"/>
      </w:divBdr>
    </w:div>
    <w:div w:id="381755817">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2646656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86479105">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4558234">
      <w:bodyDiv w:val="1"/>
      <w:marLeft w:val="0"/>
      <w:marRight w:val="0"/>
      <w:marTop w:val="0"/>
      <w:marBottom w:val="0"/>
      <w:divBdr>
        <w:top w:val="none" w:sz="0" w:space="0" w:color="auto"/>
        <w:left w:val="none" w:sz="0" w:space="0" w:color="auto"/>
        <w:bottom w:val="none" w:sz="0" w:space="0" w:color="auto"/>
        <w:right w:val="none" w:sz="0" w:space="0" w:color="auto"/>
      </w:divBdr>
    </w:div>
    <w:div w:id="531499852">
      <w:bodyDiv w:val="1"/>
      <w:marLeft w:val="0"/>
      <w:marRight w:val="0"/>
      <w:marTop w:val="0"/>
      <w:marBottom w:val="0"/>
      <w:divBdr>
        <w:top w:val="none" w:sz="0" w:space="0" w:color="auto"/>
        <w:left w:val="none" w:sz="0" w:space="0" w:color="auto"/>
        <w:bottom w:val="none" w:sz="0" w:space="0" w:color="auto"/>
        <w:right w:val="none" w:sz="0" w:space="0" w:color="auto"/>
      </w:divBdr>
    </w:div>
    <w:div w:id="57247608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701058042">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841433525">
      <w:bodyDiv w:val="1"/>
      <w:marLeft w:val="0"/>
      <w:marRight w:val="0"/>
      <w:marTop w:val="0"/>
      <w:marBottom w:val="0"/>
      <w:divBdr>
        <w:top w:val="none" w:sz="0" w:space="0" w:color="auto"/>
        <w:left w:val="none" w:sz="0" w:space="0" w:color="auto"/>
        <w:bottom w:val="none" w:sz="0" w:space="0" w:color="auto"/>
        <w:right w:val="none" w:sz="0" w:space="0" w:color="auto"/>
      </w:divBdr>
    </w:div>
    <w:div w:id="871311288">
      <w:bodyDiv w:val="1"/>
      <w:marLeft w:val="0"/>
      <w:marRight w:val="0"/>
      <w:marTop w:val="0"/>
      <w:marBottom w:val="0"/>
      <w:divBdr>
        <w:top w:val="none" w:sz="0" w:space="0" w:color="auto"/>
        <w:left w:val="none" w:sz="0" w:space="0" w:color="auto"/>
        <w:bottom w:val="none" w:sz="0" w:space="0" w:color="auto"/>
        <w:right w:val="none" w:sz="0" w:space="0" w:color="auto"/>
      </w:divBdr>
    </w:div>
    <w:div w:id="900748749">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108503290">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21593967">
      <w:bodyDiv w:val="1"/>
      <w:marLeft w:val="0"/>
      <w:marRight w:val="0"/>
      <w:marTop w:val="0"/>
      <w:marBottom w:val="0"/>
      <w:divBdr>
        <w:top w:val="none" w:sz="0" w:space="0" w:color="auto"/>
        <w:left w:val="none" w:sz="0" w:space="0" w:color="auto"/>
        <w:bottom w:val="none" w:sz="0" w:space="0" w:color="auto"/>
        <w:right w:val="none" w:sz="0" w:space="0" w:color="auto"/>
      </w:divBdr>
    </w:div>
    <w:div w:id="1278559864">
      <w:bodyDiv w:val="1"/>
      <w:marLeft w:val="0"/>
      <w:marRight w:val="0"/>
      <w:marTop w:val="0"/>
      <w:marBottom w:val="0"/>
      <w:divBdr>
        <w:top w:val="none" w:sz="0" w:space="0" w:color="auto"/>
        <w:left w:val="none" w:sz="0" w:space="0" w:color="auto"/>
        <w:bottom w:val="none" w:sz="0" w:space="0" w:color="auto"/>
        <w:right w:val="none" w:sz="0" w:space="0" w:color="auto"/>
      </w:divBdr>
    </w:div>
    <w:div w:id="1341393108">
      <w:bodyDiv w:val="1"/>
      <w:marLeft w:val="0"/>
      <w:marRight w:val="0"/>
      <w:marTop w:val="0"/>
      <w:marBottom w:val="0"/>
      <w:divBdr>
        <w:top w:val="none" w:sz="0" w:space="0" w:color="auto"/>
        <w:left w:val="none" w:sz="0" w:space="0" w:color="auto"/>
        <w:bottom w:val="none" w:sz="0" w:space="0" w:color="auto"/>
        <w:right w:val="none" w:sz="0" w:space="0" w:color="auto"/>
      </w:divBdr>
    </w:div>
    <w:div w:id="1373337778">
      <w:bodyDiv w:val="1"/>
      <w:marLeft w:val="0"/>
      <w:marRight w:val="0"/>
      <w:marTop w:val="0"/>
      <w:marBottom w:val="0"/>
      <w:divBdr>
        <w:top w:val="none" w:sz="0" w:space="0" w:color="auto"/>
        <w:left w:val="none" w:sz="0" w:space="0" w:color="auto"/>
        <w:bottom w:val="none" w:sz="0" w:space="0" w:color="auto"/>
        <w:right w:val="none" w:sz="0" w:space="0" w:color="auto"/>
      </w:divBdr>
    </w:div>
    <w:div w:id="1468737075">
      <w:bodyDiv w:val="1"/>
      <w:marLeft w:val="0"/>
      <w:marRight w:val="0"/>
      <w:marTop w:val="0"/>
      <w:marBottom w:val="0"/>
      <w:divBdr>
        <w:top w:val="none" w:sz="0" w:space="0" w:color="auto"/>
        <w:left w:val="none" w:sz="0" w:space="0" w:color="auto"/>
        <w:bottom w:val="none" w:sz="0" w:space="0" w:color="auto"/>
        <w:right w:val="none" w:sz="0" w:space="0" w:color="auto"/>
      </w:divBdr>
    </w:div>
    <w:div w:id="1492477574">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621112447">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97732642">
      <w:bodyDiv w:val="1"/>
      <w:marLeft w:val="0"/>
      <w:marRight w:val="0"/>
      <w:marTop w:val="0"/>
      <w:marBottom w:val="0"/>
      <w:divBdr>
        <w:top w:val="none" w:sz="0" w:space="0" w:color="auto"/>
        <w:left w:val="none" w:sz="0" w:space="0" w:color="auto"/>
        <w:bottom w:val="none" w:sz="0" w:space="0" w:color="auto"/>
        <w:right w:val="none" w:sz="0" w:space="0" w:color="auto"/>
      </w:divBdr>
    </w:div>
    <w:div w:id="1837259119">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2649871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445109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442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68136-6415-45E5-87FE-197D59602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14</Pages>
  <Words>5162</Words>
  <Characters>27457</Characters>
  <Application>Microsoft Office Word</Application>
  <DocSecurity>0</DocSecurity>
  <Lines>228</Lines>
  <Paragraphs>65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32554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2015-01-14T20:44:00Z</cp:lastPrinted>
  <dcterms:created xsi:type="dcterms:W3CDTF">2016-12-07T17:23:00Z</dcterms:created>
  <dcterms:modified xsi:type="dcterms:W3CDTF">2016-12-07T17:23:00Z</dcterms:modified>
</cp:coreProperties>
</file>