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1BF" w14:textId="77777777" w:rsidR="00625DC6" w:rsidRPr="00B33523" w:rsidRDefault="00FA2AFF" w:rsidP="00012259">
      <w:pPr>
        <w:pStyle w:val="Encabezado"/>
        <w:tabs>
          <w:tab w:val="clear" w:pos="8504"/>
          <w:tab w:val="left" w:pos="0"/>
          <w:tab w:val="right" w:pos="9356"/>
        </w:tabs>
        <w:ind w:left="0"/>
        <w:jc w:val="both"/>
        <w:rPr>
          <w:rFonts w:ascii="Bookman Old Style" w:hAnsi="Bookman Old Style" w:cs="Arial"/>
          <w:szCs w:val="24"/>
        </w:rPr>
      </w:pPr>
      <w:r>
        <w:rPr>
          <w:rFonts w:ascii="Bookman Old Style" w:hAnsi="Bookman Old Style" w:cs="Arial"/>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9.2pt;margin-top:-51.05pt;width:46.05pt;height:47.35pt;z-index:251657728" fillcolor="#0c9">
            <v:imagedata r:id="rId8" o:title=""/>
          </v:shape>
          <o:OLEObject Type="Embed" ProgID="PBrush" ShapeID="_x0000_s2050" DrawAspect="Content" ObjectID="_1745067720" r:id="rId9"/>
        </w:object>
      </w:r>
    </w:p>
    <w:p w14:paraId="5CD8FDD3" w14:textId="77777777" w:rsidR="00CA77FB" w:rsidRPr="00B33523" w:rsidRDefault="00CA77FB" w:rsidP="006238C6">
      <w:pPr>
        <w:pStyle w:val="Ttulo4"/>
        <w:tabs>
          <w:tab w:val="left" w:pos="0"/>
          <w:tab w:val="right" w:pos="9356"/>
        </w:tabs>
        <w:ind w:left="0"/>
        <w:rPr>
          <w:rFonts w:ascii="Bookman Old Style" w:hAnsi="Bookman Old Style"/>
          <w:b w:val="0"/>
          <w:bCs/>
          <w:noProof/>
          <w:sz w:val="24"/>
          <w:szCs w:val="24"/>
          <w:lang w:val="es-ES"/>
        </w:rPr>
      </w:pPr>
      <w:r w:rsidRPr="00B33523">
        <w:rPr>
          <w:rFonts w:ascii="Bookman Old Style" w:hAnsi="Bookman Old Style"/>
          <w:b w:val="0"/>
          <w:bCs/>
          <w:sz w:val="24"/>
          <w:szCs w:val="24"/>
        </w:rPr>
        <w:t>Ministerio de Minas y Energía</w:t>
      </w:r>
    </w:p>
    <w:p w14:paraId="0B8E60E5" w14:textId="77777777" w:rsidR="00CA77FB" w:rsidRPr="00B33523" w:rsidRDefault="00CA77FB" w:rsidP="006238C6">
      <w:pPr>
        <w:pStyle w:val="Ttulo4"/>
        <w:tabs>
          <w:tab w:val="left" w:pos="0"/>
          <w:tab w:val="right" w:pos="9356"/>
        </w:tabs>
        <w:ind w:left="0"/>
        <w:rPr>
          <w:rFonts w:ascii="Bookman Old Style" w:hAnsi="Bookman Old Style"/>
          <w:b w:val="0"/>
          <w:bCs/>
          <w:sz w:val="24"/>
          <w:szCs w:val="24"/>
        </w:rPr>
      </w:pPr>
    </w:p>
    <w:p w14:paraId="7027F17A" w14:textId="77777777" w:rsidR="00CA77FB" w:rsidRPr="00B33523" w:rsidRDefault="00CA77FB" w:rsidP="006238C6">
      <w:pPr>
        <w:pStyle w:val="Ttulo3"/>
        <w:tabs>
          <w:tab w:val="left" w:pos="0"/>
          <w:tab w:val="right" w:pos="9356"/>
        </w:tabs>
        <w:ind w:left="0"/>
        <w:rPr>
          <w:rFonts w:ascii="Bookman Old Style" w:hAnsi="Bookman Old Style" w:cs="Arial"/>
          <w:spacing w:val="20"/>
          <w:szCs w:val="24"/>
        </w:rPr>
      </w:pPr>
      <w:r w:rsidRPr="00B33523">
        <w:rPr>
          <w:rFonts w:ascii="Bookman Old Style" w:hAnsi="Bookman Old Style" w:cs="Arial"/>
          <w:spacing w:val="20"/>
          <w:szCs w:val="24"/>
        </w:rPr>
        <w:t>COMISIÓN DE REGULACIÓN DE ENERGÍA Y GAS</w:t>
      </w:r>
    </w:p>
    <w:p w14:paraId="4767CFAE" w14:textId="77777777" w:rsidR="00CA77FB" w:rsidRPr="00B33523" w:rsidRDefault="00CA77FB" w:rsidP="006238C6">
      <w:pPr>
        <w:pStyle w:val="Ttulo5"/>
        <w:tabs>
          <w:tab w:val="left" w:pos="0"/>
          <w:tab w:val="right" w:pos="9356"/>
        </w:tabs>
        <w:ind w:left="0"/>
        <w:rPr>
          <w:rFonts w:ascii="Bookman Old Style" w:hAnsi="Bookman Old Style"/>
          <w:sz w:val="24"/>
          <w:szCs w:val="24"/>
        </w:rPr>
      </w:pPr>
    </w:p>
    <w:p w14:paraId="74971183" w14:textId="77777777" w:rsidR="00CA77FB" w:rsidRPr="00B33523" w:rsidRDefault="00CA77FB" w:rsidP="006238C6">
      <w:pPr>
        <w:pStyle w:val="Ttulo5"/>
        <w:tabs>
          <w:tab w:val="left" w:pos="0"/>
          <w:tab w:val="right" w:pos="9356"/>
        </w:tabs>
        <w:ind w:left="0"/>
        <w:rPr>
          <w:rFonts w:ascii="Bookman Old Style" w:hAnsi="Bookman Old Style"/>
          <w:sz w:val="24"/>
          <w:szCs w:val="24"/>
        </w:rPr>
      </w:pPr>
    </w:p>
    <w:p w14:paraId="6287BD7B" w14:textId="3B711404" w:rsidR="00CA77FB" w:rsidRPr="00B33523" w:rsidRDefault="00CA77FB" w:rsidP="006238C6">
      <w:pPr>
        <w:pStyle w:val="Ttulo5"/>
        <w:tabs>
          <w:tab w:val="left" w:pos="0"/>
          <w:tab w:val="right" w:pos="9356"/>
        </w:tabs>
        <w:ind w:left="0"/>
        <w:rPr>
          <w:rFonts w:ascii="Bookman Old Style" w:hAnsi="Bookman Old Style"/>
          <w:sz w:val="24"/>
          <w:szCs w:val="24"/>
        </w:rPr>
      </w:pPr>
      <w:r w:rsidRPr="00B33523">
        <w:rPr>
          <w:rFonts w:ascii="Bookman Old Style" w:hAnsi="Bookman Old Style"/>
          <w:sz w:val="24"/>
          <w:szCs w:val="24"/>
        </w:rPr>
        <w:t xml:space="preserve">RESOLUCIÓN No. </w:t>
      </w:r>
      <w:r w:rsidR="00B33523" w:rsidRPr="0085430A">
        <w:rPr>
          <w:rFonts w:ascii="Bookman Old Style" w:hAnsi="Bookman Old Style"/>
          <w:sz w:val="32"/>
          <w:szCs w:val="32"/>
        </w:rPr>
        <w:t xml:space="preserve">501 </w:t>
      </w:r>
      <w:r w:rsidR="0085430A" w:rsidRPr="0085430A">
        <w:rPr>
          <w:rFonts w:ascii="Bookman Old Style" w:hAnsi="Bookman Old Style"/>
          <w:sz w:val="32"/>
          <w:szCs w:val="32"/>
        </w:rPr>
        <w:t>00</w:t>
      </w:r>
      <w:r w:rsidR="003751E8">
        <w:rPr>
          <w:rFonts w:ascii="Bookman Old Style" w:hAnsi="Bookman Old Style"/>
          <w:sz w:val="32"/>
          <w:szCs w:val="32"/>
        </w:rPr>
        <w:t>6</w:t>
      </w:r>
      <w:r w:rsidR="00795BFB" w:rsidRPr="00B33523">
        <w:rPr>
          <w:rFonts w:ascii="Bookman Old Style" w:hAnsi="Bookman Old Style"/>
          <w:sz w:val="24"/>
          <w:szCs w:val="24"/>
        </w:rPr>
        <w:t xml:space="preserve"> </w:t>
      </w:r>
    </w:p>
    <w:p w14:paraId="0C7D114C" w14:textId="77777777" w:rsidR="00CA77FB" w:rsidRPr="00B33523" w:rsidRDefault="00CA77FB" w:rsidP="006238C6">
      <w:pPr>
        <w:tabs>
          <w:tab w:val="left" w:pos="0"/>
          <w:tab w:val="right" w:pos="9356"/>
        </w:tabs>
        <w:ind w:left="0"/>
        <w:jc w:val="center"/>
        <w:rPr>
          <w:rFonts w:ascii="Bookman Old Style" w:hAnsi="Bookman Old Style" w:cs="Arial"/>
          <w:b/>
          <w:snapToGrid w:val="0"/>
          <w:color w:val="000000"/>
          <w:lang w:val="es-ES_tradnl"/>
        </w:rPr>
      </w:pPr>
    </w:p>
    <w:p w14:paraId="350D3C85" w14:textId="3FC80025" w:rsidR="00CA77FB" w:rsidRPr="0085430A" w:rsidRDefault="00CA77FB" w:rsidP="006238C6">
      <w:pPr>
        <w:pStyle w:val="Ttulo3"/>
        <w:tabs>
          <w:tab w:val="left" w:pos="0"/>
          <w:tab w:val="right" w:pos="9356"/>
        </w:tabs>
        <w:ind w:left="0"/>
        <w:rPr>
          <w:rFonts w:ascii="Bookman Old Style" w:hAnsi="Bookman Old Style" w:cs="Arial"/>
          <w:b w:val="0"/>
          <w:szCs w:val="24"/>
          <w:lang w:val="es-CO"/>
        </w:rPr>
      </w:pPr>
      <w:r w:rsidRPr="00B33523">
        <w:rPr>
          <w:rFonts w:ascii="Bookman Old Style" w:hAnsi="Bookman Old Style" w:cs="Arial"/>
          <w:b w:val="0"/>
          <w:szCs w:val="24"/>
        </w:rPr>
        <w:t>(</w:t>
      </w:r>
      <w:r w:rsidR="00FD4DD3" w:rsidRPr="00FD4DD3">
        <w:rPr>
          <w:rFonts w:ascii="Bookman Old Style" w:hAnsi="Bookman Old Style" w:cs="Arial"/>
          <w:bCs/>
          <w:sz w:val="28"/>
          <w:szCs w:val="28"/>
        </w:rPr>
        <w:t>17 FEB</w:t>
      </w:r>
      <w:r w:rsidR="00B33523" w:rsidRPr="00FD4DD3">
        <w:rPr>
          <w:rFonts w:ascii="Bookman Old Style" w:hAnsi="Bookman Old Style" w:cs="Arial"/>
          <w:bCs/>
          <w:sz w:val="28"/>
          <w:szCs w:val="28"/>
        </w:rPr>
        <w:t>.202</w:t>
      </w:r>
      <w:r w:rsidR="00C51016" w:rsidRPr="00FD4DD3">
        <w:rPr>
          <w:rFonts w:ascii="Bookman Old Style" w:hAnsi="Bookman Old Style" w:cs="Arial"/>
          <w:bCs/>
          <w:sz w:val="28"/>
          <w:szCs w:val="28"/>
        </w:rPr>
        <w:t>3</w:t>
      </w:r>
      <w:r w:rsidRPr="00B33523">
        <w:rPr>
          <w:rFonts w:ascii="Bookman Old Style" w:hAnsi="Bookman Old Style" w:cs="Arial"/>
          <w:b w:val="0"/>
          <w:szCs w:val="24"/>
        </w:rPr>
        <w:t>)</w:t>
      </w:r>
    </w:p>
    <w:p w14:paraId="57D77EBA" w14:textId="77777777" w:rsidR="00CA77FB" w:rsidRPr="00B33523" w:rsidRDefault="00CA77FB" w:rsidP="006238C6">
      <w:pPr>
        <w:tabs>
          <w:tab w:val="left" w:pos="0"/>
          <w:tab w:val="right" w:pos="9356"/>
        </w:tabs>
        <w:ind w:left="0"/>
        <w:jc w:val="center"/>
        <w:rPr>
          <w:rFonts w:ascii="Bookman Old Style" w:hAnsi="Bookman Old Style" w:cs="Arial"/>
          <w:lang w:val="es-ES_tradnl"/>
        </w:rPr>
      </w:pPr>
    </w:p>
    <w:p w14:paraId="15A71B8E" w14:textId="77777777" w:rsidR="00B351B4" w:rsidRPr="00B33523" w:rsidRDefault="00B351B4" w:rsidP="006238C6">
      <w:pPr>
        <w:tabs>
          <w:tab w:val="left" w:pos="0"/>
          <w:tab w:val="right" w:pos="9356"/>
        </w:tabs>
        <w:ind w:left="0"/>
        <w:rPr>
          <w:rFonts w:ascii="Bookman Old Style" w:hAnsi="Bookman Old Style" w:cs="Arial"/>
          <w:bCs/>
          <w:lang w:val="es-CO"/>
        </w:rPr>
      </w:pPr>
    </w:p>
    <w:p w14:paraId="46D8C664" w14:textId="35583234" w:rsidR="00045D3D" w:rsidRPr="00B33523" w:rsidRDefault="00C51016" w:rsidP="00045D3D">
      <w:pPr>
        <w:ind w:left="0"/>
        <w:jc w:val="center"/>
        <w:rPr>
          <w:rFonts w:ascii="Bookman Old Style" w:hAnsi="Bookman Old Style" w:cs="Arial"/>
        </w:rPr>
      </w:pPr>
      <w:r w:rsidRPr="002C219E">
        <w:rPr>
          <w:rFonts w:ascii="Bookman Old Style" w:hAnsi="Bookman Old Style"/>
        </w:rPr>
        <w:t>Por la cual se actualiza la base de activos de Intercolombia S.A. E.S.P.</w:t>
      </w:r>
      <w:r w:rsidR="00045D3D" w:rsidRPr="00B33523">
        <w:rPr>
          <w:rFonts w:ascii="Bookman Old Style" w:hAnsi="Bookman Old Style" w:cs="Arial"/>
        </w:rPr>
        <w:t xml:space="preserve"> </w:t>
      </w:r>
    </w:p>
    <w:p w14:paraId="053FCB54" w14:textId="4595CEAA" w:rsidR="00045D3D" w:rsidRPr="00B33523" w:rsidRDefault="00045D3D" w:rsidP="006238C6">
      <w:pPr>
        <w:tabs>
          <w:tab w:val="left" w:pos="0"/>
          <w:tab w:val="right" w:pos="9356"/>
        </w:tabs>
        <w:ind w:left="0"/>
        <w:rPr>
          <w:rFonts w:ascii="Bookman Old Style" w:hAnsi="Bookman Old Style" w:cs="Arial"/>
          <w:bCs/>
          <w:lang w:val="es-CO"/>
        </w:rPr>
      </w:pPr>
    </w:p>
    <w:p w14:paraId="1F2626FA" w14:textId="77777777" w:rsidR="006238C6" w:rsidRPr="00B33523" w:rsidRDefault="006238C6" w:rsidP="006238C6">
      <w:pPr>
        <w:tabs>
          <w:tab w:val="left" w:pos="0"/>
          <w:tab w:val="right" w:pos="9356"/>
        </w:tabs>
        <w:ind w:left="0"/>
        <w:rPr>
          <w:rFonts w:ascii="Bookman Old Style" w:hAnsi="Bookman Old Style" w:cs="Arial"/>
          <w:bCs/>
          <w:lang w:val="es-CO"/>
        </w:rPr>
      </w:pPr>
    </w:p>
    <w:p w14:paraId="7B67FAFA" w14:textId="77777777" w:rsidR="00045D3D" w:rsidRPr="00B33523" w:rsidRDefault="00045D3D" w:rsidP="00496551">
      <w:pPr>
        <w:ind w:left="0" w:right="51"/>
        <w:jc w:val="center"/>
        <w:rPr>
          <w:rFonts w:ascii="Bookman Old Style" w:hAnsi="Bookman Old Style" w:cs="Arial"/>
          <w:b/>
        </w:rPr>
      </w:pPr>
      <w:r w:rsidRPr="00B33523">
        <w:rPr>
          <w:rFonts w:ascii="Bookman Old Style" w:hAnsi="Bookman Old Style" w:cs="Arial"/>
          <w:b/>
        </w:rPr>
        <w:t xml:space="preserve">LA COMISIÓN DE REGULACIÓN </w:t>
      </w:r>
      <w:r w:rsidR="007B5A60" w:rsidRPr="00B33523">
        <w:rPr>
          <w:rFonts w:ascii="Bookman Old Style" w:hAnsi="Bookman Old Style" w:cs="Arial"/>
          <w:b/>
        </w:rPr>
        <w:t>DE ENERGÍA</w:t>
      </w:r>
      <w:r w:rsidRPr="00B33523">
        <w:rPr>
          <w:rFonts w:ascii="Bookman Old Style" w:hAnsi="Bookman Old Style" w:cs="Arial"/>
          <w:b/>
        </w:rPr>
        <w:t xml:space="preserve"> Y GAS</w:t>
      </w:r>
    </w:p>
    <w:p w14:paraId="2739C8D4" w14:textId="77777777" w:rsidR="00045D3D" w:rsidRPr="00B33523" w:rsidRDefault="00045D3D" w:rsidP="00045D3D">
      <w:pPr>
        <w:ind w:left="0" w:right="51"/>
        <w:rPr>
          <w:rFonts w:ascii="Bookman Old Style" w:hAnsi="Bookman Old Style" w:cs="Arial"/>
        </w:rPr>
      </w:pPr>
    </w:p>
    <w:p w14:paraId="6EDA2283" w14:textId="7BAF359A" w:rsidR="00045D3D" w:rsidRPr="00B33523" w:rsidRDefault="00045D3D" w:rsidP="006238C6">
      <w:pPr>
        <w:pStyle w:val="Textoindependiente3"/>
        <w:spacing w:before="120"/>
        <w:ind w:left="284" w:right="142"/>
        <w:rPr>
          <w:rFonts w:ascii="Bookman Old Style" w:hAnsi="Bookman Old Style"/>
          <w:b w:val="0"/>
        </w:rPr>
      </w:pPr>
      <w:r w:rsidRPr="00B33523">
        <w:rPr>
          <w:rFonts w:ascii="Bookman Old Style" w:hAnsi="Bookman Old Style"/>
          <w:b w:val="0"/>
        </w:rPr>
        <w:t xml:space="preserve">En ejercicio de sus atribuciones constitucionales y legales, en </w:t>
      </w:r>
      <w:r w:rsidR="006238C6" w:rsidRPr="00B33523">
        <w:rPr>
          <w:rFonts w:ascii="Bookman Old Style" w:hAnsi="Bookman Old Style"/>
          <w:b w:val="0"/>
        </w:rPr>
        <w:br/>
      </w:r>
      <w:r w:rsidRPr="00B33523">
        <w:rPr>
          <w:rFonts w:ascii="Bookman Old Style" w:hAnsi="Bookman Old Style"/>
          <w:b w:val="0"/>
        </w:rPr>
        <w:t xml:space="preserve">especial las conferidas por las </w:t>
      </w:r>
      <w:r w:rsidR="002352B9" w:rsidRPr="00B33523">
        <w:rPr>
          <w:rFonts w:ascii="Bookman Old Style" w:hAnsi="Bookman Old Style"/>
          <w:b w:val="0"/>
        </w:rPr>
        <w:t>l</w:t>
      </w:r>
      <w:r w:rsidRPr="00B33523">
        <w:rPr>
          <w:rFonts w:ascii="Bookman Old Style" w:hAnsi="Bookman Old Style"/>
          <w:b w:val="0"/>
        </w:rPr>
        <w:t xml:space="preserve">eyes 142 y 143 de 1994, y en </w:t>
      </w:r>
      <w:r w:rsidR="006238C6" w:rsidRPr="00B33523">
        <w:rPr>
          <w:rFonts w:ascii="Bookman Old Style" w:hAnsi="Bookman Old Style"/>
          <w:b w:val="0"/>
        </w:rPr>
        <w:br/>
      </w:r>
      <w:r w:rsidRPr="00B33523">
        <w:rPr>
          <w:rFonts w:ascii="Bookman Old Style" w:hAnsi="Bookman Old Style"/>
          <w:b w:val="0"/>
        </w:rPr>
        <w:t xml:space="preserve">desarrollo de los </w:t>
      </w:r>
      <w:r w:rsidR="002352B9" w:rsidRPr="00B33523">
        <w:rPr>
          <w:rFonts w:ascii="Bookman Old Style" w:hAnsi="Bookman Old Style"/>
          <w:b w:val="0"/>
        </w:rPr>
        <w:t>d</w:t>
      </w:r>
      <w:r w:rsidRPr="00B33523">
        <w:rPr>
          <w:rFonts w:ascii="Bookman Old Style" w:hAnsi="Bookman Old Style"/>
          <w:b w:val="0"/>
        </w:rPr>
        <w:t>ecretos 1524 y 2253 de 1994</w:t>
      </w:r>
      <w:r w:rsidR="00286A16" w:rsidRPr="00B33523">
        <w:rPr>
          <w:rFonts w:ascii="Bookman Old Style" w:hAnsi="Bookman Old Style"/>
          <w:b w:val="0"/>
        </w:rPr>
        <w:t>,</w:t>
      </w:r>
      <w:r w:rsidR="00D00036" w:rsidRPr="00B33523">
        <w:rPr>
          <w:rFonts w:ascii="Bookman Old Style" w:hAnsi="Bookman Old Style"/>
          <w:b w:val="0"/>
        </w:rPr>
        <w:t xml:space="preserve"> y 1260 de 2013</w:t>
      </w:r>
      <w:r w:rsidRPr="00B33523">
        <w:rPr>
          <w:rFonts w:ascii="Bookman Old Style" w:hAnsi="Bookman Old Style"/>
          <w:b w:val="0"/>
        </w:rPr>
        <w:t>.</w:t>
      </w:r>
    </w:p>
    <w:p w14:paraId="416AEFF4" w14:textId="77777777" w:rsidR="00045D3D" w:rsidRPr="00B33523" w:rsidRDefault="00045D3D" w:rsidP="006238C6">
      <w:pPr>
        <w:tabs>
          <w:tab w:val="left" w:pos="0"/>
          <w:tab w:val="right" w:pos="9356"/>
        </w:tabs>
        <w:ind w:left="0"/>
        <w:rPr>
          <w:rFonts w:ascii="Bookman Old Style" w:hAnsi="Bookman Old Style" w:cs="Arial"/>
          <w:bCs/>
          <w:lang w:val="es-CO"/>
        </w:rPr>
      </w:pPr>
    </w:p>
    <w:p w14:paraId="3E8440ED" w14:textId="77777777" w:rsidR="00045D3D" w:rsidRPr="00B33523" w:rsidRDefault="00045D3D" w:rsidP="006238C6">
      <w:pPr>
        <w:tabs>
          <w:tab w:val="left" w:pos="0"/>
          <w:tab w:val="right" w:pos="9356"/>
        </w:tabs>
        <w:ind w:left="0"/>
        <w:rPr>
          <w:rFonts w:ascii="Bookman Old Style" w:hAnsi="Bookman Old Style" w:cs="Arial"/>
          <w:bCs/>
          <w:lang w:val="es-CO"/>
        </w:rPr>
      </w:pPr>
    </w:p>
    <w:p w14:paraId="72BBA367" w14:textId="77AB34A5" w:rsidR="00045D3D" w:rsidRPr="00B33523" w:rsidRDefault="00045D3D" w:rsidP="00C62FED">
      <w:pPr>
        <w:ind w:left="0" w:right="51"/>
        <w:jc w:val="center"/>
        <w:rPr>
          <w:rFonts w:ascii="Bookman Old Style" w:hAnsi="Bookman Old Style" w:cs="Arial"/>
          <w:b/>
          <w:spacing w:val="70"/>
        </w:rPr>
      </w:pPr>
      <w:r w:rsidRPr="00B33523">
        <w:rPr>
          <w:rFonts w:ascii="Bookman Old Style" w:hAnsi="Bookman Old Style" w:cs="Arial"/>
          <w:b/>
          <w:spacing w:val="70"/>
        </w:rPr>
        <w:t>CONSIDERAND</w:t>
      </w:r>
      <w:r w:rsidR="007B5A60" w:rsidRPr="00B33523">
        <w:rPr>
          <w:rFonts w:ascii="Bookman Old Style" w:hAnsi="Bookman Old Style" w:cs="Arial"/>
          <w:b/>
          <w:spacing w:val="70"/>
        </w:rPr>
        <w:t>O Q</w:t>
      </w:r>
      <w:r w:rsidRPr="00B33523">
        <w:rPr>
          <w:rFonts w:ascii="Bookman Old Style" w:hAnsi="Bookman Old Style" w:cs="Arial"/>
          <w:b/>
          <w:spacing w:val="70"/>
        </w:rPr>
        <w:t>UE:</w:t>
      </w:r>
    </w:p>
    <w:p w14:paraId="4BA1F452" w14:textId="77777777" w:rsidR="00C51016" w:rsidRPr="002C219E" w:rsidRDefault="00C51016" w:rsidP="00C51016">
      <w:pPr>
        <w:spacing w:before="240"/>
        <w:ind w:left="0"/>
        <w:jc w:val="both"/>
        <w:rPr>
          <w:rFonts w:ascii="Bookman Old Style" w:hAnsi="Bookman Old Style"/>
        </w:rPr>
      </w:pPr>
      <w:r w:rsidRPr="002C219E">
        <w:rPr>
          <w:rFonts w:ascii="Bookman Old Style" w:hAnsi="Bookman Old Style"/>
        </w:rPr>
        <w:t>De acuerdo con lo previsto en el literal d) del artículo 23 y en el artículo 41 de la Ley 143 de 1994, es función de la Comisión de Regulación de Energía y Gas fijar las tarifas por el acceso y uso de las redes eléctricas.</w:t>
      </w:r>
    </w:p>
    <w:p w14:paraId="1F26BEF0" w14:textId="77777777" w:rsidR="00C51016" w:rsidRPr="002C219E" w:rsidRDefault="00C51016" w:rsidP="00C51016">
      <w:pPr>
        <w:spacing w:before="240"/>
        <w:ind w:left="0"/>
        <w:jc w:val="both"/>
        <w:rPr>
          <w:rFonts w:ascii="Bookman Old Style" w:hAnsi="Bookman Old Style" w:cs="Arial"/>
        </w:rPr>
      </w:pPr>
      <w:r w:rsidRPr="002C219E">
        <w:rPr>
          <w:rFonts w:ascii="Bookman Old Style" w:hAnsi="Bookman Old Style" w:cs="Arial"/>
        </w:rPr>
        <w:t xml:space="preserve">En la Resolución CREG 011 de 2009 se estableció la metodología y fórmulas tarifarias para la remuneración de la actividad de transmisión de energía eléctrica en el Sistema de Transmisión Nacional. </w:t>
      </w:r>
    </w:p>
    <w:p w14:paraId="0AE02BF8" w14:textId="77777777" w:rsidR="00C51016" w:rsidRPr="002C219E" w:rsidRDefault="00C51016" w:rsidP="00C51016">
      <w:pPr>
        <w:spacing w:before="240"/>
        <w:ind w:left="0"/>
        <w:jc w:val="both"/>
        <w:rPr>
          <w:rFonts w:ascii="Bookman Old Style" w:hAnsi="Bookman Old Style" w:cs="Arial"/>
        </w:rPr>
      </w:pPr>
      <w:r w:rsidRPr="002C219E">
        <w:rPr>
          <w:rFonts w:ascii="Bookman Old Style" w:hAnsi="Bookman Old Style" w:cs="Arial"/>
        </w:rPr>
        <w:t>El artículo 5 de la Resolución CREG 011 de 2009 establece:</w:t>
      </w:r>
    </w:p>
    <w:p w14:paraId="55039239" w14:textId="77777777" w:rsidR="00C51016" w:rsidRPr="001F0A9F" w:rsidRDefault="00C51016" w:rsidP="001F0A9F">
      <w:pPr>
        <w:spacing w:before="240"/>
        <w:ind w:left="284" w:right="284"/>
        <w:jc w:val="both"/>
        <w:rPr>
          <w:rFonts w:ascii="Bookman Old Style" w:hAnsi="Bookman Old Style" w:cs="Arial"/>
          <w:i/>
          <w:sz w:val="23"/>
          <w:szCs w:val="23"/>
        </w:rPr>
      </w:pPr>
      <w:r w:rsidRPr="001F0A9F">
        <w:rPr>
          <w:rFonts w:ascii="Bookman Old Style" w:hAnsi="Bookman Old Style" w:cs="Arial"/>
          <w:i/>
          <w:sz w:val="23"/>
          <w:szCs w:val="23"/>
        </w:rPr>
        <w:t xml:space="preserve">Artículo 5. Determinación de los activos remunerables. La CREG aprobará mediante Resolución la base de activos a remunerar a cada uno de los TN, para lo cual cada empresa deberá reportar a la CREG, dentro de los 30 días calendario siguientes a la </w:t>
      </w:r>
      <w:proofErr w:type="gramStart"/>
      <w:r w:rsidRPr="001F0A9F">
        <w:rPr>
          <w:rFonts w:ascii="Bookman Old Style" w:hAnsi="Bookman Old Style" w:cs="Arial"/>
          <w:i/>
          <w:sz w:val="23"/>
          <w:szCs w:val="23"/>
        </w:rPr>
        <w:t>entrada en vigencia</w:t>
      </w:r>
      <w:proofErr w:type="gramEnd"/>
      <w:r w:rsidRPr="001F0A9F">
        <w:rPr>
          <w:rFonts w:ascii="Bookman Old Style" w:hAnsi="Bookman Old Style" w:cs="Arial"/>
          <w:i/>
          <w:sz w:val="23"/>
          <w:szCs w:val="23"/>
        </w:rPr>
        <w:t xml:space="preserve"> de esta Resolución, su inventario con los activos que se encuentran en operación, clasificados por Unidad Constructiva, informando si opera el activo en forma parcial o total y el valor o valores pagados por concepto de servidumbre. Con el inventario deberán reportar los activos de enlaces internacionales de Nivel de Tensión 4 que están siendo remunerados mediante cargos por uso.</w:t>
      </w:r>
    </w:p>
    <w:p w14:paraId="050D7957" w14:textId="77777777" w:rsidR="00C51016" w:rsidRPr="001F0A9F" w:rsidRDefault="00C51016" w:rsidP="00C51016">
      <w:pPr>
        <w:spacing w:before="120"/>
        <w:ind w:left="284" w:right="284"/>
        <w:jc w:val="both"/>
        <w:rPr>
          <w:rFonts w:ascii="Bookman Old Style" w:hAnsi="Bookman Old Style" w:cs="Arial"/>
          <w:sz w:val="23"/>
          <w:szCs w:val="23"/>
        </w:rPr>
      </w:pPr>
      <w:r w:rsidRPr="001F0A9F">
        <w:rPr>
          <w:rFonts w:ascii="Bookman Old Style" w:hAnsi="Bookman Old Style" w:cs="Arial"/>
          <w:i/>
          <w:sz w:val="23"/>
          <w:szCs w:val="23"/>
        </w:rPr>
        <w:t>Con la base de activos definida por la CREG el Liquidador y Administrador de Cuentas del Sistema de Transmisión Nacional liquidará y facturará los ingresos correspondientes a los TN, con la metodología definida en esta Resolución y aplicando las Compensaciones a que haya lugar conforme a lo establecido en el Artículo 17 y en el CAPÍTULO 4 del Anexo General de esta Resolución. La CREG podrá modificar la base de activos de un TN cuando la autoridad competente determine que alguno de sus activos limita la operación adecuada del Sistema.</w:t>
      </w:r>
    </w:p>
    <w:p w14:paraId="18B6CC65" w14:textId="1A26957F" w:rsidR="007E2A35" w:rsidRDefault="007E2A35" w:rsidP="007E2A35">
      <w:pPr>
        <w:spacing w:before="240"/>
        <w:ind w:left="0"/>
        <w:jc w:val="both"/>
        <w:rPr>
          <w:rFonts w:ascii="Bookman Old Style" w:hAnsi="Bookman Old Style" w:cs="Arial"/>
        </w:rPr>
      </w:pPr>
      <w:r w:rsidRPr="00C10206">
        <w:rPr>
          <w:rFonts w:ascii="Bookman Old Style" w:hAnsi="Bookman Old Style" w:cs="Arial"/>
        </w:rPr>
        <w:lastRenderedPageBreak/>
        <w:t xml:space="preserve">Mediante Decreto 227 del 16 de febrero de 2023, el Presidente de la República de Colombia, de conformidad con lo dispuesto en el artículo 68 de la Ley 142 de 1994, reasumió las funciones de carácter general delegadas a la Comisión de Regulación de Energía y Gas mediante los Decretos 1524 y 2253 de 1994 y demás normas concordantes, señalando en el inciso segundo del artículo primero que, en consecuencia, </w:t>
      </w:r>
      <w:bookmarkStart w:id="0" w:name="_Hlk130888340"/>
      <w:r>
        <w:rPr>
          <w:rFonts w:ascii="Bookman Old Style" w:hAnsi="Bookman Old Style" w:cs="Arial"/>
        </w:rPr>
        <w:t>“</w:t>
      </w:r>
      <w:r w:rsidRPr="007E2A35">
        <w:rPr>
          <w:rFonts w:ascii="Bookman Old Style" w:hAnsi="Bookman Old Style" w:cs="Arial"/>
        </w:rPr>
        <w:t>las Comisiones de Regulación continuarán expidiendo los actos administrativos de carácter particular que ejercen a la fecha de la expedición del presente Decreto</w:t>
      </w:r>
      <w:r>
        <w:rPr>
          <w:rFonts w:ascii="Bookman Old Style" w:hAnsi="Bookman Old Style" w:cs="Arial"/>
        </w:rPr>
        <w:t>”.</w:t>
      </w:r>
      <w:bookmarkEnd w:id="0"/>
    </w:p>
    <w:p w14:paraId="4735FE36" w14:textId="0255CDD5" w:rsidR="00D1360B" w:rsidRPr="002C219E" w:rsidRDefault="00D1360B" w:rsidP="00D1360B">
      <w:pPr>
        <w:spacing w:before="240"/>
        <w:ind w:left="0"/>
        <w:jc w:val="both"/>
        <w:rPr>
          <w:rFonts w:ascii="Bookman Old Style" w:hAnsi="Bookman Old Style"/>
        </w:rPr>
      </w:pPr>
      <w:r w:rsidRPr="002C219E">
        <w:rPr>
          <w:rFonts w:ascii="Bookman Old Style" w:hAnsi="Bookman Old Style" w:cs="Arial"/>
        </w:rPr>
        <w:t>Mediante la Resolución CREG 177 de 2013, modificada por las resoluciones CREG 167 de 2014</w:t>
      </w:r>
      <w:r>
        <w:rPr>
          <w:rFonts w:ascii="Bookman Old Style" w:hAnsi="Bookman Old Style" w:cs="Arial"/>
        </w:rPr>
        <w:t>,</w:t>
      </w:r>
      <w:r w:rsidRPr="002C219E">
        <w:rPr>
          <w:rFonts w:ascii="Bookman Old Style" w:hAnsi="Bookman Old Style" w:cs="Arial"/>
        </w:rPr>
        <w:t xml:space="preserve"> 086, 169 y 233 de 2015, </w:t>
      </w:r>
      <w:r w:rsidRPr="002C219E">
        <w:rPr>
          <w:rFonts w:ascii="Bookman Old Style" w:hAnsi="Bookman Old Style"/>
        </w:rPr>
        <w:t>059 de 2017</w:t>
      </w:r>
      <w:r>
        <w:rPr>
          <w:rFonts w:ascii="Bookman Old Style" w:hAnsi="Bookman Old Style"/>
        </w:rPr>
        <w:t>,</w:t>
      </w:r>
      <w:r w:rsidRPr="002C219E">
        <w:rPr>
          <w:rFonts w:ascii="Bookman Old Style" w:hAnsi="Bookman Old Style"/>
        </w:rPr>
        <w:t xml:space="preserve"> </w:t>
      </w:r>
      <w:r w:rsidR="007E2A35">
        <w:rPr>
          <w:rFonts w:ascii="Bookman Old Style" w:hAnsi="Bookman Old Style"/>
        </w:rPr>
        <w:t xml:space="preserve">032 de 2018, </w:t>
      </w:r>
      <w:r w:rsidRPr="002C219E">
        <w:rPr>
          <w:rFonts w:ascii="Bookman Old Style" w:hAnsi="Bookman Old Style"/>
        </w:rPr>
        <w:t>023</w:t>
      </w:r>
      <w:r>
        <w:rPr>
          <w:rFonts w:ascii="Bookman Old Style" w:hAnsi="Bookman Old Style"/>
        </w:rPr>
        <w:t xml:space="preserve"> y</w:t>
      </w:r>
      <w:r w:rsidRPr="002C219E">
        <w:rPr>
          <w:rFonts w:ascii="Bookman Old Style" w:hAnsi="Bookman Old Style"/>
        </w:rPr>
        <w:t xml:space="preserve"> 131 de 2019 y</w:t>
      </w:r>
      <w:r>
        <w:rPr>
          <w:rFonts w:ascii="Bookman Old Style" w:hAnsi="Bookman Old Style"/>
        </w:rPr>
        <w:t xml:space="preserve"> 010 de 2021</w:t>
      </w:r>
      <w:r w:rsidRPr="002C219E">
        <w:rPr>
          <w:rFonts w:ascii="Bookman Old Style" w:hAnsi="Bookman Old Style" w:cs="Arial"/>
        </w:rPr>
        <w:t>, se aprobó la base de activos y los parámetros necesarios para determinar la remuneración de Intercolombia S.A. E.S.P. en el Sistema de Transmisión Nacional.</w:t>
      </w:r>
    </w:p>
    <w:p w14:paraId="4796B814" w14:textId="1EAA3A2C" w:rsidR="00B66E2D" w:rsidRDefault="00C51016" w:rsidP="00C51016">
      <w:pPr>
        <w:spacing w:before="240"/>
        <w:ind w:left="0"/>
        <w:jc w:val="both"/>
        <w:rPr>
          <w:rFonts w:ascii="Bookman Old Style" w:hAnsi="Bookman Old Style" w:cs="Arial"/>
        </w:rPr>
      </w:pPr>
      <w:r w:rsidRPr="002C219E">
        <w:rPr>
          <w:rFonts w:ascii="Bookman Old Style" w:hAnsi="Bookman Old Style" w:cs="Arial"/>
        </w:rPr>
        <w:t>Intercolombia S.A. E.S.P., mediante la comunicaci</w:t>
      </w:r>
      <w:r w:rsidR="002C1503">
        <w:rPr>
          <w:rFonts w:ascii="Bookman Old Style" w:hAnsi="Bookman Old Style" w:cs="Arial"/>
        </w:rPr>
        <w:t xml:space="preserve">ón </w:t>
      </w:r>
      <w:r w:rsidRPr="002C219E">
        <w:rPr>
          <w:rFonts w:ascii="Bookman Old Style" w:hAnsi="Bookman Old Style" w:cs="Arial"/>
        </w:rPr>
        <w:t>con radicado CREG E</w:t>
      </w:r>
      <w:r w:rsidR="002C1503">
        <w:rPr>
          <w:rFonts w:ascii="Bookman Old Style" w:hAnsi="Bookman Old Style" w:cs="Arial"/>
        </w:rPr>
        <w:noBreakHyphen/>
      </w:r>
      <w:r w:rsidRPr="002C219E">
        <w:rPr>
          <w:rFonts w:ascii="Bookman Old Style" w:hAnsi="Bookman Old Style" w:cs="Arial"/>
        </w:rPr>
        <w:t>202</w:t>
      </w:r>
      <w:r w:rsidR="002C1503">
        <w:rPr>
          <w:rFonts w:ascii="Bookman Old Style" w:hAnsi="Bookman Old Style" w:cs="Arial"/>
        </w:rPr>
        <w:t>2</w:t>
      </w:r>
      <w:r w:rsidR="002C1503">
        <w:rPr>
          <w:rFonts w:ascii="Bookman Old Style" w:hAnsi="Bookman Old Style" w:cs="Arial"/>
        </w:rPr>
        <w:noBreakHyphen/>
      </w:r>
      <w:r w:rsidRPr="002C219E">
        <w:rPr>
          <w:rFonts w:ascii="Bookman Old Style" w:hAnsi="Bookman Old Style" w:cs="Arial"/>
        </w:rPr>
        <w:t>0</w:t>
      </w:r>
      <w:r w:rsidR="002C1503">
        <w:rPr>
          <w:rFonts w:ascii="Bookman Old Style" w:hAnsi="Bookman Old Style" w:cs="Arial"/>
        </w:rPr>
        <w:t>03</w:t>
      </w:r>
      <w:r w:rsidR="00B65DBE">
        <w:rPr>
          <w:rFonts w:ascii="Bookman Old Style" w:hAnsi="Bookman Old Style" w:cs="Arial"/>
        </w:rPr>
        <w:t>3</w:t>
      </w:r>
      <w:r w:rsidR="002C1503">
        <w:rPr>
          <w:rFonts w:ascii="Bookman Old Style" w:hAnsi="Bookman Old Style" w:cs="Arial"/>
        </w:rPr>
        <w:t>96</w:t>
      </w:r>
      <w:r w:rsidR="00B65DBE">
        <w:rPr>
          <w:rFonts w:ascii="Bookman Old Style" w:hAnsi="Bookman Old Style" w:cs="Arial"/>
        </w:rPr>
        <w:t xml:space="preserve"> del 25 de marzo de 2022</w:t>
      </w:r>
      <w:r w:rsidR="002C1503">
        <w:rPr>
          <w:rFonts w:ascii="Bookman Old Style" w:hAnsi="Bookman Old Style" w:cs="Arial"/>
        </w:rPr>
        <w:t xml:space="preserve">, solicita la modificación del nombre de la subestación final de las líneas </w:t>
      </w:r>
      <w:r w:rsidR="00B66E2D">
        <w:rPr>
          <w:rFonts w:ascii="Bookman Old Style" w:hAnsi="Bookman Old Style" w:cs="Arial"/>
        </w:rPr>
        <w:t xml:space="preserve">de interconexión con Ecuador, </w:t>
      </w:r>
      <w:r w:rsidR="00232932">
        <w:rPr>
          <w:rFonts w:ascii="Bookman Old Style" w:hAnsi="Bookman Old Style" w:cs="Arial"/>
        </w:rPr>
        <w:t xml:space="preserve">Jamondino-Pomasqui, 230 kV, circuitos 1 y 2, </w:t>
      </w:r>
      <w:r w:rsidR="00B66E2D">
        <w:rPr>
          <w:rFonts w:ascii="Bookman Old Style" w:hAnsi="Bookman Old Style" w:cs="Arial"/>
        </w:rPr>
        <w:t>para que ahora figure el nombre de la subestación Pimampiro</w:t>
      </w:r>
      <w:r w:rsidR="00473C0B">
        <w:rPr>
          <w:rFonts w:ascii="Bookman Old Style" w:hAnsi="Bookman Old Style" w:cs="Arial"/>
        </w:rPr>
        <w:t xml:space="preserve"> en el lado de Ecuador</w:t>
      </w:r>
      <w:r w:rsidR="00F274BF">
        <w:rPr>
          <w:rFonts w:ascii="Bookman Old Style" w:hAnsi="Bookman Old Style" w:cs="Arial"/>
        </w:rPr>
        <w:t>,</w:t>
      </w:r>
      <w:r w:rsidR="00F274BF" w:rsidRPr="00F274BF">
        <w:rPr>
          <w:rFonts w:ascii="Bookman Old Style" w:hAnsi="Bookman Old Style" w:cs="Arial"/>
        </w:rPr>
        <w:t xml:space="preserve"> </w:t>
      </w:r>
      <w:r w:rsidR="00F274BF">
        <w:rPr>
          <w:rFonts w:ascii="Bookman Old Style" w:hAnsi="Bookman Old Style" w:cs="Arial"/>
        </w:rPr>
        <w:t>dado que en ese país entró en operación la subestación Pimampiro que se convierte en la primera subestación antes de Pomasqui.</w:t>
      </w:r>
    </w:p>
    <w:p w14:paraId="651E671F" w14:textId="3AD40E18" w:rsidR="00232932" w:rsidRDefault="00B66E2D" w:rsidP="00C51016">
      <w:pPr>
        <w:spacing w:before="240"/>
        <w:ind w:left="0"/>
        <w:jc w:val="both"/>
        <w:rPr>
          <w:rFonts w:ascii="Bookman Old Style" w:hAnsi="Bookman Old Style" w:cs="Arial"/>
        </w:rPr>
      </w:pPr>
      <w:r>
        <w:rPr>
          <w:rFonts w:ascii="Bookman Old Style" w:hAnsi="Bookman Old Style" w:cs="Arial"/>
        </w:rPr>
        <w:t>También</w:t>
      </w:r>
      <w:r w:rsidR="00D83154">
        <w:rPr>
          <w:rFonts w:ascii="Bookman Old Style" w:hAnsi="Bookman Old Style" w:cs="Arial"/>
        </w:rPr>
        <w:t>,</w:t>
      </w:r>
      <w:r>
        <w:rPr>
          <w:rFonts w:ascii="Bookman Old Style" w:hAnsi="Bookman Old Style" w:cs="Arial"/>
        </w:rPr>
        <w:t xml:space="preserve"> mediante la comunicación</w:t>
      </w:r>
      <w:r w:rsidR="00C51016" w:rsidRPr="002C219E">
        <w:rPr>
          <w:rFonts w:ascii="Bookman Old Style" w:hAnsi="Bookman Old Style" w:cs="Arial"/>
        </w:rPr>
        <w:t xml:space="preserve"> E202</w:t>
      </w:r>
      <w:r>
        <w:rPr>
          <w:rFonts w:ascii="Bookman Old Style" w:hAnsi="Bookman Old Style" w:cs="Arial"/>
        </w:rPr>
        <w:t>2</w:t>
      </w:r>
      <w:r w:rsidR="00C51016" w:rsidRPr="002C219E">
        <w:rPr>
          <w:rFonts w:ascii="Bookman Old Style" w:hAnsi="Bookman Old Style" w:cs="Arial"/>
        </w:rPr>
        <w:t>0</w:t>
      </w:r>
      <w:r>
        <w:rPr>
          <w:rFonts w:ascii="Bookman Old Style" w:hAnsi="Bookman Old Style" w:cs="Arial"/>
        </w:rPr>
        <w:t>10138</w:t>
      </w:r>
      <w:r w:rsidR="00B65DBE">
        <w:rPr>
          <w:rFonts w:ascii="Bookman Old Style" w:hAnsi="Bookman Old Style" w:cs="Arial"/>
        </w:rPr>
        <w:t xml:space="preserve"> del 8 de septiembre de 2022</w:t>
      </w:r>
      <w:r w:rsidR="00C51016" w:rsidRPr="002C219E">
        <w:rPr>
          <w:rFonts w:ascii="Bookman Old Style" w:hAnsi="Bookman Old Style" w:cs="Arial"/>
        </w:rPr>
        <w:t xml:space="preserve">, </w:t>
      </w:r>
      <w:r w:rsidR="00F274BF" w:rsidRPr="002C219E">
        <w:rPr>
          <w:rFonts w:ascii="Bookman Old Style" w:hAnsi="Bookman Old Style" w:cs="Arial"/>
        </w:rPr>
        <w:t>Intercolombia S.A. E.S.P.</w:t>
      </w:r>
      <w:r w:rsidR="00F274BF">
        <w:rPr>
          <w:rFonts w:ascii="Bookman Old Style" w:hAnsi="Bookman Old Style" w:cs="Arial"/>
        </w:rPr>
        <w:t xml:space="preserve"> </w:t>
      </w:r>
      <w:r w:rsidR="00C51016" w:rsidRPr="002C219E">
        <w:rPr>
          <w:rFonts w:ascii="Bookman Old Style" w:hAnsi="Bookman Old Style" w:cs="Arial"/>
        </w:rPr>
        <w:t xml:space="preserve">solicitó a la Comisión la actualización de la base de activos, dado que </w:t>
      </w:r>
      <w:r w:rsidR="00232932">
        <w:rPr>
          <w:rFonts w:ascii="Bookman Old Style" w:hAnsi="Bookman Old Style" w:cs="Arial"/>
        </w:rPr>
        <w:t xml:space="preserve">la </w:t>
      </w:r>
      <w:r w:rsidR="00C51016" w:rsidRPr="002C219E">
        <w:rPr>
          <w:rFonts w:ascii="Bookman Old Style" w:hAnsi="Bookman Old Style" w:cs="Arial"/>
        </w:rPr>
        <w:t xml:space="preserve">línea </w:t>
      </w:r>
      <w:r w:rsidR="00232932" w:rsidRPr="00232932">
        <w:rPr>
          <w:rFonts w:ascii="Bookman Old Style" w:hAnsi="Bookman Old Style" w:cs="Arial"/>
        </w:rPr>
        <w:t>Cerromatoso - Chinú 500</w:t>
      </w:r>
      <w:r w:rsidR="00F0154F">
        <w:rPr>
          <w:rFonts w:ascii="Bookman Old Style" w:hAnsi="Bookman Old Style" w:cs="Arial"/>
        </w:rPr>
        <w:t> </w:t>
      </w:r>
      <w:r w:rsidR="00232932" w:rsidRPr="00232932">
        <w:rPr>
          <w:rFonts w:ascii="Bookman Old Style" w:hAnsi="Bookman Old Style" w:cs="Arial"/>
        </w:rPr>
        <w:t>kV</w:t>
      </w:r>
      <w:r w:rsidR="00232932">
        <w:rPr>
          <w:rFonts w:ascii="Bookman Old Style" w:hAnsi="Bookman Old Style" w:cs="Arial"/>
        </w:rPr>
        <w:t>, circuito</w:t>
      </w:r>
      <w:r w:rsidR="00232932" w:rsidRPr="00232932">
        <w:rPr>
          <w:rFonts w:ascii="Bookman Old Style" w:hAnsi="Bookman Old Style" w:cs="Arial"/>
        </w:rPr>
        <w:t xml:space="preserve"> 1, </w:t>
      </w:r>
      <w:r w:rsidR="00C51016" w:rsidRPr="002C219E">
        <w:rPr>
          <w:rFonts w:ascii="Bookman Old Style" w:hAnsi="Bookman Old Style" w:cs="Arial"/>
        </w:rPr>
        <w:t xml:space="preserve">ha sido seccionada para permitir la entrada en operación de </w:t>
      </w:r>
      <w:r w:rsidR="00232932">
        <w:rPr>
          <w:rFonts w:ascii="Bookman Old Style" w:hAnsi="Bookman Old Style" w:cs="Arial"/>
        </w:rPr>
        <w:t xml:space="preserve">la </w:t>
      </w:r>
      <w:r w:rsidR="00C51016" w:rsidRPr="002C219E">
        <w:rPr>
          <w:rFonts w:ascii="Bookman Old Style" w:hAnsi="Bookman Old Style" w:cs="Arial"/>
        </w:rPr>
        <w:t>nueva subestaci</w:t>
      </w:r>
      <w:r w:rsidR="00232932">
        <w:rPr>
          <w:rFonts w:ascii="Bookman Old Style" w:hAnsi="Bookman Old Style" w:cs="Arial"/>
        </w:rPr>
        <w:t>ón Sahagún, 500 kV</w:t>
      </w:r>
      <w:r w:rsidR="00C51016" w:rsidRPr="002C219E">
        <w:rPr>
          <w:rFonts w:ascii="Bookman Old Style" w:hAnsi="Bookman Old Style" w:cs="Arial"/>
        </w:rPr>
        <w:t xml:space="preserve">. </w:t>
      </w:r>
    </w:p>
    <w:p w14:paraId="48C89296" w14:textId="77777777" w:rsidR="00F274BF" w:rsidRDefault="00F274BF" w:rsidP="00F274BF">
      <w:pPr>
        <w:spacing w:before="240"/>
        <w:ind w:left="0"/>
        <w:jc w:val="both"/>
        <w:rPr>
          <w:rFonts w:ascii="Bookman Old Style" w:hAnsi="Bookman Old Style" w:cs="Arial"/>
        </w:rPr>
      </w:pPr>
      <w:r>
        <w:rPr>
          <w:rFonts w:ascii="Bookman Old Style" w:hAnsi="Bookman Old Style" w:cs="Arial"/>
        </w:rPr>
        <w:t>P</w:t>
      </w:r>
      <w:r w:rsidRPr="00FE1580">
        <w:rPr>
          <w:rFonts w:ascii="Bookman Old Style" w:hAnsi="Bookman Old Style" w:cs="Arial"/>
        </w:rPr>
        <w:t>ara la asignación de los ingresos</w:t>
      </w:r>
      <w:r>
        <w:rPr>
          <w:rFonts w:ascii="Bookman Old Style" w:hAnsi="Bookman Old Style" w:cs="Arial"/>
        </w:rPr>
        <w:t xml:space="preserve"> y</w:t>
      </w:r>
      <w:r w:rsidRPr="00FE1580">
        <w:rPr>
          <w:rFonts w:ascii="Bookman Old Style" w:hAnsi="Bookman Old Style" w:cs="Arial"/>
        </w:rPr>
        <w:t xml:space="preserve"> para el cumplimiento de las exigencias de calidad es necesario mantener actualizado </w:t>
      </w:r>
      <w:r>
        <w:rPr>
          <w:rFonts w:ascii="Bookman Old Style" w:hAnsi="Bookman Old Style" w:cs="Arial"/>
        </w:rPr>
        <w:t xml:space="preserve">tanto </w:t>
      </w:r>
      <w:r w:rsidRPr="00FE1580">
        <w:rPr>
          <w:rFonts w:ascii="Bookman Old Style" w:hAnsi="Bookman Old Style" w:cs="Arial"/>
        </w:rPr>
        <w:t>el nombre del agente que representa ante el LAC los activos de uso en el STN</w:t>
      </w:r>
      <w:r>
        <w:rPr>
          <w:rFonts w:ascii="Bookman Old Style" w:hAnsi="Bookman Old Style" w:cs="Arial"/>
        </w:rPr>
        <w:t xml:space="preserve">, como la identificación (en nombre y cantidad de unidades constructivas) de los activos que hacen parte de la base de activos aprobada a cada transmisor nacional. </w:t>
      </w:r>
    </w:p>
    <w:p w14:paraId="403E6B83" w14:textId="77777777" w:rsidR="00F0154F" w:rsidRDefault="00C51016" w:rsidP="00C51016">
      <w:pPr>
        <w:spacing w:before="240"/>
        <w:ind w:left="0"/>
        <w:jc w:val="both"/>
        <w:rPr>
          <w:rFonts w:ascii="Bookman Old Style" w:hAnsi="Bookman Old Style" w:cs="Arial"/>
        </w:rPr>
      </w:pPr>
      <w:r w:rsidRPr="002C219E">
        <w:rPr>
          <w:rFonts w:ascii="Bookman Old Style" w:hAnsi="Bookman Old Style" w:cs="Arial"/>
        </w:rPr>
        <w:t>A partir de las comunicaciones recibidas</w:t>
      </w:r>
      <w:r w:rsidR="00F0154F">
        <w:rPr>
          <w:rFonts w:ascii="Bookman Old Style" w:hAnsi="Bookman Old Style" w:cs="Arial"/>
        </w:rPr>
        <w:t>,</w:t>
      </w:r>
      <w:r w:rsidRPr="002C219E">
        <w:rPr>
          <w:rFonts w:ascii="Bookman Old Style" w:hAnsi="Bookman Old Style" w:cs="Arial"/>
        </w:rPr>
        <w:t xml:space="preserve"> se verifica</w:t>
      </w:r>
      <w:r w:rsidR="00232932">
        <w:rPr>
          <w:rFonts w:ascii="Bookman Old Style" w:hAnsi="Bookman Old Style" w:cs="Arial"/>
        </w:rPr>
        <w:t xml:space="preserve"> </w:t>
      </w:r>
      <w:r w:rsidR="00F0154F">
        <w:rPr>
          <w:rFonts w:ascii="Bookman Old Style" w:hAnsi="Bookman Old Style" w:cs="Arial"/>
        </w:rPr>
        <w:t>lo siguiente:</w:t>
      </w:r>
    </w:p>
    <w:p w14:paraId="2D7EAD11" w14:textId="72EA3A57" w:rsidR="00F0154F" w:rsidRPr="00F0154F" w:rsidRDefault="00F0154F" w:rsidP="00F0154F">
      <w:pPr>
        <w:pStyle w:val="Prrafodelista"/>
        <w:numPr>
          <w:ilvl w:val="0"/>
          <w:numId w:val="25"/>
        </w:numPr>
        <w:spacing w:before="240"/>
        <w:jc w:val="both"/>
        <w:rPr>
          <w:rFonts w:ascii="Bookman Old Style" w:hAnsi="Bookman Old Style" w:cs="Arial"/>
          <w:sz w:val="24"/>
          <w:szCs w:val="24"/>
        </w:rPr>
      </w:pPr>
      <w:r w:rsidRPr="00F0154F">
        <w:rPr>
          <w:rFonts w:ascii="Bookman Old Style" w:hAnsi="Bookman Old Style" w:cs="Arial"/>
          <w:sz w:val="24"/>
          <w:szCs w:val="24"/>
        </w:rPr>
        <w:t xml:space="preserve">Para </w:t>
      </w:r>
      <w:r>
        <w:rPr>
          <w:rFonts w:ascii="Bookman Old Style" w:hAnsi="Bookman Old Style" w:cs="Arial"/>
          <w:sz w:val="24"/>
          <w:szCs w:val="24"/>
        </w:rPr>
        <w:t xml:space="preserve">los circuitos 1 y 2 de </w:t>
      </w:r>
      <w:r w:rsidRPr="00F0154F">
        <w:rPr>
          <w:rFonts w:ascii="Bookman Old Style" w:hAnsi="Bookman Old Style" w:cs="Arial"/>
          <w:sz w:val="24"/>
          <w:szCs w:val="24"/>
        </w:rPr>
        <w:t xml:space="preserve">las líneas de interconexión con Ecuador, dado que </w:t>
      </w:r>
      <w:r w:rsidR="00232932" w:rsidRPr="00F0154F">
        <w:rPr>
          <w:rFonts w:ascii="Bookman Old Style" w:hAnsi="Bookman Old Style" w:cs="Arial"/>
          <w:sz w:val="24"/>
          <w:szCs w:val="24"/>
        </w:rPr>
        <w:t xml:space="preserve">la cantidad de unidades constructivas </w:t>
      </w:r>
      <w:r w:rsidRPr="00F0154F">
        <w:rPr>
          <w:rFonts w:ascii="Bookman Old Style" w:hAnsi="Bookman Old Style" w:cs="Arial"/>
          <w:sz w:val="24"/>
          <w:szCs w:val="24"/>
        </w:rPr>
        <w:t xml:space="preserve">reconocidas corresponde a las existentes entre la subestación Jamondino y la frontera con el país vecino, esta cantidad </w:t>
      </w:r>
      <w:r w:rsidR="00D83154">
        <w:rPr>
          <w:rFonts w:ascii="Bookman Old Style" w:hAnsi="Bookman Old Style" w:cs="Arial"/>
          <w:sz w:val="24"/>
          <w:szCs w:val="24"/>
        </w:rPr>
        <w:t>no cambia</w:t>
      </w:r>
      <w:r>
        <w:rPr>
          <w:rFonts w:ascii="Bookman Old Style" w:hAnsi="Bookman Old Style" w:cs="Arial"/>
          <w:sz w:val="24"/>
          <w:szCs w:val="24"/>
        </w:rPr>
        <w:t>.</w:t>
      </w:r>
    </w:p>
    <w:p w14:paraId="25F7B1C6" w14:textId="77777777" w:rsidR="00F0154F" w:rsidRDefault="00F0154F" w:rsidP="00F0154F">
      <w:pPr>
        <w:pStyle w:val="Prrafodelista"/>
        <w:numPr>
          <w:ilvl w:val="0"/>
          <w:numId w:val="25"/>
        </w:numPr>
        <w:spacing w:before="240"/>
        <w:jc w:val="both"/>
        <w:rPr>
          <w:rFonts w:ascii="Bookman Old Style" w:hAnsi="Bookman Old Style" w:cs="Arial"/>
          <w:sz w:val="24"/>
          <w:szCs w:val="24"/>
        </w:rPr>
      </w:pPr>
      <w:r>
        <w:rPr>
          <w:rFonts w:ascii="Bookman Old Style" w:hAnsi="Bookman Old Style" w:cs="Arial"/>
          <w:sz w:val="24"/>
          <w:szCs w:val="24"/>
        </w:rPr>
        <w:t>Para</w:t>
      </w:r>
      <w:r w:rsidR="00C51016" w:rsidRPr="00F0154F">
        <w:rPr>
          <w:rFonts w:ascii="Bookman Old Style" w:hAnsi="Bookman Old Style" w:cs="Arial"/>
          <w:sz w:val="24"/>
          <w:szCs w:val="24"/>
        </w:rPr>
        <w:t xml:space="preserve"> </w:t>
      </w:r>
      <w:r>
        <w:rPr>
          <w:rFonts w:ascii="Bookman Old Style" w:hAnsi="Bookman Old Style" w:cs="Arial"/>
          <w:sz w:val="24"/>
          <w:szCs w:val="24"/>
        </w:rPr>
        <w:t xml:space="preserve">el </w:t>
      </w:r>
      <w:r w:rsidRPr="00F0154F">
        <w:rPr>
          <w:rFonts w:ascii="Bookman Old Style" w:hAnsi="Bookman Old Style" w:cs="Arial"/>
          <w:sz w:val="24"/>
          <w:szCs w:val="24"/>
        </w:rPr>
        <w:t>circuito 1</w:t>
      </w:r>
      <w:r>
        <w:rPr>
          <w:rFonts w:ascii="Bookman Old Style" w:hAnsi="Bookman Old Style" w:cs="Arial"/>
          <w:sz w:val="24"/>
          <w:szCs w:val="24"/>
        </w:rPr>
        <w:t xml:space="preserve"> de </w:t>
      </w:r>
      <w:r w:rsidR="00C51016" w:rsidRPr="00F0154F">
        <w:rPr>
          <w:rFonts w:ascii="Bookman Old Style" w:hAnsi="Bookman Old Style" w:cs="Arial"/>
          <w:sz w:val="24"/>
          <w:szCs w:val="24"/>
        </w:rPr>
        <w:t xml:space="preserve">la </w:t>
      </w:r>
      <w:r w:rsidRPr="00F0154F">
        <w:rPr>
          <w:rFonts w:ascii="Bookman Old Style" w:hAnsi="Bookman Old Style" w:cs="Arial"/>
          <w:sz w:val="24"/>
          <w:szCs w:val="24"/>
        </w:rPr>
        <w:t>línea</w:t>
      </w:r>
      <w:r>
        <w:rPr>
          <w:rFonts w:ascii="Bookman Old Style" w:hAnsi="Bookman Old Style" w:cs="Arial"/>
          <w:sz w:val="24"/>
          <w:szCs w:val="24"/>
        </w:rPr>
        <w:t xml:space="preserve"> </w:t>
      </w:r>
      <w:r w:rsidRPr="00F0154F">
        <w:rPr>
          <w:rFonts w:ascii="Bookman Old Style" w:hAnsi="Bookman Old Style" w:cs="Arial"/>
          <w:sz w:val="24"/>
          <w:szCs w:val="24"/>
        </w:rPr>
        <w:t xml:space="preserve">Cerromatoso - Chinú 500 kV, </w:t>
      </w:r>
      <w:r w:rsidR="00C51016" w:rsidRPr="00F0154F">
        <w:rPr>
          <w:rFonts w:ascii="Bookman Old Style" w:hAnsi="Bookman Old Style" w:cs="Arial"/>
          <w:sz w:val="24"/>
          <w:szCs w:val="24"/>
        </w:rPr>
        <w:t xml:space="preserve">la cantidad de unidades constructivas de la línea inicial, incluida en la base de activos aprobada, </w:t>
      </w:r>
      <w:r>
        <w:rPr>
          <w:rFonts w:ascii="Bookman Old Style" w:hAnsi="Bookman Old Style" w:cs="Arial"/>
          <w:sz w:val="24"/>
          <w:szCs w:val="24"/>
        </w:rPr>
        <w:t xml:space="preserve">es </w:t>
      </w:r>
      <w:r w:rsidR="00C51016" w:rsidRPr="00F0154F">
        <w:rPr>
          <w:rFonts w:ascii="Bookman Old Style" w:hAnsi="Bookman Old Style" w:cs="Arial"/>
          <w:sz w:val="24"/>
          <w:szCs w:val="24"/>
        </w:rPr>
        <w:t>igual a la suma de las cantidades de unidades constructivas reportadas para las</w:t>
      </w:r>
      <w:r>
        <w:rPr>
          <w:rFonts w:ascii="Bookman Old Style" w:hAnsi="Bookman Old Style" w:cs="Arial"/>
          <w:sz w:val="24"/>
          <w:szCs w:val="24"/>
        </w:rPr>
        <w:t xml:space="preserve"> </w:t>
      </w:r>
      <w:r w:rsidR="00C51016" w:rsidRPr="00F0154F">
        <w:rPr>
          <w:rFonts w:ascii="Bookman Old Style" w:hAnsi="Bookman Old Style" w:cs="Arial"/>
          <w:sz w:val="24"/>
          <w:szCs w:val="24"/>
        </w:rPr>
        <w:t>dos nuevas líneas resultantes.</w:t>
      </w:r>
    </w:p>
    <w:p w14:paraId="71176B7B" w14:textId="0DC962E3" w:rsidR="00C51016" w:rsidRPr="00F0154F" w:rsidRDefault="00F0154F" w:rsidP="00F0154F">
      <w:pPr>
        <w:spacing w:before="240"/>
        <w:ind w:left="0"/>
        <w:jc w:val="both"/>
        <w:rPr>
          <w:rFonts w:ascii="Bookman Old Style" w:hAnsi="Bookman Old Style" w:cs="Arial"/>
        </w:rPr>
      </w:pPr>
      <w:r>
        <w:rPr>
          <w:rFonts w:ascii="Bookman Old Style" w:hAnsi="Bookman Old Style" w:cs="Arial"/>
        </w:rPr>
        <w:t xml:space="preserve">Con base en estas verificaciones, </w:t>
      </w:r>
      <w:r w:rsidR="00F274BF">
        <w:rPr>
          <w:rFonts w:ascii="Bookman Old Style" w:hAnsi="Bookman Old Style" w:cs="Arial"/>
        </w:rPr>
        <w:t xml:space="preserve">se observa que </w:t>
      </w:r>
      <w:r w:rsidR="00C51016" w:rsidRPr="00F0154F">
        <w:rPr>
          <w:rFonts w:ascii="Bookman Old Style" w:hAnsi="Bookman Old Style" w:cs="Arial"/>
        </w:rPr>
        <w:t>la valoración de la base de activos</w:t>
      </w:r>
      <w:r>
        <w:rPr>
          <w:rFonts w:ascii="Bookman Old Style" w:hAnsi="Bookman Old Style" w:cs="Arial"/>
        </w:rPr>
        <w:t xml:space="preserve"> con estas</w:t>
      </w:r>
      <w:r w:rsidR="00C51016" w:rsidRPr="00F0154F">
        <w:rPr>
          <w:rFonts w:ascii="Bookman Old Style" w:hAnsi="Bookman Old Style" w:cs="Arial"/>
        </w:rPr>
        <w:t xml:space="preserve"> modifica</w:t>
      </w:r>
      <w:r>
        <w:rPr>
          <w:rFonts w:ascii="Bookman Old Style" w:hAnsi="Bookman Old Style" w:cs="Arial"/>
        </w:rPr>
        <w:t>ciones</w:t>
      </w:r>
      <w:r w:rsidR="00C51016" w:rsidRPr="00F0154F">
        <w:rPr>
          <w:rFonts w:ascii="Bookman Old Style" w:hAnsi="Bookman Old Style" w:cs="Arial"/>
        </w:rPr>
        <w:t xml:space="preserve"> no cambi</w:t>
      </w:r>
      <w:r>
        <w:rPr>
          <w:rFonts w:ascii="Bookman Old Style" w:hAnsi="Bookman Old Style" w:cs="Arial"/>
        </w:rPr>
        <w:t>a</w:t>
      </w:r>
      <w:r w:rsidR="00C51016" w:rsidRPr="00F0154F">
        <w:rPr>
          <w:rFonts w:ascii="Bookman Old Style" w:hAnsi="Bookman Old Style" w:cs="Arial"/>
        </w:rPr>
        <w:t xml:space="preserve"> y, por tanto, el ingreso anual</w:t>
      </w:r>
      <w:r w:rsidR="00D3537F">
        <w:rPr>
          <w:rFonts w:ascii="Bookman Old Style" w:hAnsi="Bookman Old Style" w:cs="Arial"/>
        </w:rPr>
        <w:t xml:space="preserve"> aprobado al transmisor</w:t>
      </w:r>
      <w:r w:rsidR="00F274BF" w:rsidRPr="00F274BF">
        <w:rPr>
          <w:rFonts w:ascii="Bookman Old Style" w:hAnsi="Bookman Old Style" w:cs="Arial"/>
        </w:rPr>
        <w:t xml:space="preserve"> </w:t>
      </w:r>
      <w:r w:rsidR="00F274BF" w:rsidRPr="00F0154F">
        <w:rPr>
          <w:rFonts w:ascii="Bookman Old Style" w:hAnsi="Bookman Old Style" w:cs="Arial"/>
        </w:rPr>
        <w:t>se mantiene igual</w:t>
      </w:r>
      <w:r w:rsidR="00C51016" w:rsidRPr="00F0154F">
        <w:rPr>
          <w:rFonts w:ascii="Bookman Old Style" w:hAnsi="Bookman Old Style" w:cs="Arial"/>
        </w:rPr>
        <w:t>.</w:t>
      </w:r>
    </w:p>
    <w:p w14:paraId="2A833C5B" w14:textId="49FB2BD6" w:rsidR="00C51016" w:rsidRPr="002C219E" w:rsidRDefault="00F274BF" w:rsidP="00C51016">
      <w:pPr>
        <w:spacing w:before="240"/>
        <w:ind w:left="0"/>
        <w:jc w:val="both"/>
        <w:rPr>
          <w:rFonts w:ascii="Bookman Old Style" w:hAnsi="Bookman Old Style" w:cs="Arial"/>
        </w:rPr>
      </w:pPr>
      <w:r>
        <w:rPr>
          <w:rFonts w:ascii="Bookman Old Style" w:hAnsi="Bookman Old Style" w:cs="Arial"/>
        </w:rPr>
        <w:lastRenderedPageBreak/>
        <w:t>Teniendo en cuenta</w:t>
      </w:r>
      <w:r w:rsidR="00C51016" w:rsidRPr="002C219E">
        <w:rPr>
          <w:rFonts w:ascii="Bookman Old Style" w:hAnsi="Bookman Old Style" w:cs="Arial"/>
        </w:rPr>
        <w:t xml:space="preserve"> lo anterior, se procederá a actualizar la base de activos aprobada a Intercolombia S.A. E.S.P.</w:t>
      </w:r>
      <w:r>
        <w:rPr>
          <w:rFonts w:ascii="Bookman Old Style" w:hAnsi="Bookman Old Style" w:cs="Arial"/>
        </w:rPr>
        <w:t xml:space="preserve">, sin que esto conduzca a cambios en los ingresos ni en </w:t>
      </w:r>
      <w:r w:rsidR="00C51016" w:rsidRPr="002C219E">
        <w:rPr>
          <w:rFonts w:ascii="Bookman Old Style" w:hAnsi="Bookman Old Style" w:cs="Arial"/>
        </w:rPr>
        <w:t>los demás parámetros aprobados a este transmisor.</w:t>
      </w:r>
    </w:p>
    <w:p w14:paraId="04D08FF7" w14:textId="1BE70B22" w:rsidR="00045D3D" w:rsidRPr="00B33523" w:rsidRDefault="00C51016" w:rsidP="00C51016">
      <w:pPr>
        <w:spacing w:before="240"/>
        <w:ind w:left="0"/>
        <w:jc w:val="both"/>
        <w:rPr>
          <w:rFonts w:ascii="Bookman Old Style" w:hAnsi="Bookman Old Style" w:cs="Arial"/>
        </w:rPr>
      </w:pPr>
      <w:r w:rsidRPr="002C219E">
        <w:rPr>
          <w:rFonts w:ascii="Bookman Old Style" w:hAnsi="Bookman Old Style" w:cs="Arial"/>
        </w:rPr>
        <w:t xml:space="preserve">La Comisión de Regulación de Energía y Gas, en su sesión </w:t>
      </w:r>
      <w:r w:rsidR="00FD4DD3" w:rsidRPr="00FD4DD3">
        <w:rPr>
          <w:rFonts w:ascii="Bookman Old Style" w:hAnsi="Bookman Old Style" w:cs="Arial"/>
        </w:rPr>
        <w:t>1243</w:t>
      </w:r>
      <w:r w:rsidRPr="00FD4DD3">
        <w:rPr>
          <w:rFonts w:ascii="Bookman Old Style" w:hAnsi="Bookman Old Style" w:cs="Arial"/>
        </w:rPr>
        <w:t xml:space="preserve"> del </w:t>
      </w:r>
      <w:r w:rsidR="00FD4DD3" w:rsidRPr="00FD4DD3">
        <w:rPr>
          <w:rFonts w:ascii="Bookman Old Style" w:hAnsi="Bookman Old Style" w:cs="Arial"/>
        </w:rPr>
        <w:t>17</w:t>
      </w:r>
      <w:r w:rsidR="00FD4DD3">
        <w:rPr>
          <w:rFonts w:ascii="Bookman Old Style" w:hAnsi="Bookman Old Style" w:cs="Arial"/>
        </w:rPr>
        <w:t xml:space="preserve"> </w:t>
      </w:r>
      <w:r w:rsidRPr="00FD4DD3">
        <w:rPr>
          <w:rFonts w:ascii="Bookman Old Style" w:hAnsi="Bookman Old Style" w:cs="Arial"/>
        </w:rPr>
        <w:t xml:space="preserve">de </w:t>
      </w:r>
      <w:r w:rsidR="00F0154F" w:rsidRPr="00FD4DD3">
        <w:rPr>
          <w:rFonts w:ascii="Bookman Old Style" w:hAnsi="Bookman Old Style" w:cs="Arial"/>
        </w:rPr>
        <w:t>febrero</w:t>
      </w:r>
      <w:r w:rsidRPr="002C219E">
        <w:rPr>
          <w:rFonts w:ascii="Bookman Old Style" w:hAnsi="Bookman Old Style" w:cs="Arial"/>
        </w:rPr>
        <w:t xml:space="preserve"> de 202</w:t>
      </w:r>
      <w:r w:rsidR="00F0154F">
        <w:rPr>
          <w:rFonts w:ascii="Bookman Old Style" w:hAnsi="Bookman Old Style" w:cs="Arial"/>
        </w:rPr>
        <w:t>3</w:t>
      </w:r>
      <w:r w:rsidRPr="002C219E">
        <w:rPr>
          <w:rFonts w:ascii="Bookman Old Style" w:hAnsi="Bookman Old Style" w:cs="Arial"/>
        </w:rPr>
        <w:t xml:space="preserve">, aprobó actualizar la base de activos de Intercolombia S.A. E.S.P. y </w:t>
      </w:r>
      <w:r w:rsidRPr="002C219E">
        <w:rPr>
          <w:rFonts w:ascii="Bookman Old Style" w:hAnsi="Bookman Old Style"/>
        </w:rPr>
        <w:t>expedir la presente resolución</w:t>
      </w:r>
      <w:r w:rsidRPr="002C219E">
        <w:rPr>
          <w:rFonts w:ascii="Bookman Old Style" w:hAnsi="Bookman Old Style" w:cs="Arial"/>
        </w:rPr>
        <w:t>.</w:t>
      </w:r>
    </w:p>
    <w:p w14:paraId="40EFC463" w14:textId="77777777" w:rsidR="00045D3D" w:rsidRPr="00B33523" w:rsidRDefault="00045D3D" w:rsidP="00B65DBE">
      <w:pPr>
        <w:keepNext/>
        <w:suppressAutoHyphens/>
        <w:spacing w:before="360"/>
        <w:ind w:left="0"/>
        <w:jc w:val="center"/>
        <w:rPr>
          <w:rFonts w:ascii="Bookman Old Style" w:hAnsi="Bookman Old Style" w:cs="Arial"/>
        </w:rPr>
      </w:pPr>
      <w:r w:rsidRPr="00B33523">
        <w:rPr>
          <w:rFonts w:ascii="Bookman Old Style" w:hAnsi="Bookman Old Style" w:cs="Arial"/>
          <w:b/>
        </w:rPr>
        <w:t>R E S U E L V E:</w:t>
      </w:r>
    </w:p>
    <w:p w14:paraId="126C51EE" w14:textId="16383745" w:rsidR="00492992" w:rsidRPr="00F0154F" w:rsidRDefault="00C51016" w:rsidP="0051132C">
      <w:pPr>
        <w:pStyle w:val="Artculo"/>
      </w:pPr>
      <w:r w:rsidRPr="002C219E">
        <w:t>Actualizar la base de activos de Intercolombia S.A. E.S.P., aprobada en el artículo 3 de la Resolución CREG 177 de 2013</w:t>
      </w:r>
      <w:r w:rsidR="0051132C">
        <w:t>, con los siguientes cambios</w:t>
      </w:r>
      <w:r w:rsidRPr="002C219E">
        <w:t>.</w:t>
      </w:r>
    </w:p>
    <w:p w14:paraId="1F72DF0A" w14:textId="77777777" w:rsidR="00C51016" w:rsidRPr="002C219E" w:rsidRDefault="00C51016" w:rsidP="00C51016">
      <w:pPr>
        <w:pStyle w:val="Prrafodelista"/>
        <w:ind w:left="0"/>
        <w:jc w:val="both"/>
        <w:rPr>
          <w:rFonts w:ascii="Bookman Old Style" w:hAnsi="Bookman Old Style"/>
          <w:sz w:val="24"/>
        </w:rPr>
      </w:pPr>
    </w:p>
    <w:p w14:paraId="14E34180" w14:textId="77777777" w:rsidR="00C51016" w:rsidRPr="00667BF5" w:rsidRDefault="00C51016" w:rsidP="00C51016">
      <w:pPr>
        <w:pStyle w:val="Prrafodelista"/>
        <w:numPr>
          <w:ilvl w:val="2"/>
          <w:numId w:val="24"/>
        </w:numPr>
        <w:tabs>
          <w:tab w:val="clear" w:pos="720"/>
          <w:tab w:val="num" w:pos="284"/>
        </w:tabs>
        <w:ind w:left="284" w:hanging="284"/>
        <w:jc w:val="both"/>
        <w:rPr>
          <w:rFonts w:ascii="Bookman Old Style" w:hAnsi="Bookman Old Style"/>
          <w:sz w:val="24"/>
        </w:rPr>
      </w:pPr>
      <w:r>
        <w:rPr>
          <w:rFonts w:ascii="Bookman Old Style" w:hAnsi="Bookman Old Style"/>
          <w:sz w:val="24"/>
        </w:rPr>
        <w:t xml:space="preserve">Se modifican los </w:t>
      </w:r>
      <w:r w:rsidRPr="00667BF5">
        <w:rPr>
          <w:rFonts w:ascii="Bookman Old Style" w:hAnsi="Bookman Old Style"/>
          <w:sz w:val="24"/>
        </w:rPr>
        <w:t xml:space="preserve">siguientes registros </w:t>
      </w:r>
      <w:r>
        <w:rPr>
          <w:rFonts w:ascii="Bookman Old Style" w:hAnsi="Bookman Old Style"/>
          <w:sz w:val="24"/>
        </w:rPr>
        <w:t>de</w:t>
      </w:r>
      <w:r w:rsidRPr="00667BF5">
        <w:rPr>
          <w:rFonts w:ascii="Bookman Old Style" w:hAnsi="Bookman Old Style"/>
          <w:sz w:val="24"/>
        </w:rPr>
        <w:t xml:space="preserve">l numeral </w:t>
      </w:r>
      <w:r w:rsidRPr="00667BF5">
        <w:rPr>
          <w:rFonts w:ascii="Bookman Old Style" w:hAnsi="Bookman Old Style"/>
          <w:i/>
          <w:sz w:val="24"/>
        </w:rPr>
        <w:t>2 Líneas de Transmisión</w:t>
      </w:r>
      <w:r w:rsidRPr="00667BF5">
        <w:rPr>
          <w:rFonts w:ascii="Bookman Old Style" w:hAnsi="Bookman Old Style"/>
          <w:sz w:val="24"/>
        </w:rPr>
        <w:t xml:space="preserve"> de la base de activos</w:t>
      </w:r>
      <w:r>
        <w:rPr>
          <w:rFonts w:ascii="Bookman Old Style" w:hAnsi="Bookman Old Style"/>
          <w:sz w:val="24"/>
        </w:rPr>
        <w:t xml:space="preserve"> del a</w:t>
      </w:r>
      <w:r w:rsidRPr="00B84711">
        <w:rPr>
          <w:rFonts w:ascii="Bookman Old Style" w:hAnsi="Bookman Old Style"/>
          <w:sz w:val="24"/>
        </w:rPr>
        <w:t xml:space="preserve">nexo de la </w:t>
      </w:r>
      <w:r w:rsidRPr="00667BF5">
        <w:rPr>
          <w:rFonts w:ascii="Bookman Old Style" w:hAnsi="Bookman Old Style"/>
          <w:sz w:val="24"/>
        </w:rPr>
        <w:t>Resolución CREG 177 de 2013, así:</w:t>
      </w:r>
    </w:p>
    <w:p w14:paraId="6D548E2F" w14:textId="77777777" w:rsidR="00C51016" w:rsidRDefault="00C51016" w:rsidP="00C51016">
      <w:pPr>
        <w:ind w:left="0"/>
        <w:jc w:val="both"/>
        <w:rPr>
          <w:rFonts w:ascii="Bookman Old Style" w:hAnsi="Bookman Old Style"/>
        </w:rPr>
      </w:pPr>
    </w:p>
    <w:tbl>
      <w:tblPr>
        <w:tblW w:w="0" w:type="auto"/>
        <w:jc w:val="center"/>
        <w:tblCellMar>
          <w:left w:w="70" w:type="dxa"/>
          <w:right w:w="70" w:type="dxa"/>
        </w:tblCellMar>
        <w:tblLook w:val="04A0" w:firstRow="1" w:lastRow="0" w:firstColumn="1" w:lastColumn="0" w:noHBand="0" w:noVBand="1"/>
      </w:tblPr>
      <w:tblGrid>
        <w:gridCol w:w="588"/>
        <w:gridCol w:w="1959"/>
        <w:gridCol w:w="1701"/>
        <w:gridCol w:w="1701"/>
        <w:gridCol w:w="906"/>
        <w:gridCol w:w="1091"/>
        <w:gridCol w:w="864"/>
      </w:tblGrid>
      <w:tr w:rsidR="00C51016" w:rsidRPr="00703301" w14:paraId="79BD6A53" w14:textId="77777777" w:rsidTr="00941747">
        <w:trPr>
          <w:trHeight w:val="227"/>
          <w:tblHeader/>
          <w:jc w:val="center"/>
        </w:trPr>
        <w:tc>
          <w:tcPr>
            <w:tcW w:w="588" w:type="dxa"/>
            <w:tcBorders>
              <w:top w:val="single" w:sz="4" w:space="0" w:color="auto"/>
              <w:left w:val="single" w:sz="4" w:space="0" w:color="auto"/>
              <w:bottom w:val="single" w:sz="4" w:space="0" w:color="auto"/>
              <w:right w:val="single" w:sz="4" w:space="0" w:color="auto"/>
            </w:tcBorders>
            <w:vAlign w:val="center"/>
          </w:tcPr>
          <w:p w14:paraId="5FDF943D" w14:textId="77777777" w:rsidR="00C51016" w:rsidRPr="007F16AA" w:rsidRDefault="00C51016" w:rsidP="00941747">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No.</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6C90B" w14:textId="77777777" w:rsidR="00C51016" w:rsidRPr="007F16AA" w:rsidRDefault="00C51016" w:rsidP="00941747">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Código Línea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9B7F83" w14:textId="77777777" w:rsidR="00C51016" w:rsidRPr="007F16AA" w:rsidRDefault="00C51016" w:rsidP="00941747">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Subestación</w:t>
            </w:r>
          </w:p>
          <w:p w14:paraId="5D77C098" w14:textId="77777777" w:rsidR="00C51016" w:rsidRPr="007F16AA" w:rsidRDefault="00C51016" w:rsidP="00941747">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Inicial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2478BC" w14:textId="77777777" w:rsidR="00C51016" w:rsidRPr="007F16AA" w:rsidRDefault="00C51016" w:rsidP="00941747">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Subestación</w:t>
            </w:r>
          </w:p>
          <w:p w14:paraId="5038A541" w14:textId="77777777" w:rsidR="00C51016" w:rsidRPr="007F16AA" w:rsidRDefault="00C51016" w:rsidP="00941747">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Final</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28288A1A" w14:textId="77777777" w:rsidR="00C51016" w:rsidRPr="007F16AA" w:rsidRDefault="00C51016" w:rsidP="00941747">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UC</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3646D8F8" w14:textId="77777777" w:rsidR="00C51016" w:rsidRPr="007F16AA" w:rsidRDefault="00C51016" w:rsidP="00941747">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Cantidad</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56FE6D8C" w14:textId="77777777" w:rsidR="00C51016" w:rsidRPr="007F16AA" w:rsidRDefault="00C51016" w:rsidP="00941747">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PU</w:t>
            </w:r>
          </w:p>
        </w:tc>
      </w:tr>
      <w:tr w:rsidR="00A417D1" w:rsidRPr="00703301" w14:paraId="1E1D6829" w14:textId="77777777" w:rsidTr="00941747">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2A4E384" w14:textId="7C028B77" w:rsidR="00A417D1" w:rsidRPr="007F16AA" w:rsidRDefault="00A417D1" w:rsidP="00A417D1">
            <w:pPr>
              <w:ind w:left="0"/>
              <w:jc w:val="center"/>
              <w:rPr>
                <w:rFonts w:ascii="Bookman Old Style" w:hAnsi="Bookman Old Style" w:cs="Arial"/>
                <w:color w:val="000000"/>
                <w:sz w:val="20"/>
                <w:szCs w:val="20"/>
              </w:rPr>
            </w:pPr>
            <w:r w:rsidRPr="007F16AA">
              <w:rPr>
                <w:rFonts w:ascii="Bookman Old Style" w:hAnsi="Bookman Old Style"/>
                <w:sz w:val="20"/>
                <w:szCs w:val="20"/>
              </w:rPr>
              <w:t>3</w:t>
            </w:r>
            <w:r>
              <w:rPr>
                <w:rFonts w:ascii="Bookman Old Style" w:hAnsi="Bookman Old Style"/>
                <w:sz w:val="20"/>
                <w:szCs w:val="20"/>
              </w:rPr>
              <w:t>5</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3AB9386A" w14:textId="3009756E" w:rsidR="00A417D1" w:rsidRPr="007F16AA" w:rsidRDefault="009F7E7C" w:rsidP="00A417D1">
            <w:pPr>
              <w:ind w:left="0"/>
              <w:jc w:val="center"/>
              <w:rPr>
                <w:rFonts w:ascii="Bookman Old Style" w:hAnsi="Bookman Old Style" w:cs="Arial"/>
                <w:color w:val="000000"/>
                <w:sz w:val="20"/>
                <w:szCs w:val="20"/>
              </w:rPr>
            </w:pPr>
            <w:r w:rsidRPr="009F7E7C">
              <w:rPr>
                <w:rFonts w:ascii="Bookman Old Style" w:hAnsi="Bookman Old Style" w:cs="Arial"/>
                <w:color w:val="000000"/>
                <w:sz w:val="20"/>
                <w:szCs w:val="20"/>
              </w:rPr>
              <w:t>CERRCHIN5001</w:t>
            </w:r>
          </w:p>
        </w:tc>
        <w:tc>
          <w:tcPr>
            <w:tcW w:w="1701" w:type="dxa"/>
            <w:tcBorders>
              <w:top w:val="single" w:sz="4" w:space="0" w:color="auto"/>
              <w:left w:val="nil"/>
              <w:bottom w:val="single" w:sz="4" w:space="0" w:color="auto"/>
              <w:right w:val="single" w:sz="4" w:space="0" w:color="auto"/>
            </w:tcBorders>
            <w:shd w:val="clear" w:color="auto" w:fill="auto"/>
            <w:noWrap/>
            <w:hideMark/>
          </w:tcPr>
          <w:p w14:paraId="6EB5FEEA" w14:textId="3512DFC5" w:rsidR="00A417D1" w:rsidRPr="007F16AA" w:rsidRDefault="009F7E7C" w:rsidP="00A417D1">
            <w:pPr>
              <w:ind w:left="0"/>
              <w:jc w:val="center"/>
              <w:rPr>
                <w:rFonts w:ascii="Bookman Old Style" w:hAnsi="Bookman Old Style" w:cs="Arial"/>
                <w:color w:val="000000"/>
                <w:sz w:val="20"/>
                <w:szCs w:val="20"/>
              </w:rPr>
            </w:pPr>
            <w:r w:rsidRPr="007F16AA">
              <w:rPr>
                <w:rFonts w:ascii="Bookman Old Style" w:hAnsi="Bookman Old Style"/>
                <w:sz w:val="20"/>
                <w:szCs w:val="20"/>
              </w:rPr>
              <w:t>Cerromatoso</w:t>
            </w:r>
          </w:p>
        </w:tc>
        <w:tc>
          <w:tcPr>
            <w:tcW w:w="1701" w:type="dxa"/>
            <w:tcBorders>
              <w:top w:val="single" w:sz="4" w:space="0" w:color="auto"/>
              <w:left w:val="nil"/>
              <w:bottom w:val="single" w:sz="4" w:space="0" w:color="auto"/>
              <w:right w:val="single" w:sz="4" w:space="0" w:color="auto"/>
            </w:tcBorders>
            <w:shd w:val="clear" w:color="auto" w:fill="auto"/>
            <w:noWrap/>
            <w:hideMark/>
          </w:tcPr>
          <w:p w14:paraId="570150FD" w14:textId="652D4446" w:rsidR="00A417D1" w:rsidRPr="007F16AA" w:rsidRDefault="009F7E7C" w:rsidP="00A417D1">
            <w:pPr>
              <w:ind w:left="0"/>
              <w:jc w:val="center"/>
              <w:rPr>
                <w:rFonts w:ascii="Bookman Old Style" w:hAnsi="Bookman Old Style" w:cs="Arial"/>
                <w:color w:val="000000"/>
                <w:sz w:val="20"/>
                <w:szCs w:val="20"/>
              </w:rPr>
            </w:pPr>
            <w:r>
              <w:rPr>
                <w:rFonts w:ascii="Bookman Old Style" w:hAnsi="Bookman Old Style" w:cs="Arial"/>
                <w:color w:val="000000"/>
                <w:sz w:val="20"/>
                <w:szCs w:val="20"/>
              </w:rPr>
              <w:t>Chinú</w:t>
            </w:r>
          </w:p>
        </w:tc>
        <w:tc>
          <w:tcPr>
            <w:tcW w:w="906" w:type="dxa"/>
            <w:tcBorders>
              <w:top w:val="single" w:sz="4" w:space="0" w:color="auto"/>
              <w:left w:val="nil"/>
              <w:bottom w:val="single" w:sz="4" w:space="0" w:color="auto"/>
              <w:right w:val="single" w:sz="4" w:space="0" w:color="auto"/>
            </w:tcBorders>
            <w:shd w:val="clear" w:color="auto" w:fill="auto"/>
            <w:noWrap/>
          </w:tcPr>
          <w:p w14:paraId="688CEF05" w14:textId="6F76B3F2" w:rsidR="00A417D1" w:rsidRPr="007F16AA" w:rsidRDefault="00E30654" w:rsidP="00A417D1">
            <w:pPr>
              <w:ind w:left="0"/>
              <w:jc w:val="center"/>
              <w:rPr>
                <w:rFonts w:ascii="Bookman Old Style" w:hAnsi="Bookman Old Style" w:cs="Arial"/>
                <w:color w:val="000000"/>
                <w:sz w:val="20"/>
                <w:szCs w:val="20"/>
              </w:rPr>
            </w:pPr>
            <w:r>
              <w:rPr>
                <w:rFonts w:ascii="Bookman Old Style" w:hAnsi="Bookman Old Style" w:cs="Arial"/>
                <w:color w:val="000000"/>
                <w:sz w:val="20"/>
                <w:szCs w:val="20"/>
              </w:rPr>
              <w:t>LI511</w:t>
            </w:r>
          </w:p>
        </w:tc>
        <w:tc>
          <w:tcPr>
            <w:tcW w:w="1091" w:type="dxa"/>
            <w:tcBorders>
              <w:top w:val="single" w:sz="4" w:space="0" w:color="auto"/>
              <w:left w:val="nil"/>
              <w:bottom w:val="single" w:sz="4" w:space="0" w:color="auto"/>
              <w:right w:val="single" w:sz="4" w:space="0" w:color="auto"/>
            </w:tcBorders>
            <w:shd w:val="clear" w:color="auto" w:fill="auto"/>
            <w:noWrap/>
          </w:tcPr>
          <w:p w14:paraId="01BA8F5A" w14:textId="5D2DEC87" w:rsidR="00A417D1" w:rsidRPr="007F16AA" w:rsidRDefault="00E30654" w:rsidP="00A417D1">
            <w:pPr>
              <w:ind w:left="0"/>
              <w:jc w:val="center"/>
              <w:rPr>
                <w:rFonts w:ascii="Bookman Old Style" w:hAnsi="Bookman Old Style" w:cs="Arial"/>
                <w:color w:val="000000"/>
                <w:sz w:val="20"/>
                <w:szCs w:val="20"/>
              </w:rPr>
            </w:pPr>
            <w:r w:rsidRPr="00E30654">
              <w:rPr>
                <w:rFonts w:ascii="Bookman Old Style" w:hAnsi="Bookman Old Style" w:cs="Arial"/>
                <w:color w:val="000000"/>
                <w:sz w:val="20"/>
                <w:szCs w:val="20"/>
              </w:rPr>
              <w:t>131,4780</w:t>
            </w:r>
          </w:p>
        </w:tc>
        <w:tc>
          <w:tcPr>
            <w:tcW w:w="864" w:type="dxa"/>
            <w:tcBorders>
              <w:top w:val="single" w:sz="4" w:space="0" w:color="auto"/>
              <w:left w:val="nil"/>
              <w:bottom w:val="single" w:sz="4" w:space="0" w:color="auto"/>
              <w:right w:val="single" w:sz="4" w:space="0" w:color="auto"/>
            </w:tcBorders>
            <w:shd w:val="clear" w:color="auto" w:fill="auto"/>
            <w:noWrap/>
            <w:hideMark/>
          </w:tcPr>
          <w:p w14:paraId="6D1A1ED3" w14:textId="49EF5D47" w:rsidR="00A417D1" w:rsidRPr="007F16AA" w:rsidRDefault="00511970" w:rsidP="00A417D1">
            <w:pPr>
              <w:ind w:left="0"/>
              <w:jc w:val="center"/>
              <w:rPr>
                <w:rFonts w:ascii="Bookman Old Style" w:hAnsi="Bookman Old Style" w:cs="Arial"/>
                <w:color w:val="000000"/>
                <w:sz w:val="20"/>
                <w:szCs w:val="20"/>
              </w:rPr>
            </w:pPr>
            <w:r>
              <w:rPr>
                <w:rFonts w:ascii="Bookman Old Style" w:hAnsi="Bookman Old Style" w:cs="Arial"/>
                <w:color w:val="000000"/>
                <w:sz w:val="20"/>
                <w:szCs w:val="20"/>
              </w:rPr>
              <w:t>0,0000</w:t>
            </w:r>
          </w:p>
        </w:tc>
      </w:tr>
      <w:tr w:rsidR="00030162" w:rsidRPr="00703301" w14:paraId="57BD19A4" w14:textId="77777777" w:rsidTr="00941747">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6931BFD7" w14:textId="3095E9B4"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117</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349977DE" w14:textId="073A136B"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JAMOPIMA2301</w:t>
            </w:r>
          </w:p>
        </w:tc>
        <w:tc>
          <w:tcPr>
            <w:tcW w:w="1701" w:type="dxa"/>
            <w:tcBorders>
              <w:top w:val="single" w:sz="4" w:space="0" w:color="auto"/>
              <w:left w:val="nil"/>
              <w:bottom w:val="single" w:sz="4" w:space="0" w:color="auto"/>
              <w:right w:val="single" w:sz="4" w:space="0" w:color="auto"/>
            </w:tcBorders>
            <w:shd w:val="clear" w:color="auto" w:fill="auto"/>
            <w:noWrap/>
            <w:hideMark/>
          </w:tcPr>
          <w:p w14:paraId="7E98548A" w14:textId="70C7E4DE"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Jamondino</w:t>
            </w:r>
          </w:p>
        </w:tc>
        <w:tc>
          <w:tcPr>
            <w:tcW w:w="1701" w:type="dxa"/>
            <w:tcBorders>
              <w:top w:val="single" w:sz="4" w:space="0" w:color="auto"/>
              <w:left w:val="nil"/>
              <w:bottom w:val="single" w:sz="4" w:space="0" w:color="auto"/>
              <w:right w:val="single" w:sz="4" w:space="0" w:color="auto"/>
            </w:tcBorders>
            <w:shd w:val="clear" w:color="auto" w:fill="auto"/>
            <w:noWrap/>
            <w:hideMark/>
          </w:tcPr>
          <w:p w14:paraId="34F02A9E" w14:textId="13AB0858"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Pimampiro</w:t>
            </w:r>
          </w:p>
        </w:tc>
        <w:tc>
          <w:tcPr>
            <w:tcW w:w="906" w:type="dxa"/>
            <w:tcBorders>
              <w:top w:val="single" w:sz="4" w:space="0" w:color="auto"/>
              <w:left w:val="nil"/>
              <w:bottom w:val="single" w:sz="4" w:space="0" w:color="auto"/>
              <w:right w:val="single" w:sz="4" w:space="0" w:color="auto"/>
            </w:tcBorders>
            <w:shd w:val="clear" w:color="auto" w:fill="auto"/>
            <w:noWrap/>
          </w:tcPr>
          <w:p w14:paraId="7C9FCC3B" w14:textId="7B097355"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tcPr>
          <w:p w14:paraId="196AF5A9" w14:textId="2368B261"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1,3915</w:t>
            </w:r>
          </w:p>
        </w:tc>
        <w:tc>
          <w:tcPr>
            <w:tcW w:w="864" w:type="dxa"/>
            <w:tcBorders>
              <w:top w:val="single" w:sz="4" w:space="0" w:color="auto"/>
              <w:left w:val="nil"/>
              <w:bottom w:val="single" w:sz="4" w:space="0" w:color="auto"/>
              <w:right w:val="single" w:sz="4" w:space="0" w:color="auto"/>
            </w:tcBorders>
            <w:shd w:val="clear" w:color="auto" w:fill="auto"/>
            <w:noWrap/>
            <w:hideMark/>
          </w:tcPr>
          <w:p w14:paraId="375F228C" w14:textId="6983BEC2"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1,0000</w:t>
            </w:r>
          </w:p>
        </w:tc>
      </w:tr>
      <w:tr w:rsidR="00030162" w:rsidRPr="00703301" w14:paraId="66AEEDCE" w14:textId="77777777" w:rsidTr="00941747">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0C8D9F0B" w14:textId="11B2C35A"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118</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301B2324" w14:textId="341168C2"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JAMOPIMA2301</w:t>
            </w:r>
          </w:p>
        </w:tc>
        <w:tc>
          <w:tcPr>
            <w:tcW w:w="1701" w:type="dxa"/>
            <w:tcBorders>
              <w:top w:val="single" w:sz="4" w:space="0" w:color="auto"/>
              <w:left w:val="nil"/>
              <w:bottom w:val="single" w:sz="4" w:space="0" w:color="auto"/>
              <w:right w:val="single" w:sz="4" w:space="0" w:color="auto"/>
            </w:tcBorders>
            <w:shd w:val="clear" w:color="auto" w:fill="auto"/>
            <w:noWrap/>
            <w:hideMark/>
          </w:tcPr>
          <w:p w14:paraId="1C1FF41F" w14:textId="0669921E"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Jamondino</w:t>
            </w:r>
          </w:p>
        </w:tc>
        <w:tc>
          <w:tcPr>
            <w:tcW w:w="1701" w:type="dxa"/>
            <w:tcBorders>
              <w:top w:val="single" w:sz="4" w:space="0" w:color="auto"/>
              <w:left w:val="nil"/>
              <w:bottom w:val="single" w:sz="4" w:space="0" w:color="auto"/>
              <w:right w:val="single" w:sz="4" w:space="0" w:color="auto"/>
            </w:tcBorders>
            <w:shd w:val="clear" w:color="auto" w:fill="auto"/>
            <w:noWrap/>
            <w:hideMark/>
          </w:tcPr>
          <w:p w14:paraId="10E50D26" w14:textId="6687F421"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Pimampiro</w:t>
            </w:r>
          </w:p>
        </w:tc>
        <w:tc>
          <w:tcPr>
            <w:tcW w:w="906" w:type="dxa"/>
            <w:tcBorders>
              <w:top w:val="single" w:sz="4" w:space="0" w:color="auto"/>
              <w:left w:val="nil"/>
              <w:bottom w:val="single" w:sz="4" w:space="0" w:color="auto"/>
              <w:right w:val="single" w:sz="4" w:space="0" w:color="auto"/>
            </w:tcBorders>
            <w:shd w:val="clear" w:color="auto" w:fill="auto"/>
            <w:noWrap/>
          </w:tcPr>
          <w:p w14:paraId="3E363403" w14:textId="048A7CF2"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tcPr>
          <w:p w14:paraId="40761C53" w14:textId="11CE70E7"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36,4041</w:t>
            </w:r>
          </w:p>
        </w:tc>
        <w:tc>
          <w:tcPr>
            <w:tcW w:w="864" w:type="dxa"/>
            <w:tcBorders>
              <w:top w:val="single" w:sz="4" w:space="0" w:color="auto"/>
              <w:left w:val="nil"/>
              <w:bottom w:val="single" w:sz="4" w:space="0" w:color="auto"/>
              <w:right w:val="single" w:sz="4" w:space="0" w:color="auto"/>
            </w:tcBorders>
            <w:shd w:val="clear" w:color="auto" w:fill="auto"/>
            <w:noWrap/>
            <w:hideMark/>
          </w:tcPr>
          <w:p w14:paraId="0E296FB3" w14:textId="745A99E5"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1,0000</w:t>
            </w:r>
          </w:p>
        </w:tc>
      </w:tr>
      <w:tr w:rsidR="00030162" w:rsidRPr="00703301" w14:paraId="10B6A9C5" w14:textId="77777777" w:rsidTr="00941747">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5FE5F87C" w14:textId="66DC7D43"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119</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147AA888" w14:textId="2BA89593"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JAMOPIMA2302</w:t>
            </w:r>
          </w:p>
        </w:tc>
        <w:tc>
          <w:tcPr>
            <w:tcW w:w="1701" w:type="dxa"/>
            <w:tcBorders>
              <w:top w:val="single" w:sz="4" w:space="0" w:color="auto"/>
              <w:left w:val="nil"/>
              <w:bottom w:val="single" w:sz="4" w:space="0" w:color="auto"/>
              <w:right w:val="single" w:sz="4" w:space="0" w:color="auto"/>
            </w:tcBorders>
            <w:shd w:val="clear" w:color="auto" w:fill="auto"/>
            <w:noWrap/>
          </w:tcPr>
          <w:p w14:paraId="40A02A12" w14:textId="0C5AB823"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Jamondino</w:t>
            </w:r>
          </w:p>
        </w:tc>
        <w:tc>
          <w:tcPr>
            <w:tcW w:w="1701" w:type="dxa"/>
            <w:tcBorders>
              <w:top w:val="single" w:sz="4" w:space="0" w:color="auto"/>
              <w:left w:val="nil"/>
              <w:bottom w:val="single" w:sz="4" w:space="0" w:color="auto"/>
              <w:right w:val="single" w:sz="4" w:space="0" w:color="auto"/>
            </w:tcBorders>
            <w:shd w:val="clear" w:color="auto" w:fill="auto"/>
            <w:noWrap/>
          </w:tcPr>
          <w:p w14:paraId="5B7AC503" w14:textId="130CE3A5"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Pimampiro</w:t>
            </w:r>
          </w:p>
        </w:tc>
        <w:tc>
          <w:tcPr>
            <w:tcW w:w="906" w:type="dxa"/>
            <w:tcBorders>
              <w:top w:val="single" w:sz="4" w:space="0" w:color="auto"/>
              <w:left w:val="nil"/>
              <w:bottom w:val="single" w:sz="4" w:space="0" w:color="auto"/>
              <w:right w:val="single" w:sz="4" w:space="0" w:color="auto"/>
            </w:tcBorders>
            <w:shd w:val="clear" w:color="auto" w:fill="auto"/>
            <w:noWrap/>
          </w:tcPr>
          <w:p w14:paraId="0FE4E114" w14:textId="5B08F502"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tcPr>
          <w:p w14:paraId="5A9B7FB3" w14:textId="46879F8D"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1,3915</w:t>
            </w:r>
          </w:p>
        </w:tc>
        <w:tc>
          <w:tcPr>
            <w:tcW w:w="864" w:type="dxa"/>
            <w:tcBorders>
              <w:top w:val="single" w:sz="4" w:space="0" w:color="auto"/>
              <w:left w:val="nil"/>
              <w:bottom w:val="single" w:sz="4" w:space="0" w:color="auto"/>
              <w:right w:val="single" w:sz="4" w:space="0" w:color="auto"/>
            </w:tcBorders>
            <w:shd w:val="clear" w:color="auto" w:fill="auto"/>
            <w:noWrap/>
          </w:tcPr>
          <w:p w14:paraId="1A7EE227" w14:textId="24D005BF"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1,0000</w:t>
            </w:r>
          </w:p>
        </w:tc>
      </w:tr>
      <w:tr w:rsidR="00030162" w:rsidRPr="00703301" w14:paraId="59FE9393" w14:textId="77777777" w:rsidTr="00941747">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4A9B9580" w14:textId="544A2576" w:rsidR="00030162" w:rsidRPr="007F16AA"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120</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4DC32C69" w14:textId="04EBBB70"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JAMOPIMA2302</w:t>
            </w:r>
          </w:p>
        </w:tc>
        <w:tc>
          <w:tcPr>
            <w:tcW w:w="1701" w:type="dxa"/>
            <w:tcBorders>
              <w:top w:val="single" w:sz="4" w:space="0" w:color="auto"/>
              <w:left w:val="nil"/>
              <w:bottom w:val="single" w:sz="4" w:space="0" w:color="auto"/>
              <w:right w:val="single" w:sz="4" w:space="0" w:color="auto"/>
            </w:tcBorders>
            <w:shd w:val="clear" w:color="auto" w:fill="auto"/>
            <w:noWrap/>
          </w:tcPr>
          <w:p w14:paraId="538B9AF9" w14:textId="3F84255F"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Jamondino</w:t>
            </w:r>
          </w:p>
        </w:tc>
        <w:tc>
          <w:tcPr>
            <w:tcW w:w="1701" w:type="dxa"/>
            <w:tcBorders>
              <w:top w:val="single" w:sz="4" w:space="0" w:color="auto"/>
              <w:left w:val="nil"/>
              <w:bottom w:val="single" w:sz="4" w:space="0" w:color="auto"/>
              <w:right w:val="single" w:sz="4" w:space="0" w:color="auto"/>
            </w:tcBorders>
            <w:shd w:val="clear" w:color="auto" w:fill="auto"/>
            <w:noWrap/>
          </w:tcPr>
          <w:p w14:paraId="2DC532B3" w14:textId="014D449F"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Pimampiro</w:t>
            </w:r>
          </w:p>
        </w:tc>
        <w:tc>
          <w:tcPr>
            <w:tcW w:w="906" w:type="dxa"/>
            <w:tcBorders>
              <w:top w:val="single" w:sz="4" w:space="0" w:color="auto"/>
              <w:left w:val="nil"/>
              <w:bottom w:val="single" w:sz="4" w:space="0" w:color="auto"/>
              <w:right w:val="single" w:sz="4" w:space="0" w:color="auto"/>
            </w:tcBorders>
            <w:shd w:val="clear" w:color="auto" w:fill="auto"/>
            <w:noWrap/>
          </w:tcPr>
          <w:p w14:paraId="0136DA9E" w14:textId="322EEEB8"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tcPr>
          <w:p w14:paraId="306D8DDB" w14:textId="16F5DA9E"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36,4041</w:t>
            </w:r>
          </w:p>
        </w:tc>
        <w:tc>
          <w:tcPr>
            <w:tcW w:w="864" w:type="dxa"/>
            <w:tcBorders>
              <w:top w:val="single" w:sz="4" w:space="0" w:color="auto"/>
              <w:left w:val="nil"/>
              <w:bottom w:val="single" w:sz="4" w:space="0" w:color="auto"/>
              <w:right w:val="single" w:sz="4" w:space="0" w:color="auto"/>
            </w:tcBorders>
            <w:shd w:val="clear" w:color="auto" w:fill="auto"/>
            <w:noWrap/>
          </w:tcPr>
          <w:p w14:paraId="75E7D5B6" w14:textId="0C51D08B" w:rsidR="00030162" w:rsidRPr="00030162" w:rsidRDefault="00030162" w:rsidP="00030162">
            <w:pPr>
              <w:ind w:left="0"/>
              <w:jc w:val="center"/>
              <w:rPr>
                <w:rFonts w:ascii="Bookman Old Style" w:hAnsi="Bookman Old Style" w:cs="Arial"/>
                <w:color w:val="000000"/>
                <w:sz w:val="20"/>
                <w:szCs w:val="20"/>
              </w:rPr>
            </w:pPr>
            <w:r w:rsidRPr="00030162">
              <w:rPr>
                <w:rFonts w:ascii="Bookman Old Style" w:hAnsi="Bookman Old Style" w:cs="Arial"/>
                <w:color w:val="000000"/>
                <w:sz w:val="20"/>
                <w:szCs w:val="20"/>
              </w:rPr>
              <w:t>1,0000</w:t>
            </w:r>
          </w:p>
        </w:tc>
      </w:tr>
    </w:tbl>
    <w:p w14:paraId="1D55E04E" w14:textId="77777777" w:rsidR="00C51016" w:rsidRPr="00A11EB5" w:rsidRDefault="00C51016" w:rsidP="00C51016">
      <w:pPr>
        <w:ind w:left="0"/>
        <w:rPr>
          <w:rFonts w:ascii="Bookman Old Style" w:hAnsi="Bookman Old Style"/>
        </w:rPr>
      </w:pPr>
    </w:p>
    <w:p w14:paraId="028AE42F" w14:textId="77777777" w:rsidR="00C51016" w:rsidRPr="00667BF5" w:rsidRDefault="00C51016" w:rsidP="00C51016">
      <w:pPr>
        <w:pStyle w:val="Prrafodelista"/>
        <w:numPr>
          <w:ilvl w:val="2"/>
          <w:numId w:val="24"/>
        </w:numPr>
        <w:tabs>
          <w:tab w:val="clear" w:pos="720"/>
          <w:tab w:val="num" w:pos="284"/>
        </w:tabs>
        <w:ind w:left="284" w:hanging="284"/>
        <w:jc w:val="both"/>
        <w:rPr>
          <w:rFonts w:ascii="Bookman Old Style" w:hAnsi="Bookman Old Style"/>
          <w:sz w:val="24"/>
        </w:rPr>
      </w:pPr>
      <w:r>
        <w:rPr>
          <w:rFonts w:ascii="Bookman Old Style" w:hAnsi="Bookman Old Style"/>
          <w:sz w:val="24"/>
        </w:rPr>
        <w:t xml:space="preserve">Se adicionan los </w:t>
      </w:r>
      <w:r w:rsidRPr="00667BF5">
        <w:rPr>
          <w:rFonts w:ascii="Bookman Old Style" w:hAnsi="Bookman Old Style"/>
          <w:sz w:val="24"/>
        </w:rPr>
        <w:t xml:space="preserve">siguientes registros al numeral </w:t>
      </w:r>
      <w:r w:rsidRPr="00667BF5">
        <w:rPr>
          <w:rFonts w:ascii="Bookman Old Style" w:hAnsi="Bookman Old Style"/>
          <w:i/>
          <w:sz w:val="24"/>
        </w:rPr>
        <w:t>2 Líneas de Transmisión</w:t>
      </w:r>
      <w:r w:rsidRPr="00667BF5">
        <w:rPr>
          <w:rFonts w:ascii="Bookman Old Style" w:hAnsi="Bookman Old Style"/>
          <w:sz w:val="24"/>
        </w:rPr>
        <w:t xml:space="preserve"> de la base de activos</w:t>
      </w:r>
      <w:r>
        <w:rPr>
          <w:rFonts w:ascii="Bookman Old Style" w:hAnsi="Bookman Old Style"/>
          <w:sz w:val="24"/>
        </w:rPr>
        <w:t xml:space="preserve"> del a</w:t>
      </w:r>
      <w:r w:rsidRPr="00B84711">
        <w:rPr>
          <w:rFonts w:ascii="Bookman Old Style" w:hAnsi="Bookman Old Style"/>
          <w:sz w:val="24"/>
        </w:rPr>
        <w:t xml:space="preserve">nexo de la </w:t>
      </w:r>
      <w:r w:rsidRPr="00667BF5">
        <w:rPr>
          <w:rFonts w:ascii="Bookman Old Style" w:hAnsi="Bookman Old Style"/>
          <w:sz w:val="24"/>
        </w:rPr>
        <w:t>Resolución CREG 177 de 2013, así:</w:t>
      </w:r>
    </w:p>
    <w:p w14:paraId="25609C5E" w14:textId="77777777" w:rsidR="00C51016" w:rsidRDefault="00C51016" w:rsidP="00C51016">
      <w:pPr>
        <w:ind w:left="0"/>
        <w:jc w:val="both"/>
        <w:rPr>
          <w:rFonts w:ascii="Bookman Old Style" w:hAnsi="Bookman Old Style"/>
        </w:rPr>
      </w:pPr>
    </w:p>
    <w:tbl>
      <w:tblPr>
        <w:tblW w:w="0" w:type="auto"/>
        <w:jc w:val="center"/>
        <w:tblCellMar>
          <w:left w:w="70" w:type="dxa"/>
          <w:right w:w="70" w:type="dxa"/>
        </w:tblCellMar>
        <w:tblLook w:val="04A0" w:firstRow="1" w:lastRow="0" w:firstColumn="1" w:lastColumn="0" w:noHBand="0" w:noVBand="1"/>
      </w:tblPr>
      <w:tblGrid>
        <w:gridCol w:w="588"/>
        <w:gridCol w:w="1959"/>
        <w:gridCol w:w="1701"/>
        <w:gridCol w:w="1701"/>
        <w:gridCol w:w="906"/>
        <w:gridCol w:w="1091"/>
        <w:gridCol w:w="864"/>
      </w:tblGrid>
      <w:tr w:rsidR="00C51016" w:rsidRPr="00703301" w14:paraId="5E65C72C" w14:textId="77777777" w:rsidTr="001A061E">
        <w:trPr>
          <w:trHeight w:val="227"/>
          <w:tblHeader/>
          <w:jc w:val="center"/>
        </w:trPr>
        <w:tc>
          <w:tcPr>
            <w:tcW w:w="588" w:type="dxa"/>
            <w:tcBorders>
              <w:top w:val="single" w:sz="4" w:space="0" w:color="auto"/>
              <w:left w:val="single" w:sz="4" w:space="0" w:color="auto"/>
              <w:bottom w:val="single" w:sz="4" w:space="0" w:color="auto"/>
              <w:right w:val="single" w:sz="4" w:space="0" w:color="auto"/>
            </w:tcBorders>
            <w:vAlign w:val="center"/>
          </w:tcPr>
          <w:p w14:paraId="065B8BF6" w14:textId="77777777" w:rsidR="00C51016" w:rsidRPr="00280830" w:rsidRDefault="00C51016" w:rsidP="00941747">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No.</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4FD44" w14:textId="77777777" w:rsidR="00C51016" w:rsidRPr="00280830" w:rsidRDefault="00C51016" w:rsidP="00941747">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Código Línea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44C337" w14:textId="77777777" w:rsidR="00C51016" w:rsidRPr="00280830" w:rsidRDefault="00C51016" w:rsidP="00941747">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Subestación</w:t>
            </w:r>
          </w:p>
          <w:p w14:paraId="7201E095" w14:textId="77777777" w:rsidR="00C51016" w:rsidRPr="00280830" w:rsidRDefault="00C51016" w:rsidP="00941747">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Inicial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11A409" w14:textId="77777777" w:rsidR="00C51016" w:rsidRPr="00280830" w:rsidRDefault="00C51016" w:rsidP="00941747">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Subestación</w:t>
            </w:r>
          </w:p>
          <w:p w14:paraId="38CEBEB8" w14:textId="77777777" w:rsidR="00C51016" w:rsidRPr="00280830" w:rsidRDefault="00C51016" w:rsidP="00941747">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Final</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6E775D53" w14:textId="77777777" w:rsidR="00C51016" w:rsidRPr="00280830" w:rsidRDefault="00C51016" w:rsidP="00941747">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UC</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74443A1A" w14:textId="77777777" w:rsidR="00C51016" w:rsidRPr="00280830" w:rsidRDefault="00C51016" w:rsidP="00941747">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Cantidad</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7875E882" w14:textId="77777777" w:rsidR="00C51016" w:rsidRPr="00280830" w:rsidRDefault="00C51016" w:rsidP="00941747">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PU</w:t>
            </w:r>
          </w:p>
        </w:tc>
      </w:tr>
      <w:tr w:rsidR="005A276A" w:rsidRPr="00703301" w14:paraId="347956A9" w14:textId="77777777" w:rsidTr="001A061E">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0196DE3F" w14:textId="1388D530"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235</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8C2A6" w14:textId="2D08C723"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CERRSAHA5001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010C6" w14:textId="6D98CCD6"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Cerromatoso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089A8" w14:textId="391AE090"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Sahagún</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DCEB7" w14:textId="5FECA524"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LI511</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036C5" w14:textId="49E4E20C"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79,1760</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1F9CE" w14:textId="3BE1BBF2"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1,0000</w:t>
            </w:r>
          </w:p>
        </w:tc>
      </w:tr>
      <w:tr w:rsidR="005A276A" w:rsidRPr="00703301" w14:paraId="0F6E79A4" w14:textId="77777777" w:rsidTr="001A061E">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2DFE70C8" w14:textId="77A84DA0"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236</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964E7" w14:textId="1B00B682"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CHINSAHA5001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0A6E4" w14:textId="41AA7AC7"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Chinú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F62C7" w14:textId="3EC71E61"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Sahagún</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D3FFE" w14:textId="31AFFBC2"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LI511</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CA2A1" w14:textId="65D40FBC"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52,3020</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CC88" w14:textId="4735D9EF" w:rsidR="005A276A" w:rsidRPr="005A276A" w:rsidRDefault="005A276A" w:rsidP="005A276A">
            <w:pPr>
              <w:ind w:left="0"/>
              <w:jc w:val="center"/>
              <w:rPr>
                <w:rFonts w:ascii="Bookman Old Style" w:hAnsi="Bookman Old Style" w:cs="Arial"/>
                <w:color w:val="000000"/>
                <w:sz w:val="20"/>
                <w:szCs w:val="20"/>
              </w:rPr>
            </w:pPr>
            <w:r w:rsidRPr="005A276A">
              <w:rPr>
                <w:rFonts w:ascii="Bookman Old Style" w:hAnsi="Bookman Old Style" w:cs="Calibri"/>
                <w:color w:val="000000"/>
                <w:sz w:val="20"/>
                <w:szCs w:val="20"/>
              </w:rPr>
              <w:t>1,0000</w:t>
            </w:r>
          </w:p>
        </w:tc>
      </w:tr>
      <w:tr w:rsidR="001A061E" w:rsidRPr="00703301" w14:paraId="5F294365" w14:textId="77777777" w:rsidTr="001A061E">
        <w:trPr>
          <w:trHeight w:val="227"/>
          <w:jc w:val="center"/>
        </w:trPr>
        <w:tc>
          <w:tcPr>
            <w:tcW w:w="588" w:type="dxa"/>
            <w:tcBorders>
              <w:top w:val="single" w:sz="4" w:space="0" w:color="auto"/>
            </w:tcBorders>
            <w:vAlign w:val="bottom"/>
          </w:tcPr>
          <w:p w14:paraId="49B3ED0C" w14:textId="77777777" w:rsidR="001A061E" w:rsidRPr="005A276A" w:rsidRDefault="001A061E" w:rsidP="005A276A">
            <w:pPr>
              <w:ind w:left="0"/>
              <w:jc w:val="center"/>
              <w:rPr>
                <w:rFonts w:ascii="Bookman Old Style" w:hAnsi="Bookman Old Style" w:cs="Calibri"/>
                <w:color w:val="000000"/>
                <w:sz w:val="20"/>
                <w:szCs w:val="20"/>
              </w:rPr>
            </w:pPr>
          </w:p>
        </w:tc>
        <w:tc>
          <w:tcPr>
            <w:tcW w:w="1959" w:type="dxa"/>
            <w:tcBorders>
              <w:top w:val="single" w:sz="4" w:space="0" w:color="auto"/>
            </w:tcBorders>
            <w:shd w:val="clear" w:color="auto" w:fill="auto"/>
            <w:noWrap/>
            <w:vAlign w:val="bottom"/>
          </w:tcPr>
          <w:p w14:paraId="1699CE69" w14:textId="77777777" w:rsidR="001A061E" w:rsidRPr="005A276A" w:rsidRDefault="001A061E" w:rsidP="005A276A">
            <w:pPr>
              <w:ind w:left="0"/>
              <w:jc w:val="center"/>
              <w:rPr>
                <w:rFonts w:ascii="Bookman Old Style" w:hAnsi="Bookman Old Style" w:cs="Calibri"/>
                <w:color w:val="000000"/>
                <w:sz w:val="20"/>
                <w:szCs w:val="20"/>
              </w:rPr>
            </w:pPr>
          </w:p>
        </w:tc>
        <w:tc>
          <w:tcPr>
            <w:tcW w:w="1701" w:type="dxa"/>
            <w:tcBorders>
              <w:top w:val="single" w:sz="4" w:space="0" w:color="auto"/>
            </w:tcBorders>
            <w:shd w:val="clear" w:color="auto" w:fill="auto"/>
            <w:noWrap/>
            <w:vAlign w:val="bottom"/>
          </w:tcPr>
          <w:p w14:paraId="25905EF3" w14:textId="77777777" w:rsidR="001A061E" w:rsidRPr="005A276A" w:rsidRDefault="001A061E" w:rsidP="005A276A">
            <w:pPr>
              <w:ind w:left="0"/>
              <w:jc w:val="center"/>
              <w:rPr>
                <w:rFonts w:ascii="Bookman Old Style" w:hAnsi="Bookman Old Style" w:cs="Calibri"/>
                <w:color w:val="000000"/>
                <w:sz w:val="20"/>
                <w:szCs w:val="20"/>
              </w:rPr>
            </w:pPr>
          </w:p>
        </w:tc>
        <w:tc>
          <w:tcPr>
            <w:tcW w:w="1701" w:type="dxa"/>
            <w:tcBorders>
              <w:top w:val="single" w:sz="4" w:space="0" w:color="auto"/>
            </w:tcBorders>
            <w:shd w:val="clear" w:color="auto" w:fill="auto"/>
            <w:noWrap/>
            <w:vAlign w:val="bottom"/>
          </w:tcPr>
          <w:p w14:paraId="2E974AB9" w14:textId="77777777" w:rsidR="001A061E" w:rsidRPr="005A276A" w:rsidRDefault="001A061E" w:rsidP="005A276A">
            <w:pPr>
              <w:ind w:left="0"/>
              <w:jc w:val="center"/>
              <w:rPr>
                <w:rFonts w:ascii="Bookman Old Style" w:hAnsi="Bookman Old Style" w:cs="Calibri"/>
                <w:color w:val="000000"/>
                <w:sz w:val="20"/>
                <w:szCs w:val="20"/>
              </w:rPr>
            </w:pPr>
          </w:p>
        </w:tc>
        <w:tc>
          <w:tcPr>
            <w:tcW w:w="906" w:type="dxa"/>
            <w:tcBorders>
              <w:top w:val="single" w:sz="4" w:space="0" w:color="auto"/>
            </w:tcBorders>
            <w:shd w:val="clear" w:color="auto" w:fill="auto"/>
            <w:noWrap/>
            <w:vAlign w:val="bottom"/>
          </w:tcPr>
          <w:p w14:paraId="7D1A68C1" w14:textId="77777777" w:rsidR="001A061E" w:rsidRPr="005A276A" w:rsidRDefault="001A061E" w:rsidP="005A276A">
            <w:pPr>
              <w:ind w:left="0"/>
              <w:jc w:val="center"/>
              <w:rPr>
                <w:rFonts w:ascii="Bookman Old Style" w:hAnsi="Bookman Old Style" w:cs="Calibri"/>
                <w:color w:val="000000"/>
                <w:sz w:val="20"/>
                <w:szCs w:val="20"/>
              </w:rPr>
            </w:pPr>
          </w:p>
        </w:tc>
        <w:tc>
          <w:tcPr>
            <w:tcW w:w="1091" w:type="dxa"/>
            <w:tcBorders>
              <w:top w:val="single" w:sz="4" w:space="0" w:color="auto"/>
            </w:tcBorders>
            <w:shd w:val="clear" w:color="auto" w:fill="auto"/>
            <w:noWrap/>
            <w:vAlign w:val="bottom"/>
          </w:tcPr>
          <w:p w14:paraId="7931B43D" w14:textId="77777777" w:rsidR="001A061E" w:rsidRPr="005A276A" w:rsidRDefault="001A061E" w:rsidP="005A276A">
            <w:pPr>
              <w:ind w:left="0"/>
              <w:jc w:val="center"/>
              <w:rPr>
                <w:rFonts w:ascii="Bookman Old Style" w:hAnsi="Bookman Old Style" w:cs="Calibri"/>
                <w:color w:val="000000"/>
                <w:sz w:val="20"/>
                <w:szCs w:val="20"/>
              </w:rPr>
            </w:pPr>
          </w:p>
        </w:tc>
        <w:tc>
          <w:tcPr>
            <w:tcW w:w="864" w:type="dxa"/>
            <w:tcBorders>
              <w:top w:val="single" w:sz="4" w:space="0" w:color="auto"/>
            </w:tcBorders>
            <w:shd w:val="clear" w:color="auto" w:fill="auto"/>
            <w:noWrap/>
            <w:vAlign w:val="bottom"/>
          </w:tcPr>
          <w:p w14:paraId="02DC7962" w14:textId="77777777" w:rsidR="001A061E" w:rsidRPr="005A276A" w:rsidRDefault="001A061E" w:rsidP="005A276A">
            <w:pPr>
              <w:ind w:left="0"/>
              <w:jc w:val="center"/>
              <w:rPr>
                <w:rFonts w:ascii="Bookman Old Style" w:hAnsi="Bookman Old Style" w:cs="Calibri"/>
                <w:color w:val="000000"/>
                <w:sz w:val="20"/>
                <w:szCs w:val="20"/>
              </w:rPr>
            </w:pPr>
          </w:p>
        </w:tc>
      </w:tr>
    </w:tbl>
    <w:p w14:paraId="3906E012" w14:textId="3D8CF94F" w:rsidR="00492992" w:rsidRPr="00B33523" w:rsidRDefault="00492992" w:rsidP="0051132C">
      <w:pPr>
        <w:pStyle w:val="Artculo"/>
      </w:pPr>
      <w:r w:rsidRPr="00B33523">
        <w:rPr>
          <w:b/>
          <w:bCs/>
        </w:rPr>
        <w:t>Recursos</w:t>
      </w:r>
      <w:r w:rsidRPr="00B33523">
        <w:rPr>
          <w:bCs/>
        </w:rPr>
        <w:t xml:space="preserve">. </w:t>
      </w:r>
      <w:r w:rsidR="00C51016" w:rsidRPr="002C219E">
        <w:t>La presente resolución deberá notificarse al representante legal de la empresa Intercolombia S.A. E.S.P. Contra lo dispuesto en este acto procede el recurso de reposición, el cual se podrá interponer ante la Dirección Ejecutiva de la CREG dentro de los cinco (5) días hábiles siguientes a la fecha de su notificación.</w:t>
      </w:r>
    </w:p>
    <w:p w14:paraId="1A65BDF4" w14:textId="0CAEFC6C" w:rsidR="00045D3D" w:rsidRPr="00B33523" w:rsidRDefault="00045D3D" w:rsidP="006238C6">
      <w:pPr>
        <w:ind w:left="0"/>
        <w:rPr>
          <w:rFonts w:ascii="Bookman Old Style" w:hAnsi="Bookman Old Style" w:cs="Arial"/>
        </w:rPr>
      </w:pPr>
    </w:p>
    <w:p w14:paraId="4C3505C4" w14:textId="00BD996B" w:rsidR="00045D3D" w:rsidRPr="00B33523" w:rsidRDefault="00045D3D" w:rsidP="00045D3D">
      <w:pPr>
        <w:ind w:left="0"/>
        <w:rPr>
          <w:rFonts w:ascii="Bookman Old Style" w:hAnsi="Bookman Old Style" w:cs="Arial"/>
        </w:rPr>
      </w:pPr>
    </w:p>
    <w:p w14:paraId="292B1F06" w14:textId="77777777" w:rsidR="00045D3D" w:rsidRPr="00B33523" w:rsidRDefault="002903C0" w:rsidP="00D57F2B">
      <w:pPr>
        <w:ind w:left="0"/>
        <w:jc w:val="center"/>
        <w:rPr>
          <w:rFonts w:ascii="Bookman Old Style" w:hAnsi="Bookman Old Style" w:cs="Arial"/>
          <w:b/>
        </w:rPr>
      </w:pPr>
      <w:r w:rsidRPr="00B33523">
        <w:rPr>
          <w:rFonts w:ascii="Bookman Old Style" w:hAnsi="Bookman Old Style" w:cs="Arial"/>
          <w:b/>
        </w:rPr>
        <w:t xml:space="preserve">NOTIFÍQUESE, </w:t>
      </w:r>
      <w:r w:rsidR="00045D3D" w:rsidRPr="00B33523">
        <w:rPr>
          <w:rFonts w:ascii="Bookman Old Style" w:hAnsi="Bookman Old Style" w:cs="Arial"/>
          <w:b/>
        </w:rPr>
        <w:t>PU</w:t>
      </w:r>
      <w:r w:rsidR="00CA03C8" w:rsidRPr="00B33523">
        <w:rPr>
          <w:rFonts w:ascii="Bookman Old Style" w:hAnsi="Bookman Old Style" w:cs="Arial"/>
          <w:b/>
        </w:rPr>
        <w:t>B</w:t>
      </w:r>
      <w:r w:rsidR="00045D3D" w:rsidRPr="00B33523">
        <w:rPr>
          <w:rFonts w:ascii="Bookman Old Style" w:hAnsi="Bookman Old Style" w:cs="Arial"/>
          <w:b/>
        </w:rPr>
        <w:t>LÍQUESE Y CÚMPLASE</w:t>
      </w:r>
    </w:p>
    <w:p w14:paraId="7651F574" w14:textId="7B88946B" w:rsidR="00045D3D" w:rsidRDefault="00045D3D" w:rsidP="00045D3D">
      <w:pPr>
        <w:rPr>
          <w:rFonts w:ascii="Bookman Old Style" w:hAnsi="Bookman Old Style" w:cs="Arial"/>
        </w:rPr>
      </w:pPr>
    </w:p>
    <w:p w14:paraId="41B2D8FD" w14:textId="77777777" w:rsidR="005F4258" w:rsidRPr="00B33523" w:rsidRDefault="005F4258" w:rsidP="00045D3D">
      <w:pPr>
        <w:rPr>
          <w:rFonts w:ascii="Bookman Old Style" w:hAnsi="Bookman Old Style" w:cs="Arial"/>
        </w:rPr>
      </w:pPr>
    </w:p>
    <w:p w14:paraId="41425FE5" w14:textId="2CE9A6E3" w:rsidR="00045D3D" w:rsidRPr="008248D7" w:rsidRDefault="00045D3D" w:rsidP="00045D3D">
      <w:pPr>
        <w:ind w:left="0"/>
        <w:rPr>
          <w:rFonts w:ascii="Bookman Old Style" w:hAnsi="Bookman Old Style" w:cs="Arial"/>
          <w:b/>
          <w:bCs/>
        </w:rPr>
      </w:pPr>
      <w:r w:rsidRPr="00B33523">
        <w:rPr>
          <w:rFonts w:ascii="Bookman Old Style" w:hAnsi="Bookman Old Style" w:cs="Arial"/>
        </w:rPr>
        <w:t>Dada en Bogotá, D.C.</w:t>
      </w:r>
      <w:r w:rsidR="00CA3AA6" w:rsidRPr="00B33523">
        <w:rPr>
          <w:rFonts w:ascii="Bookman Old Style" w:hAnsi="Bookman Old Style" w:cs="Arial"/>
        </w:rPr>
        <w:t xml:space="preserve"> </w:t>
      </w:r>
      <w:r w:rsidR="00FD4DD3">
        <w:rPr>
          <w:rFonts w:ascii="Bookman Old Style" w:hAnsi="Bookman Old Style" w:cs="Arial"/>
        </w:rPr>
        <w:t xml:space="preserve">el 17 de febrero de </w:t>
      </w:r>
      <w:r w:rsidR="008248D7" w:rsidRPr="00FD4DD3">
        <w:rPr>
          <w:rFonts w:ascii="Bookman Old Style" w:hAnsi="Bookman Old Style" w:cs="Arial"/>
        </w:rPr>
        <w:t>202</w:t>
      </w:r>
      <w:r w:rsidR="00C51016" w:rsidRPr="00FD4DD3">
        <w:rPr>
          <w:rFonts w:ascii="Bookman Old Style" w:hAnsi="Bookman Old Style" w:cs="Arial"/>
        </w:rPr>
        <w:t>3</w:t>
      </w:r>
      <w:r w:rsidR="00FD4DD3">
        <w:rPr>
          <w:rFonts w:ascii="Bookman Old Style" w:hAnsi="Bookman Old Style" w:cs="Arial"/>
        </w:rPr>
        <w:t>.</w:t>
      </w:r>
    </w:p>
    <w:p w14:paraId="2A65BEAB" w14:textId="007D20F5" w:rsidR="00045D3D" w:rsidRPr="00B33523" w:rsidRDefault="00045D3D" w:rsidP="00045D3D">
      <w:pPr>
        <w:ind w:left="0"/>
        <w:rPr>
          <w:rFonts w:ascii="Bookman Old Style" w:hAnsi="Bookman Old Style" w:cs="Arial"/>
        </w:rPr>
      </w:pPr>
    </w:p>
    <w:p w14:paraId="5B65FCD7" w14:textId="38ECB202" w:rsidR="000041F3" w:rsidRPr="00B33523" w:rsidRDefault="000041F3" w:rsidP="00045D3D">
      <w:pPr>
        <w:ind w:left="0"/>
        <w:rPr>
          <w:rFonts w:ascii="Bookman Old Style" w:hAnsi="Bookman Old Style" w:cs="Arial"/>
        </w:rPr>
      </w:pPr>
    </w:p>
    <w:p w14:paraId="6C95199A" w14:textId="6C9EBAF1" w:rsidR="000041F3" w:rsidRPr="00B33523" w:rsidRDefault="000041F3" w:rsidP="00045D3D">
      <w:pPr>
        <w:ind w:left="0"/>
        <w:rPr>
          <w:rFonts w:ascii="Bookman Old Style" w:hAnsi="Bookman Old Style" w:cs="Arial"/>
        </w:rPr>
      </w:pPr>
    </w:p>
    <w:p w14:paraId="1C505DDF" w14:textId="5ABE00D0" w:rsidR="00045D3D" w:rsidRPr="00B33523" w:rsidRDefault="00045D3D" w:rsidP="00045D3D">
      <w:pPr>
        <w:ind w:left="0"/>
        <w:rPr>
          <w:rFonts w:ascii="Bookman Old Style" w:hAnsi="Bookman Old Style" w:cs="Arial"/>
        </w:rPr>
      </w:pPr>
    </w:p>
    <w:tbl>
      <w:tblPr>
        <w:tblW w:w="0" w:type="auto"/>
        <w:jc w:val="center"/>
        <w:tblLayout w:type="fixed"/>
        <w:tblCellMar>
          <w:left w:w="70" w:type="dxa"/>
          <w:right w:w="70" w:type="dxa"/>
        </w:tblCellMar>
        <w:tblLook w:val="0000" w:firstRow="0" w:lastRow="0" w:firstColumn="0" w:lastColumn="0" w:noHBand="0" w:noVBand="0"/>
      </w:tblPr>
      <w:tblGrid>
        <w:gridCol w:w="4536"/>
        <w:gridCol w:w="4678"/>
      </w:tblGrid>
      <w:tr w:rsidR="00F77D2D" w:rsidRPr="00B33523" w14:paraId="1893E0FE" w14:textId="77777777" w:rsidTr="008248D7">
        <w:trPr>
          <w:jc w:val="center"/>
        </w:trPr>
        <w:tc>
          <w:tcPr>
            <w:tcW w:w="4536" w:type="dxa"/>
          </w:tcPr>
          <w:p w14:paraId="522DECE2" w14:textId="29ED5404" w:rsidR="00F77D2D" w:rsidRPr="008248D7" w:rsidRDefault="00710742" w:rsidP="00C44E5F">
            <w:pPr>
              <w:tabs>
                <w:tab w:val="left" w:pos="-720"/>
              </w:tabs>
              <w:suppressAutoHyphens/>
              <w:ind w:left="0"/>
              <w:jc w:val="center"/>
              <w:rPr>
                <w:rFonts w:ascii="Bookman Old Style" w:hAnsi="Bookman Old Style" w:cs="Arial"/>
                <w:b/>
              </w:rPr>
            </w:pPr>
            <w:r>
              <w:rPr>
                <w:rFonts w:ascii="Bookman Old Style" w:hAnsi="Bookman Old Style" w:cs="Arial"/>
                <w:b/>
              </w:rPr>
              <w:t>CRISTIÁN ANDRÉS DÍAZ DURÁN</w:t>
            </w:r>
          </w:p>
          <w:p w14:paraId="62CEED79" w14:textId="345F6EEE" w:rsidR="00710742" w:rsidRPr="00710742" w:rsidRDefault="00710742" w:rsidP="00710742">
            <w:pPr>
              <w:tabs>
                <w:tab w:val="left" w:pos="-720"/>
              </w:tabs>
              <w:suppressAutoHyphens/>
              <w:ind w:left="0"/>
              <w:jc w:val="center"/>
              <w:rPr>
                <w:rFonts w:ascii="Bookman Old Style" w:hAnsi="Bookman Old Style" w:cs="Arial"/>
              </w:rPr>
            </w:pPr>
            <w:r w:rsidRPr="00710742">
              <w:rPr>
                <w:rFonts w:ascii="Bookman Old Style" w:hAnsi="Bookman Old Style" w:cs="Arial"/>
              </w:rPr>
              <w:t>Viceministr</w:t>
            </w:r>
            <w:r>
              <w:rPr>
                <w:rFonts w:ascii="Bookman Old Style" w:hAnsi="Bookman Old Style" w:cs="Arial"/>
              </w:rPr>
              <w:t>o</w:t>
            </w:r>
            <w:r w:rsidRPr="00710742">
              <w:rPr>
                <w:rFonts w:ascii="Bookman Old Style" w:hAnsi="Bookman Old Style" w:cs="Arial"/>
              </w:rPr>
              <w:t xml:space="preserve"> de Energía (E), delegad</w:t>
            </w:r>
            <w:r>
              <w:rPr>
                <w:rFonts w:ascii="Bookman Old Style" w:hAnsi="Bookman Old Style" w:cs="Arial"/>
              </w:rPr>
              <w:t>o</w:t>
            </w:r>
            <w:r w:rsidRPr="00710742">
              <w:rPr>
                <w:rFonts w:ascii="Bookman Old Style" w:hAnsi="Bookman Old Style" w:cs="Arial"/>
              </w:rPr>
              <w:t xml:space="preserve"> de la </w:t>
            </w:r>
            <w:proofErr w:type="gramStart"/>
            <w:r w:rsidRPr="00710742">
              <w:rPr>
                <w:rFonts w:ascii="Bookman Old Style" w:hAnsi="Bookman Old Style" w:cs="Arial"/>
              </w:rPr>
              <w:t>Ministra</w:t>
            </w:r>
            <w:proofErr w:type="gramEnd"/>
            <w:r w:rsidRPr="00710742">
              <w:rPr>
                <w:rFonts w:ascii="Bookman Old Style" w:hAnsi="Bookman Old Style" w:cs="Arial"/>
              </w:rPr>
              <w:t xml:space="preserve"> de Minas y Energía</w:t>
            </w:r>
          </w:p>
          <w:p w14:paraId="6AD75F25" w14:textId="7D0ACBB7" w:rsidR="00F77D2D" w:rsidRPr="00B33523" w:rsidRDefault="00710742" w:rsidP="00710742">
            <w:pPr>
              <w:tabs>
                <w:tab w:val="left" w:pos="-720"/>
              </w:tabs>
              <w:suppressAutoHyphens/>
              <w:ind w:left="0"/>
              <w:jc w:val="center"/>
              <w:rPr>
                <w:rFonts w:ascii="Bookman Old Style" w:hAnsi="Bookman Old Style" w:cs="Arial"/>
                <w:b/>
                <w:strike/>
              </w:rPr>
            </w:pPr>
            <w:r w:rsidRPr="00710742">
              <w:rPr>
                <w:rFonts w:ascii="Bookman Old Style" w:hAnsi="Bookman Old Style" w:cs="Arial"/>
              </w:rPr>
              <w:t>Presidente</w:t>
            </w:r>
          </w:p>
        </w:tc>
        <w:tc>
          <w:tcPr>
            <w:tcW w:w="4678" w:type="dxa"/>
          </w:tcPr>
          <w:p w14:paraId="6369F7A4" w14:textId="32757C94" w:rsidR="00F77D2D" w:rsidRPr="00B33523" w:rsidRDefault="000E3B7A" w:rsidP="00C44E5F">
            <w:pPr>
              <w:tabs>
                <w:tab w:val="left" w:pos="-720"/>
              </w:tabs>
              <w:suppressAutoHyphens/>
              <w:ind w:left="0"/>
              <w:jc w:val="center"/>
              <w:rPr>
                <w:rFonts w:ascii="Bookman Old Style" w:hAnsi="Bookman Old Style" w:cs="Arial"/>
                <w:b/>
              </w:rPr>
            </w:pPr>
            <w:r w:rsidRPr="00B33523">
              <w:rPr>
                <w:rFonts w:ascii="Bookman Old Style" w:hAnsi="Bookman Old Style" w:cs="Arial"/>
                <w:b/>
              </w:rPr>
              <w:t>JO</w:t>
            </w:r>
            <w:r w:rsidR="00735BA1">
              <w:rPr>
                <w:rFonts w:ascii="Bookman Old Style" w:hAnsi="Bookman Old Style" w:cs="Arial"/>
                <w:b/>
              </w:rPr>
              <w:t>S</w:t>
            </w:r>
            <w:r w:rsidRPr="00B33523">
              <w:rPr>
                <w:rFonts w:ascii="Bookman Old Style" w:hAnsi="Bookman Old Style" w:cs="Arial"/>
                <w:b/>
              </w:rPr>
              <w:t xml:space="preserve">E </w:t>
            </w:r>
            <w:r w:rsidR="00735BA1">
              <w:rPr>
                <w:rFonts w:ascii="Bookman Old Style" w:hAnsi="Bookman Old Style" w:cs="Arial"/>
                <w:b/>
              </w:rPr>
              <w:t>F</w:t>
            </w:r>
            <w:r w:rsidRPr="00B33523">
              <w:rPr>
                <w:rFonts w:ascii="Bookman Old Style" w:hAnsi="Bookman Old Style" w:cs="Arial"/>
                <w:b/>
              </w:rPr>
              <w:t>ER</w:t>
            </w:r>
            <w:r w:rsidR="00735BA1">
              <w:rPr>
                <w:rFonts w:ascii="Bookman Old Style" w:hAnsi="Bookman Old Style" w:cs="Arial"/>
                <w:b/>
              </w:rPr>
              <w:t>NAND</w:t>
            </w:r>
            <w:r w:rsidRPr="00B33523">
              <w:rPr>
                <w:rFonts w:ascii="Bookman Old Style" w:hAnsi="Bookman Old Style" w:cs="Arial"/>
                <w:b/>
              </w:rPr>
              <w:t xml:space="preserve">O </w:t>
            </w:r>
            <w:r w:rsidR="00735BA1">
              <w:rPr>
                <w:rFonts w:ascii="Bookman Old Style" w:hAnsi="Bookman Old Style" w:cs="Arial"/>
                <w:b/>
              </w:rPr>
              <w:t>PR</w:t>
            </w:r>
            <w:r w:rsidRPr="00B33523">
              <w:rPr>
                <w:rFonts w:ascii="Bookman Old Style" w:hAnsi="Bookman Old Style" w:cs="Arial"/>
                <w:b/>
              </w:rPr>
              <w:t>A</w:t>
            </w:r>
            <w:r w:rsidR="00735BA1">
              <w:rPr>
                <w:rFonts w:ascii="Bookman Old Style" w:hAnsi="Bookman Old Style" w:cs="Arial"/>
                <w:b/>
              </w:rPr>
              <w:t>D</w:t>
            </w:r>
            <w:r w:rsidRPr="00B33523">
              <w:rPr>
                <w:rFonts w:ascii="Bookman Old Style" w:hAnsi="Bookman Old Style" w:cs="Arial"/>
                <w:b/>
              </w:rPr>
              <w:t>A RÍ</w:t>
            </w:r>
            <w:r w:rsidR="00967FA5">
              <w:rPr>
                <w:rFonts w:ascii="Bookman Old Style" w:hAnsi="Bookman Old Style" w:cs="Arial"/>
                <w:b/>
              </w:rPr>
              <w:t>OS</w:t>
            </w:r>
          </w:p>
          <w:p w14:paraId="734E2950" w14:textId="77777777" w:rsidR="00F77D2D" w:rsidRPr="00B33523" w:rsidRDefault="00F77D2D" w:rsidP="00C44E5F">
            <w:pPr>
              <w:tabs>
                <w:tab w:val="left" w:pos="-720"/>
              </w:tabs>
              <w:suppressAutoHyphens/>
              <w:ind w:left="0"/>
              <w:jc w:val="center"/>
              <w:rPr>
                <w:rFonts w:ascii="Bookman Old Style" w:hAnsi="Bookman Old Style" w:cs="Arial"/>
                <w:b/>
              </w:rPr>
            </w:pPr>
            <w:r w:rsidRPr="00B33523">
              <w:rPr>
                <w:rFonts w:ascii="Bookman Old Style" w:hAnsi="Bookman Old Style" w:cs="Arial"/>
              </w:rPr>
              <w:t>Director Ejecutivo</w:t>
            </w:r>
          </w:p>
        </w:tc>
      </w:tr>
    </w:tbl>
    <w:p w14:paraId="7C2B3EB8" w14:textId="77777777" w:rsidR="00045D3D" w:rsidRPr="00B33523" w:rsidRDefault="00045D3D" w:rsidP="00045D3D">
      <w:pPr>
        <w:ind w:left="0"/>
        <w:rPr>
          <w:rFonts w:ascii="Bookman Old Style" w:hAnsi="Bookman Old Style" w:cs="Arial"/>
        </w:rPr>
      </w:pPr>
    </w:p>
    <w:sectPr w:rsidR="00045D3D" w:rsidRPr="00B33523"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66C6" w14:textId="77777777" w:rsidR="00F51ED1" w:rsidRDefault="00F51ED1">
      <w:r>
        <w:separator/>
      </w:r>
    </w:p>
  </w:endnote>
  <w:endnote w:type="continuationSeparator" w:id="0">
    <w:p w14:paraId="50A1824E" w14:textId="77777777" w:rsidR="00F51ED1" w:rsidRDefault="00F5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E067" w14:textId="77777777" w:rsidR="00F51ED1" w:rsidRDefault="00F51ED1">
      <w:r>
        <w:separator/>
      </w:r>
    </w:p>
  </w:footnote>
  <w:footnote w:type="continuationSeparator" w:id="0">
    <w:p w14:paraId="63E8F7AD" w14:textId="77777777" w:rsidR="00F51ED1" w:rsidRDefault="00F5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30DDFF07"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FD4DD3">
      <w:rPr>
        <w:rFonts w:ascii="Bookman Old Style" w:hAnsi="Bookman Old Style" w:cs="Arial"/>
        <w:b w:val="0"/>
        <w:sz w:val="22"/>
        <w:szCs w:val="22"/>
      </w:rPr>
      <w:t>.</w:t>
    </w:r>
    <w:r w:rsidR="00FD4DD3">
      <w:rPr>
        <w:rFonts w:ascii="Bookman Old Style" w:hAnsi="Bookman Old Style" w:cs="Arial"/>
        <w:b w:val="0"/>
        <w:sz w:val="22"/>
        <w:szCs w:val="22"/>
      </w:rPr>
      <w:t xml:space="preserve"> </w:t>
    </w:r>
    <w:r w:rsidR="00B33523" w:rsidRPr="00FD4DD3">
      <w:rPr>
        <w:rFonts w:ascii="Bookman Old Style" w:hAnsi="Bookman Old Style" w:cs="Arial"/>
        <w:bCs/>
        <w:szCs w:val="24"/>
        <w:u w:val="single"/>
      </w:rPr>
      <w:t>501 0</w:t>
    </w:r>
    <w:r w:rsidR="0085430A" w:rsidRPr="00FD4DD3">
      <w:rPr>
        <w:rFonts w:ascii="Bookman Old Style" w:hAnsi="Bookman Old Style" w:cs="Arial"/>
        <w:bCs/>
        <w:szCs w:val="24"/>
        <w:u w:val="single"/>
      </w:rPr>
      <w:t>0</w:t>
    </w:r>
    <w:r w:rsidR="003751E8">
      <w:rPr>
        <w:rFonts w:ascii="Bookman Old Style" w:hAnsi="Bookman Old Style" w:cs="Arial"/>
        <w:bCs/>
        <w:szCs w:val="24"/>
        <w:u w:val="single"/>
      </w:rPr>
      <w:t>6</w:t>
    </w:r>
    <w:r w:rsidR="00FD4DD3">
      <w:rPr>
        <w:rFonts w:ascii="Bookman Old Style" w:hAnsi="Bookman Old Style" w:cs="Arial"/>
        <w:b w:val="0"/>
        <w:sz w:val="22"/>
        <w:szCs w:val="22"/>
      </w:rPr>
      <w:t xml:space="preserve">   </w:t>
    </w:r>
    <w:r w:rsidR="00886EE1">
      <w:rPr>
        <w:rFonts w:ascii="Bookman Old Style" w:hAnsi="Bookman Old Style" w:cs="Arial"/>
        <w:b w:val="0"/>
        <w:sz w:val="22"/>
        <w:szCs w:val="22"/>
      </w:rPr>
      <w:t>DE</w:t>
    </w:r>
    <w:r w:rsidR="00FD4DD3">
      <w:rPr>
        <w:rFonts w:ascii="Bookman Old Style" w:hAnsi="Bookman Old Style" w:cs="Arial"/>
        <w:b w:val="0"/>
        <w:sz w:val="22"/>
        <w:szCs w:val="22"/>
      </w:rPr>
      <w:t xml:space="preserve">  </w:t>
    </w:r>
    <w:r w:rsidR="00FD4DD3" w:rsidRPr="00FD4DD3">
      <w:rPr>
        <w:rFonts w:ascii="Bookman Old Style" w:hAnsi="Bookman Old Style" w:cs="Arial"/>
        <w:bCs/>
        <w:szCs w:val="24"/>
        <w:u w:val="single"/>
      </w:rPr>
      <w:t>17 FEB.</w:t>
    </w:r>
    <w:r w:rsidR="00B33523" w:rsidRPr="00FD4DD3">
      <w:rPr>
        <w:rFonts w:ascii="Bookman Old Style" w:hAnsi="Bookman Old Style" w:cs="Arial"/>
        <w:bCs/>
        <w:szCs w:val="24"/>
        <w:u w:val="single"/>
      </w:rPr>
      <w:t xml:space="preserve"> 202</w:t>
    </w:r>
    <w:r w:rsidR="00C51016" w:rsidRPr="00FD4DD3">
      <w:rPr>
        <w:rFonts w:ascii="Bookman Old Style" w:hAnsi="Bookman Old Style" w:cs="Arial"/>
        <w:bCs/>
        <w:szCs w:val="24"/>
        <w:u w:val="single"/>
      </w:rPr>
      <w:t>3</w:t>
    </w:r>
    <w:r w:rsidR="003D076C">
      <w:rPr>
        <w:rFonts w:ascii="Bookman Old Style" w:hAnsi="Bookman Old Style" w:cs="Arial"/>
        <w:b w:val="0"/>
        <w:sz w:val="22"/>
        <w:szCs w:val="22"/>
      </w:rPr>
      <w:tab/>
    </w:r>
    <w:r w:rsidR="001F0A9F">
      <w:rPr>
        <w:rFonts w:ascii="Bookman Old Style" w:hAnsi="Bookman Old Style" w:cs="Arial"/>
        <w:b w:val="0"/>
        <w:sz w:val="22"/>
        <w:szCs w:val="22"/>
      </w:rPr>
      <w:tab/>
    </w:r>
    <w:r w:rsidR="001F0A9F">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A2AFF">
      <w:fldChar w:fldCharType="begin"/>
    </w:r>
    <w:r w:rsidR="00FA2AFF">
      <w:instrText xml:space="preserve"> NUMPAGES  \* MERGEFORMAT </w:instrText>
    </w:r>
    <w:r w:rsidR="00FA2AFF">
      <w:fldChar w:fldCharType="separate"/>
    </w:r>
    <w:r w:rsidR="00F77D2D" w:rsidRPr="00F77D2D">
      <w:rPr>
        <w:rFonts w:ascii="Bookman Old Style" w:hAnsi="Bookman Old Style" w:cs="Arial"/>
        <w:b w:val="0"/>
        <w:noProof/>
        <w:sz w:val="22"/>
        <w:szCs w:val="22"/>
      </w:rPr>
      <w:t>2</w:t>
    </w:r>
    <w:r w:rsidR="00FA2AFF">
      <w:rPr>
        <w:rFonts w:ascii="Bookman Old Style" w:hAnsi="Bookman Old Style" w:cs="Arial"/>
        <w:b w:val="0"/>
        <w:noProof/>
        <w:sz w:val="22"/>
        <w:szCs w:val="22"/>
      </w:rPr>
      <w:fldChar w:fldCharType="end"/>
    </w:r>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D270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65D1D48" w14:textId="0D50CE49" w:rsidR="003049D2" w:rsidRPr="001F0A9F" w:rsidRDefault="00C51016" w:rsidP="006238C6">
    <w:pPr>
      <w:pBdr>
        <w:bottom w:val="single" w:sz="6" w:space="6" w:color="auto"/>
      </w:pBdr>
      <w:spacing w:before="60" w:after="120"/>
      <w:ind w:left="0"/>
      <w:jc w:val="both"/>
      <w:rPr>
        <w:rFonts w:ascii="Bookman Old Style" w:hAnsi="Bookman Old Style" w:cs="Arial"/>
        <w:i/>
        <w:iCs/>
        <w:sz w:val="22"/>
        <w:szCs w:val="22"/>
      </w:rPr>
    </w:pPr>
    <w:r w:rsidRPr="001F0A9F">
      <w:rPr>
        <w:rFonts w:ascii="Bookman Old Style" w:hAnsi="Bookman Old Style" w:cs="Arial"/>
        <w:i/>
        <w:iCs/>
        <w:sz w:val="22"/>
        <w:szCs w:val="22"/>
      </w:rPr>
      <w:t>Por la cual se actualiza la base de activos de Intercolombia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68781899" w:rsidR="00725FA4" w:rsidRPr="00B33523" w:rsidRDefault="00725FA4" w:rsidP="001F0A9F">
    <w:pPr>
      <w:pStyle w:val="Encabezado"/>
      <w:ind w:left="0"/>
      <w:jc w:val="center"/>
      <w:rPr>
        <w:rFonts w:ascii="Arial" w:hAnsi="Arial" w:cs="Arial"/>
        <w:spacing w:val="20"/>
        <w:szCs w:val="24"/>
      </w:rPr>
    </w:pPr>
    <w:r w:rsidRPr="00B33523">
      <w:rPr>
        <w:rFonts w:ascii="Arial" w:hAnsi="Arial" w:cs="Arial"/>
        <w:spacing w:val="20"/>
        <w:szCs w:val="24"/>
      </w:rPr>
      <w:t>República de Colombia</w:t>
    </w:r>
  </w:p>
  <w:p w14:paraId="273850B7" w14:textId="77777777" w:rsidR="00725FA4" w:rsidRDefault="00725FA4">
    <w:pPr>
      <w:pStyle w:val="Encabezado"/>
      <w:jc w:val="center"/>
      <w:rPr>
        <w:rFonts w:ascii="Arial" w:hAnsi="Arial" w:cs="Arial"/>
        <w:spacing w:val="20"/>
        <w:sz w:val="20"/>
      </w:rPr>
    </w:pPr>
  </w:p>
  <w:p w14:paraId="367D4456" w14:textId="76DA3229" w:rsidR="00725FA4" w:rsidRDefault="00DF16F5"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4CF3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5220DEF"/>
    <w:multiLevelType w:val="hybridMultilevel"/>
    <w:tmpl w:val="6E9EFE98"/>
    <w:lvl w:ilvl="0" w:tplc="19BC877E">
      <w:start w:val="2"/>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E94396A"/>
    <w:multiLevelType w:val="hybridMultilevel"/>
    <w:tmpl w:val="3626B590"/>
    <w:lvl w:ilvl="0" w:tplc="CB147968">
      <w:start w:val="1"/>
      <w:numFmt w:val="decimal"/>
      <w:pStyle w:val="Artculo"/>
      <w:lvlText w:val="Artículo %1."/>
      <w:lvlJc w:val="left"/>
      <w:pPr>
        <w:ind w:left="6031" w:hanging="360"/>
      </w:pPr>
      <w:rPr>
        <w:rFonts w:hint="default"/>
        <w:b/>
      </w:rPr>
    </w:lvl>
    <w:lvl w:ilvl="1" w:tplc="0C0A0003" w:tentative="1">
      <w:start w:val="1"/>
      <w:numFmt w:val="lowerLetter"/>
      <w:lvlText w:val="%2."/>
      <w:lvlJc w:val="left"/>
      <w:pPr>
        <w:ind w:left="6692" w:hanging="360"/>
      </w:pPr>
    </w:lvl>
    <w:lvl w:ilvl="2" w:tplc="0C0A0005" w:tentative="1">
      <w:start w:val="1"/>
      <w:numFmt w:val="lowerRoman"/>
      <w:lvlText w:val="%3."/>
      <w:lvlJc w:val="right"/>
      <w:pPr>
        <w:ind w:left="7412" w:hanging="180"/>
      </w:pPr>
    </w:lvl>
    <w:lvl w:ilvl="3" w:tplc="0C0A0001" w:tentative="1">
      <w:start w:val="1"/>
      <w:numFmt w:val="decimal"/>
      <w:lvlText w:val="%4."/>
      <w:lvlJc w:val="left"/>
      <w:pPr>
        <w:ind w:left="8132" w:hanging="360"/>
      </w:pPr>
    </w:lvl>
    <w:lvl w:ilvl="4" w:tplc="0C0A0003" w:tentative="1">
      <w:start w:val="1"/>
      <w:numFmt w:val="lowerLetter"/>
      <w:lvlText w:val="%5."/>
      <w:lvlJc w:val="left"/>
      <w:pPr>
        <w:ind w:left="8852" w:hanging="360"/>
      </w:pPr>
    </w:lvl>
    <w:lvl w:ilvl="5" w:tplc="0C0A0005" w:tentative="1">
      <w:start w:val="1"/>
      <w:numFmt w:val="lowerRoman"/>
      <w:lvlText w:val="%6."/>
      <w:lvlJc w:val="right"/>
      <w:pPr>
        <w:ind w:left="9572" w:hanging="180"/>
      </w:pPr>
    </w:lvl>
    <w:lvl w:ilvl="6" w:tplc="0C0A0001" w:tentative="1">
      <w:start w:val="1"/>
      <w:numFmt w:val="decimal"/>
      <w:lvlText w:val="%7."/>
      <w:lvlJc w:val="left"/>
      <w:pPr>
        <w:ind w:left="10292" w:hanging="360"/>
      </w:pPr>
    </w:lvl>
    <w:lvl w:ilvl="7" w:tplc="0C0A0003" w:tentative="1">
      <w:start w:val="1"/>
      <w:numFmt w:val="lowerLetter"/>
      <w:lvlText w:val="%8."/>
      <w:lvlJc w:val="left"/>
      <w:pPr>
        <w:ind w:left="11012" w:hanging="360"/>
      </w:pPr>
    </w:lvl>
    <w:lvl w:ilvl="8" w:tplc="0C0A0005" w:tentative="1">
      <w:start w:val="1"/>
      <w:numFmt w:val="lowerRoman"/>
      <w:lvlText w:val="%9."/>
      <w:lvlJc w:val="right"/>
      <w:pPr>
        <w:ind w:left="11732" w:hanging="180"/>
      </w:pPr>
    </w:lvl>
  </w:abstractNum>
  <w:num w:numId="1" w16cid:durableId="1460953670">
    <w:abstractNumId w:val="13"/>
  </w:num>
  <w:num w:numId="2" w16cid:durableId="1497382030">
    <w:abstractNumId w:val="6"/>
  </w:num>
  <w:num w:numId="3" w16cid:durableId="1643658739">
    <w:abstractNumId w:val="22"/>
  </w:num>
  <w:num w:numId="4" w16cid:durableId="1416053916">
    <w:abstractNumId w:val="7"/>
  </w:num>
  <w:num w:numId="5" w16cid:durableId="1460681335">
    <w:abstractNumId w:val="17"/>
  </w:num>
  <w:num w:numId="6" w16cid:durableId="432214895">
    <w:abstractNumId w:val="4"/>
  </w:num>
  <w:num w:numId="7" w16cid:durableId="845751384">
    <w:abstractNumId w:val="3"/>
  </w:num>
  <w:num w:numId="8" w16cid:durableId="29301030">
    <w:abstractNumId w:val="19"/>
  </w:num>
  <w:num w:numId="9" w16cid:durableId="2003662021">
    <w:abstractNumId w:val="18"/>
  </w:num>
  <w:num w:numId="10" w16cid:durableId="2014674860">
    <w:abstractNumId w:val="14"/>
  </w:num>
  <w:num w:numId="11" w16cid:durableId="958032325">
    <w:abstractNumId w:val="23"/>
  </w:num>
  <w:num w:numId="12" w16cid:durableId="1838691975">
    <w:abstractNumId w:val="21"/>
  </w:num>
  <w:num w:numId="13" w16cid:durableId="273679532">
    <w:abstractNumId w:val="11"/>
  </w:num>
  <w:num w:numId="14" w16cid:durableId="2070683866">
    <w:abstractNumId w:val="2"/>
  </w:num>
  <w:num w:numId="15" w16cid:durableId="1975476040">
    <w:abstractNumId w:val="15"/>
  </w:num>
  <w:num w:numId="16" w16cid:durableId="83963299">
    <w:abstractNumId w:val="1"/>
  </w:num>
  <w:num w:numId="17" w16cid:durableId="353533871">
    <w:abstractNumId w:val="10"/>
  </w:num>
  <w:num w:numId="18" w16cid:durableId="788664195">
    <w:abstractNumId w:val="0"/>
  </w:num>
  <w:num w:numId="19" w16cid:durableId="1454788596">
    <w:abstractNumId w:val="20"/>
  </w:num>
  <w:num w:numId="20" w16cid:durableId="1999069271">
    <w:abstractNumId w:val="16"/>
  </w:num>
  <w:num w:numId="21" w16cid:durableId="1075667280">
    <w:abstractNumId w:val="8"/>
  </w:num>
  <w:num w:numId="22" w16cid:durableId="40371620">
    <w:abstractNumId w:val="9"/>
  </w:num>
  <w:num w:numId="23" w16cid:durableId="717898799">
    <w:abstractNumId w:val="24"/>
  </w:num>
  <w:num w:numId="24" w16cid:durableId="828329271">
    <w:abstractNumId w:val="12"/>
  </w:num>
  <w:num w:numId="25" w16cid:durableId="2036154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41F3"/>
    <w:rsid w:val="00006AE2"/>
    <w:rsid w:val="000076A1"/>
    <w:rsid w:val="00012259"/>
    <w:rsid w:val="00024D15"/>
    <w:rsid w:val="00025383"/>
    <w:rsid w:val="00030162"/>
    <w:rsid w:val="000420EA"/>
    <w:rsid w:val="00045D3D"/>
    <w:rsid w:val="00063657"/>
    <w:rsid w:val="00076680"/>
    <w:rsid w:val="00076A1D"/>
    <w:rsid w:val="0008073E"/>
    <w:rsid w:val="00091CDB"/>
    <w:rsid w:val="000942CA"/>
    <w:rsid w:val="00095440"/>
    <w:rsid w:val="000A19AC"/>
    <w:rsid w:val="000B2EC9"/>
    <w:rsid w:val="000D26F8"/>
    <w:rsid w:val="000E3B7A"/>
    <w:rsid w:val="00106654"/>
    <w:rsid w:val="0013526C"/>
    <w:rsid w:val="001405C6"/>
    <w:rsid w:val="00141013"/>
    <w:rsid w:val="00150148"/>
    <w:rsid w:val="00173D9D"/>
    <w:rsid w:val="00183C3C"/>
    <w:rsid w:val="00192CBF"/>
    <w:rsid w:val="00192FF1"/>
    <w:rsid w:val="001A061E"/>
    <w:rsid w:val="001A5F1B"/>
    <w:rsid w:val="001B1C22"/>
    <w:rsid w:val="001B34C6"/>
    <w:rsid w:val="001D7832"/>
    <w:rsid w:val="001F0A9F"/>
    <w:rsid w:val="00210DC1"/>
    <w:rsid w:val="00211D34"/>
    <w:rsid w:val="00214F04"/>
    <w:rsid w:val="00232932"/>
    <w:rsid w:val="0023513F"/>
    <w:rsid w:val="002352B9"/>
    <w:rsid w:val="00255037"/>
    <w:rsid w:val="00266CD6"/>
    <w:rsid w:val="002673AC"/>
    <w:rsid w:val="00275DAB"/>
    <w:rsid w:val="00286A16"/>
    <w:rsid w:val="002903C0"/>
    <w:rsid w:val="002A782A"/>
    <w:rsid w:val="002B11E2"/>
    <w:rsid w:val="002B24B8"/>
    <w:rsid w:val="002C1503"/>
    <w:rsid w:val="002D3AE9"/>
    <w:rsid w:val="002D4510"/>
    <w:rsid w:val="002F0734"/>
    <w:rsid w:val="002F175F"/>
    <w:rsid w:val="002F46E7"/>
    <w:rsid w:val="003049D2"/>
    <w:rsid w:val="003101DA"/>
    <w:rsid w:val="003111C3"/>
    <w:rsid w:val="00314757"/>
    <w:rsid w:val="003163BC"/>
    <w:rsid w:val="003211CE"/>
    <w:rsid w:val="0035403A"/>
    <w:rsid w:val="0036394B"/>
    <w:rsid w:val="00366DB6"/>
    <w:rsid w:val="003709B5"/>
    <w:rsid w:val="003751E8"/>
    <w:rsid w:val="003759C2"/>
    <w:rsid w:val="00381C95"/>
    <w:rsid w:val="00397365"/>
    <w:rsid w:val="003A31F6"/>
    <w:rsid w:val="003B4FAC"/>
    <w:rsid w:val="003C3447"/>
    <w:rsid w:val="003D076C"/>
    <w:rsid w:val="003E78B5"/>
    <w:rsid w:val="00415BAB"/>
    <w:rsid w:val="00415ED2"/>
    <w:rsid w:val="0042068C"/>
    <w:rsid w:val="00434468"/>
    <w:rsid w:val="0044289B"/>
    <w:rsid w:val="0044318E"/>
    <w:rsid w:val="00443B35"/>
    <w:rsid w:val="00451BCA"/>
    <w:rsid w:val="0045488D"/>
    <w:rsid w:val="0047122B"/>
    <w:rsid w:val="00473B7A"/>
    <w:rsid w:val="00473C0B"/>
    <w:rsid w:val="00492992"/>
    <w:rsid w:val="004960E9"/>
    <w:rsid w:val="00496551"/>
    <w:rsid w:val="00496586"/>
    <w:rsid w:val="004A2E88"/>
    <w:rsid w:val="004A5305"/>
    <w:rsid w:val="004D7634"/>
    <w:rsid w:val="004E611A"/>
    <w:rsid w:val="004F6460"/>
    <w:rsid w:val="0051132C"/>
    <w:rsid w:val="00511970"/>
    <w:rsid w:val="005300D3"/>
    <w:rsid w:val="00542A10"/>
    <w:rsid w:val="0054480B"/>
    <w:rsid w:val="00544F82"/>
    <w:rsid w:val="005509D2"/>
    <w:rsid w:val="00553321"/>
    <w:rsid w:val="00584A19"/>
    <w:rsid w:val="00585123"/>
    <w:rsid w:val="00593C4F"/>
    <w:rsid w:val="005946A8"/>
    <w:rsid w:val="005A276A"/>
    <w:rsid w:val="005A4407"/>
    <w:rsid w:val="005A59EF"/>
    <w:rsid w:val="005B1C7E"/>
    <w:rsid w:val="005C031C"/>
    <w:rsid w:val="005C6976"/>
    <w:rsid w:val="005F4258"/>
    <w:rsid w:val="005F6F41"/>
    <w:rsid w:val="006238C6"/>
    <w:rsid w:val="00624546"/>
    <w:rsid w:val="00625DC6"/>
    <w:rsid w:val="0064391D"/>
    <w:rsid w:val="00651821"/>
    <w:rsid w:val="00654384"/>
    <w:rsid w:val="006675CD"/>
    <w:rsid w:val="00674303"/>
    <w:rsid w:val="00684D9B"/>
    <w:rsid w:val="0068510A"/>
    <w:rsid w:val="00697556"/>
    <w:rsid w:val="006B4647"/>
    <w:rsid w:val="006B4C2B"/>
    <w:rsid w:val="006B6194"/>
    <w:rsid w:val="006B6D47"/>
    <w:rsid w:val="006C5AFE"/>
    <w:rsid w:val="006F2EC8"/>
    <w:rsid w:val="006F4568"/>
    <w:rsid w:val="006F6D95"/>
    <w:rsid w:val="006F70EA"/>
    <w:rsid w:val="00706F13"/>
    <w:rsid w:val="007072E8"/>
    <w:rsid w:val="00710742"/>
    <w:rsid w:val="0071618D"/>
    <w:rsid w:val="00725FA4"/>
    <w:rsid w:val="0073466A"/>
    <w:rsid w:val="00735BA1"/>
    <w:rsid w:val="00740446"/>
    <w:rsid w:val="0074308A"/>
    <w:rsid w:val="00743341"/>
    <w:rsid w:val="007438A9"/>
    <w:rsid w:val="0074491E"/>
    <w:rsid w:val="0076247A"/>
    <w:rsid w:val="00775964"/>
    <w:rsid w:val="007765FE"/>
    <w:rsid w:val="00794E2E"/>
    <w:rsid w:val="00795BFB"/>
    <w:rsid w:val="007A6181"/>
    <w:rsid w:val="007B2760"/>
    <w:rsid w:val="007B5A60"/>
    <w:rsid w:val="007E2A35"/>
    <w:rsid w:val="00806C01"/>
    <w:rsid w:val="008148CC"/>
    <w:rsid w:val="008211A4"/>
    <w:rsid w:val="008248D7"/>
    <w:rsid w:val="0084693A"/>
    <w:rsid w:val="0085430A"/>
    <w:rsid w:val="00873150"/>
    <w:rsid w:val="0087657D"/>
    <w:rsid w:val="008807D5"/>
    <w:rsid w:val="00880832"/>
    <w:rsid w:val="00886EE1"/>
    <w:rsid w:val="0088727D"/>
    <w:rsid w:val="00897C75"/>
    <w:rsid w:val="008A566C"/>
    <w:rsid w:val="008C1130"/>
    <w:rsid w:val="008D18E6"/>
    <w:rsid w:val="008D7A9B"/>
    <w:rsid w:val="008E0060"/>
    <w:rsid w:val="008E7091"/>
    <w:rsid w:val="008E76AC"/>
    <w:rsid w:val="008F21F6"/>
    <w:rsid w:val="00917C5F"/>
    <w:rsid w:val="00951F79"/>
    <w:rsid w:val="00967FA5"/>
    <w:rsid w:val="00974AB5"/>
    <w:rsid w:val="0098706D"/>
    <w:rsid w:val="009935FB"/>
    <w:rsid w:val="009F4A54"/>
    <w:rsid w:val="009F4BEC"/>
    <w:rsid w:val="009F5874"/>
    <w:rsid w:val="009F7E7C"/>
    <w:rsid w:val="00A25FD7"/>
    <w:rsid w:val="00A417D1"/>
    <w:rsid w:val="00A43AFF"/>
    <w:rsid w:val="00A450CF"/>
    <w:rsid w:val="00A50113"/>
    <w:rsid w:val="00A7793A"/>
    <w:rsid w:val="00A80376"/>
    <w:rsid w:val="00AA4CC7"/>
    <w:rsid w:val="00AA5E8E"/>
    <w:rsid w:val="00AB2BAD"/>
    <w:rsid w:val="00AB6CA7"/>
    <w:rsid w:val="00AD01E4"/>
    <w:rsid w:val="00AD0858"/>
    <w:rsid w:val="00AE02E3"/>
    <w:rsid w:val="00AE38BB"/>
    <w:rsid w:val="00AE7340"/>
    <w:rsid w:val="00AF1BBD"/>
    <w:rsid w:val="00AF3180"/>
    <w:rsid w:val="00B10207"/>
    <w:rsid w:val="00B141E7"/>
    <w:rsid w:val="00B33523"/>
    <w:rsid w:val="00B351B4"/>
    <w:rsid w:val="00B46BCA"/>
    <w:rsid w:val="00B478AA"/>
    <w:rsid w:val="00B65DBE"/>
    <w:rsid w:val="00B66E2D"/>
    <w:rsid w:val="00B87806"/>
    <w:rsid w:val="00B87EC9"/>
    <w:rsid w:val="00BB58A2"/>
    <w:rsid w:val="00BC38FD"/>
    <w:rsid w:val="00C034CB"/>
    <w:rsid w:val="00C051A8"/>
    <w:rsid w:val="00C054BC"/>
    <w:rsid w:val="00C1714D"/>
    <w:rsid w:val="00C17897"/>
    <w:rsid w:val="00C26C36"/>
    <w:rsid w:val="00C409D5"/>
    <w:rsid w:val="00C435C3"/>
    <w:rsid w:val="00C44E5F"/>
    <w:rsid w:val="00C51016"/>
    <w:rsid w:val="00C51B7C"/>
    <w:rsid w:val="00C6111B"/>
    <w:rsid w:val="00C61D2C"/>
    <w:rsid w:val="00C6234B"/>
    <w:rsid w:val="00C62FED"/>
    <w:rsid w:val="00C63EAE"/>
    <w:rsid w:val="00C73260"/>
    <w:rsid w:val="00C7629F"/>
    <w:rsid w:val="00C8661B"/>
    <w:rsid w:val="00CA03C8"/>
    <w:rsid w:val="00CA139A"/>
    <w:rsid w:val="00CA2899"/>
    <w:rsid w:val="00CA2CD9"/>
    <w:rsid w:val="00CA3A3D"/>
    <w:rsid w:val="00CA3AA6"/>
    <w:rsid w:val="00CA77FB"/>
    <w:rsid w:val="00CB379B"/>
    <w:rsid w:val="00CB5DD0"/>
    <w:rsid w:val="00CC4746"/>
    <w:rsid w:val="00CC51D4"/>
    <w:rsid w:val="00CC65DA"/>
    <w:rsid w:val="00CF21B9"/>
    <w:rsid w:val="00CF5BCF"/>
    <w:rsid w:val="00CF6BF9"/>
    <w:rsid w:val="00D00036"/>
    <w:rsid w:val="00D03800"/>
    <w:rsid w:val="00D065D3"/>
    <w:rsid w:val="00D1360B"/>
    <w:rsid w:val="00D14C94"/>
    <w:rsid w:val="00D342A6"/>
    <w:rsid w:val="00D3537F"/>
    <w:rsid w:val="00D3588D"/>
    <w:rsid w:val="00D45CA6"/>
    <w:rsid w:val="00D464BF"/>
    <w:rsid w:val="00D53E26"/>
    <w:rsid w:val="00D571E9"/>
    <w:rsid w:val="00D57F2B"/>
    <w:rsid w:val="00D83154"/>
    <w:rsid w:val="00DA74AE"/>
    <w:rsid w:val="00DB182C"/>
    <w:rsid w:val="00DD4F0E"/>
    <w:rsid w:val="00DD78B6"/>
    <w:rsid w:val="00DF0BF0"/>
    <w:rsid w:val="00DF16F5"/>
    <w:rsid w:val="00DF3CA2"/>
    <w:rsid w:val="00DF753F"/>
    <w:rsid w:val="00E01463"/>
    <w:rsid w:val="00E05E0A"/>
    <w:rsid w:val="00E060BE"/>
    <w:rsid w:val="00E30654"/>
    <w:rsid w:val="00E501DA"/>
    <w:rsid w:val="00E534CF"/>
    <w:rsid w:val="00E617D9"/>
    <w:rsid w:val="00E63920"/>
    <w:rsid w:val="00E81CB4"/>
    <w:rsid w:val="00E8585B"/>
    <w:rsid w:val="00E87F41"/>
    <w:rsid w:val="00EA22D7"/>
    <w:rsid w:val="00EA3F15"/>
    <w:rsid w:val="00EA7847"/>
    <w:rsid w:val="00EB4C2F"/>
    <w:rsid w:val="00EE2E6E"/>
    <w:rsid w:val="00F0154F"/>
    <w:rsid w:val="00F0555B"/>
    <w:rsid w:val="00F0759E"/>
    <w:rsid w:val="00F16A43"/>
    <w:rsid w:val="00F274BF"/>
    <w:rsid w:val="00F46780"/>
    <w:rsid w:val="00F51ED1"/>
    <w:rsid w:val="00F55DB1"/>
    <w:rsid w:val="00F739FA"/>
    <w:rsid w:val="00F77D2D"/>
    <w:rsid w:val="00F821A3"/>
    <w:rsid w:val="00F9314A"/>
    <w:rsid w:val="00F940B2"/>
    <w:rsid w:val="00FA2AFF"/>
    <w:rsid w:val="00FC58EF"/>
    <w:rsid w:val="00FD33DF"/>
    <w:rsid w:val="00FD4DD3"/>
    <w:rsid w:val="00FE39D7"/>
    <w:rsid w:val="00FF62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culo">
    <w:name w:val="Artículo"/>
    <w:basedOn w:val="Normal"/>
    <w:link w:val="ArtculoCar"/>
    <w:autoRedefine/>
    <w:qFormat/>
    <w:rsid w:val="0051132C"/>
    <w:pPr>
      <w:numPr>
        <w:numId w:val="23"/>
      </w:numPr>
      <w:tabs>
        <w:tab w:val="left" w:pos="1276"/>
      </w:tabs>
      <w:suppressAutoHyphens/>
      <w:spacing w:before="240"/>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51132C"/>
    <w:rPr>
      <w:rFonts w:ascii="Bookman Old Style" w:hAnsi="Bookman Old Style" w:cs="Arial"/>
      <w:spacing w:val="-4"/>
      <w:sz w:val="24"/>
      <w:szCs w:val="24"/>
      <w:lang w:val="es-ES" w:eastAsia="ar-SA"/>
    </w:rPr>
  </w:style>
  <w:style w:type="paragraph" w:styleId="Revisin">
    <w:name w:val="Revision"/>
    <w:hidden/>
    <w:uiPriority w:val="99"/>
    <w:semiHidden/>
    <w:rsid w:val="006F4568"/>
    <w:rPr>
      <w:sz w:val="24"/>
      <w:szCs w:val="24"/>
      <w:lang w:val="es-ES" w:eastAsia="es-ES"/>
    </w:rPr>
  </w:style>
  <w:style w:type="character" w:styleId="Refdecomentario">
    <w:name w:val="annotation reference"/>
    <w:basedOn w:val="Fuentedeprrafopredeter"/>
    <w:uiPriority w:val="99"/>
    <w:semiHidden/>
    <w:unhideWhenUsed/>
    <w:rsid w:val="00A450CF"/>
    <w:rPr>
      <w:sz w:val="16"/>
      <w:szCs w:val="16"/>
    </w:rPr>
  </w:style>
  <w:style w:type="paragraph" w:styleId="Textocomentario">
    <w:name w:val="annotation text"/>
    <w:basedOn w:val="Normal"/>
    <w:link w:val="TextocomentarioCar"/>
    <w:uiPriority w:val="99"/>
    <w:unhideWhenUsed/>
    <w:rsid w:val="00A450CF"/>
    <w:rPr>
      <w:sz w:val="20"/>
      <w:szCs w:val="20"/>
    </w:rPr>
  </w:style>
  <w:style w:type="character" w:customStyle="1" w:styleId="TextocomentarioCar">
    <w:name w:val="Texto comentario Car"/>
    <w:basedOn w:val="Fuentedeprrafopredeter"/>
    <w:link w:val="Textocomentario"/>
    <w:uiPriority w:val="99"/>
    <w:rsid w:val="00A450CF"/>
    <w:rPr>
      <w:lang w:val="es-ES" w:eastAsia="es-ES"/>
    </w:rPr>
  </w:style>
  <w:style w:type="paragraph" w:styleId="Asuntodelcomentario">
    <w:name w:val="annotation subject"/>
    <w:basedOn w:val="Textocomentario"/>
    <w:next w:val="Textocomentario"/>
    <w:link w:val="AsuntodelcomentarioCar"/>
    <w:uiPriority w:val="99"/>
    <w:semiHidden/>
    <w:unhideWhenUsed/>
    <w:rsid w:val="00A450CF"/>
    <w:rPr>
      <w:b/>
      <w:bCs/>
    </w:rPr>
  </w:style>
  <w:style w:type="character" w:customStyle="1" w:styleId="AsuntodelcomentarioCar">
    <w:name w:val="Asunto del comentario Car"/>
    <w:basedOn w:val="TextocomentarioCar"/>
    <w:link w:val="Asuntodelcomentario"/>
    <w:uiPriority w:val="99"/>
    <w:semiHidden/>
    <w:rsid w:val="00A450CF"/>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82EC-9EF0-41D2-80C0-9303E441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4</TotalTime>
  <Pages>3</Pages>
  <Words>1150</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2</cp:revision>
  <cp:lastPrinted>2022-09-28T13:27:00Z</cp:lastPrinted>
  <dcterms:created xsi:type="dcterms:W3CDTF">2023-05-08T21:16:00Z</dcterms:created>
  <dcterms:modified xsi:type="dcterms:W3CDTF">2023-05-08T21:16:00Z</dcterms:modified>
</cp:coreProperties>
</file>