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93483" w14:textId="77777777" w:rsidR="00445D79" w:rsidRPr="00DA6986" w:rsidRDefault="001E6CB9" w:rsidP="00262CBF">
      <w:pPr>
        <w:pStyle w:val="Encabezado"/>
        <w:rPr>
          <w:rFonts w:ascii="Bookman Old Style" w:hAnsi="Bookman Old Style" w:cs="Arial"/>
          <w:vanish/>
          <w:szCs w:val="24"/>
          <w:specVanish/>
        </w:rPr>
      </w:pPr>
      <w:bookmarkStart w:id="0" w:name="_GoBack"/>
      <w:bookmarkEnd w:id="0"/>
      <w:r>
        <w:rPr>
          <w:rFonts w:ascii="Bookman Old Style" w:hAnsi="Bookman Old Style" w:cs="Arial"/>
          <w:szCs w:val="24"/>
        </w:rPr>
        <w:object w:dxaOrig="1440" w:dyaOrig="1440" w14:anchorId="334B1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8" o:title=""/>
          </v:shape>
          <o:OLEObject Type="Embed" ProgID="PBrush" ShapeID="_x0000_s1026" DrawAspect="Content" ObjectID="_1566028663" r:id="rId9"/>
        </w:object>
      </w:r>
    </w:p>
    <w:p w14:paraId="5A1BE5C5" w14:textId="310A7572" w:rsidR="00F30217" w:rsidRPr="00DA6986" w:rsidRDefault="008220B2" w:rsidP="00262CBF">
      <w:pPr>
        <w:pStyle w:val="Encabezado"/>
        <w:rPr>
          <w:rFonts w:ascii="Bookman Old Style" w:hAnsi="Bookman Old Style" w:cs="Arial"/>
          <w:szCs w:val="24"/>
        </w:rPr>
      </w:pPr>
      <w:r w:rsidRPr="00DA6986">
        <w:rPr>
          <w:rFonts w:ascii="Bookman Old Style" w:hAnsi="Bookman Old Style" w:cs="Arial"/>
          <w:szCs w:val="24"/>
        </w:rPr>
        <w:t xml:space="preserve"> </w:t>
      </w:r>
    </w:p>
    <w:p w14:paraId="7B4AA5E8" w14:textId="77777777" w:rsidR="00445D79" w:rsidRPr="006D3876" w:rsidRDefault="00445D79" w:rsidP="00262CBF">
      <w:pPr>
        <w:pStyle w:val="Ttulo4"/>
        <w:rPr>
          <w:rFonts w:ascii="Bookman Old Style" w:hAnsi="Bookman Old Style"/>
          <w:b w:val="0"/>
          <w:noProof/>
          <w:sz w:val="24"/>
          <w:szCs w:val="24"/>
          <w:lang w:val="es-ES"/>
        </w:rPr>
      </w:pPr>
      <w:r w:rsidRPr="006D3876">
        <w:rPr>
          <w:rFonts w:ascii="Bookman Old Style" w:hAnsi="Bookman Old Style"/>
          <w:b w:val="0"/>
          <w:sz w:val="24"/>
          <w:szCs w:val="24"/>
        </w:rPr>
        <w:t>Ministerio de Minas y Energía</w:t>
      </w:r>
    </w:p>
    <w:p w14:paraId="79CBB255" w14:textId="77777777" w:rsidR="00445D79" w:rsidRPr="00DA6986" w:rsidRDefault="00445D79" w:rsidP="00262CBF">
      <w:pPr>
        <w:pStyle w:val="Ttulo4"/>
        <w:rPr>
          <w:rFonts w:ascii="Bookman Old Style" w:hAnsi="Bookman Old Style"/>
          <w:sz w:val="24"/>
          <w:szCs w:val="24"/>
        </w:rPr>
      </w:pPr>
    </w:p>
    <w:p w14:paraId="16856D3A" w14:textId="77777777" w:rsidR="00445D79" w:rsidRPr="00DA6986" w:rsidRDefault="00445D79" w:rsidP="00262CBF">
      <w:pPr>
        <w:pStyle w:val="Ttulo3"/>
        <w:rPr>
          <w:rFonts w:ascii="Bookman Old Style" w:hAnsi="Bookman Old Style" w:cs="Arial"/>
          <w:szCs w:val="24"/>
        </w:rPr>
      </w:pPr>
      <w:r w:rsidRPr="00DA6986">
        <w:rPr>
          <w:rFonts w:ascii="Bookman Old Style" w:hAnsi="Bookman Old Style" w:cs="Arial"/>
          <w:szCs w:val="24"/>
        </w:rPr>
        <w:t>COMISIÓN DE REGULACIÓN DE ENERGÍA Y GAS</w:t>
      </w:r>
    </w:p>
    <w:p w14:paraId="6E57C186" w14:textId="0B58587D" w:rsidR="00445D79" w:rsidRPr="00DA6986" w:rsidRDefault="00445D79" w:rsidP="00262CBF">
      <w:pPr>
        <w:pStyle w:val="Subttulo"/>
      </w:pPr>
      <w:r w:rsidRPr="00DA6986">
        <w:t xml:space="preserve">RESOLUCIÓN No.                   </w:t>
      </w:r>
      <w:r w:rsidR="000929C4" w:rsidRPr="00DA6986">
        <w:t>DE 201</w:t>
      </w:r>
      <w:r w:rsidR="00FC69D9" w:rsidRPr="00DA6986">
        <w:t>7</w:t>
      </w:r>
    </w:p>
    <w:p w14:paraId="37A8364E" w14:textId="77777777" w:rsidR="00445D79" w:rsidRPr="00DA6986" w:rsidRDefault="00445D79" w:rsidP="00262CBF">
      <w:pPr>
        <w:pStyle w:val="Ttulo3"/>
        <w:rPr>
          <w:rFonts w:ascii="Bookman Old Style" w:hAnsi="Bookman Old Style" w:cs="Arial"/>
          <w:snapToGrid/>
          <w:szCs w:val="24"/>
        </w:rPr>
      </w:pPr>
      <w:r w:rsidRPr="00DA6986">
        <w:rPr>
          <w:rFonts w:ascii="Bookman Old Style" w:hAnsi="Bookman Old Style" w:cs="Arial"/>
          <w:szCs w:val="24"/>
        </w:rPr>
        <w:t>(                                  )</w:t>
      </w:r>
    </w:p>
    <w:p w14:paraId="4B38154B" w14:textId="77777777" w:rsidR="00445D79" w:rsidRPr="00DA6986" w:rsidRDefault="00445D79" w:rsidP="00262CBF">
      <w:pPr>
        <w:rPr>
          <w:rFonts w:cs="Arial"/>
          <w:lang w:val="es-CO"/>
        </w:rPr>
      </w:pPr>
    </w:p>
    <w:p w14:paraId="4195B89C" w14:textId="77777777" w:rsidR="00445D79" w:rsidRPr="00DA6986" w:rsidRDefault="00445D79" w:rsidP="00EC2ABD">
      <w:pPr>
        <w:pStyle w:val="Sinespaciado"/>
        <w:jc w:val="both"/>
        <w:rPr>
          <w:rFonts w:ascii="Bookman Old Style" w:hAnsi="Bookman Old Style" w:cs="Arial"/>
          <w:b/>
          <w:sz w:val="24"/>
          <w:szCs w:val="24"/>
        </w:rPr>
      </w:pPr>
    </w:p>
    <w:p w14:paraId="27D814C3" w14:textId="77777777" w:rsidR="00317298" w:rsidRPr="00DA6986" w:rsidRDefault="00317298" w:rsidP="00EC2ABD">
      <w:pPr>
        <w:pStyle w:val="Sinespaciado"/>
        <w:jc w:val="both"/>
        <w:rPr>
          <w:rFonts w:ascii="Bookman Old Style" w:hAnsi="Bookman Old Style" w:cs="Arial"/>
          <w:b/>
          <w:sz w:val="24"/>
          <w:szCs w:val="24"/>
        </w:rPr>
      </w:pPr>
    </w:p>
    <w:p w14:paraId="27A13962" w14:textId="2C4E0963" w:rsidR="00501643" w:rsidRPr="00DA6986" w:rsidRDefault="007D0F27" w:rsidP="00501643">
      <w:pPr>
        <w:rPr>
          <w:rFonts w:cs="Arial"/>
        </w:rPr>
      </w:pPr>
      <w:r w:rsidRPr="00DA6986">
        <w:rPr>
          <w:rFonts w:cs="Arial"/>
        </w:rPr>
        <w:t>Por la cual se resuelve</w:t>
      </w:r>
      <w:r w:rsidR="00754442">
        <w:rPr>
          <w:rFonts w:cs="Arial"/>
        </w:rPr>
        <w:t xml:space="preserve"> el</w:t>
      </w:r>
      <w:r w:rsidR="00C44516" w:rsidRPr="00DA6986">
        <w:rPr>
          <w:rFonts w:cs="Arial"/>
        </w:rPr>
        <w:t xml:space="preserve"> recurso de reposición interpuesto por la </w:t>
      </w:r>
      <w:r w:rsidR="00F30217" w:rsidRPr="00DA6986">
        <w:rPr>
          <w:rFonts w:cs="Arial"/>
        </w:rPr>
        <w:t xml:space="preserve">empresa </w:t>
      </w:r>
      <w:proofErr w:type="spellStart"/>
      <w:r w:rsidR="006406A2" w:rsidRPr="00DA6986">
        <w:rPr>
          <w:rFonts w:cs="Arial"/>
        </w:rPr>
        <w:t>Transelca</w:t>
      </w:r>
      <w:proofErr w:type="spellEnd"/>
      <w:r w:rsidR="006406A2" w:rsidRPr="00DA6986">
        <w:rPr>
          <w:rFonts w:cs="Arial"/>
        </w:rPr>
        <w:t xml:space="preserve"> </w:t>
      </w:r>
      <w:r w:rsidR="00651E1C" w:rsidRPr="00DA6986">
        <w:rPr>
          <w:rFonts w:cs="Arial"/>
        </w:rPr>
        <w:t>S.A. E.S.P.</w:t>
      </w:r>
      <w:r w:rsidR="004D6882" w:rsidRPr="00DA6986">
        <w:rPr>
          <w:rFonts w:cs="Arial"/>
        </w:rPr>
        <w:t xml:space="preserve"> contra</w:t>
      </w:r>
      <w:r w:rsidR="00DB7784" w:rsidRPr="00DA6986">
        <w:rPr>
          <w:rFonts w:cs="Arial"/>
        </w:rPr>
        <w:t xml:space="preserve"> la </w:t>
      </w:r>
      <w:r w:rsidR="00073652" w:rsidRPr="00DA6986">
        <w:rPr>
          <w:rFonts w:cs="Arial"/>
        </w:rPr>
        <w:t xml:space="preserve">Resolución </w:t>
      </w:r>
      <w:r w:rsidR="006406A2">
        <w:rPr>
          <w:rFonts w:cs="Arial"/>
        </w:rPr>
        <w:t xml:space="preserve">CREG </w:t>
      </w:r>
      <w:r w:rsidR="00A631CD">
        <w:rPr>
          <w:rFonts w:cs="Arial"/>
        </w:rPr>
        <w:t>050</w:t>
      </w:r>
      <w:r w:rsidR="00A631CD" w:rsidRPr="00DA6986">
        <w:rPr>
          <w:rFonts w:cs="Arial"/>
        </w:rPr>
        <w:t xml:space="preserve"> </w:t>
      </w:r>
      <w:r w:rsidR="00073652" w:rsidRPr="00DA6986">
        <w:rPr>
          <w:rFonts w:cs="Arial"/>
        </w:rPr>
        <w:t>de 201</w:t>
      </w:r>
      <w:r w:rsidR="00A631CD">
        <w:rPr>
          <w:rFonts w:cs="Arial"/>
        </w:rPr>
        <w:t>7</w:t>
      </w:r>
      <w:r w:rsidR="00073652" w:rsidRPr="00DA6986">
        <w:rPr>
          <w:rFonts w:cs="Arial"/>
        </w:rPr>
        <w:t xml:space="preserve"> </w:t>
      </w:r>
      <w:r w:rsidR="006406A2">
        <w:rPr>
          <w:rFonts w:cs="Arial"/>
        </w:rPr>
        <w:t>“</w:t>
      </w:r>
      <w:r w:rsidR="00A631CD" w:rsidRPr="00A631CD">
        <w:rPr>
          <w:rFonts w:cs="Arial"/>
        </w:rPr>
        <w:t xml:space="preserve">Por la cual se decide sobre una solicitud de </w:t>
      </w:r>
      <w:proofErr w:type="spellStart"/>
      <w:r w:rsidR="00A631CD" w:rsidRPr="00A631CD">
        <w:rPr>
          <w:rFonts w:cs="Arial"/>
        </w:rPr>
        <w:t>Transelca</w:t>
      </w:r>
      <w:proofErr w:type="spellEnd"/>
      <w:r w:rsidR="00A631CD" w:rsidRPr="00A631CD">
        <w:rPr>
          <w:rFonts w:cs="Arial"/>
        </w:rPr>
        <w:t xml:space="preserve"> S.A. E.S.P. para actualizar su remuneración en el </w:t>
      </w:r>
      <w:r w:rsidR="00A631CD">
        <w:rPr>
          <w:rFonts w:cs="Arial"/>
        </w:rPr>
        <w:t>Sistema de Transmisión Nacional”</w:t>
      </w:r>
      <w:r w:rsidR="004D20C8" w:rsidRPr="00DA6986">
        <w:rPr>
          <w:rFonts w:cs="Arial"/>
        </w:rPr>
        <w:t>.</w:t>
      </w:r>
    </w:p>
    <w:p w14:paraId="693B1D5C" w14:textId="77777777" w:rsidR="00F860E7" w:rsidRPr="00DA6986" w:rsidRDefault="00F860E7" w:rsidP="00501643">
      <w:pPr>
        <w:rPr>
          <w:rFonts w:cs="Arial"/>
          <w:lang w:eastAsia="es-CO"/>
        </w:rPr>
      </w:pPr>
    </w:p>
    <w:p w14:paraId="6F233572" w14:textId="77777777" w:rsidR="000074D5" w:rsidRPr="00DA6986" w:rsidRDefault="000074D5" w:rsidP="00262CBF">
      <w:pPr>
        <w:pStyle w:val="Subttulo"/>
      </w:pPr>
      <w:r w:rsidRPr="00DA6986">
        <w:t>LA COMISIÓN DE REGULACIÓN DE ENERGÍA Y GAS</w:t>
      </w:r>
    </w:p>
    <w:p w14:paraId="34C6563E" w14:textId="77777777" w:rsidR="000074D5" w:rsidRPr="00DA6986" w:rsidRDefault="000074D5" w:rsidP="00262CBF">
      <w:pPr>
        <w:rPr>
          <w:rFonts w:cs="Arial"/>
        </w:rPr>
      </w:pPr>
    </w:p>
    <w:p w14:paraId="37E75DDE" w14:textId="216CDB2F" w:rsidR="000074D5" w:rsidRPr="00DA6986" w:rsidRDefault="000074D5" w:rsidP="00262CBF">
      <w:pPr>
        <w:rPr>
          <w:rFonts w:cs="Arial"/>
        </w:rPr>
      </w:pPr>
      <w:r w:rsidRPr="00DA6986">
        <w:rPr>
          <w:rFonts w:cs="Arial"/>
        </w:rPr>
        <w:t>En ejercicio de las atribuciones legales, en especial las conferidas por las Leyes 142 y 143 de 1994, y en d</w:t>
      </w:r>
      <w:r w:rsidR="00DE12ED" w:rsidRPr="00DA6986">
        <w:rPr>
          <w:rFonts w:cs="Arial"/>
        </w:rPr>
        <w:t>esarrollo de los Decretos 1524,</w:t>
      </w:r>
      <w:r w:rsidR="00427DEF" w:rsidRPr="00DA6986">
        <w:rPr>
          <w:rFonts w:cs="Arial"/>
        </w:rPr>
        <w:t xml:space="preserve"> 2253 de 1994</w:t>
      </w:r>
      <w:r w:rsidR="00DE12ED" w:rsidRPr="00DA6986">
        <w:rPr>
          <w:rFonts w:cs="Arial"/>
        </w:rPr>
        <w:t xml:space="preserve"> </w:t>
      </w:r>
      <w:r w:rsidRPr="00DA6986">
        <w:rPr>
          <w:rFonts w:cs="Arial"/>
        </w:rPr>
        <w:t>y</w:t>
      </w:r>
      <w:r w:rsidR="00DE12ED" w:rsidRPr="00DA6986">
        <w:rPr>
          <w:rFonts w:cs="Arial"/>
        </w:rPr>
        <w:t xml:space="preserve"> 1260 de 2013 y</w:t>
      </w:r>
      <w:r w:rsidR="00081FBA">
        <w:rPr>
          <w:rFonts w:cs="Arial"/>
        </w:rPr>
        <w:t>,</w:t>
      </w:r>
    </w:p>
    <w:p w14:paraId="6D2C336A" w14:textId="77777777" w:rsidR="00F860E7" w:rsidRPr="00DA6986" w:rsidRDefault="00F860E7" w:rsidP="00262CBF">
      <w:pPr>
        <w:rPr>
          <w:rFonts w:cs="Arial"/>
        </w:rPr>
      </w:pPr>
    </w:p>
    <w:p w14:paraId="6A019F74" w14:textId="58C6E7DE" w:rsidR="003044A3" w:rsidRPr="00DA6986" w:rsidRDefault="002E5F61" w:rsidP="00DB7784">
      <w:pPr>
        <w:pStyle w:val="Subttulo"/>
      </w:pPr>
      <w:r w:rsidRPr="00DA6986">
        <w:t>CONSIDERAND</w:t>
      </w:r>
      <w:r w:rsidR="000074D5" w:rsidRPr="00DA6986">
        <w:t>O</w:t>
      </w:r>
      <w:r w:rsidR="0033067A" w:rsidRPr="00DA6986">
        <w:t xml:space="preserve"> QUE</w:t>
      </w:r>
      <w:r w:rsidR="000074D5" w:rsidRPr="00DA6986">
        <w:t>:</w:t>
      </w:r>
    </w:p>
    <w:p w14:paraId="166D612F" w14:textId="4BDAFD5D" w:rsidR="00DB7784" w:rsidRPr="00DA6986" w:rsidRDefault="0033067A" w:rsidP="00FC20B0">
      <w:pPr>
        <w:pStyle w:val="Ttulo5"/>
        <w:jc w:val="center"/>
      </w:pPr>
      <w:r w:rsidRPr="00DA6986">
        <w:t>ANTECEDENTES</w:t>
      </w:r>
    </w:p>
    <w:p w14:paraId="32C2ACD7" w14:textId="77777777" w:rsidR="00CC5E97" w:rsidRPr="00DA6986" w:rsidRDefault="00CC5E97" w:rsidP="00FA3B03">
      <w:pPr>
        <w:rPr>
          <w:lang w:val="es-CO"/>
        </w:rPr>
      </w:pPr>
    </w:p>
    <w:p w14:paraId="56677EF7" w14:textId="485A32C8" w:rsidR="00CC5E97" w:rsidRPr="00DA6986" w:rsidRDefault="00CC5E97" w:rsidP="00CC5E97">
      <w:pPr>
        <w:rPr>
          <w:rFonts w:cs="Arial"/>
          <w:spacing w:val="-3"/>
        </w:rPr>
      </w:pPr>
      <w:r w:rsidRPr="00DA6986">
        <w:rPr>
          <w:rFonts w:cs="Arial"/>
          <w:spacing w:val="-3"/>
        </w:rPr>
        <w:t xml:space="preserve">Mediante la Resolución 011 de 2009 la Comisión de Regulación de Energía y Gas definió la metodología y las fórmulas tarifarias para la remuneración de la actividad de transmisión de energía eléctrica en el STN. </w:t>
      </w:r>
    </w:p>
    <w:p w14:paraId="5B7EB819" w14:textId="77777777" w:rsidR="00CC5E97" w:rsidRPr="00DA6986" w:rsidRDefault="00CC5E97" w:rsidP="00CC5E97">
      <w:pPr>
        <w:rPr>
          <w:rFonts w:cs="Arial"/>
          <w:spacing w:val="-3"/>
        </w:rPr>
      </w:pPr>
    </w:p>
    <w:p w14:paraId="27698647" w14:textId="2ACB5AC8" w:rsidR="00CC5E97" w:rsidRPr="00DA6986" w:rsidRDefault="001238F2" w:rsidP="00CC5E97">
      <w:pPr>
        <w:rPr>
          <w:rFonts w:cs="Arial"/>
          <w:spacing w:val="-3"/>
        </w:rPr>
      </w:pPr>
      <w:r w:rsidRPr="00C02254">
        <w:rPr>
          <w:rFonts w:cs="Arial"/>
          <w:spacing w:val="-3"/>
        </w:rPr>
        <w:t xml:space="preserve">Mediante la Resolución </w:t>
      </w:r>
      <w:r w:rsidRPr="000171CD">
        <w:rPr>
          <w:rFonts w:cs="Arial"/>
          <w:spacing w:val="-3"/>
        </w:rPr>
        <w:t>CREG 107 de 2010, modificada por las resoluciones CREG 061 de 2011, 105 de 2011, 107 de</w:t>
      </w:r>
      <w:r>
        <w:rPr>
          <w:rFonts w:cs="Arial"/>
          <w:spacing w:val="-3"/>
        </w:rPr>
        <w:t xml:space="preserve"> 2012, 009 de 2013, 091 de 2013,</w:t>
      </w:r>
      <w:r w:rsidRPr="000171CD">
        <w:rPr>
          <w:rFonts w:cs="Arial"/>
          <w:spacing w:val="-3"/>
        </w:rPr>
        <w:t xml:space="preserve"> 072 de 2015</w:t>
      </w:r>
      <w:r>
        <w:rPr>
          <w:rFonts w:cs="Arial"/>
          <w:spacing w:val="-3"/>
        </w:rPr>
        <w:t xml:space="preserve"> y 173 de 2016, </w:t>
      </w:r>
      <w:r w:rsidR="00E3319D" w:rsidRPr="00DA6986">
        <w:rPr>
          <w:rFonts w:cs="Arial"/>
          <w:spacing w:val="-3"/>
        </w:rPr>
        <w:t>la Comisión a</w:t>
      </w:r>
      <w:r w:rsidR="00CC5E97" w:rsidRPr="00DA6986">
        <w:rPr>
          <w:rFonts w:cs="Arial"/>
          <w:spacing w:val="-3"/>
        </w:rPr>
        <w:t>prob</w:t>
      </w:r>
      <w:r w:rsidR="00E3319D" w:rsidRPr="00DA6986">
        <w:rPr>
          <w:rFonts w:cs="Arial"/>
          <w:spacing w:val="-3"/>
        </w:rPr>
        <w:t>ó</w:t>
      </w:r>
      <w:r w:rsidR="00CC5E97" w:rsidRPr="00DA6986">
        <w:rPr>
          <w:rFonts w:cs="Arial"/>
          <w:spacing w:val="-3"/>
        </w:rPr>
        <w:t xml:space="preserve"> la base de activos y los parámetros necesarios para determinar la remuneración de </w:t>
      </w:r>
      <w:proofErr w:type="spellStart"/>
      <w:r w:rsidR="00CC5E97" w:rsidRPr="00DA6986">
        <w:rPr>
          <w:rFonts w:cs="Arial"/>
          <w:spacing w:val="-3"/>
        </w:rPr>
        <w:t>Transelca</w:t>
      </w:r>
      <w:proofErr w:type="spellEnd"/>
      <w:r w:rsidR="00CC5E97" w:rsidRPr="00DA6986">
        <w:rPr>
          <w:rFonts w:cs="Arial"/>
          <w:spacing w:val="-3"/>
        </w:rPr>
        <w:t xml:space="preserve"> S.A. E.S.P., en el STN.</w:t>
      </w:r>
    </w:p>
    <w:p w14:paraId="16511A8D" w14:textId="77777777" w:rsidR="00CC5E97" w:rsidRPr="00DA6986" w:rsidRDefault="00CC5E97" w:rsidP="00CC5E97">
      <w:pPr>
        <w:rPr>
          <w:rFonts w:cs="Arial"/>
          <w:spacing w:val="-3"/>
        </w:rPr>
      </w:pPr>
    </w:p>
    <w:p w14:paraId="40745503" w14:textId="2D620CD9" w:rsidR="00CC5E97" w:rsidRPr="00DA6986" w:rsidRDefault="00CC5E97" w:rsidP="00CC5E97">
      <w:pPr>
        <w:rPr>
          <w:rFonts w:cs="Arial"/>
          <w:spacing w:val="-3"/>
        </w:rPr>
      </w:pPr>
      <w:r w:rsidRPr="00DA6986">
        <w:rPr>
          <w:rFonts w:cs="Arial"/>
          <w:spacing w:val="-3"/>
        </w:rPr>
        <w:t>De acuerdo con el artículo 7 de la Resolución CREG 011 de 2009</w:t>
      </w:r>
      <w:r w:rsidR="00FA3B03" w:rsidRPr="00DA6986">
        <w:rPr>
          <w:rFonts w:cs="Arial"/>
          <w:spacing w:val="-3"/>
        </w:rPr>
        <w:t>,</w:t>
      </w:r>
      <w:r w:rsidRPr="00DA6986">
        <w:rPr>
          <w:rFonts w:cs="Arial"/>
          <w:spacing w:val="-3"/>
        </w:rPr>
        <w:t xml:space="preserve"> el ingreso anual del transmisor, IAT, “(…) </w:t>
      </w:r>
      <w:r w:rsidRPr="00DA6986">
        <w:rPr>
          <w:rFonts w:cs="Arial"/>
          <w:i/>
          <w:spacing w:val="-3"/>
        </w:rPr>
        <w:t>solo se ajustará si la CREG llegare a modificar los valores de la Unidades Constructivas, cuando se modifique el valor del AOM reconocido o cuando, en cumplimiento de la regulación vigente, se excluyan Activos de Uso en operación, ingresen nuevos Activos de Uso o se remplacen las Unidades Constructivas instaladas por otras de clasificación diferente de acuerdo con lo establecido en el Artículo 6 de la presente Resolución.</w:t>
      </w:r>
      <w:r w:rsidRPr="00DA6986">
        <w:rPr>
          <w:rFonts w:cs="Arial"/>
          <w:spacing w:val="-3"/>
        </w:rPr>
        <w:t>”</w:t>
      </w:r>
    </w:p>
    <w:p w14:paraId="49EE19FF" w14:textId="77777777" w:rsidR="00CC5E97" w:rsidRPr="00DA6986" w:rsidRDefault="00CC5E97" w:rsidP="00CC5E97">
      <w:pPr>
        <w:rPr>
          <w:rFonts w:cs="Arial"/>
          <w:spacing w:val="-3"/>
        </w:rPr>
      </w:pPr>
    </w:p>
    <w:p w14:paraId="58AE7DFD" w14:textId="70463355" w:rsidR="00DB7784" w:rsidRPr="00DA6986" w:rsidRDefault="00A563BD" w:rsidP="00DB7784">
      <w:pPr>
        <w:rPr>
          <w:rFonts w:eastAsia="MS Mincho" w:cs="Arial"/>
          <w:lang w:val="es-ES_tradnl" w:eastAsia="en-US"/>
        </w:rPr>
      </w:pPr>
      <w:r w:rsidRPr="00DA6986">
        <w:rPr>
          <w:rFonts w:eastAsia="MS Mincho" w:cs="Arial"/>
          <w:lang w:val="es-ES_tradnl" w:eastAsia="en-US"/>
        </w:rPr>
        <w:t>M</w:t>
      </w:r>
      <w:r w:rsidR="00DB7784" w:rsidRPr="00DA6986">
        <w:rPr>
          <w:rFonts w:eastAsia="MS Mincho" w:cs="Arial"/>
          <w:lang w:val="es-ES_tradnl" w:eastAsia="en-US"/>
        </w:rPr>
        <w:t>ediante comunicación radicada en la CREG con el número E-2016-0</w:t>
      </w:r>
      <w:r w:rsidR="001238F2">
        <w:rPr>
          <w:rFonts w:eastAsia="MS Mincho" w:cs="Arial"/>
          <w:lang w:val="es-ES_tradnl" w:eastAsia="en-US"/>
        </w:rPr>
        <w:t>13968</w:t>
      </w:r>
      <w:r w:rsidR="00DB7784" w:rsidRPr="00DA6986">
        <w:rPr>
          <w:rFonts w:eastAsia="MS Mincho" w:cs="Arial"/>
          <w:lang w:val="es-ES_tradnl" w:eastAsia="en-US"/>
        </w:rPr>
        <w:t>,</w:t>
      </w:r>
      <w:r w:rsidRPr="00DA6986">
        <w:rPr>
          <w:rFonts w:eastAsia="MS Mincho" w:cs="Arial"/>
          <w:lang w:val="es-ES_tradnl" w:eastAsia="en-US"/>
        </w:rPr>
        <w:t xml:space="preserve"> </w:t>
      </w:r>
      <w:proofErr w:type="spellStart"/>
      <w:r w:rsidRPr="00DA6986">
        <w:rPr>
          <w:rFonts w:eastAsia="MS Mincho" w:cs="Arial"/>
          <w:lang w:val="es-ES_tradnl" w:eastAsia="en-US"/>
        </w:rPr>
        <w:t>Transelca</w:t>
      </w:r>
      <w:proofErr w:type="spellEnd"/>
      <w:r w:rsidRPr="00DA6986">
        <w:rPr>
          <w:rFonts w:eastAsia="MS Mincho" w:cs="Arial"/>
          <w:lang w:val="es-ES_tradnl" w:eastAsia="en-US"/>
        </w:rPr>
        <w:t xml:space="preserve"> S.A. E.S.P., </w:t>
      </w:r>
      <w:r w:rsidR="001238F2" w:rsidRPr="00941AFB">
        <w:t>solicit</w:t>
      </w:r>
      <w:r w:rsidR="001238F2">
        <w:t>ó</w:t>
      </w:r>
      <w:r w:rsidR="001238F2" w:rsidRPr="00941AFB">
        <w:t xml:space="preserve"> </w:t>
      </w:r>
      <w:r w:rsidR="001238F2">
        <w:t xml:space="preserve">la actualización del tipo del centro de supervisión y maniobras - CSM, de tipo 2 a tipo 3, en </w:t>
      </w:r>
      <w:r w:rsidR="001238F2" w:rsidRPr="00941AFB">
        <w:t>la base de activos de la empresa y</w:t>
      </w:r>
      <w:r w:rsidR="001238F2">
        <w:t>,</w:t>
      </w:r>
      <w:r w:rsidR="001238F2" w:rsidRPr="00941AFB">
        <w:t xml:space="preserve"> </w:t>
      </w:r>
      <w:r w:rsidR="001238F2">
        <w:t xml:space="preserve">en consecuencia, actualizar </w:t>
      </w:r>
      <w:r w:rsidR="001238F2" w:rsidRPr="00941AFB">
        <w:t>el ingreso anual del transmisor</w:t>
      </w:r>
      <w:r w:rsidR="00DB7784" w:rsidRPr="00DA6986">
        <w:rPr>
          <w:rFonts w:eastAsia="MS Mincho" w:cs="Arial"/>
          <w:lang w:val="es-ES_tradnl" w:eastAsia="en-US"/>
        </w:rPr>
        <w:t>.</w:t>
      </w:r>
    </w:p>
    <w:p w14:paraId="0ED6C354" w14:textId="77777777" w:rsidR="00DB7784" w:rsidRPr="00DA6986" w:rsidRDefault="00DB7784" w:rsidP="00DB7784">
      <w:pPr>
        <w:rPr>
          <w:rFonts w:eastAsia="MS Mincho" w:cs="Arial"/>
          <w:lang w:val="es-ES_tradnl" w:eastAsia="en-US"/>
        </w:rPr>
      </w:pPr>
    </w:p>
    <w:p w14:paraId="60101EAB" w14:textId="25643A54" w:rsidR="00DB7784" w:rsidRPr="00DA6986" w:rsidRDefault="00DB7784" w:rsidP="00DB7784">
      <w:pPr>
        <w:rPr>
          <w:rFonts w:eastAsia="MS Mincho" w:cs="Arial"/>
          <w:lang w:val="es-ES_tradnl" w:eastAsia="en-US"/>
        </w:rPr>
      </w:pPr>
      <w:r w:rsidRPr="00DA6986">
        <w:rPr>
          <w:rFonts w:eastAsia="MS Mincho" w:cs="Arial"/>
          <w:lang w:val="es-ES_tradnl" w:eastAsia="en-US"/>
        </w:rPr>
        <w:t xml:space="preserve">Mediante auto del </w:t>
      </w:r>
      <w:r w:rsidR="001238F2">
        <w:rPr>
          <w:rFonts w:eastAsia="MS Mincho" w:cs="Arial"/>
          <w:lang w:val="es-ES_tradnl" w:eastAsia="en-US"/>
        </w:rPr>
        <w:t>23</w:t>
      </w:r>
      <w:r w:rsidRPr="00DA6986">
        <w:rPr>
          <w:rFonts w:eastAsia="MS Mincho" w:cs="Arial"/>
          <w:lang w:val="es-ES_tradnl" w:eastAsia="en-US"/>
        </w:rPr>
        <w:t xml:space="preserve"> de </w:t>
      </w:r>
      <w:r w:rsidR="001238F2">
        <w:rPr>
          <w:rFonts w:eastAsia="MS Mincho" w:cs="Arial"/>
          <w:lang w:val="es-ES_tradnl" w:eastAsia="en-US"/>
        </w:rPr>
        <w:t>marzo</w:t>
      </w:r>
      <w:r w:rsidR="001238F2" w:rsidRPr="00DA6986">
        <w:rPr>
          <w:rFonts w:eastAsia="MS Mincho" w:cs="Arial"/>
          <w:lang w:val="es-ES_tradnl" w:eastAsia="en-US"/>
        </w:rPr>
        <w:t xml:space="preserve"> </w:t>
      </w:r>
      <w:r w:rsidRPr="00DA6986">
        <w:rPr>
          <w:rFonts w:eastAsia="MS Mincho" w:cs="Arial"/>
          <w:lang w:val="es-ES_tradnl" w:eastAsia="en-US"/>
        </w:rPr>
        <w:t>de 201</w:t>
      </w:r>
      <w:r w:rsidR="001238F2">
        <w:rPr>
          <w:rFonts w:eastAsia="MS Mincho" w:cs="Arial"/>
          <w:lang w:val="es-ES_tradnl" w:eastAsia="en-US"/>
        </w:rPr>
        <w:t>7</w:t>
      </w:r>
      <w:r w:rsidRPr="00DA6986">
        <w:rPr>
          <w:rFonts w:eastAsia="MS Mincho" w:cs="Arial"/>
          <w:lang w:val="es-ES_tradnl" w:eastAsia="en-US"/>
        </w:rPr>
        <w:t xml:space="preserve">, la Comisión dio inicio a la actuación administrativa tendiente a actualizar el ingreso anual de la actividad de transmisión de </w:t>
      </w:r>
      <w:proofErr w:type="spellStart"/>
      <w:r w:rsidRPr="00DA6986">
        <w:rPr>
          <w:rFonts w:eastAsia="MS Mincho" w:cs="Arial"/>
          <w:lang w:val="es-ES_tradnl" w:eastAsia="en-US"/>
        </w:rPr>
        <w:t>Transelca</w:t>
      </w:r>
      <w:proofErr w:type="spellEnd"/>
      <w:r w:rsidRPr="00DA6986">
        <w:rPr>
          <w:rFonts w:eastAsia="MS Mincho" w:cs="Arial"/>
          <w:lang w:val="es-ES_tradnl" w:eastAsia="en-US"/>
        </w:rPr>
        <w:t xml:space="preserve"> S.A. E.S.P., y ordenó la apertura del respectivo expediente que fue distinguido con el número 201</w:t>
      </w:r>
      <w:r w:rsidR="001238F2">
        <w:rPr>
          <w:rFonts w:eastAsia="MS Mincho" w:cs="Arial"/>
          <w:lang w:val="es-ES_tradnl" w:eastAsia="en-US"/>
        </w:rPr>
        <w:t>7</w:t>
      </w:r>
      <w:r w:rsidRPr="00DA6986">
        <w:rPr>
          <w:rFonts w:eastAsia="MS Mincho" w:cs="Arial"/>
          <w:lang w:val="es-ES_tradnl" w:eastAsia="en-US"/>
        </w:rPr>
        <w:t>-0</w:t>
      </w:r>
      <w:r w:rsidR="001238F2">
        <w:rPr>
          <w:rFonts w:eastAsia="MS Mincho" w:cs="Arial"/>
          <w:lang w:val="es-ES_tradnl" w:eastAsia="en-US"/>
        </w:rPr>
        <w:t>007</w:t>
      </w:r>
      <w:r w:rsidRPr="00DA6986">
        <w:rPr>
          <w:rFonts w:eastAsia="MS Mincho" w:cs="Arial"/>
          <w:lang w:val="es-ES_tradnl" w:eastAsia="en-US"/>
        </w:rPr>
        <w:t xml:space="preserve">. </w:t>
      </w:r>
    </w:p>
    <w:p w14:paraId="657565F4" w14:textId="77777777" w:rsidR="00DB7784" w:rsidRPr="00DA6986" w:rsidRDefault="00DB7784" w:rsidP="00DB7784">
      <w:pPr>
        <w:rPr>
          <w:rFonts w:eastAsia="MS Mincho" w:cs="Arial"/>
          <w:lang w:val="es-ES_tradnl" w:eastAsia="en-US"/>
        </w:rPr>
      </w:pPr>
    </w:p>
    <w:p w14:paraId="63D527B1" w14:textId="77777777" w:rsidR="00DB7784" w:rsidRPr="00DA6986" w:rsidRDefault="00DB7784" w:rsidP="00DB7784">
      <w:pPr>
        <w:rPr>
          <w:rFonts w:eastAsia="MS Mincho" w:cs="Arial"/>
          <w:lang w:val="es-ES_tradnl" w:eastAsia="en-US"/>
        </w:rPr>
      </w:pPr>
      <w:r w:rsidRPr="00DA6986">
        <w:rPr>
          <w:rFonts w:eastAsia="MS Mincho" w:cs="Arial"/>
          <w:lang w:val="es-ES_tradnl" w:eastAsia="en-US"/>
        </w:rPr>
        <w:t xml:space="preserve">Posteriormente y en cumplimiento de lo establecido en el artículo 37 del Código de Procedimiento Administrativo y de lo Contencioso Administrativo, la CREG publicó en el </w:t>
      </w:r>
      <w:r w:rsidRPr="00DA6986">
        <w:rPr>
          <w:rFonts w:eastAsia="MS Mincho" w:cs="Arial"/>
          <w:i/>
          <w:lang w:val="es-ES_tradnl" w:eastAsia="en-US"/>
        </w:rPr>
        <w:t>Diario Oficial</w:t>
      </w:r>
      <w:r w:rsidRPr="00DA6986">
        <w:rPr>
          <w:rFonts w:eastAsia="MS Mincho" w:cs="Arial"/>
          <w:lang w:val="es-ES_tradnl" w:eastAsia="en-US"/>
        </w:rPr>
        <w:t xml:space="preserve"> y en la página web de la entidad un resumen de la solicitud, con el fin de que los terceros interesados pudieran intervenir en la actuación administrativa.</w:t>
      </w:r>
    </w:p>
    <w:p w14:paraId="03609A48" w14:textId="77777777" w:rsidR="00DB7784" w:rsidRPr="00DA6986" w:rsidRDefault="00DB7784" w:rsidP="00DB7784">
      <w:pPr>
        <w:rPr>
          <w:rFonts w:eastAsia="MS Mincho" w:cs="Arial"/>
          <w:lang w:val="es-ES_tradnl" w:eastAsia="en-US"/>
        </w:rPr>
      </w:pPr>
    </w:p>
    <w:p w14:paraId="404B5B8D" w14:textId="6C2E27DA" w:rsidR="003E7E99" w:rsidRPr="00DA6986" w:rsidRDefault="001238F2" w:rsidP="00DB7784">
      <w:pPr>
        <w:rPr>
          <w:rFonts w:eastAsia="MS Mincho" w:cs="Arial"/>
          <w:lang w:val="es-ES_tradnl" w:eastAsia="en-US"/>
        </w:rPr>
      </w:pPr>
      <w:r>
        <w:rPr>
          <w:rFonts w:eastAsia="MS Mincho" w:cs="Arial"/>
          <w:lang w:val="es-ES_tradnl" w:eastAsia="en-US"/>
        </w:rPr>
        <w:t xml:space="preserve">Tras la revisión de los argumentos presentados por la empresa y con base en las disposiciones establecidas en la Resolución CREG 011 de 2009, la CREG </w:t>
      </w:r>
      <w:r w:rsidR="0060350F">
        <w:rPr>
          <w:rFonts w:eastAsia="MS Mincho" w:cs="Arial"/>
          <w:lang w:val="es-ES_tradnl" w:eastAsia="en-US"/>
        </w:rPr>
        <w:t xml:space="preserve">mediante la Resolución 050 de 2017 </w:t>
      </w:r>
      <w:r>
        <w:rPr>
          <w:rFonts w:eastAsia="MS Mincho" w:cs="Arial"/>
          <w:lang w:val="es-ES_tradnl" w:eastAsia="en-US"/>
        </w:rPr>
        <w:t xml:space="preserve">decidió </w:t>
      </w:r>
      <w:r w:rsidR="0060350F">
        <w:rPr>
          <w:rFonts w:eastAsia="MS Mincho" w:cs="Arial"/>
          <w:lang w:val="es-ES_tradnl" w:eastAsia="en-US"/>
        </w:rPr>
        <w:t xml:space="preserve">no actualizar el ingreso anual de </w:t>
      </w:r>
      <w:proofErr w:type="spellStart"/>
      <w:r>
        <w:rPr>
          <w:rFonts w:eastAsia="MS Mincho" w:cs="Arial"/>
          <w:lang w:val="es-ES_tradnl" w:eastAsia="en-US"/>
        </w:rPr>
        <w:t>Transelca</w:t>
      </w:r>
      <w:proofErr w:type="spellEnd"/>
      <w:r>
        <w:rPr>
          <w:rFonts w:eastAsia="MS Mincho" w:cs="Arial"/>
          <w:lang w:val="es-ES_tradnl" w:eastAsia="en-US"/>
        </w:rPr>
        <w:t xml:space="preserve"> S.A. E.S.P.</w:t>
      </w:r>
    </w:p>
    <w:p w14:paraId="17CA44E5" w14:textId="77777777" w:rsidR="00DB7784" w:rsidRPr="00DA6986" w:rsidRDefault="00DB7784" w:rsidP="00DB7784">
      <w:pPr>
        <w:rPr>
          <w:rFonts w:eastAsia="MS Mincho" w:cs="Arial"/>
          <w:lang w:val="es-ES_tradnl" w:eastAsia="en-US"/>
        </w:rPr>
      </w:pPr>
    </w:p>
    <w:p w14:paraId="2AE64B2B" w14:textId="15BE6174" w:rsidR="00F13F27" w:rsidRPr="00DA6986" w:rsidRDefault="00375F29" w:rsidP="003E7E99">
      <w:pPr>
        <w:widowControl w:val="0"/>
        <w:adjustRightInd w:val="0"/>
        <w:ind w:right="20"/>
        <w:rPr>
          <w:rFonts w:cs="Arial"/>
          <w:lang w:val="es-CO"/>
        </w:rPr>
      </w:pPr>
      <w:r w:rsidRPr="00DA6986">
        <w:rPr>
          <w:rFonts w:cs="Arial"/>
          <w:lang w:val="es-CO"/>
        </w:rPr>
        <w:t xml:space="preserve">Surtido el trámite de notificación personal de la referida decisión y estando dentro del término legal, </w:t>
      </w:r>
      <w:r w:rsidR="00293058">
        <w:rPr>
          <w:rFonts w:cs="Arial"/>
          <w:lang w:val="es-CO"/>
        </w:rPr>
        <w:t>mediante comunicación con radicado E-201</w:t>
      </w:r>
      <w:r w:rsidR="0060350F">
        <w:rPr>
          <w:rFonts w:cs="Arial"/>
          <w:lang w:val="es-CO"/>
        </w:rPr>
        <w:t>7</w:t>
      </w:r>
      <w:r w:rsidR="00293058">
        <w:rPr>
          <w:rFonts w:cs="Arial"/>
          <w:lang w:val="es-CO"/>
        </w:rPr>
        <w:t>-0</w:t>
      </w:r>
      <w:r w:rsidR="0060350F">
        <w:rPr>
          <w:rFonts w:cs="Arial"/>
          <w:lang w:val="es-CO"/>
        </w:rPr>
        <w:t>05577</w:t>
      </w:r>
      <w:r w:rsidR="00293058">
        <w:rPr>
          <w:rFonts w:cs="Arial"/>
          <w:lang w:val="es-CO"/>
        </w:rPr>
        <w:t xml:space="preserve">, </w:t>
      </w:r>
      <w:r w:rsidRPr="00DA6986">
        <w:rPr>
          <w:rFonts w:cs="Arial"/>
          <w:lang w:val="es-CO"/>
        </w:rPr>
        <w:t xml:space="preserve">el representante legal </w:t>
      </w:r>
      <w:r w:rsidR="00293058">
        <w:rPr>
          <w:rFonts w:cs="Arial"/>
          <w:lang w:val="es-CO"/>
        </w:rPr>
        <w:t xml:space="preserve">judicial </w:t>
      </w:r>
      <w:r w:rsidRPr="00DA6986">
        <w:rPr>
          <w:rFonts w:cs="Arial"/>
          <w:lang w:val="es-CO"/>
        </w:rPr>
        <w:t xml:space="preserve">de </w:t>
      </w:r>
      <w:proofErr w:type="spellStart"/>
      <w:r w:rsidR="006406A2" w:rsidRPr="00DA6986">
        <w:rPr>
          <w:rFonts w:cs="Arial"/>
          <w:lang w:val="es-CO"/>
        </w:rPr>
        <w:t>Transelca</w:t>
      </w:r>
      <w:proofErr w:type="spellEnd"/>
      <w:r w:rsidR="006406A2" w:rsidRPr="00DA6986">
        <w:rPr>
          <w:rFonts w:cs="Arial"/>
          <w:lang w:val="es-CO"/>
        </w:rPr>
        <w:t xml:space="preserve"> </w:t>
      </w:r>
      <w:r w:rsidRPr="00DA6986">
        <w:rPr>
          <w:rFonts w:cs="Arial"/>
          <w:lang w:val="es-CO"/>
        </w:rPr>
        <w:t>S.A. E.S.P. interpuso recurso de reposición contra</w:t>
      </w:r>
      <w:r w:rsidR="00FD1A7A" w:rsidRPr="00DA6986">
        <w:rPr>
          <w:rFonts w:cs="Arial"/>
          <w:lang w:val="es-CO"/>
        </w:rPr>
        <w:t xml:space="preserve"> la </w:t>
      </w:r>
      <w:r w:rsidR="00795F8E">
        <w:rPr>
          <w:rFonts w:cs="Arial"/>
          <w:lang w:val="es-CO"/>
        </w:rPr>
        <w:t>R</w:t>
      </w:r>
      <w:r w:rsidR="006406A2" w:rsidRPr="00DA6986">
        <w:rPr>
          <w:rFonts w:cs="Arial"/>
          <w:lang w:val="es-CO"/>
        </w:rPr>
        <w:t>esolución</w:t>
      </w:r>
      <w:r w:rsidR="00795F8E">
        <w:rPr>
          <w:rFonts w:cs="Arial"/>
          <w:lang w:val="es-CO"/>
        </w:rPr>
        <w:t xml:space="preserve"> CREG 050 de 2017</w:t>
      </w:r>
      <w:r w:rsidR="006406A2" w:rsidRPr="00DA6986">
        <w:rPr>
          <w:rFonts w:cs="Arial"/>
          <w:lang w:val="es-CO"/>
        </w:rPr>
        <w:t xml:space="preserve"> </w:t>
      </w:r>
      <w:r w:rsidRPr="00DA6986">
        <w:rPr>
          <w:rFonts w:cs="Arial"/>
          <w:lang w:val="es-CO"/>
        </w:rPr>
        <w:t>argumentando lo siguiente:</w:t>
      </w:r>
    </w:p>
    <w:p w14:paraId="09DC3EE4" w14:textId="77CCC7B9" w:rsidR="0057728C" w:rsidRPr="00DA6986" w:rsidRDefault="0057728C" w:rsidP="00FC20B0">
      <w:pPr>
        <w:pStyle w:val="Ttulo5"/>
        <w:jc w:val="center"/>
        <w:rPr>
          <w:lang w:eastAsia="es-ES_tradnl"/>
        </w:rPr>
      </w:pPr>
      <w:r w:rsidRPr="00DA6986">
        <w:rPr>
          <w:lang w:eastAsia="es-ES_tradnl"/>
        </w:rPr>
        <w:t>CONSIDERACIONES DEL RECURRENTE</w:t>
      </w:r>
    </w:p>
    <w:p w14:paraId="0616E924" w14:textId="77777777" w:rsidR="00FD1A7A" w:rsidRPr="00DA6986" w:rsidRDefault="00FD1A7A" w:rsidP="00FD1A7A">
      <w:pPr>
        <w:rPr>
          <w:lang w:val="es-CO" w:eastAsia="es-ES_tradnl"/>
        </w:rPr>
      </w:pPr>
    </w:p>
    <w:p w14:paraId="37FAB0F7" w14:textId="0277AB90" w:rsidR="00FD1A7A" w:rsidRPr="00DA6986" w:rsidRDefault="00FD1A7A" w:rsidP="00795F8E">
      <w:pPr>
        <w:rPr>
          <w:lang w:val="es-CO" w:eastAsia="es-ES_tradnl"/>
        </w:rPr>
      </w:pPr>
      <w:r w:rsidRPr="00DA6986">
        <w:rPr>
          <w:lang w:val="es-CO" w:eastAsia="es-ES_tradnl"/>
        </w:rPr>
        <w:t xml:space="preserve">Plantea el recurrente </w:t>
      </w:r>
      <w:r w:rsidR="00795F8E">
        <w:rPr>
          <w:lang w:val="es-CO" w:eastAsia="es-ES_tradnl"/>
        </w:rPr>
        <w:t xml:space="preserve">que </w:t>
      </w:r>
      <w:r w:rsidR="00795F8E" w:rsidRPr="00795F8E">
        <w:rPr>
          <w:lang w:val="es-CO" w:eastAsia="es-ES_tradnl"/>
        </w:rPr>
        <w:t>no existe discusión en relación con</w:t>
      </w:r>
      <w:r w:rsidR="00795F8E">
        <w:rPr>
          <w:lang w:val="es-CO" w:eastAsia="es-ES_tradnl"/>
        </w:rPr>
        <w:t xml:space="preserve"> el hecho q</w:t>
      </w:r>
      <w:r w:rsidR="00795F8E" w:rsidRPr="00795F8E">
        <w:rPr>
          <w:lang w:val="es-CO" w:eastAsia="es-ES_tradnl"/>
        </w:rPr>
        <w:t>ue los activos</w:t>
      </w:r>
      <w:r w:rsidR="00795F8E">
        <w:rPr>
          <w:lang w:val="es-CO" w:eastAsia="es-ES_tradnl"/>
        </w:rPr>
        <w:t xml:space="preserve"> </w:t>
      </w:r>
      <w:r w:rsidR="00795F8E" w:rsidRPr="00795F8E">
        <w:rPr>
          <w:lang w:val="es-CO" w:eastAsia="es-ES_tradnl"/>
        </w:rPr>
        <w:t>de</w:t>
      </w:r>
      <w:r w:rsidR="00795F8E">
        <w:rPr>
          <w:lang w:val="es-CO" w:eastAsia="es-ES_tradnl"/>
        </w:rPr>
        <w:t xml:space="preserve"> </w:t>
      </w:r>
      <w:r w:rsidR="00795F8E" w:rsidRPr="00795F8E">
        <w:rPr>
          <w:lang w:val="es-CO" w:eastAsia="es-ES_tradnl"/>
        </w:rPr>
        <w:t>conexión</w:t>
      </w:r>
      <w:r w:rsidR="00795F8E">
        <w:rPr>
          <w:lang w:val="es-CO" w:eastAsia="es-ES_tradnl"/>
        </w:rPr>
        <w:t xml:space="preserve"> </w:t>
      </w:r>
      <w:r w:rsidR="00DD1490">
        <w:rPr>
          <w:lang w:val="es-CO" w:eastAsia="es-ES_tradnl"/>
        </w:rPr>
        <w:t>al</w:t>
      </w:r>
      <w:r w:rsidR="00795F8E">
        <w:rPr>
          <w:lang w:val="es-CO" w:eastAsia="es-ES_tradnl"/>
        </w:rPr>
        <w:t xml:space="preserve"> S</w:t>
      </w:r>
      <w:r w:rsidR="00DD1490">
        <w:rPr>
          <w:lang w:val="es-CO" w:eastAsia="es-ES_tradnl"/>
        </w:rPr>
        <w:t>TN</w:t>
      </w:r>
      <w:r w:rsidR="00795F8E" w:rsidRPr="00795F8E">
        <w:rPr>
          <w:lang w:val="es-CO" w:eastAsia="es-ES_tradnl"/>
        </w:rPr>
        <w:t xml:space="preserve"> deben ser remunerados por el</w:t>
      </w:r>
      <w:r w:rsidR="00DD1490">
        <w:rPr>
          <w:lang w:val="es-CO" w:eastAsia="es-ES_tradnl"/>
        </w:rPr>
        <w:t xml:space="preserve"> </w:t>
      </w:r>
      <w:r w:rsidR="00795F8E" w:rsidRPr="00795F8E">
        <w:rPr>
          <w:lang w:val="es-CO" w:eastAsia="es-ES_tradnl"/>
        </w:rPr>
        <w:t>usuario de los mismos, a través de contratos de conexión</w:t>
      </w:r>
      <w:r w:rsidR="00DD1490">
        <w:rPr>
          <w:lang w:val="es-CO" w:eastAsia="es-ES_tradnl"/>
        </w:rPr>
        <w:t xml:space="preserve">, pero </w:t>
      </w:r>
      <w:r w:rsidR="00795F8E" w:rsidRPr="00795F8E">
        <w:rPr>
          <w:lang w:val="es-CO" w:eastAsia="es-ES_tradnl"/>
        </w:rPr>
        <w:t>la labor de supervisión,</w:t>
      </w:r>
      <w:r w:rsidR="00DD1490">
        <w:rPr>
          <w:lang w:val="es-CO" w:eastAsia="es-ES_tradnl"/>
        </w:rPr>
        <w:t xml:space="preserve"> </w:t>
      </w:r>
      <w:r w:rsidR="00795F8E" w:rsidRPr="00795F8E">
        <w:rPr>
          <w:lang w:val="es-CO" w:eastAsia="es-ES_tradnl"/>
        </w:rPr>
        <w:t>coordinación</w:t>
      </w:r>
      <w:r w:rsidR="00DD1490">
        <w:rPr>
          <w:lang w:val="es-CO" w:eastAsia="es-ES_tradnl"/>
        </w:rPr>
        <w:t xml:space="preserve"> </w:t>
      </w:r>
      <w:r w:rsidR="00795F8E" w:rsidRPr="00795F8E">
        <w:rPr>
          <w:lang w:val="es-CO" w:eastAsia="es-ES_tradnl"/>
        </w:rPr>
        <w:t>y</w:t>
      </w:r>
      <w:r w:rsidR="00DD1490">
        <w:rPr>
          <w:lang w:val="es-CO" w:eastAsia="es-ES_tradnl"/>
        </w:rPr>
        <w:t xml:space="preserve"> </w:t>
      </w:r>
      <w:r w:rsidR="00795F8E" w:rsidRPr="00795F8E">
        <w:rPr>
          <w:lang w:val="es-CO" w:eastAsia="es-ES_tradnl"/>
        </w:rPr>
        <w:t>control de tales activos,</w:t>
      </w:r>
      <w:r w:rsidR="00DD1490">
        <w:rPr>
          <w:lang w:val="es-CO" w:eastAsia="es-ES_tradnl"/>
        </w:rPr>
        <w:t xml:space="preserve"> </w:t>
      </w:r>
      <w:r w:rsidR="00795F8E" w:rsidRPr="00795F8E">
        <w:rPr>
          <w:lang w:val="es-CO" w:eastAsia="es-ES_tradnl"/>
        </w:rPr>
        <w:t>a</w:t>
      </w:r>
      <w:r w:rsidR="00DD1490">
        <w:rPr>
          <w:lang w:val="es-CO" w:eastAsia="es-ES_tradnl"/>
        </w:rPr>
        <w:t xml:space="preserve"> </w:t>
      </w:r>
      <w:r w:rsidR="00795F8E" w:rsidRPr="00795F8E">
        <w:rPr>
          <w:lang w:val="es-CO" w:eastAsia="es-ES_tradnl"/>
        </w:rPr>
        <w:t>cargo de los</w:t>
      </w:r>
      <w:r w:rsidR="00DD1490">
        <w:rPr>
          <w:lang w:val="es-CO" w:eastAsia="es-ES_tradnl"/>
        </w:rPr>
        <w:t xml:space="preserve"> </w:t>
      </w:r>
      <w:r w:rsidR="00795F8E" w:rsidRPr="00795F8E">
        <w:rPr>
          <w:lang w:val="es-CO" w:eastAsia="es-ES_tradnl"/>
        </w:rPr>
        <w:t>transmisores,</w:t>
      </w:r>
      <w:r w:rsidR="00DD1490">
        <w:rPr>
          <w:lang w:val="es-CO" w:eastAsia="es-ES_tradnl"/>
        </w:rPr>
        <w:t xml:space="preserve"> </w:t>
      </w:r>
      <w:r w:rsidR="00795F8E" w:rsidRPr="00795F8E">
        <w:rPr>
          <w:lang w:val="es-CO" w:eastAsia="es-ES_tradnl"/>
        </w:rPr>
        <w:t>por</w:t>
      </w:r>
      <w:r w:rsidR="00DD1490">
        <w:rPr>
          <w:lang w:val="es-CO" w:eastAsia="es-ES_tradnl"/>
        </w:rPr>
        <w:t xml:space="preserve"> </w:t>
      </w:r>
      <w:r w:rsidR="00795F8E" w:rsidRPr="00795F8E">
        <w:rPr>
          <w:lang w:val="es-CO" w:eastAsia="es-ES_tradnl"/>
        </w:rPr>
        <w:t>mandato</w:t>
      </w:r>
      <w:r w:rsidR="00DD1490">
        <w:rPr>
          <w:lang w:val="es-CO" w:eastAsia="es-ES_tradnl"/>
        </w:rPr>
        <w:t xml:space="preserve"> </w:t>
      </w:r>
      <w:r w:rsidR="00795F8E" w:rsidRPr="00795F8E">
        <w:rPr>
          <w:lang w:val="es-CO" w:eastAsia="es-ES_tradnl"/>
        </w:rPr>
        <w:t>legal,</w:t>
      </w:r>
      <w:r w:rsidR="00DD1490">
        <w:rPr>
          <w:lang w:val="es-CO" w:eastAsia="es-ES_tradnl"/>
        </w:rPr>
        <w:t xml:space="preserve"> </w:t>
      </w:r>
      <w:r w:rsidR="00795F8E" w:rsidRPr="00795F8E">
        <w:rPr>
          <w:lang w:val="es-CO" w:eastAsia="es-ES_tradnl"/>
        </w:rPr>
        <w:t>no es,</w:t>
      </w:r>
      <w:r w:rsidR="00DD1490">
        <w:rPr>
          <w:lang w:val="es-CO" w:eastAsia="es-ES_tradnl"/>
        </w:rPr>
        <w:t xml:space="preserve"> </w:t>
      </w:r>
      <w:r w:rsidR="00795F8E" w:rsidRPr="00795F8E">
        <w:rPr>
          <w:lang w:val="es-CO" w:eastAsia="es-ES_tradnl"/>
        </w:rPr>
        <w:t>ni debe ser,</w:t>
      </w:r>
      <w:r w:rsidR="00DD1490">
        <w:rPr>
          <w:lang w:val="es-CO" w:eastAsia="es-ES_tradnl"/>
        </w:rPr>
        <w:t xml:space="preserve"> </w:t>
      </w:r>
      <w:r w:rsidR="00795F8E" w:rsidRPr="00795F8E">
        <w:rPr>
          <w:lang w:val="es-CO" w:eastAsia="es-ES_tradnl"/>
        </w:rPr>
        <w:t>remunerada</w:t>
      </w:r>
      <w:r w:rsidR="00DD1490">
        <w:rPr>
          <w:lang w:val="es-CO" w:eastAsia="es-ES_tradnl"/>
        </w:rPr>
        <w:t xml:space="preserve"> </w:t>
      </w:r>
      <w:r w:rsidR="00795F8E" w:rsidRPr="00795F8E">
        <w:rPr>
          <w:lang w:val="es-CO" w:eastAsia="es-ES_tradnl"/>
        </w:rPr>
        <w:t>a</w:t>
      </w:r>
      <w:r w:rsidR="00DD1490">
        <w:rPr>
          <w:lang w:val="es-CO" w:eastAsia="es-ES_tradnl"/>
        </w:rPr>
        <w:t xml:space="preserve"> través de tales contratos</w:t>
      </w:r>
      <w:r w:rsidR="00EE45F9" w:rsidRPr="00DA6986">
        <w:rPr>
          <w:lang w:val="es-CO" w:eastAsia="es-ES_tradnl"/>
        </w:rPr>
        <w:t>.</w:t>
      </w:r>
    </w:p>
    <w:p w14:paraId="1EEE28D7" w14:textId="77777777" w:rsidR="00EE45F9" w:rsidRPr="00DA6986" w:rsidRDefault="00EE45F9" w:rsidP="00FD1A7A">
      <w:pPr>
        <w:rPr>
          <w:lang w:val="es-CO" w:eastAsia="es-ES_tradnl"/>
        </w:rPr>
      </w:pPr>
    </w:p>
    <w:p w14:paraId="19495366" w14:textId="76DE5337" w:rsidR="00EE45F9" w:rsidRPr="00DA6986" w:rsidRDefault="00DD1490" w:rsidP="00FD1A7A">
      <w:pPr>
        <w:rPr>
          <w:lang w:val="es-CO" w:eastAsia="es-ES_tradnl"/>
        </w:rPr>
      </w:pPr>
      <w:r>
        <w:rPr>
          <w:lang w:val="es-CO" w:eastAsia="es-ES_tradnl"/>
        </w:rPr>
        <w:t xml:space="preserve">Con respecto al número de </w:t>
      </w:r>
      <w:r w:rsidR="006D1331">
        <w:rPr>
          <w:lang w:val="es-CO" w:eastAsia="es-ES_tradnl"/>
        </w:rPr>
        <w:t xml:space="preserve">señales de las bahías </w:t>
      </w:r>
      <w:r>
        <w:rPr>
          <w:lang w:val="es-CO" w:eastAsia="es-ES_tradnl"/>
        </w:rPr>
        <w:t>de transformación de conexión del OR al STN, el recurrente a</w:t>
      </w:r>
      <w:r w:rsidR="00EE45F9" w:rsidRPr="00DA6986">
        <w:rPr>
          <w:lang w:val="es-CO" w:eastAsia="es-ES_tradnl"/>
        </w:rPr>
        <w:t xml:space="preserve">rgumenta que </w:t>
      </w:r>
      <w:r w:rsidR="00EA190D">
        <w:rPr>
          <w:lang w:val="es-CO" w:eastAsia="es-ES_tradnl"/>
        </w:rPr>
        <w:t xml:space="preserve">para el </w:t>
      </w:r>
      <w:r w:rsidR="009548DA">
        <w:rPr>
          <w:lang w:val="es-CO" w:eastAsia="es-ES_tradnl"/>
        </w:rPr>
        <w:t>dimensionamiento</w:t>
      </w:r>
      <w:r w:rsidR="00EA190D">
        <w:rPr>
          <w:lang w:val="es-CO" w:eastAsia="es-ES_tradnl"/>
        </w:rPr>
        <w:t xml:space="preserve"> de los centros de control de la actividad de distribución de energía eléctrica, </w:t>
      </w:r>
      <w:r w:rsidR="009548DA">
        <w:rPr>
          <w:lang w:val="es-CO" w:eastAsia="es-ES_tradnl"/>
        </w:rPr>
        <w:t>con base en lo establecido en</w:t>
      </w:r>
      <w:r w:rsidR="00EA190D">
        <w:rPr>
          <w:lang w:val="es-CO" w:eastAsia="es-ES_tradnl"/>
        </w:rPr>
        <w:t xml:space="preserve"> la </w:t>
      </w:r>
      <w:r w:rsidR="009548DA">
        <w:rPr>
          <w:lang w:val="es-CO" w:eastAsia="es-ES_tradnl"/>
        </w:rPr>
        <w:t xml:space="preserve">Resolución </w:t>
      </w:r>
      <w:r w:rsidR="00EA190D">
        <w:rPr>
          <w:lang w:val="es-CO" w:eastAsia="es-ES_tradnl"/>
        </w:rPr>
        <w:t>CREG 097 de 2008, no se tienen en cuenta unidades constructivas correspondientes a las bahías de conexión</w:t>
      </w:r>
      <w:r w:rsidR="00462D30">
        <w:rPr>
          <w:lang w:val="es-CO" w:eastAsia="es-ES_tradnl"/>
        </w:rPr>
        <w:t xml:space="preserve"> al STN, por lo </w:t>
      </w:r>
      <w:r w:rsidR="009548DA">
        <w:rPr>
          <w:lang w:val="es-CO" w:eastAsia="es-ES_tradnl"/>
        </w:rPr>
        <w:t>tanto</w:t>
      </w:r>
      <w:r w:rsidR="00EA190D">
        <w:rPr>
          <w:lang w:val="es-CO" w:eastAsia="es-ES_tradnl"/>
        </w:rPr>
        <w:t xml:space="preserve"> </w:t>
      </w:r>
      <w:r w:rsidR="009548DA">
        <w:rPr>
          <w:lang w:val="es-CO" w:eastAsia="es-ES_tradnl"/>
        </w:rPr>
        <w:t xml:space="preserve">los distribuidores no reciben en su tarifa un reconocimiento </w:t>
      </w:r>
      <w:r w:rsidR="009548DA" w:rsidRPr="009548DA">
        <w:rPr>
          <w:lang w:val="es-CO" w:eastAsia="es-ES_tradnl"/>
        </w:rPr>
        <w:t>por la</w:t>
      </w:r>
      <w:r w:rsidR="009548DA">
        <w:rPr>
          <w:lang w:val="es-CO" w:eastAsia="es-ES_tradnl"/>
        </w:rPr>
        <w:t xml:space="preserve"> </w:t>
      </w:r>
      <w:r w:rsidR="009548DA" w:rsidRPr="009548DA">
        <w:rPr>
          <w:lang w:val="es-CO" w:eastAsia="es-ES_tradnl"/>
        </w:rPr>
        <w:t>función</w:t>
      </w:r>
      <w:r w:rsidR="009548DA">
        <w:rPr>
          <w:lang w:val="es-CO" w:eastAsia="es-ES_tradnl"/>
        </w:rPr>
        <w:t xml:space="preserve"> </w:t>
      </w:r>
      <w:r w:rsidR="009548DA" w:rsidRPr="009548DA">
        <w:rPr>
          <w:lang w:val="es-CO" w:eastAsia="es-ES_tradnl"/>
        </w:rPr>
        <w:t>de</w:t>
      </w:r>
      <w:r w:rsidR="009548DA">
        <w:rPr>
          <w:lang w:val="es-CO" w:eastAsia="es-ES_tradnl"/>
        </w:rPr>
        <w:t xml:space="preserve"> </w:t>
      </w:r>
      <w:r w:rsidR="009548DA" w:rsidRPr="009548DA">
        <w:rPr>
          <w:lang w:val="es-CO" w:eastAsia="es-ES_tradnl"/>
        </w:rPr>
        <w:t>supervisión</w:t>
      </w:r>
      <w:r w:rsidR="009548DA">
        <w:rPr>
          <w:lang w:val="es-CO" w:eastAsia="es-ES_tradnl"/>
        </w:rPr>
        <w:t xml:space="preserve"> </w:t>
      </w:r>
      <w:r w:rsidR="009548DA" w:rsidRPr="009548DA">
        <w:rPr>
          <w:lang w:val="es-CO" w:eastAsia="es-ES_tradnl"/>
        </w:rPr>
        <w:t>y</w:t>
      </w:r>
      <w:r w:rsidR="009548DA">
        <w:rPr>
          <w:lang w:val="es-CO" w:eastAsia="es-ES_tradnl"/>
        </w:rPr>
        <w:t xml:space="preserve"> </w:t>
      </w:r>
      <w:r w:rsidR="009548DA" w:rsidRPr="009548DA">
        <w:rPr>
          <w:lang w:val="es-CO" w:eastAsia="es-ES_tradnl"/>
        </w:rPr>
        <w:t>control</w:t>
      </w:r>
      <w:r w:rsidR="009548DA">
        <w:rPr>
          <w:lang w:val="es-CO" w:eastAsia="es-ES_tradnl"/>
        </w:rPr>
        <w:t xml:space="preserve"> </w:t>
      </w:r>
      <w:r w:rsidR="009548DA" w:rsidRPr="009548DA">
        <w:rPr>
          <w:lang w:val="es-CO" w:eastAsia="es-ES_tradnl"/>
        </w:rPr>
        <w:t>de</w:t>
      </w:r>
      <w:r w:rsidR="009548DA">
        <w:rPr>
          <w:lang w:val="es-CO" w:eastAsia="es-ES_tradnl"/>
        </w:rPr>
        <w:t xml:space="preserve"> las bahías de conexión al S</w:t>
      </w:r>
      <w:r w:rsidR="009548DA" w:rsidRPr="009548DA">
        <w:rPr>
          <w:lang w:val="es-CO" w:eastAsia="es-ES_tradnl"/>
        </w:rPr>
        <w:t>TN</w:t>
      </w:r>
      <w:r w:rsidR="009548DA">
        <w:rPr>
          <w:lang w:val="es-CO" w:eastAsia="es-ES_tradnl"/>
        </w:rPr>
        <w:t xml:space="preserve">, y con base en esto concluye que </w:t>
      </w:r>
      <w:r w:rsidR="009548DA" w:rsidRPr="009548DA">
        <w:rPr>
          <w:lang w:val="es-CO" w:eastAsia="es-ES_tradnl"/>
        </w:rPr>
        <w:t>no existe justificación regulatoria que permita incluir en un contrato de conexión tal reconocimiento</w:t>
      </w:r>
      <w:r w:rsidR="009548DA">
        <w:rPr>
          <w:lang w:val="es-CO" w:eastAsia="es-ES_tradnl"/>
        </w:rPr>
        <w:t xml:space="preserve"> </w:t>
      </w:r>
      <w:r w:rsidR="009548DA" w:rsidRPr="009548DA">
        <w:rPr>
          <w:lang w:val="es-CO" w:eastAsia="es-ES_tradnl"/>
        </w:rPr>
        <w:t>a</w:t>
      </w:r>
      <w:r w:rsidR="009548DA">
        <w:rPr>
          <w:lang w:val="es-CO" w:eastAsia="es-ES_tradnl"/>
        </w:rPr>
        <w:t xml:space="preserve"> </w:t>
      </w:r>
      <w:r w:rsidR="009548DA" w:rsidRPr="009548DA">
        <w:rPr>
          <w:lang w:val="es-CO" w:eastAsia="es-ES_tradnl"/>
        </w:rPr>
        <w:t>cargo del distribuidor</w:t>
      </w:r>
      <w:r w:rsidR="009548DA">
        <w:rPr>
          <w:lang w:val="es-CO" w:eastAsia="es-ES_tradnl"/>
        </w:rPr>
        <w:t>.</w:t>
      </w:r>
      <w:r w:rsidRPr="00DD1490">
        <w:rPr>
          <w:lang w:val="es-CO" w:eastAsia="es-ES_tradnl"/>
        </w:rPr>
        <w:t xml:space="preserve"> </w:t>
      </w:r>
    </w:p>
    <w:p w14:paraId="2BABCF7C" w14:textId="77777777" w:rsidR="00EE45F9" w:rsidRPr="00DA6986" w:rsidRDefault="00EE45F9" w:rsidP="00FD1A7A">
      <w:pPr>
        <w:rPr>
          <w:lang w:val="es-CO" w:eastAsia="es-ES_tradnl"/>
        </w:rPr>
      </w:pPr>
    </w:p>
    <w:p w14:paraId="5AFB67A2" w14:textId="4B7C95DB" w:rsidR="00243C8C" w:rsidRDefault="009548DA" w:rsidP="00FD1A7A">
      <w:pPr>
        <w:rPr>
          <w:lang w:val="es-CO" w:eastAsia="es-ES_tradnl"/>
        </w:rPr>
      </w:pPr>
      <w:r>
        <w:rPr>
          <w:lang w:val="es-CO" w:eastAsia="es-ES_tradnl"/>
        </w:rPr>
        <w:t xml:space="preserve">En el recurso de reposición también se menciona que </w:t>
      </w:r>
      <w:r w:rsidR="00243C8C">
        <w:rPr>
          <w:lang w:val="es-CO" w:eastAsia="es-ES_tradnl"/>
        </w:rPr>
        <w:t>el transmisor tiene</w:t>
      </w:r>
      <w:r>
        <w:rPr>
          <w:lang w:val="es-CO" w:eastAsia="es-ES_tradnl"/>
        </w:rPr>
        <w:t xml:space="preserve"> las funciones de supervisión, coordinación y control de las bahías de transformación </w:t>
      </w:r>
      <w:r w:rsidR="00243C8C">
        <w:rPr>
          <w:lang w:val="es-CO" w:eastAsia="es-ES_tradnl"/>
        </w:rPr>
        <w:t xml:space="preserve">de conexión al STN, incluidas en el artículo 6 de la Resolución CREG 080 de 1999, y que esta es una relación que tiene con el CND y no con los OR o generadores que usan los activos de conexión. Con base en este análisis </w:t>
      </w:r>
      <w:proofErr w:type="spellStart"/>
      <w:r w:rsidR="00243C8C">
        <w:rPr>
          <w:lang w:val="es-CO" w:eastAsia="es-ES_tradnl"/>
        </w:rPr>
        <w:t>Transelca</w:t>
      </w:r>
      <w:proofErr w:type="spellEnd"/>
      <w:r w:rsidR="00243C8C">
        <w:rPr>
          <w:lang w:val="es-CO" w:eastAsia="es-ES_tradnl"/>
        </w:rPr>
        <w:t xml:space="preserve"> S.A. E.S.P. concluye que </w:t>
      </w:r>
      <w:r w:rsidR="00085121">
        <w:rPr>
          <w:lang w:val="es-CO" w:eastAsia="es-ES_tradnl"/>
        </w:rPr>
        <w:t>esta</w:t>
      </w:r>
      <w:r w:rsidR="00243C8C">
        <w:rPr>
          <w:lang w:val="es-CO" w:eastAsia="es-ES_tradnl"/>
        </w:rPr>
        <w:t xml:space="preserve"> función debe ser reconocida a través de los cargos por uso del STN, contabilizando las señales de tales bahías en los CSM del correspondiente transmisor nacional.</w:t>
      </w:r>
    </w:p>
    <w:p w14:paraId="058DDC23" w14:textId="77777777" w:rsidR="00085121" w:rsidRDefault="00085121" w:rsidP="00FD1A7A">
      <w:pPr>
        <w:rPr>
          <w:lang w:val="es-CO" w:eastAsia="es-ES_tradnl"/>
        </w:rPr>
      </w:pPr>
    </w:p>
    <w:p w14:paraId="73217FF6" w14:textId="77777777" w:rsidR="00FC20B0" w:rsidRDefault="00FC20B0" w:rsidP="00FD1A7A">
      <w:pPr>
        <w:rPr>
          <w:lang w:val="es-CO" w:eastAsia="es-ES_tradnl"/>
        </w:rPr>
      </w:pPr>
    </w:p>
    <w:p w14:paraId="2E42DB92" w14:textId="0EDAD288" w:rsidR="00085121" w:rsidRDefault="00377BBA" w:rsidP="00FD1A7A">
      <w:pPr>
        <w:rPr>
          <w:lang w:val="es-CO" w:eastAsia="es-ES_tradnl"/>
        </w:rPr>
      </w:pPr>
      <w:r>
        <w:rPr>
          <w:lang w:val="es-CO" w:eastAsia="es-ES_tradnl"/>
        </w:rPr>
        <w:t>Con respecto al caso de los generadores, el recurrente afirma que</w:t>
      </w:r>
      <w:r w:rsidR="00E81FC4">
        <w:rPr>
          <w:lang w:val="es-CO" w:eastAsia="es-ES_tradnl"/>
        </w:rPr>
        <w:t xml:space="preserve"> además de</w:t>
      </w:r>
      <w:r>
        <w:rPr>
          <w:lang w:val="es-CO" w:eastAsia="es-ES_tradnl"/>
        </w:rPr>
        <w:t xml:space="preserve"> los argumentos ya mencionados </w:t>
      </w:r>
      <w:r w:rsidR="00E81FC4">
        <w:rPr>
          <w:lang w:val="es-CO" w:eastAsia="es-ES_tradnl"/>
        </w:rPr>
        <w:t>debe considerarse que en la regulación no se contempla para ellos una unidad constructiva a través de la cual se remunere esta actividad, porque además es una función que no les corresponde a estos sino al transmisor.</w:t>
      </w:r>
    </w:p>
    <w:p w14:paraId="7BCB6553" w14:textId="77777777" w:rsidR="00E81FC4" w:rsidRDefault="00E81FC4" w:rsidP="00FD1A7A">
      <w:pPr>
        <w:rPr>
          <w:lang w:val="es-CO" w:eastAsia="es-ES_tradnl"/>
        </w:rPr>
      </w:pPr>
    </w:p>
    <w:p w14:paraId="1B49AFB4" w14:textId="673706DD" w:rsidR="00615A6C" w:rsidRDefault="00A47015" w:rsidP="00FD1A7A">
      <w:pPr>
        <w:rPr>
          <w:lang w:val="es-CO" w:eastAsia="es-ES_tradnl"/>
        </w:rPr>
      </w:pPr>
      <w:r>
        <w:rPr>
          <w:lang w:val="es-CO" w:eastAsia="es-ES_tradnl"/>
        </w:rPr>
        <w:t xml:space="preserve">Sobre el número de señales relacionadas con los cortes centrales de las bahías con configuración interruptor y medio, el recurrente menciona que ni en la regulación vigente ni en </w:t>
      </w:r>
      <w:r w:rsidR="00615A6C">
        <w:rPr>
          <w:lang w:val="es-CO" w:eastAsia="es-ES_tradnl"/>
        </w:rPr>
        <w:t>su</w:t>
      </w:r>
      <w:r>
        <w:rPr>
          <w:lang w:val="es-CO" w:eastAsia="es-ES_tradnl"/>
        </w:rPr>
        <w:t xml:space="preserve"> documento </w:t>
      </w:r>
      <w:r w:rsidR="00615A6C">
        <w:rPr>
          <w:lang w:val="es-CO" w:eastAsia="es-ES_tradnl"/>
        </w:rPr>
        <w:t xml:space="preserve">de soporte se </w:t>
      </w:r>
      <w:r>
        <w:rPr>
          <w:lang w:val="es-CO" w:eastAsia="es-ES_tradnl"/>
        </w:rPr>
        <w:t xml:space="preserve">encuentra el </w:t>
      </w:r>
      <w:r w:rsidR="00615A6C">
        <w:rPr>
          <w:lang w:val="es-CO" w:eastAsia="es-ES_tradnl"/>
        </w:rPr>
        <w:t>sustento</w:t>
      </w:r>
      <w:r>
        <w:rPr>
          <w:lang w:val="es-CO" w:eastAsia="es-ES_tradnl"/>
        </w:rPr>
        <w:t xml:space="preserve"> a lo mencionado por la CREG en la Resolución CREG 050 de 2017,</w:t>
      </w:r>
      <w:r w:rsidR="004A243D">
        <w:rPr>
          <w:lang w:val="es-CO" w:eastAsia="es-ES_tradnl"/>
        </w:rPr>
        <w:t xml:space="preserve"> pues no existe ningún numeral ni alusión a la afirmación realizada por la Comisión, en el sentido de que se consideraran las señales de los cortes centrales en el número de las bahías de transformación. Menciona que los cortes centrales son unidades constructivas independientes, debidamente identificadas, </w:t>
      </w:r>
      <w:r w:rsidR="00615A6C">
        <w:rPr>
          <w:lang w:val="es-CO" w:eastAsia="es-ES_tradnl"/>
        </w:rPr>
        <w:t>y que su número de señales puede ser determinado a través de la aplicación del artículo 12 de la Resolución CREG 011 de 2009, sobre asimilación de unidades constructivas.</w:t>
      </w:r>
    </w:p>
    <w:p w14:paraId="037EA649" w14:textId="77777777" w:rsidR="00354AC4" w:rsidRDefault="00354AC4" w:rsidP="00FD1A7A">
      <w:pPr>
        <w:rPr>
          <w:lang w:val="es-CO" w:eastAsia="es-ES_tradnl"/>
        </w:rPr>
      </w:pPr>
    </w:p>
    <w:p w14:paraId="0FD6BFD8" w14:textId="551D3CC6" w:rsidR="00354AC4" w:rsidRDefault="00354AC4" w:rsidP="00FD1A7A">
      <w:pPr>
        <w:rPr>
          <w:lang w:val="es-CO" w:eastAsia="es-ES_tradnl"/>
        </w:rPr>
      </w:pPr>
      <w:r>
        <w:rPr>
          <w:lang w:val="es-CO" w:eastAsia="es-ES_tradnl"/>
        </w:rPr>
        <w:t xml:space="preserve">De otra parte, el recurrente menciona que </w:t>
      </w:r>
      <w:r w:rsidR="00545267">
        <w:rPr>
          <w:lang w:val="es-CO" w:eastAsia="es-ES_tradnl"/>
        </w:rPr>
        <w:t>con la Resolución CREG 050 de 2017 se interpreta de manera errónea las disposiciones regulatorias para definir el número de señales de los CSM, generándole un perjuicio patrimonial y contraviniendo de manera flagrante los criterios de suficiencia financiera y eficiencia económica definidos en el artículo 87 de la Ley 142 de 1994.</w:t>
      </w:r>
    </w:p>
    <w:p w14:paraId="44FB0AA7" w14:textId="74E646C2" w:rsidR="00E81FC4" w:rsidRDefault="00615A6C" w:rsidP="00FD1A7A">
      <w:pPr>
        <w:rPr>
          <w:lang w:val="es-CO" w:eastAsia="es-ES_tradnl"/>
        </w:rPr>
      </w:pPr>
      <w:r>
        <w:rPr>
          <w:lang w:val="es-CO" w:eastAsia="es-ES_tradnl"/>
        </w:rPr>
        <w:t xml:space="preserve"> </w:t>
      </w:r>
    </w:p>
    <w:p w14:paraId="70F9E86B" w14:textId="1946C75B" w:rsidR="001E5331" w:rsidRDefault="005B6C3F" w:rsidP="00FC20B0">
      <w:pPr>
        <w:pStyle w:val="Ttulo5"/>
        <w:jc w:val="center"/>
        <w:rPr>
          <w:rFonts w:eastAsia="Calibri"/>
          <w:lang w:eastAsia="es-CO"/>
        </w:rPr>
      </w:pPr>
      <w:r w:rsidRPr="00DA6986">
        <w:rPr>
          <w:rFonts w:eastAsia="Calibri"/>
          <w:lang w:eastAsia="es-CO"/>
        </w:rPr>
        <w:t xml:space="preserve">PETICIONES DE </w:t>
      </w:r>
      <w:r w:rsidR="001331F3" w:rsidRPr="00DA6986">
        <w:rPr>
          <w:rFonts w:eastAsia="Calibri"/>
          <w:lang w:eastAsia="es-CO"/>
        </w:rPr>
        <w:t>TRANSELCA</w:t>
      </w:r>
      <w:r w:rsidR="00651E1C" w:rsidRPr="00DA6986">
        <w:rPr>
          <w:rFonts w:eastAsia="Calibri"/>
          <w:lang w:eastAsia="es-CO"/>
        </w:rPr>
        <w:t xml:space="preserve"> S.A. E.S.P.</w:t>
      </w:r>
    </w:p>
    <w:p w14:paraId="450F27EC" w14:textId="77777777" w:rsidR="00FC20B0" w:rsidRPr="00FC20B0" w:rsidRDefault="00FC20B0" w:rsidP="00FC20B0">
      <w:pPr>
        <w:rPr>
          <w:rFonts w:eastAsia="Calibri"/>
          <w:lang w:val="es-CO" w:eastAsia="es-CO"/>
        </w:rPr>
      </w:pPr>
    </w:p>
    <w:p w14:paraId="14B97BE3" w14:textId="7AAAF840" w:rsidR="00AC6B96" w:rsidRPr="00DA6986" w:rsidRDefault="001331F3" w:rsidP="003D4596">
      <w:pPr>
        <w:rPr>
          <w:rFonts w:eastAsia="Calibri" w:cs="Century Gothic,Bold"/>
          <w:bCs/>
          <w:lang w:eastAsia="es-CO"/>
        </w:rPr>
      </w:pPr>
      <w:r w:rsidRPr="00DA6986">
        <w:rPr>
          <w:lang w:val="es-CO" w:eastAsia="es-ES_tradnl"/>
        </w:rPr>
        <w:t xml:space="preserve">Se </w:t>
      </w:r>
      <w:r w:rsidR="00545267">
        <w:rPr>
          <w:lang w:val="es-CO" w:eastAsia="es-ES_tradnl"/>
        </w:rPr>
        <w:t>revoque</w:t>
      </w:r>
      <w:r w:rsidR="00545267" w:rsidRPr="00DA6986">
        <w:rPr>
          <w:lang w:val="es-CO" w:eastAsia="es-ES_tradnl"/>
        </w:rPr>
        <w:t xml:space="preserve"> </w:t>
      </w:r>
      <w:r w:rsidRPr="00DA6986">
        <w:rPr>
          <w:lang w:val="es-CO" w:eastAsia="es-ES_tradnl"/>
        </w:rPr>
        <w:t xml:space="preserve">la Resolución </w:t>
      </w:r>
      <w:r w:rsidR="006406A2">
        <w:rPr>
          <w:lang w:val="es-CO" w:eastAsia="es-ES_tradnl"/>
        </w:rPr>
        <w:t xml:space="preserve">CREG </w:t>
      </w:r>
      <w:r w:rsidR="00545267">
        <w:rPr>
          <w:lang w:val="es-CO" w:eastAsia="es-ES_tradnl"/>
        </w:rPr>
        <w:t>050</w:t>
      </w:r>
      <w:r w:rsidRPr="00DA6986">
        <w:rPr>
          <w:lang w:val="es-CO" w:eastAsia="es-ES_tradnl"/>
        </w:rPr>
        <w:t xml:space="preserve"> de 201</w:t>
      </w:r>
      <w:r w:rsidR="00545267">
        <w:rPr>
          <w:lang w:val="es-CO" w:eastAsia="es-ES_tradnl"/>
        </w:rPr>
        <w:t xml:space="preserve">7 y se profiera en su lugar una que actualice el ingreso anual de </w:t>
      </w:r>
      <w:proofErr w:type="spellStart"/>
      <w:r w:rsidR="00545267">
        <w:rPr>
          <w:lang w:val="es-CO" w:eastAsia="es-ES_tradnl"/>
        </w:rPr>
        <w:t>Transelca</w:t>
      </w:r>
      <w:proofErr w:type="spellEnd"/>
      <w:r w:rsidR="00545267">
        <w:rPr>
          <w:lang w:val="es-CO" w:eastAsia="es-ES_tradnl"/>
        </w:rPr>
        <w:t xml:space="preserve"> S.A. E.S.P. como resultado de la reclasificación del CSM de la sociedad, de tipo 2 a tipo 3, en consideración a las señales de las bahías de conexión al STN y cortes centrales, hoy no consideradas en el IAT de la sociedad.</w:t>
      </w:r>
      <w:r w:rsidRPr="00DA6986">
        <w:rPr>
          <w:lang w:val="es-CO" w:eastAsia="es-ES_tradnl"/>
        </w:rPr>
        <w:t xml:space="preserve"> </w:t>
      </w:r>
    </w:p>
    <w:p w14:paraId="210D3305" w14:textId="77777777" w:rsidR="00DA6716" w:rsidRPr="00DA6986" w:rsidRDefault="00DA6716" w:rsidP="004C0A25">
      <w:pPr>
        <w:autoSpaceDE w:val="0"/>
        <w:autoSpaceDN w:val="0"/>
        <w:adjustRightInd w:val="0"/>
        <w:rPr>
          <w:rFonts w:eastAsia="Calibri" w:cs="Century Gothic,Bold"/>
          <w:b/>
          <w:bCs/>
          <w:lang w:eastAsia="es-CO"/>
        </w:rPr>
      </w:pPr>
    </w:p>
    <w:p w14:paraId="7ABF281C" w14:textId="77777777" w:rsidR="00061C79" w:rsidRPr="00DA6986" w:rsidRDefault="00061C79" w:rsidP="001331F3">
      <w:pPr>
        <w:rPr>
          <w:rFonts w:eastAsia="Calibri" w:cs="Century Gothic,Bold"/>
          <w:bCs/>
          <w:lang w:eastAsia="es-CO"/>
        </w:rPr>
      </w:pPr>
    </w:p>
    <w:p w14:paraId="16C6E3FD" w14:textId="218AB748" w:rsidR="009A5D9F" w:rsidRPr="00DA6986" w:rsidRDefault="009A5D9F" w:rsidP="00FC20B0">
      <w:pPr>
        <w:pStyle w:val="Ttulo5"/>
        <w:spacing w:before="0" w:after="0"/>
        <w:jc w:val="center"/>
      </w:pPr>
      <w:r w:rsidRPr="00DA6986">
        <w:t>ANÁLISIS DE LA CREG</w:t>
      </w:r>
    </w:p>
    <w:p w14:paraId="60822053" w14:textId="77777777" w:rsidR="007A1D12" w:rsidRPr="00DA6986" w:rsidRDefault="007A1D12" w:rsidP="00107AA8">
      <w:pPr>
        <w:rPr>
          <w:rFonts w:cs="Arial"/>
        </w:rPr>
      </w:pPr>
    </w:p>
    <w:p w14:paraId="12D07EDD" w14:textId="77777777" w:rsidR="00C94CB3" w:rsidRDefault="0018133E" w:rsidP="00107AA8">
      <w:pPr>
        <w:rPr>
          <w:rFonts w:cs="Arial"/>
        </w:rPr>
      </w:pPr>
      <w:r>
        <w:rPr>
          <w:rFonts w:cs="Arial"/>
        </w:rPr>
        <w:t xml:space="preserve">La solicitud de actualización del ingreso anual del transmisor hecha por </w:t>
      </w:r>
      <w:proofErr w:type="spellStart"/>
      <w:r>
        <w:rPr>
          <w:rFonts w:cs="Arial"/>
        </w:rPr>
        <w:t>Transelca</w:t>
      </w:r>
      <w:proofErr w:type="spellEnd"/>
      <w:r>
        <w:rPr>
          <w:rFonts w:cs="Arial"/>
        </w:rPr>
        <w:t xml:space="preserve"> S.A. E.S.P. </w:t>
      </w:r>
      <w:r w:rsidR="00E57D1F">
        <w:rPr>
          <w:rFonts w:cs="Arial"/>
        </w:rPr>
        <w:t>consiste</w:t>
      </w:r>
      <w:r w:rsidR="00CB0A7A">
        <w:rPr>
          <w:rFonts w:cs="Arial"/>
        </w:rPr>
        <w:t xml:space="preserve"> en</w:t>
      </w:r>
      <w:r>
        <w:rPr>
          <w:rFonts w:cs="Arial"/>
        </w:rPr>
        <w:t xml:space="preserve"> re-dimensiona</w:t>
      </w:r>
      <w:r w:rsidR="00E57D1F">
        <w:rPr>
          <w:rFonts w:cs="Arial"/>
        </w:rPr>
        <w:t xml:space="preserve">r </w:t>
      </w:r>
      <w:r>
        <w:rPr>
          <w:rFonts w:cs="Arial"/>
        </w:rPr>
        <w:t xml:space="preserve">el centro de supervisión maniobras, CSM, </w:t>
      </w:r>
      <w:r w:rsidR="00CB0A7A">
        <w:rPr>
          <w:rFonts w:cs="Arial"/>
        </w:rPr>
        <w:t xml:space="preserve">de manera tal que se pase del tipo 2 al tipo 3, adicionando </w:t>
      </w:r>
      <w:r w:rsidR="00C94CB3">
        <w:rPr>
          <w:rFonts w:cs="Arial"/>
        </w:rPr>
        <w:t>un número de señales que no fueron consideras para el dimensionamiento inicial y que corresponden las unidades constructivas de cortes centrales, bahías de transformadores de conexión de generadores y de bahías de conexión de trasformadores de OR al STN.</w:t>
      </w:r>
    </w:p>
    <w:p w14:paraId="7BD02E0B" w14:textId="77777777" w:rsidR="00C94CB3" w:rsidRDefault="00C94CB3" w:rsidP="00107AA8">
      <w:pPr>
        <w:rPr>
          <w:rFonts w:cs="Arial"/>
        </w:rPr>
      </w:pPr>
    </w:p>
    <w:p w14:paraId="246333B7" w14:textId="6BCEE29B" w:rsidR="00002523" w:rsidRDefault="00C94CB3" w:rsidP="00107AA8">
      <w:pPr>
        <w:rPr>
          <w:rFonts w:cs="Arial"/>
        </w:rPr>
      </w:pPr>
      <w:r>
        <w:rPr>
          <w:rFonts w:cs="Arial"/>
        </w:rPr>
        <w:t xml:space="preserve">En primer lugar es necesario mencionar que </w:t>
      </w:r>
      <w:r w:rsidR="00002523">
        <w:rPr>
          <w:rFonts w:cs="Arial"/>
        </w:rPr>
        <w:t>la metodología para la remuneración de la actividad de transmisión</w:t>
      </w:r>
      <w:r w:rsidR="00002523" w:rsidRPr="00002523">
        <w:rPr>
          <w:rFonts w:cs="Arial"/>
        </w:rPr>
        <w:t xml:space="preserve"> </w:t>
      </w:r>
      <w:r w:rsidR="00002523">
        <w:rPr>
          <w:rFonts w:cs="Arial"/>
        </w:rPr>
        <w:t xml:space="preserve">de energía eléctrica, definida mediante la Resolución CREG 011 de 2009, contiene </w:t>
      </w:r>
      <w:r>
        <w:rPr>
          <w:rFonts w:cs="Arial"/>
        </w:rPr>
        <w:t xml:space="preserve">el numeral 3.1.3 del anexo general </w:t>
      </w:r>
      <w:r w:rsidR="00CB0A7A">
        <w:rPr>
          <w:rFonts w:cs="Arial"/>
        </w:rPr>
        <w:t>en</w:t>
      </w:r>
      <w:r w:rsidR="00002523">
        <w:rPr>
          <w:rFonts w:cs="Arial"/>
        </w:rPr>
        <w:t xml:space="preserve"> donde se establece cómo se realiza el dimensionamiento del CSM que se reconoce dentro de la base de activos de los transmisores:</w:t>
      </w:r>
    </w:p>
    <w:p w14:paraId="717B6831" w14:textId="77777777" w:rsidR="00FC20B0" w:rsidRDefault="00FC20B0" w:rsidP="00002523">
      <w:pPr>
        <w:keepNext/>
        <w:numPr>
          <w:ilvl w:val="2"/>
          <w:numId w:val="0"/>
        </w:numPr>
        <w:suppressAutoHyphens/>
        <w:spacing w:before="240" w:after="240"/>
        <w:ind w:left="567" w:right="851"/>
        <w:outlineLvl w:val="2"/>
        <w:rPr>
          <w:b/>
          <w:sz w:val="20"/>
          <w:szCs w:val="20"/>
          <w:lang w:val="es-CO" w:eastAsia="ar-SA"/>
        </w:rPr>
      </w:pPr>
    </w:p>
    <w:p w14:paraId="35C78860" w14:textId="2D1940C3" w:rsidR="00002523" w:rsidRPr="00FC20B0" w:rsidRDefault="00002523" w:rsidP="00002523">
      <w:pPr>
        <w:keepNext/>
        <w:numPr>
          <w:ilvl w:val="2"/>
          <w:numId w:val="0"/>
        </w:numPr>
        <w:suppressAutoHyphens/>
        <w:spacing w:before="240" w:after="240"/>
        <w:ind w:left="567" w:right="851"/>
        <w:outlineLvl w:val="2"/>
        <w:rPr>
          <w:b/>
          <w:sz w:val="22"/>
          <w:szCs w:val="22"/>
          <w:lang w:val="es-CO" w:eastAsia="ar-SA"/>
        </w:rPr>
      </w:pPr>
      <w:r w:rsidRPr="00FC20B0">
        <w:rPr>
          <w:b/>
          <w:sz w:val="22"/>
          <w:szCs w:val="22"/>
          <w:lang w:val="es-CO" w:eastAsia="ar-SA"/>
        </w:rPr>
        <w:t>3.1.3 Centros de Supervisión y Maniobra</w:t>
      </w:r>
    </w:p>
    <w:p w14:paraId="42C791C2" w14:textId="58405B20" w:rsidR="00002523" w:rsidRPr="00FC20B0" w:rsidRDefault="00002523" w:rsidP="00002523">
      <w:pPr>
        <w:suppressAutoHyphens/>
        <w:ind w:left="567" w:right="851"/>
        <w:rPr>
          <w:sz w:val="22"/>
          <w:szCs w:val="22"/>
          <w:lang w:val="es-CO" w:eastAsia="ar-SA"/>
        </w:rPr>
      </w:pPr>
      <w:r w:rsidRPr="00FC20B0">
        <w:rPr>
          <w:sz w:val="22"/>
          <w:szCs w:val="22"/>
          <w:lang w:val="es-CO" w:eastAsia="ar-SA"/>
        </w:rPr>
        <w:t>Los Centros de Supervisión y Maniobra (CSM) se clasifican de acuerdo con el número de señales que manejan. Este número de señales se estimará a partir de los activos reportados por cada TN, teniendo en cuenta los valores mostrados en la Tabla 10.</w:t>
      </w:r>
    </w:p>
    <w:p w14:paraId="25225539" w14:textId="18588299" w:rsidR="00002523" w:rsidRPr="00FC20B0" w:rsidRDefault="00002523" w:rsidP="00D35482">
      <w:pPr>
        <w:spacing w:before="100" w:beforeAutospacing="1" w:after="100" w:afterAutospacing="1"/>
        <w:ind w:left="567" w:right="851"/>
        <w:jc w:val="center"/>
        <w:rPr>
          <w:sz w:val="22"/>
          <w:szCs w:val="22"/>
          <w:lang w:val="es-CO" w:eastAsia="ar-SA"/>
        </w:rPr>
      </w:pPr>
      <w:bookmarkStart w:id="1" w:name="_Ref220833733"/>
      <w:r w:rsidRPr="00FC20B0">
        <w:rPr>
          <w:sz w:val="22"/>
          <w:szCs w:val="22"/>
          <w:lang w:val="es-CO" w:eastAsia="ar-SA"/>
        </w:rPr>
        <w:t>Tabla</w:t>
      </w:r>
      <w:bookmarkEnd w:id="1"/>
      <w:r w:rsidRPr="00FC20B0">
        <w:rPr>
          <w:sz w:val="22"/>
          <w:szCs w:val="22"/>
          <w:lang w:val="es-CO" w:eastAsia="ar-SA"/>
        </w:rPr>
        <w:t xml:space="preserve"> 10. Señales por UC</w:t>
      </w:r>
    </w:p>
    <w:p w14:paraId="312C27E0" w14:textId="77777777" w:rsidR="00002523" w:rsidRPr="00FC20B0" w:rsidRDefault="00002523" w:rsidP="00002523">
      <w:pPr>
        <w:suppressAutoHyphens/>
        <w:ind w:left="567" w:right="851"/>
        <w:jc w:val="center"/>
        <w:rPr>
          <w:sz w:val="22"/>
          <w:szCs w:val="22"/>
          <w:lang w:val="es-CO" w:eastAsia="ar-SA"/>
        </w:rPr>
      </w:pPr>
      <w:r w:rsidRPr="00FC20B0">
        <w:rPr>
          <w:noProof/>
          <w:sz w:val="22"/>
          <w:szCs w:val="22"/>
          <w:lang w:val="es-CO" w:eastAsia="es-CO"/>
        </w:rPr>
        <w:drawing>
          <wp:inline distT="0" distB="0" distL="0" distR="0" wp14:anchorId="21CE5816" wp14:editId="0415FD51">
            <wp:extent cx="4503420" cy="1196340"/>
            <wp:effectExtent l="0" t="0" r="0" b="3810"/>
            <wp:docPr id="4"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3420" cy="1196340"/>
                    </a:xfrm>
                    <a:prstGeom prst="rect">
                      <a:avLst/>
                    </a:prstGeom>
                    <a:noFill/>
                    <a:ln>
                      <a:noFill/>
                    </a:ln>
                  </pic:spPr>
                </pic:pic>
              </a:graphicData>
            </a:graphic>
          </wp:inline>
        </w:drawing>
      </w:r>
    </w:p>
    <w:p w14:paraId="060290C0" w14:textId="77777777" w:rsidR="00002523" w:rsidRPr="00FC20B0" w:rsidRDefault="00002523" w:rsidP="00002523">
      <w:pPr>
        <w:suppressAutoHyphens/>
        <w:ind w:left="567" w:right="851"/>
        <w:rPr>
          <w:sz w:val="22"/>
          <w:szCs w:val="22"/>
          <w:lang w:val="es-CO" w:eastAsia="ar-SA"/>
        </w:rPr>
      </w:pPr>
    </w:p>
    <w:p w14:paraId="2B77B718" w14:textId="1E7C9890" w:rsidR="00002523" w:rsidRPr="00FC20B0" w:rsidRDefault="00002523" w:rsidP="00002523">
      <w:pPr>
        <w:suppressAutoHyphens/>
        <w:ind w:left="567" w:right="851"/>
        <w:rPr>
          <w:sz w:val="22"/>
          <w:szCs w:val="22"/>
          <w:lang w:val="es-CO" w:eastAsia="ar-SA"/>
        </w:rPr>
      </w:pPr>
      <w:r w:rsidRPr="00FC20B0">
        <w:rPr>
          <w:sz w:val="22"/>
          <w:szCs w:val="22"/>
          <w:lang w:val="es-CO" w:eastAsia="ar-SA"/>
        </w:rPr>
        <w:t>A partir del número de señales estimadas, los CSM se clasifican en diferentes tipos como se muestra en la Tabla 11.</w:t>
      </w:r>
    </w:p>
    <w:p w14:paraId="6C2743DF" w14:textId="4DA5A881" w:rsidR="00002523" w:rsidRPr="00FC20B0" w:rsidRDefault="00002523" w:rsidP="00D35482">
      <w:pPr>
        <w:spacing w:before="100" w:beforeAutospacing="1" w:after="100" w:afterAutospacing="1"/>
        <w:ind w:left="567" w:right="851"/>
        <w:jc w:val="center"/>
        <w:rPr>
          <w:sz w:val="22"/>
          <w:szCs w:val="22"/>
          <w:lang w:val="es-CO" w:eastAsia="ar-SA"/>
        </w:rPr>
      </w:pPr>
      <w:bookmarkStart w:id="2" w:name="_Ref220833742"/>
      <w:r w:rsidRPr="00FC20B0">
        <w:rPr>
          <w:sz w:val="22"/>
          <w:szCs w:val="22"/>
          <w:lang w:val="es-CO" w:eastAsia="ar-SA"/>
        </w:rPr>
        <w:t>Tabla</w:t>
      </w:r>
      <w:bookmarkEnd w:id="2"/>
      <w:r w:rsidRPr="00FC20B0">
        <w:rPr>
          <w:sz w:val="22"/>
          <w:szCs w:val="22"/>
          <w:lang w:val="es-CO" w:eastAsia="ar-SA"/>
        </w:rPr>
        <w:t xml:space="preserve"> 11.  Tipos de CSM</w:t>
      </w:r>
    </w:p>
    <w:p w14:paraId="3963A8AA" w14:textId="77777777" w:rsidR="00002523" w:rsidRPr="00FC20B0" w:rsidRDefault="00002523" w:rsidP="00002523">
      <w:pPr>
        <w:suppressAutoHyphens/>
        <w:ind w:left="567" w:right="851"/>
        <w:jc w:val="center"/>
        <w:rPr>
          <w:sz w:val="22"/>
          <w:szCs w:val="22"/>
          <w:lang w:val="es-CO" w:eastAsia="ar-SA"/>
        </w:rPr>
      </w:pPr>
      <w:r w:rsidRPr="00FC20B0">
        <w:rPr>
          <w:noProof/>
          <w:sz w:val="22"/>
          <w:szCs w:val="22"/>
          <w:lang w:val="es-CO" w:eastAsia="es-CO"/>
        </w:rPr>
        <w:drawing>
          <wp:inline distT="0" distB="0" distL="0" distR="0" wp14:anchorId="5AA3BE2D" wp14:editId="56C3B590">
            <wp:extent cx="2735580" cy="952500"/>
            <wp:effectExtent l="0" t="0" r="7620" b="0"/>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5580" cy="952500"/>
                    </a:xfrm>
                    <a:prstGeom prst="rect">
                      <a:avLst/>
                    </a:prstGeom>
                    <a:noFill/>
                    <a:ln>
                      <a:noFill/>
                    </a:ln>
                  </pic:spPr>
                </pic:pic>
              </a:graphicData>
            </a:graphic>
          </wp:inline>
        </w:drawing>
      </w:r>
    </w:p>
    <w:p w14:paraId="3F4A55E7" w14:textId="77777777" w:rsidR="00002523" w:rsidRPr="00D35482" w:rsidRDefault="00002523" w:rsidP="00002523">
      <w:pPr>
        <w:suppressAutoHyphens/>
        <w:ind w:left="567" w:right="851"/>
        <w:jc w:val="center"/>
        <w:rPr>
          <w:sz w:val="20"/>
          <w:szCs w:val="20"/>
          <w:lang w:val="es-CO" w:eastAsia="ar-SA"/>
        </w:rPr>
      </w:pPr>
    </w:p>
    <w:p w14:paraId="73BBBC6C" w14:textId="56FFEB8C" w:rsidR="001331F3" w:rsidRDefault="008F44E5" w:rsidP="00107AA8">
      <w:pPr>
        <w:rPr>
          <w:rFonts w:cs="Arial"/>
        </w:rPr>
      </w:pPr>
      <w:r>
        <w:rPr>
          <w:rFonts w:cs="Arial"/>
        </w:rPr>
        <w:t>A</w:t>
      </w:r>
      <w:r w:rsidR="00C5466C">
        <w:rPr>
          <w:rFonts w:cs="Arial"/>
        </w:rPr>
        <w:t>l observar los valores contenidos en la tabla 10 del numeral 3.1.3 del anexo general de la Resolución CREG 011 de 2009 es posible evidenciar que existe una diferencia entre el número de señales reconocidas para un mismo tipo de unidad constructiva, como es el caso de las bahías de línea y las bahías de transfo</w:t>
      </w:r>
      <w:r>
        <w:rPr>
          <w:rFonts w:cs="Arial"/>
        </w:rPr>
        <w:t>r</w:t>
      </w:r>
      <w:r w:rsidR="00C5466C">
        <w:rPr>
          <w:rFonts w:cs="Arial"/>
        </w:rPr>
        <w:t xml:space="preserve">mador y que esta diferencia radica en la configuración de la subestación. </w:t>
      </w:r>
    </w:p>
    <w:p w14:paraId="0AC75F39" w14:textId="77777777" w:rsidR="0018133E" w:rsidRPr="00DA6986" w:rsidRDefault="0018133E" w:rsidP="00107AA8">
      <w:pPr>
        <w:rPr>
          <w:rFonts w:cs="Arial"/>
        </w:rPr>
      </w:pPr>
    </w:p>
    <w:p w14:paraId="3B48DB7D" w14:textId="245CF93E" w:rsidR="007D6341" w:rsidRDefault="008F44E5" w:rsidP="00107AA8">
      <w:pPr>
        <w:rPr>
          <w:rFonts w:cs="Arial"/>
        </w:rPr>
      </w:pPr>
      <w:r>
        <w:rPr>
          <w:rFonts w:cs="Arial"/>
        </w:rPr>
        <w:t xml:space="preserve">Con base en lo anterior, la CREG encuentra que la asimilación que realiza </w:t>
      </w:r>
      <w:proofErr w:type="spellStart"/>
      <w:r>
        <w:rPr>
          <w:rFonts w:cs="Arial"/>
        </w:rPr>
        <w:t>Transelca</w:t>
      </w:r>
      <w:proofErr w:type="spellEnd"/>
      <w:r>
        <w:rPr>
          <w:rFonts w:cs="Arial"/>
        </w:rPr>
        <w:t xml:space="preserve"> </w:t>
      </w:r>
      <w:r w:rsidR="006B6060">
        <w:rPr>
          <w:rFonts w:cs="Arial"/>
        </w:rPr>
        <w:t xml:space="preserve">S.A. ESP </w:t>
      </w:r>
      <w:r w:rsidR="00E72954">
        <w:rPr>
          <w:rFonts w:cs="Arial"/>
        </w:rPr>
        <w:t xml:space="preserve">con respecto a los cortes centrales con la unidad constructiva “Bahías de acople o transferencia” no es correcta ya que el número de señales de </w:t>
      </w:r>
      <w:r w:rsidR="00D35482">
        <w:rPr>
          <w:rFonts w:cs="Arial"/>
        </w:rPr>
        <w:t xml:space="preserve">los cortes centrales </w:t>
      </w:r>
      <w:r w:rsidR="00E72954">
        <w:rPr>
          <w:rFonts w:cs="Arial"/>
        </w:rPr>
        <w:t>hace parte de las consideraciones que se tuvieron en cuenta para asignar un número de señales superior a las bahías de línea y de transformador, cuando la configuración de la subestación es interruptor y medio</w:t>
      </w:r>
      <w:r w:rsidR="00345ED7">
        <w:rPr>
          <w:rFonts w:cs="Arial"/>
        </w:rPr>
        <w:t>, IM, única configuración de la que hacen parte los cortes centrales</w:t>
      </w:r>
      <w:r w:rsidR="00E72954">
        <w:rPr>
          <w:rFonts w:cs="Arial"/>
        </w:rPr>
        <w:t>.</w:t>
      </w:r>
    </w:p>
    <w:p w14:paraId="6809DB78" w14:textId="77777777" w:rsidR="00E72954" w:rsidRDefault="00E72954" w:rsidP="00107AA8">
      <w:pPr>
        <w:rPr>
          <w:rFonts w:cs="Arial"/>
        </w:rPr>
      </w:pPr>
    </w:p>
    <w:p w14:paraId="5D357271" w14:textId="5F1C60EB" w:rsidR="00E72954" w:rsidRDefault="00E72954" w:rsidP="00107AA8">
      <w:pPr>
        <w:rPr>
          <w:rFonts w:cs="Arial"/>
        </w:rPr>
      </w:pPr>
      <w:r>
        <w:rPr>
          <w:rFonts w:cs="Arial"/>
        </w:rPr>
        <w:t>De otra parte, según el numeral mencionado, para el dimensionamiento del centro de supervisión y maniobras el</w:t>
      </w:r>
      <w:r w:rsidR="008C309D">
        <w:rPr>
          <w:rFonts w:cs="Arial"/>
        </w:rPr>
        <w:t xml:space="preserve"> </w:t>
      </w:r>
      <w:r>
        <w:rPr>
          <w:rFonts w:cs="Arial"/>
        </w:rPr>
        <w:t>“</w:t>
      </w:r>
      <w:r w:rsidRPr="00D35482">
        <w:rPr>
          <w:rFonts w:cs="Arial"/>
          <w:i/>
        </w:rPr>
        <w:t>número de señales se estimará a partir de los activos reportados por cada TN</w:t>
      </w:r>
      <w:r w:rsidR="008C309D">
        <w:rPr>
          <w:rFonts w:cs="Arial"/>
        </w:rPr>
        <w:t>”. Este reporte de activos se realizó con base en lo establecido en el artículo 5 de la Resolución CREG 011 de 2009, que se transcribe a continuación.</w:t>
      </w:r>
    </w:p>
    <w:p w14:paraId="5A58A546" w14:textId="77777777" w:rsidR="008C309D" w:rsidRDefault="008C309D" w:rsidP="008C309D">
      <w:pPr>
        <w:rPr>
          <w:rFonts w:cs="Arial"/>
        </w:rPr>
      </w:pPr>
    </w:p>
    <w:p w14:paraId="689CC95C" w14:textId="77777777" w:rsidR="00FC20B0" w:rsidRDefault="00FC20B0" w:rsidP="008C309D">
      <w:pPr>
        <w:rPr>
          <w:rFonts w:cs="Arial"/>
        </w:rPr>
      </w:pPr>
    </w:p>
    <w:p w14:paraId="61E5B585" w14:textId="77777777" w:rsidR="00FC20B0" w:rsidRPr="008C309D" w:rsidRDefault="00FC20B0" w:rsidP="008C309D">
      <w:pPr>
        <w:rPr>
          <w:rFonts w:cs="Arial"/>
        </w:rPr>
      </w:pPr>
    </w:p>
    <w:p w14:paraId="15C95A41" w14:textId="40FF552C" w:rsidR="008C309D" w:rsidRPr="00FC20B0" w:rsidRDefault="008C309D" w:rsidP="008C309D">
      <w:pPr>
        <w:ind w:left="567" w:right="567"/>
        <w:rPr>
          <w:rFonts w:cs="Arial"/>
          <w:sz w:val="22"/>
          <w:szCs w:val="22"/>
        </w:rPr>
      </w:pPr>
      <w:r w:rsidRPr="00FC20B0">
        <w:rPr>
          <w:rFonts w:cs="Arial"/>
          <w:b/>
          <w:sz w:val="22"/>
          <w:szCs w:val="22"/>
        </w:rPr>
        <w:t>Artículo 5. Determinación de los activos remunerables.</w:t>
      </w:r>
      <w:r w:rsidRPr="00FC20B0">
        <w:rPr>
          <w:rFonts w:cs="Arial"/>
          <w:sz w:val="22"/>
          <w:szCs w:val="22"/>
        </w:rPr>
        <w:t xml:space="preserve"> La CREG aprobará mediante Resolución la base de activos a remunerar a cada uno de los TN, para lo cual cada empresa deberá reportar a la CREG, dentro de los 30 días calendario siguientes a la entrada en vigencia de esta Resolución, su inventario con los activos que se encuentran en operación, clasificados por Unidad Constructiva, informando si opera el activo en forma parcial o total y el valor o valores pagados por concepto de servidumbre. Con el inventario deberán reportar los activos de enlaces internacionales de Nivel de Tensión 4 que están siendo remunerados mediante cargos por uso.</w:t>
      </w:r>
    </w:p>
    <w:p w14:paraId="689831B3" w14:textId="77777777" w:rsidR="008C309D" w:rsidRPr="00FC20B0" w:rsidRDefault="008C309D" w:rsidP="008C309D">
      <w:pPr>
        <w:ind w:left="567" w:right="567"/>
        <w:rPr>
          <w:rFonts w:cs="Arial"/>
          <w:sz w:val="22"/>
          <w:szCs w:val="22"/>
        </w:rPr>
      </w:pPr>
    </w:p>
    <w:p w14:paraId="63431C38" w14:textId="31B781CF" w:rsidR="008C309D" w:rsidRPr="00FC20B0" w:rsidRDefault="008C309D" w:rsidP="008C309D">
      <w:pPr>
        <w:ind w:left="567" w:right="567"/>
        <w:rPr>
          <w:rFonts w:cs="Arial"/>
          <w:sz w:val="22"/>
          <w:szCs w:val="22"/>
        </w:rPr>
      </w:pPr>
      <w:r w:rsidRPr="00FC20B0">
        <w:rPr>
          <w:rFonts w:cs="Arial"/>
          <w:sz w:val="22"/>
          <w:szCs w:val="22"/>
        </w:rPr>
        <w:t>Con la base de activos definida por la CREG el Liquidador y Administrador de Cuentas del Sistema de Transmisión Nacional liquidará y facturará los ingresos correspondientes a los TN, con la metodología definida en esta Resolución y aplicando las Compensaciones a que haya lugar conforme a lo establecido en el Artículo 17 y en el CAPÍTULO 4 del Anexo General de esta Resolución. La CREG podrá modificar la base de activos de un TN cuando la autoridad competente determine que alguno de sus activos limita la operación adecuada del Sistema.</w:t>
      </w:r>
    </w:p>
    <w:p w14:paraId="1E733EAC" w14:textId="77AB83C6" w:rsidR="008C309D" w:rsidRDefault="008C309D" w:rsidP="008C309D">
      <w:pPr>
        <w:ind w:left="567" w:right="567"/>
        <w:rPr>
          <w:rFonts w:cs="Arial"/>
        </w:rPr>
      </w:pPr>
      <w:r>
        <w:rPr>
          <w:rFonts w:cs="Arial"/>
          <w:sz w:val="20"/>
          <w:szCs w:val="20"/>
        </w:rPr>
        <w:t>(…)</w:t>
      </w:r>
    </w:p>
    <w:p w14:paraId="32FC319A" w14:textId="77777777" w:rsidR="008F44E5" w:rsidRDefault="008F44E5" w:rsidP="00107AA8">
      <w:pPr>
        <w:rPr>
          <w:rFonts w:cs="Arial"/>
        </w:rPr>
      </w:pPr>
    </w:p>
    <w:p w14:paraId="09EB2863" w14:textId="15560F44" w:rsidR="008C309D" w:rsidRDefault="008C309D" w:rsidP="00107AA8">
      <w:pPr>
        <w:rPr>
          <w:rFonts w:cs="Arial"/>
        </w:rPr>
      </w:pPr>
      <w:r>
        <w:rPr>
          <w:rFonts w:cs="Arial"/>
        </w:rPr>
        <w:t>Así, el inventario reportado por los</w:t>
      </w:r>
      <w:r w:rsidR="006A716E">
        <w:rPr>
          <w:rFonts w:cs="Arial"/>
        </w:rPr>
        <w:t xml:space="preserve"> transmisores se refiere a</w:t>
      </w:r>
      <w:r>
        <w:rPr>
          <w:rFonts w:cs="Arial"/>
        </w:rPr>
        <w:t xml:space="preserve"> la base </w:t>
      </w:r>
      <w:r w:rsidR="00D35482">
        <w:rPr>
          <w:rFonts w:cs="Arial"/>
        </w:rPr>
        <w:t xml:space="preserve">de </w:t>
      </w:r>
      <w:r>
        <w:rPr>
          <w:rFonts w:cs="Arial"/>
        </w:rPr>
        <w:t xml:space="preserve">activos </w:t>
      </w:r>
      <w:r w:rsidR="00D35482">
        <w:rPr>
          <w:rFonts w:cs="Arial"/>
        </w:rPr>
        <w:t>a remunerar aprobada por la CREG</w:t>
      </w:r>
      <w:r>
        <w:rPr>
          <w:rFonts w:cs="Arial"/>
        </w:rPr>
        <w:t xml:space="preserve">, </w:t>
      </w:r>
      <w:r w:rsidR="006A716E">
        <w:rPr>
          <w:rFonts w:cs="Arial"/>
        </w:rPr>
        <w:t xml:space="preserve">y dentro de </w:t>
      </w:r>
      <w:r w:rsidR="00786B36">
        <w:rPr>
          <w:rFonts w:cs="Arial"/>
        </w:rPr>
        <w:t xml:space="preserve">esta base de </w:t>
      </w:r>
      <w:r w:rsidR="006A716E">
        <w:rPr>
          <w:rFonts w:cs="Arial"/>
        </w:rPr>
        <w:t xml:space="preserve">activos no se incluyen los activos de conexión de generadores ni los de conexión de los OR al STN, por lo que esta Comisión </w:t>
      </w:r>
      <w:r w:rsidR="00CC17FA">
        <w:rPr>
          <w:rFonts w:cs="Arial"/>
        </w:rPr>
        <w:t>encuentra</w:t>
      </w:r>
      <w:r w:rsidR="006A716E">
        <w:rPr>
          <w:rFonts w:cs="Arial"/>
        </w:rPr>
        <w:t xml:space="preserve"> que dichos activos no pueden ser utilizados para dimensionar el tipo de CSM.</w:t>
      </w:r>
    </w:p>
    <w:p w14:paraId="5C07F8C5" w14:textId="77777777" w:rsidR="006A716E" w:rsidRDefault="006A716E" w:rsidP="00107AA8">
      <w:pPr>
        <w:rPr>
          <w:rFonts w:cs="Arial"/>
        </w:rPr>
      </w:pPr>
    </w:p>
    <w:p w14:paraId="7369FA9E" w14:textId="08AAD6CA" w:rsidR="006A716E" w:rsidRDefault="006A716E" w:rsidP="00107AA8">
      <w:pPr>
        <w:rPr>
          <w:rFonts w:cs="Arial"/>
        </w:rPr>
      </w:pPr>
      <w:r>
        <w:rPr>
          <w:rFonts w:cs="Arial"/>
        </w:rPr>
        <w:t xml:space="preserve">Es importante mencionar que la aplicación de estas disposiciones se realizó para todos los agentes transmisores a los cuales se les aprobó su Ingreso Anual del Transmisor, IAT, durante el año 2010, incluida la empresa </w:t>
      </w:r>
      <w:proofErr w:type="spellStart"/>
      <w:r>
        <w:rPr>
          <w:rFonts w:cs="Arial"/>
        </w:rPr>
        <w:t>Transelca</w:t>
      </w:r>
      <w:proofErr w:type="spellEnd"/>
      <w:r w:rsidR="006B6060">
        <w:rPr>
          <w:rFonts w:cs="Arial"/>
        </w:rPr>
        <w:t xml:space="preserve"> S.A. ESP</w:t>
      </w:r>
      <w:r>
        <w:rPr>
          <w:rFonts w:cs="Arial"/>
        </w:rPr>
        <w:t>, mediante la Resolución CREG 107 de 2010.</w:t>
      </w:r>
    </w:p>
    <w:p w14:paraId="51E596C3" w14:textId="77777777" w:rsidR="006A716E" w:rsidRDefault="006A716E" w:rsidP="00107AA8">
      <w:pPr>
        <w:rPr>
          <w:rFonts w:cs="Arial"/>
        </w:rPr>
      </w:pPr>
    </w:p>
    <w:p w14:paraId="54321F35" w14:textId="34D01D93" w:rsidR="00B27D2C" w:rsidRDefault="00345ED7" w:rsidP="00107AA8">
      <w:pPr>
        <w:rPr>
          <w:rFonts w:cs="Arial"/>
        </w:rPr>
      </w:pPr>
      <w:r>
        <w:rPr>
          <w:rFonts w:cs="Arial"/>
        </w:rPr>
        <w:t>Con base en los anteriores argumentos, esta comisión concluye que el CSM que se reconoce en la actividad de transmisión es aquel que es dimensionado con base en las disposiciones contenidas en la metodología de remuneración de la actividad de transmisión de energía eléctrica, es decir la resolución CREG 011 de 2009, en las cuales se</w:t>
      </w:r>
      <w:r w:rsidR="00CC17FA">
        <w:rPr>
          <w:rFonts w:cs="Arial"/>
        </w:rPr>
        <w:t xml:space="preserve"> identifica un número de señales según el tipo de unidad constructiva y su configuración y</w:t>
      </w:r>
      <w:r>
        <w:rPr>
          <w:rFonts w:cs="Arial"/>
        </w:rPr>
        <w:t xml:space="preserve"> define que los activos que se tienen en cuenta son aquellos que reporta el transmisor, reporte que corresponde a la base de activos remunerables al agente a través del su IAT.</w:t>
      </w:r>
    </w:p>
    <w:p w14:paraId="21E42493" w14:textId="77777777" w:rsidR="00B27D2C" w:rsidRPr="00DA6986" w:rsidRDefault="00B27D2C" w:rsidP="00107AA8">
      <w:pPr>
        <w:rPr>
          <w:rFonts w:cs="Arial"/>
        </w:rPr>
      </w:pPr>
    </w:p>
    <w:p w14:paraId="7519218D" w14:textId="2158D8A3" w:rsidR="007D6341" w:rsidRPr="00DA6986" w:rsidRDefault="007D6341" w:rsidP="00107AA8">
      <w:pPr>
        <w:rPr>
          <w:rFonts w:cs="Arial"/>
        </w:rPr>
      </w:pPr>
      <w:r w:rsidRPr="00DA6986">
        <w:rPr>
          <w:rFonts w:cs="Arial"/>
        </w:rPr>
        <w:t xml:space="preserve">Con base en lo anteriormente expuesto se concluye que no es posible acceder a la solicitud presentada </w:t>
      </w:r>
      <w:r w:rsidR="0018133E">
        <w:rPr>
          <w:rFonts w:cs="Arial"/>
        </w:rPr>
        <w:t xml:space="preserve">en </w:t>
      </w:r>
      <w:r w:rsidRPr="00DA6986">
        <w:rPr>
          <w:rFonts w:cs="Arial"/>
        </w:rPr>
        <w:t>el recurso</w:t>
      </w:r>
      <w:r w:rsidR="0018133E">
        <w:rPr>
          <w:rFonts w:cs="Arial"/>
        </w:rPr>
        <w:t xml:space="preserve"> de reposición</w:t>
      </w:r>
      <w:r w:rsidRPr="00DA6986">
        <w:rPr>
          <w:rFonts w:cs="Arial"/>
        </w:rPr>
        <w:t>.</w:t>
      </w:r>
    </w:p>
    <w:p w14:paraId="04386F01" w14:textId="77777777" w:rsidR="001331F3" w:rsidRPr="00DA6986" w:rsidRDefault="001331F3" w:rsidP="00107AA8">
      <w:pPr>
        <w:rPr>
          <w:rFonts w:cs="Arial"/>
        </w:rPr>
      </w:pPr>
    </w:p>
    <w:p w14:paraId="7D765D66" w14:textId="0BEA5309" w:rsidR="00E764EF" w:rsidRPr="00DA6986" w:rsidRDefault="00E764EF" w:rsidP="00E764EF">
      <w:pPr>
        <w:tabs>
          <w:tab w:val="left" w:pos="-720"/>
        </w:tabs>
        <w:suppressAutoHyphens/>
        <w:rPr>
          <w:spacing w:val="-3"/>
        </w:rPr>
      </w:pPr>
      <w:r w:rsidRPr="00DA6986">
        <w:rPr>
          <w:spacing w:val="-3"/>
        </w:rPr>
        <w:t>La Comisión de Regulación de Energía y Gas</w:t>
      </w:r>
      <w:r w:rsidR="00081FBA">
        <w:rPr>
          <w:spacing w:val="-3"/>
        </w:rPr>
        <w:t>,</w:t>
      </w:r>
      <w:r w:rsidRPr="00DA6986">
        <w:rPr>
          <w:spacing w:val="-3"/>
        </w:rPr>
        <w:t xml:space="preserve"> en su sesión </w:t>
      </w:r>
      <w:r w:rsidR="00FC20B0">
        <w:rPr>
          <w:spacing w:val="-3"/>
        </w:rPr>
        <w:t>792</w:t>
      </w:r>
      <w:r w:rsidR="00CB0A7A" w:rsidRPr="00DA6986">
        <w:rPr>
          <w:spacing w:val="-3"/>
        </w:rPr>
        <w:t xml:space="preserve"> </w:t>
      </w:r>
      <w:r w:rsidRPr="00DA6986">
        <w:rPr>
          <w:spacing w:val="-3"/>
        </w:rPr>
        <w:t xml:space="preserve">del </w:t>
      </w:r>
      <w:r w:rsidR="00FC20B0">
        <w:rPr>
          <w:spacing w:val="-3"/>
        </w:rPr>
        <w:t>3</w:t>
      </w:r>
      <w:r w:rsidR="00CB0A7A" w:rsidRPr="00DA6986">
        <w:rPr>
          <w:spacing w:val="-3"/>
        </w:rPr>
        <w:t xml:space="preserve"> </w:t>
      </w:r>
      <w:r w:rsidRPr="00DA6986">
        <w:rPr>
          <w:spacing w:val="-3"/>
        </w:rPr>
        <w:t xml:space="preserve">de </w:t>
      </w:r>
      <w:r w:rsidR="00FC20B0">
        <w:rPr>
          <w:spacing w:val="-3"/>
        </w:rPr>
        <w:t>agosto</w:t>
      </w:r>
      <w:r w:rsidR="00CB0A7A" w:rsidRPr="00DA6986">
        <w:rPr>
          <w:spacing w:val="-3"/>
        </w:rPr>
        <w:t xml:space="preserve"> </w:t>
      </w:r>
      <w:r w:rsidR="0015386B" w:rsidRPr="00DA6986">
        <w:rPr>
          <w:spacing w:val="-3"/>
        </w:rPr>
        <w:t>de 201</w:t>
      </w:r>
      <w:r w:rsidR="00FC69D9" w:rsidRPr="00DA6986">
        <w:rPr>
          <w:spacing w:val="-3"/>
        </w:rPr>
        <w:t>7</w:t>
      </w:r>
      <w:r w:rsidR="0015386B" w:rsidRPr="00DA6986">
        <w:rPr>
          <w:spacing w:val="-3"/>
        </w:rPr>
        <w:t xml:space="preserve">, acordó expedir </w:t>
      </w:r>
      <w:r w:rsidR="00E75EBB">
        <w:rPr>
          <w:spacing w:val="-3"/>
        </w:rPr>
        <w:t>la presente resolución</w:t>
      </w:r>
      <w:r w:rsidRPr="00DA6986">
        <w:rPr>
          <w:spacing w:val="-3"/>
        </w:rPr>
        <w:t>.</w:t>
      </w:r>
    </w:p>
    <w:p w14:paraId="00220D7B" w14:textId="77777777" w:rsidR="001A7E71" w:rsidRPr="002640C6" w:rsidRDefault="001A7E71" w:rsidP="00E764EF">
      <w:pPr>
        <w:tabs>
          <w:tab w:val="left" w:pos="-720"/>
        </w:tabs>
        <w:suppressAutoHyphens/>
        <w:rPr>
          <w:spacing w:val="-3"/>
          <w:sz w:val="32"/>
        </w:rPr>
      </w:pPr>
    </w:p>
    <w:p w14:paraId="40E9FBEE" w14:textId="77777777" w:rsidR="000074D5" w:rsidRPr="00DA6986" w:rsidRDefault="00A62468" w:rsidP="00E70F5D">
      <w:pPr>
        <w:pStyle w:val="Subttulo"/>
        <w:spacing w:before="0" w:after="0"/>
      </w:pPr>
      <w:r w:rsidRPr="00DA6986">
        <w:t>RESUELV</w:t>
      </w:r>
      <w:r w:rsidR="000074D5" w:rsidRPr="00DA6986">
        <w:t>E:</w:t>
      </w:r>
    </w:p>
    <w:p w14:paraId="4CCA361A" w14:textId="77777777" w:rsidR="007D2FFA" w:rsidRPr="002640C6" w:rsidRDefault="007D2FFA" w:rsidP="007D2FFA">
      <w:pPr>
        <w:rPr>
          <w:rFonts w:cs="Arial"/>
          <w:sz w:val="32"/>
        </w:rPr>
      </w:pPr>
    </w:p>
    <w:p w14:paraId="048A6767" w14:textId="09B0CF0E" w:rsidR="007D2FFA" w:rsidRPr="00DA6986" w:rsidRDefault="00081FBA" w:rsidP="007D2FFA">
      <w:pPr>
        <w:rPr>
          <w:rFonts w:cs="Arial"/>
        </w:rPr>
      </w:pPr>
      <w:r w:rsidRPr="00DA6986">
        <w:rPr>
          <w:rFonts w:cs="Arial"/>
          <w:b/>
        </w:rPr>
        <w:t xml:space="preserve">Artículo </w:t>
      </w:r>
      <w:r w:rsidR="00D75EE7" w:rsidRPr="00DA6986">
        <w:rPr>
          <w:rFonts w:cs="Arial"/>
          <w:b/>
        </w:rPr>
        <w:t>1</w:t>
      </w:r>
      <w:r w:rsidR="007D2FFA" w:rsidRPr="00DA6986">
        <w:rPr>
          <w:rFonts w:cs="Arial"/>
        </w:rPr>
        <w:t xml:space="preserve">. No reponer la decisión contenida en la Resolución CREG </w:t>
      </w:r>
      <w:r w:rsidR="00B27D2C">
        <w:rPr>
          <w:rFonts w:cs="Arial"/>
        </w:rPr>
        <w:t>050</w:t>
      </w:r>
      <w:r w:rsidR="007D2FFA" w:rsidRPr="00DA6986">
        <w:rPr>
          <w:rFonts w:cs="Arial"/>
        </w:rPr>
        <w:t xml:space="preserve"> de 201</w:t>
      </w:r>
      <w:r w:rsidR="00B27D2C">
        <w:rPr>
          <w:rFonts w:cs="Arial"/>
        </w:rPr>
        <w:t>7</w:t>
      </w:r>
      <w:r w:rsidR="007D2FFA" w:rsidRPr="00DA6986">
        <w:rPr>
          <w:rFonts w:cs="Arial"/>
        </w:rPr>
        <w:t xml:space="preserve">, </w:t>
      </w:r>
      <w:r w:rsidR="00D75EE7" w:rsidRPr="00DA6986">
        <w:rPr>
          <w:rFonts w:cs="Arial"/>
        </w:rPr>
        <w:t>la cual se mantiene en los términos allí establecidos.</w:t>
      </w:r>
    </w:p>
    <w:p w14:paraId="4CAD99BB" w14:textId="77777777" w:rsidR="007D2FFA" w:rsidRPr="00DA6986" w:rsidRDefault="007D2FFA" w:rsidP="007D2FFA">
      <w:pPr>
        <w:rPr>
          <w:rFonts w:cs="Arial"/>
        </w:rPr>
      </w:pPr>
    </w:p>
    <w:p w14:paraId="3AEF876E" w14:textId="22AA9FDA" w:rsidR="007D2FFA" w:rsidRPr="00DA6986" w:rsidRDefault="00081FBA" w:rsidP="007D2FFA">
      <w:pPr>
        <w:rPr>
          <w:rFonts w:cs="Arial"/>
        </w:rPr>
      </w:pPr>
      <w:r w:rsidRPr="00DA6986">
        <w:rPr>
          <w:rFonts w:cs="Arial"/>
          <w:b/>
        </w:rPr>
        <w:t xml:space="preserve">Artículo </w:t>
      </w:r>
      <w:r w:rsidR="00D75EE7" w:rsidRPr="00DA6986">
        <w:rPr>
          <w:rFonts w:cs="Arial"/>
          <w:b/>
        </w:rPr>
        <w:t>2</w:t>
      </w:r>
      <w:r w:rsidR="00D75EE7" w:rsidRPr="00DA6986">
        <w:rPr>
          <w:rFonts w:cs="Arial"/>
        </w:rPr>
        <w:t xml:space="preserve">. </w:t>
      </w:r>
      <w:r w:rsidR="007D2FFA" w:rsidRPr="00DA6986">
        <w:rPr>
          <w:rFonts w:cs="Arial"/>
        </w:rPr>
        <w:t>Notificar el contenido de</w:t>
      </w:r>
      <w:r w:rsidR="00D75EE7" w:rsidRPr="00DA6986">
        <w:rPr>
          <w:rFonts w:cs="Arial"/>
        </w:rPr>
        <w:t xml:space="preserve"> </w:t>
      </w:r>
      <w:r w:rsidR="007D2FFA" w:rsidRPr="00DA6986">
        <w:rPr>
          <w:rFonts w:cs="Arial"/>
        </w:rPr>
        <w:t>l</w:t>
      </w:r>
      <w:r w:rsidR="00D75EE7" w:rsidRPr="00DA6986">
        <w:rPr>
          <w:rFonts w:cs="Arial"/>
        </w:rPr>
        <w:t>a</w:t>
      </w:r>
      <w:r w:rsidR="007D2FFA" w:rsidRPr="00DA6986">
        <w:rPr>
          <w:rFonts w:cs="Arial"/>
        </w:rPr>
        <w:t xml:space="preserve"> presente </w:t>
      </w:r>
      <w:r w:rsidRPr="00DA6986">
        <w:rPr>
          <w:rFonts w:cs="Arial"/>
        </w:rPr>
        <w:t xml:space="preserve">resolución </w:t>
      </w:r>
      <w:r w:rsidR="007D2FFA" w:rsidRPr="00DA6986">
        <w:rPr>
          <w:rFonts w:cs="Arial"/>
        </w:rPr>
        <w:t xml:space="preserve">al representante legal de </w:t>
      </w:r>
      <w:proofErr w:type="spellStart"/>
      <w:r w:rsidRPr="00DA6986">
        <w:rPr>
          <w:rFonts w:cs="Arial"/>
        </w:rPr>
        <w:t>Transelca</w:t>
      </w:r>
      <w:proofErr w:type="spellEnd"/>
      <w:r w:rsidRPr="00DA6986">
        <w:rPr>
          <w:rFonts w:cs="Arial"/>
        </w:rPr>
        <w:t xml:space="preserve"> </w:t>
      </w:r>
      <w:r w:rsidR="00D75EE7" w:rsidRPr="00DA6986">
        <w:rPr>
          <w:rFonts w:cs="Arial"/>
        </w:rPr>
        <w:t>S.A. E.S.P.</w:t>
      </w:r>
    </w:p>
    <w:p w14:paraId="42E3650A" w14:textId="77777777" w:rsidR="002640C6" w:rsidRDefault="002640C6" w:rsidP="007D2FFA">
      <w:pPr>
        <w:rPr>
          <w:rFonts w:cs="Arial"/>
          <w:b/>
        </w:rPr>
      </w:pPr>
    </w:p>
    <w:p w14:paraId="6B72A643" w14:textId="03EB40CC" w:rsidR="00260796" w:rsidRPr="00DA6986" w:rsidRDefault="00081FBA" w:rsidP="007D2FFA">
      <w:pPr>
        <w:rPr>
          <w:rFonts w:cs="Arial"/>
        </w:rPr>
      </w:pPr>
      <w:r w:rsidRPr="00DA6986">
        <w:rPr>
          <w:rFonts w:cs="Arial"/>
          <w:b/>
        </w:rPr>
        <w:t xml:space="preserve">Artículo </w:t>
      </w:r>
      <w:r w:rsidR="00D75EE7" w:rsidRPr="00DA6986">
        <w:rPr>
          <w:rFonts w:cs="Arial"/>
          <w:b/>
        </w:rPr>
        <w:t>3</w:t>
      </w:r>
      <w:r w:rsidR="007D2FFA" w:rsidRPr="00DA6986">
        <w:rPr>
          <w:rFonts w:cs="Arial"/>
        </w:rPr>
        <w:t>. Contra e</w:t>
      </w:r>
      <w:r>
        <w:rPr>
          <w:rFonts w:cs="Arial"/>
        </w:rPr>
        <w:t>l presente ac</w:t>
      </w:r>
      <w:r w:rsidR="007D2FFA" w:rsidRPr="00DA6986">
        <w:rPr>
          <w:rFonts w:cs="Arial"/>
        </w:rPr>
        <w:t xml:space="preserve">to no procede recurso alguno, </w:t>
      </w:r>
      <w:r w:rsidR="00D75EE7" w:rsidRPr="00DA6986">
        <w:rPr>
          <w:rFonts w:cs="Arial"/>
        </w:rPr>
        <w:t xml:space="preserve">por encontrarse agotada la </w:t>
      </w:r>
      <w:r w:rsidR="006B6060">
        <w:rPr>
          <w:rFonts w:cs="Arial"/>
        </w:rPr>
        <w:t xml:space="preserve">oportunidad para presentar los recursos en sede administrativa. </w:t>
      </w:r>
    </w:p>
    <w:p w14:paraId="4C8135F5" w14:textId="77777777" w:rsidR="007D2FFA" w:rsidRPr="00DA6986" w:rsidRDefault="007D2FFA" w:rsidP="007D2FFA">
      <w:pPr>
        <w:rPr>
          <w:rFonts w:cs="Arial"/>
        </w:rPr>
      </w:pPr>
    </w:p>
    <w:p w14:paraId="64F63B6D" w14:textId="45EA2B6D" w:rsidR="001B6A46" w:rsidRPr="00DA6986" w:rsidRDefault="00260796" w:rsidP="00BA6EBD">
      <w:pPr>
        <w:pStyle w:val="Subttulo"/>
      </w:pPr>
      <w:r w:rsidRPr="00DA6986">
        <w:t>NOTIFÍQUESE Y CÚMPLASE</w:t>
      </w:r>
    </w:p>
    <w:p w14:paraId="5F2D2DFE" w14:textId="4471AD1F" w:rsidR="000074D5" w:rsidRPr="00DA6986" w:rsidRDefault="000074D5" w:rsidP="00262CBF">
      <w:pPr>
        <w:rPr>
          <w:rFonts w:cs="Arial"/>
        </w:rPr>
      </w:pPr>
      <w:r w:rsidRPr="00DA6986">
        <w:rPr>
          <w:rFonts w:cs="Arial"/>
        </w:rPr>
        <w:t>Dada en Bogotá D.C, a</w:t>
      </w:r>
      <w:r w:rsidR="001A2D1E" w:rsidRPr="00DA6986">
        <w:rPr>
          <w:rFonts w:cs="Arial"/>
        </w:rPr>
        <w:t xml:space="preserve"> </w:t>
      </w:r>
    </w:p>
    <w:p w14:paraId="0CC0C7E7" w14:textId="77777777" w:rsidR="000F611E" w:rsidRPr="00DA6986" w:rsidRDefault="000F611E" w:rsidP="00262CBF">
      <w:pPr>
        <w:rPr>
          <w:rFonts w:cs="Arial"/>
        </w:rPr>
      </w:pPr>
    </w:p>
    <w:p w14:paraId="279B4609" w14:textId="77777777" w:rsidR="00B058D5" w:rsidRDefault="00B058D5" w:rsidP="00B058D5">
      <w:pPr>
        <w:rPr>
          <w:rFonts w:cs="Arial"/>
        </w:rPr>
      </w:pPr>
    </w:p>
    <w:p w14:paraId="04EB8842" w14:textId="77777777" w:rsidR="00E70F5D" w:rsidRDefault="00E70F5D" w:rsidP="00B058D5">
      <w:pPr>
        <w:rPr>
          <w:rFonts w:cs="Arial"/>
        </w:rPr>
      </w:pPr>
    </w:p>
    <w:p w14:paraId="5AD6FB1B" w14:textId="77777777" w:rsidR="00E70F5D" w:rsidRDefault="00E70F5D" w:rsidP="00B058D5">
      <w:pPr>
        <w:rPr>
          <w:rFonts w:cs="Arial"/>
        </w:rPr>
      </w:pPr>
    </w:p>
    <w:p w14:paraId="1EBD119C" w14:textId="77777777" w:rsidR="00E75EBB" w:rsidRDefault="00E75EBB" w:rsidP="00B058D5">
      <w:pPr>
        <w:rPr>
          <w:rFonts w:cs="Arial"/>
        </w:rPr>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387"/>
        <w:gridCol w:w="4111"/>
      </w:tblGrid>
      <w:tr w:rsidR="00E75EBB" w:rsidRPr="00E75EBB" w14:paraId="461E36C7" w14:textId="77777777" w:rsidTr="00E75EBB">
        <w:trPr>
          <w:tblCellSpacing w:w="0" w:type="dxa"/>
        </w:trPr>
        <w:tc>
          <w:tcPr>
            <w:tcW w:w="5387" w:type="dxa"/>
            <w:shd w:val="clear" w:color="auto" w:fill="FFFFFF"/>
            <w:hideMark/>
          </w:tcPr>
          <w:p w14:paraId="142E292A" w14:textId="77777777" w:rsidR="00E75EBB" w:rsidRPr="00E75EBB" w:rsidRDefault="00E75EBB" w:rsidP="00E75EBB">
            <w:pPr>
              <w:ind w:left="142"/>
              <w:jc w:val="center"/>
              <w:rPr>
                <w:rFonts w:cs="Arial"/>
                <w:b/>
                <w:lang w:val="es-CO" w:eastAsia="es-CO"/>
              </w:rPr>
            </w:pPr>
            <w:r w:rsidRPr="00E75EBB">
              <w:rPr>
                <w:rFonts w:cs="Arial"/>
                <w:b/>
                <w:bCs/>
                <w:lang w:val="es-CO" w:eastAsia="es-CO"/>
              </w:rPr>
              <w:t xml:space="preserve">RUTTY PAOLA </w:t>
            </w:r>
            <w:r w:rsidRPr="00E75EBB">
              <w:rPr>
                <w:b/>
              </w:rPr>
              <w:t>ORTIZ JARA</w:t>
            </w:r>
          </w:p>
        </w:tc>
        <w:tc>
          <w:tcPr>
            <w:tcW w:w="4111" w:type="dxa"/>
            <w:shd w:val="clear" w:color="auto" w:fill="FFFFFF"/>
            <w:hideMark/>
          </w:tcPr>
          <w:p w14:paraId="49EDE2AF" w14:textId="77777777" w:rsidR="00E75EBB" w:rsidRPr="00E75EBB" w:rsidRDefault="00E75EBB" w:rsidP="00E75EBB">
            <w:pPr>
              <w:jc w:val="center"/>
              <w:rPr>
                <w:rFonts w:cs="Arial"/>
                <w:highlight w:val="yellow"/>
                <w:lang w:val="es-CO" w:eastAsia="es-CO"/>
              </w:rPr>
            </w:pPr>
            <w:r w:rsidRPr="00E75EBB">
              <w:rPr>
                <w:rFonts w:cs="Arial"/>
                <w:b/>
                <w:bCs/>
                <w:lang w:val="es-CO" w:eastAsia="es-CO"/>
              </w:rPr>
              <w:t>GERMÁN CASTRO FERREIRA</w:t>
            </w:r>
          </w:p>
        </w:tc>
      </w:tr>
      <w:tr w:rsidR="00E75EBB" w:rsidRPr="00E75EBB" w14:paraId="12063170" w14:textId="77777777" w:rsidTr="00E75EBB">
        <w:trPr>
          <w:tblCellSpacing w:w="0" w:type="dxa"/>
        </w:trPr>
        <w:tc>
          <w:tcPr>
            <w:tcW w:w="5387" w:type="dxa"/>
            <w:shd w:val="clear" w:color="auto" w:fill="FFFFFF"/>
            <w:hideMark/>
          </w:tcPr>
          <w:p w14:paraId="10285D04" w14:textId="77777777" w:rsidR="00E75EBB" w:rsidRPr="00E75EBB" w:rsidRDefault="00E75EBB" w:rsidP="00E75EBB">
            <w:pPr>
              <w:ind w:left="142"/>
              <w:jc w:val="center"/>
              <w:rPr>
                <w:rFonts w:cs="Arial"/>
                <w:lang w:val="es-CO" w:eastAsia="es-CO"/>
              </w:rPr>
            </w:pPr>
            <w:r w:rsidRPr="00E75EBB">
              <w:rPr>
                <w:rFonts w:cs="Arial"/>
                <w:lang w:val="es-CO" w:eastAsia="es-CO"/>
              </w:rPr>
              <w:t>Viceministra de Energía</w:t>
            </w:r>
          </w:p>
          <w:p w14:paraId="77852B6E" w14:textId="77777777" w:rsidR="00E75EBB" w:rsidRPr="00E75EBB" w:rsidRDefault="00E75EBB" w:rsidP="00E75EBB">
            <w:pPr>
              <w:ind w:left="142"/>
              <w:jc w:val="center"/>
              <w:rPr>
                <w:rFonts w:cs="Arial"/>
                <w:lang w:val="es-CO" w:eastAsia="es-CO"/>
              </w:rPr>
            </w:pPr>
            <w:r w:rsidRPr="00E75EBB">
              <w:rPr>
                <w:rFonts w:cs="Arial"/>
                <w:lang w:val="es-CO" w:eastAsia="es-CO"/>
              </w:rPr>
              <w:t>Delegada del Ministro de Minas y Energía</w:t>
            </w:r>
          </w:p>
        </w:tc>
        <w:tc>
          <w:tcPr>
            <w:tcW w:w="4111" w:type="dxa"/>
            <w:shd w:val="clear" w:color="auto" w:fill="FFFFFF"/>
            <w:hideMark/>
          </w:tcPr>
          <w:p w14:paraId="4AE01804" w14:textId="77777777" w:rsidR="00E75EBB" w:rsidRPr="00E75EBB" w:rsidRDefault="00E75EBB" w:rsidP="00E75EBB">
            <w:pPr>
              <w:jc w:val="center"/>
              <w:rPr>
                <w:rFonts w:cs="Arial"/>
                <w:lang w:val="es-CO" w:eastAsia="es-CO"/>
              </w:rPr>
            </w:pPr>
            <w:r w:rsidRPr="00E75EBB">
              <w:rPr>
                <w:rFonts w:cs="Arial"/>
                <w:lang w:val="es-CO" w:eastAsia="es-CO"/>
              </w:rPr>
              <w:t>Director Ejecutivo</w:t>
            </w:r>
          </w:p>
        </w:tc>
      </w:tr>
      <w:tr w:rsidR="00E75EBB" w:rsidRPr="00E75EBB" w14:paraId="43615CB1" w14:textId="77777777" w:rsidTr="00E75EBB">
        <w:trPr>
          <w:tblCellSpacing w:w="0" w:type="dxa"/>
        </w:trPr>
        <w:tc>
          <w:tcPr>
            <w:tcW w:w="5387" w:type="dxa"/>
            <w:shd w:val="clear" w:color="auto" w:fill="FFFFFF"/>
            <w:hideMark/>
          </w:tcPr>
          <w:p w14:paraId="12A36351" w14:textId="77777777" w:rsidR="00E75EBB" w:rsidRPr="00E75EBB" w:rsidRDefault="00E75EBB" w:rsidP="00E75EBB">
            <w:pPr>
              <w:ind w:left="142"/>
              <w:jc w:val="center"/>
              <w:rPr>
                <w:rFonts w:cs="Arial"/>
                <w:lang w:val="es-CO" w:eastAsia="es-CO"/>
              </w:rPr>
            </w:pPr>
            <w:r w:rsidRPr="00E75EBB">
              <w:rPr>
                <w:rFonts w:cs="Arial"/>
                <w:lang w:val="es-CO" w:eastAsia="es-CO"/>
              </w:rPr>
              <w:t>Presidente</w:t>
            </w:r>
          </w:p>
        </w:tc>
        <w:tc>
          <w:tcPr>
            <w:tcW w:w="4111" w:type="dxa"/>
            <w:shd w:val="clear" w:color="auto" w:fill="FFFFFF"/>
            <w:hideMark/>
          </w:tcPr>
          <w:p w14:paraId="2125D4CC" w14:textId="77777777" w:rsidR="00E75EBB" w:rsidRPr="00E75EBB" w:rsidRDefault="00E75EBB" w:rsidP="00E75EBB">
            <w:pPr>
              <w:jc w:val="left"/>
              <w:rPr>
                <w:rFonts w:cs="Arial"/>
                <w:lang w:val="es-CO" w:eastAsia="es-CO"/>
              </w:rPr>
            </w:pPr>
            <w:r w:rsidRPr="00E75EBB">
              <w:rPr>
                <w:rFonts w:cs="Arial"/>
                <w:noProof/>
                <w:lang w:val="es-CO" w:eastAsia="es-CO"/>
              </w:rPr>
              <w:drawing>
                <wp:inline distT="0" distB="0" distL="0" distR="0" wp14:anchorId="3D988BC4" wp14:editId="2036BF3D">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092DD031" w14:textId="77777777" w:rsidR="00E75EBB" w:rsidRPr="00E75EBB" w:rsidRDefault="00E75EBB" w:rsidP="00E75EBB">
      <w:pPr>
        <w:tabs>
          <w:tab w:val="left" w:pos="-720"/>
        </w:tabs>
        <w:suppressAutoHyphens/>
        <w:ind w:left="-142"/>
        <w:jc w:val="left"/>
        <w:rPr>
          <w:rFonts w:cs="Arial"/>
          <w:b/>
        </w:rPr>
      </w:pPr>
    </w:p>
    <w:p w14:paraId="5659548E" w14:textId="77777777" w:rsidR="00E75EBB" w:rsidRDefault="00E75EBB" w:rsidP="00B058D5">
      <w:pPr>
        <w:rPr>
          <w:rFonts w:cs="Arial"/>
        </w:rPr>
      </w:pPr>
    </w:p>
    <w:p w14:paraId="3C0D9EFB" w14:textId="77777777" w:rsidR="00E75EBB" w:rsidRDefault="00E75EBB" w:rsidP="00B058D5">
      <w:pPr>
        <w:rPr>
          <w:rFonts w:cs="Arial"/>
        </w:rPr>
      </w:pPr>
    </w:p>
    <w:p w14:paraId="76D0AD02" w14:textId="69904743" w:rsidR="00F526BF" w:rsidRPr="00DA6986" w:rsidRDefault="00F526BF" w:rsidP="00B058D5">
      <w:pPr>
        <w:rPr>
          <w:rFonts w:cs="Arial"/>
        </w:rPr>
      </w:pPr>
    </w:p>
    <w:sectPr w:rsidR="00F526BF" w:rsidRPr="00DA6986" w:rsidSect="00EC2ABD">
      <w:headerReference w:type="default" r:id="rId13"/>
      <w:headerReference w:type="first" r:id="rId14"/>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B12D3" w14:textId="77777777" w:rsidR="001E030D" w:rsidRDefault="001E030D" w:rsidP="00262CBF">
      <w:r>
        <w:separator/>
      </w:r>
    </w:p>
  </w:endnote>
  <w:endnote w:type="continuationSeparator" w:id="0">
    <w:p w14:paraId="41917F17" w14:textId="77777777" w:rsidR="001E030D" w:rsidRDefault="001E030D" w:rsidP="0026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Gothic,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E6AAB" w14:textId="77777777" w:rsidR="001E030D" w:rsidRDefault="001E030D" w:rsidP="00262CBF">
      <w:r>
        <w:separator/>
      </w:r>
    </w:p>
  </w:footnote>
  <w:footnote w:type="continuationSeparator" w:id="0">
    <w:p w14:paraId="70765FC6" w14:textId="77777777" w:rsidR="001E030D" w:rsidRDefault="001E030D" w:rsidP="00262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4C7A4" w14:textId="77777777" w:rsidR="00073652" w:rsidRDefault="00073652" w:rsidP="00262CBF">
    <w:pPr>
      <w:pStyle w:val="Ttulo1"/>
    </w:pPr>
  </w:p>
  <w:p w14:paraId="65FB8DDB" w14:textId="77777777" w:rsidR="00073652" w:rsidRPr="00A157E2" w:rsidRDefault="00073652" w:rsidP="00262CBF">
    <w:pPr>
      <w:pStyle w:val="Ttulo1"/>
      <w:rPr>
        <w:rFonts w:ascii="Bookman Old Style" w:hAnsi="Bookman Old Style"/>
        <w:b w:val="0"/>
        <w:sz w:val="22"/>
      </w:rPr>
    </w:pPr>
    <w:r w:rsidRPr="00A157E2">
      <w:rPr>
        <w:rFonts w:ascii="Bookman Old Style" w:hAnsi="Bookman Old Style"/>
        <w:b w:val="0"/>
        <w:sz w:val="22"/>
      </w:rPr>
      <w:t>RESOLUCIÓN No.  __________________</w:t>
    </w:r>
    <w:r w:rsidRPr="00A157E2">
      <w:rPr>
        <w:rFonts w:ascii="Bookman Old Style" w:hAnsi="Bookman Old Style"/>
        <w:b w:val="0"/>
        <w:sz w:val="22"/>
      </w:rPr>
      <w:tab/>
      <w:t>DE ______________________</w:t>
    </w:r>
    <w:r w:rsidRPr="00A157E2">
      <w:rPr>
        <w:rFonts w:ascii="Bookman Old Style" w:hAnsi="Bookman Old Style"/>
        <w:b w:val="0"/>
        <w:sz w:val="22"/>
      </w:rPr>
      <w:tab/>
      <w:t xml:space="preserve">HOJA No. </w:t>
    </w:r>
    <w:r w:rsidRPr="00A157E2">
      <w:rPr>
        <w:rFonts w:ascii="Bookman Old Style" w:hAnsi="Bookman Old Style"/>
        <w:b w:val="0"/>
        <w:sz w:val="22"/>
      </w:rPr>
      <w:fldChar w:fldCharType="begin"/>
    </w:r>
    <w:r w:rsidRPr="00A157E2">
      <w:rPr>
        <w:rFonts w:ascii="Bookman Old Style" w:hAnsi="Bookman Old Style"/>
        <w:b w:val="0"/>
        <w:sz w:val="22"/>
      </w:rPr>
      <w:instrText xml:space="preserve"> PAGE   \* MERGEFORMAT </w:instrText>
    </w:r>
    <w:r w:rsidRPr="00A157E2">
      <w:rPr>
        <w:rFonts w:ascii="Bookman Old Style" w:hAnsi="Bookman Old Style"/>
        <w:b w:val="0"/>
        <w:sz w:val="22"/>
      </w:rPr>
      <w:fldChar w:fldCharType="separate"/>
    </w:r>
    <w:r w:rsidR="001E6CB9">
      <w:rPr>
        <w:rFonts w:ascii="Bookman Old Style" w:hAnsi="Bookman Old Style"/>
        <w:b w:val="0"/>
        <w:noProof/>
        <w:sz w:val="22"/>
      </w:rPr>
      <w:t>6</w:t>
    </w:r>
    <w:r w:rsidRPr="00A157E2">
      <w:rPr>
        <w:rFonts w:ascii="Bookman Old Style" w:hAnsi="Bookman Old Style"/>
        <w:b w:val="0"/>
        <w:sz w:val="22"/>
      </w:rPr>
      <w:fldChar w:fldCharType="end"/>
    </w:r>
    <w:r w:rsidRPr="00A157E2">
      <w:rPr>
        <w:rFonts w:ascii="Bookman Old Style" w:hAnsi="Bookman Old Style"/>
        <w:b w:val="0"/>
        <w:sz w:val="22"/>
      </w:rPr>
      <w:t>/</w:t>
    </w:r>
    <w:r w:rsidRPr="00A157E2">
      <w:rPr>
        <w:rFonts w:ascii="Bookman Old Style" w:hAnsi="Bookman Old Style"/>
        <w:b w:val="0"/>
        <w:sz w:val="22"/>
      </w:rPr>
      <w:fldChar w:fldCharType="begin"/>
    </w:r>
    <w:r w:rsidRPr="00A157E2">
      <w:rPr>
        <w:rFonts w:ascii="Bookman Old Style" w:hAnsi="Bookman Old Style"/>
        <w:b w:val="0"/>
        <w:sz w:val="22"/>
      </w:rPr>
      <w:instrText xml:space="preserve"> NUMPAGES  \* MERGEFORMAT </w:instrText>
    </w:r>
    <w:r w:rsidRPr="00A157E2">
      <w:rPr>
        <w:rFonts w:ascii="Bookman Old Style" w:hAnsi="Bookman Old Style"/>
        <w:b w:val="0"/>
        <w:sz w:val="22"/>
      </w:rPr>
      <w:fldChar w:fldCharType="separate"/>
    </w:r>
    <w:r w:rsidR="001E6CB9">
      <w:rPr>
        <w:rFonts w:ascii="Bookman Old Style" w:hAnsi="Bookman Old Style"/>
        <w:b w:val="0"/>
        <w:noProof/>
        <w:sz w:val="22"/>
      </w:rPr>
      <w:t>6</w:t>
    </w:r>
    <w:r w:rsidRPr="00A157E2">
      <w:rPr>
        <w:rFonts w:ascii="Bookman Old Style" w:hAnsi="Bookman Old Style"/>
        <w:b w:val="0"/>
        <w:noProof/>
        <w:sz w:val="22"/>
      </w:rPr>
      <w:fldChar w:fldCharType="end"/>
    </w:r>
  </w:p>
  <w:p w14:paraId="7E7DFBFF" w14:textId="77777777" w:rsidR="00073652" w:rsidRDefault="00073652" w:rsidP="00262CBF">
    <w:pPr>
      <w:rPr>
        <w:rFonts w:cs="Arial"/>
      </w:rPr>
    </w:pPr>
    <w:r>
      <w:rPr>
        <w:noProof/>
        <w:lang w:val="es-CO" w:eastAsia="es-CO"/>
      </w:rPr>
      <mc:AlternateContent>
        <mc:Choice Requires="wps">
          <w:drawing>
            <wp:anchor distT="0" distB="0" distL="114300" distR="114300" simplePos="0" relativeHeight="251657216" behindDoc="0" locked="0" layoutInCell="1" allowOverlap="1" wp14:anchorId="7532518F" wp14:editId="266FE425">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B0E50"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" filled="f" strokeweight="1.5pt"/>
          </w:pict>
        </mc:Fallback>
      </mc:AlternateContent>
    </w:r>
  </w:p>
  <w:p w14:paraId="792BCBD9" w14:textId="5723A176" w:rsidR="00E70F5D" w:rsidRPr="00E70F5D" w:rsidRDefault="00E70F5D" w:rsidP="00E70F5D">
    <w:pPr>
      <w:rPr>
        <w:rFonts w:cs="Arial"/>
        <w:sz w:val="22"/>
        <w:szCs w:val="22"/>
      </w:rPr>
    </w:pPr>
    <w:r w:rsidRPr="00E70F5D">
      <w:rPr>
        <w:rFonts w:cs="Arial"/>
        <w:sz w:val="22"/>
        <w:szCs w:val="22"/>
      </w:rPr>
      <w:t xml:space="preserve">Por la cual se resuelve el recurso de reposición interpuesto por la empresa </w:t>
    </w:r>
    <w:proofErr w:type="spellStart"/>
    <w:r w:rsidR="00081FBA" w:rsidRPr="00E70F5D">
      <w:rPr>
        <w:rFonts w:cs="Arial"/>
        <w:sz w:val="22"/>
        <w:szCs w:val="22"/>
      </w:rPr>
      <w:t>Transelca</w:t>
    </w:r>
    <w:proofErr w:type="spellEnd"/>
    <w:r w:rsidR="00081FBA" w:rsidRPr="00E70F5D">
      <w:rPr>
        <w:rFonts w:cs="Arial"/>
        <w:sz w:val="22"/>
        <w:szCs w:val="22"/>
      </w:rPr>
      <w:t xml:space="preserve"> </w:t>
    </w:r>
    <w:r w:rsidRPr="00E70F5D">
      <w:rPr>
        <w:rFonts w:cs="Arial"/>
        <w:sz w:val="22"/>
        <w:szCs w:val="22"/>
      </w:rPr>
      <w:t xml:space="preserve">S.A. E.S.P. contra la Resolución </w:t>
    </w:r>
    <w:r w:rsidR="00081FBA">
      <w:rPr>
        <w:rFonts w:cs="Arial"/>
        <w:sz w:val="22"/>
        <w:szCs w:val="22"/>
      </w:rPr>
      <w:t xml:space="preserve">CREG </w:t>
    </w:r>
    <w:r w:rsidR="00D97815">
      <w:rPr>
        <w:rFonts w:cs="Arial"/>
        <w:sz w:val="22"/>
        <w:szCs w:val="22"/>
      </w:rPr>
      <w:t>050</w:t>
    </w:r>
    <w:r w:rsidRPr="00E70F5D">
      <w:rPr>
        <w:rFonts w:cs="Arial"/>
        <w:sz w:val="22"/>
        <w:szCs w:val="22"/>
      </w:rPr>
      <w:t xml:space="preserve"> de 201</w:t>
    </w:r>
    <w:r w:rsidR="00D97815">
      <w:rPr>
        <w:rFonts w:cs="Arial"/>
        <w:sz w:val="22"/>
        <w:szCs w:val="22"/>
      </w:rPr>
      <w:t>7</w:t>
    </w:r>
    <w:r w:rsidRPr="00E70F5D">
      <w:rPr>
        <w:rFonts w:cs="Arial"/>
        <w:sz w:val="22"/>
        <w:szCs w:val="22"/>
      </w:rPr>
      <w:t xml:space="preserve"> </w:t>
    </w:r>
    <w:r w:rsidR="00081FBA">
      <w:rPr>
        <w:rFonts w:cs="Arial"/>
        <w:sz w:val="22"/>
        <w:szCs w:val="22"/>
      </w:rPr>
      <w:t>“</w:t>
    </w:r>
    <w:r w:rsidR="00D97815" w:rsidRPr="00D97815">
      <w:rPr>
        <w:rFonts w:cs="Arial"/>
        <w:sz w:val="22"/>
        <w:szCs w:val="22"/>
      </w:rPr>
      <w:t xml:space="preserve">Por la cual se decide sobre una solicitud de </w:t>
    </w:r>
    <w:proofErr w:type="spellStart"/>
    <w:r w:rsidR="00D97815" w:rsidRPr="00D97815">
      <w:rPr>
        <w:rFonts w:cs="Arial"/>
        <w:sz w:val="22"/>
        <w:szCs w:val="22"/>
      </w:rPr>
      <w:t>Transelca</w:t>
    </w:r>
    <w:proofErr w:type="spellEnd"/>
    <w:r w:rsidR="00D97815" w:rsidRPr="00D97815">
      <w:rPr>
        <w:rFonts w:cs="Arial"/>
        <w:sz w:val="22"/>
        <w:szCs w:val="22"/>
      </w:rPr>
      <w:t xml:space="preserve"> S.A. E.S.P. para actualizar su remuneración en el </w:t>
    </w:r>
    <w:r w:rsidR="00D97815">
      <w:rPr>
        <w:rFonts w:cs="Arial"/>
        <w:sz w:val="22"/>
        <w:szCs w:val="22"/>
      </w:rPr>
      <w:t>Sistema de Transmisión Nacional</w:t>
    </w:r>
    <w:r w:rsidR="00081FBA">
      <w:rPr>
        <w:rFonts w:cs="Arial"/>
        <w:sz w:val="22"/>
        <w:szCs w:val="22"/>
      </w:rPr>
      <w:t>"</w:t>
    </w:r>
    <w:r w:rsidRPr="00E70F5D">
      <w:rPr>
        <w:rFonts w:cs="Arial"/>
        <w:sz w:val="22"/>
        <w:szCs w:val="22"/>
      </w:rPr>
      <w:t>.</w:t>
    </w:r>
  </w:p>
  <w:p w14:paraId="1963BB57" w14:textId="77777777" w:rsidR="00073652" w:rsidRPr="00A067FD" w:rsidRDefault="00073652" w:rsidP="00D35482">
    <w:pPr>
      <w:pBdr>
        <w:bottom w:val="single" w:sz="4" w:space="0" w:color="auto"/>
      </w:pBdr>
      <w:rPr>
        <w:rFonts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03B18" w14:textId="77777777" w:rsidR="00073652" w:rsidRPr="00262CBF" w:rsidRDefault="00073652" w:rsidP="00262CBF">
    <w:pPr>
      <w:pStyle w:val="Encabezado"/>
      <w:rPr>
        <w:rFonts w:ascii="Arial" w:hAnsi="Arial" w:cs="Arial"/>
        <w:sz w:val="22"/>
      </w:rPr>
    </w:pPr>
    <w:r w:rsidRPr="00262CBF">
      <w:rPr>
        <w:rFonts w:ascii="Arial" w:hAnsi="Arial" w:cs="Arial"/>
        <w:sz w:val="22"/>
      </w:rPr>
      <w:t xml:space="preserve">    </w:t>
    </w:r>
    <w:r>
      <w:rPr>
        <w:rFonts w:ascii="Arial" w:hAnsi="Arial" w:cs="Arial"/>
        <w:sz w:val="22"/>
      </w:rPr>
      <w:t xml:space="preserve">                   </w:t>
    </w:r>
    <w:r w:rsidRPr="00262CBF">
      <w:rPr>
        <w:rFonts w:ascii="Arial" w:hAnsi="Arial" w:cs="Arial"/>
        <w:sz w:val="22"/>
      </w:rPr>
      <w:t xml:space="preserve">                               República de Colombia</w:t>
    </w:r>
  </w:p>
  <w:p w14:paraId="2817F32B" w14:textId="77777777" w:rsidR="00073652" w:rsidRDefault="00073652" w:rsidP="00262CBF">
    <w:pPr>
      <w:pStyle w:val="Encabezado"/>
    </w:pPr>
  </w:p>
  <w:p w14:paraId="39D87E61" w14:textId="77777777" w:rsidR="00073652" w:rsidRDefault="00073652" w:rsidP="00262CBF">
    <w:pPr>
      <w:pStyle w:val="Encabezado"/>
    </w:pPr>
    <w:r>
      <w:rPr>
        <w:noProof/>
        <w:lang w:eastAsia="es-CO"/>
      </w:rPr>
      <mc:AlternateContent>
        <mc:Choice Requires="wps">
          <w:drawing>
            <wp:anchor distT="0" distB="0" distL="114300" distR="114300" simplePos="0" relativeHeight="251658240" behindDoc="0" locked="0" layoutInCell="1" allowOverlap="1" wp14:anchorId="2D902966" wp14:editId="0E90EC40">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14182"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15:restartNumberingAfterBreak="0">
    <w:nsid w:val="04E31A8D"/>
    <w:multiLevelType w:val="multilevel"/>
    <w:tmpl w:val="5D2A6D4A"/>
    <w:lvl w:ilvl="0">
      <w:start w:val="1"/>
      <w:numFmt w:val="decimal"/>
      <w:lvlText w:val="%1."/>
      <w:lvlJc w:val="left"/>
      <w:pPr>
        <w:ind w:left="720" w:hanging="360"/>
      </w:pPr>
      <w:rPr>
        <w:rFonts w:hint="default"/>
      </w:rPr>
    </w:lvl>
    <w:lvl w:ilvl="1">
      <w:start w:val="7"/>
      <w:numFmt w:val="decimal"/>
      <w:isLgl/>
      <w:lvlText w:val="%1.%2"/>
      <w:lvlJc w:val="left"/>
      <w:pPr>
        <w:ind w:left="1135" w:hanging="60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560" w:hanging="1800"/>
      </w:pPr>
      <w:rPr>
        <w:rFonts w:hint="default"/>
      </w:rPr>
    </w:lvl>
  </w:abstractNum>
  <w:abstractNum w:abstractNumId="2" w15:restartNumberingAfterBreak="0">
    <w:nsid w:val="059264AD"/>
    <w:multiLevelType w:val="hybridMultilevel"/>
    <w:tmpl w:val="C996298E"/>
    <w:lvl w:ilvl="0" w:tplc="73F272F6">
      <w:start w:val="1"/>
      <w:numFmt w:val="lowerRoman"/>
      <w:pStyle w:val="Prrafodelista"/>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BC24002"/>
    <w:multiLevelType w:val="multilevel"/>
    <w:tmpl w:val="00C60F30"/>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F9529F"/>
    <w:multiLevelType w:val="multilevel"/>
    <w:tmpl w:val="287A55FE"/>
    <w:lvl w:ilvl="0">
      <w:start w:val="1"/>
      <w:numFmt w:val="decimal"/>
      <w:lvlText w:val="%1."/>
      <w:lvlJc w:val="left"/>
      <w:pPr>
        <w:ind w:left="720" w:hanging="360"/>
      </w:p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3ED1F47"/>
    <w:multiLevelType w:val="multilevel"/>
    <w:tmpl w:val="287A55FE"/>
    <w:lvl w:ilvl="0">
      <w:start w:val="1"/>
      <w:numFmt w:val="decimal"/>
      <w:lvlText w:val="%1."/>
      <w:lvlJc w:val="left"/>
      <w:pPr>
        <w:ind w:left="720" w:hanging="360"/>
      </w:p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B721DEC"/>
    <w:multiLevelType w:val="hybridMultilevel"/>
    <w:tmpl w:val="1BE2FE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1818EF"/>
    <w:multiLevelType w:val="multilevel"/>
    <w:tmpl w:val="641CED7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399F40E6"/>
    <w:multiLevelType w:val="hybridMultilevel"/>
    <w:tmpl w:val="97A291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5F33665"/>
    <w:multiLevelType w:val="multilevel"/>
    <w:tmpl w:val="11D0B0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DAC1269"/>
    <w:multiLevelType w:val="hybridMultilevel"/>
    <w:tmpl w:val="F4EA5B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3856273"/>
    <w:multiLevelType w:val="hybridMultilevel"/>
    <w:tmpl w:val="09C29836"/>
    <w:name w:val="WW8Num6423"/>
    <w:lvl w:ilvl="0" w:tplc="BC34A7B4">
      <w:start w:val="1"/>
      <w:numFmt w:val="upperRoman"/>
      <w:pStyle w:val="Ttulo5"/>
      <w:lvlText w:val="%1."/>
      <w:lvlJc w:val="left"/>
      <w:pPr>
        <w:tabs>
          <w:tab w:val="num" w:pos="720"/>
        </w:tabs>
        <w:ind w:left="720" w:hanging="720"/>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58E642F1"/>
    <w:multiLevelType w:val="multilevel"/>
    <w:tmpl w:val="5D2A6D4A"/>
    <w:lvl w:ilvl="0">
      <w:start w:val="1"/>
      <w:numFmt w:val="decimal"/>
      <w:lvlText w:val="%1."/>
      <w:lvlJc w:val="left"/>
      <w:pPr>
        <w:ind w:left="720" w:hanging="360"/>
      </w:pPr>
      <w:rPr>
        <w:rFonts w:hint="default"/>
      </w:rPr>
    </w:lvl>
    <w:lvl w:ilvl="1">
      <w:start w:val="7"/>
      <w:numFmt w:val="decimal"/>
      <w:isLgl/>
      <w:lvlText w:val="%1.%2"/>
      <w:lvlJc w:val="left"/>
      <w:pPr>
        <w:ind w:left="1135" w:hanging="60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560" w:hanging="1800"/>
      </w:pPr>
      <w:rPr>
        <w:rFonts w:hint="default"/>
      </w:rPr>
    </w:lvl>
  </w:abstractNum>
  <w:abstractNum w:abstractNumId="13" w15:restartNumberingAfterBreak="0">
    <w:nsid w:val="5B547219"/>
    <w:multiLevelType w:val="multilevel"/>
    <w:tmpl w:val="5D2A6D4A"/>
    <w:lvl w:ilvl="0">
      <w:start w:val="1"/>
      <w:numFmt w:val="decimal"/>
      <w:lvlText w:val="%1."/>
      <w:lvlJc w:val="left"/>
      <w:pPr>
        <w:ind w:left="720" w:hanging="360"/>
      </w:pPr>
      <w:rPr>
        <w:rFonts w:hint="default"/>
      </w:rPr>
    </w:lvl>
    <w:lvl w:ilvl="1">
      <w:start w:val="7"/>
      <w:numFmt w:val="decimal"/>
      <w:isLgl/>
      <w:lvlText w:val="%1.%2"/>
      <w:lvlJc w:val="left"/>
      <w:pPr>
        <w:ind w:left="1135" w:hanging="60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560" w:hanging="1800"/>
      </w:pPr>
      <w:rPr>
        <w:rFonts w:hint="default"/>
      </w:rPr>
    </w:lvl>
  </w:abstractNum>
  <w:abstractNum w:abstractNumId="14" w15:restartNumberingAfterBreak="0">
    <w:nsid w:val="5E455766"/>
    <w:multiLevelType w:val="hybridMultilevel"/>
    <w:tmpl w:val="802A5D22"/>
    <w:lvl w:ilvl="0" w:tplc="FA8C8C64">
      <w:start w:val="1"/>
      <w:numFmt w:val="decimal"/>
      <w:lvlText w:val="%1."/>
      <w:lvlJc w:val="left"/>
      <w:pPr>
        <w:ind w:left="362" w:hanging="360"/>
      </w:pPr>
      <w:rPr>
        <w:rFonts w:hint="default"/>
      </w:rPr>
    </w:lvl>
    <w:lvl w:ilvl="1" w:tplc="240A0019" w:tentative="1">
      <w:start w:val="1"/>
      <w:numFmt w:val="lowerLetter"/>
      <w:lvlText w:val="%2."/>
      <w:lvlJc w:val="left"/>
      <w:pPr>
        <w:ind w:left="1082" w:hanging="360"/>
      </w:pPr>
    </w:lvl>
    <w:lvl w:ilvl="2" w:tplc="240A001B" w:tentative="1">
      <w:start w:val="1"/>
      <w:numFmt w:val="lowerRoman"/>
      <w:lvlText w:val="%3."/>
      <w:lvlJc w:val="right"/>
      <w:pPr>
        <w:ind w:left="1802" w:hanging="180"/>
      </w:pPr>
    </w:lvl>
    <w:lvl w:ilvl="3" w:tplc="240A000F" w:tentative="1">
      <w:start w:val="1"/>
      <w:numFmt w:val="decimal"/>
      <w:lvlText w:val="%4."/>
      <w:lvlJc w:val="left"/>
      <w:pPr>
        <w:ind w:left="2522" w:hanging="360"/>
      </w:pPr>
    </w:lvl>
    <w:lvl w:ilvl="4" w:tplc="240A0019" w:tentative="1">
      <w:start w:val="1"/>
      <w:numFmt w:val="lowerLetter"/>
      <w:lvlText w:val="%5."/>
      <w:lvlJc w:val="left"/>
      <w:pPr>
        <w:ind w:left="3242" w:hanging="360"/>
      </w:pPr>
    </w:lvl>
    <w:lvl w:ilvl="5" w:tplc="240A001B" w:tentative="1">
      <w:start w:val="1"/>
      <w:numFmt w:val="lowerRoman"/>
      <w:lvlText w:val="%6."/>
      <w:lvlJc w:val="right"/>
      <w:pPr>
        <w:ind w:left="3962" w:hanging="180"/>
      </w:pPr>
    </w:lvl>
    <w:lvl w:ilvl="6" w:tplc="240A000F" w:tentative="1">
      <w:start w:val="1"/>
      <w:numFmt w:val="decimal"/>
      <w:lvlText w:val="%7."/>
      <w:lvlJc w:val="left"/>
      <w:pPr>
        <w:ind w:left="4682" w:hanging="360"/>
      </w:pPr>
    </w:lvl>
    <w:lvl w:ilvl="7" w:tplc="240A0019" w:tentative="1">
      <w:start w:val="1"/>
      <w:numFmt w:val="lowerLetter"/>
      <w:lvlText w:val="%8."/>
      <w:lvlJc w:val="left"/>
      <w:pPr>
        <w:ind w:left="5402" w:hanging="360"/>
      </w:pPr>
    </w:lvl>
    <w:lvl w:ilvl="8" w:tplc="240A001B" w:tentative="1">
      <w:start w:val="1"/>
      <w:numFmt w:val="lowerRoman"/>
      <w:lvlText w:val="%9."/>
      <w:lvlJc w:val="right"/>
      <w:pPr>
        <w:ind w:left="6122" w:hanging="180"/>
      </w:pPr>
    </w:lvl>
  </w:abstractNum>
  <w:abstractNum w:abstractNumId="15" w15:restartNumberingAfterBreak="0">
    <w:nsid w:val="60CC3879"/>
    <w:multiLevelType w:val="hybridMultilevel"/>
    <w:tmpl w:val="F6B06168"/>
    <w:lvl w:ilvl="0" w:tplc="240A000F">
      <w:start w:val="1"/>
      <w:numFmt w:val="decimal"/>
      <w:lvlText w:val="%1."/>
      <w:lvlJc w:val="left"/>
      <w:pPr>
        <w:ind w:left="1210" w:hanging="360"/>
      </w:pPr>
      <w:rPr>
        <w:rFonts w:hint="default"/>
      </w:rPr>
    </w:lvl>
    <w:lvl w:ilvl="1" w:tplc="240A0019" w:tentative="1">
      <w:start w:val="1"/>
      <w:numFmt w:val="lowerLetter"/>
      <w:lvlText w:val="%2."/>
      <w:lvlJc w:val="left"/>
      <w:pPr>
        <w:ind w:left="1930" w:hanging="360"/>
      </w:pPr>
    </w:lvl>
    <w:lvl w:ilvl="2" w:tplc="240A001B" w:tentative="1">
      <w:start w:val="1"/>
      <w:numFmt w:val="lowerRoman"/>
      <w:lvlText w:val="%3."/>
      <w:lvlJc w:val="right"/>
      <w:pPr>
        <w:ind w:left="2650" w:hanging="180"/>
      </w:pPr>
    </w:lvl>
    <w:lvl w:ilvl="3" w:tplc="240A000F" w:tentative="1">
      <w:start w:val="1"/>
      <w:numFmt w:val="decimal"/>
      <w:lvlText w:val="%4."/>
      <w:lvlJc w:val="left"/>
      <w:pPr>
        <w:ind w:left="3370" w:hanging="360"/>
      </w:pPr>
    </w:lvl>
    <w:lvl w:ilvl="4" w:tplc="240A0019" w:tentative="1">
      <w:start w:val="1"/>
      <w:numFmt w:val="lowerLetter"/>
      <w:lvlText w:val="%5."/>
      <w:lvlJc w:val="left"/>
      <w:pPr>
        <w:ind w:left="4090" w:hanging="360"/>
      </w:pPr>
    </w:lvl>
    <w:lvl w:ilvl="5" w:tplc="240A001B" w:tentative="1">
      <w:start w:val="1"/>
      <w:numFmt w:val="lowerRoman"/>
      <w:lvlText w:val="%6."/>
      <w:lvlJc w:val="right"/>
      <w:pPr>
        <w:ind w:left="4810" w:hanging="180"/>
      </w:pPr>
    </w:lvl>
    <w:lvl w:ilvl="6" w:tplc="240A000F" w:tentative="1">
      <w:start w:val="1"/>
      <w:numFmt w:val="decimal"/>
      <w:lvlText w:val="%7."/>
      <w:lvlJc w:val="left"/>
      <w:pPr>
        <w:ind w:left="5530" w:hanging="360"/>
      </w:pPr>
    </w:lvl>
    <w:lvl w:ilvl="7" w:tplc="240A0019" w:tentative="1">
      <w:start w:val="1"/>
      <w:numFmt w:val="lowerLetter"/>
      <w:lvlText w:val="%8."/>
      <w:lvlJc w:val="left"/>
      <w:pPr>
        <w:ind w:left="6250" w:hanging="360"/>
      </w:pPr>
    </w:lvl>
    <w:lvl w:ilvl="8" w:tplc="240A001B" w:tentative="1">
      <w:start w:val="1"/>
      <w:numFmt w:val="lowerRoman"/>
      <w:lvlText w:val="%9."/>
      <w:lvlJc w:val="right"/>
      <w:pPr>
        <w:ind w:left="6970" w:hanging="180"/>
      </w:pPr>
    </w:lvl>
  </w:abstractNum>
  <w:abstractNum w:abstractNumId="16" w15:restartNumberingAfterBreak="0">
    <w:nsid w:val="733339DD"/>
    <w:multiLevelType w:val="multilevel"/>
    <w:tmpl w:val="498851FC"/>
    <w:lvl w:ilvl="0">
      <w:start w:val="9"/>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num w:numId="1">
    <w:abstractNumId w:val="0"/>
  </w:num>
  <w:num w:numId="2">
    <w:abstractNumId w:val="11"/>
  </w:num>
  <w:num w:numId="3">
    <w:abstractNumId w:val="2"/>
  </w:num>
  <w:num w:numId="4">
    <w:abstractNumId w:val="15"/>
  </w:num>
  <w:num w:numId="5">
    <w:abstractNumId w:val="3"/>
  </w:num>
  <w:num w:numId="6">
    <w:abstractNumId w:val="13"/>
  </w:num>
  <w:num w:numId="7">
    <w:abstractNumId w:val="9"/>
  </w:num>
  <w:num w:numId="8">
    <w:abstractNumId w:val="8"/>
  </w:num>
  <w:num w:numId="9">
    <w:abstractNumId w:val="10"/>
  </w:num>
  <w:num w:numId="10">
    <w:abstractNumId w:val="16"/>
  </w:num>
  <w:num w:numId="11">
    <w:abstractNumId w:val="6"/>
  </w:num>
  <w:num w:numId="12">
    <w:abstractNumId w:val="7"/>
  </w:num>
  <w:num w:numId="13">
    <w:abstractNumId w:val="5"/>
  </w:num>
  <w:num w:numId="14">
    <w:abstractNumId w:val="4"/>
  </w:num>
  <w:num w:numId="15">
    <w:abstractNumId w:val="12"/>
  </w:num>
  <w:num w:numId="16">
    <w:abstractNumId w:val="1"/>
  </w:num>
  <w:num w:numId="1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79"/>
    <w:rsid w:val="0000179C"/>
    <w:rsid w:val="00001C8F"/>
    <w:rsid w:val="00002523"/>
    <w:rsid w:val="000038B3"/>
    <w:rsid w:val="000045B5"/>
    <w:rsid w:val="00004D3A"/>
    <w:rsid w:val="00005491"/>
    <w:rsid w:val="0000561E"/>
    <w:rsid w:val="00005B4A"/>
    <w:rsid w:val="000074D5"/>
    <w:rsid w:val="000111F3"/>
    <w:rsid w:val="00011839"/>
    <w:rsid w:val="00012E13"/>
    <w:rsid w:val="00012EA0"/>
    <w:rsid w:val="00012FAD"/>
    <w:rsid w:val="000136DF"/>
    <w:rsid w:val="00013D2D"/>
    <w:rsid w:val="000150C8"/>
    <w:rsid w:val="00022F97"/>
    <w:rsid w:val="00023603"/>
    <w:rsid w:val="0002641E"/>
    <w:rsid w:val="00030591"/>
    <w:rsid w:val="00031746"/>
    <w:rsid w:val="000318CE"/>
    <w:rsid w:val="0003245C"/>
    <w:rsid w:val="0003388A"/>
    <w:rsid w:val="00036936"/>
    <w:rsid w:val="00037916"/>
    <w:rsid w:val="00037A82"/>
    <w:rsid w:val="0004201E"/>
    <w:rsid w:val="000448F9"/>
    <w:rsid w:val="0004519A"/>
    <w:rsid w:val="00046C73"/>
    <w:rsid w:val="00047082"/>
    <w:rsid w:val="00050A5A"/>
    <w:rsid w:val="00054CD2"/>
    <w:rsid w:val="000567C0"/>
    <w:rsid w:val="000567EA"/>
    <w:rsid w:val="00057BB8"/>
    <w:rsid w:val="00061C79"/>
    <w:rsid w:val="00062DBE"/>
    <w:rsid w:val="0006414D"/>
    <w:rsid w:val="00065D68"/>
    <w:rsid w:val="0007023F"/>
    <w:rsid w:val="000708D8"/>
    <w:rsid w:val="00071BDE"/>
    <w:rsid w:val="00072368"/>
    <w:rsid w:val="00073652"/>
    <w:rsid w:val="00073840"/>
    <w:rsid w:val="0007679D"/>
    <w:rsid w:val="00077179"/>
    <w:rsid w:val="00077CE3"/>
    <w:rsid w:val="00081781"/>
    <w:rsid w:val="00081B3C"/>
    <w:rsid w:val="00081FBA"/>
    <w:rsid w:val="0008284E"/>
    <w:rsid w:val="0008447F"/>
    <w:rsid w:val="00085121"/>
    <w:rsid w:val="000855C4"/>
    <w:rsid w:val="00085D41"/>
    <w:rsid w:val="0008795B"/>
    <w:rsid w:val="000922D2"/>
    <w:rsid w:val="00092781"/>
    <w:rsid w:val="000929C4"/>
    <w:rsid w:val="000946B4"/>
    <w:rsid w:val="00094D94"/>
    <w:rsid w:val="00095AF7"/>
    <w:rsid w:val="000A06A6"/>
    <w:rsid w:val="000A0E37"/>
    <w:rsid w:val="000A2BC1"/>
    <w:rsid w:val="000A44F0"/>
    <w:rsid w:val="000A5BEC"/>
    <w:rsid w:val="000B2033"/>
    <w:rsid w:val="000B2FA5"/>
    <w:rsid w:val="000B4EAC"/>
    <w:rsid w:val="000B5CE3"/>
    <w:rsid w:val="000B6CA8"/>
    <w:rsid w:val="000B7122"/>
    <w:rsid w:val="000B7DAD"/>
    <w:rsid w:val="000C1597"/>
    <w:rsid w:val="000C168B"/>
    <w:rsid w:val="000C2B79"/>
    <w:rsid w:val="000C3118"/>
    <w:rsid w:val="000C3D3C"/>
    <w:rsid w:val="000C41B5"/>
    <w:rsid w:val="000C4407"/>
    <w:rsid w:val="000C4966"/>
    <w:rsid w:val="000C4FF9"/>
    <w:rsid w:val="000C6D76"/>
    <w:rsid w:val="000C736B"/>
    <w:rsid w:val="000D1567"/>
    <w:rsid w:val="000D165A"/>
    <w:rsid w:val="000D2694"/>
    <w:rsid w:val="000D42F7"/>
    <w:rsid w:val="000D4FC5"/>
    <w:rsid w:val="000D5BA3"/>
    <w:rsid w:val="000D6854"/>
    <w:rsid w:val="000E06B7"/>
    <w:rsid w:val="000E0BB2"/>
    <w:rsid w:val="000E0C74"/>
    <w:rsid w:val="000E2362"/>
    <w:rsid w:val="000E68DE"/>
    <w:rsid w:val="000E748B"/>
    <w:rsid w:val="000F000D"/>
    <w:rsid w:val="000F00E2"/>
    <w:rsid w:val="000F1332"/>
    <w:rsid w:val="000F34EF"/>
    <w:rsid w:val="000F3718"/>
    <w:rsid w:val="000F5DED"/>
    <w:rsid w:val="000F611E"/>
    <w:rsid w:val="000F70EF"/>
    <w:rsid w:val="000F71AA"/>
    <w:rsid w:val="000F73B3"/>
    <w:rsid w:val="000F7C22"/>
    <w:rsid w:val="00102D31"/>
    <w:rsid w:val="00105A59"/>
    <w:rsid w:val="00105F42"/>
    <w:rsid w:val="001067F1"/>
    <w:rsid w:val="00106F1D"/>
    <w:rsid w:val="00107AA8"/>
    <w:rsid w:val="00111421"/>
    <w:rsid w:val="00112B1D"/>
    <w:rsid w:val="00114E8A"/>
    <w:rsid w:val="001156F2"/>
    <w:rsid w:val="00123226"/>
    <w:rsid w:val="001238F2"/>
    <w:rsid w:val="00123D96"/>
    <w:rsid w:val="00124C42"/>
    <w:rsid w:val="00125EFA"/>
    <w:rsid w:val="00126526"/>
    <w:rsid w:val="00126A5C"/>
    <w:rsid w:val="00126BCD"/>
    <w:rsid w:val="00127D24"/>
    <w:rsid w:val="00130951"/>
    <w:rsid w:val="00131877"/>
    <w:rsid w:val="0013296B"/>
    <w:rsid w:val="001331F3"/>
    <w:rsid w:val="0013387B"/>
    <w:rsid w:val="00133F49"/>
    <w:rsid w:val="001348FC"/>
    <w:rsid w:val="00135C52"/>
    <w:rsid w:val="00137402"/>
    <w:rsid w:val="00140472"/>
    <w:rsid w:val="00141D7D"/>
    <w:rsid w:val="00146195"/>
    <w:rsid w:val="00147EC1"/>
    <w:rsid w:val="00150438"/>
    <w:rsid w:val="00150AE7"/>
    <w:rsid w:val="00151554"/>
    <w:rsid w:val="001528CF"/>
    <w:rsid w:val="00152C82"/>
    <w:rsid w:val="00152F08"/>
    <w:rsid w:val="0015386B"/>
    <w:rsid w:val="00154B4C"/>
    <w:rsid w:val="00154EA0"/>
    <w:rsid w:val="00155787"/>
    <w:rsid w:val="001575F8"/>
    <w:rsid w:val="0016052E"/>
    <w:rsid w:val="00160B3C"/>
    <w:rsid w:val="00164393"/>
    <w:rsid w:val="00165890"/>
    <w:rsid w:val="001676AB"/>
    <w:rsid w:val="001702F8"/>
    <w:rsid w:val="00175043"/>
    <w:rsid w:val="001776F7"/>
    <w:rsid w:val="00180897"/>
    <w:rsid w:val="0018133E"/>
    <w:rsid w:val="00183BF5"/>
    <w:rsid w:val="00184314"/>
    <w:rsid w:val="00184640"/>
    <w:rsid w:val="00187C25"/>
    <w:rsid w:val="00190562"/>
    <w:rsid w:val="00191653"/>
    <w:rsid w:val="00191FD0"/>
    <w:rsid w:val="00193C99"/>
    <w:rsid w:val="00195521"/>
    <w:rsid w:val="00196FC0"/>
    <w:rsid w:val="001A1181"/>
    <w:rsid w:val="001A2438"/>
    <w:rsid w:val="001A295E"/>
    <w:rsid w:val="001A2D1E"/>
    <w:rsid w:val="001A30E4"/>
    <w:rsid w:val="001A315F"/>
    <w:rsid w:val="001A3EE8"/>
    <w:rsid w:val="001A3F3F"/>
    <w:rsid w:val="001A419A"/>
    <w:rsid w:val="001A4892"/>
    <w:rsid w:val="001A5BEE"/>
    <w:rsid w:val="001A7E71"/>
    <w:rsid w:val="001B099C"/>
    <w:rsid w:val="001B27DF"/>
    <w:rsid w:val="001B2968"/>
    <w:rsid w:val="001B2A9A"/>
    <w:rsid w:val="001B2CBD"/>
    <w:rsid w:val="001B501B"/>
    <w:rsid w:val="001B678C"/>
    <w:rsid w:val="001B6A46"/>
    <w:rsid w:val="001C0C78"/>
    <w:rsid w:val="001C1D85"/>
    <w:rsid w:val="001C1EE3"/>
    <w:rsid w:val="001C1FD8"/>
    <w:rsid w:val="001C3B79"/>
    <w:rsid w:val="001C444C"/>
    <w:rsid w:val="001C528E"/>
    <w:rsid w:val="001C5D82"/>
    <w:rsid w:val="001C6459"/>
    <w:rsid w:val="001C6528"/>
    <w:rsid w:val="001D0512"/>
    <w:rsid w:val="001D053C"/>
    <w:rsid w:val="001D56B4"/>
    <w:rsid w:val="001D6DDD"/>
    <w:rsid w:val="001E030D"/>
    <w:rsid w:val="001E1574"/>
    <w:rsid w:val="001E1975"/>
    <w:rsid w:val="001E1B4E"/>
    <w:rsid w:val="001E1D2D"/>
    <w:rsid w:val="001E3BDF"/>
    <w:rsid w:val="001E522D"/>
    <w:rsid w:val="001E527F"/>
    <w:rsid w:val="001E5331"/>
    <w:rsid w:val="001E676F"/>
    <w:rsid w:val="001E6CB9"/>
    <w:rsid w:val="001F2610"/>
    <w:rsid w:val="001F46E9"/>
    <w:rsid w:val="001F4D4A"/>
    <w:rsid w:val="001F599C"/>
    <w:rsid w:val="001F6533"/>
    <w:rsid w:val="001F66DF"/>
    <w:rsid w:val="001F7BF4"/>
    <w:rsid w:val="002006A0"/>
    <w:rsid w:val="0020100E"/>
    <w:rsid w:val="00201583"/>
    <w:rsid w:val="00201E29"/>
    <w:rsid w:val="00203008"/>
    <w:rsid w:val="00203042"/>
    <w:rsid w:val="00203AC7"/>
    <w:rsid w:val="00204A2A"/>
    <w:rsid w:val="00204B18"/>
    <w:rsid w:val="00204FDE"/>
    <w:rsid w:val="002069C6"/>
    <w:rsid w:val="002070B7"/>
    <w:rsid w:val="002078DB"/>
    <w:rsid w:val="002115D3"/>
    <w:rsid w:val="002116DE"/>
    <w:rsid w:val="002120B1"/>
    <w:rsid w:val="00212647"/>
    <w:rsid w:val="00213D63"/>
    <w:rsid w:val="0021401F"/>
    <w:rsid w:val="0021472E"/>
    <w:rsid w:val="002147A7"/>
    <w:rsid w:val="00214DDA"/>
    <w:rsid w:val="00215646"/>
    <w:rsid w:val="00216FB3"/>
    <w:rsid w:val="00226E2C"/>
    <w:rsid w:val="00227580"/>
    <w:rsid w:val="00230A16"/>
    <w:rsid w:val="00230F74"/>
    <w:rsid w:val="002322D9"/>
    <w:rsid w:val="002326D0"/>
    <w:rsid w:val="00232C8F"/>
    <w:rsid w:val="00234049"/>
    <w:rsid w:val="002365D2"/>
    <w:rsid w:val="002370DD"/>
    <w:rsid w:val="00240209"/>
    <w:rsid w:val="00242EA1"/>
    <w:rsid w:val="00243C8C"/>
    <w:rsid w:val="00244157"/>
    <w:rsid w:val="00245529"/>
    <w:rsid w:val="00246C9C"/>
    <w:rsid w:val="0024714C"/>
    <w:rsid w:val="00250401"/>
    <w:rsid w:val="002519AE"/>
    <w:rsid w:val="00251C9B"/>
    <w:rsid w:val="00252C9D"/>
    <w:rsid w:val="00255A59"/>
    <w:rsid w:val="0026021B"/>
    <w:rsid w:val="00260796"/>
    <w:rsid w:val="00260E8A"/>
    <w:rsid w:val="0026114C"/>
    <w:rsid w:val="0026121F"/>
    <w:rsid w:val="00262CBF"/>
    <w:rsid w:val="00263F2B"/>
    <w:rsid w:val="002640C6"/>
    <w:rsid w:val="0026468D"/>
    <w:rsid w:val="002658E4"/>
    <w:rsid w:val="00266BEF"/>
    <w:rsid w:val="00266D70"/>
    <w:rsid w:val="002714CA"/>
    <w:rsid w:val="00271E07"/>
    <w:rsid w:val="0027266F"/>
    <w:rsid w:val="002730C5"/>
    <w:rsid w:val="00275916"/>
    <w:rsid w:val="00276330"/>
    <w:rsid w:val="00276783"/>
    <w:rsid w:val="002768E8"/>
    <w:rsid w:val="00277C50"/>
    <w:rsid w:val="0028052B"/>
    <w:rsid w:val="0028193F"/>
    <w:rsid w:val="00281CAE"/>
    <w:rsid w:val="0028262B"/>
    <w:rsid w:val="00285D68"/>
    <w:rsid w:val="00287C36"/>
    <w:rsid w:val="00290267"/>
    <w:rsid w:val="002907DC"/>
    <w:rsid w:val="00290CD5"/>
    <w:rsid w:val="00293058"/>
    <w:rsid w:val="002943C0"/>
    <w:rsid w:val="00294F5A"/>
    <w:rsid w:val="002951A4"/>
    <w:rsid w:val="002975F0"/>
    <w:rsid w:val="002A01C4"/>
    <w:rsid w:val="002A1419"/>
    <w:rsid w:val="002A4B13"/>
    <w:rsid w:val="002A50E5"/>
    <w:rsid w:val="002A5CB3"/>
    <w:rsid w:val="002A7668"/>
    <w:rsid w:val="002B188E"/>
    <w:rsid w:val="002B2242"/>
    <w:rsid w:val="002B2F4D"/>
    <w:rsid w:val="002B3E14"/>
    <w:rsid w:val="002B58E1"/>
    <w:rsid w:val="002C0B5C"/>
    <w:rsid w:val="002C2C88"/>
    <w:rsid w:val="002C7D1C"/>
    <w:rsid w:val="002D45B6"/>
    <w:rsid w:val="002E0024"/>
    <w:rsid w:val="002E26BF"/>
    <w:rsid w:val="002E32DA"/>
    <w:rsid w:val="002E46D6"/>
    <w:rsid w:val="002E55F6"/>
    <w:rsid w:val="002E5F61"/>
    <w:rsid w:val="002E6EB0"/>
    <w:rsid w:val="002E7968"/>
    <w:rsid w:val="002E7CA1"/>
    <w:rsid w:val="002F11A7"/>
    <w:rsid w:val="002F121A"/>
    <w:rsid w:val="002F1354"/>
    <w:rsid w:val="002F2590"/>
    <w:rsid w:val="002F3384"/>
    <w:rsid w:val="002F361F"/>
    <w:rsid w:val="002F407F"/>
    <w:rsid w:val="002F732D"/>
    <w:rsid w:val="00301062"/>
    <w:rsid w:val="00301727"/>
    <w:rsid w:val="00301B77"/>
    <w:rsid w:val="00301FF4"/>
    <w:rsid w:val="003044A3"/>
    <w:rsid w:val="003068C5"/>
    <w:rsid w:val="00307EA5"/>
    <w:rsid w:val="00310537"/>
    <w:rsid w:val="00310551"/>
    <w:rsid w:val="003107F4"/>
    <w:rsid w:val="003112DE"/>
    <w:rsid w:val="003113AB"/>
    <w:rsid w:val="00313690"/>
    <w:rsid w:val="00314D61"/>
    <w:rsid w:val="00314DF6"/>
    <w:rsid w:val="00317298"/>
    <w:rsid w:val="0031738C"/>
    <w:rsid w:val="003179DE"/>
    <w:rsid w:val="00321068"/>
    <w:rsid w:val="00321EE4"/>
    <w:rsid w:val="00322188"/>
    <w:rsid w:val="00323BD4"/>
    <w:rsid w:val="00324167"/>
    <w:rsid w:val="00324FDE"/>
    <w:rsid w:val="00327260"/>
    <w:rsid w:val="0033067A"/>
    <w:rsid w:val="0033230E"/>
    <w:rsid w:val="00332B82"/>
    <w:rsid w:val="00333703"/>
    <w:rsid w:val="003340FA"/>
    <w:rsid w:val="00334BD6"/>
    <w:rsid w:val="0034146B"/>
    <w:rsid w:val="00341E6C"/>
    <w:rsid w:val="0034285F"/>
    <w:rsid w:val="00342CC8"/>
    <w:rsid w:val="00342D5A"/>
    <w:rsid w:val="00342FB7"/>
    <w:rsid w:val="00343971"/>
    <w:rsid w:val="0034584D"/>
    <w:rsid w:val="00345ED7"/>
    <w:rsid w:val="00354AC4"/>
    <w:rsid w:val="00354DCC"/>
    <w:rsid w:val="003561FD"/>
    <w:rsid w:val="003572CE"/>
    <w:rsid w:val="003579A9"/>
    <w:rsid w:val="003614CE"/>
    <w:rsid w:val="00362FEE"/>
    <w:rsid w:val="00363DCA"/>
    <w:rsid w:val="003660FA"/>
    <w:rsid w:val="00366E91"/>
    <w:rsid w:val="003670AC"/>
    <w:rsid w:val="00370641"/>
    <w:rsid w:val="00370C8D"/>
    <w:rsid w:val="00371377"/>
    <w:rsid w:val="00371E20"/>
    <w:rsid w:val="0037444D"/>
    <w:rsid w:val="00375805"/>
    <w:rsid w:val="00375F29"/>
    <w:rsid w:val="003767F2"/>
    <w:rsid w:val="00376AE1"/>
    <w:rsid w:val="00377BBA"/>
    <w:rsid w:val="00382E39"/>
    <w:rsid w:val="00383495"/>
    <w:rsid w:val="003860F4"/>
    <w:rsid w:val="00386A0C"/>
    <w:rsid w:val="00386EEE"/>
    <w:rsid w:val="00387872"/>
    <w:rsid w:val="00390F62"/>
    <w:rsid w:val="00392415"/>
    <w:rsid w:val="003A037B"/>
    <w:rsid w:val="003A33EC"/>
    <w:rsid w:val="003A38D6"/>
    <w:rsid w:val="003A3DFF"/>
    <w:rsid w:val="003A4D24"/>
    <w:rsid w:val="003A7A25"/>
    <w:rsid w:val="003B09BD"/>
    <w:rsid w:val="003B19E3"/>
    <w:rsid w:val="003B1A3A"/>
    <w:rsid w:val="003B2DDF"/>
    <w:rsid w:val="003B2EF3"/>
    <w:rsid w:val="003B3622"/>
    <w:rsid w:val="003B3E6B"/>
    <w:rsid w:val="003B6118"/>
    <w:rsid w:val="003C1008"/>
    <w:rsid w:val="003C1067"/>
    <w:rsid w:val="003C20A1"/>
    <w:rsid w:val="003C234F"/>
    <w:rsid w:val="003C29FB"/>
    <w:rsid w:val="003C364A"/>
    <w:rsid w:val="003C4633"/>
    <w:rsid w:val="003C4A37"/>
    <w:rsid w:val="003C654B"/>
    <w:rsid w:val="003C67FC"/>
    <w:rsid w:val="003C6ABB"/>
    <w:rsid w:val="003C6B51"/>
    <w:rsid w:val="003C774F"/>
    <w:rsid w:val="003D34D1"/>
    <w:rsid w:val="003D4596"/>
    <w:rsid w:val="003D487F"/>
    <w:rsid w:val="003D5587"/>
    <w:rsid w:val="003D6542"/>
    <w:rsid w:val="003D6771"/>
    <w:rsid w:val="003E2E92"/>
    <w:rsid w:val="003E376E"/>
    <w:rsid w:val="003E5443"/>
    <w:rsid w:val="003E64F2"/>
    <w:rsid w:val="003E6966"/>
    <w:rsid w:val="003E75CF"/>
    <w:rsid w:val="003E7E99"/>
    <w:rsid w:val="003F0223"/>
    <w:rsid w:val="003F28EC"/>
    <w:rsid w:val="003F6E5D"/>
    <w:rsid w:val="00402856"/>
    <w:rsid w:val="004039E9"/>
    <w:rsid w:val="0040591E"/>
    <w:rsid w:val="004070C8"/>
    <w:rsid w:val="00407211"/>
    <w:rsid w:val="004076B9"/>
    <w:rsid w:val="00410B5C"/>
    <w:rsid w:val="004124D1"/>
    <w:rsid w:val="0041780F"/>
    <w:rsid w:val="00421E65"/>
    <w:rsid w:val="004238D9"/>
    <w:rsid w:val="0042401C"/>
    <w:rsid w:val="00424E91"/>
    <w:rsid w:val="00427DEF"/>
    <w:rsid w:val="0043109C"/>
    <w:rsid w:val="004326A8"/>
    <w:rsid w:val="0043404C"/>
    <w:rsid w:val="004340E5"/>
    <w:rsid w:val="004357AE"/>
    <w:rsid w:val="0044321A"/>
    <w:rsid w:val="00443440"/>
    <w:rsid w:val="004442F4"/>
    <w:rsid w:val="00444C89"/>
    <w:rsid w:val="0044531D"/>
    <w:rsid w:val="00445436"/>
    <w:rsid w:val="00445D79"/>
    <w:rsid w:val="004460D9"/>
    <w:rsid w:val="004471A1"/>
    <w:rsid w:val="00450CAE"/>
    <w:rsid w:val="00451D89"/>
    <w:rsid w:val="00452E7A"/>
    <w:rsid w:val="00452E7B"/>
    <w:rsid w:val="0045352F"/>
    <w:rsid w:val="0045590F"/>
    <w:rsid w:val="00457368"/>
    <w:rsid w:val="004609D6"/>
    <w:rsid w:val="00460B3E"/>
    <w:rsid w:val="00460BB9"/>
    <w:rsid w:val="00462508"/>
    <w:rsid w:val="00462965"/>
    <w:rsid w:val="00462D30"/>
    <w:rsid w:val="00462F17"/>
    <w:rsid w:val="00465A32"/>
    <w:rsid w:val="00465F12"/>
    <w:rsid w:val="004663AD"/>
    <w:rsid w:val="00467533"/>
    <w:rsid w:val="00467D01"/>
    <w:rsid w:val="0047252C"/>
    <w:rsid w:val="00472AA5"/>
    <w:rsid w:val="00473BC7"/>
    <w:rsid w:val="00473D1E"/>
    <w:rsid w:val="00473E56"/>
    <w:rsid w:val="004760BC"/>
    <w:rsid w:val="00476FCB"/>
    <w:rsid w:val="00476FCF"/>
    <w:rsid w:val="00477792"/>
    <w:rsid w:val="00477CB6"/>
    <w:rsid w:val="00480500"/>
    <w:rsid w:val="004813EE"/>
    <w:rsid w:val="004822ED"/>
    <w:rsid w:val="00484AAB"/>
    <w:rsid w:val="0048747E"/>
    <w:rsid w:val="0049143B"/>
    <w:rsid w:val="004915E1"/>
    <w:rsid w:val="00492648"/>
    <w:rsid w:val="00493047"/>
    <w:rsid w:val="0049328A"/>
    <w:rsid w:val="00494CED"/>
    <w:rsid w:val="0049536D"/>
    <w:rsid w:val="004953E8"/>
    <w:rsid w:val="00495717"/>
    <w:rsid w:val="0049749D"/>
    <w:rsid w:val="004977C4"/>
    <w:rsid w:val="004A1282"/>
    <w:rsid w:val="004A243D"/>
    <w:rsid w:val="004A4D88"/>
    <w:rsid w:val="004A5065"/>
    <w:rsid w:val="004A5BCB"/>
    <w:rsid w:val="004A65BA"/>
    <w:rsid w:val="004B0648"/>
    <w:rsid w:val="004B199F"/>
    <w:rsid w:val="004B1ECC"/>
    <w:rsid w:val="004B2BFC"/>
    <w:rsid w:val="004B46BE"/>
    <w:rsid w:val="004B5B17"/>
    <w:rsid w:val="004B6119"/>
    <w:rsid w:val="004B6F54"/>
    <w:rsid w:val="004B6F90"/>
    <w:rsid w:val="004B7260"/>
    <w:rsid w:val="004B7D4F"/>
    <w:rsid w:val="004C0A25"/>
    <w:rsid w:val="004C17CC"/>
    <w:rsid w:val="004C28CF"/>
    <w:rsid w:val="004C5DA9"/>
    <w:rsid w:val="004C5DB7"/>
    <w:rsid w:val="004C6D6B"/>
    <w:rsid w:val="004C6E91"/>
    <w:rsid w:val="004C78A6"/>
    <w:rsid w:val="004C7A63"/>
    <w:rsid w:val="004D1231"/>
    <w:rsid w:val="004D1358"/>
    <w:rsid w:val="004D20C8"/>
    <w:rsid w:val="004D32A2"/>
    <w:rsid w:val="004D5F99"/>
    <w:rsid w:val="004D663A"/>
    <w:rsid w:val="004D6882"/>
    <w:rsid w:val="004D692D"/>
    <w:rsid w:val="004D6D12"/>
    <w:rsid w:val="004D73E4"/>
    <w:rsid w:val="004D7678"/>
    <w:rsid w:val="004E0EAC"/>
    <w:rsid w:val="004E15B1"/>
    <w:rsid w:val="004E1821"/>
    <w:rsid w:val="004E2BB6"/>
    <w:rsid w:val="004E3E08"/>
    <w:rsid w:val="004E4395"/>
    <w:rsid w:val="004E4CDB"/>
    <w:rsid w:val="004E564D"/>
    <w:rsid w:val="004E6699"/>
    <w:rsid w:val="004E7914"/>
    <w:rsid w:val="004F0CE2"/>
    <w:rsid w:val="004F0DC3"/>
    <w:rsid w:val="004F21A0"/>
    <w:rsid w:val="004F33E8"/>
    <w:rsid w:val="004F367D"/>
    <w:rsid w:val="004F6A95"/>
    <w:rsid w:val="00501643"/>
    <w:rsid w:val="005021D4"/>
    <w:rsid w:val="005045E1"/>
    <w:rsid w:val="005057C0"/>
    <w:rsid w:val="00505949"/>
    <w:rsid w:val="005061C6"/>
    <w:rsid w:val="0050656C"/>
    <w:rsid w:val="00506BC1"/>
    <w:rsid w:val="00507AC0"/>
    <w:rsid w:val="00510AFC"/>
    <w:rsid w:val="00510CAB"/>
    <w:rsid w:val="00511007"/>
    <w:rsid w:val="00511508"/>
    <w:rsid w:val="005116E1"/>
    <w:rsid w:val="00514544"/>
    <w:rsid w:val="00514DDB"/>
    <w:rsid w:val="005150AC"/>
    <w:rsid w:val="00515171"/>
    <w:rsid w:val="00515608"/>
    <w:rsid w:val="005158F1"/>
    <w:rsid w:val="00516154"/>
    <w:rsid w:val="00517AE1"/>
    <w:rsid w:val="0052007A"/>
    <w:rsid w:val="00521203"/>
    <w:rsid w:val="005218AD"/>
    <w:rsid w:val="00522FA0"/>
    <w:rsid w:val="00522FCD"/>
    <w:rsid w:val="0052407B"/>
    <w:rsid w:val="005244C4"/>
    <w:rsid w:val="005249A2"/>
    <w:rsid w:val="0052689C"/>
    <w:rsid w:val="0052762A"/>
    <w:rsid w:val="005277CE"/>
    <w:rsid w:val="005312C1"/>
    <w:rsid w:val="005314E9"/>
    <w:rsid w:val="00533842"/>
    <w:rsid w:val="00533A4F"/>
    <w:rsid w:val="005375CA"/>
    <w:rsid w:val="00540C1F"/>
    <w:rsid w:val="00543319"/>
    <w:rsid w:val="005438B9"/>
    <w:rsid w:val="00544E80"/>
    <w:rsid w:val="00545267"/>
    <w:rsid w:val="00545E6D"/>
    <w:rsid w:val="0055124C"/>
    <w:rsid w:val="00552778"/>
    <w:rsid w:val="00552A70"/>
    <w:rsid w:val="00552B4C"/>
    <w:rsid w:val="00552E76"/>
    <w:rsid w:val="00553075"/>
    <w:rsid w:val="0055529D"/>
    <w:rsid w:val="00555917"/>
    <w:rsid w:val="00561AD7"/>
    <w:rsid w:val="005625E2"/>
    <w:rsid w:val="0056290A"/>
    <w:rsid w:val="00564B3A"/>
    <w:rsid w:val="00564D20"/>
    <w:rsid w:val="00565063"/>
    <w:rsid w:val="005668D8"/>
    <w:rsid w:val="0057053B"/>
    <w:rsid w:val="0057218B"/>
    <w:rsid w:val="0057365A"/>
    <w:rsid w:val="005749C0"/>
    <w:rsid w:val="00575EA4"/>
    <w:rsid w:val="00576DD9"/>
    <w:rsid w:val="0057728C"/>
    <w:rsid w:val="00577E4D"/>
    <w:rsid w:val="005806BC"/>
    <w:rsid w:val="00580E13"/>
    <w:rsid w:val="00581B0F"/>
    <w:rsid w:val="0058380B"/>
    <w:rsid w:val="00583C9B"/>
    <w:rsid w:val="00584399"/>
    <w:rsid w:val="005853D4"/>
    <w:rsid w:val="00585491"/>
    <w:rsid w:val="005862A4"/>
    <w:rsid w:val="00587506"/>
    <w:rsid w:val="00587A2E"/>
    <w:rsid w:val="00587DFB"/>
    <w:rsid w:val="0059461D"/>
    <w:rsid w:val="00595EB3"/>
    <w:rsid w:val="00596406"/>
    <w:rsid w:val="005969EF"/>
    <w:rsid w:val="0059746F"/>
    <w:rsid w:val="005976CA"/>
    <w:rsid w:val="005A031D"/>
    <w:rsid w:val="005A0455"/>
    <w:rsid w:val="005A0738"/>
    <w:rsid w:val="005A1068"/>
    <w:rsid w:val="005A1D5B"/>
    <w:rsid w:val="005A38EB"/>
    <w:rsid w:val="005A4B38"/>
    <w:rsid w:val="005A6B02"/>
    <w:rsid w:val="005A71A9"/>
    <w:rsid w:val="005A7965"/>
    <w:rsid w:val="005B0093"/>
    <w:rsid w:val="005B069B"/>
    <w:rsid w:val="005B34F8"/>
    <w:rsid w:val="005B42FF"/>
    <w:rsid w:val="005B6842"/>
    <w:rsid w:val="005B6873"/>
    <w:rsid w:val="005B6C3F"/>
    <w:rsid w:val="005C05B8"/>
    <w:rsid w:val="005C1AB0"/>
    <w:rsid w:val="005C2442"/>
    <w:rsid w:val="005C2B7A"/>
    <w:rsid w:val="005C42E6"/>
    <w:rsid w:val="005C4FA3"/>
    <w:rsid w:val="005C5316"/>
    <w:rsid w:val="005C5CF5"/>
    <w:rsid w:val="005C6CBB"/>
    <w:rsid w:val="005D10CE"/>
    <w:rsid w:val="005D1A69"/>
    <w:rsid w:val="005D2358"/>
    <w:rsid w:val="005D2F99"/>
    <w:rsid w:val="005D418D"/>
    <w:rsid w:val="005D4752"/>
    <w:rsid w:val="005D4A5D"/>
    <w:rsid w:val="005D5CA2"/>
    <w:rsid w:val="005D7272"/>
    <w:rsid w:val="005D7CE5"/>
    <w:rsid w:val="005E0893"/>
    <w:rsid w:val="005E0E9F"/>
    <w:rsid w:val="005E348B"/>
    <w:rsid w:val="005E3A6A"/>
    <w:rsid w:val="005E3B11"/>
    <w:rsid w:val="005E4A65"/>
    <w:rsid w:val="005E7687"/>
    <w:rsid w:val="005F0A27"/>
    <w:rsid w:val="005F0B3D"/>
    <w:rsid w:val="005F1E00"/>
    <w:rsid w:val="005F348A"/>
    <w:rsid w:val="005F375D"/>
    <w:rsid w:val="005F5671"/>
    <w:rsid w:val="005F5F25"/>
    <w:rsid w:val="005F684F"/>
    <w:rsid w:val="005F6DB8"/>
    <w:rsid w:val="005F7B79"/>
    <w:rsid w:val="005F7EE1"/>
    <w:rsid w:val="006023B9"/>
    <w:rsid w:val="00603025"/>
    <w:rsid w:val="00603275"/>
    <w:rsid w:val="0060350F"/>
    <w:rsid w:val="00604A88"/>
    <w:rsid w:val="00605575"/>
    <w:rsid w:val="00605A92"/>
    <w:rsid w:val="00605D34"/>
    <w:rsid w:val="00605EC1"/>
    <w:rsid w:val="00610B84"/>
    <w:rsid w:val="00610EB5"/>
    <w:rsid w:val="00611229"/>
    <w:rsid w:val="006133E2"/>
    <w:rsid w:val="00613470"/>
    <w:rsid w:val="006138E9"/>
    <w:rsid w:val="006149A7"/>
    <w:rsid w:val="00614DA6"/>
    <w:rsid w:val="00615247"/>
    <w:rsid w:val="00615A6C"/>
    <w:rsid w:val="0061712A"/>
    <w:rsid w:val="006172C2"/>
    <w:rsid w:val="00617BA7"/>
    <w:rsid w:val="00617DCA"/>
    <w:rsid w:val="00622BFD"/>
    <w:rsid w:val="0062313C"/>
    <w:rsid w:val="00623757"/>
    <w:rsid w:val="00624CFF"/>
    <w:rsid w:val="00626B82"/>
    <w:rsid w:val="00627D2F"/>
    <w:rsid w:val="006314BA"/>
    <w:rsid w:val="00632E6D"/>
    <w:rsid w:val="00633248"/>
    <w:rsid w:val="00633688"/>
    <w:rsid w:val="006346E1"/>
    <w:rsid w:val="00635B31"/>
    <w:rsid w:val="00636433"/>
    <w:rsid w:val="00636777"/>
    <w:rsid w:val="00637F59"/>
    <w:rsid w:val="006406A2"/>
    <w:rsid w:val="00641305"/>
    <w:rsid w:val="00641E6A"/>
    <w:rsid w:val="006430D4"/>
    <w:rsid w:val="00645FCD"/>
    <w:rsid w:val="006467C5"/>
    <w:rsid w:val="00646A35"/>
    <w:rsid w:val="00651DE0"/>
    <w:rsid w:val="00651E1C"/>
    <w:rsid w:val="00652498"/>
    <w:rsid w:val="00653163"/>
    <w:rsid w:val="00656F0E"/>
    <w:rsid w:val="0066114A"/>
    <w:rsid w:val="00661FF4"/>
    <w:rsid w:val="00663761"/>
    <w:rsid w:val="006654AA"/>
    <w:rsid w:val="00665F78"/>
    <w:rsid w:val="006660CC"/>
    <w:rsid w:val="00666347"/>
    <w:rsid w:val="00666E1D"/>
    <w:rsid w:val="00667777"/>
    <w:rsid w:val="006718F2"/>
    <w:rsid w:val="00673625"/>
    <w:rsid w:val="00673C09"/>
    <w:rsid w:val="00673D24"/>
    <w:rsid w:val="00673FEA"/>
    <w:rsid w:val="006749D0"/>
    <w:rsid w:val="00675A21"/>
    <w:rsid w:val="00677FED"/>
    <w:rsid w:val="00680064"/>
    <w:rsid w:val="00680362"/>
    <w:rsid w:val="0068077B"/>
    <w:rsid w:val="006812BF"/>
    <w:rsid w:val="00681E7E"/>
    <w:rsid w:val="0068277D"/>
    <w:rsid w:val="006851F9"/>
    <w:rsid w:val="00686456"/>
    <w:rsid w:val="00686B76"/>
    <w:rsid w:val="00686CD7"/>
    <w:rsid w:val="00692C98"/>
    <w:rsid w:val="00693ABD"/>
    <w:rsid w:val="0069550D"/>
    <w:rsid w:val="00695966"/>
    <w:rsid w:val="00695D9A"/>
    <w:rsid w:val="006A1BA2"/>
    <w:rsid w:val="006A23B1"/>
    <w:rsid w:val="006A2EFE"/>
    <w:rsid w:val="006A3439"/>
    <w:rsid w:val="006A48C6"/>
    <w:rsid w:val="006A523B"/>
    <w:rsid w:val="006A716E"/>
    <w:rsid w:val="006A7188"/>
    <w:rsid w:val="006B0341"/>
    <w:rsid w:val="006B11F8"/>
    <w:rsid w:val="006B6060"/>
    <w:rsid w:val="006C0FB9"/>
    <w:rsid w:val="006C1019"/>
    <w:rsid w:val="006C122A"/>
    <w:rsid w:val="006C5022"/>
    <w:rsid w:val="006C5801"/>
    <w:rsid w:val="006C5C7F"/>
    <w:rsid w:val="006C69B5"/>
    <w:rsid w:val="006D00EB"/>
    <w:rsid w:val="006D06C2"/>
    <w:rsid w:val="006D1331"/>
    <w:rsid w:val="006D1999"/>
    <w:rsid w:val="006D35E6"/>
    <w:rsid w:val="006D37DC"/>
    <w:rsid w:val="006D3876"/>
    <w:rsid w:val="006D54A0"/>
    <w:rsid w:val="006D6B08"/>
    <w:rsid w:val="006D7A75"/>
    <w:rsid w:val="006D7AB7"/>
    <w:rsid w:val="006E073A"/>
    <w:rsid w:val="006E0846"/>
    <w:rsid w:val="006E0B66"/>
    <w:rsid w:val="006E33BB"/>
    <w:rsid w:val="006E43F3"/>
    <w:rsid w:val="006E4B75"/>
    <w:rsid w:val="006E5DD2"/>
    <w:rsid w:val="006E6417"/>
    <w:rsid w:val="006E75C4"/>
    <w:rsid w:val="006E7705"/>
    <w:rsid w:val="006F24AB"/>
    <w:rsid w:val="006F344B"/>
    <w:rsid w:val="006F4AD3"/>
    <w:rsid w:val="006F5492"/>
    <w:rsid w:val="006F5E6E"/>
    <w:rsid w:val="006F7F07"/>
    <w:rsid w:val="006F7F30"/>
    <w:rsid w:val="0070025C"/>
    <w:rsid w:val="00702F9A"/>
    <w:rsid w:val="00703337"/>
    <w:rsid w:val="00703E92"/>
    <w:rsid w:val="00704DB3"/>
    <w:rsid w:val="007056A2"/>
    <w:rsid w:val="00706246"/>
    <w:rsid w:val="00706A5B"/>
    <w:rsid w:val="00710728"/>
    <w:rsid w:val="00710C94"/>
    <w:rsid w:val="00711678"/>
    <w:rsid w:val="00712C21"/>
    <w:rsid w:val="00712EE5"/>
    <w:rsid w:val="007144A2"/>
    <w:rsid w:val="00714616"/>
    <w:rsid w:val="007147E5"/>
    <w:rsid w:val="00714D04"/>
    <w:rsid w:val="00716656"/>
    <w:rsid w:val="0072297C"/>
    <w:rsid w:val="0072346A"/>
    <w:rsid w:val="00726E14"/>
    <w:rsid w:val="00730291"/>
    <w:rsid w:val="0073150A"/>
    <w:rsid w:val="00732268"/>
    <w:rsid w:val="00733907"/>
    <w:rsid w:val="00733B81"/>
    <w:rsid w:val="0073542E"/>
    <w:rsid w:val="00736B2D"/>
    <w:rsid w:val="007412B6"/>
    <w:rsid w:val="00742EA4"/>
    <w:rsid w:val="007440E9"/>
    <w:rsid w:val="00744F74"/>
    <w:rsid w:val="00746179"/>
    <w:rsid w:val="0074649E"/>
    <w:rsid w:val="007465AA"/>
    <w:rsid w:val="00746C6B"/>
    <w:rsid w:val="00747235"/>
    <w:rsid w:val="00747E4C"/>
    <w:rsid w:val="00751B9B"/>
    <w:rsid w:val="007539B5"/>
    <w:rsid w:val="00754442"/>
    <w:rsid w:val="00754819"/>
    <w:rsid w:val="00754E0D"/>
    <w:rsid w:val="00757443"/>
    <w:rsid w:val="00757F36"/>
    <w:rsid w:val="00760042"/>
    <w:rsid w:val="0076185D"/>
    <w:rsid w:val="007618E9"/>
    <w:rsid w:val="0076236E"/>
    <w:rsid w:val="00762A5D"/>
    <w:rsid w:val="00762AF8"/>
    <w:rsid w:val="0076325C"/>
    <w:rsid w:val="00763A2E"/>
    <w:rsid w:val="00763A35"/>
    <w:rsid w:val="0076414B"/>
    <w:rsid w:val="00765182"/>
    <w:rsid w:val="0076782D"/>
    <w:rsid w:val="00770200"/>
    <w:rsid w:val="00771464"/>
    <w:rsid w:val="00773493"/>
    <w:rsid w:val="00774B2B"/>
    <w:rsid w:val="00775071"/>
    <w:rsid w:val="007757B9"/>
    <w:rsid w:val="0077608D"/>
    <w:rsid w:val="00776443"/>
    <w:rsid w:val="00780A4C"/>
    <w:rsid w:val="00780CE6"/>
    <w:rsid w:val="0078349A"/>
    <w:rsid w:val="00783F71"/>
    <w:rsid w:val="00784EC1"/>
    <w:rsid w:val="00785C34"/>
    <w:rsid w:val="00786B36"/>
    <w:rsid w:val="00787EDD"/>
    <w:rsid w:val="00791115"/>
    <w:rsid w:val="00792503"/>
    <w:rsid w:val="00792A3F"/>
    <w:rsid w:val="00792B47"/>
    <w:rsid w:val="0079377C"/>
    <w:rsid w:val="00794097"/>
    <w:rsid w:val="00795327"/>
    <w:rsid w:val="00795719"/>
    <w:rsid w:val="00795F8E"/>
    <w:rsid w:val="00796BEE"/>
    <w:rsid w:val="00797632"/>
    <w:rsid w:val="007A0666"/>
    <w:rsid w:val="007A090F"/>
    <w:rsid w:val="007A1D12"/>
    <w:rsid w:val="007A23E9"/>
    <w:rsid w:val="007A2887"/>
    <w:rsid w:val="007A3099"/>
    <w:rsid w:val="007A36B4"/>
    <w:rsid w:val="007A3ED3"/>
    <w:rsid w:val="007A4469"/>
    <w:rsid w:val="007A45A4"/>
    <w:rsid w:val="007A5A77"/>
    <w:rsid w:val="007A64F3"/>
    <w:rsid w:val="007B0C73"/>
    <w:rsid w:val="007B2C8F"/>
    <w:rsid w:val="007B4478"/>
    <w:rsid w:val="007B6100"/>
    <w:rsid w:val="007B6778"/>
    <w:rsid w:val="007B76F1"/>
    <w:rsid w:val="007C0936"/>
    <w:rsid w:val="007C1FBB"/>
    <w:rsid w:val="007C271E"/>
    <w:rsid w:val="007C3C49"/>
    <w:rsid w:val="007C4238"/>
    <w:rsid w:val="007C53EB"/>
    <w:rsid w:val="007C5499"/>
    <w:rsid w:val="007C63C0"/>
    <w:rsid w:val="007C7AF2"/>
    <w:rsid w:val="007C7C11"/>
    <w:rsid w:val="007D0F27"/>
    <w:rsid w:val="007D13ED"/>
    <w:rsid w:val="007D1F46"/>
    <w:rsid w:val="007D2FFA"/>
    <w:rsid w:val="007D6341"/>
    <w:rsid w:val="007D63EF"/>
    <w:rsid w:val="007D786D"/>
    <w:rsid w:val="007D7F92"/>
    <w:rsid w:val="007E0096"/>
    <w:rsid w:val="007E1486"/>
    <w:rsid w:val="007E1BCA"/>
    <w:rsid w:val="007E295B"/>
    <w:rsid w:val="007E51A6"/>
    <w:rsid w:val="007E641F"/>
    <w:rsid w:val="007F0F8D"/>
    <w:rsid w:val="007F1B38"/>
    <w:rsid w:val="007F2602"/>
    <w:rsid w:val="007F3293"/>
    <w:rsid w:val="007F5077"/>
    <w:rsid w:val="007F6A77"/>
    <w:rsid w:val="007F7024"/>
    <w:rsid w:val="007F7DA7"/>
    <w:rsid w:val="008004D4"/>
    <w:rsid w:val="008008CB"/>
    <w:rsid w:val="008032A8"/>
    <w:rsid w:val="00803310"/>
    <w:rsid w:val="00804BED"/>
    <w:rsid w:val="008050D9"/>
    <w:rsid w:val="00805286"/>
    <w:rsid w:val="008069A9"/>
    <w:rsid w:val="00806BCE"/>
    <w:rsid w:val="00807123"/>
    <w:rsid w:val="00812351"/>
    <w:rsid w:val="008134DD"/>
    <w:rsid w:val="00813FA0"/>
    <w:rsid w:val="00814975"/>
    <w:rsid w:val="008156F1"/>
    <w:rsid w:val="008159DD"/>
    <w:rsid w:val="00820242"/>
    <w:rsid w:val="0082091D"/>
    <w:rsid w:val="008219B0"/>
    <w:rsid w:val="008220B2"/>
    <w:rsid w:val="008241D0"/>
    <w:rsid w:val="00825AE3"/>
    <w:rsid w:val="00826336"/>
    <w:rsid w:val="008263B5"/>
    <w:rsid w:val="008279FA"/>
    <w:rsid w:val="00831F29"/>
    <w:rsid w:val="008324C8"/>
    <w:rsid w:val="008339A5"/>
    <w:rsid w:val="00833BCC"/>
    <w:rsid w:val="0083667B"/>
    <w:rsid w:val="00836C38"/>
    <w:rsid w:val="00840102"/>
    <w:rsid w:val="008417F7"/>
    <w:rsid w:val="00842FEE"/>
    <w:rsid w:val="00845468"/>
    <w:rsid w:val="00845A8D"/>
    <w:rsid w:val="008469F5"/>
    <w:rsid w:val="00846D6F"/>
    <w:rsid w:val="0084746C"/>
    <w:rsid w:val="00851283"/>
    <w:rsid w:val="008519F0"/>
    <w:rsid w:val="0085295E"/>
    <w:rsid w:val="00853E9F"/>
    <w:rsid w:val="008541D0"/>
    <w:rsid w:val="008552F6"/>
    <w:rsid w:val="00855727"/>
    <w:rsid w:val="0085609A"/>
    <w:rsid w:val="0085656D"/>
    <w:rsid w:val="00856EC5"/>
    <w:rsid w:val="00860065"/>
    <w:rsid w:val="00860412"/>
    <w:rsid w:val="0086293E"/>
    <w:rsid w:val="00862E1D"/>
    <w:rsid w:val="008630A9"/>
    <w:rsid w:val="00864454"/>
    <w:rsid w:val="008660C2"/>
    <w:rsid w:val="00866F13"/>
    <w:rsid w:val="00873A02"/>
    <w:rsid w:val="00873CDF"/>
    <w:rsid w:val="00873FC5"/>
    <w:rsid w:val="00874A79"/>
    <w:rsid w:val="008765F7"/>
    <w:rsid w:val="0087701E"/>
    <w:rsid w:val="008813D6"/>
    <w:rsid w:val="00882259"/>
    <w:rsid w:val="00883EDA"/>
    <w:rsid w:val="00884BD6"/>
    <w:rsid w:val="00884D4E"/>
    <w:rsid w:val="008869A9"/>
    <w:rsid w:val="00887500"/>
    <w:rsid w:val="00890220"/>
    <w:rsid w:val="00892F88"/>
    <w:rsid w:val="008944C6"/>
    <w:rsid w:val="00895037"/>
    <w:rsid w:val="00895D0D"/>
    <w:rsid w:val="0089611A"/>
    <w:rsid w:val="008965E4"/>
    <w:rsid w:val="008974AA"/>
    <w:rsid w:val="008974AF"/>
    <w:rsid w:val="00897D96"/>
    <w:rsid w:val="008A075A"/>
    <w:rsid w:val="008A0FB6"/>
    <w:rsid w:val="008A1314"/>
    <w:rsid w:val="008A23A0"/>
    <w:rsid w:val="008A2ED1"/>
    <w:rsid w:val="008A3C44"/>
    <w:rsid w:val="008A3F3A"/>
    <w:rsid w:val="008A6856"/>
    <w:rsid w:val="008A761C"/>
    <w:rsid w:val="008A7938"/>
    <w:rsid w:val="008B158B"/>
    <w:rsid w:val="008B1662"/>
    <w:rsid w:val="008B1E8B"/>
    <w:rsid w:val="008B3A8B"/>
    <w:rsid w:val="008B6689"/>
    <w:rsid w:val="008B70C2"/>
    <w:rsid w:val="008B790B"/>
    <w:rsid w:val="008B7B69"/>
    <w:rsid w:val="008C0828"/>
    <w:rsid w:val="008C09FF"/>
    <w:rsid w:val="008C17B7"/>
    <w:rsid w:val="008C2C96"/>
    <w:rsid w:val="008C2D48"/>
    <w:rsid w:val="008C2D9C"/>
    <w:rsid w:val="008C309D"/>
    <w:rsid w:val="008C3BA5"/>
    <w:rsid w:val="008C3C33"/>
    <w:rsid w:val="008C7B2B"/>
    <w:rsid w:val="008C7C68"/>
    <w:rsid w:val="008C7C97"/>
    <w:rsid w:val="008D036C"/>
    <w:rsid w:val="008D0A7A"/>
    <w:rsid w:val="008D150F"/>
    <w:rsid w:val="008D2162"/>
    <w:rsid w:val="008D21F5"/>
    <w:rsid w:val="008D2C39"/>
    <w:rsid w:val="008D32EC"/>
    <w:rsid w:val="008D4255"/>
    <w:rsid w:val="008D472C"/>
    <w:rsid w:val="008D4AC1"/>
    <w:rsid w:val="008D4CDB"/>
    <w:rsid w:val="008D66F8"/>
    <w:rsid w:val="008D73CB"/>
    <w:rsid w:val="008D7BA7"/>
    <w:rsid w:val="008E09DB"/>
    <w:rsid w:val="008E0C72"/>
    <w:rsid w:val="008E0E28"/>
    <w:rsid w:val="008E37CD"/>
    <w:rsid w:val="008E4559"/>
    <w:rsid w:val="008E75DA"/>
    <w:rsid w:val="008E7FD5"/>
    <w:rsid w:val="008F276E"/>
    <w:rsid w:val="008F2991"/>
    <w:rsid w:val="008F44E5"/>
    <w:rsid w:val="008F47EC"/>
    <w:rsid w:val="008F53AE"/>
    <w:rsid w:val="009037F9"/>
    <w:rsid w:val="009039B4"/>
    <w:rsid w:val="0090504C"/>
    <w:rsid w:val="0090541D"/>
    <w:rsid w:val="009057B9"/>
    <w:rsid w:val="0090755C"/>
    <w:rsid w:val="00911C0C"/>
    <w:rsid w:val="00912B95"/>
    <w:rsid w:val="00913A9E"/>
    <w:rsid w:val="00913CCD"/>
    <w:rsid w:val="009145DF"/>
    <w:rsid w:val="00914B2A"/>
    <w:rsid w:val="009174A6"/>
    <w:rsid w:val="009206E8"/>
    <w:rsid w:val="0092147B"/>
    <w:rsid w:val="009255D5"/>
    <w:rsid w:val="009266A4"/>
    <w:rsid w:val="00931485"/>
    <w:rsid w:val="009320A9"/>
    <w:rsid w:val="00933505"/>
    <w:rsid w:val="009371C5"/>
    <w:rsid w:val="0094305C"/>
    <w:rsid w:val="00943A2E"/>
    <w:rsid w:val="00946138"/>
    <w:rsid w:val="0095011F"/>
    <w:rsid w:val="00950447"/>
    <w:rsid w:val="00951560"/>
    <w:rsid w:val="009525E7"/>
    <w:rsid w:val="009538BB"/>
    <w:rsid w:val="00953995"/>
    <w:rsid w:val="00953E8D"/>
    <w:rsid w:val="0095428D"/>
    <w:rsid w:val="009548DA"/>
    <w:rsid w:val="00956FB3"/>
    <w:rsid w:val="00956FB7"/>
    <w:rsid w:val="0095736E"/>
    <w:rsid w:val="00962B9E"/>
    <w:rsid w:val="00963690"/>
    <w:rsid w:val="009640F2"/>
    <w:rsid w:val="009641D7"/>
    <w:rsid w:val="00964803"/>
    <w:rsid w:val="00966E45"/>
    <w:rsid w:val="009706F4"/>
    <w:rsid w:val="00971756"/>
    <w:rsid w:val="00972D76"/>
    <w:rsid w:val="00974341"/>
    <w:rsid w:val="00981921"/>
    <w:rsid w:val="00983031"/>
    <w:rsid w:val="00983909"/>
    <w:rsid w:val="0098520F"/>
    <w:rsid w:val="00985FE1"/>
    <w:rsid w:val="0098657F"/>
    <w:rsid w:val="0099156E"/>
    <w:rsid w:val="00991B19"/>
    <w:rsid w:val="00993A7D"/>
    <w:rsid w:val="009A0AF3"/>
    <w:rsid w:val="009A34F8"/>
    <w:rsid w:val="009A3BB4"/>
    <w:rsid w:val="009A404E"/>
    <w:rsid w:val="009A55F1"/>
    <w:rsid w:val="009A5AEA"/>
    <w:rsid w:val="009A5D9F"/>
    <w:rsid w:val="009A62F3"/>
    <w:rsid w:val="009B0EE0"/>
    <w:rsid w:val="009B1F8E"/>
    <w:rsid w:val="009B4569"/>
    <w:rsid w:val="009B756B"/>
    <w:rsid w:val="009B79AA"/>
    <w:rsid w:val="009C052E"/>
    <w:rsid w:val="009C112B"/>
    <w:rsid w:val="009C3021"/>
    <w:rsid w:val="009C4FE5"/>
    <w:rsid w:val="009C7986"/>
    <w:rsid w:val="009C7C9B"/>
    <w:rsid w:val="009D0B99"/>
    <w:rsid w:val="009D1EE7"/>
    <w:rsid w:val="009D4555"/>
    <w:rsid w:val="009D6548"/>
    <w:rsid w:val="009D7511"/>
    <w:rsid w:val="009D7902"/>
    <w:rsid w:val="009E0C84"/>
    <w:rsid w:val="009E0CB3"/>
    <w:rsid w:val="009E7111"/>
    <w:rsid w:val="009F20CE"/>
    <w:rsid w:val="009F448C"/>
    <w:rsid w:val="009F46D1"/>
    <w:rsid w:val="009F47B3"/>
    <w:rsid w:val="009F52F1"/>
    <w:rsid w:val="00A002A2"/>
    <w:rsid w:val="00A00A2A"/>
    <w:rsid w:val="00A025D2"/>
    <w:rsid w:val="00A02FCD"/>
    <w:rsid w:val="00A03338"/>
    <w:rsid w:val="00A035A7"/>
    <w:rsid w:val="00A038BC"/>
    <w:rsid w:val="00A067FD"/>
    <w:rsid w:val="00A06EFB"/>
    <w:rsid w:val="00A07D0A"/>
    <w:rsid w:val="00A10CAA"/>
    <w:rsid w:val="00A124A1"/>
    <w:rsid w:val="00A12EC8"/>
    <w:rsid w:val="00A14CC4"/>
    <w:rsid w:val="00A157E2"/>
    <w:rsid w:val="00A16719"/>
    <w:rsid w:val="00A16947"/>
    <w:rsid w:val="00A1735C"/>
    <w:rsid w:val="00A2301D"/>
    <w:rsid w:val="00A23996"/>
    <w:rsid w:val="00A24414"/>
    <w:rsid w:val="00A252E7"/>
    <w:rsid w:val="00A26F45"/>
    <w:rsid w:val="00A275E0"/>
    <w:rsid w:val="00A31493"/>
    <w:rsid w:val="00A32042"/>
    <w:rsid w:val="00A34EBB"/>
    <w:rsid w:val="00A405D1"/>
    <w:rsid w:val="00A416C9"/>
    <w:rsid w:val="00A41B6C"/>
    <w:rsid w:val="00A41BAC"/>
    <w:rsid w:val="00A421E1"/>
    <w:rsid w:val="00A4522B"/>
    <w:rsid w:val="00A46009"/>
    <w:rsid w:val="00A47015"/>
    <w:rsid w:val="00A50FA0"/>
    <w:rsid w:val="00A51F7A"/>
    <w:rsid w:val="00A51FAE"/>
    <w:rsid w:val="00A52C34"/>
    <w:rsid w:val="00A535F3"/>
    <w:rsid w:val="00A539CB"/>
    <w:rsid w:val="00A563BD"/>
    <w:rsid w:val="00A567A6"/>
    <w:rsid w:val="00A6152C"/>
    <w:rsid w:val="00A61766"/>
    <w:rsid w:val="00A62468"/>
    <w:rsid w:val="00A631CD"/>
    <w:rsid w:val="00A632D4"/>
    <w:rsid w:val="00A63FAC"/>
    <w:rsid w:val="00A640E3"/>
    <w:rsid w:val="00A64C42"/>
    <w:rsid w:val="00A65A9B"/>
    <w:rsid w:val="00A66500"/>
    <w:rsid w:val="00A708DC"/>
    <w:rsid w:val="00A70D4B"/>
    <w:rsid w:val="00A74C90"/>
    <w:rsid w:val="00A754CA"/>
    <w:rsid w:val="00A76473"/>
    <w:rsid w:val="00A814AF"/>
    <w:rsid w:val="00A82D01"/>
    <w:rsid w:val="00A83A64"/>
    <w:rsid w:val="00A85D78"/>
    <w:rsid w:val="00A87EEF"/>
    <w:rsid w:val="00A952BC"/>
    <w:rsid w:val="00A97E65"/>
    <w:rsid w:val="00AA11D5"/>
    <w:rsid w:val="00AA1420"/>
    <w:rsid w:val="00AA3922"/>
    <w:rsid w:val="00AA5186"/>
    <w:rsid w:val="00AA780B"/>
    <w:rsid w:val="00AA7C1E"/>
    <w:rsid w:val="00AB1028"/>
    <w:rsid w:val="00AB70BF"/>
    <w:rsid w:val="00AC2EA0"/>
    <w:rsid w:val="00AC560E"/>
    <w:rsid w:val="00AC6B96"/>
    <w:rsid w:val="00AC7EEF"/>
    <w:rsid w:val="00AD02AF"/>
    <w:rsid w:val="00AD28BB"/>
    <w:rsid w:val="00AD36F2"/>
    <w:rsid w:val="00AD3A50"/>
    <w:rsid w:val="00AD49A2"/>
    <w:rsid w:val="00AD5769"/>
    <w:rsid w:val="00AD6F37"/>
    <w:rsid w:val="00AD7212"/>
    <w:rsid w:val="00AD7B84"/>
    <w:rsid w:val="00AE092D"/>
    <w:rsid w:val="00AE18F9"/>
    <w:rsid w:val="00AE2A9D"/>
    <w:rsid w:val="00AE4407"/>
    <w:rsid w:val="00AE49F1"/>
    <w:rsid w:val="00AE5242"/>
    <w:rsid w:val="00AE5AD6"/>
    <w:rsid w:val="00AE74EA"/>
    <w:rsid w:val="00AF089F"/>
    <w:rsid w:val="00AF11BA"/>
    <w:rsid w:val="00AF13B9"/>
    <w:rsid w:val="00AF150D"/>
    <w:rsid w:val="00AF15C7"/>
    <w:rsid w:val="00AF1C40"/>
    <w:rsid w:val="00AF2A70"/>
    <w:rsid w:val="00AF3CD8"/>
    <w:rsid w:val="00AF5AFE"/>
    <w:rsid w:val="00AF5D11"/>
    <w:rsid w:val="00B008CE"/>
    <w:rsid w:val="00B00EA2"/>
    <w:rsid w:val="00B010E0"/>
    <w:rsid w:val="00B017F8"/>
    <w:rsid w:val="00B01918"/>
    <w:rsid w:val="00B01BDA"/>
    <w:rsid w:val="00B01BDB"/>
    <w:rsid w:val="00B01EA1"/>
    <w:rsid w:val="00B020BD"/>
    <w:rsid w:val="00B052B8"/>
    <w:rsid w:val="00B05628"/>
    <w:rsid w:val="00B058D5"/>
    <w:rsid w:val="00B05982"/>
    <w:rsid w:val="00B06021"/>
    <w:rsid w:val="00B07035"/>
    <w:rsid w:val="00B076F3"/>
    <w:rsid w:val="00B100B9"/>
    <w:rsid w:val="00B104F6"/>
    <w:rsid w:val="00B1236D"/>
    <w:rsid w:val="00B128ED"/>
    <w:rsid w:val="00B13FE8"/>
    <w:rsid w:val="00B146C4"/>
    <w:rsid w:val="00B16731"/>
    <w:rsid w:val="00B25781"/>
    <w:rsid w:val="00B27D2C"/>
    <w:rsid w:val="00B27DF4"/>
    <w:rsid w:val="00B304E8"/>
    <w:rsid w:val="00B31694"/>
    <w:rsid w:val="00B3211D"/>
    <w:rsid w:val="00B32B75"/>
    <w:rsid w:val="00B33802"/>
    <w:rsid w:val="00B33A9C"/>
    <w:rsid w:val="00B3420E"/>
    <w:rsid w:val="00B355E8"/>
    <w:rsid w:val="00B377C8"/>
    <w:rsid w:val="00B37913"/>
    <w:rsid w:val="00B436D9"/>
    <w:rsid w:val="00B44181"/>
    <w:rsid w:val="00B442F4"/>
    <w:rsid w:val="00B44600"/>
    <w:rsid w:val="00B447E3"/>
    <w:rsid w:val="00B450E3"/>
    <w:rsid w:val="00B45122"/>
    <w:rsid w:val="00B46394"/>
    <w:rsid w:val="00B46924"/>
    <w:rsid w:val="00B51741"/>
    <w:rsid w:val="00B52F1B"/>
    <w:rsid w:val="00B53867"/>
    <w:rsid w:val="00B54CF1"/>
    <w:rsid w:val="00B57E8B"/>
    <w:rsid w:val="00B60A8B"/>
    <w:rsid w:val="00B639A0"/>
    <w:rsid w:val="00B644DF"/>
    <w:rsid w:val="00B66F44"/>
    <w:rsid w:val="00B6793B"/>
    <w:rsid w:val="00B700C3"/>
    <w:rsid w:val="00B714F1"/>
    <w:rsid w:val="00B72126"/>
    <w:rsid w:val="00B75363"/>
    <w:rsid w:val="00B75FD9"/>
    <w:rsid w:val="00B771EA"/>
    <w:rsid w:val="00B8048D"/>
    <w:rsid w:val="00B80AD9"/>
    <w:rsid w:val="00B81141"/>
    <w:rsid w:val="00B82373"/>
    <w:rsid w:val="00B87C46"/>
    <w:rsid w:val="00B9008B"/>
    <w:rsid w:val="00B90583"/>
    <w:rsid w:val="00B90BF2"/>
    <w:rsid w:val="00B92ED7"/>
    <w:rsid w:val="00B94130"/>
    <w:rsid w:val="00B9647B"/>
    <w:rsid w:val="00B977E2"/>
    <w:rsid w:val="00B97B0C"/>
    <w:rsid w:val="00BA0401"/>
    <w:rsid w:val="00BA101D"/>
    <w:rsid w:val="00BA109B"/>
    <w:rsid w:val="00BA1F97"/>
    <w:rsid w:val="00BA3062"/>
    <w:rsid w:val="00BA313C"/>
    <w:rsid w:val="00BA3F67"/>
    <w:rsid w:val="00BA405E"/>
    <w:rsid w:val="00BA4746"/>
    <w:rsid w:val="00BA6322"/>
    <w:rsid w:val="00BA6470"/>
    <w:rsid w:val="00BA6EBD"/>
    <w:rsid w:val="00BA7735"/>
    <w:rsid w:val="00BA7A27"/>
    <w:rsid w:val="00BB1214"/>
    <w:rsid w:val="00BB1E95"/>
    <w:rsid w:val="00BB2DF8"/>
    <w:rsid w:val="00BB4379"/>
    <w:rsid w:val="00BB54E3"/>
    <w:rsid w:val="00BB5A1F"/>
    <w:rsid w:val="00BB7BF5"/>
    <w:rsid w:val="00BB7EEF"/>
    <w:rsid w:val="00BC06AD"/>
    <w:rsid w:val="00BC13E8"/>
    <w:rsid w:val="00BC196F"/>
    <w:rsid w:val="00BC2989"/>
    <w:rsid w:val="00BC3F07"/>
    <w:rsid w:val="00BC6453"/>
    <w:rsid w:val="00BC79A5"/>
    <w:rsid w:val="00BD136B"/>
    <w:rsid w:val="00BD1CDE"/>
    <w:rsid w:val="00BD2A30"/>
    <w:rsid w:val="00BD2E37"/>
    <w:rsid w:val="00BD5709"/>
    <w:rsid w:val="00BD7792"/>
    <w:rsid w:val="00BE1D13"/>
    <w:rsid w:val="00BE4C1C"/>
    <w:rsid w:val="00BE5559"/>
    <w:rsid w:val="00BE6457"/>
    <w:rsid w:val="00BE6C23"/>
    <w:rsid w:val="00BE7AC0"/>
    <w:rsid w:val="00BE7F9B"/>
    <w:rsid w:val="00BF124F"/>
    <w:rsid w:val="00BF2E45"/>
    <w:rsid w:val="00BF3DE8"/>
    <w:rsid w:val="00BF3F0E"/>
    <w:rsid w:val="00BF5CBC"/>
    <w:rsid w:val="00BF767E"/>
    <w:rsid w:val="00C006EF"/>
    <w:rsid w:val="00C00896"/>
    <w:rsid w:val="00C01914"/>
    <w:rsid w:val="00C01C41"/>
    <w:rsid w:val="00C01CC3"/>
    <w:rsid w:val="00C01E46"/>
    <w:rsid w:val="00C0406C"/>
    <w:rsid w:val="00C05C79"/>
    <w:rsid w:val="00C14B33"/>
    <w:rsid w:val="00C15FBC"/>
    <w:rsid w:val="00C17B3F"/>
    <w:rsid w:val="00C21318"/>
    <w:rsid w:val="00C22184"/>
    <w:rsid w:val="00C22BC0"/>
    <w:rsid w:val="00C24664"/>
    <w:rsid w:val="00C2769D"/>
    <w:rsid w:val="00C27D36"/>
    <w:rsid w:val="00C30104"/>
    <w:rsid w:val="00C3315E"/>
    <w:rsid w:val="00C3380B"/>
    <w:rsid w:val="00C3456C"/>
    <w:rsid w:val="00C349B7"/>
    <w:rsid w:val="00C349D8"/>
    <w:rsid w:val="00C36023"/>
    <w:rsid w:val="00C404B3"/>
    <w:rsid w:val="00C407B8"/>
    <w:rsid w:val="00C412B5"/>
    <w:rsid w:val="00C439BE"/>
    <w:rsid w:val="00C44516"/>
    <w:rsid w:val="00C446F5"/>
    <w:rsid w:val="00C44BDC"/>
    <w:rsid w:val="00C45EF8"/>
    <w:rsid w:val="00C471EF"/>
    <w:rsid w:val="00C47990"/>
    <w:rsid w:val="00C50021"/>
    <w:rsid w:val="00C505D5"/>
    <w:rsid w:val="00C53E25"/>
    <w:rsid w:val="00C54012"/>
    <w:rsid w:val="00C5466C"/>
    <w:rsid w:val="00C54F6F"/>
    <w:rsid w:val="00C557E0"/>
    <w:rsid w:val="00C55D78"/>
    <w:rsid w:val="00C60580"/>
    <w:rsid w:val="00C63337"/>
    <w:rsid w:val="00C671E0"/>
    <w:rsid w:val="00C67B44"/>
    <w:rsid w:val="00C67EEA"/>
    <w:rsid w:val="00C704BD"/>
    <w:rsid w:val="00C71489"/>
    <w:rsid w:val="00C73E04"/>
    <w:rsid w:val="00C7490C"/>
    <w:rsid w:val="00C82B23"/>
    <w:rsid w:val="00C82F32"/>
    <w:rsid w:val="00C82FA1"/>
    <w:rsid w:val="00C840F2"/>
    <w:rsid w:val="00C84563"/>
    <w:rsid w:val="00C85970"/>
    <w:rsid w:val="00C85F0D"/>
    <w:rsid w:val="00C9143D"/>
    <w:rsid w:val="00C91E97"/>
    <w:rsid w:val="00C939EE"/>
    <w:rsid w:val="00C945A9"/>
    <w:rsid w:val="00C94CB3"/>
    <w:rsid w:val="00C95125"/>
    <w:rsid w:val="00C95CD3"/>
    <w:rsid w:val="00C971D3"/>
    <w:rsid w:val="00CA03CD"/>
    <w:rsid w:val="00CA19C5"/>
    <w:rsid w:val="00CA2119"/>
    <w:rsid w:val="00CA3324"/>
    <w:rsid w:val="00CA438B"/>
    <w:rsid w:val="00CA520D"/>
    <w:rsid w:val="00CA680D"/>
    <w:rsid w:val="00CA6EBF"/>
    <w:rsid w:val="00CB037C"/>
    <w:rsid w:val="00CB0759"/>
    <w:rsid w:val="00CB0A7A"/>
    <w:rsid w:val="00CB0BD7"/>
    <w:rsid w:val="00CB0D67"/>
    <w:rsid w:val="00CB1531"/>
    <w:rsid w:val="00CB1679"/>
    <w:rsid w:val="00CB1913"/>
    <w:rsid w:val="00CB1D92"/>
    <w:rsid w:val="00CB31CD"/>
    <w:rsid w:val="00CB4443"/>
    <w:rsid w:val="00CB5D45"/>
    <w:rsid w:val="00CB6610"/>
    <w:rsid w:val="00CB6D6E"/>
    <w:rsid w:val="00CC0023"/>
    <w:rsid w:val="00CC0511"/>
    <w:rsid w:val="00CC0FD7"/>
    <w:rsid w:val="00CC17FA"/>
    <w:rsid w:val="00CC1AD3"/>
    <w:rsid w:val="00CC3155"/>
    <w:rsid w:val="00CC3307"/>
    <w:rsid w:val="00CC36FD"/>
    <w:rsid w:val="00CC4127"/>
    <w:rsid w:val="00CC5E97"/>
    <w:rsid w:val="00CC6C3C"/>
    <w:rsid w:val="00CD15F9"/>
    <w:rsid w:val="00CD30C7"/>
    <w:rsid w:val="00CD55F7"/>
    <w:rsid w:val="00CD58A4"/>
    <w:rsid w:val="00CD5C07"/>
    <w:rsid w:val="00CD5EBB"/>
    <w:rsid w:val="00CD68FA"/>
    <w:rsid w:val="00CD6E83"/>
    <w:rsid w:val="00CD7350"/>
    <w:rsid w:val="00CD75BD"/>
    <w:rsid w:val="00CD7AB7"/>
    <w:rsid w:val="00CE08E5"/>
    <w:rsid w:val="00CE26BC"/>
    <w:rsid w:val="00CE3723"/>
    <w:rsid w:val="00CE7CFB"/>
    <w:rsid w:val="00CF11A3"/>
    <w:rsid w:val="00CF3730"/>
    <w:rsid w:val="00CF41A8"/>
    <w:rsid w:val="00CF4D0F"/>
    <w:rsid w:val="00CF4E9C"/>
    <w:rsid w:val="00CF5AE8"/>
    <w:rsid w:val="00CF5D39"/>
    <w:rsid w:val="00D00788"/>
    <w:rsid w:val="00D01407"/>
    <w:rsid w:val="00D03BDE"/>
    <w:rsid w:val="00D03CF9"/>
    <w:rsid w:val="00D03D07"/>
    <w:rsid w:val="00D071CD"/>
    <w:rsid w:val="00D07D72"/>
    <w:rsid w:val="00D10E5B"/>
    <w:rsid w:val="00D10F5B"/>
    <w:rsid w:val="00D11040"/>
    <w:rsid w:val="00D11C6B"/>
    <w:rsid w:val="00D12B29"/>
    <w:rsid w:val="00D16480"/>
    <w:rsid w:val="00D16F9A"/>
    <w:rsid w:val="00D17FAB"/>
    <w:rsid w:val="00D20000"/>
    <w:rsid w:val="00D20F96"/>
    <w:rsid w:val="00D2246E"/>
    <w:rsid w:val="00D24532"/>
    <w:rsid w:val="00D2489E"/>
    <w:rsid w:val="00D265FD"/>
    <w:rsid w:val="00D33F36"/>
    <w:rsid w:val="00D35482"/>
    <w:rsid w:val="00D37C3C"/>
    <w:rsid w:val="00D37E6B"/>
    <w:rsid w:val="00D402C0"/>
    <w:rsid w:val="00D4231E"/>
    <w:rsid w:val="00D43076"/>
    <w:rsid w:val="00D43FAA"/>
    <w:rsid w:val="00D468ED"/>
    <w:rsid w:val="00D51547"/>
    <w:rsid w:val="00D52684"/>
    <w:rsid w:val="00D52F37"/>
    <w:rsid w:val="00D53808"/>
    <w:rsid w:val="00D55C35"/>
    <w:rsid w:val="00D57C62"/>
    <w:rsid w:val="00D6009B"/>
    <w:rsid w:val="00D602F3"/>
    <w:rsid w:val="00D6063A"/>
    <w:rsid w:val="00D60B24"/>
    <w:rsid w:val="00D61073"/>
    <w:rsid w:val="00D61508"/>
    <w:rsid w:val="00D61649"/>
    <w:rsid w:val="00D6261D"/>
    <w:rsid w:val="00D63026"/>
    <w:rsid w:val="00D63A87"/>
    <w:rsid w:val="00D6425D"/>
    <w:rsid w:val="00D65175"/>
    <w:rsid w:val="00D70508"/>
    <w:rsid w:val="00D710CC"/>
    <w:rsid w:val="00D714D0"/>
    <w:rsid w:val="00D718C9"/>
    <w:rsid w:val="00D71919"/>
    <w:rsid w:val="00D74536"/>
    <w:rsid w:val="00D75EE7"/>
    <w:rsid w:val="00D76340"/>
    <w:rsid w:val="00D765E0"/>
    <w:rsid w:val="00D76CB7"/>
    <w:rsid w:val="00D7745D"/>
    <w:rsid w:val="00D776AF"/>
    <w:rsid w:val="00D77BF8"/>
    <w:rsid w:val="00D810F0"/>
    <w:rsid w:val="00D81B28"/>
    <w:rsid w:val="00D8260B"/>
    <w:rsid w:val="00D82D30"/>
    <w:rsid w:val="00D8369D"/>
    <w:rsid w:val="00D8533E"/>
    <w:rsid w:val="00D8552D"/>
    <w:rsid w:val="00D87844"/>
    <w:rsid w:val="00D93A53"/>
    <w:rsid w:val="00D96B22"/>
    <w:rsid w:val="00D96C79"/>
    <w:rsid w:val="00D97815"/>
    <w:rsid w:val="00DA1A17"/>
    <w:rsid w:val="00DA26A0"/>
    <w:rsid w:val="00DA6716"/>
    <w:rsid w:val="00DA6986"/>
    <w:rsid w:val="00DA7706"/>
    <w:rsid w:val="00DA776D"/>
    <w:rsid w:val="00DB30A7"/>
    <w:rsid w:val="00DB510D"/>
    <w:rsid w:val="00DB553A"/>
    <w:rsid w:val="00DB6D3E"/>
    <w:rsid w:val="00DB6E71"/>
    <w:rsid w:val="00DB7784"/>
    <w:rsid w:val="00DC0336"/>
    <w:rsid w:val="00DC2C84"/>
    <w:rsid w:val="00DC3A69"/>
    <w:rsid w:val="00DC4C2A"/>
    <w:rsid w:val="00DC567B"/>
    <w:rsid w:val="00DC6297"/>
    <w:rsid w:val="00DC6599"/>
    <w:rsid w:val="00DC68DE"/>
    <w:rsid w:val="00DC7B34"/>
    <w:rsid w:val="00DD0F35"/>
    <w:rsid w:val="00DD1490"/>
    <w:rsid w:val="00DD1D32"/>
    <w:rsid w:val="00DD3179"/>
    <w:rsid w:val="00DD3C51"/>
    <w:rsid w:val="00DD4D02"/>
    <w:rsid w:val="00DD53E0"/>
    <w:rsid w:val="00DD5BD3"/>
    <w:rsid w:val="00DD6704"/>
    <w:rsid w:val="00DD69F4"/>
    <w:rsid w:val="00DD791A"/>
    <w:rsid w:val="00DE0881"/>
    <w:rsid w:val="00DE1224"/>
    <w:rsid w:val="00DE12ED"/>
    <w:rsid w:val="00DE13BE"/>
    <w:rsid w:val="00DE2227"/>
    <w:rsid w:val="00DE2A28"/>
    <w:rsid w:val="00DE3E74"/>
    <w:rsid w:val="00DE4773"/>
    <w:rsid w:val="00DE5C3D"/>
    <w:rsid w:val="00DE5C9A"/>
    <w:rsid w:val="00DE6910"/>
    <w:rsid w:val="00DE787D"/>
    <w:rsid w:val="00DE7C33"/>
    <w:rsid w:val="00DF03D3"/>
    <w:rsid w:val="00DF0430"/>
    <w:rsid w:val="00DF065F"/>
    <w:rsid w:val="00DF144F"/>
    <w:rsid w:val="00DF1864"/>
    <w:rsid w:val="00DF1BA8"/>
    <w:rsid w:val="00DF294B"/>
    <w:rsid w:val="00DF31E4"/>
    <w:rsid w:val="00DF325D"/>
    <w:rsid w:val="00DF3293"/>
    <w:rsid w:val="00DF331C"/>
    <w:rsid w:val="00DF399A"/>
    <w:rsid w:val="00DF513C"/>
    <w:rsid w:val="00DF51C0"/>
    <w:rsid w:val="00DF6607"/>
    <w:rsid w:val="00DF7263"/>
    <w:rsid w:val="00E019B5"/>
    <w:rsid w:val="00E03A26"/>
    <w:rsid w:val="00E076A5"/>
    <w:rsid w:val="00E079E3"/>
    <w:rsid w:val="00E142E0"/>
    <w:rsid w:val="00E150D6"/>
    <w:rsid w:val="00E15D45"/>
    <w:rsid w:val="00E17744"/>
    <w:rsid w:val="00E17A71"/>
    <w:rsid w:val="00E20096"/>
    <w:rsid w:val="00E202FF"/>
    <w:rsid w:val="00E2077F"/>
    <w:rsid w:val="00E21696"/>
    <w:rsid w:val="00E21E81"/>
    <w:rsid w:val="00E228F4"/>
    <w:rsid w:val="00E2563C"/>
    <w:rsid w:val="00E256CB"/>
    <w:rsid w:val="00E259BE"/>
    <w:rsid w:val="00E25BB0"/>
    <w:rsid w:val="00E25ED0"/>
    <w:rsid w:val="00E32454"/>
    <w:rsid w:val="00E32D71"/>
    <w:rsid w:val="00E3319D"/>
    <w:rsid w:val="00E33A97"/>
    <w:rsid w:val="00E343DF"/>
    <w:rsid w:val="00E36250"/>
    <w:rsid w:val="00E3641E"/>
    <w:rsid w:val="00E36AD3"/>
    <w:rsid w:val="00E36F7F"/>
    <w:rsid w:val="00E379B4"/>
    <w:rsid w:val="00E37C75"/>
    <w:rsid w:val="00E40DF9"/>
    <w:rsid w:val="00E466EE"/>
    <w:rsid w:val="00E46AE9"/>
    <w:rsid w:val="00E47E35"/>
    <w:rsid w:val="00E506D5"/>
    <w:rsid w:val="00E50A87"/>
    <w:rsid w:val="00E50D8E"/>
    <w:rsid w:val="00E5421E"/>
    <w:rsid w:val="00E5537F"/>
    <w:rsid w:val="00E57D1F"/>
    <w:rsid w:val="00E61D7D"/>
    <w:rsid w:val="00E62540"/>
    <w:rsid w:val="00E62838"/>
    <w:rsid w:val="00E62EF9"/>
    <w:rsid w:val="00E637D9"/>
    <w:rsid w:val="00E662CC"/>
    <w:rsid w:val="00E665FC"/>
    <w:rsid w:val="00E67748"/>
    <w:rsid w:val="00E70F5D"/>
    <w:rsid w:val="00E71925"/>
    <w:rsid w:val="00E72954"/>
    <w:rsid w:val="00E72DE8"/>
    <w:rsid w:val="00E73C3F"/>
    <w:rsid w:val="00E75EBB"/>
    <w:rsid w:val="00E764EF"/>
    <w:rsid w:val="00E81B07"/>
    <w:rsid w:val="00E81FC4"/>
    <w:rsid w:val="00E82F66"/>
    <w:rsid w:val="00E83F5D"/>
    <w:rsid w:val="00E84704"/>
    <w:rsid w:val="00E8494F"/>
    <w:rsid w:val="00E84A0A"/>
    <w:rsid w:val="00E8583A"/>
    <w:rsid w:val="00E87557"/>
    <w:rsid w:val="00E87D74"/>
    <w:rsid w:val="00E91C7E"/>
    <w:rsid w:val="00E940AB"/>
    <w:rsid w:val="00E94B67"/>
    <w:rsid w:val="00E95B0C"/>
    <w:rsid w:val="00E96D00"/>
    <w:rsid w:val="00EA0226"/>
    <w:rsid w:val="00EA1205"/>
    <w:rsid w:val="00EA14E0"/>
    <w:rsid w:val="00EA154C"/>
    <w:rsid w:val="00EA190D"/>
    <w:rsid w:val="00EA1B4A"/>
    <w:rsid w:val="00EA1FD3"/>
    <w:rsid w:val="00EA2C04"/>
    <w:rsid w:val="00EA3922"/>
    <w:rsid w:val="00EA3B9C"/>
    <w:rsid w:val="00EA5DF7"/>
    <w:rsid w:val="00EA6A47"/>
    <w:rsid w:val="00EA7CEF"/>
    <w:rsid w:val="00EB2900"/>
    <w:rsid w:val="00EB5B28"/>
    <w:rsid w:val="00EB622B"/>
    <w:rsid w:val="00EB64A5"/>
    <w:rsid w:val="00EB6DF2"/>
    <w:rsid w:val="00EC2ABD"/>
    <w:rsid w:val="00EC30E1"/>
    <w:rsid w:val="00EC69A8"/>
    <w:rsid w:val="00ED2339"/>
    <w:rsid w:val="00ED2981"/>
    <w:rsid w:val="00ED2B63"/>
    <w:rsid w:val="00ED44EB"/>
    <w:rsid w:val="00ED5CEB"/>
    <w:rsid w:val="00ED60A7"/>
    <w:rsid w:val="00ED6AE7"/>
    <w:rsid w:val="00ED6E27"/>
    <w:rsid w:val="00ED79B6"/>
    <w:rsid w:val="00ED79D4"/>
    <w:rsid w:val="00ED7D91"/>
    <w:rsid w:val="00EE1736"/>
    <w:rsid w:val="00EE442E"/>
    <w:rsid w:val="00EE45F9"/>
    <w:rsid w:val="00EE4B0E"/>
    <w:rsid w:val="00EE5C01"/>
    <w:rsid w:val="00EE6A7F"/>
    <w:rsid w:val="00EE772D"/>
    <w:rsid w:val="00EF06BE"/>
    <w:rsid w:val="00EF27BD"/>
    <w:rsid w:val="00EF387B"/>
    <w:rsid w:val="00EF4769"/>
    <w:rsid w:val="00EF5B9B"/>
    <w:rsid w:val="00F0009F"/>
    <w:rsid w:val="00F00102"/>
    <w:rsid w:val="00F00B33"/>
    <w:rsid w:val="00F021AD"/>
    <w:rsid w:val="00F02984"/>
    <w:rsid w:val="00F02A72"/>
    <w:rsid w:val="00F02DED"/>
    <w:rsid w:val="00F03286"/>
    <w:rsid w:val="00F033A4"/>
    <w:rsid w:val="00F03625"/>
    <w:rsid w:val="00F05ED4"/>
    <w:rsid w:val="00F07821"/>
    <w:rsid w:val="00F07B4E"/>
    <w:rsid w:val="00F11420"/>
    <w:rsid w:val="00F11FEE"/>
    <w:rsid w:val="00F13F27"/>
    <w:rsid w:val="00F141C4"/>
    <w:rsid w:val="00F161A0"/>
    <w:rsid w:val="00F1744E"/>
    <w:rsid w:val="00F20509"/>
    <w:rsid w:val="00F22B5D"/>
    <w:rsid w:val="00F237F7"/>
    <w:rsid w:val="00F237F8"/>
    <w:rsid w:val="00F2437C"/>
    <w:rsid w:val="00F24624"/>
    <w:rsid w:val="00F27228"/>
    <w:rsid w:val="00F27C41"/>
    <w:rsid w:val="00F27E74"/>
    <w:rsid w:val="00F30217"/>
    <w:rsid w:val="00F30ACD"/>
    <w:rsid w:val="00F321B4"/>
    <w:rsid w:val="00F325D5"/>
    <w:rsid w:val="00F35980"/>
    <w:rsid w:val="00F35A9D"/>
    <w:rsid w:val="00F36896"/>
    <w:rsid w:val="00F36A05"/>
    <w:rsid w:val="00F36A82"/>
    <w:rsid w:val="00F376DE"/>
    <w:rsid w:val="00F3784D"/>
    <w:rsid w:val="00F40EE4"/>
    <w:rsid w:val="00F4334A"/>
    <w:rsid w:val="00F50447"/>
    <w:rsid w:val="00F5211E"/>
    <w:rsid w:val="00F526BF"/>
    <w:rsid w:val="00F52DF5"/>
    <w:rsid w:val="00F53B94"/>
    <w:rsid w:val="00F53BE9"/>
    <w:rsid w:val="00F55A69"/>
    <w:rsid w:val="00F56CAB"/>
    <w:rsid w:val="00F56D8B"/>
    <w:rsid w:val="00F57A20"/>
    <w:rsid w:val="00F61366"/>
    <w:rsid w:val="00F61A47"/>
    <w:rsid w:val="00F62979"/>
    <w:rsid w:val="00F641EC"/>
    <w:rsid w:val="00F64926"/>
    <w:rsid w:val="00F65F8C"/>
    <w:rsid w:val="00F66602"/>
    <w:rsid w:val="00F66CBF"/>
    <w:rsid w:val="00F671CE"/>
    <w:rsid w:val="00F7002A"/>
    <w:rsid w:val="00F71115"/>
    <w:rsid w:val="00F71415"/>
    <w:rsid w:val="00F72BB9"/>
    <w:rsid w:val="00F746F6"/>
    <w:rsid w:val="00F75795"/>
    <w:rsid w:val="00F774B1"/>
    <w:rsid w:val="00F77BE8"/>
    <w:rsid w:val="00F8107F"/>
    <w:rsid w:val="00F818F3"/>
    <w:rsid w:val="00F83DAE"/>
    <w:rsid w:val="00F84B6E"/>
    <w:rsid w:val="00F84CBF"/>
    <w:rsid w:val="00F85283"/>
    <w:rsid w:val="00F85AA7"/>
    <w:rsid w:val="00F860E7"/>
    <w:rsid w:val="00F91322"/>
    <w:rsid w:val="00F920A6"/>
    <w:rsid w:val="00F93563"/>
    <w:rsid w:val="00F939F5"/>
    <w:rsid w:val="00F97642"/>
    <w:rsid w:val="00FA0018"/>
    <w:rsid w:val="00FA0557"/>
    <w:rsid w:val="00FA0670"/>
    <w:rsid w:val="00FA09F1"/>
    <w:rsid w:val="00FA16DE"/>
    <w:rsid w:val="00FA2681"/>
    <w:rsid w:val="00FA3B03"/>
    <w:rsid w:val="00FA45B5"/>
    <w:rsid w:val="00FA5355"/>
    <w:rsid w:val="00FA5A79"/>
    <w:rsid w:val="00FA6F3F"/>
    <w:rsid w:val="00FB12A8"/>
    <w:rsid w:val="00FB1412"/>
    <w:rsid w:val="00FB258A"/>
    <w:rsid w:val="00FB2EDC"/>
    <w:rsid w:val="00FB3D08"/>
    <w:rsid w:val="00FB4720"/>
    <w:rsid w:val="00FB6984"/>
    <w:rsid w:val="00FC20B0"/>
    <w:rsid w:val="00FC2419"/>
    <w:rsid w:val="00FC31A4"/>
    <w:rsid w:val="00FC4DA4"/>
    <w:rsid w:val="00FC69D9"/>
    <w:rsid w:val="00FC6CA2"/>
    <w:rsid w:val="00FC7453"/>
    <w:rsid w:val="00FC7883"/>
    <w:rsid w:val="00FD160E"/>
    <w:rsid w:val="00FD1A7A"/>
    <w:rsid w:val="00FD3B3D"/>
    <w:rsid w:val="00FD3E33"/>
    <w:rsid w:val="00FD419A"/>
    <w:rsid w:val="00FD4641"/>
    <w:rsid w:val="00FD47F7"/>
    <w:rsid w:val="00FD4BCC"/>
    <w:rsid w:val="00FD52B0"/>
    <w:rsid w:val="00FD5E4E"/>
    <w:rsid w:val="00FD6FA1"/>
    <w:rsid w:val="00FE021F"/>
    <w:rsid w:val="00FE0E4A"/>
    <w:rsid w:val="00FE449B"/>
    <w:rsid w:val="00FE46B6"/>
    <w:rsid w:val="00FE49BE"/>
    <w:rsid w:val="00FE5BCA"/>
    <w:rsid w:val="00FF0715"/>
    <w:rsid w:val="00FF211B"/>
    <w:rsid w:val="00FF3972"/>
    <w:rsid w:val="00FF44EE"/>
    <w:rsid w:val="00FF4C76"/>
    <w:rsid w:val="00FF4E12"/>
    <w:rsid w:val="00FF4F99"/>
    <w:rsid w:val="00FF58B1"/>
    <w:rsid w:val="00FF6094"/>
    <w:rsid w:val="00FF688F"/>
    <w:rsid w:val="00FF7430"/>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9FCF0C"/>
  <w15:docId w15:val="{FC404437-72B1-4765-B4D4-F4FB84AB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BF"/>
    <w:pPr>
      <w:jc w:val="both"/>
    </w:pPr>
    <w:rPr>
      <w:rFonts w:ascii="Bookman Old Style" w:eastAsia="Times New Roman" w:hAnsi="Bookman Old Style"/>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833B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262CBF"/>
    <w:pPr>
      <w:keepNext/>
      <w:numPr>
        <w:numId w:val="2"/>
      </w:numPr>
      <w:tabs>
        <w:tab w:val="clear" w:pos="720"/>
      </w:tabs>
      <w:spacing w:before="360" w:after="240"/>
      <w:ind w:left="709" w:hanging="709"/>
      <w:outlineLvl w:val="4"/>
    </w:pPr>
    <w:rPr>
      <w:rFonts w:cs="Arial"/>
      <w:b/>
      <w:snapToGrid w:val="0"/>
      <w:color w:val="000000"/>
      <w:spacing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262CBF"/>
    <w:rPr>
      <w:rFonts w:ascii="Bookman Old Style" w:eastAsia="Times New Roman" w:hAnsi="Bookman Old Style" w:cs="Arial"/>
      <w:b/>
      <w:snapToGrid w:val="0"/>
      <w:color w:val="000000"/>
      <w:spacing w:val="20"/>
      <w:sz w:val="24"/>
      <w:szCs w:val="24"/>
      <w:lang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DC6599"/>
    <w:pPr>
      <w:numPr>
        <w:numId w:val="3"/>
      </w:numPr>
    </w:pPr>
    <w:rPr>
      <w:spacing w:val="-3"/>
      <w:szCs w:val="20"/>
      <w:lang w:val="es-CO"/>
    </w:rPr>
  </w:style>
  <w:style w:type="character" w:customStyle="1" w:styleId="PrrafodelistaCar">
    <w:name w:val="Párrafo de lista Car"/>
    <w:link w:val="Prrafodelista"/>
    <w:uiPriority w:val="34"/>
    <w:rsid w:val="00DC6599"/>
    <w:rPr>
      <w:rFonts w:ascii="Bookman Old Style" w:eastAsia="Times New Roman" w:hAnsi="Bookman Old Style"/>
      <w:spacing w:val="-3"/>
      <w:sz w:val="24"/>
      <w:lang w:eastAsia="es-ES"/>
    </w:rPr>
  </w:style>
  <w:style w:type="paragraph" w:styleId="Textodebloque">
    <w:name w:val="Block Text"/>
    <w:basedOn w:val="Normal"/>
    <w:uiPriority w:val="99"/>
    <w:rsid w:val="00445D79"/>
    <w:pPr>
      <w:suppressAutoHyphens/>
      <w:spacing w:after="240"/>
      <w:ind w:right="788"/>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fr,Ref"/>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
      </w:numPr>
      <w:adjustRightInd w:val="0"/>
      <w:spacing w:before="240" w:after="240"/>
      <w:textAlignment w:val="baseline"/>
      <w:outlineLvl w:val="0"/>
    </w:pPr>
    <w:rPr>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Subttulo">
    <w:name w:val="Subtitle"/>
    <w:basedOn w:val="Ttulo5"/>
    <w:next w:val="Normal"/>
    <w:link w:val="SubttuloCar"/>
    <w:uiPriority w:val="11"/>
    <w:qFormat/>
    <w:rsid w:val="00262CBF"/>
    <w:pPr>
      <w:numPr>
        <w:numId w:val="0"/>
      </w:numPr>
      <w:jc w:val="center"/>
    </w:pPr>
  </w:style>
  <w:style w:type="character" w:customStyle="1" w:styleId="SubttuloCar">
    <w:name w:val="Subtítulo Car"/>
    <w:basedOn w:val="Fuentedeprrafopredeter"/>
    <w:link w:val="Subttulo"/>
    <w:uiPriority w:val="11"/>
    <w:rsid w:val="00262CBF"/>
    <w:rPr>
      <w:rFonts w:ascii="Bookman Old Style" w:eastAsia="Times New Roman" w:hAnsi="Bookman Old Style" w:cs="Arial"/>
      <w:b/>
      <w:snapToGrid w:val="0"/>
      <w:color w:val="000000"/>
      <w:spacing w:val="20"/>
      <w:sz w:val="24"/>
      <w:szCs w:val="24"/>
      <w:lang w:eastAsia="es-ES"/>
    </w:rPr>
  </w:style>
  <w:style w:type="paragraph" w:styleId="Cita">
    <w:name w:val="Quote"/>
    <w:basedOn w:val="Normal"/>
    <w:next w:val="Normal"/>
    <w:link w:val="CitaCar"/>
    <w:uiPriority w:val="29"/>
    <w:qFormat/>
    <w:rsid w:val="00F55A69"/>
    <w:pPr>
      <w:spacing w:before="120" w:after="120"/>
      <w:ind w:left="567" w:right="567"/>
    </w:pPr>
    <w:rPr>
      <w:i/>
      <w:iCs/>
      <w:color w:val="000000" w:themeColor="text1"/>
      <w:sz w:val="20"/>
    </w:rPr>
  </w:style>
  <w:style w:type="character" w:customStyle="1" w:styleId="CitaCar">
    <w:name w:val="Cita Car"/>
    <w:basedOn w:val="Fuentedeprrafopredeter"/>
    <w:link w:val="Cita"/>
    <w:uiPriority w:val="29"/>
    <w:rsid w:val="00F55A69"/>
    <w:rPr>
      <w:rFonts w:ascii="Bookman Old Style" w:eastAsia="Times New Roman" w:hAnsi="Bookman Old Style"/>
      <w:i/>
      <w:iCs/>
      <w:color w:val="000000" w:themeColor="text1"/>
      <w:szCs w:val="24"/>
      <w:lang w:val="es-ES" w:eastAsia="es-ES"/>
    </w:rPr>
  </w:style>
  <w:style w:type="character" w:customStyle="1" w:styleId="CharStyle3">
    <w:name w:val="Char Style 3"/>
    <w:basedOn w:val="Fuentedeprrafopredeter"/>
    <w:uiPriority w:val="99"/>
    <w:locked/>
    <w:rsid w:val="00AE74EA"/>
    <w:rPr>
      <w:rFonts w:ascii="Arial" w:hAnsi="Arial" w:cs="Arial"/>
      <w:i/>
      <w:iCs/>
      <w:sz w:val="23"/>
      <w:szCs w:val="23"/>
      <w:u w:val="none"/>
    </w:rPr>
  </w:style>
  <w:style w:type="character" w:customStyle="1" w:styleId="CharStyle5">
    <w:name w:val="Char Style 5"/>
    <w:basedOn w:val="CharStyle3"/>
    <w:uiPriority w:val="99"/>
    <w:rsid w:val="00AE74EA"/>
    <w:rPr>
      <w:rFonts w:ascii="Arial" w:hAnsi="Arial" w:cs="Arial"/>
      <w:b/>
      <w:bCs/>
      <w:i/>
      <w:iCs/>
      <w:sz w:val="23"/>
      <w:szCs w:val="23"/>
      <w:u w:val="none"/>
    </w:rPr>
  </w:style>
  <w:style w:type="character" w:customStyle="1" w:styleId="CharStyle24">
    <w:name w:val="Char Style 24"/>
    <w:basedOn w:val="Fuentedeprrafopredeter"/>
    <w:uiPriority w:val="99"/>
    <w:rsid w:val="00AE74EA"/>
    <w:rPr>
      <w:rFonts w:ascii="Arial" w:hAnsi="Arial" w:cs="Arial"/>
      <w:b/>
      <w:bCs/>
      <w:i/>
      <w:iCs/>
      <w:sz w:val="13"/>
      <w:szCs w:val="13"/>
      <w:u w:val="none"/>
    </w:rPr>
  </w:style>
  <w:style w:type="character" w:customStyle="1" w:styleId="CharStyle20">
    <w:name w:val="Char Style 20"/>
    <w:basedOn w:val="Fuentedeprrafopredeter"/>
    <w:link w:val="Style19"/>
    <w:uiPriority w:val="99"/>
    <w:locked/>
    <w:rsid w:val="00702F9A"/>
    <w:rPr>
      <w:rFonts w:ascii="Arial" w:hAnsi="Arial" w:cs="Arial"/>
      <w:sz w:val="30"/>
      <w:szCs w:val="30"/>
      <w:shd w:val="clear" w:color="auto" w:fill="FFFFFF"/>
    </w:rPr>
  </w:style>
  <w:style w:type="character" w:customStyle="1" w:styleId="CharStyle86Exact">
    <w:name w:val="Char Style 86 Exact"/>
    <w:basedOn w:val="Fuentedeprrafopredeter"/>
    <w:link w:val="Style85"/>
    <w:uiPriority w:val="99"/>
    <w:locked/>
    <w:rsid w:val="00702F9A"/>
    <w:rPr>
      <w:rFonts w:ascii="Arial" w:hAnsi="Arial" w:cs="Arial"/>
      <w:b/>
      <w:bCs/>
      <w:spacing w:val="-3"/>
      <w:shd w:val="clear" w:color="auto" w:fill="FFFFFF"/>
    </w:rPr>
  </w:style>
  <w:style w:type="character" w:customStyle="1" w:styleId="CharStyle97Exact">
    <w:name w:val="Char Style 97 Exact"/>
    <w:basedOn w:val="Fuentedeprrafopredeter"/>
    <w:link w:val="Style96"/>
    <w:uiPriority w:val="99"/>
    <w:locked/>
    <w:rsid w:val="00702F9A"/>
    <w:rPr>
      <w:rFonts w:ascii="Arial" w:hAnsi="Arial" w:cs="Arial"/>
      <w:spacing w:val="-5"/>
      <w:sz w:val="22"/>
      <w:szCs w:val="22"/>
      <w:shd w:val="clear" w:color="auto" w:fill="FFFFFF"/>
    </w:rPr>
  </w:style>
  <w:style w:type="character" w:customStyle="1" w:styleId="CharStyle100Exact">
    <w:name w:val="Char Style 100 Exact"/>
    <w:basedOn w:val="Fuentedeprrafopredeter"/>
    <w:uiPriority w:val="99"/>
    <w:rsid w:val="00702F9A"/>
    <w:rPr>
      <w:rFonts w:ascii="Arial" w:hAnsi="Arial" w:cs="Arial"/>
      <w:spacing w:val="-5"/>
      <w:sz w:val="22"/>
      <w:szCs w:val="22"/>
      <w:u w:val="none"/>
    </w:rPr>
  </w:style>
  <w:style w:type="paragraph" w:customStyle="1" w:styleId="Style19">
    <w:name w:val="Style 19"/>
    <w:basedOn w:val="Normal"/>
    <w:link w:val="CharStyle20"/>
    <w:uiPriority w:val="99"/>
    <w:rsid w:val="00702F9A"/>
    <w:pPr>
      <w:widowControl w:val="0"/>
      <w:shd w:val="clear" w:color="auto" w:fill="FFFFFF"/>
      <w:spacing w:line="240" w:lineRule="atLeast"/>
      <w:ind w:hanging="380"/>
      <w:jc w:val="left"/>
    </w:pPr>
    <w:rPr>
      <w:rFonts w:ascii="Arial" w:eastAsia="Calibri" w:hAnsi="Arial" w:cs="Arial"/>
      <w:sz w:val="30"/>
      <w:szCs w:val="30"/>
      <w:lang w:val="es-CO" w:eastAsia="es-CO"/>
    </w:rPr>
  </w:style>
  <w:style w:type="paragraph" w:customStyle="1" w:styleId="Style85">
    <w:name w:val="Style 85"/>
    <w:basedOn w:val="Normal"/>
    <w:link w:val="CharStyle86Exact"/>
    <w:uiPriority w:val="99"/>
    <w:rsid w:val="00702F9A"/>
    <w:pPr>
      <w:widowControl w:val="0"/>
      <w:shd w:val="clear" w:color="auto" w:fill="FFFFFF"/>
      <w:spacing w:after="60" w:line="240" w:lineRule="atLeast"/>
      <w:jc w:val="right"/>
    </w:pPr>
    <w:rPr>
      <w:rFonts w:ascii="Arial" w:eastAsia="Calibri" w:hAnsi="Arial" w:cs="Arial"/>
      <w:b/>
      <w:bCs/>
      <w:spacing w:val="-3"/>
      <w:sz w:val="20"/>
      <w:szCs w:val="20"/>
      <w:lang w:val="es-CO" w:eastAsia="es-CO"/>
    </w:rPr>
  </w:style>
  <w:style w:type="paragraph" w:customStyle="1" w:styleId="Style96">
    <w:name w:val="Style 96"/>
    <w:basedOn w:val="Normal"/>
    <w:link w:val="CharStyle97Exact"/>
    <w:uiPriority w:val="99"/>
    <w:rsid w:val="00702F9A"/>
    <w:pPr>
      <w:widowControl w:val="0"/>
      <w:shd w:val="clear" w:color="auto" w:fill="FFFFFF"/>
      <w:spacing w:line="360" w:lineRule="exact"/>
    </w:pPr>
    <w:rPr>
      <w:rFonts w:ascii="Arial" w:eastAsia="Calibri" w:hAnsi="Arial" w:cs="Arial"/>
      <w:spacing w:val="-5"/>
      <w:sz w:val="22"/>
      <w:szCs w:val="22"/>
      <w:lang w:val="es-CO" w:eastAsia="es-CO"/>
    </w:rPr>
  </w:style>
  <w:style w:type="character" w:customStyle="1" w:styleId="CharStyle4">
    <w:name w:val="Char Style 4"/>
    <w:basedOn w:val="CharStyle3"/>
    <w:uiPriority w:val="99"/>
    <w:rsid w:val="00FF211B"/>
    <w:rPr>
      <w:rFonts w:ascii="Arial" w:hAnsi="Arial" w:cs="Arial"/>
      <w:i/>
      <w:iCs/>
      <w:sz w:val="23"/>
      <w:szCs w:val="23"/>
      <w:u w:val="none"/>
    </w:rPr>
  </w:style>
  <w:style w:type="character" w:customStyle="1" w:styleId="CharStyle7">
    <w:name w:val="Char Style 7"/>
    <w:basedOn w:val="Fuentedeprrafopredeter"/>
    <w:link w:val="Style6"/>
    <w:uiPriority w:val="99"/>
    <w:rsid w:val="00FF211B"/>
    <w:rPr>
      <w:i/>
      <w:iCs/>
      <w:sz w:val="23"/>
      <w:szCs w:val="23"/>
      <w:shd w:val="clear" w:color="auto" w:fill="FFFFFF"/>
    </w:rPr>
  </w:style>
  <w:style w:type="character" w:customStyle="1" w:styleId="CharStyle8">
    <w:name w:val="Char Style 8"/>
    <w:basedOn w:val="CharStyle7"/>
    <w:uiPriority w:val="99"/>
    <w:rsid w:val="00FF211B"/>
    <w:rPr>
      <w:i w:val="0"/>
      <w:iCs w:val="0"/>
      <w:sz w:val="23"/>
      <w:szCs w:val="23"/>
      <w:shd w:val="clear" w:color="auto" w:fill="FFFFFF"/>
    </w:rPr>
  </w:style>
  <w:style w:type="paragraph" w:customStyle="1" w:styleId="Style6">
    <w:name w:val="Style 6"/>
    <w:basedOn w:val="Normal"/>
    <w:link w:val="CharStyle7"/>
    <w:uiPriority w:val="99"/>
    <w:rsid w:val="00FF211B"/>
    <w:pPr>
      <w:widowControl w:val="0"/>
      <w:shd w:val="clear" w:color="auto" w:fill="FFFFFF"/>
      <w:spacing w:before="300" w:after="480" w:line="273" w:lineRule="exact"/>
      <w:ind w:hanging="360"/>
    </w:pPr>
    <w:rPr>
      <w:rFonts w:ascii="Calibri" w:eastAsia="Calibri" w:hAnsi="Calibri"/>
      <w:i/>
      <w:iCs/>
      <w:sz w:val="23"/>
      <w:szCs w:val="23"/>
      <w:lang w:val="es-CO" w:eastAsia="es-CO"/>
    </w:rPr>
  </w:style>
  <w:style w:type="character" w:customStyle="1" w:styleId="CharStyle10">
    <w:name w:val="Char Style 10"/>
    <w:basedOn w:val="CharStyle3"/>
    <w:uiPriority w:val="99"/>
    <w:rsid w:val="00FF211B"/>
    <w:rPr>
      <w:rFonts w:ascii="Arial" w:hAnsi="Arial" w:cs="Arial"/>
      <w:b/>
      <w:bCs/>
      <w:i w:val="0"/>
      <w:iCs w:val="0"/>
      <w:sz w:val="24"/>
      <w:szCs w:val="24"/>
      <w:u w:val="none"/>
    </w:rPr>
  </w:style>
  <w:style w:type="character" w:customStyle="1" w:styleId="CharStyle11">
    <w:name w:val="Char Style 11"/>
    <w:basedOn w:val="CharStyle3"/>
    <w:uiPriority w:val="99"/>
    <w:rsid w:val="009641D7"/>
    <w:rPr>
      <w:rFonts w:ascii="Arial" w:hAnsi="Arial" w:cs="Arial"/>
      <w:b/>
      <w:bCs/>
      <w:i w:val="0"/>
      <w:iCs w:val="0"/>
      <w:sz w:val="16"/>
      <w:szCs w:val="16"/>
      <w:u w:val="none"/>
    </w:rPr>
  </w:style>
  <w:style w:type="character" w:customStyle="1" w:styleId="CharStyle12">
    <w:name w:val="Char Style 12"/>
    <w:basedOn w:val="CharStyle3"/>
    <w:uiPriority w:val="99"/>
    <w:rsid w:val="009641D7"/>
    <w:rPr>
      <w:rFonts w:ascii="Arial" w:hAnsi="Arial" w:cs="Arial"/>
      <w:b/>
      <w:bCs/>
      <w:i w:val="0"/>
      <w:iCs w:val="0"/>
      <w:sz w:val="17"/>
      <w:szCs w:val="17"/>
      <w:u w:val="none"/>
    </w:rPr>
  </w:style>
  <w:style w:type="character" w:customStyle="1" w:styleId="CharStyle13">
    <w:name w:val="Char Style 13"/>
    <w:basedOn w:val="CharStyle3"/>
    <w:uiPriority w:val="99"/>
    <w:rsid w:val="009641D7"/>
    <w:rPr>
      <w:rFonts w:ascii="Arial" w:hAnsi="Arial" w:cs="Arial"/>
      <w:i w:val="0"/>
      <w:iCs w:val="0"/>
      <w:sz w:val="17"/>
      <w:szCs w:val="17"/>
      <w:u w:val="none"/>
    </w:rPr>
  </w:style>
  <w:style w:type="paragraph" w:styleId="Asuntodelcomentario">
    <w:name w:val="annotation subject"/>
    <w:basedOn w:val="Textocomentario"/>
    <w:next w:val="Textocomentario"/>
    <w:link w:val="AsuntodelcomentarioCar"/>
    <w:uiPriority w:val="99"/>
    <w:semiHidden/>
    <w:unhideWhenUsed/>
    <w:rsid w:val="003C4633"/>
    <w:rPr>
      <w:rFonts w:ascii="Bookman Old Style" w:hAnsi="Bookman Old Style"/>
      <w:b/>
      <w:bCs/>
      <w:lang w:val="es-ES"/>
    </w:rPr>
  </w:style>
  <w:style w:type="character" w:customStyle="1" w:styleId="AsuntodelcomentarioCar">
    <w:name w:val="Asunto del comentario Car"/>
    <w:basedOn w:val="TextocomentarioCar"/>
    <w:link w:val="Asuntodelcomentario"/>
    <w:uiPriority w:val="99"/>
    <w:semiHidden/>
    <w:rsid w:val="003C4633"/>
    <w:rPr>
      <w:rFonts w:ascii="Bookman Old Style" w:eastAsia="Times New Roman" w:hAnsi="Bookman Old Style" w:cs="Times New Roman"/>
      <w:b/>
      <w:bCs/>
      <w:sz w:val="20"/>
      <w:szCs w:val="20"/>
      <w:lang w:val="es-ES" w:eastAsia="es-ES"/>
    </w:rPr>
  </w:style>
  <w:style w:type="character" w:customStyle="1" w:styleId="CharStyle15">
    <w:name w:val="Char Style 15"/>
    <w:basedOn w:val="Fuentedeprrafopredeter"/>
    <w:link w:val="Style14"/>
    <w:uiPriority w:val="99"/>
    <w:rsid w:val="008D4CDB"/>
    <w:rPr>
      <w:rFonts w:ascii="Arial" w:hAnsi="Arial" w:cs="Arial"/>
      <w:b/>
      <w:bCs/>
      <w:sz w:val="22"/>
      <w:szCs w:val="22"/>
      <w:shd w:val="clear" w:color="auto" w:fill="FFFFFF"/>
    </w:rPr>
  </w:style>
  <w:style w:type="character" w:customStyle="1" w:styleId="CharStyle17">
    <w:name w:val="Char Style 17"/>
    <w:basedOn w:val="Fuentedeprrafopredeter"/>
    <w:link w:val="Style16"/>
    <w:uiPriority w:val="99"/>
    <w:rsid w:val="008D4CDB"/>
    <w:rPr>
      <w:rFonts w:ascii="Arial" w:hAnsi="Arial" w:cs="Arial"/>
      <w:b/>
      <w:bCs/>
      <w:sz w:val="22"/>
      <w:szCs w:val="22"/>
      <w:shd w:val="clear" w:color="auto" w:fill="FFFFFF"/>
    </w:rPr>
  </w:style>
  <w:style w:type="paragraph" w:customStyle="1" w:styleId="Style14">
    <w:name w:val="Style 14"/>
    <w:basedOn w:val="Normal"/>
    <w:link w:val="CharStyle15"/>
    <w:uiPriority w:val="99"/>
    <w:rsid w:val="008D4CDB"/>
    <w:pPr>
      <w:widowControl w:val="0"/>
      <w:shd w:val="clear" w:color="auto" w:fill="FFFFFF"/>
      <w:spacing w:line="340" w:lineRule="exact"/>
      <w:outlineLvl w:val="2"/>
    </w:pPr>
    <w:rPr>
      <w:rFonts w:ascii="Arial" w:eastAsia="Calibri" w:hAnsi="Arial" w:cs="Arial"/>
      <w:b/>
      <w:bCs/>
      <w:sz w:val="22"/>
      <w:szCs w:val="22"/>
      <w:lang w:val="es-CO" w:eastAsia="es-CO"/>
    </w:rPr>
  </w:style>
  <w:style w:type="paragraph" w:customStyle="1" w:styleId="Style16">
    <w:name w:val="Style 16"/>
    <w:basedOn w:val="Normal"/>
    <w:link w:val="CharStyle17"/>
    <w:uiPriority w:val="99"/>
    <w:rsid w:val="008D4CDB"/>
    <w:pPr>
      <w:widowControl w:val="0"/>
      <w:shd w:val="clear" w:color="auto" w:fill="FFFFFF"/>
      <w:spacing w:after="240" w:line="340" w:lineRule="exact"/>
      <w:outlineLvl w:val="2"/>
    </w:pPr>
    <w:rPr>
      <w:rFonts w:ascii="Arial" w:eastAsia="Calibri" w:hAnsi="Arial" w:cs="Arial"/>
      <w:b/>
      <w:bCs/>
      <w:sz w:val="22"/>
      <w:szCs w:val="22"/>
      <w:lang w:val="es-CO" w:eastAsia="es-CO"/>
    </w:rPr>
  </w:style>
  <w:style w:type="paragraph" w:styleId="Sangradetextonormal">
    <w:name w:val="Body Text Indent"/>
    <w:basedOn w:val="Normal"/>
    <w:link w:val="SangradetextonormalCar"/>
    <w:uiPriority w:val="99"/>
    <w:semiHidden/>
    <w:unhideWhenUsed/>
    <w:rsid w:val="00203042"/>
    <w:pPr>
      <w:spacing w:after="120"/>
      <w:ind w:left="283"/>
    </w:pPr>
  </w:style>
  <w:style w:type="character" w:customStyle="1" w:styleId="SangradetextonormalCar">
    <w:name w:val="Sangría de texto normal Car"/>
    <w:basedOn w:val="Fuentedeprrafopredeter"/>
    <w:link w:val="Sangradetextonormal"/>
    <w:uiPriority w:val="99"/>
    <w:semiHidden/>
    <w:rsid w:val="00203042"/>
    <w:rPr>
      <w:rFonts w:ascii="Bookman Old Style" w:eastAsia="Times New Roman" w:hAnsi="Bookman Old Style"/>
      <w:sz w:val="24"/>
      <w:szCs w:val="24"/>
      <w:lang w:val="es-ES" w:eastAsia="es-ES"/>
    </w:rPr>
  </w:style>
  <w:style w:type="paragraph" w:styleId="Textoindependiente2">
    <w:name w:val="Body Text 2"/>
    <w:basedOn w:val="Normal"/>
    <w:link w:val="Textoindependiente2Car"/>
    <w:uiPriority w:val="99"/>
    <w:unhideWhenUsed/>
    <w:rsid w:val="00FF58B1"/>
    <w:pPr>
      <w:spacing w:after="120" w:line="480" w:lineRule="auto"/>
      <w:ind w:left="567"/>
      <w:jc w:val="left"/>
    </w:pPr>
    <w:rPr>
      <w:rFonts w:ascii="Times New Roman" w:hAnsi="Times New Roman"/>
    </w:rPr>
  </w:style>
  <w:style w:type="character" w:customStyle="1" w:styleId="Textoindependiente2Car">
    <w:name w:val="Texto independiente 2 Car"/>
    <w:basedOn w:val="Fuentedeprrafopredeter"/>
    <w:link w:val="Textoindependiente2"/>
    <w:uiPriority w:val="99"/>
    <w:rsid w:val="00FF58B1"/>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9D6548"/>
    <w:rPr>
      <w:color w:val="0000FF" w:themeColor="hyperlink"/>
      <w:u w:val="single"/>
    </w:rPr>
  </w:style>
  <w:style w:type="character" w:customStyle="1" w:styleId="Ttulo2Car">
    <w:name w:val="Título 2 Car"/>
    <w:basedOn w:val="Fuentedeprrafopredeter"/>
    <w:link w:val="Ttulo2"/>
    <w:uiPriority w:val="9"/>
    <w:semiHidden/>
    <w:rsid w:val="00833BCC"/>
    <w:rPr>
      <w:rFonts w:asciiTheme="majorHAnsi" w:eastAsiaTheme="majorEastAsia" w:hAnsiTheme="majorHAnsi" w:cstheme="majorBidi"/>
      <w:color w:val="365F91" w:themeColor="accent1" w:themeShade="BF"/>
      <w:sz w:val="26"/>
      <w:szCs w:val="26"/>
      <w:lang w:val="es-ES" w:eastAsia="es-ES"/>
    </w:rPr>
  </w:style>
  <w:style w:type="character" w:customStyle="1" w:styleId="CharacterStyle1">
    <w:name w:val="Character Style 1"/>
    <w:uiPriority w:val="99"/>
    <w:rsid w:val="00EE442E"/>
    <w:rPr>
      <w:sz w:val="20"/>
    </w:rPr>
  </w:style>
  <w:style w:type="table" w:customStyle="1" w:styleId="Tablaconcuadrcula11">
    <w:name w:val="Tabla con cuadrícula11"/>
    <w:basedOn w:val="Tablanormal"/>
    <w:uiPriority w:val="59"/>
    <w:rsid w:val="00A34EB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uentedeprrafopredeter"/>
    <w:rsid w:val="005C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8520">
      <w:bodyDiv w:val="1"/>
      <w:marLeft w:val="0"/>
      <w:marRight w:val="0"/>
      <w:marTop w:val="0"/>
      <w:marBottom w:val="0"/>
      <w:divBdr>
        <w:top w:val="none" w:sz="0" w:space="0" w:color="auto"/>
        <w:left w:val="none" w:sz="0" w:space="0" w:color="auto"/>
        <w:bottom w:val="none" w:sz="0" w:space="0" w:color="auto"/>
        <w:right w:val="none" w:sz="0" w:space="0" w:color="auto"/>
      </w:divBdr>
    </w:div>
    <w:div w:id="204870723">
      <w:bodyDiv w:val="1"/>
      <w:marLeft w:val="0"/>
      <w:marRight w:val="0"/>
      <w:marTop w:val="0"/>
      <w:marBottom w:val="0"/>
      <w:divBdr>
        <w:top w:val="none" w:sz="0" w:space="0" w:color="auto"/>
        <w:left w:val="none" w:sz="0" w:space="0" w:color="auto"/>
        <w:bottom w:val="none" w:sz="0" w:space="0" w:color="auto"/>
        <w:right w:val="none" w:sz="0" w:space="0" w:color="auto"/>
      </w:divBdr>
    </w:div>
    <w:div w:id="232082980">
      <w:bodyDiv w:val="1"/>
      <w:marLeft w:val="0"/>
      <w:marRight w:val="0"/>
      <w:marTop w:val="0"/>
      <w:marBottom w:val="0"/>
      <w:divBdr>
        <w:top w:val="none" w:sz="0" w:space="0" w:color="auto"/>
        <w:left w:val="none" w:sz="0" w:space="0" w:color="auto"/>
        <w:bottom w:val="none" w:sz="0" w:space="0" w:color="auto"/>
        <w:right w:val="none" w:sz="0" w:space="0" w:color="auto"/>
      </w:divBdr>
    </w:div>
    <w:div w:id="438913400">
      <w:bodyDiv w:val="1"/>
      <w:marLeft w:val="0"/>
      <w:marRight w:val="0"/>
      <w:marTop w:val="0"/>
      <w:marBottom w:val="0"/>
      <w:divBdr>
        <w:top w:val="none" w:sz="0" w:space="0" w:color="auto"/>
        <w:left w:val="none" w:sz="0" w:space="0" w:color="auto"/>
        <w:bottom w:val="none" w:sz="0" w:space="0" w:color="auto"/>
        <w:right w:val="none" w:sz="0" w:space="0" w:color="auto"/>
      </w:divBdr>
    </w:div>
    <w:div w:id="464861148">
      <w:bodyDiv w:val="1"/>
      <w:marLeft w:val="0"/>
      <w:marRight w:val="0"/>
      <w:marTop w:val="0"/>
      <w:marBottom w:val="0"/>
      <w:divBdr>
        <w:top w:val="none" w:sz="0" w:space="0" w:color="auto"/>
        <w:left w:val="none" w:sz="0" w:space="0" w:color="auto"/>
        <w:bottom w:val="none" w:sz="0" w:space="0" w:color="auto"/>
        <w:right w:val="none" w:sz="0" w:space="0" w:color="auto"/>
      </w:divBdr>
    </w:div>
    <w:div w:id="676886207">
      <w:bodyDiv w:val="1"/>
      <w:marLeft w:val="0"/>
      <w:marRight w:val="0"/>
      <w:marTop w:val="0"/>
      <w:marBottom w:val="0"/>
      <w:divBdr>
        <w:top w:val="none" w:sz="0" w:space="0" w:color="auto"/>
        <w:left w:val="none" w:sz="0" w:space="0" w:color="auto"/>
        <w:bottom w:val="none" w:sz="0" w:space="0" w:color="auto"/>
        <w:right w:val="none" w:sz="0" w:space="0" w:color="auto"/>
      </w:divBdr>
    </w:div>
    <w:div w:id="694576960">
      <w:bodyDiv w:val="1"/>
      <w:marLeft w:val="0"/>
      <w:marRight w:val="0"/>
      <w:marTop w:val="0"/>
      <w:marBottom w:val="0"/>
      <w:divBdr>
        <w:top w:val="none" w:sz="0" w:space="0" w:color="auto"/>
        <w:left w:val="none" w:sz="0" w:space="0" w:color="auto"/>
        <w:bottom w:val="none" w:sz="0" w:space="0" w:color="auto"/>
        <w:right w:val="none" w:sz="0" w:space="0" w:color="auto"/>
      </w:divBdr>
    </w:div>
    <w:div w:id="697318549">
      <w:bodyDiv w:val="1"/>
      <w:marLeft w:val="0"/>
      <w:marRight w:val="0"/>
      <w:marTop w:val="0"/>
      <w:marBottom w:val="0"/>
      <w:divBdr>
        <w:top w:val="none" w:sz="0" w:space="0" w:color="auto"/>
        <w:left w:val="none" w:sz="0" w:space="0" w:color="auto"/>
        <w:bottom w:val="none" w:sz="0" w:space="0" w:color="auto"/>
        <w:right w:val="none" w:sz="0" w:space="0" w:color="auto"/>
      </w:divBdr>
    </w:div>
    <w:div w:id="744885891">
      <w:bodyDiv w:val="1"/>
      <w:marLeft w:val="0"/>
      <w:marRight w:val="0"/>
      <w:marTop w:val="0"/>
      <w:marBottom w:val="0"/>
      <w:divBdr>
        <w:top w:val="none" w:sz="0" w:space="0" w:color="auto"/>
        <w:left w:val="none" w:sz="0" w:space="0" w:color="auto"/>
        <w:bottom w:val="none" w:sz="0" w:space="0" w:color="auto"/>
        <w:right w:val="none" w:sz="0" w:space="0" w:color="auto"/>
      </w:divBdr>
    </w:div>
    <w:div w:id="750738933">
      <w:bodyDiv w:val="1"/>
      <w:marLeft w:val="0"/>
      <w:marRight w:val="0"/>
      <w:marTop w:val="0"/>
      <w:marBottom w:val="0"/>
      <w:divBdr>
        <w:top w:val="none" w:sz="0" w:space="0" w:color="auto"/>
        <w:left w:val="none" w:sz="0" w:space="0" w:color="auto"/>
        <w:bottom w:val="none" w:sz="0" w:space="0" w:color="auto"/>
        <w:right w:val="none" w:sz="0" w:space="0" w:color="auto"/>
      </w:divBdr>
    </w:div>
    <w:div w:id="814949374">
      <w:bodyDiv w:val="1"/>
      <w:marLeft w:val="0"/>
      <w:marRight w:val="0"/>
      <w:marTop w:val="0"/>
      <w:marBottom w:val="0"/>
      <w:divBdr>
        <w:top w:val="none" w:sz="0" w:space="0" w:color="auto"/>
        <w:left w:val="none" w:sz="0" w:space="0" w:color="auto"/>
        <w:bottom w:val="none" w:sz="0" w:space="0" w:color="auto"/>
        <w:right w:val="none" w:sz="0" w:space="0" w:color="auto"/>
      </w:divBdr>
    </w:div>
    <w:div w:id="868105565">
      <w:bodyDiv w:val="1"/>
      <w:marLeft w:val="0"/>
      <w:marRight w:val="0"/>
      <w:marTop w:val="0"/>
      <w:marBottom w:val="0"/>
      <w:divBdr>
        <w:top w:val="none" w:sz="0" w:space="0" w:color="auto"/>
        <w:left w:val="none" w:sz="0" w:space="0" w:color="auto"/>
        <w:bottom w:val="none" w:sz="0" w:space="0" w:color="auto"/>
        <w:right w:val="none" w:sz="0" w:space="0" w:color="auto"/>
      </w:divBdr>
    </w:div>
    <w:div w:id="897595825">
      <w:bodyDiv w:val="1"/>
      <w:marLeft w:val="0"/>
      <w:marRight w:val="0"/>
      <w:marTop w:val="0"/>
      <w:marBottom w:val="0"/>
      <w:divBdr>
        <w:top w:val="none" w:sz="0" w:space="0" w:color="auto"/>
        <w:left w:val="none" w:sz="0" w:space="0" w:color="auto"/>
        <w:bottom w:val="none" w:sz="0" w:space="0" w:color="auto"/>
        <w:right w:val="none" w:sz="0" w:space="0" w:color="auto"/>
      </w:divBdr>
    </w:div>
    <w:div w:id="990598059">
      <w:bodyDiv w:val="1"/>
      <w:marLeft w:val="0"/>
      <w:marRight w:val="0"/>
      <w:marTop w:val="0"/>
      <w:marBottom w:val="0"/>
      <w:divBdr>
        <w:top w:val="none" w:sz="0" w:space="0" w:color="auto"/>
        <w:left w:val="none" w:sz="0" w:space="0" w:color="auto"/>
        <w:bottom w:val="none" w:sz="0" w:space="0" w:color="auto"/>
        <w:right w:val="none" w:sz="0" w:space="0" w:color="auto"/>
      </w:divBdr>
    </w:div>
    <w:div w:id="1040982081">
      <w:bodyDiv w:val="1"/>
      <w:marLeft w:val="0"/>
      <w:marRight w:val="0"/>
      <w:marTop w:val="0"/>
      <w:marBottom w:val="0"/>
      <w:divBdr>
        <w:top w:val="none" w:sz="0" w:space="0" w:color="auto"/>
        <w:left w:val="none" w:sz="0" w:space="0" w:color="auto"/>
        <w:bottom w:val="none" w:sz="0" w:space="0" w:color="auto"/>
        <w:right w:val="none" w:sz="0" w:space="0" w:color="auto"/>
      </w:divBdr>
    </w:div>
    <w:div w:id="1100024691">
      <w:bodyDiv w:val="1"/>
      <w:marLeft w:val="0"/>
      <w:marRight w:val="0"/>
      <w:marTop w:val="0"/>
      <w:marBottom w:val="0"/>
      <w:divBdr>
        <w:top w:val="none" w:sz="0" w:space="0" w:color="auto"/>
        <w:left w:val="none" w:sz="0" w:space="0" w:color="auto"/>
        <w:bottom w:val="none" w:sz="0" w:space="0" w:color="auto"/>
        <w:right w:val="none" w:sz="0" w:space="0" w:color="auto"/>
      </w:divBdr>
    </w:div>
    <w:div w:id="1176454180">
      <w:bodyDiv w:val="1"/>
      <w:marLeft w:val="0"/>
      <w:marRight w:val="0"/>
      <w:marTop w:val="0"/>
      <w:marBottom w:val="0"/>
      <w:divBdr>
        <w:top w:val="none" w:sz="0" w:space="0" w:color="auto"/>
        <w:left w:val="none" w:sz="0" w:space="0" w:color="auto"/>
        <w:bottom w:val="none" w:sz="0" w:space="0" w:color="auto"/>
        <w:right w:val="none" w:sz="0" w:space="0" w:color="auto"/>
      </w:divBdr>
    </w:div>
    <w:div w:id="1208183919">
      <w:bodyDiv w:val="1"/>
      <w:marLeft w:val="0"/>
      <w:marRight w:val="0"/>
      <w:marTop w:val="0"/>
      <w:marBottom w:val="0"/>
      <w:divBdr>
        <w:top w:val="none" w:sz="0" w:space="0" w:color="auto"/>
        <w:left w:val="none" w:sz="0" w:space="0" w:color="auto"/>
        <w:bottom w:val="none" w:sz="0" w:space="0" w:color="auto"/>
        <w:right w:val="none" w:sz="0" w:space="0" w:color="auto"/>
      </w:divBdr>
    </w:div>
    <w:div w:id="1274169508">
      <w:bodyDiv w:val="1"/>
      <w:marLeft w:val="0"/>
      <w:marRight w:val="0"/>
      <w:marTop w:val="0"/>
      <w:marBottom w:val="0"/>
      <w:divBdr>
        <w:top w:val="none" w:sz="0" w:space="0" w:color="auto"/>
        <w:left w:val="none" w:sz="0" w:space="0" w:color="auto"/>
        <w:bottom w:val="none" w:sz="0" w:space="0" w:color="auto"/>
        <w:right w:val="none" w:sz="0" w:space="0" w:color="auto"/>
      </w:divBdr>
    </w:div>
    <w:div w:id="1348872056">
      <w:bodyDiv w:val="1"/>
      <w:marLeft w:val="0"/>
      <w:marRight w:val="0"/>
      <w:marTop w:val="0"/>
      <w:marBottom w:val="0"/>
      <w:divBdr>
        <w:top w:val="none" w:sz="0" w:space="0" w:color="auto"/>
        <w:left w:val="none" w:sz="0" w:space="0" w:color="auto"/>
        <w:bottom w:val="none" w:sz="0" w:space="0" w:color="auto"/>
        <w:right w:val="none" w:sz="0" w:space="0" w:color="auto"/>
      </w:divBdr>
    </w:div>
    <w:div w:id="1378815941">
      <w:bodyDiv w:val="1"/>
      <w:marLeft w:val="0"/>
      <w:marRight w:val="0"/>
      <w:marTop w:val="0"/>
      <w:marBottom w:val="0"/>
      <w:divBdr>
        <w:top w:val="none" w:sz="0" w:space="0" w:color="auto"/>
        <w:left w:val="none" w:sz="0" w:space="0" w:color="auto"/>
        <w:bottom w:val="none" w:sz="0" w:space="0" w:color="auto"/>
        <w:right w:val="none" w:sz="0" w:space="0" w:color="auto"/>
      </w:divBdr>
    </w:div>
    <w:div w:id="1392537879">
      <w:bodyDiv w:val="1"/>
      <w:marLeft w:val="0"/>
      <w:marRight w:val="0"/>
      <w:marTop w:val="0"/>
      <w:marBottom w:val="0"/>
      <w:divBdr>
        <w:top w:val="none" w:sz="0" w:space="0" w:color="auto"/>
        <w:left w:val="none" w:sz="0" w:space="0" w:color="auto"/>
        <w:bottom w:val="none" w:sz="0" w:space="0" w:color="auto"/>
        <w:right w:val="none" w:sz="0" w:space="0" w:color="auto"/>
      </w:divBdr>
    </w:div>
    <w:div w:id="1416128026">
      <w:bodyDiv w:val="1"/>
      <w:marLeft w:val="0"/>
      <w:marRight w:val="0"/>
      <w:marTop w:val="0"/>
      <w:marBottom w:val="0"/>
      <w:divBdr>
        <w:top w:val="none" w:sz="0" w:space="0" w:color="auto"/>
        <w:left w:val="none" w:sz="0" w:space="0" w:color="auto"/>
        <w:bottom w:val="none" w:sz="0" w:space="0" w:color="auto"/>
        <w:right w:val="none" w:sz="0" w:space="0" w:color="auto"/>
      </w:divBdr>
    </w:div>
    <w:div w:id="1514296974">
      <w:bodyDiv w:val="1"/>
      <w:marLeft w:val="0"/>
      <w:marRight w:val="0"/>
      <w:marTop w:val="0"/>
      <w:marBottom w:val="0"/>
      <w:divBdr>
        <w:top w:val="none" w:sz="0" w:space="0" w:color="auto"/>
        <w:left w:val="none" w:sz="0" w:space="0" w:color="auto"/>
        <w:bottom w:val="none" w:sz="0" w:space="0" w:color="auto"/>
        <w:right w:val="none" w:sz="0" w:space="0" w:color="auto"/>
      </w:divBdr>
    </w:div>
    <w:div w:id="1695956055">
      <w:bodyDiv w:val="1"/>
      <w:marLeft w:val="0"/>
      <w:marRight w:val="0"/>
      <w:marTop w:val="0"/>
      <w:marBottom w:val="0"/>
      <w:divBdr>
        <w:top w:val="none" w:sz="0" w:space="0" w:color="auto"/>
        <w:left w:val="none" w:sz="0" w:space="0" w:color="auto"/>
        <w:bottom w:val="none" w:sz="0" w:space="0" w:color="auto"/>
        <w:right w:val="none" w:sz="0" w:space="0" w:color="auto"/>
      </w:divBdr>
    </w:div>
    <w:div w:id="1722316597">
      <w:bodyDiv w:val="1"/>
      <w:marLeft w:val="0"/>
      <w:marRight w:val="0"/>
      <w:marTop w:val="0"/>
      <w:marBottom w:val="0"/>
      <w:divBdr>
        <w:top w:val="none" w:sz="0" w:space="0" w:color="auto"/>
        <w:left w:val="none" w:sz="0" w:space="0" w:color="auto"/>
        <w:bottom w:val="none" w:sz="0" w:space="0" w:color="auto"/>
        <w:right w:val="none" w:sz="0" w:space="0" w:color="auto"/>
      </w:divBdr>
    </w:div>
    <w:div w:id="1747069313">
      <w:bodyDiv w:val="1"/>
      <w:marLeft w:val="0"/>
      <w:marRight w:val="0"/>
      <w:marTop w:val="0"/>
      <w:marBottom w:val="0"/>
      <w:divBdr>
        <w:top w:val="none" w:sz="0" w:space="0" w:color="auto"/>
        <w:left w:val="none" w:sz="0" w:space="0" w:color="auto"/>
        <w:bottom w:val="none" w:sz="0" w:space="0" w:color="auto"/>
        <w:right w:val="none" w:sz="0" w:space="0" w:color="auto"/>
      </w:divBdr>
    </w:div>
    <w:div w:id="1778408399">
      <w:bodyDiv w:val="1"/>
      <w:marLeft w:val="0"/>
      <w:marRight w:val="0"/>
      <w:marTop w:val="0"/>
      <w:marBottom w:val="0"/>
      <w:divBdr>
        <w:top w:val="none" w:sz="0" w:space="0" w:color="auto"/>
        <w:left w:val="none" w:sz="0" w:space="0" w:color="auto"/>
        <w:bottom w:val="none" w:sz="0" w:space="0" w:color="auto"/>
        <w:right w:val="none" w:sz="0" w:space="0" w:color="auto"/>
      </w:divBdr>
    </w:div>
    <w:div w:id="1900628545">
      <w:bodyDiv w:val="1"/>
      <w:marLeft w:val="0"/>
      <w:marRight w:val="0"/>
      <w:marTop w:val="0"/>
      <w:marBottom w:val="0"/>
      <w:divBdr>
        <w:top w:val="none" w:sz="0" w:space="0" w:color="auto"/>
        <w:left w:val="none" w:sz="0" w:space="0" w:color="auto"/>
        <w:bottom w:val="none" w:sz="0" w:space="0" w:color="auto"/>
        <w:right w:val="none" w:sz="0" w:space="0" w:color="auto"/>
      </w:divBdr>
    </w:div>
    <w:div w:id="1949967545">
      <w:bodyDiv w:val="1"/>
      <w:marLeft w:val="0"/>
      <w:marRight w:val="0"/>
      <w:marTop w:val="0"/>
      <w:marBottom w:val="0"/>
      <w:divBdr>
        <w:top w:val="none" w:sz="0" w:space="0" w:color="auto"/>
        <w:left w:val="none" w:sz="0" w:space="0" w:color="auto"/>
        <w:bottom w:val="none" w:sz="0" w:space="0" w:color="auto"/>
        <w:right w:val="none" w:sz="0" w:space="0" w:color="auto"/>
      </w:divBdr>
    </w:div>
    <w:div w:id="1956787893">
      <w:bodyDiv w:val="1"/>
      <w:marLeft w:val="0"/>
      <w:marRight w:val="0"/>
      <w:marTop w:val="0"/>
      <w:marBottom w:val="0"/>
      <w:divBdr>
        <w:top w:val="none" w:sz="0" w:space="0" w:color="auto"/>
        <w:left w:val="none" w:sz="0" w:space="0" w:color="auto"/>
        <w:bottom w:val="none" w:sz="0" w:space="0" w:color="auto"/>
        <w:right w:val="none" w:sz="0" w:space="0" w:color="auto"/>
      </w:divBdr>
    </w:div>
    <w:div w:id="208263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CA9682-7930-4F24-97F7-273651EAA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1943</Words>
  <Characters>10689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Jose Chaux Donado</dc:creator>
  <cp:lastModifiedBy>Luz Stella Rojas Macias</cp:lastModifiedBy>
  <cp:revision>2</cp:revision>
  <cp:lastPrinted>2017-02-07T19:55:00Z</cp:lastPrinted>
  <dcterms:created xsi:type="dcterms:W3CDTF">2017-09-04T16:11:00Z</dcterms:created>
  <dcterms:modified xsi:type="dcterms:W3CDTF">2017-09-04T16:11:00Z</dcterms:modified>
</cp:coreProperties>
</file>