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832BF4" w:rsidRDefault="004C052B"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423920510" r:id="rId9"/>
        </w:pict>
      </w:r>
    </w:p>
    <w:p w:rsidR="00625DC6" w:rsidRPr="00832BF4"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832BF4" w:rsidRDefault="00CA77FB" w:rsidP="00012259">
      <w:pPr>
        <w:pStyle w:val="Ttulo4"/>
        <w:tabs>
          <w:tab w:val="left" w:pos="0"/>
          <w:tab w:val="right" w:pos="9356"/>
        </w:tabs>
        <w:ind w:left="0"/>
        <w:rPr>
          <w:rFonts w:ascii="Bookman Old Style" w:hAnsi="Bookman Old Style"/>
          <w:b w:val="0"/>
          <w:bCs/>
          <w:noProof/>
          <w:sz w:val="24"/>
          <w:szCs w:val="24"/>
          <w:lang w:val="es-ES"/>
        </w:rPr>
      </w:pPr>
      <w:r w:rsidRPr="00832BF4">
        <w:rPr>
          <w:rFonts w:ascii="Bookman Old Style" w:hAnsi="Bookman Old Style"/>
          <w:b w:val="0"/>
          <w:bCs/>
          <w:sz w:val="24"/>
          <w:szCs w:val="24"/>
        </w:rPr>
        <w:t>Ministerio de Minas y Energía</w:t>
      </w:r>
    </w:p>
    <w:p w:rsidR="00CA77FB" w:rsidRPr="00832BF4" w:rsidRDefault="00CA77FB" w:rsidP="00012259">
      <w:pPr>
        <w:pStyle w:val="Ttulo4"/>
        <w:tabs>
          <w:tab w:val="left" w:pos="0"/>
          <w:tab w:val="right" w:pos="9356"/>
        </w:tabs>
        <w:ind w:left="0"/>
        <w:rPr>
          <w:rFonts w:ascii="Bookman Old Style" w:hAnsi="Bookman Old Style"/>
          <w:b w:val="0"/>
          <w:bCs/>
          <w:sz w:val="24"/>
          <w:szCs w:val="24"/>
        </w:rPr>
      </w:pPr>
    </w:p>
    <w:p w:rsidR="00CA77FB" w:rsidRPr="00832BF4" w:rsidRDefault="00CA77FB" w:rsidP="00012259">
      <w:pPr>
        <w:pStyle w:val="Ttulo3"/>
        <w:tabs>
          <w:tab w:val="left" w:pos="0"/>
          <w:tab w:val="right" w:pos="9356"/>
        </w:tabs>
        <w:ind w:left="0"/>
        <w:rPr>
          <w:rFonts w:ascii="Bookman Old Style" w:hAnsi="Bookman Old Style" w:cs="Arial"/>
          <w:spacing w:val="20"/>
          <w:szCs w:val="24"/>
        </w:rPr>
      </w:pPr>
      <w:r w:rsidRPr="00832BF4">
        <w:rPr>
          <w:rFonts w:ascii="Bookman Old Style" w:hAnsi="Bookman Old Style" w:cs="Arial"/>
          <w:spacing w:val="20"/>
          <w:szCs w:val="24"/>
        </w:rPr>
        <w:t>COMISIÓN DE REGULACIÓN DE ENERGÍA Y GAS</w:t>
      </w:r>
    </w:p>
    <w:p w:rsidR="00CA77FB" w:rsidRPr="00832BF4" w:rsidRDefault="00CA77FB" w:rsidP="00012259">
      <w:pPr>
        <w:pStyle w:val="Ttulo5"/>
        <w:tabs>
          <w:tab w:val="left" w:pos="0"/>
          <w:tab w:val="right" w:pos="9356"/>
        </w:tabs>
        <w:ind w:left="0"/>
        <w:rPr>
          <w:rFonts w:ascii="Bookman Old Style" w:hAnsi="Bookman Old Style"/>
          <w:sz w:val="24"/>
          <w:szCs w:val="24"/>
        </w:rPr>
      </w:pPr>
    </w:p>
    <w:p w:rsidR="00CA77FB" w:rsidRPr="00832BF4" w:rsidRDefault="00CA77FB" w:rsidP="00012259">
      <w:pPr>
        <w:pStyle w:val="Ttulo5"/>
        <w:tabs>
          <w:tab w:val="left" w:pos="0"/>
          <w:tab w:val="right" w:pos="9356"/>
        </w:tabs>
        <w:ind w:left="0"/>
        <w:rPr>
          <w:rFonts w:ascii="Bookman Old Style" w:hAnsi="Bookman Old Style"/>
          <w:sz w:val="24"/>
          <w:szCs w:val="24"/>
        </w:rPr>
      </w:pPr>
    </w:p>
    <w:p w:rsidR="00CA77FB" w:rsidRPr="00832BF4" w:rsidRDefault="00CA77FB" w:rsidP="00012259">
      <w:pPr>
        <w:pStyle w:val="Ttulo5"/>
        <w:tabs>
          <w:tab w:val="left" w:pos="0"/>
          <w:tab w:val="right" w:pos="9356"/>
        </w:tabs>
        <w:ind w:left="0"/>
        <w:rPr>
          <w:rFonts w:ascii="Bookman Old Style" w:hAnsi="Bookman Old Style"/>
          <w:sz w:val="24"/>
          <w:szCs w:val="24"/>
        </w:rPr>
      </w:pPr>
      <w:r w:rsidRPr="00832BF4">
        <w:rPr>
          <w:rFonts w:ascii="Bookman Old Style" w:hAnsi="Bookman Old Style"/>
          <w:sz w:val="24"/>
          <w:szCs w:val="24"/>
        </w:rPr>
        <w:t xml:space="preserve">RESOLUCIÓN No. </w:t>
      </w:r>
      <w:r w:rsidR="00795BFB" w:rsidRPr="00832BF4">
        <w:rPr>
          <w:rFonts w:ascii="Bookman Old Style" w:hAnsi="Bookman Old Style"/>
          <w:sz w:val="24"/>
          <w:szCs w:val="24"/>
        </w:rPr>
        <w:t xml:space="preserve">                  </w:t>
      </w:r>
      <w:r w:rsidRPr="00832BF4">
        <w:rPr>
          <w:rFonts w:ascii="Bookman Old Style" w:hAnsi="Bookman Old Style"/>
          <w:sz w:val="24"/>
          <w:szCs w:val="24"/>
        </w:rPr>
        <w:t>DE 20</w:t>
      </w:r>
      <w:r w:rsidR="00795BFB" w:rsidRPr="00832BF4">
        <w:rPr>
          <w:rFonts w:ascii="Bookman Old Style" w:hAnsi="Bookman Old Style"/>
          <w:sz w:val="24"/>
          <w:szCs w:val="24"/>
        </w:rPr>
        <w:t>1</w:t>
      </w:r>
      <w:r w:rsidR="002C7857">
        <w:rPr>
          <w:rFonts w:ascii="Bookman Old Style" w:hAnsi="Bookman Old Style"/>
          <w:sz w:val="24"/>
          <w:szCs w:val="24"/>
        </w:rPr>
        <w:t>3</w:t>
      </w:r>
    </w:p>
    <w:p w:rsidR="00CA77FB" w:rsidRPr="00832BF4"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832BF4" w:rsidRDefault="00CA77FB" w:rsidP="00012259">
      <w:pPr>
        <w:pStyle w:val="Ttulo3"/>
        <w:tabs>
          <w:tab w:val="left" w:pos="0"/>
          <w:tab w:val="right" w:pos="9356"/>
        </w:tabs>
        <w:ind w:left="0"/>
        <w:rPr>
          <w:rFonts w:ascii="Bookman Old Style" w:hAnsi="Bookman Old Style"/>
          <w:b w:val="0"/>
          <w:szCs w:val="24"/>
        </w:rPr>
      </w:pPr>
      <w:r w:rsidRPr="00832BF4">
        <w:rPr>
          <w:rFonts w:ascii="Bookman Old Style" w:hAnsi="Bookman Old Style"/>
          <w:b w:val="0"/>
          <w:szCs w:val="24"/>
        </w:rPr>
        <w:t>(                                  )</w:t>
      </w:r>
    </w:p>
    <w:p w:rsidR="00CA77FB" w:rsidRPr="00832BF4" w:rsidRDefault="00CA77FB" w:rsidP="00012259">
      <w:pPr>
        <w:tabs>
          <w:tab w:val="left" w:pos="0"/>
          <w:tab w:val="right" w:pos="9356"/>
        </w:tabs>
        <w:ind w:left="0"/>
        <w:jc w:val="center"/>
        <w:rPr>
          <w:rFonts w:ascii="Bookman Old Style" w:hAnsi="Bookman Old Style"/>
          <w:lang w:val="es-ES_tradnl"/>
        </w:rPr>
      </w:pPr>
    </w:p>
    <w:p w:rsidR="00832BF4" w:rsidRDefault="00832BF4" w:rsidP="00012259">
      <w:pPr>
        <w:tabs>
          <w:tab w:val="left" w:pos="0"/>
          <w:tab w:val="right" w:pos="9356"/>
        </w:tabs>
        <w:ind w:left="0"/>
        <w:jc w:val="center"/>
        <w:rPr>
          <w:rFonts w:ascii="Bookman Old Style" w:hAnsi="Bookman Old Style"/>
          <w:lang w:val="es-ES_tradnl"/>
        </w:rPr>
      </w:pPr>
    </w:p>
    <w:p w:rsidR="00C5485C" w:rsidRDefault="00C5485C" w:rsidP="00012259">
      <w:pPr>
        <w:tabs>
          <w:tab w:val="left" w:pos="0"/>
          <w:tab w:val="right" w:pos="9356"/>
        </w:tabs>
        <w:ind w:left="0"/>
        <w:jc w:val="center"/>
        <w:rPr>
          <w:rFonts w:ascii="Bookman Old Style" w:hAnsi="Bookman Old Style"/>
          <w:lang w:val="es-ES_tradnl"/>
        </w:rPr>
      </w:pPr>
    </w:p>
    <w:p w:rsidR="00C5485C" w:rsidRPr="00832BF4" w:rsidRDefault="00C5485C" w:rsidP="00012259">
      <w:pPr>
        <w:tabs>
          <w:tab w:val="left" w:pos="0"/>
          <w:tab w:val="right" w:pos="9356"/>
        </w:tabs>
        <w:ind w:left="0"/>
        <w:jc w:val="center"/>
        <w:rPr>
          <w:rFonts w:ascii="Bookman Old Style" w:hAnsi="Bookman Old Style"/>
          <w:lang w:val="es-ES_tradnl"/>
        </w:rPr>
      </w:pPr>
    </w:p>
    <w:p w:rsidR="00895BC5" w:rsidRPr="00832BF4" w:rsidRDefault="00895BC5" w:rsidP="00832BF4">
      <w:pPr>
        <w:pStyle w:val="Textodebloque"/>
        <w:spacing w:after="0"/>
        <w:ind w:left="0" w:right="142"/>
        <w:jc w:val="center"/>
        <w:rPr>
          <w:rFonts w:ascii="Bookman Old Style" w:hAnsi="Bookman Old Style" w:cs="Arial"/>
          <w:szCs w:val="24"/>
        </w:rPr>
      </w:pPr>
      <w:r w:rsidRPr="00832BF4">
        <w:rPr>
          <w:rFonts w:ascii="Bookman Old Style" w:hAnsi="Bookman Old Style" w:cs="Arial"/>
          <w:szCs w:val="24"/>
        </w:rPr>
        <w:t>Por la cual se aprueba</w:t>
      </w:r>
      <w:r w:rsidR="000F624B">
        <w:rPr>
          <w:rFonts w:ascii="Bookman Old Style" w:hAnsi="Bookman Old Style" w:cs="Arial"/>
          <w:szCs w:val="24"/>
        </w:rPr>
        <w:t>n</w:t>
      </w:r>
      <w:r w:rsidRPr="00832BF4">
        <w:rPr>
          <w:rFonts w:ascii="Bookman Old Style" w:hAnsi="Bookman Old Style" w:cs="Arial"/>
          <w:szCs w:val="24"/>
        </w:rPr>
        <w:t xml:space="preserve"> el factor de riesgo de cartera y </w:t>
      </w:r>
      <w:r w:rsidR="00A423C6" w:rsidRPr="00832BF4">
        <w:rPr>
          <w:rFonts w:ascii="Bookman Old Style" w:hAnsi="Bookman Old Style" w:cs="Arial"/>
          <w:szCs w:val="24"/>
        </w:rPr>
        <w:t>el cargo de comercialización aplicable</w:t>
      </w:r>
      <w:r w:rsidR="00832BF4" w:rsidRPr="00832BF4">
        <w:rPr>
          <w:rFonts w:ascii="Bookman Old Style" w:hAnsi="Bookman Old Style" w:cs="Arial"/>
          <w:szCs w:val="24"/>
        </w:rPr>
        <w:t>s</w:t>
      </w:r>
      <w:r w:rsidR="00A423C6" w:rsidRPr="00832BF4">
        <w:rPr>
          <w:rFonts w:ascii="Bookman Old Style" w:hAnsi="Bookman Old Style" w:cs="Arial"/>
          <w:szCs w:val="24"/>
        </w:rPr>
        <w:t xml:space="preserve"> </w:t>
      </w:r>
      <w:r w:rsidR="006E7F70">
        <w:rPr>
          <w:rFonts w:ascii="Bookman Old Style" w:hAnsi="Bookman Old Style" w:cs="Arial"/>
          <w:szCs w:val="24"/>
        </w:rPr>
        <w:t>en el año 201</w:t>
      </w:r>
      <w:r w:rsidR="002C7857">
        <w:rPr>
          <w:rFonts w:ascii="Bookman Old Style" w:hAnsi="Bookman Old Style" w:cs="Arial"/>
          <w:szCs w:val="24"/>
        </w:rPr>
        <w:t>3</w:t>
      </w:r>
      <w:r w:rsidR="006E7F70">
        <w:rPr>
          <w:rFonts w:ascii="Bookman Old Style" w:hAnsi="Bookman Old Style" w:cs="Arial"/>
          <w:szCs w:val="24"/>
        </w:rPr>
        <w:t xml:space="preserve"> al conjunto de barrios subnormales atendidos </w:t>
      </w:r>
      <w:r w:rsidR="00832BF4" w:rsidRPr="00832BF4">
        <w:rPr>
          <w:rFonts w:ascii="Bookman Old Style" w:hAnsi="Bookman Old Style" w:cs="Arial"/>
          <w:szCs w:val="24"/>
        </w:rPr>
        <w:t>p</w:t>
      </w:r>
      <w:r w:rsidR="006E7F70">
        <w:rPr>
          <w:rFonts w:ascii="Bookman Old Style" w:hAnsi="Bookman Old Style" w:cs="Arial"/>
          <w:szCs w:val="24"/>
        </w:rPr>
        <w:t>or</w:t>
      </w:r>
      <w:r w:rsidR="00A423C6" w:rsidRPr="00832BF4">
        <w:rPr>
          <w:rFonts w:ascii="Bookman Old Style" w:hAnsi="Bookman Old Style" w:cs="Arial"/>
          <w:szCs w:val="24"/>
        </w:rPr>
        <w:t xml:space="preserve"> la empresa Energía Social de La Costa S.A. E.S.P.</w:t>
      </w:r>
    </w:p>
    <w:p w:rsidR="00045D3D" w:rsidRPr="00832BF4" w:rsidRDefault="00045D3D" w:rsidP="00045D3D">
      <w:pPr>
        <w:ind w:right="51"/>
        <w:rPr>
          <w:rFonts w:ascii="Bookman Old Style" w:hAnsi="Bookman Old Style"/>
        </w:rPr>
      </w:pPr>
    </w:p>
    <w:p w:rsidR="00895BC5" w:rsidRPr="00832BF4" w:rsidRDefault="00895BC5" w:rsidP="00045D3D">
      <w:pPr>
        <w:ind w:right="51"/>
        <w:rPr>
          <w:rFonts w:ascii="Bookman Old Style" w:hAnsi="Bookman Old Style"/>
        </w:rPr>
      </w:pPr>
    </w:p>
    <w:p w:rsidR="00045D3D" w:rsidRPr="00832BF4" w:rsidRDefault="00045D3D" w:rsidP="00895BC5">
      <w:pPr>
        <w:ind w:left="0" w:right="51"/>
        <w:jc w:val="center"/>
        <w:rPr>
          <w:rFonts w:ascii="Bookman Old Style" w:hAnsi="Bookman Old Style"/>
          <w:b/>
        </w:rPr>
      </w:pPr>
      <w:r w:rsidRPr="00832BF4">
        <w:rPr>
          <w:rFonts w:ascii="Bookman Old Style" w:hAnsi="Bookman Old Style"/>
          <w:b/>
        </w:rPr>
        <w:t>LA COMISIÓN DE REGULACIÓN DE ENERGÍA Y GAS</w:t>
      </w:r>
    </w:p>
    <w:p w:rsidR="00045D3D" w:rsidRPr="00832BF4" w:rsidRDefault="00045D3D" w:rsidP="00045D3D">
      <w:pPr>
        <w:ind w:left="0" w:right="51"/>
        <w:rPr>
          <w:rFonts w:ascii="Bookman Old Style" w:hAnsi="Bookman Old Style"/>
        </w:rPr>
      </w:pPr>
    </w:p>
    <w:p w:rsidR="00045D3D" w:rsidRPr="00832BF4" w:rsidRDefault="00045D3D" w:rsidP="00045D3D">
      <w:pPr>
        <w:ind w:left="0" w:right="51"/>
        <w:rPr>
          <w:rFonts w:ascii="Bookman Old Style" w:hAnsi="Bookman Old Style"/>
        </w:rPr>
      </w:pPr>
    </w:p>
    <w:p w:rsidR="00045D3D" w:rsidRPr="00832BF4" w:rsidRDefault="00045D3D" w:rsidP="00045D3D">
      <w:pPr>
        <w:pStyle w:val="Textoindependiente3"/>
        <w:ind w:left="0"/>
        <w:rPr>
          <w:rFonts w:ascii="Bookman Old Style" w:hAnsi="Bookman Old Style"/>
          <w:b w:val="0"/>
        </w:rPr>
      </w:pPr>
      <w:r w:rsidRPr="00832BF4">
        <w:rPr>
          <w:rFonts w:ascii="Bookman Old Style" w:hAnsi="Bookman Old Style"/>
          <w:b w:val="0"/>
        </w:rPr>
        <w:t>En ejercicio de sus atribuciones legales, en especial las conferidas por las Leyes 142 y 143 de 1994, y en desarrollo de los Decretos 1524 y 2253 de 1994</w:t>
      </w:r>
      <w:r w:rsidR="00832BF4" w:rsidRPr="00832BF4">
        <w:rPr>
          <w:rFonts w:ascii="Bookman Old Style" w:hAnsi="Bookman Old Style"/>
          <w:b w:val="0"/>
        </w:rPr>
        <w:t>, y</w:t>
      </w:r>
    </w:p>
    <w:p w:rsidR="00045D3D" w:rsidRPr="00832BF4" w:rsidRDefault="00045D3D" w:rsidP="00045D3D">
      <w:pPr>
        <w:ind w:right="51"/>
        <w:rPr>
          <w:rFonts w:ascii="Bookman Old Style" w:hAnsi="Bookman Old Style"/>
        </w:rPr>
      </w:pPr>
    </w:p>
    <w:p w:rsidR="00045D3D" w:rsidRPr="00832BF4" w:rsidRDefault="00045D3D" w:rsidP="00045D3D">
      <w:pPr>
        <w:ind w:right="51"/>
        <w:rPr>
          <w:rFonts w:ascii="Bookman Old Style" w:hAnsi="Bookman Old Style"/>
        </w:rPr>
      </w:pPr>
    </w:p>
    <w:p w:rsidR="00045D3D" w:rsidRPr="00832BF4" w:rsidRDefault="00045D3D" w:rsidP="00895BC5">
      <w:pPr>
        <w:ind w:left="0" w:right="51"/>
        <w:jc w:val="center"/>
        <w:rPr>
          <w:rFonts w:ascii="Bookman Old Style" w:hAnsi="Bookman Old Style"/>
          <w:b/>
        </w:rPr>
      </w:pPr>
      <w:r w:rsidRPr="00832BF4">
        <w:rPr>
          <w:rFonts w:ascii="Bookman Old Style" w:hAnsi="Bookman Old Style"/>
          <w:b/>
        </w:rPr>
        <w:t>C O N S I D E R A N D O  Q U E:</w:t>
      </w:r>
    </w:p>
    <w:p w:rsidR="00045D3D" w:rsidRPr="00832BF4" w:rsidRDefault="00045D3D" w:rsidP="00045D3D">
      <w:pPr>
        <w:ind w:right="51"/>
        <w:jc w:val="center"/>
        <w:rPr>
          <w:rFonts w:ascii="Bookman Old Style" w:hAnsi="Bookman Old Style"/>
          <w:b/>
        </w:rPr>
      </w:pPr>
    </w:p>
    <w:p w:rsidR="00045D3D" w:rsidRPr="00832BF4" w:rsidRDefault="00045D3D" w:rsidP="00832BF4">
      <w:pPr>
        <w:ind w:left="0"/>
        <w:rPr>
          <w:rFonts w:ascii="Bookman Old Style" w:hAnsi="Bookman Old Style"/>
          <w:b/>
        </w:rPr>
      </w:pPr>
    </w:p>
    <w:p w:rsidR="00895BC5" w:rsidRPr="00832BF4" w:rsidRDefault="00895BC5" w:rsidP="00EE3C67">
      <w:pPr>
        <w:pStyle w:val="Textoindependiente21"/>
        <w:overflowPunct/>
        <w:autoSpaceDE/>
        <w:autoSpaceDN/>
        <w:adjustRightInd/>
        <w:textAlignment w:val="auto"/>
        <w:rPr>
          <w:rFonts w:ascii="Bookman Old Style" w:hAnsi="Bookman Old Style" w:cs="Arial"/>
          <w:sz w:val="24"/>
          <w:szCs w:val="24"/>
          <w:lang w:val="es-CO"/>
        </w:rPr>
      </w:pPr>
      <w:r w:rsidRPr="00832BF4">
        <w:rPr>
          <w:rFonts w:ascii="Bookman Old Style" w:hAnsi="Bookman Old Style" w:cs="Arial"/>
          <w:sz w:val="24"/>
          <w:szCs w:val="24"/>
          <w:lang w:val="es-CO"/>
        </w:rPr>
        <w:t>El artículo 73.11 de la Ley 142 de 1994 atribuyó a la Comisión de Regulación de Energía y Gas la competencia para establecer las fórmulas para la fijación de las tarifas del servicio público domiciliario de energía eléctrica.</w:t>
      </w:r>
    </w:p>
    <w:p w:rsidR="00895BC5" w:rsidRPr="00832BF4" w:rsidRDefault="00895BC5" w:rsidP="00EE3C67">
      <w:pPr>
        <w:ind w:left="0"/>
        <w:rPr>
          <w:rFonts w:ascii="Bookman Old Style" w:hAnsi="Bookman Old Style" w:cs="Arial"/>
          <w:lang w:val="es-CO"/>
        </w:rPr>
      </w:pPr>
    </w:p>
    <w:p w:rsidR="00895BC5" w:rsidRPr="00832BF4" w:rsidRDefault="00614B32" w:rsidP="00EE3C67">
      <w:pPr>
        <w:pStyle w:val="Textoindependiente21"/>
        <w:overflowPunct/>
        <w:autoSpaceDE/>
        <w:autoSpaceDN/>
        <w:adjustRightInd/>
        <w:textAlignment w:val="auto"/>
        <w:rPr>
          <w:rFonts w:ascii="Bookman Old Style" w:hAnsi="Bookman Old Style" w:cs="Arial"/>
          <w:sz w:val="24"/>
          <w:szCs w:val="24"/>
          <w:lang w:val="es-CO"/>
        </w:rPr>
      </w:pPr>
      <w:r w:rsidRPr="00832BF4">
        <w:rPr>
          <w:rFonts w:ascii="Bookman Old Style" w:hAnsi="Bookman Old Style" w:cs="Arial"/>
          <w:sz w:val="24"/>
          <w:szCs w:val="24"/>
          <w:lang w:val="es-CO"/>
        </w:rPr>
        <w:t>C</w:t>
      </w:r>
      <w:r w:rsidR="00895BC5" w:rsidRPr="00832BF4">
        <w:rPr>
          <w:rFonts w:ascii="Bookman Old Style" w:hAnsi="Bookman Old Style" w:cs="Arial"/>
          <w:sz w:val="24"/>
          <w:szCs w:val="24"/>
          <w:lang w:val="es-CO"/>
        </w:rPr>
        <w:t>onforme a lo establecido en el artículo 126 de la Ley 142 de 1994, las fórmulas tarifarias podrán modificarse excepcionalmente, de oficio o a petición de parte, antes de la vigencia prevista en la Ley,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rsidR="00895BC5" w:rsidRPr="00832BF4" w:rsidRDefault="00895BC5" w:rsidP="00EE3C67">
      <w:pPr>
        <w:ind w:left="0"/>
        <w:rPr>
          <w:rFonts w:ascii="Bookman Old Style" w:hAnsi="Bookman Old Style" w:cs="Arial"/>
        </w:rPr>
      </w:pPr>
    </w:p>
    <w:p w:rsidR="00895BC5" w:rsidRPr="00832BF4" w:rsidRDefault="00895BC5" w:rsidP="00EE3C67">
      <w:pPr>
        <w:ind w:left="0"/>
        <w:jc w:val="both"/>
        <w:rPr>
          <w:rFonts w:ascii="Bookman Old Style" w:hAnsi="Bookman Old Style" w:cs="Arial"/>
        </w:rPr>
      </w:pPr>
      <w:r w:rsidRPr="00832BF4">
        <w:rPr>
          <w:rFonts w:ascii="Bookman Old Style" w:hAnsi="Bookman Old Style" w:cs="Arial"/>
        </w:rPr>
        <w:t>De acuerdo con lo establecido en el artículo 14 de la Ley 142 de 1994, la actividad de comercialización de energía eléctrica es una actividad complementaria del servicio público domiciliario de energía eléctrica.</w:t>
      </w:r>
    </w:p>
    <w:p w:rsidR="00895BC5" w:rsidRPr="00832BF4" w:rsidRDefault="00895BC5" w:rsidP="00EE3C67">
      <w:pPr>
        <w:pStyle w:val="Textoindependiente21"/>
        <w:rPr>
          <w:rFonts w:ascii="Bookman Old Style" w:hAnsi="Bookman Old Style" w:cs="Arial"/>
          <w:sz w:val="24"/>
          <w:szCs w:val="24"/>
          <w:lang w:val="es-CO"/>
        </w:rPr>
      </w:pPr>
    </w:p>
    <w:p w:rsidR="00895BC5" w:rsidRPr="00832BF4" w:rsidRDefault="00895BC5" w:rsidP="00EE3C67">
      <w:pPr>
        <w:pStyle w:val="Textoindependiente21"/>
        <w:tabs>
          <w:tab w:val="left" w:pos="9356"/>
        </w:tabs>
        <w:rPr>
          <w:rFonts w:ascii="Bookman Old Style" w:hAnsi="Bookman Old Style" w:cs="Arial"/>
          <w:sz w:val="24"/>
          <w:szCs w:val="24"/>
        </w:rPr>
      </w:pPr>
      <w:r w:rsidRPr="00832BF4">
        <w:rPr>
          <w:rFonts w:ascii="Bookman Old Style" w:hAnsi="Bookman Old Style" w:cs="Arial"/>
          <w:sz w:val="24"/>
          <w:szCs w:val="24"/>
        </w:rPr>
        <w:t>La Resolución CREG 031 de 1997 estableció los criterios generales para remunerar la actividad de comercialización de energía eléctrica.</w:t>
      </w:r>
    </w:p>
    <w:p w:rsidR="00895BC5" w:rsidRPr="00832BF4" w:rsidRDefault="00895BC5" w:rsidP="00895BC5">
      <w:pPr>
        <w:pStyle w:val="Textoindependiente21"/>
        <w:ind w:right="142"/>
        <w:rPr>
          <w:rFonts w:ascii="Bookman Old Style" w:hAnsi="Bookman Old Style" w:cs="Arial"/>
          <w:sz w:val="24"/>
          <w:szCs w:val="24"/>
        </w:rPr>
      </w:pPr>
    </w:p>
    <w:p w:rsidR="00895BC5" w:rsidRPr="00832BF4" w:rsidRDefault="00895BC5" w:rsidP="00EE3C67">
      <w:pPr>
        <w:pStyle w:val="Textoindependiente21"/>
        <w:rPr>
          <w:rFonts w:ascii="Bookman Old Style" w:hAnsi="Bookman Old Style" w:cs="Arial"/>
          <w:sz w:val="24"/>
          <w:szCs w:val="24"/>
        </w:rPr>
      </w:pPr>
      <w:r w:rsidRPr="00832BF4">
        <w:rPr>
          <w:rFonts w:ascii="Bookman Old Style" w:hAnsi="Bookman Old Style" w:cs="Arial"/>
          <w:sz w:val="24"/>
          <w:szCs w:val="24"/>
        </w:rPr>
        <w:t xml:space="preserve">La Resolución CREG 007 de 1999 estableció que una empresa comercializadora debe aplicar el </w:t>
      </w:r>
      <w:r w:rsidR="00832BF4" w:rsidRPr="00832BF4">
        <w:rPr>
          <w:rFonts w:ascii="Bookman Old Style" w:hAnsi="Bookman Old Style" w:cs="Arial"/>
          <w:sz w:val="24"/>
          <w:szCs w:val="24"/>
        </w:rPr>
        <w:t xml:space="preserve">costo base de comercialización </w:t>
      </w:r>
      <w:proofErr w:type="gramStart"/>
      <w:r w:rsidRPr="00832BF4">
        <w:rPr>
          <w:rFonts w:ascii="Bookman Old Style" w:hAnsi="Bookman Old Style" w:cs="Arial"/>
          <w:sz w:val="24"/>
          <w:szCs w:val="24"/>
        </w:rPr>
        <w:t>aprobado</w:t>
      </w:r>
      <w:proofErr w:type="gramEnd"/>
      <w:r w:rsidRPr="00832BF4">
        <w:rPr>
          <w:rFonts w:ascii="Bookman Old Style" w:hAnsi="Bookman Old Style" w:cs="Arial"/>
          <w:sz w:val="24"/>
          <w:szCs w:val="24"/>
        </w:rPr>
        <w:t xml:space="preserve"> para los mercados de comercialización en los cuales entró a prestar el servicio.</w:t>
      </w:r>
    </w:p>
    <w:p w:rsidR="00895BC5" w:rsidRPr="00832BF4" w:rsidRDefault="00895BC5" w:rsidP="00EE3C67">
      <w:pPr>
        <w:pStyle w:val="Textoindependiente21"/>
        <w:rPr>
          <w:rFonts w:ascii="Bookman Old Style" w:hAnsi="Bookman Old Style" w:cs="Arial"/>
          <w:sz w:val="24"/>
          <w:szCs w:val="24"/>
        </w:rPr>
      </w:pPr>
      <w:r w:rsidRPr="00832BF4">
        <w:rPr>
          <w:rFonts w:ascii="Bookman Old Style" w:hAnsi="Bookman Old Style" w:cs="Arial"/>
          <w:sz w:val="24"/>
          <w:szCs w:val="24"/>
        </w:rPr>
        <w:lastRenderedPageBreak/>
        <w:t>La Resolución CREG 119 de 2007 aprobó la fórmula tarifaria general para remunerar la prestación del servicio público domiciliario de energía eléctrica.</w:t>
      </w:r>
    </w:p>
    <w:p w:rsidR="00895BC5" w:rsidRPr="00832BF4" w:rsidRDefault="00895BC5" w:rsidP="00EE3C67">
      <w:pPr>
        <w:ind w:left="0"/>
        <w:rPr>
          <w:rFonts w:ascii="Bookman Old Style" w:hAnsi="Bookman Old Style" w:cs="Arial"/>
          <w:lang w:val="es-ES_tradnl"/>
        </w:rPr>
      </w:pPr>
    </w:p>
    <w:p w:rsidR="00895BC5" w:rsidRPr="00832BF4" w:rsidRDefault="00895BC5" w:rsidP="00EE3C67">
      <w:pPr>
        <w:pStyle w:val="Textoindependiente21"/>
        <w:overflowPunct/>
        <w:autoSpaceDE/>
        <w:autoSpaceDN/>
        <w:adjustRightInd/>
        <w:textAlignment w:val="auto"/>
        <w:rPr>
          <w:rFonts w:ascii="Bookman Old Style" w:hAnsi="Bookman Old Style" w:cs="Arial"/>
          <w:sz w:val="24"/>
          <w:szCs w:val="24"/>
          <w:lang w:val="es-CO"/>
        </w:rPr>
      </w:pPr>
      <w:r w:rsidRPr="00832BF4">
        <w:rPr>
          <w:rFonts w:ascii="Bookman Old Style" w:hAnsi="Bookman Old Style" w:cs="Arial"/>
          <w:sz w:val="24"/>
          <w:szCs w:val="24"/>
          <w:lang w:val="es-CO"/>
        </w:rPr>
        <w:t xml:space="preserve">La Comisión de Regulación de Energía y Gas, mediante las resoluciones CREG 108 </w:t>
      </w:r>
      <w:r w:rsidR="006001E9">
        <w:rPr>
          <w:rFonts w:ascii="Bookman Old Style" w:hAnsi="Bookman Old Style" w:cs="Arial"/>
          <w:sz w:val="24"/>
          <w:szCs w:val="24"/>
          <w:lang w:val="es-CO"/>
        </w:rPr>
        <w:t xml:space="preserve">y 109 </w:t>
      </w:r>
      <w:r w:rsidRPr="00832BF4">
        <w:rPr>
          <w:rFonts w:ascii="Bookman Old Style" w:hAnsi="Bookman Old Style" w:cs="Arial"/>
          <w:sz w:val="24"/>
          <w:szCs w:val="24"/>
          <w:lang w:val="es-CO"/>
        </w:rPr>
        <w:t xml:space="preserve">de 1998, aprobó </w:t>
      </w:r>
      <w:r w:rsidR="00E26EB2">
        <w:rPr>
          <w:rFonts w:ascii="Bookman Old Style" w:hAnsi="Bookman Old Style" w:cs="Arial"/>
          <w:sz w:val="24"/>
          <w:szCs w:val="24"/>
          <w:lang w:val="es-CO"/>
        </w:rPr>
        <w:t>e</w:t>
      </w:r>
      <w:r w:rsidRPr="00832BF4">
        <w:rPr>
          <w:rFonts w:ascii="Bookman Old Style" w:hAnsi="Bookman Old Style" w:cs="Arial"/>
          <w:sz w:val="24"/>
          <w:szCs w:val="24"/>
          <w:lang w:val="es-CO"/>
        </w:rPr>
        <w:t xml:space="preserve">l cargo de comercialización de las empresas Electrificadora del Caribe S.A. E.S.P. y Electrificadora de la Costa S.A. E.S.P., respectivamente, y efectuó los cálculos tarifarios correspondientes, aplicando los procedimientos establecidos en la Resolución CREG 031 de 1997 con la información reportada por las </w:t>
      </w:r>
      <w:r w:rsidR="006E7F70">
        <w:rPr>
          <w:rFonts w:ascii="Bookman Old Style" w:hAnsi="Bookman Old Style" w:cs="Arial"/>
          <w:sz w:val="24"/>
          <w:szCs w:val="24"/>
          <w:lang w:val="es-CO"/>
        </w:rPr>
        <w:t>e</w:t>
      </w:r>
      <w:r w:rsidRPr="00832BF4">
        <w:rPr>
          <w:rFonts w:ascii="Bookman Old Style" w:hAnsi="Bookman Old Style" w:cs="Arial"/>
          <w:sz w:val="24"/>
          <w:szCs w:val="24"/>
          <w:lang w:val="es-CO"/>
        </w:rPr>
        <w:t>mpresas para el cálculo de la tarifa y con la demás información oficial que se encontraba disponible.</w:t>
      </w:r>
    </w:p>
    <w:p w:rsidR="00895BC5" w:rsidRPr="00832BF4" w:rsidRDefault="00895BC5" w:rsidP="00EE3C67">
      <w:pPr>
        <w:pStyle w:val="Textoindependiente21"/>
        <w:overflowPunct/>
        <w:autoSpaceDE/>
        <w:autoSpaceDN/>
        <w:adjustRightInd/>
        <w:textAlignment w:val="auto"/>
        <w:rPr>
          <w:rFonts w:ascii="Bookman Old Style" w:hAnsi="Bookman Old Style" w:cs="Arial"/>
          <w:sz w:val="24"/>
          <w:szCs w:val="24"/>
          <w:lang w:val="es-CO"/>
        </w:rPr>
      </w:pPr>
    </w:p>
    <w:p w:rsidR="00895BC5" w:rsidRPr="00832BF4" w:rsidRDefault="00895BC5" w:rsidP="00EE3C67">
      <w:pPr>
        <w:ind w:left="0"/>
        <w:jc w:val="both"/>
        <w:rPr>
          <w:rFonts w:ascii="Bookman Old Style" w:hAnsi="Bookman Old Style" w:cs="Arial"/>
        </w:rPr>
      </w:pPr>
      <w:r w:rsidRPr="00832BF4">
        <w:rPr>
          <w:rFonts w:ascii="Bookman Old Style" w:hAnsi="Bookman Old Style" w:cs="Arial"/>
        </w:rPr>
        <w:t>Mediante la Resolución CREG 110 de 2009 se fijaron y aprobaron los cargos unificados de distribución y comercialización aplicables a los usuarios del Sistema de Transmisión Regional Norte y del nuevo Sistema de Distribución Local resultante de la integración de los mercados de comercialización y distribución de energía eléctrica que eran operados por la Electrificadora de la Costa Atlántica S.A. E.S.P. y por la Electrificadora del Caribe S.A. E.S.P. y que actualmente opera esta última.</w:t>
      </w:r>
    </w:p>
    <w:p w:rsidR="00895BC5" w:rsidRPr="00832BF4" w:rsidRDefault="00895BC5" w:rsidP="00EE3C67">
      <w:pPr>
        <w:pStyle w:val="Textoindependiente21"/>
        <w:rPr>
          <w:rFonts w:ascii="Bookman Old Style" w:hAnsi="Bookman Old Style" w:cs="Arial"/>
          <w:sz w:val="24"/>
          <w:szCs w:val="24"/>
        </w:rPr>
      </w:pPr>
    </w:p>
    <w:p w:rsidR="00895BC5" w:rsidRPr="00832BF4" w:rsidRDefault="00895BC5" w:rsidP="00EE3C67">
      <w:pPr>
        <w:pStyle w:val="Textodebloque"/>
        <w:spacing w:after="0"/>
        <w:ind w:left="0" w:right="0"/>
        <w:rPr>
          <w:rFonts w:ascii="Bookman Old Style" w:hAnsi="Bookman Old Style" w:cs="Arial"/>
          <w:szCs w:val="24"/>
        </w:rPr>
      </w:pPr>
      <w:r w:rsidRPr="00832BF4">
        <w:rPr>
          <w:rFonts w:ascii="Bookman Old Style" w:hAnsi="Bookman Old Style" w:cs="Arial"/>
          <w:szCs w:val="24"/>
        </w:rPr>
        <w:t>De conformidad con lo establecido en el artículo 32 del Decreto 3735 de 2003</w:t>
      </w:r>
      <w:r w:rsidR="006E7F70">
        <w:rPr>
          <w:rFonts w:ascii="Bookman Old Style" w:hAnsi="Bookman Old Style" w:cs="Arial"/>
          <w:szCs w:val="24"/>
        </w:rPr>
        <w:t>,</w:t>
      </w:r>
      <w:r w:rsidRPr="00832BF4">
        <w:rPr>
          <w:rFonts w:ascii="Bookman Old Style" w:hAnsi="Bookman Old Style" w:cs="Arial"/>
          <w:szCs w:val="24"/>
        </w:rPr>
        <w:t xml:space="preserve"> la Comisión de Regulación de Energía y Gas expidió la Resolución CREG 101 de 2006, por medio de la cual se ajustó la fórmula del cargo de comercialización (componente C) aplicable para el conjunto de los </w:t>
      </w:r>
      <w:r w:rsidR="006E7F70" w:rsidRPr="00832BF4">
        <w:rPr>
          <w:rFonts w:ascii="Bookman Old Style" w:hAnsi="Bookman Old Style" w:cs="Arial"/>
          <w:szCs w:val="24"/>
        </w:rPr>
        <w:t>barrios subnormales</w:t>
      </w:r>
      <w:r w:rsidRPr="00832BF4">
        <w:rPr>
          <w:rFonts w:ascii="Bookman Old Style" w:hAnsi="Bookman Old Style" w:cs="Arial"/>
          <w:szCs w:val="24"/>
        </w:rPr>
        <w:t xml:space="preserve"> atendidos por Energía Social de La Costa S.A. E.S.P.</w:t>
      </w:r>
    </w:p>
    <w:p w:rsidR="00895BC5" w:rsidRPr="00832BF4" w:rsidRDefault="00895BC5" w:rsidP="00895BC5">
      <w:pPr>
        <w:pStyle w:val="Textodebloque"/>
        <w:spacing w:after="0"/>
        <w:ind w:left="0" w:right="142"/>
        <w:rPr>
          <w:rFonts w:ascii="Bookman Old Style" w:hAnsi="Bookman Old Style" w:cs="Arial"/>
          <w:szCs w:val="24"/>
        </w:rPr>
      </w:pPr>
    </w:p>
    <w:p w:rsidR="00895BC5" w:rsidRPr="00832BF4" w:rsidRDefault="00895BC5" w:rsidP="00EE3C67">
      <w:pPr>
        <w:pStyle w:val="Textodebloque"/>
        <w:spacing w:after="0"/>
        <w:ind w:left="0" w:right="0"/>
        <w:rPr>
          <w:rFonts w:ascii="Bookman Old Style" w:hAnsi="Bookman Old Style" w:cs="Arial"/>
          <w:szCs w:val="24"/>
        </w:rPr>
      </w:pPr>
      <w:r w:rsidRPr="00832BF4">
        <w:rPr>
          <w:rFonts w:ascii="Bookman Old Style" w:hAnsi="Bookman Old Style" w:cs="Arial"/>
          <w:szCs w:val="24"/>
        </w:rPr>
        <w:t xml:space="preserve">Así mismo, determinó que el factor de riesgo de cartera, FRC, </w:t>
      </w:r>
      <w:r w:rsidR="006E7F70">
        <w:rPr>
          <w:rFonts w:ascii="Bookman Old Style" w:hAnsi="Bookman Old Style" w:cs="Arial"/>
          <w:szCs w:val="24"/>
        </w:rPr>
        <w:t xml:space="preserve">a que hace referencia </w:t>
      </w:r>
      <w:r w:rsidR="006E7F70" w:rsidRPr="00832BF4">
        <w:rPr>
          <w:rFonts w:ascii="Bookman Old Style" w:hAnsi="Bookman Old Style" w:cs="Arial"/>
          <w:szCs w:val="24"/>
        </w:rPr>
        <w:t>la Resolución CREG 101 de 2006</w:t>
      </w:r>
      <w:r w:rsidR="00703C1B">
        <w:rPr>
          <w:rFonts w:ascii="Bookman Old Style" w:hAnsi="Bookman Old Style" w:cs="Arial"/>
          <w:szCs w:val="24"/>
        </w:rPr>
        <w:t>, será calculado por la CREG</w:t>
      </w:r>
      <w:r w:rsidRPr="00832BF4">
        <w:rPr>
          <w:rFonts w:ascii="Bookman Old Style" w:hAnsi="Bookman Old Style" w:cs="Arial"/>
          <w:szCs w:val="24"/>
        </w:rPr>
        <w:t xml:space="preserve"> cada año hasta que se determine la nueva metodología general de cálculo del cargo de comercialización.</w:t>
      </w:r>
    </w:p>
    <w:p w:rsidR="00895BC5" w:rsidRPr="00703C1B" w:rsidRDefault="00895BC5" w:rsidP="00EE3C67">
      <w:pPr>
        <w:pStyle w:val="Textodebloque"/>
        <w:spacing w:after="0"/>
        <w:ind w:left="0" w:right="0"/>
        <w:rPr>
          <w:rFonts w:ascii="Bookman Old Style" w:hAnsi="Bookman Old Style" w:cs="Arial"/>
          <w:szCs w:val="24"/>
        </w:rPr>
      </w:pPr>
    </w:p>
    <w:p w:rsidR="00895BC5" w:rsidRPr="00832BF4" w:rsidRDefault="006E7F70" w:rsidP="00EE3C67">
      <w:pPr>
        <w:pStyle w:val="Textoindependiente21"/>
        <w:overflowPunct/>
        <w:autoSpaceDE/>
        <w:autoSpaceDN/>
        <w:adjustRightInd/>
        <w:textAlignment w:val="auto"/>
        <w:rPr>
          <w:rFonts w:ascii="Bookman Old Style" w:hAnsi="Bookman Old Style" w:cs="Arial"/>
          <w:sz w:val="24"/>
          <w:szCs w:val="24"/>
          <w:lang w:val="es-CO"/>
        </w:rPr>
      </w:pPr>
      <w:r>
        <w:rPr>
          <w:rFonts w:ascii="Bookman Old Style" w:hAnsi="Bookman Old Style" w:cs="Arial"/>
          <w:sz w:val="24"/>
          <w:szCs w:val="24"/>
          <w:lang w:val="es-CO"/>
        </w:rPr>
        <w:t>L</w:t>
      </w:r>
      <w:r w:rsidR="00895BC5" w:rsidRPr="00832BF4">
        <w:rPr>
          <w:rFonts w:ascii="Bookman Old Style" w:hAnsi="Bookman Old Style" w:cs="Arial"/>
          <w:sz w:val="24"/>
          <w:szCs w:val="24"/>
          <w:lang w:val="es-CO"/>
        </w:rPr>
        <w:t xml:space="preserve">a empresa Energía Social de La Costa S.A. E.S.P., mediante comunicación radicada en la CREG con el No. E-2010-6425 del 21 de julio de 2010, suscrita por su </w:t>
      </w:r>
      <w:r w:rsidRPr="00832BF4">
        <w:rPr>
          <w:rFonts w:ascii="Bookman Old Style" w:hAnsi="Bookman Old Style" w:cs="Arial"/>
          <w:sz w:val="24"/>
          <w:szCs w:val="24"/>
          <w:lang w:val="es-CO"/>
        </w:rPr>
        <w:t>representante legal</w:t>
      </w:r>
      <w:r w:rsidR="00895BC5" w:rsidRPr="00832BF4">
        <w:rPr>
          <w:rFonts w:ascii="Bookman Old Style" w:hAnsi="Bookman Old Style" w:cs="Arial"/>
          <w:sz w:val="24"/>
          <w:szCs w:val="24"/>
          <w:lang w:val="es-CO"/>
        </w:rPr>
        <w:t xml:space="preserve">, presentó solicitud de revisión tarifaria argumentando, principalmente, que los cargos de comercialización que aplica a los usuarios de </w:t>
      </w:r>
      <w:r w:rsidR="00703C1B" w:rsidRPr="00832BF4">
        <w:rPr>
          <w:rFonts w:ascii="Bookman Old Style" w:hAnsi="Bookman Old Style" w:cs="Arial"/>
          <w:sz w:val="24"/>
          <w:szCs w:val="24"/>
          <w:lang w:val="es-CO"/>
        </w:rPr>
        <w:t xml:space="preserve">barrios subnormales </w:t>
      </w:r>
      <w:r w:rsidR="00895BC5" w:rsidRPr="00832BF4">
        <w:rPr>
          <w:rFonts w:ascii="Bookman Old Style" w:hAnsi="Bookman Old Style" w:cs="Arial"/>
          <w:sz w:val="24"/>
          <w:szCs w:val="24"/>
          <w:lang w:val="es-CO"/>
        </w:rPr>
        <w:t>que atiende no le garantizan el criterio de suficiencia financiera establecido en las leyes 142 y 143 de 1994.</w:t>
      </w:r>
    </w:p>
    <w:p w:rsidR="00895BC5" w:rsidRPr="00832BF4" w:rsidRDefault="00895BC5" w:rsidP="00EE3C67">
      <w:pPr>
        <w:ind w:left="0"/>
        <w:jc w:val="both"/>
        <w:rPr>
          <w:rFonts w:ascii="Bookman Old Style" w:hAnsi="Bookman Old Style" w:cs="Arial"/>
          <w:lang w:val="es-CO"/>
        </w:rPr>
      </w:pPr>
    </w:p>
    <w:p w:rsidR="00895BC5" w:rsidRPr="00832BF4" w:rsidRDefault="00895BC5" w:rsidP="00EE3C67">
      <w:pPr>
        <w:ind w:left="0"/>
        <w:jc w:val="both"/>
        <w:rPr>
          <w:rFonts w:ascii="Bookman Old Style" w:hAnsi="Bookman Old Style" w:cs="Arial"/>
          <w:lang w:val="es-CO"/>
        </w:rPr>
      </w:pPr>
      <w:r w:rsidRPr="00832BF4">
        <w:rPr>
          <w:rFonts w:ascii="Bookman Old Style" w:hAnsi="Bookman Old Style" w:cs="Arial"/>
          <w:lang w:val="es-CO"/>
        </w:rPr>
        <w:t>Mediante la Resolución CREG 096 de 2011 se decidió la solicitud de revisión tarifaria presentada por la empresa Energía Social de La Costa S.A. E.S.P., ajustando lo pertinente y la senda de recaudo a los usuarios utilizada en la Resolución CREG 101 de 2006 para calcular el factor riesgo de cartera, FRC, con el fin de garantizar la suficiencia financiera de la empresa.</w:t>
      </w:r>
    </w:p>
    <w:p w:rsidR="00895BC5" w:rsidRPr="00832BF4" w:rsidRDefault="00895BC5" w:rsidP="00EE3C67">
      <w:pPr>
        <w:ind w:left="0"/>
        <w:jc w:val="both"/>
        <w:rPr>
          <w:rFonts w:ascii="Bookman Old Style" w:hAnsi="Bookman Old Style" w:cs="Arial"/>
          <w:lang w:val="es-CO"/>
        </w:rPr>
      </w:pPr>
    </w:p>
    <w:p w:rsidR="00895BC5" w:rsidRPr="00832BF4" w:rsidRDefault="00895BC5" w:rsidP="00EE3C67">
      <w:pPr>
        <w:ind w:left="0"/>
        <w:jc w:val="both"/>
        <w:rPr>
          <w:rFonts w:ascii="Bookman Old Style" w:hAnsi="Bookman Old Style" w:cs="Arial"/>
        </w:rPr>
      </w:pPr>
      <w:r w:rsidRPr="00D0175D">
        <w:rPr>
          <w:rFonts w:ascii="Bookman Old Style" w:hAnsi="Bookman Old Style" w:cs="Arial"/>
        </w:rPr>
        <w:t xml:space="preserve">Energía Social de La Costa S.A. E.S.P., mediante </w:t>
      </w:r>
      <w:r w:rsidR="00D0175D">
        <w:rPr>
          <w:rFonts w:ascii="Bookman Old Style" w:hAnsi="Bookman Old Style" w:cs="Arial"/>
        </w:rPr>
        <w:t>la comunicación</w:t>
      </w:r>
      <w:r w:rsidRPr="00D0175D">
        <w:rPr>
          <w:rFonts w:ascii="Bookman Old Style" w:hAnsi="Bookman Old Style" w:cs="Arial"/>
        </w:rPr>
        <w:t xml:space="preserve"> con radicado CREG E-201</w:t>
      </w:r>
      <w:r w:rsidR="00D0175D" w:rsidRPr="00D0175D">
        <w:rPr>
          <w:rFonts w:ascii="Bookman Old Style" w:hAnsi="Bookman Old Style" w:cs="Arial"/>
        </w:rPr>
        <w:t>3</w:t>
      </w:r>
      <w:r w:rsidRPr="00D0175D">
        <w:rPr>
          <w:rFonts w:ascii="Bookman Old Style" w:hAnsi="Bookman Old Style" w:cs="Arial"/>
        </w:rPr>
        <w:t>-000</w:t>
      </w:r>
      <w:r w:rsidR="00D0175D" w:rsidRPr="00D0175D">
        <w:rPr>
          <w:rFonts w:ascii="Bookman Old Style" w:hAnsi="Bookman Old Style" w:cs="Arial"/>
        </w:rPr>
        <w:t>372</w:t>
      </w:r>
      <w:r w:rsidR="00D0175D">
        <w:rPr>
          <w:rFonts w:ascii="Bookman Old Style" w:hAnsi="Bookman Old Style" w:cs="Arial"/>
        </w:rPr>
        <w:t xml:space="preserve"> recibida</w:t>
      </w:r>
      <w:r w:rsidRPr="00D0175D">
        <w:rPr>
          <w:rFonts w:ascii="Bookman Old Style" w:hAnsi="Bookman Old Style" w:cs="Arial"/>
        </w:rPr>
        <w:t xml:space="preserve"> el 1</w:t>
      </w:r>
      <w:r w:rsidR="00D0175D" w:rsidRPr="00D0175D">
        <w:rPr>
          <w:rFonts w:ascii="Bookman Old Style" w:hAnsi="Bookman Old Style" w:cs="Arial"/>
        </w:rPr>
        <w:t xml:space="preserve">8 de enero </w:t>
      </w:r>
      <w:r w:rsidRPr="00D0175D">
        <w:rPr>
          <w:rFonts w:ascii="Bookman Old Style" w:hAnsi="Bookman Old Style" w:cs="Arial"/>
        </w:rPr>
        <w:t>de 201</w:t>
      </w:r>
      <w:r w:rsidR="00D0175D" w:rsidRPr="00D0175D">
        <w:rPr>
          <w:rFonts w:ascii="Bookman Old Style" w:hAnsi="Bookman Old Style" w:cs="Arial"/>
        </w:rPr>
        <w:t>3</w:t>
      </w:r>
      <w:r w:rsidRPr="00D0175D">
        <w:rPr>
          <w:rFonts w:ascii="Bookman Old Style" w:hAnsi="Bookman Old Style" w:cs="Arial"/>
        </w:rPr>
        <w:t xml:space="preserve"> entregó a la Comisión la información sobre el consumo facturado</w:t>
      </w:r>
      <w:r w:rsidR="00D0175D" w:rsidRPr="00D0175D">
        <w:rPr>
          <w:rFonts w:ascii="Bookman Old Style" w:hAnsi="Bookman Old Style" w:cs="Arial"/>
        </w:rPr>
        <w:t xml:space="preserve"> medio del año 2012</w:t>
      </w:r>
      <w:r w:rsidRPr="00D0175D">
        <w:rPr>
          <w:rFonts w:ascii="Bookman Old Style" w:hAnsi="Bookman Old Style" w:cs="Arial"/>
        </w:rPr>
        <w:t>, así como los cargos para enero de 201</w:t>
      </w:r>
      <w:r w:rsidR="00D0175D" w:rsidRPr="00D0175D">
        <w:rPr>
          <w:rFonts w:ascii="Bookman Old Style" w:hAnsi="Bookman Old Style" w:cs="Arial"/>
        </w:rPr>
        <w:t>3</w:t>
      </w:r>
      <w:r w:rsidRPr="00D0175D">
        <w:rPr>
          <w:rFonts w:ascii="Bookman Old Style" w:hAnsi="Bookman Old Style" w:cs="Arial"/>
        </w:rPr>
        <w:t xml:space="preserve"> y demás información requerida para el cálculo del factor de riesgo de cartera a que se refieren las resoluciones CREG 101 de 2006 y 096 de 2011.</w:t>
      </w:r>
    </w:p>
    <w:p w:rsidR="00895BC5" w:rsidRPr="00832BF4" w:rsidRDefault="00895BC5" w:rsidP="00895BC5">
      <w:pPr>
        <w:ind w:left="284" w:right="142"/>
        <w:jc w:val="both"/>
        <w:rPr>
          <w:rFonts w:ascii="Bookman Old Style" w:hAnsi="Bookman Old Style" w:cs="Arial"/>
        </w:rPr>
      </w:pPr>
    </w:p>
    <w:p w:rsidR="00895BC5" w:rsidRPr="00832BF4" w:rsidRDefault="00895BC5" w:rsidP="00EE3C67">
      <w:pPr>
        <w:ind w:left="0"/>
        <w:jc w:val="both"/>
        <w:rPr>
          <w:rFonts w:ascii="Bookman Old Style" w:hAnsi="Bookman Old Style" w:cs="Arial"/>
        </w:rPr>
      </w:pPr>
      <w:r w:rsidRPr="00832BF4">
        <w:rPr>
          <w:rFonts w:ascii="Bookman Old Style" w:hAnsi="Bookman Old Style" w:cs="Arial"/>
        </w:rPr>
        <w:lastRenderedPageBreak/>
        <w:t>Lo anterior en consideración a lo establecido por el parágrafo 2° del artículo 2 de la Resolución CREG 101 de 2006 que establece lo siguiente:</w:t>
      </w:r>
    </w:p>
    <w:p w:rsidR="00895BC5" w:rsidRPr="00832BF4" w:rsidRDefault="00895BC5" w:rsidP="00895BC5">
      <w:pPr>
        <w:ind w:left="0" w:right="142"/>
        <w:jc w:val="both"/>
        <w:rPr>
          <w:rFonts w:ascii="Bookman Old Style" w:hAnsi="Bookman Old Style" w:cs="Arial"/>
        </w:rPr>
      </w:pPr>
    </w:p>
    <w:p w:rsidR="00895BC5" w:rsidRPr="00832BF4" w:rsidRDefault="00895BC5" w:rsidP="00895BC5">
      <w:pPr>
        <w:ind w:left="283" w:right="567"/>
        <w:jc w:val="both"/>
        <w:rPr>
          <w:rFonts w:ascii="Bookman Old Style" w:hAnsi="Bookman Old Style" w:cs="Arial"/>
          <w:i/>
        </w:rPr>
      </w:pPr>
      <w:r w:rsidRPr="00832BF4">
        <w:rPr>
          <w:rFonts w:ascii="Bookman Old Style" w:hAnsi="Bookman Old Style" w:cs="Arial"/>
          <w:i/>
        </w:rPr>
        <w:t>“Para el cálculo del FRC vigente para el año t, la empresa deberá entregar a la CREG la información necesaria para su cálculo a más tardar el 10 de enero del año t En caso de no tener los cargos definitivos a esa fecha, la empresa debe enviar los provisionales.”</w:t>
      </w:r>
    </w:p>
    <w:p w:rsidR="00895BC5" w:rsidRPr="00832BF4" w:rsidRDefault="00895BC5" w:rsidP="00895BC5">
      <w:pPr>
        <w:ind w:left="283" w:right="567"/>
        <w:jc w:val="both"/>
        <w:rPr>
          <w:rFonts w:ascii="Bookman Old Style" w:hAnsi="Bookman Old Style" w:cs="Arial"/>
          <w:i/>
        </w:rPr>
      </w:pPr>
    </w:p>
    <w:p w:rsidR="00895BC5" w:rsidRPr="00832BF4" w:rsidRDefault="00895BC5" w:rsidP="00EE3C67">
      <w:pPr>
        <w:ind w:left="0"/>
        <w:jc w:val="both"/>
        <w:rPr>
          <w:rFonts w:ascii="Bookman Old Style" w:hAnsi="Bookman Old Style" w:cs="Arial"/>
        </w:rPr>
      </w:pPr>
      <w:r w:rsidRPr="00832BF4">
        <w:rPr>
          <w:rFonts w:ascii="Bookman Old Style" w:hAnsi="Bookman Old Style" w:cs="Arial"/>
        </w:rPr>
        <w:t>Y lo dispuesto en el artículo 5 de la Resolución CREG 096 de 2011, según el cual, para el cálculo del FRC vigente para el año t, la empresa deberá reportar y soportar a la CREG los mecanismos utilizados para realizar compras durante el año t-1, al igual que los precios de la energía y las cantidades</w:t>
      </w:r>
      <w:r w:rsidR="00E26EB2">
        <w:rPr>
          <w:rFonts w:ascii="Bookman Old Style" w:hAnsi="Bookman Old Style" w:cs="Arial"/>
        </w:rPr>
        <w:t xml:space="preserve"> adquiridas por cada mecanismo.</w:t>
      </w:r>
    </w:p>
    <w:p w:rsidR="00895BC5" w:rsidRPr="00832BF4" w:rsidRDefault="00895BC5" w:rsidP="00EE3C67">
      <w:pPr>
        <w:ind w:left="0"/>
        <w:jc w:val="both"/>
        <w:rPr>
          <w:rFonts w:ascii="Bookman Old Style" w:hAnsi="Bookman Old Style" w:cs="Arial"/>
        </w:rPr>
      </w:pPr>
    </w:p>
    <w:p w:rsidR="00895BC5" w:rsidRPr="00832BF4" w:rsidRDefault="00703C1B" w:rsidP="00EE3C67">
      <w:pPr>
        <w:ind w:left="0"/>
        <w:jc w:val="both"/>
        <w:rPr>
          <w:rFonts w:ascii="Bookman Old Style" w:hAnsi="Bookman Old Style" w:cs="Arial"/>
        </w:rPr>
      </w:pPr>
      <w:r w:rsidRPr="00D0175D">
        <w:rPr>
          <w:rFonts w:ascii="Bookman Old Style" w:hAnsi="Bookman Old Style" w:cs="Arial"/>
        </w:rPr>
        <w:t>En</w:t>
      </w:r>
      <w:r w:rsidR="00895BC5" w:rsidRPr="00D0175D">
        <w:rPr>
          <w:rFonts w:ascii="Bookman Old Style" w:hAnsi="Bookman Old Style" w:cs="Arial"/>
        </w:rPr>
        <w:t xml:space="preserve"> el calculo del factor de riesgo de cartera, FRC, esta Comisión encontró diferencias entre la información reportada por la empresa y</w:t>
      </w:r>
      <w:r w:rsidRPr="00D0175D">
        <w:rPr>
          <w:rFonts w:ascii="Bookman Old Style" w:hAnsi="Bookman Old Style" w:cs="Arial"/>
        </w:rPr>
        <w:t>:</w:t>
      </w:r>
      <w:r w:rsidR="00895BC5" w:rsidRPr="00D0175D">
        <w:rPr>
          <w:rFonts w:ascii="Bookman Old Style" w:hAnsi="Bookman Old Style" w:cs="Arial"/>
        </w:rPr>
        <w:t xml:space="preserve"> i) la </w:t>
      </w:r>
      <w:r w:rsidR="0031533B">
        <w:rPr>
          <w:rFonts w:ascii="Bookman Old Style" w:hAnsi="Bookman Old Style" w:cs="Arial"/>
        </w:rPr>
        <w:t>que está a disposición d</w:t>
      </w:r>
      <w:r w:rsidR="00895BC5" w:rsidRPr="00D0175D">
        <w:rPr>
          <w:rFonts w:ascii="Bookman Old Style" w:hAnsi="Bookman Old Style" w:cs="Arial"/>
        </w:rPr>
        <w:t>el Administrador del Sistema de Intercambios Comerciales y ii) la publicada para efectos tarifarios, de acuerdo con lo establecido en el artículo 125 de la Ley 142 de 1994.</w:t>
      </w:r>
    </w:p>
    <w:p w:rsidR="00895BC5" w:rsidRPr="00832BF4" w:rsidRDefault="00895BC5" w:rsidP="00EE3C67">
      <w:pPr>
        <w:ind w:left="0"/>
        <w:jc w:val="both"/>
        <w:rPr>
          <w:rFonts w:ascii="Bookman Old Style" w:hAnsi="Bookman Old Style" w:cs="Arial"/>
        </w:rPr>
      </w:pPr>
    </w:p>
    <w:p w:rsidR="00895BC5" w:rsidRPr="00D0175D" w:rsidRDefault="00895BC5" w:rsidP="00EE3C67">
      <w:pPr>
        <w:ind w:left="0"/>
        <w:jc w:val="both"/>
        <w:rPr>
          <w:rFonts w:ascii="Bookman Old Style" w:hAnsi="Bookman Old Style" w:cs="Arial"/>
        </w:rPr>
      </w:pPr>
      <w:r w:rsidRPr="00D0175D">
        <w:rPr>
          <w:rFonts w:ascii="Bookman Old Style" w:hAnsi="Bookman Old Style" w:cs="Arial"/>
        </w:rPr>
        <w:t>Por lo anterior, la Comisión de Regulación de Energía y Gas, mediante oficio S-201</w:t>
      </w:r>
      <w:r w:rsidR="00D0175D" w:rsidRPr="00D0175D">
        <w:rPr>
          <w:rFonts w:ascii="Bookman Old Style" w:hAnsi="Bookman Old Style" w:cs="Arial"/>
        </w:rPr>
        <w:t>3</w:t>
      </w:r>
      <w:r w:rsidRPr="00D0175D">
        <w:rPr>
          <w:rFonts w:ascii="Bookman Old Style" w:hAnsi="Bookman Old Style" w:cs="Arial"/>
        </w:rPr>
        <w:t>-00</w:t>
      </w:r>
      <w:r w:rsidR="00D0175D" w:rsidRPr="00D0175D">
        <w:rPr>
          <w:rFonts w:ascii="Bookman Old Style" w:hAnsi="Bookman Old Style" w:cs="Arial"/>
        </w:rPr>
        <w:t>0201</w:t>
      </w:r>
      <w:r w:rsidR="00703C1B" w:rsidRPr="00D0175D">
        <w:rPr>
          <w:rFonts w:ascii="Bookman Old Style" w:hAnsi="Bookman Old Style" w:cs="Arial"/>
        </w:rPr>
        <w:t>,</w:t>
      </w:r>
      <w:r w:rsidRPr="00D0175D">
        <w:rPr>
          <w:rFonts w:ascii="Bookman Old Style" w:hAnsi="Bookman Old Style" w:cs="Arial"/>
        </w:rPr>
        <w:t xml:space="preserve"> solicitó </w:t>
      </w:r>
      <w:r w:rsidR="00D0175D" w:rsidRPr="00D0175D">
        <w:rPr>
          <w:rFonts w:ascii="Bookman Old Style" w:hAnsi="Bookman Old Style" w:cs="Arial"/>
        </w:rPr>
        <w:t>algunas aclaraciones y complemento de la información presentada por la empresa mediante el oficio E-2013-000372</w:t>
      </w:r>
      <w:r w:rsidRPr="00D0175D">
        <w:rPr>
          <w:rFonts w:ascii="Bookman Old Style" w:hAnsi="Bookman Old Style" w:cs="Arial"/>
        </w:rPr>
        <w:t>.</w:t>
      </w:r>
    </w:p>
    <w:p w:rsidR="00895BC5" w:rsidRPr="00D0175D" w:rsidRDefault="00895BC5" w:rsidP="00EE3C67">
      <w:pPr>
        <w:ind w:left="0"/>
        <w:jc w:val="both"/>
        <w:rPr>
          <w:rFonts w:ascii="Bookman Old Style" w:hAnsi="Bookman Old Style" w:cs="Arial"/>
        </w:rPr>
      </w:pPr>
    </w:p>
    <w:p w:rsidR="00895BC5" w:rsidRPr="00832BF4" w:rsidRDefault="00895BC5" w:rsidP="00EE3C67">
      <w:pPr>
        <w:ind w:left="0"/>
        <w:jc w:val="both"/>
        <w:rPr>
          <w:rFonts w:ascii="Bookman Old Style" w:hAnsi="Bookman Old Style" w:cs="Arial"/>
        </w:rPr>
      </w:pPr>
      <w:r w:rsidRPr="00D0175D">
        <w:rPr>
          <w:rFonts w:ascii="Bookman Old Style" w:hAnsi="Bookman Old Style" w:cs="Arial"/>
        </w:rPr>
        <w:t>La empresa Energía Social de La Costa S.</w:t>
      </w:r>
      <w:r w:rsidR="00D0175D" w:rsidRPr="00D0175D">
        <w:rPr>
          <w:rFonts w:ascii="Bookman Old Style" w:hAnsi="Bookman Old Style" w:cs="Arial"/>
        </w:rPr>
        <w:t xml:space="preserve">A. E.S.P., mediante comunicaciones E-2013-000796 y </w:t>
      </w:r>
      <w:r w:rsidR="00D0175D" w:rsidRPr="002C7EC9">
        <w:rPr>
          <w:rFonts w:ascii="Bookman Old Style" w:hAnsi="Bookman Old Style" w:cs="Arial"/>
        </w:rPr>
        <w:t>E-2013-000898</w:t>
      </w:r>
      <w:r w:rsidR="00D0175D" w:rsidRPr="00D0175D">
        <w:rPr>
          <w:rFonts w:ascii="Bookman Old Style" w:hAnsi="Bookman Old Style" w:cs="Arial"/>
        </w:rPr>
        <w:t xml:space="preserve"> de fechas 1 y 5 de febrero de 2013</w:t>
      </w:r>
      <w:r w:rsidRPr="00D0175D">
        <w:rPr>
          <w:rFonts w:ascii="Bookman Old Style" w:hAnsi="Bookman Old Style" w:cs="Arial"/>
        </w:rPr>
        <w:t>, presentó las aclaraciones respectivas, las cuales fueron analizadas por la Comisión tal como se puede evidenciar en el respectivo documento soporte que acompaña la presente resolución, y con fundamento en tal análisis y la demás información disponible esta Comisión procedió a realizar los cálculos correspondientes.</w:t>
      </w:r>
    </w:p>
    <w:p w:rsidR="00895BC5" w:rsidRPr="00832BF4" w:rsidRDefault="00895BC5" w:rsidP="00EE3C67">
      <w:pPr>
        <w:ind w:left="284"/>
        <w:jc w:val="both"/>
        <w:rPr>
          <w:rFonts w:ascii="Bookman Old Style" w:hAnsi="Bookman Old Style" w:cs="Arial"/>
        </w:rPr>
      </w:pPr>
    </w:p>
    <w:p w:rsidR="00703C1B" w:rsidRDefault="00895BC5" w:rsidP="00EE3C67">
      <w:pPr>
        <w:pStyle w:val="Textodebloque"/>
        <w:spacing w:after="0"/>
        <w:ind w:left="0" w:right="0"/>
        <w:rPr>
          <w:rFonts w:ascii="Bookman Old Style" w:hAnsi="Bookman Old Style" w:cs="Arial"/>
          <w:szCs w:val="24"/>
        </w:rPr>
      </w:pPr>
      <w:r w:rsidRPr="00832BF4">
        <w:rPr>
          <w:rFonts w:ascii="Bookman Old Style" w:hAnsi="Bookman Old Style" w:cs="Arial"/>
          <w:szCs w:val="24"/>
        </w:rPr>
        <w:t>La Comisión de Regulación de Energía y Gas en su Sesión No</w:t>
      </w:r>
      <w:r w:rsidR="00EE3C67">
        <w:rPr>
          <w:rFonts w:ascii="Bookman Old Style" w:hAnsi="Bookman Old Style" w:cs="Arial"/>
          <w:szCs w:val="24"/>
        </w:rPr>
        <w:t>.548</w:t>
      </w:r>
      <w:r w:rsidR="003F11CF">
        <w:rPr>
          <w:rFonts w:ascii="Bookman Old Style" w:hAnsi="Bookman Old Style" w:cs="Arial"/>
          <w:szCs w:val="24"/>
        </w:rPr>
        <w:t xml:space="preserve">, llevada a cabo </w:t>
      </w:r>
      <w:r w:rsidR="00D0175D">
        <w:rPr>
          <w:rFonts w:ascii="Bookman Old Style" w:hAnsi="Bookman Old Style" w:cs="Arial"/>
          <w:szCs w:val="24"/>
        </w:rPr>
        <w:t xml:space="preserve">el día </w:t>
      </w:r>
      <w:r w:rsidR="00EE3C67" w:rsidRPr="00EE3C67">
        <w:rPr>
          <w:rFonts w:ascii="Bookman Old Style" w:hAnsi="Bookman Old Style" w:cs="Arial"/>
          <w:szCs w:val="24"/>
        </w:rPr>
        <w:t xml:space="preserve">15 </w:t>
      </w:r>
      <w:r w:rsidR="00D0175D" w:rsidRPr="00EE3C67">
        <w:rPr>
          <w:rFonts w:ascii="Bookman Old Style" w:hAnsi="Bookman Old Style" w:cs="Arial"/>
          <w:szCs w:val="24"/>
        </w:rPr>
        <w:t>de febrero</w:t>
      </w:r>
      <w:r w:rsidR="00D0175D">
        <w:rPr>
          <w:rFonts w:ascii="Bookman Old Style" w:hAnsi="Bookman Old Style" w:cs="Arial"/>
          <w:szCs w:val="24"/>
        </w:rPr>
        <w:t xml:space="preserve"> de 2013</w:t>
      </w:r>
      <w:r w:rsidR="003F11CF">
        <w:rPr>
          <w:rFonts w:ascii="Bookman Old Style" w:hAnsi="Bookman Old Style" w:cs="Arial"/>
          <w:szCs w:val="24"/>
        </w:rPr>
        <w:t>,</w:t>
      </w:r>
      <w:r w:rsidRPr="00832BF4">
        <w:rPr>
          <w:rFonts w:ascii="Bookman Old Style" w:hAnsi="Bookman Old Style" w:cs="Arial"/>
          <w:szCs w:val="24"/>
        </w:rPr>
        <w:t xml:space="preserve"> aprobó el factor de riesgo de cartera y el cargo de </w:t>
      </w:r>
      <w:r w:rsidR="00A423C6" w:rsidRPr="00832BF4">
        <w:rPr>
          <w:rFonts w:ascii="Bookman Old Style" w:hAnsi="Bookman Old Style" w:cs="Arial"/>
          <w:szCs w:val="24"/>
        </w:rPr>
        <w:t>comercialización aplicable</w:t>
      </w:r>
      <w:r w:rsidR="00703C1B">
        <w:rPr>
          <w:rFonts w:ascii="Bookman Old Style" w:hAnsi="Bookman Old Style" w:cs="Arial"/>
          <w:szCs w:val="24"/>
        </w:rPr>
        <w:t>s</w:t>
      </w:r>
      <w:r w:rsidR="00A423C6" w:rsidRPr="00832BF4">
        <w:rPr>
          <w:rFonts w:ascii="Bookman Old Style" w:hAnsi="Bookman Old Style" w:cs="Arial"/>
          <w:szCs w:val="24"/>
        </w:rPr>
        <w:t xml:space="preserve"> </w:t>
      </w:r>
      <w:r w:rsidR="00703C1B" w:rsidRPr="00703C1B">
        <w:rPr>
          <w:rFonts w:ascii="Bookman Old Style" w:hAnsi="Bookman Old Style" w:cs="Arial"/>
          <w:szCs w:val="24"/>
        </w:rPr>
        <w:t>en el año 201</w:t>
      </w:r>
      <w:r w:rsidR="002C7EC9">
        <w:rPr>
          <w:rFonts w:ascii="Bookman Old Style" w:hAnsi="Bookman Old Style" w:cs="Arial"/>
          <w:szCs w:val="24"/>
        </w:rPr>
        <w:t>3</w:t>
      </w:r>
      <w:r w:rsidR="00703C1B" w:rsidRPr="00703C1B">
        <w:rPr>
          <w:rFonts w:ascii="Bookman Old Style" w:hAnsi="Bookman Old Style" w:cs="Arial"/>
          <w:szCs w:val="24"/>
        </w:rPr>
        <w:t xml:space="preserve"> al conjunto de barrios subnormales atendidos por la empresa Energía Social de La Costa S.A. E.S.P.</w:t>
      </w:r>
    </w:p>
    <w:p w:rsidR="00895BC5" w:rsidRPr="00832BF4" w:rsidRDefault="00895BC5" w:rsidP="00045D3D">
      <w:pPr>
        <w:ind w:left="0"/>
        <w:jc w:val="both"/>
        <w:rPr>
          <w:rFonts w:ascii="Bookman Old Style" w:hAnsi="Bookman Old Style"/>
          <w:lang w:val="es-ES_tradnl"/>
        </w:rPr>
      </w:pPr>
    </w:p>
    <w:p w:rsidR="00045D3D" w:rsidRPr="002C7EC9" w:rsidRDefault="00045D3D" w:rsidP="00045D3D">
      <w:pPr>
        <w:suppressAutoHyphens/>
        <w:jc w:val="center"/>
        <w:rPr>
          <w:rFonts w:ascii="Bookman Old Style" w:hAnsi="Bookman Old Style"/>
          <w:b/>
          <w:spacing w:val="-3"/>
          <w:lang w:val="es-ES_tradnl"/>
        </w:rPr>
      </w:pPr>
    </w:p>
    <w:p w:rsidR="00045D3D" w:rsidRPr="00832BF4" w:rsidRDefault="00045D3D" w:rsidP="00045D3D">
      <w:pPr>
        <w:suppressAutoHyphens/>
        <w:jc w:val="center"/>
        <w:rPr>
          <w:rFonts w:ascii="Bookman Old Style" w:hAnsi="Bookman Old Style"/>
          <w:spacing w:val="-3"/>
        </w:rPr>
      </w:pPr>
      <w:r w:rsidRPr="00832BF4">
        <w:rPr>
          <w:rFonts w:ascii="Bookman Old Style" w:hAnsi="Bookman Old Style"/>
          <w:b/>
          <w:spacing w:val="-3"/>
        </w:rPr>
        <w:t>R E S U E L V E:</w:t>
      </w:r>
    </w:p>
    <w:p w:rsidR="00045D3D" w:rsidRDefault="00045D3D" w:rsidP="00045D3D">
      <w:pPr>
        <w:jc w:val="center"/>
        <w:rPr>
          <w:rFonts w:ascii="Bookman Old Style" w:hAnsi="Bookman Old Style"/>
        </w:rPr>
      </w:pPr>
    </w:p>
    <w:p w:rsidR="00703C1B" w:rsidRPr="00832BF4" w:rsidRDefault="00703C1B" w:rsidP="00045D3D">
      <w:pPr>
        <w:jc w:val="center"/>
        <w:rPr>
          <w:rFonts w:ascii="Bookman Old Style" w:hAnsi="Bookman Old Style"/>
        </w:rPr>
      </w:pPr>
    </w:p>
    <w:p w:rsidR="00045D3D" w:rsidRPr="00832BF4" w:rsidRDefault="00045D3D" w:rsidP="00EE3C67">
      <w:pPr>
        <w:ind w:left="0"/>
        <w:jc w:val="both"/>
        <w:rPr>
          <w:rFonts w:ascii="Bookman Old Style" w:hAnsi="Bookman Old Style"/>
          <w:i/>
        </w:rPr>
      </w:pPr>
      <w:r w:rsidRPr="00832BF4">
        <w:rPr>
          <w:rFonts w:ascii="Bookman Old Style" w:hAnsi="Bookman Old Style"/>
          <w:b/>
        </w:rPr>
        <w:t xml:space="preserve">ARTÍCULO 1. </w:t>
      </w:r>
      <w:r w:rsidR="00895BC5" w:rsidRPr="00832BF4">
        <w:rPr>
          <w:rFonts w:ascii="Bookman Old Style" w:hAnsi="Bookman Old Style" w:cs="Arial"/>
          <w:b/>
        </w:rPr>
        <w:t xml:space="preserve">Factor de </w:t>
      </w:r>
      <w:r w:rsidR="00E26EB2" w:rsidRPr="00832BF4">
        <w:rPr>
          <w:rFonts w:ascii="Bookman Old Style" w:hAnsi="Bookman Old Style" w:cs="Arial"/>
          <w:b/>
        </w:rPr>
        <w:t>riesgo de cartera</w:t>
      </w:r>
      <w:r w:rsidR="00895BC5" w:rsidRPr="00832BF4">
        <w:rPr>
          <w:rFonts w:ascii="Bookman Old Style" w:hAnsi="Bookman Old Style" w:cs="Arial"/>
          <w:b/>
        </w:rPr>
        <w:t>.</w:t>
      </w:r>
      <w:r w:rsidR="00895BC5" w:rsidRPr="00832BF4">
        <w:rPr>
          <w:rFonts w:ascii="Bookman Old Style" w:hAnsi="Bookman Old Style" w:cs="Arial"/>
        </w:rPr>
        <w:t xml:space="preserve"> A partir de la vigencia de la presente Resolución, el factor de riesgo de cartera, FRC, que se aplicará durante el año 201</w:t>
      </w:r>
      <w:r w:rsidR="00D0175D">
        <w:rPr>
          <w:rFonts w:ascii="Bookman Old Style" w:hAnsi="Bookman Old Style" w:cs="Arial"/>
        </w:rPr>
        <w:t>3</w:t>
      </w:r>
      <w:r w:rsidR="00895BC5" w:rsidRPr="00832BF4">
        <w:rPr>
          <w:rFonts w:ascii="Bookman Old Style" w:hAnsi="Bookman Old Style" w:cs="Arial"/>
        </w:rPr>
        <w:t xml:space="preserve"> </w:t>
      </w:r>
      <w:r w:rsidR="00033446">
        <w:rPr>
          <w:rFonts w:ascii="Bookman Old Style" w:hAnsi="Bookman Old Style" w:cs="Arial"/>
        </w:rPr>
        <w:t>a</w:t>
      </w:r>
      <w:r w:rsidR="00895BC5" w:rsidRPr="00832BF4">
        <w:rPr>
          <w:rFonts w:ascii="Bookman Old Style" w:hAnsi="Bookman Old Style" w:cs="Arial"/>
        </w:rPr>
        <w:t xml:space="preserve">l conjunto de los </w:t>
      </w:r>
      <w:r w:rsidR="00703C1B" w:rsidRPr="00832BF4">
        <w:rPr>
          <w:rFonts w:ascii="Bookman Old Style" w:hAnsi="Bookman Old Style" w:cs="Arial"/>
        </w:rPr>
        <w:t xml:space="preserve">barrios subnormales </w:t>
      </w:r>
      <w:r w:rsidR="00895BC5" w:rsidRPr="00832BF4">
        <w:rPr>
          <w:rFonts w:ascii="Bookman Old Style" w:hAnsi="Bookman Old Style" w:cs="Arial"/>
        </w:rPr>
        <w:t>atendidos por Energía Social de La Costa S.A. E.S.P, conforme a la</w:t>
      </w:r>
      <w:r w:rsidR="00703C1B">
        <w:rPr>
          <w:rFonts w:ascii="Bookman Old Style" w:hAnsi="Bookman Old Style" w:cs="Arial"/>
        </w:rPr>
        <w:t>s</w:t>
      </w:r>
      <w:r w:rsidR="00895BC5" w:rsidRPr="00832BF4">
        <w:rPr>
          <w:rFonts w:ascii="Bookman Old Style" w:hAnsi="Bookman Old Style" w:cs="Arial"/>
        </w:rPr>
        <w:t xml:space="preserve"> </w:t>
      </w:r>
      <w:r w:rsidR="00703C1B">
        <w:rPr>
          <w:rFonts w:ascii="Bookman Old Style" w:hAnsi="Bookman Old Style" w:cs="Arial"/>
        </w:rPr>
        <w:t>resoluciones</w:t>
      </w:r>
      <w:r w:rsidR="00895BC5" w:rsidRPr="00832BF4">
        <w:rPr>
          <w:rFonts w:ascii="Bookman Old Style" w:hAnsi="Bookman Old Style" w:cs="Arial"/>
        </w:rPr>
        <w:t xml:space="preserve"> CREG 101 de 2006 y 096 de 2011, será de </w:t>
      </w:r>
      <w:r w:rsidR="00D0175D">
        <w:rPr>
          <w:rFonts w:ascii="Bookman Old Style" w:hAnsi="Bookman Old Style" w:cs="Arial"/>
        </w:rPr>
        <w:t>61,28</w:t>
      </w:r>
      <w:r w:rsidR="00895BC5" w:rsidRPr="00832BF4">
        <w:rPr>
          <w:rFonts w:ascii="Bookman Old Style" w:hAnsi="Bookman Old Style" w:cs="Arial"/>
        </w:rPr>
        <w:t>%.</w:t>
      </w:r>
    </w:p>
    <w:p w:rsidR="00045D3D" w:rsidRPr="00832BF4" w:rsidRDefault="00045D3D" w:rsidP="00EE3C67">
      <w:pPr>
        <w:ind w:left="0"/>
        <w:rPr>
          <w:rFonts w:ascii="Bookman Old Style" w:hAnsi="Bookman Old Style"/>
        </w:rPr>
      </w:pPr>
    </w:p>
    <w:p w:rsidR="00895BC5" w:rsidRPr="00832BF4" w:rsidRDefault="00045D3D" w:rsidP="00EE3C67">
      <w:pPr>
        <w:ind w:left="0"/>
        <w:jc w:val="both"/>
        <w:rPr>
          <w:rFonts w:ascii="Bookman Old Style" w:hAnsi="Bookman Old Style" w:cs="Arial"/>
        </w:rPr>
      </w:pPr>
      <w:r w:rsidRPr="00832BF4">
        <w:rPr>
          <w:rFonts w:ascii="Bookman Old Style" w:hAnsi="Bookman Old Style"/>
          <w:b/>
        </w:rPr>
        <w:t>ARTÍCULO 2.</w:t>
      </w:r>
      <w:r w:rsidR="00895BC5" w:rsidRPr="00832BF4">
        <w:rPr>
          <w:rFonts w:ascii="Bookman Old Style" w:hAnsi="Bookman Old Style"/>
          <w:b/>
        </w:rPr>
        <w:t xml:space="preserve"> </w:t>
      </w:r>
      <w:r w:rsidR="00895BC5" w:rsidRPr="00832BF4">
        <w:rPr>
          <w:rFonts w:ascii="Bookman Old Style" w:hAnsi="Bookman Old Style" w:cs="Arial"/>
          <w:b/>
        </w:rPr>
        <w:t xml:space="preserve">Cargo de </w:t>
      </w:r>
      <w:r w:rsidR="00E26EB2" w:rsidRPr="00832BF4">
        <w:rPr>
          <w:rFonts w:ascii="Bookman Old Style" w:hAnsi="Bookman Old Style" w:cs="Arial"/>
          <w:b/>
        </w:rPr>
        <w:t>comercialización</w:t>
      </w:r>
      <w:r w:rsidR="00895BC5" w:rsidRPr="00832BF4">
        <w:rPr>
          <w:rFonts w:ascii="Bookman Old Style" w:hAnsi="Bookman Old Style" w:cs="Arial"/>
          <w:b/>
        </w:rPr>
        <w:t>.</w:t>
      </w:r>
      <w:r w:rsidR="00895BC5" w:rsidRPr="00832BF4">
        <w:rPr>
          <w:rFonts w:ascii="Bookman Old Style" w:hAnsi="Bookman Old Style" w:cs="Arial"/>
        </w:rPr>
        <w:t xml:space="preserve"> A partir de la vigencia de la presente Resolución, el cargo de comercialización, C*, aplicable </w:t>
      </w:r>
      <w:r w:rsidR="00033446">
        <w:rPr>
          <w:rFonts w:ascii="Bookman Old Style" w:hAnsi="Bookman Old Style" w:cs="Arial"/>
        </w:rPr>
        <w:t>a</w:t>
      </w:r>
      <w:r w:rsidR="00895BC5" w:rsidRPr="00832BF4">
        <w:rPr>
          <w:rFonts w:ascii="Bookman Old Style" w:hAnsi="Bookman Old Style" w:cs="Arial"/>
        </w:rPr>
        <w:t xml:space="preserve">l conjunto de los </w:t>
      </w:r>
      <w:r w:rsidR="00033446" w:rsidRPr="00832BF4">
        <w:rPr>
          <w:rFonts w:ascii="Bookman Old Style" w:hAnsi="Bookman Old Style" w:cs="Arial"/>
        </w:rPr>
        <w:t xml:space="preserve">barrios subnormales </w:t>
      </w:r>
      <w:r w:rsidR="00895BC5" w:rsidRPr="00832BF4">
        <w:rPr>
          <w:rFonts w:ascii="Bookman Old Style" w:hAnsi="Bookman Old Style" w:cs="Arial"/>
        </w:rPr>
        <w:t xml:space="preserve">atendidos por Energía Social de La Costa S.A. E.S.P., será el siguiente: </w:t>
      </w:r>
    </w:p>
    <w:p w:rsidR="00895BC5" w:rsidRPr="00E26EB2" w:rsidRDefault="00895BC5" w:rsidP="00E26EB2">
      <w:pPr>
        <w:ind w:left="284" w:right="142"/>
        <w:jc w:val="both"/>
        <w:rPr>
          <w:rFonts w:ascii="Bookman Old Style" w:hAnsi="Bookman Old Style" w:cs="Arial"/>
        </w:rPr>
      </w:pPr>
    </w:p>
    <w:p w:rsidR="00045D3D" w:rsidRPr="00E26EB2" w:rsidRDefault="00895BC5" w:rsidP="00A722E2">
      <w:pPr>
        <w:ind w:left="284" w:right="142"/>
        <w:jc w:val="center"/>
        <w:rPr>
          <w:rFonts w:ascii="Bookman Old Style" w:hAnsi="Bookman Old Style" w:cs="Arial"/>
        </w:rPr>
      </w:pPr>
      <w:r w:rsidRPr="00E26EB2">
        <w:rPr>
          <w:rFonts w:ascii="Bookman Old Style" w:hAnsi="Bookman Old Style" w:cs="Arial"/>
        </w:rPr>
        <w:lastRenderedPageBreak/>
        <w:t>C*</w:t>
      </w:r>
      <w:r w:rsidRPr="00E26EB2">
        <w:rPr>
          <w:rFonts w:ascii="Bookman Old Style" w:hAnsi="Bookman Old Style" w:cs="Arial"/>
          <w:vertAlign w:val="subscript"/>
        </w:rPr>
        <w:t>Enero</w:t>
      </w:r>
      <w:r w:rsidR="00E26EB2" w:rsidRPr="00E26EB2">
        <w:rPr>
          <w:rFonts w:ascii="Bookman Old Style" w:hAnsi="Bookman Old Style" w:cs="Arial"/>
          <w:vertAlign w:val="subscript"/>
        </w:rPr>
        <w:t xml:space="preserve"> </w:t>
      </w:r>
      <w:r w:rsidRPr="00E26EB2">
        <w:rPr>
          <w:rFonts w:ascii="Bookman Old Style" w:hAnsi="Bookman Old Style" w:cs="Arial"/>
          <w:vertAlign w:val="subscript"/>
        </w:rPr>
        <w:t>201</w:t>
      </w:r>
      <w:r w:rsidR="00D0175D">
        <w:rPr>
          <w:rFonts w:ascii="Bookman Old Style" w:hAnsi="Bookman Old Style" w:cs="Arial"/>
          <w:vertAlign w:val="subscript"/>
        </w:rPr>
        <w:t>3</w:t>
      </w:r>
      <w:r w:rsidR="00E26EB2" w:rsidRPr="00E26EB2">
        <w:rPr>
          <w:rFonts w:ascii="Bookman Old Style" w:hAnsi="Bookman Old Style" w:cs="Arial"/>
          <w:vertAlign w:val="subscript"/>
        </w:rPr>
        <w:t xml:space="preserve"> </w:t>
      </w:r>
      <w:r w:rsidR="00065144">
        <w:rPr>
          <w:rFonts w:ascii="Bookman Old Style" w:hAnsi="Bookman Old Style" w:cs="Arial"/>
        </w:rPr>
        <w:t>= $72</w:t>
      </w:r>
      <w:r w:rsidRPr="00E26EB2">
        <w:rPr>
          <w:rFonts w:ascii="Bookman Old Style" w:hAnsi="Bookman Old Style" w:cs="Arial"/>
        </w:rPr>
        <w:t>,</w:t>
      </w:r>
      <w:r w:rsidR="00065144">
        <w:rPr>
          <w:rFonts w:ascii="Bookman Old Style" w:hAnsi="Bookman Old Style" w:cs="Arial"/>
        </w:rPr>
        <w:t>87</w:t>
      </w:r>
      <w:r w:rsidR="00E26EB2">
        <w:rPr>
          <w:rFonts w:ascii="Bookman Old Style" w:hAnsi="Bookman Old Style" w:cs="Arial"/>
        </w:rPr>
        <w:t>/</w:t>
      </w:r>
      <w:proofErr w:type="spellStart"/>
      <w:r w:rsidR="00E26EB2">
        <w:rPr>
          <w:rFonts w:ascii="Bookman Old Style" w:hAnsi="Bookman Old Style" w:cs="Arial"/>
        </w:rPr>
        <w:t>kW</w:t>
      </w:r>
      <w:r w:rsidRPr="00E26EB2">
        <w:rPr>
          <w:rFonts w:ascii="Bookman Old Style" w:hAnsi="Bookman Old Style" w:cs="Arial"/>
        </w:rPr>
        <w:t>h</w:t>
      </w:r>
      <w:proofErr w:type="spellEnd"/>
      <w:r w:rsidRPr="00E26EB2">
        <w:rPr>
          <w:rFonts w:ascii="Bookman Old Style" w:hAnsi="Bookman Old Style" w:cs="Arial"/>
        </w:rPr>
        <w:t>.</w:t>
      </w:r>
    </w:p>
    <w:p w:rsidR="00895BC5" w:rsidRDefault="00895BC5" w:rsidP="00E26EB2">
      <w:pPr>
        <w:ind w:left="284" w:right="142"/>
        <w:jc w:val="both"/>
        <w:rPr>
          <w:rFonts w:ascii="Bookman Old Style" w:hAnsi="Bookman Old Style"/>
          <w:i/>
        </w:rPr>
      </w:pPr>
    </w:p>
    <w:p w:rsidR="00EE3C67" w:rsidRPr="00E26EB2" w:rsidRDefault="00EE3C67" w:rsidP="00E26EB2">
      <w:pPr>
        <w:ind w:left="284" w:right="142"/>
        <w:jc w:val="both"/>
        <w:rPr>
          <w:rFonts w:ascii="Bookman Old Style" w:hAnsi="Bookman Old Style"/>
          <w:i/>
        </w:rPr>
      </w:pPr>
    </w:p>
    <w:p w:rsidR="00045D3D" w:rsidRPr="00832BF4" w:rsidRDefault="00A423C6" w:rsidP="00EE3C67">
      <w:pPr>
        <w:ind w:left="0"/>
        <w:jc w:val="both"/>
        <w:rPr>
          <w:rFonts w:ascii="Bookman Old Style" w:hAnsi="Bookman Old Style" w:cs="Arial"/>
        </w:rPr>
      </w:pPr>
      <w:r w:rsidRPr="00832BF4">
        <w:rPr>
          <w:rFonts w:ascii="Bookman Old Style" w:hAnsi="Bookman Old Style" w:cs="Arial"/>
          <w:b/>
          <w:bCs/>
        </w:rPr>
        <w:t>Parágrafo</w:t>
      </w:r>
      <w:r w:rsidR="00935EC4" w:rsidRPr="00832BF4">
        <w:rPr>
          <w:rFonts w:ascii="Bookman Old Style" w:hAnsi="Bookman Old Style" w:cs="Arial"/>
          <w:b/>
          <w:bCs/>
        </w:rPr>
        <w:t>.</w:t>
      </w:r>
      <w:r w:rsidR="00895BC5" w:rsidRPr="00832BF4">
        <w:rPr>
          <w:rFonts w:ascii="Bookman Old Style" w:hAnsi="Bookman Old Style" w:cs="Arial"/>
        </w:rPr>
        <w:t xml:space="preserve"> El cargo de comercialización de que trata este artículo se actualizará de conformidad con lo establecido en la Resolución CREG 031 de 1997 y la Resolución CREG 119 de 2007.</w:t>
      </w:r>
    </w:p>
    <w:p w:rsidR="00062963" w:rsidRPr="00832BF4" w:rsidRDefault="00062963" w:rsidP="00EE3C67">
      <w:pPr>
        <w:ind w:left="0"/>
        <w:jc w:val="both"/>
        <w:rPr>
          <w:rFonts w:ascii="Bookman Old Style" w:hAnsi="Bookman Old Style" w:cs="Arial"/>
        </w:rPr>
      </w:pPr>
    </w:p>
    <w:p w:rsidR="00935EC4" w:rsidRPr="00832BF4" w:rsidRDefault="00935EC4" w:rsidP="00EE3C67">
      <w:pPr>
        <w:ind w:left="0"/>
        <w:jc w:val="both"/>
        <w:rPr>
          <w:rFonts w:ascii="Bookman Old Style" w:hAnsi="Bookman Old Style" w:cs="Arial"/>
        </w:rPr>
      </w:pPr>
      <w:r w:rsidRPr="00033446">
        <w:rPr>
          <w:rFonts w:ascii="Bookman Old Style" w:hAnsi="Bookman Old Style"/>
          <w:b/>
        </w:rPr>
        <w:t>ARTÍCULO 3.</w:t>
      </w:r>
      <w:r w:rsidR="00062963" w:rsidRPr="00033446">
        <w:rPr>
          <w:rFonts w:ascii="Bookman Old Style" w:hAnsi="Bookman Old Style" w:cs="Arial"/>
        </w:rPr>
        <w:t xml:space="preserve"> </w:t>
      </w:r>
      <w:r w:rsidRPr="00033446">
        <w:rPr>
          <w:rFonts w:ascii="Bookman Old Style" w:hAnsi="Bookman Old Style" w:cs="Arial"/>
        </w:rPr>
        <w:t xml:space="preserve">En el evento en que </w:t>
      </w:r>
      <w:r w:rsidR="00F607B6" w:rsidRPr="00033446">
        <w:rPr>
          <w:rFonts w:ascii="Bookman Old Style" w:hAnsi="Bookman Old Style" w:cs="Arial"/>
        </w:rPr>
        <w:t xml:space="preserve">durante la vigencia de la presente Resolución </w:t>
      </w:r>
      <w:r w:rsidRPr="00033446">
        <w:rPr>
          <w:rFonts w:ascii="Bookman Old Style" w:hAnsi="Bookman Old Style" w:cs="Arial"/>
        </w:rPr>
        <w:t xml:space="preserve">el Ministerio de Minas y Energía le informe a esta Comisión el giro de recursos adicionales del FOES a la empresa Energía Social de La Costa S.A. E.S.P., </w:t>
      </w:r>
      <w:r w:rsidR="00065144">
        <w:rPr>
          <w:rFonts w:ascii="Bookman Old Style" w:hAnsi="Bookman Old Style" w:cs="Arial"/>
        </w:rPr>
        <w:t>correspondientes al año 2012</w:t>
      </w:r>
      <w:r w:rsidR="00033446" w:rsidRPr="00033446">
        <w:rPr>
          <w:rFonts w:ascii="Bookman Old Style" w:hAnsi="Bookman Old Style" w:cs="Arial"/>
        </w:rPr>
        <w:t xml:space="preserve">, </w:t>
      </w:r>
      <w:r w:rsidRPr="00033446">
        <w:rPr>
          <w:rFonts w:ascii="Bookman Old Style" w:hAnsi="Bookman Old Style" w:cs="Arial"/>
        </w:rPr>
        <w:t>e</w:t>
      </w:r>
      <w:r w:rsidR="00062963" w:rsidRPr="00033446">
        <w:rPr>
          <w:rFonts w:ascii="Bookman Old Style" w:hAnsi="Bookman Old Style" w:cs="Arial"/>
        </w:rPr>
        <w:t>l factor de riesgo de cartera</w:t>
      </w:r>
      <w:r w:rsidR="00033446" w:rsidRPr="00033446">
        <w:rPr>
          <w:rFonts w:ascii="Bookman Old Style" w:hAnsi="Bookman Old Style" w:cs="Arial"/>
        </w:rPr>
        <w:t>,</w:t>
      </w:r>
      <w:r w:rsidRPr="00033446">
        <w:rPr>
          <w:rFonts w:ascii="Bookman Old Style" w:hAnsi="Bookman Old Style" w:cs="Arial"/>
        </w:rPr>
        <w:t xml:space="preserve"> FRC, así como </w:t>
      </w:r>
      <w:r w:rsidR="00062963" w:rsidRPr="00033446">
        <w:rPr>
          <w:rFonts w:ascii="Bookman Old Style" w:hAnsi="Bookman Old Style" w:cs="Arial"/>
        </w:rPr>
        <w:t>el cargo de comercialización</w:t>
      </w:r>
      <w:r w:rsidR="00033446" w:rsidRPr="00033446">
        <w:rPr>
          <w:rFonts w:ascii="Bookman Old Style" w:hAnsi="Bookman Old Style" w:cs="Arial"/>
        </w:rPr>
        <w:t>, C*,</w:t>
      </w:r>
      <w:r w:rsidR="00062963" w:rsidRPr="00033446">
        <w:rPr>
          <w:rFonts w:ascii="Bookman Old Style" w:hAnsi="Bookman Old Style" w:cs="Arial"/>
        </w:rPr>
        <w:t xml:space="preserve"> aplicable</w:t>
      </w:r>
      <w:r w:rsidR="00033446" w:rsidRPr="00033446">
        <w:rPr>
          <w:rFonts w:ascii="Bookman Old Style" w:hAnsi="Bookman Old Style" w:cs="Arial"/>
        </w:rPr>
        <w:t>s</w:t>
      </w:r>
      <w:r w:rsidR="00062963" w:rsidRPr="00033446">
        <w:rPr>
          <w:rFonts w:ascii="Bookman Old Style" w:hAnsi="Bookman Old Style" w:cs="Arial"/>
        </w:rPr>
        <w:t xml:space="preserve"> </w:t>
      </w:r>
      <w:r w:rsidRPr="00033446">
        <w:rPr>
          <w:rFonts w:ascii="Bookman Old Style" w:hAnsi="Bookman Old Style" w:cs="Arial"/>
        </w:rPr>
        <w:t>durante el año 201</w:t>
      </w:r>
      <w:r w:rsidR="00065144">
        <w:rPr>
          <w:rFonts w:ascii="Bookman Old Style" w:hAnsi="Bookman Old Style" w:cs="Arial"/>
        </w:rPr>
        <w:t>3</w:t>
      </w:r>
      <w:r w:rsidRPr="00033446">
        <w:rPr>
          <w:rFonts w:ascii="Bookman Old Style" w:hAnsi="Bookman Old Style" w:cs="Arial"/>
        </w:rPr>
        <w:t xml:space="preserve">, </w:t>
      </w:r>
      <w:r w:rsidR="00062963" w:rsidRPr="00033446">
        <w:rPr>
          <w:rFonts w:ascii="Bookman Old Style" w:hAnsi="Bookman Old Style" w:cs="Arial"/>
        </w:rPr>
        <w:t>será</w:t>
      </w:r>
      <w:r w:rsidRPr="00033446">
        <w:rPr>
          <w:rFonts w:ascii="Bookman Old Style" w:hAnsi="Bookman Old Style" w:cs="Arial"/>
        </w:rPr>
        <w:t>n</w:t>
      </w:r>
      <w:r w:rsidR="00062963" w:rsidRPr="00033446">
        <w:rPr>
          <w:rFonts w:ascii="Bookman Old Style" w:hAnsi="Bookman Old Style" w:cs="Arial"/>
        </w:rPr>
        <w:t xml:space="preserve"> actualizados </w:t>
      </w:r>
      <w:r w:rsidRPr="00033446">
        <w:rPr>
          <w:rFonts w:ascii="Bookman Old Style" w:hAnsi="Bookman Old Style" w:cs="Arial"/>
        </w:rPr>
        <w:t xml:space="preserve">conforme a </w:t>
      </w:r>
      <w:r w:rsidR="00062963" w:rsidRPr="00033446">
        <w:rPr>
          <w:rFonts w:ascii="Bookman Old Style" w:hAnsi="Bookman Old Style" w:cs="Arial"/>
        </w:rPr>
        <w:t>la metodología establecida en las resoluciones CREG 101 de 2006 y 096 de 2011</w:t>
      </w:r>
      <w:r w:rsidRPr="00033446">
        <w:rPr>
          <w:rFonts w:ascii="Bookman Old Style" w:hAnsi="Bookman Old Style" w:cs="Arial"/>
        </w:rPr>
        <w:t>.</w:t>
      </w:r>
    </w:p>
    <w:p w:rsidR="00935EC4" w:rsidRPr="00832BF4" w:rsidRDefault="00935EC4" w:rsidP="00EE3C67">
      <w:pPr>
        <w:ind w:left="0"/>
        <w:jc w:val="both"/>
        <w:rPr>
          <w:rFonts w:ascii="Bookman Old Style" w:hAnsi="Bookman Old Style" w:cs="Arial"/>
        </w:rPr>
      </w:pPr>
    </w:p>
    <w:p w:rsidR="002D158B" w:rsidRPr="00832BF4" w:rsidRDefault="00935EC4" w:rsidP="00EE3C67">
      <w:pPr>
        <w:ind w:left="0"/>
        <w:jc w:val="both"/>
        <w:rPr>
          <w:rFonts w:ascii="Bookman Old Style" w:hAnsi="Bookman Old Style" w:cs="Arial"/>
        </w:rPr>
      </w:pPr>
      <w:r w:rsidRPr="00832BF4">
        <w:rPr>
          <w:rFonts w:ascii="Bookman Old Style" w:hAnsi="Bookman Old Style" w:cs="Arial"/>
          <w:b/>
        </w:rPr>
        <w:t>ARTÍCULO 4</w:t>
      </w:r>
      <w:r w:rsidR="002D158B" w:rsidRPr="00832BF4">
        <w:rPr>
          <w:rFonts w:ascii="Bookman Old Style" w:hAnsi="Bookman Old Style" w:cs="Arial"/>
          <w:bCs/>
        </w:rPr>
        <w:t>.</w:t>
      </w:r>
      <w:r w:rsidR="002D158B" w:rsidRPr="00832BF4">
        <w:rPr>
          <w:rFonts w:ascii="Bookman Old Style" w:hAnsi="Bookman Old Style" w:cs="Arial"/>
          <w:b/>
        </w:rPr>
        <w:t xml:space="preserve"> </w:t>
      </w:r>
      <w:r w:rsidR="002D158B" w:rsidRPr="00832BF4">
        <w:rPr>
          <w:rFonts w:ascii="Bookman Old Style" w:hAnsi="Bookman Old Style" w:cs="Arial"/>
        </w:rPr>
        <w:t xml:space="preserve">La presente resolución deberá notificarse a Energía Social de La Costa S.A. E.S.P. y publicarse en el </w:t>
      </w:r>
      <w:r w:rsidR="002D158B" w:rsidRPr="00885760">
        <w:rPr>
          <w:rFonts w:ascii="Bookman Old Style" w:hAnsi="Bookman Old Style" w:cs="Arial"/>
          <w:i/>
        </w:rPr>
        <w:t>Diario Oficial</w:t>
      </w:r>
      <w:r w:rsidR="002D158B" w:rsidRPr="00832BF4">
        <w:rPr>
          <w:rFonts w:ascii="Bookman Old Style" w:hAnsi="Bookman Old Style" w:cs="Arial"/>
        </w:rPr>
        <w:t>. Contra las disposiciones contenidas en esta Resolución procede el recurso de reposición, el cual podrá interponerse ante la Dirección Ejecutiva de la CREG dentro de los cinco (5) días hábile</w:t>
      </w:r>
      <w:r w:rsidR="00E26EB2">
        <w:rPr>
          <w:rFonts w:ascii="Bookman Old Style" w:hAnsi="Bookman Old Style" w:cs="Arial"/>
        </w:rPr>
        <w:t>s siguientes a su notificación.</w:t>
      </w:r>
    </w:p>
    <w:p w:rsidR="00895BC5" w:rsidRPr="00832BF4" w:rsidRDefault="00895BC5" w:rsidP="00E26EB2">
      <w:pPr>
        <w:ind w:left="0" w:right="142"/>
        <w:jc w:val="both"/>
        <w:rPr>
          <w:rFonts w:ascii="Bookman Old Style" w:hAnsi="Bookman Old Style" w:cs="Arial"/>
        </w:rPr>
      </w:pPr>
    </w:p>
    <w:p w:rsidR="002D158B" w:rsidRPr="00832BF4" w:rsidRDefault="002D158B" w:rsidP="00E26EB2">
      <w:pPr>
        <w:ind w:left="0" w:right="142"/>
        <w:jc w:val="both"/>
        <w:rPr>
          <w:rFonts w:ascii="Bookman Old Style" w:hAnsi="Bookman Old Style" w:cs="Arial"/>
        </w:rPr>
      </w:pPr>
    </w:p>
    <w:p w:rsidR="00045D3D" w:rsidRPr="00832BF4" w:rsidRDefault="00F607B6" w:rsidP="00045D3D">
      <w:pPr>
        <w:jc w:val="center"/>
        <w:rPr>
          <w:rFonts w:ascii="Bookman Old Style" w:hAnsi="Bookman Old Style"/>
          <w:b/>
        </w:rPr>
      </w:pPr>
      <w:r w:rsidRPr="00832BF4">
        <w:rPr>
          <w:rFonts w:ascii="Bookman Old Style" w:hAnsi="Bookman Old Style"/>
          <w:b/>
        </w:rPr>
        <w:t xml:space="preserve">NOTIFÍQUESE, </w:t>
      </w:r>
      <w:r w:rsidR="00045D3D" w:rsidRPr="00832BF4">
        <w:rPr>
          <w:rFonts w:ascii="Bookman Old Style" w:hAnsi="Bookman Old Style"/>
          <w:b/>
        </w:rPr>
        <w:t>PULÍQUESE Y CÚMPLASE</w:t>
      </w:r>
    </w:p>
    <w:p w:rsidR="00045D3D" w:rsidRDefault="00045D3D" w:rsidP="00045D3D">
      <w:pPr>
        <w:rPr>
          <w:rFonts w:ascii="Bookman Old Style" w:hAnsi="Bookman Old Style"/>
        </w:rPr>
      </w:pPr>
    </w:p>
    <w:p w:rsidR="00EE3C67" w:rsidRPr="00832BF4" w:rsidRDefault="00EE3C67" w:rsidP="00045D3D">
      <w:pPr>
        <w:rPr>
          <w:rFonts w:ascii="Bookman Old Style" w:hAnsi="Bookman Old Style"/>
        </w:rPr>
      </w:pPr>
    </w:p>
    <w:p w:rsidR="00045D3D" w:rsidRPr="00832BF4" w:rsidRDefault="00045D3D" w:rsidP="00045D3D">
      <w:pPr>
        <w:ind w:left="0"/>
        <w:rPr>
          <w:rFonts w:ascii="Bookman Old Style" w:hAnsi="Bookman Old Style"/>
        </w:rPr>
      </w:pPr>
      <w:r w:rsidRPr="00832BF4">
        <w:rPr>
          <w:rFonts w:ascii="Bookman Old Style" w:hAnsi="Bookman Old Style"/>
        </w:rPr>
        <w:t>Dada en Bogotá, D.C.</w:t>
      </w:r>
    </w:p>
    <w:p w:rsidR="00045D3D" w:rsidRDefault="00045D3D" w:rsidP="00045D3D">
      <w:pPr>
        <w:ind w:left="0"/>
        <w:rPr>
          <w:rFonts w:ascii="Bookman Old Style" w:hAnsi="Bookman Old Style"/>
        </w:rPr>
      </w:pPr>
    </w:p>
    <w:p w:rsidR="00033446" w:rsidRPr="00832BF4" w:rsidRDefault="00033446" w:rsidP="00045D3D">
      <w:pPr>
        <w:ind w:left="0"/>
        <w:rPr>
          <w:rFonts w:ascii="Bookman Old Style" w:hAnsi="Bookman Old Style"/>
        </w:rPr>
      </w:pPr>
    </w:p>
    <w:p w:rsidR="00045D3D" w:rsidRPr="00832BF4" w:rsidRDefault="00045D3D" w:rsidP="00045D3D">
      <w:pPr>
        <w:ind w:left="0"/>
        <w:rPr>
          <w:rFonts w:ascii="Bookman Old Style" w:hAnsi="Bookman Old Style"/>
        </w:rPr>
      </w:pPr>
    </w:p>
    <w:p w:rsidR="00045D3D" w:rsidRPr="00832BF4" w:rsidRDefault="00045D3D" w:rsidP="00045D3D">
      <w:pPr>
        <w:ind w:left="0"/>
        <w:rPr>
          <w:rFonts w:ascii="Bookman Old Style" w:hAnsi="Bookman Old Style"/>
        </w:rPr>
      </w:pPr>
    </w:p>
    <w:p w:rsidR="00045D3D" w:rsidRPr="00832BF4" w:rsidRDefault="00045D3D" w:rsidP="00045D3D">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EE3C67" w:rsidRPr="00832BF4" w:rsidTr="006B6194">
        <w:trPr>
          <w:jc w:val="right"/>
        </w:trPr>
        <w:tc>
          <w:tcPr>
            <w:tcW w:w="4503" w:type="dxa"/>
          </w:tcPr>
          <w:p w:rsidR="00EE3C67" w:rsidRDefault="00EE3C67">
            <w:pPr>
              <w:snapToGrid w:val="0"/>
              <w:jc w:val="center"/>
              <w:rPr>
                <w:rFonts w:ascii="Bookman Old Style" w:hAnsi="Bookman Old Style" w:cs="Arial"/>
                <w:b/>
                <w:bCs/>
                <w:color w:val="000000"/>
              </w:rPr>
            </w:pPr>
            <w:r>
              <w:rPr>
                <w:rFonts w:ascii="Bookman Old Style" w:hAnsi="Bookman Old Style" w:cs="Arial"/>
                <w:b/>
                <w:bCs/>
                <w:color w:val="000000"/>
              </w:rPr>
              <w:t>FEDERICO RENGIFO VÉLEZ</w:t>
            </w:r>
          </w:p>
        </w:tc>
        <w:tc>
          <w:tcPr>
            <w:tcW w:w="5258" w:type="dxa"/>
          </w:tcPr>
          <w:p w:rsidR="00EE3C67" w:rsidRDefault="00EE3C67">
            <w:pPr>
              <w:snapToGrid w:val="0"/>
              <w:jc w:val="center"/>
              <w:rPr>
                <w:rFonts w:ascii="Bookman Old Style" w:hAnsi="Bookman Old Style" w:cs="Arial"/>
                <w:b/>
                <w:bCs/>
                <w:color w:val="000000"/>
              </w:rPr>
            </w:pPr>
            <w:r>
              <w:rPr>
                <w:rFonts w:ascii="Bookman Old Style" w:hAnsi="Bookman Old Style" w:cs="Arial"/>
                <w:b/>
                <w:bCs/>
                <w:color w:val="000000"/>
              </w:rPr>
              <w:t>GERMÁN CASTRO FERREIRA</w:t>
            </w:r>
          </w:p>
        </w:tc>
      </w:tr>
      <w:tr w:rsidR="00EE3C67" w:rsidRPr="00832BF4" w:rsidTr="006B6194">
        <w:trPr>
          <w:jc w:val="right"/>
        </w:trPr>
        <w:tc>
          <w:tcPr>
            <w:tcW w:w="4503" w:type="dxa"/>
          </w:tcPr>
          <w:p w:rsidR="00EE3C67" w:rsidRDefault="00EE3C67">
            <w:pPr>
              <w:snapToGrid w:val="0"/>
              <w:jc w:val="center"/>
              <w:rPr>
                <w:rFonts w:ascii="Bookman Old Style" w:hAnsi="Bookman Old Style" w:cs="Arial"/>
                <w:color w:val="000000"/>
              </w:rPr>
            </w:pPr>
            <w:r>
              <w:rPr>
                <w:rFonts w:ascii="Bookman Old Style" w:hAnsi="Bookman Old Style" w:cs="Arial"/>
                <w:color w:val="000000"/>
              </w:rPr>
              <w:t>Ministro de Minas y Energía</w:t>
            </w:r>
          </w:p>
        </w:tc>
        <w:tc>
          <w:tcPr>
            <w:tcW w:w="5258" w:type="dxa"/>
          </w:tcPr>
          <w:p w:rsidR="00EE3C67" w:rsidRDefault="00EE3C67">
            <w:pPr>
              <w:snapToGrid w:val="0"/>
              <w:jc w:val="center"/>
              <w:rPr>
                <w:rFonts w:ascii="Bookman Old Style" w:hAnsi="Bookman Old Style" w:cs="Arial"/>
                <w:color w:val="000000"/>
              </w:rPr>
            </w:pPr>
            <w:r>
              <w:rPr>
                <w:rFonts w:ascii="Bookman Old Style" w:hAnsi="Bookman Old Style" w:cs="Arial"/>
                <w:color w:val="000000"/>
              </w:rPr>
              <w:t>Director Ejecutivo</w:t>
            </w:r>
          </w:p>
        </w:tc>
      </w:tr>
      <w:tr w:rsidR="00EE3C67" w:rsidRPr="00832BF4" w:rsidTr="006B6194">
        <w:trPr>
          <w:jc w:val="right"/>
        </w:trPr>
        <w:tc>
          <w:tcPr>
            <w:tcW w:w="4503" w:type="dxa"/>
          </w:tcPr>
          <w:p w:rsidR="00EE3C67" w:rsidRDefault="00EE3C67">
            <w:pPr>
              <w:snapToGrid w:val="0"/>
              <w:jc w:val="center"/>
              <w:rPr>
                <w:rFonts w:ascii="Bookman Old Style" w:hAnsi="Bookman Old Style" w:cs="Arial"/>
                <w:color w:val="000000"/>
              </w:rPr>
            </w:pPr>
            <w:r>
              <w:rPr>
                <w:rFonts w:ascii="Bookman Old Style" w:hAnsi="Bookman Old Style" w:cs="Arial"/>
                <w:color w:val="000000"/>
              </w:rPr>
              <w:t>Presidente</w:t>
            </w:r>
          </w:p>
        </w:tc>
        <w:tc>
          <w:tcPr>
            <w:tcW w:w="5258" w:type="dxa"/>
          </w:tcPr>
          <w:p w:rsidR="00EE3C67" w:rsidRDefault="00EE3C67">
            <w:pPr>
              <w:snapToGrid w:val="0"/>
              <w:rPr>
                <w:rFonts w:ascii="Bookman Old Style" w:hAnsi="Bookman Old Style" w:cs="Arial"/>
                <w:color w:val="000000"/>
              </w:rPr>
            </w:pPr>
          </w:p>
        </w:tc>
      </w:tr>
    </w:tbl>
    <w:p w:rsidR="002D158B" w:rsidRPr="00832BF4" w:rsidRDefault="002D158B" w:rsidP="00045D3D">
      <w:pPr>
        <w:ind w:left="0"/>
        <w:rPr>
          <w:rFonts w:ascii="Bookman Old Style" w:hAnsi="Bookman Old Style"/>
          <w:bCs/>
          <w:lang w:val="es-CO"/>
        </w:rPr>
      </w:pPr>
    </w:p>
    <w:p w:rsidR="002D158B" w:rsidRPr="00832BF4" w:rsidRDefault="002D158B" w:rsidP="00E26EB2">
      <w:pPr>
        <w:ind w:left="0"/>
        <w:jc w:val="center"/>
        <w:rPr>
          <w:rFonts w:ascii="Bookman Old Style" w:hAnsi="Bookman Old Style" w:cs="Arial"/>
          <w:b/>
        </w:rPr>
      </w:pPr>
      <w:r w:rsidRPr="00832BF4">
        <w:rPr>
          <w:rFonts w:ascii="Bookman Old Style" w:hAnsi="Bookman Old Style"/>
          <w:bCs/>
          <w:lang w:val="es-CO"/>
        </w:rPr>
        <w:br w:type="page"/>
      </w:r>
      <w:r w:rsidRPr="00832BF4">
        <w:rPr>
          <w:rFonts w:ascii="Bookman Old Style" w:hAnsi="Bookman Old Style" w:cs="Arial"/>
          <w:b/>
        </w:rPr>
        <w:lastRenderedPageBreak/>
        <w:t>ANEXO 1</w:t>
      </w:r>
    </w:p>
    <w:p w:rsidR="002D158B" w:rsidRPr="00832BF4" w:rsidRDefault="002D158B" w:rsidP="002D158B">
      <w:pPr>
        <w:jc w:val="center"/>
        <w:rPr>
          <w:rFonts w:ascii="Bookman Old Style" w:hAnsi="Bookman Old Style" w:cs="Arial"/>
          <w:b/>
        </w:rPr>
      </w:pPr>
    </w:p>
    <w:p w:rsidR="002D158B" w:rsidRPr="00832BF4" w:rsidRDefault="002D158B" w:rsidP="00E26EB2">
      <w:pPr>
        <w:ind w:left="0"/>
        <w:jc w:val="center"/>
        <w:rPr>
          <w:rFonts w:ascii="Bookman Old Style" w:hAnsi="Bookman Old Style" w:cs="Arial"/>
          <w:b/>
        </w:rPr>
      </w:pPr>
      <w:r w:rsidRPr="00832BF4">
        <w:rPr>
          <w:rFonts w:ascii="Bookman Old Style" w:hAnsi="Bookman Old Style" w:cs="Arial"/>
          <w:b/>
        </w:rPr>
        <w:t>CONSUMO FACTURADO MEDIO</w:t>
      </w:r>
      <w:r w:rsidR="00E26EB2">
        <w:rPr>
          <w:rFonts w:ascii="Bookman Old Style" w:hAnsi="Bookman Old Style" w:cs="Arial"/>
          <w:b/>
        </w:rPr>
        <w:t xml:space="preserve"> Y CARGO DE COMERCIALIZACIÓN</w:t>
      </w:r>
    </w:p>
    <w:p w:rsidR="002D158B" w:rsidRPr="00832BF4" w:rsidRDefault="002D158B" w:rsidP="002D158B">
      <w:pPr>
        <w:jc w:val="center"/>
        <w:rPr>
          <w:rFonts w:ascii="Bookman Old Style" w:hAnsi="Bookman Old Style" w:cs="Arial"/>
          <w:b/>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0"/>
        <w:gridCol w:w="1413"/>
        <w:gridCol w:w="1014"/>
        <w:gridCol w:w="1739"/>
        <w:gridCol w:w="1106"/>
        <w:gridCol w:w="878"/>
        <w:gridCol w:w="969"/>
      </w:tblGrid>
      <w:tr w:rsidR="002D158B" w:rsidRPr="00832BF4" w:rsidTr="002D158B">
        <w:trPr>
          <w:trHeight w:val="255"/>
          <w:jc w:val="center"/>
        </w:trPr>
        <w:tc>
          <w:tcPr>
            <w:tcW w:w="1633" w:type="dxa"/>
            <w:shd w:val="clear" w:color="auto" w:fill="auto"/>
            <w:noWrap/>
            <w:vAlign w:val="bottom"/>
            <w:hideMark/>
          </w:tcPr>
          <w:p w:rsidR="002D158B" w:rsidRPr="00832BF4" w:rsidRDefault="002D158B" w:rsidP="00065144">
            <w:pPr>
              <w:ind w:left="0"/>
              <w:jc w:val="center"/>
              <w:rPr>
                <w:rFonts w:ascii="Bookman Old Style" w:hAnsi="Bookman Old Style" w:cs="Arial"/>
                <w:b/>
                <w:bCs/>
              </w:rPr>
            </w:pPr>
            <w:r w:rsidRPr="00832BF4">
              <w:rPr>
                <w:rFonts w:ascii="Bookman Old Style" w:hAnsi="Bookman Old Style" w:cs="Arial"/>
                <w:b/>
                <w:bCs/>
              </w:rPr>
              <w:t>Consumo</w:t>
            </w:r>
            <w:r w:rsidR="00847E74" w:rsidRPr="00832BF4">
              <w:rPr>
                <w:rFonts w:ascii="Bookman Old Style" w:hAnsi="Bookman Old Style" w:cs="Arial"/>
                <w:b/>
                <w:bCs/>
              </w:rPr>
              <w:t xml:space="preserve"> (201</w:t>
            </w:r>
            <w:r w:rsidR="00065144">
              <w:rPr>
                <w:rFonts w:ascii="Bookman Old Style" w:hAnsi="Bookman Old Style" w:cs="Arial"/>
                <w:b/>
                <w:bCs/>
              </w:rPr>
              <w:t>2</w:t>
            </w:r>
            <w:r w:rsidR="00847E74" w:rsidRPr="00832BF4">
              <w:rPr>
                <w:rFonts w:ascii="Bookman Old Style" w:hAnsi="Bookman Old Style" w:cs="Arial"/>
                <w:b/>
                <w:bCs/>
              </w:rPr>
              <w:t>)</w:t>
            </w:r>
          </w:p>
        </w:tc>
        <w:tc>
          <w:tcPr>
            <w:tcW w:w="1336" w:type="dxa"/>
            <w:shd w:val="clear" w:color="auto" w:fill="auto"/>
            <w:noWrap/>
            <w:vAlign w:val="bottom"/>
            <w:hideMark/>
          </w:tcPr>
          <w:p w:rsidR="002D158B" w:rsidRPr="00832BF4" w:rsidRDefault="002D158B" w:rsidP="002D158B">
            <w:pPr>
              <w:ind w:left="0"/>
              <w:jc w:val="center"/>
              <w:rPr>
                <w:rFonts w:ascii="Bookman Old Style" w:hAnsi="Bookman Old Style" w:cs="Arial"/>
                <w:b/>
                <w:bCs/>
              </w:rPr>
            </w:pPr>
            <w:r w:rsidRPr="00832BF4">
              <w:rPr>
                <w:rFonts w:ascii="Bookman Old Style" w:hAnsi="Bookman Old Style" w:cs="Arial"/>
                <w:b/>
                <w:bCs/>
              </w:rPr>
              <w:t>Facturas</w:t>
            </w:r>
            <w:r w:rsidR="00065144">
              <w:rPr>
                <w:rFonts w:ascii="Bookman Old Style" w:hAnsi="Bookman Old Style" w:cs="Arial"/>
                <w:b/>
                <w:bCs/>
              </w:rPr>
              <w:t xml:space="preserve"> (2012</w:t>
            </w:r>
            <w:r w:rsidR="00847E74" w:rsidRPr="00832BF4">
              <w:rPr>
                <w:rFonts w:ascii="Bookman Old Style" w:hAnsi="Bookman Old Style" w:cs="Arial"/>
                <w:b/>
                <w:bCs/>
              </w:rPr>
              <w:t>)</w:t>
            </w:r>
          </w:p>
        </w:tc>
        <w:tc>
          <w:tcPr>
            <w:tcW w:w="1014" w:type="dxa"/>
            <w:shd w:val="clear" w:color="auto" w:fill="auto"/>
            <w:noWrap/>
            <w:vAlign w:val="bottom"/>
            <w:hideMark/>
          </w:tcPr>
          <w:p w:rsidR="002D158B" w:rsidRPr="00832BF4" w:rsidRDefault="002D158B" w:rsidP="00065144">
            <w:pPr>
              <w:ind w:left="0"/>
              <w:jc w:val="center"/>
              <w:rPr>
                <w:rFonts w:ascii="Bookman Old Style" w:hAnsi="Bookman Old Style" w:cs="Arial"/>
                <w:b/>
                <w:bCs/>
              </w:rPr>
            </w:pPr>
            <w:r w:rsidRPr="00832BF4">
              <w:rPr>
                <w:rFonts w:ascii="Bookman Old Style" w:hAnsi="Bookman Old Style" w:cs="Arial"/>
                <w:b/>
                <w:bCs/>
              </w:rPr>
              <w:t>CFM</w:t>
            </w:r>
            <w:r w:rsidR="00847E74" w:rsidRPr="00832BF4">
              <w:rPr>
                <w:rFonts w:ascii="Bookman Old Style" w:hAnsi="Bookman Old Style" w:cs="Arial"/>
                <w:b/>
                <w:bCs/>
              </w:rPr>
              <w:t xml:space="preserve"> (201</w:t>
            </w:r>
            <w:r w:rsidR="00065144">
              <w:rPr>
                <w:rFonts w:ascii="Bookman Old Style" w:hAnsi="Bookman Old Style" w:cs="Arial"/>
                <w:b/>
                <w:bCs/>
              </w:rPr>
              <w:t>2</w:t>
            </w:r>
            <w:r w:rsidR="00847E74" w:rsidRPr="00832BF4">
              <w:rPr>
                <w:rFonts w:ascii="Bookman Old Style" w:hAnsi="Bookman Old Style" w:cs="Arial"/>
                <w:b/>
                <w:bCs/>
              </w:rPr>
              <w:t>)</w:t>
            </w:r>
          </w:p>
        </w:tc>
        <w:tc>
          <w:tcPr>
            <w:tcW w:w="1739" w:type="dxa"/>
            <w:shd w:val="clear" w:color="auto" w:fill="auto"/>
            <w:vAlign w:val="bottom"/>
            <w:hideMark/>
          </w:tcPr>
          <w:p w:rsidR="002D158B" w:rsidRPr="00832BF4" w:rsidRDefault="002D158B" w:rsidP="00065144">
            <w:pPr>
              <w:ind w:left="0"/>
              <w:jc w:val="center"/>
              <w:rPr>
                <w:rFonts w:ascii="Bookman Old Style" w:hAnsi="Bookman Old Style" w:cs="Arial"/>
                <w:b/>
                <w:bCs/>
              </w:rPr>
            </w:pPr>
            <w:r w:rsidRPr="00832BF4">
              <w:rPr>
                <w:rFonts w:ascii="Bookman Old Style" w:hAnsi="Bookman Old Style" w:cs="Arial"/>
                <w:b/>
                <w:bCs/>
              </w:rPr>
              <w:t xml:space="preserve">Co </w:t>
            </w:r>
            <w:proofErr w:type="spellStart"/>
            <w:r w:rsidRPr="00832BF4">
              <w:rPr>
                <w:rFonts w:ascii="Bookman Old Style" w:hAnsi="Bookman Old Style" w:cs="Arial"/>
                <w:b/>
                <w:bCs/>
              </w:rPr>
              <w:t>Electricaribe</w:t>
            </w:r>
            <w:proofErr w:type="spellEnd"/>
            <w:r w:rsidRPr="00832BF4">
              <w:rPr>
                <w:rFonts w:ascii="Bookman Old Style" w:hAnsi="Bookman Old Style" w:cs="Arial"/>
                <w:b/>
                <w:bCs/>
              </w:rPr>
              <w:t xml:space="preserve"> (A dic. 201</w:t>
            </w:r>
            <w:r w:rsidR="00065144">
              <w:rPr>
                <w:rFonts w:ascii="Bookman Old Style" w:hAnsi="Bookman Old Style" w:cs="Arial"/>
                <w:b/>
                <w:bCs/>
              </w:rPr>
              <w:t>2</w:t>
            </w:r>
            <w:r w:rsidRPr="00832BF4">
              <w:rPr>
                <w:rFonts w:ascii="Bookman Old Style" w:hAnsi="Bookman Old Style" w:cs="Arial"/>
                <w:b/>
                <w:bCs/>
              </w:rPr>
              <w:t>)</w:t>
            </w:r>
          </w:p>
        </w:tc>
        <w:tc>
          <w:tcPr>
            <w:tcW w:w="1106" w:type="dxa"/>
            <w:shd w:val="clear" w:color="auto" w:fill="auto"/>
            <w:vAlign w:val="bottom"/>
            <w:hideMark/>
          </w:tcPr>
          <w:p w:rsidR="002D158B" w:rsidRPr="00832BF4" w:rsidRDefault="002D158B" w:rsidP="00116264">
            <w:pPr>
              <w:ind w:left="0"/>
              <w:jc w:val="center"/>
              <w:rPr>
                <w:rFonts w:ascii="Bookman Old Style" w:hAnsi="Bookman Old Style" w:cs="Arial"/>
                <w:b/>
                <w:bCs/>
              </w:rPr>
            </w:pPr>
            <w:r w:rsidRPr="00832BF4">
              <w:rPr>
                <w:rFonts w:ascii="Bookman Old Style" w:hAnsi="Bookman Old Style" w:cs="Arial"/>
                <w:b/>
                <w:bCs/>
              </w:rPr>
              <w:t>C sin IPSE (A dic.1</w:t>
            </w:r>
            <w:r w:rsidR="00116264">
              <w:rPr>
                <w:rFonts w:ascii="Bookman Old Style" w:hAnsi="Bookman Old Style" w:cs="Arial"/>
                <w:b/>
                <w:bCs/>
              </w:rPr>
              <w:t>2</w:t>
            </w:r>
            <w:r w:rsidRPr="00832BF4">
              <w:rPr>
                <w:rFonts w:ascii="Bookman Old Style" w:hAnsi="Bookman Old Style" w:cs="Arial"/>
                <w:b/>
                <w:bCs/>
              </w:rPr>
              <w:t>)</w:t>
            </w:r>
          </w:p>
        </w:tc>
        <w:tc>
          <w:tcPr>
            <w:tcW w:w="878" w:type="dxa"/>
            <w:shd w:val="clear" w:color="auto" w:fill="auto"/>
            <w:noWrap/>
            <w:vAlign w:val="bottom"/>
            <w:hideMark/>
          </w:tcPr>
          <w:p w:rsidR="002D158B" w:rsidRPr="00832BF4" w:rsidRDefault="002D158B" w:rsidP="002D158B">
            <w:pPr>
              <w:ind w:left="0"/>
              <w:jc w:val="center"/>
              <w:rPr>
                <w:rFonts w:ascii="Bookman Old Style" w:hAnsi="Bookman Old Style" w:cs="Arial"/>
                <w:b/>
                <w:bCs/>
              </w:rPr>
            </w:pPr>
            <w:r w:rsidRPr="00832BF4">
              <w:rPr>
                <w:rFonts w:ascii="Bookman Old Style" w:hAnsi="Bookman Old Style" w:cs="Arial"/>
                <w:b/>
                <w:bCs/>
              </w:rPr>
              <w:t>IPSE</w:t>
            </w:r>
          </w:p>
        </w:tc>
        <w:tc>
          <w:tcPr>
            <w:tcW w:w="969" w:type="dxa"/>
            <w:shd w:val="clear" w:color="auto" w:fill="auto"/>
            <w:noWrap/>
            <w:vAlign w:val="bottom"/>
            <w:hideMark/>
          </w:tcPr>
          <w:p w:rsidR="002D158B" w:rsidRPr="00832BF4" w:rsidRDefault="002D158B" w:rsidP="002D158B">
            <w:pPr>
              <w:ind w:left="0"/>
              <w:jc w:val="center"/>
              <w:rPr>
                <w:rFonts w:ascii="Bookman Old Style" w:hAnsi="Bookman Old Style" w:cs="Arial"/>
                <w:b/>
                <w:bCs/>
              </w:rPr>
            </w:pPr>
            <w:r w:rsidRPr="00832BF4">
              <w:rPr>
                <w:rFonts w:ascii="Bookman Old Style" w:hAnsi="Bookman Old Style" w:cs="Arial"/>
                <w:b/>
                <w:bCs/>
              </w:rPr>
              <w:t>C</w:t>
            </w:r>
          </w:p>
        </w:tc>
      </w:tr>
      <w:tr w:rsidR="00065144" w:rsidRPr="00832BF4" w:rsidTr="006001E9">
        <w:trPr>
          <w:trHeight w:val="255"/>
          <w:jc w:val="center"/>
        </w:trPr>
        <w:tc>
          <w:tcPr>
            <w:tcW w:w="1633" w:type="dxa"/>
            <w:shd w:val="clear" w:color="auto" w:fill="auto"/>
            <w:noWrap/>
            <w:hideMark/>
          </w:tcPr>
          <w:p w:rsidR="00065144" w:rsidRPr="00065144" w:rsidRDefault="00065144" w:rsidP="00065144">
            <w:pPr>
              <w:ind w:left="0"/>
              <w:jc w:val="center"/>
              <w:rPr>
                <w:rFonts w:ascii="Bookman Old Style" w:hAnsi="Bookman Old Style" w:cs="Arial"/>
                <w:b/>
              </w:rPr>
            </w:pPr>
            <w:r w:rsidRPr="00065144">
              <w:rPr>
                <w:rFonts w:ascii="Bookman Old Style" w:hAnsi="Bookman Old Style" w:cs="Arial"/>
                <w:b/>
              </w:rPr>
              <w:t xml:space="preserve">574.909.954 </w:t>
            </w:r>
          </w:p>
        </w:tc>
        <w:tc>
          <w:tcPr>
            <w:tcW w:w="1336" w:type="dxa"/>
            <w:shd w:val="clear" w:color="auto" w:fill="auto"/>
            <w:noWrap/>
            <w:hideMark/>
          </w:tcPr>
          <w:p w:rsidR="00065144" w:rsidRPr="00065144" w:rsidRDefault="00065144" w:rsidP="00065144">
            <w:pPr>
              <w:ind w:left="0"/>
              <w:jc w:val="center"/>
              <w:rPr>
                <w:rFonts w:ascii="Bookman Old Style" w:hAnsi="Bookman Old Style" w:cs="Arial"/>
                <w:b/>
              </w:rPr>
            </w:pPr>
            <w:r w:rsidRPr="00065144">
              <w:rPr>
                <w:rFonts w:ascii="Bookman Old Style" w:hAnsi="Bookman Old Style" w:cs="Arial"/>
                <w:b/>
              </w:rPr>
              <w:t xml:space="preserve">2.878.026 </w:t>
            </w:r>
          </w:p>
        </w:tc>
        <w:tc>
          <w:tcPr>
            <w:tcW w:w="1014" w:type="dxa"/>
            <w:shd w:val="clear" w:color="auto" w:fill="auto"/>
            <w:noWrap/>
            <w:hideMark/>
          </w:tcPr>
          <w:p w:rsidR="00065144" w:rsidRPr="00065144" w:rsidRDefault="00065144" w:rsidP="00065144">
            <w:pPr>
              <w:ind w:left="0"/>
              <w:jc w:val="center"/>
              <w:rPr>
                <w:rFonts w:ascii="Bookman Old Style" w:hAnsi="Bookman Old Style" w:cs="Arial"/>
                <w:b/>
              </w:rPr>
            </w:pPr>
            <w:r w:rsidRPr="00065144">
              <w:rPr>
                <w:rFonts w:ascii="Bookman Old Style" w:hAnsi="Bookman Old Style" w:cs="Arial"/>
                <w:b/>
              </w:rPr>
              <w:t>199,76</w:t>
            </w:r>
          </w:p>
        </w:tc>
        <w:tc>
          <w:tcPr>
            <w:tcW w:w="1739" w:type="dxa"/>
            <w:shd w:val="clear" w:color="auto" w:fill="auto"/>
            <w:noWrap/>
            <w:hideMark/>
          </w:tcPr>
          <w:p w:rsidR="00065144" w:rsidRPr="00065144" w:rsidRDefault="00065144" w:rsidP="00065144">
            <w:pPr>
              <w:ind w:left="0"/>
              <w:jc w:val="center"/>
              <w:rPr>
                <w:rFonts w:ascii="Bookman Old Style" w:hAnsi="Bookman Old Style" w:cs="Arial"/>
                <w:b/>
              </w:rPr>
            </w:pPr>
            <w:r w:rsidRPr="00065144">
              <w:rPr>
                <w:rFonts w:ascii="Bookman Old Style" w:hAnsi="Bookman Old Style" w:cs="Arial"/>
                <w:b/>
              </w:rPr>
              <w:t>9.388,73</w:t>
            </w:r>
          </w:p>
        </w:tc>
        <w:tc>
          <w:tcPr>
            <w:tcW w:w="1106" w:type="dxa"/>
            <w:shd w:val="clear" w:color="auto" w:fill="auto"/>
            <w:noWrap/>
            <w:hideMark/>
          </w:tcPr>
          <w:p w:rsidR="00065144" w:rsidRPr="00065144" w:rsidRDefault="00065144" w:rsidP="00065144">
            <w:pPr>
              <w:ind w:left="0"/>
              <w:jc w:val="center"/>
              <w:rPr>
                <w:rFonts w:ascii="Bookman Old Style" w:hAnsi="Bookman Old Style" w:cs="Arial"/>
                <w:b/>
              </w:rPr>
            </w:pPr>
            <w:r w:rsidRPr="00065144">
              <w:rPr>
                <w:rFonts w:ascii="Bookman Old Style" w:hAnsi="Bookman Old Style" w:cs="Arial"/>
                <w:b/>
              </w:rPr>
              <w:t>47,00</w:t>
            </w:r>
          </w:p>
        </w:tc>
        <w:tc>
          <w:tcPr>
            <w:tcW w:w="878" w:type="dxa"/>
            <w:shd w:val="clear" w:color="auto" w:fill="auto"/>
            <w:noWrap/>
            <w:vAlign w:val="center"/>
            <w:hideMark/>
          </w:tcPr>
          <w:p w:rsidR="00065144" w:rsidRPr="00832BF4" w:rsidRDefault="00065144" w:rsidP="002D158B">
            <w:pPr>
              <w:ind w:left="0"/>
              <w:jc w:val="center"/>
              <w:rPr>
                <w:rFonts w:ascii="Bookman Old Style" w:hAnsi="Bookman Old Style" w:cs="Arial"/>
              </w:rPr>
            </w:pPr>
            <w:r>
              <w:rPr>
                <w:rFonts w:ascii="Bookman Old Style" w:hAnsi="Bookman Old Style" w:cs="Arial"/>
              </w:rPr>
              <w:t>0,05</w:t>
            </w:r>
          </w:p>
        </w:tc>
        <w:tc>
          <w:tcPr>
            <w:tcW w:w="969" w:type="dxa"/>
            <w:shd w:val="clear" w:color="auto" w:fill="auto"/>
            <w:noWrap/>
            <w:vAlign w:val="center"/>
            <w:hideMark/>
          </w:tcPr>
          <w:p w:rsidR="00065144" w:rsidRPr="00832BF4" w:rsidRDefault="00065144" w:rsidP="000C236C">
            <w:pPr>
              <w:ind w:left="0"/>
              <w:jc w:val="center"/>
              <w:rPr>
                <w:rFonts w:ascii="Bookman Old Style" w:hAnsi="Bookman Old Style" w:cs="Arial"/>
                <w:b/>
              </w:rPr>
            </w:pPr>
            <w:r w:rsidRPr="00065144">
              <w:rPr>
                <w:rFonts w:ascii="Bookman Old Style" w:hAnsi="Bookman Old Style" w:cs="Arial"/>
                <w:b/>
              </w:rPr>
              <w:t>44,65</w:t>
            </w:r>
          </w:p>
        </w:tc>
      </w:tr>
    </w:tbl>
    <w:p w:rsidR="002D158B" w:rsidRPr="00D80BD4" w:rsidRDefault="002D158B" w:rsidP="002D158B">
      <w:pPr>
        <w:ind w:left="284"/>
        <w:jc w:val="both"/>
        <w:rPr>
          <w:rFonts w:ascii="Bookman Old Style" w:hAnsi="Bookman Old Style" w:cs="Arial"/>
          <w:bCs/>
          <w:sz w:val="20"/>
          <w:szCs w:val="20"/>
        </w:rPr>
      </w:pPr>
      <w:r w:rsidRPr="00D80BD4">
        <w:rPr>
          <w:rFonts w:ascii="Bookman Old Style" w:hAnsi="Bookman Old Style" w:cs="Arial"/>
          <w:bCs/>
          <w:sz w:val="20"/>
          <w:szCs w:val="20"/>
        </w:rPr>
        <w:t xml:space="preserve">  </w:t>
      </w:r>
      <w:r w:rsidRPr="00D80BD4">
        <w:rPr>
          <w:rFonts w:ascii="Bookman Old Style" w:hAnsi="Bookman Old Style" w:cs="Arial"/>
          <w:bCs/>
          <w:sz w:val="20"/>
          <w:szCs w:val="20"/>
        </w:rPr>
        <w:tab/>
        <w:t xml:space="preserve"> Fuente: Cálculo CREG. Cifr</w:t>
      </w:r>
      <w:r w:rsidR="00065144">
        <w:rPr>
          <w:rFonts w:ascii="Bookman Old Style" w:hAnsi="Bookman Old Style" w:cs="Arial"/>
          <w:bCs/>
          <w:sz w:val="20"/>
          <w:szCs w:val="20"/>
        </w:rPr>
        <w:t>as en pesos de diciembre de 2012</w:t>
      </w:r>
      <w:r w:rsidRPr="00D80BD4">
        <w:rPr>
          <w:rFonts w:ascii="Bookman Old Style" w:hAnsi="Bookman Old Style" w:cs="Arial"/>
          <w:bCs/>
          <w:sz w:val="20"/>
          <w:szCs w:val="20"/>
        </w:rPr>
        <w:t>.</w:t>
      </w:r>
    </w:p>
    <w:p w:rsidR="002D158B" w:rsidRPr="00832BF4" w:rsidRDefault="002D158B" w:rsidP="002D158B">
      <w:pPr>
        <w:ind w:left="284" w:right="142"/>
        <w:jc w:val="both"/>
        <w:rPr>
          <w:rFonts w:ascii="Bookman Old Style" w:hAnsi="Bookman Old Style" w:cs="Arial"/>
          <w:bCs/>
        </w:rPr>
      </w:pPr>
    </w:p>
    <w:p w:rsidR="002D158B" w:rsidRDefault="002D158B" w:rsidP="002D158B">
      <w:pPr>
        <w:ind w:left="284" w:right="142"/>
        <w:jc w:val="both"/>
        <w:rPr>
          <w:rFonts w:ascii="Bookman Old Style" w:hAnsi="Bookman Old Style" w:cs="Arial"/>
          <w:bCs/>
        </w:rPr>
      </w:pPr>
    </w:p>
    <w:p w:rsidR="00674DD2" w:rsidRPr="00674DD2" w:rsidRDefault="004C052B" w:rsidP="00674DD2">
      <w:pPr>
        <w:ind w:left="0" w:right="142"/>
        <w:jc w:val="both"/>
        <w:rPr>
          <w:rFonts w:ascii="Bookman Old Style" w:hAnsi="Bookman Old Style" w:cs="Arial"/>
          <w:bCs/>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C</m:t>
              </m:r>
              <m:d>
                <m:dPr>
                  <m:ctrlPr>
                    <w:rPr>
                      <w:rFonts w:ascii="Cambria Math" w:hAnsi="Cambria Math" w:cs="Arial"/>
                    </w:rPr>
                  </m:ctrlPr>
                </m:dPr>
                <m:e>
                  <m:r>
                    <m:rPr>
                      <m:sty m:val="p"/>
                    </m:rPr>
                    <w:rPr>
                      <w:rFonts w:ascii="Cambria Math" w:hAnsi="Cambria Math" w:cs="Arial"/>
                    </w:rPr>
                    <m:t>Mercado Electricaribe</m:t>
                  </m:r>
                </m:e>
              </m:d>
            </m:e>
            <m:sub>
              <m:r>
                <m:rPr>
                  <m:sty m:val="p"/>
                </m:rPr>
                <w:rPr>
                  <w:rFonts w:ascii="Cambria Math" w:hAnsi="Cambria Math" w:cs="Arial"/>
                </w:rPr>
                <m:t>Enero 2013</m:t>
              </m:r>
            </m:sub>
          </m:sSub>
          <m:r>
            <m:rPr>
              <m:sty m:val="p"/>
            </m:rPr>
            <w:rPr>
              <w:rFonts w:ascii="Cambria Math" w:hAnsi="Cambria Math"/>
              <w:color w:val="000000"/>
            </w:rPr>
            <m:t>=$44,65/kWh</m:t>
          </m:r>
        </m:oMath>
      </m:oMathPara>
    </w:p>
    <w:p w:rsidR="00674DD2" w:rsidRDefault="00674DD2" w:rsidP="002D158B">
      <w:pPr>
        <w:ind w:left="284" w:right="142"/>
        <w:jc w:val="both"/>
        <w:rPr>
          <w:rFonts w:ascii="Bookman Old Style" w:hAnsi="Bookman Old Style" w:cs="Arial"/>
          <w:bCs/>
        </w:rPr>
      </w:pPr>
    </w:p>
    <w:p w:rsidR="00674DD2" w:rsidRPr="00832BF4" w:rsidRDefault="00674DD2" w:rsidP="002D158B">
      <w:pPr>
        <w:ind w:left="284" w:right="142"/>
        <w:jc w:val="both"/>
        <w:rPr>
          <w:rFonts w:ascii="Bookman Old Style" w:hAnsi="Bookman Old Style" w:cs="Arial"/>
          <w:bCs/>
        </w:rPr>
      </w:pPr>
    </w:p>
    <w:p w:rsidR="00234231" w:rsidRPr="00E26EB2" w:rsidRDefault="004C052B" w:rsidP="00847E74">
      <w:pPr>
        <w:autoSpaceDE w:val="0"/>
        <w:autoSpaceDN w:val="0"/>
        <w:adjustRightInd w:val="0"/>
        <w:ind w:left="0"/>
        <w:rPr>
          <w:rFonts w:ascii="Bookman Old Style" w:hAnsi="Bookman Old Style" w:cs="Arial"/>
          <w:color w:val="000000"/>
        </w:rPr>
      </w:pPr>
      <m:oMathPara>
        <m:oMathParaPr>
          <m:jc m:val="left"/>
        </m:oMathParaPr>
        <m:oMath>
          <m:sSubSup>
            <m:sSubSupPr>
              <m:ctrlPr>
                <w:rPr>
                  <w:rFonts w:ascii="Cambria Math" w:hAnsi="Cambria Math"/>
                  <w:color w:val="000000"/>
                </w:rPr>
              </m:ctrlPr>
            </m:sSubSupPr>
            <m:e>
              <m:r>
                <m:rPr>
                  <m:sty m:val="p"/>
                </m:rPr>
                <w:rPr>
                  <w:rFonts w:ascii="Cambria Math" w:hAnsi="Cambria Math"/>
                  <w:color w:val="000000"/>
                </w:rPr>
                <m:t>C</m:t>
              </m:r>
            </m:e>
            <m:sub>
              <m:r>
                <m:rPr>
                  <m:sty m:val="p"/>
                </m:rPr>
                <w:rPr>
                  <w:rFonts w:ascii="Cambria Math" w:hAnsi="Cambria Math"/>
                  <w:color w:val="000000"/>
                </w:rPr>
                <m:t>Enero 2013</m:t>
              </m:r>
            </m:sub>
            <m:sup>
              <m:r>
                <m:rPr>
                  <m:sty m:val="p"/>
                </m:rPr>
                <w:rPr>
                  <w:rFonts w:ascii="Cambria Math" w:hAnsi="Cambria Math"/>
                  <w:color w:val="000000"/>
                </w:rPr>
                <m:t>*</m:t>
              </m:r>
            </m:sup>
          </m:sSubSup>
          <m:r>
            <m:rPr>
              <m:sty m:val="p"/>
            </m:rPr>
            <w:rPr>
              <w:rFonts w:ascii="Cambria Math" w:hAnsi="Cambria Math"/>
              <w:color w:val="000000"/>
            </w:rPr>
            <m:t xml:space="preserve">= </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C</m:t>
                  </m:r>
                  <m:d>
                    <m:dPr>
                      <m:ctrlPr>
                        <w:rPr>
                          <w:rFonts w:ascii="Cambria Math" w:hAnsi="Cambria Math" w:cs="Arial"/>
                        </w:rPr>
                      </m:ctrlPr>
                    </m:dPr>
                    <m:e>
                      <m:r>
                        <m:rPr>
                          <m:sty m:val="p"/>
                        </m:rPr>
                        <w:rPr>
                          <w:rFonts w:ascii="Cambria Math" w:hAnsi="Cambria Math" w:cs="Arial"/>
                        </w:rPr>
                        <m:t>Mercado Electricaribe</m:t>
                      </m:r>
                    </m:e>
                  </m:d>
                </m:e>
                <m:sub>
                  <m:r>
                    <m:rPr>
                      <m:sty m:val="p"/>
                    </m:rPr>
                    <w:rPr>
                      <w:rFonts w:ascii="Cambria Math" w:hAnsi="Cambria Math" w:cs="Arial"/>
                    </w:rPr>
                    <m:t>Enero 2013</m:t>
                  </m:r>
                </m:sub>
              </m:sSub>
            </m:num>
            <m:den>
              <m:r>
                <m:rPr>
                  <m:sty m:val="p"/>
                </m:rPr>
                <w:rPr>
                  <w:rFonts w:ascii="Cambria Math" w:hAnsi="Cambria Math"/>
                  <w:color w:val="000000"/>
                </w:rPr>
                <m:t>FRC</m:t>
              </m:r>
            </m:den>
          </m:f>
          <m:r>
            <m:rPr>
              <m:sty m:val="p"/>
            </m:rPr>
            <w:rPr>
              <w:rFonts w:ascii="Cambria Math" w:hAnsi="Cambria Math" w:cs="Arial"/>
              <w:color w:val="000000"/>
            </w:rPr>
            <m:t>=</m:t>
          </m:r>
          <m:f>
            <m:fPr>
              <m:ctrlPr>
                <w:rPr>
                  <w:rFonts w:ascii="Cambria Math" w:hAnsi="Cambria Math"/>
                  <w:color w:val="000000"/>
                </w:rPr>
              </m:ctrlPr>
            </m:fPr>
            <m:num>
              <m:r>
                <m:rPr>
                  <m:sty m:val="p"/>
                </m:rPr>
                <w:rPr>
                  <w:rFonts w:ascii="Cambria Math" w:hAnsi="Cambria Math"/>
                  <w:color w:val="000000"/>
                </w:rPr>
                <m:t>$44,65/kWh</m:t>
              </m:r>
            </m:num>
            <m:den>
              <m:r>
                <m:rPr>
                  <m:sty m:val="p"/>
                </m:rPr>
                <w:rPr>
                  <w:rFonts w:ascii="Cambria Math" w:hAnsi="Cambria Math"/>
                  <w:color w:val="000000"/>
                </w:rPr>
                <m:t>61,28%</m:t>
              </m:r>
            </m:den>
          </m:f>
          <m:r>
            <m:rPr>
              <m:sty m:val="p"/>
            </m:rPr>
            <w:rPr>
              <w:rFonts w:ascii="Cambria Math" w:hAnsi="Cambria Math"/>
              <w:color w:val="000000"/>
            </w:rPr>
            <m:t>=$72,87/kWh</m:t>
          </m:r>
        </m:oMath>
      </m:oMathPara>
    </w:p>
    <w:p w:rsidR="002D158B" w:rsidRPr="00832BF4" w:rsidRDefault="002D158B" w:rsidP="002D158B">
      <w:pPr>
        <w:ind w:left="284" w:right="142"/>
        <w:jc w:val="both"/>
        <w:rPr>
          <w:rFonts w:ascii="Bookman Old Style" w:hAnsi="Bookman Old Style" w:cs="Arial"/>
          <w:bCs/>
        </w:rPr>
      </w:pPr>
    </w:p>
    <w:p w:rsidR="002D158B" w:rsidRPr="00832BF4" w:rsidRDefault="002D158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973E3B">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9D4902" w:rsidRPr="00832BF4" w:rsidTr="00614B32">
        <w:trPr>
          <w:jc w:val="right"/>
        </w:trPr>
        <w:tc>
          <w:tcPr>
            <w:tcW w:w="4503" w:type="dxa"/>
          </w:tcPr>
          <w:p w:rsidR="009D4902" w:rsidRDefault="009D4902">
            <w:pPr>
              <w:snapToGrid w:val="0"/>
              <w:jc w:val="center"/>
              <w:rPr>
                <w:rFonts w:ascii="Bookman Old Style" w:hAnsi="Bookman Old Style" w:cs="Arial"/>
                <w:b/>
                <w:bCs/>
                <w:color w:val="000000"/>
              </w:rPr>
            </w:pPr>
            <w:r>
              <w:rPr>
                <w:rFonts w:ascii="Bookman Old Style" w:hAnsi="Bookman Old Style" w:cs="Arial"/>
                <w:b/>
                <w:bCs/>
                <w:color w:val="000000"/>
              </w:rPr>
              <w:t>FEDERICO RENGIFO VÉLEZ</w:t>
            </w:r>
          </w:p>
        </w:tc>
        <w:tc>
          <w:tcPr>
            <w:tcW w:w="5258" w:type="dxa"/>
          </w:tcPr>
          <w:p w:rsidR="009D4902" w:rsidRDefault="009D4902">
            <w:pPr>
              <w:snapToGrid w:val="0"/>
              <w:jc w:val="center"/>
              <w:rPr>
                <w:rFonts w:ascii="Bookman Old Style" w:hAnsi="Bookman Old Style" w:cs="Arial"/>
                <w:b/>
                <w:bCs/>
                <w:color w:val="000000"/>
              </w:rPr>
            </w:pPr>
            <w:r>
              <w:rPr>
                <w:rFonts w:ascii="Bookman Old Style" w:hAnsi="Bookman Old Style" w:cs="Arial"/>
                <w:b/>
                <w:bCs/>
                <w:color w:val="000000"/>
              </w:rPr>
              <w:t>GERMÁN CASTRO FERREIRA</w:t>
            </w:r>
          </w:p>
        </w:tc>
      </w:tr>
      <w:tr w:rsidR="009D4902" w:rsidRPr="00832BF4" w:rsidTr="00614B32">
        <w:trPr>
          <w:jc w:val="right"/>
        </w:trPr>
        <w:tc>
          <w:tcPr>
            <w:tcW w:w="4503" w:type="dxa"/>
          </w:tcPr>
          <w:p w:rsidR="009D4902" w:rsidRDefault="009D4902">
            <w:pPr>
              <w:snapToGrid w:val="0"/>
              <w:jc w:val="center"/>
              <w:rPr>
                <w:rFonts w:ascii="Bookman Old Style" w:hAnsi="Bookman Old Style" w:cs="Arial"/>
                <w:color w:val="000000"/>
              </w:rPr>
            </w:pPr>
            <w:r>
              <w:rPr>
                <w:rFonts w:ascii="Bookman Old Style" w:hAnsi="Bookman Old Style" w:cs="Arial"/>
                <w:color w:val="000000"/>
              </w:rPr>
              <w:t>Ministro de Minas y Energía</w:t>
            </w:r>
          </w:p>
        </w:tc>
        <w:tc>
          <w:tcPr>
            <w:tcW w:w="5258" w:type="dxa"/>
          </w:tcPr>
          <w:p w:rsidR="009D4902" w:rsidRDefault="009D4902">
            <w:pPr>
              <w:snapToGrid w:val="0"/>
              <w:jc w:val="center"/>
              <w:rPr>
                <w:rFonts w:ascii="Bookman Old Style" w:hAnsi="Bookman Old Style" w:cs="Arial"/>
                <w:color w:val="000000"/>
              </w:rPr>
            </w:pPr>
            <w:r>
              <w:rPr>
                <w:rFonts w:ascii="Bookman Old Style" w:hAnsi="Bookman Old Style" w:cs="Arial"/>
                <w:color w:val="000000"/>
              </w:rPr>
              <w:t>Director Ejecutivo</w:t>
            </w:r>
          </w:p>
        </w:tc>
      </w:tr>
      <w:tr w:rsidR="009D4902" w:rsidRPr="00832BF4" w:rsidTr="00614B32">
        <w:trPr>
          <w:jc w:val="right"/>
        </w:trPr>
        <w:tc>
          <w:tcPr>
            <w:tcW w:w="4503" w:type="dxa"/>
          </w:tcPr>
          <w:p w:rsidR="009D4902" w:rsidRDefault="009D4902">
            <w:pPr>
              <w:snapToGrid w:val="0"/>
              <w:jc w:val="center"/>
              <w:rPr>
                <w:rFonts w:ascii="Bookman Old Style" w:hAnsi="Bookman Old Style" w:cs="Arial"/>
                <w:color w:val="000000"/>
              </w:rPr>
            </w:pPr>
            <w:r>
              <w:rPr>
                <w:rFonts w:ascii="Bookman Old Style" w:hAnsi="Bookman Old Style" w:cs="Arial"/>
                <w:color w:val="000000"/>
              </w:rPr>
              <w:t>Presidente</w:t>
            </w:r>
          </w:p>
        </w:tc>
        <w:tc>
          <w:tcPr>
            <w:tcW w:w="5258" w:type="dxa"/>
          </w:tcPr>
          <w:p w:rsidR="009D4902" w:rsidRDefault="009D4902">
            <w:pPr>
              <w:snapToGrid w:val="0"/>
              <w:rPr>
                <w:rFonts w:ascii="Bookman Old Style" w:hAnsi="Bookman Old Style" w:cs="Arial"/>
                <w:color w:val="000000"/>
              </w:rPr>
            </w:pPr>
          </w:p>
        </w:tc>
      </w:tr>
    </w:tbl>
    <w:p w:rsidR="00973E3B" w:rsidRPr="00832BF4" w:rsidRDefault="00973E3B" w:rsidP="00973E3B">
      <w:pPr>
        <w:ind w:left="0"/>
        <w:rPr>
          <w:rFonts w:ascii="Bookman Old Style" w:hAnsi="Bookman Old Style"/>
          <w:bCs/>
          <w:lang w:val="es-CO"/>
        </w:rPr>
      </w:pPr>
    </w:p>
    <w:p w:rsidR="00973E3B" w:rsidRPr="00832BF4" w:rsidRDefault="00973E3B" w:rsidP="002D158B">
      <w:pPr>
        <w:ind w:left="284" w:right="142"/>
        <w:jc w:val="center"/>
        <w:rPr>
          <w:rFonts w:ascii="Bookman Old Style" w:hAnsi="Bookman Old Style" w:cs="Arial"/>
          <w:b/>
        </w:rPr>
      </w:pPr>
    </w:p>
    <w:p w:rsidR="00847E74" w:rsidRPr="00832BF4" w:rsidRDefault="00847E74">
      <w:pPr>
        <w:ind w:left="0"/>
        <w:rPr>
          <w:rFonts w:ascii="Bookman Old Style" w:hAnsi="Bookman Old Style" w:cs="Arial"/>
          <w:b/>
        </w:rPr>
      </w:pPr>
      <w:r w:rsidRPr="00832BF4">
        <w:rPr>
          <w:rFonts w:ascii="Bookman Old Style" w:hAnsi="Bookman Old Style" w:cs="Arial"/>
          <w:b/>
        </w:rPr>
        <w:br w:type="page"/>
      </w:r>
    </w:p>
    <w:p w:rsidR="00847E74" w:rsidRPr="00832BF4" w:rsidRDefault="00847E74" w:rsidP="00674DD2">
      <w:pPr>
        <w:ind w:left="0" w:right="142"/>
        <w:jc w:val="center"/>
        <w:rPr>
          <w:rFonts w:ascii="Bookman Old Style" w:hAnsi="Bookman Old Style" w:cs="Arial"/>
          <w:b/>
        </w:rPr>
      </w:pPr>
      <w:r w:rsidRPr="00832BF4">
        <w:rPr>
          <w:rFonts w:ascii="Bookman Old Style" w:hAnsi="Bookman Old Style" w:cs="Arial"/>
          <w:b/>
        </w:rPr>
        <w:lastRenderedPageBreak/>
        <w:t xml:space="preserve">ANEXO 2 </w:t>
      </w:r>
    </w:p>
    <w:p w:rsidR="00847E74" w:rsidRPr="00832BF4" w:rsidRDefault="00847E74" w:rsidP="00674DD2">
      <w:pPr>
        <w:ind w:left="0" w:right="142"/>
        <w:jc w:val="center"/>
        <w:rPr>
          <w:rFonts w:ascii="Bookman Old Style" w:hAnsi="Bookman Old Style" w:cs="Arial"/>
          <w:b/>
        </w:rPr>
      </w:pPr>
    </w:p>
    <w:p w:rsidR="00847E74" w:rsidRPr="00832BF4" w:rsidRDefault="00847E74" w:rsidP="00674DD2">
      <w:pPr>
        <w:ind w:left="0" w:right="142"/>
        <w:jc w:val="center"/>
        <w:rPr>
          <w:rFonts w:ascii="Bookman Old Style" w:hAnsi="Bookman Old Style" w:cs="Arial"/>
          <w:b/>
        </w:rPr>
      </w:pPr>
      <w:r w:rsidRPr="00832BF4">
        <w:rPr>
          <w:rFonts w:ascii="Bookman Old Style" w:hAnsi="Bookman Old Style" w:cs="Arial"/>
          <w:b/>
        </w:rPr>
        <w:t>INFORMACIÓN PARA EL CÁLCULO DE LOS INGRESOS PROYECTADOS</w:t>
      </w:r>
    </w:p>
    <w:p w:rsidR="00847E74" w:rsidRPr="00832BF4" w:rsidRDefault="00847E74" w:rsidP="00674DD2">
      <w:pPr>
        <w:ind w:left="0" w:right="142"/>
        <w:jc w:val="center"/>
        <w:rPr>
          <w:rFonts w:ascii="Bookman Old Style" w:hAnsi="Bookman Old Style" w:cs="Arial"/>
          <w:b/>
        </w:rPr>
      </w:pPr>
    </w:p>
    <w:p w:rsidR="00847E74" w:rsidRPr="00832BF4" w:rsidRDefault="00847E74" w:rsidP="00674DD2">
      <w:pPr>
        <w:pStyle w:val="Textoindependiente21"/>
        <w:ind w:right="142"/>
        <w:jc w:val="center"/>
        <w:rPr>
          <w:rFonts w:ascii="Bookman Old Style" w:hAnsi="Bookman Old Style" w:cs="Arial"/>
          <w:b/>
          <w:sz w:val="24"/>
          <w:szCs w:val="24"/>
          <w:lang w:val="es-ES"/>
        </w:rPr>
      </w:pPr>
      <w:r w:rsidRPr="00832BF4">
        <w:rPr>
          <w:rFonts w:ascii="Bookman Old Style" w:hAnsi="Bookman Old Style" w:cs="Arial"/>
          <w:b/>
          <w:sz w:val="24"/>
          <w:szCs w:val="24"/>
          <w:lang w:val="es-ES"/>
        </w:rPr>
        <w:t>META DE RECAUDO PROYECTADA PARA EL AÑO 201</w:t>
      </w:r>
      <w:r w:rsidR="00116264">
        <w:rPr>
          <w:rFonts w:ascii="Bookman Old Style" w:hAnsi="Bookman Old Style" w:cs="Arial"/>
          <w:b/>
          <w:sz w:val="24"/>
          <w:szCs w:val="24"/>
          <w:lang w:val="es-ES"/>
        </w:rPr>
        <w:t>3</w:t>
      </w:r>
    </w:p>
    <w:p w:rsidR="00847E74" w:rsidRPr="00832BF4" w:rsidRDefault="00847E74" w:rsidP="00674DD2">
      <w:pPr>
        <w:pStyle w:val="Textoindependiente21"/>
        <w:ind w:right="142"/>
        <w:jc w:val="center"/>
        <w:rPr>
          <w:rFonts w:ascii="Bookman Old Style" w:hAnsi="Bookman Old Style" w:cs="Arial"/>
          <w:b/>
          <w:sz w:val="24"/>
          <w:szCs w:val="24"/>
          <w:lang w:val="es-ES"/>
        </w:rPr>
      </w:pPr>
    </w:p>
    <w:p w:rsidR="00847E74" w:rsidRPr="00832BF4" w:rsidRDefault="00847E74" w:rsidP="00674DD2">
      <w:pPr>
        <w:pStyle w:val="Textoindependiente21"/>
        <w:ind w:right="142"/>
        <w:rPr>
          <w:rFonts w:ascii="Bookman Old Style" w:hAnsi="Bookman Old Style" w:cs="Arial"/>
          <w:sz w:val="24"/>
          <w:szCs w:val="24"/>
        </w:rPr>
      </w:pPr>
      <w:r w:rsidRPr="00832BF4">
        <w:rPr>
          <w:rFonts w:ascii="Bookman Old Style" w:hAnsi="Bookman Old Style" w:cs="Arial"/>
          <w:bCs/>
          <w:sz w:val="24"/>
          <w:szCs w:val="24"/>
        </w:rPr>
        <w:t>La</w:t>
      </w:r>
      <w:r w:rsidRPr="00832BF4">
        <w:rPr>
          <w:rFonts w:ascii="Bookman Old Style" w:hAnsi="Bookman Old Style" w:cs="Arial"/>
          <w:b/>
          <w:sz w:val="24"/>
          <w:szCs w:val="24"/>
        </w:rPr>
        <w:t xml:space="preserve"> </w:t>
      </w:r>
      <w:r w:rsidRPr="00832BF4">
        <w:rPr>
          <w:rFonts w:ascii="Bookman Old Style" w:hAnsi="Bookman Old Style" w:cs="Arial"/>
          <w:sz w:val="24"/>
          <w:szCs w:val="24"/>
        </w:rPr>
        <w:t>Meta de</w:t>
      </w:r>
      <w:r w:rsidRPr="00832BF4">
        <w:rPr>
          <w:rFonts w:ascii="Bookman Old Style" w:hAnsi="Bookman Old Style" w:cs="Arial"/>
          <w:b/>
          <w:sz w:val="24"/>
          <w:szCs w:val="24"/>
        </w:rPr>
        <w:t xml:space="preserve"> </w:t>
      </w:r>
      <w:r w:rsidRPr="00832BF4">
        <w:rPr>
          <w:rFonts w:ascii="Bookman Old Style" w:hAnsi="Bookman Old Style" w:cs="Arial"/>
          <w:sz w:val="24"/>
          <w:szCs w:val="24"/>
        </w:rPr>
        <w:t>Recaudo Proyectada inicial para el año 201</w:t>
      </w:r>
      <w:r w:rsidR="00116264">
        <w:rPr>
          <w:rFonts w:ascii="Bookman Old Style" w:hAnsi="Bookman Old Style" w:cs="Arial"/>
          <w:sz w:val="24"/>
          <w:szCs w:val="24"/>
        </w:rPr>
        <w:t>3</w:t>
      </w:r>
      <w:r w:rsidRPr="00832BF4">
        <w:rPr>
          <w:rFonts w:ascii="Bookman Old Style" w:hAnsi="Bookman Old Style" w:cs="Arial"/>
          <w:sz w:val="24"/>
          <w:szCs w:val="24"/>
        </w:rPr>
        <w:t xml:space="preserve"> será la siguiente:</w:t>
      </w:r>
    </w:p>
    <w:p w:rsidR="00847E74" w:rsidRPr="00832BF4" w:rsidRDefault="00847E74" w:rsidP="00847E74">
      <w:pPr>
        <w:pStyle w:val="Textoindependiente21"/>
        <w:ind w:left="284" w:right="142"/>
        <w:rPr>
          <w:rFonts w:ascii="Bookman Old Style" w:hAnsi="Bookman Old Style" w:cs="Arial"/>
          <w:sz w:val="24"/>
          <w:szCs w:val="24"/>
        </w:rPr>
      </w:pPr>
    </w:p>
    <w:tbl>
      <w:tblPr>
        <w:tblW w:w="9603" w:type="dxa"/>
        <w:jc w:val="center"/>
        <w:tblInd w:w="-3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8101"/>
        <w:gridCol w:w="1518"/>
      </w:tblGrid>
      <w:tr w:rsidR="00847E74" w:rsidRPr="00832BF4" w:rsidTr="00116264">
        <w:trPr>
          <w:trHeight w:val="255"/>
          <w:jc w:val="center"/>
        </w:trPr>
        <w:tc>
          <w:tcPr>
            <w:tcW w:w="8085" w:type="dxa"/>
            <w:shd w:val="clear" w:color="auto" w:fill="FFFFFF"/>
            <w:noWrap/>
            <w:vAlign w:val="bottom"/>
          </w:tcPr>
          <w:p w:rsidR="00847E74" w:rsidRPr="00832BF4" w:rsidRDefault="00847E74" w:rsidP="00614B32">
            <w:pPr>
              <w:ind w:right="142"/>
              <w:rPr>
                <w:rFonts w:ascii="Bookman Old Style" w:eastAsia="Arial Unicode MS" w:hAnsi="Bookman Old Style" w:cs="Arial"/>
              </w:rPr>
            </w:pPr>
          </w:p>
        </w:tc>
        <w:tc>
          <w:tcPr>
            <w:tcW w:w="1518" w:type="dxa"/>
            <w:shd w:val="clear" w:color="auto" w:fill="FFFFFF"/>
            <w:noWrap/>
            <w:vAlign w:val="bottom"/>
          </w:tcPr>
          <w:p w:rsidR="00847E74" w:rsidRPr="00832BF4" w:rsidRDefault="00847E74" w:rsidP="00116264">
            <w:pPr>
              <w:ind w:left="284" w:right="142"/>
              <w:jc w:val="center"/>
              <w:rPr>
                <w:rFonts w:ascii="Bookman Old Style" w:eastAsia="Arial Unicode MS" w:hAnsi="Bookman Old Style" w:cs="Arial"/>
                <w:b/>
                <w:bCs/>
              </w:rPr>
            </w:pPr>
            <w:r w:rsidRPr="00832BF4">
              <w:rPr>
                <w:rFonts w:ascii="Bookman Old Style" w:hAnsi="Bookman Old Style" w:cs="Arial"/>
                <w:b/>
                <w:bCs/>
              </w:rPr>
              <w:t>201</w:t>
            </w:r>
            <w:r w:rsidR="00116264">
              <w:rPr>
                <w:rFonts w:ascii="Bookman Old Style" w:hAnsi="Bookman Old Style" w:cs="Arial"/>
                <w:b/>
                <w:bCs/>
              </w:rPr>
              <w:t>3</w:t>
            </w:r>
          </w:p>
        </w:tc>
      </w:tr>
      <w:tr w:rsidR="00847E74" w:rsidRPr="00832BF4" w:rsidTr="00116264">
        <w:trPr>
          <w:trHeight w:val="255"/>
          <w:jc w:val="center"/>
        </w:trPr>
        <w:tc>
          <w:tcPr>
            <w:tcW w:w="8085" w:type="dxa"/>
            <w:shd w:val="clear" w:color="auto" w:fill="FFFFFF"/>
            <w:noWrap/>
            <w:vAlign w:val="bottom"/>
          </w:tcPr>
          <w:p w:rsidR="00847E74" w:rsidRPr="00832BF4" w:rsidRDefault="00847E74" w:rsidP="00116264">
            <w:pPr>
              <w:ind w:left="284" w:right="142"/>
              <w:rPr>
                <w:rFonts w:ascii="Bookman Old Style" w:eastAsia="Arial Unicode MS" w:hAnsi="Bookman Old Style" w:cs="Arial"/>
              </w:rPr>
            </w:pPr>
            <w:r w:rsidRPr="00832BF4">
              <w:rPr>
                <w:rFonts w:ascii="Bookman Old Style" w:hAnsi="Bookman Old Style" w:cs="Arial"/>
              </w:rPr>
              <w:t>Factura de los consumos subsidiados: (DS)*(1-S)= (9</w:t>
            </w:r>
            <w:r w:rsidR="00116264">
              <w:rPr>
                <w:rFonts w:ascii="Bookman Old Style" w:hAnsi="Bookman Old Style" w:cs="Arial"/>
              </w:rPr>
              <w:t>6</w:t>
            </w:r>
            <w:r w:rsidRPr="00832BF4">
              <w:rPr>
                <w:rFonts w:ascii="Bookman Old Style" w:hAnsi="Bookman Old Style" w:cs="Arial"/>
              </w:rPr>
              <w:t>,</w:t>
            </w:r>
            <w:r w:rsidR="00116264">
              <w:rPr>
                <w:rFonts w:ascii="Bookman Old Style" w:hAnsi="Bookman Old Style" w:cs="Arial"/>
              </w:rPr>
              <w:t>77</w:t>
            </w:r>
            <w:r w:rsidRPr="00832BF4">
              <w:rPr>
                <w:rFonts w:ascii="Bookman Old Style" w:hAnsi="Bookman Old Style" w:cs="Arial"/>
              </w:rPr>
              <w:t>%)*(1-60%)</w:t>
            </w:r>
            <w:r w:rsidR="00674DD2">
              <w:rPr>
                <w:rFonts w:ascii="Bookman Old Style" w:hAnsi="Bookman Old Style" w:cs="Arial"/>
              </w:rPr>
              <w:tab/>
            </w:r>
            <w:r w:rsidRPr="00832BF4">
              <w:rPr>
                <w:rFonts w:ascii="Bookman Old Style" w:hAnsi="Bookman Old Style" w:cs="Arial"/>
              </w:rPr>
              <w:t>(1)</w:t>
            </w:r>
          </w:p>
        </w:tc>
        <w:tc>
          <w:tcPr>
            <w:tcW w:w="1518" w:type="dxa"/>
            <w:shd w:val="clear" w:color="auto" w:fill="FFFFFF"/>
            <w:noWrap/>
          </w:tcPr>
          <w:p w:rsidR="00847E74" w:rsidRPr="00832BF4" w:rsidRDefault="00116264" w:rsidP="00614B32">
            <w:pPr>
              <w:jc w:val="center"/>
              <w:rPr>
                <w:rFonts w:ascii="Bookman Old Style" w:hAnsi="Bookman Old Style"/>
              </w:rPr>
            </w:pPr>
            <w:r w:rsidRPr="00116264">
              <w:rPr>
                <w:rFonts w:ascii="Bookman Old Style" w:hAnsi="Bookman Old Style"/>
              </w:rPr>
              <w:t>38,71%</w:t>
            </w:r>
          </w:p>
        </w:tc>
      </w:tr>
      <w:tr w:rsidR="00847E74" w:rsidRPr="00832BF4" w:rsidTr="00116264">
        <w:trPr>
          <w:trHeight w:val="255"/>
          <w:jc w:val="center"/>
        </w:trPr>
        <w:tc>
          <w:tcPr>
            <w:tcW w:w="8085" w:type="dxa"/>
            <w:shd w:val="clear" w:color="auto" w:fill="FFFFFF"/>
            <w:noWrap/>
            <w:vAlign w:val="bottom"/>
          </w:tcPr>
          <w:p w:rsidR="00847E74" w:rsidRPr="00832BF4" w:rsidRDefault="00847E74" w:rsidP="00116264">
            <w:pPr>
              <w:ind w:left="284" w:right="142"/>
              <w:rPr>
                <w:rFonts w:ascii="Bookman Old Style" w:hAnsi="Bookman Old Style" w:cs="Arial"/>
              </w:rPr>
            </w:pPr>
            <w:r w:rsidRPr="00832BF4">
              <w:rPr>
                <w:rFonts w:ascii="Bookman Old Style" w:hAnsi="Bookman Old Style" w:cs="Arial"/>
              </w:rPr>
              <w:t xml:space="preserve">Factura de los consumos no subsidiados: (1-DS)= </w:t>
            </w:r>
            <w:r w:rsidR="00116264">
              <w:rPr>
                <w:rFonts w:ascii="Bookman Old Style" w:hAnsi="Bookman Old Style" w:cs="Arial"/>
              </w:rPr>
              <w:t>3</w:t>
            </w:r>
            <w:r w:rsidRPr="00832BF4">
              <w:rPr>
                <w:rFonts w:ascii="Bookman Old Style" w:hAnsi="Bookman Old Style" w:cs="Arial"/>
              </w:rPr>
              <w:t>,</w:t>
            </w:r>
            <w:r w:rsidR="00116264">
              <w:rPr>
                <w:rFonts w:ascii="Bookman Old Style" w:hAnsi="Bookman Old Style" w:cs="Arial"/>
              </w:rPr>
              <w:t>23</w:t>
            </w:r>
            <w:r w:rsidRPr="00832BF4">
              <w:rPr>
                <w:rFonts w:ascii="Bookman Old Style" w:hAnsi="Bookman Old Style" w:cs="Arial"/>
              </w:rPr>
              <w:t>%</w:t>
            </w:r>
            <w:r w:rsidR="00674DD2">
              <w:rPr>
                <w:rFonts w:ascii="Bookman Old Style" w:hAnsi="Bookman Old Style" w:cs="Arial"/>
              </w:rPr>
              <w:tab/>
            </w:r>
            <w:r w:rsidRPr="00832BF4">
              <w:rPr>
                <w:rFonts w:ascii="Bookman Old Style" w:hAnsi="Bookman Old Style" w:cs="Arial"/>
              </w:rPr>
              <w:t>(2)</w:t>
            </w:r>
          </w:p>
        </w:tc>
        <w:tc>
          <w:tcPr>
            <w:tcW w:w="1518" w:type="dxa"/>
            <w:shd w:val="clear" w:color="auto" w:fill="FFFFFF"/>
            <w:noWrap/>
          </w:tcPr>
          <w:p w:rsidR="00847E74" w:rsidRPr="00832BF4" w:rsidRDefault="00116264" w:rsidP="00116264">
            <w:pPr>
              <w:jc w:val="center"/>
              <w:rPr>
                <w:rFonts w:ascii="Bookman Old Style" w:hAnsi="Bookman Old Style"/>
              </w:rPr>
            </w:pPr>
            <w:r>
              <w:rPr>
                <w:rFonts w:ascii="Bookman Old Style" w:hAnsi="Bookman Old Style"/>
              </w:rPr>
              <w:t>3</w:t>
            </w:r>
            <w:r w:rsidR="00847E74" w:rsidRPr="00832BF4">
              <w:rPr>
                <w:rFonts w:ascii="Bookman Old Style" w:hAnsi="Bookman Old Style"/>
              </w:rPr>
              <w:t>,</w:t>
            </w:r>
            <w:r>
              <w:rPr>
                <w:rFonts w:ascii="Bookman Old Style" w:hAnsi="Bookman Old Style"/>
              </w:rPr>
              <w:t>23</w:t>
            </w:r>
            <w:r w:rsidR="00847E74" w:rsidRPr="00832BF4">
              <w:rPr>
                <w:rFonts w:ascii="Bookman Old Style" w:hAnsi="Bookman Old Style"/>
              </w:rPr>
              <w:t>%</w:t>
            </w:r>
          </w:p>
        </w:tc>
      </w:tr>
      <w:tr w:rsidR="00116264" w:rsidRPr="00832BF4" w:rsidTr="00116264">
        <w:trPr>
          <w:trHeight w:val="255"/>
          <w:jc w:val="center"/>
        </w:trPr>
        <w:tc>
          <w:tcPr>
            <w:tcW w:w="8085" w:type="dxa"/>
            <w:shd w:val="clear" w:color="auto" w:fill="FFFFFF"/>
            <w:noWrap/>
            <w:vAlign w:val="bottom"/>
          </w:tcPr>
          <w:p w:rsidR="00116264" w:rsidRPr="00832BF4" w:rsidRDefault="00116264" w:rsidP="00674DD2">
            <w:pPr>
              <w:ind w:left="284" w:right="142"/>
              <w:rPr>
                <w:rFonts w:ascii="Bookman Old Style" w:eastAsia="Arial Unicode MS" w:hAnsi="Bookman Old Style" w:cs="Arial"/>
              </w:rPr>
            </w:pPr>
            <w:r>
              <w:rPr>
                <w:rFonts w:ascii="Bookman Old Style" w:hAnsi="Bookman Old Style" w:cs="Arial"/>
              </w:rPr>
              <w:t>Factura y recaudo de FOES</w:t>
            </w:r>
            <w:r>
              <w:rPr>
                <w:rFonts w:ascii="Bookman Old Style" w:hAnsi="Bookman Old Style" w:cs="Arial"/>
              </w:rPr>
              <w:tab/>
            </w:r>
            <w:r>
              <w:rPr>
                <w:rFonts w:ascii="Bookman Old Style" w:hAnsi="Bookman Old Style" w:cs="Arial"/>
              </w:rPr>
              <w:tab/>
            </w:r>
            <w:r w:rsidRPr="00832BF4">
              <w:rPr>
                <w:rFonts w:ascii="Bookman Old Style" w:hAnsi="Bookman Old Style" w:cs="Arial"/>
              </w:rPr>
              <w:t>(3)</w:t>
            </w:r>
          </w:p>
        </w:tc>
        <w:tc>
          <w:tcPr>
            <w:tcW w:w="1518" w:type="dxa"/>
            <w:shd w:val="clear" w:color="auto" w:fill="FFFFFF"/>
            <w:noWrap/>
          </w:tcPr>
          <w:p w:rsidR="00116264" w:rsidRPr="00116264" w:rsidRDefault="00116264" w:rsidP="00116264">
            <w:pPr>
              <w:jc w:val="center"/>
              <w:rPr>
                <w:rFonts w:ascii="Bookman Old Style" w:hAnsi="Bookman Old Style"/>
              </w:rPr>
            </w:pPr>
            <w:r w:rsidRPr="00116264">
              <w:rPr>
                <w:rFonts w:ascii="Bookman Old Style" w:hAnsi="Bookman Old Style"/>
              </w:rPr>
              <w:t>12,45%</w:t>
            </w:r>
          </w:p>
        </w:tc>
      </w:tr>
      <w:tr w:rsidR="00116264" w:rsidRPr="00832BF4" w:rsidTr="00116264">
        <w:trPr>
          <w:trHeight w:val="255"/>
          <w:jc w:val="center"/>
        </w:trPr>
        <w:tc>
          <w:tcPr>
            <w:tcW w:w="8085" w:type="dxa"/>
            <w:shd w:val="clear" w:color="auto" w:fill="FFFFFF"/>
            <w:noWrap/>
            <w:vAlign w:val="bottom"/>
          </w:tcPr>
          <w:p w:rsidR="00116264" w:rsidRPr="00832BF4" w:rsidRDefault="00116264" w:rsidP="00674DD2">
            <w:pPr>
              <w:ind w:left="284" w:right="142"/>
              <w:rPr>
                <w:rFonts w:ascii="Bookman Old Style" w:eastAsia="Arial Unicode MS" w:hAnsi="Bookman Old Style" w:cs="Arial"/>
              </w:rPr>
            </w:pPr>
            <w:r>
              <w:rPr>
                <w:rFonts w:ascii="Bookman Old Style" w:hAnsi="Bookman Old Style" w:cs="Arial"/>
              </w:rPr>
              <w:t>Factura y r</w:t>
            </w:r>
            <w:r w:rsidRPr="00832BF4">
              <w:rPr>
                <w:rFonts w:ascii="Bookman Old Style" w:hAnsi="Bookman Old Style" w:cs="Arial"/>
              </w:rPr>
              <w:t xml:space="preserve">ecaudo de FSSRI </w:t>
            </w:r>
            <w:r>
              <w:rPr>
                <w:rFonts w:ascii="Bookman Old Style" w:hAnsi="Bookman Old Style" w:cs="Arial"/>
              </w:rPr>
              <w:tab/>
            </w:r>
            <w:r w:rsidRPr="00832BF4">
              <w:rPr>
                <w:rFonts w:ascii="Bookman Old Style" w:hAnsi="Bookman Old Style" w:cs="Arial"/>
              </w:rPr>
              <w:t>(4)</w:t>
            </w:r>
          </w:p>
        </w:tc>
        <w:tc>
          <w:tcPr>
            <w:tcW w:w="1518" w:type="dxa"/>
            <w:shd w:val="clear" w:color="auto" w:fill="FFFFFF"/>
            <w:noWrap/>
          </w:tcPr>
          <w:p w:rsidR="00116264" w:rsidRPr="00116264" w:rsidRDefault="00116264" w:rsidP="00116264">
            <w:pPr>
              <w:jc w:val="center"/>
              <w:rPr>
                <w:rFonts w:ascii="Bookman Old Style" w:hAnsi="Bookman Old Style"/>
              </w:rPr>
            </w:pPr>
            <w:r w:rsidRPr="00116264">
              <w:rPr>
                <w:rFonts w:ascii="Bookman Old Style" w:hAnsi="Bookman Old Style"/>
              </w:rPr>
              <w:t>58,06%</w:t>
            </w:r>
          </w:p>
        </w:tc>
      </w:tr>
      <w:tr w:rsidR="00847E74" w:rsidRPr="00832BF4" w:rsidTr="00116264">
        <w:trPr>
          <w:trHeight w:val="135"/>
          <w:jc w:val="center"/>
        </w:trPr>
        <w:tc>
          <w:tcPr>
            <w:tcW w:w="8085" w:type="dxa"/>
            <w:shd w:val="clear" w:color="auto" w:fill="FFFFFF"/>
            <w:vAlign w:val="bottom"/>
          </w:tcPr>
          <w:p w:rsidR="00847E74" w:rsidRPr="00832BF4" w:rsidRDefault="00847E74" w:rsidP="00116264">
            <w:pPr>
              <w:ind w:left="284" w:right="142"/>
              <w:rPr>
                <w:rFonts w:ascii="Bookman Old Style" w:eastAsia="Arial Unicode MS" w:hAnsi="Bookman Old Style" w:cs="Arial"/>
              </w:rPr>
            </w:pPr>
            <w:r w:rsidRPr="00832BF4">
              <w:rPr>
                <w:rFonts w:ascii="Bookman Old Style" w:hAnsi="Bookman Old Style" w:cs="Arial"/>
              </w:rPr>
              <w:t xml:space="preserve">Recaudo </w:t>
            </w:r>
            <w:r w:rsidR="00116264">
              <w:rPr>
                <w:rFonts w:ascii="Bookman Old Style" w:hAnsi="Bookman Old Style" w:cs="Arial"/>
              </w:rPr>
              <w:t>sobre puesto al cobro (RPC): (39</w:t>
            </w:r>
            <w:r w:rsidRPr="00832BF4">
              <w:rPr>
                <w:rFonts w:ascii="Bookman Old Style" w:hAnsi="Bookman Old Style" w:cs="Arial"/>
              </w:rPr>
              <w:t>,</w:t>
            </w:r>
            <w:r w:rsidR="00116264">
              <w:rPr>
                <w:rFonts w:ascii="Bookman Old Style" w:hAnsi="Bookman Old Style" w:cs="Arial"/>
              </w:rPr>
              <w:t>4</w:t>
            </w:r>
            <w:r w:rsidRPr="00832BF4">
              <w:rPr>
                <w:rFonts w:ascii="Bookman Old Style" w:hAnsi="Bookman Old Style" w:cs="Arial"/>
              </w:rPr>
              <w:t xml:space="preserve">%) </w:t>
            </w:r>
            <w:r w:rsidR="00674DD2">
              <w:rPr>
                <w:rFonts w:ascii="Bookman Old Style" w:hAnsi="Bookman Old Style" w:cs="Arial"/>
              </w:rPr>
              <w:tab/>
            </w:r>
            <w:r w:rsidRPr="00832BF4">
              <w:rPr>
                <w:rFonts w:ascii="Bookman Old Style" w:hAnsi="Bookman Old Style" w:cs="Arial"/>
              </w:rPr>
              <w:t>(5)</w:t>
            </w:r>
          </w:p>
        </w:tc>
        <w:tc>
          <w:tcPr>
            <w:tcW w:w="1518" w:type="dxa"/>
            <w:shd w:val="clear" w:color="auto" w:fill="FFFFFF"/>
            <w:noWrap/>
          </w:tcPr>
          <w:p w:rsidR="00847E74" w:rsidRPr="00832BF4" w:rsidRDefault="00116264" w:rsidP="00614B32">
            <w:pPr>
              <w:jc w:val="center"/>
              <w:rPr>
                <w:rFonts w:ascii="Bookman Old Style" w:hAnsi="Bookman Old Style"/>
              </w:rPr>
            </w:pPr>
            <w:r>
              <w:rPr>
                <w:rFonts w:ascii="Bookman Old Style" w:hAnsi="Bookman Old Style"/>
              </w:rPr>
              <w:t>39,4</w:t>
            </w:r>
            <w:r w:rsidR="00847E74" w:rsidRPr="00832BF4">
              <w:rPr>
                <w:rFonts w:ascii="Bookman Old Style" w:hAnsi="Bookman Old Style"/>
              </w:rPr>
              <w:t>0%</w:t>
            </w:r>
          </w:p>
        </w:tc>
      </w:tr>
      <w:tr w:rsidR="00847E74" w:rsidRPr="00832BF4" w:rsidTr="00116264">
        <w:trPr>
          <w:trHeight w:val="270"/>
          <w:jc w:val="center"/>
        </w:trPr>
        <w:tc>
          <w:tcPr>
            <w:tcW w:w="8085" w:type="dxa"/>
            <w:shd w:val="clear" w:color="auto" w:fill="FFFFFF"/>
            <w:noWrap/>
            <w:vAlign w:val="bottom"/>
          </w:tcPr>
          <w:p w:rsidR="00847E74" w:rsidRPr="00832BF4" w:rsidRDefault="00847E74" w:rsidP="00614B32">
            <w:pPr>
              <w:ind w:left="284" w:right="142"/>
              <w:rPr>
                <w:rFonts w:ascii="Bookman Old Style" w:hAnsi="Bookman Old Style" w:cs="Arial"/>
              </w:rPr>
            </w:pPr>
            <w:r w:rsidRPr="00832BF4">
              <w:rPr>
                <w:rFonts w:ascii="Bookman Old Style" w:hAnsi="Bookman Old Style" w:cs="Arial"/>
              </w:rPr>
              <w:t xml:space="preserve">Recaudo de usuarios </w:t>
            </w:r>
            <w:r w:rsidR="00674DD2">
              <w:rPr>
                <w:rFonts w:ascii="Bookman Old Style" w:hAnsi="Bookman Old Style" w:cs="Arial"/>
              </w:rPr>
              <w:tab/>
            </w:r>
            <w:r w:rsidR="00674DD2">
              <w:rPr>
                <w:rFonts w:ascii="Bookman Old Style" w:hAnsi="Bookman Old Style" w:cs="Arial"/>
              </w:rPr>
              <w:tab/>
            </w:r>
            <w:r w:rsidRPr="00832BF4">
              <w:rPr>
                <w:rFonts w:ascii="Bookman Old Style" w:hAnsi="Bookman Old Style" w:cs="Arial"/>
              </w:rPr>
              <w:t>(6</w:t>
            </w:r>
            <w:r w:rsidR="00D80BD4">
              <w:rPr>
                <w:rFonts w:ascii="Bookman Old Style" w:hAnsi="Bookman Old Style" w:cs="Arial"/>
              </w:rPr>
              <w:t>)</w:t>
            </w:r>
            <w:r w:rsidRPr="00832BF4">
              <w:rPr>
                <w:rFonts w:ascii="Bookman Old Style" w:hAnsi="Bookman Old Style" w:cs="Arial"/>
              </w:rPr>
              <w:t>=</w:t>
            </w:r>
            <w:r w:rsidR="00D80BD4">
              <w:rPr>
                <w:rFonts w:ascii="Bookman Old Style" w:hAnsi="Bookman Old Style" w:cs="Arial"/>
              </w:rPr>
              <w:t>(</w:t>
            </w:r>
            <w:r w:rsidRPr="00832BF4">
              <w:rPr>
                <w:rFonts w:ascii="Bookman Old Style" w:hAnsi="Bookman Old Style" w:cs="Arial"/>
              </w:rPr>
              <w:t>(1</w:t>
            </w:r>
            <w:r w:rsidR="00D80BD4">
              <w:rPr>
                <w:rFonts w:ascii="Bookman Old Style" w:hAnsi="Bookman Old Style" w:cs="Arial"/>
              </w:rPr>
              <w:t>)</w:t>
            </w:r>
            <w:r w:rsidRPr="00832BF4">
              <w:rPr>
                <w:rFonts w:ascii="Bookman Old Style" w:hAnsi="Bookman Old Style" w:cs="Arial"/>
              </w:rPr>
              <w:t>+</w:t>
            </w:r>
            <w:r w:rsidR="00D80BD4">
              <w:rPr>
                <w:rFonts w:ascii="Bookman Old Style" w:hAnsi="Bookman Old Style" w:cs="Arial"/>
              </w:rPr>
              <w:t>(</w:t>
            </w:r>
            <w:r w:rsidRPr="00832BF4">
              <w:rPr>
                <w:rFonts w:ascii="Bookman Old Style" w:hAnsi="Bookman Old Style" w:cs="Arial"/>
              </w:rPr>
              <w:t>2)</w:t>
            </w:r>
            <w:r w:rsidR="00D80BD4">
              <w:rPr>
                <w:rFonts w:ascii="Bookman Old Style" w:hAnsi="Bookman Old Style" w:cs="Arial"/>
              </w:rPr>
              <w:t>)</w:t>
            </w:r>
            <w:r w:rsidRPr="00832BF4">
              <w:rPr>
                <w:rFonts w:ascii="Bookman Old Style" w:hAnsi="Bookman Old Style" w:cs="Arial"/>
              </w:rPr>
              <w:t>*</w:t>
            </w:r>
            <w:r w:rsidR="00D80BD4">
              <w:rPr>
                <w:rFonts w:ascii="Bookman Old Style" w:hAnsi="Bookman Old Style" w:cs="Arial"/>
              </w:rPr>
              <w:t>(</w:t>
            </w:r>
            <w:r w:rsidRPr="00832BF4">
              <w:rPr>
                <w:rFonts w:ascii="Bookman Old Style" w:hAnsi="Bookman Old Style" w:cs="Arial"/>
              </w:rPr>
              <w:t>5)</w:t>
            </w:r>
          </w:p>
        </w:tc>
        <w:tc>
          <w:tcPr>
            <w:tcW w:w="1518" w:type="dxa"/>
            <w:shd w:val="clear" w:color="auto" w:fill="FFFFFF"/>
            <w:noWrap/>
          </w:tcPr>
          <w:p w:rsidR="00847E74" w:rsidRPr="00832BF4" w:rsidRDefault="00116264" w:rsidP="00614B32">
            <w:pPr>
              <w:jc w:val="center"/>
              <w:rPr>
                <w:rFonts w:ascii="Bookman Old Style" w:hAnsi="Bookman Old Style"/>
              </w:rPr>
            </w:pPr>
            <w:r w:rsidRPr="00116264">
              <w:rPr>
                <w:rFonts w:ascii="Bookman Old Style" w:hAnsi="Bookman Old Style"/>
              </w:rPr>
              <w:t>16,52%</w:t>
            </w:r>
          </w:p>
        </w:tc>
      </w:tr>
      <w:tr w:rsidR="00847E74" w:rsidRPr="00832BF4" w:rsidTr="00116264">
        <w:trPr>
          <w:trHeight w:val="270"/>
          <w:jc w:val="center"/>
        </w:trPr>
        <w:tc>
          <w:tcPr>
            <w:tcW w:w="8085" w:type="dxa"/>
            <w:shd w:val="clear" w:color="auto" w:fill="FFFFFF"/>
            <w:noWrap/>
            <w:vAlign w:val="bottom"/>
          </w:tcPr>
          <w:p w:rsidR="00847E74" w:rsidRPr="00832BF4" w:rsidRDefault="00847E74" w:rsidP="00674DD2">
            <w:pPr>
              <w:ind w:left="284" w:right="142"/>
              <w:rPr>
                <w:rFonts w:ascii="Bookman Old Style" w:eastAsia="Arial Unicode MS" w:hAnsi="Bookman Old Style" w:cs="Arial"/>
                <w:b/>
              </w:rPr>
            </w:pPr>
            <w:r w:rsidRPr="00832BF4">
              <w:rPr>
                <w:rFonts w:ascii="Bookman Old Style" w:hAnsi="Bookman Old Style" w:cs="Arial"/>
                <w:b/>
              </w:rPr>
              <w:t xml:space="preserve">Recaudo total </w:t>
            </w:r>
            <w:r w:rsidR="00674DD2">
              <w:rPr>
                <w:rFonts w:ascii="Bookman Old Style" w:hAnsi="Bookman Old Style" w:cs="Arial"/>
                <w:b/>
              </w:rPr>
              <w:tab/>
            </w:r>
            <w:r w:rsidR="00674DD2">
              <w:rPr>
                <w:rFonts w:ascii="Bookman Old Style" w:hAnsi="Bookman Old Style" w:cs="Arial"/>
                <w:b/>
              </w:rPr>
              <w:tab/>
            </w:r>
            <w:r w:rsidR="00674DD2">
              <w:rPr>
                <w:rFonts w:ascii="Bookman Old Style" w:hAnsi="Bookman Old Style" w:cs="Arial"/>
                <w:b/>
              </w:rPr>
              <w:tab/>
            </w:r>
            <w:r w:rsidRPr="00832BF4">
              <w:rPr>
                <w:rFonts w:ascii="Bookman Old Style" w:hAnsi="Bookman Old Style" w:cs="Arial"/>
                <w:b/>
              </w:rPr>
              <w:t>(3</w:t>
            </w:r>
            <w:r w:rsidR="00D80BD4">
              <w:rPr>
                <w:rFonts w:ascii="Bookman Old Style" w:hAnsi="Bookman Old Style" w:cs="Arial"/>
                <w:b/>
              </w:rPr>
              <w:t>)</w:t>
            </w:r>
            <w:r w:rsidRPr="00832BF4">
              <w:rPr>
                <w:rFonts w:ascii="Bookman Old Style" w:hAnsi="Bookman Old Style" w:cs="Arial"/>
                <w:b/>
              </w:rPr>
              <w:t>+</w:t>
            </w:r>
            <w:r w:rsidR="00D80BD4">
              <w:rPr>
                <w:rFonts w:ascii="Bookman Old Style" w:hAnsi="Bookman Old Style" w:cs="Arial"/>
                <w:b/>
              </w:rPr>
              <w:t>(</w:t>
            </w:r>
            <w:r w:rsidRPr="00832BF4">
              <w:rPr>
                <w:rFonts w:ascii="Bookman Old Style" w:hAnsi="Bookman Old Style" w:cs="Arial"/>
                <w:b/>
              </w:rPr>
              <w:t>4</w:t>
            </w:r>
            <w:r w:rsidR="00D80BD4">
              <w:rPr>
                <w:rFonts w:ascii="Bookman Old Style" w:hAnsi="Bookman Old Style" w:cs="Arial"/>
                <w:b/>
              </w:rPr>
              <w:t>)</w:t>
            </w:r>
            <w:r w:rsidRPr="00832BF4">
              <w:rPr>
                <w:rFonts w:ascii="Bookman Old Style" w:hAnsi="Bookman Old Style" w:cs="Arial"/>
                <w:b/>
              </w:rPr>
              <w:t>+</w:t>
            </w:r>
            <w:r w:rsidR="00D80BD4">
              <w:rPr>
                <w:rFonts w:ascii="Bookman Old Style" w:hAnsi="Bookman Old Style" w:cs="Arial"/>
                <w:b/>
              </w:rPr>
              <w:t>(</w:t>
            </w:r>
            <w:r w:rsidRPr="00832BF4">
              <w:rPr>
                <w:rFonts w:ascii="Bookman Old Style" w:hAnsi="Bookman Old Style" w:cs="Arial"/>
                <w:b/>
              </w:rPr>
              <w:t>6)</w:t>
            </w:r>
          </w:p>
        </w:tc>
        <w:tc>
          <w:tcPr>
            <w:tcW w:w="1518" w:type="dxa"/>
            <w:shd w:val="clear" w:color="auto" w:fill="FFFFFF"/>
            <w:noWrap/>
          </w:tcPr>
          <w:p w:rsidR="00847E74" w:rsidRPr="00832BF4" w:rsidRDefault="00116264" w:rsidP="00614B32">
            <w:pPr>
              <w:jc w:val="center"/>
              <w:rPr>
                <w:rFonts w:ascii="Bookman Old Style" w:hAnsi="Bookman Old Style"/>
                <w:b/>
              </w:rPr>
            </w:pPr>
            <w:r w:rsidRPr="00116264">
              <w:rPr>
                <w:rFonts w:ascii="Bookman Old Style" w:hAnsi="Bookman Old Style"/>
                <w:b/>
              </w:rPr>
              <w:t>87,04%</w:t>
            </w:r>
          </w:p>
        </w:tc>
      </w:tr>
    </w:tbl>
    <w:p w:rsidR="00847E74" w:rsidRPr="00832BF4" w:rsidRDefault="00847E74" w:rsidP="00847E74">
      <w:pPr>
        <w:ind w:left="284" w:right="142"/>
        <w:jc w:val="center"/>
        <w:rPr>
          <w:rFonts w:ascii="Bookman Old Style" w:hAnsi="Bookman Old Style" w:cs="Arial"/>
          <w:b/>
        </w:rPr>
      </w:pPr>
    </w:p>
    <w:p w:rsidR="00847E74" w:rsidRPr="00832BF4" w:rsidRDefault="00847E74" w:rsidP="00847E74">
      <w:pPr>
        <w:ind w:left="284" w:right="142"/>
        <w:jc w:val="center"/>
        <w:rPr>
          <w:rFonts w:ascii="Bookman Old Style" w:hAnsi="Bookman Old Style" w:cs="Arial"/>
          <w:b/>
        </w:rPr>
      </w:pPr>
    </w:p>
    <w:p w:rsidR="00847E74" w:rsidRPr="00832BF4" w:rsidRDefault="00847E74" w:rsidP="00847E74">
      <w:pPr>
        <w:jc w:val="center"/>
        <w:rPr>
          <w:rFonts w:ascii="Bookman Old Style" w:hAnsi="Bookman Old Style" w:cs="Arial"/>
          <w:b/>
        </w:rPr>
      </w:pPr>
      <w:r w:rsidRPr="00832BF4">
        <w:rPr>
          <w:rFonts w:ascii="Bookman Old Style" w:hAnsi="Bookman Old Style" w:cs="Arial"/>
          <w:b/>
        </w:rPr>
        <w:t>COSTO UNITARIO DE PRESTACIÓN DEL SERVICIO</w:t>
      </w:r>
    </w:p>
    <w:tbl>
      <w:tblPr>
        <w:tblW w:w="940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961"/>
        <w:gridCol w:w="813"/>
        <w:gridCol w:w="1206"/>
        <w:gridCol w:w="1206"/>
        <w:gridCol w:w="813"/>
        <w:gridCol w:w="813"/>
        <w:gridCol w:w="813"/>
        <w:gridCol w:w="961"/>
        <w:gridCol w:w="961"/>
      </w:tblGrid>
      <w:tr w:rsidR="00973E3B" w:rsidRPr="00832BF4" w:rsidTr="00116264">
        <w:trPr>
          <w:trHeight w:val="219"/>
          <w:jc w:val="center"/>
        </w:trPr>
        <w:tc>
          <w:tcPr>
            <w:tcW w:w="856"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C</w:t>
            </w:r>
          </w:p>
        </w:tc>
        <w:tc>
          <w:tcPr>
            <w:tcW w:w="961"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G</w:t>
            </w:r>
          </w:p>
        </w:tc>
        <w:tc>
          <w:tcPr>
            <w:tcW w:w="813"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T</w:t>
            </w:r>
          </w:p>
        </w:tc>
        <w:tc>
          <w:tcPr>
            <w:tcW w:w="1206"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Pérdidas Nivel 1</w:t>
            </w:r>
          </w:p>
        </w:tc>
        <w:tc>
          <w:tcPr>
            <w:tcW w:w="1206"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Pérdidas Nivel 2</w:t>
            </w:r>
          </w:p>
        </w:tc>
        <w:tc>
          <w:tcPr>
            <w:tcW w:w="813"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D(1)</w:t>
            </w:r>
          </w:p>
        </w:tc>
        <w:tc>
          <w:tcPr>
            <w:tcW w:w="813"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D(2)</w:t>
            </w:r>
          </w:p>
        </w:tc>
        <w:tc>
          <w:tcPr>
            <w:tcW w:w="813"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R</w:t>
            </w:r>
          </w:p>
        </w:tc>
        <w:tc>
          <w:tcPr>
            <w:tcW w:w="961"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Total (1)</w:t>
            </w:r>
          </w:p>
        </w:tc>
        <w:tc>
          <w:tcPr>
            <w:tcW w:w="961" w:type="dxa"/>
            <w:shd w:val="clear" w:color="auto" w:fill="auto"/>
            <w:noWrap/>
            <w:vAlign w:val="bottom"/>
            <w:hideMark/>
          </w:tcPr>
          <w:p w:rsidR="00847E74" w:rsidRPr="00832BF4" w:rsidRDefault="00847E74" w:rsidP="00973E3B">
            <w:pPr>
              <w:ind w:left="0"/>
              <w:jc w:val="center"/>
              <w:rPr>
                <w:rFonts w:ascii="Bookman Old Style" w:hAnsi="Bookman Old Style" w:cs="Arial"/>
                <w:b/>
                <w:bCs/>
              </w:rPr>
            </w:pPr>
            <w:r w:rsidRPr="00832BF4">
              <w:rPr>
                <w:rFonts w:ascii="Bookman Old Style" w:hAnsi="Bookman Old Style" w:cs="Arial"/>
                <w:b/>
                <w:bCs/>
              </w:rPr>
              <w:t>Total (2)</w:t>
            </w:r>
          </w:p>
        </w:tc>
      </w:tr>
      <w:tr w:rsidR="00116264" w:rsidRPr="00832BF4" w:rsidTr="00116264">
        <w:trPr>
          <w:trHeight w:val="219"/>
          <w:jc w:val="center"/>
        </w:trPr>
        <w:tc>
          <w:tcPr>
            <w:tcW w:w="856" w:type="dxa"/>
            <w:shd w:val="clear" w:color="auto" w:fill="auto"/>
            <w:noWrap/>
            <w:hideMark/>
          </w:tcPr>
          <w:p w:rsidR="00116264" w:rsidRPr="00116264" w:rsidRDefault="00116264" w:rsidP="00116264">
            <w:pPr>
              <w:ind w:left="0"/>
              <w:jc w:val="center"/>
              <w:rPr>
                <w:rFonts w:ascii="Bookman Old Style" w:hAnsi="Bookman Old Style"/>
                <w:b/>
              </w:rPr>
            </w:pPr>
            <w:r w:rsidRPr="00116264">
              <w:rPr>
                <w:rFonts w:ascii="Bookman Old Style" w:hAnsi="Bookman Old Style"/>
                <w:b/>
              </w:rPr>
              <w:t>44,65</w:t>
            </w:r>
          </w:p>
        </w:tc>
        <w:tc>
          <w:tcPr>
            <w:tcW w:w="961" w:type="dxa"/>
            <w:shd w:val="clear" w:color="auto" w:fill="auto"/>
            <w:noWrap/>
            <w:hideMark/>
          </w:tcPr>
          <w:p w:rsidR="00116264" w:rsidRPr="00116264" w:rsidRDefault="00116264" w:rsidP="00116264">
            <w:pPr>
              <w:ind w:left="0"/>
              <w:jc w:val="center"/>
              <w:rPr>
                <w:rFonts w:ascii="Bookman Old Style" w:hAnsi="Bookman Old Style"/>
              </w:rPr>
            </w:pPr>
            <w:r>
              <w:rPr>
                <w:rFonts w:ascii="Bookman Old Style" w:hAnsi="Bookman Old Style"/>
              </w:rPr>
              <w:t>144,53</w:t>
            </w:r>
          </w:p>
        </w:tc>
        <w:tc>
          <w:tcPr>
            <w:tcW w:w="813" w:type="dxa"/>
            <w:shd w:val="clear" w:color="auto" w:fill="auto"/>
            <w:noWrap/>
            <w:hideMark/>
          </w:tcPr>
          <w:p w:rsidR="00116264" w:rsidRPr="00116264" w:rsidRDefault="00116264" w:rsidP="00116264">
            <w:pPr>
              <w:ind w:left="0"/>
              <w:jc w:val="center"/>
              <w:rPr>
                <w:rFonts w:ascii="Bookman Old Style" w:hAnsi="Bookman Old Style"/>
              </w:rPr>
            </w:pPr>
            <w:r>
              <w:rPr>
                <w:rFonts w:ascii="Bookman Old Style" w:hAnsi="Bookman Old Style"/>
              </w:rPr>
              <w:t>23,12</w:t>
            </w:r>
          </w:p>
        </w:tc>
        <w:tc>
          <w:tcPr>
            <w:tcW w:w="1206" w:type="dxa"/>
            <w:shd w:val="clear" w:color="auto" w:fill="auto"/>
            <w:noWrap/>
            <w:hideMark/>
          </w:tcPr>
          <w:p w:rsidR="00116264" w:rsidRPr="00116264" w:rsidRDefault="00116264" w:rsidP="00116264">
            <w:pPr>
              <w:ind w:left="0"/>
              <w:jc w:val="center"/>
              <w:rPr>
                <w:rFonts w:ascii="Bookman Old Style" w:hAnsi="Bookman Old Style"/>
              </w:rPr>
            </w:pPr>
            <w:r>
              <w:rPr>
                <w:rFonts w:ascii="Bookman Old Style" w:hAnsi="Bookman Old Style"/>
              </w:rPr>
              <w:t>27,84</w:t>
            </w:r>
          </w:p>
        </w:tc>
        <w:tc>
          <w:tcPr>
            <w:tcW w:w="1206" w:type="dxa"/>
            <w:shd w:val="clear" w:color="auto" w:fill="auto"/>
            <w:noWrap/>
            <w:hideMark/>
          </w:tcPr>
          <w:p w:rsidR="00116264" w:rsidRPr="00116264" w:rsidRDefault="00116264" w:rsidP="00116264">
            <w:pPr>
              <w:ind w:left="0"/>
              <w:jc w:val="center"/>
              <w:rPr>
                <w:rFonts w:ascii="Bookman Old Style" w:hAnsi="Bookman Old Style"/>
              </w:rPr>
            </w:pPr>
            <w:r>
              <w:rPr>
                <w:rFonts w:ascii="Bookman Old Style" w:hAnsi="Bookman Old Style"/>
              </w:rPr>
              <w:t>10,27</w:t>
            </w:r>
          </w:p>
        </w:tc>
        <w:tc>
          <w:tcPr>
            <w:tcW w:w="813" w:type="dxa"/>
            <w:shd w:val="clear" w:color="auto" w:fill="auto"/>
            <w:noWrap/>
            <w:hideMark/>
          </w:tcPr>
          <w:p w:rsidR="00116264" w:rsidRPr="00116264" w:rsidRDefault="00116264" w:rsidP="00116264">
            <w:pPr>
              <w:ind w:left="0"/>
              <w:jc w:val="center"/>
              <w:rPr>
                <w:rFonts w:ascii="Bookman Old Style" w:hAnsi="Bookman Old Style"/>
              </w:rPr>
            </w:pPr>
            <w:r>
              <w:rPr>
                <w:rFonts w:ascii="Bookman Old Style" w:hAnsi="Bookman Old Style"/>
              </w:rPr>
              <w:t>67,20</w:t>
            </w:r>
          </w:p>
        </w:tc>
        <w:tc>
          <w:tcPr>
            <w:tcW w:w="813" w:type="dxa"/>
            <w:shd w:val="clear" w:color="auto" w:fill="auto"/>
            <w:noWrap/>
            <w:hideMark/>
          </w:tcPr>
          <w:p w:rsidR="00116264" w:rsidRPr="00116264" w:rsidRDefault="00116264" w:rsidP="00116264">
            <w:pPr>
              <w:ind w:left="0"/>
              <w:jc w:val="center"/>
              <w:rPr>
                <w:rFonts w:ascii="Bookman Old Style" w:hAnsi="Bookman Old Style"/>
              </w:rPr>
            </w:pPr>
            <w:r>
              <w:rPr>
                <w:rFonts w:ascii="Bookman Old Style" w:hAnsi="Bookman Old Style"/>
              </w:rPr>
              <w:t>61,14</w:t>
            </w:r>
          </w:p>
        </w:tc>
        <w:tc>
          <w:tcPr>
            <w:tcW w:w="813" w:type="dxa"/>
            <w:shd w:val="clear" w:color="auto" w:fill="auto"/>
            <w:noWrap/>
            <w:hideMark/>
          </w:tcPr>
          <w:p w:rsidR="00116264" w:rsidRPr="00116264" w:rsidRDefault="00116264" w:rsidP="00116264">
            <w:pPr>
              <w:ind w:left="0"/>
              <w:jc w:val="center"/>
              <w:rPr>
                <w:rFonts w:ascii="Bookman Old Style" w:hAnsi="Bookman Old Style"/>
              </w:rPr>
            </w:pPr>
            <w:r>
              <w:rPr>
                <w:rFonts w:ascii="Bookman Old Style" w:hAnsi="Bookman Old Style"/>
              </w:rPr>
              <w:t>3,32</w:t>
            </w:r>
          </w:p>
        </w:tc>
        <w:tc>
          <w:tcPr>
            <w:tcW w:w="961" w:type="dxa"/>
            <w:shd w:val="clear" w:color="auto" w:fill="auto"/>
            <w:noWrap/>
            <w:hideMark/>
          </w:tcPr>
          <w:p w:rsidR="00116264" w:rsidRPr="00832BF4" w:rsidRDefault="00116264" w:rsidP="000C236C">
            <w:pPr>
              <w:ind w:left="0"/>
              <w:jc w:val="center"/>
              <w:rPr>
                <w:rFonts w:ascii="Bookman Old Style" w:hAnsi="Bookman Old Style"/>
              </w:rPr>
            </w:pPr>
            <w:r w:rsidRPr="00116264">
              <w:rPr>
                <w:rFonts w:ascii="Bookman Old Style" w:hAnsi="Bookman Old Style"/>
              </w:rPr>
              <w:t>310,64</w:t>
            </w:r>
          </w:p>
        </w:tc>
        <w:tc>
          <w:tcPr>
            <w:tcW w:w="961" w:type="dxa"/>
            <w:shd w:val="clear" w:color="auto" w:fill="auto"/>
            <w:noWrap/>
            <w:hideMark/>
          </w:tcPr>
          <w:p w:rsidR="00116264" w:rsidRPr="00832BF4" w:rsidRDefault="00116264" w:rsidP="00116264">
            <w:pPr>
              <w:ind w:left="0"/>
              <w:jc w:val="center"/>
              <w:rPr>
                <w:rFonts w:ascii="Bookman Old Style" w:hAnsi="Bookman Old Style"/>
              </w:rPr>
            </w:pPr>
            <w:r w:rsidRPr="00832BF4">
              <w:rPr>
                <w:rFonts w:ascii="Bookman Old Style" w:hAnsi="Bookman Old Style"/>
              </w:rPr>
              <w:t>28</w:t>
            </w:r>
            <w:r>
              <w:rPr>
                <w:rFonts w:ascii="Bookman Old Style" w:hAnsi="Bookman Old Style"/>
              </w:rPr>
              <w:t>7</w:t>
            </w:r>
            <w:r w:rsidRPr="00832BF4">
              <w:rPr>
                <w:rFonts w:ascii="Bookman Old Style" w:hAnsi="Bookman Old Style"/>
              </w:rPr>
              <w:t>,</w:t>
            </w:r>
            <w:r>
              <w:rPr>
                <w:rFonts w:ascii="Bookman Old Style" w:hAnsi="Bookman Old Style"/>
              </w:rPr>
              <w:t>00</w:t>
            </w:r>
          </w:p>
        </w:tc>
      </w:tr>
    </w:tbl>
    <w:p w:rsidR="00847E74" w:rsidRPr="00D80BD4" w:rsidRDefault="00847E74" w:rsidP="00674DD2">
      <w:pPr>
        <w:ind w:left="0" w:firstLine="284"/>
        <w:jc w:val="both"/>
        <w:rPr>
          <w:rFonts w:ascii="Bookman Old Style" w:hAnsi="Bookman Old Style" w:cs="Arial"/>
          <w:bCs/>
          <w:sz w:val="20"/>
          <w:szCs w:val="20"/>
        </w:rPr>
      </w:pPr>
      <w:r w:rsidRPr="00D80BD4">
        <w:rPr>
          <w:rFonts w:ascii="Bookman Old Style" w:hAnsi="Bookman Old Style" w:cs="Arial"/>
          <w:bCs/>
          <w:sz w:val="20"/>
          <w:szCs w:val="20"/>
        </w:rPr>
        <w:t>Fuente: Energía Social de la Costa</w:t>
      </w:r>
      <w:r w:rsidR="00674DD2">
        <w:rPr>
          <w:rFonts w:ascii="Bookman Old Style" w:hAnsi="Bookman Old Style" w:cs="Arial"/>
          <w:bCs/>
          <w:sz w:val="20"/>
          <w:szCs w:val="20"/>
        </w:rPr>
        <w:t>.</w:t>
      </w:r>
      <w:r w:rsidRPr="00D80BD4">
        <w:rPr>
          <w:rFonts w:ascii="Bookman Old Style" w:hAnsi="Bookman Old Style" w:cs="Arial"/>
          <w:bCs/>
          <w:sz w:val="20"/>
          <w:szCs w:val="20"/>
        </w:rPr>
        <w:t xml:space="preserve"> Radicado CR</w:t>
      </w:r>
      <w:r w:rsidR="00D80BD4" w:rsidRPr="00D80BD4">
        <w:rPr>
          <w:rFonts w:ascii="Bookman Old Style" w:hAnsi="Bookman Old Style" w:cs="Arial"/>
          <w:bCs/>
          <w:sz w:val="20"/>
          <w:szCs w:val="20"/>
        </w:rPr>
        <w:t>EG E-201</w:t>
      </w:r>
      <w:r w:rsidR="00116264">
        <w:rPr>
          <w:rFonts w:ascii="Bookman Old Style" w:hAnsi="Bookman Old Style" w:cs="Arial"/>
          <w:bCs/>
          <w:sz w:val="20"/>
          <w:szCs w:val="20"/>
        </w:rPr>
        <w:t>3</w:t>
      </w:r>
      <w:r w:rsidR="00D80BD4" w:rsidRPr="00D80BD4">
        <w:rPr>
          <w:rFonts w:ascii="Bookman Old Style" w:hAnsi="Bookman Old Style" w:cs="Arial"/>
          <w:bCs/>
          <w:sz w:val="20"/>
          <w:szCs w:val="20"/>
        </w:rPr>
        <w:t>-00</w:t>
      </w:r>
      <w:r w:rsidR="00116264">
        <w:rPr>
          <w:rFonts w:ascii="Bookman Old Style" w:hAnsi="Bookman Old Style" w:cs="Arial"/>
          <w:bCs/>
          <w:sz w:val="20"/>
          <w:szCs w:val="20"/>
        </w:rPr>
        <w:t>0898</w:t>
      </w:r>
      <w:r w:rsidR="00D80BD4" w:rsidRPr="00D80BD4">
        <w:rPr>
          <w:rFonts w:ascii="Bookman Old Style" w:hAnsi="Bookman Old Style" w:cs="Arial"/>
          <w:bCs/>
          <w:sz w:val="20"/>
          <w:szCs w:val="20"/>
        </w:rPr>
        <w:t>. Cá</w:t>
      </w:r>
      <w:r w:rsidR="000C236C" w:rsidRPr="00D80BD4">
        <w:rPr>
          <w:rFonts w:ascii="Bookman Old Style" w:hAnsi="Bookman Old Style" w:cs="Arial"/>
          <w:bCs/>
          <w:sz w:val="20"/>
          <w:szCs w:val="20"/>
        </w:rPr>
        <w:t>lculo CREG.</w:t>
      </w:r>
      <w:r w:rsidRPr="00D80BD4">
        <w:rPr>
          <w:rFonts w:ascii="Bookman Old Style" w:hAnsi="Bookman Old Style" w:cs="Arial"/>
          <w:bCs/>
          <w:sz w:val="20"/>
          <w:szCs w:val="20"/>
        </w:rPr>
        <w:t xml:space="preserve"> </w:t>
      </w:r>
    </w:p>
    <w:p w:rsidR="00847E74" w:rsidRPr="00832BF4" w:rsidRDefault="00847E74" w:rsidP="00847E74">
      <w:pPr>
        <w:jc w:val="both"/>
        <w:rPr>
          <w:rFonts w:ascii="Bookman Old Style" w:hAnsi="Bookman Old Style" w:cs="Arial"/>
          <w:bCs/>
        </w:rPr>
      </w:pPr>
    </w:p>
    <w:p w:rsidR="00847E74" w:rsidRPr="00832BF4" w:rsidRDefault="00847E74" w:rsidP="00847E74">
      <w:pPr>
        <w:pStyle w:val="Textoindependiente21"/>
        <w:overflowPunct/>
        <w:autoSpaceDE/>
        <w:autoSpaceDN/>
        <w:adjustRightInd/>
        <w:ind w:left="284" w:right="142"/>
        <w:jc w:val="center"/>
        <w:textAlignment w:val="auto"/>
        <w:rPr>
          <w:rFonts w:ascii="Bookman Old Style" w:hAnsi="Bookman Old Style" w:cs="Arial"/>
          <w:b/>
          <w:sz w:val="24"/>
          <w:szCs w:val="24"/>
          <w:lang w:val="es-CO"/>
        </w:rPr>
      </w:pPr>
    </w:p>
    <w:p w:rsidR="00847E74" w:rsidRPr="00832BF4" w:rsidRDefault="00847E74" w:rsidP="00847E74">
      <w:pPr>
        <w:pStyle w:val="Textoindependiente21"/>
        <w:overflowPunct/>
        <w:autoSpaceDE/>
        <w:autoSpaceDN/>
        <w:adjustRightInd/>
        <w:ind w:left="284" w:right="142"/>
        <w:jc w:val="center"/>
        <w:textAlignment w:val="auto"/>
        <w:rPr>
          <w:rFonts w:ascii="Bookman Old Style" w:hAnsi="Bookman Old Style" w:cs="Arial"/>
          <w:b/>
          <w:sz w:val="24"/>
          <w:szCs w:val="24"/>
          <w:lang w:val="es-CO"/>
        </w:rPr>
      </w:pPr>
      <w:r w:rsidRPr="00832BF4">
        <w:rPr>
          <w:rFonts w:ascii="Bookman Old Style" w:hAnsi="Bookman Old Style" w:cs="Arial"/>
          <w:b/>
          <w:sz w:val="24"/>
          <w:szCs w:val="24"/>
          <w:lang w:val="es-CO"/>
        </w:rPr>
        <w:t>DEMANDA DE ENERGÍA POR NIVEL DE TENSIÓN EN EL AÑO 201</w:t>
      </w:r>
      <w:r w:rsidR="00116264">
        <w:rPr>
          <w:rFonts w:ascii="Bookman Old Style" w:hAnsi="Bookman Old Style" w:cs="Arial"/>
          <w:b/>
          <w:sz w:val="24"/>
          <w:szCs w:val="24"/>
          <w:lang w:val="es-CO"/>
        </w:rPr>
        <w:t>2</w:t>
      </w:r>
    </w:p>
    <w:p w:rsidR="00847E74" w:rsidRPr="00832BF4" w:rsidRDefault="00847E74" w:rsidP="00847E74">
      <w:pPr>
        <w:pStyle w:val="Textoindependiente21"/>
        <w:overflowPunct/>
        <w:autoSpaceDE/>
        <w:autoSpaceDN/>
        <w:adjustRightInd/>
        <w:ind w:left="284" w:right="142"/>
        <w:jc w:val="center"/>
        <w:textAlignment w:val="auto"/>
        <w:rPr>
          <w:rFonts w:ascii="Bookman Old Style" w:hAnsi="Bookman Old Style" w:cs="Arial"/>
          <w:b/>
          <w:sz w:val="24"/>
          <w:szCs w:val="24"/>
          <w:lang w:val="es-CO"/>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4"/>
        <w:gridCol w:w="3173"/>
        <w:gridCol w:w="2977"/>
      </w:tblGrid>
      <w:tr w:rsidR="00847E74" w:rsidRPr="00832BF4" w:rsidTr="00614B32">
        <w:tc>
          <w:tcPr>
            <w:tcW w:w="3064" w:type="dxa"/>
          </w:tcPr>
          <w:p w:rsidR="00847E74" w:rsidRPr="00832BF4" w:rsidRDefault="00847E74" w:rsidP="00614B32">
            <w:pPr>
              <w:pStyle w:val="Textoindependiente21"/>
              <w:overflowPunct/>
              <w:autoSpaceDE/>
              <w:autoSpaceDN/>
              <w:adjustRightInd/>
              <w:ind w:left="284" w:right="142"/>
              <w:textAlignment w:val="auto"/>
              <w:rPr>
                <w:rFonts w:ascii="Bookman Old Style" w:hAnsi="Bookman Old Style" w:cs="Arial"/>
                <w:bCs/>
                <w:sz w:val="24"/>
                <w:szCs w:val="24"/>
                <w:lang w:val="es-CO"/>
              </w:rPr>
            </w:pPr>
          </w:p>
        </w:tc>
        <w:tc>
          <w:tcPr>
            <w:tcW w:w="6150" w:type="dxa"/>
            <w:gridSpan w:val="2"/>
          </w:tcPr>
          <w:p w:rsidR="00847E74" w:rsidRPr="00832BF4" w:rsidRDefault="00847E74" w:rsidP="00973E3B">
            <w:pPr>
              <w:pStyle w:val="Textoindependiente21"/>
              <w:overflowPunct/>
              <w:autoSpaceDE/>
              <w:autoSpaceDN/>
              <w:adjustRightInd/>
              <w:ind w:right="142"/>
              <w:jc w:val="center"/>
              <w:textAlignment w:val="auto"/>
              <w:rPr>
                <w:rFonts w:ascii="Bookman Old Style" w:hAnsi="Bookman Old Style" w:cs="Arial"/>
                <w:b/>
                <w:sz w:val="24"/>
                <w:szCs w:val="24"/>
                <w:lang w:val="es-CO"/>
              </w:rPr>
            </w:pPr>
            <w:r w:rsidRPr="00832BF4">
              <w:rPr>
                <w:rFonts w:ascii="Bookman Old Style" w:hAnsi="Bookman Old Style" w:cs="Arial"/>
                <w:b/>
                <w:sz w:val="24"/>
                <w:szCs w:val="24"/>
                <w:lang w:val="es-CO"/>
              </w:rPr>
              <w:t xml:space="preserve">Mercado </w:t>
            </w:r>
            <w:proofErr w:type="spellStart"/>
            <w:r w:rsidRPr="00832BF4">
              <w:rPr>
                <w:rFonts w:ascii="Bookman Old Style" w:hAnsi="Bookman Old Style" w:cs="Arial"/>
                <w:b/>
                <w:sz w:val="24"/>
                <w:szCs w:val="24"/>
                <w:lang w:val="es-CO"/>
              </w:rPr>
              <w:t>Electricaribe</w:t>
            </w:r>
            <w:proofErr w:type="spellEnd"/>
          </w:p>
        </w:tc>
      </w:tr>
      <w:tr w:rsidR="00847E74" w:rsidRPr="00832BF4" w:rsidTr="00614B32">
        <w:tc>
          <w:tcPr>
            <w:tcW w:w="3064" w:type="dxa"/>
          </w:tcPr>
          <w:p w:rsidR="00847E74" w:rsidRPr="00832BF4" w:rsidRDefault="00847E74" w:rsidP="00614B32">
            <w:pPr>
              <w:pStyle w:val="Textoindependiente21"/>
              <w:overflowPunct/>
              <w:autoSpaceDE/>
              <w:autoSpaceDN/>
              <w:adjustRightInd/>
              <w:ind w:left="284" w:right="142"/>
              <w:textAlignment w:val="auto"/>
              <w:rPr>
                <w:rFonts w:ascii="Bookman Old Style" w:hAnsi="Bookman Old Style" w:cs="Arial"/>
                <w:bCs/>
                <w:sz w:val="24"/>
                <w:szCs w:val="24"/>
                <w:lang w:val="es-CO"/>
              </w:rPr>
            </w:pPr>
          </w:p>
        </w:tc>
        <w:tc>
          <w:tcPr>
            <w:tcW w:w="3173" w:type="dxa"/>
          </w:tcPr>
          <w:p w:rsidR="00847E74" w:rsidRPr="00832BF4" w:rsidRDefault="00847E74" w:rsidP="00973E3B">
            <w:pPr>
              <w:pStyle w:val="Textoindependiente21"/>
              <w:overflowPunct/>
              <w:autoSpaceDE/>
              <w:autoSpaceDN/>
              <w:adjustRightInd/>
              <w:ind w:right="142"/>
              <w:jc w:val="center"/>
              <w:textAlignment w:val="auto"/>
              <w:rPr>
                <w:rFonts w:ascii="Bookman Old Style" w:hAnsi="Bookman Old Style" w:cs="Arial"/>
                <w:b/>
                <w:sz w:val="24"/>
                <w:szCs w:val="24"/>
                <w:lang w:val="es-CO"/>
              </w:rPr>
            </w:pPr>
            <w:r w:rsidRPr="00832BF4">
              <w:rPr>
                <w:rFonts w:ascii="Bookman Old Style" w:hAnsi="Bookman Old Style" w:cs="Arial"/>
                <w:b/>
                <w:sz w:val="24"/>
                <w:szCs w:val="24"/>
                <w:lang w:val="es-CO"/>
              </w:rPr>
              <w:t>Nivel 1</w:t>
            </w:r>
            <w:r w:rsidR="00674DD2">
              <w:rPr>
                <w:rFonts w:ascii="Bookman Old Style" w:hAnsi="Bookman Old Style" w:cs="Arial"/>
                <w:b/>
                <w:sz w:val="24"/>
                <w:szCs w:val="24"/>
                <w:lang w:val="es-CO"/>
              </w:rPr>
              <w:t xml:space="preserve"> </w:t>
            </w:r>
            <w:r w:rsidR="00674DD2" w:rsidRPr="00674DD2">
              <w:rPr>
                <w:rFonts w:ascii="Bookman Old Style" w:hAnsi="Bookman Old Style" w:cs="Arial"/>
                <w:b/>
                <w:bCs/>
                <w:sz w:val="24"/>
                <w:szCs w:val="24"/>
                <w:lang w:val="es-CO"/>
              </w:rPr>
              <w:t>(</w:t>
            </w:r>
            <w:proofErr w:type="spellStart"/>
            <w:r w:rsidR="00674DD2" w:rsidRPr="00674DD2">
              <w:rPr>
                <w:rFonts w:ascii="Bookman Old Style" w:hAnsi="Bookman Old Style" w:cs="Arial"/>
                <w:b/>
                <w:bCs/>
                <w:sz w:val="24"/>
                <w:szCs w:val="24"/>
                <w:lang w:val="es-CO"/>
              </w:rPr>
              <w:t>kWh</w:t>
            </w:r>
            <w:proofErr w:type="spellEnd"/>
            <w:r w:rsidR="00674DD2" w:rsidRPr="00674DD2">
              <w:rPr>
                <w:rFonts w:ascii="Bookman Old Style" w:hAnsi="Bookman Old Style" w:cs="Arial"/>
                <w:b/>
                <w:bCs/>
                <w:sz w:val="24"/>
                <w:szCs w:val="24"/>
                <w:lang w:val="es-CO"/>
              </w:rPr>
              <w:t>)</w:t>
            </w:r>
          </w:p>
        </w:tc>
        <w:tc>
          <w:tcPr>
            <w:tcW w:w="2977" w:type="dxa"/>
          </w:tcPr>
          <w:p w:rsidR="00847E74" w:rsidRPr="00832BF4" w:rsidRDefault="00847E74" w:rsidP="00973E3B">
            <w:pPr>
              <w:pStyle w:val="Textoindependiente21"/>
              <w:overflowPunct/>
              <w:autoSpaceDE/>
              <w:autoSpaceDN/>
              <w:adjustRightInd/>
              <w:ind w:right="142"/>
              <w:jc w:val="center"/>
              <w:textAlignment w:val="auto"/>
              <w:rPr>
                <w:rFonts w:ascii="Bookman Old Style" w:hAnsi="Bookman Old Style" w:cs="Arial"/>
                <w:b/>
                <w:sz w:val="24"/>
                <w:szCs w:val="24"/>
                <w:lang w:val="es-CO"/>
              </w:rPr>
            </w:pPr>
            <w:r w:rsidRPr="00832BF4">
              <w:rPr>
                <w:rFonts w:ascii="Bookman Old Style" w:hAnsi="Bookman Old Style" w:cs="Arial"/>
                <w:b/>
                <w:sz w:val="24"/>
                <w:szCs w:val="24"/>
                <w:lang w:val="es-CO"/>
              </w:rPr>
              <w:t>Nivel 2</w:t>
            </w:r>
            <w:r w:rsidR="00674DD2">
              <w:rPr>
                <w:rFonts w:ascii="Bookman Old Style" w:hAnsi="Bookman Old Style" w:cs="Arial"/>
                <w:b/>
                <w:sz w:val="24"/>
                <w:szCs w:val="24"/>
                <w:lang w:val="es-CO"/>
              </w:rPr>
              <w:t xml:space="preserve"> </w:t>
            </w:r>
            <w:r w:rsidR="00674DD2" w:rsidRPr="00674DD2">
              <w:rPr>
                <w:rFonts w:ascii="Bookman Old Style" w:hAnsi="Bookman Old Style" w:cs="Arial"/>
                <w:b/>
                <w:bCs/>
                <w:sz w:val="24"/>
                <w:szCs w:val="24"/>
                <w:lang w:val="es-CO"/>
              </w:rPr>
              <w:t>(</w:t>
            </w:r>
            <w:proofErr w:type="spellStart"/>
            <w:r w:rsidR="00674DD2" w:rsidRPr="00674DD2">
              <w:rPr>
                <w:rFonts w:ascii="Bookman Old Style" w:hAnsi="Bookman Old Style" w:cs="Arial"/>
                <w:b/>
                <w:bCs/>
                <w:sz w:val="24"/>
                <w:szCs w:val="24"/>
                <w:lang w:val="es-CO"/>
              </w:rPr>
              <w:t>kWh</w:t>
            </w:r>
            <w:proofErr w:type="spellEnd"/>
            <w:r w:rsidR="00674DD2" w:rsidRPr="00674DD2">
              <w:rPr>
                <w:rFonts w:ascii="Bookman Old Style" w:hAnsi="Bookman Old Style" w:cs="Arial"/>
                <w:b/>
                <w:bCs/>
                <w:sz w:val="24"/>
                <w:szCs w:val="24"/>
                <w:lang w:val="es-CO"/>
              </w:rPr>
              <w:t>)</w:t>
            </w:r>
          </w:p>
        </w:tc>
      </w:tr>
      <w:tr w:rsidR="00116264" w:rsidRPr="00832BF4" w:rsidTr="00614B32">
        <w:tc>
          <w:tcPr>
            <w:tcW w:w="3064" w:type="dxa"/>
          </w:tcPr>
          <w:p w:rsidR="00116264" w:rsidRPr="00832BF4" w:rsidRDefault="00116264" w:rsidP="00674DD2">
            <w:pPr>
              <w:pStyle w:val="Textoindependiente21"/>
              <w:overflowPunct/>
              <w:autoSpaceDE/>
              <w:autoSpaceDN/>
              <w:adjustRightInd/>
              <w:ind w:right="142"/>
              <w:textAlignment w:val="auto"/>
              <w:rPr>
                <w:rFonts w:ascii="Bookman Old Style" w:hAnsi="Bookman Old Style" w:cs="Arial"/>
                <w:bCs/>
                <w:sz w:val="24"/>
                <w:szCs w:val="24"/>
                <w:lang w:val="es-CO"/>
              </w:rPr>
            </w:pPr>
            <w:r>
              <w:rPr>
                <w:rFonts w:ascii="Bookman Old Style" w:hAnsi="Bookman Old Style" w:cs="Arial"/>
                <w:bCs/>
                <w:sz w:val="24"/>
                <w:szCs w:val="24"/>
                <w:lang w:val="es-CO"/>
              </w:rPr>
              <w:t>Año 2012</w:t>
            </w:r>
            <w:r w:rsidRPr="00832BF4">
              <w:rPr>
                <w:rFonts w:ascii="Bookman Old Style" w:hAnsi="Bookman Old Style" w:cs="Arial"/>
                <w:bCs/>
                <w:sz w:val="24"/>
                <w:szCs w:val="24"/>
                <w:lang w:val="es-CO"/>
              </w:rPr>
              <w:t xml:space="preserve"> </w:t>
            </w:r>
          </w:p>
        </w:tc>
        <w:tc>
          <w:tcPr>
            <w:tcW w:w="3173" w:type="dxa"/>
          </w:tcPr>
          <w:p w:rsidR="00116264" w:rsidRPr="00116264" w:rsidRDefault="00116264" w:rsidP="006001E9">
            <w:pPr>
              <w:rPr>
                <w:rFonts w:ascii="Bookman Old Style" w:hAnsi="Bookman Old Style"/>
              </w:rPr>
            </w:pPr>
            <w:r w:rsidRPr="00116264">
              <w:rPr>
                <w:rFonts w:ascii="Bookman Old Style" w:hAnsi="Bookman Old Style"/>
              </w:rPr>
              <w:t>518.763.153</w:t>
            </w:r>
          </w:p>
        </w:tc>
        <w:tc>
          <w:tcPr>
            <w:tcW w:w="2977" w:type="dxa"/>
          </w:tcPr>
          <w:p w:rsidR="00116264" w:rsidRPr="00116264" w:rsidRDefault="00116264" w:rsidP="006001E9">
            <w:pPr>
              <w:rPr>
                <w:rFonts w:ascii="Bookman Old Style" w:hAnsi="Bookman Old Style"/>
              </w:rPr>
            </w:pPr>
            <w:r w:rsidRPr="00116264">
              <w:rPr>
                <w:rFonts w:ascii="Bookman Old Style" w:hAnsi="Bookman Old Style"/>
              </w:rPr>
              <w:t>56.146.801,44</w:t>
            </w:r>
          </w:p>
        </w:tc>
      </w:tr>
    </w:tbl>
    <w:p w:rsidR="002D158B" w:rsidRPr="00D80BD4" w:rsidRDefault="00847E74" w:rsidP="00CC34B8">
      <w:pPr>
        <w:ind w:left="708" w:right="142"/>
        <w:jc w:val="both"/>
        <w:rPr>
          <w:rFonts w:ascii="Bookman Old Style" w:hAnsi="Bookman Old Style" w:cs="Arial"/>
          <w:b/>
          <w:sz w:val="20"/>
          <w:szCs w:val="20"/>
        </w:rPr>
      </w:pPr>
      <w:r w:rsidRPr="00D80BD4">
        <w:rPr>
          <w:rFonts w:ascii="Bookman Old Style" w:hAnsi="Bookman Old Style" w:cs="Arial"/>
          <w:bCs/>
          <w:sz w:val="20"/>
          <w:szCs w:val="20"/>
          <w:lang w:val="es-CO"/>
        </w:rPr>
        <w:t>Fuente:</w:t>
      </w:r>
      <w:r w:rsidR="00CC34B8">
        <w:rPr>
          <w:rFonts w:ascii="Bookman Old Style" w:hAnsi="Bookman Old Style" w:cs="Arial"/>
          <w:bCs/>
          <w:sz w:val="20"/>
          <w:szCs w:val="20"/>
          <w:lang w:val="es-CO"/>
        </w:rPr>
        <w:t xml:space="preserve"> Energía Social de la Costa. Radicados CREG E-201</w:t>
      </w:r>
      <w:r w:rsidR="00116264">
        <w:rPr>
          <w:rFonts w:ascii="Bookman Old Style" w:hAnsi="Bookman Old Style" w:cs="Arial"/>
          <w:bCs/>
          <w:sz w:val="20"/>
          <w:szCs w:val="20"/>
          <w:lang w:val="es-CO"/>
        </w:rPr>
        <w:t>3</w:t>
      </w:r>
      <w:r w:rsidR="00CC34B8">
        <w:rPr>
          <w:rFonts w:ascii="Bookman Old Style" w:hAnsi="Bookman Old Style" w:cs="Arial"/>
          <w:bCs/>
          <w:sz w:val="20"/>
          <w:szCs w:val="20"/>
          <w:lang w:val="es-CO"/>
        </w:rPr>
        <w:t>-000</w:t>
      </w:r>
      <w:r w:rsidR="00116264">
        <w:rPr>
          <w:rFonts w:ascii="Bookman Old Style" w:hAnsi="Bookman Old Style" w:cs="Arial"/>
          <w:bCs/>
          <w:sz w:val="20"/>
          <w:szCs w:val="20"/>
          <w:lang w:val="es-CO"/>
        </w:rPr>
        <w:t>796</w:t>
      </w:r>
      <w:r w:rsidR="00CC34B8">
        <w:rPr>
          <w:rFonts w:ascii="Bookman Old Style" w:hAnsi="Bookman Old Style" w:cs="Arial"/>
          <w:bCs/>
          <w:sz w:val="20"/>
          <w:szCs w:val="20"/>
          <w:lang w:val="es-CO"/>
        </w:rPr>
        <w:t>,</w:t>
      </w:r>
      <w:r w:rsidRPr="00D80BD4">
        <w:rPr>
          <w:rFonts w:ascii="Bookman Old Style" w:hAnsi="Bookman Old Style" w:cs="Arial"/>
          <w:bCs/>
          <w:sz w:val="20"/>
          <w:szCs w:val="20"/>
          <w:lang w:val="es-CO"/>
        </w:rPr>
        <w:t xml:space="preserve"> XM. Rad</w:t>
      </w:r>
      <w:r w:rsidR="00674DD2">
        <w:rPr>
          <w:rFonts w:ascii="Bookman Old Style" w:hAnsi="Bookman Old Style" w:cs="Arial"/>
          <w:bCs/>
          <w:sz w:val="20"/>
          <w:szCs w:val="20"/>
          <w:lang w:val="es-CO"/>
        </w:rPr>
        <w:t>icado</w:t>
      </w:r>
      <w:r w:rsidRPr="00D80BD4">
        <w:rPr>
          <w:rFonts w:ascii="Bookman Old Style" w:hAnsi="Bookman Old Style" w:cs="Arial"/>
          <w:bCs/>
          <w:sz w:val="20"/>
          <w:szCs w:val="20"/>
          <w:lang w:val="es-CO"/>
        </w:rPr>
        <w:t xml:space="preserve"> CREG E-201</w:t>
      </w:r>
      <w:r w:rsidR="00116264">
        <w:rPr>
          <w:rFonts w:ascii="Bookman Old Style" w:hAnsi="Bookman Old Style" w:cs="Arial"/>
          <w:bCs/>
          <w:sz w:val="20"/>
          <w:szCs w:val="20"/>
          <w:lang w:val="es-CO"/>
        </w:rPr>
        <w:t>3</w:t>
      </w:r>
      <w:r w:rsidRPr="00D80BD4">
        <w:rPr>
          <w:rFonts w:ascii="Bookman Old Style" w:hAnsi="Bookman Old Style" w:cs="Arial"/>
          <w:bCs/>
          <w:sz w:val="20"/>
          <w:szCs w:val="20"/>
          <w:lang w:val="es-CO"/>
        </w:rPr>
        <w:t>-000</w:t>
      </w:r>
      <w:r w:rsidR="00A96FB7">
        <w:rPr>
          <w:rFonts w:ascii="Bookman Old Style" w:hAnsi="Bookman Old Style" w:cs="Arial"/>
          <w:bCs/>
          <w:sz w:val="20"/>
          <w:szCs w:val="20"/>
          <w:lang w:val="es-CO"/>
        </w:rPr>
        <w:t>939</w:t>
      </w:r>
      <w:r w:rsidRPr="00D80BD4">
        <w:rPr>
          <w:rFonts w:ascii="Bookman Old Style" w:hAnsi="Bookman Old Style" w:cs="Arial"/>
          <w:bCs/>
          <w:sz w:val="20"/>
          <w:szCs w:val="20"/>
          <w:lang w:val="es-CO"/>
        </w:rPr>
        <w:t>. Elaboración CREG.</w:t>
      </w:r>
    </w:p>
    <w:p w:rsidR="002D158B" w:rsidRPr="00832BF4" w:rsidRDefault="002D158B" w:rsidP="002D158B">
      <w:pPr>
        <w:ind w:left="284" w:right="142"/>
        <w:jc w:val="center"/>
        <w:rPr>
          <w:rFonts w:ascii="Bookman Old Style" w:hAnsi="Bookman Old Style" w:cs="Arial"/>
          <w:b/>
        </w:rPr>
      </w:pPr>
    </w:p>
    <w:p w:rsidR="002D158B" w:rsidRPr="00832BF4" w:rsidRDefault="002D158B" w:rsidP="002D158B">
      <w:pPr>
        <w:ind w:left="284" w:right="142"/>
        <w:jc w:val="center"/>
        <w:rPr>
          <w:rFonts w:ascii="Bookman Old Style" w:hAnsi="Bookman Old Style" w:cs="Arial"/>
          <w:b/>
        </w:rPr>
      </w:pPr>
    </w:p>
    <w:p w:rsidR="002D158B" w:rsidRPr="00832BF4" w:rsidRDefault="002D158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2D158B">
      <w:pPr>
        <w:ind w:left="284" w:right="142"/>
        <w:jc w:val="center"/>
        <w:rPr>
          <w:rFonts w:ascii="Bookman Old Style" w:hAnsi="Bookman Old Style" w:cs="Arial"/>
          <w:b/>
        </w:rPr>
      </w:pPr>
    </w:p>
    <w:p w:rsidR="00973E3B" w:rsidRPr="00832BF4" w:rsidRDefault="00973E3B" w:rsidP="00973E3B">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9D4902" w:rsidRPr="00832BF4" w:rsidTr="00614B32">
        <w:trPr>
          <w:jc w:val="right"/>
        </w:trPr>
        <w:tc>
          <w:tcPr>
            <w:tcW w:w="4503" w:type="dxa"/>
          </w:tcPr>
          <w:p w:rsidR="009D4902" w:rsidRDefault="009D4902">
            <w:pPr>
              <w:snapToGrid w:val="0"/>
              <w:jc w:val="center"/>
              <w:rPr>
                <w:rFonts w:ascii="Bookman Old Style" w:hAnsi="Bookman Old Style" w:cs="Arial"/>
                <w:b/>
                <w:bCs/>
                <w:color w:val="000000"/>
              </w:rPr>
            </w:pPr>
            <w:r>
              <w:rPr>
                <w:rFonts w:ascii="Bookman Old Style" w:hAnsi="Bookman Old Style" w:cs="Arial"/>
                <w:b/>
                <w:bCs/>
                <w:color w:val="000000"/>
              </w:rPr>
              <w:t>FEDERICO RENGIFO VÉLEZ</w:t>
            </w:r>
          </w:p>
        </w:tc>
        <w:tc>
          <w:tcPr>
            <w:tcW w:w="5258" w:type="dxa"/>
          </w:tcPr>
          <w:p w:rsidR="009D4902" w:rsidRDefault="009D4902">
            <w:pPr>
              <w:snapToGrid w:val="0"/>
              <w:jc w:val="center"/>
              <w:rPr>
                <w:rFonts w:ascii="Bookman Old Style" w:hAnsi="Bookman Old Style" w:cs="Arial"/>
                <w:b/>
                <w:bCs/>
                <w:color w:val="000000"/>
              </w:rPr>
            </w:pPr>
            <w:r>
              <w:rPr>
                <w:rFonts w:ascii="Bookman Old Style" w:hAnsi="Bookman Old Style" w:cs="Arial"/>
                <w:b/>
                <w:bCs/>
                <w:color w:val="000000"/>
              </w:rPr>
              <w:t>GERMÁN CASTRO FERREIRA</w:t>
            </w:r>
          </w:p>
        </w:tc>
      </w:tr>
      <w:tr w:rsidR="009D4902" w:rsidRPr="00832BF4" w:rsidTr="00614B32">
        <w:trPr>
          <w:jc w:val="right"/>
        </w:trPr>
        <w:tc>
          <w:tcPr>
            <w:tcW w:w="4503" w:type="dxa"/>
          </w:tcPr>
          <w:p w:rsidR="009D4902" w:rsidRDefault="009D4902">
            <w:pPr>
              <w:snapToGrid w:val="0"/>
              <w:jc w:val="center"/>
              <w:rPr>
                <w:rFonts w:ascii="Bookman Old Style" w:hAnsi="Bookman Old Style" w:cs="Arial"/>
                <w:color w:val="000000"/>
              </w:rPr>
            </w:pPr>
            <w:r>
              <w:rPr>
                <w:rFonts w:ascii="Bookman Old Style" w:hAnsi="Bookman Old Style" w:cs="Arial"/>
                <w:color w:val="000000"/>
              </w:rPr>
              <w:t>Ministro de Minas y Energía</w:t>
            </w:r>
          </w:p>
        </w:tc>
        <w:tc>
          <w:tcPr>
            <w:tcW w:w="5258" w:type="dxa"/>
          </w:tcPr>
          <w:p w:rsidR="009D4902" w:rsidRDefault="009D4902">
            <w:pPr>
              <w:snapToGrid w:val="0"/>
              <w:jc w:val="center"/>
              <w:rPr>
                <w:rFonts w:ascii="Bookman Old Style" w:hAnsi="Bookman Old Style" w:cs="Arial"/>
                <w:color w:val="000000"/>
              </w:rPr>
            </w:pPr>
            <w:r>
              <w:rPr>
                <w:rFonts w:ascii="Bookman Old Style" w:hAnsi="Bookman Old Style" w:cs="Arial"/>
                <w:color w:val="000000"/>
              </w:rPr>
              <w:t>Director Ejecutivo</w:t>
            </w:r>
          </w:p>
        </w:tc>
      </w:tr>
      <w:tr w:rsidR="009D4902" w:rsidRPr="00832BF4" w:rsidTr="00614B32">
        <w:trPr>
          <w:jc w:val="right"/>
        </w:trPr>
        <w:tc>
          <w:tcPr>
            <w:tcW w:w="4503" w:type="dxa"/>
          </w:tcPr>
          <w:p w:rsidR="009D4902" w:rsidRDefault="009D4902">
            <w:pPr>
              <w:snapToGrid w:val="0"/>
              <w:jc w:val="center"/>
              <w:rPr>
                <w:rFonts w:ascii="Bookman Old Style" w:hAnsi="Bookman Old Style" w:cs="Arial"/>
                <w:color w:val="000000"/>
              </w:rPr>
            </w:pPr>
            <w:r>
              <w:rPr>
                <w:rFonts w:ascii="Bookman Old Style" w:hAnsi="Bookman Old Style" w:cs="Arial"/>
                <w:color w:val="000000"/>
              </w:rPr>
              <w:t>Presidente</w:t>
            </w:r>
          </w:p>
        </w:tc>
        <w:tc>
          <w:tcPr>
            <w:tcW w:w="5258" w:type="dxa"/>
          </w:tcPr>
          <w:p w:rsidR="009D4902" w:rsidRDefault="009D4902">
            <w:pPr>
              <w:snapToGrid w:val="0"/>
              <w:rPr>
                <w:rFonts w:ascii="Bookman Old Style" w:hAnsi="Bookman Old Style" w:cs="Arial"/>
                <w:color w:val="000000"/>
              </w:rPr>
            </w:pPr>
          </w:p>
        </w:tc>
      </w:tr>
    </w:tbl>
    <w:p w:rsidR="00973E3B" w:rsidRPr="00832BF4" w:rsidRDefault="00973E3B" w:rsidP="00973E3B">
      <w:pPr>
        <w:ind w:left="0"/>
        <w:rPr>
          <w:rFonts w:ascii="Bookman Old Style" w:hAnsi="Bookman Old Style"/>
          <w:bCs/>
          <w:lang w:val="es-CO"/>
        </w:rPr>
      </w:pPr>
    </w:p>
    <w:p w:rsidR="00973E3B" w:rsidRPr="00832BF4" w:rsidRDefault="00973E3B" w:rsidP="002D158B">
      <w:pPr>
        <w:ind w:left="284" w:right="142"/>
        <w:jc w:val="center"/>
        <w:rPr>
          <w:rFonts w:ascii="Bookman Old Style" w:hAnsi="Bookman Old Style" w:cs="Arial"/>
          <w:b/>
        </w:rPr>
      </w:pPr>
    </w:p>
    <w:p w:rsidR="00045D3D" w:rsidRPr="00832BF4" w:rsidRDefault="00045D3D" w:rsidP="00045D3D">
      <w:pPr>
        <w:ind w:left="0"/>
        <w:rPr>
          <w:rFonts w:ascii="Bookman Old Style" w:hAnsi="Bookman Old Style"/>
          <w:bCs/>
        </w:rPr>
      </w:pPr>
    </w:p>
    <w:sectPr w:rsidR="00045D3D" w:rsidRPr="00832BF4" w:rsidSect="00EE3C67">
      <w:headerReference w:type="default" r:id="rId10"/>
      <w:headerReference w:type="first" r:id="rId11"/>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1E9" w:rsidRDefault="006001E9">
      <w:r>
        <w:separator/>
      </w:r>
    </w:p>
  </w:endnote>
  <w:endnote w:type="continuationSeparator" w:id="0">
    <w:p w:rsidR="006001E9" w:rsidRDefault="0060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1E9" w:rsidRDefault="006001E9">
      <w:r>
        <w:separator/>
      </w:r>
    </w:p>
  </w:footnote>
  <w:footnote w:type="continuationSeparator" w:id="0">
    <w:p w:rsidR="006001E9" w:rsidRDefault="0060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E9" w:rsidRDefault="006001E9" w:rsidP="00951F79">
    <w:pPr>
      <w:pStyle w:val="Ttulo1"/>
      <w:ind w:right="6"/>
      <w:jc w:val="left"/>
      <w:rPr>
        <w:rFonts w:ascii="Bookman Old Style" w:hAnsi="Bookman Old Style" w:cs="Arial"/>
        <w:b w:val="0"/>
        <w:sz w:val="22"/>
        <w:szCs w:val="22"/>
      </w:rPr>
    </w:pPr>
  </w:p>
  <w:p w:rsidR="006001E9" w:rsidRPr="00951F79" w:rsidRDefault="006001E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C052B">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C052B">
      <w:fldChar w:fldCharType="begin"/>
    </w:r>
    <w:r w:rsidR="004C052B">
      <w:instrText xml:space="preserve"> NUMPAGES  \* MERGEFORMAT </w:instrText>
    </w:r>
    <w:r w:rsidR="004C052B">
      <w:fldChar w:fldCharType="separate"/>
    </w:r>
    <w:r w:rsidR="004C052B" w:rsidRPr="004C052B">
      <w:rPr>
        <w:rFonts w:ascii="Bookman Old Style" w:hAnsi="Bookman Old Style" w:cs="Arial"/>
        <w:b w:val="0"/>
        <w:noProof/>
        <w:sz w:val="22"/>
        <w:szCs w:val="22"/>
      </w:rPr>
      <w:t>6</w:t>
    </w:r>
    <w:r w:rsidR="004C052B">
      <w:rPr>
        <w:rFonts w:ascii="Bookman Old Style" w:hAnsi="Bookman Old Style" w:cs="Arial"/>
        <w:b w:val="0"/>
        <w:noProof/>
        <w:sz w:val="22"/>
        <w:szCs w:val="22"/>
      </w:rPr>
      <w:fldChar w:fldCharType="end"/>
    </w:r>
  </w:p>
  <w:p w:rsidR="006001E9" w:rsidRDefault="006001E9"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3FBE5EC" wp14:editId="71B04308">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001E9" w:rsidRPr="00885760" w:rsidRDefault="006001E9" w:rsidP="00832BF4">
    <w:pPr>
      <w:pBdr>
        <w:bottom w:val="single" w:sz="4" w:space="1" w:color="auto"/>
      </w:pBdr>
      <w:tabs>
        <w:tab w:val="left" w:pos="-851"/>
        <w:tab w:val="left" w:pos="-720"/>
        <w:tab w:val="left" w:pos="-567"/>
      </w:tabs>
      <w:ind w:left="0"/>
      <w:jc w:val="both"/>
      <w:rPr>
        <w:rFonts w:cs="Arial"/>
        <w:spacing w:val="-3"/>
        <w:sz w:val="22"/>
        <w:szCs w:val="22"/>
      </w:rPr>
    </w:pPr>
    <w:r w:rsidRPr="00885760">
      <w:rPr>
        <w:rFonts w:ascii="Bookman Old Style" w:hAnsi="Bookman Old Style" w:cs="Arial"/>
        <w:sz w:val="22"/>
        <w:szCs w:val="22"/>
      </w:rPr>
      <w:t>Por la cual se aprueba</w:t>
    </w:r>
    <w:r w:rsidR="000F624B">
      <w:rPr>
        <w:rFonts w:ascii="Bookman Old Style" w:hAnsi="Bookman Old Style" w:cs="Arial"/>
        <w:sz w:val="22"/>
        <w:szCs w:val="22"/>
      </w:rPr>
      <w:t>n</w:t>
    </w:r>
    <w:r w:rsidRPr="00885760">
      <w:rPr>
        <w:rFonts w:ascii="Bookman Old Style" w:hAnsi="Bookman Old Style" w:cs="Arial"/>
        <w:sz w:val="22"/>
        <w:szCs w:val="22"/>
      </w:rPr>
      <w:t xml:space="preserve"> el factor de riesgo de cartera y el cargo de comerciali</w:t>
    </w:r>
    <w:r>
      <w:rPr>
        <w:rFonts w:ascii="Bookman Old Style" w:hAnsi="Bookman Old Style" w:cs="Arial"/>
        <w:sz w:val="22"/>
        <w:szCs w:val="22"/>
      </w:rPr>
      <w:t>zación aplicables en el año 2013</w:t>
    </w:r>
    <w:r w:rsidRPr="00885760">
      <w:rPr>
        <w:rFonts w:ascii="Bookman Old Style" w:hAnsi="Bookman Old Style" w:cs="Arial"/>
        <w:sz w:val="22"/>
        <w:szCs w:val="22"/>
      </w:rPr>
      <w:t xml:space="preserve"> al conjunto de barrios subnormales atendidos por la empresa Energía Social de La Costa S.A. E.S.P.</w:t>
    </w:r>
    <w:r w:rsidRPr="00885760">
      <w:rPr>
        <w:rFonts w:ascii="Bookman Old Style" w:hAnsi="Bookman Old Style" w:cs="Arial"/>
        <w:b/>
        <w:color w:val="000000"/>
        <w:sz w:val="22"/>
        <w:szCs w:val="22"/>
      </w:rPr>
      <w:t xml:space="preserve"> </w:t>
    </w:r>
  </w:p>
  <w:p w:rsidR="006001E9" w:rsidRPr="006E7F70" w:rsidRDefault="006001E9" w:rsidP="00895BC5">
    <w:pPr>
      <w:pStyle w:val="Textodebloque"/>
      <w:spacing w:after="0"/>
      <w:ind w:left="0" w:right="283"/>
      <w:rPr>
        <w:rFonts w:ascii="Bookman Old Style" w:hAnsi="Bookman Old Style" w:cs="Arial"/>
        <w:b/>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E9" w:rsidRDefault="006001E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001E9" w:rsidRDefault="006001E9">
    <w:pPr>
      <w:pStyle w:val="Encabezado"/>
      <w:jc w:val="center"/>
      <w:rPr>
        <w:rFonts w:ascii="Arial" w:hAnsi="Arial" w:cs="Arial"/>
        <w:spacing w:val="20"/>
        <w:sz w:val="20"/>
      </w:rPr>
    </w:pPr>
  </w:p>
  <w:p w:rsidR="006001E9" w:rsidRDefault="006001E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2997A87" wp14:editId="14FE769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6"/>
  </w:num>
  <w:num w:numId="5">
    <w:abstractNumId w:val="15"/>
  </w:num>
  <w:num w:numId="6">
    <w:abstractNumId w:val="4"/>
  </w:num>
  <w:num w:numId="7">
    <w:abstractNumId w:val="3"/>
  </w:num>
  <w:num w:numId="8">
    <w:abstractNumId w:val="17"/>
  </w:num>
  <w:num w:numId="9">
    <w:abstractNumId w:val="16"/>
  </w:num>
  <w:num w:numId="10">
    <w:abstractNumId w:val="12"/>
  </w:num>
  <w:num w:numId="11">
    <w:abstractNumId w:val="21"/>
  </w:num>
  <w:num w:numId="12">
    <w:abstractNumId w:val="19"/>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18"/>
  </w:num>
  <w:num w:numId="20">
    <w:abstractNumId w:val="14"/>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25383"/>
    <w:rsid w:val="00033446"/>
    <w:rsid w:val="00045D3D"/>
    <w:rsid w:val="00062963"/>
    <w:rsid w:val="00063657"/>
    <w:rsid w:val="00065144"/>
    <w:rsid w:val="00076680"/>
    <w:rsid w:val="00076A1D"/>
    <w:rsid w:val="0008073E"/>
    <w:rsid w:val="00091CDB"/>
    <w:rsid w:val="000A19AC"/>
    <w:rsid w:val="000A58C7"/>
    <w:rsid w:val="000B2EC9"/>
    <w:rsid w:val="000C236C"/>
    <w:rsid w:val="000D26F8"/>
    <w:rsid w:val="000F624B"/>
    <w:rsid w:val="00116264"/>
    <w:rsid w:val="0013526C"/>
    <w:rsid w:val="001405C6"/>
    <w:rsid w:val="00141013"/>
    <w:rsid w:val="00192CBF"/>
    <w:rsid w:val="00192FF1"/>
    <w:rsid w:val="001A5F1B"/>
    <w:rsid w:val="001B13C3"/>
    <w:rsid w:val="001B1C22"/>
    <w:rsid w:val="001B34C6"/>
    <w:rsid w:val="001C44BE"/>
    <w:rsid w:val="001D7832"/>
    <w:rsid w:val="00210DC1"/>
    <w:rsid w:val="00211D34"/>
    <w:rsid w:val="00214F04"/>
    <w:rsid w:val="0023310D"/>
    <w:rsid w:val="00234231"/>
    <w:rsid w:val="00266CD6"/>
    <w:rsid w:val="00275DAB"/>
    <w:rsid w:val="002A782A"/>
    <w:rsid w:val="002B11E2"/>
    <w:rsid w:val="002B24B8"/>
    <w:rsid w:val="002C7857"/>
    <w:rsid w:val="002C7EC9"/>
    <w:rsid w:val="002D158B"/>
    <w:rsid w:val="002D3AE9"/>
    <w:rsid w:val="002D4510"/>
    <w:rsid w:val="002F0734"/>
    <w:rsid w:val="002F46E7"/>
    <w:rsid w:val="003101DA"/>
    <w:rsid w:val="00314757"/>
    <w:rsid w:val="0031533B"/>
    <w:rsid w:val="003163BC"/>
    <w:rsid w:val="003211CE"/>
    <w:rsid w:val="0035403A"/>
    <w:rsid w:val="0036394B"/>
    <w:rsid w:val="00366639"/>
    <w:rsid w:val="00366DB6"/>
    <w:rsid w:val="003709B5"/>
    <w:rsid w:val="003759C2"/>
    <w:rsid w:val="00391391"/>
    <w:rsid w:val="00397365"/>
    <w:rsid w:val="003A31F6"/>
    <w:rsid w:val="003C3447"/>
    <w:rsid w:val="003D076C"/>
    <w:rsid w:val="003E78B5"/>
    <w:rsid w:val="003F11CF"/>
    <w:rsid w:val="0041473D"/>
    <w:rsid w:val="00415BAB"/>
    <w:rsid w:val="00415ED2"/>
    <w:rsid w:val="0042068C"/>
    <w:rsid w:val="0044318E"/>
    <w:rsid w:val="00443B35"/>
    <w:rsid w:val="0047122B"/>
    <w:rsid w:val="00473B7A"/>
    <w:rsid w:val="004960E9"/>
    <w:rsid w:val="004A2E88"/>
    <w:rsid w:val="004A5305"/>
    <w:rsid w:val="004C052B"/>
    <w:rsid w:val="004D7634"/>
    <w:rsid w:val="004E611A"/>
    <w:rsid w:val="005161E0"/>
    <w:rsid w:val="00520224"/>
    <w:rsid w:val="005300D3"/>
    <w:rsid w:val="00544F82"/>
    <w:rsid w:val="005509D2"/>
    <w:rsid w:val="00565824"/>
    <w:rsid w:val="00593C4F"/>
    <w:rsid w:val="005946A8"/>
    <w:rsid w:val="005A4407"/>
    <w:rsid w:val="005A59EF"/>
    <w:rsid w:val="005B1C7E"/>
    <w:rsid w:val="005C6976"/>
    <w:rsid w:val="005F6F41"/>
    <w:rsid w:val="006001E9"/>
    <w:rsid w:val="00614B32"/>
    <w:rsid w:val="00625DC6"/>
    <w:rsid w:val="0064391D"/>
    <w:rsid w:val="00651821"/>
    <w:rsid w:val="00654384"/>
    <w:rsid w:val="006675CD"/>
    <w:rsid w:val="00674DD2"/>
    <w:rsid w:val="00684D9B"/>
    <w:rsid w:val="0068510A"/>
    <w:rsid w:val="00697556"/>
    <w:rsid w:val="006A1A3C"/>
    <w:rsid w:val="006B4647"/>
    <w:rsid w:val="006B4C2B"/>
    <w:rsid w:val="006B6194"/>
    <w:rsid w:val="006B6D47"/>
    <w:rsid w:val="006C5AFE"/>
    <w:rsid w:val="006E7F70"/>
    <w:rsid w:val="006F2338"/>
    <w:rsid w:val="006F6D95"/>
    <w:rsid w:val="00703C1B"/>
    <w:rsid w:val="00706F13"/>
    <w:rsid w:val="007072E8"/>
    <w:rsid w:val="0071618D"/>
    <w:rsid w:val="00725FA4"/>
    <w:rsid w:val="00740446"/>
    <w:rsid w:val="007438A9"/>
    <w:rsid w:val="0074491E"/>
    <w:rsid w:val="0076247A"/>
    <w:rsid w:val="00775964"/>
    <w:rsid w:val="007765FE"/>
    <w:rsid w:val="00794E2E"/>
    <w:rsid w:val="00795BFB"/>
    <w:rsid w:val="007B2760"/>
    <w:rsid w:val="00806C01"/>
    <w:rsid w:val="008148CC"/>
    <w:rsid w:val="008211A4"/>
    <w:rsid w:val="00832BF4"/>
    <w:rsid w:val="00847E74"/>
    <w:rsid w:val="00853659"/>
    <w:rsid w:val="00873150"/>
    <w:rsid w:val="0087657D"/>
    <w:rsid w:val="008807D5"/>
    <w:rsid w:val="00880832"/>
    <w:rsid w:val="00885760"/>
    <w:rsid w:val="00886EE1"/>
    <w:rsid w:val="0088727D"/>
    <w:rsid w:val="00895BC5"/>
    <w:rsid w:val="00897C75"/>
    <w:rsid w:val="008C1130"/>
    <w:rsid w:val="008D18E6"/>
    <w:rsid w:val="008D7A9B"/>
    <w:rsid w:val="008E0060"/>
    <w:rsid w:val="008E7091"/>
    <w:rsid w:val="008E76AC"/>
    <w:rsid w:val="008F21F6"/>
    <w:rsid w:val="00935EC4"/>
    <w:rsid w:val="00951F79"/>
    <w:rsid w:val="0095791E"/>
    <w:rsid w:val="00973E3B"/>
    <w:rsid w:val="00974AB5"/>
    <w:rsid w:val="0098706D"/>
    <w:rsid w:val="009935FB"/>
    <w:rsid w:val="009C3BEE"/>
    <w:rsid w:val="009D4902"/>
    <w:rsid w:val="009F4A54"/>
    <w:rsid w:val="009F4BEC"/>
    <w:rsid w:val="009F5874"/>
    <w:rsid w:val="00A25FD7"/>
    <w:rsid w:val="00A30867"/>
    <w:rsid w:val="00A423C6"/>
    <w:rsid w:val="00A43AFF"/>
    <w:rsid w:val="00A722E2"/>
    <w:rsid w:val="00A7793A"/>
    <w:rsid w:val="00A96FB7"/>
    <w:rsid w:val="00AA4CC7"/>
    <w:rsid w:val="00AA5E8E"/>
    <w:rsid w:val="00AB3AE0"/>
    <w:rsid w:val="00AB6CA7"/>
    <w:rsid w:val="00AC6540"/>
    <w:rsid w:val="00AD01E4"/>
    <w:rsid w:val="00AD0858"/>
    <w:rsid w:val="00AE34CB"/>
    <w:rsid w:val="00AE7340"/>
    <w:rsid w:val="00AF1BBD"/>
    <w:rsid w:val="00B10207"/>
    <w:rsid w:val="00B141E7"/>
    <w:rsid w:val="00B351B4"/>
    <w:rsid w:val="00B46BCA"/>
    <w:rsid w:val="00B478AA"/>
    <w:rsid w:val="00B70245"/>
    <w:rsid w:val="00B87806"/>
    <w:rsid w:val="00B87EC9"/>
    <w:rsid w:val="00BC38FD"/>
    <w:rsid w:val="00C034CB"/>
    <w:rsid w:val="00C051A8"/>
    <w:rsid w:val="00C054BC"/>
    <w:rsid w:val="00C17897"/>
    <w:rsid w:val="00C409D5"/>
    <w:rsid w:val="00C435C3"/>
    <w:rsid w:val="00C5485C"/>
    <w:rsid w:val="00C6234B"/>
    <w:rsid w:val="00C63EAE"/>
    <w:rsid w:val="00C73260"/>
    <w:rsid w:val="00C7629F"/>
    <w:rsid w:val="00C8661B"/>
    <w:rsid w:val="00CA139A"/>
    <w:rsid w:val="00CA2899"/>
    <w:rsid w:val="00CA3A3D"/>
    <w:rsid w:val="00CA77FB"/>
    <w:rsid w:val="00CB379B"/>
    <w:rsid w:val="00CB5DD0"/>
    <w:rsid w:val="00CC34B8"/>
    <w:rsid w:val="00CC51D4"/>
    <w:rsid w:val="00CC65DA"/>
    <w:rsid w:val="00CF21B9"/>
    <w:rsid w:val="00CF6BF9"/>
    <w:rsid w:val="00D0175D"/>
    <w:rsid w:val="00D03800"/>
    <w:rsid w:val="00D065D3"/>
    <w:rsid w:val="00D14C94"/>
    <w:rsid w:val="00D342A6"/>
    <w:rsid w:val="00D45CA6"/>
    <w:rsid w:val="00D464BF"/>
    <w:rsid w:val="00D53E26"/>
    <w:rsid w:val="00D80BD4"/>
    <w:rsid w:val="00DD4F0E"/>
    <w:rsid w:val="00DF0BF0"/>
    <w:rsid w:val="00DF3CA2"/>
    <w:rsid w:val="00E01463"/>
    <w:rsid w:val="00E05E0A"/>
    <w:rsid w:val="00E060BE"/>
    <w:rsid w:val="00E26EB2"/>
    <w:rsid w:val="00E534CF"/>
    <w:rsid w:val="00E81CB4"/>
    <w:rsid w:val="00E8585B"/>
    <w:rsid w:val="00EA3F15"/>
    <w:rsid w:val="00EA7847"/>
    <w:rsid w:val="00EB4C2F"/>
    <w:rsid w:val="00EE2E6E"/>
    <w:rsid w:val="00EE3C67"/>
    <w:rsid w:val="00F0759E"/>
    <w:rsid w:val="00F16A43"/>
    <w:rsid w:val="00F40336"/>
    <w:rsid w:val="00F46780"/>
    <w:rsid w:val="00F607B6"/>
    <w:rsid w:val="00F821A3"/>
    <w:rsid w:val="00F9314A"/>
    <w:rsid w:val="00F940B2"/>
    <w:rsid w:val="00FC58EF"/>
    <w:rsid w:val="00FD33DF"/>
    <w:rsid w:val="00FD7975"/>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Textoindependiente21">
    <w:name w:val="Texto independiente 21"/>
    <w:basedOn w:val="Normal"/>
    <w:rsid w:val="00895BC5"/>
    <w:pPr>
      <w:overflowPunct w:val="0"/>
      <w:autoSpaceDE w:val="0"/>
      <w:autoSpaceDN w:val="0"/>
      <w:adjustRightInd w:val="0"/>
      <w:ind w:left="0"/>
      <w:jc w:val="both"/>
      <w:textAlignment w:val="baseline"/>
    </w:pPr>
    <w:rPr>
      <w:rFonts w:ascii="Arial" w:hAnsi="Arial"/>
      <w:sz w:val="22"/>
      <w:szCs w:val="20"/>
      <w:lang w:val="es-ES_tradnl"/>
    </w:rPr>
  </w:style>
  <w:style w:type="character" w:styleId="Refdecomentario">
    <w:name w:val="annotation reference"/>
    <w:semiHidden/>
    <w:rsid w:val="00895BC5"/>
    <w:rPr>
      <w:sz w:val="16"/>
    </w:rPr>
  </w:style>
  <w:style w:type="paragraph" w:styleId="Textocomentario">
    <w:name w:val="annotation text"/>
    <w:basedOn w:val="Normal"/>
    <w:link w:val="TextocomentarioCar"/>
    <w:semiHidden/>
    <w:rsid w:val="00895BC5"/>
    <w:pPr>
      <w:ind w:left="0"/>
    </w:pPr>
    <w:rPr>
      <w:rFonts w:ascii="CG Times" w:hAnsi="CG Times"/>
      <w:sz w:val="20"/>
      <w:szCs w:val="20"/>
      <w:lang w:val="x-none"/>
    </w:rPr>
  </w:style>
  <w:style w:type="character" w:customStyle="1" w:styleId="TextocomentarioCar">
    <w:name w:val="Texto comentario Car"/>
    <w:link w:val="Textocomentario"/>
    <w:semiHidden/>
    <w:rsid w:val="00895BC5"/>
    <w:rPr>
      <w:rFonts w:ascii="CG Times" w:hAnsi="CG Times"/>
      <w:lang w:val="x-none" w:eastAsia="es-ES"/>
    </w:rPr>
  </w:style>
  <w:style w:type="paragraph" w:styleId="Asuntodelcomentario">
    <w:name w:val="annotation subject"/>
    <w:basedOn w:val="Textocomentario"/>
    <w:next w:val="Textocomentario"/>
    <w:link w:val="AsuntodelcomentarioCar"/>
    <w:uiPriority w:val="99"/>
    <w:semiHidden/>
    <w:unhideWhenUsed/>
    <w:rsid w:val="0031533B"/>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31533B"/>
    <w:rPr>
      <w:rFonts w:ascii="CG Times" w:hAnsi="CG Times"/>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Textoindependiente21">
    <w:name w:val="Texto independiente 21"/>
    <w:basedOn w:val="Normal"/>
    <w:rsid w:val="00895BC5"/>
    <w:pPr>
      <w:overflowPunct w:val="0"/>
      <w:autoSpaceDE w:val="0"/>
      <w:autoSpaceDN w:val="0"/>
      <w:adjustRightInd w:val="0"/>
      <w:ind w:left="0"/>
      <w:jc w:val="both"/>
      <w:textAlignment w:val="baseline"/>
    </w:pPr>
    <w:rPr>
      <w:rFonts w:ascii="Arial" w:hAnsi="Arial"/>
      <w:sz w:val="22"/>
      <w:szCs w:val="20"/>
      <w:lang w:val="es-ES_tradnl"/>
    </w:rPr>
  </w:style>
  <w:style w:type="character" w:styleId="Refdecomentario">
    <w:name w:val="annotation reference"/>
    <w:semiHidden/>
    <w:rsid w:val="00895BC5"/>
    <w:rPr>
      <w:sz w:val="16"/>
    </w:rPr>
  </w:style>
  <w:style w:type="paragraph" w:styleId="Textocomentario">
    <w:name w:val="annotation text"/>
    <w:basedOn w:val="Normal"/>
    <w:link w:val="TextocomentarioCar"/>
    <w:semiHidden/>
    <w:rsid w:val="00895BC5"/>
    <w:pPr>
      <w:ind w:left="0"/>
    </w:pPr>
    <w:rPr>
      <w:rFonts w:ascii="CG Times" w:hAnsi="CG Times"/>
      <w:sz w:val="20"/>
      <w:szCs w:val="20"/>
      <w:lang w:val="x-none"/>
    </w:rPr>
  </w:style>
  <w:style w:type="character" w:customStyle="1" w:styleId="TextocomentarioCar">
    <w:name w:val="Texto comentario Car"/>
    <w:link w:val="Textocomentario"/>
    <w:semiHidden/>
    <w:rsid w:val="00895BC5"/>
    <w:rPr>
      <w:rFonts w:ascii="CG Times" w:hAnsi="CG Times"/>
      <w:lang w:val="x-none" w:eastAsia="es-ES"/>
    </w:rPr>
  </w:style>
  <w:style w:type="paragraph" w:styleId="Asuntodelcomentario">
    <w:name w:val="annotation subject"/>
    <w:basedOn w:val="Textocomentario"/>
    <w:next w:val="Textocomentario"/>
    <w:link w:val="AsuntodelcomentarioCar"/>
    <w:uiPriority w:val="99"/>
    <w:semiHidden/>
    <w:unhideWhenUsed/>
    <w:rsid w:val="0031533B"/>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31533B"/>
    <w:rPr>
      <w:rFonts w:ascii="CG Times" w:hAnsi="CG Times"/>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96418">
      <w:bodyDiv w:val="1"/>
      <w:marLeft w:val="0"/>
      <w:marRight w:val="0"/>
      <w:marTop w:val="0"/>
      <w:marBottom w:val="0"/>
      <w:divBdr>
        <w:top w:val="none" w:sz="0" w:space="0" w:color="auto"/>
        <w:left w:val="none" w:sz="0" w:space="0" w:color="auto"/>
        <w:bottom w:val="none" w:sz="0" w:space="0" w:color="auto"/>
        <w:right w:val="none" w:sz="0" w:space="0" w:color="auto"/>
      </w:divBdr>
    </w:div>
    <w:div w:id="639457165">
      <w:bodyDiv w:val="1"/>
      <w:marLeft w:val="0"/>
      <w:marRight w:val="0"/>
      <w:marTop w:val="0"/>
      <w:marBottom w:val="0"/>
      <w:divBdr>
        <w:top w:val="none" w:sz="0" w:space="0" w:color="auto"/>
        <w:left w:val="none" w:sz="0" w:space="0" w:color="auto"/>
        <w:bottom w:val="none" w:sz="0" w:space="0" w:color="auto"/>
        <w:right w:val="none" w:sz="0" w:space="0" w:color="auto"/>
      </w:divBdr>
    </w:div>
    <w:div w:id="802575402">
      <w:bodyDiv w:val="1"/>
      <w:marLeft w:val="0"/>
      <w:marRight w:val="0"/>
      <w:marTop w:val="0"/>
      <w:marBottom w:val="0"/>
      <w:divBdr>
        <w:top w:val="none" w:sz="0" w:space="0" w:color="auto"/>
        <w:left w:val="none" w:sz="0" w:space="0" w:color="auto"/>
        <w:bottom w:val="none" w:sz="0" w:space="0" w:color="auto"/>
        <w:right w:val="none" w:sz="0" w:space="0" w:color="auto"/>
      </w:divBdr>
    </w:div>
    <w:div w:id="1186752217">
      <w:bodyDiv w:val="1"/>
      <w:marLeft w:val="0"/>
      <w:marRight w:val="0"/>
      <w:marTop w:val="0"/>
      <w:marBottom w:val="0"/>
      <w:divBdr>
        <w:top w:val="none" w:sz="0" w:space="0" w:color="auto"/>
        <w:left w:val="none" w:sz="0" w:space="0" w:color="auto"/>
        <w:bottom w:val="none" w:sz="0" w:space="0" w:color="auto"/>
        <w:right w:val="none" w:sz="0" w:space="0" w:color="auto"/>
      </w:divBdr>
    </w:div>
    <w:div w:id="1489904691">
      <w:bodyDiv w:val="1"/>
      <w:marLeft w:val="0"/>
      <w:marRight w:val="0"/>
      <w:marTop w:val="0"/>
      <w:marBottom w:val="0"/>
      <w:divBdr>
        <w:top w:val="none" w:sz="0" w:space="0" w:color="auto"/>
        <w:left w:val="none" w:sz="0" w:space="0" w:color="auto"/>
        <w:bottom w:val="none" w:sz="0" w:space="0" w:color="auto"/>
        <w:right w:val="none" w:sz="0" w:space="0" w:color="auto"/>
      </w:divBdr>
    </w:div>
    <w:div w:id="1772125505">
      <w:bodyDiv w:val="1"/>
      <w:marLeft w:val="0"/>
      <w:marRight w:val="0"/>
      <w:marTop w:val="0"/>
      <w:marBottom w:val="0"/>
      <w:divBdr>
        <w:top w:val="none" w:sz="0" w:space="0" w:color="auto"/>
        <w:left w:val="none" w:sz="0" w:space="0" w:color="auto"/>
        <w:bottom w:val="none" w:sz="0" w:space="0" w:color="auto"/>
        <w:right w:val="none" w:sz="0" w:space="0" w:color="auto"/>
      </w:divBdr>
    </w:div>
    <w:div w:id="185699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PLANTILLA1.dotx</Template>
  <TotalTime>0</TotalTime>
  <Pages>6</Pages>
  <Words>1625</Words>
  <Characters>8939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2013-02-18T22:30:00Z</cp:lastPrinted>
  <dcterms:created xsi:type="dcterms:W3CDTF">2013-03-04T21:42:00Z</dcterms:created>
  <dcterms:modified xsi:type="dcterms:W3CDTF">2013-03-04T21:42:00Z</dcterms:modified>
</cp:coreProperties>
</file>