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7C4" w:rsidRPr="005023D3" w:rsidRDefault="002F1509" w:rsidP="00A667C4">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202.4pt;margin-top:-53.35pt;width:52.5pt;height:48.75pt;z-index:251659264" fillcolor="#0c9">
            <v:imagedata r:id="rId9" o:title=""/>
          </v:shape>
          <o:OLEObject Type="Embed" ProgID="PBrush" ShapeID="_x0000_s1030" DrawAspect="Content" ObjectID="_1519484692" r:id="rId10"/>
        </w:pict>
      </w:r>
    </w:p>
    <w:p w:rsidR="00A667C4" w:rsidRPr="005023D3" w:rsidRDefault="00A667C4" w:rsidP="00A667C4">
      <w:pPr>
        <w:pStyle w:val="Encabezado"/>
        <w:tabs>
          <w:tab w:val="clear" w:pos="8504"/>
          <w:tab w:val="left" w:pos="0"/>
          <w:tab w:val="right" w:pos="9356"/>
        </w:tabs>
        <w:ind w:left="0"/>
        <w:jc w:val="both"/>
        <w:rPr>
          <w:rFonts w:ascii="Bookman Old Style" w:hAnsi="Bookman Old Style"/>
          <w:szCs w:val="24"/>
        </w:rPr>
      </w:pPr>
    </w:p>
    <w:p w:rsidR="00A667C4" w:rsidRPr="005023D3" w:rsidRDefault="00A667C4" w:rsidP="00A667C4">
      <w:pPr>
        <w:pStyle w:val="Ttulo4"/>
        <w:tabs>
          <w:tab w:val="left" w:pos="0"/>
          <w:tab w:val="right" w:pos="9356"/>
        </w:tabs>
        <w:ind w:left="0"/>
        <w:rPr>
          <w:rFonts w:ascii="Bookman Old Style" w:hAnsi="Bookman Old Style"/>
          <w:b w:val="0"/>
          <w:bCs/>
          <w:noProof/>
          <w:sz w:val="24"/>
          <w:szCs w:val="24"/>
          <w:lang w:val="es-ES"/>
        </w:rPr>
      </w:pPr>
      <w:r w:rsidRPr="005023D3">
        <w:rPr>
          <w:rFonts w:ascii="Bookman Old Style" w:hAnsi="Bookman Old Style"/>
          <w:b w:val="0"/>
          <w:bCs/>
          <w:sz w:val="24"/>
          <w:szCs w:val="24"/>
        </w:rPr>
        <w:t>Ministerio de Minas y Energía</w:t>
      </w:r>
    </w:p>
    <w:p w:rsidR="00A667C4" w:rsidRPr="005023D3" w:rsidRDefault="00A667C4" w:rsidP="00A667C4"/>
    <w:p w:rsidR="00A667C4" w:rsidRPr="005023D3" w:rsidRDefault="00A667C4" w:rsidP="00A667C4">
      <w:pPr>
        <w:pStyle w:val="Ttulo3"/>
        <w:tabs>
          <w:tab w:val="left" w:pos="0"/>
          <w:tab w:val="right" w:pos="9356"/>
        </w:tabs>
        <w:ind w:left="0"/>
        <w:rPr>
          <w:rFonts w:ascii="Bookman Old Style" w:hAnsi="Bookman Old Style" w:cs="Arial"/>
          <w:spacing w:val="20"/>
          <w:szCs w:val="24"/>
        </w:rPr>
      </w:pPr>
      <w:r w:rsidRPr="005023D3">
        <w:rPr>
          <w:rFonts w:ascii="Bookman Old Style" w:hAnsi="Bookman Old Style" w:cs="Arial"/>
          <w:spacing w:val="20"/>
          <w:szCs w:val="24"/>
        </w:rPr>
        <w:t>COMISIÓN DE REGULACIÓN DE ENERGÍA Y GAS</w:t>
      </w:r>
    </w:p>
    <w:p w:rsidR="00A667C4" w:rsidRPr="003234E2" w:rsidRDefault="00A667C4" w:rsidP="00A667C4"/>
    <w:p w:rsidR="00A667C4" w:rsidRPr="007507BF" w:rsidRDefault="00A667C4" w:rsidP="00A667C4"/>
    <w:p w:rsidR="00A667C4" w:rsidRPr="006B4647" w:rsidRDefault="00BF4CFB" w:rsidP="00A667C4">
      <w:pPr>
        <w:pStyle w:val="Ttulo5"/>
        <w:tabs>
          <w:tab w:val="left" w:pos="0"/>
          <w:tab w:val="right" w:pos="9498"/>
        </w:tabs>
        <w:ind w:left="0" w:right="-142"/>
        <w:rPr>
          <w:rFonts w:ascii="Bookman Old Style" w:hAnsi="Bookman Old Style"/>
          <w:sz w:val="24"/>
          <w:szCs w:val="24"/>
        </w:rPr>
      </w:pPr>
      <w:r>
        <w:rPr>
          <w:rFonts w:ascii="Bookman Old Style" w:hAnsi="Bookman Old Style"/>
          <w:sz w:val="24"/>
          <w:szCs w:val="24"/>
        </w:rPr>
        <w:t>RESOLUCIÓN No.       030</w:t>
      </w:r>
      <w:r w:rsidR="00A667C4" w:rsidRPr="006B4647">
        <w:rPr>
          <w:rFonts w:ascii="Bookman Old Style" w:hAnsi="Bookman Old Style"/>
          <w:sz w:val="24"/>
          <w:szCs w:val="24"/>
        </w:rPr>
        <w:t xml:space="preserve">      DE 201</w:t>
      </w:r>
      <w:r w:rsidR="00A62BD7">
        <w:rPr>
          <w:rFonts w:ascii="Bookman Old Style" w:hAnsi="Bookman Old Style"/>
          <w:sz w:val="24"/>
          <w:szCs w:val="24"/>
        </w:rPr>
        <w:t>6</w:t>
      </w:r>
    </w:p>
    <w:p w:rsidR="00A667C4" w:rsidRPr="006B4647" w:rsidRDefault="00A667C4" w:rsidP="00A667C4">
      <w:pPr>
        <w:rPr>
          <w:snapToGrid w:val="0"/>
          <w:lang w:val="es-ES_tradnl"/>
        </w:rPr>
      </w:pPr>
    </w:p>
    <w:p w:rsidR="00A667C4" w:rsidRPr="006B4647" w:rsidRDefault="00A667C4" w:rsidP="00A667C4">
      <w:pPr>
        <w:ind w:left="284"/>
        <w:jc w:val="center"/>
        <w:rPr>
          <w:b/>
        </w:rPr>
      </w:pPr>
      <w:r w:rsidRPr="006B4647">
        <w:t>(                                  )</w:t>
      </w:r>
    </w:p>
    <w:p w:rsidR="00A667C4" w:rsidRPr="007507BF" w:rsidRDefault="00A667C4" w:rsidP="00A667C4">
      <w:pPr>
        <w:tabs>
          <w:tab w:val="left" w:pos="0"/>
          <w:tab w:val="right" w:pos="9498"/>
        </w:tabs>
        <w:ind w:left="0" w:right="-142"/>
        <w:jc w:val="center"/>
        <w:rPr>
          <w:rFonts w:ascii="Bookman Old Style" w:hAnsi="Bookman Old Style"/>
          <w:sz w:val="20"/>
          <w:lang w:val="es-ES_tradnl"/>
        </w:rPr>
      </w:pPr>
    </w:p>
    <w:p w:rsidR="00A667C4" w:rsidRPr="003234E2" w:rsidRDefault="00A667C4" w:rsidP="00A667C4">
      <w:pPr>
        <w:tabs>
          <w:tab w:val="right" w:pos="9498"/>
        </w:tabs>
        <w:ind w:left="0" w:right="-142"/>
        <w:rPr>
          <w:rFonts w:ascii="Bookman Old Style" w:hAnsi="Bookman Old Style"/>
          <w:bCs/>
          <w:sz w:val="22"/>
          <w:lang w:val="es-CO"/>
        </w:rPr>
      </w:pPr>
    </w:p>
    <w:p w:rsidR="002B326E" w:rsidRPr="002B326E" w:rsidRDefault="002B326E" w:rsidP="002B326E">
      <w:pPr>
        <w:ind w:left="0"/>
        <w:jc w:val="center"/>
        <w:rPr>
          <w:rFonts w:ascii="Bookman Old Style" w:hAnsi="Bookman Old Style" w:cs="Arial"/>
          <w:b/>
          <w:szCs w:val="20"/>
          <w:lang w:val="es-CO"/>
        </w:rPr>
      </w:pPr>
      <w:r w:rsidRPr="002B326E">
        <w:rPr>
          <w:rFonts w:ascii="Bookman Old Style" w:hAnsi="Bookman Old Style" w:cs="Arial"/>
          <w:szCs w:val="20"/>
          <w:lang w:val="es-CO"/>
        </w:rPr>
        <w:t xml:space="preserve">Por la cual se revoca </w:t>
      </w:r>
      <w:r w:rsidRPr="002B326E">
        <w:rPr>
          <w:rFonts w:ascii="Bookman Old Style" w:hAnsi="Bookman Old Style"/>
          <w:bCs/>
          <w:lang w:val="es-CO"/>
        </w:rPr>
        <w:t>el artículo 1 de la Resolución CREG 176 de 2011 que modifica el artículo 10 de la Resolución CREG 050 de 2009, mediante el cual se establece la remuneración mensual del cargo medio de transporte.</w:t>
      </w:r>
    </w:p>
    <w:p w:rsidR="00A667C4" w:rsidRPr="00254D2B" w:rsidRDefault="00A667C4" w:rsidP="00A667C4">
      <w:pPr>
        <w:ind w:left="0"/>
        <w:jc w:val="both"/>
        <w:rPr>
          <w:rFonts w:ascii="Bookman Old Style" w:hAnsi="Bookman Old Style" w:cs="Arial"/>
          <w:b/>
          <w:szCs w:val="20"/>
          <w:lang w:val="es-CO"/>
        </w:rPr>
      </w:pPr>
    </w:p>
    <w:p w:rsidR="00A667C4" w:rsidRPr="005023D3" w:rsidRDefault="00A667C4" w:rsidP="00A667C4">
      <w:pPr>
        <w:ind w:left="0"/>
        <w:jc w:val="both"/>
        <w:rPr>
          <w:rFonts w:ascii="Bookman Old Style" w:hAnsi="Bookman Old Style" w:cs="Arial"/>
          <w:sz w:val="20"/>
          <w:szCs w:val="20"/>
          <w:lang w:val="es-CO"/>
        </w:rPr>
      </w:pPr>
    </w:p>
    <w:p w:rsidR="00A667C4" w:rsidRPr="005023D3" w:rsidRDefault="00A667C4" w:rsidP="00A667C4">
      <w:pPr>
        <w:pStyle w:val="Ttulo6"/>
        <w:spacing w:before="0" w:after="0"/>
        <w:ind w:left="0"/>
        <w:jc w:val="center"/>
        <w:rPr>
          <w:rFonts w:ascii="Bookman Old Style" w:hAnsi="Bookman Old Style"/>
          <w:sz w:val="24"/>
          <w:szCs w:val="20"/>
        </w:rPr>
      </w:pPr>
      <w:r w:rsidRPr="005023D3">
        <w:rPr>
          <w:rFonts w:ascii="Bookman Old Style" w:hAnsi="Bookman Old Style"/>
          <w:sz w:val="24"/>
          <w:szCs w:val="20"/>
        </w:rPr>
        <w:t>LA COMISIÓN DE REGULACIÓN DE ENERGÍA Y GAS</w:t>
      </w:r>
    </w:p>
    <w:p w:rsidR="00A667C4" w:rsidRPr="005023D3" w:rsidRDefault="00A667C4" w:rsidP="00A667C4">
      <w:pPr>
        <w:ind w:left="0"/>
        <w:jc w:val="both"/>
        <w:rPr>
          <w:rFonts w:ascii="Bookman Old Style" w:hAnsi="Bookman Old Style" w:cs="Arial"/>
          <w:b/>
          <w:bCs/>
          <w:sz w:val="20"/>
          <w:szCs w:val="20"/>
        </w:rPr>
      </w:pPr>
    </w:p>
    <w:p w:rsidR="00A667C4" w:rsidRPr="005023D3" w:rsidRDefault="00A667C4" w:rsidP="00A667C4">
      <w:pPr>
        <w:ind w:left="0"/>
        <w:jc w:val="both"/>
        <w:rPr>
          <w:rFonts w:ascii="Bookman Old Style" w:hAnsi="Bookman Old Style" w:cs="Arial"/>
          <w:szCs w:val="20"/>
        </w:rPr>
      </w:pPr>
    </w:p>
    <w:p w:rsidR="00A667C4" w:rsidRPr="005023D3" w:rsidRDefault="00A667C4" w:rsidP="00A667C4">
      <w:pPr>
        <w:tabs>
          <w:tab w:val="left" w:pos="0"/>
        </w:tabs>
        <w:ind w:left="0"/>
        <w:jc w:val="center"/>
        <w:rPr>
          <w:rFonts w:ascii="Bookman Old Style" w:hAnsi="Bookman Old Style" w:cs="Arial"/>
          <w:szCs w:val="20"/>
        </w:rPr>
      </w:pPr>
      <w:r w:rsidRPr="005023D3">
        <w:rPr>
          <w:rFonts w:ascii="Bookman Old Style" w:hAnsi="Bookman Old Style" w:cs="Arial"/>
          <w:szCs w:val="20"/>
        </w:rPr>
        <w:t>En ejercicio de sus atribuciones legales, en especial las conferidas por la Ley 142 de 1994, y en desarrollo del D</w:t>
      </w:r>
      <w:r>
        <w:rPr>
          <w:rFonts w:ascii="Bookman Old Style" w:hAnsi="Bookman Old Style" w:cs="Arial"/>
          <w:szCs w:val="20"/>
        </w:rPr>
        <w:t>ecreto 2253 de 1994</w:t>
      </w:r>
      <w:r w:rsidRPr="005023D3">
        <w:rPr>
          <w:rFonts w:ascii="Bookman Old Style" w:hAnsi="Bookman Old Style" w:cs="Arial"/>
          <w:szCs w:val="20"/>
        </w:rPr>
        <w:t xml:space="preserve"> y</w:t>
      </w:r>
      <w:r>
        <w:rPr>
          <w:rFonts w:ascii="Bookman Old Style" w:hAnsi="Bookman Old Style" w:cs="Arial"/>
          <w:szCs w:val="20"/>
        </w:rPr>
        <w:t xml:space="preserve"> 1260 de 2013 y,</w:t>
      </w:r>
    </w:p>
    <w:p w:rsidR="00A667C4" w:rsidRPr="005023D3" w:rsidRDefault="00A667C4" w:rsidP="00A667C4">
      <w:pPr>
        <w:tabs>
          <w:tab w:val="left" w:pos="624"/>
        </w:tabs>
        <w:ind w:left="0"/>
        <w:jc w:val="both"/>
        <w:rPr>
          <w:rFonts w:ascii="Bookman Old Style" w:hAnsi="Bookman Old Style" w:cs="Arial"/>
          <w:sz w:val="20"/>
          <w:szCs w:val="20"/>
        </w:rPr>
      </w:pPr>
    </w:p>
    <w:p w:rsidR="00A667C4" w:rsidRDefault="00A667C4" w:rsidP="00A667C4">
      <w:pPr>
        <w:ind w:left="0"/>
        <w:jc w:val="both"/>
        <w:rPr>
          <w:rFonts w:ascii="Bookman Old Style" w:hAnsi="Bookman Old Style" w:cs="Arial"/>
          <w:szCs w:val="20"/>
        </w:rPr>
      </w:pPr>
    </w:p>
    <w:p w:rsidR="00BF4CFB" w:rsidRPr="005023D3" w:rsidRDefault="00BF4CFB" w:rsidP="00A667C4">
      <w:pPr>
        <w:ind w:left="0"/>
        <w:jc w:val="both"/>
        <w:rPr>
          <w:rFonts w:ascii="Bookman Old Style" w:hAnsi="Bookman Old Style" w:cs="Arial"/>
          <w:szCs w:val="20"/>
        </w:rPr>
      </w:pPr>
    </w:p>
    <w:p w:rsidR="00A667C4" w:rsidRPr="00254EC8" w:rsidRDefault="00A667C4" w:rsidP="00A667C4">
      <w:pPr>
        <w:pStyle w:val="TableHeading"/>
        <w:suppressLineNumbers w:val="0"/>
        <w:rPr>
          <w:rFonts w:ascii="Bookman Old Style" w:hAnsi="Bookman Old Style" w:cs="Arial"/>
          <w:bCs w:val="0"/>
          <w:sz w:val="24"/>
          <w:szCs w:val="20"/>
        </w:rPr>
      </w:pPr>
      <w:r w:rsidRPr="005023D3">
        <w:rPr>
          <w:rFonts w:ascii="Bookman Old Style" w:hAnsi="Bookman Old Style" w:cs="Arial"/>
          <w:bCs w:val="0"/>
          <w:sz w:val="24"/>
          <w:szCs w:val="20"/>
        </w:rPr>
        <w:t>C O N S I D E R A N D O  Q U E:</w:t>
      </w:r>
    </w:p>
    <w:p w:rsidR="00A667C4" w:rsidRDefault="00A667C4" w:rsidP="00A667C4">
      <w:pPr>
        <w:ind w:left="0"/>
        <w:jc w:val="both"/>
        <w:rPr>
          <w:rFonts w:ascii="Bookman Old Style" w:hAnsi="Bookman Old Style" w:cs="Arial"/>
        </w:rPr>
      </w:pPr>
    </w:p>
    <w:p w:rsidR="00BF4CFB" w:rsidRDefault="00BF4CFB" w:rsidP="00A667C4">
      <w:pPr>
        <w:ind w:left="0"/>
        <w:jc w:val="both"/>
        <w:rPr>
          <w:rFonts w:ascii="Bookman Old Style" w:hAnsi="Bookman Old Style" w:cs="Arial"/>
        </w:rPr>
      </w:pPr>
    </w:p>
    <w:p w:rsidR="00575755" w:rsidRPr="005023D3" w:rsidRDefault="00575755" w:rsidP="00A667C4">
      <w:pPr>
        <w:ind w:left="0"/>
        <w:jc w:val="both"/>
        <w:rPr>
          <w:rFonts w:ascii="Bookman Old Style" w:hAnsi="Bookman Old Style" w:cs="Arial"/>
        </w:rPr>
      </w:pPr>
    </w:p>
    <w:p w:rsidR="00A667C4" w:rsidRPr="00564326" w:rsidRDefault="00A667C4" w:rsidP="00A667C4">
      <w:pPr>
        <w:pStyle w:val="Textoindependiente2"/>
        <w:numPr>
          <w:ilvl w:val="0"/>
          <w:numId w:val="5"/>
        </w:numPr>
        <w:spacing w:after="0" w:line="240" w:lineRule="auto"/>
        <w:ind w:left="426" w:right="-142" w:hanging="568"/>
        <w:jc w:val="both"/>
        <w:rPr>
          <w:rFonts w:ascii="Bookman Old Style" w:hAnsi="Bookman Old Style"/>
          <w:b/>
          <w:szCs w:val="27"/>
        </w:rPr>
      </w:pPr>
      <w:r>
        <w:rPr>
          <w:rFonts w:ascii="Bookman Old Style" w:hAnsi="Bookman Old Style"/>
          <w:b/>
          <w:szCs w:val="27"/>
        </w:rPr>
        <w:t>ANTECEDENTES</w:t>
      </w:r>
    </w:p>
    <w:p w:rsidR="00A667C4" w:rsidRDefault="00A667C4" w:rsidP="00A667C4">
      <w:pPr>
        <w:pStyle w:val="Textoindependiente2"/>
        <w:spacing w:after="0" w:line="240" w:lineRule="auto"/>
        <w:ind w:left="-142" w:right="-142"/>
        <w:jc w:val="both"/>
        <w:rPr>
          <w:rFonts w:ascii="Bookman Old Style" w:hAnsi="Bookman Old Style"/>
          <w:szCs w:val="27"/>
        </w:rPr>
      </w:pPr>
    </w:p>
    <w:p w:rsidR="00A667C4" w:rsidRPr="00817D6D" w:rsidRDefault="00A667C4" w:rsidP="00A667C4">
      <w:pPr>
        <w:pStyle w:val="Textoindependiente2"/>
        <w:spacing w:after="0" w:line="240" w:lineRule="auto"/>
        <w:ind w:left="-142" w:right="-142"/>
        <w:jc w:val="both"/>
        <w:rPr>
          <w:rFonts w:ascii="Bookman Old Style" w:hAnsi="Bookman Old Style"/>
          <w:i/>
          <w:szCs w:val="27"/>
        </w:rPr>
      </w:pPr>
      <w:r w:rsidRPr="00817D6D">
        <w:rPr>
          <w:rFonts w:ascii="Bookman Old Style" w:hAnsi="Bookman Old Style"/>
          <w:szCs w:val="27"/>
        </w:rPr>
        <w:t>De conformidad con lo establecido en el numeral 14.28 del artículo 14 de la Ley 142 de 1994 el servicio público domiciliario de gas combustible “</w:t>
      </w:r>
      <w:r w:rsidRPr="00817D6D">
        <w:rPr>
          <w:rFonts w:ascii="Bookman Old Style" w:hAnsi="Bookman Old Style"/>
          <w:i/>
          <w:szCs w:val="27"/>
        </w:rPr>
        <w:t>es el conjunto de actividades ordenadas a la distribución de gas combustible, por tubería u otro medio, desde un sitio de acopio de grandes volúmenes o desde un gasoducto central hasta la instalación de un consumidor final, inc</w:t>
      </w:r>
      <w:r w:rsidR="001C38BD">
        <w:rPr>
          <w:rFonts w:ascii="Bookman Old Style" w:hAnsi="Bookman Old Style"/>
          <w:i/>
          <w:szCs w:val="27"/>
        </w:rPr>
        <w:t xml:space="preserve">luyendo su conexión y medición. </w:t>
      </w:r>
      <w:r w:rsidRPr="00817D6D">
        <w:rPr>
          <w:rFonts w:ascii="Bookman Old Style" w:hAnsi="Bookman Old Style"/>
          <w:i/>
          <w:szCs w:val="27"/>
        </w:rPr>
        <w:t>También se aplicará esta ley a las actividades complementarias de comercialización desde la producción y transporte de gas por un gasoducto principal, o por otros medios, desde el sitio de generación hasta aquel en donde se conecte a una red secundaria”.</w:t>
      </w:r>
    </w:p>
    <w:p w:rsidR="00A667C4" w:rsidRPr="00817D6D" w:rsidRDefault="00A667C4" w:rsidP="00A667C4">
      <w:pPr>
        <w:pStyle w:val="Textoindependiente2"/>
        <w:spacing w:after="0" w:line="240" w:lineRule="auto"/>
        <w:ind w:left="-142" w:right="-142"/>
        <w:jc w:val="both"/>
        <w:rPr>
          <w:rFonts w:ascii="Bookman Old Style" w:hAnsi="Bookman Old Style"/>
          <w:szCs w:val="27"/>
        </w:rPr>
      </w:pPr>
    </w:p>
    <w:p w:rsidR="00A667C4" w:rsidRPr="00817D6D" w:rsidRDefault="00A667C4" w:rsidP="00A667C4">
      <w:pPr>
        <w:pStyle w:val="Textoindependiente2"/>
        <w:spacing w:after="0" w:line="240" w:lineRule="auto"/>
        <w:ind w:left="-142" w:right="-142"/>
        <w:jc w:val="both"/>
        <w:rPr>
          <w:rFonts w:ascii="Bookman Old Style" w:hAnsi="Bookman Old Style"/>
          <w:szCs w:val="27"/>
        </w:rPr>
      </w:pPr>
      <w:r w:rsidRPr="00817D6D">
        <w:rPr>
          <w:rFonts w:ascii="Bookman Old Style" w:hAnsi="Bookman Old Style"/>
          <w:szCs w:val="27"/>
        </w:rPr>
        <w:t>El numeral 73.11 del artículo 73 de la Ley 142 de 1994 atribuyó a la Comisión de Regulación de Energía y Gas</w:t>
      </w:r>
      <w:r>
        <w:rPr>
          <w:rFonts w:ascii="Bookman Old Style" w:hAnsi="Bookman Old Style"/>
          <w:szCs w:val="27"/>
        </w:rPr>
        <w:t>, CREG,</w:t>
      </w:r>
      <w:r w:rsidRPr="00817D6D">
        <w:rPr>
          <w:rFonts w:ascii="Bookman Old Style" w:hAnsi="Bookman Old Style"/>
          <w:szCs w:val="27"/>
        </w:rPr>
        <w:t xml:space="preserve"> la competencia para establecer las fórmulas para la fijación de las tarifas del servicio público domiciliario de gas combustible.</w:t>
      </w:r>
    </w:p>
    <w:p w:rsidR="00A667C4" w:rsidRPr="00817D6D" w:rsidRDefault="00A667C4" w:rsidP="00A667C4">
      <w:pPr>
        <w:pStyle w:val="Textoindependiente2"/>
        <w:spacing w:after="0" w:line="240" w:lineRule="auto"/>
        <w:ind w:left="-142" w:right="-142"/>
        <w:jc w:val="both"/>
        <w:rPr>
          <w:rFonts w:ascii="Bookman Old Style" w:hAnsi="Bookman Old Style"/>
          <w:szCs w:val="27"/>
        </w:rPr>
      </w:pPr>
    </w:p>
    <w:p w:rsidR="00575755" w:rsidRDefault="00A667C4" w:rsidP="00575755">
      <w:pPr>
        <w:pStyle w:val="Textoindependiente2"/>
        <w:spacing w:after="0" w:line="240" w:lineRule="auto"/>
        <w:ind w:left="-142" w:right="-142"/>
        <w:jc w:val="both"/>
        <w:rPr>
          <w:rFonts w:ascii="Bookman Old Style" w:hAnsi="Bookman Old Style"/>
          <w:szCs w:val="27"/>
        </w:rPr>
      </w:pPr>
      <w:r w:rsidRPr="00817D6D">
        <w:rPr>
          <w:rFonts w:ascii="Bookman Old Style" w:hAnsi="Bookman Old Style"/>
          <w:szCs w:val="27"/>
        </w:rPr>
        <w:t xml:space="preserve">Mediante la Resolución CREG </w:t>
      </w:r>
      <w:r>
        <w:rPr>
          <w:rFonts w:ascii="Bookman Old Style" w:hAnsi="Bookman Old Style"/>
          <w:szCs w:val="27"/>
        </w:rPr>
        <w:t>050</w:t>
      </w:r>
      <w:r w:rsidRPr="00817D6D">
        <w:rPr>
          <w:rFonts w:ascii="Bookman Old Style" w:hAnsi="Bookman Old Style"/>
          <w:szCs w:val="27"/>
        </w:rPr>
        <w:t xml:space="preserve"> de </w:t>
      </w:r>
      <w:r>
        <w:rPr>
          <w:rFonts w:ascii="Bookman Old Style" w:hAnsi="Bookman Old Style"/>
          <w:szCs w:val="27"/>
        </w:rPr>
        <w:t>2009 se</w:t>
      </w:r>
      <w:r w:rsidRPr="00817D6D">
        <w:rPr>
          <w:rFonts w:ascii="Bookman Old Style" w:hAnsi="Bookman Old Style"/>
          <w:szCs w:val="27"/>
        </w:rPr>
        <w:t xml:space="preserve"> </w:t>
      </w:r>
      <w:r w:rsidRPr="00BE64DA">
        <w:rPr>
          <w:rFonts w:ascii="Bookman Old Style" w:hAnsi="Bookman Old Style"/>
          <w:szCs w:val="27"/>
        </w:rPr>
        <w:t>establec</w:t>
      </w:r>
      <w:r>
        <w:rPr>
          <w:rFonts w:ascii="Bookman Old Style" w:hAnsi="Bookman Old Style"/>
          <w:szCs w:val="27"/>
        </w:rPr>
        <w:t>ieron</w:t>
      </w:r>
      <w:r w:rsidRPr="00BE64DA">
        <w:rPr>
          <w:rFonts w:ascii="Bookman Old Style" w:hAnsi="Bookman Old Style"/>
          <w:szCs w:val="27"/>
        </w:rPr>
        <w:t xml:space="preserve"> los criterios para la r</w:t>
      </w:r>
      <w:r>
        <w:rPr>
          <w:rFonts w:ascii="Bookman Old Style" w:hAnsi="Bookman Old Style"/>
          <w:szCs w:val="27"/>
        </w:rPr>
        <w:t>emuneración de la actividad de t</w:t>
      </w:r>
      <w:r w:rsidRPr="00BE64DA">
        <w:rPr>
          <w:rFonts w:ascii="Bookman Old Style" w:hAnsi="Bookman Old Style"/>
          <w:szCs w:val="27"/>
        </w:rPr>
        <w:t>ranspor</w:t>
      </w:r>
      <w:r>
        <w:rPr>
          <w:rFonts w:ascii="Bookman Old Style" w:hAnsi="Bookman Old Style"/>
          <w:szCs w:val="27"/>
        </w:rPr>
        <w:t>te del gas licuado de p</w:t>
      </w:r>
      <w:r w:rsidRPr="00BE64DA">
        <w:rPr>
          <w:rFonts w:ascii="Bookman Old Style" w:hAnsi="Bookman Old Style"/>
          <w:szCs w:val="27"/>
        </w:rPr>
        <w:t>etróleo (GLP) al Archipiélago de San Andrés, Providencia y Santa Catalina</w:t>
      </w:r>
      <w:r w:rsidRPr="00817D6D">
        <w:rPr>
          <w:rFonts w:ascii="Bookman Old Style" w:hAnsi="Bookman Old Style"/>
          <w:szCs w:val="27"/>
        </w:rPr>
        <w:t>.</w:t>
      </w:r>
      <w:r>
        <w:rPr>
          <w:rFonts w:ascii="Bookman Old Style" w:hAnsi="Bookman Old Style"/>
          <w:szCs w:val="27"/>
        </w:rPr>
        <w:t xml:space="preserve"> En esta R</w:t>
      </w:r>
      <w:r w:rsidRPr="002B6EF8">
        <w:rPr>
          <w:rFonts w:ascii="Bookman Old Style" w:hAnsi="Bookman Old Style"/>
          <w:szCs w:val="27"/>
        </w:rPr>
        <w:t xml:space="preserve">esolución se </w:t>
      </w:r>
      <w:r>
        <w:rPr>
          <w:rFonts w:ascii="Bookman Old Style" w:hAnsi="Bookman Old Style"/>
          <w:szCs w:val="27"/>
        </w:rPr>
        <w:t>definió tanto</w:t>
      </w:r>
      <w:r w:rsidRPr="002B6EF8">
        <w:rPr>
          <w:rFonts w:ascii="Bookman Old Style" w:hAnsi="Bookman Old Style"/>
          <w:szCs w:val="27"/>
        </w:rPr>
        <w:t xml:space="preserve"> la metodología general para remunerar la actividad de transporte </w:t>
      </w:r>
      <w:r>
        <w:rPr>
          <w:rFonts w:ascii="Bookman Old Style" w:hAnsi="Bookman Old Style"/>
          <w:szCs w:val="27"/>
        </w:rPr>
        <w:t>marítimo por el agente que va</w:t>
      </w:r>
      <w:r w:rsidRPr="002B6EF8">
        <w:rPr>
          <w:rFonts w:ascii="Bookman Old Style" w:hAnsi="Bookman Old Style"/>
          <w:szCs w:val="27"/>
        </w:rPr>
        <w:t xml:space="preserve"> a desarrollar la actividad, como el cálculo del cargo medio de transporte</w:t>
      </w:r>
      <w:r>
        <w:rPr>
          <w:rFonts w:ascii="Bookman Old Style" w:hAnsi="Bookman Old Style"/>
          <w:szCs w:val="27"/>
        </w:rPr>
        <w:t xml:space="preserve">, así como </w:t>
      </w:r>
      <w:r w:rsidRPr="002B6EF8">
        <w:rPr>
          <w:rFonts w:ascii="Bookman Old Style" w:hAnsi="Bookman Old Style"/>
          <w:szCs w:val="27"/>
        </w:rPr>
        <w:t>la parte de éste</w:t>
      </w:r>
      <w:r>
        <w:rPr>
          <w:rFonts w:ascii="Bookman Old Style" w:hAnsi="Bookman Old Style"/>
          <w:szCs w:val="27"/>
        </w:rPr>
        <w:t>,</w:t>
      </w:r>
      <w:r w:rsidRPr="002B6EF8">
        <w:rPr>
          <w:rFonts w:ascii="Bookman Old Style" w:hAnsi="Bookman Old Style"/>
          <w:szCs w:val="27"/>
        </w:rPr>
        <w:t xml:space="preserve"> a ser cubierto por la demanda del </w:t>
      </w:r>
      <w:r w:rsidRPr="002B6EF8">
        <w:rPr>
          <w:rFonts w:ascii="Bookman Old Style" w:hAnsi="Bookman Old Style"/>
          <w:szCs w:val="27"/>
        </w:rPr>
        <w:lastRenderedPageBreak/>
        <w:t>Archipiélago de San Andrés, Providencia y Santa Catalina y por la demanda del sistema de transporte por poliductos del continente</w:t>
      </w:r>
      <w:r>
        <w:rPr>
          <w:rFonts w:ascii="Bookman Old Style" w:hAnsi="Bookman Old Style"/>
          <w:szCs w:val="27"/>
        </w:rPr>
        <w:t>.</w:t>
      </w:r>
    </w:p>
    <w:p w:rsidR="00EA1B79" w:rsidRDefault="00E24E67" w:rsidP="00575755">
      <w:pPr>
        <w:pStyle w:val="Textoindependiente2"/>
        <w:spacing w:after="0" w:line="240" w:lineRule="auto"/>
        <w:ind w:left="0" w:right="-142"/>
        <w:jc w:val="both"/>
        <w:rPr>
          <w:rFonts w:ascii="Bookman Old Style" w:hAnsi="Bookman Old Style"/>
          <w:szCs w:val="27"/>
        </w:rPr>
      </w:pPr>
      <w:r>
        <w:rPr>
          <w:rFonts w:ascii="Bookman Old Style" w:hAnsi="Bookman Old Style"/>
          <w:szCs w:val="27"/>
        </w:rPr>
        <w:t xml:space="preserve">Esta </w:t>
      </w:r>
      <w:r w:rsidR="00575755">
        <w:rPr>
          <w:rFonts w:ascii="Bookman Old Style" w:hAnsi="Bookman Old Style"/>
          <w:szCs w:val="27"/>
        </w:rPr>
        <w:t xml:space="preserve">metodología </w:t>
      </w:r>
      <w:r>
        <w:rPr>
          <w:rFonts w:ascii="Bookman Old Style" w:hAnsi="Bookman Old Style"/>
          <w:szCs w:val="27"/>
        </w:rPr>
        <w:t>consideró el reconocimiento de un cargo máximo al transportador</w:t>
      </w:r>
      <w:r w:rsidR="00A3475C">
        <w:rPr>
          <w:rFonts w:ascii="Bookman Old Style" w:hAnsi="Bookman Old Style"/>
          <w:szCs w:val="27"/>
        </w:rPr>
        <w:t>,</w:t>
      </w:r>
      <w:r>
        <w:rPr>
          <w:rFonts w:ascii="Bookman Old Style" w:hAnsi="Bookman Old Style"/>
          <w:szCs w:val="27"/>
        </w:rPr>
        <w:t xml:space="preserve">  </w:t>
      </w:r>
      <w:r w:rsidR="00A3475C">
        <w:rPr>
          <w:rFonts w:ascii="Bookman Old Style" w:hAnsi="Bookman Old Style"/>
          <w:szCs w:val="27"/>
        </w:rPr>
        <w:t>que incluye los</w:t>
      </w:r>
      <w:r w:rsidR="00E648B6">
        <w:rPr>
          <w:rFonts w:ascii="Bookman Old Style" w:hAnsi="Bookman Old Style"/>
          <w:szCs w:val="27"/>
        </w:rPr>
        <w:t xml:space="preserve"> costos </w:t>
      </w:r>
      <w:r w:rsidR="00A3475C">
        <w:rPr>
          <w:rFonts w:ascii="Bookman Old Style" w:hAnsi="Bookman Old Style"/>
          <w:szCs w:val="27"/>
        </w:rPr>
        <w:t xml:space="preserve">de inversión </w:t>
      </w:r>
      <w:r w:rsidR="00E648B6">
        <w:rPr>
          <w:rFonts w:ascii="Bookman Old Style" w:hAnsi="Bookman Old Style"/>
          <w:szCs w:val="27"/>
        </w:rPr>
        <w:t xml:space="preserve">eficientes, los gastos de administración, operación y mantenimiento y un margen de transporte del 2.56%  sobre </w:t>
      </w:r>
      <w:r w:rsidR="00903E73">
        <w:rPr>
          <w:rFonts w:ascii="Bookman Old Style" w:hAnsi="Bookman Old Style"/>
          <w:szCs w:val="27"/>
        </w:rPr>
        <w:t xml:space="preserve">sus </w:t>
      </w:r>
      <w:r w:rsidR="00E648B6">
        <w:rPr>
          <w:rFonts w:ascii="Bookman Old Style" w:hAnsi="Bookman Old Style"/>
          <w:szCs w:val="27"/>
        </w:rPr>
        <w:t xml:space="preserve">costos anuales. </w:t>
      </w:r>
      <w:r w:rsidR="006D7779">
        <w:rPr>
          <w:rFonts w:ascii="Bookman Old Style" w:hAnsi="Bookman Old Style"/>
          <w:szCs w:val="27"/>
        </w:rPr>
        <w:t>En este sentido</w:t>
      </w:r>
      <w:r w:rsidR="00EA1B79">
        <w:rPr>
          <w:rFonts w:ascii="Bookman Old Style" w:hAnsi="Bookman Old Style"/>
          <w:szCs w:val="27"/>
        </w:rPr>
        <w:t>, la</w:t>
      </w:r>
      <w:r w:rsidR="006D7779">
        <w:rPr>
          <w:rFonts w:ascii="Bookman Old Style" w:hAnsi="Bookman Old Style"/>
          <w:szCs w:val="27"/>
        </w:rPr>
        <w:t xml:space="preserve"> </w:t>
      </w:r>
      <w:r w:rsidR="00EA1B79">
        <w:rPr>
          <w:rFonts w:ascii="Bookman Old Style" w:hAnsi="Bookman Old Style"/>
          <w:szCs w:val="27"/>
        </w:rPr>
        <w:t xml:space="preserve">remuneración de la actividad se hacía a partir del cargo estampilla por el mercado del continente y los cargos propios de la isla. </w:t>
      </w:r>
      <w:r w:rsidR="006319DF">
        <w:rPr>
          <w:rFonts w:ascii="Bookman Old Style" w:hAnsi="Bookman Old Style"/>
          <w:szCs w:val="27"/>
        </w:rPr>
        <w:t xml:space="preserve">Por  su parte, la remuneración al prestador del servicio considera el margen mencionado previamente. </w:t>
      </w:r>
    </w:p>
    <w:p w:rsidR="006D7779" w:rsidRDefault="006D7779" w:rsidP="00575755">
      <w:pPr>
        <w:pStyle w:val="Textoindependiente2"/>
        <w:spacing w:after="0" w:line="240" w:lineRule="auto"/>
        <w:ind w:left="0" w:right="-142"/>
        <w:jc w:val="both"/>
        <w:rPr>
          <w:rFonts w:ascii="Bookman Old Style" w:hAnsi="Bookman Old Style"/>
          <w:szCs w:val="27"/>
        </w:rPr>
      </w:pPr>
    </w:p>
    <w:p w:rsidR="008951D1" w:rsidRDefault="00C33031" w:rsidP="00C33031">
      <w:pPr>
        <w:pStyle w:val="Default"/>
        <w:jc w:val="both"/>
        <w:rPr>
          <w:rFonts w:ascii="Bookman Old Style" w:hAnsi="Bookman Old Style"/>
        </w:rPr>
      </w:pPr>
      <w:r>
        <w:rPr>
          <w:rFonts w:ascii="Bookman Old Style" w:hAnsi="Bookman Old Style"/>
        </w:rPr>
        <w:t xml:space="preserve">El cargo </w:t>
      </w:r>
      <w:r w:rsidRPr="008564A1">
        <w:rPr>
          <w:rFonts w:ascii="Bookman Old Style" w:hAnsi="Bookman Old Style"/>
        </w:rPr>
        <w:t>estampilla</w:t>
      </w:r>
      <w:r>
        <w:rPr>
          <w:rFonts w:ascii="Bookman Old Style" w:hAnsi="Bookman Old Style"/>
        </w:rPr>
        <w:t xml:space="preserve"> previsto en la precitada metodología tuvo </w:t>
      </w:r>
      <w:r w:rsidR="008951D1">
        <w:rPr>
          <w:rFonts w:ascii="Bookman Old Style" w:hAnsi="Bookman Old Style"/>
        </w:rPr>
        <w:t>como finalidad</w:t>
      </w:r>
      <w:r w:rsidR="008951D1" w:rsidRPr="008951D1">
        <w:rPr>
          <w:rFonts w:ascii="Bookman Old Style" w:hAnsi="Bookman Old Style"/>
        </w:rPr>
        <w:t xml:space="preserve"> </w:t>
      </w:r>
      <w:r w:rsidR="008951D1" w:rsidRPr="008564A1">
        <w:rPr>
          <w:rFonts w:ascii="Bookman Old Style" w:hAnsi="Bookman Old Style"/>
        </w:rPr>
        <w:t>atender la necesidad de contar con infraestructura de transporte de GLP en todo el país</w:t>
      </w:r>
      <w:r w:rsidRPr="008564A1">
        <w:rPr>
          <w:rFonts w:ascii="Bookman Old Style" w:hAnsi="Bookman Old Style"/>
        </w:rPr>
        <w:t xml:space="preserve"> </w:t>
      </w:r>
      <w:r w:rsidR="008951D1">
        <w:rPr>
          <w:rFonts w:ascii="Bookman Old Style" w:hAnsi="Bookman Old Style"/>
        </w:rPr>
        <w:t xml:space="preserve"> y </w:t>
      </w:r>
      <w:r w:rsidRPr="008564A1">
        <w:rPr>
          <w:rFonts w:ascii="Bookman Old Style" w:hAnsi="Bookman Old Style"/>
        </w:rPr>
        <w:t>garantizar el suministro y transporte de</w:t>
      </w:r>
      <w:r w:rsidR="00A3475C">
        <w:rPr>
          <w:rFonts w:ascii="Bookman Old Style" w:hAnsi="Bookman Old Style"/>
        </w:rPr>
        <w:t xml:space="preserve"> GLP a la Isla. </w:t>
      </w:r>
      <w:r w:rsidR="006D7779">
        <w:rPr>
          <w:rFonts w:ascii="Bookman Old Style" w:hAnsi="Bookman Old Style"/>
        </w:rPr>
        <w:t>Esto tuvo en cuenta las condiciones del mercado del aquel momento y la variaciones de la misma en relación con el comportamiento de las demandas de acuerdo con lo que históricamente se venía presentando.</w:t>
      </w:r>
    </w:p>
    <w:p w:rsidR="00A3475C" w:rsidRDefault="00A3475C" w:rsidP="00C33031">
      <w:pPr>
        <w:pStyle w:val="Default"/>
        <w:jc w:val="both"/>
        <w:rPr>
          <w:rFonts w:ascii="Bookman Old Style" w:hAnsi="Bookman Old Style"/>
        </w:rPr>
      </w:pPr>
    </w:p>
    <w:p w:rsidR="008951D1" w:rsidRPr="008564A1" w:rsidRDefault="008951D1" w:rsidP="008951D1">
      <w:pPr>
        <w:pStyle w:val="Default"/>
        <w:jc w:val="both"/>
        <w:rPr>
          <w:rFonts w:ascii="Bookman Old Style" w:hAnsi="Bookman Old Style"/>
        </w:rPr>
      </w:pPr>
      <w:r>
        <w:rPr>
          <w:rFonts w:ascii="Bookman Old Style" w:hAnsi="Bookman Old Style"/>
        </w:rPr>
        <w:t xml:space="preserve">En su cálculo se </w:t>
      </w:r>
      <w:r w:rsidRPr="008564A1">
        <w:rPr>
          <w:rFonts w:ascii="Bookman Old Style" w:hAnsi="Bookman Old Style"/>
        </w:rPr>
        <w:t xml:space="preserve">tuvo en consideración que la mayoría de la demanda del país se abastecía de la fuente de Barrancabermeja, la cual representaba en el año 2010 el 79% de la producción total, dicha demanda es transportada por ductos. En la medida en que exista mayor demanda en los ductos la estampilla tenderá a bajar. </w:t>
      </w:r>
    </w:p>
    <w:p w:rsidR="00C33031" w:rsidRPr="00E179B7" w:rsidRDefault="00C33031" w:rsidP="00A3475C">
      <w:pPr>
        <w:pStyle w:val="Textoindependiente2"/>
        <w:spacing w:after="0" w:line="240" w:lineRule="auto"/>
        <w:ind w:left="0" w:right="-142"/>
        <w:jc w:val="both"/>
        <w:rPr>
          <w:rFonts w:ascii="Bookman Old Style" w:hAnsi="Bookman Old Style"/>
          <w:szCs w:val="27"/>
          <w:lang w:val="es-CO"/>
        </w:rPr>
      </w:pPr>
    </w:p>
    <w:p w:rsidR="00A667C4" w:rsidRPr="00A3475C" w:rsidRDefault="00A667C4" w:rsidP="00575755">
      <w:pPr>
        <w:pStyle w:val="Textoindependiente2"/>
        <w:spacing w:after="0" w:line="240" w:lineRule="auto"/>
        <w:ind w:left="0" w:right="-142"/>
        <w:jc w:val="both"/>
        <w:rPr>
          <w:rFonts w:ascii="Bookman Old Style" w:hAnsi="Bookman Old Style"/>
          <w:szCs w:val="27"/>
        </w:rPr>
      </w:pPr>
      <w:r w:rsidRPr="00E179B7">
        <w:rPr>
          <w:rFonts w:ascii="Bookman Old Style" w:hAnsi="Bookman Old Style"/>
          <w:szCs w:val="27"/>
        </w:rPr>
        <w:t>Por medio</w:t>
      </w:r>
      <w:r w:rsidRPr="00A3475C">
        <w:rPr>
          <w:rFonts w:ascii="Bookman Old Style" w:hAnsi="Bookman Old Style"/>
          <w:szCs w:val="27"/>
        </w:rPr>
        <w:t xml:space="preserve"> de la Resolución CREG 004 de 2010 se aprobó la fórmula tarifaria general que permite a los distribuidores y a los comercializadores minoristas establecer los costos de prestación del servicio de GLP a los usuarios regulados, en el Archipiélago de San Andrés, Providencia y Santa Catalina. </w:t>
      </w:r>
    </w:p>
    <w:p w:rsidR="00A667C4" w:rsidRPr="00A3475C" w:rsidRDefault="00A667C4" w:rsidP="00575755">
      <w:pPr>
        <w:pStyle w:val="Textoindependiente2"/>
        <w:spacing w:after="0" w:line="240" w:lineRule="auto"/>
        <w:ind w:left="0" w:right="-142"/>
        <w:jc w:val="both"/>
        <w:rPr>
          <w:rFonts w:ascii="Bookman Old Style" w:hAnsi="Bookman Old Style"/>
          <w:szCs w:val="27"/>
        </w:rPr>
      </w:pPr>
    </w:p>
    <w:p w:rsidR="00ED23FB" w:rsidRDefault="00A667C4" w:rsidP="00ED23FB">
      <w:pPr>
        <w:pStyle w:val="Textoindependiente2"/>
        <w:spacing w:after="0" w:line="240" w:lineRule="auto"/>
        <w:ind w:left="0" w:right="-142"/>
        <w:jc w:val="both"/>
        <w:rPr>
          <w:rFonts w:ascii="Bookman Old Style" w:hAnsi="Bookman Old Style"/>
          <w:szCs w:val="27"/>
        </w:rPr>
      </w:pPr>
      <w:r w:rsidRPr="00A3475C">
        <w:rPr>
          <w:rFonts w:ascii="Bookman Old Style" w:hAnsi="Bookman Old Style"/>
          <w:szCs w:val="27"/>
        </w:rPr>
        <w:t>A través de la Resolución CREG 049 de 2011</w:t>
      </w:r>
      <w:r w:rsidRPr="00A3475C">
        <w:rPr>
          <w:rFonts w:ascii="Bookman Old Style" w:hAnsi="Bookman Old Style"/>
          <w:szCs w:val="27"/>
          <w:vertAlign w:val="superscript"/>
        </w:rPr>
        <w:t xml:space="preserve"> </w:t>
      </w:r>
      <w:r w:rsidRPr="00A3475C">
        <w:rPr>
          <w:rFonts w:ascii="Bookman Old Style" w:hAnsi="Bookman Old Style"/>
          <w:szCs w:val="27"/>
        </w:rPr>
        <w:t>se aprobó el cargo de remuneración de la actividad de transporte de gas licuado de Petróleo (GLP) al Archipiélago de San Andrés, Providencia y Santa Catalina de acuerdo con la solicitud tarifaria realizada por la empresa PROVIGAS S.A. E.S.P., en adelante PROVIGAS.</w:t>
      </w:r>
      <w:r w:rsidR="006D7779">
        <w:rPr>
          <w:rFonts w:ascii="Bookman Old Style" w:hAnsi="Bookman Old Style"/>
          <w:szCs w:val="27"/>
        </w:rPr>
        <w:t xml:space="preserve"> </w:t>
      </w:r>
    </w:p>
    <w:p w:rsidR="00ED23FB" w:rsidRDefault="00ED23FB" w:rsidP="00ED23FB">
      <w:pPr>
        <w:pStyle w:val="Textoindependiente2"/>
        <w:spacing w:after="0" w:line="240" w:lineRule="auto"/>
        <w:ind w:left="0" w:right="-142"/>
        <w:jc w:val="both"/>
        <w:rPr>
          <w:rFonts w:ascii="Bookman Old Style" w:hAnsi="Bookman Old Style"/>
          <w:szCs w:val="27"/>
        </w:rPr>
      </w:pPr>
    </w:p>
    <w:p w:rsidR="00BE57AD" w:rsidRPr="00ED23FB" w:rsidRDefault="00ED23FB" w:rsidP="00ED23FB">
      <w:pPr>
        <w:pStyle w:val="Textoindependiente2"/>
        <w:spacing w:after="0" w:line="240" w:lineRule="auto"/>
        <w:ind w:left="0" w:right="-142"/>
        <w:jc w:val="both"/>
        <w:rPr>
          <w:rFonts w:ascii="Bookman Old Style" w:hAnsi="Bookman Old Style"/>
          <w:szCs w:val="27"/>
        </w:rPr>
      </w:pPr>
      <w:r>
        <w:rPr>
          <w:rFonts w:ascii="Bookman Old Style" w:hAnsi="Bookman Old Style"/>
          <w:szCs w:val="27"/>
        </w:rPr>
        <w:t xml:space="preserve">Mediante el artículo 13 de la Resolución CREG 050 de 2009, se estableció que  </w:t>
      </w:r>
      <w:r w:rsidR="00BE57AD">
        <w:rPr>
          <w:rFonts w:ascii="Bookman Old Style" w:hAnsi="Bookman Old Style" w:cs="Arial"/>
        </w:rPr>
        <w:t xml:space="preserve">cualquier empresa interesada podrá solicitar a la CREG la definición de cargos de transporte, y en caso en que la CREG reciba más de una solicitud se establece una calificación de criterios de acuerdo con lo establecido en el literal d) del mencionado artículo. </w:t>
      </w:r>
    </w:p>
    <w:p w:rsidR="00ED23FB" w:rsidRDefault="00ED23FB" w:rsidP="00ED23FB">
      <w:pPr>
        <w:ind w:left="0"/>
        <w:jc w:val="both"/>
        <w:rPr>
          <w:rFonts w:ascii="Bookman Old Style" w:hAnsi="Bookman Old Style" w:cs="Arial"/>
        </w:rPr>
      </w:pPr>
    </w:p>
    <w:p w:rsidR="00BE57AD" w:rsidRDefault="00BE57AD" w:rsidP="00ED23FB">
      <w:pPr>
        <w:ind w:left="0"/>
        <w:jc w:val="both"/>
        <w:rPr>
          <w:rFonts w:ascii="Bookman Old Style" w:hAnsi="Bookman Old Style" w:cs="Arial"/>
        </w:rPr>
      </w:pPr>
      <w:r w:rsidRPr="0057404A">
        <w:rPr>
          <w:rFonts w:ascii="Bookman Old Style" w:hAnsi="Bookman Old Style" w:cs="Arial"/>
        </w:rPr>
        <w:t>PROVIGAS S.A. E.S.P. mediante comunicación con radicado CREG E-2009-007723 del 20 de agosto de 2009, presentó a la Comisión una solicitud tarifaria para llevar a cabo el transporte de GLP a San Andrés se</w:t>
      </w:r>
      <w:r>
        <w:rPr>
          <w:rFonts w:ascii="Bookman Old Style" w:hAnsi="Bookman Old Style" w:cs="Arial"/>
        </w:rPr>
        <w:t>gún resolución CREG 050 de 2009, siendo la única empresa que presentó la solicitud de cargos.</w:t>
      </w:r>
    </w:p>
    <w:p w:rsidR="00BE57AD" w:rsidRDefault="00BE57AD" w:rsidP="00575755">
      <w:pPr>
        <w:pStyle w:val="Textoindependiente2"/>
        <w:spacing w:after="0" w:line="240" w:lineRule="auto"/>
        <w:ind w:left="0" w:right="-142"/>
        <w:jc w:val="both"/>
        <w:rPr>
          <w:rFonts w:ascii="Bookman Old Style" w:hAnsi="Bookman Old Style"/>
          <w:szCs w:val="27"/>
        </w:rPr>
      </w:pPr>
    </w:p>
    <w:p w:rsidR="00A3475C" w:rsidRDefault="00FB4442" w:rsidP="00575755">
      <w:pPr>
        <w:pStyle w:val="Textoindependiente2"/>
        <w:spacing w:after="0" w:line="240" w:lineRule="auto"/>
        <w:ind w:left="0" w:right="-142"/>
        <w:jc w:val="both"/>
        <w:rPr>
          <w:rFonts w:ascii="Bookman Old Style" w:hAnsi="Bookman Old Style"/>
          <w:szCs w:val="27"/>
        </w:rPr>
      </w:pPr>
      <w:r>
        <w:rPr>
          <w:rFonts w:ascii="Bookman Old Style" w:hAnsi="Bookman Old Style"/>
          <w:szCs w:val="27"/>
        </w:rPr>
        <w:t xml:space="preserve">Mediante la Resolución CREG 176 de 2011, se dio trámite a una solicitud de revisión tarifaria </w:t>
      </w:r>
      <w:r w:rsidR="00C33031">
        <w:rPr>
          <w:rFonts w:ascii="Bookman Old Style" w:hAnsi="Bookman Old Style"/>
          <w:szCs w:val="27"/>
        </w:rPr>
        <w:t xml:space="preserve">presentada por </w:t>
      </w:r>
      <w:r>
        <w:rPr>
          <w:rFonts w:ascii="Bookman Old Style" w:hAnsi="Bookman Old Style"/>
          <w:szCs w:val="27"/>
        </w:rPr>
        <w:t>la empresa</w:t>
      </w:r>
      <w:r w:rsidR="00162AE1">
        <w:rPr>
          <w:rFonts w:ascii="Bookman Old Style" w:hAnsi="Bookman Old Style"/>
          <w:szCs w:val="27"/>
        </w:rPr>
        <w:t xml:space="preserve"> Provigas,</w:t>
      </w:r>
      <w:r w:rsidR="00DC7DE2">
        <w:rPr>
          <w:rFonts w:ascii="Bookman Old Style" w:hAnsi="Bookman Old Style"/>
          <w:szCs w:val="27"/>
        </w:rPr>
        <w:t xml:space="preserve"> </w:t>
      </w:r>
      <w:r w:rsidR="00162AE1">
        <w:rPr>
          <w:rFonts w:ascii="Bookman Old Style" w:hAnsi="Bookman Old Style"/>
          <w:szCs w:val="27"/>
        </w:rPr>
        <w:t>modificándose los</w:t>
      </w:r>
      <w:r>
        <w:rPr>
          <w:rFonts w:ascii="Bookman Old Style" w:hAnsi="Bookman Old Style"/>
          <w:szCs w:val="27"/>
        </w:rPr>
        <w:t xml:space="preserve"> </w:t>
      </w:r>
      <w:r>
        <w:rPr>
          <w:rFonts w:ascii="Bookman Old Style" w:hAnsi="Bookman Old Style"/>
          <w:szCs w:val="27"/>
        </w:rPr>
        <w:lastRenderedPageBreak/>
        <w:t>artículo</w:t>
      </w:r>
      <w:r w:rsidR="00162AE1">
        <w:rPr>
          <w:rFonts w:ascii="Bookman Old Style" w:hAnsi="Bookman Old Style"/>
          <w:szCs w:val="27"/>
        </w:rPr>
        <w:t>s</w:t>
      </w:r>
      <w:r>
        <w:rPr>
          <w:rFonts w:ascii="Bookman Old Style" w:hAnsi="Bookman Old Style"/>
          <w:szCs w:val="27"/>
        </w:rPr>
        <w:t xml:space="preserve"> 10</w:t>
      </w:r>
      <w:r w:rsidR="00162AE1">
        <w:rPr>
          <w:rFonts w:ascii="Bookman Old Style" w:hAnsi="Bookman Old Style"/>
          <w:szCs w:val="27"/>
        </w:rPr>
        <w:t xml:space="preserve"> y  11 </w:t>
      </w:r>
      <w:r>
        <w:rPr>
          <w:rFonts w:ascii="Bookman Old Style" w:hAnsi="Bookman Old Style"/>
          <w:szCs w:val="27"/>
        </w:rPr>
        <w:t xml:space="preserve"> de la Resolución CREG 050 de 2009</w:t>
      </w:r>
      <w:r w:rsidRPr="00A3475C">
        <w:rPr>
          <w:rFonts w:ascii="Bookman Old Style" w:hAnsi="Bookman Old Style"/>
          <w:szCs w:val="27"/>
        </w:rPr>
        <w:t xml:space="preserve">. </w:t>
      </w:r>
      <w:r w:rsidR="00E179B7">
        <w:rPr>
          <w:rFonts w:ascii="Bookman Old Style" w:hAnsi="Bookman Old Style"/>
          <w:szCs w:val="27"/>
        </w:rPr>
        <w:t>En aquella solicitud, radicados CREG</w:t>
      </w:r>
      <w:r w:rsidR="00E179B7" w:rsidRPr="00E179B7">
        <w:rPr>
          <w:rFonts w:ascii="Bookman Old Style" w:hAnsi="Bookman Old Style"/>
          <w:color w:val="666666"/>
          <w:sz w:val="27"/>
          <w:szCs w:val="27"/>
          <w:shd w:val="clear" w:color="auto" w:fill="FFFFFF"/>
          <w:lang w:val="es-CO" w:eastAsia="es-CO"/>
        </w:rPr>
        <w:t xml:space="preserve"> E-2011-006309 y E-2011-006335</w:t>
      </w:r>
      <w:r w:rsidR="006D7779">
        <w:rPr>
          <w:rFonts w:ascii="Bookman Old Style" w:hAnsi="Bookman Old Style"/>
          <w:szCs w:val="27"/>
        </w:rPr>
        <w:t xml:space="preserve"> la e</w:t>
      </w:r>
      <w:r w:rsidR="00E179B7">
        <w:rPr>
          <w:rFonts w:ascii="Bookman Old Style" w:hAnsi="Bookman Old Style"/>
          <w:szCs w:val="27"/>
        </w:rPr>
        <w:t>m</w:t>
      </w:r>
      <w:r w:rsidR="006D7779">
        <w:rPr>
          <w:rFonts w:ascii="Bookman Old Style" w:hAnsi="Bookman Old Style"/>
          <w:szCs w:val="27"/>
        </w:rPr>
        <w:t>presa manifestó lo siguiente:</w:t>
      </w:r>
    </w:p>
    <w:p w:rsidR="00E179B7" w:rsidRPr="00E179B7" w:rsidRDefault="00E179B7" w:rsidP="00E179B7">
      <w:pPr>
        <w:ind w:left="0"/>
        <w:rPr>
          <w:lang w:val="es-CO" w:eastAsia="es-CO"/>
        </w:rPr>
      </w:pPr>
    </w:p>
    <w:p w:rsidR="00E179B7" w:rsidRPr="00E179B7" w:rsidRDefault="00E179B7" w:rsidP="00E179B7">
      <w:pPr>
        <w:shd w:val="clear" w:color="auto" w:fill="FFFFFF"/>
        <w:ind w:left="720"/>
        <w:jc w:val="both"/>
        <w:rPr>
          <w:rFonts w:ascii="Arial" w:hAnsi="Arial" w:cs="Arial"/>
          <w:color w:val="666666"/>
          <w:sz w:val="20"/>
          <w:szCs w:val="20"/>
          <w:lang w:val="es-CO" w:eastAsia="es-CO"/>
        </w:rPr>
      </w:pPr>
      <w:r w:rsidRPr="00E179B7">
        <w:rPr>
          <w:rFonts w:ascii="Bookman Old Style" w:hAnsi="Bookman Old Style" w:cs="Arial"/>
          <w:color w:val="666666"/>
          <w:sz w:val="27"/>
          <w:szCs w:val="27"/>
          <w:lang w:val="es-CO" w:eastAsia="es-CO"/>
        </w:rPr>
        <w:t>“(…)</w:t>
      </w:r>
    </w:p>
    <w:p w:rsidR="00E179B7" w:rsidRDefault="00E179B7" w:rsidP="00E179B7">
      <w:pPr>
        <w:shd w:val="clear" w:color="auto" w:fill="FFFFFF"/>
        <w:ind w:left="720"/>
        <w:jc w:val="both"/>
        <w:rPr>
          <w:rFonts w:ascii="Bookman Old Style" w:hAnsi="Bookman Old Style" w:cs="Arial"/>
          <w:color w:val="666666"/>
          <w:sz w:val="27"/>
          <w:szCs w:val="27"/>
          <w:lang w:val="es-CO" w:eastAsia="es-CO"/>
        </w:rPr>
      </w:pPr>
      <w:r w:rsidRPr="00E179B7">
        <w:rPr>
          <w:rFonts w:ascii="Bookman Old Style" w:hAnsi="Bookman Old Style" w:cs="Arial"/>
          <w:i/>
          <w:iCs/>
          <w:color w:val="666666"/>
          <w:sz w:val="20"/>
          <w:szCs w:val="20"/>
          <w:lang w:val="es-CO" w:eastAsia="es-CO"/>
        </w:rPr>
        <w:t>La Empresa PROVIGAS S.A. E.S.P., inscrita actualmente como transportadora distribuidora y comercializadora de GLP, solicita a esta Comisión, se haga una revisión cuidadosa, mediante la cual se establezcan parámetros para corregir condiciones afectaría (sic) de manera grave el continuo desarrollo de la actividad de transporte que permita respaldar y suplir eficientemente la demanda del Archipiélago.</w:t>
      </w:r>
      <w:r w:rsidRPr="00E179B7">
        <w:rPr>
          <w:rFonts w:ascii="Arial" w:hAnsi="Arial" w:cs="Arial"/>
          <w:color w:val="666666"/>
          <w:sz w:val="20"/>
          <w:szCs w:val="20"/>
          <w:lang w:val="es-CO" w:eastAsia="es-CO"/>
        </w:rPr>
        <w:br/>
      </w:r>
      <w:r w:rsidRPr="00E179B7">
        <w:rPr>
          <w:rFonts w:ascii="Arial" w:hAnsi="Arial" w:cs="Arial"/>
          <w:color w:val="666666"/>
          <w:sz w:val="20"/>
          <w:szCs w:val="20"/>
          <w:lang w:val="es-CO" w:eastAsia="es-CO"/>
        </w:rPr>
        <w:br/>
      </w:r>
      <w:r w:rsidRPr="00E179B7">
        <w:rPr>
          <w:rFonts w:ascii="Bookman Old Style" w:hAnsi="Bookman Old Style" w:cs="Arial"/>
          <w:i/>
          <w:iCs/>
          <w:color w:val="666666"/>
          <w:sz w:val="20"/>
          <w:szCs w:val="20"/>
          <w:lang w:val="es-CO" w:eastAsia="es-CO"/>
        </w:rPr>
        <w:t>Adicionalmente se tenga en cuenta, la retroactividad en la actualización de precios del 2008.</w:t>
      </w:r>
      <w:r w:rsidRPr="00E179B7">
        <w:rPr>
          <w:rFonts w:ascii="Arial" w:hAnsi="Arial" w:cs="Arial"/>
          <w:color w:val="666666"/>
          <w:sz w:val="20"/>
          <w:szCs w:val="20"/>
          <w:lang w:val="es-CO" w:eastAsia="es-CO"/>
        </w:rPr>
        <w:br/>
      </w:r>
      <w:r w:rsidRPr="00E179B7">
        <w:rPr>
          <w:rFonts w:ascii="Arial" w:hAnsi="Arial" w:cs="Arial"/>
          <w:color w:val="666666"/>
          <w:sz w:val="20"/>
          <w:szCs w:val="20"/>
          <w:lang w:val="es-CO" w:eastAsia="es-CO"/>
        </w:rPr>
        <w:br/>
      </w:r>
      <w:r w:rsidRPr="00E179B7">
        <w:rPr>
          <w:rFonts w:ascii="Bookman Old Style" w:hAnsi="Bookman Old Style" w:cs="Arial"/>
          <w:color w:val="666666"/>
          <w:sz w:val="27"/>
          <w:szCs w:val="27"/>
          <w:lang w:val="es-CO" w:eastAsia="es-CO"/>
        </w:rPr>
        <w:t>(…)”</w:t>
      </w:r>
      <w:r w:rsidRPr="00E179B7">
        <w:rPr>
          <w:rFonts w:ascii="Arial" w:hAnsi="Arial" w:cs="Arial"/>
          <w:color w:val="666666"/>
          <w:sz w:val="20"/>
          <w:szCs w:val="20"/>
          <w:lang w:val="es-CO" w:eastAsia="es-CO"/>
        </w:rPr>
        <w:br/>
      </w:r>
      <w:r w:rsidRPr="00E179B7">
        <w:rPr>
          <w:rFonts w:ascii="Arial" w:hAnsi="Arial" w:cs="Arial"/>
          <w:color w:val="666666"/>
          <w:sz w:val="20"/>
          <w:szCs w:val="20"/>
          <w:lang w:val="es-CO" w:eastAsia="es-CO"/>
        </w:rPr>
        <w:br/>
      </w:r>
      <w:r w:rsidRPr="00E179B7">
        <w:rPr>
          <w:rFonts w:ascii="Bookman Old Style" w:hAnsi="Bookman Old Style" w:cs="Arial"/>
          <w:color w:val="666666"/>
          <w:sz w:val="27"/>
          <w:szCs w:val="27"/>
          <w:lang w:val="es-CO" w:eastAsia="es-CO"/>
        </w:rPr>
        <w:t xml:space="preserve">Los argumentos expuestos por la </w:t>
      </w:r>
      <w:r>
        <w:rPr>
          <w:rFonts w:ascii="Bookman Old Style" w:hAnsi="Bookman Old Style" w:cs="Arial"/>
          <w:color w:val="666666"/>
          <w:sz w:val="27"/>
          <w:szCs w:val="27"/>
          <w:lang w:val="es-CO" w:eastAsia="es-CO"/>
        </w:rPr>
        <w:t>e</w:t>
      </w:r>
      <w:r w:rsidRPr="00E179B7">
        <w:rPr>
          <w:rFonts w:ascii="Bookman Old Style" w:hAnsi="Bookman Old Style" w:cs="Arial"/>
          <w:color w:val="666666"/>
          <w:sz w:val="27"/>
          <w:szCs w:val="27"/>
          <w:lang w:val="es-CO" w:eastAsia="es-CO"/>
        </w:rPr>
        <w:t>mpresa en relación con esta solicitud se refieren a lo siguiente:</w:t>
      </w:r>
    </w:p>
    <w:p w:rsidR="00E179B7" w:rsidRPr="00E179B7" w:rsidRDefault="00E179B7" w:rsidP="00E179B7">
      <w:pPr>
        <w:shd w:val="clear" w:color="auto" w:fill="FFFFFF"/>
        <w:ind w:left="720"/>
        <w:jc w:val="both"/>
        <w:rPr>
          <w:rFonts w:ascii="Arial" w:hAnsi="Arial" w:cs="Arial"/>
          <w:color w:val="666666"/>
          <w:sz w:val="20"/>
          <w:szCs w:val="20"/>
          <w:lang w:val="es-CO" w:eastAsia="es-CO"/>
        </w:rPr>
      </w:pPr>
      <w:r w:rsidRPr="00E179B7">
        <w:rPr>
          <w:rFonts w:ascii="Arial" w:hAnsi="Arial" w:cs="Arial"/>
          <w:color w:val="666666"/>
          <w:sz w:val="20"/>
          <w:szCs w:val="20"/>
          <w:lang w:val="es-CO" w:eastAsia="es-CO"/>
        </w:rPr>
        <w:br/>
      </w:r>
      <w:r w:rsidRPr="00E179B7">
        <w:rPr>
          <w:rFonts w:ascii="Arial" w:hAnsi="Arial" w:cs="Arial"/>
          <w:color w:val="666666"/>
          <w:sz w:val="20"/>
          <w:szCs w:val="20"/>
          <w:lang w:val="es-CO" w:eastAsia="es-CO"/>
        </w:rPr>
        <w:br/>
      </w:r>
      <w:r w:rsidRPr="00E179B7">
        <w:rPr>
          <w:rFonts w:ascii="Bookman Old Style" w:hAnsi="Bookman Old Style" w:cs="Arial"/>
          <w:i/>
          <w:iCs/>
          <w:color w:val="666666"/>
          <w:sz w:val="20"/>
          <w:szCs w:val="20"/>
          <w:lang w:val="es-CO" w:eastAsia="es-CO"/>
        </w:rPr>
        <w:t>“La metodología establecida en la Resolución CREG 050 de 2009, no permite que la empresa transportadora vaya ajustando la demanda del año base de la demanda real que se transportaría mes a mes a el archipiélago, colocando a la empresa en una desventaja absoluta ya que los costos de AOM, son costos variables y depende completamente de la cantidad de Iso-contenedores que se manipulen y por ende depende de la cantidad de galones o kilos de gas licuado del petróleo (GLP) que se transporte a las islas. Con esta situación se estaría omitiendo la metodología mundial de la aplicación de tarifas en el transporte, las cuales se basan en la cantidad de peso o de volumen al que se le preste el servicio, así sea esta una causal suficiente para que ninguna empresa se interese a llevar a cabo el desarrollo de dicha actividad.</w:t>
      </w:r>
      <w:r w:rsidRPr="00E179B7">
        <w:rPr>
          <w:rFonts w:ascii="Arial" w:hAnsi="Arial" w:cs="Arial"/>
          <w:color w:val="666666"/>
          <w:sz w:val="20"/>
          <w:szCs w:val="20"/>
          <w:lang w:val="es-CO" w:eastAsia="es-CO"/>
        </w:rPr>
        <w:br/>
      </w:r>
      <w:r w:rsidRPr="00E179B7">
        <w:rPr>
          <w:rFonts w:ascii="Arial" w:hAnsi="Arial" w:cs="Arial"/>
          <w:color w:val="666666"/>
          <w:sz w:val="20"/>
          <w:szCs w:val="20"/>
          <w:lang w:val="es-CO" w:eastAsia="es-CO"/>
        </w:rPr>
        <w:br/>
      </w:r>
      <w:r w:rsidRPr="00E179B7">
        <w:rPr>
          <w:rFonts w:ascii="Bookman Old Style" w:hAnsi="Bookman Old Style" w:cs="Arial"/>
          <w:i/>
          <w:iCs/>
          <w:color w:val="666666"/>
          <w:sz w:val="20"/>
          <w:szCs w:val="20"/>
          <w:lang w:val="es-CO" w:eastAsia="es-CO"/>
        </w:rPr>
        <w:t>De esta manera, con el transcurrir de los últimos años pasados y de los que vienen nuestra empresa estima que la demanda en las islas va a continuar creciendo, ya que se han desarrollado conjuntamente otros proyectos tales como instalación de tanques estacionarios a los usuarios, reactivación de la construcción en las islas, el desarrollo del turismo, gracias a la confiabilidad del servicio en los últimos años, las empresas y el sector hotelero han incrementado su cantidad de gasodomésticos, entre otros los que con la actual metodología reflejaría que la empresa transportará una mayor cantidad de GLP al Archipiélago siempre al mismo costo, que si soló transportara 100.000 galones mensuales, estimación que se hizo con base en la demanda del año 2008, ya que la Resolución CREG 050 de 2009, no especifica como se actualizará la demanda transportada a las islas, de manera que se puedan recuperar los gastos AOM y la empresa pueda continuar invirtiendo en mejorar día a día en el desarrollo de esta actividad.”</w:t>
      </w:r>
    </w:p>
    <w:p w:rsidR="006D7779" w:rsidRPr="00E179B7" w:rsidRDefault="006D7779" w:rsidP="00575755">
      <w:pPr>
        <w:pStyle w:val="Textoindependiente2"/>
        <w:spacing w:after="0" w:line="240" w:lineRule="auto"/>
        <w:ind w:left="0" w:right="-142"/>
        <w:jc w:val="both"/>
        <w:rPr>
          <w:rFonts w:ascii="Bookman Old Style" w:hAnsi="Bookman Old Style"/>
          <w:szCs w:val="27"/>
          <w:lang w:val="es-CO"/>
        </w:rPr>
      </w:pPr>
    </w:p>
    <w:p w:rsidR="006D7779" w:rsidRPr="00ED23FB" w:rsidRDefault="006D7779" w:rsidP="00575755">
      <w:pPr>
        <w:pStyle w:val="Textoindependiente2"/>
        <w:spacing w:after="0" w:line="240" w:lineRule="auto"/>
        <w:ind w:left="0" w:right="-142"/>
        <w:jc w:val="both"/>
        <w:rPr>
          <w:rFonts w:ascii="Bookman Old Style" w:hAnsi="Bookman Old Style"/>
          <w:szCs w:val="27"/>
        </w:rPr>
      </w:pPr>
      <w:r w:rsidRPr="00ED23FB">
        <w:rPr>
          <w:rFonts w:ascii="Bookman Old Style" w:hAnsi="Bookman Old Style"/>
          <w:szCs w:val="27"/>
        </w:rPr>
        <w:t>En relación con esto, la Comisión analizó que era lo que</w:t>
      </w:r>
      <w:r w:rsidR="00E179B7" w:rsidRPr="00ED23FB">
        <w:rPr>
          <w:rFonts w:ascii="Bookman Old Style" w:hAnsi="Bookman Old Style"/>
          <w:szCs w:val="27"/>
        </w:rPr>
        <w:t xml:space="preserve"> se</w:t>
      </w:r>
      <w:r w:rsidRPr="00ED23FB">
        <w:rPr>
          <w:rFonts w:ascii="Bookman Old Style" w:hAnsi="Bookman Old Style"/>
          <w:szCs w:val="27"/>
        </w:rPr>
        <w:t xml:space="preserve"> </w:t>
      </w:r>
      <w:r w:rsidR="00E179B7" w:rsidRPr="00ED23FB">
        <w:rPr>
          <w:rFonts w:ascii="Bookman Old Style" w:hAnsi="Bookman Old Style"/>
          <w:szCs w:val="27"/>
        </w:rPr>
        <w:t>venía</w:t>
      </w:r>
      <w:r w:rsidRPr="00ED23FB">
        <w:rPr>
          <w:rFonts w:ascii="Bookman Old Style" w:hAnsi="Bookman Old Style"/>
          <w:szCs w:val="27"/>
        </w:rPr>
        <w:t xml:space="preserve"> presentando </w:t>
      </w:r>
      <w:r w:rsidR="00E179B7" w:rsidRPr="00ED23FB">
        <w:rPr>
          <w:rFonts w:ascii="Bookman Old Style" w:hAnsi="Bookman Old Style"/>
          <w:szCs w:val="27"/>
        </w:rPr>
        <w:t xml:space="preserve">e </w:t>
      </w:r>
      <w:r w:rsidRPr="00ED23FB">
        <w:rPr>
          <w:rFonts w:ascii="Bookman Old Style" w:hAnsi="Bookman Old Style"/>
          <w:szCs w:val="27"/>
        </w:rPr>
        <w:t>identif</w:t>
      </w:r>
      <w:r w:rsidR="00E179B7" w:rsidRPr="00ED23FB">
        <w:rPr>
          <w:rFonts w:ascii="Bookman Old Style" w:hAnsi="Bookman Old Style"/>
          <w:szCs w:val="27"/>
        </w:rPr>
        <w:t xml:space="preserve">icó cual fue el problema, el cual </w:t>
      </w:r>
      <w:r w:rsidRPr="00ED23FB">
        <w:rPr>
          <w:rFonts w:ascii="Bookman Old Style" w:hAnsi="Bookman Old Style"/>
          <w:szCs w:val="27"/>
        </w:rPr>
        <w:t xml:space="preserve">no </w:t>
      </w:r>
      <w:r w:rsidR="00E179B7" w:rsidRPr="00ED23FB">
        <w:rPr>
          <w:rFonts w:ascii="Bookman Old Style" w:hAnsi="Bookman Old Style"/>
          <w:szCs w:val="27"/>
        </w:rPr>
        <w:t>tenía</w:t>
      </w:r>
      <w:r w:rsidRPr="00ED23FB">
        <w:rPr>
          <w:rFonts w:ascii="Bookman Old Style" w:hAnsi="Bookman Old Style"/>
          <w:szCs w:val="27"/>
        </w:rPr>
        <w:t xml:space="preserve"> relación con la remuneración de la actividad, sin</w:t>
      </w:r>
      <w:r w:rsidR="00E179B7" w:rsidRPr="00ED23FB">
        <w:rPr>
          <w:rFonts w:ascii="Bookman Old Style" w:hAnsi="Bookman Old Style"/>
          <w:szCs w:val="27"/>
        </w:rPr>
        <w:t xml:space="preserve">o con la forma en que </w:t>
      </w:r>
      <w:r w:rsidR="00ED23FB">
        <w:rPr>
          <w:rFonts w:ascii="Bookman Old Style" w:hAnsi="Bookman Old Style"/>
          <w:szCs w:val="27"/>
        </w:rPr>
        <w:t xml:space="preserve">se estableció el cálculo del cargo estampilla. </w:t>
      </w:r>
    </w:p>
    <w:p w:rsidR="006D7779" w:rsidRDefault="006D7779" w:rsidP="00575755">
      <w:pPr>
        <w:pStyle w:val="Textoindependiente2"/>
        <w:spacing w:after="0" w:line="240" w:lineRule="auto"/>
        <w:ind w:left="0" w:right="-142"/>
        <w:jc w:val="both"/>
        <w:rPr>
          <w:rFonts w:ascii="Bookman Old Style" w:hAnsi="Bookman Old Style"/>
          <w:szCs w:val="27"/>
          <w:highlight w:val="green"/>
        </w:rPr>
      </w:pPr>
    </w:p>
    <w:p w:rsidR="00B205AB" w:rsidRPr="006319DF" w:rsidRDefault="00E179B7" w:rsidP="00575755">
      <w:pPr>
        <w:pStyle w:val="Textoindependiente2"/>
        <w:spacing w:after="0" w:line="240" w:lineRule="auto"/>
        <w:ind w:left="0" w:right="-142"/>
        <w:jc w:val="both"/>
        <w:rPr>
          <w:rFonts w:ascii="Bookman Old Style" w:hAnsi="Bookman Old Style"/>
          <w:szCs w:val="27"/>
        </w:rPr>
      </w:pPr>
      <w:r w:rsidRPr="006319DF">
        <w:rPr>
          <w:rFonts w:ascii="Bookman Old Style" w:hAnsi="Bookman Old Style"/>
          <w:szCs w:val="27"/>
        </w:rPr>
        <w:t xml:space="preserve">Dada esa situación, </w:t>
      </w:r>
      <w:r w:rsidR="006D7779" w:rsidRPr="006319DF">
        <w:rPr>
          <w:rFonts w:ascii="Bookman Old Style" w:hAnsi="Bookman Old Style"/>
          <w:szCs w:val="27"/>
        </w:rPr>
        <w:t xml:space="preserve">se </w:t>
      </w:r>
      <w:r w:rsidRPr="006319DF">
        <w:rPr>
          <w:rFonts w:ascii="Bookman Old Style" w:hAnsi="Bookman Old Style"/>
          <w:szCs w:val="27"/>
        </w:rPr>
        <w:t>optó</w:t>
      </w:r>
      <w:r w:rsidR="006D7779" w:rsidRPr="006319DF">
        <w:rPr>
          <w:rFonts w:ascii="Bookman Old Style" w:hAnsi="Bookman Old Style"/>
          <w:szCs w:val="27"/>
        </w:rPr>
        <w:t xml:space="preserve"> por modificar la fórmula  </w:t>
      </w:r>
      <w:r w:rsidRPr="006319DF">
        <w:rPr>
          <w:rFonts w:ascii="Bookman Old Style" w:hAnsi="Bookman Old Style"/>
          <w:szCs w:val="27"/>
        </w:rPr>
        <w:t>d</w:t>
      </w:r>
      <w:r w:rsidR="006D7779" w:rsidRPr="006319DF">
        <w:rPr>
          <w:rFonts w:ascii="Bookman Old Style" w:hAnsi="Bookman Old Style"/>
          <w:szCs w:val="27"/>
        </w:rPr>
        <w:t>el cargo</w:t>
      </w:r>
      <w:r w:rsidRPr="006319DF">
        <w:rPr>
          <w:rFonts w:ascii="Bookman Old Style" w:hAnsi="Bookman Old Style"/>
          <w:szCs w:val="27"/>
        </w:rPr>
        <w:t xml:space="preserve"> estampilla</w:t>
      </w:r>
      <w:r w:rsidR="006D7779" w:rsidRPr="006319DF">
        <w:rPr>
          <w:rFonts w:ascii="Bookman Old Style" w:hAnsi="Bookman Old Style"/>
          <w:szCs w:val="27"/>
        </w:rPr>
        <w:t xml:space="preserve">, en particular definiendo una </w:t>
      </w:r>
      <w:r w:rsidR="00ED23FB" w:rsidRPr="006319DF">
        <w:rPr>
          <w:rFonts w:ascii="Bookman Old Style" w:hAnsi="Bookman Old Style"/>
          <w:szCs w:val="27"/>
        </w:rPr>
        <w:t>nueva regla</w:t>
      </w:r>
      <w:r w:rsidR="006D7779" w:rsidRPr="006319DF">
        <w:rPr>
          <w:rFonts w:ascii="Bookman Old Style" w:hAnsi="Bookman Old Style"/>
          <w:szCs w:val="27"/>
        </w:rPr>
        <w:t>.</w:t>
      </w:r>
      <w:r w:rsidR="00B205AB" w:rsidRPr="006319DF">
        <w:rPr>
          <w:rFonts w:ascii="Bookman Old Style" w:hAnsi="Bookman Old Style"/>
          <w:szCs w:val="27"/>
        </w:rPr>
        <w:t xml:space="preserve"> </w:t>
      </w:r>
      <w:r w:rsidR="00F101FE" w:rsidRPr="006319DF">
        <w:rPr>
          <w:rFonts w:ascii="Bookman Old Style" w:hAnsi="Bookman Old Style"/>
          <w:szCs w:val="27"/>
        </w:rPr>
        <w:t xml:space="preserve">En ese sentido, en la Resolución CREG 176 de 2011 la Comisión mencionó lo siguiente: </w:t>
      </w:r>
    </w:p>
    <w:p w:rsidR="00B205AB" w:rsidRDefault="00B205AB" w:rsidP="00575755">
      <w:pPr>
        <w:pStyle w:val="Textoindependiente2"/>
        <w:spacing w:after="0" w:line="240" w:lineRule="auto"/>
        <w:ind w:left="0" w:right="-142"/>
        <w:jc w:val="both"/>
        <w:rPr>
          <w:rFonts w:ascii="Bookman Old Style" w:hAnsi="Bookman Old Style"/>
          <w:szCs w:val="27"/>
          <w:highlight w:val="green"/>
        </w:rPr>
      </w:pPr>
    </w:p>
    <w:p w:rsidR="00BF4CFB" w:rsidRDefault="00BF4CFB" w:rsidP="00575755">
      <w:pPr>
        <w:pStyle w:val="Textoindependiente2"/>
        <w:spacing w:after="0" w:line="240" w:lineRule="auto"/>
        <w:ind w:left="0" w:right="-142"/>
        <w:jc w:val="both"/>
        <w:rPr>
          <w:rFonts w:ascii="Bookman Old Style" w:hAnsi="Bookman Old Style"/>
          <w:szCs w:val="27"/>
          <w:highlight w:val="green"/>
        </w:rPr>
      </w:pPr>
    </w:p>
    <w:p w:rsidR="00F101FE" w:rsidRPr="00F101FE" w:rsidRDefault="00F101FE" w:rsidP="00F101FE">
      <w:pPr>
        <w:pStyle w:val="Textoindependiente2"/>
        <w:spacing w:after="0" w:line="240" w:lineRule="auto"/>
        <w:ind w:left="709" w:right="-142"/>
        <w:jc w:val="both"/>
        <w:rPr>
          <w:rFonts w:ascii="Bookman Old Style" w:hAnsi="Bookman Old Style"/>
          <w:sz w:val="16"/>
          <w:szCs w:val="27"/>
          <w:highlight w:val="green"/>
        </w:rPr>
      </w:pPr>
      <w:r>
        <w:rPr>
          <w:rFonts w:ascii="Bookman Old Style" w:hAnsi="Bookman Old Style"/>
          <w:color w:val="666666"/>
          <w:sz w:val="22"/>
          <w:szCs w:val="36"/>
          <w:shd w:val="clear" w:color="auto" w:fill="FFFFFF"/>
        </w:rPr>
        <w:t xml:space="preserve">“(…) </w:t>
      </w:r>
      <w:r w:rsidRPr="00F101FE">
        <w:rPr>
          <w:rFonts w:ascii="Bookman Old Style" w:hAnsi="Bookman Old Style"/>
          <w:color w:val="666666"/>
          <w:sz w:val="22"/>
          <w:szCs w:val="36"/>
          <w:shd w:val="clear" w:color="auto" w:fill="FFFFFF"/>
        </w:rPr>
        <w:t>De acuerdo con lo anterior, si bien no es posible determinar una demanda real y actual en relación con el recaudo de la estampilla del continente, como criterio para aplicar la fórmula de remuneración del cargo de transporte, se determina por parte de esta Comisión de acuerdo con los argumentos de la empresa solicitante, que se observa un rezago al momento de estimar los cargos de transporte a pagar con la estampilla del continente, por lo que se debe corregir el desfase que se presenta en el recaudo, calculando la demanda real, ajustada a los meses más recientes, más no con una demanda histórica que no refleja la realidad.</w:t>
      </w:r>
    </w:p>
    <w:p w:rsidR="00F101FE" w:rsidRDefault="00F101FE" w:rsidP="00575755">
      <w:pPr>
        <w:pStyle w:val="Textoindependiente2"/>
        <w:spacing w:after="0" w:line="240" w:lineRule="auto"/>
        <w:ind w:left="0" w:right="-142"/>
        <w:jc w:val="both"/>
        <w:rPr>
          <w:rFonts w:ascii="Bookman Old Style" w:hAnsi="Bookman Old Style"/>
          <w:szCs w:val="27"/>
          <w:highlight w:val="green"/>
        </w:rPr>
      </w:pPr>
    </w:p>
    <w:p w:rsidR="00F101FE" w:rsidRDefault="00F101FE" w:rsidP="00F101FE">
      <w:pPr>
        <w:pStyle w:val="Textoindependiente2"/>
        <w:spacing w:after="0" w:line="240" w:lineRule="auto"/>
        <w:ind w:left="709" w:right="-142"/>
        <w:jc w:val="both"/>
        <w:rPr>
          <w:rFonts w:ascii="Bookman Old Style" w:hAnsi="Bookman Old Style"/>
          <w:color w:val="666666"/>
          <w:sz w:val="22"/>
          <w:szCs w:val="27"/>
          <w:shd w:val="clear" w:color="auto" w:fill="FFFFFF"/>
        </w:rPr>
      </w:pPr>
      <w:r>
        <w:rPr>
          <w:rFonts w:ascii="Bookman Old Style" w:hAnsi="Bookman Old Style"/>
          <w:color w:val="666666"/>
          <w:sz w:val="22"/>
          <w:szCs w:val="27"/>
          <w:shd w:val="clear" w:color="auto" w:fill="FFFFFF"/>
        </w:rPr>
        <w:t>(...)</w:t>
      </w:r>
      <w:r w:rsidRPr="00F101FE">
        <w:rPr>
          <w:rFonts w:ascii="Bookman Old Style" w:hAnsi="Bookman Old Style"/>
          <w:color w:val="666666"/>
          <w:sz w:val="22"/>
          <w:szCs w:val="27"/>
          <w:shd w:val="clear" w:color="auto" w:fill="FFFFFF"/>
        </w:rPr>
        <w:t>Teniendo en cuenta las anteriores consideraciones, una vez revisada la fórmula tarifaria con la cual se estima el valor de la estampilla a aplicar en la tarifa de transporte por ductos del continente, con base en la cual se recupera la porción de costos incurridos en San Andrés, se encontró que efectivamente la demanda que contiene esta fórmula, tanto del archipiélago como del continente, están referenciadas a la fecha base de estimación del cargo unitario.</w:t>
      </w:r>
      <w:r w:rsidRPr="00F101FE">
        <w:rPr>
          <w:rFonts w:ascii="Arial" w:hAnsi="Arial" w:cs="Arial"/>
          <w:color w:val="666666"/>
          <w:sz w:val="16"/>
          <w:szCs w:val="20"/>
        </w:rPr>
        <w:br/>
      </w:r>
      <w:r w:rsidRPr="00F101FE">
        <w:rPr>
          <w:rFonts w:ascii="Arial" w:hAnsi="Arial" w:cs="Arial"/>
          <w:color w:val="666666"/>
          <w:sz w:val="16"/>
          <w:szCs w:val="20"/>
        </w:rPr>
        <w:br/>
      </w:r>
      <w:r w:rsidRPr="00F101FE">
        <w:rPr>
          <w:rFonts w:ascii="Bookman Old Style" w:hAnsi="Bookman Old Style"/>
          <w:color w:val="666666"/>
          <w:sz w:val="22"/>
          <w:szCs w:val="27"/>
          <w:shd w:val="clear" w:color="auto" w:fill="FFFFFF"/>
        </w:rPr>
        <w:t>Igualmente que al estar referenciada a estas demandas, cualquier aumento o disminución de la demanda en la Isla no se verá reflejada en la tarifa estampilla del continente y por lo tanto podrán generarse ingresos superiores a los requeridos para cubrir los gastos incurridos o ingresos inferiores a los requeridos con el mismo objetivo.</w:t>
      </w:r>
    </w:p>
    <w:p w:rsidR="00B205AB" w:rsidRPr="00F101FE" w:rsidRDefault="00F101FE" w:rsidP="00F101FE">
      <w:pPr>
        <w:pStyle w:val="Textoindependiente2"/>
        <w:spacing w:after="0" w:line="240" w:lineRule="auto"/>
        <w:ind w:left="709" w:right="-142"/>
        <w:jc w:val="both"/>
        <w:rPr>
          <w:rFonts w:ascii="Bookman Old Style" w:hAnsi="Bookman Old Style"/>
          <w:sz w:val="20"/>
          <w:szCs w:val="27"/>
          <w:highlight w:val="green"/>
        </w:rPr>
      </w:pPr>
      <w:r w:rsidRPr="00F101FE">
        <w:rPr>
          <w:rFonts w:ascii="Arial" w:hAnsi="Arial" w:cs="Arial"/>
          <w:color w:val="666666"/>
          <w:sz w:val="16"/>
          <w:szCs w:val="20"/>
        </w:rPr>
        <w:br/>
      </w:r>
      <w:r w:rsidRPr="00F101FE">
        <w:rPr>
          <w:rFonts w:ascii="Bookman Old Style" w:hAnsi="Bookman Old Style"/>
          <w:color w:val="666666"/>
          <w:sz w:val="22"/>
          <w:szCs w:val="27"/>
          <w:shd w:val="clear" w:color="auto" w:fill="FFFFFF"/>
        </w:rPr>
        <w:t>Es por esto que se hace necesario incluir la demanda actual correspondiente a cada período de definición de los cargos a aplicar, tanto del archipiélago como del continente, a fin de mantener un nivel de ingresos acorde a los necesarios para recuperar los costos incurridos mensualmente para llevar el GLP al Archipiélago</w:t>
      </w:r>
      <w:r>
        <w:rPr>
          <w:rFonts w:ascii="Bookman Old Style" w:hAnsi="Bookman Old Style"/>
          <w:color w:val="666666"/>
          <w:sz w:val="22"/>
          <w:szCs w:val="27"/>
          <w:shd w:val="clear" w:color="auto" w:fill="FFFFFF"/>
        </w:rPr>
        <w:t>”</w:t>
      </w:r>
      <w:r w:rsidRPr="00F101FE">
        <w:rPr>
          <w:rFonts w:ascii="Bookman Old Style" w:hAnsi="Bookman Old Style"/>
          <w:color w:val="666666"/>
          <w:sz w:val="22"/>
          <w:szCs w:val="27"/>
          <w:shd w:val="clear" w:color="auto" w:fill="FFFFFF"/>
        </w:rPr>
        <w:t>.</w:t>
      </w:r>
    </w:p>
    <w:p w:rsidR="00F101FE" w:rsidRPr="006319DF" w:rsidRDefault="00F101FE" w:rsidP="00575755">
      <w:pPr>
        <w:pStyle w:val="Textoindependiente2"/>
        <w:spacing w:after="0" w:line="240" w:lineRule="auto"/>
        <w:ind w:left="0" w:right="-142"/>
        <w:jc w:val="both"/>
        <w:rPr>
          <w:rFonts w:ascii="Bookman Old Style" w:hAnsi="Bookman Old Style"/>
          <w:szCs w:val="27"/>
        </w:rPr>
      </w:pPr>
    </w:p>
    <w:p w:rsidR="005958A2" w:rsidRPr="006319DF" w:rsidRDefault="005958A2" w:rsidP="005958A2">
      <w:pPr>
        <w:pStyle w:val="Default"/>
        <w:jc w:val="both"/>
        <w:rPr>
          <w:rFonts w:ascii="Bookman Old Style" w:hAnsi="Bookman Old Style"/>
        </w:rPr>
      </w:pPr>
      <w:r w:rsidRPr="006319DF">
        <w:rPr>
          <w:rFonts w:ascii="Bookman Old Style" w:hAnsi="Bookman Old Style"/>
        </w:rPr>
        <w:t xml:space="preserve">Actualmente la demanda transportada por ductos desde Barrancabermeja representa el 51 % de la producción total. </w:t>
      </w:r>
    </w:p>
    <w:p w:rsidR="005958A2" w:rsidRPr="006319DF" w:rsidRDefault="005958A2" w:rsidP="005958A2">
      <w:pPr>
        <w:pStyle w:val="Default"/>
        <w:jc w:val="both"/>
        <w:rPr>
          <w:rFonts w:ascii="Bookman Old Style" w:hAnsi="Bookman Old Style"/>
        </w:rPr>
      </w:pPr>
    </w:p>
    <w:p w:rsidR="005958A2" w:rsidRPr="006319DF" w:rsidRDefault="005958A2" w:rsidP="005958A2">
      <w:pPr>
        <w:pStyle w:val="Default"/>
        <w:jc w:val="both"/>
        <w:rPr>
          <w:rFonts w:ascii="Bookman Old Style" w:hAnsi="Bookman Old Style"/>
        </w:rPr>
      </w:pPr>
      <w:r w:rsidRPr="006319DF">
        <w:rPr>
          <w:rFonts w:ascii="Bookman Old Style" w:hAnsi="Bookman Old Style"/>
        </w:rPr>
        <w:t xml:space="preserve">La dinámica del suministro del GLP presentada desde el año 2010, en donde se han ofertado fuentes adicionales, ha generado comportamientos en los agentes respecto a la compra del producto y al uso de los ductos de transporte de GLP, lo cual junto a la no disponibilidad del tubo de Puerto Salgar – Mansilla por circunstancias ajenas a la regulación, ocasionó una disminución en el volumen transportado de GLP por ductos lo cual redundó en un aumento en la estampilla. </w:t>
      </w:r>
    </w:p>
    <w:p w:rsidR="005958A2" w:rsidRPr="006319DF" w:rsidRDefault="005958A2" w:rsidP="00575755">
      <w:pPr>
        <w:pStyle w:val="Textoindependiente2"/>
        <w:spacing w:after="0" w:line="240" w:lineRule="auto"/>
        <w:ind w:left="0" w:right="-142"/>
        <w:jc w:val="both"/>
        <w:rPr>
          <w:rFonts w:ascii="Bookman Old Style" w:hAnsi="Bookman Old Style"/>
          <w:szCs w:val="27"/>
          <w:lang w:val="es-CO"/>
        </w:rPr>
      </w:pPr>
    </w:p>
    <w:p w:rsidR="00B205AB" w:rsidRPr="006319DF" w:rsidRDefault="00A41772" w:rsidP="00575755">
      <w:pPr>
        <w:pStyle w:val="Textoindependiente2"/>
        <w:spacing w:after="0" w:line="240" w:lineRule="auto"/>
        <w:ind w:left="0" w:right="-142"/>
        <w:jc w:val="both"/>
        <w:rPr>
          <w:rFonts w:ascii="Bookman Old Style" w:hAnsi="Bookman Old Style"/>
          <w:shd w:val="clear" w:color="auto" w:fill="FFFFFF"/>
        </w:rPr>
      </w:pPr>
      <w:r w:rsidRPr="006319DF">
        <w:rPr>
          <w:rFonts w:ascii="Bookman Old Style" w:hAnsi="Bookman Old Style"/>
        </w:rPr>
        <w:t xml:space="preserve">Los ajustes previstos en la Resolución </w:t>
      </w:r>
      <w:r w:rsidR="00364C14" w:rsidRPr="006319DF">
        <w:rPr>
          <w:rFonts w:ascii="Bookman Old Style" w:hAnsi="Bookman Old Style"/>
        </w:rPr>
        <w:t xml:space="preserve">CREG 176 de 2011 </w:t>
      </w:r>
      <w:r w:rsidRPr="006319DF">
        <w:rPr>
          <w:rFonts w:ascii="Bookman Old Style" w:hAnsi="Bookman Old Style"/>
        </w:rPr>
        <w:t xml:space="preserve">evidenciaron que la demanda </w:t>
      </w:r>
      <w:r w:rsidRPr="006319DF">
        <w:rPr>
          <w:rFonts w:ascii="Bookman Old Style" w:hAnsi="Bookman Old Style"/>
          <w:shd w:val="clear" w:color="auto" w:fill="FFFFFF"/>
        </w:rPr>
        <w:t xml:space="preserve"> que contenía la fórmula de la Resolución CREG 050 de 2009, tanto del archipiélago como del continente, estaban referenciadas a la fecha base de estimación del cargo unitario.</w:t>
      </w:r>
      <w:r w:rsidR="00162AE1" w:rsidRPr="006319DF">
        <w:rPr>
          <w:rFonts w:ascii="Bookman Old Style" w:hAnsi="Bookman Old Style"/>
          <w:shd w:val="clear" w:color="auto" w:fill="FFFFFF"/>
        </w:rPr>
        <w:t xml:space="preserve"> </w:t>
      </w:r>
    </w:p>
    <w:p w:rsidR="00B205AB" w:rsidRDefault="00B205AB" w:rsidP="00575755">
      <w:pPr>
        <w:pStyle w:val="Textoindependiente2"/>
        <w:spacing w:after="0" w:line="240" w:lineRule="auto"/>
        <w:ind w:left="0" w:right="-142"/>
        <w:jc w:val="both"/>
        <w:rPr>
          <w:rFonts w:ascii="Bookman Old Style" w:hAnsi="Bookman Old Style"/>
          <w:highlight w:val="magenta"/>
          <w:shd w:val="clear" w:color="auto" w:fill="FFFFFF"/>
        </w:rPr>
      </w:pPr>
    </w:p>
    <w:p w:rsidR="00FB4442" w:rsidRDefault="00A41772" w:rsidP="00575755">
      <w:pPr>
        <w:pStyle w:val="Textoindependiente2"/>
        <w:spacing w:after="0" w:line="240" w:lineRule="auto"/>
        <w:ind w:left="0" w:right="-142"/>
        <w:jc w:val="both"/>
        <w:rPr>
          <w:rFonts w:ascii="Bookman Old Style" w:hAnsi="Bookman Old Style"/>
          <w:szCs w:val="27"/>
        </w:rPr>
      </w:pPr>
      <w:r w:rsidRPr="00B205AB">
        <w:rPr>
          <w:rFonts w:ascii="Bookman Old Style" w:hAnsi="Bookman Old Style"/>
          <w:shd w:val="clear" w:color="auto" w:fill="FFFFFF"/>
        </w:rPr>
        <w:t>Por tanto, cualquier aumento o disminución de la demanda en la Isla no se vería reflejada en la tarifa estampilla del continente y podrán generarse ingresos superiores a los requeridos para cubrir los gastos incurridos o ingresos inferiores a los requeridos con el mismo objetivo;</w:t>
      </w:r>
      <w:r w:rsidR="00703A59" w:rsidRPr="00B205AB">
        <w:rPr>
          <w:rFonts w:ascii="Bookman Old Style" w:hAnsi="Bookman Old Style"/>
          <w:shd w:val="clear" w:color="auto" w:fill="FFFFFF"/>
        </w:rPr>
        <w:t xml:space="preserve"> </w:t>
      </w:r>
      <w:r w:rsidRPr="00B205AB">
        <w:rPr>
          <w:rFonts w:ascii="Bookman Old Style" w:hAnsi="Bookman Old Style"/>
          <w:shd w:val="clear" w:color="auto" w:fill="FFFFFF"/>
        </w:rPr>
        <w:t>en ese sentido se ajustó la fórmula para que la demanda corresponda al mismo periodo de cálculo</w:t>
      </w:r>
      <w:r w:rsidR="00364C14" w:rsidRPr="00B205AB">
        <w:rPr>
          <w:rFonts w:ascii="Bookman Old Style" w:hAnsi="Bookman Old Style"/>
          <w:shd w:val="clear" w:color="auto" w:fill="FFFFFF"/>
        </w:rPr>
        <w:t xml:space="preserve"> y los </w:t>
      </w:r>
      <w:r w:rsidR="00364C14" w:rsidRPr="00B205AB">
        <w:rPr>
          <w:rFonts w:ascii="Bookman Old Style" w:hAnsi="Bookman Old Style"/>
          <w:shd w:val="clear" w:color="auto" w:fill="FFFFFF"/>
        </w:rPr>
        <w:lastRenderedPageBreak/>
        <w:t xml:space="preserve">saldos del mes anterior se trasladen por medio de un factor </w:t>
      </w:r>
      <m:oMath>
        <m:r>
          <w:rPr>
            <w:rFonts w:ascii="Cambria Math" w:hAnsi="Cambria Math"/>
            <w:shd w:val="clear" w:color="auto" w:fill="FFFFFF"/>
          </w:rPr>
          <m:t>∆I</m:t>
        </m:r>
      </m:oMath>
      <w:r w:rsidRPr="00B205AB">
        <w:rPr>
          <w:rFonts w:ascii="Bookman Old Style" w:hAnsi="Bookman Old Style"/>
          <w:shd w:val="clear" w:color="auto" w:fill="FFFFFF"/>
        </w:rPr>
        <w:t>.</w:t>
      </w:r>
      <w:r>
        <w:rPr>
          <w:rFonts w:ascii="Bookman Old Style" w:hAnsi="Bookman Old Style"/>
          <w:sz w:val="27"/>
          <w:szCs w:val="27"/>
          <w:shd w:val="clear" w:color="auto" w:fill="FFFFFF"/>
        </w:rPr>
        <w:t xml:space="preserve">   </w:t>
      </w:r>
      <w:r>
        <w:rPr>
          <w:rFonts w:ascii="Arial" w:hAnsi="Arial" w:cs="Arial"/>
          <w:color w:val="666666"/>
          <w:sz w:val="20"/>
          <w:szCs w:val="20"/>
        </w:rPr>
        <w:br/>
      </w:r>
      <w:r w:rsidR="00903E73">
        <w:rPr>
          <w:rFonts w:ascii="Bookman Old Style" w:hAnsi="Bookman Old Style"/>
          <w:szCs w:val="27"/>
        </w:rPr>
        <w:t xml:space="preserve"> </w:t>
      </w:r>
    </w:p>
    <w:p w:rsidR="000056B7" w:rsidRDefault="000056B7" w:rsidP="00A667C4">
      <w:pPr>
        <w:pStyle w:val="Textoindependiente2"/>
        <w:numPr>
          <w:ilvl w:val="0"/>
          <w:numId w:val="5"/>
        </w:numPr>
        <w:spacing w:after="0" w:line="240" w:lineRule="auto"/>
        <w:ind w:right="-142"/>
        <w:jc w:val="both"/>
        <w:rPr>
          <w:rFonts w:ascii="Bookman Old Style" w:hAnsi="Bookman Old Style"/>
          <w:b/>
          <w:szCs w:val="27"/>
        </w:rPr>
      </w:pPr>
      <w:r>
        <w:rPr>
          <w:rFonts w:ascii="Bookman Old Style" w:hAnsi="Bookman Old Style"/>
          <w:b/>
          <w:szCs w:val="27"/>
        </w:rPr>
        <w:t xml:space="preserve">NATURALEZA DEL ACTO SUSCEPTIBLE DE REVOCATORIA. </w:t>
      </w:r>
    </w:p>
    <w:p w:rsidR="000056B7" w:rsidRDefault="000056B7" w:rsidP="000056B7">
      <w:pPr>
        <w:pStyle w:val="Textoindependiente2"/>
        <w:spacing w:after="0" w:line="240" w:lineRule="auto"/>
        <w:ind w:left="578" w:right="-142"/>
        <w:jc w:val="both"/>
        <w:rPr>
          <w:rFonts w:ascii="Bookman Old Style" w:hAnsi="Bookman Old Style"/>
          <w:b/>
          <w:szCs w:val="27"/>
        </w:rPr>
      </w:pPr>
    </w:p>
    <w:p w:rsidR="00205759" w:rsidRDefault="00903E73" w:rsidP="00903E73">
      <w:pPr>
        <w:pStyle w:val="Textoindependiente2"/>
        <w:spacing w:after="0" w:line="240" w:lineRule="auto"/>
        <w:ind w:left="0" w:right="-142"/>
        <w:jc w:val="both"/>
        <w:rPr>
          <w:rFonts w:ascii="Bookman Old Style" w:hAnsi="Bookman Old Style"/>
          <w:szCs w:val="27"/>
        </w:rPr>
      </w:pPr>
      <w:r>
        <w:rPr>
          <w:rFonts w:ascii="Bookman Old Style" w:hAnsi="Bookman Old Style"/>
          <w:szCs w:val="27"/>
        </w:rPr>
        <w:t xml:space="preserve">Mediante </w:t>
      </w:r>
      <w:r w:rsidR="00D47F92">
        <w:rPr>
          <w:rFonts w:ascii="Bookman Old Style" w:hAnsi="Bookman Old Style"/>
          <w:szCs w:val="27"/>
        </w:rPr>
        <w:t xml:space="preserve">el artículo 1 de </w:t>
      </w:r>
      <w:r>
        <w:rPr>
          <w:rFonts w:ascii="Bookman Old Style" w:hAnsi="Bookman Old Style"/>
          <w:szCs w:val="27"/>
        </w:rPr>
        <w:t xml:space="preserve">la Resolución CREG 176 de 2011 la Comisión </w:t>
      </w:r>
      <w:r w:rsidR="000734A5">
        <w:rPr>
          <w:rFonts w:ascii="Bookman Old Style" w:hAnsi="Bookman Old Style"/>
          <w:szCs w:val="27"/>
        </w:rPr>
        <w:t>modificó el</w:t>
      </w:r>
      <w:r>
        <w:rPr>
          <w:rFonts w:ascii="Bookman Old Style" w:hAnsi="Bookman Old Style"/>
          <w:szCs w:val="27"/>
        </w:rPr>
        <w:t xml:space="preserve"> contenido del artículo 10 de la Resoluci</w:t>
      </w:r>
      <w:r w:rsidR="000734A5">
        <w:rPr>
          <w:rFonts w:ascii="Bookman Old Style" w:hAnsi="Bookman Old Style"/>
          <w:szCs w:val="27"/>
        </w:rPr>
        <w:t xml:space="preserve">ón CREG 050 de 2009. </w:t>
      </w:r>
    </w:p>
    <w:p w:rsidR="00205759" w:rsidRDefault="00C128BC" w:rsidP="00205759">
      <w:pPr>
        <w:pStyle w:val="Textoindependiente2"/>
        <w:spacing w:after="0" w:line="240" w:lineRule="auto"/>
        <w:ind w:left="0" w:right="-142"/>
        <w:jc w:val="both"/>
        <w:rPr>
          <w:rFonts w:ascii="Bookman Old Style" w:hAnsi="Bookman Old Style"/>
          <w:szCs w:val="27"/>
        </w:rPr>
      </w:pPr>
      <w:r>
        <w:rPr>
          <w:rFonts w:ascii="Bookman Old Style" w:hAnsi="Bookman Old Style"/>
          <w:szCs w:val="27"/>
        </w:rPr>
        <w:t xml:space="preserve">La Resolución CREG 050 de 2009 </w:t>
      </w:r>
      <w:r w:rsidR="00205759">
        <w:rPr>
          <w:rFonts w:ascii="Bookman Old Style" w:hAnsi="Bookman Old Style"/>
          <w:szCs w:val="27"/>
        </w:rPr>
        <w:t xml:space="preserve"> es</w:t>
      </w:r>
      <w:r>
        <w:rPr>
          <w:rFonts w:ascii="Bookman Old Style" w:hAnsi="Bookman Old Style"/>
          <w:szCs w:val="27"/>
        </w:rPr>
        <w:t xml:space="preserve"> un </w:t>
      </w:r>
      <w:r w:rsidR="00205759">
        <w:rPr>
          <w:rFonts w:ascii="Bookman Old Style" w:hAnsi="Bookman Old Style"/>
          <w:szCs w:val="27"/>
        </w:rPr>
        <w:t xml:space="preserve"> acto</w:t>
      </w:r>
      <w:r>
        <w:rPr>
          <w:rFonts w:ascii="Bookman Old Style" w:hAnsi="Bookman Old Style"/>
          <w:szCs w:val="27"/>
        </w:rPr>
        <w:t xml:space="preserve"> de carácter general, que contiene la metodología  para establecer los criterios para la remuneración de la actividad de transporte de GLP en el Archipiélago de San Andrés, Providencia y Santa Catalina. </w:t>
      </w:r>
      <w:r w:rsidR="00AE23B9">
        <w:rPr>
          <w:rFonts w:ascii="Bookman Old Style" w:hAnsi="Bookman Old Style"/>
          <w:szCs w:val="27"/>
        </w:rPr>
        <w:t>En dicho actos se encuentran previstas</w:t>
      </w:r>
      <w:r>
        <w:rPr>
          <w:rFonts w:ascii="Bookman Old Style" w:hAnsi="Bookman Old Style"/>
          <w:szCs w:val="27"/>
        </w:rPr>
        <w:t xml:space="preserve"> las fórmulas tarifarias aplicables a la actividad de transporte y el cargo medio de transporte aplicable  a los usuarios. </w:t>
      </w:r>
    </w:p>
    <w:p w:rsidR="00205759" w:rsidRDefault="00205759" w:rsidP="00903E73">
      <w:pPr>
        <w:pStyle w:val="Textoindependiente2"/>
        <w:spacing w:after="0" w:line="240" w:lineRule="auto"/>
        <w:ind w:left="0" w:right="-142"/>
        <w:jc w:val="both"/>
        <w:rPr>
          <w:rFonts w:ascii="Bookman Old Style" w:hAnsi="Bookman Old Style"/>
          <w:szCs w:val="27"/>
        </w:rPr>
      </w:pPr>
    </w:p>
    <w:p w:rsidR="00AE23B9" w:rsidRDefault="000734A5" w:rsidP="00AE23B9">
      <w:pPr>
        <w:pStyle w:val="Textoindependiente2"/>
        <w:spacing w:after="0" w:line="240" w:lineRule="auto"/>
        <w:ind w:left="0" w:right="-142"/>
        <w:jc w:val="both"/>
        <w:rPr>
          <w:rFonts w:ascii="Bookman Old Style" w:hAnsi="Bookman Old Style"/>
          <w:szCs w:val="27"/>
        </w:rPr>
      </w:pPr>
      <w:r>
        <w:rPr>
          <w:rFonts w:ascii="Bookman Old Style" w:hAnsi="Bookman Old Style"/>
          <w:szCs w:val="27"/>
        </w:rPr>
        <w:t xml:space="preserve"> </w:t>
      </w:r>
      <w:r w:rsidR="00AE23B9">
        <w:rPr>
          <w:rFonts w:ascii="Bookman Old Style" w:hAnsi="Bookman Old Style"/>
          <w:szCs w:val="27"/>
        </w:rPr>
        <w:t xml:space="preserve">Teniendo en cuenta lo anterior,  por </w:t>
      </w:r>
      <w:r>
        <w:rPr>
          <w:rFonts w:ascii="Bookman Old Style" w:hAnsi="Bookman Old Style"/>
          <w:szCs w:val="27"/>
        </w:rPr>
        <w:t xml:space="preserve">su contenido </w:t>
      </w:r>
      <w:r w:rsidR="00AE23B9">
        <w:rPr>
          <w:rFonts w:ascii="Bookman Old Style" w:hAnsi="Bookman Old Style"/>
          <w:szCs w:val="27"/>
        </w:rPr>
        <w:t xml:space="preserve">se evidencia que la Resolución CREG 176 de 2011 es un  </w:t>
      </w:r>
      <w:r>
        <w:rPr>
          <w:rFonts w:ascii="Bookman Old Style" w:hAnsi="Bookman Old Style"/>
          <w:szCs w:val="27"/>
        </w:rPr>
        <w:t xml:space="preserve">acto administrativo </w:t>
      </w:r>
      <w:r w:rsidR="00AE23B9">
        <w:rPr>
          <w:rFonts w:ascii="Bookman Old Style" w:hAnsi="Bookman Old Style"/>
          <w:szCs w:val="27"/>
        </w:rPr>
        <w:t xml:space="preserve">de </w:t>
      </w:r>
      <w:r>
        <w:rPr>
          <w:rFonts w:ascii="Bookman Old Style" w:hAnsi="Bookman Old Style"/>
          <w:szCs w:val="27"/>
        </w:rPr>
        <w:t xml:space="preserve"> </w:t>
      </w:r>
      <w:r w:rsidR="005958A2">
        <w:rPr>
          <w:rFonts w:ascii="Bookman Old Style" w:hAnsi="Bookman Old Style"/>
          <w:szCs w:val="27"/>
        </w:rPr>
        <w:t>carácter</w:t>
      </w:r>
      <w:r w:rsidR="00AE23B9">
        <w:rPr>
          <w:rFonts w:ascii="Bookman Old Style" w:hAnsi="Bookman Old Style"/>
          <w:szCs w:val="27"/>
        </w:rPr>
        <w:t xml:space="preserve"> </w:t>
      </w:r>
      <w:r>
        <w:rPr>
          <w:rFonts w:ascii="Bookman Old Style" w:hAnsi="Bookman Old Style"/>
          <w:szCs w:val="27"/>
        </w:rPr>
        <w:t>general</w:t>
      </w:r>
      <w:r w:rsidR="00D47F92">
        <w:rPr>
          <w:rFonts w:ascii="Bookman Old Style" w:hAnsi="Bookman Old Style"/>
          <w:szCs w:val="27"/>
        </w:rPr>
        <w:t xml:space="preserve"> en la medida en que </w:t>
      </w:r>
      <w:r w:rsidR="00AE23B9">
        <w:rPr>
          <w:rFonts w:ascii="Bookman Old Style" w:hAnsi="Bookman Old Style"/>
          <w:szCs w:val="27"/>
        </w:rPr>
        <w:t>modifica un acto de carácter general, es  decir la Resolución CREG 050 de 2009. En ese sentido, debe tenerse en cuenta que un acto de carácter general solo se modifica con un acto de carácter general y no con uno particular.</w:t>
      </w:r>
    </w:p>
    <w:p w:rsidR="00AE23B9" w:rsidRDefault="00AE23B9" w:rsidP="00903E73">
      <w:pPr>
        <w:pStyle w:val="Textoindependiente2"/>
        <w:spacing w:after="0" w:line="240" w:lineRule="auto"/>
        <w:ind w:left="0" w:right="-142"/>
        <w:jc w:val="both"/>
        <w:rPr>
          <w:rFonts w:ascii="Bookman Old Style" w:hAnsi="Bookman Old Style"/>
          <w:szCs w:val="27"/>
        </w:rPr>
      </w:pPr>
    </w:p>
    <w:p w:rsidR="00AE23B9" w:rsidRDefault="00AE23B9" w:rsidP="00AE23B9">
      <w:pPr>
        <w:pStyle w:val="Textoindependiente2"/>
        <w:spacing w:after="0" w:line="240" w:lineRule="auto"/>
        <w:ind w:left="0" w:right="-142"/>
        <w:jc w:val="both"/>
        <w:rPr>
          <w:rFonts w:ascii="Bookman Old Style" w:hAnsi="Bookman Old Style"/>
          <w:szCs w:val="27"/>
        </w:rPr>
      </w:pPr>
      <w:r>
        <w:rPr>
          <w:rFonts w:ascii="Bookman Old Style" w:hAnsi="Bookman Old Style"/>
          <w:szCs w:val="27"/>
        </w:rPr>
        <w:t xml:space="preserve">Por sus efectos, la precitada resolución también debe considerarse de carácter general toda vez  que </w:t>
      </w:r>
      <w:r w:rsidR="00D47F92">
        <w:rPr>
          <w:rFonts w:ascii="Bookman Old Style" w:hAnsi="Bookman Old Style"/>
          <w:szCs w:val="27"/>
        </w:rPr>
        <w:t>el cargo medio de transporte afecta tanto a la demanda del continente como a la demanda de</w:t>
      </w:r>
      <w:r w:rsidR="00F27E1C">
        <w:rPr>
          <w:rFonts w:ascii="Bookman Old Style" w:hAnsi="Bookman Old Style"/>
          <w:szCs w:val="27"/>
        </w:rPr>
        <w:t>l archipiélago de</w:t>
      </w:r>
      <w:r w:rsidR="00D47F92">
        <w:rPr>
          <w:rFonts w:ascii="Bookman Old Style" w:hAnsi="Bookman Old Style"/>
          <w:szCs w:val="27"/>
        </w:rPr>
        <w:t xml:space="preserve"> San Andrés</w:t>
      </w:r>
      <w:r w:rsidR="00F27E1C">
        <w:rPr>
          <w:rFonts w:ascii="Bookman Old Style" w:hAnsi="Bookman Old Style"/>
          <w:szCs w:val="27"/>
        </w:rPr>
        <w:t>, Providencia y Santa Catalina</w:t>
      </w:r>
      <w:r w:rsidR="00D47F92">
        <w:rPr>
          <w:rFonts w:ascii="Bookman Old Style" w:hAnsi="Bookman Old Style"/>
          <w:szCs w:val="27"/>
        </w:rPr>
        <w:t>.</w:t>
      </w:r>
      <w:r>
        <w:rPr>
          <w:rFonts w:ascii="Bookman Old Style" w:hAnsi="Bookman Old Style"/>
          <w:szCs w:val="27"/>
        </w:rPr>
        <w:t xml:space="preserve"> Puntualmente, con la Resolución CREG 176 de 2011 se modificó la estampilla que tiene efecto general así como la forma en que se debía recaudar la remuneración. </w:t>
      </w:r>
      <w:r w:rsidR="004B3433">
        <w:rPr>
          <w:rFonts w:ascii="Bookman Old Style" w:hAnsi="Bookman Old Style"/>
          <w:szCs w:val="27"/>
        </w:rPr>
        <w:t>Es importante resaltar que n</w:t>
      </w:r>
      <w:r>
        <w:rPr>
          <w:rFonts w:ascii="Bookman Old Style" w:hAnsi="Bookman Old Style"/>
          <w:szCs w:val="27"/>
        </w:rPr>
        <w:t xml:space="preserve">o se </w:t>
      </w:r>
      <w:r w:rsidR="004B3433">
        <w:rPr>
          <w:rFonts w:ascii="Bookman Old Style" w:hAnsi="Bookman Old Style"/>
          <w:szCs w:val="27"/>
        </w:rPr>
        <w:t>modificaron los cargos ni</w:t>
      </w:r>
      <w:r>
        <w:rPr>
          <w:rFonts w:ascii="Bookman Old Style" w:hAnsi="Bookman Old Style"/>
          <w:szCs w:val="27"/>
        </w:rPr>
        <w:t xml:space="preserve"> la remuneración de la empresa</w:t>
      </w:r>
      <w:r w:rsidR="002E5942">
        <w:rPr>
          <w:rFonts w:ascii="Bookman Old Style" w:hAnsi="Bookman Old Style"/>
          <w:szCs w:val="27"/>
        </w:rPr>
        <w:t xml:space="preserve"> que presentó la solicitud de revisión tarifaria</w:t>
      </w:r>
      <w:r>
        <w:rPr>
          <w:rFonts w:ascii="Bookman Old Style" w:hAnsi="Bookman Old Style"/>
          <w:szCs w:val="27"/>
        </w:rPr>
        <w:t xml:space="preserve">. </w:t>
      </w:r>
    </w:p>
    <w:p w:rsidR="00903E73" w:rsidRDefault="00AE23B9" w:rsidP="00903E73">
      <w:pPr>
        <w:pStyle w:val="Textoindependiente2"/>
        <w:spacing w:after="0" w:line="240" w:lineRule="auto"/>
        <w:ind w:left="0" w:right="-142"/>
        <w:jc w:val="both"/>
        <w:rPr>
          <w:rFonts w:ascii="Bookman Old Style" w:hAnsi="Bookman Old Style"/>
          <w:szCs w:val="27"/>
        </w:rPr>
      </w:pPr>
      <w:r>
        <w:rPr>
          <w:rFonts w:ascii="Bookman Old Style" w:hAnsi="Bookman Old Style"/>
          <w:szCs w:val="27"/>
        </w:rPr>
        <w:t xml:space="preserve"> </w:t>
      </w:r>
      <w:r w:rsidR="00D47F92">
        <w:rPr>
          <w:rFonts w:ascii="Bookman Old Style" w:hAnsi="Bookman Old Style"/>
          <w:szCs w:val="27"/>
        </w:rPr>
        <w:t xml:space="preserve">  </w:t>
      </w:r>
    </w:p>
    <w:p w:rsidR="005958A2" w:rsidRDefault="004B3433" w:rsidP="00AE23B9">
      <w:pPr>
        <w:pStyle w:val="Textoindependiente2"/>
        <w:spacing w:after="0" w:line="240" w:lineRule="auto"/>
        <w:ind w:left="0" w:right="-142"/>
        <w:jc w:val="both"/>
        <w:rPr>
          <w:rFonts w:ascii="Bookman Old Style" w:hAnsi="Bookman Old Style"/>
          <w:szCs w:val="27"/>
        </w:rPr>
      </w:pPr>
      <w:r>
        <w:rPr>
          <w:rFonts w:ascii="Bookman Old Style" w:hAnsi="Bookman Old Style"/>
          <w:szCs w:val="27"/>
        </w:rPr>
        <w:t xml:space="preserve">Así mismo, </w:t>
      </w:r>
      <w:r w:rsidR="002E5942">
        <w:rPr>
          <w:rFonts w:ascii="Bookman Old Style" w:hAnsi="Bookman Old Style"/>
          <w:szCs w:val="27"/>
        </w:rPr>
        <w:t>debe resaltarse que tratándose de la clasificación de un acto administrativo la doctrina y la jurisprudencia han resaltado que debe prevalecer el c</w:t>
      </w:r>
      <w:r w:rsidR="00E43455">
        <w:rPr>
          <w:rFonts w:ascii="Bookman Old Style" w:hAnsi="Bookman Old Style"/>
          <w:szCs w:val="27"/>
        </w:rPr>
        <w:t>ontenido sobre la forma.</w:t>
      </w:r>
    </w:p>
    <w:p w:rsidR="005958A2" w:rsidRDefault="005958A2" w:rsidP="00AE23B9">
      <w:pPr>
        <w:pStyle w:val="Textoindependiente2"/>
        <w:spacing w:after="0" w:line="240" w:lineRule="auto"/>
        <w:ind w:left="0" w:right="-142"/>
        <w:jc w:val="both"/>
        <w:rPr>
          <w:rFonts w:ascii="Bookman Old Style" w:hAnsi="Bookman Old Style"/>
          <w:szCs w:val="27"/>
        </w:rPr>
      </w:pPr>
    </w:p>
    <w:p w:rsidR="007F1015" w:rsidRDefault="00E43455" w:rsidP="00AE23B9">
      <w:pPr>
        <w:pStyle w:val="Textoindependiente2"/>
        <w:spacing w:after="0" w:line="240" w:lineRule="auto"/>
        <w:ind w:left="0" w:right="-142"/>
        <w:jc w:val="both"/>
        <w:rPr>
          <w:rFonts w:ascii="Bookman Old Style" w:hAnsi="Bookman Old Style"/>
          <w:szCs w:val="27"/>
        </w:rPr>
      </w:pPr>
      <w:r>
        <w:rPr>
          <w:rFonts w:ascii="Bookman Old Style" w:hAnsi="Bookman Old Style"/>
          <w:szCs w:val="27"/>
        </w:rPr>
        <w:t>En ese sentido, si bien la modificación del artículo 10 de la Resolución CREG 050 de 2009 a través de la Resolución CREG 176 de 2011 surgió de una solicitud de revisión tarifaria presentada por la empresa Provigas, fue en aras de garantizar que  la actuación administrativa  estuviese en el marco del debido proceso que se le notificó de la decisión y se le otorg</w:t>
      </w:r>
      <w:r w:rsidR="005958A2">
        <w:rPr>
          <w:rFonts w:ascii="Bookman Old Style" w:hAnsi="Bookman Old Style"/>
          <w:szCs w:val="27"/>
        </w:rPr>
        <w:t>aron</w:t>
      </w:r>
      <w:r>
        <w:rPr>
          <w:rFonts w:ascii="Bookman Old Style" w:hAnsi="Bookman Old Style"/>
          <w:szCs w:val="27"/>
        </w:rPr>
        <w:t xml:space="preserve"> recursos</w:t>
      </w:r>
      <w:r w:rsidR="005958A2">
        <w:rPr>
          <w:rFonts w:ascii="Bookman Old Style" w:hAnsi="Bookman Old Style"/>
          <w:szCs w:val="27"/>
        </w:rPr>
        <w:t xml:space="preserve">, </w:t>
      </w:r>
      <w:r>
        <w:rPr>
          <w:rFonts w:ascii="Bookman Old Style" w:hAnsi="Bookman Old Style"/>
          <w:szCs w:val="27"/>
        </w:rPr>
        <w:t xml:space="preserve"> lo cual no </w:t>
      </w:r>
      <w:r w:rsidR="00323B6B">
        <w:rPr>
          <w:rFonts w:ascii="Bookman Old Style" w:hAnsi="Bookman Old Style"/>
          <w:szCs w:val="27"/>
        </w:rPr>
        <w:t xml:space="preserve">implica una modificación a </w:t>
      </w:r>
      <w:r w:rsidR="007F1015">
        <w:rPr>
          <w:rFonts w:ascii="Bookman Old Style" w:hAnsi="Bookman Old Style"/>
          <w:szCs w:val="27"/>
        </w:rPr>
        <w:t xml:space="preserve">la naturaleza del acto y los fines que </w:t>
      </w:r>
      <w:r w:rsidR="00323B6B">
        <w:rPr>
          <w:rFonts w:ascii="Bookman Old Style" w:hAnsi="Bookman Old Style"/>
          <w:szCs w:val="27"/>
        </w:rPr>
        <w:t>perseguía, más aun si se tiene en cuenta que con el mismo no se pretendió hacer un cambio en la remuneración</w:t>
      </w:r>
      <w:r w:rsidR="005958A2">
        <w:rPr>
          <w:rFonts w:ascii="Bookman Old Style" w:hAnsi="Bookman Old Style"/>
          <w:szCs w:val="27"/>
        </w:rPr>
        <w:t xml:space="preserve">  y no se evidencia una afectación a un interés particular de la empresa</w:t>
      </w:r>
      <w:r w:rsidR="00323B6B">
        <w:rPr>
          <w:rFonts w:ascii="Bookman Old Style" w:hAnsi="Bookman Old Style"/>
          <w:szCs w:val="27"/>
        </w:rPr>
        <w:t>.</w:t>
      </w:r>
    </w:p>
    <w:p w:rsidR="000056B7" w:rsidRDefault="000056B7" w:rsidP="000056B7">
      <w:pPr>
        <w:pStyle w:val="Textoindependiente2"/>
        <w:spacing w:after="0" w:line="240" w:lineRule="auto"/>
        <w:ind w:left="578" w:right="-142"/>
        <w:jc w:val="both"/>
        <w:rPr>
          <w:rFonts w:ascii="Bookman Old Style" w:hAnsi="Bookman Old Style"/>
          <w:b/>
          <w:szCs w:val="27"/>
        </w:rPr>
      </w:pPr>
    </w:p>
    <w:p w:rsidR="00A667C4" w:rsidRPr="00564326" w:rsidRDefault="00BE5090" w:rsidP="00A667C4">
      <w:pPr>
        <w:pStyle w:val="Textoindependiente2"/>
        <w:numPr>
          <w:ilvl w:val="0"/>
          <w:numId w:val="5"/>
        </w:numPr>
        <w:spacing w:after="0" w:line="240" w:lineRule="auto"/>
        <w:ind w:right="-142"/>
        <w:jc w:val="both"/>
        <w:rPr>
          <w:rFonts w:ascii="Bookman Old Style" w:hAnsi="Bookman Old Style"/>
          <w:b/>
          <w:szCs w:val="27"/>
        </w:rPr>
      </w:pPr>
      <w:r>
        <w:rPr>
          <w:rFonts w:ascii="Bookman Old Style" w:hAnsi="Bookman Old Style"/>
          <w:b/>
          <w:szCs w:val="27"/>
        </w:rPr>
        <w:t>PROCEDENCIA DE LA REVOCATORIA DIRECTA</w:t>
      </w:r>
      <w:r w:rsidR="000056B7">
        <w:rPr>
          <w:rFonts w:ascii="Bookman Old Style" w:hAnsi="Bookman Old Style"/>
          <w:b/>
          <w:szCs w:val="27"/>
        </w:rPr>
        <w:t>.</w:t>
      </w:r>
      <w:r>
        <w:rPr>
          <w:rFonts w:ascii="Bookman Old Style" w:hAnsi="Bookman Old Style"/>
          <w:b/>
          <w:szCs w:val="27"/>
        </w:rPr>
        <w:t xml:space="preserve"> </w:t>
      </w:r>
    </w:p>
    <w:p w:rsidR="00BF4CFB" w:rsidRDefault="00BF4CFB" w:rsidP="00155D45">
      <w:pPr>
        <w:pStyle w:val="Textoindependiente2"/>
        <w:spacing w:after="0" w:line="240" w:lineRule="auto"/>
        <w:ind w:left="0" w:right="-142"/>
        <w:jc w:val="both"/>
        <w:rPr>
          <w:rFonts w:ascii="Bookman Old Style" w:hAnsi="Bookman Old Style"/>
          <w:szCs w:val="27"/>
          <w:lang w:val="es-CO"/>
        </w:rPr>
      </w:pPr>
    </w:p>
    <w:p w:rsidR="000056B7" w:rsidRDefault="000056B7" w:rsidP="00155D45">
      <w:pPr>
        <w:pStyle w:val="Textoindependiente2"/>
        <w:spacing w:after="0" w:line="240" w:lineRule="auto"/>
        <w:ind w:left="0" w:right="-142"/>
        <w:jc w:val="both"/>
        <w:rPr>
          <w:rFonts w:ascii="Bookman Old Style" w:hAnsi="Bookman Old Style"/>
          <w:szCs w:val="27"/>
          <w:lang w:val="es-CO"/>
        </w:rPr>
      </w:pPr>
      <w:r w:rsidRPr="000056B7">
        <w:rPr>
          <w:rFonts w:ascii="Bookman Old Style" w:hAnsi="Bookman Old Style"/>
          <w:szCs w:val="27"/>
          <w:lang w:val="es-CO"/>
        </w:rPr>
        <w:t>Tenie</w:t>
      </w:r>
      <w:r w:rsidR="00C314A1">
        <w:rPr>
          <w:rFonts w:ascii="Bookman Old Style" w:hAnsi="Bookman Old Style"/>
          <w:szCs w:val="27"/>
          <w:lang w:val="es-CO"/>
        </w:rPr>
        <w:t>n</w:t>
      </w:r>
      <w:r w:rsidRPr="000056B7">
        <w:rPr>
          <w:rFonts w:ascii="Bookman Old Style" w:hAnsi="Bookman Old Style"/>
          <w:szCs w:val="27"/>
          <w:lang w:val="es-CO"/>
        </w:rPr>
        <w:t xml:space="preserve">do en cuenta que la revocatoria directa de actos de carácter general se puede adoptar en cualquier momento, procede esta Comisión a realizar un análisis de su procedencia:      </w:t>
      </w:r>
    </w:p>
    <w:p w:rsidR="00155D45" w:rsidRPr="00E13188" w:rsidRDefault="00155D45" w:rsidP="00155D45">
      <w:pPr>
        <w:pStyle w:val="Textoindependiente2"/>
        <w:spacing w:after="0" w:line="240" w:lineRule="auto"/>
        <w:ind w:left="0" w:right="-142"/>
        <w:jc w:val="both"/>
        <w:rPr>
          <w:rFonts w:ascii="Bookman Old Style" w:hAnsi="Bookman Old Style"/>
          <w:szCs w:val="27"/>
          <w:lang w:val="es-CO"/>
        </w:rPr>
      </w:pPr>
      <w:r w:rsidRPr="00E13188">
        <w:rPr>
          <w:rFonts w:ascii="Bookman Old Style" w:hAnsi="Bookman Old Style"/>
          <w:szCs w:val="27"/>
          <w:lang w:val="es-CO"/>
        </w:rPr>
        <w:lastRenderedPageBreak/>
        <w:t xml:space="preserve">       </w:t>
      </w:r>
    </w:p>
    <w:p w:rsidR="00E648B6" w:rsidRDefault="00155D45" w:rsidP="001C38BD">
      <w:pPr>
        <w:pStyle w:val="Textoindependiente2"/>
        <w:spacing w:line="240" w:lineRule="auto"/>
        <w:ind w:left="0" w:right="-142"/>
        <w:jc w:val="both"/>
        <w:rPr>
          <w:rFonts w:ascii="Bookman Old Style" w:hAnsi="Bookman Old Style"/>
          <w:szCs w:val="27"/>
          <w:lang w:val="es-CO"/>
        </w:rPr>
      </w:pPr>
      <w:r>
        <w:rPr>
          <w:rFonts w:ascii="Bookman Old Style" w:hAnsi="Bookman Old Style"/>
          <w:szCs w:val="27"/>
          <w:lang w:val="es-CO"/>
        </w:rPr>
        <w:t>En primer lugar, debe tenerse en cuenta que l</w:t>
      </w:r>
      <w:r w:rsidR="00E648B6">
        <w:rPr>
          <w:rFonts w:ascii="Bookman Old Style" w:hAnsi="Bookman Old Style"/>
          <w:szCs w:val="27"/>
          <w:lang w:val="es-CO"/>
        </w:rPr>
        <w:t xml:space="preserve">a revocatoria directa es </w:t>
      </w:r>
      <w:r w:rsidR="00BC6DDB">
        <w:rPr>
          <w:rFonts w:ascii="Bookman Old Style" w:hAnsi="Bookman Old Style"/>
          <w:szCs w:val="27"/>
          <w:lang w:val="es-CO"/>
        </w:rPr>
        <w:t xml:space="preserve">una prerrogativa extraordinaria con la que cuenta la administración pública para sacar del ordenamiento jurídico disposiciones que puedan ser contrarias a la Constitución, </w:t>
      </w:r>
      <w:r w:rsidR="00F27E1C">
        <w:rPr>
          <w:rFonts w:ascii="Bookman Old Style" w:hAnsi="Bookman Old Style"/>
          <w:szCs w:val="27"/>
          <w:lang w:val="es-CO"/>
        </w:rPr>
        <w:t>la l</w:t>
      </w:r>
      <w:r w:rsidR="00BC6DDB">
        <w:rPr>
          <w:rFonts w:ascii="Bookman Old Style" w:hAnsi="Bookman Old Style"/>
          <w:szCs w:val="27"/>
          <w:lang w:val="es-CO"/>
        </w:rPr>
        <w:t>ey o al interés público</w:t>
      </w:r>
      <w:r>
        <w:rPr>
          <w:rFonts w:ascii="Bookman Old Style" w:hAnsi="Bookman Old Style"/>
          <w:szCs w:val="27"/>
          <w:lang w:val="es-CO"/>
        </w:rPr>
        <w:t xml:space="preserve"> o que causen un agravio injustificado a una persona.  </w:t>
      </w:r>
      <w:r w:rsidR="00BC6DDB">
        <w:rPr>
          <w:rFonts w:ascii="Bookman Old Style" w:hAnsi="Bookman Old Style"/>
          <w:szCs w:val="27"/>
          <w:lang w:val="es-CO"/>
        </w:rPr>
        <w:t xml:space="preserve"> </w:t>
      </w:r>
    </w:p>
    <w:p w:rsidR="002B07DD" w:rsidRPr="00A1720D" w:rsidRDefault="002B07DD" w:rsidP="001C38BD">
      <w:pPr>
        <w:pStyle w:val="Textoindependiente2"/>
        <w:spacing w:line="240" w:lineRule="auto"/>
        <w:ind w:left="0" w:right="-142"/>
        <w:jc w:val="both"/>
        <w:rPr>
          <w:rFonts w:ascii="Bookman Old Style" w:hAnsi="Bookman Old Style"/>
          <w:sz w:val="6"/>
          <w:szCs w:val="27"/>
          <w:lang w:val="es-CO"/>
        </w:rPr>
      </w:pPr>
    </w:p>
    <w:p w:rsidR="00BC6DDB" w:rsidRDefault="00575755" w:rsidP="00DC4283">
      <w:pPr>
        <w:pStyle w:val="Textoindependiente2"/>
        <w:spacing w:line="240" w:lineRule="auto"/>
        <w:ind w:left="0" w:right="-142"/>
        <w:jc w:val="both"/>
        <w:rPr>
          <w:rFonts w:ascii="Bookman Old Style" w:hAnsi="Bookman Old Style"/>
          <w:szCs w:val="27"/>
          <w:lang w:val="es-CO"/>
        </w:rPr>
      </w:pPr>
      <w:r>
        <w:rPr>
          <w:rFonts w:ascii="Bookman Old Style" w:hAnsi="Bookman Old Style"/>
          <w:szCs w:val="27"/>
          <w:lang w:val="es-CO"/>
        </w:rPr>
        <w:t xml:space="preserve">De conformidad con lo previsto por la </w:t>
      </w:r>
      <w:r w:rsidR="00F27E1C">
        <w:rPr>
          <w:rFonts w:ascii="Bookman Old Style" w:hAnsi="Bookman Old Style"/>
          <w:szCs w:val="27"/>
          <w:lang w:val="es-CO"/>
        </w:rPr>
        <w:t>doctrina y la j</w:t>
      </w:r>
      <w:r>
        <w:rPr>
          <w:rFonts w:ascii="Bookman Old Style" w:hAnsi="Bookman Old Style"/>
          <w:szCs w:val="27"/>
          <w:lang w:val="es-CO"/>
        </w:rPr>
        <w:t>urisprudencia</w:t>
      </w:r>
      <w:r w:rsidR="00E648B6">
        <w:rPr>
          <w:rFonts w:ascii="Bookman Old Style" w:hAnsi="Bookman Old Style"/>
          <w:szCs w:val="27"/>
          <w:lang w:val="es-CO"/>
        </w:rPr>
        <w:t xml:space="preserve"> los </w:t>
      </w:r>
      <w:r>
        <w:rPr>
          <w:rFonts w:ascii="Bookman Old Style" w:hAnsi="Bookman Old Style"/>
          <w:szCs w:val="27"/>
          <w:lang w:val="es-CO"/>
        </w:rPr>
        <w:t xml:space="preserve"> </w:t>
      </w:r>
      <w:r>
        <w:rPr>
          <w:rFonts w:ascii="Bookman Old Style" w:hAnsi="Bookman Old Style"/>
          <w:szCs w:val="27"/>
          <w:lang w:val="es-CO"/>
        </w:rPr>
        <w:br/>
      </w:r>
      <w:r w:rsidR="00E648B6">
        <w:rPr>
          <w:rFonts w:ascii="Bookman Old Style" w:hAnsi="Bookman Old Style"/>
          <w:szCs w:val="27"/>
          <w:lang w:val="es-CO"/>
        </w:rPr>
        <w:t>a</w:t>
      </w:r>
      <w:r w:rsidR="00B947DC" w:rsidRPr="00FB4442">
        <w:rPr>
          <w:rFonts w:ascii="Bookman Old Style" w:hAnsi="Bookman Old Style"/>
          <w:szCs w:val="27"/>
          <w:lang w:val="es-CO"/>
        </w:rPr>
        <w:t>ctos administrativos de carácter general s</w:t>
      </w:r>
      <w:r w:rsidR="00FB4442">
        <w:rPr>
          <w:rFonts w:ascii="Bookman Old Style" w:hAnsi="Bookman Old Style"/>
          <w:szCs w:val="27"/>
          <w:lang w:val="es-CO"/>
        </w:rPr>
        <w:t xml:space="preserve">on esencialmente revocables por </w:t>
      </w:r>
      <w:r w:rsidR="00155D45">
        <w:rPr>
          <w:rFonts w:ascii="Bookman Old Style" w:hAnsi="Bookman Old Style"/>
          <w:szCs w:val="27"/>
          <w:lang w:val="es-CO"/>
        </w:rPr>
        <w:t>parte</w:t>
      </w:r>
      <w:r w:rsidR="007550D8">
        <w:rPr>
          <w:rFonts w:ascii="Bookman Old Style" w:hAnsi="Bookman Old Style"/>
          <w:szCs w:val="27"/>
          <w:lang w:val="es-CO"/>
        </w:rPr>
        <w:t xml:space="preserve"> </w:t>
      </w:r>
      <w:r w:rsidR="00B947DC" w:rsidRPr="00FB4442">
        <w:rPr>
          <w:rFonts w:ascii="Bookman Old Style" w:hAnsi="Bookman Old Style"/>
          <w:szCs w:val="27"/>
          <w:lang w:val="es-CO"/>
        </w:rPr>
        <w:t>de la administración.</w:t>
      </w:r>
      <w:r w:rsidR="00A1720D">
        <w:rPr>
          <w:rFonts w:ascii="Bookman Old Style" w:hAnsi="Bookman Old Style"/>
          <w:szCs w:val="27"/>
          <w:lang w:val="es-CO"/>
        </w:rPr>
        <w:t xml:space="preserve"> </w:t>
      </w:r>
      <w:r w:rsidR="00BC6DDB">
        <w:rPr>
          <w:rFonts w:ascii="Bookman Old Style" w:hAnsi="Bookman Old Style"/>
          <w:szCs w:val="27"/>
          <w:lang w:val="es-CO"/>
        </w:rPr>
        <w:t>En ese sentido</w:t>
      </w:r>
      <w:r w:rsidR="00E648B6">
        <w:rPr>
          <w:rFonts w:ascii="Bookman Old Style" w:hAnsi="Bookman Old Style"/>
          <w:szCs w:val="27"/>
          <w:lang w:val="es-CO"/>
        </w:rPr>
        <w:t xml:space="preserve"> </w:t>
      </w:r>
      <w:r w:rsidR="00BC6DDB">
        <w:rPr>
          <w:rFonts w:ascii="Bookman Old Style" w:hAnsi="Bookman Old Style"/>
          <w:szCs w:val="27"/>
          <w:lang w:val="es-CO"/>
        </w:rPr>
        <w:t>la</w:t>
      </w:r>
      <w:r w:rsidR="00E648B6">
        <w:rPr>
          <w:rFonts w:ascii="Bookman Old Style" w:hAnsi="Bookman Old Style"/>
          <w:szCs w:val="27"/>
          <w:lang w:val="es-CO"/>
        </w:rPr>
        <w:t xml:space="preserve"> Corte </w:t>
      </w:r>
      <w:r w:rsidR="00E648B6">
        <w:rPr>
          <w:rFonts w:ascii="Bookman Old Style" w:hAnsi="Bookman Old Style"/>
          <w:szCs w:val="27"/>
          <w:lang w:val="es-CO"/>
        </w:rPr>
        <w:br/>
        <w:t xml:space="preserve">Constitucional ha </w:t>
      </w:r>
      <w:r w:rsidR="00BC6DDB">
        <w:rPr>
          <w:rFonts w:ascii="Bookman Old Style" w:hAnsi="Bookman Old Style"/>
          <w:szCs w:val="27"/>
          <w:lang w:val="es-CO"/>
        </w:rPr>
        <w:t xml:space="preserve">manifestado </w:t>
      </w:r>
      <w:r w:rsidR="00E648B6">
        <w:rPr>
          <w:rFonts w:ascii="Bookman Old Style" w:hAnsi="Bookman Old Style"/>
          <w:szCs w:val="27"/>
          <w:lang w:val="es-CO"/>
        </w:rPr>
        <w:t>que</w:t>
      </w:r>
      <w:r w:rsidR="00BC6DDB">
        <w:rPr>
          <w:rFonts w:ascii="Bookman Old Style" w:hAnsi="Bookman Old Style"/>
          <w:szCs w:val="27"/>
          <w:lang w:val="es-CO"/>
        </w:rPr>
        <w:t>:</w:t>
      </w:r>
    </w:p>
    <w:p w:rsidR="00BF4CFB" w:rsidRDefault="00BF4CFB" w:rsidP="00DD62F7">
      <w:pPr>
        <w:pStyle w:val="Textoindependiente2"/>
        <w:spacing w:line="240" w:lineRule="auto"/>
        <w:ind w:left="709" w:right="-142"/>
        <w:jc w:val="both"/>
        <w:rPr>
          <w:rFonts w:ascii="Bookman Old Style" w:hAnsi="Bookman Old Style"/>
          <w:sz w:val="22"/>
          <w:szCs w:val="22"/>
          <w:lang w:val="es-CO"/>
        </w:rPr>
      </w:pPr>
    </w:p>
    <w:p w:rsidR="00DD62F7" w:rsidRDefault="00E648B6" w:rsidP="00DD62F7">
      <w:pPr>
        <w:pStyle w:val="Textoindependiente2"/>
        <w:spacing w:line="240" w:lineRule="auto"/>
        <w:ind w:left="709" w:right="-142"/>
        <w:jc w:val="both"/>
        <w:rPr>
          <w:rFonts w:ascii="Bookman Old Style" w:hAnsi="Bookman Old Style"/>
          <w:iCs/>
          <w:szCs w:val="22"/>
          <w:bdr w:val="none" w:sz="0" w:space="0" w:color="auto" w:frame="1"/>
        </w:rPr>
      </w:pPr>
      <w:r w:rsidRPr="00DC4283">
        <w:rPr>
          <w:rFonts w:ascii="Bookman Old Style" w:hAnsi="Bookman Old Style"/>
          <w:sz w:val="22"/>
          <w:szCs w:val="22"/>
          <w:lang w:val="es-CO"/>
        </w:rPr>
        <w:t xml:space="preserve"> </w:t>
      </w:r>
      <w:r w:rsidR="00BC6DDB" w:rsidRPr="00DC4283">
        <w:rPr>
          <w:rFonts w:ascii="Bookman Old Style" w:hAnsi="Bookman Old Style"/>
          <w:sz w:val="22"/>
          <w:szCs w:val="22"/>
          <w:lang w:val="es-CO"/>
        </w:rPr>
        <w:t>“</w:t>
      </w:r>
      <w:r w:rsidR="00BC6DDB" w:rsidRPr="00DC4283">
        <w:rPr>
          <w:rFonts w:ascii="Bookman Old Style" w:hAnsi="Bookman Old Style"/>
          <w:i/>
          <w:iCs/>
          <w:sz w:val="22"/>
          <w:szCs w:val="22"/>
          <w:bdr w:val="none" w:sz="0" w:space="0" w:color="auto" w:frame="1"/>
        </w:rPr>
        <w:t>E</w:t>
      </w:r>
      <w:r w:rsidRPr="00DC4283">
        <w:rPr>
          <w:rFonts w:ascii="Bookman Old Style" w:hAnsi="Bookman Old Style"/>
          <w:i/>
          <w:iCs/>
          <w:sz w:val="22"/>
          <w:szCs w:val="22"/>
          <w:bdr w:val="none" w:sz="0" w:space="0" w:color="auto" w:frame="1"/>
        </w:rPr>
        <w:t>s así, que en los actos administrativos de carácter general, tendientes a producir efectos a todo el conglomerado social, o a una parte de él, son esencialmente revocables por parte de la administración, una vez se realice la valoración de las circunstancias precisas, para que la administración proceda a revocar sus propios actos</w:t>
      </w:r>
      <w:r w:rsidR="00DD62F7">
        <w:rPr>
          <w:rFonts w:ascii="Bookman Old Style" w:hAnsi="Bookman Old Style"/>
          <w:i/>
          <w:iCs/>
          <w:sz w:val="22"/>
          <w:szCs w:val="22"/>
          <w:bdr w:val="none" w:sz="0" w:space="0" w:color="auto" w:frame="1"/>
        </w:rPr>
        <w:t xml:space="preserve"> (…)</w:t>
      </w:r>
      <w:r w:rsidRPr="00DC4283">
        <w:rPr>
          <w:rFonts w:ascii="Bookman Old Style" w:hAnsi="Bookman Old Style"/>
          <w:i/>
          <w:iCs/>
          <w:sz w:val="22"/>
          <w:szCs w:val="22"/>
          <w:bdr w:val="none" w:sz="0" w:space="0" w:color="auto" w:frame="1"/>
        </w:rPr>
        <w:t>.</w:t>
      </w:r>
      <w:r w:rsidR="00DD62F7">
        <w:rPr>
          <w:rFonts w:ascii="Bookman Old Style" w:hAnsi="Bookman Old Style"/>
          <w:i/>
          <w:iCs/>
          <w:sz w:val="22"/>
          <w:szCs w:val="22"/>
          <w:bdr w:val="none" w:sz="0" w:space="0" w:color="auto" w:frame="1"/>
        </w:rPr>
        <w:t xml:space="preserve"> </w:t>
      </w:r>
      <w:r w:rsidR="00DD62F7" w:rsidRPr="00DD62F7">
        <w:rPr>
          <w:rFonts w:ascii="Bookman Old Style" w:hAnsi="Bookman Old Style"/>
          <w:i/>
          <w:iCs/>
          <w:sz w:val="22"/>
          <w:szCs w:val="22"/>
          <w:u w:val="single"/>
          <w:bdr w:val="none" w:sz="0" w:space="0" w:color="auto" w:frame="1"/>
        </w:rPr>
        <w:t>El acto revocatorio, o a través del cual se revoca, tiene el carácter constitutivo de nuevas situaciones jurídicas, lo que implica que sus efectos se producen a partir de su existencia, esto es, hacía el futuro</w:t>
      </w:r>
      <w:r w:rsidR="00DD62F7" w:rsidRPr="00DD62F7">
        <w:rPr>
          <w:rFonts w:ascii="Bookman Old Style" w:hAnsi="Bookman Old Style"/>
          <w:iCs/>
          <w:sz w:val="22"/>
          <w:szCs w:val="22"/>
          <w:bdr w:val="none" w:sz="0" w:space="0" w:color="auto" w:frame="1"/>
        </w:rPr>
        <w:t>»</w:t>
      </w:r>
      <w:r w:rsidR="00DD62F7" w:rsidRPr="00DC4283">
        <w:rPr>
          <w:rStyle w:val="Refdenotaalpie"/>
          <w:rFonts w:ascii="Bookman Old Style" w:hAnsi="Bookman Old Style"/>
          <w:i/>
          <w:iCs/>
          <w:sz w:val="22"/>
          <w:szCs w:val="22"/>
          <w:bdr w:val="none" w:sz="0" w:space="0" w:color="auto" w:frame="1"/>
        </w:rPr>
        <w:footnoteReference w:id="1"/>
      </w:r>
      <w:r w:rsidR="00DD62F7" w:rsidRPr="00DD62F7">
        <w:rPr>
          <w:rFonts w:ascii="Bookman Old Style" w:hAnsi="Bookman Old Style"/>
          <w:iCs/>
          <w:sz w:val="22"/>
          <w:szCs w:val="22"/>
          <w:bdr w:val="none" w:sz="0" w:space="0" w:color="auto" w:frame="1"/>
        </w:rPr>
        <w:t>.</w:t>
      </w:r>
      <w:r w:rsidR="00DD62F7">
        <w:rPr>
          <w:rFonts w:ascii="Bookman Old Style" w:hAnsi="Bookman Old Style"/>
          <w:iCs/>
          <w:szCs w:val="22"/>
          <w:bdr w:val="none" w:sz="0" w:space="0" w:color="auto" w:frame="1"/>
        </w:rPr>
        <w:t xml:space="preserve"> (Subrayado fuera de texto)</w:t>
      </w:r>
    </w:p>
    <w:p w:rsidR="00BF4CFB" w:rsidRDefault="00BF4CFB" w:rsidP="00DC4283">
      <w:pPr>
        <w:pStyle w:val="Textoindependiente2"/>
        <w:spacing w:line="240" w:lineRule="auto"/>
        <w:ind w:left="0" w:right="-142"/>
        <w:jc w:val="both"/>
        <w:rPr>
          <w:rFonts w:ascii="Bookman Old Style" w:hAnsi="Bookman Old Style"/>
          <w:iCs/>
          <w:szCs w:val="22"/>
          <w:bdr w:val="none" w:sz="0" w:space="0" w:color="auto" w:frame="1"/>
        </w:rPr>
      </w:pPr>
    </w:p>
    <w:p w:rsidR="00DC4283" w:rsidRPr="00DC4283" w:rsidRDefault="00DC4283" w:rsidP="00DC4283">
      <w:pPr>
        <w:pStyle w:val="Textoindependiente2"/>
        <w:spacing w:line="240" w:lineRule="auto"/>
        <w:ind w:left="0" w:right="-142"/>
        <w:jc w:val="both"/>
        <w:rPr>
          <w:rFonts w:ascii="Bookman Old Style" w:hAnsi="Bookman Old Style"/>
          <w:iCs/>
          <w:szCs w:val="22"/>
          <w:bdr w:val="none" w:sz="0" w:space="0" w:color="auto" w:frame="1"/>
        </w:rPr>
      </w:pPr>
      <w:r w:rsidRPr="00DC4283">
        <w:rPr>
          <w:rFonts w:ascii="Bookman Old Style" w:hAnsi="Bookman Old Style"/>
          <w:iCs/>
          <w:szCs w:val="22"/>
          <w:bdr w:val="none" w:sz="0" w:space="0" w:color="auto" w:frame="1"/>
        </w:rPr>
        <w:t xml:space="preserve">Por su parte, el Consejo de Estado </w:t>
      </w:r>
      <w:r>
        <w:rPr>
          <w:rFonts w:ascii="Bookman Old Style" w:hAnsi="Bookman Old Style"/>
          <w:iCs/>
          <w:szCs w:val="22"/>
          <w:bdr w:val="none" w:sz="0" w:space="0" w:color="auto" w:frame="1"/>
        </w:rPr>
        <w:t xml:space="preserve">ha señalado las diferencias entre la revocatoria de actos de carácter general y los de carácter particular  de la siguiente manera:  </w:t>
      </w:r>
    </w:p>
    <w:p w:rsidR="00BF4CFB" w:rsidRDefault="00BF4CFB" w:rsidP="00BC6DDB">
      <w:pPr>
        <w:pStyle w:val="Textoindependiente2"/>
        <w:spacing w:line="240" w:lineRule="auto"/>
        <w:ind w:left="709" w:right="-142"/>
        <w:jc w:val="both"/>
        <w:rPr>
          <w:rFonts w:ascii="Bookman Old Style" w:hAnsi="Bookman Old Style"/>
          <w:i/>
          <w:iCs/>
          <w:sz w:val="22"/>
          <w:szCs w:val="22"/>
          <w:bdr w:val="none" w:sz="0" w:space="0" w:color="auto" w:frame="1"/>
        </w:rPr>
      </w:pPr>
    </w:p>
    <w:p w:rsidR="00DC4283" w:rsidRPr="00DC4283" w:rsidRDefault="00DC4283" w:rsidP="00BC6DDB">
      <w:pPr>
        <w:pStyle w:val="Textoindependiente2"/>
        <w:spacing w:line="240" w:lineRule="auto"/>
        <w:ind w:left="709" w:right="-142"/>
        <w:jc w:val="both"/>
        <w:rPr>
          <w:rFonts w:ascii="Bookman Old Style" w:hAnsi="Bookman Old Style"/>
          <w:i/>
          <w:iCs/>
          <w:sz w:val="22"/>
          <w:szCs w:val="22"/>
          <w:bdr w:val="none" w:sz="0" w:space="0" w:color="auto" w:frame="1"/>
        </w:rPr>
      </w:pPr>
      <w:r>
        <w:rPr>
          <w:rFonts w:ascii="Bookman Old Style" w:hAnsi="Bookman Old Style"/>
          <w:i/>
          <w:iCs/>
          <w:sz w:val="22"/>
          <w:szCs w:val="22"/>
          <w:bdr w:val="none" w:sz="0" w:space="0" w:color="auto" w:frame="1"/>
        </w:rPr>
        <w:t>“</w:t>
      </w:r>
      <w:r w:rsidRPr="00DC4283">
        <w:rPr>
          <w:rFonts w:ascii="Bookman Old Style" w:hAnsi="Bookman Old Style"/>
          <w:i/>
          <w:iCs/>
          <w:sz w:val="22"/>
          <w:szCs w:val="22"/>
          <w:bdr w:val="none" w:sz="0" w:space="0" w:color="auto" w:frame="1"/>
        </w:rPr>
        <w:t xml:space="preserve">Al margen de lo anterior, para los fines que interesan al presente proceso, importa destacar que la diferencia entre la revocatoria de actos de carácter general y los de carácter particular estriba en que, en relación con los primeros , </w:t>
      </w:r>
      <w:r w:rsidRPr="006B03BC">
        <w:rPr>
          <w:rFonts w:ascii="Bookman Old Style" w:hAnsi="Bookman Old Style"/>
          <w:i/>
          <w:iCs/>
          <w:sz w:val="22"/>
          <w:szCs w:val="22"/>
          <w:u w:val="single"/>
          <w:bdr w:val="none" w:sz="0" w:space="0" w:color="auto" w:frame="1"/>
        </w:rPr>
        <w:t>tal decisión se puede adoptar en cualquier momento (siempre que no haya agotado sus efectos), con la expedición de otro acto que se limite a dejarlo sin validez , o que modifique su contenido o lo reemplace en su totalidad , sin que para ello se requiera más que la voluntad de la administración</w:t>
      </w:r>
      <w:r w:rsidRPr="00DC4283">
        <w:rPr>
          <w:rFonts w:ascii="Bookman Old Style" w:hAnsi="Bookman Old Style"/>
          <w:i/>
          <w:iCs/>
          <w:sz w:val="22"/>
          <w:szCs w:val="22"/>
          <w:bdr w:val="none" w:sz="0" w:space="0" w:color="auto" w:frame="1"/>
        </w:rPr>
        <w:t xml:space="preserve"> , pues, es debido a su esencia impersonal y abstracta , no consolida una situación particular  y concreto y por lo mismo no requiere consentimiento alguno para eliminarlo del mundo jurídico»</w:t>
      </w:r>
      <w:r>
        <w:rPr>
          <w:rStyle w:val="Refdenotaalpie"/>
          <w:rFonts w:ascii="Bookman Old Style" w:hAnsi="Bookman Old Style"/>
          <w:i/>
          <w:iCs/>
          <w:sz w:val="22"/>
          <w:szCs w:val="22"/>
          <w:bdr w:val="none" w:sz="0" w:space="0" w:color="auto" w:frame="1"/>
        </w:rPr>
        <w:footnoteReference w:id="2"/>
      </w:r>
      <w:r w:rsidR="006B03BC">
        <w:rPr>
          <w:rFonts w:ascii="Bookman Old Style" w:hAnsi="Bookman Old Style"/>
          <w:i/>
          <w:iCs/>
          <w:sz w:val="22"/>
          <w:szCs w:val="22"/>
          <w:bdr w:val="none" w:sz="0" w:space="0" w:color="auto" w:frame="1"/>
        </w:rPr>
        <w:t>.</w:t>
      </w:r>
      <w:r w:rsidRPr="00DC4283">
        <w:rPr>
          <w:rFonts w:ascii="Bookman Old Style" w:hAnsi="Bookman Old Style"/>
          <w:i/>
          <w:iCs/>
          <w:sz w:val="22"/>
          <w:szCs w:val="22"/>
          <w:bdr w:val="none" w:sz="0" w:space="0" w:color="auto" w:frame="1"/>
        </w:rPr>
        <w:t>(</w:t>
      </w:r>
      <w:r w:rsidR="006B03BC" w:rsidRPr="006B03BC">
        <w:rPr>
          <w:rFonts w:ascii="Bookman Old Style" w:hAnsi="Bookman Old Style"/>
          <w:iCs/>
          <w:sz w:val="22"/>
          <w:szCs w:val="22"/>
          <w:bdr w:val="none" w:sz="0" w:space="0" w:color="auto" w:frame="1"/>
        </w:rPr>
        <w:t>Subrayado fuera de texto</w:t>
      </w:r>
      <w:r w:rsidRPr="00DC4283">
        <w:rPr>
          <w:rFonts w:ascii="Bookman Old Style" w:hAnsi="Bookman Old Style"/>
          <w:i/>
          <w:iCs/>
          <w:sz w:val="22"/>
          <w:szCs w:val="22"/>
          <w:bdr w:val="none" w:sz="0" w:space="0" w:color="auto" w:frame="1"/>
        </w:rPr>
        <w:t>)</w:t>
      </w:r>
    </w:p>
    <w:p w:rsidR="00BF4CFB" w:rsidRDefault="00BF4CFB" w:rsidP="000056B7">
      <w:pPr>
        <w:pStyle w:val="Textoindependiente2"/>
        <w:spacing w:line="240" w:lineRule="auto"/>
        <w:ind w:left="0" w:right="-142"/>
        <w:jc w:val="both"/>
        <w:rPr>
          <w:rFonts w:ascii="Bookman Old Style" w:hAnsi="Bookman Old Style"/>
          <w:iCs/>
          <w:szCs w:val="22"/>
          <w:bdr w:val="none" w:sz="0" w:space="0" w:color="auto" w:frame="1"/>
        </w:rPr>
      </w:pPr>
    </w:p>
    <w:p w:rsidR="000056B7" w:rsidRPr="000056B7" w:rsidRDefault="000056B7" w:rsidP="000056B7">
      <w:pPr>
        <w:pStyle w:val="Textoindependiente2"/>
        <w:spacing w:line="240" w:lineRule="auto"/>
        <w:ind w:left="0" w:right="-142"/>
        <w:jc w:val="both"/>
        <w:rPr>
          <w:rFonts w:ascii="Bookman Old Style" w:hAnsi="Bookman Old Style"/>
          <w:iCs/>
          <w:szCs w:val="22"/>
          <w:bdr w:val="none" w:sz="0" w:space="0" w:color="auto" w:frame="1"/>
        </w:rPr>
      </w:pPr>
      <w:r w:rsidRPr="000056B7">
        <w:rPr>
          <w:rFonts w:ascii="Bookman Old Style" w:hAnsi="Bookman Old Style"/>
          <w:iCs/>
          <w:szCs w:val="22"/>
          <w:bdr w:val="none" w:sz="0" w:space="0" w:color="auto" w:frame="1"/>
        </w:rPr>
        <w:t>De lo anterior, se puede concluir que</w:t>
      </w:r>
      <w:r w:rsidR="00576EC1">
        <w:rPr>
          <w:rFonts w:ascii="Bookman Old Style" w:hAnsi="Bookman Old Style"/>
          <w:iCs/>
          <w:szCs w:val="22"/>
          <w:bdr w:val="none" w:sz="0" w:space="0" w:color="auto" w:frame="1"/>
        </w:rPr>
        <w:t xml:space="preserve">: 1) </w:t>
      </w:r>
      <w:r w:rsidRPr="000056B7">
        <w:rPr>
          <w:rFonts w:ascii="Bookman Old Style" w:hAnsi="Bookman Old Style"/>
          <w:iCs/>
          <w:szCs w:val="22"/>
          <w:bdr w:val="none" w:sz="0" w:space="0" w:color="auto" w:frame="1"/>
        </w:rPr>
        <w:t xml:space="preserve">la revocatoria de un acto de carácter general  no requiere de consentimiento alguno </w:t>
      </w:r>
      <w:r>
        <w:rPr>
          <w:rFonts w:ascii="Bookman Old Style" w:hAnsi="Bookman Old Style"/>
          <w:iCs/>
          <w:szCs w:val="22"/>
          <w:bdr w:val="none" w:sz="0" w:space="0" w:color="auto" w:frame="1"/>
        </w:rPr>
        <w:t>y por tanto solo se requiere de la valoración de la administración</w:t>
      </w:r>
      <w:r w:rsidR="00576EC1">
        <w:rPr>
          <w:rFonts w:ascii="Bookman Old Style" w:hAnsi="Bookman Old Style"/>
          <w:iCs/>
          <w:szCs w:val="22"/>
          <w:bdr w:val="none" w:sz="0" w:space="0" w:color="auto" w:frame="1"/>
        </w:rPr>
        <w:t xml:space="preserve">, 2) una vez es llevada a cabo sus efectos son hacia el futuro y la administración debe definir su alcance bien sea dejando sin validez el acto, modificando su contenido o reemplazándolo en su totalidad. </w:t>
      </w:r>
      <w:r>
        <w:rPr>
          <w:rFonts w:ascii="Bookman Old Style" w:hAnsi="Bookman Old Style"/>
          <w:iCs/>
          <w:szCs w:val="22"/>
          <w:bdr w:val="none" w:sz="0" w:space="0" w:color="auto" w:frame="1"/>
        </w:rPr>
        <w:t xml:space="preserve"> </w:t>
      </w:r>
    </w:p>
    <w:p w:rsidR="009D31D3" w:rsidRDefault="00155D45" w:rsidP="001C38BD">
      <w:pPr>
        <w:pStyle w:val="Textoindependiente2"/>
        <w:spacing w:line="240" w:lineRule="auto"/>
        <w:ind w:left="0" w:right="-142"/>
        <w:jc w:val="both"/>
        <w:rPr>
          <w:rFonts w:ascii="Bookman Old Style" w:hAnsi="Bookman Old Style"/>
          <w:szCs w:val="27"/>
          <w:lang w:val="es-CO"/>
        </w:rPr>
      </w:pPr>
      <w:r>
        <w:rPr>
          <w:rFonts w:ascii="Bookman Old Style" w:hAnsi="Bookman Old Style"/>
          <w:szCs w:val="27"/>
        </w:rPr>
        <w:lastRenderedPageBreak/>
        <w:t>Una vez se identifican las circunstancias precisas, la administración</w:t>
      </w:r>
      <w:r w:rsidR="00E648B6">
        <w:rPr>
          <w:rFonts w:ascii="Bookman Old Style" w:hAnsi="Bookman Old Style"/>
          <w:szCs w:val="27"/>
          <w:lang w:val="es-CO"/>
        </w:rPr>
        <w:t xml:space="preserve"> debe encuadrar su acto en alguna de las causales previstas en el artículo 93 del Código de Procedimiento Administrativo y de lo Contencioso Administrativo  a saber:  </w:t>
      </w:r>
    </w:p>
    <w:p w:rsidR="00E648B6" w:rsidRPr="00E648B6" w:rsidRDefault="00E648B6" w:rsidP="00CA2FF0">
      <w:pPr>
        <w:pStyle w:val="NormalWeb"/>
        <w:shd w:val="clear" w:color="auto" w:fill="FFFFFF"/>
        <w:ind w:left="708"/>
        <w:jc w:val="both"/>
        <w:rPr>
          <w:rFonts w:ascii="Bookman Old Style" w:hAnsi="Bookman Old Style" w:cs="Arial"/>
          <w:color w:val="000000"/>
          <w:sz w:val="22"/>
          <w:szCs w:val="27"/>
        </w:rPr>
      </w:pPr>
      <w:r>
        <w:rPr>
          <w:rFonts w:ascii="Bookman Old Style" w:hAnsi="Bookman Old Style" w:cs="Arial"/>
          <w:b/>
          <w:bCs/>
          <w:color w:val="000000"/>
          <w:sz w:val="22"/>
          <w:szCs w:val="27"/>
        </w:rPr>
        <w:t>“</w:t>
      </w:r>
      <w:r w:rsidRPr="00E648B6">
        <w:rPr>
          <w:rFonts w:ascii="Bookman Old Style" w:hAnsi="Bookman Old Style" w:cs="Arial"/>
          <w:b/>
          <w:bCs/>
          <w:color w:val="000000"/>
          <w:sz w:val="22"/>
          <w:szCs w:val="27"/>
        </w:rPr>
        <w:t>Artículo </w:t>
      </w:r>
      <w:bookmarkStart w:id="1" w:name="93"/>
      <w:r w:rsidRPr="00E648B6">
        <w:rPr>
          <w:rFonts w:ascii="Bookman Old Style" w:hAnsi="Bookman Old Style" w:cs="Arial"/>
          <w:b/>
          <w:bCs/>
          <w:color w:val="000000"/>
          <w:sz w:val="22"/>
          <w:szCs w:val="27"/>
        </w:rPr>
        <w:t> </w:t>
      </w:r>
      <w:bookmarkEnd w:id="1"/>
      <w:r w:rsidRPr="00E648B6">
        <w:rPr>
          <w:rFonts w:ascii="Bookman Old Style" w:hAnsi="Bookman Old Style" w:cs="Arial"/>
          <w:b/>
          <w:bCs/>
          <w:color w:val="000000"/>
          <w:sz w:val="22"/>
          <w:szCs w:val="27"/>
        </w:rPr>
        <w:t>93.</w:t>
      </w:r>
      <w:r w:rsidRPr="00E648B6">
        <w:rPr>
          <w:rStyle w:val="apple-converted-space"/>
          <w:rFonts w:ascii="Bookman Old Style" w:hAnsi="Bookman Old Style" w:cs="Arial"/>
          <w:b/>
          <w:bCs/>
          <w:color w:val="000000"/>
          <w:sz w:val="22"/>
          <w:szCs w:val="27"/>
        </w:rPr>
        <w:t> </w:t>
      </w:r>
      <w:r w:rsidRPr="00E648B6">
        <w:rPr>
          <w:rFonts w:ascii="Bookman Old Style" w:hAnsi="Bookman Old Style" w:cs="Arial"/>
          <w:b/>
          <w:bCs/>
          <w:i/>
          <w:iCs/>
          <w:color w:val="000000"/>
          <w:sz w:val="22"/>
          <w:szCs w:val="27"/>
        </w:rPr>
        <w:t>Causales de revocación.</w:t>
      </w:r>
      <w:r w:rsidRPr="00E648B6">
        <w:rPr>
          <w:rStyle w:val="apple-converted-space"/>
          <w:rFonts w:ascii="Bookman Old Style" w:hAnsi="Bookman Old Style" w:cs="Arial"/>
          <w:i/>
          <w:iCs/>
          <w:color w:val="000000"/>
          <w:sz w:val="22"/>
          <w:szCs w:val="27"/>
        </w:rPr>
        <w:t> </w:t>
      </w:r>
      <w:r w:rsidRPr="00E648B6">
        <w:rPr>
          <w:rFonts w:ascii="Bookman Old Style" w:hAnsi="Bookman Old Style" w:cs="Arial"/>
          <w:color w:val="000000"/>
          <w:sz w:val="22"/>
          <w:szCs w:val="27"/>
        </w:rPr>
        <w:t>Los actos administrativos deberán ser revocados por las mismas autoridades que los hayan expedido o por sus inmediatos superiores jerárquicos o funcionales, de oficio o a solicitud de parte, en cualquiera de los siguientes casos:</w:t>
      </w:r>
    </w:p>
    <w:p w:rsidR="00E648B6" w:rsidRPr="00E648B6" w:rsidRDefault="00E648B6" w:rsidP="00E648B6">
      <w:pPr>
        <w:pStyle w:val="NormalWeb"/>
        <w:shd w:val="clear" w:color="auto" w:fill="FFFFFF"/>
        <w:ind w:left="708"/>
        <w:jc w:val="both"/>
        <w:rPr>
          <w:rFonts w:ascii="Bookman Old Style" w:hAnsi="Bookman Old Style" w:cs="Arial"/>
          <w:color w:val="000000"/>
          <w:sz w:val="22"/>
          <w:szCs w:val="27"/>
        </w:rPr>
      </w:pPr>
      <w:r w:rsidRPr="00E648B6">
        <w:rPr>
          <w:rFonts w:ascii="Bookman Old Style" w:hAnsi="Bookman Old Style" w:cs="Arial"/>
          <w:color w:val="000000"/>
          <w:sz w:val="22"/>
          <w:szCs w:val="27"/>
        </w:rPr>
        <w:t>1. Cuando sea manifiesta su oposición a la Constitución Política o a la ley.</w:t>
      </w:r>
    </w:p>
    <w:p w:rsidR="00E648B6" w:rsidRPr="00E648B6" w:rsidRDefault="00E648B6" w:rsidP="00E648B6">
      <w:pPr>
        <w:pStyle w:val="NormalWeb"/>
        <w:shd w:val="clear" w:color="auto" w:fill="FFFFFF"/>
        <w:ind w:left="708"/>
        <w:jc w:val="both"/>
        <w:rPr>
          <w:rFonts w:ascii="Bookman Old Style" w:hAnsi="Bookman Old Style" w:cs="Arial"/>
          <w:color w:val="000000"/>
          <w:sz w:val="22"/>
          <w:szCs w:val="27"/>
        </w:rPr>
      </w:pPr>
      <w:r w:rsidRPr="00E648B6">
        <w:rPr>
          <w:rFonts w:ascii="Bookman Old Style" w:hAnsi="Bookman Old Style" w:cs="Arial"/>
          <w:color w:val="000000"/>
          <w:sz w:val="22"/>
          <w:szCs w:val="27"/>
        </w:rPr>
        <w:t>2. Cuando no estén conformes con el interés público o social, o atenten contra él.</w:t>
      </w:r>
    </w:p>
    <w:p w:rsidR="00E648B6" w:rsidRPr="00E648B6" w:rsidRDefault="00E648B6" w:rsidP="00CA2FF0">
      <w:pPr>
        <w:pStyle w:val="NormalWeb"/>
        <w:shd w:val="clear" w:color="auto" w:fill="FFFFFF"/>
        <w:ind w:left="708"/>
        <w:jc w:val="both"/>
        <w:rPr>
          <w:rFonts w:ascii="Bookman Old Style" w:hAnsi="Bookman Old Style" w:cs="Arial"/>
          <w:color w:val="000000"/>
          <w:sz w:val="22"/>
          <w:szCs w:val="27"/>
        </w:rPr>
      </w:pPr>
      <w:r w:rsidRPr="00E648B6">
        <w:rPr>
          <w:rFonts w:ascii="Bookman Old Style" w:hAnsi="Bookman Old Style" w:cs="Arial"/>
          <w:color w:val="000000"/>
          <w:sz w:val="22"/>
          <w:szCs w:val="27"/>
        </w:rPr>
        <w:t>3. Cuando con ellos se cause agravio injustificado a una persona</w:t>
      </w:r>
      <w:r>
        <w:rPr>
          <w:rFonts w:ascii="Bookman Old Style" w:hAnsi="Bookman Old Style" w:cs="Arial"/>
          <w:color w:val="000000"/>
          <w:sz w:val="22"/>
          <w:szCs w:val="27"/>
        </w:rPr>
        <w:t>”</w:t>
      </w:r>
      <w:r w:rsidRPr="00E648B6">
        <w:rPr>
          <w:rFonts w:ascii="Bookman Old Style" w:hAnsi="Bookman Old Style" w:cs="Arial"/>
          <w:color w:val="000000"/>
          <w:sz w:val="22"/>
          <w:szCs w:val="27"/>
        </w:rPr>
        <w:t>.</w:t>
      </w:r>
    </w:p>
    <w:p w:rsidR="007F1015" w:rsidRDefault="007F1015" w:rsidP="001C38BD">
      <w:pPr>
        <w:pStyle w:val="Textoindependiente2"/>
        <w:spacing w:line="240" w:lineRule="auto"/>
        <w:ind w:left="0" w:right="-142"/>
        <w:jc w:val="both"/>
        <w:rPr>
          <w:rFonts w:ascii="Bookman Old Style" w:hAnsi="Bookman Old Style"/>
          <w:szCs w:val="27"/>
          <w:lang w:val="es-CO"/>
        </w:rPr>
      </w:pPr>
      <w:r>
        <w:rPr>
          <w:rFonts w:ascii="Bookman Old Style" w:hAnsi="Bookman Old Style"/>
          <w:szCs w:val="27"/>
          <w:lang w:val="es-CO"/>
        </w:rPr>
        <w:t>En relación con lo que debe entenderse como “interés público” la Corte Constitucional ha expuesto lo siguiente:</w:t>
      </w:r>
    </w:p>
    <w:p w:rsidR="007F1015" w:rsidRPr="007F1015" w:rsidRDefault="00E179B7" w:rsidP="00CA2FF0">
      <w:pPr>
        <w:pStyle w:val="NormalWeb"/>
        <w:shd w:val="clear" w:color="auto" w:fill="FFFFFF"/>
        <w:ind w:left="708"/>
        <w:jc w:val="both"/>
        <w:rPr>
          <w:rFonts w:ascii="Bookman Old Style" w:hAnsi="Bookman Old Style" w:cs="Arial"/>
          <w:color w:val="000000"/>
          <w:sz w:val="22"/>
          <w:szCs w:val="27"/>
        </w:rPr>
      </w:pPr>
      <w:r>
        <w:rPr>
          <w:rFonts w:ascii="Bookman Old Style" w:hAnsi="Bookman Old Style" w:cs="Arial"/>
          <w:color w:val="000000"/>
          <w:sz w:val="22"/>
          <w:szCs w:val="27"/>
        </w:rPr>
        <w:t>“</w:t>
      </w:r>
      <w:r w:rsidR="007F1015" w:rsidRPr="00C314A1">
        <w:rPr>
          <w:rFonts w:ascii="Bookman Old Style" w:hAnsi="Bookman Old Style" w:cs="Arial"/>
          <w:i/>
          <w:color w:val="000000"/>
          <w:sz w:val="22"/>
          <w:szCs w:val="27"/>
        </w:rPr>
        <w:t>Según la Corte Constitucional decir que la actividad financiera es de “interés público” significa que “esta actividad debe buscar el bienestar general. Si bien no hay definición constitucional ni legal sobre “interés público” es un concepto que conlleva atender el interés general o el bien común, y no solo tener en cuenta consideraciones de interés patrimonial</w:t>
      </w:r>
      <w:r>
        <w:rPr>
          <w:rFonts w:ascii="Bookman Old Style" w:hAnsi="Bookman Old Style" w:cs="Arial"/>
          <w:color w:val="000000"/>
          <w:sz w:val="22"/>
          <w:szCs w:val="27"/>
        </w:rPr>
        <w:t>”</w:t>
      </w:r>
      <w:r w:rsidR="007F1015" w:rsidRPr="007F1015">
        <w:rPr>
          <w:rFonts w:ascii="Bookman Old Style" w:hAnsi="Bookman Old Style" w:cs="Arial"/>
          <w:color w:val="000000"/>
          <w:sz w:val="22"/>
          <w:szCs w:val="27"/>
        </w:rPr>
        <w:t>.</w:t>
      </w:r>
    </w:p>
    <w:p w:rsidR="00C314A1" w:rsidRPr="00C314A1" w:rsidRDefault="00C314A1" w:rsidP="00C314A1">
      <w:pPr>
        <w:pStyle w:val="Textoindependiente2"/>
        <w:spacing w:line="240" w:lineRule="auto"/>
        <w:ind w:left="708" w:right="-142"/>
        <w:jc w:val="both"/>
        <w:rPr>
          <w:rFonts w:ascii="Bookman Old Style" w:hAnsi="Bookman Old Style"/>
          <w:sz w:val="20"/>
          <w:szCs w:val="27"/>
          <w:lang w:val="es-CO"/>
        </w:rPr>
      </w:pPr>
      <w:r>
        <w:rPr>
          <w:rFonts w:ascii="Bookman Old Style" w:hAnsi="Bookman Old Style"/>
          <w:i/>
          <w:iCs/>
          <w:color w:val="2D2D2D"/>
          <w:sz w:val="22"/>
          <w:szCs w:val="28"/>
          <w:bdr w:val="none" w:sz="0" w:space="0" w:color="auto" w:frame="1"/>
        </w:rPr>
        <w:t>“</w:t>
      </w:r>
      <w:r w:rsidRPr="00C314A1">
        <w:rPr>
          <w:rFonts w:ascii="Bookman Old Style" w:hAnsi="Bookman Old Style"/>
          <w:i/>
          <w:iCs/>
          <w:color w:val="2D2D2D"/>
          <w:sz w:val="22"/>
          <w:szCs w:val="28"/>
          <w:bdr w:val="none" w:sz="0" w:space="0" w:color="auto" w:frame="1"/>
        </w:rPr>
        <w:t>El concepto de interés general es una cláusula más indeterminada cuyo contenido ha de hacerse explícito en cada caso concreto.  Entre tanto, el de “interés social”, que la Constitución emplea es una concreción del interés general que se relaciona de manera inmediata con la definición del Estado como social y de derecho</w:t>
      </w:r>
      <w:r>
        <w:rPr>
          <w:rStyle w:val="Refdenotaalpie"/>
          <w:rFonts w:ascii="Bookman Old Style" w:hAnsi="Bookman Old Style"/>
          <w:i/>
          <w:iCs/>
          <w:color w:val="2D2D2D"/>
          <w:sz w:val="22"/>
          <w:szCs w:val="28"/>
          <w:bdr w:val="none" w:sz="0" w:space="0" w:color="auto" w:frame="1"/>
        </w:rPr>
        <w:footnoteReference w:id="3"/>
      </w:r>
      <w:r w:rsidRPr="00C314A1">
        <w:rPr>
          <w:rFonts w:ascii="Bookman Old Style" w:hAnsi="Bookman Old Style"/>
          <w:i/>
          <w:iCs/>
          <w:color w:val="2D2D2D"/>
          <w:sz w:val="22"/>
          <w:szCs w:val="28"/>
          <w:bdr w:val="none" w:sz="0" w:space="0" w:color="auto" w:frame="1"/>
        </w:rPr>
        <w:t>.</w:t>
      </w:r>
    </w:p>
    <w:p w:rsidR="00BF4CFB" w:rsidRDefault="00BF4CFB" w:rsidP="001C38BD">
      <w:pPr>
        <w:pStyle w:val="Textoindependiente2"/>
        <w:spacing w:line="240" w:lineRule="auto"/>
        <w:ind w:left="0" w:right="-142"/>
        <w:jc w:val="both"/>
        <w:rPr>
          <w:rFonts w:ascii="Bookman Old Style" w:hAnsi="Bookman Old Style"/>
          <w:szCs w:val="27"/>
          <w:lang w:val="es-CO"/>
        </w:rPr>
      </w:pPr>
    </w:p>
    <w:p w:rsidR="00190044" w:rsidRDefault="00155D45" w:rsidP="001C38BD">
      <w:pPr>
        <w:pStyle w:val="Textoindependiente2"/>
        <w:spacing w:line="240" w:lineRule="auto"/>
        <w:ind w:left="0" w:right="-142"/>
        <w:jc w:val="both"/>
        <w:rPr>
          <w:rFonts w:ascii="Bookman Old Style" w:hAnsi="Bookman Old Style"/>
          <w:szCs w:val="27"/>
          <w:lang w:val="es-CO"/>
        </w:rPr>
      </w:pPr>
      <w:r>
        <w:rPr>
          <w:rFonts w:ascii="Bookman Old Style" w:hAnsi="Bookman Old Style"/>
          <w:szCs w:val="27"/>
          <w:lang w:val="es-CO"/>
        </w:rPr>
        <w:t xml:space="preserve">En el caso en concreto, se identifica que el contenido del artículo </w:t>
      </w:r>
      <w:r w:rsidR="007550D8">
        <w:rPr>
          <w:rFonts w:ascii="Bookman Old Style" w:hAnsi="Bookman Old Style"/>
          <w:szCs w:val="27"/>
          <w:lang w:val="es-CO"/>
        </w:rPr>
        <w:t xml:space="preserve">1 de la Resolución CREG 176 de 2011 por el cual se modifica el artículo </w:t>
      </w:r>
      <w:r>
        <w:rPr>
          <w:rFonts w:ascii="Bookman Old Style" w:hAnsi="Bookman Old Style"/>
          <w:szCs w:val="27"/>
          <w:lang w:val="es-CO"/>
        </w:rPr>
        <w:t>10 de la Resolución CREG 050 de 2009,</w:t>
      </w:r>
      <w:r w:rsidR="007550D8">
        <w:rPr>
          <w:rFonts w:ascii="Bookman Old Style" w:hAnsi="Bookman Old Style"/>
          <w:szCs w:val="27"/>
          <w:lang w:val="es-CO"/>
        </w:rPr>
        <w:t xml:space="preserve"> </w:t>
      </w:r>
      <w:r>
        <w:rPr>
          <w:rFonts w:ascii="Bookman Old Style" w:hAnsi="Bookman Old Style"/>
          <w:szCs w:val="27"/>
          <w:lang w:val="es-CO"/>
        </w:rPr>
        <w:t>no está conforme con el interés p</w:t>
      </w:r>
      <w:r w:rsidR="007550D8">
        <w:rPr>
          <w:rFonts w:ascii="Bookman Old Style" w:hAnsi="Bookman Old Style"/>
          <w:szCs w:val="27"/>
          <w:lang w:val="es-CO"/>
        </w:rPr>
        <w:t>úblico</w:t>
      </w:r>
      <w:r w:rsidR="000B51DC">
        <w:rPr>
          <w:rFonts w:ascii="Bookman Old Style" w:hAnsi="Bookman Old Style"/>
          <w:szCs w:val="27"/>
          <w:lang w:val="es-CO"/>
        </w:rPr>
        <w:t>, el bienestar general o el bien común</w:t>
      </w:r>
      <w:r w:rsidR="007550D8">
        <w:rPr>
          <w:rFonts w:ascii="Bookman Old Style" w:hAnsi="Bookman Old Style"/>
          <w:szCs w:val="27"/>
          <w:lang w:val="es-CO"/>
        </w:rPr>
        <w:t xml:space="preserve"> debido a que</w:t>
      </w:r>
      <w:r w:rsidR="000056B7">
        <w:rPr>
          <w:rFonts w:ascii="Bookman Old Style" w:hAnsi="Bookman Old Style"/>
          <w:szCs w:val="27"/>
          <w:lang w:val="es-CO"/>
        </w:rPr>
        <w:t xml:space="preserve"> su aplicación</w:t>
      </w:r>
      <w:r w:rsidR="007550D8">
        <w:rPr>
          <w:rFonts w:ascii="Bookman Old Style" w:hAnsi="Bookman Old Style"/>
          <w:szCs w:val="27"/>
          <w:lang w:val="es-CO"/>
        </w:rPr>
        <w:t xml:space="preserve"> </w:t>
      </w:r>
      <w:r w:rsidR="000B51DC">
        <w:rPr>
          <w:rFonts w:ascii="Bookman Old Style" w:hAnsi="Bookman Old Style"/>
          <w:szCs w:val="27"/>
          <w:lang w:val="es-CO"/>
        </w:rPr>
        <w:t>de acuerdo con las circu</w:t>
      </w:r>
      <w:r w:rsidR="00C314A1">
        <w:rPr>
          <w:rFonts w:ascii="Bookman Old Style" w:hAnsi="Bookman Old Style"/>
          <w:szCs w:val="27"/>
          <w:lang w:val="es-CO"/>
        </w:rPr>
        <w:t>n</w:t>
      </w:r>
      <w:r w:rsidR="000B51DC">
        <w:rPr>
          <w:rFonts w:ascii="Bookman Old Style" w:hAnsi="Bookman Old Style"/>
          <w:szCs w:val="27"/>
          <w:lang w:val="es-CO"/>
        </w:rPr>
        <w:t xml:space="preserve">stancias y los comportamientos de los agentes dentro del mercado de GLP </w:t>
      </w:r>
      <w:r w:rsidR="007550D8">
        <w:rPr>
          <w:rFonts w:ascii="Bookman Old Style" w:hAnsi="Bookman Old Style"/>
          <w:szCs w:val="27"/>
          <w:lang w:val="es-CO"/>
        </w:rPr>
        <w:t>ocasiona un</w:t>
      </w:r>
      <w:r w:rsidR="003B5199">
        <w:rPr>
          <w:rFonts w:ascii="Bookman Old Style" w:hAnsi="Bookman Old Style"/>
          <w:szCs w:val="27"/>
          <w:lang w:val="es-CO"/>
        </w:rPr>
        <w:t>a</w:t>
      </w:r>
      <w:r w:rsidR="007550D8">
        <w:rPr>
          <w:rFonts w:ascii="Bookman Old Style" w:hAnsi="Bookman Old Style"/>
          <w:szCs w:val="27"/>
          <w:lang w:val="es-CO"/>
        </w:rPr>
        <w:t xml:space="preserve">  </w:t>
      </w:r>
      <w:r w:rsidR="003B5199">
        <w:rPr>
          <w:rFonts w:ascii="Bookman Old Style" w:hAnsi="Bookman Old Style"/>
          <w:szCs w:val="27"/>
          <w:lang w:val="es-CO"/>
        </w:rPr>
        <w:t>inestabilidad en el cálculo mensual del cargo de la estampilla</w:t>
      </w:r>
      <w:r w:rsidR="00190044">
        <w:rPr>
          <w:rFonts w:ascii="Bookman Old Style" w:hAnsi="Bookman Old Style"/>
          <w:szCs w:val="27"/>
          <w:lang w:val="es-CO"/>
        </w:rPr>
        <w:t xml:space="preserve">, la cual afecta </w:t>
      </w:r>
      <w:r w:rsidR="000B51DC">
        <w:rPr>
          <w:rFonts w:ascii="Bookman Old Style" w:hAnsi="Bookman Old Style"/>
          <w:szCs w:val="27"/>
          <w:lang w:val="es-CO"/>
        </w:rPr>
        <w:t>negativamente a los usuarios d</w:t>
      </w:r>
      <w:r w:rsidR="00190044">
        <w:rPr>
          <w:rFonts w:ascii="Bookman Old Style" w:hAnsi="Bookman Old Style"/>
          <w:szCs w:val="27"/>
          <w:lang w:val="es-CO"/>
        </w:rPr>
        <w:t>el continente</w:t>
      </w:r>
      <w:r w:rsidR="000B51DC">
        <w:rPr>
          <w:rFonts w:ascii="Bookman Old Style" w:hAnsi="Bookman Old Style"/>
          <w:szCs w:val="27"/>
          <w:lang w:val="es-CO"/>
        </w:rPr>
        <w:t xml:space="preserve"> a los cuales se les traslada en las tarifas los costos de transporte de GLP por ductos</w:t>
      </w:r>
      <w:r w:rsidR="00190044">
        <w:rPr>
          <w:rFonts w:ascii="Bookman Old Style" w:hAnsi="Bookman Old Style"/>
          <w:szCs w:val="27"/>
          <w:lang w:val="es-CO"/>
        </w:rPr>
        <w:t xml:space="preserve">. </w:t>
      </w:r>
    </w:p>
    <w:p w:rsidR="00190044" w:rsidRDefault="00730938" w:rsidP="001C38BD">
      <w:pPr>
        <w:pStyle w:val="Textoindependiente2"/>
        <w:spacing w:line="240" w:lineRule="auto"/>
        <w:ind w:left="0" w:right="-142"/>
        <w:jc w:val="both"/>
        <w:rPr>
          <w:rFonts w:ascii="Bookman Old Style" w:hAnsi="Bookman Old Style"/>
          <w:szCs w:val="27"/>
          <w:lang w:val="es-CO"/>
        </w:rPr>
      </w:pPr>
      <w:r>
        <w:rPr>
          <w:rFonts w:ascii="Bookman Old Style" w:hAnsi="Bookman Old Style"/>
          <w:szCs w:val="27"/>
          <w:lang w:val="es-CO"/>
        </w:rPr>
        <w:t xml:space="preserve">Dicha inestabilidad en el cálculo </w:t>
      </w:r>
      <w:r w:rsidR="000B51DC">
        <w:rPr>
          <w:rFonts w:ascii="Bookman Old Style" w:hAnsi="Bookman Old Style"/>
          <w:szCs w:val="27"/>
          <w:lang w:val="es-CO"/>
        </w:rPr>
        <w:t>afecta la aplicación</w:t>
      </w:r>
      <w:r>
        <w:rPr>
          <w:rFonts w:ascii="Bookman Old Style" w:hAnsi="Bookman Old Style"/>
          <w:szCs w:val="27"/>
          <w:lang w:val="es-CO"/>
        </w:rPr>
        <w:t xml:space="preserve"> </w:t>
      </w:r>
      <w:r w:rsidR="000B51DC">
        <w:rPr>
          <w:rFonts w:ascii="Bookman Old Style" w:hAnsi="Bookman Old Style"/>
          <w:szCs w:val="27"/>
          <w:lang w:val="es-CO"/>
        </w:rPr>
        <w:t>d</w:t>
      </w:r>
      <w:r w:rsidR="00C16BB4">
        <w:rPr>
          <w:rFonts w:ascii="Bookman Old Style" w:hAnsi="Bookman Old Style"/>
          <w:szCs w:val="27"/>
          <w:lang w:val="es-CO"/>
        </w:rPr>
        <w:t xml:space="preserve">el principio de eficiencia </w:t>
      </w:r>
      <w:r>
        <w:rPr>
          <w:rFonts w:ascii="Bookman Old Style" w:hAnsi="Bookman Old Style"/>
          <w:szCs w:val="27"/>
          <w:lang w:val="es-CO"/>
        </w:rPr>
        <w:t xml:space="preserve"> económica, en la medida en que ocasiona un comportamiento exponencial en el traslado de valores calculados </w:t>
      </w:r>
      <w:r w:rsidR="000B51DC">
        <w:rPr>
          <w:rFonts w:ascii="Bookman Old Style" w:hAnsi="Bookman Old Style"/>
          <w:szCs w:val="27"/>
          <w:lang w:val="es-CO"/>
        </w:rPr>
        <w:t>dentro del recaudo de</w:t>
      </w:r>
      <w:r>
        <w:rPr>
          <w:rFonts w:ascii="Bookman Old Style" w:hAnsi="Bookman Old Style"/>
          <w:szCs w:val="27"/>
          <w:lang w:val="es-CO"/>
        </w:rPr>
        <w:t xml:space="preserve"> la estampilla</w:t>
      </w:r>
      <w:r w:rsidR="000B51DC">
        <w:rPr>
          <w:rFonts w:ascii="Bookman Old Style" w:hAnsi="Bookman Old Style"/>
          <w:szCs w:val="27"/>
          <w:lang w:val="es-CO"/>
        </w:rPr>
        <w:t>, esto, sin perjuicio de la existencia de una limitante en relación a la forma como se remunera la actividad de transporte de GLP de acuerdo con lo previsto en la metodología</w:t>
      </w:r>
      <w:r>
        <w:rPr>
          <w:rFonts w:ascii="Bookman Old Style" w:hAnsi="Bookman Old Style"/>
          <w:szCs w:val="27"/>
          <w:lang w:val="es-CO"/>
        </w:rPr>
        <w:t xml:space="preserve">. </w:t>
      </w:r>
    </w:p>
    <w:p w:rsidR="00A11297" w:rsidRDefault="00A1720D" w:rsidP="001C38BD">
      <w:pPr>
        <w:pStyle w:val="Textoindependiente2"/>
        <w:spacing w:line="240" w:lineRule="auto"/>
        <w:ind w:left="0" w:right="-142"/>
        <w:jc w:val="both"/>
        <w:rPr>
          <w:rFonts w:ascii="Bookman Old Style" w:hAnsi="Bookman Old Style"/>
          <w:szCs w:val="27"/>
          <w:lang w:val="es-CO"/>
        </w:rPr>
      </w:pPr>
      <w:r>
        <w:rPr>
          <w:rFonts w:ascii="Bookman Old Style" w:hAnsi="Bookman Old Style"/>
          <w:szCs w:val="27"/>
          <w:lang w:val="es-CO"/>
        </w:rPr>
        <w:lastRenderedPageBreak/>
        <w:t xml:space="preserve">El comportamiento exponencial </w:t>
      </w:r>
      <w:r w:rsidR="000B51DC">
        <w:rPr>
          <w:rFonts w:ascii="Bookman Old Style" w:hAnsi="Bookman Old Style"/>
          <w:szCs w:val="27"/>
          <w:lang w:val="es-CO"/>
        </w:rPr>
        <w:t>en la aplicación d</w:t>
      </w:r>
      <w:r w:rsidR="00864CED">
        <w:rPr>
          <w:rFonts w:ascii="Bookman Old Style" w:hAnsi="Bookman Old Style"/>
          <w:szCs w:val="27"/>
          <w:lang w:val="es-CO"/>
        </w:rPr>
        <w:t xml:space="preserve">el cálculo de la </w:t>
      </w:r>
      <w:r w:rsidR="000B51DC">
        <w:rPr>
          <w:rFonts w:ascii="Bookman Old Style" w:hAnsi="Bookman Old Style"/>
          <w:szCs w:val="27"/>
          <w:lang w:val="es-CO"/>
        </w:rPr>
        <w:t xml:space="preserve">estampilla </w:t>
      </w:r>
      <w:r>
        <w:rPr>
          <w:rFonts w:ascii="Bookman Old Style" w:hAnsi="Bookman Old Style"/>
          <w:szCs w:val="27"/>
          <w:lang w:val="es-CO"/>
        </w:rPr>
        <w:t xml:space="preserve">no está conforme con el interés público, en la medida en que </w:t>
      </w:r>
      <w:r w:rsidR="00A11297">
        <w:rPr>
          <w:rFonts w:ascii="Bookman Old Style" w:hAnsi="Bookman Old Style"/>
          <w:szCs w:val="27"/>
          <w:lang w:val="es-CO"/>
        </w:rPr>
        <w:t xml:space="preserve">los usuarios del continente </w:t>
      </w:r>
      <w:r w:rsidR="000B51DC">
        <w:rPr>
          <w:rFonts w:ascii="Bookman Old Style" w:hAnsi="Bookman Old Style"/>
          <w:szCs w:val="27"/>
          <w:lang w:val="es-CO"/>
        </w:rPr>
        <w:t>están</w:t>
      </w:r>
      <w:r>
        <w:rPr>
          <w:rFonts w:ascii="Bookman Old Style" w:hAnsi="Bookman Old Style"/>
          <w:szCs w:val="27"/>
          <w:lang w:val="es-CO"/>
        </w:rPr>
        <w:t xml:space="preserve"> asumi</w:t>
      </w:r>
      <w:r w:rsidR="000B51DC">
        <w:rPr>
          <w:rFonts w:ascii="Bookman Old Style" w:hAnsi="Bookman Old Style"/>
          <w:szCs w:val="27"/>
          <w:lang w:val="es-CO"/>
        </w:rPr>
        <w:t>endo</w:t>
      </w:r>
      <w:r>
        <w:rPr>
          <w:rFonts w:ascii="Bookman Old Style" w:hAnsi="Bookman Old Style"/>
          <w:szCs w:val="27"/>
          <w:lang w:val="es-CO"/>
        </w:rPr>
        <w:t xml:space="preserve"> unos </w:t>
      </w:r>
      <w:r w:rsidR="00A11297">
        <w:rPr>
          <w:rFonts w:ascii="Bookman Old Style" w:hAnsi="Bookman Old Style"/>
          <w:szCs w:val="27"/>
          <w:lang w:val="es-CO"/>
        </w:rPr>
        <w:t>mayores valores al valor eficiente para remunerar la infraestructura de transporte y distribución al archipiélago de San Andrés, Providencia y Santa Catalina.</w:t>
      </w:r>
    </w:p>
    <w:p w:rsidR="00F8754E" w:rsidRDefault="005958A2" w:rsidP="001C38BD">
      <w:pPr>
        <w:pStyle w:val="Textoindependiente2"/>
        <w:spacing w:line="240" w:lineRule="auto"/>
        <w:ind w:left="0" w:right="-142"/>
        <w:jc w:val="both"/>
        <w:rPr>
          <w:rFonts w:ascii="Bookman Old Style" w:hAnsi="Bookman Old Style"/>
          <w:szCs w:val="27"/>
          <w:lang w:val="es-CO"/>
        </w:rPr>
      </w:pPr>
      <w:r>
        <w:rPr>
          <w:rFonts w:ascii="Bookman Old Style" w:hAnsi="Bookman Old Style"/>
          <w:szCs w:val="27"/>
          <w:lang w:val="es-CO"/>
        </w:rPr>
        <w:t xml:space="preserve">Como consecuencia de la sensibilidad de la fórmula de cálculo de la estampilla frente a cambios en la demanda, aquella se desestabilizó por  el comportamiento de la demanda de  transporte por ducto en el continente, la cual entre el periodo comprendido entre 2011 y 2015 tuvo una reducción del  60%. </w:t>
      </w:r>
      <w:r w:rsidR="00A11297">
        <w:rPr>
          <w:rFonts w:ascii="Bookman Old Style" w:hAnsi="Bookman Old Style"/>
          <w:szCs w:val="27"/>
          <w:lang w:val="es-CO"/>
        </w:rPr>
        <w:t>Considerando que el sistema de transp</w:t>
      </w:r>
      <w:r w:rsidR="00F8754E">
        <w:rPr>
          <w:rFonts w:ascii="Bookman Old Style" w:hAnsi="Bookman Old Style"/>
          <w:szCs w:val="27"/>
          <w:lang w:val="es-CO"/>
        </w:rPr>
        <w:t>orte de GLP a nivel nacional tiene como característica principal el uso multimodal,</w:t>
      </w:r>
      <w:r w:rsidR="00F6517A">
        <w:rPr>
          <w:rFonts w:ascii="Bookman Old Style" w:hAnsi="Bookman Old Style"/>
          <w:szCs w:val="27"/>
          <w:lang w:val="es-CO"/>
        </w:rPr>
        <w:t xml:space="preserve"> </w:t>
      </w:r>
      <w:r w:rsidR="00F8754E">
        <w:rPr>
          <w:rFonts w:ascii="Bookman Old Style" w:hAnsi="Bookman Old Style"/>
          <w:szCs w:val="27"/>
          <w:lang w:val="es-CO"/>
        </w:rPr>
        <w:t xml:space="preserve">que incluye activos como propanoductos, poliductos, isotanques e infraestructura de almacenamiento y es remunerada a través de la demanda tanto del continente como de la isla </w:t>
      </w:r>
      <w:r w:rsidR="00C16BB4">
        <w:rPr>
          <w:rFonts w:ascii="Bookman Old Style" w:hAnsi="Bookman Old Style"/>
          <w:szCs w:val="27"/>
          <w:lang w:val="es-CO"/>
        </w:rPr>
        <w:t xml:space="preserve">se debe </w:t>
      </w:r>
      <w:r w:rsidR="000B51DC">
        <w:rPr>
          <w:rFonts w:ascii="Bookman Old Style" w:hAnsi="Bookman Old Style"/>
          <w:szCs w:val="27"/>
          <w:lang w:val="es-CO"/>
        </w:rPr>
        <w:t>garantizar la finalidad de</w:t>
      </w:r>
      <w:r w:rsidR="00C16BB4">
        <w:rPr>
          <w:rFonts w:ascii="Bookman Old Style" w:hAnsi="Bookman Old Style"/>
          <w:szCs w:val="27"/>
          <w:lang w:val="es-CO"/>
        </w:rPr>
        <w:t xml:space="preserve"> </w:t>
      </w:r>
      <w:r w:rsidR="000B51DC">
        <w:rPr>
          <w:rFonts w:ascii="Bookman Old Style" w:hAnsi="Bookman Old Style"/>
          <w:szCs w:val="27"/>
          <w:lang w:val="es-CO"/>
        </w:rPr>
        <w:t>dar un</w:t>
      </w:r>
      <w:r w:rsidR="00C16BB4">
        <w:rPr>
          <w:rFonts w:ascii="Bookman Old Style" w:hAnsi="Bookman Old Style"/>
          <w:szCs w:val="27"/>
          <w:lang w:val="es-CO"/>
        </w:rPr>
        <w:t xml:space="preserve"> tratamiento simétrico en </w:t>
      </w:r>
      <w:r w:rsidR="00113B87">
        <w:rPr>
          <w:rFonts w:ascii="Bookman Old Style" w:hAnsi="Bookman Old Style"/>
          <w:szCs w:val="27"/>
          <w:lang w:val="es-CO"/>
        </w:rPr>
        <w:t xml:space="preserve">la regla que se defina para llevar a cabo </w:t>
      </w:r>
      <w:r w:rsidR="00C16BB4">
        <w:rPr>
          <w:rFonts w:ascii="Bookman Old Style" w:hAnsi="Bookman Old Style"/>
          <w:szCs w:val="27"/>
          <w:lang w:val="es-CO"/>
        </w:rPr>
        <w:t xml:space="preserve">el traslado de costos para remunerar dicho sistema.   </w:t>
      </w:r>
    </w:p>
    <w:p w:rsidR="00113B87" w:rsidRDefault="00001EC3" w:rsidP="001C38BD">
      <w:pPr>
        <w:pStyle w:val="Textoindependiente2"/>
        <w:spacing w:line="240" w:lineRule="auto"/>
        <w:ind w:left="0" w:right="-142"/>
        <w:jc w:val="both"/>
        <w:rPr>
          <w:rFonts w:ascii="Bookman Old Style" w:hAnsi="Bookman Old Style"/>
          <w:szCs w:val="27"/>
          <w:lang w:val="es-CO"/>
        </w:rPr>
      </w:pPr>
      <w:r>
        <w:rPr>
          <w:rFonts w:ascii="Bookman Old Style" w:hAnsi="Bookman Old Style"/>
          <w:szCs w:val="27"/>
          <w:lang w:val="es-CO"/>
        </w:rPr>
        <w:t>Del  análisis presentado se concluye que dada la afectación al interés general por los efectos de la aplicación de la Resolución CREG 176 de 2011, es</w:t>
      </w:r>
      <w:r w:rsidR="00113B87">
        <w:rPr>
          <w:rFonts w:ascii="Bookman Old Style" w:hAnsi="Bookman Old Style"/>
          <w:szCs w:val="27"/>
          <w:lang w:val="es-CO"/>
        </w:rPr>
        <w:t xml:space="preserve"> procedente</w:t>
      </w:r>
      <w:r>
        <w:rPr>
          <w:rFonts w:ascii="Bookman Old Style" w:hAnsi="Bookman Old Style"/>
          <w:szCs w:val="27"/>
          <w:lang w:val="es-CO"/>
        </w:rPr>
        <w:t xml:space="preserve"> llevar a cabo una revocatoria directa del acto, cuyos </w:t>
      </w:r>
      <w:r w:rsidR="00113B87">
        <w:rPr>
          <w:rFonts w:ascii="Bookman Old Style" w:hAnsi="Bookman Old Style"/>
          <w:szCs w:val="27"/>
          <w:lang w:val="es-CO"/>
        </w:rPr>
        <w:t xml:space="preserve"> efectos </w:t>
      </w:r>
      <w:r w:rsidR="00EA1B79">
        <w:rPr>
          <w:rFonts w:ascii="Bookman Old Style" w:hAnsi="Bookman Old Style"/>
          <w:szCs w:val="27"/>
          <w:lang w:val="es-CO"/>
        </w:rPr>
        <w:t>son hacia futuro</w:t>
      </w:r>
      <w:r w:rsidR="00E222C0">
        <w:rPr>
          <w:rFonts w:ascii="Bookman Old Style" w:hAnsi="Bookman Old Style"/>
          <w:szCs w:val="27"/>
          <w:lang w:val="es-CO"/>
        </w:rPr>
        <w:t xml:space="preserve"> una vez quede ejecutoriada</w:t>
      </w:r>
      <w:r w:rsidR="00EA1B79">
        <w:rPr>
          <w:rFonts w:ascii="Bookman Old Style" w:hAnsi="Bookman Old Style"/>
          <w:szCs w:val="27"/>
          <w:lang w:val="es-CO"/>
        </w:rPr>
        <w:t xml:space="preserve">. La fórmula de cálculo de la estampilla y demás ajustes necesarios  se definirán en resolución posterior.   </w:t>
      </w:r>
    </w:p>
    <w:p w:rsidR="00272511" w:rsidRPr="00272511" w:rsidRDefault="00272511" w:rsidP="00272511">
      <w:pPr>
        <w:pStyle w:val="Textoindependiente2"/>
        <w:spacing w:line="240" w:lineRule="auto"/>
        <w:ind w:left="0" w:right="-142"/>
        <w:jc w:val="both"/>
        <w:rPr>
          <w:rFonts w:ascii="Bookman Old Style" w:hAnsi="Bookman Old Style"/>
          <w:sz w:val="4"/>
          <w:szCs w:val="27"/>
          <w:lang w:val="es-CO"/>
        </w:rPr>
      </w:pPr>
    </w:p>
    <w:p w:rsidR="00475758" w:rsidRPr="00C63D49" w:rsidRDefault="00475758" w:rsidP="00475758">
      <w:pPr>
        <w:ind w:left="0"/>
        <w:jc w:val="both"/>
        <w:rPr>
          <w:rFonts w:ascii="Bookman Old Style" w:hAnsi="Bookman Old Style" w:cs="Arial"/>
        </w:rPr>
      </w:pPr>
      <w:r w:rsidRPr="00C63D49">
        <w:rPr>
          <w:rFonts w:ascii="Bookman Old Style" w:hAnsi="Bookman Old Style" w:cs="Arial"/>
        </w:rPr>
        <w:t xml:space="preserve">En cumplimiento de lo establecido en la Ley 1340 de 2009, el artículo </w:t>
      </w:r>
      <w:r>
        <w:rPr>
          <w:rFonts w:ascii="Bookman Old Style" w:hAnsi="Bookman Old Style" w:cs="Arial"/>
        </w:rPr>
        <w:t>6</w:t>
      </w:r>
      <w:r w:rsidRPr="00C63D49">
        <w:rPr>
          <w:rFonts w:ascii="Bookman Old Style" w:hAnsi="Bookman Old Style" w:cs="Arial"/>
        </w:rPr>
        <w:t xml:space="preserve"> del Decreto 2897 de 2010 y la Resolución SIC 44649 de 2010, la CREG procedió a dar respuesta al cuestionario expedido por la Superintendencia de Industria y Comercio SIC, encontrando que el presente acto no requiere ser remitido a la SIC por no tener incidencia en la libre competencia.</w:t>
      </w:r>
    </w:p>
    <w:p w:rsidR="00A667C4" w:rsidRPr="00475758" w:rsidRDefault="00A667C4" w:rsidP="00A667C4">
      <w:pPr>
        <w:pStyle w:val="Textoindependiente2"/>
        <w:spacing w:after="0" w:line="240" w:lineRule="auto"/>
        <w:ind w:left="-142" w:right="-142"/>
        <w:jc w:val="both"/>
        <w:rPr>
          <w:rFonts w:ascii="Bookman Old Style" w:hAnsi="Bookman Old Style"/>
          <w:szCs w:val="27"/>
        </w:rPr>
      </w:pPr>
    </w:p>
    <w:p w:rsidR="00A667C4" w:rsidRPr="005023D3" w:rsidRDefault="00A667C4" w:rsidP="00B51346">
      <w:pPr>
        <w:pStyle w:val="Textoindependiente2"/>
        <w:spacing w:after="0" w:line="240" w:lineRule="auto"/>
        <w:ind w:left="0" w:right="-142"/>
        <w:jc w:val="both"/>
        <w:rPr>
          <w:rFonts w:ascii="Bookman Old Style" w:hAnsi="Bookman Old Style"/>
          <w:color w:val="000000"/>
        </w:rPr>
      </w:pPr>
      <w:r>
        <w:rPr>
          <w:rFonts w:ascii="Bookman Old Style" w:hAnsi="Bookman Old Style"/>
          <w:color w:val="000000"/>
        </w:rPr>
        <w:t>L</w:t>
      </w:r>
      <w:r w:rsidRPr="005023D3">
        <w:rPr>
          <w:rFonts w:ascii="Bookman Old Style" w:hAnsi="Bookman Old Style"/>
          <w:color w:val="000000"/>
        </w:rPr>
        <w:t xml:space="preserve">a Comisión, en sesión No. </w:t>
      </w:r>
      <w:r w:rsidR="00864CED">
        <w:rPr>
          <w:rFonts w:ascii="Bookman Old Style" w:hAnsi="Bookman Old Style"/>
          <w:color w:val="000000"/>
        </w:rPr>
        <w:t>707</w:t>
      </w:r>
      <w:r w:rsidRPr="005023D3">
        <w:rPr>
          <w:rFonts w:ascii="Bookman Old Style" w:hAnsi="Bookman Old Style"/>
          <w:color w:val="000000"/>
        </w:rPr>
        <w:t xml:space="preserve"> del día </w:t>
      </w:r>
      <w:r w:rsidR="00864CED">
        <w:rPr>
          <w:rFonts w:ascii="Bookman Old Style" w:hAnsi="Bookman Old Style"/>
          <w:color w:val="000000"/>
        </w:rPr>
        <w:t>14</w:t>
      </w:r>
      <w:r>
        <w:rPr>
          <w:rFonts w:ascii="Bookman Old Style" w:hAnsi="Bookman Old Style"/>
          <w:color w:val="000000"/>
        </w:rPr>
        <w:t xml:space="preserve"> </w:t>
      </w:r>
      <w:r w:rsidRPr="005023D3">
        <w:rPr>
          <w:rFonts w:ascii="Bookman Old Style" w:hAnsi="Bookman Old Style"/>
          <w:color w:val="000000"/>
        </w:rPr>
        <w:t xml:space="preserve">de </w:t>
      </w:r>
      <w:r w:rsidR="0018335A">
        <w:rPr>
          <w:rFonts w:ascii="Bookman Old Style" w:hAnsi="Bookman Old Style"/>
          <w:color w:val="000000"/>
        </w:rPr>
        <w:t>marzo</w:t>
      </w:r>
      <w:r w:rsidRPr="005023D3">
        <w:rPr>
          <w:rFonts w:ascii="Bookman Old Style" w:hAnsi="Bookman Old Style"/>
          <w:color w:val="000000"/>
        </w:rPr>
        <w:t xml:space="preserve"> de 201</w:t>
      </w:r>
      <w:r w:rsidR="0018335A">
        <w:rPr>
          <w:rFonts w:ascii="Bookman Old Style" w:hAnsi="Bookman Old Style"/>
          <w:color w:val="000000"/>
        </w:rPr>
        <w:t>6</w:t>
      </w:r>
      <w:r w:rsidRPr="005023D3">
        <w:rPr>
          <w:rFonts w:ascii="Bookman Old Style" w:hAnsi="Bookman Old Style"/>
          <w:color w:val="000000"/>
        </w:rPr>
        <w:t xml:space="preserve">, aprobó </w:t>
      </w:r>
      <w:r>
        <w:rPr>
          <w:rFonts w:ascii="Bookman Old Style" w:hAnsi="Bookman Old Style"/>
          <w:color w:val="000000"/>
        </w:rPr>
        <w:t xml:space="preserve">expedir </w:t>
      </w:r>
      <w:r w:rsidRPr="005023D3">
        <w:rPr>
          <w:rFonts w:ascii="Bookman Old Style" w:hAnsi="Bookman Old Style"/>
          <w:color w:val="000000"/>
        </w:rPr>
        <w:t xml:space="preserve">la presente </w:t>
      </w:r>
      <w:r>
        <w:rPr>
          <w:rFonts w:ascii="Bookman Old Style" w:hAnsi="Bookman Old Style"/>
          <w:color w:val="000000"/>
        </w:rPr>
        <w:t>r</w:t>
      </w:r>
      <w:r w:rsidRPr="005023D3">
        <w:rPr>
          <w:rFonts w:ascii="Bookman Old Style" w:hAnsi="Bookman Old Style"/>
          <w:color w:val="000000"/>
        </w:rPr>
        <w:t>esolución</w:t>
      </w:r>
      <w:r>
        <w:rPr>
          <w:rFonts w:ascii="Bookman Old Style" w:hAnsi="Bookman Old Style"/>
          <w:color w:val="000000"/>
        </w:rPr>
        <w:t>,</w:t>
      </w:r>
      <w:r w:rsidRPr="005023D3">
        <w:rPr>
          <w:rFonts w:ascii="Bookman Old Style" w:hAnsi="Bookman Old Style"/>
          <w:color w:val="000000"/>
        </w:rPr>
        <w:t xml:space="preserve"> </w:t>
      </w:r>
      <w:r>
        <w:rPr>
          <w:rFonts w:ascii="Bookman Old Style" w:hAnsi="Bookman Old Style"/>
          <w:color w:val="000000"/>
        </w:rPr>
        <w:t>m</w:t>
      </w:r>
      <w:r w:rsidRPr="005023D3">
        <w:rPr>
          <w:rFonts w:ascii="Bookman Old Style" w:hAnsi="Bookman Old Style"/>
          <w:color w:val="000000"/>
        </w:rPr>
        <w:t xml:space="preserve">ediante la cual se </w:t>
      </w:r>
      <w:r w:rsidR="0018335A">
        <w:rPr>
          <w:rFonts w:ascii="Bookman Old Style" w:hAnsi="Bookman Old Style"/>
          <w:color w:val="000000"/>
        </w:rPr>
        <w:t xml:space="preserve">revoca el artículo </w:t>
      </w:r>
      <w:r w:rsidR="006542BD">
        <w:rPr>
          <w:rFonts w:ascii="Bookman Old Style" w:hAnsi="Bookman Old Style"/>
          <w:color w:val="000000"/>
        </w:rPr>
        <w:t>1</w:t>
      </w:r>
      <w:r w:rsidR="0018335A">
        <w:rPr>
          <w:rFonts w:ascii="Bookman Old Style" w:hAnsi="Bookman Old Style"/>
          <w:color w:val="000000"/>
        </w:rPr>
        <w:t xml:space="preserve"> de la </w:t>
      </w:r>
      <w:r>
        <w:rPr>
          <w:rFonts w:ascii="Bookman Old Style" w:hAnsi="Bookman Old Style"/>
          <w:color w:val="000000"/>
        </w:rPr>
        <w:t>Resolución CREG</w:t>
      </w:r>
      <w:r w:rsidR="006542BD">
        <w:rPr>
          <w:rFonts w:ascii="Bookman Old Style" w:hAnsi="Bookman Old Style"/>
          <w:color w:val="000000"/>
        </w:rPr>
        <w:t xml:space="preserve"> 176 de 2011 por la cual se modifica el artículo 10 de la Resolución CREG</w:t>
      </w:r>
      <w:r>
        <w:rPr>
          <w:rFonts w:ascii="Bookman Old Style" w:hAnsi="Bookman Old Style"/>
          <w:color w:val="000000"/>
        </w:rPr>
        <w:t xml:space="preserve"> 050 de 2009 </w:t>
      </w:r>
      <w:r w:rsidRPr="005023D3">
        <w:rPr>
          <w:rFonts w:ascii="Bookman Old Style" w:hAnsi="Bookman Old Style"/>
          <w:color w:val="000000"/>
        </w:rPr>
        <w:t xml:space="preserve">con fundamento en el </w:t>
      </w:r>
      <w:r w:rsidR="00001EC3">
        <w:rPr>
          <w:rFonts w:ascii="Bookman Old Style" w:hAnsi="Bookman Old Style"/>
          <w:color w:val="000000"/>
        </w:rPr>
        <w:t xml:space="preserve">numeral 2 del </w:t>
      </w:r>
      <w:r w:rsidRPr="005023D3">
        <w:rPr>
          <w:rFonts w:ascii="Bookman Old Style" w:hAnsi="Bookman Old Style"/>
          <w:color w:val="000000"/>
        </w:rPr>
        <w:t xml:space="preserve">artículo </w:t>
      </w:r>
      <w:r w:rsidR="0018335A">
        <w:rPr>
          <w:rFonts w:ascii="Bookman Old Style" w:hAnsi="Bookman Old Style"/>
          <w:color w:val="000000"/>
        </w:rPr>
        <w:t>93 del Código de Procedimiento Administrativo y de lo Contencioso Administrativo</w:t>
      </w:r>
      <w:r>
        <w:rPr>
          <w:rFonts w:ascii="Bookman Old Style" w:hAnsi="Bookman Old Style"/>
          <w:color w:val="000000"/>
        </w:rPr>
        <w:t>.</w:t>
      </w:r>
    </w:p>
    <w:p w:rsidR="00A667C4" w:rsidRDefault="00A667C4" w:rsidP="00A667C4">
      <w:pPr>
        <w:pStyle w:val="Textoindependiente2"/>
        <w:spacing w:after="0" w:line="240" w:lineRule="auto"/>
        <w:ind w:left="0" w:right="-142"/>
        <w:jc w:val="both"/>
        <w:rPr>
          <w:rFonts w:ascii="Bookman Old Style" w:hAnsi="Bookman Old Style"/>
          <w:color w:val="000000"/>
        </w:rPr>
      </w:pPr>
      <w:r>
        <w:rPr>
          <w:rFonts w:ascii="Bookman Old Style" w:hAnsi="Bookman Old Style"/>
          <w:color w:val="000000"/>
        </w:rPr>
        <w:t xml:space="preserve">     </w:t>
      </w:r>
    </w:p>
    <w:p w:rsidR="00A667C4" w:rsidRPr="00850E7E" w:rsidRDefault="00A667C4" w:rsidP="00A667C4">
      <w:pPr>
        <w:pStyle w:val="Textoindependiente2"/>
        <w:spacing w:after="0" w:line="240" w:lineRule="auto"/>
        <w:ind w:left="0" w:right="-142"/>
        <w:jc w:val="both"/>
        <w:rPr>
          <w:rFonts w:ascii="Bookman Old Style" w:hAnsi="Bookman Old Style"/>
          <w:color w:val="000000"/>
          <w:sz w:val="20"/>
        </w:rPr>
      </w:pPr>
    </w:p>
    <w:p w:rsidR="00A667C4" w:rsidRDefault="00A667C4" w:rsidP="00A667C4">
      <w:pPr>
        <w:jc w:val="center"/>
        <w:rPr>
          <w:rFonts w:ascii="Bookman Old Style" w:hAnsi="Bookman Old Style"/>
          <w:b/>
          <w:szCs w:val="22"/>
        </w:rPr>
      </w:pPr>
      <w:r w:rsidRPr="005023D3">
        <w:rPr>
          <w:rFonts w:ascii="Bookman Old Style" w:hAnsi="Bookman Old Style"/>
          <w:b/>
          <w:szCs w:val="22"/>
        </w:rPr>
        <w:t>R E S U E L V E:</w:t>
      </w:r>
    </w:p>
    <w:p w:rsidR="00A667C4" w:rsidRDefault="00A667C4" w:rsidP="00A667C4">
      <w:pPr>
        <w:jc w:val="center"/>
        <w:rPr>
          <w:rFonts w:ascii="Bookman Old Style" w:hAnsi="Bookman Old Style"/>
          <w:b/>
          <w:szCs w:val="22"/>
        </w:rPr>
      </w:pPr>
    </w:p>
    <w:p w:rsidR="0018335A" w:rsidRDefault="00A667C4" w:rsidP="0018335A">
      <w:pPr>
        <w:pStyle w:val="Ttulo1"/>
        <w:ind w:left="-142" w:right="-142"/>
        <w:jc w:val="both"/>
        <w:rPr>
          <w:rFonts w:ascii="Bookman Old Style" w:hAnsi="Bookman Old Style"/>
        </w:rPr>
      </w:pPr>
      <w:r w:rsidRPr="00205ACC">
        <w:rPr>
          <w:rFonts w:ascii="Bookman Old Style" w:hAnsi="Bookman Old Style"/>
        </w:rPr>
        <w:t xml:space="preserve">Artículo </w:t>
      </w:r>
      <w:r w:rsidRPr="00205ACC">
        <w:rPr>
          <w:rFonts w:ascii="Bookman Old Style" w:hAnsi="Bookman Old Style"/>
        </w:rPr>
        <w:fldChar w:fldCharType="begin"/>
      </w:r>
      <w:r w:rsidRPr="00205ACC">
        <w:rPr>
          <w:rFonts w:ascii="Bookman Old Style" w:hAnsi="Bookman Old Style"/>
        </w:rPr>
        <w:instrText xml:space="preserve"> SEQ Artículo \* ARABIC </w:instrText>
      </w:r>
      <w:r w:rsidRPr="00205ACC">
        <w:rPr>
          <w:rFonts w:ascii="Bookman Old Style" w:hAnsi="Bookman Old Style"/>
        </w:rPr>
        <w:fldChar w:fldCharType="separate"/>
      </w:r>
      <w:r w:rsidR="005A4901">
        <w:rPr>
          <w:rFonts w:ascii="Bookman Old Style" w:hAnsi="Bookman Old Style"/>
          <w:noProof/>
        </w:rPr>
        <w:t>1</w:t>
      </w:r>
      <w:r w:rsidRPr="00205ACC">
        <w:rPr>
          <w:rFonts w:ascii="Bookman Old Style" w:hAnsi="Bookman Old Style"/>
        </w:rPr>
        <w:fldChar w:fldCharType="end"/>
      </w:r>
      <w:r>
        <w:rPr>
          <w:rFonts w:ascii="Bookman Old Style" w:hAnsi="Bookman Old Style"/>
        </w:rPr>
        <w:t xml:space="preserve">. </w:t>
      </w:r>
      <w:r w:rsidR="0018335A" w:rsidRPr="0018335A">
        <w:rPr>
          <w:rFonts w:ascii="Bookman Old Style" w:hAnsi="Bookman Old Style"/>
          <w:b w:val="0"/>
        </w:rPr>
        <w:t>Rev</w:t>
      </w:r>
      <w:r w:rsidR="00480B3D">
        <w:rPr>
          <w:rFonts w:ascii="Bookman Old Style" w:hAnsi="Bookman Old Style"/>
          <w:b w:val="0"/>
        </w:rPr>
        <w:t>ocar</w:t>
      </w:r>
      <w:r w:rsidR="0018335A" w:rsidRPr="0018335A">
        <w:rPr>
          <w:rFonts w:ascii="Bookman Old Style" w:hAnsi="Bookman Old Style"/>
          <w:b w:val="0"/>
        </w:rPr>
        <w:t xml:space="preserve"> el artículo </w:t>
      </w:r>
      <w:r w:rsidR="00480B3D">
        <w:rPr>
          <w:rFonts w:ascii="Bookman Old Style" w:hAnsi="Bookman Old Style"/>
          <w:b w:val="0"/>
        </w:rPr>
        <w:t>1 de</w:t>
      </w:r>
      <w:r w:rsidR="00480B3D" w:rsidRPr="00480B3D">
        <w:rPr>
          <w:rFonts w:ascii="Bookman Old Style" w:hAnsi="Bookman Old Style"/>
          <w:b w:val="0"/>
        </w:rPr>
        <w:t xml:space="preserve"> </w:t>
      </w:r>
      <w:r w:rsidR="00480B3D" w:rsidRPr="0018335A">
        <w:rPr>
          <w:rFonts w:ascii="Bookman Old Style" w:hAnsi="Bookman Old Style"/>
          <w:b w:val="0"/>
        </w:rPr>
        <w:t>la Resolución CREG 176 de 2011</w:t>
      </w:r>
      <w:r w:rsidR="00480B3D">
        <w:rPr>
          <w:rFonts w:ascii="Bookman Old Style" w:hAnsi="Bookman Old Style"/>
          <w:b w:val="0"/>
        </w:rPr>
        <w:t xml:space="preserve"> por el cual se modifica el  artículo </w:t>
      </w:r>
      <w:r w:rsidR="0018335A" w:rsidRPr="0018335A">
        <w:rPr>
          <w:rFonts w:ascii="Bookman Old Style" w:hAnsi="Bookman Old Style"/>
          <w:b w:val="0"/>
        </w:rPr>
        <w:t>10 de la Resoluci</w:t>
      </w:r>
      <w:r w:rsidR="00480B3D">
        <w:rPr>
          <w:rFonts w:ascii="Bookman Old Style" w:hAnsi="Bookman Old Style"/>
          <w:b w:val="0"/>
        </w:rPr>
        <w:t>ón CREG 050 de 2009</w:t>
      </w:r>
      <w:r w:rsidR="00113B87">
        <w:rPr>
          <w:rFonts w:ascii="Bookman Old Style" w:hAnsi="Bookman Old Style"/>
          <w:b w:val="0"/>
        </w:rPr>
        <w:t xml:space="preserve"> en atención de la causal prevista en el numeral 2 del artículo 93 de la Ley 1437 de 2011</w:t>
      </w:r>
      <w:r w:rsidR="0018335A" w:rsidRPr="0018335A">
        <w:rPr>
          <w:rFonts w:ascii="Bookman Old Style" w:hAnsi="Bookman Old Style"/>
          <w:b w:val="0"/>
        </w:rPr>
        <w:t>.</w:t>
      </w:r>
      <w:r w:rsidR="0018335A">
        <w:rPr>
          <w:rFonts w:ascii="Bookman Old Style" w:hAnsi="Bookman Old Style"/>
        </w:rPr>
        <w:t xml:space="preserve"> </w:t>
      </w:r>
    </w:p>
    <w:p w:rsidR="00A667C4" w:rsidRPr="00850E7E" w:rsidRDefault="00A667C4" w:rsidP="00A667C4">
      <w:pPr>
        <w:ind w:left="-142"/>
        <w:jc w:val="right"/>
        <w:rPr>
          <w:rFonts w:ascii="Bookman Old Style" w:hAnsi="Bookman Old Style"/>
          <w:sz w:val="16"/>
          <w:szCs w:val="20"/>
          <w:lang w:val="es-CO"/>
        </w:rPr>
      </w:pPr>
    </w:p>
    <w:p w:rsidR="00A667C4" w:rsidRPr="003E785C" w:rsidRDefault="00A667C4" w:rsidP="00A667C4">
      <w:pPr>
        <w:rPr>
          <w:lang w:val="es-CO"/>
        </w:rPr>
      </w:pPr>
    </w:p>
    <w:p w:rsidR="00A667C4" w:rsidRPr="00254EC8" w:rsidRDefault="00A667C4" w:rsidP="00A667C4">
      <w:pPr>
        <w:pStyle w:val="Ttulo1"/>
        <w:ind w:left="-142" w:right="-142"/>
        <w:jc w:val="both"/>
        <w:rPr>
          <w:rFonts w:ascii="Bookman Old Style" w:hAnsi="Bookman Old Style"/>
          <w:b w:val="0"/>
          <w:bCs/>
          <w:szCs w:val="27"/>
        </w:rPr>
      </w:pPr>
      <w:r w:rsidRPr="00205ACC">
        <w:rPr>
          <w:rFonts w:ascii="Bookman Old Style" w:hAnsi="Bookman Old Style"/>
        </w:rPr>
        <w:t xml:space="preserve">Artículo </w:t>
      </w:r>
      <w:r w:rsidR="00AE1D7B">
        <w:rPr>
          <w:rFonts w:ascii="Bookman Old Style" w:hAnsi="Bookman Old Style"/>
        </w:rPr>
        <w:t>2</w:t>
      </w:r>
      <w:r>
        <w:rPr>
          <w:rFonts w:ascii="Bookman Old Style" w:hAnsi="Bookman Old Style"/>
        </w:rPr>
        <w:t xml:space="preserve">. </w:t>
      </w:r>
      <w:r w:rsidRPr="00B51346">
        <w:rPr>
          <w:rFonts w:ascii="Bookman Old Style" w:hAnsi="Bookman Old Style"/>
          <w:b w:val="0"/>
        </w:rPr>
        <w:t xml:space="preserve">Informar a la Superintendencia de Servicios Públicos Domiciliarios el resultado de la presente Resolución </w:t>
      </w:r>
      <w:r w:rsidR="009F37CF">
        <w:rPr>
          <w:rFonts w:ascii="Bookman Old Style" w:hAnsi="Bookman Old Style"/>
          <w:b w:val="0"/>
        </w:rPr>
        <w:t xml:space="preserve">para lo de su competencia de conformidad con lo previsto en el artículo 79.1 de la Ley 142 de 1994 </w:t>
      </w:r>
      <w:r w:rsidRPr="00B51346">
        <w:rPr>
          <w:rFonts w:ascii="Bookman Old Style" w:hAnsi="Bookman Old Style"/>
          <w:b w:val="0"/>
        </w:rPr>
        <w:t xml:space="preserve"> y considerando todo lo enunciado en la parte motiva del presente acto administrativo.</w:t>
      </w:r>
    </w:p>
    <w:p w:rsidR="00A667C4" w:rsidRDefault="00A667C4" w:rsidP="00A667C4"/>
    <w:p w:rsidR="00A667C4" w:rsidRPr="00254EC8" w:rsidRDefault="00A667C4" w:rsidP="00A667C4">
      <w:pPr>
        <w:pStyle w:val="Ttulo1"/>
        <w:ind w:left="-142" w:right="-142"/>
        <w:jc w:val="both"/>
        <w:rPr>
          <w:rFonts w:ascii="Bookman Old Style" w:hAnsi="Bookman Old Style"/>
          <w:b w:val="0"/>
          <w:bCs/>
          <w:szCs w:val="27"/>
        </w:rPr>
      </w:pPr>
      <w:r w:rsidRPr="00205ACC">
        <w:rPr>
          <w:rFonts w:ascii="Bookman Old Style" w:hAnsi="Bookman Old Style"/>
        </w:rPr>
        <w:lastRenderedPageBreak/>
        <w:t xml:space="preserve">Artículo </w:t>
      </w:r>
      <w:r w:rsidR="00AE1D7B">
        <w:rPr>
          <w:rFonts w:ascii="Bookman Old Style" w:hAnsi="Bookman Old Style"/>
        </w:rPr>
        <w:t>3</w:t>
      </w:r>
      <w:r>
        <w:rPr>
          <w:rFonts w:ascii="Bookman Old Style" w:hAnsi="Bookman Old Style"/>
        </w:rPr>
        <w:t xml:space="preserve">. </w:t>
      </w:r>
      <w:r w:rsidRPr="005023D3">
        <w:rPr>
          <w:rFonts w:ascii="Bookman Old Style" w:hAnsi="Bookman Old Style"/>
          <w:b w:val="0"/>
        </w:rPr>
        <w:t xml:space="preserve">La presente </w:t>
      </w:r>
      <w:r>
        <w:rPr>
          <w:rFonts w:ascii="Bookman Old Style" w:hAnsi="Bookman Old Style"/>
          <w:b w:val="0"/>
        </w:rPr>
        <w:t>r</w:t>
      </w:r>
      <w:r w:rsidRPr="005023D3">
        <w:rPr>
          <w:rFonts w:ascii="Bookman Old Style" w:hAnsi="Bookman Old Style"/>
          <w:b w:val="0"/>
        </w:rPr>
        <w:t xml:space="preserve">esolución deberá publicarse en el </w:t>
      </w:r>
      <w:r w:rsidRPr="005023D3">
        <w:rPr>
          <w:rFonts w:ascii="Bookman Old Style" w:hAnsi="Bookman Old Style"/>
          <w:b w:val="0"/>
          <w:i/>
        </w:rPr>
        <w:t>Diario Oficial</w:t>
      </w:r>
      <w:r w:rsidRPr="005023D3">
        <w:rPr>
          <w:rFonts w:ascii="Bookman Old Style" w:hAnsi="Bookman Old Style"/>
          <w:b w:val="0"/>
        </w:rPr>
        <w:t xml:space="preserve">. Contra las disposiciones contenidas en esta </w:t>
      </w:r>
      <w:r>
        <w:rPr>
          <w:rFonts w:ascii="Bookman Old Style" w:hAnsi="Bookman Old Style"/>
          <w:b w:val="0"/>
        </w:rPr>
        <w:t>r</w:t>
      </w:r>
      <w:r w:rsidRPr="005023D3">
        <w:rPr>
          <w:rFonts w:ascii="Bookman Old Style" w:hAnsi="Bookman Old Style"/>
          <w:b w:val="0"/>
        </w:rPr>
        <w:t xml:space="preserve">esolución </w:t>
      </w:r>
      <w:r w:rsidR="0018335A">
        <w:rPr>
          <w:rFonts w:ascii="Bookman Old Style" w:hAnsi="Bookman Old Style"/>
          <w:b w:val="0"/>
        </w:rPr>
        <w:t xml:space="preserve">no </w:t>
      </w:r>
      <w:r w:rsidRPr="005023D3">
        <w:rPr>
          <w:rFonts w:ascii="Bookman Old Style" w:hAnsi="Bookman Old Style"/>
          <w:b w:val="0"/>
        </w:rPr>
        <w:t>procede</w:t>
      </w:r>
      <w:r w:rsidR="0018335A">
        <w:rPr>
          <w:rFonts w:ascii="Bookman Old Style" w:hAnsi="Bookman Old Style"/>
          <w:b w:val="0"/>
        </w:rPr>
        <w:t>n</w:t>
      </w:r>
      <w:r w:rsidRPr="005023D3">
        <w:rPr>
          <w:rFonts w:ascii="Bookman Old Style" w:hAnsi="Bookman Old Style"/>
          <w:b w:val="0"/>
        </w:rPr>
        <w:t xml:space="preserve"> recurso</w:t>
      </w:r>
      <w:r w:rsidR="0018335A">
        <w:rPr>
          <w:rFonts w:ascii="Bookman Old Style" w:hAnsi="Bookman Old Style"/>
          <w:b w:val="0"/>
        </w:rPr>
        <w:t>s.</w:t>
      </w:r>
      <w:r w:rsidRPr="005023D3">
        <w:rPr>
          <w:rFonts w:ascii="Bookman Old Style" w:hAnsi="Bookman Old Style"/>
          <w:b w:val="0"/>
        </w:rPr>
        <w:t xml:space="preserve"> </w:t>
      </w:r>
      <w:bookmarkStart w:id="2" w:name="Art:4"/>
      <w:bookmarkEnd w:id="2"/>
    </w:p>
    <w:p w:rsidR="00831924" w:rsidRDefault="00831924" w:rsidP="00A667C4">
      <w:pPr>
        <w:ind w:left="-181"/>
        <w:jc w:val="center"/>
        <w:rPr>
          <w:rFonts w:ascii="Bookman Old Style" w:hAnsi="Bookman Old Style" w:cs="Arial"/>
          <w:b/>
        </w:rPr>
      </w:pPr>
    </w:p>
    <w:p w:rsidR="00A667C4" w:rsidRPr="005023D3" w:rsidRDefault="00A667C4" w:rsidP="00A667C4">
      <w:pPr>
        <w:ind w:left="-181"/>
        <w:jc w:val="center"/>
        <w:rPr>
          <w:rFonts w:ascii="Bookman Old Style" w:hAnsi="Bookman Old Style" w:cs="Arial"/>
          <w:b/>
        </w:rPr>
      </w:pPr>
      <w:r>
        <w:rPr>
          <w:rFonts w:ascii="Bookman Old Style" w:hAnsi="Bookman Old Style" w:cs="Arial"/>
          <w:b/>
        </w:rPr>
        <w:t xml:space="preserve"> </w:t>
      </w:r>
      <w:r w:rsidRPr="005023D3">
        <w:rPr>
          <w:rFonts w:ascii="Bookman Old Style" w:hAnsi="Bookman Old Style" w:cs="Arial"/>
          <w:b/>
        </w:rPr>
        <w:t>PUBLÍQUESE Y CÚMPLASE,</w:t>
      </w:r>
    </w:p>
    <w:p w:rsidR="00A667C4" w:rsidRDefault="00A667C4" w:rsidP="00A667C4">
      <w:pPr>
        <w:ind w:left="0"/>
        <w:rPr>
          <w:rFonts w:ascii="Bookman Old Style" w:hAnsi="Bookman Old Style" w:cs="Arial"/>
          <w:szCs w:val="20"/>
        </w:rPr>
      </w:pPr>
    </w:p>
    <w:p w:rsidR="00223259" w:rsidRDefault="00223259" w:rsidP="00A667C4">
      <w:pPr>
        <w:ind w:left="0"/>
        <w:rPr>
          <w:rFonts w:ascii="Bookman Old Style" w:hAnsi="Bookman Old Style" w:cs="Arial"/>
          <w:szCs w:val="20"/>
        </w:rPr>
      </w:pPr>
    </w:p>
    <w:p w:rsidR="00A667C4" w:rsidRPr="005023D3" w:rsidRDefault="00A667C4" w:rsidP="00A667C4">
      <w:pPr>
        <w:ind w:left="0"/>
        <w:rPr>
          <w:rFonts w:ascii="Bookman Old Style" w:hAnsi="Bookman Old Style" w:cs="Arial"/>
          <w:szCs w:val="20"/>
        </w:rPr>
      </w:pPr>
      <w:r w:rsidRPr="005023D3">
        <w:rPr>
          <w:rFonts w:ascii="Bookman Old Style" w:hAnsi="Bookman Old Style" w:cs="Arial"/>
          <w:szCs w:val="20"/>
        </w:rPr>
        <w:t>Dada en Bogotá, D.C.</w:t>
      </w:r>
    </w:p>
    <w:p w:rsidR="00223259" w:rsidRDefault="00223259" w:rsidP="00A667C4">
      <w:pPr>
        <w:ind w:left="0"/>
        <w:rPr>
          <w:rFonts w:ascii="Bookman Old Style" w:hAnsi="Bookman Old Style" w:cs="Arial"/>
          <w:szCs w:val="20"/>
        </w:rPr>
      </w:pPr>
    </w:p>
    <w:p w:rsidR="006319DF" w:rsidRDefault="006319DF" w:rsidP="00A667C4">
      <w:pPr>
        <w:ind w:left="0"/>
        <w:rPr>
          <w:rFonts w:ascii="Bookman Old Style" w:hAnsi="Bookman Old Style" w:cs="Arial"/>
          <w:szCs w:val="20"/>
        </w:rPr>
      </w:pPr>
    </w:p>
    <w:p w:rsidR="004E70B9" w:rsidRDefault="004E70B9" w:rsidP="00A667C4">
      <w:pPr>
        <w:ind w:left="0"/>
        <w:rPr>
          <w:rFonts w:ascii="Bookman Old Style" w:hAnsi="Bookman Old Style" w:cs="Arial"/>
          <w:szCs w:val="20"/>
        </w:rPr>
      </w:pPr>
    </w:p>
    <w:p w:rsidR="004E70B9" w:rsidRDefault="004E70B9" w:rsidP="00A667C4">
      <w:pPr>
        <w:ind w:left="0"/>
        <w:rPr>
          <w:rFonts w:ascii="Bookman Old Style" w:hAnsi="Bookman Old Style" w:cs="Arial"/>
          <w:szCs w:val="20"/>
        </w:rPr>
      </w:pPr>
    </w:p>
    <w:p w:rsidR="00223259" w:rsidRDefault="00223259" w:rsidP="00A667C4">
      <w:pPr>
        <w:ind w:left="0"/>
        <w:rPr>
          <w:rFonts w:ascii="Bookman Old Style" w:hAnsi="Bookman Old Style" w:cs="Arial"/>
          <w:szCs w:val="20"/>
        </w:rPr>
      </w:pPr>
    </w:p>
    <w:tbl>
      <w:tblPr>
        <w:tblW w:w="9782" w:type="dxa"/>
        <w:tblInd w:w="-142" w:type="dxa"/>
        <w:tblLayout w:type="fixed"/>
        <w:tblCellMar>
          <w:left w:w="0" w:type="dxa"/>
          <w:right w:w="0" w:type="dxa"/>
        </w:tblCellMar>
        <w:tblLook w:val="04A0" w:firstRow="1" w:lastRow="0" w:firstColumn="1" w:lastColumn="0" w:noHBand="0" w:noVBand="1"/>
      </w:tblPr>
      <w:tblGrid>
        <w:gridCol w:w="5104"/>
        <w:gridCol w:w="4678"/>
      </w:tblGrid>
      <w:tr w:rsidR="00A667C4" w:rsidTr="000212E5">
        <w:tc>
          <w:tcPr>
            <w:tcW w:w="5104" w:type="dxa"/>
            <w:hideMark/>
          </w:tcPr>
          <w:p w:rsidR="00A667C4" w:rsidRDefault="00A667C4" w:rsidP="000212E5">
            <w:pPr>
              <w:snapToGrid w:val="0"/>
              <w:ind w:left="0"/>
              <w:jc w:val="center"/>
              <w:rPr>
                <w:rFonts w:ascii="Bookman Old Style" w:hAnsi="Bookman Old Style" w:cs="Arial"/>
                <w:b/>
                <w:bCs/>
              </w:rPr>
            </w:pPr>
            <w:r>
              <w:rPr>
                <w:rFonts w:ascii="Bookman Old Style" w:hAnsi="Bookman Old Style" w:cs="Arial"/>
                <w:b/>
                <w:bCs/>
              </w:rPr>
              <w:t>CARLOS FERNANDO ERASO CALERO</w:t>
            </w:r>
          </w:p>
        </w:tc>
        <w:tc>
          <w:tcPr>
            <w:tcW w:w="4678" w:type="dxa"/>
            <w:hideMark/>
          </w:tcPr>
          <w:p w:rsidR="00A667C4" w:rsidRDefault="00A667C4" w:rsidP="000212E5">
            <w:pPr>
              <w:snapToGrid w:val="0"/>
              <w:ind w:left="0"/>
              <w:jc w:val="center"/>
              <w:rPr>
                <w:rFonts w:ascii="Bookman Old Style" w:hAnsi="Bookman Old Style" w:cs="Arial"/>
                <w:b/>
                <w:bCs/>
              </w:rPr>
            </w:pPr>
            <w:r>
              <w:rPr>
                <w:rFonts w:ascii="Bookman Old Style" w:hAnsi="Bookman Old Style" w:cs="Arial"/>
                <w:b/>
                <w:bCs/>
              </w:rPr>
              <w:t>JORGE PINTO NOLLA</w:t>
            </w:r>
          </w:p>
        </w:tc>
      </w:tr>
      <w:tr w:rsidR="00A667C4" w:rsidTr="000212E5">
        <w:tc>
          <w:tcPr>
            <w:tcW w:w="5104" w:type="dxa"/>
            <w:hideMark/>
          </w:tcPr>
          <w:p w:rsidR="00A667C4" w:rsidRDefault="00A667C4" w:rsidP="000212E5">
            <w:pPr>
              <w:snapToGrid w:val="0"/>
              <w:ind w:left="0"/>
              <w:jc w:val="center"/>
              <w:rPr>
                <w:rFonts w:ascii="Bookman Old Style" w:hAnsi="Bookman Old Style" w:cs="Arial"/>
              </w:rPr>
            </w:pPr>
            <w:r>
              <w:rPr>
                <w:rFonts w:ascii="Bookman Old Style" w:hAnsi="Bookman Old Style" w:cs="Arial"/>
              </w:rPr>
              <w:t>Viceministro de Energía</w:t>
            </w:r>
          </w:p>
          <w:p w:rsidR="00A667C4" w:rsidRDefault="00A667C4" w:rsidP="000212E5">
            <w:pPr>
              <w:snapToGrid w:val="0"/>
              <w:ind w:left="0"/>
              <w:jc w:val="center"/>
              <w:rPr>
                <w:rFonts w:ascii="Bookman Old Style" w:hAnsi="Bookman Old Style" w:cs="Arial"/>
              </w:rPr>
            </w:pPr>
            <w:r>
              <w:rPr>
                <w:rFonts w:ascii="Bookman Old Style" w:hAnsi="Bookman Old Style" w:cs="Arial"/>
              </w:rPr>
              <w:t>Delegado del Ministerio de Minas y Energía</w:t>
            </w:r>
          </w:p>
          <w:p w:rsidR="00A667C4" w:rsidRDefault="00A667C4" w:rsidP="000212E5">
            <w:pPr>
              <w:snapToGrid w:val="0"/>
              <w:ind w:left="0"/>
              <w:jc w:val="center"/>
              <w:rPr>
                <w:rFonts w:ascii="Bookman Old Style" w:hAnsi="Bookman Old Style" w:cs="Arial"/>
              </w:rPr>
            </w:pPr>
            <w:r>
              <w:rPr>
                <w:rFonts w:ascii="Bookman Old Style" w:hAnsi="Bookman Old Style" w:cs="Arial"/>
              </w:rPr>
              <w:t>Presidente</w:t>
            </w:r>
          </w:p>
        </w:tc>
        <w:tc>
          <w:tcPr>
            <w:tcW w:w="4678" w:type="dxa"/>
            <w:hideMark/>
          </w:tcPr>
          <w:p w:rsidR="00A667C4" w:rsidRDefault="00A667C4" w:rsidP="000212E5">
            <w:pPr>
              <w:snapToGrid w:val="0"/>
              <w:jc w:val="both"/>
              <w:rPr>
                <w:rFonts w:ascii="Bookman Old Style" w:hAnsi="Bookman Old Style" w:cs="Arial"/>
              </w:rPr>
            </w:pPr>
            <w:r>
              <w:rPr>
                <w:rFonts w:ascii="Bookman Old Style" w:hAnsi="Bookman Old Style" w:cs="Arial"/>
              </w:rPr>
              <w:t xml:space="preserve">          Director Ejecutivo</w:t>
            </w:r>
          </w:p>
        </w:tc>
      </w:tr>
    </w:tbl>
    <w:p w:rsidR="00A667C4" w:rsidRPr="002A552B" w:rsidRDefault="00A667C4" w:rsidP="00A667C4">
      <w:pPr>
        <w:ind w:left="0"/>
      </w:pPr>
    </w:p>
    <w:p w:rsidR="000A05BB" w:rsidRPr="00A667C4" w:rsidRDefault="000A05BB" w:rsidP="00A667C4"/>
    <w:sectPr w:rsidR="000A05BB" w:rsidRPr="00A667C4" w:rsidSect="005A59EF">
      <w:headerReference w:type="default" r:id="rId11"/>
      <w:headerReference w:type="first" r:id="rId12"/>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A71" w:rsidRDefault="00FA6A71">
      <w:r>
        <w:separator/>
      </w:r>
    </w:p>
  </w:endnote>
  <w:endnote w:type="continuationSeparator" w:id="0">
    <w:p w:rsidR="00FA6A71" w:rsidRDefault="00FA6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A71" w:rsidRDefault="00FA6A71">
      <w:r>
        <w:separator/>
      </w:r>
    </w:p>
  </w:footnote>
  <w:footnote w:type="continuationSeparator" w:id="0">
    <w:p w:rsidR="00FA6A71" w:rsidRDefault="00FA6A71">
      <w:r>
        <w:continuationSeparator/>
      </w:r>
    </w:p>
  </w:footnote>
  <w:footnote w:id="1">
    <w:p w:rsidR="00DD62F7" w:rsidRPr="00BC6DDB" w:rsidRDefault="00DD62F7" w:rsidP="00DD62F7">
      <w:pPr>
        <w:rPr>
          <w:rFonts w:ascii="Bookman Old Style" w:hAnsi="Bookman Old Style"/>
          <w:sz w:val="18"/>
          <w:szCs w:val="18"/>
        </w:rPr>
      </w:pPr>
      <w:r w:rsidRPr="00BC6DDB">
        <w:rPr>
          <w:rStyle w:val="Refdenotaalpie"/>
          <w:rFonts w:ascii="Bookman Old Style" w:hAnsi="Bookman Old Style"/>
          <w:sz w:val="18"/>
          <w:szCs w:val="18"/>
        </w:rPr>
        <w:footnoteRef/>
      </w:r>
      <w:r w:rsidRPr="00BC6DDB">
        <w:rPr>
          <w:rFonts w:ascii="Bookman Old Style" w:hAnsi="Bookman Old Style"/>
          <w:sz w:val="18"/>
          <w:szCs w:val="18"/>
        </w:rPr>
        <w:t xml:space="preserve"> Corte Constitucional, Sentencia </w:t>
      </w:r>
      <w:r w:rsidRPr="00BC6DDB">
        <w:rPr>
          <w:rFonts w:ascii="Bookman Old Style" w:hAnsi="Bookman Old Style"/>
          <w:bCs/>
          <w:color w:val="2D2D2D"/>
          <w:sz w:val="18"/>
          <w:szCs w:val="18"/>
          <w:bdr w:val="none" w:sz="0" w:space="0" w:color="auto" w:frame="1"/>
        </w:rPr>
        <w:t>C-835/03</w:t>
      </w:r>
      <w:r w:rsidR="00074F42">
        <w:rPr>
          <w:rFonts w:ascii="Bookman Old Style" w:hAnsi="Bookman Old Style"/>
          <w:bCs/>
          <w:color w:val="2D2D2D"/>
          <w:sz w:val="18"/>
          <w:szCs w:val="18"/>
          <w:bdr w:val="none" w:sz="0" w:space="0" w:color="auto" w:frame="1"/>
        </w:rPr>
        <w:t xml:space="preserve">, </w:t>
      </w:r>
      <w:r w:rsidRPr="00074F42">
        <w:rPr>
          <w:rFonts w:ascii="Bookman Old Style" w:hAnsi="Bookman Old Style"/>
          <w:bCs/>
          <w:color w:val="2D2D2D"/>
          <w:sz w:val="18"/>
          <w:szCs w:val="18"/>
          <w:bdr w:val="none" w:sz="0" w:space="0" w:color="auto" w:frame="1"/>
        </w:rPr>
        <w:t>Magistrado Ponente:</w:t>
      </w:r>
      <w:r w:rsidR="00074F42">
        <w:rPr>
          <w:rFonts w:ascii="Bookman Old Style" w:hAnsi="Bookman Old Style"/>
          <w:bCs/>
          <w:color w:val="2D2D2D"/>
          <w:sz w:val="18"/>
          <w:szCs w:val="18"/>
          <w:bdr w:val="none" w:sz="0" w:space="0" w:color="auto" w:frame="1"/>
        </w:rPr>
        <w:t xml:space="preserve"> Jaime Araújo Rentería. </w:t>
      </w:r>
    </w:p>
    <w:p w:rsidR="00DD62F7" w:rsidRPr="00BC6DDB" w:rsidRDefault="00DD62F7" w:rsidP="00DD62F7">
      <w:pPr>
        <w:pStyle w:val="Textonotapie"/>
      </w:pPr>
    </w:p>
  </w:footnote>
  <w:footnote w:id="2">
    <w:p w:rsidR="00DC4283" w:rsidRPr="00DC4283" w:rsidRDefault="00DC4283" w:rsidP="00D2127B">
      <w:pPr>
        <w:pStyle w:val="Textonotapie"/>
        <w:jc w:val="both"/>
        <w:rPr>
          <w:rFonts w:ascii="Bookman Old Style" w:hAnsi="Bookman Old Style"/>
          <w:sz w:val="18"/>
          <w:lang w:val="es-CO"/>
        </w:rPr>
      </w:pPr>
      <w:r>
        <w:rPr>
          <w:rStyle w:val="Refdenotaalpie"/>
        </w:rPr>
        <w:footnoteRef/>
      </w:r>
      <w:r>
        <w:t xml:space="preserve"> </w:t>
      </w:r>
      <w:r>
        <w:rPr>
          <w:rFonts w:ascii="Bookman Old Style" w:hAnsi="Bookman Old Style"/>
          <w:sz w:val="18"/>
          <w:lang w:val="es-CO"/>
        </w:rPr>
        <w:t xml:space="preserve">Consejo de Estado, Sentencia 31297 del 26 de noviembre de 2014, </w:t>
      </w:r>
      <w:r w:rsidRPr="00D2127B">
        <w:rPr>
          <w:rFonts w:ascii="Bookman Old Style" w:hAnsi="Bookman Old Style"/>
          <w:sz w:val="18"/>
          <w:lang w:val="es-CO"/>
        </w:rPr>
        <w:t>Consejero Ponente:</w:t>
      </w:r>
      <w:r>
        <w:rPr>
          <w:rFonts w:ascii="Bookman Old Style" w:hAnsi="Bookman Old Style"/>
          <w:sz w:val="18"/>
          <w:lang w:val="es-CO"/>
        </w:rPr>
        <w:t xml:space="preserve"> </w:t>
      </w:r>
      <w:r w:rsidR="00D2127B">
        <w:rPr>
          <w:rFonts w:ascii="Bookman Old Style" w:hAnsi="Bookman Old Style"/>
          <w:sz w:val="18"/>
          <w:lang w:val="es-CO"/>
        </w:rPr>
        <w:t>Carlos Alberto Zambrano Barrera.</w:t>
      </w:r>
    </w:p>
  </w:footnote>
  <w:footnote w:id="3">
    <w:p w:rsidR="00C314A1" w:rsidRPr="00C314A1" w:rsidRDefault="00C314A1">
      <w:pPr>
        <w:pStyle w:val="Textonotapie"/>
        <w:rPr>
          <w:rFonts w:ascii="Bookman Old Style" w:hAnsi="Bookman Old Style"/>
          <w:lang w:val="es-CO"/>
        </w:rPr>
      </w:pPr>
      <w:r>
        <w:rPr>
          <w:rStyle w:val="Refdenotaalpie"/>
        </w:rPr>
        <w:footnoteRef/>
      </w:r>
      <w:r>
        <w:t xml:space="preserve"> </w:t>
      </w:r>
      <w:r>
        <w:rPr>
          <w:rFonts w:ascii="Bookman Old Style" w:hAnsi="Bookman Old Style"/>
          <w:lang w:val="es-CO"/>
        </w:rPr>
        <w:t xml:space="preserve">Corte Constitucional, Sentencia C-053 del 2001, MP: Cristina Pardo.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83F" w:rsidRDefault="00B7683F" w:rsidP="00951F79">
    <w:pPr>
      <w:pStyle w:val="Ttulo1"/>
      <w:ind w:right="6"/>
      <w:jc w:val="left"/>
      <w:rPr>
        <w:rFonts w:ascii="Bookman Old Style" w:hAnsi="Bookman Old Style" w:cs="Arial"/>
        <w:b w:val="0"/>
        <w:sz w:val="22"/>
        <w:szCs w:val="22"/>
      </w:rPr>
    </w:pPr>
  </w:p>
  <w:p w:rsidR="00B7683F" w:rsidRPr="00951F79" w:rsidRDefault="00B7683F"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004E70B9">
      <w:rPr>
        <w:rFonts w:ascii="Bookman Old Style" w:hAnsi="Bookman Old Style" w:cs="Arial"/>
        <w:b w:val="0"/>
        <w:sz w:val="22"/>
        <w:szCs w:val="22"/>
      </w:rPr>
      <w:t xml:space="preserve">    </w:t>
    </w:r>
    <w:r w:rsidR="00BF4CFB" w:rsidRPr="00BF4CFB">
      <w:rPr>
        <w:rFonts w:ascii="Bookman Old Style" w:hAnsi="Bookman Old Style" w:cs="Arial"/>
        <w:b w:val="0"/>
        <w:sz w:val="36"/>
        <w:szCs w:val="22"/>
        <w:u w:val="single"/>
      </w:rPr>
      <w:t>030</w:t>
    </w:r>
    <w:r w:rsidR="00BF4CFB">
      <w:rPr>
        <w:rFonts w:ascii="Bookman Old Style" w:hAnsi="Bookman Old Style" w:cs="Arial"/>
        <w:b w:val="0"/>
        <w:sz w:val="22"/>
        <w:szCs w:val="22"/>
      </w:rPr>
      <w:t xml:space="preserve">        DE      </w:t>
    </w:r>
    <w:r w:rsidR="00BF4CFB" w:rsidRPr="004E70B9">
      <w:rPr>
        <w:rFonts w:ascii="Bookman Old Style" w:hAnsi="Bookman Old Style" w:cs="Arial"/>
        <w:b w:val="0"/>
        <w:sz w:val="36"/>
        <w:szCs w:val="36"/>
        <w:u w:val="single"/>
      </w:rPr>
      <w:t>14  MAR 2016</w:t>
    </w:r>
    <w:r w:rsidR="00BF4CFB">
      <w:rPr>
        <w:rFonts w:ascii="Bookman Old Style" w:hAnsi="Bookman Old Style" w:cs="Arial"/>
        <w:b w:val="0"/>
        <w:sz w:val="22"/>
        <w:szCs w:val="22"/>
      </w:rPr>
      <w:t xml:space="preserve">      </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2F1509">
      <w:rPr>
        <w:rFonts w:ascii="Bookman Old Style" w:hAnsi="Bookman Old Style" w:cs="Arial"/>
        <w:b w:val="0"/>
        <w:noProof/>
        <w:sz w:val="22"/>
        <w:szCs w:val="22"/>
      </w:rPr>
      <w:t>9</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2F1509">
      <w:fldChar w:fldCharType="begin"/>
    </w:r>
    <w:r w:rsidR="002F1509">
      <w:instrText xml:space="preserve"> NUMPAGES  \* MERGEFORMAT </w:instrText>
    </w:r>
    <w:r w:rsidR="002F1509">
      <w:fldChar w:fldCharType="separate"/>
    </w:r>
    <w:r w:rsidR="002F1509" w:rsidRPr="002F1509">
      <w:rPr>
        <w:rFonts w:ascii="Bookman Old Style" w:hAnsi="Bookman Old Style" w:cs="Arial"/>
        <w:b w:val="0"/>
        <w:noProof/>
        <w:sz w:val="22"/>
        <w:szCs w:val="22"/>
      </w:rPr>
      <w:t>9</w:t>
    </w:r>
    <w:r w:rsidR="002F1509">
      <w:rPr>
        <w:rFonts w:ascii="Bookman Old Style" w:hAnsi="Bookman Old Style" w:cs="Arial"/>
        <w:b w:val="0"/>
        <w:noProof/>
        <w:sz w:val="22"/>
        <w:szCs w:val="22"/>
      </w:rPr>
      <w:fldChar w:fldCharType="end"/>
    </w:r>
  </w:p>
  <w:p w:rsidR="00B7683F" w:rsidRDefault="00B7683F"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09CFAC62" wp14:editId="7F14EDD6">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AE1D7B" w:rsidRPr="003234E2" w:rsidRDefault="00AE1D7B" w:rsidP="00AE1D7B">
    <w:pPr>
      <w:tabs>
        <w:tab w:val="right" w:pos="9498"/>
      </w:tabs>
      <w:ind w:left="0" w:right="-142"/>
      <w:rPr>
        <w:rFonts w:ascii="Bookman Old Style" w:hAnsi="Bookman Old Style"/>
        <w:bCs/>
        <w:sz w:val="22"/>
        <w:lang w:val="es-CO"/>
      </w:rPr>
    </w:pPr>
  </w:p>
  <w:p w:rsidR="00AE1D7B" w:rsidRPr="00AE1D7B" w:rsidRDefault="00AE1D7B" w:rsidP="00AE1D7B">
    <w:pPr>
      <w:ind w:left="0"/>
      <w:jc w:val="both"/>
      <w:rPr>
        <w:rFonts w:ascii="Bookman Old Style" w:hAnsi="Bookman Old Style" w:cs="Arial"/>
        <w:b/>
        <w:sz w:val="22"/>
        <w:szCs w:val="20"/>
        <w:lang w:val="es-CO"/>
      </w:rPr>
    </w:pPr>
    <w:r w:rsidRPr="00AE1D7B">
      <w:rPr>
        <w:rFonts w:ascii="Bookman Old Style" w:hAnsi="Bookman Old Style" w:cs="Arial"/>
        <w:sz w:val="22"/>
        <w:szCs w:val="20"/>
        <w:lang w:val="es-CO"/>
      </w:rPr>
      <w:t xml:space="preserve">Por la cual se revoca </w:t>
    </w:r>
    <w:r w:rsidRPr="00AE1D7B">
      <w:rPr>
        <w:rFonts w:ascii="Bookman Old Style" w:hAnsi="Bookman Old Style"/>
        <w:bCs/>
        <w:sz w:val="22"/>
        <w:lang w:val="es-CO"/>
      </w:rPr>
      <w:t xml:space="preserve">el artículo </w:t>
    </w:r>
    <w:r w:rsidR="002B326E">
      <w:rPr>
        <w:rFonts w:ascii="Bookman Old Style" w:hAnsi="Bookman Old Style"/>
        <w:bCs/>
        <w:sz w:val="22"/>
        <w:lang w:val="es-CO"/>
      </w:rPr>
      <w:t xml:space="preserve">1 de la Resolución CREG 176 de 2011 que modifica el artículo </w:t>
    </w:r>
    <w:r w:rsidRPr="00AE1D7B">
      <w:rPr>
        <w:rFonts w:ascii="Bookman Old Style" w:hAnsi="Bookman Old Style"/>
        <w:bCs/>
        <w:sz w:val="22"/>
        <w:lang w:val="es-CO"/>
      </w:rPr>
      <w:t xml:space="preserve">10 de la Resolución CREG 050 de 2009, mediante el cual se establece la remuneración mensual del cargo medio de transporte. </w:t>
    </w:r>
  </w:p>
  <w:p w:rsidR="00B7683F" w:rsidRPr="00AE1D7B" w:rsidRDefault="00B7683F" w:rsidP="00E14840">
    <w:pPr>
      <w:pBdr>
        <w:bottom w:val="single" w:sz="4" w:space="11" w:color="auto"/>
      </w:pBdr>
      <w:ind w:left="142" w:right="147"/>
      <w:jc w:val="both"/>
      <w:rPr>
        <w:rFonts w:ascii="Bookman Old Style" w:hAnsi="Bookman Old Style" w:cs="Arial"/>
        <w:spacing w:val="-3"/>
        <w:sz w:val="2"/>
        <w:szCs w:val="22"/>
        <w:lang w:val="es-CO"/>
      </w:rPr>
    </w:pPr>
  </w:p>
  <w:p w:rsidR="006D5002" w:rsidRDefault="006D500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83F" w:rsidRDefault="00B7683F"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B7683F" w:rsidRDefault="00B7683F">
    <w:pPr>
      <w:pStyle w:val="Encabezado"/>
      <w:jc w:val="center"/>
      <w:rPr>
        <w:rFonts w:ascii="Arial" w:hAnsi="Arial" w:cs="Arial"/>
        <w:spacing w:val="20"/>
        <w:sz w:val="20"/>
      </w:rPr>
    </w:pPr>
  </w:p>
  <w:p w:rsidR="00B7683F" w:rsidRDefault="00B7683F"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60F525F6" wp14:editId="37BE3026">
              <wp:simplePos x="0" y="0"/>
              <wp:positionH relativeFrom="column">
                <wp:posOffset>-213360</wp:posOffset>
              </wp:positionH>
              <wp:positionV relativeFrom="paragraph">
                <wp:posOffset>377190</wp:posOffset>
              </wp:positionV>
              <wp:extent cx="6343650" cy="9839325"/>
              <wp:effectExtent l="9525" t="12065" r="952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
    <w:nsid w:val="01BD6D81"/>
    <w:multiLevelType w:val="hybridMultilevel"/>
    <w:tmpl w:val="28A6C4AA"/>
    <w:lvl w:ilvl="0" w:tplc="94B8CFCA">
      <w:start w:val="1"/>
      <w:numFmt w:val="decimal"/>
      <w:lvlText w:val="%1."/>
      <w:lvlJc w:val="left"/>
      <w:pPr>
        <w:ind w:left="218" w:hanging="36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2">
    <w:nsid w:val="02D97427"/>
    <w:multiLevelType w:val="hybridMultilevel"/>
    <w:tmpl w:val="986CE27E"/>
    <w:lvl w:ilvl="0" w:tplc="DF488660">
      <w:start w:val="1"/>
      <w:numFmt w:val="decimal"/>
      <w:lvlText w:val="%1."/>
      <w:lvlJc w:val="left"/>
      <w:pPr>
        <w:ind w:left="218" w:hanging="36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3">
    <w:nsid w:val="05F9432F"/>
    <w:multiLevelType w:val="hybridMultilevel"/>
    <w:tmpl w:val="A7945A3E"/>
    <w:lvl w:ilvl="0" w:tplc="9FD4335C">
      <w:start w:val="1"/>
      <w:numFmt w:val="lowerLetter"/>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4">
    <w:nsid w:val="0ABE52AE"/>
    <w:multiLevelType w:val="hybridMultilevel"/>
    <w:tmpl w:val="6C08FC70"/>
    <w:lvl w:ilvl="0" w:tplc="0C94F45E">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5">
    <w:nsid w:val="0BFF6804"/>
    <w:multiLevelType w:val="hybridMultilevel"/>
    <w:tmpl w:val="6BF02F86"/>
    <w:lvl w:ilvl="0" w:tplc="0C440C52">
      <w:start w:val="1"/>
      <w:numFmt w:val="upperRoman"/>
      <w:lvlText w:val="%1."/>
      <w:lvlJc w:val="left"/>
      <w:pPr>
        <w:ind w:left="578" w:hanging="72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6">
    <w:nsid w:val="0E5513C6"/>
    <w:multiLevelType w:val="hybridMultilevel"/>
    <w:tmpl w:val="7BB8DD14"/>
    <w:lvl w:ilvl="0" w:tplc="681085FC">
      <w:start w:val="1"/>
      <w:numFmt w:val="lowerLetter"/>
      <w:lvlText w:val="%1."/>
      <w:lvlJc w:val="left"/>
      <w:pPr>
        <w:ind w:left="704" w:hanging="42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7">
    <w:nsid w:val="17C64477"/>
    <w:multiLevelType w:val="hybridMultilevel"/>
    <w:tmpl w:val="39ECA180"/>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193D79F3"/>
    <w:multiLevelType w:val="hybridMultilevel"/>
    <w:tmpl w:val="C87A9118"/>
    <w:lvl w:ilvl="0" w:tplc="17AC7AC8">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5B66A7E"/>
    <w:multiLevelType w:val="hybridMultilevel"/>
    <w:tmpl w:val="282EDEB4"/>
    <w:lvl w:ilvl="0" w:tplc="0C440C52">
      <w:start w:val="1"/>
      <w:numFmt w:val="upperRoman"/>
      <w:lvlText w:val="%1."/>
      <w:lvlJc w:val="left"/>
      <w:pPr>
        <w:ind w:left="578" w:hanging="72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10">
    <w:nsid w:val="39F102DE"/>
    <w:multiLevelType w:val="hybridMultilevel"/>
    <w:tmpl w:val="383222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3C635974"/>
    <w:multiLevelType w:val="hybridMultilevel"/>
    <w:tmpl w:val="F00215E8"/>
    <w:lvl w:ilvl="0" w:tplc="4CF85BD2">
      <w:start w:val="1"/>
      <w:numFmt w:val="decimal"/>
      <w:lvlText w:val="%1."/>
      <w:lvlJc w:val="left"/>
      <w:pPr>
        <w:ind w:left="578" w:hanging="360"/>
      </w:pPr>
      <w:rPr>
        <w:rFonts w:hint="default"/>
      </w:rPr>
    </w:lvl>
    <w:lvl w:ilvl="1" w:tplc="240A0019" w:tentative="1">
      <w:start w:val="1"/>
      <w:numFmt w:val="lowerLetter"/>
      <w:lvlText w:val="%2."/>
      <w:lvlJc w:val="left"/>
      <w:pPr>
        <w:ind w:left="1298" w:hanging="360"/>
      </w:p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abstractNum w:abstractNumId="12">
    <w:nsid w:val="3E4E67C4"/>
    <w:multiLevelType w:val="hybridMultilevel"/>
    <w:tmpl w:val="13D42DC8"/>
    <w:lvl w:ilvl="0" w:tplc="A0485D5C">
      <w:start w:val="1"/>
      <w:numFmt w:val="bullet"/>
      <w:lvlText w:val="•"/>
      <w:lvlJc w:val="left"/>
      <w:pPr>
        <w:tabs>
          <w:tab w:val="num" w:pos="720"/>
        </w:tabs>
        <w:ind w:left="720" w:hanging="360"/>
      </w:pPr>
      <w:rPr>
        <w:rFonts w:ascii="Arial" w:hAnsi="Arial" w:hint="default"/>
      </w:rPr>
    </w:lvl>
    <w:lvl w:ilvl="1" w:tplc="127A3D58" w:tentative="1">
      <w:start w:val="1"/>
      <w:numFmt w:val="bullet"/>
      <w:lvlText w:val="•"/>
      <w:lvlJc w:val="left"/>
      <w:pPr>
        <w:tabs>
          <w:tab w:val="num" w:pos="1440"/>
        </w:tabs>
        <w:ind w:left="1440" w:hanging="360"/>
      </w:pPr>
      <w:rPr>
        <w:rFonts w:ascii="Arial" w:hAnsi="Arial" w:hint="default"/>
      </w:rPr>
    </w:lvl>
    <w:lvl w:ilvl="2" w:tplc="B7641232" w:tentative="1">
      <w:start w:val="1"/>
      <w:numFmt w:val="bullet"/>
      <w:lvlText w:val="•"/>
      <w:lvlJc w:val="left"/>
      <w:pPr>
        <w:tabs>
          <w:tab w:val="num" w:pos="2160"/>
        </w:tabs>
        <w:ind w:left="2160" w:hanging="360"/>
      </w:pPr>
      <w:rPr>
        <w:rFonts w:ascii="Arial" w:hAnsi="Arial" w:hint="default"/>
      </w:rPr>
    </w:lvl>
    <w:lvl w:ilvl="3" w:tplc="6D0015FA" w:tentative="1">
      <w:start w:val="1"/>
      <w:numFmt w:val="bullet"/>
      <w:lvlText w:val="•"/>
      <w:lvlJc w:val="left"/>
      <w:pPr>
        <w:tabs>
          <w:tab w:val="num" w:pos="2880"/>
        </w:tabs>
        <w:ind w:left="2880" w:hanging="360"/>
      </w:pPr>
      <w:rPr>
        <w:rFonts w:ascii="Arial" w:hAnsi="Arial" w:hint="default"/>
      </w:rPr>
    </w:lvl>
    <w:lvl w:ilvl="4" w:tplc="99D4C3F4" w:tentative="1">
      <w:start w:val="1"/>
      <w:numFmt w:val="bullet"/>
      <w:lvlText w:val="•"/>
      <w:lvlJc w:val="left"/>
      <w:pPr>
        <w:tabs>
          <w:tab w:val="num" w:pos="3600"/>
        </w:tabs>
        <w:ind w:left="3600" w:hanging="360"/>
      </w:pPr>
      <w:rPr>
        <w:rFonts w:ascii="Arial" w:hAnsi="Arial" w:hint="default"/>
      </w:rPr>
    </w:lvl>
    <w:lvl w:ilvl="5" w:tplc="01927EBE" w:tentative="1">
      <w:start w:val="1"/>
      <w:numFmt w:val="bullet"/>
      <w:lvlText w:val="•"/>
      <w:lvlJc w:val="left"/>
      <w:pPr>
        <w:tabs>
          <w:tab w:val="num" w:pos="4320"/>
        </w:tabs>
        <w:ind w:left="4320" w:hanging="360"/>
      </w:pPr>
      <w:rPr>
        <w:rFonts w:ascii="Arial" w:hAnsi="Arial" w:hint="default"/>
      </w:rPr>
    </w:lvl>
    <w:lvl w:ilvl="6" w:tplc="C06451DE" w:tentative="1">
      <w:start w:val="1"/>
      <w:numFmt w:val="bullet"/>
      <w:lvlText w:val="•"/>
      <w:lvlJc w:val="left"/>
      <w:pPr>
        <w:tabs>
          <w:tab w:val="num" w:pos="5040"/>
        </w:tabs>
        <w:ind w:left="5040" w:hanging="360"/>
      </w:pPr>
      <w:rPr>
        <w:rFonts w:ascii="Arial" w:hAnsi="Arial" w:hint="default"/>
      </w:rPr>
    </w:lvl>
    <w:lvl w:ilvl="7" w:tplc="0632F8D4" w:tentative="1">
      <w:start w:val="1"/>
      <w:numFmt w:val="bullet"/>
      <w:lvlText w:val="•"/>
      <w:lvlJc w:val="left"/>
      <w:pPr>
        <w:tabs>
          <w:tab w:val="num" w:pos="5760"/>
        </w:tabs>
        <w:ind w:left="5760" w:hanging="360"/>
      </w:pPr>
      <w:rPr>
        <w:rFonts w:ascii="Arial" w:hAnsi="Arial" w:hint="default"/>
      </w:rPr>
    </w:lvl>
    <w:lvl w:ilvl="8" w:tplc="6B74B69E" w:tentative="1">
      <w:start w:val="1"/>
      <w:numFmt w:val="bullet"/>
      <w:lvlText w:val="•"/>
      <w:lvlJc w:val="left"/>
      <w:pPr>
        <w:tabs>
          <w:tab w:val="num" w:pos="6480"/>
        </w:tabs>
        <w:ind w:left="6480" w:hanging="360"/>
      </w:pPr>
      <w:rPr>
        <w:rFonts w:ascii="Arial" w:hAnsi="Arial" w:hint="default"/>
      </w:rPr>
    </w:lvl>
  </w:abstractNum>
  <w:abstractNum w:abstractNumId="13">
    <w:nsid w:val="3E767320"/>
    <w:multiLevelType w:val="hybridMultilevel"/>
    <w:tmpl w:val="5C0A7A8E"/>
    <w:lvl w:ilvl="0" w:tplc="31D4F868">
      <w:start w:val="1"/>
      <w:numFmt w:val="decimal"/>
      <w:lvlText w:val="%1."/>
      <w:lvlJc w:val="left"/>
      <w:pPr>
        <w:ind w:left="704" w:hanging="42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4">
    <w:nsid w:val="40124431"/>
    <w:multiLevelType w:val="hybridMultilevel"/>
    <w:tmpl w:val="5C3C005A"/>
    <w:lvl w:ilvl="0" w:tplc="9D766718">
      <w:start w:val="1"/>
      <w:numFmt w:val="upperRoman"/>
      <w:lvlText w:val="%1."/>
      <w:lvlJc w:val="left"/>
      <w:pPr>
        <w:ind w:left="578" w:hanging="72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15">
    <w:nsid w:val="40D44A35"/>
    <w:multiLevelType w:val="multilevel"/>
    <w:tmpl w:val="C36C83EA"/>
    <w:lvl w:ilvl="0">
      <w:start w:val="1"/>
      <w:numFmt w:val="decimal"/>
      <w:pStyle w:val="PliegoTitulo1"/>
      <w:lvlText w:val="%1."/>
      <w:lvlJc w:val="left"/>
      <w:pPr>
        <w:tabs>
          <w:tab w:val="num" w:pos="432"/>
        </w:tabs>
        <w:ind w:left="432" w:hanging="432"/>
      </w:pPr>
      <w:rPr>
        <w:rFonts w:ascii="Garamond" w:hAnsi="Garamond" w:hint="default"/>
        <w:b/>
        <w:i w:val="0"/>
        <w:sz w:val="24"/>
      </w:rPr>
    </w:lvl>
    <w:lvl w:ilvl="1">
      <w:start w:val="1"/>
      <w:numFmt w:val="decimal"/>
      <w:lvlText w:val="%1.%2"/>
      <w:lvlJc w:val="left"/>
      <w:pPr>
        <w:tabs>
          <w:tab w:val="num" w:pos="576"/>
        </w:tabs>
        <w:ind w:left="576" w:hanging="576"/>
      </w:pPr>
      <w:rPr>
        <w:rFonts w:hint="default"/>
      </w:rPr>
    </w:lvl>
    <w:lvl w:ilvl="2">
      <w:start w:val="1"/>
      <w:numFmt w:val="decimal"/>
      <w:pStyle w:val="PliegoTitulo2"/>
      <w:lvlText w:val="%1.%2.%3"/>
      <w:lvlJc w:val="left"/>
      <w:pPr>
        <w:tabs>
          <w:tab w:val="num" w:pos="720"/>
        </w:tabs>
        <w:ind w:left="720" w:hanging="720"/>
      </w:pPr>
      <w:rPr>
        <w:rFonts w:hint="default"/>
      </w:rPr>
    </w:lvl>
    <w:lvl w:ilvl="3">
      <w:start w:val="1"/>
      <w:numFmt w:val="decimal"/>
      <w:pStyle w:val="PliegoTitulo3"/>
      <w:lvlText w:val="%1.%2.%3.%4"/>
      <w:lvlJc w:val="left"/>
      <w:pPr>
        <w:tabs>
          <w:tab w:val="num" w:pos="864"/>
        </w:tabs>
        <w:ind w:left="864" w:hanging="864"/>
      </w:pPr>
      <w:rPr>
        <w:rFonts w:hint="default"/>
      </w:rPr>
    </w:lvl>
    <w:lvl w:ilvl="4">
      <w:start w:val="1"/>
      <w:numFmt w:val="decimal"/>
      <w:pStyle w:val="PliegoTitulo4"/>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47183895"/>
    <w:multiLevelType w:val="hybridMultilevel"/>
    <w:tmpl w:val="F4505AA0"/>
    <w:lvl w:ilvl="0" w:tplc="155E3B0E">
      <w:start w:val="1"/>
      <w:numFmt w:val="bullet"/>
      <w:lvlText w:val="•"/>
      <w:lvlJc w:val="left"/>
      <w:pPr>
        <w:tabs>
          <w:tab w:val="num" w:pos="720"/>
        </w:tabs>
        <w:ind w:left="720" w:hanging="360"/>
      </w:pPr>
      <w:rPr>
        <w:rFonts w:ascii="Arial" w:hAnsi="Arial" w:hint="default"/>
      </w:rPr>
    </w:lvl>
    <w:lvl w:ilvl="1" w:tplc="E454FC18" w:tentative="1">
      <w:start w:val="1"/>
      <w:numFmt w:val="bullet"/>
      <w:lvlText w:val="•"/>
      <w:lvlJc w:val="left"/>
      <w:pPr>
        <w:tabs>
          <w:tab w:val="num" w:pos="1440"/>
        </w:tabs>
        <w:ind w:left="1440" w:hanging="360"/>
      </w:pPr>
      <w:rPr>
        <w:rFonts w:ascii="Arial" w:hAnsi="Arial" w:hint="default"/>
      </w:rPr>
    </w:lvl>
    <w:lvl w:ilvl="2" w:tplc="A73672B6" w:tentative="1">
      <w:start w:val="1"/>
      <w:numFmt w:val="bullet"/>
      <w:lvlText w:val="•"/>
      <w:lvlJc w:val="left"/>
      <w:pPr>
        <w:tabs>
          <w:tab w:val="num" w:pos="2160"/>
        </w:tabs>
        <w:ind w:left="2160" w:hanging="360"/>
      </w:pPr>
      <w:rPr>
        <w:rFonts w:ascii="Arial" w:hAnsi="Arial" w:hint="default"/>
      </w:rPr>
    </w:lvl>
    <w:lvl w:ilvl="3" w:tplc="133ADC3E" w:tentative="1">
      <w:start w:val="1"/>
      <w:numFmt w:val="bullet"/>
      <w:lvlText w:val="•"/>
      <w:lvlJc w:val="left"/>
      <w:pPr>
        <w:tabs>
          <w:tab w:val="num" w:pos="2880"/>
        </w:tabs>
        <w:ind w:left="2880" w:hanging="360"/>
      </w:pPr>
      <w:rPr>
        <w:rFonts w:ascii="Arial" w:hAnsi="Arial" w:hint="default"/>
      </w:rPr>
    </w:lvl>
    <w:lvl w:ilvl="4" w:tplc="DCCC199E" w:tentative="1">
      <w:start w:val="1"/>
      <w:numFmt w:val="bullet"/>
      <w:lvlText w:val="•"/>
      <w:lvlJc w:val="left"/>
      <w:pPr>
        <w:tabs>
          <w:tab w:val="num" w:pos="3600"/>
        </w:tabs>
        <w:ind w:left="3600" w:hanging="360"/>
      </w:pPr>
      <w:rPr>
        <w:rFonts w:ascii="Arial" w:hAnsi="Arial" w:hint="default"/>
      </w:rPr>
    </w:lvl>
    <w:lvl w:ilvl="5" w:tplc="3AEC01E0" w:tentative="1">
      <w:start w:val="1"/>
      <w:numFmt w:val="bullet"/>
      <w:lvlText w:val="•"/>
      <w:lvlJc w:val="left"/>
      <w:pPr>
        <w:tabs>
          <w:tab w:val="num" w:pos="4320"/>
        </w:tabs>
        <w:ind w:left="4320" w:hanging="360"/>
      </w:pPr>
      <w:rPr>
        <w:rFonts w:ascii="Arial" w:hAnsi="Arial" w:hint="default"/>
      </w:rPr>
    </w:lvl>
    <w:lvl w:ilvl="6" w:tplc="2E76EC76" w:tentative="1">
      <w:start w:val="1"/>
      <w:numFmt w:val="bullet"/>
      <w:lvlText w:val="•"/>
      <w:lvlJc w:val="left"/>
      <w:pPr>
        <w:tabs>
          <w:tab w:val="num" w:pos="5040"/>
        </w:tabs>
        <w:ind w:left="5040" w:hanging="360"/>
      </w:pPr>
      <w:rPr>
        <w:rFonts w:ascii="Arial" w:hAnsi="Arial" w:hint="default"/>
      </w:rPr>
    </w:lvl>
    <w:lvl w:ilvl="7" w:tplc="23F828BE" w:tentative="1">
      <w:start w:val="1"/>
      <w:numFmt w:val="bullet"/>
      <w:lvlText w:val="•"/>
      <w:lvlJc w:val="left"/>
      <w:pPr>
        <w:tabs>
          <w:tab w:val="num" w:pos="5760"/>
        </w:tabs>
        <w:ind w:left="5760" w:hanging="360"/>
      </w:pPr>
      <w:rPr>
        <w:rFonts w:ascii="Arial" w:hAnsi="Arial" w:hint="default"/>
      </w:rPr>
    </w:lvl>
    <w:lvl w:ilvl="8" w:tplc="60A050F4" w:tentative="1">
      <w:start w:val="1"/>
      <w:numFmt w:val="bullet"/>
      <w:lvlText w:val="•"/>
      <w:lvlJc w:val="left"/>
      <w:pPr>
        <w:tabs>
          <w:tab w:val="num" w:pos="6480"/>
        </w:tabs>
        <w:ind w:left="6480" w:hanging="360"/>
      </w:pPr>
      <w:rPr>
        <w:rFonts w:ascii="Arial" w:hAnsi="Arial" w:hint="default"/>
      </w:rPr>
    </w:lvl>
  </w:abstractNum>
  <w:abstractNum w:abstractNumId="17">
    <w:nsid w:val="486215C5"/>
    <w:multiLevelType w:val="hybridMultilevel"/>
    <w:tmpl w:val="7A22E0CA"/>
    <w:lvl w:ilvl="0" w:tplc="215668C2">
      <w:start w:val="1"/>
      <w:numFmt w:val="bullet"/>
      <w:lvlText w:val="-"/>
      <w:lvlJc w:val="left"/>
      <w:pPr>
        <w:ind w:left="644" w:hanging="360"/>
      </w:pPr>
      <w:rPr>
        <w:rFonts w:ascii="Bookman Old Style" w:eastAsia="Times New Roman" w:hAnsi="Bookman Old Style" w:cs="Times New Roman"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8">
    <w:nsid w:val="4BD61BCC"/>
    <w:multiLevelType w:val="hybridMultilevel"/>
    <w:tmpl w:val="CB3E8F08"/>
    <w:lvl w:ilvl="0" w:tplc="A7225BC2">
      <w:start w:val="1"/>
      <w:numFmt w:val="decimal"/>
      <w:lvlText w:val="%1."/>
      <w:lvlJc w:val="left"/>
      <w:pPr>
        <w:ind w:left="218" w:hanging="360"/>
      </w:pPr>
      <w:rPr>
        <w:rFonts w:hint="default"/>
        <w:b/>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19">
    <w:nsid w:val="4ECB0A50"/>
    <w:multiLevelType w:val="hybridMultilevel"/>
    <w:tmpl w:val="9B1AE1D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51433D0E"/>
    <w:multiLevelType w:val="hybridMultilevel"/>
    <w:tmpl w:val="7A44E9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528E6720"/>
    <w:multiLevelType w:val="hybridMultilevel"/>
    <w:tmpl w:val="FDD8042C"/>
    <w:lvl w:ilvl="0" w:tplc="B5D2E1EE">
      <w:start w:val="1"/>
      <w:numFmt w:val="bullet"/>
      <w:lvlText w:val=""/>
      <w:lvlJc w:val="left"/>
      <w:pPr>
        <w:ind w:left="218" w:hanging="360"/>
      </w:pPr>
      <w:rPr>
        <w:rFonts w:ascii="Symbol" w:eastAsia="Times New Roman" w:hAnsi="Symbol" w:cs="Times New Roman" w:hint="default"/>
      </w:rPr>
    </w:lvl>
    <w:lvl w:ilvl="1" w:tplc="240A0003" w:tentative="1">
      <w:start w:val="1"/>
      <w:numFmt w:val="bullet"/>
      <w:lvlText w:val="o"/>
      <w:lvlJc w:val="left"/>
      <w:pPr>
        <w:ind w:left="938" w:hanging="360"/>
      </w:pPr>
      <w:rPr>
        <w:rFonts w:ascii="Courier New" w:hAnsi="Courier New" w:cs="Courier New" w:hint="default"/>
      </w:rPr>
    </w:lvl>
    <w:lvl w:ilvl="2" w:tplc="240A0005" w:tentative="1">
      <w:start w:val="1"/>
      <w:numFmt w:val="bullet"/>
      <w:lvlText w:val=""/>
      <w:lvlJc w:val="left"/>
      <w:pPr>
        <w:ind w:left="1658" w:hanging="360"/>
      </w:pPr>
      <w:rPr>
        <w:rFonts w:ascii="Wingdings" w:hAnsi="Wingdings" w:hint="default"/>
      </w:rPr>
    </w:lvl>
    <w:lvl w:ilvl="3" w:tplc="240A0001" w:tentative="1">
      <w:start w:val="1"/>
      <w:numFmt w:val="bullet"/>
      <w:lvlText w:val=""/>
      <w:lvlJc w:val="left"/>
      <w:pPr>
        <w:ind w:left="2378" w:hanging="360"/>
      </w:pPr>
      <w:rPr>
        <w:rFonts w:ascii="Symbol" w:hAnsi="Symbol" w:hint="default"/>
      </w:rPr>
    </w:lvl>
    <w:lvl w:ilvl="4" w:tplc="240A0003" w:tentative="1">
      <w:start w:val="1"/>
      <w:numFmt w:val="bullet"/>
      <w:lvlText w:val="o"/>
      <w:lvlJc w:val="left"/>
      <w:pPr>
        <w:ind w:left="3098" w:hanging="360"/>
      </w:pPr>
      <w:rPr>
        <w:rFonts w:ascii="Courier New" w:hAnsi="Courier New" w:cs="Courier New" w:hint="default"/>
      </w:rPr>
    </w:lvl>
    <w:lvl w:ilvl="5" w:tplc="240A0005" w:tentative="1">
      <w:start w:val="1"/>
      <w:numFmt w:val="bullet"/>
      <w:lvlText w:val=""/>
      <w:lvlJc w:val="left"/>
      <w:pPr>
        <w:ind w:left="3818" w:hanging="360"/>
      </w:pPr>
      <w:rPr>
        <w:rFonts w:ascii="Wingdings" w:hAnsi="Wingdings" w:hint="default"/>
      </w:rPr>
    </w:lvl>
    <w:lvl w:ilvl="6" w:tplc="240A0001" w:tentative="1">
      <w:start w:val="1"/>
      <w:numFmt w:val="bullet"/>
      <w:lvlText w:val=""/>
      <w:lvlJc w:val="left"/>
      <w:pPr>
        <w:ind w:left="4538" w:hanging="360"/>
      </w:pPr>
      <w:rPr>
        <w:rFonts w:ascii="Symbol" w:hAnsi="Symbol" w:hint="default"/>
      </w:rPr>
    </w:lvl>
    <w:lvl w:ilvl="7" w:tplc="240A0003" w:tentative="1">
      <w:start w:val="1"/>
      <w:numFmt w:val="bullet"/>
      <w:lvlText w:val="o"/>
      <w:lvlJc w:val="left"/>
      <w:pPr>
        <w:ind w:left="5258" w:hanging="360"/>
      </w:pPr>
      <w:rPr>
        <w:rFonts w:ascii="Courier New" w:hAnsi="Courier New" w:cs="Courier New" w:hint="default"/>
      </w:rPr>
    </w:lvl>
    <w:lvl w:ilvl="8" w:tplc="240A0005" w:tentative="1">
      <w:start w:val="1"/>
      <w:numFmt w:val="bullet"/>
      <w:lvlText w:val=""/>
      <w:lvlJc w:val="left"/>
      <w:pPr>
        <w:ind w:left="5978" w:hanging="360"/>
      </w:pPr>
      <w:rPr>
        <w:rFonts w:ascii="Wingdings" w:hAnsi="Wingdings" w:hint="default"/>
      </w:rPr>
    </w:lvl>
  </w:abstractNum>
  <w:abstractNum w:abstractNumId="22">
    <w:nsid w:val="533D2096"/>
    <w:multiLevelType w:val="hybridMultilevel"/>
    <w:tmpl w:val="4B3A85B0"/>
    <w:lvl w:ilvl="0" w:tplc="8682922C">
      <w:start w:val="1"/>
      <w:numFmt w:val="lowerLetter"/>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23">
    <w:nsid w:val="540B031A"/>
    <w:multiLevelType w:val="hybridMultilevel"/>
    <w:tmpl w:val="AD54092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556E2380"/>
    <w:multiLevelType w:val="hybridMultilevel"/>
    <w:tmpl w:val="24C290BA"/>
    <w:lvl w:ilvl="0" w:tplc="240A0001">
      <w:start w:val="1"/>
      <w:numFmt w:val="bullet"/>
      <w:lvlText w:val=""/>
      <w:lvlJc w:val="left"/>
      <w:pPr>
        <w:ind w:left="1800" w:hanging="360"/>
      </w:pPr>
      <w:rPr>
        <w:rFonts w:ascii="Symbol" w:hAnsi="Symbo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25">
    <w:nsid w:val="59EC7546"/>
    <w:multiLevelType w:val="hybridMultilevel"/>
    <w:tmpl w:val="741238C0"/>
    <w:lvl w:ilvl="0" w:tplc="240A0001">
      <w:start w:val="1"/>
      <w:numFmt w:val="lowerLetter"/>
      <w:lvlText w:val="%1)"/>
      <w:lvlJc w:val="left"/>
      <w:pPr>
        <w:tabs>
          <w:tab w:val="num" w:pos="454"/>
        </w:tabs>
        <w:ind w:left="454" w:hanging="454"/>
      </w:pPr>
      <w:rPr>
        <w:rFonts w:hint="default"/>
      </w:rPr>
    </w:lvl>
    <w:lvl w:ilvl="1" w:tplc="240A0003">
      <w:start w:val="6"/>
      <w:numFmt w:val="decimal"/>
      <w:lvlText w:val="%2."/>
      <w:lvlJc w:val="left"/>
      <w:pPr>
        <w:tabs>
          <w:tab w:val="num" w:pos="1425"/>
        </w:tabs>
        <w:ind w:left="1425" w:hanging="705"/>
      </w:pPr>
      <w:rPr>
        <w:rFonts w:hint="default"/>
      </w:rPr>
    </w:lvl>
    <w:lvl w:ilvl="2" w:tplc="240A0005" w:tentative="1">
      <w:start w:val="1"/>
      <w:numFmt w:val="lowerRoman"/>
      <w:lvlText w:val="%3."/>
      <w:lvlJc w:val="right"/>
      <w:pPr>
        <w:tabs>
          <w:tab w:val="num" w:pos="1800"/>
        </w:tabs>
        <w:ind w:left="1800" w:hanging="180"/>
      </w:pPr>
    </w:lvl>
    <w:lvl w:ilvl="3" w:tplc="240A0001" w:tentative="1">
      <w:start w:val="1"/>
      <w:numFmt w:val="decimal"/>
      <w:lvlText w:val="%4."/>
      <w:lvlJc w:val="left"/>
      <w:pPr>
        <w:tabs>
          <w:tab w:val="num" w:pos="2520"/>
        </w:tabs>
        <w:ind w:left="2520" w:hanging="360"/>
      </w:pPr>
    </w:lvl>
    <w:lvl w:ilvl="4" w:tplc="240A0003" w:tentative="1">
      <w:start w:val="1"/>
      <w:numFmt w:val="lowerLetter"/>
      <w:lvlText w:val="%5."/>
      <w:lvlJc w:val="left"/>
      <w:pPr>
        <w:tabs>
          <w:tab w:val="num" w:pos="3240"/>
        </w:tabs>
        <w:ind w:left="3240" w:hanging="360"/>
      </w:pPr>
    </w:lvl>
    <w:lvl w:ilvl="5" w:tplc="240A0005" w:tentative="1">
      <w:start w:val="1"/>
      <w:numFmt w:val="lowerRoman"/>
      <w:lvlText w:val="%6."/>
      <w:lvlJc w:val="right"/>
      <w:pPr>
        <w:tabs>
          <w:tab w:val="num" w:pos="3960"/>
        </w:tabs>
        <w:ind w:left="3960" w:hanging="180"/>
      </w:pPr>
    </w:lvl>
    <w:lvl w:ilvl="6" w:tplc="240A0001" w:tentative="1">
      <w:start w:val="1"/>
      <w:numFmt w:val="decimal"/>
      <w:lvlText w:val="%7."/>
      <w:lvlJc w:val="left"/>
      <w:pPr>
        <w:tabs>
          <w:tab w:val="num" w:pos="4680"/>
        </w:tabs>
        <w:ind w:left="4680" w:hanging="360"/>
      </w:pPr>
    </w:lvl>
    <w:lvl w:ilvl="7" w:tplc="240A0003" w:tentative="1">
      <w:start w:val="1"/>
      <w:numFmt w:val="lowerLetter"/>
      <w:lvlText w:val="%8."/>
      <w:lvlJc w:val="left"/>
      <w:pPr>
        <w:tabs>
          <w:tab w:val="num" w:pos="5400"/>
        </w:tabs>
        <w:ind w:left="5400" w:hanging="360"/>
      </w:pPr>
    </w:lvl>
    <w:lvl w:ilvl="8" w:tplc="240A0005" w:tentative="1">
      <w:start w:val="1"/>
      <w:numFmt w:val="lowerRoman"/>
      <w:lvlText w:val="%9."/>
      <w:lvlJc w:val="right"/>
      <w:pPr>
        <w:tabs>
          <w:tab w:val="num" w:pos="6120"/>
        </w:tabs>
        <w:ind w:left="6120" w:hanging="180"/>
      </w:pPr>
    </w:lvl>
  </w:abstractNum>
  <w:abstractNum w:abstractNumId="26">
    <w:nsid w:val="66B31EF5"/>
    <w:multiLevelType w:val="multilevel"/>
    <w:tmpl w:val="C3808CAA"/>
    <w:lvl w:ilvl="0">
      <w:start w:val="1"/>
      <w:numFmt w:val="decimal"/>
      <w:lvlText w:val="%1."/>
      <w:lvlJc w:val="left"/>
      <w:pPr>
        <w:ind w:left="218" w:hanging="360"/>
      </w:pPr>
      <w:rPr>
        <w:rFonts w:hint="default"/>
        <w:b/>
      </w:rPr>
    </w:lvl>
    <w:lvl w:ilvl="1">
      <w:start w:val="1"/>
      <w:numFmt w:val="decimal"/>
      <w:isLgl/>
      <w:lvlText w:val="%1.%2"/>
      <w:lvlJc w:val="left"/>
      <w:pPr>
        <w:ind w:left="938" w:hanging="720"/>
      </w:pPr>
      <w:rPr>
        <w:rFonts w:hint="default"/>
        <w:b/>
      </w:rPr>
    </w:lvl>
    <w:lvl w:ilvl="2">
      <w:start w:val="1"/>
      <w:numFmt w:val="decimal"/>
      <w:isLgl/>
      <w:lvlText w:val="%1.%2.%3"/>
      <w:lvlJc w:val="left"/>
      <w:pPr>
        <w:ind w:left="1298" w:hanging="720"/>
      </w:pPr>
      <w:rPr>
        <w:rFonts w:hint="default"/>
        <w:b/>
      </w:rPr>
    </w:lvl>
    <w:lvl w:ilvl="3">
      <w:start w:val="1"/>
      <w:numFmt w:val="decimal"/>
      <w:isLgl/>
      <w:lvlText w:val="%1.%2.%3.%4"/>
      <w:lvlJc w:val="left"/>
      <w:pPr>
        <w:ind w:left="2018" w:hanging="1080"/>
      </w:pPr>
      <w:rPr>
        <w:rFonts w:hint="default"/>
        <w:b/>
      </w:rPr>
    </w:lvl>
    <w:lvl w:ilvl="4">
      <w:start w:val="1"/>
      <w:numFmt w:val="decimal"/>
      <w:isLgl/>
      <w:lvlText w:val="%1.%2.%3.%4.%5"/>
      <w:lvlJc w:val="left"/>
      <w:pPr>
        <w:ind w:left="2378" w:hanging="1080"/>
      </w:pPr>
      <w:rPr>
        <w:rFonts w:hint="default"/>
        <w:b/>
      </w:rPr>
    </w:lvl>
    <w:lvl w:ilvl="5">
      <w:start w:val="1"/>
      <w:numFmt w:val="decimal"/>
      <w:isLgl/>
      <w:lvlText w:val="%1.%2.%3.%4.%5.%6"/>
      <w:lvlJc w:val="left"/>
      <w:pPr>
        <w:ind w:left="3098" w:hanging="1440"/>
      </w:pPr>
      <w:rPr>
        <w:rFonts w:hint="default"/>
        <w:b/>
      </w:rPr>
    </w:lvl>
    <w:lvl w:ilvl="6">
      <w:start w:val="1"/>
      <w:numFmt w:val="decimal"/>
      <w:isLgl/>
      <w:lvlText w:val="%1.%2.%3.%4.%5.%6.%7"/>
      <w:lvlJc w:val="left"/>
      <w:pPr>
        <w:ind w:left="3818" w:hanging="1800"/>
      </w:pPr>
      <w:rPr>
        <w:rFonts w:hint="default"/>
        <w:b/>
      </w:rPr>
    </w:lvl>
    <w:lvl w:ilvl="7">
      <w:start w:val="1"/>
      <w:numFmt w:val="decimal"/>
      <w:isLgl/>
      <w:lvlText w:val="%1.%2.%3.%4.%5.%6.%7.%8"/>
      <w:lvlJc w:val="left"/>
      <w:pPr>
        <w:ind w:left="4178" w:hanging="1800"/>
      </w:pPr>
      <w:rPr>
        <w:rFonts w:hint="default"/>
        <w:b/>
      </w:rPr>
    </w:lvl>
    <w:lvl w:ilvl="8">
      <w:start w:val="1"/>
      <w:numFmt w:val="decimal"/>
      <w:isLgl/>
      <w:lvlText w:val="%1.%2.%3.%4.%5.%6.%7.%8.%9"/>
      <w:lvlJc w:val="left"/>
      <w:pPr>
        <w:ind w:left="4898" w:hanging="2160"/>
      </w:pPr>
      <w:rPr>
        <w:rFonts w:hint="default"/>
        <w:b/>
      </w:rPr>
    </w:lvl>
  </w:abstractNum>
  <w:abstractNum w:abstractNumId="27">
    <w:nsid w:val="680D101A"/>
    <w:multiLevelType w:val="hybridMultilevel"/>
    <w:tmpl w:val="A22C1F46"/>
    <w:lvl w:ilvl="0" w:tplc="211E0142">
      <w:start w:val="1"/>
      <w:numFmt w:val="lowerLetter"/>
      <w:pStyle w:val="Estilo5"/>
      <w:lvlText w:val="%1)"/>
      <w:lvlJc w:val="left"/>
      <w:pPr>
        <w:tabs>
          <w:tab w:val="num" w:pos="360"/>
        </w:tabs>
        <w:ind w:left="360" w:hanging="360"/>
      </w:pPr>
      <w:rPr>
        <w:rFonts w:hint="default"/>
      </w:rPr>
    </w:lvl>
    <w:lvl w:ilvl="1" w:tplc="240A0019"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28">
    <w:nsid w:val="73055484"/>
    <w:multiLevelType w:val="hybridMultilevel"/>
    <w:tmpl w:val="36549B70"/>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num w:numId="1">
    <w:abstractNumId w:val="0"/>
  </w:num>
  <w:num w:numId="2">
    <w:abstractNumId w:val="15"/>
  </w:num>
  <w:num w:numId="3">
    <w:abstractNumId w:val="27"/>
  </w:num>
  <w:num w:numId="4">
    <w:abstractNumId w:val="14"/>
  </w:num>
  <w:num w:numId="5">
    <w:abstractNumId w:val="5"/>
  </w:num>
  <w:num w:numId="6">
    <w:abstractNumId w:val="2"/>
  </w:num>
  <w:num w:numId="7">
    <w:abstractNumId w:val="22"/>
  </w:num>
  <w:num w:numId="8">
    <w:abstractNumId w:val="23"/>
  </w:num>
  <w:num w:numId="9">
    <w:abstractNumId w:val="3"/>
  </w:num>
  <w:num w:numId="10">
    <w:abstractNumId w:val="26"/>
  </w:num>
  <w:num w:numId="11">
    <w:abstractNumId w:val="1"/>
  </w:num>
  <w:num w:numId="12">
    <w:abstractNumId w:val="9"/>
  </w:num>
  <w:num w:numId="13">
    <w:abstractNumId w:val="4"/>
  </w:num>
  <w:num w:numId="14">
    <w:abstractNumId w:val="17"/>
  </w:num>
  <w:num w:numId="15">
    <w:abstractNumId w:val="21"/>
  </w:num>
  <w:num w:numId="16">
    <w:abstractNumId w:val="19"/>
  </w:num>
  <w:num w:numId="17">
    <w:abstractNumId w:val="24"/>
  </w:num>
  <w:num w:numId="18">
    <w:abstractNumId w:val="25"/>
  </w:num>
  <w:num w:numId="19">
    <w:abstractNumId w:val="6"/>
  </w:num>
  <w:num w:numId="20">
    <w:abstractNumId w:val="28"/>
  </w:num>
  <w:num w:numId="21">
    <w:abstractNumId w:val="13"/>
  </w:num>
  <w:num w:numId="22">
    <w:abstractNumId w:val="11"/>
  </w:num>
  <w:num w:numId="23">
    <w:abstractNumId w:val="7"/>
  </w:num>
  <w:num w:numId="24">
    <w:abstractNumId w:val="18"/>
  </w:num>
  <w:num w:numId="25">
    <w:abstractNumId w:val="16"/>
  </w:num>
  <w:num w:numId="26">
    <w:abstractNumId w:val="12"/>
  </w:num>
  <w:num w:numId="27">
    <w:abstractNumId w:val="20"/>
  </w:num>
  <w:num w:numId="28">
    <w:abstractNumId w:val="10"/>
  </w:num>
  <w:num w:numId="29">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oNotTrackFormatting/>
  <w:defaultTabStop w:val="709"/>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1EC3"/>
    <w:rsid w:val="000056B7"/>
    <w:rsid w:val="00005DEA"/>
    <w:rsid w:val="00006AE2"/>
    <w:rsid w:val="000076A1"/>
    <w:rsid w:val="00007CB1"/>
    <w:rsid w:val="00011C41"/>
    <w:rsid w:val="0001214F"/>
    <w:rsid w:val="00012259"/>
    <w:rsid w:val="00025383"/>
    <w:rsid w:val="000275E8"/>
    <w:rsid w:val="00040A48"/>
    <w:rsid w:val="000449F7"/>
    <w:rsid w:val="000467AD"/>
    <w:rsid w:val="000515F2"/>
    <w:rsid w:val="00053924"/>
    <w:rsid w:val="00056E88"/>
    <w:rsid w:val="00063657"/>
    <w:rsid w:val="000636FB"/>
    <w:rsid w:val="000732A9"/>
    <w:rsid w:val="000734A5"/>
    <w:rsid w:val="00073B4E"/>
    <w:rsid w:val="00074F42"/>
    <w:rsid w:val="00076680"/>
    <w:rsid w:val="00076A1D"/>
    <w:rsid w:val="0008073E"/>
    <w:rsid w:val="00081137"/>
    <w:rsid w:val="0008209C"/>
    <w:rsid w:val="000820E9"/>
    <w:rsid w:val="00091CDB"/>
    <w:rsid w:val="0009538E"/>
    <w:rsid w:val="000A05BB"/>
    <w:rsid w:val="000A19AC"/>
    <w:rsid w:val="000A41EC"/>
    <w:rsid w:val="000A45DF"/>
    <w:rsid w:val="000B51DC"/>
    <w:rsid w:val="000B5578"/>
    <w:rsid w:val="000B6665"/>
    <w:rsid w:val="000C1016"/>
    <w:rsid w:val="000D1CD9"/>
    <w:rsid w:val="000D26F8"/>
    <w:rsid w:val="000E4FF2"/>
    <w:rsid w:val="000F497D"/>
    <w:rsid w:val="000F5AD8"/>
    <w:rsid w:val="000F61D6"/>
    <w:rsid w:val="000F62E0"/>
    <w:rsid w:val="000F67EF"/>
    <w:rsid w:val="00101041"/>
    <w:rsid w:val="00110513"/>
    <w:rsid w:val="00113B87"/>
    <w:rsid w:val="001205E1"/>
    <w:rsid w:val="00127F03"/>
    <w:rsid w:val="001313EA"/>
    <w:rsid w:val="00131A41"/>
    <w:rsid w:val="00131E64"/>
    <w:rsid w:val="00131FDD"/>
    <w:rsid w:val="00132194"/>
    <w:rsid w:val="00133ACC"/>
    <w:rsid w:val="00135BCA"/>
    <w:rsid w:val="00136993"/>
    <w:rsid w:val="001405C6"/>
    <w:rsid w:val="00141013"/>
    <w:rsid w:val="00143A43"/>
    <w:rsid w:val="00144C1E"/>
    <w:rsid w:val="001457AD"/>
    <w:rsid w:val="001475DA"/>
    <w:rsid w:val="00154F9E"/>
    <w:rsid w:val="00155D45"/>
    <w:rsid w:val="0015713C"/>
    <w:rsid w:val="00162AE1"/>
    <w:rsid w:val="00176612"/>
    <w:rsid w:val="0018335A"/>
    <w:rsid w:val="00184B9C"/>
    <w:rsid w:val="00190044"/>
    <w:rsid w:val="001913D9"/>
    <w:rsid w:val="00191DE5"/>
    <w:rsid w:val="00192CBF"/>
    <w:rsid w:val="00192FF1"/>
    <w:rsid w:val="00197E87"/>
    <w:rsid w:val="001A183E"/>
    <w:rsid w:val="001A4D28"/>
    <w:rsid w:val="001A5888"/>
    <w:rsid w:val="001A5F1B"/>
    <w:rsid w:val="001B1C22"/>
    <w:rsid w:val="001B266F"/>
    <w:rsid w:val="001B34C6"/>
    <w:rsid w:val="001B41D1"/>
    <w:rsid w:val="001B42B3"/>
    <w:rsid w:val="001C273B"/>
    <w:rsid w:val="001C38BD"/>
    <w:rsid w:val="001C38D8"/>
    <w:rsid w:val="001C3AAD"/>
    <w:rsid w:val="001C5503"/>
    <w:rsid w:val="001C6C45"/>
    <w:rsid w:val="001D13BC"/>
    <w:rsid w:val="001D5CF1"/>
    <w:rsid w:val="001D7832"/>
    <w:rsid w:val="001E18F4"/>
    <w:rsid w:val="001E1EA3"/>
    <w:rsid w:val="001E75AB"/>
    <w:rsid w:val="001F2260"/>
    <w:rsid w:val="001F6E1D"/>
    <w:rsid w:val="00205759"/>
    <w:rsid w:val="00207C9B"/>
    <w:rsid w:val="00210FF4"/>
    <w:rsid w:val="00211D34"/>
    <w:rsid w:val="00214F04"/>
    <w:rsid w:val="00223259"/>
    <w:rsid w:val="00224A86"/>
    <w:rsid w:val="002355A1"/>
    <w:rsid w:val="0024610A"/>
    <w:rsid w:val="00247834"/>
    <w:rsid w:val="00251506"/>
    <w:rsid w:val="00251EB5"/>
    <w:rsid w:val="00254D2B"/>
    <w:rsid w:val="00254EC8"/>
    <w:rsid w:val="00264ED0"/>
    <w:rsid w:val="00266CD6"/>
    <w:rsid w:val="00272511"/>
    <w:rsid w:val="00275DAB"/>
    <w:rsid w:val="002767D1"/>
    <w:rsid w:val="00281595"/>
    <w:rsid w:val="00282B14"/>
    <w:rsid w:val="002A552B"/>
    <w:rsid w:val="002A782A"/>
    <w:rsid w:val="002A7FE7"/>
    <w:rsid w:val="002B07DD"/>
    <w:rsid w:val="002B11E2"/>
    <w:rsid w:val="002B1E18"/>
    <w:rsid w:val="002B24B8"/>
    <w:rsid w:val="002B2B82"/>
    <w:rsid w:val="002B326E"/>
    <w:rsid w:val="002B5F29"/>
    <w:rsid w:val="002B6EF8"/>
    <w:rsid w:val="002C0653"/>
    <w:rsid w:val="002C0D3D"/>
    <w:rsid w:val="002C4B9D"/>
    <w:rsid w:val="002C6670"/>
    <w:rsid w:val="002D2285"/>
    <w:rsid w:val="002D3AE9"/>
    <w:rsid w:val="002D4510"/>
    <w:rsid w:val="002E4AF6"/>
    <w:rsid w:val="002E5320"/>
    <w:rsid w:val="002E5942"/>
    <w:rsid w:val="002F0734"/>
    <w:rsid w:val="002F1509"/>
    <w:rsid w:val="002F46E7"/>
    <w:rsid w:val="0030250C"/>
    <w:rsid w:val="00303964"/>
    <w:rsid w:val="00307882"/>
    <w:rsid w:val="003101DA"/>
    <w:rsid w:val="00314757"/>
    <w:rsid w:val="003200B6"/>
    <w:rsid w:val="003211CE"/>
    <w:rsid w:val="00323AED"/>
    <w:rsid w:val="00323B6B"/>
    <w:rsid w:val="003361A7"/>
    <w:rsid w:val="00337791"/>
    <w:rsid w:val="003423B9"/>
    <w:rsid w:val="0035403A"/>
    <w:rsid w:val="0036010B"/>
    <w:rsid w:val="00360AE7"/>
    <w:rsid w:val="0036394B"/>
    <w:rsid w:val="00364C14"/>
    <w:rsid w:val="003656CF"/>
    <w:rsid w:val="00366A17"/>
    <w:rsid w:val="00366DB6"/>
    <w:rsid w:val="00366E05"/>
    <w:rsid w:val="0036711F"/>
    <w:rsid w:val="0036777D"/>
    <w:rsid w:val="00370720"/>
    <w:rsid w:val="003709B5"/>
    <w:rsid w:val="00373445"/>
    <w:rsid w:val="003758FB"/>
    <w:rsid w:val="003759C2"/>
    <w:rsid w:val="0038467E"/>
    <w:rsid w:val="00397365"/>
    <w:rsid w:val="003A31F6"/>
    <w:rsid w:val="003A5748"/>
    <w:rsid w:val="003A5CA9"/>
    <w:rsid w:val="003B35F3"/>
    <w:rsid w:val="003B47BC"/>
    <w:rsid w:val="003B4DAA"/>
    <w:rsid w:val="003B5199"/>
    <w:rsid w:val="003C07C3"/>
    <w:rsid w:val="003C3447"/>
    <w:rsid w:val="003C52C9"/>
    <w:rsid w:val="003C5524"/>
    <w:rsid w:val="003D0704"/>
    <w:rsid w:val="003D076C"/>
    <w:rsid w:val="003D09A0"/>
    <w:rsid w:val="003D4F11"/>
    <w:rsid w:val="003E087E"/>
    <w:rsid w:val="003E2215"/>
    <w:rsid w:val="003E47E6"/>
    <w:rsid w:val="003E572B"/>
    <w:rsid w:val="003E69F2"/>
    <w:rsid w:val="003E78B5"/>
    <w:rsid w:val="003F315B"/>
    <w:rsid w:val="003F394D"/>
    <w:rsid w:val="00400006"/>
    <w:rsid w:val="00402232"/>
    <w:rsid w:val="0040291C"/>
    <w:rsid w:val="0040534C"/>
    <w:rsid w:val="00411CD2"/>
    <w:rsid w:val="00412273"/>
    <w:rsid w:val="004124CF"/>
    <w:rsid w:val="00415BAB"/>
    <w:rsid w:val="00415ED2"/>
    <w:rsid w:val="00416175"/>
    <w:rsid w:val="00417FA7"/>
    <w:rsid w:val="0042068C"/>
    <w:rsid w:val="00422A13"/>
    <w:rsid w:val="00424C38"/>
    <w:rsid w:val="004301BD"/>
    <w:rsid w:val="00432443"/>
    <w:rsid w:val="00435C37"/>
    <w:rsid w:val="004372D4"/>
    <w:rsid w:val="00440455"/>
    <w:rsid w:val="00446B62"/>
    <w:rsid w:val="0047122B"/>
    <w:rsid w:val="00473B7A"/>
    <w:rsid w:val="004742BF"/>
    <w:rsid w:val="00475758"/>
    <w:rsid w:val="00475FBF"/>
    <w:rsid w:val="00476121"/>
    <w:rsid w:val="004775BA"/>
    <w:rsid w:val="00477AE0"/>
    <w:rsid w:val="00480B3D"/>
    <w:rsid w:val="00480EE4"/>
    <w:rsid w:val="00492453"/>
    <w:rsid w:val="004960E9"/>
    <w:rsid w:val="004A015F"/>
    <w:rsid w:val="004A2E88"/>
    <w:rsid w:val="004A5305"/>
    <w:rsid w:val="004B029B"/>
    <w:rsid w:val="004B3433"/>
    <w:rsid w:val="004C4A79"/>
    <w:rsid w:val="004D483E"/>
    <w:rsid w:val="004D6CF6"/>
    <w:rsid w:val="004D7634"/>
    <w:rsid w:val="004E4AB6"/>
    <w:rsid w:val="004E70B9"/>
    <w:rsid w:val="005023D3"/>
    <w:rsid w:val="00505807"/>
    <w:rsid w:val="005117F6"/>
    <w:rsid w:val="00515FF8"/>
    <w:rsid w:val="005166CC"/>
    <w:rsid w:val="005300D3"/>
    <w:rsid w:val="00531433"/>
    <w:rsid w:val="005422CE"/>
    <w:rsid w:val="00544F82"/>
    <w:rsid w:val="005511EE"/>
    <w:rsid w:val="00553085"/>
    <w:rsid w:val="00553775"/>
    <w:rsid w:val="00553E74"/>
    <w:rsid w:val="00554E8F"/>
    <w:rsid w:val="00564326"/>
    <w:rsid w:val="005662CD"/>
    <w:rsid w:val="00566A97"/>
    <w:rsid w:val="005714D6"/>
    <w:rsid w:val="00574354"/>
    <w:rsid w:val="00575755"/>
    <w:rsid w:val="00576EC1"/>
    <w:rsid w:val="00582235"/>
    <w:rsid w:val="0058223E"/>
    <w:rsid w:val="00582AA2"/>
    <w:rsid w:val="00587849"/>
    <w:rsid w:val="005910D4"/>
    <w:rsid w:val="00593C4F"/>
    <w:rsid w:val="005946A8"/>
    <w:rsid w:val="00594E72"/>
    <w:rsid w:val="00594E83"/>
    <w:rsid w:val="005958A2"/>
    <w:rsid w:val="005973F3"/>
    <w:rsid w:val="005A4407"/>
    <w:rsid w:val="005A4901"/>
    <w:rsid w:val="005A59EF"/>
    <w:rsid w:val="005B1C7E"/>
    <w:rsid w:val="005C3C73"/>
    <w:rsid w:val="005C6638"/>
    <w:rsid w:val="005C6976"/>
    <w:rsid w:val="005D0CA8"/>
    <w:rsid w:val="005D3924"/>
    <w:rsid w:val="005D563D"/>
    <w:rsid w:val="005D6711"/>
    <w:rsid w:val="005E19DF"/>
    <w:rsid w:val="005E2648"/>
    <w:rsid w:val="005E6966"/>
    <w:rsid w:val="005F6F41"/>
    <w:rsid w:val="0060179D"/>
    <w:rsid w:val="00603651"/>
    <w:rsid w:val="00604028"/>
    <w:rsid w:val="0060521C"/>
    <w:rsid w:val="00616D30"/>
    <w:rsid w:val="00620CF2"/>
    <w:rsid w:val="00625DC6"/>
    <w:rsid w:val="00626CCB"/>
    <w:rsid w:val="006319DF"/>
    <w:rsid w:val="00634581"/>
    <w:rsid w:val="00642976"/>
    <w:rsid w:val="0064391D"/>
    <w:rsid w:val="00651821"/>
    <w:rsid w:val="00652815"/>
    <w:rsid w:val="006542BD"/>
    <w:rsid w:val="00654384"/>
    <w:rsid w:val="00663378"/>
    <w:rsid w:val="00663BA1"/>
    <w:rsid w:val="006675CD"/>
    <w:rsid w:val="00674268"/>
    <w:rsid w:val="006829B6"/>
    <w:rsid w:val="00684628"/>
    <w:rsid w:val="00684D9B"/>
    <w:rsid w:val="00693CEF"/>
    <w:rsid w:val="00694409"/>
    <w:rsid w:val="00697556"/>
    <w:rsid w:val="006A187E"/>
    <w:rsid w:val="006A5EA2"/>
    <w:rsid w:val="006B03BC"/>
    <w:rsid w:val="006B4647"/>
    <w:rsid w:val="006B4C2B"/>
    <w:rsid w:val="006B4D01"/>
    <w:rsid w:val="006B6D47"/>
    <w:rsid w:val="006C5AFE"/>
    <w:rsid w:val="006D00A0"/>
    <w:rsid w:val="006D4526"/>
    <w:rsid w:val="006D5002"/>
    <w:rsid w:val="006D7779"/>
    <w:rsid w:val="006E56F5"/>
    <w:rsid w:val="006E624A"/>
    <w:rsid w:val="006F053B"/>
    <w:rsid w:val="006F334C"/>
    <w:rsid w:val="006F6D95"/>
    <w:rsid w:val="006F7864"/>
    <w:rsid w:val="006F7DDC"/>
    <w:rsid w:val="0070148C"/>
    <w:rsid w:val="00703A59"/>
    <w:rsid w:val="00706F13"/>
    <w:rsid w:val="007072E8"/>
    <w:rsid w:val="007104F7"/>
    <w:rsid w:val="00710598"/>
    <w:rsid w:val="007143A4"/>
    <w:rsid w:val="00715BB1"/>
    <w:rsid w:val="0071618D"/>
    <w:rsid w:val="00724609"/>
    <w:rsid w:val="00725FA4"/>
    <w:rsid w:val="00730938"/>
    <w:rsid w:val="007326C4"/>
    <w:rsid w:val="00735D39"/>
    <w:rsid w:val="00740446"/>
    <w:rsid w:val="007438A9"/>
    <w:rsid w:val="00743BE0"/>
    <w:rsid w:val="00744804"/>
    <w:rsid w:val="0074491E"/>
    <w:rsid w:val="00746E69"/>
    <w:rsid w:val="00750808"/>
    <w:rsid w:val="007532FB"/>
    <w:rsid w:val="007550D8"/>
    <w:rsid w:val="0076247A"/>
    <w:rsid w:val="00767C67"/>
    <w:rsid w:val="007745AC"/>
    <w:rsid w:val="00775964"/>
    <w:rsid w:val="007765FE"/>
    <w:rsid w:val="007775B6"/>
    <w:rsid w:val="007903DD"/>
    <w:rsid w:val="00791A8B"/>
    <w:rsid w:val="0079566D"/>
    <w:rsid w:val="00795BFB"/>
    <w:rsid w:val="007A0A6B"/>
    <w:rsid w:val="007B2760"/>
    <w:rsid w:val="007C3A9A"/>
    <w:rsid w:val="007C7A1B"/>
    <w:rsid w:val="007D316B"/>
    <w:rsid w:val="007D732E"/>
    <w:rsid w:val="007D741C"/>
    <w:rsid w:val="007E0ED4"/>
    <w:rsid w:val="007E1EB3"/>
    <w:rsid w:val="007E5738"/>
    <w:rsid w:val="007F0E67"/>
    <w:rsid w:val="007F1015"/>
    <w:rsid w:val="007F1984"/>
    <w:rsid w:val="00801D3C"/>
    <w:rsid w:val="00802105"/>
    <w:rsid w:val="0080213A"/>
    <w:rsid w:val="00803D98"/>
    <w:rsid w:val="00806C01"/>
    <w:rsid w:val="00807B48"/>
    <w:rsid w:val="008148CC"/>
    <w:rsid w:val="0081492F"/>
    <w:rsid w:val="00816FCD"/>
    <w:rsid w:val="00817820"/>
    <w:rsid w:val="00817D6D"/>
    <w:rsid w:val="008211A4"/>
    <w:rsid w:val="008242D5"/>
    <w:rsid w:val="00831924"/>
    <w:rsid w:val="00850E7E"/>
    <w:rsid w:val="00852698"/>
    <w:rsid w:val="0085757E"/>
    <w:rsid w:val="00864CED"/>
    <w:rsid w:val="00873150"/>
    <w:rsid w:val="0087429D"/>
    <w:rsid w:val="0087657D"/>
    <w:rsid w:val="00876726"/>
    <w:rsid w:val="00876BDF"/>
    <w:rsid w:val="00877788"/>
    <w:rsid w:val="008807D5"/>
    <w:rsid w:val="00880832"/>
    <w:rsid w:val="008846E2"/>
    <w:rsid w:val="00886EE1"/>
    <w:rsid w:val="0088727D"/>
    <w:rsid w:val="008951D1"/>
    <w:rsid w:val="008962F7"/>
    <w:rsid w:val="00897C75"/>
    <w:rsid w:val="008A06B6"/>
    <w:rsid w:val="008A285F"/>
    <w:rsid w:val="008A32A5"/>
    <w:rsid w:val="008B2009"/>
    <w:rsid w:val="008B2BDC"/>
    <w:rsid w:val="008B674E"/>
    <w:rsid w:val="008C010B"/>
    <w:rsid w:val="008C1130"/>
    <w:rsid w:val="008C5F7B"/>
    <w:rsid w:val="008D0F9F"/>
    <w:rsid w:val="008D18E6"/>
    <w:rsid w:val="008D3E63"/>
    <w:rsid w:val="008D7A9B"/>
    <w:rsid w:val="008D7E84"/>
    <w:rsid w:val="008E0C67"/>
    <w:rsid w:val="008E76AC"/>
    <w:rsid w:val="008F05C7"/>
    <w:rsid w:val="008F1A91"/>
    <w:rsid w:val="008F21F6"/>
    <w:rsid w:val="008F2D17"/>
    <w:rsid w:val="00903E73"/>
    <w:rsid w:val="00923E23"/>
    <w:rsid w:val="00931568"/>
    <w:rsid w:val="00934C22"/>
    <w:rsid w:val="00944B2E"/>
    <w:rsid w:val="00945254"/>
    <w:rsid w:val="00951F79"/>
    <w:rsid w:val="009566C1"/>
    <w:rsid w:val="00956742"/>
    <w:rsid w:val="0096182F"/>
    <w:rsid w:val="00962103"/>
    <w:rsid w:val="00971121"/>
    <w:rsid w:val="0097385C"/>
    <w:rsid w:val="00974AB5"/>
    <w:rsid w:val="0098135D"/>
    <w:rsid w:val="0098706D"/>
    <w:rsid w:val="009935FB"/>
    <w:rsid w:val="009A2CCD"/>
    <w:rsid w:val="009A2FB2"/>
    <w:rsid w:val="009A5F49"/>
    <w:rsid w:val="009B44B7"/>
    <w:rsid w:val="009B6E90"/>
    <w:rsid w:val="009C15C4"/>
    <w:rsid w:val="009C4E8D"/>
    <w:rsid w:val="009D06A4"/>
    <w:rsid w:val="009D31D3"/>
    <w:rsid w:val="009D33F1"/>
    <w:rsid w:val="009E5E85"/>
    <w:rsid w:val="009F143D"/>
    <w:rsid w:val="009F37CF"/>
    <w:rsid w:val="009F4A54"/>
    <w:rsid w:val="009F4BEC"/>
    <w:rsid w:val="00A029DB"/>
    <w:rsid w:val="00A11297"/>
    <w:rsid w:val="00A1720D"/>
    <w:rsid w:val="00A233BF"/>
    <w:rsid w:val="00A25A19"/>
    <w:rsid w:val="00A25FD7"/>
    <w:rsid w:val="00A26134"/>
    <w:rsid w:val="00A31FEA"/>
    <w:rsid w:val="00A33873"/>
    <w:rsid w:val="00A3475C"/>
    <w:rsid w:val="00A34C91"/>
    <w:rsid w:val="00A40EC5"/>
    <w:rsid w:val="00A41772"/>
    <w:rsid w:val="00A42C6B"/>
    <w:rsid w:val="00A43AFF"/>
    <w:rsid w:val="00A45EFE"/>
    <w:rsid w:val="00A51506"/>
    <w:rsid w:val="00A528BA"/>
    <w:rsid w:val="00A55F1F"/>
    <w:rsid w:val="00A60B2D"/>
    <w:rsid w:val="00A62BD7"/>
    <w:rsid w:val="00A667C4"/>
    <w:rsid w:val="00A67F4F"/>
    <w:rsid w:val="00A75516"/>
    <w:rsid w:val="00A7793A"/>
    <w:rsid w:val="00A8278B"/>
    <w:rsid w:val="00A8345E"/>
    <w:rsid w:val="00A84E9E"/>
    <w:rsid w:val="00A908EB"/>
    <w:rsid w:val="00A94DB2"/>
    <w:rsid w:val="00AA1608"/>
    <w:rsid w:val="00AA25E3"/>
    <w:rsid w:val="00AA2E4D"/>
    <w:rsid w:val="00AA4CC7"/>
    <w:rsid w:val="00AA5E8E"/>
    <w:rsid w:val="00AB1427"/>
    <w:rsid w:val="00AB4303"/>
    <w:rsid w:val="00AB6CA7"/>
    <w:rsid w:val="00AC3CFF"/>
    <w:rsid w:val="00AC7EE4"/>
    <w:rsid w:val="00AD01E4"/>
    <w:rsid w:val="00AD051E"/>
    <w:rsid w:val="00AD0858"/>
    <w:rsid w:val="00AD2C20"/>
    <w:rsid w:val="00AD7692"/>
    <w:rsid w:val="00AE1D7B"/>
    <w:rsid w:val="00AE23B9"/>
    <w:rsid w:val="00AE3B22"/>
    <w:rsid w:val="00AE53E8"/>
    <w:rsid w:val="00AE5DF1"/>
    <w:rsid w:val="00AE7340"/>
    <w:rsid w:val="00AF0085"/>
    <w:rsid w:val="00AF05E7"/>
    <w:rsid w:val="00AF1BBD"/>
    <w:rsid w:val="00AF2BD3"/>
    <w:rsid w:val="00B00C28"/>
    <w:rsid w:val="00B01B10"/>
    <w:rsid w:val="00B02A47"/>
    <w:rsid w:val="00B03A4B"/>
    <w:rsid w:val="00B04712"/>
    <w:rsid w:val="00B10207"/>
    <w:rsid w:val="00B141E7"/>
    <w:rsid w:val="00B20586"/>
    <w:rsid w:val="00B205AB"/>
    <w:rsid w:val="00B278F0"/>
    <w:rsid w:val="00B27D35"/>
    <w:rsid w:val="00B3031C"/>
    <w:rsid w:val="00B34513"/>
    <w:rsid w:val="00B34ADA"/>
    <w:rsid w:val="00B351B4"/>
    <w:rsid w:val="00B4075F"/>
    <w:rsid w:val="00B46BCA"/>
    <w:rsid w:val="00B478AA"/>
    <w:rsid w:val="00B51346"/>
    <w:rsid w:val="00B60D9D"/>
    <w:rsid w:val="00B60E56"/>
    <w:rsid w:val="00B635DF"/>
    <w:rsid w:val="00B6507A"/>
    <w:rsid w:val="00B65E23"/>
    <w:rsid w:val="00B7380F"/>
    <w:rsid w:val="00B74170"/>
    <w:rsid w:val="00B7683F"/>
    <w:rsid w:val="00B769FC"/>
    <w:rsid w:val="00B82ECE"/>
    <w:rsid w:val="00B84538"/>
    <w:rsid w:val="00B84F46"/>
    <w:rsid w:val="00B87806"/>
    <w:rsid w:val="00B87EC9"/>
    <w:rsid w:val="00B924A9"/>
    <w:rsid w:val="00B947DC"/>
    <w:rsid w:val="00BA2377"/>
    <w:rsid w:val="00BB0418"/>
    <w:rsid w:val="00BC30F7"/>
    <w:rsid w:val="00BC38FD"/>
    <w:rsid w:val="00BC5774"/>
    <w:rsid w:val="00BC6DDB"/>
    <w:rsid w:val="00BC6EA9"/>
    <w:rsid w:val="00BC7A6B"/>
    <w:rsid w:val="00BE5090"/>
    <w:rsid w:val="00BE57AD"/>
    <w:rsid w:val="00BE64DA"/>
    <w:rsid w:val="00BF01C1"/>
    <w:rsid w:val="00BF0FAA"/>
    <w:rsid w:val="00BF3870"/>
    <w:rsid w:val="00BF4CFB"/>
    <w:rsid w:val="00BF58FA"/>
    <w:rsid w:val="00C034CB"/>
    <w:rsid w:val="00C03A58"/>
    <w:rsid w:val="00C051A8"/>
    <w:rsid w:val="00C054BC"/>
    <w:rsid w:val="00C12596"/>
    <w:rsid w:val="00C128BC"/>
    <w:rsid w:val="00C1318E"/>
    <w:rsid w:val="00C16BB4"/>
    <w:rsid w:val="00C171FE"/>
    <w:rsid w:val="00C17897"/>
    <w:rsid w:val="00C314A1"/>
    <w:rsid w:val="00C33031"/>
    <w:rsid w:val="00C3707D"/>
    <w:rsid w:val="00C40341"/>
    <w:rsid w:val="00C409D5"/>
    <w:rsid w:val="00C411A6"/>
    <w:rsid w:val="00C435C3"/>
    <w:rsid w:val="00C45F66"/>
    <w:rsid w:val="00C61CA9"/>
    <w:rsid w:val="00C6234B"/>
    <w:rsid w:val="00C63EAE"/>
    <w:rsid w:val="00C6513E"/>
    <w:rsid w:val="00C66FA8"/>
    <w:rsid w:val="00C6718C"/>
    <w:rsid w:val="00C67B94"/>
    <w:rsid w:val="00C7213C"/>
    <w:rsid w:val="00C7629F"/>
    <w:rsid w:val="00C768DD"/>
    <w:rsid w:val="00C85CB6"/>
    <w:rsid w:val="00C8661B"/>
    <w:rsid w:val="00C86A92"/>
    <w:rsid w:val="00C8752D"/>
    <w:rsid w:val="00C87711"/>
    <w:rsid w:val="00C90B18"/>
    <w:rsid w:val="00C93159"/>
    <w:rsid w:val="00C96718"/>
    <w:rsid w:val="00C96848"/>
    <w:rsid w:val="00CA139A"/>
    <w:rsid w:val="00CA2899"/>
    <w:rsid w:val="00CA2F77"/>
    <w:rsid w:val="00CA2FF0"/>
    <w:rsid w:val="00CA3A3D"/>
    <w:rsid w:val="00CA77FB"/>
    <w:rsid w:val="00CB379B"/>
    <w:rsid w:val="00CB3A0E"/>
    <w:rsid w:val="00CB4CB5"/>
    <w:rsid w:val="00CB5951"/>
    <w:rsid w:val="00CB5DD0"/>
    <w:rsid w:val="00CC347F"/>
    <w:rsid w:val="00CC506A"/>
    <w:rsid w:val="00CC51D4"/>
    <w:rsid w:val="00CC6279"/>
    <w:rsid w:val="00CC65DA"/>
    <w:rsid w:val="00CD40DA"/>
    <w:rsid w:val="00CD7AAD"/>
    <w:rsid w:val="00CE5502"/>
    <w:rsid w:val="00CF21B9"/>
    <w:rsid w:val="00CF6BF9"/>
    <w:rsid w:val="00D03800"/>
    <w:rsid w:val="00D065D3"/>
    <w:rsid w:val="00D07EE8"/>
    <w:rsid w:val="00D14C94"/>
    <w:rsid w:val="00D154F9"/>
    <w:rsid w:val="00D2127B"/>
    <w:rsid w:val="00D21578"/>
    <w:rsid w:val="00D2304E"/>
    <w:rsid w:val="00D27634"/>
    <w:rsid w:val="00D30115"/>
    <w:rsid w:val="00D320E9"/>
    <w:rsid w:val="00D3226C"/>
    <w:rsid w:val="00D342A6"/>
    <w:rsid w:val="00D35337"/>
    <w:rsid w:val="00D3557F"/>
    <w:rsid w:val="00D35BE2"/>
    <w:rsid w:val="00D4218E"/>
    <w:rsid w:val="00D464BF"/>
    <w:rsid w:val="00D47F92"/>
    <w:rsid w:val="00D51249"/>
    <w:rsid w:val="00D52C37"/>
    <w:rsid w:val="00D53E26"/>
    <w:rsid w:val="00D60925"/>
    <w:rsid w:val="00D614B2"/>
    <w:rsid w:val="00D732DF"/>
    <w:rsid w:val="00D83300"/>
    <w:rsid w:val="00D852FB"/>
    <w:rsid w:val="00D879E0"/>
    <w:rsid w:val="00D91178"/>
    <w:rsid w:val="00D91415"/>
    <w:rsid w:val="00D94239"/>
    <w:rsid w:val="00D95A58"/>
    <w:rsid w:val="00D96195"/>
    <w:rsid w:val="00D96E14"/>
    <w:rsid w:val="00DA1A83"/>
    <w:rsid w:val="00DA2B28"/>
    <w:rsid w:val="00DA63AF"/>
    <w:rsid w:val="00DB3BF1"/>
    <w:rsid w:val="00DB5C1E"/>
    <w:rsid w:val="00DB6C5C"/>
    <w:rsid w:val="00DC4283"/>
    <w:rsid w:val="00DC4C4C"/>
    <w:rsid w:val="00DC717A"/>
    <w:rsid w:val="00DC7DE2"/>
    <w:rsid w:val="00DD4F0E"/>
    <w:rsid w:val="00DD62F7"/>
    <w:rsid w:val="00DD6BC7"/>
    <w:rsid w:val="00DF0BF0"/>
    <w:rsid w:val="00DF0C14"/>
    <w:rsid w:val="00DF30BF"/>
    <w:rsid w:val="00DF4CA0"/>
    <w:rsid w:val="00DF5FE6"/>
    <w:rsid w:val="00DF757E"/>
    <w:rsid w:val="00E01463"/>
    <w:rsid w:val="00E0308C"/>
    <w:rsid w:val="00E03094"/>
    <w:rsid w:val="00E05E0A"/>
    <w:rsid w:val="00E066FD"/>
    <w:rsid w:val="00E13188"/>
    <w:rsid w:val="00E14840"/>
    <w:rsid w:val="00E15931"/>
    <w:rsid w:val="00E179B7"/>
    <w:rsid w:val="00E222C0"/>
    <w:rsid w:val="00E24602"/>
    <w:rsid w:val="00E24E67"/>
    <w:rsid w:val="00E43455"/>
    <w:rsid w:val="00E534CF"/>
    <w:rsid w:val="00E64718"/>
    <w:rsid w:val="00E648B6"/>
    <w:rsid w:val="00E6668F"/>
    <w:rsid w:val="00E66F94"/>
    <w:rsid w:val="00E679F7"/>
    <w:rsid w:val="00E71D1C"/>
    <w:rsid w:val="00E76A4A"/>
    <w:rsid w:val="00E81CB4"/>
    <w:rsid w:val="00E81DBA"/>
    <w:rsid w:val="00E81E04"/>
    <w:rsid w:val="00E831E4"/>
    <w:rsid w:val="00E8585B"/>
    <w:rsid w:val="00EA1B79"/>
    <w:rsid w:val="00EA3F15"/>
    <w:rsid w:val="00EA4DF0"/>
    <w:rsid w:val="00EA7847"/>
    <w:rsid w:val="00EB1FDE"/>
    <w:rsid w:val="00EB25BA"/>
    <w:rsid w:val="00EB4C2F"/>
    <w:rsid w:val="00EB6847"/>
    <w:rsid w:val="00EB7657"/>
    <w:rsid w:val="00EC7B9C"/>
    <w:rsid w:val="00ED1614"/>
    <w:rsid w:val="00ED23FB"/>
    <w:rsid w:val="00ED4CC1"/>
    <w:rsid w:val="00EE2E6E"/>
    <w:rsid w:val="00EE3261"/>
    <w:rsid w:val="00EE387C"/>
    <w:rsid w:val="00EF6DAE"/>
    <w:rsid w:val="00F04E9E"/>
    <w:rsid w:val="00F04F7C"/>
    <w:rsid w:val="00F0759E"/>
    <w:rsid w:val="00F101FE"/>
    <w:rsid w:val="00F10CCE"/>
    <w:rsid w:val="00F169BB"/>
    <w:rsid w:val="00F16A43"/>
    <w:rsid w:val="00F240D5"/>
    <w:rsid w:val="00F27E1C"/>
    <w:rsid w:val="00F46780"/>
    <w:rsid w:val="00F51CCD"/>
    <w:rsid w:val="00F6517A"/>
    <w:rsid w:val="00F65BC9"/>
    <w:rsid w:val="00F73B27"/>
    <w:rsid w:val="00F73E8B"/>
    <w:rsid w:val="00F75B52"/>
    <w:rsid w:val="00F821A3"/>
    <w:rsid w:val="00F8754E"/>
    <w:rsid w:val="00F8785D"/>
    <w:rsid w:val="00F9314A"/>
    <w:rsid w:val="00F9498D"/>
    <w:rsid w:val="00F96713"/>
    <w:rsid w:val="00FA1016"/>
    <w:rsid w:val="00FA2F2C"/>
    <w:rsid w:val="00FA4E7B"/>
    <w:rsid w:val="00FA5C2F"/>
    <w:rsid w:val="00FA5E92"/>
    <w:rsid w:val="00FA6A71"/>
    <w:rsid w:val="00FB2AFF"/>
    <w:rsid w:val="00FB4442"/>
    <w:rsid w:val="00FC3ACB"/>
    <w:rsid w:val="00FC58EF"/>
    <w:rsid w:val="00FD33DF"/>
    <w:rsid w:val="00FD62A2"/>
    <w:rsid w:val="00FE31DF"/>
    <w:rsid w:val="00FE39D7"/>
    <w:rsid w:val="00FE609F"/>
    <w:rsid w:val="00FF1A09"/>
    <w:rsid w:val="00FF44E6"/>
    <w:rsid w:val="00FF4A1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18"/>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EB1FDE"/>
    <w:pPr>
      <w:keepNext/>
      <w:keepLines/>
      <w:spacing w:before="200"/>
      <w:outlineLvl w:val="1"/>
    </w:pPr>
    <w:rPr>
      <w:rFonts w:ascii="Cambria" w:eastAsia="MS Gothic" w:hAnsi="Cambria"/>
      <w:b/>
      <w:bCs/>
      <w:color w:val="4F81BD"/>
      <w:sz w:val="26"/>
      <w:szCs w:val="26"/>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unhideWhenUsed/>
    <w:rsid w:val="00006AE2"/>
    <w:pPr>
      <w:spacing w:after="120" w:line="480" w:lineRule="auto"/>
    </w:pPr>
  </w:style>
  <w:style w:type="character" w:customStyle="1" w:styleId="Textoindependiente2Car">
    <w:name w:val="Texto independiente 2 Car"/>
    <w:link w:val="Textoindependiente2"/>
    <w:uiPriority w:val="99"/>
    <w:rsid w:val="00006AE2"/>
    <w:rPr>
      <w:sz w:val="24"/>
      <w:szCs w:val="24"/>
    </w:rPr>
  </w:style>
  <w:style w:type="paragraph" w:styleId="Epgrafe">
    <w:name w:val="caption"/>
    <w:basedOn w:val="Normal"/>
    <w:next w:val="Normal"/>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character" w:customStyle="1" w:styleId="Ttulo2Car">
    <w:name w:val="Título 2 Car"/>
    <w:basedOn w:val="Fuentedeprrafopredeter"/>
    <w:link w:val="Ttulo2"/>
    <w:uiPriority w:val="9"/>
    <w:semiHidden/>
    <w:rsid w:val="00EB1FDE"/>
    <w:rPr>
      <w:rFonts w:ascii="Cambria" w:eastAsia="MS Gothic" w:hAnsi="Cambria"/>
      <w:b/>
      <w:bCs/>
      <w:color w:val="4F81BD"/>
      <w:sz w:val="26"/>
      <w:szCs w:val="26"/>
      <w:lang w:val="es-ES" w:eastAsia="es-ES"/>
    </w:rPr>
  </w:style>
  <w:style w:type="paragraph" w:customStyle="1" w:styleId="Textoindependiente21">
    <w:name w:val="Texto independiente 21"/>
    <w:basedOn w:val="Normal"/>
    <w:rsid w:val="00EB1FDE"/>
    <w:pPr>
      <w:suppressAutoHyphens/>
      <w:overflowPunct w:val="0"/>
      <w:autoSpaceDE w:val="0"/>
      <w:ind w:left="0"/>
      <w:jc w:val="both"/>
      <w:textAlignment w:val="baseline"/>
    </w:pPr>
    <w:rPr>
      <w:rFonts w:ascii="Bookman Old Style" w:hAnsi="Bookman Old Style"/>
      <w:b/>
      <w:szCs w:val="20"/>
      <w:lang w:val="es-ES_tradnl" w:eastAsia="ar-SA"/>
    </w:rPr>
  </w:style>
  <w:style w:type="paragraph" w:customStyle="1" w:styleId="Textoindependiente22">
    <w:name w:val="Texto independiente 22"/>
    <w:basedOn w:val="Normal"/>
    <w:rsid w:val="00EB1FDE"/>
    <w:pPr>
      <w:suppressAutoHyphens/>
      <w:overflowPunct w:val="0"/>
      <w:autoSpaceDE w:val="0"/>
      <w:ind w:left="0"/>
      <w:jc w:val="both"/>
      <w:textAlignment w:val="baseline"/>
    </w:pPr>
    <w:rPr>
      <w:rFonts w:ascii="Bookman Old Style" w:hAnsi="Bookman Old Style"/>
      <w:b/>
      <w:szCs w:val="20"/>
      <w:lang w:val="es-ES_tradnl" w:eastAsia="ar-SA"/>
    </w:rPr>
  </w:style>
  <w:style w:type="paragraph" w:styleId="Textocomentario">
    <w:name w:val="annotation text"/>
    <w:basedOn w:val="Normal"/>
    <w:link w:val="TextocomentarioCar"/>
    <w:semiHidden/>
    <w:rsid w:val="00EB1FDE"/>
    <w:pPr>
      <w:ind w:left="0"/>
    </w:pPr>
    <w:rPr>
      <w:rFonts w:ascii="Arial" w:hAnsi="Arial"/>
      <w:sz w:val="20"/>
      <w:szCs w:val="20"/>
      <w:lang w:val="es-ES_tradnl"/>
    </w:rPr>
  </w:style>
  <w:style w:type="character" w:customStyle="1" w:styleId="TextocomentarioCar">
    <w:name w:val="Texto comentario Car"/>
    <w:basedOn w:val="Fuentedeprrafopredeter"/>
    <w:link w:val="Textocomentario"/>
    <w:semiHidden/>
    <w:rsid w:val="00EB1FDE"/>
    <w:rPr>
      <w:rFonts w:ascii="Arial" w:hAnsi="Arial"/>
      <w:lang w:val="es-ES_tradnl" w:eastAsia="es-ES"/>
    </w:rPr>
  </w:style>
  <w:style w:type="paragraph" w:customStyle="1" w:styleId="Textoindependiente23">
    <w:name w:val="Texto independiente 23"/>
    <w:basedOn w:val="Normal"/>
    <w:rsid w:val="00EB1FDE"/>
    <w:pPr>
      <w:suppressAutoHyphens/>
      <w:overflowPunct w:val="0"/>
      <w:autoSpaceDE w:val="0"/>
      <w:ind w:left="0"/>
      <w:jc w:val="both"/>
      <w:textAlignment w:val="baseline"/>
    </w:pPr>
    <w:rPr>
      <w:rFonts w:ascii="Bookman Old Style" w:hAnsi="Bookman Old Style"/>
      <w:b/>
      <w:szCs w:val="20"/>
      <w:lang w:val="es-ES_tradnl" w:eastAsia="ar-SA"/>
    </w:rPr>
  </w:style>
  <w:style w:type="paragraph" w:customStyle="1" w:styleId="PliegoTitulo1">
    <w:name w:val="Pliego_Titulo1"/>
    <w:basedOn w:val="Normal"/>
    <w:next w:val="Normal"/>
    <w:rsid w:val="00EB1FDE"/>
    <w:pPr>
      <w:widowControl w:val="0"/>
      <w:numPr>
        <w:numId w:val="2"/>
      </w:numPr>
      <w:adjustRightInd w:val="0"/>
      <w:spacing w:line="360" w:lineRule="atLeast"/>
      <w:jc w:val="center"/>
      <w:textAlignment w:val="baseline"/>
    </w:pPr>
    <w:rPr>
      <w:rFonts w:ascii="Garamond" w:hAnsi="Garamond"/>
      <w:b/>
      <w:bCs/>
      <w:sz w:val="22"/>
      <w:szCs w:val="20"/>
      <w:lang w:val="es-ES_tradnl"/>
    </w:rPr>
  </w:style>
  <w:style w:type="paragraph" w:customStyle="1" w:styleId="PliegoTitulo2">
    <w:name w:val="Pliego_Titulo2"/>
    <w:basedOn w:val="Normal"/>
    <w:next w:val="Normal"/>
    <w:rsid w:val="00EB1FDE"/>
    <w:pPr>
      <w:widowControl w:val="0"/>
      <w:numPr>
        <w:ilvl w:val="2"/>
        <w:numId w:val="2"/>
      </w:numPr>
      <w:tabs>
        <w:tab w:val="clear" w:pos="720"/>
        <w:tab w:val="num" w:pos="576"/>
      </w:tabs>
      <w:adjustRightInd w:val="0"/>
      <w:spacing w:line="360" w:lineRule="atLeast"/>
      <w:ind w:left="576" w:hanging="576"/>
      <w:jc w:val="both"/>
      <w:textAlignment w:val="baseline"/>
    </w:pPr>
    <w:rPr>
      <w:rFonts w:ascii="Garamond" w:hAnsi="Garamond"/>
      <w:b/>
      <w:bCs/>
      <w:sz w:val="22"/>
      <w:szCs w:val="20"/>
      <w:lang w:val="es-ES_tradnl"/>
    </w:rPr>
  </w:style>
  <w:style w:type="paragraph" w:customStyle="1" w:styleId="PliegoTitulo3">
    <w:name w:val="Pliego_Titulo3"/>
    <w:basedOn w:val="Normal"/>
    <w:next w:val="Normal"/>
    <w:autoRedefine/>
    <w:rsid w:val="00EB1FDE"/>
    <w:pPr>
      <w:widowControl w:val="0"/>
      <w:numPr>
        <w:ilvl w:val="3"/>
        <w:numId w:val="2"/>
      </w:numPr>
      <w:tabs>
        <w:tab w:val="clear" w:pos="864"/>
        <w:tab w:val="num" w:pos="720"/>
      </w:tabs>
      <w:adjustRightInd w:val="0"/>
      <w:spacing w:line="360" w:lineRule="atLeast"/>
      <w:ind w:left="720" w:hanging="720"/>
      <w:jc w:val="both"/>
      <w:textAlignment w:val="baseline"/>
    </w:pPr>
    <w:rPr>
      <w:rFonts w:ascii="Garamond" w:hAnsi="Garamond"/>
      <w:b/>
      <w:bCs/>
      <w:i/>
      <w:sz w:val="22"/>
      <w:szCs w:val="20"/>
      <w:lang w:val="es-ES_tradnl"/>
    </w:rPr>
  </w:style>
  <w:style w:type="paragraph" w:customStyle="1" w:styleId="PliegoTitulo4">
    <w:name w:val="Pliego_Titulo4"/>
    <w:basedOn w:val="Normal"/>
    <w:next w:val="Normal"/>
    <w:rsid w:val="00EB1FDE"/>
    <w:pPr>
      <w:widowControl w:val="0"/>
      <w:numPr>
        <w:ilvl w:val="4"/>
        <w:numId w:val="2"/>
      </w:numPr>
      <w:tabs>
        <w:tab w:val="clear" w:pos="1440"/>
        <w:tab w:val="num" w:pos="864"/>
      </w:tabs>
      <w:adjustRightInd w:val="0"/>
      <w:spacing w:line="360" w:lineRule="atLeast"/>
      <w:ind w:left="864" w:hanging="864"/>
      <w:jc w:val="both"/>
      <w:textAlignment w:val="baseline"/>
    </w:pPr>
    <w:rPr>
      <w:rFonts w:ascii="Garamond" w:hAnsi="Garamond"/>
      <w:bCs/>
      <w:i/>
      <w:sz w:val="22"/>
      <w:szCs w:val="20"/>
      <w:lang w:val="es-ES_tradnl"/>
    </w:rPr>
  </w:style>
  <w:style w:type="paragraph" w:customStyle="1" w:styleId="Textoindependiente24">
    <w:name w:val="Texto independiente 24"/>
    <w:basedOn w:val="Normal"/>
    <w:rsid w:val="00EB1FDE"/>
    <w:pPr>
      <w:suppressAutoHyphens/>
      <w:overflowPunct w:val="0"/>
      <w:autoSpaceDE w:val="0"/>
      <w:ind w:left="0"/>
      <w:jc w:val="both"/>
      <w:textAlignment w:val="baseline"/>
    </w:pPr>
    <w:rPr>
      <w:rFonts w:ascii="Bookman Old Style" w:hAnsi="Bookman Old Style"/>
      <w:b/>
      <w:szCs w:val="20"/>
      <w:lang w:val="es-ES_tradnl" w:eastAsia="ar-SA"/>
    </w:rPr>
  </w:style>
  <w:style w:type="character" w:styleId="Hipervnculo">
    <w:name w:val="Hyperlink"/>
    <w:uiPriority w:val="99"/>
    <w:unhideWhenUsed/>
    <w:rsid w:val="00EB1FDE"/>
    <w:rPr>
      <w:color w:val="0000FF"/>
      <w:u w:val="single"/>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EB1FDE"/>
    <w:rPr>
      <w:sz w:val="20"/>
      <w:szCs w:val="20"/>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rsid w:val="00EB1FDE"/>
    <w:rPr>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EB1FDE"/>
    <w:rPr>
      <w:vertAlign w:val="superscript"/>
    </w:rPr>
  </w:style>
  <w:style w:type="paragraph" w:customStyle="1" w:styleId="Prrafodelista1">
    <w:name w:val="Párrafo de lista1"/>
    <w:basedOn w:val="Normal"/>
    <w:rsid w:val="00EB1FDE"/>
    <w:pPr>
      <w:spacing w:after="200" w:line="276" w:lineRule="auto"/>
      <w:ind w:left="720"/>
    </w:pPr>
    <w:rPr>
      <w:rFonts w:ascii="Calibri" w:hAnsi="Calibri"/>
      <w:sz w:val="22"/>
      <w:szCs w:val="22"/>
      <w:lang w:val="es-CO" w:eastAsia="en-US"/>
    </w:rPr>
  </w:style>
  <w:style w:type="paragraph" w:styleId="Textonotaalfinal">
    <w:name w:val="endnote text"/>
    <w:basedOn w:val="Normal"/>
    <w:link w:val="TextonotaalfinalCar"/>
    <w:uiPriority w:val="99"/>
    <w:semiHidden/>
    <w:unhideWhenUsed/>
    <w:rsid w:val="00EB1FDE"/>
    <w:rPr>
      <w:sz w:val="20"/>
      <w:szCs w:val="20"/>
    </w:rPr>
  </w:style>
  <w:style w:type="character" w:customStyle="1" w:styleId="TextonotaalfinalCar">
    <w:name w:val="Texto nota al final Car"/>
    <w:basedOn w:val="Fuentedeprrafopredeter"/>
    <w:link w:val="Textonotaalfinal"/>
    <w:uiPriority w:val="99"/>
    <w:semiHidden/>
    <w:rsid w:val="00EB1FDE"/>
    <w:rPr>
      <w:lang w:val="es-ES" w:eastAsia="es-ES"/>
    </w:rPr>
  </w:style>
  <w:style w:type="character" w:styleId="Refdenotaalfinal">
    <w:name w:val="endnote reference"/>
    <w:uiPriority w:val="99"/>
    <w:semiHidden/>
    <w:unhideWhenUsed/>
    <w:rsid w:val="00EB1FDE"/>
    <w:rPr>
      <w:vertAlign w:val="superscript"/>
    </w:rPr>
  </w:style>
  <w:style w:type="paragraph" w:customStyle="1" w:styleId="Estilo5">
    <w:name w:val="Estilo5"/>
    <w:basedOn w:val="Estilo1"/>
    <w:qFormat/>
    <w:rsid w:val="00EB1FDE"/>
    <w:pPr>
      <w:keepNext/>
      <w:numPr>
        <w:numId w:val="3"/>
      </w:numPr>
      <w:shd w:val="clear" w:color="auto" w:fill="auto"/>
      <w:spacing w:before="240" w:after="60"/>
      <w:jc w:val="both"/>
      <w:outlineLvl w:val="0"/>
    </w:pPr>
    <w:rPr>
      <w:rFonts w:ascii="Arial" w:hAnsi="Arial"/>
      <w:b/>
      <w:color w:val="auto"/>
      <w:kern w:val="28"/>
      <w:sz w:val="22"/>
      <w:szCs w:val="22"/>
      <w:lang w:val="es-ES_tradnl" w:eastAsia="es-CO"/>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Estilo3">
    <w:name w:val="Estilo3"/>
    <w:basedOn w:val="Ttulo"/>
    <w:qFormat/>
    <w:rsid w:val="00EB1FDE"/>
    <w:pPr>
      <w:widowControl/>
      <w:adjustRightInd/>
      <w:spacing w:line="240" w:lineRule="auto"/>
      <w:ind w:left="0"/>
      <w:jc w:val="left"/>
      <w:textAlignment w:val="auto"/>
    </w:pPr>
    <w:rPr>
      <w:rFonts w:cs="Times New Roman"/>
      <w:b w:val="0"/>
      <w:bCs w:val="0"/>
      <w:sz w:val="22"/>
      <w:szCs w:val="20"/>
      <w:lang w:val="es-ES_tradnl" w:eastAsia="es-CO"/>
    </w:rPr>
  </w:style>
  <w:style w:type="paragraph" w:customStyle="1" w:styleId="Citas">
    <w:name w:val="Citas"/>
    <w:basedOn w:val="Normal"/>
    <w:next w:val="Normal"/>
    <w:rsid w:val="00EB1FDE"/>
    <w:pPr>
      <w:ind w:left="708" w:right="476"/>
      <w:jc w:val="both"/>
    </w:pPr>
    <w:rPr>
      <w:i/>
      <w:iCs/>
      <w:szCs w:val="20"/>
      <w:lang w:val="es-ES_tradnl"/>
    </w:rPr>
  </w:style>
  <w:style w:type="character" w:styleId="Refdecomentario">
    <w:name w:val="annotation reference"/>
    <w:semiHidden/>
    <w:unhideWhenUsed/>
    <w:rsid w:val="00EB1FDE"/>
    <w:rPr>
      <w:sz w:val="16"/>
      <w:szCs w:val="16"/>
    </w:rPr>
  </w:style>
  <w:style w:type="paragraph" w:styleId="Asuntodelcomentario">
    <w:name w:val="annotation subject"/>
    <w:basedOn w:val="Textocomentario"/>
    <w:next w:val="Textocomentario"/>
    <w:link w:val="AsuntodelcomentarioCar"/>
    <w:uiPriority w:val="99"/>
    <w:semiHidden/>
    <w:unhideWhenUsed/>
    <w:rsid w:val="00EB1FDE"/>
    <w:pPr>
      <w:ind w:left="567"/>
    </w:pPr>
    <w:rPr>
      <w:rFonts w:ascii="Times New Roman" w:hAnsi="Times New Roman"/>
      <w:b/>
      <w:bCs/>
      <w:lang w:val="es-ES"/>
    </w:rPr>
  </w:style>
  <w:style w:type="character" w:customStyle="1" w:styleId="AsuntodelcomentarioCar">
    <w:name w:val="Asunto del comentario Car"/>
    <w:basedOn w:val="TextocomentarioCar"/>
    <w:link w:val="Asuntodelcomentario"/>
    <w:uiPriority w:val="99"/>
    <w:semiHidden/>
    <w:rsid w:val="00EB1FDE"/>
    <w:rPr>
      <w:rFonts w:ascii="Arial" w:hAnsi="Arial"/>
      <w:b/>
      <w:bCs/>
      <w:lang w:val="es-ES" w:eastAsia="es-ES"/>
    </w:rPr>
  </w:style>
  <w:style w:type="paragraph" w:styleId="Revisin">
    <w:name w:val="Revision"/>
    <w:hidden/>
    <w:uiPriority w:val="99"/>
    <w:semiHidden/>
    <w:rsid w:val="00EB1FDE"/>
    <w:rPr>
      <w:sz w:val="24"/>
      <w:szCs w:val="24"/>
      <w:lang w:val="es-ES" w:eastAsia="es-ES"/>
    </w:rPr>
  </w:style>
  <w:style w:type="paragraph" w:customStyle="1" w:styleId="Artculo">
    <w:name w:val="Artículo"/>
    <w:basedOn w:val="Normal"/>
    <w:link w:val="ArtculoCar"/>
    <w:autoRedefine/>
    <w:qFormat/>
    <w:rsid w:val="00EB1FDE"/>
    <w:pPr>
      <w:ind w:left="0"/>
      <w:jc w:val="both"/>
    </w:pPr>
    <w:rPr>
      <w:rFonts w:ascii="Arial" w:hAnsi="Arial" w:cs="Arial"/>
      <w:b/>
    </w:rPr>
  </w:style>
  <w:style w:type="character" w:customStyle="1" w:styleId="ArtculoCar">
    <w:name w:val="Artículo Car"/>
    <w:link w:val="Artculo"/>
    <w:rsid w:val="00EB1FDE"/>
    <w:rPr>
      <w:rFonts w:ascii="Arial" w:hAnsi="Arial" w:cs="Arial"/>
      <w:b/>
      <w:sz w:val="24"/>
      <w:szCs w:val="24"/>
      <w:lang w:val="es-ES" w:eastAsia="es-ES"/>
    </w:rPr>
  </w:style>
  <w:style w:type="paragraph" w:styleId="Bibliografa">
    <w:name w:val="Bibliography"/>
    <w:basedOn w:val="Normal"/>
    <w:next w:val="Normal"/>
    <w:uiPriority w:val="37"/>
    <w:unhideWhenUsed/>
    <w:rsid w:val="00EB1FDE"/>
    <w:pPr>
      <w:spacing w:line="276" w:lineRule="auto"/>
      <w:ind w:left="0"/>
    </w:pPr>
    <w:rPr>
      <w:rFonts w:ascii="Arial" w:eastAsia="Arial" w:hAnsi="Arial" w:cs="Arial"/>
      <w:color w:val="000000"/>
      <w:sz w:val="22"/>
      <w:szCs w:val="22"/>
      <w:lang w:val="es-CO" w:eastAsia="es-CO"/>
    </w:rPr>
  </w:style>
  <w:style w:type="paragraph" w:styleId="Sangra3detindependiente">
    <w:name w:val="Body Text Indent 3"/>
    <w:basedOn w:val="Normal"/>
    <w:link w:val="Sangra3detindependienteCar"/>
    <w:uiPriority w:val="99"/>
    <w:unhideWhenUsed/>
    <w:rsid w:val="00EB1FDE"/>
    <w:pPr>
      <w:spacing w:before="120"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EB1FDE"/>
    <w:rPr>
      <w:sz w:val="16"/>
      <w:szCs w:val="16"/>
      <w:lang w:val="es-ES" w:eastAsia="es-ES"/>
    </w:rPr>
  </w:style>
  <w:style w:type="character" w:styleId="Textodelmarcadordeposicin">
    <w:name w:val="Placeholder Text"/>
    <w:uiPriority w:val="99"/>
    <w:semiHidden/>
    <w:rsid w:val="00EB1FDE"/>
    <w:rPr>
      <w:color w:val="808080"/>
    </w:rPr>
  </w:style>
  <w:style w:type="character" w:customStyle="1" w:styleId="CharStyle24">
    <w:name w:val="Char Style 24"/>
    <w:basedOn w:val="Fuentedeprrafopredeter"/>
    <w:link w:val="Style23"/>
    <w:uiPriority w:val="99"/>
    <w:locked/>
    <w:rsid w:val="006F053B"/>
    <w:rPr>
      <w:rFonts w:ascii="Arial" w:hAnsi="Arial" w:cs="Arial"/>
      <w:sz w:val="15"/>
      <w:szCs w:val="15"/>
      <w:shd w:val="clear" w:color="auto" w:fill="FFFFFF"/>
    </w:rPr>
  </w:style>
  <w:style w:type="paragraph" w:customStyle="1" w:styleId="Style23">
    <w:name w:val="Style 23"/>
    <w:basedOn w:val="Normal"/>
    <w:link w:val="CharStyle24"/>
    <w:uiPriority w:val="99"/>
    <w:rsid w:val="006F053B"/>
    <w:pPr>
      <w:widowControl w:val="0"/>
      <w:shd w:val="clear" w:color="auto" w:fill="FFFFFF"/>
      <w:spacing w:line="360" w:lineRule="exact"/>
      <w:ind w:left="0" w:hanging="1180"/>
    </w:pPr>
    <w:rPr>
      <w:rFonts w:ascii="Arial" w:hAnsi="Arial" w:cs="Arial"/>
      <w:sz w:val="15"/>
      <w:szCs w:val="15"/>
      <w:lang w:val="es-CO" w:eastAsia="es-CO"/>
    </w:rPr>
  </w:style>
  <w:style w:type="paragraph" w:customStyle="1" w:styleId="Default">
    <w:name w:val="Default"/>
    <w:rsid w:val="00C40341"/>
    <w:pPr>
      <w:autoSpaceDE w:val="0"/>
      <w:autoSpaceDN w:val="0"/>
      <w:adjustRightInd w:val="0"/>
    </w:pPr>
    <w:rPr>
      <w:rFonts w:ascii="Calibri" w:hAnsi="Calibri" w:cs="Calibri"/>
      <w:color w:val="000000"/>
      <w:sz w:val="24"/>
      <w:szCs w:val="24"/>
    </w:rPr>
  </w:style>
  <w:style w:type="character" w:customStyle="1" w:styleId="PiedepginaCar">
    <w:name w:val="Pie de página Car"/>
    <w:basedOn w:val="Fuentedeprrafopredeter"/>
    <w:link w:val="Piedepgina"/>
    <w:uiPriority w:val="99"/>
    <w:rsid w:val="00D91415"/>
    <w:rPr>
      <w:sz w:val="24"/>
      <w:szCs w:val="24"/>
      <w:lang w:val="es-ES" w:eastAsia="es-ES"/>
    </w:rPr>
  </w:style>
  <w:style w:type="paragraph" w:styleId="NormalWeb">
    <w:name w:val="Normal (Web)"/>
    <w:basedOn w:val="Normal"/>
    <w:uiPriority w:val="99"/>
    <w:semiHidden/>
    <w:unhideWhenUsed/>
    <w:rsid w:val="00E648B6"/>
    <w:pPr>
      <w:spacing w:before="100" w:beforeAutospacing="1" w:after="100" w:afterAutospacing="1"/>
      <w:ind w:left="0"/>
    </w:pPr>
    <w:rPr>
      <w:lang w:val="es-CO"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18"/>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EB1FDE"/>
    <w:pPr>
      <w:keepNext/>
      <w:keepLines/>
      <w:spacing w:before="200"/>
      <w:outlineLvl w:val="1"/>
    </w:pPr>
    <w:rPr>
      <w:rFonts w:ascii="Cambria" w:eastAsia="MS Gothic" w:hAnsi="Cambria"/>
      <w:b/>
      <w:bCs/>
      <w:color w:val="4F81BD"/>
      <w:sz w:val="26"/>
      <w:szCs w:val="26"/>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unhideWhenUsed/>
    <w:rsid w:val="00006AE2"/>
    <w:pPr>
      <w:spacing w:after="120" w:line="480" w:lineRule="auto"/>
    </w:pPr>
  </w:style>
  <w:style w:type="character" w:customStyle="1" w:styleId="Textoindependiente2Car">
    <w:name w:val="Texto independiente 2 Car"/>
    <w:link w:val="Textoindependiente2"/>
    <w:uiPriority w:val="99"/>
    <w:rsid w:val="00006AE2"/>
    <w:rPr>
      <w:sz w:val="24"/>
      <w:szCs w:val="24"/>
    </w:rPr>
  </w:style>
  <w:style w:type="paragraph" w:styleId="Epgrafe">
    <w:name w:val="caption"/>
    <w:basedOn w:val="Normal"/>
    <w:next w:val="Normal"/>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character" w:customStyle="1" w:styleId="Ttulo2Car">
    <w:name w:val="Título 2 Car"/>
    <w:basedOn w:val="Fuentedeprrafopredeter"/>
    <w:link w:val="Ttulo2"/>
    <w:uiPriority w:val="9"/>
    <w:semiHidden/>
    <w:rsid w:val="00EB1FDE"/>
    <w:rPr>
      <w:rFonts w:ascii="Cambria" w:eastAsia="MS Gothic" w:hAnsi="Cambria"/>
      <w:b/>
      <w:bCs/>
      <w:color w:val="4F81BD"/>
      <w:sz w:val="26"/>
      <w:szCs w:val="26"/>
      <w:lang w:val="es-ES" w:eastAsia="es-ES"/>
    </w:rPr>
  </w:style>
  <w:style w:type="paragraph" w:customStyle="1" w:styleId="Textoindependiente21">
    <w:name w:val="Texto independiente 21"/>
    <w:basedOn w:val="Normal"/>
    <w:rsid w:val="00EB1FDE"/>
    <w:pPr>
      <w:suppressAutoHyphens/>
      <w:overflowPunct w:val="0"/>
      <w:autoSpaceDE w:val="0"/>
      <w:ind w:left="0"/>
      <w:jc w:val="both"/>
      <w:textAlignment w:val="baseline"/>
    </w:pPr>
    <w:rPr>
      <w:rFonts w:ascii="Bookman Old Style" w:hAnsi="Bookman Old Style"/>
      <w:b/>
      <w:szCs w:val="20"/>
      <w:lang w:val="es-ES_tradnl" w:eastAsia="ar-SA"/>
    </w:rPr>
  </w:style>
  <w:style w:type="paragraph" w:customStyle="1" w:styleId="Textoindependiente22">
    <w:name w:val="Texto independiente 22"/>
    <w:basedOn w:val="Normal"/>
    <w:rsid w:val="00EB1FDE"/>
    <w:pPr>
      <w:suppressAutoHyphens/>
      <w:overflowPunct w:val="0"/>
      <w:autoSpaceDE w:val="0"/>
      <w:ind w:left="0"/>
      <w:jc w:val="both"/>
      <w:textAlignment w:val="baseline"/>
    </w:pPr>
    <w:rPr>
      <w:rFonts w:ascii="Bookman Old Style" w:hAnsi="Bookman Old Style"/>
      <w:b/>
      <w:szCs w:val="20"/>
      <w:lang w:val="es-ES_tradnl" w:eastAsia="ar-SA"/>
    </w:rPr>
  </w:style>
  <w:style w:type="paragraph" w:styleId="Textocomentario">
    <w:name w:val="annotation text"/>
    <w:basedOn w:val="Normal"/>
    <w:link w:val="TextocomentarioCar"/>
    <w:semiHidden/>
    <w:rsid w:val="00EB1FDE"/>
    <w:pPr>
      <w:ind w:left="0"/>
    </w:pPr>
    <w:rPr>
      <w:rFonts w:ascii="Arial" w:hAnsi="Arial"/>
      <w:sz w:val="20"/>
      <w:szCs w:val="20"/>
      <w:lang w:val="es-ES_tradnl"/>
    </w:rPr>
  </w:style>
  <w:style w:type="character" w:customStyle="1" w:styleId="TextocomentarioCar">
    <w:name w:val="Texto comentario Car"/>
    <w:basedOn w:val="Fuentedeprrafopredeter"/>
    <w:link w:val="Textocomentario"/>
    <w:semiHidden/>
    <w:rsid w:val="00EB1FDE"/>
    <w:rPr>
      <w:rFonts w:ascii="Arial" w:hAnsi="Arial"/>
      <w:lang w:val="es-ES_tradnl" w:eastAsia="es-ES"/>
    </w:rPr>
  </w:style>
  <w:style w:type="paragraph" w:customStyle="1" w:styleId="Textoindependiente23">
    <w:name w:val="Texto independiente 23"/>
    <w:basedOn w:val="Normal"/>
    <w:rsid w:val="00EB1FDE"/>
    <w:pPr>
      <w:suppressAutoHyphens/>
      <w:overflowPunct w:val="0"/>
      <w:autoSpaceDE w:val="0"/>
      <w:ind w:left="0"/>
      <w:jc w:val="both"/>
      <w:textAlignment w:val="baseline"/>
    </w:pPr>
    <w:rPr>
      <w:rFonts w:ascii="Bookman Old Style" w:hAnsi="Bookman Old Style"/>
      <w:b/>
      <w:szCs w:val="20"/>
      <w:lang w:val="es-ES_tradnl" w:eastAsia="ar-SA"/>
    </w:rPr>
  </w:style>
  <w:style w:type="paragraph" w:customStyle="1" w:styleId="PliegoTitulo1">
    <w:name w:val="Pliego_Titulo1"/>
    <w:basedOn w:val="Normal"/>
    <w:next w:val="Normal"/>
    <w:rsid w:val="00EB1FDE"/>
    <w:pPr>
      <w:widowControl w:val="0"/>
      <w:numPr>
        <w:numId w:val="2"/>
      </w:numPr>
      <w:adjustRightInd w:val="0"/>
      <w:spacing w:line="360" w:lineRule="atLeast"/>
      <w:jc w:val="center"/>
      <w:textAlignment w:val="baseline"/>
    </w:pPr>
    <w:rPr>
      <w:rFonts w:ascii="Garamond" w:hAnsi="Garamond"/>
      <w:b/>
      <w:bCs/>
      <w:sz w:val="22"/>
      <w:szCs w:val="20"/>
      <w:lang w:val="es-ES_tradnl"/>
    </w:rPr>
  </w:style>
  <w:style w:type="paragraph" w:customStyle="1" w:styleId="PliegoTitulo2">
    <w:name w:val="Pliego_Titulo2"/>
    <w:basedOn w:val="Normal"/>
    <w:next w:val="Normal"/>
    <w:rsid w:val="00EB1FDE"/>
    <w:pPr>
      <w:widowControl w:val="0"/>
      <w:numPr>
        <w:ilvl w:val="2"/>
        <w:numId w:val="2"/>
      </w:numPr>
      <w:tabs>
        <w:tab w:val="clear" w:pos="720"/>
        <w:tab w:val="num" w:pos="576"/>
      </w:tabs>
      <w:adjustRightInd w:val="0"/>
      <w:spacing w:line="360" w:lineRule="atLeast"/>
      <w:ind w:left="576" w:hanging="576"/>
      <w:jc w:val="both"/>
      <w:textAlignment w:val="baseline"/>
    </w:pPr>
    <w:rPr>
      <w:rFonts w:ascii="Garamond" w:hAnsi="Garamond"/>
      <w:b/>
      <w:bCs/>
      <w:sz w:val="22"/>
      <w:szCs w:val="20"/>
      <w:lang w:val="es-ES_tradnl"/>
    </w:rPr>
  </w:style>
  <w:style w:type="paragraph" w:customStyle="1" w:styleId="PliegoTitulo3">
    <w:name w:val="Pliego_Titulo3"/>
    <w:basedOn w:val="Normal"/>
    <w:next w:val="Normal"/>
    <w:autoRedefine/>
    <w:rsid w:val="00EB1FDE"/>
    <w:pPr>
      <w:widowControl w:val="0"/>
      <w:numPr>
        <w:ilvl w:val="3"/>
        <w:numId w:val="2"/>
      </w:numPr>
      <w:tabs>
        <w:tab w:val="clear" w:pos="864"/>
        <w:tab w:val="num" w:pos="720"/>
      </w:tabs>
      <w:adjustRightInd w:val="0"/>
      <w:spacing w:line="360" w:lineRule="atLeast"/>
      <w:ind w:left="720" w:hanging="720"/>
      <w:jc w:val="both"/>
      <w:textAlignment w:val="baseline"/>
    </w:pPr>
    <w:rPr>
      <w:rFonts w:ascii="Garamond" w:hAnsi="Garamond"/>
      <w:b/>
      <w:bCs/>
      <w:i/>
      <w:sz w:val="22"/>
      <w:szCs w:val="20"/>
      <w:lang w:val="es-ES_tradnl"/>
    </w:rPr>
  </w:style>
  <w:style w:type="paragraph" w:customStyle="1" w:styleId="PliegoTitulo4">
    <w:name w:val="Pliego_Titulo4"/>
    <w:basedOn w:val="Normal"/>
    <w:next w:val="Normal"/>
    <w:rsid w:val="00EB1FDE"/>
    <w:pPr>
      <w:widowControl w:val="0"/>
      <w:numPr>
        <w:ilvl w:val="4"/>
        <w:numId w:val="2"/>
      </w:numPr>
      <w:tabs>
        <w:tab w:val="clear" w:pos="1440"/>
        <w:tab w:val="num" w:pos="864"/>
      </w:tabs>
      <w:adjustRightInd w:val="0"/>
      <w:spacing w:line="360" w:lineRule="atLeast"/>
      <w:ind w:left="864" w:hanging="864"/>
      <w:jc w:val="both"/>
      <w:textAlignment w:val="baseline"/>
    </w:pPr>
    <w:rPr>
      <w:rFonts w:ascii="Garamond" w:hAnsi="Garamond"/>
      <w:bCs/>
      <w:i/>
      <w:sz w:val="22"/>
      <w:szCs w:val="20"/>
      <w:lang w:val="es-ES_tradnl"/>
    </w:rPr>
  </w:style>
  <w:style w:type="paragraph" w:customStyle="1" w:styleId="Textoindependiente24">
    <w:name w:val="Texto independiente 24"/>
    <w:basedOn w:val="Normal"/>
    <w:rsid w:val="00EB1FDE"/>
    <w:pPr>
      <w:suppressAutoHyphens/>
      <w:overflowPunct w:val="0"/>
      <w:autoSpaceDE w:val="0"/>
      <w:ind w:left="0"/>
      <w:jc w:val="both"/>
      <w:textAlignment w:val="baseline"/>
    </w:pPr>
    <w:rPr>
      <w:rFonts w:ascii="Bookman Old Style" w:hAnsi="Bookman Old Style"/>
      <w:b/>
      <w:szCs w:val="20"/>
      <w:lang w:val="es-ES_tradnl" w:eastAsia="ar-SA"/>
    </w:rPr>
  </w:style>
  <w:style w:type="character" w:styleId="Hipervnculo">
    <w:name w:val="Hyperlink"/>
    <w:uiPriority w:val="99"/>
    <w:unhideWhenUsed/>
    <w:rsid w:val="00EB1FDE"/>
    <w:rPr>
      <w:color w:val="0000FF"/>
      <w:u w:val="single"/>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EB1FDE"/>
    <w:rPr>
      <w:sz w:val="20"/>
      <w:szCs w:val="20"/>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rsid w:val="00EB1FDE"/>
    <w:rPr>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EB1FDE"/>
    <w:rPr>
      <w:vertAlign w:val="superscript"/>
    </w:rPr>
  </w:style>
  <w:style w:type="paragraph" w:customStyle="1" w:styleId="Prrafodelista1">
    <w:name w:val="Párrafo de lista1"/>
    <w:basedOn w:val="Normal"/>
    <w:rsid w:val="00EB1FDE"/>
    <w:pPr>
      <w:spacing w:after="200" w:line="276" w:lineRule="auto"/>
      <w:ind w:left="720"/>
    </w:pPr>
    <w:rPr>
      <w:rFonts w:ascii="Calibri" w:hAnsi="Calibri"/>
      <w:sz w:val="22"/>
      <w:szCs w:val="22"/>
      <w:lang w:val="es-CO" w:eastAsia="en-US"/>
    </w:rPr>
  </w:style>
  <w:style w:type="paragraph" w:styleId="Textonotaalfinal">
    <w:name w:val="endnote text"/>
    <w:basedOn w:val="Normal"/>
    <w:link w:val="TextonotaalfinalCar"/>
    <w:uiPriority w:val="99"/>
    <w:semiHidden/>
    <w:unhideWhenUsed/>
    <w:rsid w:val="00EB1FDE"/>
    <w:rPr>
      <w:sz w:val="20"/>
      <w:szCs w:val="20"/>
    </w:rPr>
  </w:style>
  <w:style w:type="character" w:customStyle="1" w:styleId="TextonotaalfinalCar">
    <w:name w:val="Texto nota al final Car"/>
    <w:basedOn w:val="Fuentedeprrafopredeter"/>
    <w:link w:val="Textonotaalfinal"/>
    <w:uiPriority w:val="99"/>
    <w:semiHidden/>
    <w:rsid w:val="00EB1FDE"/>
    <w:rPr>
      <w:lang w:val="es-ES" w:eastAsia="es-ES"/>
    </w:rPr>
  </w:style>
  <w:style w:type="character" w:styleId="Refdenotaalfinal">
    <w:name w:val="endnote reference"/>
    <w:uiPriority w:val="99"/>
    <w:semiHidden/>
    <w:unhideWhenUsed/>
    <w:rsid w:val="00EB1FDE"/>
    <w:rPr>
      <w:vertAlign w:val="superscript"/>
    </w:rPr>
  </w:style>
  <w:style w:type="paragraph" w:customStyle="1" w:styleId="Estilo5">
    <w:name w:val="Estilo5"/>
    <w:basedOn w:val="Estilo1"/>
    <w:qFormat/>
    <w:rsid w:val="00EB1FDE"/>
    <w:pPr>
      <w:keepNext/>
      <w:numPr>
        <w:numId w:val="3"/>
      </w:numPr>
      <w:shd w:val="clear" w:color="auto" w:fill="auto"/>
      <w:spacing w:before="240" w:after="60"/>
      <w:jc w:val="both"/>
      <w:outlineLvl w:val="0"/>
    </w:pPr>
    <w:rPr>
      <w:rFonts w:ascii="Arial" w:hAnsi="Arial"/>
      <w:b/>
      <w:color w:val="auto"/>
      <w:kern w:val="28"/>
      <w:sz w:val="22"/>
      <w:szCs w:val="22"/>
      <w:lang w:val="es-ES_tradnl" w:eastAsia="es-CO"/>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Estilo3">
    <w:name w:val="Estilo3"/>
    <w:basedOn w:val="Ttulo"/>
    <w:qFormat/>
    <w:rsid w:val="00EB1FDE"/>
    <w:pPr>
      <w:widowControl/>
      <w:adjustRightInd/>
      <w:spacing w:line="240" w:lineRule="auto"/>
      <w:ind w:left="0"/>
      <w:jc w:val="left"/>
      <w:textAlignment w:val="auto"/>
    </w:pPr>
    <w:rPr>
      <w:rFonts w:cs="Times New Roman"/>
      <w:b w:val="0"/>
      <w:bCs w:val="0"/>
      <w:sz w:val="22"/>
      <w:szCs w:val="20"/>
      <w:lang w:val="es-ES_tradnl" w:eastAsia="es-CO"/>
    </w:rPr>
  </w:style>
  <w:style w:type="paragraph" w:customStyle="1" w:styleId="Citas">
    <w:name w:val="Citas"/>
    <w:basedOn w:val="Normal"/>
    <w:next w:val="Normal"/>
    <w:rsid w:val="00EB1FDE"/>
    <w:pPr>
      <w:ind w:left="708" w:right="476"/>
      <w:jc w:val="both"/>
    </w:pPr>
    <w:rPr>
      <w:i/>
      <w:iCs/>
      <w:szCs w:val="20"/>
      <w:lang w:val="es-ES_tradnl"/>
    </w:rPr>
  </w:style>
  <w:style w:type="character" w:styleId="Refdecomentario">
    <w:name w:val="annotation reference"/>
    <w:semiHidden/>
    <w:unhideWhenUsed/>
    <w:rsid w:val="00EB1FDE"/>
    <w:rPr>
      <w:sz w:val="16"/>
      <w:szCs w:val="16"/>
    </w:rPr>
  </w:style>
  <w:style w:type="paragraph" w:styleId="Asuntodelcomentario">
    <w:name w:val="annotation subject"/>
    <w:basedOn w:val="Textocomentario"/>
    <w:next w:val="Textocomentario"/>
    <w:link w:val="AsuntodelcomentarioCar"/>
    <w:uiPriority w:val="99"/>
    <w:semiHidden/>
    <w:unhideWhenUsed/>
    <w:rsid w:val="00EB1FDE"/>
    <w:pPr>
      <w:ind w:left="567"/>
    </w:pPr>
    <w:rPr>
      <w:rFonts w:ascii="Times New Roman" w:hAnsi="Times New Roman"/>
      <w:b/>
      <w:bCs/>
      <w:lang w:val="es-ES"/>
    </w:rPr>
  </w:style>
  <w:style w:type="character" w:customStyle="1" w:styleId="AsuntodelcomentarioCar">
    <w:name w:val="Asunto del comentario Car"/>
    <w:basedOn w:val="TextocomentarioCar"/>
    <w:link w:val="Asuntodelcomentario"/>
    <w:uiPriority w:val="99"/>
    <w:semiHidden/>
    <w:rsid w:val="00EB1FDE"/>
    <w:rPr>
      <w:rFonts w:ascii="Arial" w:hAnsi="Arial"/>
      <w:b/>
      <w:bCs/>
      <w:lang w:val="es-ES" w:eastAsia="es-ES"/>
    </w:rPr>
  </w:style>
  <w:style w:type="paragraph" w:styleId="Revisin">
    <w:name w:val="Revision"/>
    <w:hidden/>
    <w:uiPriority w:val="99"/>
    <w:semiHidden/>
    <w:rsid w:val="00EB1FDE"/>
    <w:rPr>
      <w:sz w:val="24"/>
      <w:szCs w:val="24"/>
      <w:lang w:val="es-ES" w:eastAsia="es-ES"/>
    </w:rPr>
  </w:style>
  <w:style w:type="paragraph" w:customStyle="1" w:styleId="Artculo">
    <w:name w:val="Artículo"/>
    <w:basedOn w:val="Normal"/>
    <w:link w:val="ArtculoCar"/>
    <w:autoRedefine/>
    <w:qFormat/>
    <w:rsid w:val="00EB1FDE"/>
    <w:pPr>
      <w:ind w:left="0"/>
      <w:jc w:val="both"/>
    </w:pPr>
    <w:rPr>
      <w:rFonts w:ascii="Arial" w:hAnsi="Arial" w:cs="Arial"/>
      <w:b/>
    </w:rPr>
  </w:style>
  <w:style w:type="character" w:customStyle="1" w:styleId="ArtculoCar">
    <w:name w:val="Artículo Car"/>
    <w:link w:val="Artculo"/>
    <w:rsid w:val="00EB1FDE"/>
    <w:rPr>
      <w:rFonts w:ascii="Arial" w:hAnsi="Arial" w:cs="Arial"/>
      <w:b/>
      <w:sz w:val="24"/>
      <w:szCs w:val="24"/>
      <w:lang w:val="es-ES" w:eastAsia="es-ES"/>
    </w:rPr>
  </w:style>
  <w:style w:type="paragraph" w:styleId="Bibliografa">
    <w:name w:val="Bibliography"/>
    <w:basedOn w:val="Normal"/>
    <w:next w:val="Normal"/>
    <w:uiPriority w:val="37"/>
    <w:unhideWhenUsed/>
    <w:rsid w:val="00EB1FDE"/>
    <w:pPr>
      <w:spacing w:line="276" w:lineRule="auto"/>
      <w:ind w:left="0"/>
    </w:pPr>
    <w:rPr>
      <w:rFonts w:ascii="Arial" w:eastAsia="Arial" w:hAnsi="Arial" w:cs="Arial"/>
      <w:color w:val="000000"/>
      <w:sz w:val="22"/>
      <w:szCs w:val="22"/>
      <w:lang w:val="es-CO" w:eastAsia="es-CO"/>
    </w:rPr>
  </w:style>
  <w:style w:type="paragraph" w:styleId="Sangra3detindependiente">
    <w:name w:val="Body Text Indent 3"/>
    <w:basedOn w:val="Normal"/>
    <w:link w:val="Sangra3detindependienteCar"/>
    <w:uiPriority w:val="99"/>
    <w:unhideWhenUsed/>
    <w:rsid w:val="00EB1FDE"/>
    <w:pPr>
      <w:spacing w:before="120"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EB1FDE"/>
    <w:rPr>
      <w:sz w:val="16"/>
      <w:szCs w:val="16"/>
      <w:lang w:val="es-ES" w:eastAsia="es-ES"/>
    </w:rPr>
  </w:style>
  <w:style w:type="character" w:styleId="Textodelmarcadordeposicin">
    <w:name w:val="Placeholder Text"/>
    <w:uiPriority w:val="99"/>
    <w:semiHidden/>
    <w:rsid w:val="00EB1FDE"/>
    <w:rPr>
      <w:color w:val="808080"/>
    </w:rPr>
  </w:style>
  <w:style w:type="character" w:customStyle="1" w:styleId="CharStyle24">
    <w:name w:val="Char Style 24"/>
    <w:basedOn w:val="Fuentedeprrafopredeter"/>
    <w:link w:val="Style23"/>
    <w:uiPriority w:val="99"/>
    <w:locked/>
    <w:rsid w:val="006F053B"/>
    <w:rPr>
      <w:rFonts w:ascii="Arial" w:hAnsi="Arial" w:cs="Arial"/>
      <w:sz w:val="15"/>
      <w:szCs w:val="15"/>
      <w:shd w:val="clear" w:color="auto" w:fill="FFFFFF"/>
    </w:rPr>
  </w:style>
  <w:style w:type="paragraph" w:customStyle="1" w:styleId="Style23">
    <w:name w:val="Style 23"/>
    <w:basedOn w:val="Normal"/>
    <w:link w:val="CharStyle24"/>
    <w:uiPriority w:val="99"/>
    <w:rsid w:val="006F053B"/>
    <w:pPr>
      <w:widowControl w:val="0"/>
      <w:shd w:val="clear" w:color="auto" w:fill="FFFFFF"/>
      <w:spacing w:line="360" w:lineRule="exact"/>
      <w:ind w:left="0" w:hanging="1180"/>
    </w:pPr>
    <w:rPr>
      <w:rFonts w:ascii="Arial" w:hAnsi="Arial" w:cs="Arial"/>
      <w:sz w:val="15"/>
      <w:szCs w:val="15"/>
      <w:lang w:val="es-CO" w:eastAsia="es-CO"/>
    </w:rPr>
  </w:style>
  <w:style w:type="paragraph" w:customStyle="1" w:styleId="Default">
    <w:name w:val="Default"/>
    <w:rsid w:val="00C40341"/>
    <w:pPr>
      <w:autoSpaceDE w:val="0"/>
      <w:autoSpaceDN w:val="0"/>
      <w:adjustRightInd w:val="0"/>
    </w:pPr>
    <w:rPr>
      <w:rFonts w:ascii="Calibri" w:hAnsi="Calibri" w:cs="Calibri"/>
      <w:color w:val="000000"/>
      <w:sz w:val="24"/>
      <w:szCs w:val="24"/>
    </w:rPr>
  </w:style>
  <w:style w:type="character" w:customStyle="1" w:styleId="PiedepginaCar">
    <w:name w:val="Pie de página Car"/>
    <w:basedOn w:val="Fuentedeprrafopredeter"/>
    <w:link w:val="Piedepgina"/>
    <w:uiPriority w:val="99"/>
    <w:rsid w:val="00D91415"/>
    <w:rPr>
      <w:sz w:val="24"/>
      <w:szCs w:val="24"/>
      <w:lang w:val="es-ES" w:eastAsia="es-ES"/>
    </w:rPr>
  </w:style>
  <w:style w:type="paragraph" w:styleId="NormalWeb">
    <w:name w:val="Normal (Web)"/>
    <w:basedOn w:val="Normal"/>
    <w:uiPriority w:val="99"/>
    <w:semiHidden/>
    <w:unhideWhenUsed/>
    <w:rsid w:val="00E648B6"/>
    <w:pPr>
      <w:spacing w:before="100" w:beforeAutospacing="1" w:after="100" w:afterAutospacing="1"/>
      <w:ind w:left="0"/>
    </w:pPr>
    <w:rPr>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3615">
      <w:bodyDiv w:val="1"/>
      <w:marLeft w:val="0"/>
      <w:marRight w:val="0"/>
      <w:marTop w:val="0"/>
      <w:marBottom w:val="0"/>
      <w:divBdr>
        <w:top w:val="none" w:sz="0" w:space="0" w:color="auto"/>
        <w:left w:val="none" w:sz="0" w:space="0" w:color="auto"/>
        <w:bottom w:val="none" w:sz="0" w:space="0" w:color="auto"/>
        <w:right w:val="none" w:sz="0" w:space="0" w:color="auto"/>
      </w:divBdr>
    </w:div>
    <w:div w:id="198133898">
      <w:bodyDiv w:val="1"/>
      <w:marLeft w:val="0"/>
      <w:marRight w:val="0"/>
      <w:marTop w:val="0"/>
      <w:marBottom w:val="0"/>
      <w:divBdr>
        <w:top w:val="none" w:sz="0" w:space="0" w:color="auto"/>
        <w:left w:val="none" w:sz="0" w:space="0" w:color="auto"/>
        <w:bottom w:val="none" w:sz="0" w:space="0" w:color="auto"/>
        <w:right w:val="none" w:sz="0" w:space="0" w:color="auto"/>
      </w:divBdr>
    </w:div>
    <w:div w:id="508326062">
      <w:bodyDiv w:val="1"/>
      <w:marLeft w:val="0"/>
      <w:marRight w:val="0"/>
      <w:marTop w:val="0"/>
      <w:marBottom w:val="0"/>
      <w:divBdr>
        <w:top w:val="none" w:sz="0" w:space="0" w:color="auto"/>
        <w:left w:val="none" w:sz="0" w:space="0" w:color="auto"/>
        <w:bottom w:val="none" w:sz="0" w:space="0" w:color="auto"/>
        <w:right w:val="none" w:sz="0" w:space="0" w:color="auto"/>
      </w:divBdr>
    </w:div>
    <w:div w:id="565532817">
      <w:bodyDiv w:val="1"/>
      <w:marLeft w:val="0"/>
      <w:marRight w:val="0"/>
      <w:marTop w:val="0"/>
      <w:marBottom w:val="0"/>
      <w:divBdr>
        <w:top w:val="none" w:sz="0" w:space="0" w:color="auto"/>
        <w:left w:val="none" w:sz="0" w:space="0" w:color="auto"/>
        <w:bottom w:val="none" w:sz="0" w:space="0" w:color="auto"/>
        <w:right w:val="none" w:sz="0" w:space="0" w:color="auto"/>
      </w:divBdr>
      <w:divsChild>
        <w:div w:id="1765103716">
          <w:marLeft w:val="547"/>
          <w:marRight w:val="0"/>
          <w:marTop w:val="134"/>
          <w:marBottom w:val="0"/>
          <w:divBdr>
            <w:top w:val="none" w:sz="0" w:space="0" w:color="auto"/>
            <w:left w:val="none" w:sz="0" w:space="0" w:color="auto"/>
            <w:bottom w:val="none" w:sz="0" w:space="0" w:color="auto"/>
            <w:right w:val="none" w:sz="0" w:space="0" w:color="auto"/>
          </w:divBdr>
        </w:div>
      </w:divsChild>
    </w:div>
    <w:div w:id="1045444017">
      <w:bodyDiv w:val="1"/>
      <w:marLeft w:val="0"/>
      <w:marRight w:val="0"/>
      <w:marTop w:val="0"/>
      <w:marBottom w:val="0"/>
      <w:divBdr>
        <w:top w:val="none" w:sz="0" w:space="0" w:color="auto"/>
        <w:left w:val="none" w:sz="0" w:space="0" w:color="auto"/>
        <w:bottom w:val="none" w:sz="0" w:space="0" w:color="auto"/>
        <w:right w:val="none" w:sz="0" w:space="0" w:color="auto"/>
      </w:divBdr>
      <w:divsChild>
        <w:div w:id="1119373125">
          <w:marLeft w:val="547"/>
          <w:marRight w:val="0"/>
          <w:marTop w:val="134"/>
          <w:marBottom w:val="0"/>
          <w:divBdr>
            <w:top w:val="none" w:sz="0" w:space="0" w:color="auto"/>
            <w:left w:val="none" w:sz="0" w:space="0" w:color="auto"/>
            <w:bottom w:val="none" w:sz="0" w:space="0" w:color="auto"/>
            <w:right w:val="none" w:sz="0" w:space="0" w:color="auto"/>
          </w:divBdr>
        </w:div>
      </w:divsChild>
    </w:div>
    <w:div w:id="1186941593">
      <w:bodyDiv w:val="1"/>
      <w:marLeft w:val="0"/>
      <w:marRight w:val="0"/>
      <w:marTop w:val="0"/>
      <w:marBottom w:val="0"/>
      <w:divBdr>
        <w:top w:val="none" w:sz="0" w:space="0" w:color="auto"/>
        <w:left w:val="none" w:sz="0" w:space="0" w:color="auto"/>
        <w:bottom w:val="none" w:sz="0" w:space="0" w:color="auto"/>
        <w:right w:val="none" w:sz="0" w:space="0" w:color="auto"/>
      </w:divBdr>
    </w:div>
    <w:div w:id="1202936831">
      <w:bodyDiv w:val="1"/>
      <w:marLeft w:val="0"/>
      <w:marRight w:val="0"/>
      <w:marTop w:val="0"/>
      <w:marBottom w:val="0"/>
      <w:divBdr>
        <w:top w:val="none" w:sz="0" w:space="0" w:color="auto"/>
        <w:left w:val="none" w:sz="0" w:space="0" w:color="auto"/>
        <w:bottom w:val="none" w:sz="0" w:space="0" w:color="auto"/>
        <w:right w:val="none" w:sz="0" w:space="0" w:color="auto"/>
      </w:divBdr>
    </w:div>
    <w:div w:id="1469275621">
      <w:bodyDiv w:val="1"/>
      <w:marLeft w:val="0"/>
      <w:marRight w:val="0"/>
      <w:marTop w:val="0"/>
      <w:marBottom w:val="0"/>
      <w:divBdr>
        <w:top w:val="none" w:sz="0" w:space="0" w:color="auto"/>
        <w:left w:val="none" w:sz="0" w:space="0" w:color="auto"/>
        <w:bottom w:val="none" w:sz="0" w:space="0" w:color="auto"/>
        <w:right w:val="none" w:sz="0" w:space="0" w:color="auto"/>
      </w:divBdr>
    </w:div>
    <w:div w:id="1640767702">
      <w:bodyDiv w:val="1"/>
      <w:marLeft w:val="0"/>
      <w:marRight w:val="0"/>
      <w:marTop w:val="0"/>
      <w:marBottom w:val="0"/>
      <w:divBdr>
        <w:top w:val="none" w:sz="0" w:space="0" w:color="auto"/>
        <w:left w:val="none" w:sz="0" w:space="0" w:color="auto"/>
        <w:bottom w:val="none" w:sz="0" w:space="0" w:color="auto"/>
        <w:right w:val="none" w:sz="0" w:space="0" w:color="auto"/>
      </w:divBdr>
    </w:div>
    <w:div w:id="1854689068">
      <w:bodyDiv w:val="1"/>
      <w:marLeft w:val="0"/>
      <w:marRight w:val="0"/>
      <w:marTop w:val="0"/>
      <w:marBottom w:val="0"/>
      <w:divBdr>
        <w:top w:val="none" w:sz="0" w:space="0" w:color="auto"/>
        <w:left w:val="none" w:sz="0" w:space="0" w:color="auto"/>
        <w:bottom w:val="none" w:sz="0" w:space="0" w:color="auto"/>
        <w:right w:val="none" w:sz="0" w:space="0" w:color="auto"/>
      </w:divBdr>
    </w:div>
    <w:div w:id="189053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D0C2E-2629-4A60-A624-E6D4A6709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9</Pages>
  <Words>3568</Words>
  <Characters>18154</Characters>
  <Application>Microsoft Office Word</Application>
  <DocSecurity>0</DocSecurity>
  <Lines>151</Lines>
  <Paragraphs>43</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21679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2015-11-18T17:15:00Z</cp:lastPrinted>
  <dcterms:created xsi:type="dcterms:W3CDTF">2016-03-14T23:18:00Z</dcterms:created>
  <dcterms:modified xsi:type="dcterms:W3CDTF">2016-03-14T23:18:00Z</dcterms:modified>
</cp:coreProperties>
</file>