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7DB373" w14:textId="3B98CC81" w:rsidR="00CA3CBA" w:rsidRPr="004A1599" w:rsidRDefault="00E26BBD" w:rsidP="005B1078">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Pr>
          <w:rFonts w:ascii="Bookman Old Style" w:hAnsi="Bookman Old Style"/>
          <w:noProof/>
          <w:color w:val="000000" w:themeColor="text1"/>
          <w:szCs w:val="24"/>
          <w:highlight w:val="magenta"/>
          <w:lang w:val="es-ES"/>
        </w:rPr>
        <w:pict w14:anchorId="3B535D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48.25pt;width:52.5pt;height:48.75pt;z-index:251657728" fillcolor="#0c9">
            <v:imagedata r:id="rId9" o:title=""/>
          </v:shape>
        </w:pict>
      </w:r>
    </w:p>
    <w:p w14:paraId="795A1053" w14:textId="7D7639EA" w:rsidR="00625DC6" w:rsidRPr="004A1599" w:rsidRDefault="00625DC6" w:rsidP="00683F0F">
      <w:pPr>
        <w:pStyle w:val="Encabezado"/>
        <w:tabs>
          <w:tab w:val="clear" w:pos="8504"/>
        </w:tabs>
        <w:ind w:left="0"/>
        <w:jc w:val="center"/>
        <w:rPr>
          <w:rFonts w:ascii="Bookman Old Style" w:hAnsi="Bookman Old Style"/>
          <w:color w:val="000000" w:themeColor="text1"/>
          <w:szCs w:val="24"/>
          <w:lang w:val="es-ES"/>
        </w:rPr>
      </w:pPr>
    </w:p>
    <w:p w14:paraId="3183652F" w14:textId="77777777" w:rsidR="00F813A4" w:rsidRPr="004A1599" w:rsidRDefault="00F813A4" w:rsidP="005B1078">
      <w:pPr>
        <w:pStyle w:val="Encabezado"/>
        <w:tabs>
          <w:tab w:val="clear" w:pos="8504"/>
        </w:tabs>
        <w:ind w:left="0"/>
        <w:jc w:val="both"/>
        <w:rPr>
          <w:rFonts w:ascii="Bookman Old Style" w:hAnsi="Bookman Old Style"/>
          <w:color w:val="000000" w:themeColor="text1"/>
          <w:szCs w:val="24"/>
          <w:lang w:val="es-ES"/>
        </w:rPr>
      </w:pPr>
    </w:p>
    <w:p w14:paraId="1E42AE9E" w14:textId="77777777" w:rsidR="00F813A4" w:rsidRPr="004A1599" w:rsidRDefault="00F813A4" w:rsidP="005B1078">
      <w:pPr>
        <w:pStyle w:val="Ttulo4"/>
        <w:ind w:left="0"/>
        <w:rPr>
          <w:rFonts w:ascii="Bookman Old Style" w:hAnsi="Bookman Old Style"/>
          <w:b w:val="0"/>
          <w:bCs/>
          <w:noProof/>
          <w:sz w:val="24"/>
          <w:szCs w:val="24"/>
          <w:lang w:val="es-ES"/>
        </w:rPr>
      </w:pPr>
      <w:r w:rsidRPr="004A1599">
        <w:rPr>
          <w:rFonts w:ascii="Bookman Old Style" w:hAnsi="Bookman Old Style"/>
          <w:b w:val="0"/>
          <w:bCs/>
          <w:sz w:val="24"/>
          <w:szCs w:val="24"/>
        </w:rPr>
        <w:t>Ministerio de Minas y Energía</w:t>
      </w:r>
    </w:p>
    <w:p w14:paraId="7F31AFE6" w14:textId="77777777" w:rsidR="00F813A4" w:rsidRPr="004A1599" w:rsidRDefault="00F813A4" w:rsidP="005B1078">
      <w:pPr>
        <w:pStyle w:val="Ttulo4"/>
        <w:ind w:left="0"/>
        <w:rPr>
          <w:rFonts w:ascii="Bookman Old Style" w:hAnsi="Bookman Old Style"/>
          <w:b w:val="0"/>
          <w:bCs/>
          <w:sz w:val="24"/>
          <w:szCs w:val="24"/>
        </w:rPr>
      </w:pPr>
    </w:p>
    <w:p w14:paraId="3035F5DA" w14:textId="77777777" w:rsidR="00F813A4" w:rsidRPr="004A1599" w:rsidRDefault="00F813A4" w:rsidP="005B1078">
      <w:pPr>
        <w:pStyle w:val="Ttulo3"/>
        <w:ind w:left="0"/>
        <w:rPr>
          <w:rFonts w:ascii="Bookman Old Style" w:hAnsi="Bookman Old Style" w:cs="Arial"/>
          <w:spacing w:val="20"/>
          <w:szCs w:val="24"/>
        </w:rPr>
      </w:pPr>
      <w:r w:rsidRPr="004A1599">
        <w:rPr>
          <w:rFonts w:ascii="Bookman Old Style" w:hAnsi="Bookman Old Style" w:cs="Arial"/>
          <w:spacing w:val="20"/>
          <w:szCs w:val="24"/>
        </w:rPr>
        <w:t>COMISIÓN DE REGULACIÓN DE ENERGÍA Y GAS</w:t>
      </w:r>
    </w:p>
    <w:p w14:paraId="21258A3C" w14:textId="77777777" w:rsidR="00F813A4" w:rsidRPr="004A1599" w:rsidRDefault="00F813A4" w:rsidP="005B1078">
      <w:pPr>
        <w:pStyle w:val="Ttulo5"/>
        <w:ind w:left="0"/>
        <w:rPr>
          <w:rFonts w:ascii="Bookman Old Style" w:hAnsi="Bookman Old Style"/>
          <w:sz w:val="24"/>
          <w:szCs w:val="24"/>
        </w:rPr>
      </w:pPr>
    </w:p>
    <w:p w14:paraId="3834D1B3" w14:textId="77777777" w:rsidR="00F813A4" w:rsidRPr="004A1599" w:rsidRDefault="00F813A4" w:rsidP="005B1078">
      <w:pPr>
        <w:pStyle w:val="Ttulo5"/>
        <w:ind w:left="0"/>
        <w:rPr>
          <w:rFonts w:ascii="Bookman Old Style" w:hAnsi="Bookman Old Style"/>
          <w:sz w:val="24"/>
          <w:szCs w:val="24"/>
        </w:rPr>
      </w:pPr>
    </w:p>
    <w:p w14:paraId="5D5D98D1" w14:textId="05585B46" w:rsidR="00F813A4" w:rsidRPr="004A1599" w:rsidRDefault="00F813A4" w:rsidP="005B1078">
      <w:pPr>
        <w:pStyle w:val="Ttulo5"/>
        <w:ind w:left="0"/>
        <w:rPr>
          <w:rFonts w:ascii="Bookman Old Style" w:hAnsi="Bookman Old Style"/>
          <w:sz w:val="24"/>
          <w:szCs w:val="24"/>
        </w:rPr>
      </w:pPr>
      <w:r w:rsidRPr="004A1599">
        <w:rPr>
          <w:rFonts w:ascii="Bookman Old Style" w:hAnsi="Bookman Old Style"/>
          <w:sz w:val="24"/>
          <w:szCs w:val="24"/>
        </w:rPr>
        <w:t>RESOLUCIÓN No.                   DE 201</w:t>
      </w:r>
      <w:r w:rsidR="00BB14C5">
        <w:rPr>
          <w:rFonts w:ascii="Bookman Old Style" w:hAnsi="Bookman Old Style"/>
          <w:sz w:val="24"/>
          <w:szCs w:val="24"/>
        </w:rPr>
        <w:t>4</w:t>
      </w:r>
    </w:p>
    <w:p w14:paraId="6ABC6D21" w14:textId="77777777" w:rsidR="00F813A4" w:rsidRPr="004A1599" w:rsidRDefault="00F813A4" w:rsidP="005B1078">
      <w:pPr>
        <w:ind w:left="0"/>
        <w:jc w:val="center"/>
        <w:rPr>
          <w:rFonts w:ascii="Bookman Old Style" w:hAnsi="Bookman Old Style" w:cs="Arial"/>
          <w:b/>
          <w:snapToGrid w:val="0"/>
          <w:color w:val="000000"/>
          <w:lang w:val="es-ES_tradnl"/>
        </w:rPr>
      </w:pPr>
    </w:p>
    <w:p w14:paraId="59B377B5" w14:textId="77777777" w:rsidR="00F813A4" w:rsidRPr="004A1599" w:rsidRDefault="00F813A4" w:rsidP="005B1078">
      <w:pPr>
        <w:pStyle w:val="Ttulo3"/>
        <w:ind w:left="0"/>
        <w:rPr>
          <w:rFonts w:ascii="Bookman Old Style" w:hAnsi="Bookman Old Style"/>
          <w:b w:val="0"/>
          <w:szCs w:val="24"/>
        </w:rPr>
      </w:pPr>
      <w:r w:rsidRPr="004A1599">
        <w:rPr>
          <w:rFonts w:ascii="Bookman Old Style" w:hAnsi="Bookman Old Style"/>
          <w:b w:val="0"/>
          <w:szCs w:val="24"/>
        </w:rPr>
        <w:t>(                                  )</w:t>
      </w:r>
    </w:p>
    <w:p w14:paraId="209B77C7" w14:textId="77777777" w:rsidR="00F813A4" w:rsidRPr="004A1599" w:rsidRDefault="00F813A4" w:rsidP="005B1078">
      <w:pPr>
        <w:ind w:left="0"/>
        <w:rPr>
          <w:rFonts w:ascii="Bookman Old Style" w:hAnsi="Bookman Old Style"/>
          <w:bCs/>
          <w:lang w:val="es-CO"/>
        </w:rPr>
      </w:pPr>
    </w:p>
    <w:p w14:paraId="074EC6D7" w14:textId="77777777" w:rsidR="00F813A4" w:rsidRPr="004A1599" w:rsidRDefault="00F813A4" w:rsidP="005B1078">
      <w:pPr>
        <w:ind w:left="0"/>
        <w:rPr>
          <w:rFonts w:ascii="Bookman Old Style" w:hAnsi="Bookman Old Style"/>
          <w:bCs/>
          <w:lang w:val="es-CO"/>
        </w:rPr>
      </w:pPr>
    </w:p>
    <w:p w14:paraId="1FD9132C" w14:textId="77777777" w:rsidR="00683F0F" w:rsidRPr="00683F0F" w:rsidRDefault="00683F0F" w:rsidP="00683F0F">
      <w:pPr>
        <w:rPr>
          <w:lang w:eastAsia="x-none"/>
        </w:rPr>
      </w:pPr>
    </w:p>
    <w:p w14:paraId="0013C2CA" w14:textId="60479DBE" w:rsidR="008A7E58" w:rsidRPr="004A1599" w:rsidRDefault="00955C98" w:rsidP="005B1078">
      <w:pPr>
        <w:ind w:left="0"/>
        <w:jc w:val="center"/>
        <w:rPr>
          <w:rFonts w:ascii="Bookman Old Style" w:hAnsi="Bookman Old Style" w:cs="Arial"/>
          <w:b/>
          <w:bCs/>
          <w:color w:val="000000" w:themeColor="text1"/>
          <w:lang w:eastAsia="es-CO"/>
        </w:rPr>
      </w:pPr>
      <w:r w:rsidRPr="00955C98">
        <w:rPr>
          <w:rFonts w:ascii="Bookman Old Style" w:hAnsi="Bookman Old Style" w:cs="Arial"/>
          <w:color w:val="000000" w:themeColor="text1"/>
          <w:lang w:eastAsia="es-CO"/>
        </w:rPr>
        <w:t>Por la cual se adiciona un parágrafo al Artículo 6 de</w:t>
      </w:r>
      <w:r w:rsidR="00BB365F">
        <w:rPr>
          <w:rFonts w:ascii="Bookman Old Style" w:hAnsi="Bookman Old Style" w:cs="Arial"/>
          <w:color w:val="000000" w:themeColor="text1"/>
          <w:lang w:eastAsia="es-CO"/>
        </w:rPr>
        <w:t xml:space="preserve"> la Resolución CREG 106 de 2011</w:t>
      </w:r>
    </w:p>
    <w:p w14:paraId="7A37F858" w14:textId="56D0D35B" w:rsidR="00CD5DB7" w:rsidRPr="0000654F" w:rsidRDefault="00CD5DB7" w:rsidP="005B1078">
      <w:pPr>
        <w:ind w:left="0"/>
        <w:jc w:val="center"/>
        <w:rPr>
          <w:rFonts w:ascii="Bookman Old Style" w:hAnsi="Bookman Old Style" w:cs="Arial"/>
          <w:b/>
          <w:bCs/>
          <w:color w:val="000000" w:themeColor="text1"/>
          <w:sz w:val="36"/>
          <w:lang w:eastAsia="es-CO"/>
        </w:rPr>
      </w:pPr>
    </w:p>
    <w:p w14:paraId="503F2F85" w14:textId="77777777" w:rsidR="00CD5DB7" w:rsidRPr="004A1599" w:rsidRDefault="00CD5DB7" w:rsidP="005B1078">
      <w:pPr>
        <w:ind w:left="0"/>
        <w:jc w:val="center"/>
        <w:rPr>
          <w:rFonts w:ascii="Bookman Old Style" w:hAnsi="Bookman Old Style" w:cs="Arial"/>
          <w:b/>
          <w:bCs/>
          <w:color w:val="000000" w:themeColor="text1"/>
          <w:lang w:eastAsia="es-CO"/>
        </w:rPr>
      </w:pPr>
    </w:p>
    <w:p w14:paraId="230EDC5B" w14:textId="77777777" w:rsidR="00CD5DB7" w:rsidRPr="004A1599" w:rsidRDefault="00CD5DB7" w:rsidP="005B1078">
      <w:pPr>
        <w:ind w:left="0"/>
        <w:jc w:val="center"/>
        <w:rPr>
          <w:rFonts w:ascii="Bookman Old Style" w:hAnsi="Bookman Old Style" w:cs="Arial"/>
          <w:color w:val="000000" w:themeColor="text1"/>
          <w:lang w:eastAsia="es-CO"/>
        </w:rPr>
      </w:pPr>
      <w:r w:rsidRPr="004A1599">
        <w:rPr>
          <w:rFonts w:ascii="Bookman Old Style" w:hAnsi="Bookman Old Style" w:cs="Arial"/>
          <w:b/>
          <w:bCs/>
          <w:color w:val="000000" w:themeColor="text1"/>
          <w:lang w:eastAsia="es-CO"/>
        </w:rPr>
        <w:t>LA COMISIÓN DE REGULACIÓN DE ENERGÍA Y GAS</w:t>
      </w:r>
    </w:p>
    <w:p w14:paraId="0C285D23" w14:textId="77777777" w:rsidR="00CD5DB7" w:rsidRPr="004A1599" w:rsidRDefault="00CD5DB7" w:rsidP="005B1078">
      <w:pPr>
        <w:ind w:left="0"/>
        <w:rPr>
          <w:rFonts w:ascii="Bookman Old Style" w:hAnsi="Bookman Old Style" w:cs="Arial"/>
          <w:color w:val="000000" w:themeColor="text1"/>
          <w:lang w:eastAsia="es-CO"/>
        </w:rPr>
      </w:pPr>
    </w:p>
    <w:p w14:paraId="0389C589" w14:textId="77777777" w:rsidR="00CD5DB7" w:rsidRPr="0000654F" w:rsidRDefault="00CD5DB7" w:rsidP="005B1078">
      <w:pPr>
        <w:ind w:left="0"/>
        <w:rPr>
          <w:rFonts w:ascii="Bookman Old Style" w:hAnsi="Bookman Old Style" w:cs="Arial"/>
          <w:color w:val="000000" w:themeColor="text1"/>
          <w:sz w:val="32"/>
          <w:lang w:eastAsia="es-CO"/>
        </w:rPr>
      </w:pPr>
    </w:p>
    <w:p w14:paraId="576BC6A0" w14:textId="03462713" w:rsidR="00CD5DB7" w:rsidRPr="004A1599" w:rsidRDefault="00CD5DB7" w:rsidP="005B1078">
      <w:pPr>
        <w:ind w:left="0"/>
        <w:jc w:val="center"/>
        <w:rPr>
          <w:rFonts w:ascii="Bookman Old Style" w:hAnsi="Bookman Old Style" w:cs="Arial"/>
          <w:color w:val="000000" w:themeColor="text1"/>
          <w:lang w:eastAsia="es-CO"/>
        </w:rPr>
      </w:pPr>
      <w:r w:rsidRPr="004A1599">
        <w:rPr>
          <w:rFonts w:ascii="Bookman Old Style" w:hAnsi="Bookman Old Style" w:cs="Arial"/>
          <w:color w:val="000000" w:themeColor="text1"/>
          <w:lang w:eastAsia="es-CO"/>
        </w:rPr>
        <w:t xml:space="preserve">En ejercicio de sus </w:t>
      </w:r>
      <w:r w:rsidR="006E24AF" w:rsidRPr="004A1599">
        <w:rPr>
          <w:rFonts w:ascii="Bookman Old Style" w:hAnsi="Bookman Old Style" w:cs="Arial"/>
          <w:color w:val="000000" w:themeColor="text1"/>
          <w:lang w:eastAsia="es-CO"/>
        </w:rPr>
        <w:t xml:space="preserve">facultades </w:t>
      </w:r>
      <w:r w:rsidRPr="004A1599">
        <w:rPr>
          <w:rFonts w:ascii="Bookman Old Style" w:hAnsi="Bookman Old Style" w:cs="Arial"/>
          <w:color w:val="000000" w:themeColor="text1"/>
          <w:lang w:eastAsia="es-CO"/>
        </w:rPr>
        <w:t xml:space="preserve">legales, en especial </w:t>
      </w:r>
      <w:r w:rsidR="00F72BA7" w:rsidRPr="004A1599">
        <w:rPr>
          <w:rFonts w:ascii="Bookman Old Style" w:hAnsi="Bookman Old Style" w:cs="Arial"/>
          <w:color w:val="000000" w:themeColor="text1"/>
          <w:lang w:eastAsia="es-CO"/>
        </w:rPr>
        <w:t xml:space="preserve">de </w:t>
      </w:r>
      <w:r w:rsidRPr="004A1599">
        <w:rPr>
          <w:rFonts w:ascii="Bookman Old Style" w:hAnsi="Bookman Old Style" w:cs="Arial"/>
          <w:color w:val="000000" w:themeColor="text1"/>
          <w:lang w:eastAsia="es-CO"/>
        </w:rPr>
        <w:t xml:space="preserve">las conferidas por la Ley 142 de 1994, </w:t>
      </w:r>
      <w:r w:rsidR="0019169B" w:rsidRPr="004A1599">
        <w:rPr>
          <w:rFonts w:ascii="Bookman Old Style" w:hAnsi="Bookman Old Style" w:cs="Arial"/>
          <w:color w:val="000000" w:themeColor="text1"/>
          <w:lang w:eastAsia="es-CO"/>
        </w:rPr>
        <w:t xml:space="preserve">y </w:t>
      </w:r>
      <w:r w:rsidR="009608BF" w:rsidRPr="004A1599">
        <w:rPr>
          <w:rFonts w:ascii="Bookman Old Style" w:hAnsi="Bookman Old Style" w:cs="Arial"/>
          <w:color w:val="000000" w:themeColor="text1"/>
          <w:lang w:eastAsia="es-CO"/>
        </w:rPr>
        <w:t>en desarrollo de</w:t>
      </w:r>
      <w:r w:rsidR="004D6B82">
        <w:rPr>
          <w:rFonts w:ascii="Bookman Old Style" w:hAnsi="Bookman Old Style" w:cs="Arial"/>
          <w:color w:val="000000" w:themeColor="text1"/>
          <w:lang w:eastAsia="es-CO"/>
        </w:rPr>
        <w:t xml:space="preserve"> </w:t>
      </w:r>
      <w:r w:rsidR="00E6570C" w:rsidRPr="004A1599">
        <w:rPr>
          <w:rFonts w:ascii="Bookman Old Style" w:hAnsi="Bookman Old Style" w:cs="Arial"/>
          <w:color w:val="000000" w:themeColor="text1"/>
          <w:lang w:eastAsia="es-CO"/>
        </w:rPr>
        <w:t>l</w:t>
      </w:r>
      <w:r w:rsidR="004D6B82">
        <w:rPr>
          <w:rFonts w:ascii="Bookman Old Style" w:hAnsi="Bookman Old Style" w:cs="Arial"/>
          <w:color w:val="000000" w:themeColor="text1"/>
          <w:lang w:eastAsia="es-CO"/>
        </w:rPr>
        <w:t>os</w:t>
      </w:r>
      <w:r w:rsidR="00E6570C" w:rsidRPr="004A1599">
        <w:rPr>
          <w:rFonts w:ascii="Bookman Old Style" w:hAnsi="Bookman Old Style" w:cs="Arial"/>
          <w:color w:val="000000" w:themeColor="text1"/>
          <w:lang w:eastAsia="es-CO"/>
        </w:rPr>
        <w:t xml:space="preserve"> Decreto</w:t>
      </w:r>
      <w:r w:rsidR="004D6B82">
        <w:rPr>
          <w:rFonts w:ascii="Bookman Old Style" w:hAnsi="Bookman Old Style" w:cs="Arial"/>
          <w:color w:val="000000" w:themeColor="text1"/>
          <w:lang w:eastAsia="es-CO"/>
        </w:rPr>
        <w:t>s</w:t>
      </w:r>
      <w:r w:rsidR="00813C04" w:rsidRPr="004A1599">
        <w:rPr>
          <w:rFonts w:ascii="Bookman Old Style" w:hAnsi="Bookman Old Style" w:cs="Arial"/>
          <w:color w:val="000000" w:themeColor="text1"/>
          <w:lang w:eastAsia="es-CO"/>
        </w:rPr>
        <w:t xml:space="preserve"> </w:t>
      </w:r>
      <w:r w:rsidRPr="004A1599">
        <w:rPr>
          <w:rFonts w:ascii="Bookman Old Style" w:hAnsi="Bookman Old Style" w:cs="Arial"/>
          <w:color w:val="000000" w:themeColor="text1"/>
          <w:lang w:eastAsia="es-CO"/>
        </w:rPr>
        <w:t>2253 de 1994,</w:t>
      </w:r>
      <w:r w:rsidR="004D6B82">
        <w:rPr>
          <w:rFonts w:ascii="Bookman Old Style" w:hAnsi="Bookman Old Style" w:cs="Arial"/>
          <w:color w:val="000000" w:themeColor="text1"/>
          <w:lang w:eastAsia="es-CO"/>
        </w:rPr>
        <w:t xml:space="preserve"> 1260 de 2013</w:t>
      </w:r>
      <w:r w:rsidRPr="004A1599">
        <w:rPr>
          <w:rFonts w:ascii="Bookman Old Style" w:hAnsi="Bookman Old Style" w:cs="Arial"/>
          <w:color w:val="000000" w:themeColor="text1"/>
          <w:lang w:eastAsia="es-CO"/>
        </w:rPr>
        <w:t xml:space="preserve"> y</w:t>
      </w:r>
    </w:p>
    <w:p w14:paraId="5CAFC842" w14:textId="77777777" w:rsidR="00CD5DB7" w:rsidRDefault="00CD5DB7" w:rsidP="005B1078">
      <w:pPr>
        <w:ind w:left="0"/>
        <w:rPr>
          <w:rFonts w:ascii="Bookman Old Style" w:hAnsi="Bookman Old Style" w:cs="Arial"/>
          <w:color w:val="000000" w:themeColor="text1"/>
          <w:lang w:eastAsia="es-CO"/>
        </w:rPr>
      </w:pPr>
    </w:p>
    <w:p w14:paraId="5AA0C2ED" w14:textId="77777777" w:rsidR="00867071" w:rsidRPr="004A1599" w:rsidRDefault="00867071" w:rsidP="005B1078">
      <w:pPr>
        <w:ind w:left="0"/>
        <w:rPr>
          <w:rFonts w:ascii="Bookman Old Style" w:hAnsi="Bookman Old Style" w:cs="Arial"/>
          <w:color w:val="000000" w:themeColor="text1"/>
          <w:lang w:eastAsia="es-CO"/>
        </w:rPr>
      </w:pPr>
    </w:p>
    <w:p w14:paraId="5EA2678A" w14:textId="77777777" w:rsidR="00CD5DB7" w:rsidRPr="004A1599" w:rsidRDefault="00CD5DB7" w:rsidP="005B1078">
      <w:pPr>
        <w:ind w:left="0"/>
        <w:rPr>
          <w:rFonts w:ascii="Bookman Old Style" w:hAnsi="Bookman Old Style" w:cs="Arial"/>
          <w:color w:val="000000" w:themeColor="text1"/>
          <w:lang w:eastAsia="es-CO"/>
        </w:rPr>
      </w:pPr>
    </w:p>
    <w:p w14:paraId="176AF1A0" w14:textId="77777777" w:rsidR="00CD5DB7" w:rsidRPr="004A1599" w:rsidRDefault="00CD5DB7" w:rsidP="005B1078">
      <w:pPr>
        <w:ind w:left="0"/>
        <w:jc w:val="center"/>
        <w:rPr>
          <w:rFonts w:ascii="Bookman Old Style" w:hAnsi="Bookman Old Style" w:cs="Arial"/>
          <w:b/>
          <w:bCs/>
          <w:color w:val="000000" w:themeColor="text1"/>
          <w:lang w:val="pt-BR" w:eastAsia="es-CO"/>
        </w:rPr>
      </w:pPr>
      <w:r w:rsidRPr="004A1599">
        <w:rPr>
          <w:rFonts w:ascii="Bookman Old Style" w:hAnsi="Bookman Old Style" w:cs="Arial"/>
          <w:b/>
          <w:bCs/>
          <w:color w:val="000000" w:themeColor="text1"/>
          <w:lang w:val="pt-BR" w:eastAsia="es-CO"/>
        </w:rPr>
        <w:t>C O N S I D E R A N D O</w:t>
      </w:r>
      <w:proofErr w:type="gramStart"/>
      <w:r w:rsidR="00F27F24" w:rsidRPr="004A1599">
        <w:rPr>
          <w:rFonts w:ascii="Bookman Old Style" w:hAnsi="Bookman Old Style" w:cs="Arial"/>
          <w:b/>
          <w:bCs/>
          <w:color w:val="000000" w:themeColor="text1"/>
          <w:lang w:val="pt-BR" w:eastAsia="es-CO"/>
        </w:rPr>
        <w:t xml:space="preserve">  </w:t>
      </w:r>
      <w:proofErr w:type="gramEnd"/>
      <w:r w:rsidR="00F27F24" w:rsidRPr="004A1599">
        <w:rPr>
          <w:rFonts w:ascii="Bookman Old Style" w:hAnsi="Bookman Old Style" w:cs="Arial"/>
          <w:b/>
          <w:bCs/>
          <w:color w:val="000000" w:themeColor="text1"/>
          <w:lang w:val="pt-BR" w:eastAsia="es-CO"/>
        </w:rPr>
        <w:t>Q U E</w:t>
      </w:r>
      <w:r w:rsidRPr="004A1599">
        <w:rPr>
          <w:rFonts w:ascii="Bookman Old Style" w:hAnsi="Bookman Old Style" w:cs="Arial"/>
          <w:b/>
          <w:bCs/>
          <w:color w:val="000000" w:themeColor="text1"/>
          <w:lang w:val="pt-BR" w:eastAsia="es-CO"/>
        </w:rPr>
        <w:t>:</w:t>
      </w:r>
    </w:p>
    <w:p w14:paraId="7CC44E74" w14:textId="77777777" w:rsidR="00CD5DB7" w:rsidRDefault="00CD5DB7" w:rsidP="005B1078">
      <w:pPr>
        <w:ind w:left="0"/>
        <w:jc w:val="center"/>
        <w:rPr>
          <w:rFonts w:ascii="Bookman Old Style" w:hAnsi="Bookman Old Style" w:cs="Arial"/>
          <w:color w:val="000000" w:themeColor="text1"/>
          <w:lang w:val="pt-BR" w:eastAsia="es-CO"/>
        </w:rPr>
      </w:pPr>
    </w:p>
    <w:p w14:paraId="79E11E44" w14:textId="77777777" w:rsidR="00873FC2" w:rsidRPr="0001110A" w:rsidRDefault="00873FC2" w:rsidP="005B1078">
      <w:pPr>
        <w:ind w:left="0"/>
        <w:jc w:val="center"/>
        <w:rPr>
          <w:rFonts w:ascii="Bookman Old Style" w:hAnsi="Bookman Old Style" w:cs="Arial"/>
          <w:lang w:val="pt-BR" w:eastAsia="es-CO"/>
        </w:rPr>
      </w:pPr>
    </w:p>
    <w:p w14:paraId="7C44D22F" w14:textId="5A12ACBC" w:rsidR="00873FC2" w:rsidRPr="0001110A" w:rsidRDefault="00635460" w:rsidP="00873FC2">
      <w:pPr>
        <w:ind w:left="0"/>
        <w:jc w:val="both"/>
        <w:rPr>
          <w:rFonts w:ascii="Bookman Old Style" w:hAnsi="Bookman Old Style"/>
          <w:shd w:val="clear" w:color="auto" w:fill="FFFFFF"/>
        </w:rPr>
      </w:pPr>
      <w:r>
        <w:rPr>
          <w:rFonts w:ascii="Bookman Old Style" w:hAnsi="Bookman Old Style"/>
          <w:shd w:val="clear" w:color="auto" w:fill="FFFFFF"/>
        </w:rPr>
        <w:t xml:space="preserve">En el artículo 20 de la </w:t>
      </w:r>
      <w:r w:rsidR="00873FC2" w:rsidRPr="0001110A">
        <w:rPr>
          <w:rFonts w:ascii="Bookman Old Style" w:hAnsi="Bookman Old Style"/>
          <w:shd w:val="clear" w:color="auto" w:fill="FFFFFF"/>
        </w:rPr>
        <w:t xml:space="preserve">Ley 143 de 1994, </w:t>
      </w:r>
      <w:r>
        <w:rPr>
          <w:rFonts w:ascii="Bookman Old Style" w:hAnsi="Bookman Old Style"/>
          <w:shd w:val="clear" w:color="auto" w:fill="FFFFFF"/>
        </w:rPr>
        <w:t>se</w:t>
      </w:r>
      <w:r w:rsidR="00873FC2" w:rsidRPr="0001110A">
        <w:rPr>
          <w:rFonts w:ascii="Bookman Old Style" w:hAnsi="Bookman Old Style"/>
          <w:shd w:val="clear" w:color="auto" w:fill="FFFFFF"/>
        </w:rPr>
        <w:t xml:space="preserve">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14:paraId="28AE1673" w14:textId="5DB0EDE4" w:rsidR="00873FC2" w:rsidRPr="0001110A" w:rsidRDefault="00873FC2" w:rsidP="00873FC2">
      <w:pPr>
        <w:ind w:left="0"/>
        <w:jc w:val="both"/>
        <w:rPr>
          <w:rFonts w:ascii="Bookman Old Style" w:hAnsi="Bookman Old Style"/>
          <w:shd w:val="clear" w:color="auto" w:fill="FFFFFF"/>
        </w:rPr>
      </w:pPr>
      <w:r w:rsidRPr="0001110A">
        <w:rPr>
          <w:rFonts w:ascii="Arial" w:hAnsi="Arial" w:cs="Arial"/>
        </w:rPr>
        <w:br/>
      </w:r>
      <w:r w:rsidRPr="0001110A">
        <w:rPr>
          <w:rFonts w:ascii="Bookman Old Style" w:hAnsi="Bookman Old Style"/>
          <w:shd w:val="clear" w:color="auto" w:fill="FFFFFF"/>
        </w:rPr>
        <w:t>Para el cumplimiento del objetivo señalado,</w:t>
      </w:r>
      <w:r w:rsidR="00635460">
        <w:rPr>
          <w:rFonts w:ascii="Bookman Old Style" w:hAnsi="Bookman Old Style"/>
          <w:shd w:val="clear" w:color="auto" w:fill="FFFFFF"/>
        </w:rPr>
        <w:t xml:space="preserve"> en el artículo 23 de l</w:t>
      </w:r>
      <w:r w:rsidRPr="0001110A">
        <w:rPr>
          <w:rFonts w:ascii="Bookman Old Style" w:hAnsi="Bookman Old Style"/>
          <w:shd w:val="clear" w:color="auto" w:fill="FFFFFF"/>
        </w:rPr>
        <w:t xml:space="preserve">a Ley 143 de 1994, </w:t>
      </w:r>
      <w:r w:rsidR="00635460">
        <w:rPr>
          <w:rFonts w:ascii="Bookman Old Style" w:hAnsi="Bookman Old Style"/>
          <w:shd w:val="clear" w:color="auto" w:fill="FFFFFF"/>
        </w:rPr>
        <w:t xml:space="preserve">se </w:t>
      </w:r>
      <w:r w:rsidRPr="0001110A">
        <w:rPr>
          <w:rFonts w:ascii="Bookman Old Style" w:hAnsi="Bookman Old Style"/>
          <w:shd w:val="clear" w:color="auto" w:fill="FFFFFF"/>
        </w:rPr>
        <w:t>le atribuyó a la Comisión de Regulación de Energía y Gas, entre otras, las siguientes funciones:</w:t>
      </w:r>
    </w:p>
    <w:p w14:paraId="07C766BE" w14:textId="77777777" w:rsidR="00873FC2" w:rsidRPr="0001110A" w:rsidRDefault="00873FC2" w:rsidP="004D6B82">
      <w:pPr>
        <w:ind w:left="0"/>
        <w:jc w:val="both"/>
        <w:rPr>
          <w:rFonts w:ascii="Bookman Old Style" w:hAnsi="Bookman Old Style"/>
          <w:shd w:val="clear" w:color="auto" w:fill="FFFFFF"/>
        </w:rPr>
      </w:pPr>
      <w:r w:rsidRPr="0001110A">
        <w:rPr>
          <w:rFonts w:ascii="Arial" w:hAnsi="Arial" w:cs="Arial"/>
        </w:rPr>
        <w:br/>
      </w:r>
      <w:r w:rsidRPr="0001110A">
        <w:rPr>
          <w:rFonts w:ascii="Bookman Old Style" w:hAnsi="Bookman Old Style"/>
          <w:shd w:val="clear" w:color="auto" w:fill="FFFFFF"/>
        </w:rPr>
        <w:t>- Crear las condiciones para asegurar la disponibilidad de una oferta energética eficiente capaz de abastecer la demanda bajo criterios sociales, económicos, ambientales y de viabilidad financiera, promover y preservar la competencia en el sector eléctrico, para lo cual debe tener en cuenta la capacidad de generación de respaldo.</w:t>
      </w:r>
    </w:p>
    <w:p w14:paraId="46C6A665" w14:textId="77777777" w:rsidR="00873FC2" w:rsidRPr="0001110A" w:rsidRDefault="00873FC2" w:rsidP="00873FC2">
      <w:pPr>
        <w:ind w:left="0"/>
        <w:jc w:val="both"/>
        <w:rPr>
          <w:rFonts w:ascii="Bookman Old Style" w:hAnsi="Bookman Old Style"/>
          <w:shd w:val="clear" w:color="auto" w:fill="FFFFFF"/>
        </w:rPr>
      </w:pPr>
      <w:r w:rsidRPr="0001110A">
        <w:rPr>
          <w:rFonts w:ascii="Bookman Old Style" w:hAnsi="Bookman Old Style"/>
          <w:shd w:val="clear" w:color="auto" w:fill="FFFFFF"/>
        </w:rPr>
        <w:t>- Valorar la capacidad de generación de respaldo de la oferta eficiente.</w:t>
      </w:r>
    </w:p>
    <w:p w14:paraId="03AD63FD" w14:textId="77777777" w:rsidR="00873FC2" w:rsidRPr="0001110A" w:rsidRDefault="00873FC2" w:rsidP="00873FC2">
      <w:pPr>
        <w:ind w:left="0"/>
        <w:jc w:val="both"/>
        <w:rPr>
          <w:rStyle w:val="apple-converted-space"/>
          <w:rFonts w:ascii="Bookman Old Style" w:hAnsi="Bookman Old Style"/>
          <w:shd w:val="clear" w:color="auto" w:fill="FFFFFF"/>
        </w:rPr>
      </w:pPr>
      <w:r w:rsidRPr="0001110A">
        <w:rPr>
          <w:rFonts w:ascii="Bookman Old Style" w:hAnsi="Bookman Old Style"/>
          <w:shd w:val="clear" w:color="auto" w:fill="FFFFFF"/>
        </w:rPr>
        <w:t>- Definir y hacer operativos los criterios técnicos de calidad, confiabilidad y seguridad del servicio de energía.</w:t>
      </w:r>
      <w:r w:rsidRPr="0001110A">
        <w:rPr>
          <w:rStyle w:val="apple-converted-space"/>
          <w:rFonts w:ascii="Bookman Old Style" w:hAnsi="Bookman Old Style"/>
          <w:shd w:val="clear" w:color="auto" w:fill="FFFFFF"/>
        </w:rPr>
        <w:t> </w:t>
      </w:r>
    </w:p>
    <w:p w14:paraId="4881CF82" w14:textId="77777777" w:rsidR="00873FC2" w:rsidRPr="0001110A" w:rsidRDefault="00873FC2" w:rsidP="00873FC2">
      <w:pPr>
        <w:ind w:left="0"/>
        <w:jc w:val="both"/>
        <w:rPr>
          <w:rFonts w:ascii="Bookman Old Style" w:hAnsi="Bookman Old Style"/>
          <w:shd w:val="clear" w:color="auto" w:fill="FFFFFF"/>
        </w:rPr>
      </w:pPr>
      <w:r w:rsidRPr="0001110A">
        <w:rPr>
          <w:rFonts w:ascii="Bookman Old Style" w:hAnsi="Bookman Old Style"/>
          <w:shd w:val="clear" w:color="auto" w:fill="FFFFFF"/>
        </w:rPr>
        <w:t>- Establecer el Reglamento de Operación para realizar el planeamiento y la coordinación de la operación del Sistema Interconectado Nacional.</w:t>
      </w:r>
    </w:p>
    <w:p w14:paraId="38E2EBB6" w14:textId="77777777" w:rsidR="00873FC2" w:rsidRPr="0001110A" w:rsidRDefault="00873FC2" w:rsidP="00873FC2">
      <w:pPr>
        <w:ind w:left="0"/>
        <w:jc w:val="both"/>
        <w:rPr>
          <w:rFonts w:ascii="Bookman Old Style" w:hAnsi="Bookman Old Style"/>
          <w:shd w:val="clear" w:color="auto" w:fill="FFFFFF"/>
        </w:rPr>
      </w:pPr>
      <w:r w:rsidRPr="0001110A">
        <w:rPr>
          <w:rFonts w:ascii="Bookman Old Style" w:hAnsi="Bookman Old Style"/>
          <w:shd w:val="clear" w:color="auto" w:fill="FFFFFF"/>
        </w:rPr>
        <w:t>- Determinar las condiciones para la liberación gradual del mercado hacia la libre competencia.</w:t>
      </w:r>
    </w:p>
    <w:p w14:paraId="715BF512" w14:textId="6462EAD1" w:rsidR="00873FC2" w:rsidRPr="0001110A" w:rsidRDefault="00873FC2" w:rsidP="00873FC2">
      <w:pPr>
        <w:ind w:left="0"/>
        <w:jc w:val="both"/>
        <w:rPr>
          <w:rFonts w:ascii="Bookman Old Style" w:hAnsi="Bookman Old Style"/>
          <w:shd w:val="clear" w:color="auto" w:fill="FFFFFF"/>
        </w:rPr>
      </w:pPr>
      <w:r w:rsidRPr="0001110A">
        <w:rPr>
          <w:rFonts w:ascii="Bookman Old Style" w:hAnsi="Bookman Old Style"/>
          <w:shd w:val="clear" w:color="auto" w:fill="FFFFFF"/>
        </w:rPr>
        <w:lastRenderedPageBreak/>
        <w:t>De acuerdo con el numeral 74.1 del artículo 74 de la Ley 142 de 1994, la Comisión de Regulación de Energía y Gas tiene dentro de sus funciones generales la de regular el ejercicio de las actividades del sector de gas combustible para asegurar la disponibilidad de una oferta energética eficiente.</w:t>
      </w:r>
    </w:p>
    <w:p w14:paraId="3E16F220" w14:textId="77777777" w:rsidR="00873FC2" w:rsidRPr="0001110A" w:rsidRDefault="00873FC2" w:rsidP="00873FC2">
      <w:pPr>
        <w:ind w:left="0"/>
        <w:jc w:val="both"/>
        <w:rPr>
          <w:rFonts w:ascii="Bookman Old Style" w:hAnsi="Bookman Old Style"/>
          <w:shd w:val="clear" w:color="auto" w:fill="FFFFFF"/>
        </w:rPr>
      </w:pPr>
      <w:r w:rsidRPr="0001110A">
        <w:rPr>
          <w:rFonts w:ascii="Arial" w:hAnsi="Arial" w:cs="Arial"/>
        </w:rPr>
        <w:br/>
      </w:r>
      <w:r w:rsidRPr="0001110A">
        <w:rPr>
          <w:rFonts w:ascii="Bookman Old Style" w:hAnsi="Bookman Old Style"/>
          <w:shd w:val="clear" w:color="auto" w:fill="FFFFFF"/>
        </w:rPr>
        <w:t>El literal c del numeral 74.1 del artículo 74 mencionado indica que corresponde a la CREG establecer el Reglamento de Operación, para regular el funcionamiento del mercado mayorista de energía y de gas combustible.</w:t>
      </w:r>
    </w:p>
    <w:p w14:paraId="67A33412" w14:textId="77777777" w:rsidR="00635460" w:rsidRDefault="00635460" w:rsidP="00873FC2">
      <w:pPr>
        <w:ind w:left="0"/>
        <w:jc w:val="both"/>
        <w:rPr>
          <w:rFonts w:ascii="Bookman Old Style" w:hAnsi="Bookman Old Style"/>
          <w:shd w:val="clear" w:color="auto" w:fill="FFFFFF"/>
        </w:rPr>
      </w:pPr>
    </w:p>
    <w:p w14:paraId="5AF77192" w14:textId="77777777" w:rsidR="00873FC2" w:rsidRPr="0001110A" w:rsidRDefault="00873FC2" w:rsidP="00873FC2">
      <w:pPr>
        <w:ind w:left="0"/>
        <w:jc w:val="both"/>
        <w:rPr>
          <w:rFonts w:ascii="Bookman Old Style" w:hAnsi="Bookman Old Style"/>
          <w:shd w:val="clear" w:color="auto" w:fill="FFFFFF"/>
        </w:rPr>
      </w:pPr>
      <w:r w:rsidRPr="0001110A">
        <w:rPr>
          <w:rFonts w:ascii="Bookman Old Style" w:hAnsi="Bookman Old Style"/>
          <w:shd w:val="clear" w:color="auto" w:fill="FFFFFF"/>
        </w:rPr>
        <w:t>Según el artículo 4 de la Ley 401 de 1997, el CNO gas tiene entre otras funciones hacer recomendaciones que busquen que la operación integrada del Sistema Nacional de Transporte de Gas Natural sea segura, confiable y económica.</w:t>
      </w:r>
    </w:p>
    <w:p w14:paraId="066C93BD" w14:textId="77777777" w:rsidR="00873FC2" w:rsidRPr="0001110A" w:rsidRDefault="00873FC2" w:rsidP="00873FC2">
      <w:pPr>
        <w:ind w:left="0"/>
        <w:jc w:val="both"/>
        <w:rPr>
          <w:rFonts w:ascii="Bookman Old Style" w:hAnsi="Bookman Old Style"/>
          <w:shd w:val="clear" w:color="auto" w:fill="FFFFFF"/>
        </w:rPr>
      </w:pPr>
      <w:r w:rsidRPr="0001110A">
        <w:rPr>
          <w:rFonts w:ascii="Arial" w:hAnsi="Arial" w:cs="Arial"/>
        </w:rPr>
        <w:br/>
      </w:r>
      <w:r w:rsidRPr="0001110A">
        <w:rPr>
          <w:rFonts w:ascii="Bookman Old Style" w:hAnsi="Bookman Old Style"/>
          <w:shd w:val="clear" w:color="auto" w:fill="FFFFFF"/>
        </w:rPr>
        <w:t>La CREG mediante Resolución CREG 071 de 2006, adoptó la metodología para la remuneración del Cargo por Confiabilidad en el Mercado Mayorista de Energía.</w:t>
      </w:r>
    </w:p>
    <w:p w14:paraId="10B2A253" w14:textId="77777777" w:rsidR="00873FC2" w:rsidRPr="0001110A" w:rsidRDefault="00873FC2" w:rsidP="00873FC2">
      <w:pPr>
        <w:ind w:left="0"/>
        <w:jc w:val="both"/>
        <w:rPr>
          <w:rFonts w:ascii="Bookman Old Style" w:hAnsi="Bookman Old Style"/>
          <w:shd w:val="clear" w:color="auto" w:fill="FFFFFF"/>
        </w:rPr>
      </w:pPr>
      <w:r w:rsidRPr="0001110A">
        <w:rPr>
          <w:rFonts w:ascii="Arial" w:hAnsi="Arial" w:cs="Arial"/>
        </w:rPr>
        <w:br/>
      </w:r>
      <w:r w:rsidRPr="0001110A">
        <w:rPr>
          <w:rFonts w:ascii="Bookman Old Style" w:hAnsi="Bookman Old Style"/>
          <w:shd w:val="clear" w:color="auto" w:fill="FFFFFF"/>
        </w:rPr>
        <w:t>La CREG expidió la Resolución 085 de 2007 mediante la cual, entre otros, se definieron reglas para participar en la asignación de Obligaciones de Energía Firme con plantas o unidades térmicas que utilicen combustible líquido.</w:t>
      </w:r>
    </w:p>
    <w:p w14:paraId="728DFF9E" w14:textId="77777777" w:rsidR="00C70BFF" w:rsidRPr="00C70BFF" w:rsidRDefault="00873FC2" w:rsidP="00C70BFF">
      <w:pPr>
        <w:ind w:left="0"/>
        <w:jc w:val="both"/>
        <w:rPr>
          <w:rFonts w:ascii="Bookman Old Style" w:hAnsi="Bookman Old Style"/>
          <w:shd w:val="clear" w:color="auto" w:fill="FFFFFF"/>
        </w:rPr>
      </w:pPr>
      <w:r w:rsidRPr="0001110A">
        <w:rPr>
          <w:rFonts w:ascii="Arial" w:hAnsi="Arial" w:cs="Arial"/>
        </w:rPr>
        <w:br/>
      </w:r>
      <w:r w:rsidR="00C70BFF" w:rsidRPr="00C70BFF">
        <w:rPr>
          <w:rFonts w:ascii="Bookman Old Style" w:hAnsi="Bookman Old Style"/>
          <w:shd w:val="clear" w:color="auto" w:fill="FFFFFF"/>
        </w:rPr>
        <w:t>La Resolución 085 de 2007, entre otros aspectos, reguló las condiciones para participar en la asignación de Obligaciones de Energía Firme con plantas o unidades térmicas que utilicen combustible líquido.</w:t>
      </w:r>
    </w:p>
    <w:p w14:paraId="4C945133" w14:textId="77777777" w:rsidR="00C70BFF" w:rsidRPr="00C70BFF" w:rsidRDefault="00C70BFF" w:rsidP="00C70BFF">
      <w:pPr>
        <w:ind w:left="0"/>
        <w:jc w:val="both"/>
        <w:rPr>
          <w:rFonts w:ascii="Bookman Old Style" w:hAnsi="Bookman Old Style"/>
          <w:shd w:val="clear" w:color="auto" w:fill="FFFFFF"/>
        </w:rPr>
      </w:pPr>
    </w:p>
    <w:p w14:paraId="6FD7F2C1" w14:textId="561AB945" w:rsidR="00C70BFF" w:rsidRPr="007646BF" w:rsidRDefault="00C70BFF" w:rsidP="00C70BFF">
      <w:pPr>
        <w:ind w:left="0"/>
        <w:jc w:val="both"/>
        <w:rPr>
          <w:rFonts w:ascii="Bookman Old Style" w:hAnsi="Bookman Old Style"/>
        </w:rPr>
      </w:pPr>
      <w:r>
        <w:rPr>
          <w:rFonts w:ascii="Bookman Old Style" w:hAnsi="Bookman Old Style" w:cs="Arial"/>
          <w:color w:val="000000" w:themeColor="text1"/>
        </w:rPr>
        <w:t xml:space="preserve">Con </w:t>
      </w:r>
      <w:r w:rsidRPr="007646BF">
        <w:rPr>
          <w:rFonts w:ascii="Bookman Old Style" w:hAnsi="Bookman Old Style" w:cs="Arial"/>
          <w:color w:val="000000" w:themeColor="text1"/>
        </w:rPr>
        <w:t>la Resolución CREG 106 de 2011</w:t>
      </w:r>
      <w:r>
        <w:rPr>
          <w:rFonts w:ascii="Bookman Old Style" w:hAnsi="Bookman Old Style" w:cs="Arial"/>
          <w:color w:val="000000" w:themeColor="text1"/>
        </w:rPr>
        <w:t xml:space="preserve">, mediante la cual se definió una opción con gas natural importado para respaldo de obligaciones de energía en firme del cargo por confiabilidad, en donde se establece que </w:t>
      </w:r>
      <w:r w:rsidRPr="007646BF">
        <w:rPr>
          <w:rFonts w:ascii="Bookman Old Style" w:hAnsi="Bookman Old Style"/>
        </w:rPr>
        <w:t xml:space="preserve">el o los generadores deberán entregar </w:t>
      </w:r>
      <w:r>
        <w:rPr>
          <w:rFonts w:ascii="Bookman Old Style" w:hAnsi="Bookman Old Style"/>
        </w:rPr>
        <w:t xml:space="preserve">a la CREG </w:t>
      </w:r>
      <w:r w:rsidRPr="007646BF">
        <w:rPr>
          <w:rFonts w:ascii="Bookman Old Style" w:hAnsi="Bookman Old Style"/>
        </w:rPr>
        <w:t>auditados los contratos de construcción y operación de la infraestructura, la curva S y el cronograma de construcción</w:t>
      </w:r>
      <w:r>
        <w:rPr>
          <w:rFonts w:ascii="Bookman Old Style" w:hAnsi="Bookman Old Style" w:cs="Arial"/>
          <w:color w:val="000000" w:themeColor="text1"/>
        </w:rPr>
        <w:t xml:space="preserve">. </w:t>
      </w:r>
      <w:r w:rsidRPr="007646BF">
        <w:rPr>
          <w:rFonts w:ascii="Bookman Old Style" w:hAnsi="Bookman Old Style" w:cs="Arial"/>
          <w:color w:val="000000" w:themeColor="text1"/>
        </w:rPr>
        <w:t xml:space="preserve"> </w:t>
      </w:r>
    </w:p>
    <w:p w14:paraId="4D7B249E" w14:textId="77777777" w:rsidR="00C70BFF" w:rsidRPr="007646BF" w:rsidRDefault="00C70BFF" w:rsidP="00C70BFF">
      <w:pPr>
        <w:ind w:left="0"/>
        <w:jc w:val="both"/>
        <w:rPr>
          <w:rFonts w:ascii="Bookman Old Style" w:hAnsi="Bookman Old Style" w:cs="Arial"/>
          <w:color w:val="000000" w:themeColor="text1"/>
        </w:rPr>
      </w:pPr>
    </w:p>
    <w:p w14:paraId="08389D0A" w14:textId="4EFF54BB" w:rsidR="00C70BFF" w:rsidRDefault="00C70BFF" w:rsidP="00C70BFF">
      <w:pPr>
        <w:ind w:left="0"/>
        <w:jc w:val="both"/>
        <w:rPr>
          <w:rFonts w:ascii="Bookman Old Style" w:hAnsi="Bookman Old Style" w:cs="Arial"/>
          <w:color w:val="000000" w:themeColor="text1"/>
        </w:rPr>
      </w:pPr>
      <w:r>
        <w:rPr>
          <w:rFonts w:ascii="Bookman Old Style" w:hAnsi="Bookman Old Style" w:cs="Arial"/>
          <w:color w:val="000000" w:themeColor="text1"/>
        </w:rPr>
        <w:t xml:space="preserve">En esa misma Resolución, en el </w:t>
      </w:r>
      <w:r w:rsidRPr="007646BF">
        <w:rPr>
          <w:rFonts w:ascii="Bookman Old Style" w:hAnsi="Bookman Old Style" w:cs="Arial"/>
          <w:color w:val="000000" w:themeColor="text1"/>
        </w:rPr>
        <w:t>artículo 6,</w:t>
      </w:r>
      <w:r>
        <w:rPr>
          <w:rFonts w:ascii="Bookman Old Style" w:hAnsi="Bookman Old Style" w:cs="Arial"/>
          <w:color w:val="000000" w:themeColor="text1"/>
        </w:rPr>
        <w:t xml:space="preserve"> </w:t>
      </w:r>
      <w:r w:rsidRPr="007646BF">
        <w:rPr>
          <w:rFonts w:ascii="Bookman Old Style" w:hAnsi="Bookman Old Style" w:cs="Arial"/>
          <w:color w:val="000000" w:themeColor="text1"/>
        </w:rPr>
        <w:t>se establece que cuando se presente un retraso en la ejecución del cronograma de construcción de la nueva infraestructura de importación frente al Inicio del Período de Vigencia de la Obligación, IPVO, que no constituya incumplimiento grave e insalvable</w:t>
      </w:r>
      <w:r>
        <w:rPr>
          <w:rFonts w:ascii="Bookman Old Style" w:hAnsi="Bookman Old Style" w:cs="Arial"/>
          <w:color w:val="000000" w:themeColor="text1"/>
        </w:rPr>
        <w:t>, en los términos de la regulación, se deberá</w:t>
      </w:r>
      <w:r w:rsidRPr="007646BF">
        <w:rPr>
          <w:rFonts w:ascii="Bookman Old Style" w:hAnsi="Bookman Old Style" w:cs="Arial"/>
          <w:color w:val="000000" w:themeColor="text1"/>
        </w:rPr>
        <w:t xml:space="preserve"> </w:t>
      </w:r>
      <w:r>
        <w:rPr>
          <w:rFonts w:ascii="Bookman Old Style" w:hAnsi="Bookman Old Style" w:cs="Arial"/>
          <w:color w:val="000000" w:themeColor="text1"/>
        </w:rPr>
        <w:t xml:space="preserve">garantizar el cumplimiento de la obligación de energía en firme asignada mediante alguno de los anillos de seguridad y constituir y entregar la garantía de </w:t>
      </w:r>
      <w:r w:rsidRPr="007646BF">
        <w:rPr>
          <w:rFonts w:ascii="Bookman Old Style" w:hAnsi="Bookman Old Style" w:cs="Arial"/>
          <w:color w:val="000000" w:themeColor="text1"/>
        </w:rPr>
        <w:t xml:space="preserve"> </w:t>
      </w:r>
      <w:r w:rsidRPr="00E97088">
        <w:rPr>
          <w:rFonts w:ascii="Bookman Old Style" w:hAnsi="Bookman Old Style" w:cs="Arial"/>
          <w:color w:val="000000" w:themeColor="text1"/>
        </w:rPr>
        <w:t>construcción de la Nueva infraestructura de gas importado por todas la OEF respaldadas con dicha infraestructura</w:t>
      </w:r>
      <w:r>
        <w:rPr>
          <w:rFonts w:ascii="Bookman Old Style" w:hAnsi="Bookman Old Style" w:cs="Arial"/>
          <w:color w:val="000000" w:themeColor="text1"/>
        </w:rPr>
        <w:t>.</w:t>
      </w:r>
    </w:p>
    <w:p w14:paraId="4B58B6C1" w14:textId="77777777" w:rsidR="00C70BFF" w:rsidRPr="007646BF" w:rsidRDefault="00C70BFF" w:rsidP="00C70BFF">
      <w:pPr>
        <w:ind w:left="0"/>
        <w:jc w:val="both"/>
        <w:rPr>
          <w:rFonts w:ascii="Bookman Old Style" w:hAnsi="Bookman Old Style" w:cs="Arial"/>
          <w:color w:val="000000" w:themeColor="text1"/>
        </w:rPr>
      </w:pPr>
    </w:p>
    <w:p w14:paraId="70FBF4A8" w14:textId="7921F5AB" w:rsidR="00C70BFF" w:rsidRPr="00C70BFF" w:rsidRDefault="00C70BFF" w:rsidP="00C70BFF">
      <w:pPr>
        <w:ind w:left="0"/>
        <w:jc w:val="both"/>
        <w:rPr>
          <w:rFonts w:ascii="Bookman Old Style" w:hAnsi="Bookman Old Style"/>
          <w:shd w:val="clear" w:color="auto" w:fill="FFFFFF"/>
        </w:rPr>
      </w:pPr>
      <w:r w:rsidRPr="00C70BFF">
        <w:rPr>
          <w:rFonts w:ascii="Bookman Old Style" w:hAnsi="Bookman Old Style"/>
          <w:shd w:val="clear" w:color="auto" w:fill="FFFFFF"/>
        </w:rPr>
        <w:t>Con la Resolución CREG 001 de 2013 la comisión modificó la fecha para la entrega de la manifestación escrita para acogerse a la OPACGNI para las asignaciones del período 2015-2016</w:t>
      </w:r>
      <w:r w:rsidR="003A57EC">
        <w:rPr>
          <w:rFonts w:ascii="Bookman Old Style" w:hAnsi="Bookman Old Style"/>
          <w:shd w:val="clear" w:color="auto" w:fill="FFFFFF"/>
        </w:rPr>
        <w:t xml:space="preserve"> a abril treinta (30) de 2013</w:t>
      </w:r>
      <w:r w:rsidRPr="00C70BFF">
        <w:rPr>
          <w:rFonts w:ascii="Bookman Old Style" w:hAnsi="Bookman Old Style"/>
          <w:shd w:val="clear" w:color="auto" w:fill="FFFFFF"/>
        </w:rPr>
        <w:t>.</w:t>
      </w:r>
    </w:p>
    <w:p w14:paraId="0CE5B6CA" w14:textId="77777777" w:rsidR="00C70BFF" w:rsidRPr="00C70BFF" w:rsidRDefault="00C70BFF" w:rsidP="00C70BFF">
      <w:pPr>
        <w:ind w:left="0"/>
        <w:jc w:val="both"/>
        <w:rPr>
          <w:rFonts w:ascii="Bookman Old Style" w:hAnsi="Bookman Old Style"/>
          <w:shd w:val="clear" w:color="auto" w:fill="FFFFFF"/>
        </w:rPr>
      </w:pPr>
    </w:p>
    <w:p w14:paraId="63A20A45" w14:textId="77777777" w:rsidR="00C70BFF" w:rsidRPr="00C70BFF" w:rsidRDefault="00C70BFF" w:rsidP="00C70BFF">
      <w:pPr>
        <w:ind w:left="0"/>
        <w:jc w:val="both"/>
        <w:rPr>
          <w:rFonts w:ascii="Bookman Old Style" w:hAnsi="Bookman Old Style"/>
          <w:shd w:val="clear" w:color="auto" w:fill="FFFFFF"/>
        </w:rPr>
      </w:pPr>
      <w:r w:rsidRPr="00C70BFF">
        <w:rPr>
          <w:rFonts w:ascii="Bookman Old Style" w:hAnsi="Bookman Old Style"/>
          <w:shd w:val="clear" w:color="auto" w:fill="FFFFFF"/>
        </w:rPr>
        <w:t>Mediante la Resolución CREG 062 de 2013 la CREG definió la metodología para establecer el ingreso regulado al GT que utilice gas natural importado para cubrir generaciones de seguridad conforme los requerimientos del Centro Nacional de Despacho, CND.</w:t>
      </w:r>
    </w:p>
    <w:p w14:paraId="5A70DD52" w14:textId="77777777" w:rsidR="00C70BFF" w:rsidRPr="00C70BFF" w:rsidRDefault="00C70BFF" w:rsidP="00C70BFF">
      <w:pPr>
        <w:ind w:left="0"/>
        <w:jc w:val="both"/>
        <w:rPr>
          <w:rFonts w:ascii="Bookman Old Style" w:hAnsi="Bookman Old Style"/>
          <w:shd w:val="clear" w:color="auto" w:fill="FFFFFF"/>
        </w:rPr>
      </w:pPr>
    </w:p>
    <w:p w14:paraId="36E76DFA" w14:textId="29F21F73" w:rsidR="00C70BFF" w:rsidRPr="00C70BFF" w:rsidRDefault="00C70BFF" w:rsidP="00C70BFF">
      <w:pPr>
        <w:ind w:left="0"/>
        <w:jc w:val="both"/>
        <w:rPr>
          <w:rFonts w:ascii="Bookman Old Style" w:hAnsi="Bookman Old Style"/>
          <w:shd w:val="clear" w:color="auto" w:fill="FFFFFF"/>
        </w:rPr>
      </w:pPr>
      <w:r w:rsidRPr="00C70BFF">
        <w:rPr>
          <w:rFonts w:ascii="Bookman Old Style" w:hAnsi="Bookman Old Style"/>
          <w:shd w:val="clear" w:color="auto" w:fill="FFFFFF"/>
        </w:rPr>
        <w:lastRenderedPageBreak/>
        <w:t xml:space="preserve">La Resolución CREG 110 de 2013 definió el esquema de participación en la OPACGNI 2015-2016 </w:t>
      </w:r>
      <w:r w:rsidR="003A57EC">
        <w:rPr>
          <w:rFonts w:ascii="Bookman Old Style" w:hAnsi="Bookman Old Style"/>
          <w:shd w:val="clear" w:color="auto" w:fill="FFFFFF"/>
        </w:rPr>
        <w:t xml:space="preserve">de las plantas </w:t>
      </w:r>
      <w:r w:rsidR="003A57EC" w:rsidRPr="00C70BFF">
        <w:rPr>
          <w:rFonts w:ascii="Bookman Old Style" w:hAnsi="Bookman Old Style"/>
          <w:shd w:val="clear" w:color="auto" w:fill="FFFFFF"/>
        </w:rPr>
        <w:t>que no participaron en la subasta del Cargo por Confiabilidad</w:t>
      </w:r>
      <w:r w:rsidR="00075CA3">
        <w:rPr>
          <w:rFonts w:ascii="Bookman Old Style" w:hAnsi="Bookman Old Style"/>
          <w:shd w:val="clear" w:color="auto" w:fill="FFFFFF"/>
        </w:rPr>
        <w:t>.</w:t>
      </w:r>
      <w:r w:rsidR="003A57EC" w:rsidRPr="00C70BFF">
        <w:rPr>
          <w:rFonts w:ascii="Bookman Old Style" w:hAnsi="Bookman Old Style"/>
          <w:shd w:val="clear" w:color="auto" w:fill="FFFFFF"/>
        </w:rPr>
        <w:t xml:space="preserve"> </w:t>
      </w:r>
    </w:p>
    <w:p w14:paraId="6772EBD5" w14:textId="77777777" w:rsidR="00C70BFF" w:rsidRPr="00C70BFF" w:rsidRDefault="00C70BFF" w:rsidP="00C70BFF">
      <w:pPr>
        <w:ind w:left="0"/>
        <w:jc w:val="both"/>
        <w:rPr>
          <w:rFonts w:ascii="Bookman Old Style" w:hAnsi="Bookman Old Style"/>
          <w:shd w:val="clear" w:color="auto" w:fill="FFFFFF"/>
        </w:rPr>
      </w:pPr>
    </w:p>
    <w:p w14:paraId="3ECE2651" w14:textId="0158F7C2" w:rsidR="00C70BFF" w:rsidRPr="00C70BFF" w:rsidRDefault="00C70BFF" w:rsidP="00C70BFF">
      <w:pPr>
        <w:ind w:left="0"/>
        <w:jc w:val="both"/>
        <w:rPr>
          <w:rFonts w:ascii="Bookman Old Style" w:hAnsi="Bookman Old Style"/>
          <w:shd w:val="clear" w:color="auto" w:fill="FFFFFF"/>
        </w:rPr>
      </w:pPr>
      <w:r w:rsidRPr="00C70BFF">
        <w:rPr>
          <w:rFonts w:ascii="Bookman Old Style" w:hAnsi="Bookman Old Style"/>
          <w:shd w:val="clear" w:color="auto" w:fill="FFFFFF"/>
        </w:rPr>
        <w:t>En las resoluciones CREG 061, 143 y 192 de 2013, 009, 025 y 041 de 2014 la comisión modificó el cronograma para acogerse a la OPACGNI, para las asignaciones del período 2015-2016.</w:t>
      </w:r>
      <w:r w:rsidR="00075CA3">
        <w:rPr>
          <w:rFonts w:ascii="Bookman Old Style" w:hAnsi="Bookman Old Style"/>
          <w:shd w:val="clear" w:color="auto" w:fill="FFFFFF"/>
        </w:rPr>
        <w:t xml:space="preserve"> La fecha de entrega de los contratos de construcción y operación de la infraestructura de importación debidamente auditados deberá realizarse trece (13) meses antes del IPVO</w:t>
      </w:r>
      <w:r w:rsidR="005C5E64">
        <w:rPr>
          <w:rFonts w:ascii="Bookman Old Style" w:hAnsi="Bookman Old Style"/>
          <w:shd w:val="clear" w:color="auto" w:fill="FFFFFF"/>
        </w:rPr>
        <w:t>, es decir antes del 3</w:t>
      </w:r>
      <w:r w:rsidR="00816F5A">
        <w:rPr>
          <w:rFonts w:ascii="Bookman Old Style" w:hAnsi="Bookman Old Style"/>
          <w:shd w:val="clear" w:color="auto" w:fill="FFFFFF"/>
        </w:rPr>
        <w:t>1</w:t>
      </w:r>
      <w:r w:rsidR="005C5E64">
        <w:rPr>
          <w:rFonts w:ascii="Bookman Old Style" w:hAnsi="Bookman Old Style"/>
          <w:shd w:val="clear" w:color="auto" w:fill="FFFFFF"/>
        </w:rPr>
        <w:t xml:space="preserve"> de octubre  de 2014.</w:t>
      </w:r>
    </w:p>
    <w:p w14:paraId="05A0C666" w14:textId="77777777" w:rsidR="00C70BFF" w:rsidRPr="00C70BFF" w:rsidRDefault="00C70BFF" w:rsidP="00C70BFF">
      <w:pPr>
        <w:ind w:left="0"/>
        <w:jc w:val="both"/>
        <w:rPr>
          <w:rFonts w:ascii="Bookman Old Style" w:hAnsi="Bookman Old Style"/>
          <w:shd w:val="clear" w:color="auto" w:fill="FFFFFF"/>
        </w:rPr>
      </w:pPr>
    </w:p>
    <w:p w14:paraId="6B303F4C" w14:textId="5A2FC417" w:rsidR="00335D53" w:rsidRPr="005C5E64" w:rsidRDefault="00C70BFF" w:rsidP="00C70BFF">
      <w:pPr>
        <w:ind w:left="0"/>
        <w:jc w:val="both"/>
        <w:rPr>
          <w:rFonts w:ascii="Bookman Old Style" w:hAnsi="Bookman Old Style"/>
          <w:shd w:val="clear" w:color="auto" w:fill="FFFFFF"/>
        </w:rPr>
      </w:pPr>
      <w:r w:rsidRPr="00C70BFF">
        <w:rPr>
          <w:rFonts w:ascii="Bookman Old Style" w:hAnsi="Bookman Old Style"/>
          <w:shd w:val="clear" w:color="auto" w:fill="FFFFFF"/>
        </w:rPr>
        <w:t>Mediante la Resolución CREG 022 de 2014 la comisión aprobó el ingreso regulado total de carácter transitorio a</w:t>
      </w:r>
      <w:r w:rsidR="005C5E64">
        <w:rPr>
          <w:rFonts w:ascii="Bookman Old Style" w:hAnsi="Bookman Old Style"/>
          <w:shd w:val="clear" w:color="auto" w:fill="FFFFFF"/>
        </w:rPr>
        <w:t>l grupo de generadores térmicos,</w:t>
      </w:r>
      <w:r w:rsidR="00873FC2" w:rsidRPr="00873FC2">
        <w:rPr>
          <w:rFonts w:ascii="Arial" w:hAnsi="Arial" w:cs="Arial"/>
          <w:color w:val="666666"/>
        </w:rPr>
        <w:br/>
      </w:r>
      <w:r w:rsidR="005C5E64" w:rsidRPr="005C5E64">
        <w:rPr>
          <w:rFonts w:ascii="Bookman Old Style" w:hAnsi="Bookman Old Style"/>
          <w:shd w:val="clear" w:color="auto" w:fill="FFFFFF"/>
        </w:rPr>
        <w:t>de conformidad con lo dispuesto</w:t>
      </w:r>
      <w:r w:rsidR="005C5E64">
        <w:rPr>
          <w:rFonts w:ascii="Bookman Old Style" w:hAnsi="Bookman Old Style"/>
          <w:shd w:val="clear" w:color="auto" w:fill="FFFFFF"/>
        </w:rPr>
        <w:t xml:space="preserve"> en la Resolución CREG 062 de 2013.</w:t>
      </w:r>
      <w:r w:rsidR="005C5E64" w:rsidRPr="005C5E64">
        <w:rPr>
          <w:rFonts w:ascii="Bookman Old Style" w:hAnsi="Bookman Old Style"/>
          <w:shd w:val="clear" w:color="auto" w:fill="FFFFFF"/>
        </w:rPr>
        <w:t xml:space="preserve"> </w:t>
      </w:r>
      <w:r w:rsidR="00873FC2" w:rsidRPr="005C5E64">
        <w:rPr>
          <w:rFonts w:ascii="Bookman Old Style" w:hAnsi="Bookman Old Style"/>
          <w:shd w:val="clear" w:color="auto" w:fill="FFFFFF"/>
        </w:rPr>
        <w:br/>
      </w:r>
    </w:p>
    <w:p w14:paraId="063532A1" w14:textId="62DEB8D8" w:rsidR="00BA3D50" w:rsidRPr="00BA3D50" w:rsidRDefault="00C70BFF" w:rsidP="0001110A">
      <w:pPr>
        <w:ind w:left="0" w:right="51"/>
        <w:jc w:val="both"/>
        <w:rPr>
          <w:rFonts w:ascii="Bookman Old Style" w:hAnsi="Bookman Old Style" w:cs="Arial"/>
          <w:i/>
          <w:color w:val="000000" w:themeColor="text1"/>
          <w:sz w:val="20"/>
          <w:szCs w:val="20"/>
        </w:rPr>
      </w:pPr>
      <w:r>
        <w:rPr>
          <w:rFonts w:ascii="Bookman Old Style" w:hAnsi="Bookman Old Style" w:cs="Arial"/>
          <w:color w:val="000000" w:themeColor="text1"/>
        </w:rPr>
        <w:t>L</w:t>
      </w:r>
      <w:r w:rsidR="00BA3D50">
        <w:rPr>
          <w:rFonts w:ascii="Bookman Old Style" w:hAnsi="Bookman Old Style" w:cs="Arial"/>
          <w:color w:val="000000" w:themeColor="text1"/>
        </w:rPr>
        <w:t>a Resolución CREG 071 de 2014</w:t>
      </w:r>
      <w:r w:rsidR="0001110A">
        <w:rPr>
          <w:rFonts w:ascii="Bookman Old Style" w:hAnsi="Bookman Old Style" w:cs="Arial"/>
          <w:color w:val="000000" w:themeColor="text1"/>
        </w:rPr>
        <w:t>,</w:t>
      </w:r>
      <w:r>
        <w:rPr>
          <w:rFonts w:ascii="Bookman Old Style" w:hAnsi="Bookman Old Style" w:cs="Arial"/>
          <w:color w:val="000000" w:themeColor="text1"/>
        </w:rPr>
        <w:t xml:space="preserve"> p</w:t>
      </w:r>
      <w:r w:rsidRPr="004A0C0D">
        <w:rPr>
          <w:rFonts w:ascii="Bookman Old Style" w:hAnsi="Bookman Old Style"/>
        </w:rPr>
        <w:t xml:space="preserve">or la cual se modifica la </w:t>
      </w:r>
      <w:r>
        <w:rPr>
          <w:rFonts w:ascii="Bookman Old Style" w:hAnsi="Bookman Old Style"/>
        </w:rPr>
        <w:t xml:space="preserve">garantía de construcción para la infraestructura de Gas Natural Importado para la OPACGNI </w:t>
      </w:r>
      <w:r w:rsidRPr="004A0C0D">
        <w:rPr>
          <w:rFonts w:ascii="Bookman Old Style" w:hAnsi="Bookman Old Style"/>
        </w:rPr>
        <w:t xml:space="preserve">2015-2016 </w:t>
      </w:r>
      <w:r>
        <w:rPr>
          <w:rFonts w:ascii="Bookman Old Style" w:hAnsi="Bookman Old Style"/>
        </w:rPr>
        <w:t>y generación de seguridad para las plantas del grupo t</w:t>
      </w:r>
      <w:r w:rsidRPr="004A0C0D">
        <w:rPr>
          <w:rFonts w:ascii="Bookman Old Style" w:hAnsi="Bookman Old Style"/>
        </w:rPr>
        <w:t>érmico</w:t>
      </w:r>
      <w:r>
        <w:rPr>
          <w:rFonts w:ascii="Bookman Old Style" w:hAnsi="Bookman Old Style"/>
        </w:rPr>
        <w:t xml:space="preserve">, </w:t>
      </w:r>
      <w:r>
        <w:rPr>
          <w:rFonts w:ascii="Bookman Old Style" w:hAnsi="Bookman Old Style" w:cs="Arial"/>
          <w:color w:val="000000" w:themeColor="text1"/>
        </w:rPr>
        <w:t xml:space="preserve">establece </w:t>
      </w:r>
      <w:r w:rsidR="0001110A">
        <w:rPr>
          <w:rFonts w:ascii="Bookman Old Style" w:hAnsi="Bookman Old Style"/>
        </w:rPr>
        <w:t xml:space="preserve">en </w:t>
      </w:r>
      <w:r w:rsidR="00BA3D50" w:rsidRPr="0001110A">
        <w:rPr>
          <w:rFonts w:ascii="Bookman Old Style" w:hAnsi="Bookman Old Style"/>
        </w:rPr>
        <w:t xml:space="preserve">su artículo 1 en relación con el incumplimiento en el Cronograma de Construcción, </w:t>
      </w:r>
      <w:r w:rsidR="0001110A">
        <w:rPr>
          <w:rFonts w:ascii="Bookman Old Style" w:hAnsi="Bookman Old Style"/>
        </w:rPr>
        <w:t xml:space="preserve">que </w:t>
      </w:r>
      <w:r>
        <w:rPr>
          <w:rFonts w:ascii="Bookman Old Style" w:hAnsi="Bookman Old Style"/>
        </w:rPr>
        <w:t xml:space="preserve">éste se entiende como </w:t>
      </w:r>
      <w:r w:rsidR="0001110A">
        <w:rPr>
          <w:rFonts w:ascii="Bookman Old Style" w:hAnsi="Bookman Old Style"/>
        </w:rPr>
        <w:t xml:space="preserve">grave e insalvable </w:t>
      </w:r>
      <w:r>
        <w:rPr>
          <w:rFonts w:ascii="Bookman Old Style" w:hAnsi="Bookman Old Style"/>
        </w:rPr>
        <w:t xml:space="preserve">cuando se superen los dos años con referencia al </w:t>
      </w:r>
      <w:r w:rsidRPr="007646BF">
        <w:rPr>
          <w:rFonts w:ascii="Bookman Old Style" w:hAnsi="Bookman Old Style" w:cs="Arial"/>
          <w:color w:val="000000" w:themeColor="text1"/>
        </w:rPr>
        <w:t>IPVO</w:t>
      </w:r>
      <w:r w:rsidR="0001110A">
        <w:rPr>
          <w:rFonts w:ascii="Bookman Old Style" w:hAnsi="Bookman Old Style"/>
        </w:rPr>
        <w:t xml:space="preserve">. </w:t>
      </w:r>
    </w:p>
    <w:p w14:paraId="07BA7D96" w14:textId="3E484006" w:rsidR="00BA3D50" w:rsidRPr="00BA3D50" w:rsidRDefault="00BA3D50" w:rsidP="00BA3D50">
      <w:pPr>
        <w:ind w:left="0" w:right="51"/>
        <w:jc w:val="both"/>
        <w:rPr>
          <w:rFonts w:ascii="Bookman Old Style" w:hAnsi="Bookman Old Style" w:cs="Arial"/>
          <w:i/>
          <w:color w:val="000000" w:themeColor="text1"/>
        </w:rPr>
      </w:pPr>
      <w:r w:rsidRPr="00BA3D50">
        <w:rPr>
          <w:rFonts w:ascii="Bookman Old Style" w:hAnsi="Bookman Old Style"/>
          <w:i/>
        </w:rPr>
        <w:t xml:space="preserve"> </w:t>
      </w:r>
    </w:p>
    <w:p w14:paraId="4C19C6F7" w14:textId="77777777" w:rsidR="000F3577" w:rsidRDefault="00183F51" w:rsidP="007646BF">
      <w:pPr>
        <w:ind w:left="0"/>
        <w:jc w:val="both"/>
        <w:rPr>
          <w:rFonts w:ascii="Bookman Old Style" w:hAnsi="Bookman Old Style" w:cs="Arial"/>
          <w:color w:val="000000" w:themeColor="text1"/>
        </w:rPr>
      </w:pPr>
      <w:r>
        <w:rPr>
          <w:rFonts w:ascii="Bookman Old Style" w:hAnsi="Bookman Old Style" w:cs="Arial"/>
          <w:color w:val="000000" w:themeColor="text1"/>
        </w:rPr>
        <w:t xml:space="preserve">Por su parte, </w:t>
      </w:r>
      <w:r w:rsidRPr="00183F51">
        <w:rPr>
          <w:rFonts w:ascii="Bookman Old Style" w:hAnsi="Bookman Old Style" w:cs="Arial"/>
          <w:color w:val="000000" w:themeColor="text1"/>
        </w:rPr>
        <w:t>TERMOBARRANQUILLA</w:t>
      </w:r>
      <w:r w:rsidR="00BA3D50" w:rsidRPr="00183F51">
        <w:rPr>
          <w:rFonts w:ascii="Bookman Old Style" w:hAnsi="Bookman Old Style" w:cs="Arial"/>
          <w:color w:val="000000" w:themeColor="text1"/>
        </w:rPr>
        <w:t xml:space="preserve"> S.A. E.S.P.</w:t>
      </w:r>
      <w:r w:rsidR="005C5E64">
        <w:rPr>
          <w:rFonts w:ascii="Bookman Old Style" w:hAnsi="Bookman Old Style" w:cs="Arial"/>
          <w:color w:val="000000" w:themeColor="text1"/>
        </w:rPr>
        <w:t xml:space="preserve"> como representante del grupo  de generadores térmicos</w:t>
      </w:r>
      <w:r>
        <w:rPr>
          <w:rFonts w:ascii="Bookman Old Style" w:hAnsi="Bookman Old Style" w:cs="Arial"/>
          <w:color w:val="000000" w:themeColor="text1"/>
        </w:rPr>
        <w:t xml:space="preserve">, presentó a la CREG una comunicación bajo el radicado </w:t>
      </w:r>
      <w:r w:rsidRPr="00183F51">
        <w:rPr>
          <w:rFonts w:ascii="Bookman Old Style" w:hAnsi="Bookman Old Style" w:cs="Arial"/>
          <w:color w:val="000000" w:themeColor="text1"/>
        </w:rPr>
        <w:t>E-2014-00</w:t>
      </w:r>
      <w:r w:rsidR="00A15621">
        <w:rPr>
          <w:rFonts w:ascii="Bookman Old Style" w:hAnsi="Bookman Old Style" w:cs="Arial"/>
          <w:color w:val="000000" w:themeColor="text1"/>
        </w:rPr>
        <w:t>8294</w:t>
      </w:r>
      <w:r>
        <w:rPr>
          <w:rFonts w:ascii="Bookman Old Style" w:hAnsi="Bookman Old Style" w:cs="Arial"/>
          <w:color w:val="000000" w:themeColor="text1"/>
        </w:rPr>
        <w:t xml:space="preserve"> de agosto 20 de 2014, en donde </w:t>
      </w:r>
      <w:r w:rsidR="00404D1B">
        <w:rPr>
          <w:rFonts w:ascii="Bookman Old Style" w:hAnsi="Bookman Old Style" w:cs="Arial"/>
          <w:color w:val="000000" w:themeColor="text1"/>
        </w:rPr>
        <w:t>se manifiestan inquietudes que se entienden de</w:t>
      </w:r>
      <w:r>
        <w:rPr>
          <w:rFonts w:ascii="Bookman Old Style" w:hAnsi="Bookman Old Style" w:cs="Arial"/>
          <w:color w:val="000000" w:themeColor="text1"/>
        </w:rPr>
        <w:t xml:space="preserve"> </w:t>
      </w:r>
      <w:r w:rsidR="005C5E64">
        <w:rPr>
          <w:rFonts w:ascii="Bookman Old Style" w:hAnsi="Bookman Old Style" w:cs="Arial"/>
          <w:color w:val="000000" w:themeColor="text1"/>
        </w:rPr>
        <w:t>l</w:t>
      </w:r>
      <w:r w:rsidR="0001110A">
        <w:rPr>
          <w:rFonts w:ascii="Bookman Old Style" w:hAnsi="Bookman Old Style" w:cs="Arial"/>
          <w:color w:val="000000" w:themeColor="text1"/>
        </w:rPr>
        <w:t xml:space="preserve">a </w:t>
      </w:r>
      <w:r w:rsidR="005C5E64">
        <w:rPr>
          <w:rFonts w:ascii="Bookman Old Style" w:hAnsi="Bookman Old Style" w:cs="Arial"/>
          <w:color w:val="000000" w:themeColor="text1"/>
        </w:rPr>
        <w:t>siguiente</w:t>
      </w:r>
      <w:r w:rsidR="0035107A">
        <w:rPr>
          <w:rFonts w:ascii="Bookman Old Style" w:hAnsi="Bookman Old Style" w:cs="Arial"/>
          <w:color w:val="000000" w:themeColor="text1"/>
        </w:rPr>
        <w:t xml:space="preserve"> forma</w:t>
      </w:r>
      <w:r w:rsidR="005C5E64">
        <w:rPr>
          <w:rFonts w:ascii="Bookman Old Style" w:hAnsi="Bookman Old Style" w:cs="Arial"/>
          <w:color w:val="000000" w:themeColor="text1"/>
        </w:rPr>
        <w:t>:</w:t>
      </w:r>
    </w:p>
    <w:p w14:paraId="465B77FB" w14:textId="77777777" w:rsidR="000F3577" w:rsidRDefault="000F3577" w:rsidP="007646BF">
      <w:pPr>
        <w:ind w:left="0"/>
        <w:jc w:val="both"/>
        <w:rPr>
          <w:rFonts w:ascii="Bookman Old Style" w:hAnsi="Bookman Old Style" w:cs="Arial"/>
          <w:color w:val="000000" w:themeColor="text1"/>
        </w:rPr>
      </w:pPr>
    </w:p>
    <w:p w14:paraId="6292A791" w14:textId="1C16CEEC" w:rsidR="000F3577" w:rsidRDefault="000F3577" w:rsidP="007646BF">
      <w:pPr>
        <w:ind w:left="0"/>
        <w:jc w:val="both"/>
        <w:rPr>
          <w:rFonts w:ascii="Bookman Old Style" w:hAnsi="Bookman Old Style" w:cs="Arial"/>
          <w:color w:val="000000" w:themeColor="text1"/>
        </w:rPr>
      </w:pPr>
      <w:r>
        <w:rPr>
          <w:rFonts w:ascii="Bookman Old Style" w:hAnsi="Bookman Old Style" w:cs="Arial"/>
          <w:color w:val="000000" w:themeColor="text1"/>
        </w:rPr>
        <w:t xml:space="preserve">- </w:t>
      </w:r>
      <w:r w:rsidR="0040616A">
        <w:rPr>
          <w:rFonts w:ascii="Bookman Old Style" w:hAnsi="Bookman Old Style" w:cs="Arial"/>
          <w:color w:val="000000" w:themeColor="text1"/>
        </w:rPr>
        <w:t>C</w:t>
      </w:r>
      <w:r w:rsidR="00404D1B">
        <w:rPr>
          <w:rFonts w:ascii="Bookman Old Style" w:hAnsi="Bookman Old Style" w:cs="Arial"/>
          <w:color w:val="000000" w:themeColor="text1"/>
        </w:rPr>
        <w:t>uándo se debe entender que el contrato está auditado</w:t>
      </w:r>
      <w:proofErr w:type="gramStart"/>
      <w:r w:rsidR="0040616A">
        <w:rPr>
          <w:rFonts w:ascii="Bookman Old Style" w:hAnsi="Bookman Old Style" w:cs="Arial"/>
          <w:color w:val="000000" w:themeColor="text1"/>
        </w:rPr>
        <w:t>?</w:t>
      </w:r>
      <w:proofErr w:type="gramEnd"/>
      <w:r>
        <w:rPr>
          <w:rFonts w:ascii="Bookman Old Style" w:hAnsi="Bookman Old Style" w:cs="Arial"/>
          <w:color w:val="000000" w:themeColor="text1"/>
        </w:rPr>
        <w:t xml:space="preserve"> </w:t>
      </w:r>
    </w:p>
    <w:p w14:paraId="1BEECC98" w14:textId="6ABB35BC" w:rsidR="0040616A" w:rsidRDefault="000F3577" w:rsidP="000F3577">
      <w:pPr>
        <w:ind w:left="284" w:hanging="284"/>
        <w:jc w:val="both"/>
        <w:rPr>
          <w:rFonts w:ascii="Bookman Old Style" w:hAnsi="Bookman Old Style" w:cs="Arial"/>
          <w:color w:val="000000" w:themeColor="text1"/>
        </w:rPr>
      </w:pPr>
      <w:r>
        <w:rPr>
          <w:rFonts w:ascii="Bookman Old Style" w:hAnsi="Bookman Old Style" w:cs="Arial"/>
          <w:color w:val="000000" w:themeColor="text1"/>
        </w:rPr>
        <w:t>-</w:t>
      </w:r>
      <w:r w:rsidR="0001110A">
        <w:rPr>
          <w:rFonts w:ascii="Bookman Old Style" w:hAnsi="Bookman Old Style" w:cs="Arial"/>
          <w:color w:val="000000" w:themeColor="text1"/>
        </w:rPr>
        <w:t xml:space="preserve"> </w:t>
      </w:r>
      <w:r w:rsidR="0040616A">
        <w:rPr>
          <w:rFonts w:ascii="Bookman Old Style" w:hAnsi="Bookman Old Style" w:cs="Arial"/>
          <w:color w:val="000000" w:themeColor="text1"/>
        </w:rPr>
        <w:t>E</w:t>
      </w:r>
      <w:r w:rsidR="0035107A">
        <w:rPr>
          <w:rFonts w:ascii="Bookman Old Style" w:hAnsi="Bookman Old Style" w:cs="Arial"/>
          <w:color w:val="000000" w:themeColor="text1"/>
        </w:rPr>
        <w:t xml:space="preserve">s posible </w:t>
      </w:r>
      <w:r w:rsidR="0001110A">
        <w:rPr>
          <w:rFonts w:ascii="Bookman Old Style" w:hAnsi="Bookman Old Style" w:cs="Arial"/>
          <w:color w:val="000000" w:themeColor="text1"/>
        </w:rPr>
        <w:t>la entrega de un cronograma con fecha</w:t>
      </w:r>
      <w:r w:rsidR="0035107A">
        <w:rPr>
          <w:rFonts w:ascii="Bookman Old Style" w:hAnsi="Bookman Old Style" w:cs="Arial"/>
          <w:color w:val="000000" w:themeColor="text1"/>
        </w:rPr>
        <w:t xml:space="preserve"> de entrada en operación</w:t>
      </w:r>
      <w:r w:rsidR="0001110A">
        <w:rPr>
          <w:rFonts w:ascii="Bookman Old Style" w:hAnsi="Bookman Old Style" w:cs="Arial"/>
          <w:color w:val="000000" w:themeColor="text1"/>
        </w:rPr>
        <w:t xml:space="preserve"> posterior a diciembre de 2015</w:t>
      </w:r>
      <w:proofErr w:type="gramStart"/>
      <w:r w:rsidR="0040616A">
        <w:rPr>
          <w:rFonts w:ascii="Bookman Old Style" w:hAnsi="Bookman Old Style" w:cs="Arial"/>
          <w:color w:val="000000" w:themeColor="text1"/>
        </w:rPr>
        <w:t>?</w:t>
      </w:r>
      <w:proofErr w:type="gramEnd"/>
      <w:r w:rsidR="0040616A">
        <w:rPr>
          <w:rFonts w:ascii="Bookman Old Style" w:hAnsi="Bookman Old Style" w:cs="Arial"/>
          <w:color w:val="000000" w:themeColor="text1"/>
        </w:rPr>
        <w:t xml:space="preserve"> y</w:t>
      </w:r>
    </w:p>
    <w:p w14:paraId="667A215A" w14:textId="4E7C32A4" w:rsidR="00183F51" w:rsidRDefault="000F3577" w:rsidP="007836B9">
      <w:pPr>
        <w:ind w:left="284" w:hanging="284"/>
        <w:jc w:val="both"/>
        <w:rPr>
          <w:rFonts w:ascii="Bookman Old Style" w:hAnsi="Bookman Old Style" w:cs="Arial"/>
          <w:color w:val="000000" w:themeColor="text1"/>
        </w:rPr>
      </w:pPr>
      <w:r>
        <w:rPr>
          <w:rFonts w:ascii="Bookman Old Style" w:hAnsi="Bookman Old Style" w:cs="Arial"/>
          <w:color w:val="000000" w:themeColor="text1"/>
        </w:rPr>
        <w:t>-</w:t>
      </w:r>
      <w:r w:rsidR="0040616A">
        <w:rPr>
          <w:rFonts w:ascii="Bookman Old Style" w:hAnsi="Bookman Old Style" w:cs="Arial"/>
          <w:color w:val="000000" w:themeColor="text1"/>
        </w:rPr>
        <w:t xml:space="preserve"> S</w:t>
      </w:r>
      <w:r>
        <w:rPr>
          <w:rFonts w:ascii="Bookman Old Style" w:hAnsi="Bookman Old Style" w:cs="Arial"/>
          <w:color w:val="000000" w:themeColor="text1"/>
        </w:rPr>
        <w:t>i</w:t>
      </w:r>
      <w:r w:rsidR="0001110A">
        <w:rPr>
          <w:rFonts w:ascii="Bookman Old Style" w:hAnsi="Bookman Old Style" w:cs="Arial"/>
          <w:color w:val="000000" w:themeColor="text1"/>
        </w:rPr>
        <w:t xml:space="preserve"> la determinación del incumplimiento en el cronograma establecido en el artículo 1 de la Resolución CREG 071 de 2014 será realizada por el auditor con base en el cronograma entregado</w:t>
      </w:r>
      <w:proofErr w:type="gramStart"/>
      <w:r w:rsidR="0040616A">
        <w:rPr>
          <w:rFonts w:ascii="Bookman Old Style" w:hAnsi="Bookman Old Style" w:cs="Arial"/>
          <w:color w:val="000000" w:themeColor="text1"/>
        </w:rPr>
        <w:t>?</w:t>
      </w:r>
      <w:r w:rsidR="0001110A">
        <w:rPr>
          <w:rFonts w:ascii="Bookman Old Style" w:hAnsi="Bookman Old Style" w:cs="Arial"/>
          <w:color w:val="000000" w:themeColor="text1"/>
        </w:rPr>
        <w:t>.</w:t>
      </w:r>
      <w:proofErr w:type="gramEnd"/>
      <w:r w:rsidR="00183F51">
        <w:rPr>
          <w:rFonts w:ascii="Bookman Old Style" w:hAnsi="Bookman Old Style" w:cs="Arial"/>
          <w:color w:val="000000" w:themeColor="text1"/>
        </w:rPr>
        <w:t xml:space="preserve"> </w:t>
      </w:r>
    </w:p>
    <w:p w14:paraId="1C303B03" w14:textId="41B20102" w:rsidR="00183F51" w:rsidRDefault="00183F51" w:rsidP="007646BF">
      <w:pPr>
        <w:ind w:left="0"/>
        <w:jc w:val="both"/>
        <w:rPr>
          <w:rFonts w:ascii="Bookman Old Style" w:hAnsi="Bookman Old Style" w:cs="Arial"/>
          <w:color w:val="000000" w:themeColor="text1"/>
        </w:rPr>
      </w:pPr>
    </w:p>
    <w:p w14:paraId="7792002C" w14:textId="77777777" w:rsidR="00513D16" w:rsidRDefault="00C70BFF" w:rsidP="00C70BFF">
      <w:pPr>
        <w:ind w:left="0"/>
        <w:jc w:val="both"/>
        <w:rPr>
          <w:rFonts w:ascii="Bookman Old Style" w:hAnsi="Bookman Old Style" w:cs="Arial"/>
          <w:color w:val="000000" w:themeColor="text1"/>
        </w:rPr>
      </w:pPr>
      <w:r>
        <w:rPr>
          <w:rFonts w:ascii="Bookman Old Style" w:hAnsi="Bookman Old Style" w:cs="Arial"/>
          <w:color w:val="000000" w:themeColor="text1"/>
        </w:rPr>
        <w:t>Revisada y analizada la solicitud presentada, la CREG encuentra</w:t>
      </w:r>
      <w:r w:rsidR="0035107A">
        <w:rPr>
          <w:rFonts w:ascii="Bookman Old Style" w:hAnsi="Bookman Old Style" w:cs="Arial"/>
          <w:color w:val="000000" w:themeColor="text1"/>
        </w:rPr>
        <w:t xml:space="preserve"> que</w:t>
      </w:r>
      <w:r w:rsidR="00575FC8">
        <w:rPr>
          <w:rFonts w:ascii="Bookman Old Style" w:hAnsi="Bookman Old Style" w:cs="Arial"/>
          <w:color w:val="000000" w:themeColor="text1"/>
        </w:rPr>
        <w:t xml:space="preserve"> es necesario abrir alternativas para considerar</w:t>
      </w:r>
      <w:r w:rsidR="0035107A">
        <w:rPr>
          <w:rFonts w:ascii="Bookman Old Style" w:hAnsi="Bookman Old Style" w:cs="Arial"/>
          <w:color w:val="000000" w:themeColor="text1"/>
        </w:rPr>
        <w:t xml:space="preserve"> la condición </w:t>
      </w:r>
      <w:r w:rsidR="00575FC8">
        <w:rPr>
          <w:rFonts w:ascii="Bookman Old Style" w:hAnsi="Bookman Old Style" w:cs="Arial"/>
          <w:color w:val="000000" w:themeColor="text1"/>
        </w:rPr>
        <w:t>en la cual</w:t>
      </w:r>
      <w:r w:rsidR="0035107A">
        <w:rPr>
          <w:rFonts w:ascii="Bookman Old Style" w:hAnsi="Bookman Old Style" w:cs="Arial"/>
          <w:color w:val="000000" w:themeColor="text1"/>
        </w:rPr>
        <w:t xml:space="preserve"> </w:t>
      </w:r>
      <w:r w:rsidR="00513D16">
        <w:rPr>
          <w:rFonts w:ascii="Bookman Old Style" w:hAnsi="Bookman Old Style" w:cs="Arial"/>
          <w:color w:val="000000" w:themeColor="text1"/>
        </w:rPr>
        <w:t xml:space="preserve">se presenta </w:t>
      </w:r>
      <w:r w:rsidR="0035107A">
        <w:rPr>
          <w:rFonts w:ascii="Bookman Old Style" w:hAnsi="Bookman Old Style" w:cs="Arial"/>
          <w:color w:val="000000" w:themeColor="text1"/>
        </w:rPr>
        <w:t xml:space="preserve">el contrato </w:t>
      </w:r>
      <w:r w:rsidR="00513D16" w:rsidRPr="00955C98">
        <w:rPr>
          <w:rFonts w:ascii="Bookman Old Style" w:hAnsi="Bookman Old Style" w:cs="Arial"/>
          <w:bCs/>
          <w:color w:val="000000" w:themeColor="text1"/>
        </w:rPr>
        <w:t>de construcción y operación de la infraestructura, la curva S y el cronograma de construcción</w:t>
      </w:r>
      <w:r w:rsidR="00513D16">
        <w:rPr>
          <w:rFonts w:ascii="Bookman Old Style" w:hAnsi="Bookman Old Style" w:cs="Arial"/>
          <w:color w:val="000000" w:themeColor="text1"/>
        </w:rPr>
        <w:t xml:space="preserve"> </w:t>
      </w:r>
      <w:r w:rsidR="0035107A">
        <w:rPr>
          <w:rFonts w:ascii="Bookman Old Style" w:hAnsi="Bookman Old Style" w:cs="Arial"/>
          <w:color w:val="000000" w:themeColor="text1"/>
        </w:rPr>
        <w:t>con fecha de entrada posterior al IPVO</w:t>
      </w:r>
      <w:r w:rsidR="00513D16">
        <w:rPr>
          <w:rFonts w:ascii="Bookman Old Style" w:hAnsi="Bookman Old Style" w:cs="Arial"/>
          <w:color w:val="000000" w:themeColor="text1"/>
        </w:rPr>
        <w:t xml:space="preserve"> sin que haya un atraso mayor a dos (2) años</w:t>
      </w:r>
      <w:r w:rsidR="0035107A">
        <w:rPr>
          <w:rFonts w:ascii="Bookman Old Style" w:hAnsi="Bookman Old Style" w:cs="Arial"/>
          <w:color w:val="000000" w:themeColor="text1"/>
        </w:rPr>
        <w:t>.</w:t>
      </w:r>
    </w:p>
    <w:p w14:paraId="1B765DAD" w14:textId="371D98B7" w:rsidR="00C70BFF" w:rsidRDefault="0035107A" w:rsidP="00C70BFF">
      <w:pPr>
        <w:ind w:left="0"/>
        <w:jc w:val="both"/>
        <w:rPr>
          <w:rFonts w:ascii="Bookman Old Style" w:hAnsi="Bookman Old Style" w:cs="Arial"/>
          <w:color w:val="000000" w:themeColor="text1"/>
        </w:rPr>
      </w:pPr>
      <w:r>
        <w:rPr>
          <w:rFonts w:ascii="Bookman Old Style" w:hAnsi="Bookman Old Style" w:cs="Arial"/>
          <w:color w:val="000000" w:themeColor="text1"/>
        </w:rPr>
        <w:t xml:space="preserve"> </w:t>
      </w:r>
    </w:p>
    <w:p w14:paraId="68E2AD2C" w14:textId="2A29EC68" w:rsidR="00C70BFF" w:rsidRDefault="000F3577" w:rsidP="007646BF">
      <w:pPr>
        <w:ind w:left="0"/>
        <w:jc w:val="both"/>
        <w:rPr>
          <w:rFonts w:ascii="Bookman Old Style" w:hAnsi="Bookman Old Style" w:cs="Arial"/>
          <w:color w:val="000000" w:themeColor="text1"/>
        </w:rPr>
      </w:pPr>
      <w:r>
        <w:rPr>
          <w:rFonts w:ascii="Bookman Old Style" w:hAnsi="Bookman Old Style" w:cs="Arial"/>
          <w:color w:val="000000" w:themeColor="text1"/>
        </w:rPr>
        <w:t>La</w:t>
      </w:r>
      <w:r w:rsidR="00513D16">
        <w:rPr>
          <w:rFonts w:ascii="Bookman Old Style" w:hAnsi="Bookman Old Style" w:cs="Arial"/>
          <w:color w:val="000000" w:themeColor="text1"/>
        </w:rPr>
        <w:t xml:space="preserve"> Resolución CREG 106 de 2011 estableció la entrega de garantías de </w:t>
      </w:r>
      <w:r w:rsidR="001661BA">
        <w:rPr>
          <w:rFonts w:ascii="Bookman Old Style" w:hAnsi="Bookman Old Style" w:cs="Arial"/>
          <w:color w:val="000000" w:themeColor="text1"/>
        </w:rPr>
        <w:t>cumplimiento de la OEF asignada y la garantía de construcción de la nueva infraestructura de gas importado cuando se presente un retraso en el cronograma de construcción que no represente un incumplimiento grave e insalvable.</w:t>
      </w:r>
    </w:p>
    <w:p w14:paraId="4D25872C" w14:textId="77777777" w:rsidR="00816F5A" w:rsidRDefault="00816F5A" w:rsidP="007646BF">
      <w:pPr>
        <w:ind w:left="0"/>
        <w:jc w:val="both"/>
        <w:rPr>
          <w:rFonts w:ascii="Bookman Old Style" w:hAnsi="Bookman Old Style" w:cs="Arial"/>
          <w:color w:val="000000" w:themeColor="text1"/>
        </w:rPr>
      </w:pPr>
    </w:p>
    <w:p w14:paraId="04B7EAE1" w14:textId="255F179E" w:rsidR="007646BF" w:rsidRPr="007646BF" w:rsidRDefault="00816F5A" w:rsidP="007646BF">
      <w:pPr>
        <w:ind w:left="0"/>
        <w:jc w:val="both"/>
        <w:rPr>
          <w:rFonts w:ascii="Bookman Old Style" w:hAnsi="Bookman Old Style" w:cs="Arial"/>
          <w:color w:val="000000" w:themeColor="text1"/>
        </w:rPr>
      </w:pPr>
      <w:r>
        <w:rPr>
          <w:rFonts w:ascii="Bookman Old Style" w:hAnsi="Bookman Old Style" w:cs="Arial"/>
          <w:color w:val="000000" w:themeColor="text1"/>
        </w:rPr>
        <w:t xml:space="preserve">Si el agente presenta garantías con un contrato cuya fecha de terminación es posterior al IPVO sin que </w:t>
      </w:r>
      <w:r w:rsidR="00786F88">
        <w:rPr>
          <w:rFonts w:ascii="Bookman Old Style" w:hAnsi="Bookman Old Style" w:cs="Arial"/>
          <w:color w:val="000000" w:themeColor="text1"/>
        </w:rPr>
        <w:t>constituya</w:t>
      </w:r>
      <w:r>
        <w:rPr>
          <w:rFonts w:ascii="Bookman Old Style" w:hAnsi="Bookman Old Style" w:cs="Arial"/>
          <w:color w:val="000000" w:themeColor="text1"/>
        </w:rPr>
        <w:t xml:space="preserve"> un atraso mayor a 2 años</w:t>
      </w:r>
      <w:r w:rsidR="00786F88">
        <w:rPr>
          <w:rFonts w:ascii="Bookman Old Style" w:hAnsi="Bookman Old Style" w:cs="Arial"/>
          <w:color w:val="000000" w:themeColor="text1"/>
        </w:rPr>
        <w:t>,</w:t>
      </w:r>
      <w:r>
        <w:rPr>
          <w:rFonts w:ascii="Bookman Old Style" w:hAnsi="Bookman Old Style" w:cs="Arial"/>
          <w:color w:val="000000" w:themeColor="text1"/>
        </w:rPr>
        <w:t xml:space="preserve"> </w:t>
      </w:r>
      <w:r w:rsidR="00786F88">
        <w:rPr>
          <w:rFonts w:ascii="Bookman Old Style" w:hAnsi="Bookman Old Style" w:cs="Arial"/>
          <w:color w:val="000000" w:themeColor="text1"/>
        </w:rPr>
        <w:t>se considera como un hecho concreto de continuar con el desarrollo y construcción del proyecto hasta su puesta en operación.</w:t>
      </w:r>
    </w:p>
    <w:p w14:paraId="3A54507C" w14:textId="250A4D15" w:rsidR="00CE03C4" w:rsidRPr="00CE03C4" w:rsidRDefault="00335D53"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 </w:t>
      </w:r>
    </w:p>
    <w:p w14:paraId="3CA8B4A2" w14:textId="77777777" w:rsidR="003805BA" w:rsidRPr="004A1599" w:rsidRDefault="003805BA" w:rsidP="003805BA">
      <w:pPr>
        <w:autoSpaceDE w:val="0"/>
        <w:autoSpaceDN w:val="0"/>
        <w:adjustRightInd w:val="0"/>
        <w:ind w:left="0"/>
        <w:jc w:val="both"/>
        <w:rPr>
          <w:rFonts w:ascii="Bookman Old Style" w:hAnsi="Bookman Old Style" w:cs="Arial"/>
          <w:color w:val="000000" w:themeColor="text1"/>
        </w:rPr>
      </w:pPr>
      <w:r w:rsidRPr="004A1599">
        <w:rPr>
          <w:rFonts w:ascii="Bookman Old Style" w:hAnsi="Bookman Old Style" w:cs="Arial"/>
          <w:color w:val="000000" w:themeColor="text1"/>
        </w:rPr>
        <w:lastRenderedPageBreak/>
        <w:t>Según lo previsto en el artículo 8 del Código de Procedimiento Administrativo y de lo Contencioso Administrativo, la regulación que mediante la presente resolución se adopta ha surtido el proceso de publicidad previo correspondiente.</w:t>
      </w:r>
    </w:p>
    <w:p w14:paraId="2F267661" w14:textId="77777777" w:rsidR="003805BA" w:rsidRDefault="003805BA" w:rsidP="00CE03C4">
      <w:pPr>
        <w:ind w:left="0"/>
        <w:jc w:val="both"/>
        <w:rPr>
          <w:rFonts w:ascii="Bookman Old Style" w:hAnsi="Bookman Old Style" w:cs="Arial"/>
          <w:color w:val="000000" w:themeColor="text1"/>
        </w:rPr>
      </w:pPr>
    </w:p>
    <w:p w14:paraId="719844AC" w14:textId="4D11A01A" w:rsidR="003805BA" w:rsidRDefault="003805BA"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En el período de consulta de la Resolución CREG 134 de 2013, se recibieron los comentarios en tiempo de </w:t>
      </w:r>
      <w:r w:rsidRPr="003805BA">
        <w:rPr>
          <w:rFonts w:ascii="Bookman Old Style" w:hAnsi="Bookman Old Style" w:cs="Arial"/>
          <w:color w:val="000000" w:themeColor="text1"/>
        </w:rPr>
        <w:t xml:space="preserve">Sociedad Portuaria el </w:t>
      </w:r>
      <w:proofErr w:type="spellStart"/>
      <w:r w:rsidRPr="003805BA">
        <w:rPr>
          <w:rFonts w:ascii="Bookman Old Style" w:hAnsi="Bookman Old Style" w:cs="Arial"/>
          <w:color w:val="000000" w:themeColor="text1"/>
        </w:rPr>
        <w:t>Cayao</w:t>
      </w:r>
      <w:proofErr w:type="spellEnd"/>
      <w:r w:rsidRPr="003805BA">
        <w:rPr>
          <w:rFonts w:ascii="Bookman Old Style" w:hAnsi="Bookman Old Style" w:cs="Arial"/>
          <w:color w:val="000000" w:themeColor="text1"/>
        </w:rPr>
        <w:t xml:space="preserve"> – SPEC, </w:t>
      </w:r>
      <w:proofErr w:type="spellStart"/>
      <w:r w:rsidRPr="003805BA">
        <w:rPr>
          <w:rFonts w:ascii="Bookman Old Style" w:hAnsi="Bookman Old Style" w:cs="Arial"/>
          <w:color w:val="000000" w:themeColor="text1"/>
        </w:rPr>
        <w:t>Termobarranquilla</w:t>
      </w:r>
      <w:proofErr w:type="spellEnd"/>
      <w:r w:rsidRPr="003805BA">
        <w:rPr>
          <w:rFonts w:ascii="Bookman Old Style" w:hAnsi="Bookman Old Style" w:cs="Arial"/>
          <w:color w:val="000000" w:themeColor="text1"/>
        </w:rPr>
        <w:t xml:space="preserve"> S.A. E.S.P. como mandatario del Grupo de Generadores Térmicos – GT, GECELCA S.A. E.S.P. y de manera extemporánea de X.M. S.A. E.S.P.</w:t>
      </w:r>
    </w:p>
    <w:p w14:paraId="56E37A97" w14:textId="77777777" w:rsidR="009E5AAC" w:rsidRDefault="009E5AAC" w:rsidP="00CE03C4">
      <w:pPr>
        <w:ind w:left="0"/>
        <w:jc w:val="both"/>
        <w:rPr>
          <w:rFonts w:ascii="Bookman Old Style" w:hAnsi="Bookman Old Style" w:cs="Arial"/>
          <w:color w:val="000000" w:themeColor="text1"/>
        </w:rPr>
      </w:pPr>
    </w:p>
    <w:p w14:paraId="08901D68" w14:textId="7EBDE662" w:rsidR="003805BA" w:rsidRDefault="003805BA" w:rsidP="003805BA">
      <w:pPr>
        <w:pStyle w:val="Textosinformato"/>
        <w:jc w:val="both"/>
        <w:rPr>
          <w:rFonts w:ascii="Bookman Old Style" w:hAnsi="Bookman Old Style" w:cs="Arial"/>
          <w:color w:val="000000" w:themeColor="text1"/>
          <w:sz w:val="24"/>
          <w:szCs w:val="24"/>
        </w:rPr>
      </w:pPr>
      <w:r w:rsidRPr="00E83A28">
        <w:rPr>
          <w:rFonts w:ascii="Bookman Old Style" w:hAnsi="Bookman Old Style" w:cs="Arial"/>
          <w:color w:val="000000" w:themeColor="text1"/>
          <w:sz w:val="24"/>
          <w:szCs w:val="24"/>
        </w:rPr>
        <w:t>En el Documento CREG-</w:t>
      </w:r>
      <w:r w:rsidR="00867071">
        <w:rPr>
          <w:rFonts w:ascii="Bookman Old Style" w:hAnsi="Bookman Old Style" w:cs="Arial"/>
          <w:color w:val="000000" w:themeColor="text1"/>
          <w:sz w:val="24"/>
          <w:szCs w:val="24"/>
        </w:rPr>
        <w:t>075</w:t>
      </w:r>
      <w:r w:rsidRPr="00E83A28">
        <w:rPr>
          <w:rFonts w:ascii="Bookman Old Style" w:hAnsi="Bookman Old Style" w:cs="Arial"/>
          <w:color w:val="000000" w:themeColor="text1"/>
          <w:sz w:val="24"/>
          <w:szCs w:val="24"/>
        </w:rPr>
        <w:t xml:space="preserve"> de 2014, el cual soporta esta Resolución, se presenta el análisis </w:t>
      </w:r>
      <w:r>
        <w:rPr>
          <w:rFonts w:ascii="Bookman Old Style" w:hAnsi="Bookman Old Style" w:cs="Arial"/>
          <w:color w:val="000000" w:themeColor="text1"/>
          <w:sz w:val="24"/>
          <w:szCs w:val="24"/>
        </w:rPr>
        <w:t xml:space="preserve">a los comentarios recibidos sobre la propuesta </w:t>
      </w:r>
      <w:r>
        <w:rPr>
          <w:rFonts w:ascii="Bookman Old Style" w:hAnsi="Bookman Old Style" w:cs="Tahoma"/>
          <w:color w:val="000000" w:themeColor="text1"/>
          <w:sz w:val="24"/>
          <w:szCs w:val="24"/>
        </w:rPr>
        <w:t>regulatoria sometida a consulta mediante la Resolución CREG 134</w:t>
      </w:r>
      <w:r>
        <w:rPr>
          <w:rFonts w:ascii="Bookman Old Style" w:hAnsi="Bookman Old Style" w:cs="Arial"/>
          <w:color w:val="000000" w:themeColor="text1"/>
          <w:sz w:val="24"/>
          <w:szCs w:val="24"/>
        </w:rPr>
        <w:t xml:space="preserve"> de 2014</w:t>
      </w:r>
      <w:r w:rsidRPr="00E83A28">
        <w:rPr>
          <w:rFonts w:ascii="Bookman Old Style" w:hAnsi="Bookman Old Style" w:cs="Arial"/>
          <w:color w:val="000000" w:themeColor="text1"/>
          <w:sz w:val="24"/>
          <w:szCs w:val="24"/>
        </w:rPr>
        <w:t>.</w:t>
      </w:r>
    </w:p>
    <w:p w14:paraId="53C57673" w14:textId="77777777" w:rsidR="003805BA" w:rsidRDefault="003805BA" w:rsidP="00CE03C4">
      <w:pPr>
        <w:ind w:left="0"/>
        <w:jc w:val="both"/>
        <w:rPr>
          <w:rFonts w:ascii="Bookman Old Style" w:hAnsi="Bookman Old Style" w:cs="Arial"/>
          <w:color w:val="000000" w:themeColor="text1"/>
        </w:rPr>
      </w:pPr>
    </w:p>
    <w:p w14:paraId="6D4175BA" w14:textId="22874B1B" w:rsidR="009E5AAC" w:rsidRDefault="009E5AAC" w:rsidP="00CE03C4">
      <w:pPr>
        <w:ind w:left="0"/>
        <w:jc w:val="both"/>
        <w:rPr>
          <w:rFonts w:ascii="Bookman Old Style" w:hAnsi="Bookman Old Style" w:cs="Arial"/>
          <w:color w:val="000000" w:themeColor="text1"/>
        </w:rPr>
      </w:pPr>
      <w:r>
        <w:rPr>
          <w:rFonts w:ascii="Bookman Old Style" w:hAnsi="Bookman Old Style" w:cs="Arial"/>
          <w:color w:val="000000" w:themeColor="text1"/>
        </w:rPr>
        <w:t xml:space="preserve">Una vez analizados los comentarios y teniendo en cuenta que el Grupo de Generadores Térmicos – GT, solicita que sea la misma auditoría la que determine el retraso del proyecto y que en ese mismo momento se deba cumplir con las obligaciones contempladas en el artículo 6 de la Resolución CREG 106 de 2011, se decidió ajustar la propuesta de resolución, puesta en consulta, incorporando como plazo máximo para la presentación de las mismas, el día 1 de diciembre de 2014. </w:t>
      </w:r>
    </w:p>
    <w:p w14:paraId="0639AA28" w14:textId="77777777" w:rsidR="009E5AAC" w:rsidRDefault="009E5AAC" w:rsidP="00CE03C4">
      <w:pPr>
        <w:ind w:left="0"/>
        <w:jc w:val="both"/>
        <w:rPr>
          <w:rFonts w:ascii="Bookman Old Style" w:hAnsi="Bookman Old Style" w:cs="Arial"/>
          <w:color w:val="000000" w:themeColor="text1"/>
        </w:rPr>
      </w:pPr>
    </w:p>
    <w:p w14:paraId="4FA07645" w14:textId="4026C08D"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color w:val="000000" w:themeColor="text1"/>
        </w:rPr>
        <w:t>Teniendo en cuenta lo establecido en el artículo 4 del Decreto 2897 de 2010, reglamentario de la Ley 1340 de 2009, no es necesaria la remisión del presente acto administrativo a la Superintendencia de Industria y Comercio.</w:t>
      </w:r>
    </w:p>
    <w:p w14:paraId="59E60B02" w14:textId="77777777" w:rsidR="00CE03C4" w:rsidRDefault="00CE03C4" w:rsidP="00CE03C4">
      <w:pPr>
        <w:ind w:left="0"/>
        <w:jc w:val="both"/>
        <w:rPr>
          <w:rFonts w:ascii="Bookman Old Style" w:hAnsi="Bookman Old Style" w:cs="Arial"/>
          <w:color w:val="000000" w:themeColor="text1"/>
        </w:rPr>
      </w:pPr>
    </w:p>
    <w:p w14:paraId="3663072B" w14:textId="3E729CB7" w:rsidR="003805BA" w:rsidRDefault="003805BA" w:rsidP="003805BA">
      <w:pPr>
        <w:ind w:left="0"/>
        <w:jc w:val="both"/>
        <w:rPr>
          <w:rFonts w:ascii="Bookman Old Style" w:hAnsi="Bookman Old Style" w:cs="Arial"/>
          <w:color w:val="000000" w:themeColor="text1"/>
        </w:rPr>
      </w:pPr>
      <w:r>
        <w:rPr>
          <w:rFonts w:ascii="Bookman Old Style" w:hAnsi="Bookman Old Style" w:cs="Arial"/>
          <w:color w:val="000000" w:themeColor="text1"/>
        </w:rPr>
        <w:t xml:space="preserve">La Comisión de Regulación de Energía y Gas aprobó el presente acto administrativo en la sesión No. </w:t>
      </w:r>
      <w:r w:rsidR="0065756E">
        <w:rPr>
          <w:rFonts w:ascii="Bookman Old Style" w:hAnsi="Bookman Old Style" w:cs="Arial"/>
          <w:color w:val="000000" w:themeColor="text1"/>
        </w:rPr>
        <w:t>625</w:t>
      </w:r>
      <w:r w:rsidRPr="00601D6D">
        <w:rPr>
          <w:rFonts w:ascii="Bookman Old Style" w:hAnsi="Bookman Old Style" w:cs="Arial"/>
          <w:color w:val="000000" w:themeColor="text1"/>
        </w:rPr>
        <w:t xml:space="preserve"> del día</w:t>
      </w:r>
      <w:r>
        <w:rPr>
          <w:rFonts w:ascii="Bookman Old Style" w:hAnsi="Bookman Old Style" w:cs="Arial"/>
          <w:color w:val="000000" w:themeColor="text1"/>
        </w:rPr>
        <w:t xml:space="preserve"> </w:t>
      </w:r>
      <w:r w:rsidR="0065756E">
        <w:rPr>
          <w:rFonts w:ascii="Bookman Old Style" w:hAnsi="Bookman Old Style" w:cs="Arial"/>
          <w:color w:val="000000" w:themeColor="text1"/>
        </w:rPr>
        <w:t>22</w:t>
      </w:r>
      <w:r>
        <w:rPr>
          <w:rFonts w:ascii="Bookman Old Style" w:hAnsi="Bookman Old Style" w:cs="Arial"/>
          <w:color w:val="000000" w:themeColor="text1"/>
        </w:rPr>
        <w:t xml:space="preserve"> de octubre de 2014.</w:t>
      </w:r>
    </w:p>
    <w:p w14:paraId="054206B8" w14:textId="77777777" w:rsidR="00CE03C4" w:rsidRPr="00CE03C4" w:rsidRDefault="00CE03C4" w:rsidP="00CE03C4">
      <w:pPr>
        <w:ind w:left="0"/>
        <w:jc w:val="both"/>
        <w:rPr>
          <w:rFonts w:ascii="Bookman Old Style" w:hAnsi="Bookman Old Style" w:cs="Arial"/>
          <w:color w:val="000000" w:themeColor="text1"/>
        </w:rPr>
      </w:pPr>
    </w:p>
    <w:p w14:paraId="51087B96" w14:textId="77777777" w:rsidR="00CE03C4" w:rsidRPr="00CE03C4" w:rsidRDefault="00CE03C4" w:rsidP="00CE03C4">
      <w:pPr>
        <w:ind w:left="0"/>
        <w:jc w:val="both"/>
        <w:rPr>
          <w:rFonts w:ascii="Bookman Old Style" w:hAnsi="Bookman Old Style" w:cs="Arial"/>
          <w:color w:val="000000" w:themeColor="text1"/>
        </w:rPr>
      </w:pPr>
    </w:p>
    <w:p w14:paraId="4D7A12EA" w14:textId="77777777" w:rsidR="00CE03C4" w:rsidRPr="00CE03C4" w:rsidRDefault="00CE03C4" w:rsidP="00CE03C4">
      <w:pPr>
        <w:ind w:left="0"/>
        <w:jc w:val="center"/>
        <w:rPr>
          <w:rFonts w:ascii="Bookman Old Style" w:hAnsi="Bookman Old Style" w:cs="Arial"/>
          <w:b/>
          <w:bCs/>
          <w:color w:val="000000" w:themeColor="text1"/>
          <w:lang w:val="pt-BR"/>
        </w:rPr>
      </w:pPr>
      <w:r w:rsidRPr="00CE03C4">
        <w:rPr>
          <w:rFonts w:ascii="Bookman Old Style" w:hAnsi="Bookman Old Style" w:cs="Arial"/>
          <w:b/>
          <w:bCs/>
          <w:color w:val="000000" w:themeColor="text1"/>
          <w:lang w:val="pt-BR"/>
        </w:rPr>
        <w:t>R E S U E L V E:</w:t>
      </w:r>
    </w:p>
    <w:p w14:paraId="5F348AA6" w14:textId="77777777" w:rsidR="00CE03C4" w:rsidRPr="00CE03C4" w:rsidRDefault="00CE03C4" w:rsidP="00CE03C4">
      <w:pPr>
        <w:ind w:left="0"/>
        <w:jc w:val="both"/>
        <w:rPr>
          <w:rFonts w:ascii="Bookman Old Style" w:hAnsi="Bookman Old Style" w:cs="Arial"/>
          <w:color w:val="000000" w:themeColor="text1"/>
          <w:lang w:val="pt-BR"/>
        </w:rPr>
      </w:pPr>
    </w:p>
    <w:p w14:paraId="7DB7F4DE" w14:textId="77777777" w:rsidR="00CE03C4" w:rsidRPr="00CE03C4" w:rsidRDefault="00CE03C4" w:rsidP="00CE03C4">
      <w:pPr>
        <w:ind w:left="0"/>
        <w:jc w:val="both"/>
        <w:rPr>
          <w:rFonts w:ascii="Bookman Old Style" w:hAnsi="Bookman Old Style" w:cs="Arial"/>
          <w:color w:val="000000" w:themeColor="text1"/>
          <w:lang w:val="pt-BR"/>
        </w:rPr>
      </w:pPr>
    </w:p>
    <w:p w14:paraId="1539DE70" w14:textId="0F939E16" w:rsidR="00CE03C4" w:rsidRDefault="007646BF" w:rsidP="00CE03C4">
      <w:pPr>
        <w:ind w:left="0"/>
        <w:jc w:val="both"/>
        <w:rPr>
          <w:rFonts w:ascii="Bookman Old Style" w:hAnsi="Bookman Old Style" w:cs="Arial"/>
          <w:bCs/>
          <w:color w:val="000000" w:themeColor="text1"/>
        </w:rPr>
      </w:pPr>
      <w:r>
        <w:rPr>
          <w:rFonts w:ascii="Bookman Old Style" w:hAnsi="Bookman Old Style" w:cs="Arial"/>
          <w:b/>
          <w:bCs/>
          <w:color w:val="000000" w:themeColor="text1"/>
        </w:rPr>
        <w:t xml:space="preserve">Artículo 1. Adicionar un parágrafo al artículo </w:t>
      </w:r>
      <w:r w:rsidR="00955C98">
        <w:rPr>
          <w:rFonts w:ascii="Bookman Old Style" w:hAnsi="Bookman Old Style" w:cs="Arial"/>
          <w:b/>
          <w:bCs/>
          <w:color w:val="000000" w:themeColor="text1"/>
        </w:rPr>
        <w:t>6</w:t>
      </w:r>
      <w:r>
        <w:rPr>
          <w:rFonts w:ascii="Bookman Old Style" w:hAnsi="Bookman Old Style" w:cs="Arial"/>
          <w:b/>
          <w:bCs/>
          <w:color w:val="000000" w:themeColor="text1"/>
        </w:rPr>
        <w:t xml:space="preserve"> de la Resolución CREG </w:t>
      </w:r>
      <w:r w:rsidR="00955C98">
        <w:rPr>
          <w:rFonts w:ascii="Bookman Old Style" w:hAnsi="Bookman Old Style" w:cs="Arial"/>
          <w:b/>
          <w:bCs/>
          <w:color w:val="000000" w:themeColor="text1"/>
        </w:rPr>
        <w:t>106</w:t>
      </w:r>
      <w:r>
        <w:rPr>
          <w:rFonts w:ascii="Bookman Old Style" w:hAnsi="Bookman Old Style" w:cs="Arial"/>
          <w:b/>
          <w:bCs/>
          <w:color w:val="000000" w:themeColor="text1"/>
        </w:rPr>
        <w:t xml:space="preserve"> de 201</w:t>
      </w:r>
      <w:r w:rsidR="00955C98">
        <w:rPr>
          <w:rFonts w:ascii="Bookman Old Style" w:hAnsi="Bookman Old Style" w:cs="Arial"/>
          <w:b/>
          <w:bCs/>
          <w:color w:val="000000" w:themeColor="text1"/>
        </w:rPr>
        <w:t>1</w:t>
      </w:r>
      <w:r>
        <w:rPr>
          <w:rFonts w:ascii="Bookman Old Style" w:hAnsi="Bookman Old Style" w:cs="Arial"/>
          <w:b/>
          <w:bCs/>
          <w:color w:val="000000" w:themeColor="text1"/>
        </w:rPr>
        <w:t xml:space="preserve">. </w:t>
      </w:r>
      <w:r>
        <w:rPr>
          <w:rFonts w:ascii="Bookman Old Style" w:hAnsi="Bookman Old Style" w:cs="Arial"/>
          <w:bCs/>
          <w:color w:val="000000" w:themeColor="text1"/>
        </w:rPr>
        <w:t xml:space="preserve">El </w:t>
      </w:r>
      <w:r w:rsidR="00955C98">
        <w:rPr>
          <w:rFonts w:ascii="Bookman Old Style" w:hAnsi="Bookman Old Style" w:cs="Arial"/>
          <w:bCs/>
          <w:color w:val="000000" w:themeColor="text1"/>
        </w:rPr>
        <w:t xml:space="preserve">parágrafo </w:t>
      </w:r>
      <w:r w:rsidR="00990A9F">
        <w:rPr>
          <w:rFonts w:ascii="Bookman Old Style" w:hAnsi="Bookman Old Style" w:cs="Arial"/>
          <w:bCs/>
          <w:color w:val="000000" w:themeColor="text1"/>
        </w:rPr>
        <w:t>que se adic</w:t>
      </w:r>
      <w:r w:rsidR="009B2E8D">
        <w:rPr>
          <w:rFonts w:ascii="Bookman Old Style" w:hAnsi="Bookman Old Style" w:cs="Arial"/>
          <w:bCs/>
          <w:color w:val="000000" w:themeColor="text1"/>
        </w:rPr>
        <w:t>i</w:t>
      </w:r>
      <w:r w:rsidR="00990A9F">
        <w:rPr>
          <w:rFonts w:ascii="Bookman Old Style" w:hAnsi="Bookman Old Style" w:cs="Arial"/>
          <w:bCs/>
          <w:color w:val="000000" w:themeColor="text1"/>
        </w:rPr>
        <w:t>ona al</w:t>
      </w:r>
      <w:r w:rsidR="00955C98">
        <w:rPr>
          <w:rFonts w:ascii="Bookman Old Style" w:hAnsi="Bookman Old Style" w:cs="Arial"/>
          <w:bCs/>
          <w:color w:val="000000" w:themeColor="text1"/>
        </w:rPr>
        <w:t xml:space="preserve"> </w:t>
      </w:r>
      <w:r>
        <w:rPr>
          <w:rFonts w:ascii="Bookman Old Style" w:hAnsi="Bookman Old Style" w:cs="Arial"/>
          <w:bCs/>
          <w:color w:val="000000" w:themeColor="text1"/>
        </w:rPr>
        <w:t xml:space="preserve">artículo </w:t>
      </w:r>
      <w:r w:rsidR="00955C98">
        <w:rPr>
          <w:rFonts w:ascii="Bookman Old Style" w:hAnsi="Bookman Old Style" w:cs="Arial"/>
          <w:bCs/>
          <w:color w:val="000000" w:themeColor="text1"/>
        </w:rPr>
        <w:t>6</w:t>
      </w:r>
      <w:r>
        <w:rPr>
          <w:rFonts w:ascii="Bookman Old Style" w:hAnsi="Bookman Old Style" w:cs="Arial"/>
          <w:bCs/>
          <w:color w:val="000000" w:themeColor="text1"/>
        </w:rPr>
        <w:t xml:space="preserve"> de la Resolución CREG </w:t>
      </w:r>
      <w:r w:rsidR="00955C98">
        <w:rPr>
          <w:rFonts w:ascii="Bookman Old Style" w:hAnsi="Bookman Old Style" w:cs="Arial"/>
          <w:bCs/>
          <w:color w:val="000000" w:themeColor="text1"/>
        </w:rPr>
        <w:t>106</w:t>
      </w:r>
      <w:r>
        <w:rPr>
          <w:rFonts w:ascii="Bookman Old Style" w:hAnsi="Bookman Old Style" w:cs="Arial"/>
          <w:bCs/>
          <w:color w:val="000000" w:themeColor="text1"/>
        </w:rPr>
        <w:t xml:space="preserve"> de 201</w:t>
      </w:r>
      <w:r w:rsidR="00955C98">
        <w:rPr>
          <w:rFonts w:ascii="Bookman Old Style" w:hAnsi="Bookman Old Style" w:cs="Arial"/>
          <w:bCs/>
          <w:color w:val="000000" w:themeColor="text1"/>
        </w:rPr>
        <w:t>1</w:t>
      </w:r>
      <w:r>
        <w:rPr>
          <w:rFonts w:ascii="Bookman Old Style" w:hAnsi="Bookman Old Style" w:cs="Arial"/>
          <w:bCs/>
          <w:color w:val="000000" w:themeColor="text1"/>
        </w:rPr>
        <w:t xml:space="preserve">, quedará así: </w:t>
      </w:r>
    </w:p>
    <w:p w14:paraId="0753C662" w14:textId="77777777" w:rsidR="000F3577" w:rsidRDefault="000F3577" w:rsidP="00CE03C4">
      <w:pPr>
        <w:ind w:left="0"/>
        <w:jc w:val="both"/>
        <w:rPr>
          <w:rFonts w:ascii="Bookman Old Style" w:hAnsi="Bookman Old Style" w:cs="Arial"/>
          <w:bCs/>
          <w:color w:val="000000" w:themeColor="text1"/>
        </w:rPr>
      </w:pPr>
    </w:p>
    <w:p w14:paraId="33C1747B" w14:textId="43E25B66" w:rsidR="00955C98" w:rsidRDefault="00990A9F" w:rsidP="00BB365F">
      <w:pPr>
        <w:jc w:val="both"/>
        <w:rPr>
          <w:rFonts w:ascii="Bookman Old Style" w:hAnsi="Bookman Old Style" w:cs="Arial"/>
          <w:bCs/>
          <w:color w:val="000000" w:themeColor="text1"/>
        </w:rPr>
      </w:pPr>
      <w:r>
        <w:rPr>
          <w:rFonts w:ascii="Bookman Old Style" w:hAnsi="Bookman Old Style" w:cs="Arial"/>
          <w:bCs/>
          <w:color w:val="000000" w:themeColor="text1"/>
        </w:rPr>
        <w:t>(…)</w:t>
      </w:r>
    </w:p>
    <w:p w14:paraId="5AC5A646" w14:textId="77777777" w:rsidR="006E633F" w:rsidRDefault="00990A9F" w:rsidP="00BB365F">
      <w:pPr>
        <w:jc w:val="both"/>
        <w:rPr>
          <w:rFonts w:ascii="Bookman Old Style" w:hAnsi="Bookman Old Style" w:cs="Arial"/>
          <w:bCs/>
          <w:color w:val="000000" w:themeColor="text1"/>
        </w:rPr>
      </w:pPr>
      <w:r>
        <w:rPr>
          <w:rFonts w:ascii="Bookman Old Style" w:hAnsi="Bookman Old Style" w:cs="Arial"/>
          <w:bCs/>
          <w:color w:val="000000" w:themeColor="text1"/>
        </w:rPr>
        <w:t>“</w:t>
      </w:r>
      <w:r w:rsidR="00955C98" w:rsidRPr="00955C98">
        <w:rPr>
          <w:rFonts w:ascii="Bookman Old Style" w:hAnsi="Bookman Old Style" w:cs="Arial"/>
          <w:b/>
          <w:bCs/>
          <w:i/>
          <w:color w:val="000000" w:themeColor="text1"/>
        </w:rPr>
        <w:t>PARÁGRAFO.-</w:t>
      </w:r>
      <w:r w:rsidR="00955C98" w:rsidRPr="00955C98">
        <w:rPr>
          <w:rFonts w:ascii="Bookman Old Style" w:hAnsi="Bookman Old Style" w:cs="Arial"/>
          <w:bCs/>
          <w:color w:val="000000" w:themeColor="text1"/>
        </w:rPr>
        <w:t xml:space="preserve"> </w:t>
      </w:r>
      <w:r w:rsidR="000A5563">
        <w:rPr>
          <w:rFonts w:ascii="Bookman Old Style" w:hAnsi="Bookman Old Style" w:cs="Arial"/>
          <w:bCs/>
          <w:color w:val="000000" w:themeColor="text1"/>
        </w:rPr>
        <w:t xml:space="preserve">Si en la fecha de presentación </w:t>
      </w:r>
      <w:r w:rsidR="000A5563" w:rsidRPr="00955C98">
        <w:rPr>
          <w:rFonts w:ascii="Bookman Old Style" w:hAnsi="Bookman Old Style" w:cs="Arial"/>
          <w:bCs/>
          <w:color w:val="000000" w:themeColor="text1"/>
        </w:rPr>
        <w:t xml:space="preserve">de los contratos de construcción y operación de la infraestructura, la curva S </w:t>
      </w:r>
      <w:r w:rsidR="00313127">
        <w:rPr>
          <w:rFonts w:ascii="Bookman Old Style" w:hAnsi="Bookman Old Style" w:cs="Arial"/>
          <w:bCs/>
          <w:color w:val="000000" w:themeColor="text1"/>
        </w:rPr>
        <w:t xml:space="preserve">y el cronograma de construcción, </w:t>
      </w:r>
      <w:r w:rsidR="009B2E8D">
        <w:rPr>
          <w:rFonts w:ascii="Bookman Old Style" w:hAnsi="Bookman Old Style" w:cs="Arial"/>
          <w:bCs/>
          <w:color w:val="000000" w:themeColor="text1"/>
        </w:rPr>
        <w:t>hay</w:t>
      </w:r>
      <w:r w:rsidR="00955C98" w:rsidRPr="00955C98">
        <w:rPr>
          <w:rFonts w:ascii="Bookman Old Style" w:hAnsi="Bookman Old Style" w:cs="Arial"/>
          <w:bCs/>
          <w:color w:val="000000" w:themeColor="text1"/>
        </w:rPr>
        <w:t xml:space="preserve"> un retraso en </w:t>
      </w:r>
      <w:r w:rsidR="000A5563">
        <w:rPr>
          <w:rFonts w:ascii="Bookman Old Style" w:hAnsi="Bookman Old Style" w:cs="Arial"/>
          <w:bCs/>
          <w:color w:val="000000" w:themeColor="text1"/>
        </w:rPr>
        <w:t>la entrada en operación</w:t>
      </w:r>
      <w:r w:rsidR="00955C98" w:rsidRPr="00955C98">
        <w:rPr>
          <w:rFonts w:ascii="Bookman Old Style" w:hAnsi="Bookman Old Style" w:cs="Arial"/>
          <w:bCs/>
          <w:color w:val="000000" w:themeColor="text1"/>
        </w:rPr>
        <w:t xml:space="preserve"> de la </w:t>
      </w:r>
      <w:r w:rsidR="00635460">
        <w:rPr>
          <w:rFonts w:ascii="Bookman Old Style" w:hAnsi="Bookman Old Style" w:cs="Arial"/>
          <w:bCs/>
          <w:color w:val="000000" w:themeColor="text1"/>
        </w:rPr>
        <w:t>n</w:t>
      </w:r>
      <w:r w:rsidR="00955C98" w:rsidRPr="00955C98">
        <w:rPr>
          <w:rFonts w:ascii="Bookman Old Style" w:hAnsi="Bookman Old Style" w:cs="Arial"/>
          <w:bCs/>
          <w:color w:val="000000" w:themeColor="text1"/>
        </w:rPr>
        <w:t xml:space="preserve">ueva infraestructura de importación frente al Inicio del Período de Vigencia de la Obligación, IPVO, dentro del tiempo que no constituya incumplimiento grave e insalvable, se da </w:t>
      </w:r>
      <w:r w:rsidR="009E5AAC">
        <w:rPr>
          <w:rFonts w:ascii="Bookman Old Style" w:hAnsi="Bookman Old Style" w:cs="Arial"/>
          <w:bCs/>
          <w:color w:val="000000" w:themeColor="text1"/>
        </w:rPr>
        <w:t xml:space="preserve">la opción para que a más tardar el 1 de diciembre de 2014, presenten </w:t>
      </w:r>
      <w:r w:rsidR="009B2E8D">
        <w:rPr>
          <w:rFonts w:ascii="Bookman Old Style" w:hAnsi="Bookman Old Style" w:cs="Arial"/>
          <w:bCs/>
          <w:color w:val="000000" w:themeColor="text1"/>
        </w:rPr>
        <w:t>la constitución, verificada por el auditor, de</w:t>
      </w:r>
      <w:r w:rsidR="00955C98" w:rsidRPr="00955C98">
        <w:rPr>
          <w:rFonts w:ascii="Bookman Old Style" w:hAnsi="Bookman Old Style" w:cs="Arial"/>
          <w:bCs/>
          <w:color w:val="000000" w:themeColor="text1"/>
        </w:rPr>
        <w:t xml:space="preserve"> las obligaciones i) y ii) contempladas en el inciso primero d</w:t>
      </w:r>
      <w:r w:rsidR="009B2E8D">
        <w:rPr>
          <w:rFonts w:ascii="Bookman Old Style" w:hAnsi="Bookman Old Style" w:cs="Arial"/>
          <w:bCs/>
          <w:color w:val="000000" w:themeColor="text1"/>
        </w:rPr>
        <w:t>el presente artículo</w:t>
      </w:r>
      <w:r>
        <w:rPr>
          <w:rFonts w:ascii="Bookman Old Style" w:hAnsi="Bookman Old Style" w:cs="Arial"/>
          <w:bCs/>
          <w:color w:val="000000" w:themeColor="text1"/>
        </w:rPr>
        <w:t>.</w:t>
      </w:r>
      <w:r w:rsidR="006E633F">
        <w:rPr>
          <w:rFonts w:ascii="Bookman Old Style" w:hAnsi="Bookman Old Style" w:cs="Arial"/>
          <w:bCs/>
          <w:color w:val="000000" w:themeColor="text1"/>
        </w:rPr>
        <w:t xml:space="preserve"> </w:t>
      </w:r>
    </w:p>
    <w:p w14:paraId="78860834" w14:textId="77777777" w:rsidR="006E633F" w:rsidRDefault="006E633F" w:rsidP="00BB365F">
      <w:pPr>
        <w:jc w:val="both"/>
        <w:rPr>
          <w:rFonts w:ascii="Bookman Old Style" w:hAnsi="Bookman Old Style" w:cs="Arial"/>
          <w:bCs/>
          <w:color w:val="000000" w:themeColor="text1"/>
        </w:rPr>
      </w:pPr>
    </w:p>
    <w:p w14:paraId="194B3D5F" w14:textId="5D3BFAB0" w:rsidR="00955C98" w:rsidRDefault="006E633F" w:rsidP="00BB365F">
      <w:pPr>
        <w:jc w:val="both"/>
        <w:rPr>
          <w:rFonts w:ascii="Bookman Old Style" w:hAnsi="Bookman Old Style" w:cs="Arial"/>
          <w:bCs/>
          <w:color w:val="000000" w:themeColor="text1"/>
        </w:rPr>
      </w:pPr>
      <w:r>
        <w:rPr>
          <w:rFonts w:ascii="Bookman Old Style" w:hAnsi="Bookman Old Style" w:cs="Arial"/>
          <w:bCs/>
          <w:color w:val="000000" w:themeColor="text1"/>
        </w:rPr>
        <w:t xml:space="preserve">En relación con la constitución de la garantía de construcción de la Nueva Infraestructura de Gas Importado, la misma puede ser constituida ya sea </w:t>
      </w:r>
      <w:r>
        <w:rPr>
          <w:rFonts w:ascii="Bookman Old Style" w:hAnsi="Bookman Old Style" w:cs="Arial"/>
          <w:bCs/>
          <w:color w:val="000000" w:themeColor="text1"/>
        </w:rPr>
        <w:lastRenderedPageBreak/>
        <w:t>por el representante legal de la empresa o por un tercero interesado en el proyecto</w:t>
      </w:r>
      <w:r w:rsidR="00955C98" w:rsidRPr="00955C98">
        <w:rPr>
          <w:rFonts w:ascii="Bookman Old Style" w:hAnsi="Bookman Old Style" w:cs="Arial"/>
          <w:bCs/>
          <w:color w:val="000000" w:themeColor="text1"/>
        </w:rPr>
        <w:t>”</w:t>
      </w:r>
      <w:r w:rsidR="00867071">
        <w:rPr>
          <w:rFonts w:ascii="Bookman Old Style" w:hAnsi="Bookman Old Style" w:cs="Arial"/>
          <w:bCs/>
          <w:color w:val="000000" w:themeColor="text1"/>
        </w:rPr>
        <w:t>.</w:t>
      </w:r>
    </w:p>
    <w:p w14:paraId="33EE476A" w14:textId="77777777" w:rsidR="000F3577" w:rsidRPr="006E633F" w:rsidRDefault="000F3577" w:rsidP="00BB365F">
      <w:pPr>
        <w:jc w:val="both"/>
        <w:rPr>
          <w:rFonts w:ascii="Bookman Old Style" w:hAnsi="Bookman Old Style" w:cs="Arial"/>
          <w:bCs/>
          <w:color w:val="000000" w:themeColor="text1"/>
        </w:rPr>
      </w:pPr>
    </w:p>
    <w:p w14:paraId="54EB6C2C" w14:textId="5DD92275" w:rsidR="007646BF" w:rsidRPr="007646BF" w:rsidRDefault="00990A9F" w:rsidP="00BB365F">
      <w:pPr>
        <w:jc w:val="both"/>
        <w:rPr>
          <w:rFonts w:ascii="Bookman Old Style" w:hAnsi="Bookman Old Style" w:cs="Arial"/>
          <w:bCs/>
          <w:color w:val="000000" w:themeColor="text1"/>
        </w:rPr>
      </w:pPr>
      <w:r>
        <w:rPr>
          <w:rFonts w:ascii="Bookman Old Style" w:hAnsi="Bookman Old Style" w:cs="Arial"/>
          <w:bCs/>
          <w:color w:val="000000" w:themeColor="text1"/>
        </w:rPr>
        <w:t>(…)</w:t>
      </w:r>
    </w:p>
    <w:p w14:paraId="11B66B2A" w14:textId="77777777" w:rsidR="00BB365F" w:rsidRDefault="00BB365F" w:rsidP="00CE03C4">
      <w:pPr>
        <w:ind w:left="0"/>
        <w:jc w:val="both"/>
        <w:rPr>
          <w:rFonts w:ascii="Bookman Old Style" w:hAnsi="Bookman Old Style" w:cs="Arial"/>
          <w:b/>
          <w:color w:val="000000" w:themeColor="text1"/>
        </w:rPr>
      </w:pPr>
    </w:p>
    <w:p w14:paraId="758D57C5" w14:textId="34F4C605" w:rsidR="00CE03C4" w:rsidRPr="00CE03C4" w:rsidRDefault="00CE03C4" w:rsidP="00CE03C4">
      <w:pPr>
        <w:ind w:left="0"/>
        <w:jc w:val="both"/>
        <w:rPr>
          <w:rFonts w:ascii="Bookman Old Style" w:hAnsi="Bookman Old Style" w:cs="Arial"/>
          <w:color w:val="000000" w:themeColor="text1"/>
        </w:rPr>
      </w:pPr>
      <w:r w:rsidRPr="00CE03C4">
        <w:rPr>
          <w:rFonts w:ascii="Bookman Old Style" w:hAnsi="Bookman Old Style" w:cs="Arial"/>
          <w:b/>
          <w:color w:val="000000" w:themeColor="text1"/>
        </w:rPr>
        <w:t>Artículo 2. Vigencia</w:t>
      </w:r>
      <w:r w:rsidRPr="00CE03C4">
        <w:rPr>
          <w:rFonts w:ascii="Bookman Old Style" w:hAnsi="Bookman Old Style" w:cs="Arial"/>
          <w:color w:val="000000" w:themeColor="text1"/>
        </w:rPr>
        <w:t xml:space="preserve">. La presente Resolución rige a partir de su publicación en el </w:t>
      </w:r>
      <w:r w:rsidRPr="00CE03C4">
        <w:rPr>
          <w:rFonts w:ascii="Bookman Old Style" w:hAnsi="Bookman Old Style" w:cs="Arial"/>
          <w:i/>
          <w:color w:val="000000" w:themeColor="text1"/>
        </w:rPr>
        <w:t>Diario Oficial</w:t>
      </w:r>
      <w:r w:rsidRPr="00CE03C4">
        <w:rPr>
          <w:rFonts w:ascii="Bookman Old Style" w:hAnsi="Bookman Old Style" w:cs="Arial"/>
          <w:color w:val="000000" w:themeColor="text1"/>
        </w:rPr>
        <w:t>.</w:t>
      </w:r>
    </w:p>
    <w:p w14:paraId="63404F05" w14:textId="77777777" w:rsidR="0000654F" w:rsidRDefault="0000654F" w:rsidP="002764E2">
      <w:pPr>
        <w:ind w:left="0"/>
        <w:jc w:val="both"/>
        <w:rPr>
          <w:rFonts w:ascii="Bookman Old Style" w:hAnsi="Bookman Old Style"/>
          <w:color w:val="000000" w:themeColor="text1"/>
        </w:rPr>
      </w:pPr>
    </w:p>
    <w:p w14:paraId="0AB37CED" w14:textId="77777777" w:rsidR="00BB365F" w:rsidRDefault="00BB365F" w:rsidP="002764E2">
      <w:pPr>
        <w:ind w:left="0"/>
        <w:jc w:val="both"/>
        <w:rPr>
          <w:rFonts w:ascii="Bookman Old Style" w:hAnsi="Bookman Old Style"/>
          <w:color w:val="000000" w:themeColor="text1"/>
        </w:rPr>
      </w:pPr>
    </w:p>
    <w:p w14:paraId="070B9ADA" w14:textId="77777777" w:rsidR="0000654F" w:rsidRPr="00F71DB1" w:rsidRDefault="0000654F" w:rsidP="0000654F">
      <w:pPr>
        <w:ind w:left="0"/>
        <w:jc w:val="center"/>
        <w:rPr>
          <w:rFonts w:ascii="Bookman Old Style" w:hAnsi="Bookman Old Style"/>
          <w:b/>
        </w:rPr>
      </w:pPr>
      <w:r w:rsidRPr="00F71DB1">
        <w:rPr>
          <w:rFonts w:ascii="Bookman Old Style" w:hAnsi="Bookman Old Style"/>
          <w:b/>
        </w:rPr>
        <w:t>PUBLÍQUESE Y CÚMPLASE</w:t>
      </w:r>
    </w:p>
    <w:p w14:paraId="4872279F" w14:textId="77777777" w:rsidR="0000654F" w:rsidRPr="004A1599" w:rsidRDefault="0000654F" w:rsidP="002764E2">
      <w:pPr>
        <w:ind w:left="0"/>
        <w:jc w:val="both"/>
        <w:rPr>
          <w:rFonts w:ascii="Bookman Old Style" w:hAnsi="Bookman Old Style"/>
          <w:color w:val="000000" w:themeColor="text1"/>
        </w:rPr>
      </w:pPr>
    </w:p>
    <w:p w14:paraId="7E90E27B" w14:textId="0ACD8D54" w:rsidR="000D6E82" w:rsidRDefault="00BB365F" w:rsidP="00BB365F">
      <w:pPr>
        <w:ind w:left="0"/>
        <w:rPr>
          <w:rFonts w:ascii="Bookman Old Style" w:hAnsi="Bookman Old Style"/>
          <w:color w:val="000000" w:themeColor="text1"/>
        </w:rPr>
      </w:pPr>
      <w:r>
        <w:rPr>
          <w:rFonts w:ascii="Bookman Old Style" w:hAnsi="Bookman Old Style"/>
          <w:color w:val="000000" w:themeColor="text1"/>
        </w:rPr>
        <w:t>Dada en Bogotá D.C,</w:t>
      </w:r>
    </w:p>
    <w:p w14:paraId="0ADA717B" w14:textId="454E56D3" w:rsidR="002764E2" w:rsidRDefault="002764E2" w:rsidP="002764E2">
      <w:pPr>
        <w:ind w:left="0"/>
        <w:jc w:val="both"/>
        <w:rPr>
          <w:rFonts w:ascii="Bookman Old Style" w:hAnsi="Bookman Old Style"/>
          <w:color w:val="000000" w:themeColor="text1"/>
        </w:rPr>
      </w:pPr>
    </w:p>
    <w:p w14:paraId="174D8FB5" w14:textId="77777777" w:rsidR="000D6E82" w:rsidRDefault="000D6E82" w:rsidP="005B1078">
      <w:pPr>
        <w:ind w:left="0"/>
        <w:jc w:val="center"/>
        <w:rPr>
          <w:rFonts w:ascii="Bookman Old Style" w:hAnsi="Bookman Old Style"/>
          <w:color w:val="000000" w:themeColor="text1"/>
        </w:rPr>
      </w:pPr>
    </w:p>
    <w:p w14:paraId="158ED285" w14:textId="77777777" w:rsidR="000D6E82" w:rsidRDefault="000D6E82" w:rsidP="005B1078">
      <w:pPr>
        <w:ind w:left="0"/>
        <w:jc w:val="center"/>
        <w:rPr>
          <w:rFonts w:ascii="Bookman Old Style" w:hAnsi="Bookman Old Style"/>
          <w:color w:val="000000" w:themeColor="text1"/>
        </w:rPr>
      </w:pPr>
    </w:p>
    <w:p w14:paraId="22CC466C" w14:textId="77777777" w:rsidR="00BB365F" w:rsidRPr="00F71DB1" w:rsidRDefault="00BB365F" w:rsidP="005B1078">
      <w:pPr>
        <w:ind w:left="0"/>
        <w:jc w:val="center"/>
        <w:rPr>
          <w:rFonts w:ascii="Bookman Old Style" w:hAnsi="Bookman Old Style"/>
          <w:color w:val="000000" w:themeColor="text1"/>
        </w:rPr>
      </w:pPr>
    </w:p>
    <w:p w14:paraId="285583BF" w14:textId="77777777" w:rsidR="00EE3106" w:rsidRPr="00F71DB1" w:rsidRDefault="00EE3106" w:rsidP="005B1078">
      <w:pPr>
        <w:pStyle w:val="Textoindependiente"/>
        <w:ind w:left="0"/>
        <w:rPr>
          <w:rFonts w:ascii="Bookman Old Style" w:hAnsi="Bookman Old Style"/>
          <w:color w:val="000000" w:themeColor="text1"/>
          <w:lang w:val="es-ES"/>
        </w:rPr>
      </w:pPr>
    </w:p>
    <w:tbl>
      <w:tblPr>
        <w:tblW w:w="9761" w:type="dxa"/>
        <w:jc w:val="right"/>
        <w:tblLayout w:type="fixed"/>
        <w:tblCellMar>
          <w:left w:w="70" w:type="dxa"/>
          <w:right w:w="70" w:type="dxa"/>
        </w:tblCellMar>
        <w:tblLook w:val="0000" w:firstRow="0" w:lastRow="0" w:firstColumn="0" w:lastColumn="0" w:noHBand="0" w:noVBand="0"/>
      </w:tblPr>
      <w:tblGrid>
        <w:gridCol w:w="5575"/>
        <w:gridCol w:w="4186"/>
      </w:tblGrid>
      <w:tr w:rsidR="004A0407" w:rsidRPr="004A1599" w14:paraId="070442C5" w14:textId="77777777" w:rsidTr="009D523E">
        <w:trPr>
          <w:jc w:val="right"/>
        </w:trPr>
        <w:tc>
          <w:tcPr>
            <w:tcW w:w="5575" w:type="dxa"/>
          </w:tcPr>
          <w:p w14:paraId="16380534" w14:textId="70662D99" w:rsidR="004A0407" w:rsidRPr="004A1599" w:rsidRDefault="009D523E" w:rsidP="00BB365F">
            <w:pPr>
              <w:ind w:left="0"/>
              <w:jc w:val="center"/>
              <w:rPr>
                <w:rFonts w:ascii="Bookman Old Style" w:hAnsi="Bookman Old Style" w:cs="Arial"/>
                <w:b/>
                <w:spacing w:val="-3"/>
                <w:lang w:val="es-ES_tradnl"/>
              </w:rPr>
            </w:pPr>
            <w:r>
              <w:rPr>
                <w:rFonts w:ascii="Bookman Old Style" w:hAnsi="Bookman Old Style" w:cs="Arial"/>
                <w:b/>
                <w:spacing w:val="-3"/>
                <w:lang w:val="es-ES_tradnl"/>
              </w:rPr>
              <w:t>CARLOS FERNANDO ERASO CALERO</w:t>
            </w:r>
          </w:p>
        </w:tc>
        <w:tc>
          <w:tcPr>
            <w:tcW w:w="4186" w:type="dxa"/>
          </w:tcPr>
          <w:p w14:paraId="7E2C5D4D" w14:textId="08238491" w:rsidR="004A0407" w:rsidRPr="004A1599" w:rsidRDefault="009D523E" w:rsidP="005A4C09">
            <w:pPr>
              <w:ind w:left="0"/>
              <w:jc w:val="center"/>
              <w:rPr>
                <w:rFonts w:ascii="Bookman Old Style" w:hAnsi="Bookman Old Style" w:cs="Arial"/>
                <w:b/>
                <w:spacing w:val="-3"/>
                <w:lang w:val="es-ES_tradnl"/>
              </w:rPr>
            </w:pPr>
            <w:r>
              <w:rPr>
                <w:rFonts w:ascii="Bookman Old Style" w:hAnsi="Bookman Old Style" w:cs="Arial"/>
                <w:b/>
                <w:spacing w:val="-3"/>
                <w:lang w:val="es-ES_tradnl"/>
              </w:rPr>
              <w:t>JORGE PINTO NOLLA</w:t>
            </w:r>
          </w:p>
        </w:tc>
      </w:tr>
      <w:tr w:rsidR="004A0407" w:rsidRPr="004A1599" w14:paraId="20DB13A1" w14:textId="77777777" w:rsidTr="009D523E">
        <w:trPr>
          <w:jc w:val="right"/>
        </w:trPr>
        <w:tc>
          <w:tcPr>
            <w:tcW w:w="5575" w:type="dxa"/>
          </w:tcPr>
          <w:p w14:paraId="500EE5AF" w14:textId="77777777" w:rsidR="004A0407" w:rsidRDefault="00837726" w:rsidP="00837726">
            <w:pPr>
              <w:ind w:left="0"/>
              <w:jc w:val="center"/>
              <w:rPr>
                <w:rFonts w:ascii="Bookman Old Style" w:hAnsi="Bookman Old Style" w:cs="Arial"/>
                <w:spacing w:val="-3"/>
                <w:lang w:val="es-ES_tradnl"/>
              </w:rPr>
            </w:pPr>
            <w:r>
              <w:rPr>
                <w:rFonts w:ascii="Bookman Old Style" w:hAnsi="Bookman Old Style" w:cs="Arial"/>
                <w:spacing w:val="-3"/>
                <w:lang w:val="es-ES_tradnl"/>
              </w:rPr>
              <w:t>Vicem</w:t>
            </w:r>
            <w:r w:rsidR="004A0407" w:rsidRPr="004A1599">
              <w:rPr>
                <w:rFonts w:ascii="Bookman Old Style" w:hAnsi="Bookman Old Style" w:cs="Arial"/>
                <w:spacing w:val="-3"/>
                <w:lang w:val="es-ES_tradnl"/>
              </w:rPr>
              <w:t>inistro de Energía</w:t>
            </w:r>
          </w:p>
          <w:p w14:paraId="22F87E27" w14:textId="402D1412" w:rsidR="00837726" w:rsidRPr="004A1599" w:rsidRDefault="00837726" w:rsidP="00837726">
            <w:pPr>
              <w:ind w:left="0"/>
              <w:jc w:val="center"/>
              <w:rPr>
                <w:rFonts w:ascii="Bookman Old Style" w:hAnsi="Bookman Old Style" w:cs="Arial"/>
                <w:spacing w:val="-3"/>
                <w:lang w:val="es-ES_tradnl"/>
              </w:rPr>
            </w:pPr>
            <w:r>
              <w:rPr>
                <w:rFonts w:ascii="Bookman Old Style" w:hAnsi="Bookman Old Style" w:cs="Arial"/>
                <w:spacing w:val="-3"/>
                <w:lang w:val="es-ES_tradnl"/>
              </w:rPr>
              <w:t>Delegado del Ministro de Minas y Energía</w:t>
            </w:r>
          </w:p>
        </w:tc>
        <w:tc>
          <w:tcPr>
            <w:tcW w:w="4186" w:type="dxa"/>
          </w:tcPr>
          <w:p w14:paraId="320C6713" w14:textId="77777777" w:rsidR="004A0407" w:rsidRPr="00F71DB1" w:rsidRDefault="004A0407" w:rsidP="0056321B">
            <w:pPr>
              <w:ind w:left="0"/>
              <w:jc w:val="center"/>
              <w:rPr>
                <w:rFonts w:ascii="Bookman Old Style" w:hAnsi="Bookman Old Style" w:cs="Arial"/>
                <w:spacing w:val="-3"/>
                <w:lang w:val="es-ES_tradnl"/>
              </w:rPr>
            </w:pPr>
            <w:r w:rsidRPr="004A1599">
              <w:rPr>
                <w:rFonts w:ascii="Bookman Old Style" w:hAnsi="Bookman Old Style" w:cs="Arial"/>
                <w:spacing w:val="-3"/>
                <w:lang w:val="es-ES_tradnl"/>
              </w:rPr>
              <w:t>Director Ejecutivo</w:t>
            </w:r>
          </w:p>
        </w:tc>
      </w:tr>
      <w:tr w:rsidR="004A0407" w:rsidRPr="004A1599" w14:paraId="041D7601" w14:textId="77777777" w:rsidTr="009D523E">
        <w:trPr>
          <w:jc w:val="right"/>
        </w:trPr>
        <w:tc>
          <w:tcPr>
            <w:tcW w:w="5575" w:type="dxa"/>
          </w:tcPr>
          <w:p w14:paraId="267455D1" w14:textId="7944BD88" w:rsidR="004A0407" w:rsidRPr="004A1599" w:rsidRDefault="004A0407" w:rsidP="004A0407">
            <w:pPr>
              <w:ind w:left="0"/>
              <w:jc w:val="center"/>
              <w:rPr>
                <w:rFonts w:ascii="Bookman Old Style" w:hAnsi="Bookman Old Style" w:cs="Arial"/>
                <w:spacing w:val="-3"/>
              </w:rPr>
            </w:pPr>
            <w:r w:rsidRPr="004A1599">
              <w:rPr>
                <w:rFonts w:ascii="Bookman Old Style" w:hAnsi="Bookman Old Style" w:cs="Arial"/>
                <w:spacing w:val="-3"/>
              </w:rPr>
              <w:t>Presidente</w:t>
            </w:r>
          </w:p>
        </w:tc>
        <w:tc>
          <w:tcPr>
            <w:tcW w:w="4186" w:type="dxa"/>
          </w:tcPr>
          <w:p w14:paraId="580CF4F0" w14:textId="77777777" w:rsidR="004A0407" w:rsidRPr="004A1599" w:rsidRDefault="004A0407" w:rsidP="0056321B">
            <w:pPr>
              <w:ind w:left="0"/>
              <w:jc w:val="center"/>
              <w:rPr>
                <w:rFonts w:ascii="Bookman Old Style" w:hAnsi="Bookman Old Style" w:cs="Arial"/>
                <w:spacing w:val="-3"/>
              </w:rPr>
            </w:pPr>
          </w:p>
        </w:tc>
      </w:tr>
    </w:tbl>
    <w:p w14:paraId="49C84AD3" w14:textId="0B13D7B6" w:rsidR="00EE3106" w:rsidRPr="004A1599" w:rsidRDefault="00EE3106" w:rsidP="004A0407">
      <w:pPr>
        <w:tabs>
          <w:tab w:val="left" w:pos="1478"/>
        </w:tabs>
        <w:ind w:left="0"/>
        <w:rPr>
          <w:rFonts w:ascii="Bookman Old Style" w:hAnsi="Bookman Old Style" w:cs="Arial"/>
          <w:color w:val="000000" w:themeColor="text1"/>
        </w:rPr>
      </w:pPr>
    </w:p>
    <w:sectPr w:rsidR="00EE3106" w:rsidRPr="004A1599" w:rsidSect="00867071">
      <w:headerReference w:type="default" r:id="rId10"/>
      <w:headerReference w:type="first" r:id="rId11"/>
      <w:type w:val="continuous"/>
      <w:pgSz w:w="12247" w:h="18705" w:code="121"/>
      <w:pgMar w:top="187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191991" w14:textId="77777777" w:rsidR="003F1FC5" w:rsidRDefault="003F1FC5">
      <w:r>
        <w:separator/>
      </w:r>
    </w:p>
  </w:endnote>
  <w:endnote w:type="continuationSeparator" w:id="0">
    <w:p w14:paraId="3F0539C4" w14:textId="77777777" w:rsidR="003F1FC5" w:rsidRDefault="003F1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E3925D" w14:textId="77777777" w:rsidR="003F1FC5" w:rsidRDefault="003F1FC5">
      <w:r>
        <w:separator/>
      </w:r>
    </w:p>
  </w:footnote>
  <w:footnote w:type="continuationSeparator" w:id="0">
    <w:p w14:paraId="092ECEE2" w14:textId="77777777" w:rsidR="003F1FC5" w:rsidRDefault="003F1F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68DF0" w14:textId="77777777" w:rsidR="000A5563" w:rsidRDefault="000A5563" w:rsidP="00951F79">
    <w:pPr>
      <w:pStyle w:val="Ttulo1"/>
      <w:ind w:right="6"/>
      <w:jc w:val="left"/>
      <w:rPr>
        <w:rFonts w:ascii="Bookman Old Style" w:hAnsi="Bookman Old Style" w:cs="Arial"/>
        <w:b w:val="0"/>
        <w:sz w:val="22"/>
        <w:szCs w:val="22"/>
      </w:rPr>
    </w:pPr>
  </w:p>
  <w:p w14:paraId="731015DD" w14:textId="77777777" w:rsidR="000A5563" w:rsidRPr="00951F79" w:rsidRDefault="000A5563"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E26BBD">
      <w:rPr>
        <w:rFonts w:ascii="Bookman Old Style" w:hAnsi="Bookman Old Style" w:cs="Arial"/>
        <w:b w:val="0"/>
        <w:noProof/>
        <w:sz w:val="22"/>
        <w:szCs w:val="22"/>
      </w:rPr>
      <w:t>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E26BBD" w:rsidRPr="00E26BBD">
        <w:rPr>
          <w:rFonts w:ascii="Bookman Old Style" w:hAnsi="Bookman Old Style" w:cs="Arial"/>
          <w:b w:val="0"/>
          <w:noProof/>
          <w:sz w:val="22"/>
          <w:szCs w:val="22"/>
        </w:rPr>
        <w:t>5</w:t>
      </w:r>
    </w:fldSimple>
  </w:p>
  <w:p w14:paraId="4B23ABC8" w14:textId="77777777" w:rsidR="000A5563" w:rsidRDefault="000A5563"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562FF19" wp14:editId="71E14B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2065C9D0" w14:textId="77777777" w:rsidR="00867071" w:rsidRPr="00867071" w:rsidRDefault="00867071" w:rsidP="00867071">
    <w:pPr>
      <w:ind w:left="0"/>
      <w:jc w:val="both"/>
      <w:rPr>
        <w:rFonts w:ascii="Bookman Old Style" w:hAnsi="Bookman Old Style" w:cs="Arial"/>
        <w:b/>
        <w:bCs/>
        <w:color w:val="000000" w:themeColor="text1"/>
        <w:sz w:val="22"/>
        <w:szCs w:val="22"/>
        <w:lang w:eastAsia="es-CO"/>
      </w:rPr>
    </w:pPr>
    <w:r w:rsidRPr="00867071">
      <w:rPr>
        <w:rFonts w:ascii="Bookman Old Style" w:hAnsi="Bookman Old Style" w:cs="Arial"/>
        <w:color w:val="000000" w:themeColor="text1"/>
        <w:sz w:val="22"/>
        <w:szCs w:val="22"/>
        <w:lang w:eastAsia="es-CO"/>
      </w:rPr>
      <w:t>Por la cual se adiciona un parágrafo al Artículo 6 de la Resolución CREG 106 de 2011</w:t>
    </w:r>
  </w:p>
  <w:p w14:paraId="189093EC" w14:textId="3B4D5294" w:rsidR="000A5563" w:rsidRPr="00955C98" w:rsidRDefault="000A5563" w:rsidP="00867071">
    <w:pPr>
      <w:pBdr>
        <w:bottom w:val="single" w:sz="4" w:space="10" w:color="auto"/>
      </w:pBdr>
      <w:ind w:left="142" w:right="147"/>
      <w:jc w:val="both"/>
      <w:rPr>
        <w:rFonts w:ascii="Bookman Old Style" w:hAnsi="Bookman Old Style" w:cs="Arial"/>
        <w:i/>
        <w:color w:val="000000" w:themeColor="text1"/>
        <w:sz w:val="22"/>
        <w:szCs w:val="22"/>
      </w:rPr>
    </w:pPr>
  </w:p>
  <w:p w14:paraId="7C77B085" w14:textId="77777777" w:rsidR="00C56C84" w:rsidRDefault="00C56C8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A3BB8" w14:textId="77777777" w:rsidR="000A5563" w:rsidRDefault="000A5563"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7171ACB3" w14:textId="77777777" w:rsidR="000A5563" w:rsidRDefault="000A5563">
    <w:pPr>
      <w:pStyle w:val="Encabezado"/>
      <w:jc w:val="center"/>
      <w:rPr>
        <w:rFonts w:ascii="Arial" w:hAnsi="Arial" w:cs="Arial"/>
        <w:spacing w:val="20"/>
        <w:sz w:val="20"/>
      </w:rPr>
    </w:pPr>
  </w:p>
  <w:p w14:paraId="30FB4B56" w14:textId="77777777" w:rsidR="000A5563" w:rsidRDefault="000A5563"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6B28E2DC" wp14:editId="1A93EFF6">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16DA4"/>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1">
    <w:nsid w:val="012176FB"/>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2">
    <w:nsid w:val="01887C6D"/>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
    <w:nsid w:val="02C14C75"/>
    <w:multiLevelType w:val="hybridMultilevel"/>
    <w:tmpl w:val="DA0A3754"/>
    <w:lvl w:ilvl="0" w:tplc="11E28478">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4">
    <w:nsid w:val="02F93DA8"/>
    <w:multiLevelType w:val="hybridMultilevel"/>
    <w:tmpl w:val="F11C5CC0"/>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5">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03D1126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7">
    <w:nsid w:val="03D411A8"/>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8">
    <w:nsid w:val="049B70F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
    <w:nsid w:val="05414442"/>
    <w:multiLevelType w:val="hybridMultilevel"/>
    <w:tmpl w:val="BB76298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nsid w:val="06A34C72"/>
    <w:multiLevelType w:val="hybridMultilevel"/>
    <w:tmpl w:val="3996AFB2"/>
    <w:lvl w:ilvl="0" w:tplc="CFC40B98">
      <w:start w:val="1"/>
      <w:numFmt w:val="decimal"/>
      <w:lvlText w:val="%1."/>
      <w:lvlJc w:val="left"/>
      <w:pPr>
        <w:ind w:left="720" w:hanging="360"/>
      </w:pPr>
      <w:rPr>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07514CDE"/>
    <w:multiLevelType w:val="hybridMultilevel"/>
    <w:tmpl w:val="B1129F34"/>
    <w:lvl w:ilvl="0" w:tplc="081EC7B2">
      <w:start w:val="1"/>
      <w:numFmt w:val="lowerRoman"/>
      <w:lvlText w:val="%1."/>
      <w:lvlJc w:val="left"/>
      <w:pPr>
        <w:ind w:left="1713" w:hanging="360"/>
      </w:pPr>
      <w:rPr>
        <w:rFonts w:hint="default"/>
        <w:b w:val="0"/>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
    <w:nsid w:val="077130FE"/>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
    <w:nsid w:val="08031B01"/>
    <w:multiLevelType w:val="hybridMultilevel"/>
    <w:tmpl w:val="71EAB970"/>
    <w:lvl w:ilvl="0" w:tplc="92BA9678">
      <w:start w:val="1"/>
      <w:numFmt w:val="lowerLetter"/>
      <w:lvlText w:val="%1)"/>
      <w:lvlJc w:val="left"/>
      <w:pPr>
        <w:ind w:left="1068"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092164E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
    <w:nsid w:val="092D224E"/>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
    <w:nsid w:val="0A9C35D2"/>
    <w:multiLevelType w:val="hybridMultilevel"/>
    <w:tmpl w:val="5DC2779C"/>
    <w:lvl w:ilvl="0" w:tplc="110EB126">
      <w:start w:val="1"/>
      <w:numFmt w:val="lowerLetter"/>
      <w:lvlText w:val="%1)"/>
      <w:lvlJc w:val="left"/>
      <w:pPr>
        <w:ind w:left="1068" w:hanging="360"/>
      </w:pPr>
      <w:rPr>
        <w:rFonts w:ascii="Bookman Old Style" w:hAnsi="Bookman Old Style" w:cs="Arial" w:hint="default"/>
        <w:b w:val="0"/>
        <w:sz w:val="22"/>
        <w:szCs w:val="22"/>
      </w:rPr>
    </w:lvl>
    <w:lvl w:ilvl="1" w:tplc="0C0A0003" w:tentative="1">
      <w:start w:val="1"/>
      <w:numFmt w:val="lowerLetter"/>
      <w:lvlText w:val="%2."/>
      <w:lvlJc w:val="left"/>
      <w:pPr>
        <w:ind w:left="1788" w:hanging="360"/>
      </w:pPr>
    </w:lvl>
    <w:lvl w:ilvl="2" w:tplc="0C0A0005" w:tentative="1">
      <w:start w:val="1"/>
      <w:numFmt w:val="lowerRoman"/>
      <w:lvlText w:val="%3."/>
      <w:lvlJc w:val="right"/>
      <w:pPr>
        <w:ind w:left="2508" w:hanging="180"/>
      </w:pPr>
    </w:lvl>
    <w:lvl w:ilvl="3" w:tplc="0C0A0001" w:tentative="1">
      <w:start w:val="1"/>
      <w:numFmt w:val="decimal"/>
      <w:lvlText w:val="%4."/>
      <w:lvlJc w:val="left"/>
      <w:pPr>
        <w:ind w:left="3228" w:hanging="360"/>
      </w:pPr>
    </w:lvl>
    <w:lvl w:ilvl="4" w:tplc="0C0A0003" w:tentative="1">
      <w:start w:val="1"/>
      <w:numFmt w:val="lowerLetter"/>
      <w:lvlText w:val="%5."/>
      <w:lvlJc w:val="left"/>
      <w:pPr>
        <w:ind w:left="3948" w:hanging="360"/>
      </w:pPr>
    </w:lvl>
    <w:lvl w:ilvl="5" w:tplc="0C0A0005" w:tentative="1">
      <w:start w:val="1"/>
      <w:numFmt w:val="lowerRoman"/>
      <w:lvlText w:val="%6."/>
      <w:lvlJc w:val="right"/>
      <w:pPr>
        <w:ind w:left="4668" w:hanging="180"/>
      </w:pPr>
    </w:lvl>
    <w:lvl w:ilvl="6" w:tplc="0C0A0001" w:tentative="1">
      <w:start w:val="1"/>
      <w:numFmt w:val="decimal"/>
      <w:lvlText w:val="%7."/>
      <w:lvlJc w:val="left"/>
      <w:pPr>
        <w:ind w:left="5388" w:hanging="360"/>
      </w:pPr>
    </w:lvl>
    <w:lvl w:ilvl="7" w:tplc="0C0A0003" w:tentative="1">
      <w:start w:val="1"/>
      <w:numFmt w:val="lowerLetter"/>
      <w:lvlText w:val="%8."/>
      <w:lvlJc w:val="left"/>
      <w:pPr>
        <w:ind w:left="6108" w:hanging="360"/>
      </w:pPr>
    </w:lvl>
    <w:lvl w:ilvl="8" w:tplc="0C0A0005" w:tentative="1">
      <w:start w:val="1"/>
      <w:numFmt w:val="lowerRoman"/>
      <w:lvlText w:val="%9."/>
      <w:lvlJc w:val="right"/>
      <w:pPr>
        <w:ind w:left="6828" w:hanging="180"/>
      </w:pPr>
    </w:lvl>
  </w:abstractNum>
  <w:abstractNum w:abstractNumId="17">
    <w:nsid w:val="0B24056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
    <w:nsid w:val="0BA908B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
    <w:nsid w:val="0BF60A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0">
    <w:nsid w:val="0C596CBC"/>
    <w:multiLevelType w:val="hybridMultilevel"/>
    <w:tmpl w:val="4FB8BC0E"/>
    <w:lvl w:ilvl="0" w:tplc="DE5AB592">
      <w:start w:val="1"/>
      <w:numFmt w:val="lowerLetter"/>
      <w:lvlText w:val="%1)"/>
      <w:lvlJc w:val="left"/>
      <w:pPr>
        <w:ind w:left="502" w:hanging="360"/>
      </w:pPr>
      <w:rPr>
        <w:rFonts w:ascii="Bookman Old Style" w:hAnsi="Bookman Old Style" w:cs="Arial" w:hint="default"/>
        <w:b w:val="0"/>
        <w:sz w:val="22"/>
        <w:szCs w:val="22"/>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1">
    <w:nsid w:val="0C8B64D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2">
    <w:nsid w:val="0C926F98"/>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3">
    <w:nsid w:val="0D970DA6"/>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4">
    <w:nsid w:val="0FD87777"/>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5">
    <w:nsid w:val="100842A9"/>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6">
    <w:nsid w:val="106B1E61"/>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27">
    <w:nsid w:val="10ED7EC6"/>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1122799E"/>
    <w:multiLevelType w:val="hybridMultilevel"/>
    <w:tmpl w:val="1C58C3B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1165047C"/>
    <w:multiLevelType w:val="hybridMultilevel"/>
    <w:tmpl w:val="5D6C65AE"/>
    <w:lvl w:ilvl="0" w:tplc="240A000F">
      <w:start w:val="3"/>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11D5400D"/>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1">
    <w:nsid w:val="128C432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2">
    <w:nsid w:val="12A4495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3">
    <w:nsid w:val="12B30AE3"/>
    <w:multiLevelType w:val="hybridMultilevel"/>
    <w:tmpl w:val="E3C83616"/>
    <w:lvl w:ilvl="0" w:tplc="5EB23BF6">
      <w:start w:val="1"/>
      <w:numFmt w:val="decimal"/>
      <w:lvlText w:val="%1."/>
      <w:lvlJc w:val="left"/>
      <w:pPr>
        <w:ind w:left="360" w:hanging="360"/>
      </w:pPr>
      <w:rPr>
        <w:rFonts w:ascii="Bookman Old Style" w:hAnsi="Bookman Old Style" w:hint="default"/>
        <w:b/>
        <w:sz w:val="24"/>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nsid w:val="138B623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5">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6">
    <w:nsid w:val="16987B7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7">
    <w:nsid w:val="18150025"/>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38">
    <w:nsid w:val="187E3F7C"/>
    <w:multiLevelType w:val="hybridMultilevel"/>
    <w:tmpl w:val="7002995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nsid w:val="18AD5E3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40">
    <w:nsid w:val="1A76491B"/>
    <w:multiLevelType w:val="multilevel"/>
    <w:tmpl w:val="AD0C13B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nsid w:val="1ACB083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2">
    <w:nsid w:val="1AD061E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3">
    <w:nsid w:val="1BCE6C2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44">
    <w:nsid w:val="1BDA2EF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5">
    <w:nsid w:val="1C8E1C44"/>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6">
    <w:nsid w:val="1C97738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7">
    <w:nsid w:val="1D79750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8">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9">
    <w:nsid w:val="1E641EA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0">
    <w:nsid w:val="1F7E5BD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1">
    <w:nsid w:val="1F8744E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2">
    <w:nsid w:val="1FD90259"/>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53">
    <w:nsid w:val="2019280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4">
    <w:nsid w:val="20424BC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5">
    <w:nsid w:val="207E435C"/>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56">
    <w:nsid w:val="22AC633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7">
    <w:nsid w:val="233732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8">
    <w:nsid w:val="24B15AE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9">
    <w:nsid w:val="24BB51BE"/>
    <w:multiLevelType w:val="multilevel"/>
    <w:tmpl w:val="74F0A7D2"/>
    <w:lvl w:ilvl="0">
      <w:start w:val="3"/>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0">
    <w:nsid w:val="24C41E3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1">
    <w:nsid w:val="25E32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2">
    <w:nsid w:val="25E744A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3">
    <w:nsid w:val="265672C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4">
    <w:nsid w:val="27534AD3"/>
    <w:multiLevelType w:val="hybridMultilevel"/>
    <w:tmpl w:val="09428884"/>
    <w:lvl w:ilvl="0" w:tplc="A71C8DA6">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65">
    <w:nsid w:val="27B3289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6">
    <w:nsid w:val="287A121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7">
    <w:nsid w:val="29E57F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8">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9">
    <w:nsid w:val="2A2466C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0">
    <w:nsid w:val="2A6C19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1">
    <w:nsid w:val="2AA11C0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72">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3">
    <w:nsid w:val="2BCF60C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4">
    <w:nsid w:val="2CDA5F4E"/>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5">
    <w:nsid w:val="2EA10051"/>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6">
    <w:nsid w:val="2EDA10ED"/>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7">
    <w:nsid w:val="2FED492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8">
    <w:nsid w:val="30AE2CE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9">
    <w:nsid w:val="31402B18"/>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0">
    <w:nsid w:val="32EB13B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1">
    <w:nsid w:val="33515CA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2">
    <w:nsid w:val="33B604F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3">
    <w:nsid w:val="351B1500"/>
    <w:multiLevelType w:val="multilevel"/>
    <w:tmpl w:val="CD34E8C6"/>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4">
    <w:nsid w:val="352C1B41"/>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5">
    <w:nsid w:val="366E4833"/>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6">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87">
    <w:nsid w:val="37520067"/>
    <w:multiLevelType w:val="multilevel"/>
    <w:tmpl w:val="F4CE3212"/>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8">
    <w:nsid w:val="399D0A7A"/>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9">
    <w:nsid w:val="3A382A0B"/>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0">
    <w:nsid w:val="3A7B3C5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1">
    <w:nsid w:val="3B7376C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2">
    <w:nsid w:val="3B8D4DB7"/>
    <w:multiLevelType w:val="hybridMultilevel"/>
    <w:tmpl w:val="3DAE90E2"/>
    <w:lvl w:ilvl="0" w:tplc="1F8ECDF2">
      <w:start w:val="1"/>
      <w:numFmt w:val="lowerRoman"/>
      <w:lvlText w:val="%1)"/>
      <w:lvlJc w:val="righ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93">
    <w:nsid w:val="3BF31F84"/>
    <w:multiLevelType w:val="hybridMultilevel"/>
    <w:tmpl w:val="B98E0C86"/>
    <w:lvl w:ilvl="0" w:tplc="E1809A2C">
      <w:start w:val="1"/>
      <w:numFmt w:val="bullet"/>
      <w:lvlText w:val=""/>
      <w:lvlJc w:val="left"/>
      <w:pPr>
        <w:ind w:left="1287" w:hanging="360"/>
      </w:pPr>
      <w:rPr>
        <w:rFonts w:ascii="Symbol" w:hAnsi="Symbol" w:hint="default"/>
        <w:lang w:val="es-ES"/>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94">
    <w:nsid w:val="3C10696D"/>
    <w:multiLevelType w:val="multilevel"/>
    <w:tmpl w:val="B726B85E"/>
    <w:lvl w:ilvl="0">
      <w:start w:val="4"/>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5">
    <w:nsid w:val="3C3C0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6">
    <w:nsid w:val="3D0D60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7">
    <w:nsid w:val="3DC032D9"/>
    <w:multiLevelType w:val="multilevel"/>
    <w:tmpl w:val="C25CD41C"/>
    <w:lvl w:ilvl="0">
      <w:start w:val="2"/>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8">
    <w:nsid w:val="3EA33AC9"/>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99">
    <w:nsid w:val="3EF80072"/>
    <w:multiLevelType w:val="hybridMultilevel"/>
    <w:tmpl w:val="4E986BB2"/>
    <w:lvl w:ilvl="0" w:tplc="1ABAAE80">
      <w:start w:val="1"/>
      <w:numFmt w:val="lowerLetter"/>
      <w:lvlText w:val="%1)"/>
      <w:lvlJc w:val="left"/>
      <w:pPr>
        <w:ind w:left="1068" w:hanging="360"/>
      </w:pPr>
      <w:rPr>
        <w:rFonts w:hint="default"/>
        <w:b w:val="0"/>
        <w:sz w:val="24"/>
        <w:szCs w:val="24"/>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0">
    <w:nsid w:val="3F0F68CA"/>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01">
    <w:nsid w:val="409303F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2">
    <w:nsid w:val="415A5B68"/>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3">
    <w:nsid w:val="41CB425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4">
    <w:nsid w:val="43322171"/>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5">
    <w:nsid w:val="444707DB"/>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6">
    <w:nsid w:val="45AB63CC"/>
    <w:multiLevelType w:val="hybridMultilevel"/>
    <w:tmpl w:val="07B87626"/>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7">
    <w:nsid w:val="45F8748B"/>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8">
    <w:nsid w:val="48A52E6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9">
    <w:nsid w:val="48AC260E"/>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0">
    <w:nsid w:val="48FB1AE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1">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12">
    <w:nsid w:val="49A3479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3">
    <w:nsid w:val="49EC1D4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4">
    <w:nsid w:val="4A7D7509"/>
    <w:multiLevelType w:val="multilevel"/>
    <w:tmpl w:val="5236364C"/>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5">
    <w:nsid w:val="4A7F312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6">
    <w:nsid w:val="4CA2340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7">
    <w:nsid w:val="4E33400E"/>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8">
    <w:nsid w:val="4FE705E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9">
    <w:nsid w:val="502B4BD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0">
    <w:nsid w:val="505F237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1">
    <w:nsid w:val="50D1372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2">
    <w:nsid w:val="51503F47"/>
    <w:multiLevelType w:val="hybridMultilevel"/>
    <w:tmpl w:val="79BA6FE8"/>
    <w:lvl w:ilvl="0" w:tplc="104EFEAA">
      <w:start w:val="1"/>
      <w:numFmt w:val="lowerRoman"/>
      <w:lvlText w:val="%1."/>
      <w:lvlJc w:val="left"/>
      <w:pPr>
        <w:ind w:left="2136" w:hanging="360"/>
      </w:pPr>
      <w:rPr>
        <w:rFonts w:hint="default"/>
      </w:rPr>
    </w:lvl>
    <w:lvl w:ilvl="1" w:tplc="240A0019" w:tentative="1">
      <w:start w:val="1"/>
      <w:numFmt w:val="lowerLetter"/>
      <w:lvlText w:val="%2."/>
      <w:lvlJc w:val="left"/>
      <w:pPr>
        <w:ind w:left="2856" w:hanging="360"/>
      </w:pPr>
    </w:lvl>
    <w:lvl w:ilvl="2" w:tplc="240A001B" w:tentative="1">
      <w:start w:val="1"/>
      <w:numFmt w:val="lowerRoman"/>
      <w:lvlText w:val="%3."/>
      <w:lvlJc w:val="right"/>
      <w:pPr>
        <w:ind w:left="3576" w:hanging="180"/>
      </w:pPr>
    </w:lvl>
    <w:lvl w:ilvl="3" w:tplc="240A000F" w:tentative="1">
      <w:start w:val="1"/>
      <w:numFmt w:val="decimal"/>
      <w:lvlText w:val="%4."/>
      <w:lvlJc w:val="left"/>
      <w:pPr>
        <w:ind w:left="4296" w:hanging="360"/>
      </w:pPr>
    </w:lvl>
    <w:lvl w:ilvl="4" w:tplc="240A0019" w:tentative="1">
      <w:start w:val="1"/>
      <w:numFmt w:val="lowerLetter"/>
      <w:lvlText w:val="%5."/>
      <w:lvlJc w:val="left"/>
      <w:pPr>
        <w:ind w:left="5016" w:hanging="360"/>
      </w:pPr>
    </w:lvl>
    <w:lvl w:ilvl="5" w:tplc="240A001B" w:tentative="1">
      <w:start w:val="1"/>
      <w:numFmt w:val="lowerRoman"/>
      <w:lvlText w:val="%6."/>
      <w:lvlJc w:val="right"/>
      <w:pPr>
        <w:ind w:left="5736" w:hanging="180"/>
      </w:pPr>
    </w:lvl>
    <w:lvl w:ilvl="6" w:tplc="240A000F" w:tentative="1">
      <w:start w:val="1"/>
      <w:numFmt w:val="decimal"/>
      <w:lvlText w:val="%7."/>
      <w:lvlJc w:val="left"/>
      <w:pPr>
        <w:ind w:left="6456" w:hanging="360"/>
      </w:pPr>
    </w:lvl>
    <w:lvl w:ilvl="7" w:tplc="240A0019" w:tentative="1">
      <w:start w:val="1"/>
      <w:numFmt w:val="lowerLetter"/>
      <w:lvlText w:val="%8."/>
      <w:lvlJc w:val="left"/>
      <w:pPr>
        <w:ind w:left="7176" w:hanging="360"/>
      </w:pPr>
    </w:lvl>
    <w:lvl w:ilvl="8" w:tplc="240A001B" w:tentative="1">
      <w:start w:val="1"/>
      <w:numFmt w:val="lowerRoman"/>
      <w:lvlText w:val="%9."/>
      <w:lvlJc w:val="right"/>
      <w:pPr>
        <w:ind w:left="7896" w:hanging="180"/>
      </w:pPr>
    </w:lvl>
  </w:abstractNum>
  <w:abstractNum w:abstractNumId="123">
    <w:nsid w:val="516434BE"/>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24">
    <w:nsid w:val="51E86BE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5">
    <w:nsid w:val="52AC569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6">
    <w:nsid w:val="535E748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7">
    <w:nsid w:val="568B6903"/>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8">
    <w:nsid w:val="57D2490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9">
    <w:nsid w:val="58101B8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0">
    <w:nsid w:val="596C5D59"/>
    <w:multiLevelType w:val="hybridMultilevel"/>
    <w:tmpl w:val="ABBCBA72"/>
    <w:lvl w:ilvl="0" w:tplc="240A000F">
      <w:start w:val="1"/>
      <w:numFmt w:val="decimal"/>
      <w:lvlText w:val="%1."/>
      <w:lvlJc w:val="left"/>
      <w:pPr>
        <w:ind w:left="10926" w:hanging="360"/>
      </w:pPr>
      <w:rPr>
        <w:rFonts w:hint="default"/>
      </w:rPr>
    </w:lvl>
    <w:lvl w:ilvl="1" w:tplc="240A0019">
      <w:start w:val="1"/>
      <w:numFmt w:val="lowerLetter"/>
      <w:lvlText w:val="%2."/>
      <w:lvlJc w:val="left"/>
      <w:pPr>
        <w:ind w:left="11646" w:hanging="360"/>
      </w:pPr>
    </w:lvl>
    <w:lvl w:ilvl="2" w:tplc="240A001B" w:tentative="1">
      <w:start w:val="1"/>
      <w:numFmt w:val="lowerRoman"/>
      <w:lvlText w:val="%3."/>
      <w:lvlJc w:val="right"/>
      <w:pPr>
        <w:ind w:left="12366" w:hanging="180"/>
      </w:pPr>
    </w:lvl>
    <w:lvl w:ilvl="3" w:tplc="240A000F" w:tentative="1">
      <w:start w:val="1"/>
      <w:numFmt w:val="decimal"/>
      <w:lvlText w:val="%4."/>
      <w:lvlJc w:val="left"/>
      <w:pPr>
        <w:ind w:left="13086" w:hanging="360"/>
      </w:pPr>
    </w:lvl>
    <w:lvl w:ilvl="4" w:tplc="240A0019" w:tentative="1">
      <w:start w:val="1"/>
      <w:numFmt w:val="lowerLetter"/>
      <w:lvlText w:val="%5."/>
      <w:lvlJc w:val="left"/>
      <w:pPr>
        <w:ind w:left="13806" w:hanging="360"/>
      </w:pPr>
    </w:lvl>
    <w:lvl w:ilvl="5" w:tplc="240A001B" w:tentative="1">
      <w:start w:val="1"/>
      <w:numFmt w:val="lowerRoman"/>
      <w:lvlText w:val="%6."/>
      <w:lvlJc w:val="right"/>
      <w:pPr>
        <w:ind w:left="14526" w:hanging="180"/>
      </w:pPr>
    </w:lvl>
    <w:lvl w:ilvl="6" w:tplc="240A000F" w:tentative="1">
      <w:start w:val="1"/>
      <w:numFmt w:val="decimal"/>
      <w:lvlText w:val="%7."/>
      <w:lvlJc w:val="left"/>
      <w:pPr>
        <w:ind w:left="15246" w:hanging="360"/>
      </w:pPr>
    </w:lvl>
    <w:lvl w:ilvl="7" w:tplc="240A0019" w:tentative="1">
      <w:start w:val="1"/>
      <w:numFmt w:val="lowerLetter"/>
      <w:lvlText w:val="%8."/>
      <w:lvlJc w:val="left"/>
      <w:pPr>
        <w:ind w:left="15966" w:hanging="360"/>
      </w:pPr>
    </w:lvl>
    <w:lvl w:ilvl="8" w:tplc="240A001B" w:tentative="1">
      <w:start w:val="1"/>
      <w:numFmt w:val="lowerRoman"/>
      <w:lvlText w:val="%9."/>
      <w:lvlJc w:val="right"/>
      <w:pPr>
        <w:ind w:left="16686" w:hanging="180"/>
      </w:pPr>
    </w:lvl>
  </w:abstractNum>
  <w:abstractNum w:abstractNumId="131">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2">
    <w:nsid w:val="5A6B01E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3">
    <w:nsid w:val="5A873BE3"/>
    <w:multiLevelType w:val="hybridMultilevel"/>
    <w:tmpl w:val="F18AD350"/>
    <w:lvl w:ilvl="0" w:tplc="3CCA812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4">
    <w:nsid w:val="5BFF09A8"/>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35">
    <w:nsid w:val="5C770B7E"/>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36">
    <w:nsid w:val="5C7E216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7">
    <w:nsid w:val="5CD239EB"/>
    <w:multiLevelType w:val="multilevel"/>
    <w:tmpl w:val="FD5EBDD0"/>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38">
    <w:nsid w:val="5D3E4D7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39">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0">
    <w:nsid w:val="5E5654A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1">
    <w:nsid w:val="5F64501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2">
    <w:nsid w:val="5F6B5AFF"/>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3">
    <w:nsid w:val="5FA2057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4">
    <w:nsid w:val="5FEF31D3"/>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45">
    <w:nsid w:val="60ED371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6">
    <w:nsid w:val="6267668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7">
    <w:nsid w:val="630D46A3"/>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8">
    <w:nsid w:val="6377122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9">
    <w:nsid w:val="639478E6"/>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50">
    <w:nsid w:val="64025AC4"/>
    <w:multiLevelType w:val="multilevel"/>
    <w:tmpl w:val="400C5718"/>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1">
    <w:nsid w:val="64D92FE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52">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3">
    <w:nsid w:val="65CD4118"/>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54">
    <w:nsid w:val="66E226E5"/>
    <w:multiLevelType w:val="multilevel"/>
    <w:tmpl w:val="08D65A5C"/>
    <w:lvl w:ilvl="0">
      <w:start w:val="4"/>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55">
    <w:nsid w:val="66EB0342"/>
    <w:multiLevelType w:val="multilevel"/>
    <w:tmpl w:val="24CACF92"/>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6">
    <w:nsid w:val="66F5204F"/>
    <w:multiLevelType w:val="hybridMultilevel"/>
    <w:tmpl w:val="15F6E45A"/>
    <w:lvl w:ilvl="0" w:tplc="F35250B0">
      <w:start w:val="1"/>
      <w:numFmt w:val="lowerLetter"/>
      <w:lvlText w:val="%1)"/>
      <w:lvlJc w:val="left"/>
      <w:pPr>
        <w:ind w:left="360" w:hanging="360"/>
      </w:pPr>
      <w:rPr>
        <w:rFonts w:ascii="Bookman Old Style" w:hAnsi="Bookman Old Style" w:cs="Arial" w:hint="default"/>
        <w:sz w:val="22"/>
        <w:szCs w:val="22"/>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7">
    <w:nsid w:val="67986E9B"/>
    <w:multiLevelType w:val="multilevel"/>
    <w:tmpl w:val="02E67D8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8">
    <w:nsid w:val="67AD2923"/>
    <w:multiLevelType w:val="multilevel"/>
    <w:tmpl w:val="D9B46BA0"/>
    <w:lvl w:ilvl="0">
      <w:start w:val="5"/>
      <w:numFmt w:val="decimal"/>
      <w:lvlText w:val="%1."/>
      <w:lvlJc w:val="left"/>
      <w:pPr>
        <w:ind w:left="705" w:hanging="70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59">
    <w:nsid w:val="67CE06A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61">
    <w:nsid w:val="686376C1"/>
    <w:multiLevelType w:val="hybridMultilevel"/>
    <w:tmpl w:val="BF606EBA"/>
    <w:lvl w:ilvl="0" w:tplc="240A000F">
      <w:start w:val="1"/>
      <w:numFmt w:val="decimal"/>
      <w:lvlText w:val="%1."/>
      <w:lvlJc w:val="left"/>
      <w:pPr>
        <w:ind w:left="1065" w:hanging="705"/>
      </w:pPr>
      <w:rPr>
        <w:rFonts w:hint="default"/>
        <w:lang w:val="es-CO"/>
      </w:rPr>
    </w:lvl>
    <w:lvl w:ilvl="1" w:tplc="240A001B">
      <w:start w:val="1"/>
      <w:numFmt w:val="lowerRoman"/>
      <w:lvlText w:val="%2."/>
      <w:lvlJc w:val="right"/>
      <w:pPr>
        <w:ind w:left="1440" w:hanging="360"/>
      </w:pPr>
      <w:rPr>
        <w:rFonts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2">
    <w:nsid w:val="68B41747"/>
    <w:multiLevelType w:val="hybridMultilevel"/>
    <w:tmpl w:val="DA0A3754"/>
    <w:lvl w:ilvl="0" w:tplc="11E28478">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163">
    <w:nsid w:val="6938476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4">
    <w:nsid w:val="6A8F365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5">
    <w:nsid w:val="6AEA629E"/>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6">
    <w:nsid w:val="6BBD035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7">
    <w:nsid w:val="6D1F0F12"/>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8">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9">
    <w:nsid w:val="6E020619"/>
    <w:multiLevelType w:val="hybridMultilevel"/>
    <w:tmpl w:val="BEE27990"/>
    <w:lvl w:ilvl="0" w:tplc="240A001B">
      <w:start w:val="1"/>
      <w:numFmt w:val="lowerRoman"/>
      <w:lvlText w:val="%1."/>
      <w:lvlJc w:val="right"/>
      <w:pPr>
        <w:ind w:left="1080" w:hanging="720"/>
      </w:pPr>
      <w:rPr>
        <w:rFonts w:hint="default"/>
        <w:sz w:val="24"/>
        <w:szCs w:val="24"/>
        <w:lang w:val="es-E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nsid w:val="6EA33FAB"/>
    <w:multiLevelType w:val="hybridMultilevel"/>
    <w:tmpl w:val="1ADA6F5C"/>
    <w:lvl w:ilvl="0" w:tplc="743A6E76">
      <w:start w:val="1"/>
      <w:numFmt w:val="lowerLetter"/>
      <w:lvlText w:val="%1)"/>
      <w:lvlJc w:val="left"/>
      <w:pPr>
        <w:ind w:left="2340" w:hanging="360"/>
      </w:pPr>
      <w:rPr>
        <w:rFonts w:ascii="Bookman Old Style" w:hAnsi="Bookman Old Style" w:cs="Arial" w:hint="default"/>
        <w:sz w:val="22"/>
        <w:szCs w:val="22"/>
      </w:rPr>
    </w:lvl>
    <w:lvl w:ilvl="1" w:tplc="240A0019" w:tentative="1">
      <w:start w:val="1"/>
      <w:numFmt w:val="lowerLetter"/>
      <w:lvlText w:val="%2."/>
      <w:lvlJc w:val="left"/>
      <w:pPr>
        <w:ind w:left="3060" w:hanging="360"/>
      </w:pPr>
    </w:lvl>
    <w:lvl w:ilvl="2" w:tplc="240A001B" w:tentative="1">
      <w:start w:val="1"/>
      <w:numFmt w:val="lowerRoman"/>
      <w:lvlText w:val="%3."/>
      <w:lvlJc w:val="right"/>
      <w:pPr>
        <w:ind w:left="3780" w:hanging="180"/>
      </w:pPr>
    </w:lvl>
    <w:lvl w:ilvl="3" w:tplc="240A000F" w:tentative="1">
      <w:start w:val="1"/>
      <w:numFmt w:val="decimal"/>
      <w:lvlText w:val="%4."/>
      <w:lvlJc w:val="left"/>
      <w:pPr>
        <w:ind w:left="4500" w:hanging="360"/>
      </w:pPr>
    </w:lvl>
    <w:lvl w:ilvl="4" w:tplc="240A0019" w:tentative="1">
      <w:start w:val="1"/>
      <w:numFmt w:val="lowerLetter"/>
      <w:lvlText w:val="%5."/>
      <w:lvlJc w:val="left"/>
      <w:pPr>
        <w:ind w:left="5220" w:hanging="360"/>
      </w:pPr>
    </w:lvl>
    <w:lvl w:ilvl="5" w:tplc="240A001B" w:tentative="1">
      <w:start w:val="1"/>
      <w:numFmt w:val="lowerRoman"/>
      <w:lvlText w:val="%6."/>
      <w:lvlJc w:val="right"/>
      <w:pPr>
        <w:ind w:left="5940" w:hanging="180"/>
      </w:pPr>
    </w:lvl>
    <w:lvl w:ilvl="6" w:tplc="240A000F" w:tentative="1">
      <w:start w:val="1"/>
      <w:numFmt w:val="decimal"/>
      <w:lvlText w:val="%7."/>
      <w:lvlJc w:val="left"/>
      <w:pPr>
        <w:ind w:left="6660" w:hanging="360"/>
      </w:pPr>
    </w:lvl>
    <w:lvl w:ilvl="7" w:tplc="240A0019" w:tentative="1">
      <w:start w:val="1"/>
      <w:numFmt w:val="lowerLetter"/>
      <w:lvlText w:val="%8."/>
      <w:lvlJc w:val="left"/>
      <w:pPr>
        <w:ind w:left="7380" w:hanging="360"/>
      </w:pPr>
    </w:lvl>
    <w:lvl w:ilvl="8" w:tplc="240A001B" w:tentative="1">
      <w:start w:val="1"/>
      <w:numFmt w:val="lowerRoman"/>
      <w:lvlText w:val="%9."/>
      <w:lvlJc w:val="right"/>
      <w:pPr>
        <w:ind w:left="8100" w:hanging="180"/>
      </w:pPr>
    </w:lvl>
  </w:abstractNum>
  <w:abstractNum w:abstractNumId="171">
    <w:nsid w:val="6ECB41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2">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3">
    <w:nsid w:val="6F5B4C9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4">
    <w:nsid w:val="6F8756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5">
    <w:nsid w:val="6FB8438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6">
    <w:nsid w:val="6FD51E66"/>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7">
    <w:nsid w:val="6FFC5D76"/>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8">
    <w:nsid w:val="70052F5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9">
    <w:nsid w:val="70460FB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0">
    <w:nsid w:val="713B291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1">
    <w:nsid w:val="720213C1"/>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2">
    <w:nsid w:val="7326383B"/>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3">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184">
    <w:nsid w:val="741C1F3E"/>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5">
    <w:nsid w:val="745F3BF1"/>
    <w:multiLevelType w:val="hybridMultilevel"/>
    <w:tmpl w:val="98CAE580"/>
    <w:lvl w:ilvl="0" w:tplc="240A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6">
    <w:nsid w:val="74757403"/>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87">
    <w:nsid w:val="74CC16E5"/>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8">
    <w:nsid w:val="750E646D"/>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89">
    <w:nsid w:val="77694704"/>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0">
    <w:nsid w:val="776B27B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1">
    <w:nsid w:val="77E30A14"/>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2">
    <w:nsid w:val="77EA1BF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3">
    <w:nsid w:val="78506AF5"/>
    <w:multiLevelType w:val="multilevel"/>
    <w:tmpl w:val="56E63A08"/>
    <w:lvl w:ilvl="0">
      <w:start w:val="1"/>
      <w:numFmt w:val="decimal"/>
      <w:lvlText w:val="%1."/>
      <w:lvlJc w:val="left"/>
      <w:pPr>
        <w:ind w:left="720" w:hanging="360"/>
      </w:pPr>
      <w:rPr>
        <w:b/>
      </w:rPr>
    </w:lvl>
    <w:lvl w:ilvl="1">
      <w:start w:val="1"/>
      <w:numFmt w:val="decimal"/>
      <w:isLgl/>
      <w:lvlText w:val="%1.%2"/>
      <w:lvlJc w:val="left"/>
      <w:pPr>
        <w:ind w:left="1080" w:hanging="720"/>
      </w:pPr>
      <w:rPr>
        <w:b w:val="0"/>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94">
    <w:nsid w:val="7983671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5">
    <w:nsid w:val="799229FB"/>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6">
    <w:nsid w:val="79C729B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97">
    <w:nsid w:val="7AC81888"/>
    <w:multiLevelType w:val="hybridMultilevel"/>
    <w:tmpl w:val="B70E498A"/>
    <w:lvl w:ilvl="0" w:tplc="C3F06402">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8">
    <w:nsid w:val="7C163765"/>
    <w:multiLevelType w:val="multilevel"/>
    <w:tmpl w:val="08D65A5C"/>
    <w:lvl w:ilvl="0">
      <w:start w:val="4"/>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99">
    <w:nsid w:val="7C4A055B"/>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00">
    <w:nsid w:val="7C9D5D3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01">
    <w:nsid w:val="7CDE11C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02">
    <w:nsid w:val="7DF730D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3">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04">
    <w:nsid w:val="7FAF32AA"/>
    <w:multiLevelType w:val="hybridMultilevel"/>
    <w:tmpl w:val="D592E6B4"/>
    <w:lvl w:ilvl="0" w:tplc="7824630A">
      <w:start w:val="1"/>
      <w:numFmt w:val="lowerRoman"/>
      <w:lvlText w:val="%1)"/>
      <w:lvlJc w:val="left"/>
      <w:pPr>
        <w:ind w:left="1146" w:hanging="360"/>
      </w:pPr>
      <w:rPr>
        <w:rFonts w:hint="default"/>
        <w:b w:val="0"/>
        <w:i w:val="0"/>
        <w:sz w:val="22"/>
        <w:szCs w:val="22"/>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num w:numId="1">
    <w:abstractNumId w:val="183"/>
  </w:num>
  <w:num w:numId="2">
    <w:abstractNumId w:val="139"/>
  </w:num>
  <w:num w:numId="3">
    <w:abstractNumId w:val="10"/>
  </w:num>
  <w:num w:numId="4">
    <w:abstractNumId w:val="58"/>
  </w:num>
  <w:num w:numId="5">
    <w:abstractNumId w:val="5"/>
  </w:num>
  <w:num w:numId="6">
    <w:abstractNumId w:val="106"/>
  </w:num>
  <w:num w:numId="7">
    <w:abstractNumId w:val="33"/>
  </w:num>
  <w:num w:numId="8">
    <w:abstractNumId w:val="48"/>
  </w:num>
  <w:num w:numId="9">
    <w:abstractNumId w:val="143"/>
  </w:num>
  <w:num w:numId="10">
    <w:abstractNumId w:val="46"/>
  </w:num>
  <w:num w:numId="11">
    <w:abstractNumId w:val="54"/>
  </w:num>
  <w:num w:numId="12">
    <w:abstractNumId w:val="89"/>
  </w:num>
  <w:num w:numId="13">
    <w:abstractNumId w:val="57"/>
  </w:num>
  <w:num w:numId="14">
    <w:abstractNumId w:val="192"/>
  </w:num>
  <w:num w:numId="15">
    <w:abstractNumId w:val="165"/>
  </w:num>
  <w:num w:numId="16">
    <w:abstractNumId w:val="44"/>
  </w:num>
  <w:num w:numId="17">
    <w:abstractNumId w:val="181"/>
  </w:num>
  <w:num w:numId="18">
    <w:abstractNumId w:val="49"/>
  </w:num>
  <w:num w:numId="19">
    <w:abstractNumId w:val="21"/>
  </w:num>
  <w:num w:numId="20">
    <w:abstractNumId w:val="120"/>
  </w:num>
  <w:num w:numId="21">
    <w:abstractNumId w:val="197"/>
  </w:num>
  <w:num w:numId="22">
    <w:abstractNumId w:val="36"/>
  </w:num>
  <w:num w:numId="23">
    <w:abstractNumId w:val="2"/>
  </w:num>
  <w:num w:numId="24">
    <w:abstractNumId w:val="53"/>
  </w:num>
  <w:num w:numId="25">
    <w:abstractNumId w:val="71"/>
  </w:num>
  <w:num w:numId="26">
    <w:abstractNumId w:val="23"/>
  </w:num>
  <w:num w:numId="27">
    <w:abstractNumId w:val="189"/>
  </w:num>
  <w:num w:numId="28">
    <w:abstractNumId w:val="22"/>
  </w:num>
  <w:num w:numId="29">
    <w:abstractNumId w:val="18"/>
  </w:num>
  <w:num w:numId="30">
    <w:abstractNumId w:val="194"/>
  </w:num>
  <w:num w:numId="31">
    <w:abstractNumId w:val="153"/>
  </w:num>
  <w:num w:numId="32">
    <w:abstractNumId w:val="85"/>
  </w:num>
  <w:num w:numId="33">
    <w:abstractNumId w:val="27"/>
  </w:num>
  <w:num w:numId="34">
    <w:abstractNumId w:val="121"/>
  </w:num>
  <w:num w:numId="35">
    <w:abstractNumId w:val="40"/>
  </w:num>
  <w:num w:numId="36">
    <w:abstractNumId w:val="34"/>
  </w:num>
  <w:num w:numId="37">
    <w:abstractNumId w:val="8"/>
  </w:num>
  <w:num w:numId="38">
    <w:abstractNumId w:val="39"/>
  </w:num>
  <w:num w:numId="39">
    <w:abstractNumId w:val="56"/>
  </w:num>
  <w:num w:numId="40">
    <w:abstractNumId w:val="97"/>
  </w:num>
  <w:num w:numId="41">
    <w:abstractNumId w:val="61"/>
  </w:num>
  <w:num w:numId="42">
    <w:abstractNumId w:val="62"/>
  </w:num>
  <w:num w:numId="43">
    <w:abstractNumId w:val="159"/>
  </w:num>
  <w:num w:numId="44">
    <w:abstractNumId w:val="122"/>
  </w:num>
  <w:num w:numId="45">
    <w:abstractNumId w:val="112"/>
  </w:num>
  <w:num w:numId="46">
    <w:abstractNumId w:val="174"/>
  </w:num>
  <w:num w:numId="47">
    <w:abstractNumId w:val="59"/>
  </w:num>
  <w:num w:numId="48">
    <w:abstractNumId w:val="201"/>
  </w:num>
  <w:num w:numId="49">
    <w:abstractNumId w:val="184"/>
  </w:num>
  <w:num w:numId="50">
    <w:abstractNumId w:val="11"/>
  </w:num>
  <w:num w:numId="51">
    <w:abstractNumId w:val="94"/>
  </w:num>
  <w:num w:numId="52">
    <w:abstractNumId w:val="172"/>
  </w:num>
  <w:num w:numId="53">
    <w:abstractNumId w:val="168"/>
  </w:num>
  <w:num w:numId="54">
    <w:abstractNumId w:val="177"/>
  </w:num>
  <w:num w:numId="55">
    <w:abstractNumId w:val="60"/>
  </w:num>
  <w:num w:numId="56">
    <w:abstractNumId w:val="91"/>
  </w:num>
  <w:num w:numId="57">
    <w:abstractNumId w:val="137"/>
  </w:num>
  <w:num w:numId="58">
    <w:abstractNumId w:val="202"/>
  </w:num>
  <w:num w:numId="59">
    <w:abstractNumId w:val="66"/>
  </w:num>
  <w:num w:numId="60">
    <w:abstractNumId w:val="51"/>
  </w:num>
  <w:num w:numId="61">
    <w:abstractNumId w:val="80"/>
  </w:num>
  <w:num w:numId="62">
    <w:abstractNumId w:val="146"/>
  </w:num>
  <w:num w:numId="63">
    <w:abstractNumId w:val="78"/>
  </w:num>
  <w:num w:numId="64">
    <w:abstractNumId w:val="187"/>
  </w:num>
  <w:num w:numId="65">
    <w:abstractNumId w:val="107"/>
  </w:num>
  <w:num w:numId="66">
    <w:abstractNumId w:val="82"/>
  </w:num>
  <w:num w:numId="67">
    <w:abstractNumId w:val="79"/>
  </w:num>
  <w:num w:numId="68">
    <w:abstractNumId w:val="140"/>
  </w:num>
  <w:num w:numId="69">
    <w:abstractNumId w:val="101"/>
  </w:num>
  <w:num w:numId="70">
    <w:abstractNumId w:val="157"/>
  </w:num>
  <w:num w:numId="71">
    <w:abstractNumId w:val="14"/>
  </w:num>
  <w:num w:numId="72">
    <w:abstractNumId w:val="119"/>
  </w:num>
  <w:num w:numId="73">
    <w:abstractNumId w:val="17"/>
  </w:num>
  <w:num w:numId="74">
    <w:abstractNumId w:val="128"/>
  </w:num>
  <w:num w:numId="75">
    <w:abstractNumId w:val="73"/>
  </w:num>
  <w:num w:numId="76">
    <w:abstractNumId w:val="196"/>
  </w:num>
  <w:num w:numId="77">
    <w:abstractNumId w:val="131"/>
  </w:num>
  <w:num w:numId="78">
    <w:abstractNumId w:val="104"/>
  </w:num>
  <w:num w:numId="79">
    <w:abstractNumId w:val="67"/>
  </w:num>
  <w:num w:numId="80">
    <w:abstractNumId w:val="68"/>
  </w:num>
  <w:num w:numId="81">
    <w:abstractNumId w:val="31"/>
  </w:num>
  <w:num w:numId="82">
    <w:abstractNumId w:val="132"/>
  </w:num>
  <w:num w:numId="83">
    <w:abstractNumId w:val="70"/>
  </w:num>
  <w:num w:numId="84">
    <w:abstractNumId w:val="118"/>
  </w:num>
  <w:num w:numId="85">
    <w:abstractNumId w:val="75"/>
  </w:num>
  <w:num w:numId="86">
    <w:abstractNumId w:val="30"/>
  </w:num>
  <w:num w:numId="87">
    <w:abstractNumId w:val="150"/>
  </w:num>
  <w:num w:numId="88">
    <w:abstractNumId w:val="155"/>
  </w:num>
  <w:num w:numId="89">
    <w:abstractNumId w:val="83"/>
  </w:num>
  <w:num w:numId="90">
    <w:abstractNumId w:val="176"/>
  </w:num>
  <w:num w:numId="91">
    <w:abstractNumId w:val="52"/>
  </w:num>
  <w:num w:numId="92">
    <w:abstractNumId w:val="90"/>
  </w:num>
  <w:num w:numId="93">
    <w:abstractNumId w:val="65"/>
  </w:num>
  <w:num w:numId="94">
    <w:abstractNumId w:val="164"/>
  </w:num>
  <w:num w:numId="95">
    <w:abstractNumId w:val="142"/>
  </w:num>
  <w:num w:numId="96">
    <w:abstractNumId w:val="135"/>
  </w:num>
  <w:num w:numId="97">
    <w:abstractNumId w:val="179"/>
  </w:num>
  <w:num w:numId="98">
    <w:abstractNumId w:val="19"/>
  </w:num>
  <w:num w:numId="99">
    <w:abstractNumId w:val="50"/>
  </w:num>
  <w:num w:numId="100">
    <w:abstractNumId w:val="99"/>
  </w:num>
  <w:num w:numId="101">
    <w:abstractNumId w:val="125"/>
  </w:num>
  <w:num w:numId="102">
    <w:abstractNumId w:val="9"/>
  </w:num>
  <w:num w:numId="103">
    <w:abstractNumId w:val="173"/>
  </w:num>
  <w:num w:numId="104">
    <w:abstractNumId w:val="147"/>
  </w:num>
  <w:num w:numId="105">
    <w:abstractNumId w:val="74"/>
  </w:num>
  <w:num w:numId="106">
    <w:abstractNumId w:val="81"/>
  </w:num>
  <w:num w:numId="107">
    <w:abstractNumId w:val="12"/>
  </w:num>
  <w:num w:numId="108">
    <w:abstractNumId w:val="152"/>
  </w:num>
  <w:num w:numId="109">
    <w:abstractNumId w:val="47"/>
  </w:num>
  <w:num w:numId="110">
    <w:abstractNumId w:val="24"/>
  </w:num>
  <w:num w:numId="111">
    <w:abstractNumId w:val="171"/>
  </w:num>
  <w:num w:numId="112">
    <w:abstractNumId w:val="129"/>
  </w:num>
  <w:num w:numId="113">
    <w:abstractNumId w:val="41"/>
  </w:num>
  <w:num w:numId="114">
    <w:abstractNumId w:val="186"/>
  </w:num>
  <w:num w:numId="115">
    <w:abstractNumId w:val="28"/>
  </w:num>
  <w:num w:numId="116">
    <w:abstractNumId w:val="76"/>
  </w:num>
  <w:num w:numId="117">
    <w:abstractNumId w:val="63"/>
  </w:num>
  <w:num w:numId="118">
    <w:abstractNumId w:val="183"/>
  </w:num>
  <w:num w:numId="119">
    <w:abstractNumId w:val="183"/>
  </w:num>
  <w:num w:numId="120">
    <w:abstractNumId w:val="183"/>
  </w:num>
  <w:num w:numId="121">
    <w:abstractNumId w:val="13"/>
  </w:num>
  <w:num w:numId="122">
    <w:abstractNumId w:val="183"/>
  </w:num>
  <w:num w:numId="123">
    <w:abstractNumId w:val="183"/>
  </w:num>
  <w:num w:numId="124">
    <w:abstractNumId w:val="95"/>
  </w:num>
  <w:num w:numId="125">
    <w:abstractNumId w:val="110"/>
  </w:num>
  <w:num w:numId="126">
    <w:abstractNumId w:val="183"/>
  </w:num>
  <w:num w:numId="127">
    <w:abstractNumId w:val="183"/>
  </w:num>
  <w:num w:numId="128">
    <w:abstractNumId w:val="183"/>
  </w:num>
  <w:num w:numId="129">
    <w:abstractNumId w:val="183"/>
  </w:num>
  <w:num w:numId="130">
    <w:abstractNumId w:val="183"/>
  </w:num>
  <w:num w:numId="131">
    <w:abstractNumId w:val="183"/>
  </w:num>
  <w:num w:numId="132">
    <w:abstractNumId w:val="183"/>
  </w:num>
  <w:num w:numId="133">
    <w:abstractNumId w:val="183"/>
  </w:num>
  <w:num w:numId="134">
    <w:abstractNumId w:val="161"/>
  </w:num>
  <w:num w:numId="135">
    <w:abstractNumId w:val="183"/>
  </w:num>
  <w:num w:numId="136">
    <w:abstractNumId w:val="182"/>
  </w:num>
  <w:num w:numId="137">
    <w:abstractNumId w:val="92"/>
  </w:num>
  <w:num w:numId="138">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9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4"/>
  </w:num>
  <w:num w:numId="148">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13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8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87"/>
  </w:num>
  <w:num w:numId="155">
    <w:abstractNumId w:val="16"/>
  </w:num>
  <w:num w:numId="156">
    <w:abstractNumId w:val="156"/>
  </w:num>
  <w:num w:numId="157">
    <w:abstractNumId w:val="162"/>
  </w:num>
  <w:num w:numId="158">
    <w:abstractNumId w:val="170"/>
  </w:num>
  <w:num w:numId="159">
    <w:abstractNumId w:val="64"/>
  </w:num>
  <w:num w:numId="160">
    <w:abstractNumId w:val="20"/>
  </w:num>
  <w:num w:numId="161">
    <w:abstractNumId w:val="204"/>
  </w:num>
  <w:num w:numId="162">
    <w:abstractNumId w:val="109"/>
  </w:num>
  <w:num w:numId="163">
    <w:abstractNumId w:val="130"/>
  </w:num>
  <w:num w:numId="164">
    <w:abstractNumId w:val="0"/>
  </w:num>
  <w:num w:numId="165">
    <w:abstractNumId w:val="183"/>
  </w:num>
  <w:num w:numId="166">
    <w:abstractNumId w:val="183"/>
  </w:num>
  <w:num w:numId="167">
    <w:abstractNumId w:val="183"/>
  </w:num>
  <w:num w:numId="168">
    <w:abstractNumId w:val="183"/>
  </w:num>
  <w:num w:numId="169">
    <w:abstractNumId w:val="183"/>
  </w:num>
  <w:num w:numId="170">
    <w:abstractNumId w:val="183"/>
  </w:num>
  <w:num w:numId="171">
    <w:abstractNumId w:val="96"/>
  </w:num>
  <w:num w:numId="172">
    <w:abstractNumId w:val="183"/>
  </w:num>
  <w:num w:numId="173">
    <w:abstractNumId w:val="183"/>
  </w:num>
  <w:num w:numId="174">
    <w:abstractNumId w:val="183"/>
  </w:num>
  <w:num w:numId="175">
    <w:abstractNumId w:val="183"/>
  </w:num>
  <w:num w:numId="176">
    <w:abstractNumId w:val="160"/>
  </w:num>
  <w:num w:numId="177">
    <w:abstractNumId w:val="183"/>
  </w:num>
  <w:num w:numId="178">
    <w:abstractNumId w:val="175"/>
  </w:num>
  <w:num w:numId="179">
    <w:abstractNumId w:val="183"/>
  </w:num>
  <w:num w:numId="180">
    <w:abstractNumId w:val="138"/>
  </w:num>
  <w:num w:numId="181">
    <w:abstractNumId w:val="6"/>
  </w:num>
  <w:num w:numId="182">
    <w:abstractNumId w:val="183"/>
  </w:num>
  <w:num w:numId="183">
    <w:abstractNumId w:val="183"/>
  </w:num>
  <w:num w:numId="184">
    <w:abstractNumId w:val="115"/>
  </w:num>
  <w:num w:numId="185">
    <w:abstractNumId w:val="116"/>
  </w:num>
  <w:num w:numId="186">
    <w:abstractNumId w:val="25"/>
  </w:num>
  <w:num w:numId="187">
    <w:abstractNumId w:val="84"/>
  </w:num>
  <w:num w:numId="188">
    <w:abstractNumId w:val="77"/>
  </w:num>
  <w:num w:numId="189">
    <w:abstractNumId w:val="195"/>
  </w:num>
  <w:num w:numId="190">
    <w:abstractNumId w:val="113"/>
  </w:num>
  <w:num w:numId="191">
    <w:abstractNumId w:val="26"/>
  </w:num>
  <w:num w:numId="192">
    <w:abstractNumId w:val="93"/>
  </w:num>
  <w:num w:numId="193">
    <w:abstractNumId w:val="100"/>
  </w:num>
  <w:num w:numId="194">
    <w:abstractNumId w:val="123"/>
  </w:num>
  <w:num w:numId="195">
    <w:abstractNumId w:val="88"/>
  </w:num>
  <w:num w:numId="196">
    <w:abstractNumId w:val="45"/>
  </w:num>
  <w:num w:numId="197">
    <w:abstractNumId w:val="3"/>
  </w:num>
  <w:num w:numId="198">
    <w:abstractNumId w:val="190"/>
  </w:num>
  <w:num w:numId="199">
    <w:abstractNumId w:val="69"/>
  </w:num>
  <w:num w:numId="200">
    <w:abstractNumId w:val="124"/>
  </w:num>
  <w:num w:numId="201">
    <w:abstractNumId w:val="145"/>
  </w:num>
  <w:num w:numId="202">
    <w:abstractNumId w:val="148"/>
  </w:num>
  <w:num w:numId="203">
    <w:abstractNumId w:val="158"/>
  </w:num>
  <w:num w:numId="204">
    <w:abstractNumId w:val="149"/>
  </w:num>
  <w:num w:numId="205">
    <w:abstractNumId w:val="7"/>
  </w:num>
  <w:num w:numId="206">
    <w:abstractNumId w:val="188"/>
  </w:num>
  <w:num w:numId="207">
    <w:abstractNumId w:val="108"/>
  </w:num>
  <w:num w:numId="208">
    <w:abstractNumId w:val="136"/>
  </w:num>
  <w:num w:numId="209">
    <w:abstractNumId w:val="42"/>
  </w:num>
  <w:num w:numId="210">
    <w:abstractNumId w:val="32"/>
  </w:num>
  <w:num w:numId="211">
    <w:abstractNumId w:val="178"/>
  </w:num>
  <w:num w:numId="212">
    <w:abstractNumId w:val="167"/>
  </w:num>
  <w:num w:numId="213">
    <w:abstractNumId w:val="191"/>
  </w:num>
  <w:num w:numId="214">
    <w:abstractNumId w:val="199"/>
  </w:num>
  <w:num w:numId="215">
    <w:abstractNumId w:val="200"/>
  </w:num>
  <w:num w:numId="216">
    <w:abstractNumId w:val="166"/>
  </w:num>
  <w:num w:numId="217">
    <w:abstractNumId w:val="163"/>
  </w:num>
  <w:num w:numId="218">
    <w:abstractNumId w:val="180"/>
  </w:num>
  <w:num w:numId="219">
    <w:abstractNumId w:val="154"/>
  </w:num>
  <w:num w:numId="220">
    <w:abstractNumId w:val="114"/>
  </w:num>
  <w:num w:numId="221">
    <w:abstractNumId w:val="72"/>
  </w:num>
  <w:num w:numId="222">
    <w:abstractNumId w:val="86"/>
  </w:num>
  <w:num w:numId="223">
    <w:abstractNumId w:val="203"/>
  </w:num>
  <w:num w:numId="224">
    <w:abstractNumId w:val="35"/>
  </w:num>
  <w:num w:numId="225">
    <w:abstractNumId w:val="127"/>
  </w:num>
  <w:num w:numId="226">
    <w:abstractNumId w:val="183"/>
  </w:num>
  <w:num w:numId="227">
    <w:abstractNumId w:val="183"/>
  </w:num>
  <w:num w:numId="228">
    <w:abstractNumId w:val="183"/>
  </w:num>
  <w:num w:numId="229">
    <w:abstractNumId w:val="151"/>
  </w:num>
  <w:num w:numId="230">
    <w:abstractNumId w:val="183"/>
  </w:num>
  <w:num w:numId="231">
    <w:abstractNumId w:val="183"/>
  </w:num>
  <w:num w:numId="232">
    <w:abstractNumId w:val="183"/>
  </w:num>
  <w:num w:numId="233">
    <w:abstractNumId w:val="38"/>
  </w:num>
  <w:num w:numId="234">
    <w:abstractNumId w:val="183"/>
  </w:num>
  <w:num w:numId="235">
    <w:abstractNumId w:val="183"/>
  </w:num>
  <w:num w:numId="236">
    <w:abstractNumId w:val="183"/>
  </w:num>
  <w:num w:numId="237">
    <w:abstractNumId w:val="183"/>
  </w:num>
  <w:num w:numId="238">
    <w:abstractNumId w:val="126"/>
  </w:num>
  <w:num w:numId="239">
    <w:abstractNumId w:val="141"/>
  </w:num>
  <w:num w:numId="240">
    <w:abstractNumId w:val="15"/>
  </w:num>
  <w:num w:numId="241">
    <w:abstractNumId w:val="43"/>
  </w:num>
  <w:num w:numId="242">
    <w:abstractNumId w:val="1"/>
  </w:num>
  <w:num w:numId="243">
    <w:abstractNumId w:val="102"/>
  </w:num>
  <w:num w:numId="244">
    <w:abstractNumId w:val="183"/>
  </w:num>
  <w:num w:numId="245">
    <w:abstractNumId w:val="183"/>
  </w:num>
  <w:num w:numId="246">
    <w:abstractNumId w:val="183"/>
  </w:num>
  <w:num w:numId="247">
    <w:abstractNumId w:val="105"/>
  </w:num>
  <w:num w:numId="248">
    <w:abstractNumId w:val="103"/>
  </w:num>
  <w:num w:numId="249">
    <w:abstractNumId w:val="111"/>
  </w:num>
  <w:num w:numId="250">
    <w:abstractNumId w:val="183"/>
  </w:num>
  <w:num w:numId="251">
    <w:abstractNumId w:val="183"/>
  </w:num>
  <w:num w:numId="252">
    <w:abstractNumId w:val="183"/>
  </w:num>
  <w:num w:numId="253">
    <w:abstractNumId w:val="183"/>
  </w:num>
  <w:num w:numId="254">
    <w:abstractNumId w:val="117"/>
  </w:num>
  <w:num w:numId="255">
    <w:abstractNumId w:val="55"/>
  </w:num>
  <w:num w:numId="256">
    <w:abstractNumId w:val="133"/>
  </w:num>
  <w:num w:numId="257">
    <w:abstractNumId w:val="185"/>
  </w:num>
  <w:num w:numId="258">
    <w:abstractNumId w:val="29"/>
  </w:num>
  <w:num w:numId="259">
    <w:abstractNumId w:val="169"/>
  </w:num>
  <w:numIdMacAtCleanup w:val="2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10A"/>
    <w:rsid w:val="00011D02"/>
    <w:rsid w:val="00012259"/>
    <w:rsid w:val="00012472"/>
    <w:rsid w:val="00012E4F"/>
    <w:rsid w:val="00013B69"/>
    <w:rsid w:val="00013DEA"/>
    <w:rsid w:val="000152E6"/>
    <w:rsid w:val="0001533D"/>
    <w:rsid w:val="0001582A"/>
    <w:rsid w:val="00015852"/>
    <w:rsid w:val="00015C89"/>
    <w:rsid w:val="000162D9"/>
    <w:rsid w:val="0001631E"/>
    <w:rsid w:val="00016698"/>
    <w:rsid w:val="000171C4"/>
    <w:rsid w:val="00017454"/>
    <w:rsid w:val="000178DC"/>
    <w:rsid w:val="00017983"/>
    <w:rsid w:val="00020B3C"/>
    <w:rsid w:val="0002108F"/>
    <w:rsid w:val="00021B30"/>
    <w:rsid w:val="000228E3"/>
    <w:rsid w:val="00022A19"/>
    <w:rsid w:val="00023A14"/>
    <w:rsid w:val="0002409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CA3"/>
    <w:rsid w:val="0007624F"/>
    <w:rsid w:val="00076680"/>
    <w:rsid w:val="00076A1D"/>
    <w:rsid w:val="00077437"/>
    <w:rsid w:val="0008073E"/>
    <w:rsid w:val="00080BA2"/>
    <w:rsid w:val="0008149E"/>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563"/>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510D"/>
    <w:rsid w:val="000B6034"/>
    <w:rsid w:val="000B67A4"/>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9E0"/>
    <w:rsid w:val="000C7DC7"/>
    <w:rsid w:val="000D0411"/>
    <w:rsid w:val="000D11E2"/>
    <w:rsid w:val="000D1456"/>
    <w:rsid w:val="000D166D"/>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1A2F"/>
    <w:rsid w:val="000E1DD8"/>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3577"/>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78A"/>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269D"/>
    <w:rsid w:val="001241B0"/>
    <w:rsid w:val="001244CD"/>
    <w:rsid w:val="00125218"/>
    <w:rsid w:val="00125731"/>
    <w:rsid w:val="00126C83"/>
    <w:rsid w:val="00127077"/>
    <w:rsid w:val="00127201"/>
    <w:rsid w:val="001273C2"/>
    <w:rsid w:val="001273F3"/>
    <w:rsid w:val="0013053F"/>
    <w:rsid w:val="0013110E"/>
    <w:rsid w:val="00131D5E"/>
    <w:rsid w:val="001324AB"/>
    <w:rsid w:val="001339CD"/>
    <w:rsid w:val="001354D9"/>
    <w:rsid w:val="00135CA0"/>
    <w:rsid w:val="00136108"/>
    <w:rsid w:val="00136742"/>
    <w:rsid w:val="00136D5A"/>
    <w:rsid w:val="00140109"/>
    <w:rsid w:val="001405C6"/>
    <w:rsid w:val="001407B7"/>
    <w:rsid w:val="00141013"/>
    <w:rsid w:val="00141972"/>
    <w:rsid w:val="00141A71"/>
    <w:rsid w:val="00142650"/>
    <w:rsid w:val="00142C62"/>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D6"/>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1BA"/>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3F51"/>
    <w:rsid w:val="00184A1A"/>
    <w:rsid w:val="00184E7C"/>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45E5"/>
    <w:rsid w:val="001B480A"/>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229D"/>
    <w:rsid w:val="001E2EE7"/>
    <w:rsid w:val="001E4863"/>
    <w:rsid w:val="001E4876"/>
    <w:rsid w:val="001E492C"/>
    <w:rsid w:val="001E4CD1"/>
    <w:rsid w:val="001E4CE7"/>
    <w:rsid w:val="001E52BD"/>
    <w:rsid w:val="001E6826"/>
    <w:rsid w:val="001E6B6A"/>
    <w:rsid w:val="001E7A51"/>
    <w:rsid w:val="001E7FB0"/>
    <w:rsid w:val="001F0299"/>
    <w:rsid w:val="001F0A15"/>
    <w:rsid w:val="001F0B4D"/>
    <w:rsid w:val="001F0EB9"/>
    <w:rsid w:val="001F1041"/>
    <w:rsid w:val="001F133A"/>
    <w:rsid w:val="001F2180"/>
    <w:rsid w:val="001F262B"/>
    <w:rsid w:val="001F2639"/>
    <w:rsid w:val="001F2A25"/>
    <w:rsid w:val="001F2F77"/>
    <w:rsid w:val="001F3ED9"/>
    <w:rsid w:val="001F4B8D"/>
    <w:rsid w:val="001F532D"/>
    <w:rsid w:val="001F5593"/>
    <w:rsid w:val="001F55A9"/>
    <w:rsid w:val="001F5941"/>
    <w:rsid w:val="001F5B2F"/>
    <w:rsid w:val="001F7082"/>
    <w:rsid w:val="001F74FD"/>
    <w:rsid w:val="001F768E"/>
    <w:rsid w:val="002008F8"/>
    <w:rsid w:val="0020120E"/>
    <w:rsid w:val="00204634"/>
    <w:rsid w:val="00204ABF"/>
    <w:rsid w:val="00205A38"/>
    <w:rsid w:val="0021000F"/>
    <w:rsid w:val="0021077F"/>
    <w:rsid w:val="002109F1"/>
    <w:rsid w:val="00210FA0"/>
    <w:rsid w:val="00211185"/>
    <w:rsid w:val="00211D34"/>
    <w:rsid w:val="0021209C"/>
    <w:rsid w:val="002124A3"/>
    <w:rsid w:val="00212CEF"/>
    <w:rsid w:val="00212F62"/>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5A8C"/>
    <w:rsid w:val="002263DB"/>
    <w:rsid w:val="00226B06"/>
    <w:rsid w:val="00226BC8"/>
    <w:rsid w:val="00227C6A"/>
    <w:rsid w:val="0023019F"/>
    <w:rsid w:val="00230617"/>
    <w:rsid w:val="00232883"/>
    <w:rsid w:val="002358B9"/>
    <w:rsid w:val="00235B05"/>
    <w:rsid w:val="00236378"/>
    <w:rsid w:val="00236775"/>
    <w:rsid w:val="00236C85"/>
    <w:rsid w:val="00236EB8"/>
    <w:rsid w:val="002375C3"/>
    <w:rsid w:val="00237650"/>
    <w:rsid w:val="002376AA"/>
    <w:rsid w:val="00240937"/>
    <w:rsid w:val="002410D5"/>
    <w:rsid w:val="00241CA1"/>
    <w:rsid w:val="00241D77"/>
    <w:rsid w:val="00243C1C"/>
    <w:rsid w:val="00243C73"/>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C6C"/>
    <w:rsid w:val="00260FA2"/>
    <w:rsid w:val="002615BC"/>
    <w:rsid w:val="00261A49"/>
    <w:rsid w:val="00261FDE"/>
    <w:rsid w:val="0026238B"/>
    <w:rsid w:val="00262BC3"/>
    <w:rsid w:val="0026301C"/>
    <w:rsid w:val="00263A62"/>
    <w:rsid w:val="00263F26"/>
    <w:rsid w:val="002640F8"/>
    <w:rsid w:val="00264A0A"/>
    <w:rsid w:val="0026583A"/>
    <w:rsid w:val="00265D0F"/>
    <w:rsid w:val="00266CD6"/>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E55"/>
    <w:rsid w:val="00277E6A"/>
    <w:rsid w:val="00280809"/>
    <w:rsid w:val="002813ED"/>
    <w:rsid w:val="00281D74"/>
    <w:rsid w:val="00282BAC"/>
    <w:rsid w:val="00285AB7"/>
    <w:rsid w:val="002870CA"/>
    <w:rsid w:val="0028750E"/>
    <w:rsid w:val="002879B8"/>
    <w:rsid w:val="00287F5C"/>
    <w:rsid w:val="002901B2"/>
    <w:rsid w:val="00290209"/>
    <w:rsid w:val="002902A5"/>
    <w:rsid w:val="0029072D"/>
    <w:rsid w:val="002907A3"/>
    <w:rsid w:val="002908AC"/>
    <w:rsid w:val="002927A1"/>
    <w:rsid w:val="002935C9"/>
    <w:rsid w:val="00293991"/>
    <w:rsid w:val="00293B48"/>
    <w:rsid w:val="00293D9D"/>
    <w:rsid w:val="0029542F"/>
    <w:rsid w:val="00295EB9"/>
    <w:rsid w:val="00296DE6"/>
    <w:rsid w:val="002977C1"/>
    <w:rsid w:val="0029780F"/>
    <w:rsid w:val="002A0037"/>
    <w:rsid w:val="002A1672"/>
    <w:rsid w:val="002A1BE8"/>
    <w:rsid w:val="002A1ED4"/>
    <w:rsid w:val="002A25DE"/>
    <w:rsid w:val="002A2CA3"/>
    <w:rsid w:val="002A40D1"/>
    <w:rsid w:val="002A4B2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983"/>
    <w:rsid w:val="002D5CD9"/>
    <w:rsid w:val="002D5F5F"/>
    <w:rsid w:val="002D694E"/>
    <w:rsid w:val="002D6D93"/>
    <w:rsid w:val="002D6DEA"/>
    <w:rsid w:val="002D734E"/>
    <w:rsid w:val="002D7417"/>
    <w:rsid w:val="002D75D8"/>
    <w:rsid w:val="002E0068"/>
    <w:rsid w:val="002E0B6A"/>
    <w:rsid w:val="002E13D6"/>
    <w:rsid w:val="002E2200"/>
    <w:rsid w:val="002E2870"/>
    <w:rsid w:val="002E3BE2"/>
    <w:rsid w:val="002E3F34"/>
    <w:rsid w:val="002E45FB"/>
    <w:rsid w:val="002E467F"/>
    <w:rsid w:val="002E4A7B"/>
    <w:rsid w:val="002E52A2"/>
    <w:rsid w:val="002E5598"/>
    <w:rsid w:val="002E633F"/>
    <w:rsid w:val="002E7392"/>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A0A"/>
    <w:rsid w:val="00310D6D"/>
    <w:rsid w:val="003112F3"/>
    <w:rsid w:val="003116A1"/>
    <w:rsid w:val="00313127"/>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776"/>
    <w:rsid w:val="00332889"/>
    <w:rsid w:val="00333684"/>
    <w:rsid w:val="003338B2"/>
    <w:rsid w:val="00333991"/>
    <w:rsid w:val="00333BCF"/>
    <w:rsid w:val="00333D9E"/>
    <w:rsid w:val="0033449E"/>
    <w:rsid w:val="0033586A"/>
    <w:rsid w:val="00335D53"/>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50ADD"/>
    <w:rsid w:val="00350DCD"/>
    <w:rsid w:val="00350E02"/>
    <w:rsid w:val="00350F79"/>
    <w:rsid w:val="0035107A"/>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4A0"/>
    <w:rsid w:val="0036394B"/>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5BA"/>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ECD"/>
    <w:rsid w:val="003A31F6"/>
    <w:rsid w:val="003A433A"/>
    <w:rsid w:val="003A45C2"/>
    <w:rsid w:val="003A47E9"/>
    <w:rsid w:val="003A4FBC"/>
    <w:rsid w:val="003A5707"/>
    <w:rsid w:val="003A57EC"/>
    <w:rsid w:val="003A59B3"/>
    <w:rsid w:val="003A6398"/>
    <w:rsid w:val="003A66ED"/>
    <w:rsid w:val="003A672C"/>
    <w:rsid w:val="003A6E0A"/>
    <w:rsid w:val="003B000F"/>
    <w:rsid w:val="003B0249"/>
    <w:rsid w:val="003B0BDA"/>
    <w:rsid w:val="003B0C63"/>
    <w:rsid w:val="003B0F4A"/>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3DB"/>
    <w:rsid w:val="003C54D3"/>
    <w:rsid w:val="003C63AF"/>
    <w:rsid w:val="003C7827"/>
    <w:rsid w:val="003C7F70"/>
    <w:rsid w:val="003D076C"/>
    <w:rsid w:val="003D07A6"/>
    <w:rsid w:val="003D0983"/>
    <w:rsid w:val="003D11F9"/>
    <w:rsid w:val="003D128A"/>
    <w:rsid w:val="003D220A"/>
    <w:rsid w:val="003D3478"/>
    <w:rsid w:val="003D39B9"/>
    <w:rsid w:val="003D3B96"/>
    <w:rsid w:val="003D40FF"/>
    <w:rsid w:val="003D5179"/>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1FC5"/>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931"/>
    <w:rsid w:val="004021C1"/>
    <w:rsid w:val="00402DB6"/>
    <w:rsid w:val="004030B3"/>
    <w:rsid w:val="0040394F"/>
    <w:rsid w:val="00404162"/>
    <w:rsid w:val="0040463C"/>
    <w:rsid w:val="00404AD5"/>
    <w:rsid w:val="00404D1B"/>
    <w:rsid w:val="0040616A"/>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52A"/>
    <w:rsid w:val="00446750"/>
    <w:rsid w:val="0044775D"/>
    <w:rsid w:val="004477A0"/>
    <w:rsid w:val="00447904"/>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C72"/>
    <w:rsid w:val="00487E42"/>
    <w:rsid w:val="004902C7"/>
    <w:rsid w:val="004912F0"/>
    <w:rsid w:val="004925EB"/>
    <w:rsid w:val="00492943"/>
    <w:rsid w:val="00492C73"/>
    <w:rsid w:val="00492F22"/>
    <w:rsid w:val="00493415"/>
    <w:rsid w:val="00493EAE"/>
    <w:rsid w:val="00495155"/>
    <w:rsid w:val="004960E9"/>
    <w:rsid w:val="00496414"/>
    <w:rsid w:val="004964D6"/>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FE1"/>
    <w:rsid w:val="004C7024"/>
    <w:rsid w:val="004D03CB"/>
    <w:rsid w:val="004D0934"/>
    <w:rsid w:val="004D142A"/>
    <w:rsid w:val="004D31A2"/>
    <w:rsid w:val="004D3EB6"/>
    <w:rsid w:val="004D49E3"/>
    <w:rsid w:val="004D4FB5"/>
    <w:rsid w:val="004D5600"/>
    <w:rsid w:val="004D6B82"/>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408"/>
    <w:rsid w:val="004F19FB"/>
    <w:rsid w:val="004F24B5"/>
    <w:rsid w:val="004F2597"/>
    <w:rsid w:val="004F4032"/>
    <w:rsid w:val="004F43CD"/>
    <w:rsid w:val="004F4552"/>
    <w:rsid w:val="004F5032"/>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3D16"/>
    <w:rsid w:val="00514674"/>
    <w:rsid w:val="0051485D"/>
    <w:rsid w:val="00515246"/>
    <w:rsid w:val="00515C6C"/>
    <w:rsid w:val="00515F11"/>
    <w:rsid w:val="0051737B"/>
    <w:rsid w:val="00517DBC"/>
    <w:rsid w:val="00517E73"/>
    <w:rsid w:val="005206E2"/>
    <w:rsid w:val="00521378"/>
    <w:rsid w:val="005213F1"/>
    <w:rsid w:val="00522142"/>
    <w:rsid w:val="00522D49"/>
    <w:rsid w:val="005233AA"/>
    <w:rsid w:val="005236DB"/>
    <w:rsid w:val="00524B22"/>
    <w:rsid w:val="00524EFD"/>
    <w:rsid w:val="00526CB1"/>
    <w:rsid w:val="00527E4B"/>
    <w:rsid w:val="005300D3"/>
    <w:rsid w:val="00530569"/>
    <w:rsid w:val="005307C3"/>
    <w:rsid w:val="00530A8E"/>
    <w:rsid w:val="0053131E"/>
    <w:rsid w:val="00532748"/>
    <w:rsid w:val="00533B44"/>
    <w:rsid w:val="00533B5B"/>
    <w:rsid w:val="00533FEB"/>
    <w:rsid w:val="0053405D"/>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F82"/>
    <w:rsid w:val="00545484"/>
    <w:rsid w:val="00546550"/>
    <w:rsid w:val="005470D9"/>
    <w:rsid w:val="00547653"/>
    <w:rsid w:val="0055024D"/>
    <w:rsid w:val="005505D0"/>
    <w:rsid w:val="00551A54"/>
    <w:rsid w:val="00551CF1"/>
    <w:rsid w:val="0055300C"/>
    <w:rsid w:val="005539CD"/>
    <w:rsid w:val="00554AF3"/>
    <w:rsid w:val="00554BC1"/>
    <w:rsid w:val="00556498"/>
    <w:rsid w:val="005575A4"/>
    <w:rsid w:val="0056082B"/>
    <w:rsid w:val="005609BC"/>
    <w:rsid w:val="00560C53"/>
    <w:rsid w:val="00561796"/>
    <w:rsid w:val="00562294"/>
    <w:rsid w:val="005626E0"/>
    <w:rsid w:val="0056286A"/>
    <w:rsid w:val="0056321B"/>
    <w:rsid w:val="00564ABA"/>
    <w:rsid w:val="00564C4E"/>
    <w:rsid w:val="00565193"/>
    <w:rsid w:val="00565841"/>
    <w:rsid w:val="005672F4"/>
    <w:rsid w:val="0057046A"/>
    <w:rsid w:val="00570511"/>
    <w:rsid w:val="0057063C"/>
    <w:rsid w:val="00570D80"/>
    <w:rsid w:val="00572213"/>
    <w:rsid w:val="00574084"/>
    <w:rsid w:val="005745EF"/>
    <w:rsid w:val="0057472E"/>
    <w:rsid w:val="00574FB3"/>
    <w:rsid w:val="005758E2"/>
    <w:rsid w:val="00575D04"/>
    <w:rsid w:val="00575E42"/>
    <w:rsid w:val="00575FC8"/>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6A8"/>
    <w:rsid w:val="00595744"/>
    <w:rsid w:val="005959BB"/>
    <w:rsid w:val="00596C97"/>
    <w:rsid w:val="00596D0A"/>
    <w:rsid w:val="00596E8D"/>
    <w:rsid w:val="00597494"/>
    <w:rsid w:val="005A00FD"/>
    <w:rsid w:val="005A0536"/>
    <w:rsid w:val="005A05EE"/>
    <w:rsid w:val="005A158B"/>
    <w:rsid w:val="005A1AD2"/>
    <w:rsid w:val="005A24F3"/>
    <w:rsid w:val="005A2829"/>
    <w:rsid w:val="005A36C1"/>
    <w:rsid w:val="005A38D6"/>
    <w:rsid w:val="005A38F3"/>
    <w:rsid w:val="005A3B54"/>
    <w:rsid w:val="005A4114"/>
    <w:rsid w:val="005A4191"/>
    <w:rsid w:val="005A4407"/>
    <w:rsid w:val="005A49FD"/>
    <w:rsid w:val="005A4C09"/>
    <w:rsid w:val="005A559B"/>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361E"/>
    <w:rsid w:val="005C3F2A"/>
    <w:rsid w:val="005C4862"/>
    <w:rsid w:val="005C50CB"/>
    <w:rsid w:val="005C599C"/>
    <w:rsid w:val="005C5E64"/>
    <w:rsid w:val="005C63A8"/>
    <w:rsid w:val="005C7B2B"/>
    <w:rsid w:val="005D0F1F"/>
    <w:rsid w:val="005D1429"/>
    <w:rsid w:val="005D215E"/>
    <w:rsid w:val="005D3655"/>
    <w:rsid w:val="005D3998"/>
    <w:rsid w:val="005D492F"/>
    <w:rsid w:val="005D4E62"/>
    <w:rsid w:val="005D52B3"/>
    <w:rsid w:val="005D539E"/>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460"/>
    <w:rsid w:val="00635A91"/>
    <w:rsid w:val="00635D20"/>
    <w:rsid w:val="0063613E"/>
    <w:rsid w:val="006363D0"/>
    <w:rsid w:val="006366A7"/>
    <w:rsid w:val="0064008D"/>
    <w:rsid w:val="00640274"/>
    <w:rsid w:val="00640FA4"/>
    <w:rsid w:val="0064111E"/>
    <w:rsid w:val="0064117E"/>
    <w:rsid w:val="00641483"/>
    <w:rsid w:val="00642010"/>
    <w:rsid w:val="0064391D"/>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56E"/>
    <w:rsid w:val="00657695"/>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F0F"/>
    <w:rsid w:val="00684919"/>
    <w:rsid w:val="00684AB3"/>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BD7"/>
    <w:rsid w:val="006A61E7"/>
    <w:rsid w:val="006A71B1"/>
    <w:rsid w:val="006A71F5"/>
    <w:rsid w:val="006A7392"/>
    <w:rsid w:val="006A7868"/>
    <w:rsid w:val="006B0EAB"/>
    <w:rsid w:val="006B12CB"/>
    <w:rsid w:val="006B23A9"/>
    <w:rsid w:val="006B2AC4"/>
    <w:rsid w:val="006B2C70"/>
    <w:rsid w:val="006B2CA2"/>
    <w:rsid w:val="006B333A"/>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D0453"/>
    <w:rsid w:val="006D0550"/>
    <w:rsid w:val="006D0E7F"/>
    <w:rsid w:val="006D2557"/>
    <w:rsid w:val="006D2817"/>
    <w:rsid w:val="006D394A"/>
    <w:rsid w:val="006D3BEB"/>
    <w:rsid w:val="006D3C42"/>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33F"/>
    <w:rsid w:val="006E654E"/>
    <w:rsid w:val="006E6A53"/>
    <w:rsid w:val="006E712D"/>
    <w:rsid w:val="006F0147"/>
    <w:rsid w:val="006F1914"/>
    <w:rsid w:val="006F2052"/>
    <w:rsid w:val="006F2F91"/>
    <w:rsid w:val="006F4C1B"/>
    <w:rsid w:val="006F55A6"/>
    <w:rsid w:val="006F57C3"/>
    <w:rsid w:val="006F5AA7"/>
    <w:rsid w:val="006F5AD7"/>
    <w:rsid w:val="006F611E"/>
    <w:rsid w:val="006F65EE"/>
    <w:rsid w:val="006F6A9F"/>
    <w:rsid w:val="006F6D95"/>
    <w:rsid w:val="006F74A5"/>
    <w:rsid w:val="006F75C6"/>
    <w:rsid w:val="006F7B4F"/>
    <w:rsid w:val="0070130A"/>
    <w:rsid w:val="0070157F"/>
    <w:rsid w:val="00701F4A"/>
    <w:rsid w:val="00701FB5"/>
    <w:rsid w:val="007026B9"/>
    <w:rsid w:val="00702CC9"/>
    <w:rsid w:val="00702DFD"/>
    <w:rsid w:val="00703123"/>
    <w:rsid w:val="007031F7"/>
    <w:rsid w:val="00704B23"/>
    <w:rsid w:val="0070524E"/>
    <w:rsid w:val="0070698A"/>
    <w:rsid w:val="00706F13"/>
    <w:rsid w:val="00706F5F"/>
    <w:rsid w:val="00706FFA"/>
    <w:rsid w:val="0070702E"/>
    <w:rsid w:val="00707180"/>
    <w:rsid w:val="007072E8"/>
    <w:rsid w:val="00707ABF"/>
    <w:rsid w:val="0071081E"/>
    <w:rsid w:val="00712D37"/>
    <w:rsid w:val="007130D0"/>
    <w:rsid w:val="007132F9"/>
    <w:rsid w:val="00713D0E"/>
    <w:rsid w:val="00713EC6"/>
    <w:rsid w:val="00714EB2"/>
    <w:rsid w:val="007158C6"/>
    <w:rsid w:val="007160FE"/>
    <w:rsid w:val="0071618D"/>
    <w:rsid w:val="00716EA8"/>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6CA"/>
    <w:rsid w:val="00763E5B"/>
    <w:rsid w:val="007644E1"/>
    <w:rsid w:val="007646BF"/>
    <w:rsid w:val="00764956"/>
    <w:rsid w:val="00764FC5"/>
    <w:rsid w:val="00765BF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75"/>
    <w:rsid w:val="00776A7A"/>
    <w:rsid w:val="00776BD0"/>
    <w:rsid w:val="00777DBF"/>
    <w:rsid w:val="00780489"/>
    <w:rsid w:val="0078052E"/>
    <w:rsid w:val="007810BE"/>
    <w:rsid w:val="007818F2"/>
    <w:rsid w:val="00781E11"/>
    <w:rsid w:val="00782BA7"/>
    <w:rsid w:val="007833A7"/>
    <w:rsid w:val="007833C9"/>
    <w:rsid w:val="007836B9"/>
    <w:rsid w:val="007838D1"/>
    <w:rsid w:val="00785730"/>
    <w:rsid w:val="00786458"/>
    <w:rsid w:val="00786F88"/>
    <w:rsid w:val="00787219"/>
    <w:rsid w:val="00787FFA"/>
    <w:rsid w:val="00790034"/>
    <w:rsid w:val="007902A0"/>
    <w:rsid w:val="007905F7"/>
    <w:rsid w:val="00790ABF"/>
    <w:rsid w:val="00790E66"/>
    <w:rsid w:val="00792487"/>
    <w:rsid w:val="00794353"/>
    <w:rsid w:val="00794BAC"/>
    <w:rsid w:val="00794E60"/>
    <w:rsid w:val="007951A8"/>
    <w:rsid w:val="00795B57"/>
    <w:rsid w:val="00795BFB"/>
    <w:rsid w:val="0079655C"/>
    <w:rsid w:val="0079750B"/>
    <w:rsid w:val="007A0C15"/>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D76"/>
    <w:rsid w:val="007A7E06"/>
    <w:rsid w:val="007B095A"/>
    <w:rsid w:val="007B0989"/>
    <w:rsid w:val="007B0F22"/>
    <w:rsid w:val="007B2424"/>
    <w:rsid w:val="007B2617"/>
    <w:rsid w:val="007B2760"/>
    <w:rsid w:val="007B35F6"/>
    <w:rsid w:val="007B361C"/>
    <w:rsid w:val="007B4F3D"/>
    <w:rsid w:val="007B5D12"/>
    <w:rsid w:val="007B5E9A"/>
    <w:rsid w:val="007B5F8B"/>
    <w:rsid w:val="007B6A62"/>
    <w:rsid w:val="007B71A2"/>
    <w:rsid w:val="007B7211"/>
    <w:rsid w:val="007B7859"/>
    <w:rsid w:val="007B796D"/>
    <w:rsid w:val="007C1C5C"/>
    <w:rsid w:val="007C266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C55"/>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6F5A"/>
    <w:rsid w:val="0081708A"/>
    <w:rsid w:val="00817625"/>
    <w:rsid w:val="00817642"/>
    <w:rsid w:val="00817846"/>
    <w:rsid w:val="00820794"/>
    <w:rsid w:val="008210A2"/>
    <w:rsid w:val="008211A4"/>
    <w:rsid w:val="00821797"/>
    <w:rsid w:val="00821A08"/>
    <w:rsid w:val="00821AA9"/>
    <w:rsid w:val="00822BE6"/>
    <w:rsid w:val="00822D51"/>
    <w:rsid w:val="0082340B"/>
    <w:rsid w:val="0082345D"/>
    <w:rsid w:val="0082417E"/>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726"/>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C48"/>
    <w:rsid w:val="00862010"/>
    <w:rsid w:val="00862C82"/>
    <w:rsid w:val="00862FD1"/>
    <w:rsid w:val="00863B7D"/>
    <w:rsid w:val="008641A3"/>
    <w:rsid w:val="00864DF2"/>
    <w:rsid w:val="00865302"/>
    <w:rsid w:val="008657E9"/>
    <w:rsid w:val="00865DD0"/>
    <w:rsid w:val="00865F1E"/>
    <w:rsid w:val="00865FC7"/>
    <w:rsid w:val="00866B2F"/>
    <w:rsid w:val="00867071"/>
    <w:rsid w:val="0087001A"/>
    <w:rsid w:val="0087038A"/>
    <w:rsid w:val="00870498"/>
    <w:rsid w:val="0087054E"/>
    <w:rsid w:val="0087105D"/>
    <w:rsid w:val="00871127"/>
    <w:rsid w:val="00871381"/>
    <w:rsid w:val="00871AE7"/>
    <w:rsid w:val="008720ED"/>
    <w:rsid w:val="00872A86"/>
    <w:rsid w:val="00872ACB"/>
    <w:rsid w:val="00872FA6"/>
    <w:rsid w:val="00873150"/>
    <w:rsid w:val="00873FC2"/>
    <w:rsid w:val="008749B9"/>
    <w:rsid w:val="00874ADA"/>
    <w:rsid w:val="0087657D"/>
    <w:rsid w:val="00876CC1"/>
    <w:rsid w:val="008803F3"/>
    <w:rsid w:val="008807D5"/>
    <w:rsid w:val="00880832"/>
    <w:rsid w:val="008817B3"/>
    <w:rsid w:val="008817DA"/>
    <w:rsid w:val="00881968"/>
    <w:rsid w:val="00881A2C"/>
    <w:rsid w:val="00882046"/>
    <w:rsid w:val="00884344"/>
    <w:rsid w:val="0088438E"/>
    <w:rsid w:val="00884584"/>
    <w:rsid w:val="00884D15"/>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F58"/>
    <w:rsid w:val="008A38F4"/>
    <w:rsid w:val="008A4DD5"/>
    <w:rsid w:val="008A4F0C"/>
    <w:rsid w:val="008A5141"/>
    <w:rsid w:val="008A573A"/>
    <w:rsid w:val="008A58C5"/>
    <w:rsid w:val="008A5A4D"/>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E1C05"/>
    <w:rsid w:val="008E2118"/>
    <w:rsid w:val="008E2DAC"/>
    <w:rsid w:val="008E2F4A"/>
    <w:rsid w:val="008E4B42"/>
    <w:rsid w:val="008E5B20"/>
    <w:rsid w:val="008E5D8F"/>
    <w:rsid w:val="008E64DD"/>
    <w:rsid w:val="008E6F6E"/>
    <w:rsid w:val="008E70DD"/>
    <w:rsid w:val="008E76AC"/>
    <w:rsid w:val="008F035E"/>
    <w:rsid w:val="008F057E"/>
    <w:rsid w:val="008F11DD"/>
    <w:rsid w:val="008F1403"/>
    <w:rsid w:val="008F18D2"/>
    <w:rsid w:val="008F1B6C"/>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10695"/>
    <w:rsid w:val="00910EC5"/>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52C"/>
    <w:rsid w:val="00950D25"/>
    <w:rsid w:val="00951EEF"/>
    <w:rsid w:val="00951F79"/>
    <w:rsid w:val="00952E6F"/>
    <w:rsid w:val="00953D94"/>
    <w:rsid w:val="009548BF"/>
    <w:rsid w:val="00955001"/>
    <w:rsid w:val="009556A3"/>
    <w:rsid w:val="00955C28"/>
    <w:rsid w:val="00955C98"/>
    <w:rsid w:val="009560E5"/>
    <w:rsid w:val="00956B6C"/>
    <w:rsid w:val="0095702B"/>
    <w:rsid w:val="0095737C"/>
    <w:rsid w:val="00957AFA"/>
    <w:rsid w:val="00957D90"/>
    <w:rsid w:val="009608BF"/>
    <w:rsid w:val="00961272"/>
    <w:rsid w:val="009617BA"/>
    <w:rsid w:val="00961D9C"/>
    <w:rsid w:val="00961E52"/>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9EF"/>
    <w:rsid w:val="00984A11"/>
    <w:rsid w:val="00984F50"/>
    <w:rsid w:val="009856DC"/>
    <w:rsid w:val="009858BC"/>
    <w:rsid w:val="00985E0A"/>
    <w:rsid w:val="009861D3"/>
    <w:rsid w:val="0098685C"/>
    <w:rsid w:val="009868C9"/>
    <w:rsid w:val="00986D00"/>
    <w:rsid w:val="0098704F"/>
    <w:rsid w:val="0098706D"/>
    <w:rsid w:val="00987A3B"/>
    <w:rsid w:val="00987A78"/>
    <w:rsid w:val="009906B3"/>
    <w:rsid w:val="00990A9F"/>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99"/>
    <w:rsid w:val="009A3CB4"/>
    <w:rsid w:val="009A40CB"/>
    <w:rsid w:val="009A48BD"/>
    <w:rsid w:val="009A4937"/>
    <w:rsid w:val="009A5085"/>
    <w:rsid w:val="009A577F"/>
    <w:rsid w:val="009A5A79"/>
    <w:rsid w:val="009A718C"/>
    <w:rsid w:val="009A7FBB"/>
    <w:rsid w:val="009B0512"/>
    <w:rsid w:val="009B08CE"/>
    <w:rsid w:val="009B0DB1"/>
    <w:rsid w:val="009B0EAA"/>
    <w:rsid w:val="009B0F5D"/>
    <w:rsid w:val="009B16DD"/>
    <w:rsid w:val="009B1E44"/>
    <w:rsid w:val="009B23A4"/>
    <w:rsid w:val="009B24A0"/>
    <w:rsid w:val="009B2AE1"/>
    <w:rsid w:val="009B2CD0"/>
    <w:rsid w:val="009B2E29"/>
    <w:rsid w:val="009B2E8D"/>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77"/>
    <w:rsid w:val="009C7834"/>
    <w:rsid w:val="009C7C72"/>
    <w:rsid w:val="009C7F0C"/>
    <w:rsid w:val="009C7F5D"/>
    <w:rsid w:val="009D181B"/>
    <w:rsid w:val="009D228A"/>
    <w:rsid w:val="009D26E4"/>
    <w:rsid w:val="009D29B9"/>
    <w:rsid w:val="009D3F90"/>
    <w:rsid w:val="009D42DC"/>
    <w:rsid w:val="009D523E"/>
    <w:rsid w:val="009D53AA"/>
    <w:rsid w:val="009D5B19"/>
    <w:rsid w:val="009D75A2"/>
    <w:rsid w:val="009D7E92"/>
    <w:rsid w:val="009E01CC"/>
    <w:rsid w:val="009E040C"/>
    <w:rsid w:val="009E045A"/>
    <w:rsid w:val="009E0E69"/>
    <w:rsid w:val="009E1442"/>
    <w:rsid w:val="009E1760"/>
    <w:rsid w:val="009E1D42"/>
    <w:rsid w:val="009E2C2B"/>
    <w:rsid w:val="009E3519"/>
    <w:rsid w:val="009E3B2E"/>
    <w:rsid w:val="009E3FBC"/>
    <w:rsid w:val="009E5101"/>
    <w:rsid w:val="009E5AAC"/>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A8C"/>
    <w:rsid w:val="00A12305"/>
    <w:rsid w:val="00A12B6F"/>
    <w:rsid w:val="00A12BEB"/>
    <w:rsid w:val="00A12F7B"/>
    <w:rsid w:val="00A12FCC"/>
    <w:rsid w:val="00A13243"/>
    <w:rsid w:val="00A13E30"/>
    <w:rsid w:val="00A1540B"/>
    <w:rsid w:val="00A15621"/>
    <w:rsid w:val="00A15A77"/>
    <w:rsid w:val="00A15B44"/>
    <w:rsid w:val="00A16106"/>
    <w:rsid w:val="00A16111"/>
    <w:rsid w:val="00A169CF"/>
    <w:rsid w:val="00A1714D"/>
    <w:rsid w:val="00A20326"/>
    <w:rsid w:val="00A20444"/>
    <w:rsid w:val="00A20616"/>
    <w:rsid w:val="00A20E4C"/>
    <w:rsid w:val="00A21C1A"/>
    <w:rsid w:val="00A253A8"/>
    <w:rsid w:val="00A25FD7"/>
    <w:rsid w:val="00A2614F"/>
    <w:rsid w:val="00A27C03"/>
    <w:rsid w:val="00A27DFA"/>
    <w:rsid w:val="00A27F03"/>
    <w:rsid w:val="00A304F5"/>
    <w:rsid w:val="00A30C52"/>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F72"/>
    <w:rsid w:val="00AA258A"/>
    <w:rsid w:val="00AA2AF6"/>
    <w:rsid w:val="00AA386A"/>
    <w:rsid w:val="00AA3BE6"/>
    <w:rsid w:val="00AA4CC7"/>
    <w:rsid w:val="00AA4FBB"/>
    <w:rsid w:val="00AA555B"/>
    <w:rsid w:val="00AA5B59"/>
    <w:rsid w:val="00AA5BDF"/>
    <w:rsid w:val="00AA5E8E"/>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80D"/>
    <w:rsid w:val="00AB5929"/>
    <w:rsid w:val="00AB6147"/>
    <w:rsid w:val="00AB6CA7"/>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5197"/>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088"/>
    <w:rsid w:val="00B23645"/>
    <w:rsid w:val="00B23F04"/>
    <w:rsid w:val="00B2568B"/>
    <w:rsid w:val="00B25747"/>
    <w:rsid w:val="00B25B45"/>
    <w:rsid w:val="00B264B5"/>
    <w:rsid w:val="00B26FBE"/>
    <w:rsid w:val="00B27123"/>
    <w:rsid w:val="00B32148"/>
    <w:rsid w:val="00B32EB3"/>
    <w:rsid w:val="00B330AC"/>
    <w:rsid w:val="00B33AEF"/>
    <w:rsid w:val="00B34AE0"/>
    <w:rsid w:val="00B351B4"/>
    <w:rsid w:val="00B3577F"/>
    <w:rsid w:val="00B362BF"/>
    <w:rsid w:val="00B365ED"/>
    <w:rsid w:val="00B37429"/>
    <w:rsid w:val="00B37CF6"/>
    <w:rsid w:val="00B37F7E"/>
    <w:rsid w:val="00B403A3"/>
    <w:rsid w:val="00B414C3"/>
    <w:rsid w:val="00B416D3"/>
    <w:rsid w:val="00B4190E"/>
    <w:rsid w:val="00B41DD4"/>
    <w:rsid w:val="00B42776"/>
    <w:rsid w:val="00B42959"/>
    <w:rsid w:val="00B44EED"/>
    <w:rsid w:val="00B44F73"/>
    <w:rsid w:val="00B454C6"/>
    <w:rsid w:val="00B456AC"/>
    <w:rsid w:val="00B4596C"/>
    <w:rsid w:val="00B467FA"/>
    <w:rsid w:val="00B46BCA"/>
    <w:rsid w:val="00B46BD6"/>
    <w:rsid w:val="00B46F87"/>
    <w:rsid w:val="00B472BF"/>
    <w:rsid w:val="00B478A0"/>
    <w:rsid w:val="00B50148"/>
    <w:rsid w:val="00B5058C"/>
    <w:rsid w:val="00B50591"/>
    <w:rsid w:val="00B50F14"/>
    <w:rsid w:val="00B510DE"/>
    <w:rsid w:val="00B51F50"/>
    <w:rsid w:val="00B52612"/>
    <w:rsid w:val="00B52B6B"/>
    <w:rsid w:val="00B53767"/>
    <w:rsid w:val="00B53D86"/>
    <w:rsid w:val="00B54206"/>
    <w:rsid w:val="00B54919"/>
    <w:rsid w:val="00B54F96"/>
    <w:rsid w:val="00B55F6D"/>
    <w:rsid w:val="00B579BE"/>
    <w:rsid w:val="00B57BC4"/>
    <w:rsid w:val="00B608E3"/>
    <w:rsid w:val="00B60EE3"/>
    <w:rsid w:val="00B61525"/>
    <w:rsid w:val="00B616F2"/>
    <w:rsid w:val="00B61C8B"/>
    <w:rsid w:val="00B61ED0"/>
    <w:rsid w:val="00B62EDD"/>
    <w:rsid w:val="00B65858"/>
    <w:rsid w:val="00B65917"/>
    <w:rsid w:val="00B661C6"/>
    <w:rsid w:val="00B7004F"/>
    <w:rsid w:val="00B70231"/>
    <w:rsid w:val="00B70355"/>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4135"/>
    <w:rsid w:val="00B84636"/>
    <w:rsid w:val="00B84EF1"/>
    <w:rsid w:val="00B852BE"/>
    <w:rsid w:val="00B85376"/>
    <w:rsid w:val="00B856FB"/>
    <w:rsid w:val="00B859DD"/>
    <w:rsid w:val="00B863FA"/>
    <w:rsid w:val="00B87806"/>
    <w:rsid w:val="00B879C6"/>
    <w:rsid w:val="00B87BC1"/>
    <w:rsid w:val="00B87EC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3D50"/>
    <w:rsid w:val="00BA4F0C"/>
    <w:rsid w:val="00BA652B"/>
    <w:rsid w:val="00BA6AC6"/>
    <w:rsid w:val="00BA6B17"/>
    <w:rsid w:val="00BA7371"/>
    <w:rsid w:val="00BA794F"/>
    <w:rsid w:val="00BB0D0D"/>
    <w:rsid w:val="00BB14C5"/>
    <w:rsid w:val="00BB240E"/>
    <w:rsid w:val="00BB2AF2"/>
    <w:rsid w:val="00BB365F"/>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D7DFA"/>
    <w:rsid w:val="00BE10E0"/>
    <w:rsid w:val="00BE1884"/>
    <w:rsid w:val="00BE2258"/>
    <w:rsid w:val="00BE22ED"/>
    <w:rsid w:val="00BE2E74"/>
    <w:rsid w:val="00BE312F"/>
    <w:rsid w:val="00BE3AA2"/>
    <w:rsid w:val="00BE3F19"/>
    <w:rsid w:val="00BE4AC7"/>
    <w:rsid w:val="00BE511C"/>
    <w:rsid w:val="00BE5F03"/>
    <w:rsid w:val="00BE6CB2"/>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80F"/>
    <w:rsid w:val="00C05140"/>
    <w:rsid w:val="00C051A8"/>
    <w:rsid w:val="00C05360"/>
    <w:rsid w:val="00C054BC"/>
    <w:rsid w:val="00C0562E"/>
    <w:rsid w:val="00C05B13"/>
    <w:rsid w:val="00C063DA"/>
    <w:rsid w:val="00C067D9"/>
    <w:rsid w:val="00C068B4"/>
    <w:rsid w:val="00C06AD9"/>
    <w:rsid w:val="00C072D4"/>
    <w:rsid w:val="00C0737F"/>
    <w:rsid w:val="00C07B5B"/>
    <w:rsid w:val="00C104A6"/>
    <w:rsid w:val="00C10580"/>
    <w:rsid w:val="00C10AEA"/>
    <w:rsid w:val="00C12451"/>
    <w:rsid w:val="00C13329"/>
    <w:rsid w:val="00C152DE"/>
    <w:rsid w:val="00C15AD7"/>
    <w:rsid w:val="00C15D4A"/>
    <w:rsid w:val="00C164EF"/>
    <w:rsid w:val="00C16E34"/>
    <w:rsid w:val="00C16EC7"/>
    <w:rsid w:val="00C16F07"/>
    <w:rsid w:val="00C17105"/>
    <w:rsid w:val="00C17185"/>
    <w:rsid w:val="00C1718C"/>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945"/>
    <w:rsid w:val="00C3532F"/>
    <w:rsid w:val="00C35531"/>
    <w:rsid w:val="00C35EAD"/>
    <w:rsid w:val="00C35FD7"/>
    <w:rsid w:val="00C36AC7"/>
    <w:rsid w:val="00C37827"/>
    <w:rsid w:val="00C37DCE"/>
    <w:rsid w:val="00C40098"/>
    <w:rsid w:val="00C409D5"/>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34F"/>
    <w:rsid w:val="00C4799E"/>
    <w:rsid w:val="00C47AAC"/>
    <w:rsid w:val="00C47E68"/>
    <w:rsid w:val="00C47EB1"/>
    <w:rsid w:val="00C503C9"/>
    <w:rsid w:val="00C504F0"/>
    <w:rsid w:val="00C505AE"/>
    <w:rsid w:val="00C50C61"/>
    <w:rsid w:val="00C50CB6"/>
    <w:rsid w:val="00C51339"/>
    <w:rsid w:val="00C51C0F"/>
    <w:rsid w:val="00C51F22"/>
    <w:rsid w:val="00C521D6"/>
    <w:rsid w:val="00C52731"/>
    <w:rsid w:val="00C53ACA"/>
    <w:rsid w:val="00C53CD9"/>
    <w:rsid w:val="00C5513B"/>
    <w:rsid w:val="00C55A70"/>
    <w:rsid w:val="00C56429"/>
    <w:rsid w:val="00C5651E"/>
    <w:rsid w:val="00C56625"/>
    <w:rsid w:val="00C5685E"/>
    <w:rsid w:val="00C56C84"/>
    <w:rsid w:val="00C57545"/>
    <w:rsid w:val="00C578BA"/>
    <w:rsid w:val="00C57F24"/>
    <w:rsid w:val="00C610E4"/>
    <w:rsid w:val="00C61528"/>
    <w:rsid w:val="00C61EFC"/>
    <w:rsid w:val="00C6234B"/>
    <w:rsid w:val="00C62896"/>
    <w:rsid w:val="00C62FA9"/>
    <w:rsid w:val="00C63295"/>
    <w:rsid w:val="00C63554"/>
    <w:rsid w:val="00C63D2B"/>
    <w:rsid w:val="00C63EAE"/>
    <w:rsid w:val="00C64B34"/>
    <w:rsid w:val="00C64EBD"/>
    <w:rsid w:val="00C6530D"/>
    <w:rsid w:val="00C65F90"/>
    <w:rsid w:val="00C66102"/>
    <w:rsid w:val="00C66288"/>
    <w:rsid w:val="00C669A5"/>
    <w:rsid w:val="00C66EF2"/>
    <w:rsid w:val="00C67449"/>
    <w:rsid w:val="00C70BFF"/>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DEA"/>
    <w:rsid w:val="00CB5DD0"/>
    <w:rsid w:val="00CB66D6"/>
    <w:rsid w:val="00CB680C"/>
    <w:rsid w:val="00CB6E0E"/>
    <w:rsid w:val="00CC0027"/>
    <w:rsid w:val="00CC0FAA"/>
    <w:rsid w:val="00CC1256"/>
    <w:rsid w:val="00CC1CF9"/>
    <w:rsid w:val="00CC31F9"/>
    <w:rsid w:val="00CC373A"/>
    <w:rsid w:val="00CC457E"/>
    <w:rsid w:val="00CC497B"/>
    <w:rsid w:val="00CC51D4"/>
    <w:rsid w:val="00CC5275"/>
    <w:rsid w:val="00CC5834"/>
    <w:rsid w:val="00CC598E"/>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32B1"/>
    <w:rsid w:val="00CD36CE"/>
    <w:rsid w:val="00CD3F6A"/>
    <w:rsid w:val="00CD403F"/>
    <w:rsid w:val="00CD51E4"/>
    <w:rsid w:val="00CD5508"/>
    <w:rsid w:val="00CD56FC"/>
    <w:rsid w:val="00CD5DB7"/>
    <w:rsid w:val="00CD5F81"/>
    <w:rsid w:val="00CD6E3D"/>
    <w:rsid w:val="00CD7251"/>
    <w:rsid w:val="00CE03C4"/>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42C"/>
    <w:rsid w:val="00D018F0"/>
    <w:rsid w:val="00D019B7"/>
    <w:rsid w:val="00D033DD"/>
    <w:rsid w:val="00D03800"/>
    <w:rsid w:val="00D0404E"/>
    <w:rsid w:val="00D041E4"/>
    <w:rsid w:val="00D04822"/>
    <w:rsid w:val="00D050C7"/>
    <w:rsid w:val="00D06264"/>
    <w:rsid w:val="00D065D3"/>
    <w:rsid w:val="00D06DD6"/>
    <w:rsid w:val="00D076D6"/>
    <w:rsid w:val="00D10A6F"/>
    <w:rsid w:val="00D10E88"/>
    <w:rsid w:val="00D11BA0"/>
    <w:rsid w:val="00D11BCD"/>
    <w:rsid w:val="00D135FB"/>
    <w:rsid w:val="00D13F0F"/>
    <w:rsid w:val="00D14C94"/>
    <w:rsid w:val="00D150D8"/>
    <w:rsid w:val="00D15A13"/>
    <w:rsid w:val="00D15B8D"/>
    <w:rsid w:val="00D21151"/>
    <w:rsid w:val="00D21295"/>
    <w:rsid w:val="00D21AA4"/>
    <w:rsid w:val="00D224D3"/>
    <w:rsid w:val="00D2288E"/>
    <w:rsid w:val="00D2315D"/>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30CC"/>
    <w:rsid w:val="00D330DB"/>
    <w:rsid w:val="00D342A6"/>
    <w:rsid w:val="00D34465"/>
    <w:rsid w:val="00D34B67"/>
    <w:rsid w:val="00D352C5"/>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178C"/>
    <w:rsid w:val="00D71A0F"/>
    <w:rsid w:val="00D72F94"/>
    <w:rsid w:val="00D733CA"/>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3F75"/>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427"/>
    <w:rsid w:val="00DD10E4"/>
    <w:rsid w:val="00DD1471"/>
    <w:rsid w:val="00DD273A"/>
    <w:rsid w:val="00DD2C10"/>
    <w:rsid w:val="00DD2F13"/>
    <w:rsid w:val="00DD485D"/>
    <w:rsid w:val="00DD486D"/>
    <w:rsid w:val="00DD4BFF"/>
    <w:rsid w:val="00DD4C3C"/>
    <w:rsid w:val="00DD4CE3"/>
    <w:rsid w:val="00DD4F0E"/>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45CB"/>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6BBD"/>
    <w:rsid w:val="00E26F47"/>
    <w:rsid w:val="00E27AEE"/>
    <w:rsid w:val="00E27B1D"/>
    <w:rsid w:val="00E3085D"/>
    <w:rsid w:val="00E31239"/>
    <w:rsid w:val="00E3357D"/>
    <w:rsid w:val="00E3437A"/>
    <w:rsid w:val="00E35D5A"/>
    <w:rsid w:val="00E36F20"/>
    <w:rsid w:val="00E37499"/>
    <w:rsid w:val="00E37F7A"/>
    <w:rsid w:val="00E403BF"/>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7393"/>
    <w:rsid w:val="00E604EE"/>
    <w:rsid w:val="00E60EBB"/>
    <w:rsid w:val="00E6127F"/>
    <w:rsid w:val="00E618AC"/>
    <w:rsid w:val="00E61CF9"/>
    <w:rsid w:val="00E6234C"/>
    <w:rsid w:val="00E62EE4"/>
    <w:rsid w:val="00E63061"/>
    <w:rsid w:val="00E632E0"/>
    <w:rsid w:val="00E635AC"/>
    <w:rsid w:val="00E637F6"/>
    <w:rsid w:val="00E63A17"/>
    <w:rsid w:val="00E6570C"/>
    <w:rsid w:val="00E66DD9"/>
    <w:rsid w:val="00E67019"/>
    <w:rsid w:val="00E678E3"/>
    <w:rsid w:val="00E70217"/>
    <w:rsid w:val="00E70312"/>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CDC"/>
    <w:rsid w:val="00E76ECB"/>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264A"/>
    <w:rsid w:val="00E93C5E"/>
    <w:rsid w:val="00E93EB3"/>
    <w:rsid w:val="00E93FB3"/>
    <w:rsid w:val="00E9503E"/>
    <w:rsid w:val="00E9574D"/>
    <w:rsid w:val="00E9684B"/>
    <w:rsid w:val="00E96874"/>
    <w:rsid w:val="00E97088"/>
    <w:rsid w:val="00E97099"/>
    <w:rsid w:val="00E97CB0"/>
    <w:rsid w:val="00EA0849"/>
    <w:rsid w:val="00EA14C7"/>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EE2"/>
    <w:rsid w:val="00ED1DFF"/>
    <w:rsid w:val="00ED28C9"/>
    <w:rsid w:val="00ED2A1C"/>
    <w:rsid w:val="00ED3EA2"/>
    <w:rsid w:val="00ED4147"/>
    <w:rsid w:val="00ED45AC"/>
    <w:rsid w:val="00ED4D14"/>
    <w:rsid w:val="00ED4EB3"/>
    <w:rsid w:val="00ED51A0"/>
    <w:rsid w:val="00ED54C8"/>
    <w:rsid w:val="00ED63A2"/>
    <w:rsid w:val="00ED7166"/>
    <w:rsid w:val="00ED7610"/>
    <w:rsid w:val="00EE0073"/>
    <w:rsid w:val="00EE014D"/>
    <w:rsid w:val="00EE058F"/>
    <w:rsid w:val="00EE0793"/>
    <w:rsid w:val="00EE0E6E"/>
    <w:rsid w:val="00EE1002"/>
    <w:rsid w:val="00EE2E6D"/>
    <w:rsid w:val="00EE2E6E"/>
    <w:rsid w:val="00EE2F3A"/>
    <w:rsid w:val="00EE3106"/>
    <w:rsid w:val="00EE3A47"/>
    <w:rsid w:val="00EE3B42"/>
    <w:rsid w:val="00EE3ECC"/>
    <w:rsid w:val="00EE422D"/>
    <w:rsid w:val="00EE49E1"/>
    <w:rsid w:val="00EE4BDB"/>
    <w:rsid w:val="00EE5298"/>
    <w:rsid w:val="00EE594F"/>
    <w:rsid w:val="00EE59D3"/>
    <w:rsid w:val="00EE5CB9"/>
    <w:rsid w:val="00EE5F7D"/>
    <w:rsid w:val="00EE6C8A"/>
    <w:rsid w:val="00EE6E20"/>
    <w:rsid w:val="00EE71CE"/>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4B93"/>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203"/>
    <w:rsid w:val="00F10644"/>
    <w:rsid w:val="00F10E43"/>
    <w:rsid w:val="00F10F88"/>
    <w:rsid w:val="00F124F5"/>
    <w:rsid w:val="00F13554"/>
    <w:rsid w:val="00F13FC5"/>
    <w:rsid w:val="00F143DE"/>
    <w:rsid w:val="00F14C6D"/>
    <w:rsid w:val="00F15075"/>
    <w:rsid w:val="00F15208"/>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3F8"/>
    <w:rsid w:val="00F27665"/>
    <w:rsid w:val="00F27729"/>
    <w:rsid w:val="00F27F24"/>
    <w:rsid w:val="00F306A1"/>
    <w:rsid w:val="00F30B18"/>
    <w:rsid w:val="00F31266"/>
    <w:rsid w:val="00F31642"/>
    <w:rsid w:val="00F31679"/>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7175"/>
    <w:rsid w:val="00F37B32"/>
    <w:rsid w:val="00F41373"/>
    <w:rsid w:val="00F42CBD"/>
    <w:rsid w:val="00F432E6"/>
    <w:rsid w:val="00F43858"/>
    <w:rsid w:val="00F43CA8"/>
    <w:rsid w:val="00F4514D"/>
    <w:rsid w:val="00F4540C"/>
    <w:rsid w:val="00F459E6"/>
    <w:rsid w:val="00F4627D"/>
    <w:rsid w:val="00F465C5"/>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14"/>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3C9"/>
    <w:rsid w:val="00FE0DC5"/>
    <w:rsid w:val="00FE1FE5"/>
    <w:rsid w:val="00FE277E"/>
    <w:rsid w:val="00FE39D7"/>
    <w:rsid w:val="00FE3EA7"/>
    <w:rsid w:val="00FE43B3"/>
    <w:rsid w:val="00FE48A9"/>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ABB"/>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37F9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5"/>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176"/>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7">
    <w:name w:val="Char Style 7"/>
    <w:basedOn w:val="Fuentedeprrafopredeter"/>
    <w:link w:val="Style6"/>
    <w:uiPriority w:val="99"/>
    <w:rsid w:val="007646BF"/>
    <w:rPr>
      <w:rFonts w:ascii="Arial" w:hAnsi="Arial" w:cs="Arial"/>
      <w:sz w:val="17"/>
      <w:szCs w:val="17"/>
      <w:shd w:val="clear" w:color="auto" w:fill="FFFFFF"/>
    </w:rPr>
  </w:style>
  <w:style w:type="paragraph" w:customStyle="1" w:styleId="Style6">
    <w:name w:val="Style 6"/>
    <w:basedOn w:val="Normal"/>
    <w:link w:val="CharStyle7"/>
    <w:uiPriority w:val="99"/>
    <w:rsid w:val="007646BF"/>
    <w:pPr>
      <w:widowControl w:val="0"/>
      <w:shd w:val="clear" w:color="auto" w:fill="FFFFFF"/>
      <w:spacing w:before="360" w:after="600" w:line="240" w:lineRule="atLeast"/>
      <w:ind w:left="0"/>
      <w:jc w:val="both"/>
    </w:pPr>
    <w:rPr>
      <w:rFonts w:ascii="Arial" w:hAnsi="Arial" w:cs="Arial"/>
      <w:sz w:val="17"/>
      <w:szCs w:val="17"/>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5"/>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176"/>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7">
    <w:name w:val="Char Style 7"/>
    <w:basedOn w:val="Fuentedeprrafopredeter"/>
    <w:link w:val="Style6"/>
    <w:uiPriority w:val="99"/>
    <w:rsid w:val="007646BF"/>
    <w:rPr>
      <w:rFonts w:ascii="Arial" w:hAnsi="Arial" w:cs="Arial"/>
      <w:sz w:val="17"/>
      <w:szCs w:val="17"/>
      <w:shd w:val="clear" w:color="auto" w:fill="FFFFFF"/>
    </w:rPr>
  </w:style>
  <w:style w:type="paragraph" w:customStyle="1" w:styleId="Style6">
    <w:name w:val="Style 6"/>
    <w:basedOn w:val="Normal"/>
    <w:link w:val="CharStyle7"/>
    <w:uiPriority w:val="99"/>
    <w:rsid w:val="007646BF"/>
    <w:pPr>
      <w:widowControl w:val="0"/>
      <w:shd w:val="clear" w:color="auto" w:fill="FFFFFF"/>
      <w:spacing w:before="360" w:after="600" w:line="240" w:lineRule="atLeast"/>
      <w:ind w:left="0"/>
      <w:jc w:val="both"/>
    </w:pPr>
    <w:rPr>
      <w:rFonts w:ascii="Arial" w:hAnsi="Arial" w:cs="Arial"/>
      <w:sz w:val="17"/>
      <w:szCs w:val="17"/>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1985351762">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34CE2-5EB7-4BB5-AB2E-573A4E73F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5</Pages>
  <Words>1562</Words>
  <Characters>8594</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10136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2014-10-22T19:51:00Z</cp:lastPrinted>
  <dcterms:created xsi:type="dcterms:W3CDTF">2014-10-23T13:39:00Z</dcterms:created>
  <dcterms:modified xsi:type="dcterms:W3CDTF">2014-10-23T13:39:00Z</dcterms:modified>
</cp:coreProperties>
</file>